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bidi w:val="0"/>
        <w:rPr>
          <w:rFonts w:hint="eastAsia"/>
          <w:highlight w:val="none"/>
          <w:lang w:val="en-US" w:eastAsia="zh-CN"/>
        </w:rPr>
      </w:pPr>
      <w:bookmarkStart w:id="0" w:name="TMark1"/>
      <w:r>
        <w:rPr>
          <w:rFonts w:hint="eastAsia" w:ascii="黑体" w:hAnsi="Times New Roman" w:eastAsia="黑体" w:cs="Times New Roman"/>
          <w:sz w:val="48"/>
          <w:highlight w:val="none"/>
          <w:lang w:val="en-US" w:eastAsia="zh-CN"/>
        </w:rPr>
        <w:fldChar w:fldCharType="begin">
          <w:ffData>
            <w:name w:val="TMark1"/>
            <w:enabled/>
            <w:calcOnExit w:val="0"/>
            <w:textInput>
              <w:default w:val="吉安市绿色农产品促进会"/>
            </w:textInput>
          </w:ffData>
        </w:fldChar>
      </w:r>
      <w:r>
        <w:rPr>
          <w:rFonts w:hint="eastAsia" w:ascii="黑体" w:hAnsi="Times New Roman" w:eastAsia="黑体" w:cs="Times New Roman"/>
          <w:sz w:val="48"/>
          <w:highlight w:val="none"/>
          <w:lang w:val="en-US" w:eastAsia="zh-CN"/>
        </w:rPr>
        <w:instrText xml:space="preserve">FORMTEXT</w:instrText>
      </w:r>
      <w:r>
        <w:rPr>
          <w:rFonts w:hint="eastAsia" w:ascii="黑体" w:hAnsi="Times New Roman" w:eastAsia="黑体" w:cs="Times New Roman"/>
          <w:sz w:val="48"/>
          <w:highlight w:val="none"/>
          <w:lang w:val="en-US" w:eastAsia="zh-CN"/>
        </w:rPr>
        <w:fldChar w:fldCharType="separate"/>
      </w:r>
      <w:r>
        <w:rPr>
          <w:rFonts w:hint="eastAsia" w:ascii="黑体" w:hAnsi="Times New Roman" w:eastAsia="黑体" w:cs="Times New Roman"/>
          <w:sz w:val="48"/>
          <w:highlight w:val="none"/>
          <w:lang w:val="en-US" w:eastAsia="zh-CN"/>
        </w:rPr>
        <w:t>吉安市绿色农产品促进会</w:t>
      </w:r>
      <w:r>
        <w:rPr>
          <w:rFonts w:hint="eastAsia" w:ascii="黑体" w:hAnsi="Times New Roman" w:eastAsia="黑体" w:cs="Times New Roman"/>
          <w:sz w:val="48"/>
          <w:highlight w:val="none"/>
          <w:lang w:val="en-US" w:eastAsia="zh-CN"/>
        </w:rPr>
        <w:fldChar w:fldCharType="end"/>
      </w:r>
      <w:bookmarkEnd w:id="0"/>
      <w:r>
        <w:rPr>
          <w:rFonts w:hint="eastAsia"/>
          <w:highlight w:val="none"/>
          <w:lang w:val="en-US" w:eastAsia="zh-CN"/>
        </w:rPr>
        <w:t>团体标准</w:t>
      </w:r>
    </w:p>
    <w:p>
      <w:pPr>
        <w:pStyle w:val="40"/>
        <w:bidi w:val="0"/>
        <w:rPr>
          <w:rFonts w:hint="eastAsia"/>
          <w:highlight w:val="none"/>
          <w:lang w:val="en-US" w:eastAsia="zh-CN"/>
        </w:rPr>
      </w:pPr>
      <w:bookmarkStart w:id="1" w:name="StandNo"/>
      <w:r>
        <w:rPr>
          <w:rFonts w:hint="eastAsia" w:ascii="黑体" w:hAnsi="Times New Roman" w:eastAsia="黑体" w:cs="Times New Roman"/>
          <w:sz w:val="28"/>
          <w:highlight w:val="none"/>
          <w:lang w:val="en-US" w:eastAsia="zh-CN"/>
        </w:rPr>
        <w:fldChar w:fldCharType="begin">
          <w:ffData>
            <w:name w:val="StandNo"/>
            <w:enabled/>
            <w:calcOnExit w:val="0"/>
            <w:textInput>
              <w:default w:val="T/JALNCP X-2025"/>
            </w:textInput>
          </w:ffData>
        </w:fldChar>
      </w:r>
      <w:r>
        <w:rPr>
          <w:rFonts w:hint="eastAsia" w:ascii="黑体" w:hAnsi="Times New Roman" w:eastAsia="黑体" w:cs="Times New Roman"/>
          <w:sz w:val="28"/>
          <w:highlight w:val="none"/>
          <w:lang w:val="en-US" w:eastAsia="zh-CN"/>
        </w:rPr>
        <w:instrText xml:space="preserve">FORMTEXT</w:instrText>
      </w:r>
      <w:r>
        <w:rPr>
          <w:rFonts w:hint="eastAsia" w:ascii="黑体" w:hAnsi="Times New Roman" w:eastAsia="黑体" w:cs="Times New Roman"/>
          <w:sz w:val="28"/>
          <w:highlight w:val="none"/>
          <w:lang w:val="en-US" w:eastAsia="zh-CN"/>
        </w:rPr>
        <w:fldChar w:fldCharType="separate"/>
      </w:r>
      <w:r>
        <w:rPr>
          <w:rFonts w:hint="eastAsia" w:ascii="黑体" w:hAnsi="Times New Roman" w:eastAsia="黑体" w:cs="Times New Roman"/>
          <w:sz w:val="28"/>
          <w:highlight w:val="none"/>
          <w:lang w:val="en-US" w:eastAsia="zh-CN"/>
        </w:rPr>
        <w:t>T/JALNCP X-2025</w:t>
      </w:r>
      <w:r>
        <w:rPr>
          <w:rFonts w:hint="eastAsia" w:ascii="黑体" w:hAnsi="Times New Roman" w:eastAsia="黑体" w:cs="Times New Roman"/>
          <w:sz w:val="28"/>
          <w:highlight w:val="none"/>
          <w:lang w:val="en-US" w:eastAsia="zh-CN"/>
        </w:rPr>
        <w:fldChar w:fldCharType="end"/>
      </w:r>
      <w:bookmarkEnd w:id="1"/>
    </w:p>
    <w:p>
      <w:pPr>
        <w:pStyle w:val="39"/>
        <w:bidi w:val="0"/>
        <w:rPr>
          <w:rFonts w:hint="eastAsia"/>
          <w:highlight w:val="none"/>
          <w:lang w:val="en-US" w:eastAsia="zh-CN"/>
        </w:rPr>
      </w:pPr>
      <w:r>
        <w:rPr>
          <w:rFonts w:hint="eastAsia"/>
          <w:highlight w:val="none"/>
          <w:lang w:val="en-US" w:eastAsia="zh-CN"/>
        </w:rPr>
        <w:fldChar w:fldCharType="begin">
          <w:ffData>
            <w:name w:val="ReplaceT"/>
            <w:enabled/>
            <w:calcOnExit w:val="0"/>
            <w:textInput/>
          </w:ffData>
        </w:fldChar>
      </w:r>
      <w:bookmarkStart w:id="2" w:name="ReplaceT"/>
      <w:r>
        <w:rPr>
          <w:rFonts w:hint="eastAsia"/>
          <w:highlight w:val="none"/>
          <w:lang w:val="en-US" w:eastAsia="zh-CN"/>
        </w:rPr>
        <w:instrText xml:space="preserve">FORMTEXT</w:instrText>
      </w:r>
      <w:r>
        <w:rPr>
          <w:rFonts w:hint="eastAsia"/>
          <w:highlight w:val="none"/>
          <w:lang w:val="en-US" w:eastAsia="zh-CN"/>
        </w:rPr>
        <w:fldChar w:fldCharType="separate"/>
      </w:r>
      <w:r>
        <w:rPr>
          <w:rFonts w:hint="default"/>
          <w:highlight w:val="none"/>
          <w:lang w:val="en-US" w:eastAsia="zh-CN"/>
        </w:rPr>
        <w:t>     </w:t>
      </w:r>
      <w:r>
        <w:rPr>
          <w:rFonts w:hint="eastAsia"/>
          <w:highlight w:val="none"/>
          <w:lang w:val="en-US" w:eastAsia="zh-CN"/>
        </w:rPr>
        <w:fldChar w:fldCharType="end"/>
      </w:r>
      <w:bookmarkEnd w:id="2"/>
    </w:p>
    <w:tbl>
      <w:tblPr>
        <w:tblStyle w:val="20"/>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741" w:type="dxa"/>
            <w:tcBorders>
              <w:top w:val="single" w:color="auto" w:sz="8" w:space="0"/>
            </w:tcBorders>
          </w:tcPr>
          <w:p>
            <w:pPr>
              <w:pStyle w:val="34"/>
              <w:widowControl w:val="0"/>
              <w:bidi w:val="0"/>
              <w:jc w:val="both"/>
              <w:rPr>
                <w:rFonts w:hint="eastAsia"/>
                <w:sz w:val="10"/>
                <w:highlight w:val="none"/>
                <w:vertAlign w:val="baseline"/>
                <w:lang w:val="en-US" w:eastAsia="zh-CN"/>
              </w:rPr>
            </w:pPr>
          </w:p>
        </w:tc>
      </w:tr>
    </w:tbl>
    <w:p>
      <w:pPr>
        <w:pStyle w:val="41"/>
        <w:bidi w:val="0"/>
        <w:rPr>
          <w:rFonts w:hint="eastAsia"/>
          <w:highlight w:val="none"/>
          <w:lang w:val="en-US" w:eastAsia="zh-CN"/>
        </w:rPr>
      </w:pPr>
      <w:bookmarkStart w:id="3" w:name="StdName"/>
      <w:r>
        <w:rPr>
          <w:rFonts w:hint="eastAsia" w:ascii="黑体" w:hAnsi="Times New Roman" w:eastAsia="黑体" w:cs="Times New Roman"/>
          <w:sz w:val="52"/>
          <w:highlight w:val="none"/>
          <w:lang w:val="en-US" w:eastAsia="zh-CN"/>
        </w:rPr>
        <w:fldChar w:fldCharType="begin">
          <w:ffData>
            <w:name w:val="StdName"/>
            <w:enabled/>
            <w:calcOnExit w:val="0"/>
            <w:textInput>
              <w:default w:val="井冈山绿茶加工技术规程"/>
            </w:textInput>
          </w:ffData>
        </w:fldChar>
      </w:r>
      <w:r>
        <w:rPr>
          <w:rFonts w:hint="eastAsia" w:ascii="黑体" w:hAnsi="Times New Roman" w:eastAsia="黑体" w:cs="Times New Roman"/>
          <w:sz w:val="52"/>
          <w:highlight w:val="none"/>
          <w:lang w:val="en-US" w:eastAsia="zh-CN"/>
        </w:rPr>
        <w:instrText xml:space="preserve">FORMTEXT</w:instrText>
      </w:r>
      <w:r>
        <w:rPr>
          <w:rFonts w:hint="eastAsia" w:ascii="黑体" w:hAnsi="Times New Roman" w:eastAsia="黑体" w:cs="Times New Roman"/>
          <w:sz w:val="52"/>
          <w:highlight w:val="none"/>
          <w:lang w:val="en-US" w:eastAsia="zh-CN"/>
        </w:rPr>
        <w:fldChar w:fldCharType="separate"/>
      </w:r>
      <w:r>
        <w:rPr>
          <w:rFonts w:hint="eastAsia" w:ascii="黑体" w:hAnsi="Times New Roman" w:eastAsia="黑体" w:cs="Times New Roman"/>
          <w:sz w:val="52"/>
          <w:highlight w:val="none"/>
          <w:lang w:val="en-US" w:eastAsia="zh-CN"/>
        </w:rPr>
        <w:t>井冈山</w:t>
      </w:r>
      <w:r>
        <w:rPr>
          <w:rFonts w:hint="eastAsia" w:cs="Times New Roman"/>
          <w:sz w:val="52"/>
          <w:highlight w:val="none"/>
          <w:lang w:val="en-US" w:eastAsia="zh-CN"/>
        </w:rPr>
        <w:t>百合</w:t>
      </w:r>
      <w:r>
        <w:rPr>
          <w:rFonts w:hint="eastAsia" w:ascii="黑体" w:hAnsi="Times New Roman" w:eastAsia="黑体" w:cs="Times New Roman"/>
          <w:sz w:val="52"/>
          <w:highlight w:val="none"/>
          <w:lang w:val="en-US" w:eastAsia="zh-CN"/>
        </w:rPr>
        <w:t>加工技术规程</w:t>
      </w:r>
      <w:r>
        <w:rPr>
          <w:rFonts w:hint="eastAsia" w:ascii="黑体" w:hAnsi="Times New Roman" w:eastAsia="黑体" w:cs="Times New Roman"/>
          <w:sz w:val="52"/>
          <w:highlight w:val="none"/>
          <w:lang w:val="en-US" w:eastAsia="zh-CN"/>
        </w:rPr>
        <w:fldChar w:fldCharType="end"/>
      </w:r>
      <w:bookmarkEnd w:id="3"/>
    </w:p>
    <w:p>
      <w:pPr>
        <w:pStyle w:val="42"/>
        <w:pBdr>
          <w:top w:val="none" w:color="auto" w:sz="0" w:space="0"/>
          <w:left w:val="none" w:color="auto" w:sz="0" w:space="0"/>
          <w:bottom w:val="none" w:color="auto" w:sz="0" w:space="0"/>
          <w:right w:val="none" w:color="auto" w:sz="0" w:space="0"/>
        </w:pBdr>
        <w:bidi w:val="0"/>
        <w:rPr>
          <w:rFonts w:hint="default"/>
          <w:highlight w:val="none"/>
          <w:lang w:val="en-US" w:eastAsia="zh-CN"/>
        </w:rPr>
      </w:pPr>
      <w:bookmarkStart w:id="4" w:name="StdEnglishName"/>
      <w:r>
        <w:rPr>
          <w:rFonts w:hint="eastAsia" w:ascii="Times New Roman" w:hAnsi="Times New Roman" w:eastAsia="黑体" w:cs="Times New Roman"/>
          <w:sz w:val="28"/>
          <w:highlight w:val="none"/>
          <w:lang w:val="en-US" w:eastAsia="zh-CN"/>
        </w:rPr>
        <w:fldChar w:fldCharType="begin">
          <w:ffData>
            <w:name w:val="StdEnglishName"/>
            <w:enabled/>
            <w:calcOnExit w:val="0"/>
            <w:textInput>
              <w:default w:val="Technical Regulations for Processing Jinggangshan Green Tea"/>
            </w:textInput>
          </w:ffData>
        </w:fldChar>
      </w:r>
      <w:r>
        <w:rPr>
          <w:rFonts w:hint="eastAsia" w:ascii="Times New Roman" w:hAnsi="Times New Roman" w:eastAsia="黑体" w:cs="Times New Roman"/>
          <w:sz w:val="28"/>
          <w:highlight w:val="none"/>
          <w:lang w:val="en-US" w:eastAsia="zh-CN"/>
        </w:rPr>
        <w:instrText xml:space="preserve">FORMTEXT</w:instrText>
      </w:r>
      <w:r>
        <w:rPr>
          <w:rFonts w:hint="eastAsia" w:ascii="Times New Roman" w:hAnsi="Times New Roman" w:eastAsia="黑体" w:cs="Times New Roman"/>
          <w:sz w:val="28"/>
          <w:highlight w:val="none"/>
          <w:lang w:val="en-US" w:eastAsia="zh-CN"/>
        </w:rPr>
        <w:fldChar w:fldCharType="separate"/>
      </w:r>
      <w:r>
        <w:rPr>
          <w:rFonts w:hint="eastAsia" w:ascii="Times New Roman" w:hAnsi="Times New Roman" w:eastAsia="黑体" w:cs="Times New Roman"/>
          <w:sz w:val="28"/>
          <w:highlight w:val="none"/>
          <w:lang w:val="en-US" w:eastAsia="zh-CN"/>
        </w:rPr>
        <w:t>Technical Regulations for Processing Jinggangshan Lilium</w:t>
      </w:r>
    </w:p>
    <w:p>
      <w:pPr>
        <w:pStyle w:val="42"/>
        <w:bidi w:val="0"/>
        <w:rPr>
          <w:rFonts w:hint="eastAsia"/>
          <w:highlight w:val="none"/>
          <w:lang w:val="en-US" w:eastAsia="zh-CN"/>
        </w:rPr>
      </w:pPr>
      <w:r>
        <w:rPr>
          <w:rFonts w:hint="eastAsia" w:ascii="Times New Roman" w:hAnsi="Times New Roman" w:eastAsia="黑体" w:cs="Times New Roman"/>
          <w:sz w:val="28"/>
          <w:highlight w:val="none"/>
          <w:lang w:val="en-US" w:eastAsia="zh-CN"/>
        </w:rPr>
        <w:fldChar w:fldCharType="end"/>
      </w:r>
      <w:bookmarkEnd w:id="4"/>
      <w:r>
        <w:rPr>
          <w:rFonts w:hint="eastAsia" w:cs="Times New Roman"/>
          <w:sz w:val="28"/>
          <w:highlight w:val="none"/>
          <w:lang w:val="en-US" w:eastAsia="zh-CN"/>
        </w:rPr>
        <w:t xml:space="preserve"> </w:t>
      </w:r>
    </w:p>
    <w:p>
      <w:pPr>
        <w:pStyle w:val="44"/>
        <w:bidi w:val="0"/>
        <w:spacing w:after="0"/>
        <w:rPr>
          <w:rFonts w:hint="eastAsia"/>
          <w:highlight w:val="none"/>
          <w:lang w:val="en-US" w:eastAsia="zh-CN"/>
        </w:rPr>
      </w:pPr>
      <w:bookmarkStart w:id="5" w:name="LB"/>
      <w:r>
        <w:rPr>
          <w:rFonts w:hint="eastAsia" w:ascii="黑体" w:hAnsi="黑体" w:eastAsia="黑体" w:cs="黑体"/>
          <w:sz w:val="24"/>
          <w:highlight w:val="none"/>
          <w:lang w:val="en-US" w:eastAsia="zh-CN"/>
        </w:rPr>
        <w:fldChar w:fldCharType="begin">
          <w:ffData>
            <w:name w:val="LB"/>
            <w:enabled/>
            <w:calcOnExit w:val="0"/>
            <w:ddList>
              <w:listEntry w:val="     "/>
              <w:listEntry w:val="草案版次选择"/>
              <w:listEntry w:val="（工作组讨论稿）"/>
              <w:listEntry w:val="（征求意见稿）"/>
              <w:listEntry w:val="（送审讨论稿）"/>
              <w:listEntry w:val="（送审稿）"/>
              <w:listEntry w:val="（报批稿）"/>
            </w:ddList>
          </w:ffData>
        </w:fldChar>
      </w:r>
      <w:r>
        <w:rPr>
          <w:rFonts w:hint="eastAsia" w:ascii="黑体" w:hAnsi="黑体" w:eastAsia="黑体" w:cs="黑体"/>
          <w:sz w:val="24"/>
          <w:highlight w:val="none"/>
          <w:lang w:val="en-US" w:eastAsia="zh-CN"/>
        </w:rPr>
        <w:instrText xml:space="preserve">FORMDROPDOWN</w:instrText>
      </w:r>
      <w:r>
        <w:rPr>
          <w:rFonts w:hint="eastAsia" w:ascii="黑体" w:hAnsi="黑体" w:eastAsia="黑体" w:cs="黑体"/>
          <w:sz w:val="24"/>
          <w:highlight w:val="none"/>
          <w:lang w:val="en-US" w:eastAsia="zh-CN"/>
        </w:rPr>
        <w:fldChar w:fldCharType="separate"/>
      </w:r>
      <w:r>
        <w:rPr>
          <w:rFonts w:hint="eastAsia" w:ascii="黑体" w:hAnsi="黑体" w:eastAsia="黑体" w:cs="黑体"/>
          <w:sz w:val="24"/>
          <w:highlight w:val="none"/>
          <w:lang w:val="en-US" w:eastAsia="zh-CN"/>
        </w:rPr>
        <w:fldChar w:fldCharType="end"/>
      </w:r>
      <w:bookmarkEnd w:id="5"/>
    </w:p>
    <w:p>
      <w:pPr>
        <w:pStyle w:val="45"/>
        <w:bidi w:val="0"/>
        <w:spacing w:before="100"/>
        <w:rPr>
          <w:rFonts w:hint="eastAsia"/>
          <w:highlight w:val="none"/>
          <w:lang w:val="en-US" w:eastAsia="zh-CN"/>
        </w:rPr>
      </w:pPr>
      <w:r>
        <w:rPr>
          <w:rFonts w:hint="eastAsia"/>
          <w:highlight w:val="none"/>
          <w:lang w:val="en-US" w:eastAsia="zh-CN"/>
        </w:rPr>
        <w:fldChar w:fldCharType="begin">
          <w:ffData>
            <w:name w:val="WCRQ"/>
            <w:enabled/>
            <w:calcOnExit w:val="0"/>
            <w:textInput/>
          </w:ffData>
        </w:fldChar>
      </w:r>
      <w:bookmarkStart w:id="6" w:name="WCRQ"/>
      <w:r>
        <w:rPr>
          <w:rFonts w:hint="eastAsia"/>
          <w:highlight w:val="none"/>
          <w:lang w:val="en-US" w:eastAsia="zh-CN"/>
        </w:rPr>
        <w:instrText xml:space="preserve">FORMTEXT</w:instrText>
      </w:r>
      <w:r>
        <w:rPr>
          <w:rFonts w:hint="eastAsia"/>
          <w:highlight w:val="none"/>
          <w:lang w:val="en-US" w:eastAsia="zh-CN"/>
        </w:rPr>
        <w:fldChar w:fldCharType="separate"/>
      </w:r>
      <w:r>
        <w:rPr>
          <w:rFonts w:hint="default"/>
          <w:highlight w:val="none"/>
          <w:lang w:val="en-US" w:eastAsia="zh-CN"/>
        </w:rPr>
        <w:t>     </w:t>
      </w:r>
      <w:r>
        <w:rPr>
          <w:rFonts w:hint="eastAsia"/>
          <w:highlight w:val="none"/>
          <w:lang w:val="en-US" w:eastAsia="zh-CN"/>
        </w:rPr>
        <w:fldChar w:fldCharType="end"/>
      </w:r>
      <w:bookmarkEnd w:id="6"/>
    </w:p>
    <w:p>
      <w:pPr>
        <w:pStyle w:val="46"/>
        <w:bidi w:val="0"/>
        <w:spacing w:before="687" w:beforeLines="220"/>
        <w:rPr>
          <w:rFonts w:hint="eastAsia"/>
          <w:highlight w:val="none"/>
          <w:lang w:val="en-US" w:eastAsia="zh-CN"/>
        </w:rPr>
      </w:pPr>
      <w:bookmarkStart w:id="7" w:name="FileSelect"/>
      <w:r>
        <w:rPr>
          <w:rFonts w:hint="eastAsia" w:ascii="Times New Roman" w:hAnsi="Times New Roman" w:eastAsia="黑体" w:cs="Times New Roman"/>
          <w:b/>
          <w:sz w:val="21"/>
          <w:highlight w:val="none"/>
          <w:lang w:val="en-US" w:eastAsia="zh-CN"/>
        </w:rPr>
        <w:fldChar w:fldCharType="begin">
          <w:ffData>
            <w:name w:val="FileSelect"/>
            <w:enabled/>
            <w:calcOnExit w:val="0"/>
            <w:ddList>
              <w:listEntry w:val="     "/>
              <w:listEntry w:val="在提交反馈意见时，请将您知道的相关专利连同支持性文件一并附上。"/>
            </w:ddList>
          </w:ffData>
        </w:fldChar>
      </w:r>
      <w:r>
        <w:rPr>
          <w:rFonts w:hint="eastAsia" w:ascii="Times New Roman" w:hAnsi="Times New Roman" w:eastAsia="黑体" w:cs="Times New Roman"/>
          <w:b/>
          <w:sz w:val="21"/>
          <w:highlight w:val="none"/>
          <w:lang w:val="en-US" w:eastAsia="zh-CN"/>
        </w:rPr>
        <w:instrText xml:space="preserve">FORMDROPDOWN</w:instrText>
      </w:r>
      <w:r>
        <w:rPr>
          <w:rFonts w:hint="eastAsia" w:ascii="Times New Roman" w:hAnsi="Times New Roman" w:eastAsia="黑体" w:cs="Times New Roman"/>
          <w:b/>
          <w:sz w:val="21"/>
          <w:highlight w:val="none"/>
          <w:lang w:val="en-US" w:eastAsia="zh-CN"/>
        </w:rPr>
        <w:fldChar w:fldCharType="separate"/>
      </w:r>
      <w:r>
        <w:rPr>
          <w:rFonts w:hint="eastAsia" w:ascii="Times New Roman" w:hAnsi="Times New Roman" w:eastAsia="黑体" w:cs="Times New Roman"/>
          <w:b/>
          <w:sz w:val="21"/>
          <w:highlight w:val="none"/>
          <w:lang w:val="en-US" w:eastAsia="zh-CN"/>
        </w:rPr>
        <w:fldChar w:fldCharType="end"/>
      </w:r>
      <w:bookmarkEnd w:id="7"/>
    </w:p>
    <w:tbl>
      <w:tblPr>
        <w:tblStyle w:val="20"/>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70"/>
        <w:gridCol w:w="48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exact"/>
        </w:trPr>
        <w:tc>
          <w:tcPr>
            <w:tcW w:w="4870" w:type="dxa"/>
            <w:tcBorders>
              <w:bottom w:val="single" w:color="auto" w:sz="8" w:space="0"/>
            </w:tcBorders>
            <w:tcMar>
              <w:left w:w="57" w:type="dxa"/>
              <w:bottom w:w="28" w:type="dxa"/>
            </w:tcMar>
          </w:tcPr>
          <w:p>
            <w:pPr>
              <w:pStyle w:val="38"/>
              <w:widowControl w:val="0"/>
              <w:bidi w:val="0"/>
              <w:jc w:val="both"/>
              <w:rPr>
                <w:rFonts w:hint="eastAsia"/>
                <w:highlight w:val="none"/>
                <w:vertAlign w:val="baseline"/>
                <w:lang w:val="en-US" w:eastAsia="zh-CN"/>
              </w:rPr>
            </w:pPr>
            <w:bookmarkStart w:id="8" w:name="FY"/>
            <w:r>
              <w:rPr>
                <w:rFonts w:hint="eastAsia" w:ascii="黑体" w:hAnsi="Times New Roman" w:eastAsia="黑体" w:cs="Times New Roman"/>
                <w:sz w:val="28"/>
                <w:highlight w:val="none"/>
                <w:vertAlign w:val="baseline"/>
                <w:lang w:val="en-US" w:eastAsia="zh-CN"/>
              </w:rPr>
              <w:fldChar w:fldCharType="begin">
                <w:ffData>
                  <w:name w:val="FY"/>
                  <w:enabled/>
                  <w:calcOnExit w:val="0"/>
                  <w:textInput>
                    <w:default w:val="2025"/>
                    <w:maxLength w:val="4"/>
                  </w:textInput>
                </w:ffData>
              </w:fldChar>
            </w:r>
            <w:r>
              <w:rPr>
                <w:rFonts w:hint="eastAsia" w:ascii="黑体" w:hAnsi="Times New Roman" w:eastAsia="黑体" w:cs="Times New Roman"/>
                <w:sz w:val="28"/>
                <w:highlight w:val="none"/>
                <w:vertAlign w:val="baseline"/>
                <w:lang w:val="en-US" w:eastAsia="zh-CN"/>
              </w:rPr>
              <w:instrText xml:space="preserve">FORMTEXT</w:instrText>
            </w:r>
            <w:r>
              <w:rPr>
                <w:rFonts w:hint="eastAsia" w:ascii="黑体" w:hAnsi="Times New Roman" w:eastAsia="黑体" w:cs="Times New Roman"/>
                <w:sz w:val="28"/>
                <w:highlight w:val="none"/>
                <w:vertAlign w:val="baseline"/>
                <w:lang w:val="en-US" w:eastAsia="zh-CN"/>
              </w:rPr>
              <w:fldChar w:fldCharType="separate"/>
            </w:r>
            <w:r>
              <w:rPr>
                <w:rFonts w:hint="eastAsia" w:ascii="黑体" w:hAnsi="Times New Roman" w:eastAsia="黑体" w:cs="Times New Roman"/>
                <w:sz w:val="28"/>
                <w:highlight w:val="none"/>
                <w:vertAlign w:val="baseline"/>
                <w:lang w:val="en-US" w:eastAsia="zh-CN"/>
              </w:rPr>
              <w:t>2025</w:t>
            </w:r>
            <w:r>
              <w:rPr>
                <w:rFonts w:hint="eastAsia" w:ascii="黑体" w:hAnsi="Times New Roman" w:eastAsia="黑体" w:cs="Times New Roman"/>
                <w:sz w:val="28"/>
                <w:highlight w:val="none"/>
                <w:vertAlign w:val="baseline"/>
                <w:lang w:val="en-US" w:eastAsia="zh-CN"/>
              </w:rPr>
              <w:fldChar w:fldCharType="end"/>
            </w:r>
            <w:bookmarkEnd w:id="8"/>
            <w:r>
              <w:rPr>
                <w:rFonts w:hint="eastAsia"/>
                <w:highlight w:val="none"/>
                <w:vertAlign w:val="baseline"/>
                <w:lang w:val="en-US" w:eastAsia="zh-CN"/>
              </w:rPr>
              <w:t xml:space="preserve"> - </w:t>
            </w:r>
            <w:r>
              <w:rPr>
                <w:rFonts w:hint="eastAsia"/>
                <w:highlight w:val="none"/>
                <w:vertAlign w:val="baseline"/>
                <w:lang w:val="en-US" w:eastAsia="zh-CN"/>
              </w:rPr>
              <w:fldChar w:fldCharType="begin">
                <w:ffData>
                  <w:name w:val="FM"/>
                  <w:enabled/>
                  <w:calcOnExit w:val="0"/>
                  <w:textInput>
                    <w:default w:val="XX"/>
                    <w:maxLength w:val="2"/>
                  </w:textInput>
                </w:ffData>
              </w:fldChar>
            </w:r>
            <w:bookmarkStart w:id="9" w:name="FM"/>
            <w:r>
              <w:rPr>
                <w:rFonts w:hint="eastAsia"/>
                <w:highlight w:val="none"/>
                <w:vertAlign w:val="baseline"/>
                <w:lang w:val="en-US" w:eastAsia="zh-CN"/>
              </w:rPr>
              <w:instrText xml:space="preserve">FORMTEXT</w:instrText>
            </w:r>
            <w:r>
              <w:rPr>
                <w:rFonts w:hint="eastAsia"/>
                <w:highlight w:val="none"/>
                <w:vertAlign w:val="baseline"/>
                <w:lang w:val="en-US" w:eastAsia="zh-CN"/>
              </w:rPr>
              <w:fldChar w:fldCharType="separate"/>
            </w:r>
            <w:r>
              <w:rPr>
                <w:rFonts w:hint="eastAsia"/>
                <w:highlight w:val="none"/>
                <w:vertAlign w:val="baseline"/>
                <w:lang w:val="en-US" w:eastAsia="zh-CN"/>
              </w:rPr>
              <w:t>XX</w:t>
            </w:r>
            <w:r>
              <w:rPr>
                <w:rFonts w:hint="eastAsia"/>
                <w:highlight w:val="none"/>
                <w:vertAlign w:val="baseline"/>
                <w:lang w:val="en-US" w:eastAsia="zh-CN"/>
              </w:rPr>
              <w:fldChar w:fldCharType="end"/>
            </w:r>
            <w:bookmarkEnd w:id="9"/>
            <w:r>
              <w:rPr>
                <w:rFonts w:hint="eastAsia"/>
                <w:highlight w:val="none"/>
                <w:vertAlign w:val="baseline"/>
                <w:lang w:val="en-US" w:eastAsia="zh-CN"/>
              </w:rPr>
              <w:t xml:space="preserve"> - </w:t>
            </w:r>
            <w:r>
              <w:rPr>
                <w:rFonts w:hint="eastAsia"/>
                <w:highlight w:val="none"/>
                <w:vertAlign w:val="baseline"/>
                <w:lang w:val="en-US" w:eastAsia="zh-CN"/>
              </w:rPr>
              <w:fldChar w:fldCharType="begin">
                <w:ffData>
                  <w:name w:val="FD"/>
                  <w:enabled/>
                  <w:calcOnExit w:val="0"/>
                  <w:textInput>
                    <w:default w:val="XX"/>
                    <w:maxLength w:val="2"/>
                  </w:textInput>
                </w:ffData>
              </w:fldChar>
            </w:r>
            <w:bookmarkStart w:id="10" w:name="FD"/>
            <w:r>
              <w:rPr>
                <w:rFonts w:hint="eastAsia"/>
                <w:highlight w:val="none"/>
                <w:vertAlign w:val="baseline"/>
                <w:lang w:val="en-US" w:eastAsia="zh-CN"/>
              </w:rPr>
              <w:instrText xml:space="preserve">FORMTEXT</w:instrText>
            </w:r>
            <w:r>
              <w:rPr>
                <w:rFonts w:hint="eastAsia"/>
                <w:highlight w:val="none"/>
                <w:vertAlign w:val="baseline"/>
                <w:lang w:val="en-US" w:eastAsia="zh-CN"/>
              </w:rPr>
              <w:fldChar w:fldCharType="separate"/>
            </w:r>
            <w:r>
              <w:rPr>
                <w:rFonts w:hint="eastAsia"/>
                <w:highlight w:val="none"/>
                <w:vertAlign w:val="baseline"/>
                <w:lang w:val="en-US" w:eastAsia="zh-CN"/>
              </w:rPr>
              <w:t>XX</w:t>
            </w:r>
            <w:r>
              <w:rPr>
                <w:rFonts w:hint="eastAsia"/>
                <w:highlight w:val="none"/>
                <w:vertAlign w:val="baseline"/>
                <w:lang w:val="en-US" w:eastAsia="zh-CN"/>
              </w:rPr>
              <w:fldChar w:fldCharType="end"/>
            </w:r>
            <w:bookmarkEnd w:id="10"/>
            <w:r>
              <w:rPr>
                <w:rFonts w:hint="eastAsia"/>
                <w:highlight w:val="none"/>
                <w:vertAlign w:val="baseline"/>
                <w:lang w:val="en-US" w:eastAsia="zh-CN"/>
              </w:rPr>
              <w:t xml:space="preserve"> 发布</w:t>
            </w:r>
          </w:p>
        </w:tc>
        <w:tc>
          <w:tcPr>
            <w:tcW w:w="4871" w:type="dxa"/>
            <w:tcBorders>
              <w:bottom w:val="single" w:color="auto" w:sz="8" w:space="0"/>
            </w:tcBorders>
            <w:tcMar>
              <w:right w:w="57" w:type="dxa"/>
            </w:tcMar>
          </w:tcPr>
          <w:p>
            <w:pPr>
              <w:pStyle w:val="38"/>
              <w:widowControl w:val="0"/>
              <w:bidi w:val="0"/>
              <w:jc w:val="right"/>
              <w:rPr>
                <w:rFonts w:hint="eastAsia"/>
                <w:highlight w:val="none"/>
                <w:vertAlign w:val="baseline"/>
                <w:lang w:val="en-US" w:eastAsia="zh-CN"/>
              </w:rPr>
            </w:pPr>
            <w:bookmarkStart w:id="11" w:name="SY"/>
            <w:r>
              <w:rPr>
                <w:rFonts w:hint="eastAsia" w:ascii="黑体" w:hAnsi="Times New Roman" w:eastAsia="黑体" w:cs="Times New Roman"/>
                <w:sz w:val="28"/>
                <w:highlight w:val="none"/>
                <w:vertAlign w:val="baseline"/>
                <w:lang w:val="en-US" w:eastAsia="zh-CN"/>
              </w:rPr>
              <w:fldChar w:fldCharType="begin">
                <w:ffData>
                  <w:name w:val="SY"/>
                  <w:enabled/>
                  <w:calcOnExit w:val="0"/>
                  <w:textInput>
                    <w:default w:val="2025"/>
                    <w:maxLength w:val="4"/>
                  </w:textInput>
                </w:ffData>
              </w:fldChar>
            </w:r>
            <w:r>
              <w:rPr>
                <w:rFonts w:hint="eastAsia" w:ascii="黑体" w:hAnsi="Times New Roman" w:eastAsia="黑体" w:cs="Times New Roman"/>
                <w:sz w:val="28"/>
                <w:highlight w:val="none"/>
                <w:vertAlign w:val="baseline"/>
                <w:lang w:val="en-US" w:eastAsia="zh-CN"/>
              </w:rPr>
              <w:instrText xml:space="preserve">FORMTEXT</w:instrText>
            </w:r>
            <w:r>
              <w:rPr>
                <w:rFonts w:hint="eastAsia" w:ascii="黑体" w:hAnsi="Times New Roman" w:eastAsia="黑体" w:cs="Times New Roman"/>
                <w:sz w:val="28"/>
                <w:highlight w:val="none"/>
                <w:vertAlign w:val="baseline"/>
                <w:lang w:val="en-US" w:eastAsia="zh-CN"/>
              </w:rPr>
              <w:fldChar w:fldCharType="separate"/>
            </w:r>
            <w:r>
              <w:rPr>
                <w:rFonts w:hint="eastAsia" w:ascii="黑体" w:hAnsi="Times New Roman" w:eastAsia="黑体" w:cs="Times New Roman"/>
                <w:sz w:val="28"/>
                <w:highlight w:val="none"/>
                <w:vertAlign w:val="baseline"/>
                <w:lang w:val="en-US" w:eastAsia="zh-CN"/>
              </w:rPr>
              <w:t>2025</w:t>
            </w:r>
            <w:r>
              <w:rPr>
                <w:rFonts w:hint="eastAsia" w:ascii="黑体" w:hAnsi="Times New Roman" w:eastAsia="黑体" w:cs="Times New Roman"/>
                <w:sz w:val="28"/>
                <w:highlight w:val="none"/>
                <w:vertAlign w:val="baseline"/>
                <w:lang w:val="en-US" w:eastAsia="zh-CN"/>
              </w:rPr>
              <w:fldChar w:fldCharType="end"/>
            </w:r>
            <w:bookmarkEnd w:id="11"/>
            <w:r>
              <w:rPr>
                <w:rFonts w:hint="eastAsia"/>
                <w:highlight w:val="none"/>
                <w:vertAlign w:val="baseline"/>
                <w:lang w:val="en-US" w:eastAsia="zh-CN"/>
              </w:rPr>
              <w:t xml:space="preserve"> - </w:t>
            </w:r>
            <w:r>
              <w:rPr>
                <w:rFonts w:hint="eastAsia"/>
                <w:highlight w:val="none"/>
                <w:vertAlign w:val="baseline"/>
                <w:lang w:val="en-US" w:eastAsia="zh-CN"/>
              </w:rPr>
              <w:fldChar w:fldCharType="begin">
                <w:ffData>
                  <w:name w:val="SM"/>
                  <w:enabled/>
                  <w:calcOnExit w:val="0"/>
                  <w:textInput>
                    <w:default w:val="XX"/>
                    <w:maxLength w:val="2"/>
                  </w:textInput>
                </w:ffData>
              </w:fldChar>
            </w:r>
            <w:bookmarkStart w:id="12" w:name="SM"/>
            <w:r>
              <w:rPr>
                <w:rFonts w:hint="eastAsia"/>
                <w:highlight w:val="none"/>
                <w:vertAlign w:val="baseline"/>
                <w:lang w:val="en-US" w:eastAsia="zh-CN"/>
              </w:rPr>
              <w:instrText xml:space="preserve">FORMTEXT</w:instrText>
            </w:r>
            <w:r>
              <w:rPr>
                <w:rFonts w:hint="eastAsia"/>
                <w:highlight w:val="none"/>
                <w:vertAlign w:val="baseline"/>
                <w:lang w:val="en-US" w:eastAsia="zh-CN"/>
              </w:rPr>
              <w:fldChar w:fldCharType="separate"/>
            </w:r>
            <w:r>
              <w:rPr>
                <w:rFonts w:hint="eastAsia"/>
                <w:highlight w:val="none"/>
                <w:vertAlign w:val="baseline"/>
                <w:lang w:val="en-US" w:eastAsia="zh-CN"/>
              </w:rPr>
              <w:t>XX</w:t>
            </w:r>
            <w:r>
              <w:rPr>
                <w:rFonts w:hint="eastAsia"/>
                <w:highlight w:val="none"/>
                <w:vertAlign w:val="baseline"/>
                <w:lang w:val="en-US" w:eastAsia="zh-CN"/>
              </w:rPr>
              <w:fldChar w:fldCharType="end"/>
            </w:r>
            <w:bookmarkEnd w:id="12"/>
            <w:r>
              <w:rPr>
                <w:rFonts w:hint="eastAsia"/>
                <w:highlight w:val="none"/>
                <w:vertAlign w:val="baseline"/>
                <w:lang w:val="en-US" w:eastAsia="zh-CN"/>
              </w:rPr>
              <w:t xml:space="preserve"> - </w:t>
            </w:r>
            <w:r>
              <w:rPr>
                <w:rFonts w:hint="eastAsia"/>
                <w:highlight w:val="none"/>
                <w:vertAlign w:val="baseline"/>
                <w:lang w:val="en-US" w:eastAsia="zh-CN"/>
              </w:rPr>
              <w:fldChar w:fldCharType="begin">
                <w:ffData>
                  <w:name w:val="SD"/>
                  <w:enabled/>
                  <w:calcOnExit w:val="0"/>
                  <w:textInput>
                    <w:default w:val="XX"/>
                    <w:maxLength w:val="2"/>
                  </w:textInput>
                </w:ffData>
              </w:fldChar>
            </w:r>
            <w:bookmarkStart w:id="13" w:name="SD"/>
            <w:r>
              <w:rPr>
                <w:rFonts w:hint="eastAsia"/>
                <w:highlight w:val="none"/>
                <w:vertAlign w:val="baseline"/>
                <w:lang w:val="en-US" w:eastAsia="zh-CN"/>
              </w:rPr>
              <w:instrText xml:space="preserve">FORMTEXT</w:instrText>
            </w:r>
            <w:r>
              <w:rPr>
                <w:rFonts w:hint="eastAsia"/>
                <w:highlight w:val="none"/>
                <w:vertAlign w:val="baseline"/>
                <w:lang w:val="en-US" w:eastAsia="zh-CN"/>
              </w:rPr>
              <w:fldChar w:fldCharType="separate"/>
            </w:r>
            <w:r>
              <w:rPr>
                <w:rFonts w:hint="eastAsia"/>
                <w:highlight w:val="none"/>
                <w:vertAlign w:val="baseline"/>
                <w:lang w:val="en-US" w:eastAsia="zh-CN"/>
              </w:rPr>
              <w:t>XX</w:t>
            </w:r>
            <w:r>
              <w:rPr>
                <w:rFonts w:hint="eastAsia"/>
                <w:highlight w:val="none"/>
                <w:vertAlign w:val="baseline"/>
                <w:lang w:val="en-US" w:eastAsia="zh-CN"/>
              </w:rPr>
              <w:fldChar w:fldCharType="end"/>
            </w:r>
            <w:bookmarkEnd w:id="13"/>
            <w:r>
              <w:rPr>
                <w:rFonts w:hint="eastAsia"/>
                <w:highlight w:val="none"/>
                <w:vertAlign w:val="baseline"/>
                <w:lang w:val="en-US" w:eastAsia="zh-CN"/>
              </w:rPr>
              <w:t xml:space="preserve"> 实施</w:t>
            </w:r>
          </w:p>
        </w:tc>
      </w:tr>
    </w:tbl>
    <w:p>
      <w:pPr>
        <w:pStyle w:val="48"/>
        <w:bidi w:val="0"/>
        <w:spacing w:before="0"/>
        <w:rPr>
          <w:rFonts w:hint="eastAsia"/>
          <w:spacing w:val="0"/>
          <w:w w:val="100"/>
          <w:sz w:val="28"/>
          <w:highlight w:val="none"/>
          <w:lang w:val="en-US" w:eastAsia="zh-CN"/>
        </w:rPr>
      </w:pPr>
      <w:bookmarkStart w:id="14" w:name="FM2"/>
      <w:r>
        <w:rPr>
          <w:rFonts w:hint="eastAsia" w:ascii="黑体" w:hAnsi="黑体" w:eastAsia="黑体" w:cs="Times New Roman"/>
          <w:spacing w:val="0"/>
          <w:w w:val="100"/>
          <w:sz w:val="28"/>
          <w:highlight w:val="none"/>
          <w:lang w:val="en-US" w:eastAsia="zh-CN"/>
        </w:rPr>
        <w:fldChar w:fldCharType="begin">
          <w:ffData>
            <w:name w:val="FM2"/>
            <w:enabled/>
            <w:calcOnExit w:val="0"/>
            <w:textInput>
              <w:default w:val="吉安市绿色农产品促进会"/>
            </w:textInput>
          </w:ffData>
        </w:fldChar>
      </w:r>
      <w:r>
        <w:rPr>
          <w:rFonts w:hint="eastAsia" w:ascii="黑体" w:hAnsi="黑体" w:eastAsia="黑体" w:cs="Times New Roman"/>
          <w:spacing w:val="0"/>
          <w:w w:val="100"/>
          <w:sz w:val="28"/>
          <w:highlight w:val="none"/>
          <w:lang w:val="en-US" w:eastAsia="zh-CN"/>
        </w:rPr>
        <w:instrText xml:space="preserve">FORMTEXT</w:instrText>
      </w:r>
      <w:r>
        <w:rPr>
          <w:rFonts w:hint="eastAsia" w:ascii="黑体" w:hAnsi="黑体" w:eastAsia="黑体" w:cs="Times New Roman"/>
          <w:spacing w:val="0"/>
          <w:w w:val="100"/>
          <w:sz w:val="28"/>
          <w:highlight w:val="none"/>
          <w:lang w:val="en-US" w:eastAsia="zh-CN"/>
        </w:rPr>
        <w:fldChar w:fldCharType="separate"/>
      </w:r>
      <w:r>
        <w:rPr>
          <w:rFonts w:hint="eastAsia" w:ascii="黑体" w:hAnsi="黑体" w:eastAsia="黑体" w:cs="Times New Roman"/>
          <w:spacing w:val="0"/>
          <w:w w:val="100"/>
          <w:sz w:val="28"/>
          <w:highlight w:val="none"/>
          <w:lang w:val="en-US" w:eastAsia="zh-CN"/>
        </w:rPr>
        <w:t>吉安市绿色农产品促进会</w:t>
      </w:r>
      <w:r>
        <w:rPr>
          <w:rFonts w:hint="eastAsia" w:ascii="黑体" w:hAnsi="黑体" w:eastAsia="黑体" w:cs="Times New Roman"/>
          <w:spacing w:val="0"/>
          <w:w w:val="100"/>
          <w:sz w:val="28"/>
          <w:highlight w:val="none"/>
          <w:lang w:val="en-US" w:eastAsia="zh-CN"/>
        </w:rPr>
        <w:fldChar w:fldCharType="end"/>
      </w:r>
      <w:bookmarkEnd w:id="14"/>
      <w:r>
        <w:rPr>
          <w:rFonts w:hint="eastAsia"/>
          <w:sz w:val="28"/>
          <w:highlight w:val="none"/>
          <w:lang w:val="en-US" w:eastAsia="zh-CN"/>
        </w:rPr>
        <w:t>  </w:t>
      </w:r>
      <w:r>
        <w:rPr>
          <w:rFonts w:hint="eastAsia"/>
          <w:spacing w:val="85"/>
          <w:w w:val="100"/>
          <w:sz w:val="28"/>
          <w:highlight w:val="none"/>
          <w:lang w:val="en-US" w:eastAsia="zh-CN"/>
        </w:rPr>
        <w:t>发</w:t>
      </w:r>
      <w:r>
        <w:rPr>
          <w:rFonts w:hint="eastAsia"/>
          <w:spacing w:val="0"/>
          <w:w w:val="100"/>
          <w:sz w:val="28"/>
          <w:highlight w:val="none"/>
          <w:lang w:val="en-US" w:eastAsia="zh-CN"/>
        </w:rPr>
        <w:t>布</w:t>
      </w:r>
    </w:p>
    <w:tbl>
      <w:tblPr>
        <w:tblStyle w:val="20"/>
        <w:tblW w:w="95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91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pPr>
              <w:pStyle w:val="52"/>
              <w:framePr w:w="9639"/>
              <w:bidi w:val="0"/>
              <w:jc w:val="both"/>
              <w:rPr>
                <w:rFonts w:hint="eastAsia"/>
                <w:highlight w:val="none"/>
                <w:vertAlign w:val="baseline"/>
                <w:lang w:val="en-US" w:eastAsia="zh-CN"/>
              </w:rPr>
            </w:pPr>
            <w:r>
              <w:rPr>
                <w:rFonts w:hint="eastAsia"/>
                <w:highlight w:val="none"/>
                <w:vertAlign w:val="baseline"/>
                <w:lang w:val="en-US" w:eastAsia="zh-CN"/>
              </w:rPr>
              <w:t>ICS</w:t>
            </w:r>
          </w:p>
        </w:tc>
        <w:tc>
          <w:tcPr>
            <w:tcW w:w="9107" w:type="dxa"/>
          </w:tcPr>
          <w:p>
            <w:pPr>
              <w:pStyle w:val="52"/>
              <w:framePr w:w="9639"/>
              <w:bidi w:val="0"/>
              <w:jc w:val="both"/>
              <w:rPr>
                <w:rFonts w:hint="eastAsia"/>
                <w:highlight w:val="none"/>
                <w:vertAlign w:val="baseline"/>
                <w:lang w:val="en-US" w:eastAsia="zh-CN"/>
              </w:rPr>
            </w:pPr>
            <w:bookmarkStart w:id="15" w:name="ICS"/>
            <w:r>
              <w:rPr>
                <w:rFonts w:hint="eastAsia" w:ascii="黑体" w:hAnsi="Times New Roman" w:eastAsia="黑体" w:cs="Times New Roman"/>
                <w:kern w:val="21"/>
                <w:sz w:val="21"/>
                <w:highlight w:val="none"/>
                <w:vertAlign w:val="baseline"/>
                <w:lang w:val="en-US" w:eastAsia="zh-CN"/>
              </w:rPr>
              <w:fldChar w:fldCharType="begin">
                <w:ffData>
                  <w:name w:val="ICS"/>
                  <w:enabled/>
                  <w:calcOnExit w:val="0"/>
                  <w:textInput>
                    <w:default w:val="67.080.10"/>
                  </w:textInput>
                </w:ffData>
              </w:fldChar>
            </w:r>
            <w:r>
              <w:rPr>
                <w:rFonts w:hint="eastAsia" w:ascii="黑体" w:hAnsi="Times New Roman" w:eastAsia="黑体" w:cs="Times New Roman"/>
                <w:kern w:val="21"/>
                <w:sz w:val="21"/>
                <w:highlight w:val="none"/>
                <w:vertAlign w:val="baseline"/>
                <w:lang w:val="en-US" w:eastAsia="zh-CN"/>
              </w:rPr>
              <w:instrText xml:space="preserve">FORMTEXT</w:instrText>
            </w:r>
            <w:r>
              <w:rPr>
                <w:rFonts w:hint="eastAsia" w:ascii="黑体" w:hAnsi="Times New Roman" w:eastAsia="黑体" w:cs="Times New Roman"/>
                <w:kern w:val="21"/>
                <w:sz w:val="21"/>
                <w:highlight w:val="none"/>
                <w:vertAlign w:val="baseline"/>
                <w:lang w:val="en-US" w:eastAsia="zh-CN"/>
              </w:rPr>
              <w:fldChar w:fldCharType="separate"/>
            </w:r>
            <w:r>
              <w:rPr>
                <w:rFonts w:hint="eastAsia" w:ascii="黑体" w:hAnsi="Times New Roman" w:eastAsia="黑体" w:cs="Times New Roman"/>
                <w:kern w:val="21"/>
                <w:sz w:val="21"/>
                <w:highlight w:val="none"/>
                <w:vertAlign w:val="baseline"/>
                <w:lang w:val="en-US" w:eastAsia="zh-CN"/>
              </w:rPr>
              <w:t>67.080.10</w:t>
            </w:r>
            <w:r>
              <w:rPr>
                <w:rFonts w:hint="eastAsia" w:ascii="黑体" w:hAnsi="Times New Roman" w:eastAsia="黑体" w:cs="Times New Roman"/>
                <w:kern w:val="21"/>
                <w:sz w:val="21"/>
                <w:highlight w:val="none"/>
                <w:vertAlign w:val="baseline"/>
                <w:lang w:val="en-US" w:eastAsia="zh-CN"/>
              </w:rPr>
              <w:fldChar w:fldCharType="end"/>
            </w:r>
            <w:bookmarkEnd w:id="1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pPr>
              <w:pStyle w:val="52"/>
              <w:framePr w:w="9639"/>
              <w:bidi w:val="0"/>
              <w:jc w:val="both"/>
              <w:rPr>
                <w:rFonts w:hint="eastAsia"/>
                <w:highlight w:val="none"/>
                <w:vertAlign w:val="baseline"/>
                <w:lang w:val="en-US" w:eastAsia="zh-CN"/>
              </w:rPr>
            </w:pPr>
            <w:r>
              <w:rPr>
                <w:rFonts w:hint="eastAsia"/>
                <w:highlight w:val="none"/>
                <w:vertAlign w:val="baseline"/>
                <w:lang w:val="en-US" w:eastAsia="zh-CN"/>
              </w:rPr>
              <w:t>CCS</w:t>
            </w:r>
          </w:p>
        </w:tc>
        <w:tc>
          <w:tcPr>
            <w:tcW w:w="9107" w:type="dxa"/>
          </w:tcPr>
          <w:p>
            <w:pPr>
              <w:pStyle w:val="52"/>
              <w:framePr w:w="9639"/>
              <w:bidi w:val="0"/>
              <w:jc w:val="both"/>
              <w:rPr>
                <w:rFonts w:hint="eastAsia"/>
                <w:highlight w:val="none"/>
                <w:vertAlign w:val="baseline"/>
                <w:lang w:val="en-US" w:eastAsia="zh-CN"/>
              </w:rPr>
            </w:pPr>
            <w:bookmarkStart w:id="16" w:name="CCS"/>
            <w:r>
              <w:rPr>
                <w:rFonts w:hint="eastAsia" w:ascii="黑体" w:hAnsi="Times New Roman" w:eastAsia="黑体" w:cs="Times New Roman"/>
                <w:kern w:val="21"/>
                <w:sz w:val="21"/>
                <w:highlight w:val="none"/>
                <w:vertAlign w:val="baseline"/>
                <w:lang w:val="en-US" w:eastAsia="zh-CN"/>
              </w:rPr>
              <w:fldChar w:fldCharType="begin">
                <w:ffData>
                  <w:name w:val="CCS"/>
                  <w:enabled/>
                  <w:calcOnExit w:val="0"/>
                  <w:textInput>
                    <w:default w:val="B 31"/>
                  </w:textInput>
                </w:ffData>
              </w:fldChar>
            </w:r>
            <w:r>
              <w:rPr>
                <w:rFonts w:hint="eastAsia" w:ascii="黑体" w:hAnsi="Times New Roman" w:eastAsia="黑体" w:cs="Times New Roman"/>
                <w:kern w:val="21"/>
                <w:sz w:val="21"/>
                <w:highlight w:val="none"/>
                <w:vertAlign w:val="baseline"/>
                <w:lang w:val="en-US" w:eastAsia="zh-CN"/>
              </w:rPr>
              <w:instrText xml:space="preserve">FORMTEXT</w:instrText>
            </w:r>
            <w:r>
              <w:rPr>
                <w:rFonts w:hint="eastAsia" w:ascii="黑体" w:hAnsi="Times New Roman" w:eastAsia="黑体" w:cs="Times New Roman"/>
                <w:kern w:val="21"/>
                <w:sz w:val="21"/>
                <w:highlight w:val="none"/>
                <w:vertAlign w:val="baseline"/>
                <w:lang w:val="en-US" w:eastAsia="zh-CN"/>
              </w:rPr>
              <w:fldChar w:fldCharType="separate"/>
            </w:r>
            <w:r>
              <w:rPr>
                <w:rFonts w:hint="eastAsia" w:ascii="黑体" w:hAnsi="Times New Roman" w:eastAsia="黑体" w:cs="Times New Roman"/>
                <w:kern w:val="21"/>
                <w:sz w:val="21"/>
                <w:highlight w:val="none"/>
                <w:vertAlign w:val="baseline"/>
                <w:lang w:val="en-US" w:eastAsia="zh-CN"/>
              </w:rPr>
              <w:t>B 31</w:t>
            </w:r>
            <w:r>
              <w:rPr>
                <w:rFonts w:hint="eastAsia" w:ascii="黑体" w:hAnsi="Times New Roman" w:eastAsia="黑体" w:cs="Times New Roman"/>
                <w:kern w:val="21"/>
                <w:sz w:val="21"/>
                <w:highlight w:val="none"/>
                <w:vertAlign w:val="baseline"/>
                <w:lang w:val="en-US" w:eastAsia="zh-CN"/>
              </w:rPr>
              <w:fldChar w:fldCharType="end"/>
            </w:r>
            <w:bookmarkEnd w:id="16"/>
          </w:p>
          <w:tbl>
            <w:tblPr>
              <w:tblStyle w:val="20"/>
              <w:tblpPr w:vertAnchor="page" w:horzAnchor="margin" w:tblpXSpec="right" w:tblpY="114"/>
              <w:tblOverlap w:val="never"/>
              <w:tblW w:w="66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1" w:hRule="atLeast"/>
              </w:trPr>
              <w:tc>
                <w:tcPr>
                  <w:tcW w:w="6662" w:type="dxa"/>
                  <w:vAlign w:val="center"/>
                </w:tcPr>
                <w:p>
                  <w:pPr>
                    <w:pStyle w:val="52"/>
                    <w:framePr w:w="9639"/>
                    <w:bidi w:val="0"/>
                    <w:jc w:val="right"/>
                    <w:rPr>
                      <w:rFonts w:hint="eastAsia" w:ascii="Times New Roman" w:hAnsi="Times New Roman" w:eastAsia="宋体" w:cs="Times New Roman"/>
                      <w:b/>
                      <w:w w:val="130"/>
                      <w:kern w:val="0"/>
                      <w:sz w:val="21"/>
                      <w:highlight w:val="none"/>
                      <w:vertAlign w:val="baseline"/>
                      <w:lang w:val="en-US" w:eastAsia="zh-CN"/>
                    </w:rPr>
                  </w:pPr>
                  <w:r>
                    <w:rPr>
                      <w:rFonts w:hint="eastAsia" w:ascii="楷体" w:hAnsi="楷体" w:eastAsia="楷体" w:cs="楷体"/>
                      <w:b/>
                      <w:w w:val="130"/>
                      <w:kern w:val="0"/>
                      <w:sz w:val="96"/>
                      <w:highlight w:val="none"/>
                      <w:vertAlign w:val="baseline"/>
                      <w:lang w:val="en-US" w:eastAsia="zh-CN"/>
                    </w:rPr>
                    <w:t>T</w:t>
                  </w:r>
                  <w:r>
                    <w:rPr>
                      <w:rFonts w:hint="eastAsia" w:ascii="Times New Roman" w:eastAsia="宋体" w:cs="Times New Roman"/>
                      <w:b/>
                      <w:w w:val="130"/>
                      <w:kern w:val="0"/>
                      <w:sz w:val="96"/>
                      <w:highlight w:val="none"/>
                      <w:vertAlign w:val="baseline"/>
                      <w:lang w:val="en-US" w:eastAsia="zh-CN"/>
                    </w:rPr>
                    <w:t>/</w:t>
                  </w:r>
                  <w:r>
                    <w:rPr>
                      <w:rFonts w:hint="eastAsia" w:ascii="Times New Roman" w:eastAsia="宋体" w:cs="Times New Roman"/>
                      <w:b/>
                      <w:w w:val="130"/>
                      <w:kern w:val="0"/>
                      <w:sz w:val="21"/>
                      <w:highlight w:val="none"/>
                      <w:vertAlign w:val="baseline"/>
                      <w:lang w:val="en-US" w:eastAsia="zh-CN"/>
                    </w:rPr>
                    <w:t xml:space="preserve"> </w:t>
                  </w:r>
                  <w:r>
                    <w:rPr>
                      <w:rFonts w:hint="eastAsia" w:ascii="Times New Roman" w:eastAsia="宋体" w:cs="Times New Roman"/>
                      <w:b/>
                      <w:w w:val="130"/>
                      <w:kern w:val="0"/>
                      <w:sz w:val="96"/>
                      <w:highlight w:val="none"/>
                      <w:vertAlign w:val="baseline"/>
                      <w:lang w:val="en-US" w:eastAsia="zh-CN"/>
                    </w:rPr>
                    <w:fldChar w:fldCharType="begin">
                      <w:ffData>
                        <w:name w:val="TMark"/>
                        <w:enabled/>
                        <w:calcOnExit w:val="0"/>
                        <w:textInput>
                          <w:maxLength w:val="8"/>
                        </w:textInput>
                      </w:ffData>
                    </w:fldChar>
                  </w:r>
                  <w:bookmarkStart w:id="17" w:name="TMark"/>
                  <w:r>
                    <w:rPr>
                      <w:rFonts w:hint="eastAsia" w:ascii="Times New Roman" w:eastAsia="宋体" w:cs="Times New Roman"/>
                      <w:b/>
                      <w:w w:val="130"/>
                      <w:kern w:val="0"/>
                      <w:sz w:val="96"/>
                      <w:highlight w:val="none"/>
                      <w:vertAlign w:val="baseline"/>
                      <w:lang w:val="en-US" w:eastAsia="zh-CN"/>
                    </w:rPr>
                    <w:instrText xml:space="preserve">FORMTEXT</w:instrText>
                  </w:r>
                  <w:r>
                    <w:rPr>
                      <w:rFonts w:hint="eastAsia" w:ascii="Times New Roman" w:eastAsia="宋体" w:cs="Times New Roman"/>
                      <w:b/>
                      <w:w w:val="130"/>
                      <w:kern w:val="0"/>
                      <w:sz w:val="96"/>
                      <w:highlight w:val="none"/>
                      <w:vertAlign w:val="baseline"/>
                      <w:lang w:val="en-US" w:eastAsia="zh-CN"/>
                    </w:rPr>
                    <w:fldChar w:fldCharType="separate"/>
                  </w:r>
                  <w:r>
                    <w:rPr>
                      <w:rFonts w:hint="eastAsia" w:ascii="Times New Roman" w:eastAsia="宋体" w:cs="Times New Roman"/>
                      <w:b/>
                      <w:w w:val="130"/>
                      <w:kern w:val="0"/>
                      <w:sz w:val="96"/>
                      <w:highlight w:val="none"/>
                      <w:vertAlign w:val="baseline"/>
                      <w:lang w:val="en-US" w:eastAsia="zh-CN"/>
                    </w:rPr>
                    <w:t>JALNCP</w:t>
                  </w:r>
                  <w:r>
                    <w:rPr>
                      <w:rFonts w:hint="eastAsia" w:ascii="Times New Roman" w:eastAsia="宋体" w:cs="Times New Roman"/>
                      <w:b/>
                      <w:w w:val="130"/>
                      <w:kern w:val="0"/>
                      <w:sz w:val="96"/>
                      <w:highlight w:val="none"/>
                      <w:vertAlign w:val="baseline"/>
                      <w:lang w:val="en-US" w:eastAsia="zh-CN"/>
                    </w:rPr>
                    <w:fldChar w:fldCharType="end"/>
                  </w:r>
                  <w:bookmarkEnd w:id="17"/>
                </w:p>
              </w:tc>
            </w:tr>
          </w:tbl>
          <w:p>
            <w:pPr>
              <w:pStyle w:val="52"/>
              <w:framePr w:w="9639"/>
              <w:bidi w:val="0"/>
              <w:jc w:val="both"/>
              <w:rPr>
                <w:rFonts w:hint="eastAsia"/>
                <w:highlight w:val="none"/>
                <w:vertAlign w:val="baseline"/>
                <w:lang w:val="en-US" w:eastAsia="zh-CN"/>
              </w:rPr>
            </w:pPr>
          </w:p>
        </w:tc>
      </w:tr>
    </w:tbl>
    <w:p>
      <w:pPr>
        <w:pStyle w:val="52"/>
        <w:framePr w:w="9639"/>
        <w:bidi w:val="0"/>
        <w:rPr>
          <w:rFonts w:hint="eastAsia"/>
          <w:highlight w:val="none"/>
          <w:lang w:val="en-US" w:eastAsia="zh-CN"/>
        </w:rPr>
        <w:sectPr>
          <w:headerReference r:id="rId3" w:type="even"/>
          <w:pgSz w:w="11906" w:h="16838"/>
          <w:pgMar w:top="-340" w:right="1134" w:bottom="1021" w:left="1134" w:header="0" w:footer="0" w:gutter="284"/>
          <w:lnNumType w:countBy="0" w:restart="continuous"/>
          <w:pgNumType w:fmt="decimal" w:start="1"/>
          <w:cols w:space="425" w:num="1"/>
          <w:titlePg/>
          <w:docGrid w:type="lines" w:linePitch="312" w:charSpace="0"/>
        </w:sectPr>
      </w:pPr>
    </w:p>
    <w:p>
      <w:pPr>
        <w:pStyle w:val="53"/>
        <w:bidi w:val="0"/>
        <w:rPr>
          <w:rFonts w:hint="eastAsia"/>
          <w:highlight w:val="none"/>
          <w:lang w:val="en-US" w:eastAsia="zh-CN"/>
        </w:rPr>
      </w:pPr>
      <w:r>
        <w:rPr>
          <w:rFonts w:hint="eastAsia"/>
          <w:spacing w:val="317"/>
          <w:highlight w:val="none"/>
          <w:lang w:val="en-US" w:eastAsia="zh-CN"/>
        </w:rPr>
        <w:t>目</w:t>
      </w:r>
      <w:bookmarkStart w:id="18" w:name="BKML"/>
      <w:r>
        <w:rPr>
          <w:rFonts w:hint="eastAsia"/>
          <w:highlight w:val="none"/>
          <w:lang w:val="en-US" w:eastAsia="zh-CN"/>
        </w:rPr>
        <w:t>次</w:t>
      </w:r>
      <w:bookmarkEnd w:id="18"/>
    </w:p>
    <w:p>
      <w:pPr>
        <w:pStyle w:val="14"/>
        <w:tabs>
          <w:tab w:val="right" w:leader="dot" w:pos="9354"/>
        </w:tabs>
        <w:rPr>
          <w:highlight w:val="none"/>
        </w:rPr>
      </w:pPr>
      <w:r>
        <w:rPr>
          <w:rFonts w:hint="eastAsia" w:ascii="宋体" w:hAnsi="宋体" w:eastAsia="宋体" w:cs="宋体"/>
          <w:spacing w:val="0"/>
          <w:highlight w:val="none"/>
          <w:lang w:val="en-US" w:eastAsia="zh-CN"/>
        </w:rPr>
        <w:fldChar w:fldCharType="begin"/>
      </w:r>
      <w:r>
        <w:rPr>
          <w:rFonts w:hint="eastAsia" w:ascii="宋体" w:hAnsi="宋体" w:eastAsia="宋体" w:cs="宋体"/>
          <w:spacing w:val="0"/>
          <w:highlight w:val="none"/>
          <w:lang w:val="en-US" w:eastAsia="zh-CN"/>
        </w:rPr>
        <w:instrText xml:space="preserve">TOC \t "标准文件_前言、引言标题,1,标准文件_章标题,1,标准文件_附录标识,1,标准文件_参考文献标题,1,标准文件_索引标题,1" \h</w:instrText>
      </w:r>
      <w:r>
        <w:rPr>
          <w:rFonts w:hint="eastAsia" w:ascii="宋体" w:hAnsi="宋体" w:eastAsia="宋体" w:cs="宋体"/>
          <w:spacing w:val="0"/>
          <w:highlight w:val="none"/>
          <w:lang w:val="en-US" w:eastAsia="zh-CN"/>
        </w:rPr>
        <w:fldChar w:fldCharType="separate"/>
      </w:r>
      <w:r>
        <w:rPr>
          <w:rFonts w:hint="eastAsia" w:ascii="宋体" w:hAnsi="宋体" w:eastAsia="宋体" w:cs="宋体"/>
          <w:spacing w:val="0"/>
          <w:highlight w:val="none"/>
          <w:lang w:val="en-US" w:eastAsia="zh-CN"/>
        </w:rPr>
        <w:fldChar w:fldCharType="begin"/>
      </w:r>
      <w:r>
        <w:rPr>
          <w:rFonts w:hint="eastAsia" w:ascii="宋体" w:hAnsi="宋体" w:eastAsia="宋体" w:cs="宋体"/>
          <w:spacing w:val="0"/>
          <w:highlight w:val="none"/>
          <w:lang w:val="en-US" w:eastAsia="zh-CN"/>
        </w:rPr>
        <w:instrText xml:space="preserve"> HYPERLINK \l _Toc6346 </w:instrText>
      </w:r>
      <w:r>
        <w:rPr>
          <w:rFonts w:hint="eastAsia" w:ascii="宋体" w:hAnsi="宋体" w:eastAsia="宋体" w:cs="宋体"/>
          <w:spacing w:val="0"/>
          <w:highlight w:val="none"/>
          <w:lang w:val="en-US" w:eastAsia="zh-CN"/>
        </w:rPr>
        <w:fldChar w:fldCharType="separate"/>
      </w:r>
      <w:r>
        <w:rPr>
          <w:rFonts w:hint="eastAsia"/>
          <w:spacing w:val="317"/>
          <w:highlight w:val="none"/>
          <w:lang w:val="en-US" w:eastAsia="zh-CN"/>
        </w:rPr>
        <w:t>前</w:t>
      </w:r>
      <w:r>
        <w:rPr>
          <w:rFonts w:hint="eastAsia"/>
          <w:highlight w:val="none"/>
          <w:lang w:val="en-US" w:eastAsia="zh-CN"/>
        </w:rPr>
        <w:t>言</w:t>
      </w:r>
      <w:r>
        <w:rPr>
          <w:highlight w:val="none"/>
        </w:rPr>
        <w:tab/>
      </w:r>
      <w:r>
        <w:rPr>
          <w:highlight w:val="none"/>
        </w:rPr>
        <w:fldChar w:fldCharType="begin"/>
      </w:r>
      <w:r>
        <w:rPr>
          <w:highlight w:val="none"/>
        </w:rPr>
        <w:instrText xml:space="preserve"> PAGEREF _Toc6346 \h </w:instrText>
      </w:r>
      <w:r>
        <w:rPr>
          <w:highlight w:val="none"/>
        </w:rPr>
        <w:fldChar w:fldCharType="separate"/>
      </w:r>
      <w:r>
        <w:rPr>
          <w:highlight w:val="none"/>
        </w:rPr>
        <w:t>II</w:t>
      </w:r>
      <w:r>
        <w:rPr>
          <w:highlight w:val="none"/>
        </w:rPr>
        <w:fldChar w:fldCharType="end"/>
      </w:r>
      <w:r>
        <w:rPr>
          <w:rFonts w:hint="eastAsia" w:ascii="宋体" w:hAnsi="宋体" w:eastAsia="宋体" w:cs="宋体"/>
          <w:spacing w:val="0"/>
          <w:highlight w:val="none"/>
          <w:lang w:val="en-US" w:eastAsia="zh-CN"/>
        </w:rPr>
        <w:fldChar w:fldCharType="end"/>
      </w:r>
    </w:p>
    <w:p>
      <w:pPr>
        <w:pStyle w:val="14"/>
        <w:tabs>
          <w:tab w:val="right" w:leader="dot" w:pos="9354"/>
        </w:tabs>
        <w:rPr>
          <w:highlight w:val="none"/>
        </w:rPr>
      </w:pPr>
      <w:r>
        <w:rPr>
          <w:rFonts w:hint="eastAsia" w:ascii="宋体" w:hAnsi="宋体" w:eastAsia="宋体" w:cs="宋体"/>
          <w:spacing w:val="0"/>
          <w:highlight w:val="none"/>
          <w:lang w:val="en-US" w:eastAsia="zh-CN"/>
        </w:rPr>
        <w:fldChar w:fldCharType="begin"/>
      </w:r>
      <w:r>
        <w:rPr>
          <w:rFonts w:hint="eastAsia" w:ascii="宋体" w:hAnsi="宋体" w:eastAsia="宋体" w:cs="宋体"/>
          <w:spacing w:val="0"/>
          <w:highlight w:val="none"/>
          <w:lang w:val="en-US" w:eastAsia="zh-CN"/>
        </w:rPr>
        <w:instrText xml:space="preserve"> HYPERLINK \l _Toc8541 </w:instrText>
      </w:r>
      <w:r>
        <w:rPr>
          <w:rFonts w:hint="eastAsia" w:ascii="宋体" w:hAnsi="宋体" w:eastAsia="宋体" w:cs="宋体"/>
          <w:spacing w:val="0"/>
          <w:highlight w:val="none"/>
          <w:lang w:val="en-US" w:eastAsia="zh-CN"/>
        </w:rPr>
        <w:fldChar w:fldCharType="separate"/>
      </w:r>
      <w:r>
        <w:rPr>
          <w:rFonts w:hint="default" w:ascii="黑体" w:hAnsi="黑体" w:eastAsia="黑体" w:cs="黑体"/>
          <w:highlight w:val="none"/>
          <w:lang w:val="en-US" w:eastAsia="zh-CN"/>
        </w:rPr>
        <w:t xml:space="preserve">1 </w:t>
      </w:r>
      <w:r>
        <w:rPr>
          <w:rFonts w:hint="eastAsia"/>
          <w:highlight w:val="none"/>
          <w:lang w:val="en-US" w:eastAsia="zh-CN"/>
        </w:rPr>
        <w:t>范围</w:t>
      </w:r>
      <w:r>
        <w:rPr>
          <w:highlight w:val="none"/>
        </w:rPr>
        <w:tab/>
      </w:r>
      <w:r>
        <w:rPr>
          <w:highlight w:val="none"/>
        </w:rPr>
        <w:fldChar w:fldCharType="begin"/>
      </w:r>
      <w:r>
        <w:rPr>
          <w:highlight w:val="none"/>
        </w:rPr>
        <w:instrText xml:space="preserve"> PAGEREF _Toc8541 \h </w:instrText>
      </w:r>
      <w:r>
        <w:rPr>
          <w:highlight w:val="none"/>
        </w:rPr>
        <w:fldChar w:fldCharType="separate"/>
      </w:r>
      <w:r>
        <w:rPr>
          <w:highlight w:val="none"/>
        </w:rPr>
        <w:t>1</w:t>
      </w:r>
      <w:r>
        <w:rPr>
          <w:highlight w:val="none"/>
        </w:rPr>
        <w:fldChar w:fldCharType="end"/>
      </w:r>
      <w:r>
        <w:rPr>
          <w:rFonts w:hint="eastAsia" w:ascii="宋体" w:hAnsi="宋体" w:eastAsia="宋体" w:cs="宋体"/>
          <w:spacing w:val="0"/>
          <w:highlight w:val="none"/>
          <w:lang w:val="en-US" w:eastAsia="zh-CN"/>
        </w:rPr>
        <w:fldChar w:fldCharType="end"/>
      </w:r>
    </w:p>
    <w:p>
      <w:pPr>
        <w:pStyle w:val="14"/>
        <w:tabs>
          <w:tab w:val="right" w:leader="dot" w:pos="9354"/>
        </w:tabs>
        <w:rPr>
          <w:highlight w:val="none"/>
        </w:rPr>
      </w:pPr>
      <w:r>
        <w:rPr>
          <w:rFonts w:hint="eastAsia" w:ascii="宋体" w:hAnsi="宋体" w:eastAsia="宋体" w:cs="宋体"/>
          <w:spacing w:val="0"/>
          <w:highlight w:val="none"/>
          <w:lang w:val="en-US" w:eastAsia="zh-CN"/>
        </w:rPr>
        <w:fldChar w:fldCharType="begin"/>
      </w:r>
      <w:r>
        <w:rPr>
          <w:rFonts w:hint="eastAsia" w:ascii="宋体" w:hAnsi="宋体" w:eastAsia="宋体" w:cs="宋体"/>
          <w:spacing w:val="0"/>
          <w:highlight w:val="none"/>
          <w:lang w:val="en-US" w:eastAsia="zh-CN"/>
        </w:rPr>
        <w:instrText xml:space="preserve"> HYPERLINK \l _Toc30434 </w:instrText>
      </w:r>
      <w:r>
        <w:rPr>
          <w:rFonts w:hint="eastAsia" w:ascii="宋体" w:hAnsi="宋体" w:eastAsia="宋体" w:cs="宋体"/>
          <w:spacing w:val="0"/>
          <w:highlight w:val="none"/>
          <w:lang w:val="en-US" w:eastAsia="zh-CN"/>
        </w:rPr>
        <w:fldChar w:fldCharType="separate"/>
      </w:r>
      <w:r>
        <w:rPr>
          <w:rFonts w:hint="default" w:ascii="黑体" w:hAnsi="黑体" w:eastAsia="黑体" w:cs="黑体"/>
          <w:highlight w:val="none"/>
          <w:lang w:val="en-US" w:eastAsia="zh-CN"/>
        </w:rPr>
        <w:t xml:space="preserve">2 </w:t>
      </w:r>
      <w:r>
        <w:rPr>
          <w:rFonts w:hint="eastAsia"/>
          <w:highlight w:val="none"/>
          <w:lang w:val="en-US" w:eastAsia="zh-CN"/>
        </w:rPr>
        <w:t>规范性引用文件</w:t>
      </w:r>
      <w:r>
        <w:rPr>
          <w:highlight w:val="none"/>
        </w:rPr>
        <w:tab/>
      </w:r>
      <w:r>
        <w:rPr>
          <w:highlight w:val="none"/>
        </w:rPr>
        <w:fldChar w:fldCharType="begin"/>
      </w:r>
      <w:r>
        <w:rPr>
          <w:highlight w:val="none"/>
        </w:rPr>
        <w:instrText xml:space="preserve"> PAGEREF _Toc30434 \h </w:instrText>
      </w:r>
      <w:r>
        <w:rPr>
          <w:highlight w:val="none"/>
        </w:rPr>
        <w:fldChar w:fldCharType="separate"/>
      </w:r>
      <w:r>
        <w:rPr>
          <w:highlight w:val="none"/>
        </w:rPr>
        <w:t>1</w:t>
      </w:r>
      <w:r>
        <w:rPr>
          <w:highlight w:val="none"/>
        </w:rPr>
        <w:fldChar w:fldCharType="end"/>
      </w:r>
      <w:r>
        <w:rPr>
          <w:rFonts w:hint="eastAsia" w:ascii="宋体" w:hAnsi="宋体" w:eastAsia="宋体" w:cs="宋体"/>
          <w:spacing w:val="0"/>
          <w:highlight w:val="none"/>
          <w:lang w:val="en-US" w:eastAsia="zh-CN"/>
        </w:rPr>
        <w:fldChar w:fldCharType="end"/>
      </w:r>
    </w:p>
    <w:p>
      <w:pPr>
        <w:pStyle w:val="14"/>
        <w:tabs>
          <w:tab w:val="right" w:leader="dot" w:pos="9354"/>
        </w:tabs>
        <w:rPr>
          <w:highlight w:val="none"/>
        </w:rPr>
      </w:pPr>
      <w:r>
        <w:rPr>
          <w:rFonts w:hint="eastAsia" w:ascii="宋体" w:hAnsi="宋体" w:eastAsia="宋体" w:cs="宋体"/>
          <w:spacing w:val="0"/>
          <w:highlight w:val="none"/>
          <w:lang w:val="en-US" w:eastAsia="zh-CN"/>
        </w:rPr>
        <w:fldChar w:fldCharType="begin"/>
      </w:r>
      <w:r>
        <w:rPr>
          <w:rFonts w:hint="eastAsia" w:ascii="宋体" w:hAnsi="宋体" w:eastAsia="宋体" w:cs="宋体"/>
          <w:spacing w:val="0"/>
          <w:highlight w:val="none"/>
          <w:lang w:val="en-US" w:eastAsia="zh-CN"/>
        </w:rPr>
        <w:instrText xml:space="preserve"> HYPERLINK \l _Toc5700 </w:instrText>
      </w:r>
      <w:r>
        <w:rPr>
          <w:rFonts w:hint="eastAsia" w:ascii="宋体" w:hAnsi="宋体" w:eastAsia="宋体" w:cs="宋体"/>
          <w:spacing w:val="0"/>
          <w:highlight w:val="none"/>
          <w:lang w:val="en-US" w:eastAsia="zh-CN"/>
        </w:rPr>
        <w:fldChar w:fldCharType="separate"/>
      </w:r>
      <w:r>
        <w:rPr>
          <w:rFonts w:hint="default" w:ascii="黑体" w:hAnsi="黑体" w:eastAsia="黑体" w:cs="黑体"/>
          <w:highlight w:val="none"/>
          <w:lang w:val="en-US" w:eastAsia="zh-CN"/>
        </w:rPr>
        <w:t xml:space="preserve">3 </w:t>
      </w:r>
      <w:r>
        <w:rPr>
          <w:rFonts w:hint="eastAsia"/>
          <w:highlight w:val="none"/>
          <w:lang w:val="en-US" w:eastAsia="zh-CN"/>
        </w:rPr>
        <w:t>术语和定义</w:t>
      </w:r>
      <w:r>
        <w:rPr>
          <w:highlight w:val="none"/>
        </w:rPr>
        <w:tab/>
      </w:r>
      <w:r>
        <w:rPr>
          <w:highlight w:val="none"/>
        </w:rPr>
        <w:fldChar w:fldCharType="begin"/>
      </w:r>
      <w:r>
        <w:rPr>
          <w:highlight w:val="none"/>
        </w:rPr>
        <w:instrText xml:space="preserve"> PAGEREF _Toc5700 \h </w:instrText>
      </w:r>
      <w:r>
        <w:rPr>
          <w:highlight w:val="none"/>
        </w:rPr>
        <w:fldChar w:fldCharType="separate"/>
      </w:r>
      <w:r>
        <w:rPr>
          <w:highlight w:val="none"/>
        </w:rPr>
        <w:t>1</w:t>
      </w:r>
      <w:r>
        <w:rPr>
          <w:highlight w:val="none"/>
        </w:rPr>
        <w:fldChar w:fldCharType="end"/>
      </w:r>
      <w:r>
        <w:rPr>
          <w:rFonts w:hint="eastAsia" w:ascii="宋体" w:hAnsi="宋体" w:eastAsia="宋体" w:cs="宋体"/>
          <w:spacing w:val="0"/>
          <w:highlight w:val="none"/>
          <w:lang w:val="en-US" w:eastAsia="zh-CN"/>
        </w:rPr>
        <w:fldChar w:fldCharType="end"/>
      </w:r>
    </w:p>
    <w:p>
      <w:pPr>
        <w:pStyle w:val="14"/>
        <w:tabs>
          <w:tab w:val="right" w:leader="dot" w:pos="9354"/>
        </w:tabs>
        <w:rPr>
          <w:highlight w:val="none"/>
        </w:rPr>
      </w:pPr>
      <w:r>
        <w:rPr>
          <w:rFonts w:hint="eastAsia" w:ascii="宋体" w:hAnsi="宋体" w:eastAsia="宋体" w:cs="宋体"/>
          <w:spacing w:val="0"/>
          <w:highlight w:val="none"/>
          <w:lang w:val="en-US" w:eastAsia="zh-CN"/>
        </w:rPr>
        <w:fldChar w:fldCharType="begin"/>
      </w:r>
      <w:r>
        <w:rPr>
          <w:rFonts w:hint="eastAsia" w:ascii="宋体" w:hAnsi="宋体" w:eastAsia="宋体" w:cs="宋体"/>
          <w:spacing w:val="0"/>
          <w:highlight w:val="none"/>
          <w:lang w:val="en-US" w:eastAsia="zh-CN"/>
        </w:rPr>
        <w:instrText xml:space="preserve"> HYPERLINK \l _Toc20283 </w:instrText>
      </w:r>
      <w:r>
        <w:rPr>
          <w:rFonts w:hint="eastAsia" w:ascii="宋体" w:hAnsi="宋体" w:eastAsia="宋体" w:cs="宋体"/>
          <w:spacing w:val="0"/>
          <w:highlight w:val="none"/>
          <w:lang w:val="en-US" w:eastAsia="zh-CN"/>
        </w:rPr>
        <w:fldChar w:fldCharType="separate"/>
      </w:r>
      <w:r>
        <w:rPr>
          <w:rFonts w:hint="default" w:ascii="黑体" w:hAnsi="黑体" w:eastAsia="黑体" w:cs="黑体"/>
          <w:highlight w:val="none"/>
        </w:rPr>
        <w:t xml:space="preserve">4 </w:t>
      </w:r>
      <w:r>
        <w:rPr>
          <w:rFonts w:hint="eastAsia"/>
          <w:highlight w:val="none"/>
          <w:lang w:val="en-US" w:eastAsia="zh-CN"/>
        </w:rPr>
        <w:t>原料</w:t>
      </w:r>
      <w:r>
        <w:rPr>
          <w:rFonts w:hint="default"/>
          <w:highlight w:val="none"/>
        </w:rPr>
        <w:t>要求</w:t>
      </w:r>
      <w:r>
        <w:rPr>
          <w:highlight w:val="none"/>
        </w:rPr>
        <w:tab/>
      </w:r>
      <w:r>
        <w:rPr>
          <w:highlight w:val="none"/>
        </w:rPr>
        <w:fldChar w:fldCharType="begin"/>
      </w:r>
      <w:r>
        <w:rPr>
          <w:highlight w:val="none"/>
        </w:rPr>
        <w:instrText xml:space="preserve"> PAGEREF _Toc20283 \h </w:instrText>
      </w:r>
      <w:r>
        <w:rPr>
          <w:highlight w:val="none"/>
        </w:rPr>
        <w:fldChar w:fldCharType="separate"/>
      </w:r>
      <w:r>
        <w:rPr>
          <w:highlight w:val="none"/>
        </w:rPr>
        <w:t>1</w:t>
      </w:r>
      <w:r>
        <w:rPr>
          <w:highlight w:val="none"/>
        </w:rPr>
        <w:fldChar w:fldCharType="end"/>
      </w:r>
      <w:r>
        <w:rPr>
          <w:rFonts w:hint="eastAsia" w:ascii="宋体" w:hAnsi="宋体" w:eastAsia="宋体" w:cs="宋体"/>
          <w:spacing w:val="0"/>
          <w:highlight w:val="none"/>
          <w:lang w:val="en-US" w:eastAsia="zh-CN"/>
        </w:rPr>
        <w:fldChar w:fldCharType="end"/>
      </w:r>
    </w:p>
    <w:p>
      <w:pPr>
        <w:pStyle w:val="14"/>
        <w:tabs>
          <w:tab w:val="right" w:leader="dot" w:pos="9354"/>
        </w:tabs>
        <w:rPr>
          <w:highlight w:val="none"/>
        </w:rPr>
      </w:pPr>
      <w:r>
        <w:rPr>
          <w:rFonts w:hint="eastAsia" w:ascii="宋体" w:hAnsi="宋体" w:eastAsia="宋体" w:cs="宋体"/>
          <w:spacing w:val="0"/>
          <w:highlight w:val="none"/>
          <w:lang w:val="en-US" w:eastAsia="zh-CN"/>
        </w:rPr>
        <w:fldChar w:fldCharType="begin"/>
      </w:r>
      <w:r>
        <w:rPr>
          <w:rFonts w:hint="eastAsia" w:ascii="宋体" w:hAnsi="宋体" w:eastAsia="宋体" w:cs="宋体"/>
          <w:spacing w:val="0"/>
          <w:highlight w:val="none"/>
          <w:lang w:val="en-US" w:eastAsia="zh-CN"/>
        </w:rPr>
        <w:instrText xml:space="preserve"> HYPERLINK \l _Toc14896 </w:instrText>
      </w:r>
      <w:r>
        <w:rPr>
          <w:rFonts w:hint="eastAsia" w:ascii="宋体" w:hAnsi="宋体" w:eastAsia="宋体" w:cs="宋体"/>
          <w:spacing w:val="0"/>
          <w:highlight w:val="none"/>
          <w:lang w:val="en-US" w:eastAsia="zh-CN"/>
        </w:rPr>
        <w:fldChar w:fldCharType="separate"/>
      </w:r>
      <w:r>
        <w:rPr>
          <w:rFonts w:hint="default" w:ascii="黑体" w:hAnsi="黑体" w:eastAsia="黑体" w:cs="黑体"/>
          <w:highlight w:val="none"/>
        </w:rPr>
        <w:t xml:space="preserve">5 </w:t>
      </w:r>
      <w:r>
        <w:rPr>
          <w:rFonts w:hint="default"/>
          <w:highlight w:val="none"/>
        </w:rPr>
        <w:t>加工条件</w:t>
      </w:r>
      <w:r>
        <w:rPr>
          <w:highlight w:val="none"/>
        </w:rPr>
        <w:tab/>
      </w:r>
      <w:r>
        <w:rPr>
          <w:highlight w:val="none"/>
        </w:rPr>
        <w:fldChar w:fldCharType="begin"/>
      </w:r>
      <w:r>
        <w:rPr>
          <w:highlight w:val="none"/>
        </w:rPr>
        <w:instrText xml:space="preserve"> PAGEREF _Toc14896 \h </w:instrText>
      </w:r>
      <w:r>
        <w:rPr>
          <w:highlight w:val="none"/>
        </w:rPr>
        <w:fldChar w:fldCharType="separate"/>
      </w:r>
      <w:r>
        <w:rPr>
          <w:highlight w:val="none"/>
        </w:rPr>
        <w:t>2</w:t>
      </w:r>
      <w:r>
        <w:rPr>
          <w:highlight w:val="none"/>
        </w:rPr>
        <w:fldChar w:fldCharType="end"/>
      </w:r>
      <w:r>
        <w:rPr>
          <w:rFonts w:hint="eastAsia" w:ascii="宋体" w:hAnsi="宋体" w:eastAsia="宋体" w:cs="宋体"/>
          <w:spacing w:val="0"/>
          <w:highlight w:val="none"/>
          <w:lang w:val="en-US" w:eastAsia="zh-CN"/>
        </w:rPr>
        <w:fldChar w:fldCharType="end"/>
      </w:r>
    </w:p>
    <w:p>
      <w:pPr>
        <w:pStyle w:val="14"/>
        <w:tabs>
          <w:tab w:val="right" w:leader="dot" w:pos="9354"/>
        </w:tabs>
        <w:rPr>
          <w:highlight w:val="none"/>
        </w:rPr>
      </w:pPr>
      <w:r>
        <w:rPr>
          <w:rFonts w:hint="eastAsia" w:ascii="宋体" w:hAnsi="宋体" w:eastAsia="宋体" w:cs="宋体"/>
          <w:spacing w:val="0"/>
          <w:highlight w:val="none"/>
          <w:lang w:val="en-US" w:eastAsia="zh-CN"/>
        </w:rPr>
        <w:fldChar w:fldCharType="begin"/>
      </w:r>
      <w:r>
        <w:rPr>
          <w:rFonts w:hint="eastAsia" w:ascii="宋体" w:hAnsi="宋体" w:eastAsia="宋体" w:cs="宋体"/>
          <w:spacing w:val="0"/>
          <w:highlight w:val="none"/>
          <w:lang w:val="en-US" w:eastAsia="zh-CN"/>
        </w:rPr>
        <w:instrText xml:space="preserve"> HYPERLINK \l _Toc26166 </w:instrText>
      </w:r>
      <w:r>
        <w:rPr>
          <w:rFonts w:hint="eastAsia" w:ascii="宋体" w:hAnsi="宋体" w:eastAsia="宋体" w:cs="宋体"/>
          <w:spacing w:val="0"/>
          <w:highlight w:val="none"/>
          <w:lang w:val="en-US" w:eastAsia="zh-CN"/>
        </w:rPr>
        <w:fldChar w:fldCharType="separate"/>
      </w:r>
      <w:r>
        <w:rPr>
          <w:rFonts w:hint="default" w:ascii="黑体" w:hAnsi="黑体" w:eastAsia="黑体" w:cs="黑体"/>
          <w:highlight w:val="none"/>
        </w:rPr>
        <w:t xml:space="preserve">6 </w:t>
      </w:r>
      <w:r>
        <w:rPr>
          <w:rFonts w:hint="default"/>
          <w:highlight w:val="none"/>
        </w:rPr>
        <w:t>加工工艺</w:t>
      </w:r>
      <w:r>
        <w:rPr>
          <w:highlight w:val="none"/>
        </w:rPr>
        <w:tab/>
      </w:r>
      <w:r>
        <w:rPr>
          <w:highlight w:val="none"/>
        </w:rPr>
        <w:fldChar w:fldCharType="begin"/>
      </w:r>
      <w:r>
        <w:rPr>
          <w:highlight w:val="none"/>
        </w:rPr>
        <w:instrText xml:space="preserve"> PAGEREF _Toc26166 \h </w:instrText>
      </w:r>
      <w:r>
        <w:rPr>
          <w:highlight w:val="none"/>
        </w:rPr>
        <w:fldChar w:fldCharType="separate"/>
      </w:r>
      <w:r>
        <w:rPr>
          <w:highlight w:val="none"/>
        </w:rPr>
        <w:t>2</w:t>
      </w:r>
      <w:r>
        <w:rPr>
          <w:highlight w:val="none"/>
        </w:rPr>
        <w:fldChar w:fldCharType="end"/>
      </w:r>
      <w:r>
        <w:rPr>
          <w:rFonts w:hint="eastAsia" w:ascii="宋体" w:hAnsi="宋体" w:eastAsia="宋体" w:cs="宋体"/>
          <w:spacing w:val="0"/>
          <w:highlight w:val="none"/>
          <w:lang w:val="en-US" w:eastAsia="zh-CN"/>
        </w:rPr>
        <w:fldChar w:fldCharType="end"/>
      </w:r>
    </w:p>
    <w:p>
      <w:pPr>
        <w:pStyle w:val="14"/>
        <w:tabs>
          <w:tab w:val="right" w:leader="dot" w:pos="9354"/>
        </w:tabs>
        <w:rPr>
          <w:highlight w:val="none"/>
        </w:rPr>
      </w:pPr>
      <w:r>
        <w:rPr>
          <w:rFonts w:hint="eastAsia" w:ascii="宋体" w:hAnsi="宋体" w:eastAsia="宋体" w:cs="宋体"/>
          <w:spacing w:val="0"/>
          <w:highlight w:val="none"/>
          <w:lang w:val="en-US" w:eastAsia="zh-CN"/>
        </w:rPr>
        <w:fldChar w:fldCharType="begin"/>
      </w:r>
      <w:r>
        <w:rPr>
          <w:rFonts w:hint="eastAsia" w:ascii="宋体" w:hAnsi="宋体" w:eastAsia="宋体" w:cs="宋体"/>
          <w:spacing w:val="0"/>
          <w:highlight w:val="none"/>
          <w:lang w:val="en-US" w:eastAsia="zh-CN"/>
        </w:rPr>
        <w:instrText xml:space="preserve"> HYPERLINK \l _Toc20517 </w:instrText>
      </w:r>
      <w:r>
        <w:rPr>
          <w:rFonts w:hint="eastAsia" w:ascii="宋体" w:hAnsi="宋体" w:eastAsia="宋体" w:cs="宋体"/>
          <w:spacing w:val="0"/>
          <w:highlight w:val="none"/>
          <w:lang w:val="en-US" w:eastAsia="zh-CN"/>
        </w:rPr>
        <w:fldChar w:fldCharType="separate"/>
      </w:r>
      <w:r>
        <w:rPr>
          <w:rFonts w:hint="default" w:ascii="黑体" w:hAnsi="黑体" w:eastAsia="黑体" w:cs="黑体"/>
          <w:highlight w:val="none"/>
        </w:rPr>
        <w:t xml:space="preserve">7 </w:t>
      </w:r>
      <w:r>
        <w:rPr>
          <w:rFonts w:hint="default"/>
          <w:highlight w:val="none"/>
        </w:rPr>
        <w:t>包装、运输和贮存</w:t>
      </w:r>
      <w:r>
        <w:rPr>
          <w:highlight w:val="none"/>
        </w:rPr>
        <w:tab/>
      </w:r>
      <w:r>
        <w:rPr>
          <w:highlight w:val="none"/>
        </w:rPr>
        <w:fldChar w:fldCharType="begin"/>
      </w:r>
      <w:r>
        <w:rPr>
          <w:highlight w:val="none"/>
        </w:rPr>
        <w:instrText xml:space="preserve"> PAGEREF _Toc20517 \h </w:instrText>
      </w:r>
      <w:r>
        <w:rPr>
          <w:highlight w:val="none"/>
        </w:rPr>
        <w:fldChar w:fldCharType="separate"/>
      </w:r>
      <w:r>
        <w:rPr>
          <w:highlight w:val="none"/>
        </w:rPr>
        <w:t>3</w:t>
      </w:r>
      <w:r>
        <w:rPr>
          <w:highlight w:val="none"/>
        </w:rPr>
        <w:fldChar w:fldCharType="end"/>
      </w:r>
      <w:r>
        <w:rPr>
          <w:rFonts w:hint="eastAsia" w:ascii="宋体" w:hAnsi="宋体" w:eastAsia="宋体" w:cs="宋体"/>
          <w:spacing w:val="0"/>
          <w:highlight w:val="none"/>
          <w:lang w:val="en-US" w:eastAsia="zh-CN"/>
        </w:rPr>
        <w:fldChar w:fldCharType="end"/>
      </w:r>
    </w:p>
    <w:p>
      <w:pPr>
        <w:pStyle w:val="14"/>
        <w:tabs>
          <w:tab w:val="right" w:leader="dot" w:pos="9354"/>
        </w:tabs>
        <w:rPr>
          <w:highlight w:val="none"/>
        </w:rPr>
      </w:pPr>
      <w:r>
        <w:rPr>
          <w:rFonts w:hint="eastAsia" w:ascii="宋体" w:hAnsi="宋体" w:eastAsia="宋体" w:cs="宋体"/>
          <w:spacing w:val="0"/>
          <w:highlight w:val="none"/>
          <w:lang w:val="en-US" w:eastAsia="zh-CN"/>
        </w:rPr>
        <w:fldChar w:fldCharType="begin"/>
      </w:r>
      <w:r>
        <w:rPr>
          <w:rFonts w:hint="eastAsia" w:ascii="宋体" w:hAnsi="宋体" w:eastAsia="宋体" w:cs="宋体"/>
          <w:spacing w:val="0"/>
          <w:highlight w:val="none"/>
          <w:lang w:val="en-US" w:eastAsia="zh-CN"/>
        </w:rPr>
        <w:instrText xml:space="preserve"> HYPERLINK \l _Toc27209 </w:instrText>
      </w:r>
      <w:r>
        <w:rPr>
          <w:rFonts w:hint="eastAsia" w:ascii="宋体" w:hAnsi="宋体" w:eastAsia="宋体" w:cs="宋体"/>
          <w:spacing w:val="0"/>
          <w:highlight w:val="none"/>
          <w:lang w:val="en-US" w:eastAsia="zh-CN"/>
        </w:rPr>
        <w:fldChar w:fldCharType="separate"/>
      </w:r>
      <w:r>
        <w:rPr>
          <w:rFonts w:hint="default" w:ascii="黑体" w:hAnsi="黑体" w:eastAsia="黑体" w:cs="黑体"/>
          <w:highlight w:val="none"/>
        </w:rPr>
        <w:t xml:space="preserve">8 </w:t>
      </w:r>
      <w:r>
        <w:rPr>
          <w:rFonts w:hint="default"/>
          <w:highlight w:val="none"/>
        </w:rPr>
        <w:t>质量管理</w:t>
      </w:r>
      <w:r>
        <w:rPr>
          <w:highlight w:val="none"/>
        </w:rPr>
        <w:tab/>
      </w:r>
      <w:r>
        <w:rPr>
          <w:highlight w:val="none"/>
        </w:rPr>
        <w:fldChar w:fldCharType="begin"/>
      </w:r>
      <w:r>
        <w:rPr>
          <w:highlight w:val="none"/>
        </w:rPr>
        <w:instrText xml:space="preserve"> PAGEREF _Toc27209 \h </w:instrText>
      </w:r>
      <w:r>
        <w:rPr>
          <w:highlight w:val="none"/>
        </w:rPr>
        <w:fldChar w:fldCharType="separate"/>
      </w:r>
      <w:r>
        <w:rPr>
          <w:highlight w:val="none"/>
        </w:rPr>
        <w:t>3</w:t>
      </w:r>
      <w:r>
        <w:rPr>
          <w:highlight w:val="none"/>
        </w:rPr>
        <w:fldChar w:fldCharType="end"/>
      </w:r>
      <w:r>
        <w:rPr>
          <w:rFonts w:hint="eastAsia" w:ascii="宋体" w:hAnsi="宋体" w:eastAsia="宋体" w:cs="宋体"/>
          <w:spacing w:val="0"/>
          <w:highlight w:val="none"/>
          <w:lang w:val="en-US" w:eastAsia="zh-CN"/>
        </w:rPr>
        <w:fldChar w:fldCharType="end"/>
      </w:r>
    </w:p>
    <w:p>
      <w:pPr>
        <w:pStyle w:val="14"/>
        <w:tabs>
          <w:tab w:val="right" w:leader="dot" w:pos="9354"/>
        </w:tabs>
        <w:rPr>
          <w:highlight w:val="none"/>
        </w:rPr>
      </w:pPr>
      <w:r>
        <w:rPr>
          <w:rFonts w:hint="eastAsia" w:ascii="宋体" w:hAnsi="宋体" w:eastAsia="宋体" w:cs="宋体"/>
          <w:spacing w:val="0"/>
          <w:highlight w:val="none"/>
          <w:lang w:val="en-US" w:eastAsia="zh-CN"/>
        </w:rPr>
        <w:fldChar w:fldCharType="begin"/>
      </w:r>
      <w:r>
        <w:rPr>
          <w:rFonts w:hint="eastAsia" w:ascii="宋体" w:hAnsi="宋体" w:eastAsia="宋体" w:cs="宋体"/>
          <w:spacing w:val="0"/>
          <w:highlight w:val="none"/>
          <w:lang w:val="en-US" w:eastAsia="zh-CN"/>
        </w:rPr>
        <w:instrText xml:space="preserve"> HYPERLINK \l _Toc28217 </w:instrText>
      </w:r>
      <w:r>
        <w:rPr>
          <w:rFonts w:hint="eastAsia" w:ascii="宋体" w:hAnsi="宋体" w:eastAsia="宋体" w:cs="宋体"/>
          <w:spacing w:val="0"/>
          <w:highlight w:val="none"/>
          <w:lang w:val="en-US" w:eastAsia="zh-CN"/>
        </w:rPr>
        <w:fldChar w:fldCharType="separate"/>
      </w:r>
      <w:r>
        <w:rPr>
          <w:rFonts w:hint="default"/>
          <w:spacing w:val="102"/>
          <w:highlight w:val="none"/>
          <w:lang w:val="en-US" w:eastAsia="zh-CN"/>
        </w:rPr>
        <w:t xml:space="preserve">附录A </w:t>
      </w:r>
      <w:r>
        <w:rPr>
          <w:rFonts w:hint="eastAsia"/>
          <w:highlight w:val="none"/>
          <w:lang w:val="en-US" w:eastAsia="zh-CN"/>
        </w:rPr>
        <w:t xml:space="preserve"> （规范性） 井冈山百合生产区域范围图</w:t>
      </w:r>
      <w:r>
        <w:rPr>
          <w:highlight w:val="none"/>
        </w:rPr>
        <w:tab/>
      </w:r>
      <w:r>
        <w:rPr>
          <w:highlight w:val="none"/>
        </w:rPr>
        <w:fldChar w:fldCharType="begin"/>
      </w:r>
      <w:r>
        <w:rPr>
          <w:highlight w:val="none"/>
        </w:rPr>
        <w:instrText xml:space="preserve"> PAGEREF _Toc28217 \h </w:instrText>
      </w:r>
      <w:r>
        <w:rPr>
          <w:highlight w:val="none"/>
        </w:rPr>
        <w:fldChar w:fldCharType="separate"/>
      </w:r>
      <w:r>
        <w:rPr>
          <w:highlight w:val="none"/>
        </w:rPr>
        <w:t>5</w:t>
      </w:r>
      <w:r>
        <w:rPr>
          <w:highlight w:val="none"/>
        </w:rPr>
        <w:fldChar w:fldCharType="end"/>
      </w:r>
      <w:r>
        <w:rPr>
          <w:rFonts w:hint="eastAsia" w:ascii="宋体" w:hAnsi="宋体" w:eastAsia="宋体" w:cs="宋体"/>
          <w:spacing w:val="0"/>
          <w:highlight w:val="none"/>
          <w:lang w:val="en-US" w:eastAsia="zh-CN"/>
        </w:rPr>
        <w:fldChar w:fldCharType="end"/>
      </w:r>
    </w:p>
    <w:p>
      <w:pPr>
        <w:bidi w:val="0"/>
        <w:ind w:left="0" w:leftChars="0" w:firstLine="0" w:firstLineChars="0"/>
        <w:rPr>
          <w:rFonts w:hint="eastAsia"/>
          <w:highlight w:val="none"/>
          <w:lang w:val="en-US" w:eastAsia="zh-CN"/>
        </w:rPr>
      </w:pPr>
      <w:r>
        <w:rPr>
          <w:rFonts w:hint="eastAsia" w:ascii="宋体" w:hAnsi="宋体" w:eastAsia="宋体" w:cs="宋体"/>
          <w:spacing w:val="0"/>
          <w:highlight w:val="none"/>
          <w:lang w:val="en-US" w:eastAsia="zh-CN"/>
        </w:rPr>
        <w:fldChar w:fldCharType="end"/>
      </w:r>
    </w:p>
    <w:p>
      <w:pPr>
        <w:pStyle w:val="53"/>
        <w:bidi w:val="0"/>
        <w:rPr>
          <w:rFonts w:hint="eastAsia"/>
          <w:highlight w:val="none"/>
          <w:lang w:val="en-US" w:eastAsia="zh-CN"/>
        </w:rPr>
      </w:pPr>
      <w:r>
        <w:rPr>
          <w:rFonts w:hint="eastAsia"/>
          <w:highlight w:val="none"/>
          <w:lang w:val="en-US" w:eastAsia="zh-CN"/>
        </w:rPr>
        <w:br w:type="page"/>
      </w:r>
    </w:p>
    <w:p>
      <w:pPr>
        <w:pStyle w:val="54"/>
        <w:bidi w:val="0"/>
        <w:rPr>
          <w:rFonts w:hint="eastAsia"/>
          <w:highlight w:val="none"/>
          <w:lang w:val="en-US" w:eastAsia="zh-CN"/>
        </w:rPr>
      </w:pPr>
      <w:bookmarkStart w:id="19" w:name="_Toc6346"/>
      <w:r>
        <w:rPr>
          <w:rFonts w:hint="eastAsia"/>
          <w:spacing w:val="317"/>
          <w:highlight w:val="none"/>
          <w:lang w:val="en-US" w:eastAsia="zh-CN"/>
        </w:rPr>
        <w:t>前</w:t>
      </w:r>
      <w:bookmarkStart w:id="20" w:name="BKQY"/>
      <w:r>
        <w:rPr>
          <w:rFonts w:hint="eastAsia"/>
          <w:highlight w:val="none"/>
          <w:lang w:val="en-US" w:eastAsia="zh-CN"/>
        </w:rPr>
        <w:t>言</w:t>
      </w:r>
      <w:bookmarkEnd w:id="19"/>
    </w:p>
    <w:p>
      <w:pPr>
        <w:pStyle w:val="24"/>
        <w:bidi w:val="0"/>
        <w:rPr>
          <w:rFonts w:hint="eastAsia"/>
          <w:highlight w:val="none"/>
          <w:lang w:val="en-US" w:eastAsia="zh-CN"/>
        </w:rPr>
      </w:pPr>
      <w:r>
        <w:rPr>
          <w:rFonts w:hint="eastAsia"/>
          <w:highlight w:val="none"/>
          <w:lang w:val="en-US" w:eastAsia="zh-CN"/>
        </w:rPr>
        <w:t>本文件按照GB/T 1.1—2020《标准化工作导则  第1部分：标准化文件的结构和起草规则》的规定起草。</w:t>
      </w:r>
    </w:p>
    <w:p>
      <w:pPr>
        <w:pStyle w:val="24"/>
        <w:bidi w:val="0"/>
        <w:rPr>
          <w:rFonts w:hint="eastAsia"/>
          <w:highlight w:val="none"/>
          <w:lang w:val="en-US" w:eastAsia="zh-CN"/>
        </w:rPr>
      </w:pPr>
      <w:r>
        <w:rPr>
          <w:rFonts w:hint="eastAsia"/>
          <w:highlight w:val="none"/>
          <w:lang w:val="en-US" w:eastAsia="zh-CN"/>
        </w:rPr>
        <w:t>请注意本文件的某些内容可能涉及专利。本文件的发布机构不承担识别专利的责任。</w:t>
      </w:r>
    </w:p>
    <w:p>
      <w:pPr>
        <w:pStyle w:val="24"/>
        <w:bidi w:val="0"/>
        <w:rPr>
          <w:rFonts w:hint="eastAsia"/>
          <w:highlight w:val="none"/>
          <w:lang w:val="en-US" w:eastAsia="zh-CN"/>
        </w:rPr>
      </w:pPr>
      <w:r>
        <w:rPr>
          <w:rFonts w:hint="eastAsia"/>
          <w:highlight w:val="none"/>
          <w:lang w:val="en-US" w:eastAsia="zh-CN"/>
        </w:rPr>
        <w:t>本文件由</w:t>
      </w:r>
      <w:r>
        <w:rPr>
          <w:rFonts w:hint="eastAsia"/>
          <w:highlight w:val="none"/>
        </w:rPr>
        <w:t>吉安市绿色农产品促进会</w:t>
      </w:r>
      <w:r>
        <w:rPr>
          <w:rFonts w:hint="eastAsia"/>
          <w:highlight w:val="none"/>
          <w:lang w:val="en-US" w:eastAsia="zh-CN"/>
        </w:rPr>
        <w:t>提出并归口。</w:t>
      </w:r>
    </w:p>
    <w:p>
      <w:pPr>
        <w:pStyle w:val="24"/>
        <w:bidi w:val="0"/>
        <w:rPr>
          <w:rFonts w:hint="eastAsia" w:eastAsia="宋体"/>
          <w:highlight w:val="none"/>
          <w:lang w:val="en-US" w:eastAsia="zh-CN"/>
        </w:rPr>
      </w:pPr>
      <w:r>
        <w:rPr>
          <w:rFonts w:hint="eastAsia"/>
          <w:highlight w:val="none"/>
          <w:lang w:val="en-US" w:eastAsia="zh-CN"/>
        </w:rPr>
        <w:t>本文件起草单位：</w:t>
      </w:r>
    </w:p>
    <w:p>
      <w:pPr>
        <w:pStyle w:val="24"/>
        <w:bidi w:val="0"/>
        <w:rPr>
          <w:rFonts w:hint="eastAsia"/>
          <w:highlight w:val="none"/>
          <w:lang w:val="en-US" w:eastAsia="zh-CN"/>
        </w:rPr>
      </w:pPr>
      <w:r>
        <w:rPr>
          <w:rFonts w:hint="eastAsia"/>
          <w:highlight w:val="none"/>
          <w:lang w:val="en-US" w:eastAsia="zh-CN"/>
        </w:rPr>
        <w:t>本文件主要起草人：</w:t>
      </w:r>
    </w:p>
    <w:p>
      <w:pPr>
        <w:pStyle w:val="24"/>
        <w:bidi w:val="0"/>
        <w:rPr>
          <w:rFonts w:hint="eastAsia"/>
          <w:highlight w:val="none"/>
          <w:lang w:val="en-US" w:eastAsia="zh-CN"/>
        </w:rPr>
      </w:pPr>
    </w:p>
    <w:bookmarkEnd w:id="20"/>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sectPr>
          <w:headerReference r:id="rId4" w:type="default"/>
          <w:footerReference r:id="rId5" w:type="default"/>
          <w:footerReference r:id="rId6" w:type="even"/>
          <w:pgSz w:w="11906" w:h="16838"/>
          <w:pgMar w:top="2410" w:right="1134" w:bottom="1134" w:left="1134" w:header="1418" w:footer="1134" w:gutter="284"/>
          <w:lnNumType w:countBy="0" w:restart="continuous"/>
          <w:pgNumType w:fmt="upperRoman" w:start="1"/>
          <w:cols w:space="425" w:num="1"/>
          <w:docGrid w:type="lines" w:linePitch="312" w:charSpace="0"/>
        </w:sectPr>
      </w:pPr>
    </w:p>
    <w:sdt>
      <w:sdtPr>
        <w:rPr>
          <w:rStyle w:val="119"/>
          <w:rFonts w:hint="eastAsia"/>
          <w:highlight w:val="none"/>
          <w:lang w:val="en-US" w:eastAsia="zh-CN"/>
        </w:rPr>
        <w:tag w:val="StandardName"/>
        <w:id w:val="147457484"/>
        <w:lock w:val="sdtLocked"/>
        <w:placeholder>
          <w:docPart w:val="{dc198fea-d184-4aa6-8509-aaf3d889285d}"/>
        </w:placeholder>
      </w:sdtPr>
      <w:sdtEndPr>
        <w:rPr>
          <w:rStyle w:val="119"/>
          <w:rFonts w:hint="eastAsia"/>
          <w:highlight w:val="none"/>
          <w:lang w:val="en-US" w:eastAsia="zh-CN"/>
        </w:rPr>
      </w:sdtEndPr>
      <w:sdtContent>
        <w:p>
          <w:pPr>
            <w:pStyle w:val="55"/>
            <w:bidi w:val="0"/>
            <w:rPr>
              <w:rStyle w:val="119"/>
              <w:rFonts w:hint="eastAsia"/>
              <w:highlight w:val="none"/>
              <w:lang w:val="en-US" w:eastAsia="zh-CN"/>
            </w:rPr>
          </w:pPr>
          <w:bookmarkStart w:id="21" w:name="StandardName"/>
          <w:r>
            <w:rPr>
              <w:rStyle w:val="119"/>
              <w:rFonts w:hint="eastAsia"/>
              <w:highlight w:val="none"/>
              <w:lang w:val="en-US" w:eastAsia="zh-CN"/>
            </w:rPr>
            <w:t>井冈山百合加工技术规程</w:t>
          </w:r>
          <w:bookmarkEnd w:id="21"/>
        </w:p>
      </w:sdtContent>
    </w:sdt>
    <w:p>
      <w:pPr>
        <w:pStyle w:val="71"/>
        <w:bidi w:val="0"/>
        <w:rPr>
          <w:rStyle w:val="119"/>
          <w:rFonts w:hint="eastAsia"/>
          <w:highlight w:val="none"/>
          <w:lang w:val="en-US" w:eastAsia="zh-CN"/>
        </w:rPr>
      </w:pPr>
      <w:bookmarkStart w:id="22" w:name="_Toc8541"/>
      <w:r>
        <w:rPr>
          <w:rFonts w:hint="eastAsia"/>
          <w:highlight w:val="none"/>
          <w:lang w:val="en-US" w:eastAsia="zh-CN"/>
        </w:rPr>
        <w:t>范围</w:t>
      </w:r>
      <w:bookmarkEnd w:id="22"/>
    </w:p>
    <w:p>
      <w:pPr>
        <w:pStyle w:val="24"/>
        <w:rPr>
          <w:rFonts w:hint="eastAsia"/>
          <w:highlight w:val="none"/>
          <w:lang w:val="en-US" w:eastAsia="zh-CN"/>
        </w:rPr>
      </w:pPr>
      <w:r>
        <w:rPr>
          <w:rFonts w:hint="eastAsia"/>
          <w:highlight w:val="none"/>
          <w:lang w:val="en-US" w:eastAsia="zh-CN"/>
        </w:rPr>
        <w:t>本文件规定了井冈山百合加工的术语和定义、原料要求、加工条件、加工工艺、包装、运输和贮存、质量管理。</w:t>
      </w:r>
    </w:p>
    <w:p>
      <w:pPr>
        <w:pStyle w:val="24"/>
        <w:rPr>
          <w:rFonts w:hint="eastAsia"/>
          <w:highlight w:val="none"/>
          <w:lang w:val="en-US" w:eastAsia="zh-CN"/>
        </w:rPr>
      </w:pPr>
      <w:r>
        <w:rPr>
          <w:rFonts w:hint="eastAsia"/>
          <w:highlight w:val="none"/>
          <w:lang w:val="en-US" w:eastAsia="zh-CN"/>
        </w:rPr>
        <w:t>本文件适用于吉安市行政区域范围内百合的加工。</w:t>
      </w:r>
    </w:p>
    <w:p>
      <w:pPr>
        <w:pStyle w:val="71"/>
        <w:bidi w:val="0"/>
        <w:rPr>
          <w:rFonts w:hint="eastAsia"/>
          <w:highlight w:val="none"/>
          <w:lang w:val="en-US" w:eastAsia="zh-CN"/>
        </w:rPr>
      </w:pPr>
      <w:bookmarkStart w:id="23" w:name="_Toc30434"/>
      <w:r>
        <w:rPr>
          <w:rFonts w:hint="eastAsia"/>
          <w:highlight w:val="none"/>
          <w:lang w:val="en-US" w:eastAsia="zh-CN"/>
        </w:rPr>
        <w:t>规范性引用文件</w:t>
      </w:r>
      <w:bookmarkEnd w:id="23"/>
    </w:p>
    <w:sdt>
      <w:sdtPr>
        <w:rPr>
          <w:rFonts w:hint="eastAsia" w:ascii="宋体" w:hAnsi="Times New Roman" w:eastAsia="宋体" w:cs="宋体"/>
          <w:sz w:val="21"/>
          <w:highlight w:val="none"/>
          <w:lang w:val="en-US" w:eastAsia="zh-CN"/>
        </w:rPr>
        <w:tag w:val="StandNameFile"/>
        <w:id w:val="147458581"/>
        <w:placeholder>
          <w:docPart w:val="{e43a72de-6420-4734-a0dc-b6c3f8f378bc}"/>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EndPr>
        <w:rPr>
          <w:rFonts w:hint="eastAsia" w:ascii="宋体" w:hAnsi="Times New Roman" w:eastAsia="宋体" w:cs="宋体"/>
          <w:sz w:val="21"/>
          <w:highlight w:val="none"/>
          <w:lang w:val="en-US" w:eastAsia="zh-CN"/>
        </w:rPr>
      </w:sdtEndPr>
      <w:sdtContent>
        <w:p>
          <w:pPr>
            <w:pStyle w:val="24"/>
            <w:bidi w:val="0"/>
            <w:rPr>
              <w:rFonts w:hint="eastAsia" w:ascii="宋体" w:hAnsi="Times New Roman" w:eastAsia="宋体" w:cs="宋体"/>
              <w:sz w:val="21"/>
              <w:highlight w:val="none"/>
              <w:lang w:val="en-US" w:eastAsia="zh-CN"/>
            </w:rPr>
          </w:pPr>
          <w:r>
            <w:rPr>
              <w:rFonts w:hint="eastAsia" w:ascii="宋体" w:hAnsi="Times New Roman" w:eastAsia="宋体" w:cs="宋体"/>
              <w:sz w:val="21"/>
              <w:highlight w:val="none"/>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24"/>
        <w:bidi w:val="0"/>
        <w:rPr>
          <w:rFonts w:hint="eastAsia" w:ascii="宋体" w:hAnsi="Times New Roman" w:eastAsia="宋体" w:cs="宋体"/>
          <w:sz w:val="21"/>
          <w:highlight w:val="none"/>
          <w:lang w:val="en-US" w:eastAsia="zh-CN"/>
        </w:rPr>
      </w:pPr>
      <w:bookmarkStart w:id="24" w:name="_Toc5700"/>
      <w:r>
        <w:rPr>
          <w:rFonts w:hint="eastAsia" w:ascii="宋体" w:hAnsi="Times New Roman" w:eastAsia="宋体" w:cs="宋体"/>
          <w:sz w:val="21"/>
          <w:highlight w:val="none"/>
          <w:lang w:val="en-US" w:eastAsia="zh-CN"/>
        </w:rPr>
        <w:t xml:space="preserve">GB 28050 </w:t>
      </w:r>
      <w:r>
        <w:rPr>
          <w:rFonts w:hint="eastAsia" w:cs="宋体"/>
          <w:sz w:val="21"/>
          <w:highlight w:val="none"/>
          <w:lang w:val="en-US" w:eastAsia="zh-CN"/>
        </w:rPr>
        <w:t xml:space="preserve"> </w:t>
      </w:r>
      <w:r>
        <w:rPr>
          <w:rFonts w:hint="eastAsia" w:ascii="宋体" w:hAnsi="Times New Roman" w:eastAsia="宋体" w:cs="宋体"/>
          <w:sz w:val="21"/>
          <w:highlight w:val="none"/>
          <w:lang w:val="en-US" w:eastAsia="zh-CN"/>
        </w:rPr>
        <w:t>食品安全国家标准 预包装食品营养标签通则</w:t>
      </w:r>
    </w:p>
    <w:p>
      <w:pPr>
        <w:pStyle w:val="24"/>
        <w:bidi w:val="0"/>
        <w:rPr>
          <w:rFonts w:hint="eastAsia" w:ascii="宋体" w:hAnsi="Times New Roman" w:eastAsia="宋体" w:cs="宋体"/>
          <w:sz w:val="21"/>
          <w:highlight w:val="none"/>
          <w:lang w:val="en-US" w:eastAsia="zh-CN"/>
        </w:rPr>
      </w:pPr>
      <w:r>
        <w:rPr>
          <w:rFonts w:hint="eastAsia" w:ascii="宋体" w:hAnsi="Times New Roman" w:eastAsia="宋体" w:cs="宋体"/>
          <w:sz w:val="21"/>
          <w:highlight w:val="none"/>
          <w:lang w:val="en-US" w:eastAsia="zh-CN"/>
        </w:rPr>
        <w:t>GB 4806.1</w:t>
      </w:r>
      <w:r>
        <w:rPr>
          <w:rFonts w:hint="eastAsia" w:cs="宋体"/>
          <w:sz w:val="21"/>
          <w:highlight w:val="none"/>
          <w:lang w:val="en-US" w:eastAsia="zh-CN"/>
        </w:rPr>
        <w:t xml:space="preserve"> </w:t>
      </w:r>
      <w:r>
        <w:rPr>
          <w:rFonts w:hint="eastAsia" w:ascii="宋体" w:hAnsi="Times New Roman" w:eastAsia="宋体" w:cs="宋体"/>
          <w:sz w:val="21"/>
          <w:highlight w:val="none"/>
          <w:lang w:val="en-US" w:eastAsia="zh-CN"/>
        </w:rPr>
        <w:t xml:space="preserve"> 食品安全国家标准</w:t>
      </w:r>
      <w:r>
        <w:rPr>
          <w:rFonts w:hint="eastAsia" w:cs="宋体"/>
          <w:sz w:val="21"/>
          <w:highlight w:val="none"/>
          <w:lang w:val="en-US" w:eastAsia="zh-CN"/>
        </w:rPr>
        <w:t xml:space="preserve"> </w:t>
      </w:r>
      <w:r>
        <w:rPr>
          <w:rFonts w:hint="eastAsia" w:ascii="宋体" w:hAnsi="Times New Roman" w:eastAsia="宋体" w:cs="宋体"/>
          <w:sz w:val="21"/>
          <w:highlight w:val="none"/>
          <w:lang w:val="en-US" w:eastAsia="zh-CN"/>
        </w:rPr>
        <w:t xml:space="preserve"> 食品接触材料及制品通用安全要求</w:t>
      </w:r>
    </w:p>
    <w:p>
      <w:pPr>
        <w:pStyle w:val="24"/>
        <w:bidi w:val="0"/>
        <w:rPr>
          <w:rFonts w:hint="eastAsia" w:ascii="宋体" w:hAnsi="Times New Roman" w:eastAsia="宋体" w:cs="宋体"/>
          <w:sz w:val="21"/>
          <w:highlight w:val="none"/>
          <w:lang w:val="en-US" w:eastAsia="zh-CN"/>
        </w:rPr>
      </w:pPr>
      <w:r>
        <w:rPr>
          <w:rFonts w:hint="eastAsia" w:ascii="宋体" w:hAnsi="Times New Roman" w:eastAsia="宋体" w:cs="宋体"/>
          <w:sz w:val="21"/>
          <w:highlight w:val="none"/>
          <w:lang w:val="en-US" w:eastAsia="zh-CN"/>
        </w:rPr>
        <w:t>GB 4806.7  食品安全国家标准  食品接触用塑料材料及制品</w:t>
      </w:r>
    </w:p>
    <w:p>
      <w:pPr>
        <w:pStyle w:val="24"/>
        <w:bidi w:val="0"/>
        <w:rPr>
          <w:rFonts w:hint="default" w:ascii="宋体" w:hAnsi="Times New Roman" w:eastAsia="宋体" w:cs="宋体"/>
          <w:sz w:val="21"/>
          <w:highlight w:val="none"/>
          <w:lang w:val="en-US" w:eastAsia="zh-CN"/>
        </w:rPr>
      </w:pPr>
      <w:r>
        <w:rPr>
          <w:rFonts w:hint="eastAsia" w:cs="宋体"/>
          <w:sz w:val="21"/>
          <w:highlight w:val="none"/>
          <w:lang w:val="en-US" w:eastAsia="zh-CN"/>
        </w:rPr>
        <w:t>GB 5749  生活饮用水卫生标准</w:t>
      </w:r>
    </w:p>
    <w:p>
      <w:pPr>
        <w:pStyle w:val="24"/>
        <w:bidi w:val="0"/>
        <w:rPr>
          <w:rFonts w:hint="eastAsia" w:ascii="宋体" w:hAnsi="Times New Roman" w:eastAsia="宋体" w:cs="宋体"/>
          <w:sz w:val="21"/>
          <w:highlight w:val="none"/>
          <w:lang w:val="en-US" w:eastAsia="zh-CN"/>
        </w:rPr>
      </w:pPr>
      <w:r>
        <w:rPr>
          <w:rFonts w:hint="eastAsia" w:ascii="宋体" w:hAnsi="Times New Roman" w:eastAsia="宋体" w:cs="宋体"/>
          <w:sz w:val="21"/>
          <w:highlight w:val="none"/>
          <w:lang w:val="en-US" w:eastAsia="zh-CN"/>
        </w:rPr>
        <w:t>GB/T 5737  食品塑料周转箱</w:t>
      </w:r>
    </w:p>
    <w:p>
      <w:pPr>
        <w:pStyle w:val="24"/>
        <w:bidi w:val="0"/>
        <w:rPr>
          <w:rFonts w:hint="default"/>
          <w:highlight w:val="none"/>
          <w:lang w:val="en-US" w:eastAsia="zh-CN"/>
        </w:rPr>
      </w:pPr>
      <w:bookmarkStart w:id="25" w:name="_Hlk103956065"/>
      <w:r>
        <w:rPr>
          <w:rFonts w:hint="eastAsia"/>
          <w:highlight w:val="none"/>
          <w:lang w:val="en-US" w:eastAsia="zh-CN"/>
        </w:rPr>
        <w:t>GB 7718  食品安全国家标准 预包装食品标签通则</w:t>
      </w:r>
    </w:p>
    <w:p>
      <w:pPr>
        <w:pStyle w:val="24"/>
        <w:bidi w:val="0"/>
        <w:rPr>
          <w:rFonts w:hint="default"/>
          <w:highlight w:val="none"/>
          <w:lang w:val="en-US" w:eastAsia="zh-CN"/>
        </w:rPr>
      </w:pPr>
      <w:r>
        <w:rPr>
          <w:rFonts w:hint="eastAsia"/>
          <w:highlight w:val="none"/>
          <w:lang w:val="en-US" w:eastAsia="zh-CN"/>
        </w:rPr>
        <w:t>GB 14881  食品安全国家标准 食品生产通用卫生规范</w:t>
      </w:r>
    </w:p>
    <w:p>
      <w:pPr>
        <w:pStyle w:val="24"/>
        <w:bidi w:val="0"/>
        <w:rPr>
          <w:rFonts w:hint="eastAsia" w:ascii="宋体" w:hAnsi="Times New Roman" w:eastAsia="宋体" w:cs="宋体"/>
          <w:sz w:val="21"/>
          <w:highlight w:val="none"/>
          <w:lang w:val="en-US" w:eastAsia="zh-CN"/>
        </w:rPr>
      </w:pPr>
      <w:r>
        <w:rPr>
          <w:rFonts w:hint="eastAsia" w:ascii="宋体" w:hAnsi="Times New Roman" w:eastAsia="宋体" w:cs="宋体"/>
          <w:sz w:val="21"/>
          <w:highlight w:val="none"/>
          <w:lang w:val="en-US" w:eastAsia="zh-CN"/>
        </w:rPr>
        <w:t xml:space="preserve">GB/T 19630  有机产品  生产、加工、标识与管理体系要求 </w:t>
      </w:r>
      <w:bookmarkEnd w:id="25"/>
    </w:p>
    <w:p>
      <w:pPr>
        <w:pStyle w:val="24"/>
        <w:bidi w:val="0"/>
        <w:rPr>
          <w:rFonts w:hint="eastAsia" w:ascii="宋体" w:hAnsi="Times New Roman" w:eastAsia="宋体" w:cs="宋体"/>
          <w:sz w:val="21"/>
          <w:highlight w:val="none"/>
          <w:lang w:val="en-US" w:eastAsia="zh-CN"/>
        </w:rPr>
      </w:pPr>
      <w:r>
        <w:rPr>
          <w:rFonts w:hint="eastAsia" w:ascii="宋体" w:hAnsi="Times New Roman" w:eastAsia="宋体" w:cs="宋体"/>
          <w:sz w:val="21"/>
          <w:highlight w:val="none"/>
          <w:lang w:val="en-US" w:eastAsia="zh-CN"/>
        </w:rPr>
        <w:t xml:space="preserve">GB 31621 </w:t>
      </w:r>
      <w:r>
        <w:rPr>
          <w:rFonts w:hint="eastAsia" w:cs="宋体"/>
          <w:sz w:val="21"/>
          <w:highlight w:val="none"/>
          <w:lang w:val="en-US" w:eastAsia="zh-CN"/>
        </w:rPr>
        <w:t xml:space="preserve"> </w:t>
      </w:r>
      <w:r>
        <w:rPr>
          <w:rFonts w:hint="eastAsia" w:ascii="宋体" w:hAnsi="Times New Roman" w:eastAsia="宋体" w:cs="宋体"/>
          <w:sz w:val="21"/>
          <w:highlight w:val="none"/>
          <w:lang w:val="en-US" w:eastAsia="zh-CN"/>
        </w:rPr>
        <w:t>食品安全国家标准 食品经营过程卫生规范</w:t>
      </w:r>
    </w:p>
    <w:p>
      <w:pPr>
        <w:pStyle w:val="24"/>
        <w:bidi w:val="0"/>
        <w:rPr>
          <w:rFonts w:hint="default" w:cs="宋体"/>
          <w:sz w:val="21"/>
          <w:highlight w:val="none"/>
          <w:lang w:val="en-US" w:eastAsia="zh-CN"/>
        </w:rPr>
      </w:pPr>
      <w:r>
        <w:rPr>
          <w:rFonts w:hint="default" w:cs="宋体"/>
          <w:sz w:val="21"/>
          <w:highlight w:val="none"/>
          <w:lang w:val="en-US" w:eastAsia="zh-CN"/>
        </w:rPr>
        <w:t>NY</w:t>
      </w:r>
      <w:r>
        <w:rPr>
          <w:rFonts w:hint="eastAsia" w:cs="宋体"/>
          <w:sz w:val="21"/>
          <w:highlight w:val="none"/>
          <w:lang w:val="en-US" w:eastAsia="zh-CN"/>
        </w:rPr>
        <w:t>/</w:t>
      </w:r>
      <w:r>
        <w:rPr>
          <w:rFonts w:hint="default" w:cs="宋体"/>
          <w:sz w:val="21"/>
          <w:highlight w:val="none"/>
          <w:lang w:val="en-US" w:eastAsia="zh-CN"/>
        </w:rPr>
        <w:t>T</w:t>
      </w:r>
      <w:r>
        <w:rPr>
          <w:rFonts w:hint="eastAsia" w:cs="宋体"/>
          <w:sz w:val="21"/>
          <w:highlight w:val="none"/>
          <w:lang w:val="en-US" w:eastAsia="zh-CN"/>
        </w:rPr>
        <w:t xml:space="preserve"> </w:t>
      </w:r>
      <w:r>
        <w:rPr>
          <w:rFonts w:hint="default" w:cs="宋体"/>
          <w:sz w:val="21"/>
          <w:highlight w:val="none"/>
          <w:lang w:val="en-US" w:eastAsia="zh-CN"/>
        </w:rPr>
        <w:t xml:space="preserve">658 </w:t>
      </w:r>
      <w:r>
        <w:rPr>
          <w:rFonts w:hint="eastAsia" w:cs="宋体"/>
          <w:sz w:val="21"/>
          <w:highlight w:val="none"/>
          <w:lang w:val="en-US" w:eastAsia="zh-CN"/>
        </w:rPr>
        <w:t xml:space="preserve"> </w:t>
      </w:r>
      <w:r>
        <w:rPr>
          <w:rFonts w:hint="default" w:cs="宋体"/>
          <w:sz w:val="21"/>
          <w:highlight w:val="none"/>
          <w:lang w:val="en-US" w:eastAsia="zh-CN"/>
        </w:rPr>
        <w:t>绿色食品</w:t>
      </w:r>
      <w:r>
        <w:rPr>
          <w:rFonts w:hint="eastAsia" w:cs="宋体"/>
          <w:sz w:val="21"/>
          <w:highlight w:val="none"/>
          <w:lang w:val="en-US" w:eastAsia="zh-CN"/>
        </w:rPr>
        <w:t xml:space="preserve"> </w:t>
      </w:r>
      <w:r>
        <w:rPr>
          <w:rFonts w:hint="default" w:cs="宋体"/>
          <w:sz w:val="21"/>
          <w:highlight w:val="none"/>
          <w:lang w:val="en-US" w:eastAsia="zh-CN"/>
        </w:rPr>
        <w:t xml:space="preserve"> 包装通用准则</w:t>
      </w:r>
    </w:p>
    <w:p>
      <w:pPr>
        <w:pStyle w:val="24"/>
        <w:bidi w:val="0"/>
        <w:rPr>
          <w:rFonts w:hint="eastAsia" w:ascii="宋体" w:hAnsi="Times New Roman" w:eastAsia="宋体" w:cs="宋体"/>
          <w:sz w:val="21"/>
          <w:highlight w:val="none"/>
          <w:lang w:val="en-US" w:eastAsia="zh-CN"/>
        </w:rPr>
      </w:pPr>
      <w:r>
        <w:rPr>
          <w:rFonts w:hint="eastAsia" w:ascii="宋体" w:hAnsi="Times New Roman" w:eastAsia="宋体" w:cs="宋体"/>
          <w:sz w:val="21"/>
          <w:highlight w:val="none"/>
          <w:lang w:val="en-US" w:eastAsia="zh-CN"/>
        </w:rPr>
        <w:t>NY/T 1056  绿色食品  贮藏运输准则</w:t>
      </w:r>
    </w:p>
    <w:p>
      <w:pPr>
        <w:pStyle w:val="71"/>
        <w:bidi w:val="0"/>
        <w:rPr>
          <w:rFonts w:hint="eastAsia" w:ascii="宋体" w:hAnsi="Times New Roman" w:eastAsia="宋体" w:cs="宋体"/>
          <w:highlight w:val="none"/>
          <w:lang w:val="en-US" w:eastAsia="zh-CN"/>
        </w:rPr>
      </w:pPr>
      <w:r>
        <w:rPr>
          <w:rFonts w:hint="eastAsia"/>
          <w:highlight w:val="none"/>
          <w:lang w:val="en-US" w:eastAsia="zh-CN"/>
        </w:rPr>
        <w:t>术语和定义</w:t>
      </w:r>
      <w:bookmarkEnd w:id="24"/>
    </w:p>
    <w:sdt>
      <w:sdtPr>
        <w:rPr>
          <w:rFonts w:hint="eastAsia" w:ascii="宋体" w:hAnsi="Times New Roman" w:eastAsia="宋体" w:cs="宋体"/>
          <w:sz w:val="21"/>
          <w:highlight w:val="none"/>
          <w:lang w:val="en-US" w:eastAsia="zh-CN"/>
        </w:rPr>
        <w:tag w:val="TermContent"/>
        <w:id w:val="147453675"/>
        <w:placeholder>
          <w:docPart w:val="{a2b934e1-4e69-4b3d-b344-351c81d94b3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ascii="宋体" w:hAnsi="Times New Roman" w:eastAsia="宋体" w:cs="宋体"/>
          <w:sz w:val="21"/>
          <w:highlight w:val="none"/>
          <w:lang w:val="en-US" w:eastAsia="zh-CN"/>
        </w:rPr>
      </w:sdtEndPr>
      <w:sdtContent>
        <w:p>
          <w:pPr>
            <w:pStyle w:val="24"/>
            <w:rPr>
              <w:rFonts w:hint="eastAsia"/>
              <w:highlight w:val="none"/>
              <w:lang w:val="en-US" w:eastAsia="zh-CN"/>
            </w:rPr>
          </w:pPr>
          <w:r>
            <w:rPr>
              <w:rFonts w:hint="eastAsia" w:ascii="宋体" w:hAnsi="Times New Roman" w:eastAsia="宋体" w:cs="宋体"/>
              <w:sz w:val="21"/>
              <w:highlight w:val="none"/>
              <w:lang w:val="en-US" w:eastAsia="zh-CN"/>
            </w:rPr>
            <w:t>下列术语和定义适用于本文件。</w:t>
          </w:r>
        </w:p>
      </w:sdtContent>
    </w:sdt>
    <w:p>
      <w:pPr>
        <w:pStyle w:val="24"/>
        <w:rPr>
          <w:rFonts w:hint="eastAsia"/>
          <w:highlight w:val="none"/>
          <w:lang w:val="en-US" w:eastAsia="zh-CN"/>
        </w:rPr>
      </w:pPr>
    </w:p>
    <w:p>
      <w:pPr>
        <w:pStyle w:val="82"/>
        <w:bidi w:val="0"/>
        <w:spacing w:after="0" w:afterLines="0"/>
        <w:ind w:left="420" w:hanging="420" w:hangingChars="200"/>
        <w:rPr>
          <w:rFonts w:hint="eastAsia" w:ascii="黑体" w:hAnsi="黑体" w:eastAsia="黑体" w:cs="黑体"/>
          <w:highlight w:val="none"/>
          <w:lang w:val="en-US" w:eastAsia="zh-CN"/>
        </w:rPr>
      </w:pPr>
    </w:p>
    <w:p>
      <w:pPr>
        <w:pStyle w:val="82"/>
        <w:numPr>
          <w:ilvl w:val="1"/>
          <w:numId w:val="0"/>
        </w:numPr>
        <w:bidi w:val="0"/>
        <w:spacing w:after="0" w:afterLines="0"/>
        <w:ind w:leftChars="-200" w:firstLine="840" w:firstLineChars="400"/>
        <w:rPr>
          <w:rFonts w:hint="default" w:ascii="黑体" w:hAnsi="黑体" w:eastAsia="黑体" w:cs="黑体"/>
          <w:highlight w:val="none"/>
          <w:lang w:val="en-US" w:eastAsia="zh-CN"/>
        </w:rPr>
      </w:pPr>
      <w:r>
        <w:rPr>
          <w:rFonts w:hint="eastAsia" w:cs="黑体"/>
          <w:highlight w:val="none"/>
          <w:lang w:val="en-US" w:eastAsia="zh-CN"/>
        </w:rPr>
        <w:t>井冈山百合 Jinggangshan green tea</w:t>
      </w:r>
    </w:p>
    <w:p>
      <w:pPr>
        <w:pStyle w:val="24"/>
        <w:bidi w:val="0"/>
        <w:rPr>
          <w:rFonts w:hint="eastAsia" w:cs="宋体"/>
          <w:sz w:val="21"/>
          <w:highlight w:val="none"/>
          <w:lang w:val="en-US" w:eastAsia="zh-CN"/>
        </w:rPr>
      </w:pPr>
      <w:r>
        <w:rPr>
          <w:rFonts w:hint="eastAsia" w:cs="宋体"/>
          <w:sz w:val="21"/>
          <w:highlight w:val="none"/>
          <w:lang w:val="en-US" w:eastAsia="zh-CN"/>
        </w:rPr>
        <w:t>以吉安市行政区域范围内种植的百合为原料，按照特定加工工艺制作而成，符合本文件要求，并经“井冈山®”商标持有人授权的鲜百合、百合粉和百合干。</w:t>
      </w:r>
    </w:p>
    <w:p>
      <w:pPr>
        <w:pStyle w:val="24"/>
        <w:bidi w:val="0"/>
        <w:rPr>
          <w:rFonts w:hint="eastAsia" w:ascii="宋体" w:hAnsi="Times New Roman" w:eastAsia="宋体" w:cs="宋体"/>
          <w:sz w:val="21"/>
          <w:highlight w:val="none"/>
          <w:lang w:val="en-US" w:eastAsia="zh-CN"/>
        </w:rPr>
      </w:pPr>
      <w:r>
        <w:rPr>
          <w:rFonts w:hint="eastAsia" w:ascii="宋体" w:hAnsi="Times New Roman" w:eastAsia="宋体" w:cs="宋体"/>
          <w:sz w:val="21"/>
          <w:highlight w:val="none"/>
          <w:lang w:val="en-US" w:eastAsia="zh-CN"/>
        </w:rPr>
        <w:t>井冈山</w:t>
      </w:r>
      <w:r>
        <w:rPr>
          <w:rFonts w:hint="eastAsia" w:cs="宋体"/>
          <w:sz w:val="21"/>
          <w:highlight w:val="none"/>
          <w:lang w:val="en-US" w:eastAsia="zh-CN"/>
        </w:rPr>
        <w:t>百合</w:t>
      </w:r>
      <w:r>
        <w:rPr>
          <w:rFonts w:hint="eastAsia" w:ascii="宋体" w:hAnsi="Times New Roman" w:eastAsia="宋体" w:cs="宋体"/>
          <w:sz w:val="21"/>
          <w:highlight w:val="none"/>
          <w:lang w:val="en-US" w:eastAsia="zh-CN"/>
        </w:rPr>
        <w:t>生产区域范围见附录A。</w:t>
      </w:r>
    </w:p>
    <w:p>
      <w:pPr>
        <w:pStyle w:val="71"/>
        <w:rPr>
          <w:highlight w:val="none"/>
        </w:rPr>
      </w:pPr>
      <w:bookmarkStart w:id="26" w:name="_Toc20283"/>
      <w:r>
        <w:rPr>
          <w:rFonts w:hint="eastAsia"/>
          <w:highlight w:val="none"/>
          <w:lang w:val="en-US" w:eastAsia="zh-CN"/>
        </w:rPr>
        <w:t>原料</w:t>
      </w:r>
      <w:r>
        <w:rPr>
          <w:rFonts w:hint="default"/>
          <w:highlight w:val="none"/>
        </w:rPr>
        <w:t>要求</w:t>
      </w:r>
      <w:bookmarkEnd w:id="26"/>
    </w:p>
    <w:p>
      <w:pPr>
        <w:pStyle w:val="72"/>
        <w:bidi w:val="0"/>
        <w:rPr>
          <w:rFonts w:hint="default"/>
          <w:highlight w:val="none"/>
        </w:rPr>
      </w:pPr>
      <w:bookmarkStart w:id="57" w:name="_GoBack"/>
      <w:bookmarkEnd w:id="57"/>
      <w:r>
        <w:rPr>
          <w:rFonts w:hint="default"/>
          <w:highlight w:val="none"/>
          <w:lang w:val="en-US" w:eastAsia="zh-CN"/>
        </w:rPr>
        <w:t>采</w:t>
      </w:r>
      <w:r>
        <w:rPr>
          <w:rFonts w:hint="eastAsia"/>
          <w:highlight w:val="none"/>
          <w:lang w:val="en-US" w:eastAsia="zh-CN"/>
        </w:rPr>
        <w:t>挖</w:t>
      </w:r>
      <w:r>
        <w:rPr>
          <w:rFonts w:hint="default"/>
          <w:highlight w:val="none"/>
          <w:lang w:val="en-US" w:eastAsia="zh-CN"/>
        </w:rPr>
        <w:t>时间</w:t>
      </w:r>
    </w:p>
    <w:p>
      <w:pPr>
        <w:pStyle w:val="24"/>
        <w:ind w:firstLine="960"/>
        <w:rPr>
          <w:rFonts w:hint="default"/>
          <w:highlight w:val="none"/>
        </w:rPr>
      </w:pPr>
      <w:r>
        <w:rPr>
          <w:rFonts w:hint="eastAsia"/>
          <w:highlight w:val="none"/>
          <w:lang w:val="en-US" w:eastAsia="zh-CN"/>
        </w:rPr>
        <w:t>种球完成一个生长季，选择晴天采收</w:t>
      </w:r>
      <w:r>
        <w:rPr>
          <w:rFonts w:hint="default"/>
          <w:highlight w:val="none"/>
          <w:lang w:val="en-US" w:eastAsia="zh-CN"/>
        </w:rPr>
        <w:t>。小暑小挖，大暑大挖，种球立秋后采挖。</w:t>
      </w:r>
    </w:p>
    <w:p>
      <w:pPr>
        <w:pStyle w:val="72"/>
        <w:bidi w:val="0"/>
        <w:rPr>
          <w:rFonts w:hint="default"/>
          <w:highlight w:val="none"/>
          <w:lang w:val="en-US" w:eastAsia="zh-CN"/>
        </w:rPr>
      </w:pPr>
      <w:r>
        <w:rPr>
          <w:rFonts w:hint="default"/>
          <w:highlight w:val="none"/>
          <w:lang w:val="en-US" w:eastAsia="zh-CN"/>
        </w:rPr>
        <w:t>采</w:t>
      </w:r>
      <w:r>
        <w:rPr>
          <w:rFonts w:hint="eastAsia"/>
          <w:highlight w:val="none"/>
          <w:lang w:val="en-US" w:eastAsia="zh-CN"/>
        </w:rPr>
        <w:t>挖方法</w:t>
      </w:r>
    </w:p>
    <w:p>
      <w:pPr>
        <w:pStyle w:val="24"/>
        <w:ind w:firstLine="960"/>
        <w:rPr>
          <w:rFonts w:hint="default"/>
          <w:highlight w:val="none"/>
        </w:rPr>
      </w:pPr>
      <w:r>
        <w:rPr>
          <w:rFonts w:hint="eastAsia"/>
          <w:highlight w:val="none"/>
          <w:lang w:val="en-US" w:eastAsia="zh-CN"/>
        </w:rPr>
        <w:t>挖取鳞茎，除去茎秆、泥土及根须，选出破损鳞茎，避免机械和人为损伤</w:t>
      </w:r>
      <w:r>
        <w:rPr>
          <w:rFonts w:hint="default"/>
          <w:highlight w:val="none"/>
          <w:lang w:val="en-US" w:eastAsia="zh-CN"/>
        </w:rPr>
        <w:t>。</w:t>
      </w:r>
    </w:p>
    <w:p>
      <w:pPr>
        <w:pStyle w:val="71"/>
        <w:bidi w:val="0"/>
        <w:rPr>
          <w:rFonts w:hint="default"/>
          <w:highlight w:val="none"/>
        </w:rPr>
      </w:pPr>
      <w:bookmarkStart w:id="27" w:name="_Toc14896"/>
      <w:r>
        <w:rPr>
          <w:rFonts w:hint="default"/>
          <w:highlight w:val="none"/>
        </w:rPr>
        <w:t>加工条件</w:t>
      </w:r>
      <w:bookmarkEnd w:id="27"/>
    </w:p>
    <w:p>
      <w:pPr>
        <w:pStyle w:val="72"/>
        <w:bidi w:val="0"/>
        <w:rPr>
          <w:rFonts w:hint="default"/>
          <w:highlight w:val="none"/>
          <w:lang w:val="en-US" w:eastAsia="zh-CN"/>
        </w:rPr>
      </w:pPr>
      <w:r>
        <w:rPr>
          <w:rFonts w:hint="default"/>
          <w:highlight w:val="none"/>
          <w:lang w:val="en-US" w:eastAsia="zh-CN"/>
        </w:rPr>
        <w:t>加工场所</w:t>
      </w:r>
    </w:p>
    <w:p>
      <w:pPr>
        <w:pStyle w:val="78"/>
        <w:bidi w:val="0"/>
        <w:spacing w:before="0" w:beforeLines="0" w:after="0" w:afterLines="0"/>
        <w:rPr>
          <w:rFonts w:hint="default"/>
          <w:highlight w:val="none"/>
          <w:lang w:val="en-US" w:eastAsia="zh-CN"/>
        </w:rPr>
      </w:pPr>
      <w:r>
        <w:rPr>
          <w:rFonts w:hint="eastAsia"/>
          <w:highlight w:val="none"/>
          <w:lang w:val="en-US" w:eastAsia="zh-CN"/>
        </w:rPr>
        <w:t>应符合GB 14881的规定，</w:t>
      </w:r>
      <w:r>
        <w:rPr>
          <w:rFonts w:hint="default"/>
          <w:highlight w:val="none"/>
          <w:lang w:val="en-US" w:eastAsia="zh-CN"/>
        </w:rPr>
        <w:t>远离污染源，交通便利。厂房布局合理，</w:t>
      </w:r>
      <w:r>
        <w:rPr>
          <w:rFonts w:hint="eastAsia"/>
          <w:highlight w:val="none"/>
          <w:lang w:val="en-US" w:eastAsia="zh-CN"/>
        </w:rPr>
        <w:t>存放</w:t>
      </w:r>
      <w:r>
        <w:rPr>
          <w:rFonts w:hint="default"/>
          <w:highlight w:val="none"/>
          <w:lang w:val="en-US" w:eastAsia="zh-CN"/>
        </w:rPr>
        <w:t>区、加工区、包装区应相互隔离，避免交叉污染。</w:t>
      </w:r>
    </w:p>
    <w:p>
      <w:pPr>
        <w:pStyle w:val="78"/>
        <w:bidi w:val="0"/>
        <w:spacing w:before="0" w:beforeLines="0" w:after="0" w:afterLines="0"/>
        <w:rPr>
          <w:rFonts w:hint="default"/>
          <w:highlight w:val="none"/>
        </w:rPr>
      </w:pPr>
      <w:r>
        <w:rPr>
          <w:rFonts w:hint="default"/>
          <w:highlight w:val="none"/>
          <w:lang w:val="en-US" w:eastAsia="zh-CN"/>
        </w:rPr>
        <w:t>配备完善的卫生设施，如更衣间、洗手池、防蝇鼠措施等。</w:t>
      </w:r>
    </w:p>
    <w:p>
      <w:pPr>
        <w:pStyle w:val="72"/>
        <w:bidi w:val="0"/>
        <w:rPr>
          <w:rFonts w:hint="default"/>
          <w:highlight w:val="none"/>
          <w:lang w:val="en-US" w:eastAsia="zh-CN"/>
        </w:rPr>
      </w:pPr>
      <w:r>
        <w:rPr>
          <w:rFonts w:hint="default"/>
          <w:highlight w:val="none"/>
          <w:lang w:val="en-US" w:eastAsia="zh-CN"/>
        </w:rPr>
        <w:t>设施与设备</w:t>
      </w:r>
    </w:p>
    <w:p>
      <w:pPr>
        <w:pStyle w:val="78"/>
        <w:bidi w:val="0"/>
        <w:spacing w:before="0" w:beforeLines="0" w:after="0" w:afterLines="0"/>
        <w:rPr>
          <w:rFonts w:hint="default"/>
          <w:highlight w:val="none"/>
          <w:lang w:val="en-US" w:eastAsia="zh-CN"/>
        </w:rPr>
      </w:pPr>
      <w:r>
        <w:rPr>
          <w:rFonts w:hint="default"/>
          <w:highlight w:val="none"/>
          <w:lang w:val="en-US" w:eastAsia="zh-CN"/>
        </w:rPr>
        <w:t>应具备</w:t>
      </w:r>
      <w:r>
        <w:rPr>
          <w:rFonts w:hint="eastAsia"/>
          <w:highlight w:val="none"/>
          <w:lang w:val="en-US" w:eastAsia="zh-CN"/>
        </w:rPr>
        <w:t>粉碎</w:t>
      </w:r>
      <w:r>
        <w:rPr>
          <w:rFonts w:hint="default"/>
          <w:highlight w:val="none"/>
          <w:lang w:val="en-US" w:eastAsia="zh-CN"/>
        </w:rPr>
        <w:t>机、</w:t>
      </w:r>
      <w:r>
        <w:rPr>
          <w:rFonts w:hint="eastAsia"/>
          <w:highlight w:val="none"/>
          <w:lang w:val="en-US" w:eastAsia="zh-CN"/>
        </w:rPr>
        <w:t>离心</w:t>
      </w:r>
      <w:r>
        <w:rPr>
          <w:rFonts w:hint="default"/>
          <w:highlight w:val="none"/>
          <w:lang w:val="en-US" w:eastAsia="zh-CN"/>
        </w:rPr>
        <w:t>机、</w:t>
      </w:r>
      <w:r>
        <w:rPr>
          <w:rFonts w:hint="eastAsia"/>
          <w:highlight w:val="none"/>
          <w:lang w:val="en-US" w:eastAsia="zh-CN"/>
        </w:rPr>
        <w:t>杀青</w:t>
      </w:r>
      <w:r>
        <w:rPr>
          <w:rFonts w:hint="default"/>
          <w:highlight w:val="none"/>
          <w:lang w:val="en-US" w:eastAsia="zh-CN"/>
        </w:rPr>
        <w:t>机、烘干机等加工设备，以及必要的辅助设备。</w:t>
      </w:r>
    </w:p>
    <w:p>
      <w:pPr>
        <w:pStyle w:val="78"/>
        <w:bidi w:val="0"/>
        <w:spacing w:before="0" w:beforeLines="0" w:after="0" w:afterLines="0"/>
        <w:rPr>
          <w:rFonts w:hint="default"/>
          <w:highlight w:val="none"/>
          <w:lang w:val="en-US" w:eastAsia="zh-CN"/>
        </w:rPr>
      </w:pPr>
      <w:r>
        <w:rPr>
          <w:rFonts w:hint="default"/>
          <w:highlight w:val="none"/>
          <w:lang w:val="en-US" w:eastAsia="zh-CN"/>
        </w:rPr>
        <w:t>设备材质应符合食品安全要求，禁用铅、铝合金接触</w:t>
      </w:r>
      <w:r>
        <w:rPr>
          <w:rFonts w:hint="eastAsia"/>
          <w:highlight w:val="none"/>
          <w:lang w:val="en-US" w:eastAsia="zh-CN"/>
        </w:rPr>
        <w:t>百合</w:t>
      </w:r>
      <w:r>
        <w:rPr>
          <w:rFonts w:hint="default"/>
          <w:highlight w:val="none"/>
          <w:lang w:val="en-US" w:eastAsia="zh-CN"/>
        </w:rPr>
        <w:t>，推荐使用不锈钢工具。</w:t>
      </w:r>
    </w:p>
    <w:p>
      <w:pPr>
        <w:pStyle w:val="78"/>
        <w:bidi w:val="0"/>
        <w:spacing w:before="0" w:beforeLines="0" w:after="0" w:afterLines="0"/>
        <w:rPr>
          <w:rFonts w:hint="default"/>
          <w:highlight w:val="none"/>
        </w:rPr>
      </w:pPr>
      <w:r>
        <w:rPr>
          <w:rFonts w:hint="default"/>
          <w:highlight w:val="none"/>
          <w:lang w:val="en-US" w:eastAsia="zh-CN"/>
        </w:rPr>
        <w:t>设备型号应与加工产能匹配。</w:t>
      </w:r>
    </w:p>
    <w:p>
      <w:pPr>
        <w:pStyle w:val="72"/>
        <w:bidi w:val="0"/>
        <w:rPr>
          <w:rFonts w:hint="default"/>
          <w:highlight w:val="none"/>
          <w:lang w:val="en-US" w:eastAsia="zh-CN"/>
        </w:rPr>
      </w:pPr>
      <w:r>
        <w:rPr>
          <w:rFonts w:hint="default"/>
          <w:highlight w:val="none"/>
          <w:lang w:val="en-US" w:eastAsia="zh-CN"/>
        </w:rPr>
        <w:t>加工人员</w:t>
      </w:r>
    </w:p>
    <w:p>
      <w:pPr>
        <w:pStyle w:val="78"/>
        <w:bidi w:val="0"/>
        <w:spacing w:before="0" w:beforeLines="0" w:after="0" w:afterLines="0"/>
        <w:rPr>
          <w:rFonts w:hint="default"/>
          <w:highlight w:val="none"/>
          <w:lang w:val="en-US" w:eastAsia="zh-CN"/>
        </w:rPr>
      </w:pPr>
      <w:bookmarkStart w:id="28" w:name="OLE_LINK1"/>
      <w:r>
        <w:rPr>
          <w:rFonts w:hint="default"/>
          <w:highlight w:val="none"/>
          <w:lang w:val="en-US" w:eastAsia="zh-CN"/>
        </w:rPr>
        <w:t>加工人员数量应满足生产需求，人员结构合理。</w:t>
      </w:r>
    </w:p>
    <w:bookmarkEnd w:id="28"/>
    <w:p>
      <w:pPr>
        <w:pStyle w:val="78"/>
        <w:bidi w:val="0"/>
        <w:spacing w:before="0" w:beforeLines="0" w:after="0" w:afterLines="0"/>
        <w:rPr>
          <w:rFonts w:hint="default"/>
          <w:highlight w:val="none"/>
        </w:rPr>
      </w:pPr>
      <w:r>
        <w:rPr>
          <w:rFonts w:hint="default"/>
          <w:highlight w:val="none"/>
          <w:lang w:val="en-US" w:eastAsia="zh-CN"/>
        </w:rPr>
        <w:t>加工人员应经过专业培训，熟悉工艺操作和卫生规范，取得健康证明后方可上岗，工作时应穿戴整洁的工作服、帽，禁止吸烟。</w:t>
      </w:r>
    </w:p>
    <w:p>
      <w:pPr>
        <w:pStyle w:val="71"/>
        <w:bidi w:val="0"/>
        <w:rPr>
          <w:rFonts w:hint="default"/>
          <w:highlight w:val="none"/>
        </w:rPr>
      </w:pPr>
      <w:bookmarkStart w:id="29" w:name="_Toc26166"/>
      <w:r>
        <w:rPr>
          <w:rFonts w:hint="default"/>
          <w:highlight w:val="none"/>
        </w:rPr>
        <w:t>加工工艺</w:t>
      </w:r>
      <w:bookmarkEnd w:id="29"/>
    </w:p>
    <w:p>
      <w:pPr>
        <w:pStyle w:val="72"/>
        <w:bidi w:val="0"/>
        <w:rPr>
          <w:rFonts w:hint="default"/>
          <w:highlight w:val="none"/>
          <w:lang w:val="en-US" w:eastAsia="zh-CN"/>
        </w:rPr>
      </w:pPr>
      <w:r>
        <w:rPr>
          <w:rFonts w:hint="eastAsia"/>
          <w:highlight w:val="none"/>
          <w:lang w:val="en-US" w:eastAsia="zh-CN"/>
        </w:rPr>
        <w:t>鲜百合</w:t>
      </w:r>
      <w:bookmarkStart w:id="30" w:name="OLE_LINK2"/>
      <w:r>
        <w:rPr>
          <w:rFonts w:hint="eastAsia"/>
          <w:highlight w:val="none"/>
          <w:lang w:val="en-US" w:eastAsia="zh-CN"/>
        </w:rPr>
        <w:t>加工</w:t>
      </w:r>
    </w:p>
    <w:bookmarkEnd w:id="30"/>
    <w:p>
      <w:pPr>
        <w:pStyle w:val="78"/>
        <w:bidi w:val="0"/>
        <w:spacing w:before="0" w:beforeLines="0" w:after="0" w:afterLines="0"/>
        <w:rPr>
          <w:rFonts w:hint="eastAsia" w:ascii="黑体" w:hAnsi="黑体" w:eastAsia="黑体" w:cs="黑体"/>
          <w:highlight w:val="none"/>
          <w:lang w:val="en-US" w:eastAsia="zh-CN"/>
        </w:rPr>
      </w:pPr>
      <w:r>
        <w:rPr>
          <w:rFonts w:hint="eastAsia" w:ascii="黑体" w:hAnsi="黑体" w:eastAsia="黑体" w:cs="黑体"/>
          <w:highlight w:val="none"/>
          <w:lang w:val="en-US" w:eastAsia="zh-CN"/>
        </w:rPr>
        <w:t>加工工艺流程</w:t>
      </w:r>
    </w:p>
    <w:p>
      <w:pPr>
        <w:pStyle w:val="24"/>
        <w:ind w:firstLine="960"/>
        <w:rPr>
          <w:rFonts w:hint="default"/>
          <w:highlight w:val="none"/>
        </w:rPr>
      </w:pPr>
      <w:bookmarkStart w:id="31" w:name="OLE_LINK3"/>
      <w:r>
        <w:rPr>
          <w:rFonts w:hint="eastAsia"/>
          <w:highlight w:val="none"/>
          <w:lang w:val="en-US" w:eastAsia="zh-CN"/>
        </w:rPr>
        <w:t>鲜百合球</w:t>
      </w:r>
      <w:r>
        <w:rPr>
          <w:rFonts w:hint="default"/>
          <w:highlight w:val="none"/>
          <w:lang w:val="en-US" w:eastAsia="zh-CN"/>
        </w:rPr>
        <w:t>→</w:t>
      </w:r>
      <w:r>
        <w:rPr>
          <w:rFonts w:hint="eastAsia"/>
          <w:highlight w:val="none"/>
          <w:lang w:val="en-US" w:eastAsia="zh-CN"/>
        </w:rPr>
        <w:t>去沙</w:t>
      </w:r>
      <w:r>
        <w:rPr>
          <w:rFonts w:hint="default"/>
          <w:highlight w:val="none"/>
          <w:lang w:val="en-US" w:eastAsia="zh-CN"/>
        </w:rPr>
        <w:t>→</w:t>
      </w:r>
      <w:r>
        <w:rPr>
          <w:rFonts w:hint="eastAsia"/>
          <w:highlight w:val="none"/>
          <w:lang w:val="en-US" w:eastAsia="zh-CN"/>
        </w:rPr>
        <w:t>剥除老片</w:t>
      </w:r>
      <w:r>
        <w:rPr>
          <w:rFonts w:hint="default"/>
          <w:highlight w:val="none"/>
          <w:lang w:val="en-US" w:eastAsia="zh-CN"/>
        </w:rPr>
        <w:t>→</w:t>
      </w:r>
      <w:r>
        <w:rPr>
          <w:rFonts w:hint="eastAsia"/>
          <w:highlight w:val="none"/>
          <w:lang w:val="en-US" w:eastAsia="zh-CN"/>
        </w:rPr>
        <w:t>保鲜膜包装</w:t>
      </w:r>
      <w:r>
        <w:rPr>
          <w:rFonts w:hint="default"/>
          <w:highlight w:val="none"/>
          <w:lang w:val="en-US" w:eastAsia="zh-CN"/>
        </w:rPr>
        <w:t>→</w:t>
      </w:r>
      <w:r>
        <w:rPr>
          <w:rFonts w:hint="eastAsia"/>
          <w:highlight w:val="none"/>
          <w:lang w:val="en-US" w:eastAsia="zh-CN"/>
        </w:rPr>
        <w:t>冷藏</w:t>
      </w:r>
      <w:r>
        <w:rPr>
          <w:rFonts w:hint="default"/>
          <w:highlight w:val="none"/>
          <w:lang w:val="en-US" w:eastAsia="zh-CN"/>
        </w:rPr>
        <w:t>。</w:t>
      </w:r>
    </w:p>
    <w:bookmarkEnd w:id="31"/>
    <w:p>
      <w:pPr>
        <w:pStyle w:val="72"/>
        <w:bidi w:val="0"/>
        <w:rPr>
          <w:rFonts w:hint="default"/>
          <w:highlight w:val="none"/>
          <w:lang w:val="en-US" w:eastAsia="zh-CN"/>
        </w:rPr>
      </w:pPr>
      <w:r>
        <w:rPr>
          <w:rFonts w:hint="eastAsia"/>
          <w:highlight w:val="none"/>
          <w:lang w:val="en-US" w:eastAsia="zh-CN"/>
        </w:rPr>
        <w:t>百合粉加工</w:t>
      </w:r>
    </w:p>
    <w:p>
      <w:pPr>
        <w:pStyle w:val="78"/>
        <w:bidi w:val="0"/>
        <w:spacing w:before="0" w:beforeLines="0" w:after="0" w:afterLines="0"/>
        <w:rPr>
          <w:rFonts w:hint="default" w:ascii="黑体" w:hAnsi="黑体" w:eastAsia="黑体" w:cs="黑体"/>
          <w:highlight w:val="none"/>
          <w:lang w:val="en-US" w:eastAsia="zh-CN"/>
        </w:rPr>
      </w:pPr>
      <w:bookmarkStart w:id="32" w:name="OLE_LINK5"/>
      <w:r>
        <w:rPr>
          <w:rFonts w:hint="eastAsia" w:ascii="黑体" w:hAnsi="黑体" w:eastAsia="黑体" w:cs="黑体"/>
          <w:highlight w:val="none"/>
          <w:lang w:val="en-US" w:eastAsia="zh-CN"/>
        </w:rPr>
        <w:t>工艺流程</w:t>
      </w:r>
    </w:p>
    <w:bookmarkEnd w:id="32"/>
    <w:p>
      <w:pPr>
        <w:pStyle w:val="24"/>
        <w:ind w:firstLine="960"/>
        <w:rPr>
          <w:rFonts w:hint="default"/>
          <w:highlight w:val="none"/>
        </w:rPr>
      </w:pPr>
      <w:r>
        <w:rPr>
          <w:rFonts w:hint="eastAsia"/>
          <w:highlight w:val="none"/>
          <w:lang w:val="en-US" w:eastAsia="zh-CN"/>
        </w:rPr>
        <w:t>鲜百合球</w:t>
      </w:r>
      <w:r>
        <w:rPr>
          <w:rFonts w:hint="default"/>
          <w:highlight w:val="none"/>
          <w:lang w:val="en-US" w:eastAsia="zh-CN"/>
        </w:rPr>
        <w:t>→</w:t>
      </w:r>
      <w:bookmarkStart w:id="33" w:name="OLE_LINK6"/>
      <w:r>
        <w:rPr>
          <w:rFonts w:hint="eastAsia"/>
          <w:highlight w:val="none"/>
          <w:lang w:val="en-US" w:eastAsia="zh-CN"/>
        </w:rPr>
        <w:t>选剔、清洗</w:t>
      </w:r>
      <w:bookmarkEnd w:id="33"/>
      <w:r>
        <w:rPr>
          <w:rFonts w:hint="default"/>
          <w:highlight w:val="none"/>
          <w:lang w:val="en-US" w:eastAsia="zh-CN"/>
        </w:rPr>
        <w:t>→</w:t>
      </w:r>
      <w:r>
        <w:rPr>
          <w:rFonts w:hint="eastAsia"/>
          <w:highlight w:val="none"/>
          <w:lang w:val="en-US" w:eastAsia="zh-CN"/>
        </w:rPr>
        <w:t>整理</w:t>
      </w:r>
      <w:r>
        <w:rPr>
          <w:rFonts w:hint="default"/>
          <w:highlight w:val="none"/>
          <w:lang w:val="en-US" w:eastAsia="zh-CN"/>
        </w:rPr>
        <w:t>→</w:t>
      </w:r>
      <w:r>
        <w:rPr>
          <w:rFonts w:hint="eastAsia"/>
          <w:highlight w:val="none"/>
          <w:lang w:val="en-US" w:eastAsia="zh-CN"/>
        </w:rPr>
        <w:t>粉碎</w:t>
      </w:r>
      <w:bookmarkStart w:id="34" w:name="OLE_LINK4"/>
      <w:r>
        <w:rPr>
          <w:rFonts w:hint="default"/>
          <w:highlight w:val="none"/>
          <w:lang w:val="en-US" w:eastAsia="zh-CN"/>
        </w:rPr>
        <w:t>→</w:t>
      </w:r>
      <w:bookmarkEnd w:id="34"/>
      <w:bookmarkStart w:id="35" w:name="OLE_LINK9"/>
      <w:r>
        <w:rPr>
          <w:rFonts w:hint="eastAsia"/>
          <w:highlight w:val="none"/>
          <w:lang w:val="en-US" w:eastAsia="zh-CN"/>
        </w:rPr>
        <w:t>过滤、沉淀</w:t>
      </w:r>
      <w:bookmarkEnd w:id="35"/>
      <w:bookmarkStart w:id="36" w:name="OLE_LINK12"/>
      <w:r>
        <w:rPr>
          <w:rFonts w:hint="default"/>
          <w:highlight w:val="none"/>
          <w:lang w:val="en-US" w:eastAsia="zh-CN"/>
        </w:rPr>
        <w:t>→</w:t>
      </w:r>
      <w:bookmarkEnd w:id="36"/>
      <w:r>
        <w:rPr>
          <w:rFonts w:hint="eastAsia"/>
          <w:highlight w:val="none"/>
          <w:lang w:val="en-US" w:eastAsia="zh-CN"/>
        </w:rPr>
        <w:t>干燥</w:t>
      </w:r>
      <w:r>
        <w:rPr>
          <w:rFonts w:hint="default"/>
          <w:highlight w:val="none"/>
          <w:lang w:val="en-US" w:eastAsia="zh-CN"/>
        </w:rPr>
        <w:t>→</w:t>
      </w:r>
      <w:r>
        <w:rPr>
          <w:rFonts w:hint="eastAsia"/>
          <w:highlight w:val="none"/>
          <w:lang w:val="en-US" w:eastAsia="zh-CN"/>
        </w:rPr>
        <w:t>冷却</w:t>
      </w:r>
      <w:r>
        <w:rPr>
          <w:rFonts w:hint="default"/>
          <w:highlight w:val="none"/>
          <w:lang w:val="en-US" w:eastAsia="zh-CN"/>
        </w:rPr>
        <w:t>。</w:t>
      </w:r>
    </w:p>
    <w:p>
      <w:pPr>
        <w:pStyle w:val="78"/>
        <w:bidi w:val="0"/>
        <w:spacing w:before="0" w:beforeLines="0" w:after="0" w:afterLines="0"/>
        <w:rPr>
          <w:rFonts w:hint="default" w:ascii="黑体" w:hAnsi="黑体" w:eastAsia="黑体" w:cs="黑体"/>
          <w:highlight w:val="none"/>
          <w:lang w:val="en-US" w:eastAsia="zh-CN"/>
        </w:rPr>
      </w:pPr>
      <w:r>
        <w:rPr>
          <w:rFonts w:hint="eastAsia" w:ascii="黑体" w:hAnsi="黑体" w:eastAsia="黑体" w:cs="黑体"/>
          <w:highlight w:val="none"/>
          <w:lang w:val="en-US" w:eastAsia="zh-CN"/>
        </w:rPr>
        <w:t>选剔、清洗</w:t>
      </w:r>
    </w:p>
    <w:p>
      <w:pPr>
        <w:pStyle w:val="24"/>
        <w:ind w:firstLine="960"/>
        <w:rPr>
          <w:rFonts w:hint="default"/>
          <w:highlight w:val="none"/>
          <w:lang w:val="en-US"/>
        </w:rPr>
      </w:pPr>
      <w:r>
        <w:rPr>
          <w:rFonts w:hint="eastAsia"/>
          <w:highlight w:val="none"/>
          <w:lang w:val="en-US" w:eastAsia="zh-CN"/>
        </w:rPr>
        <w:t>选取新鲜、饱满、色泽正常，无腐烂、霉变、病虫害斑点的鲜百合球，将</w:t>
      </w:r>
      <w:bookmarkStart w:id="37" w:name="OLE_LINK7"/>
      <w:r>
        <w:rPr>
          <w:rFonts w:hint="eastAsia"/>
          <w:highlight w:val="none"/>
          <w:lang w:val="en-US" w:eastAsia="zh-CN"/>
        </w:rPr>
        <w:t>鳞片</w:t>
      </w:r>
      <w:bookmarkEnd w:id="37"/>
      <w:r>
        <w:rPr>
          <w:rFonts w:hint="eastAsia"/>
          <w:highlight w:val="none"/>
          <w:lang w:val="en-US" w:eastAsia="zh-CN"/>
        </w:rPr>
        <w:t>剥下，用清水洗净，去除杂质。</w:t>
      </w:r>
      <w:bookmarkStart w:id="38" w:name="OLE_LINK10"/>
      <w:r>
        <w:rPr>
          <w:rFonts w:hint="eastAsia"/>
          <w:highlight w:val="none"/>
          <w:lang w:val="en-US" w:eastAsia="zh-CN"/>
        </w:rPr>
        <w:t>水质应符合GB 5749的规定。</w:t>
      </w:r>
      <w:bookmarkEnd w:id="38"/>
    </w:p>
    <w:p>
      <w:pPr>
        <w:pStyle w:val="78"/>
        <w:bidi w:val="0"/>
        <w:spacing w:before="0" w:beforeLines="0" w:after="0" w:afterLines="0"/>
        <w:rPr>
          <w:rFonts w:hint="default" w:ascii="黑体" w:hAnsi="黑体" w:eastAsia="黑体" w:cs="黑体"/>
          <w:highlight w:val="none"/>
          <w:lang w:val="en-US" w:eastAsia="zh-CN"/>
        </w:rPr>
      </w:pPr>
      <w:r>
        <w:rPr>
          <w:rFonts w:hint="eastAsia" w:ascii="黑体" w:hAnsi="黑体" w:eastAsia="黑体" w:cs="黑体"/>
          <w:highlight w:val="none"/>
          <w:lang w:val="en-US" w:eastAsia="zh-CN"/>
        </w:rPr>
        <w:t>整理</w:t>
      </w:r>
    </w:p>
    <w:p>
      <w:pPr>
        <w:pStyle w:val="24"/>
        <w:ind w:firstLine="960"/>
        <w:rPr>
          <w:rFonts w:hint="default"/>
          <w:highlight w:val="none"/>
          <w:lang w:val="en-US"/>
        </w:rPr>
      </w:pPr>
      <w:r>
        <w:rPr>
          <w:rFonts w:hint="eastAsia"/>
          <w:highlight w:val="none"/>
          <w:lang w:val="en-US" w:eastAsia="zh-CN"/>
        </w:rPr>
        <w:t>将洗净的鳞片按照</w:t>
      </w:r>
      <w:bookmarkStart w:id="39" w:name="OLE_LINK8"/>
      <w:r>
        <w:rPr>
          <w:rFonts w:hint="eastAsia"/>
          <w:highlight w:val="none"/>
          <w:lang w:val="en-US" w:eastAsia="zh-CN"/>
        </w:rPr>
        <w:t>外层鳞片、中层鳞片和芯片分开</w:t>
      </w:r>
      <w:bookmarkEnd w:id="39"/>
      <w:r>
        <w:rPr>
          <w:rFonts w:hint="eastAsia"/>
          <w:highlight w:val="none"/>
          <w:lang w:val="en-US" w:eastAsia="zh-CN"/>
        </w:rPr>
        <w:t>盛装。</w:t>
      </w:r>
    </w:p>
    <w:p>
      <w:pPr>
        <w:pStyle w:val="78"/>
        <w:bidi w:val="0"/>
        <w:spacing w:before="0" w:beforeLines="0" w:after="0" w:afterLines="0"/>
        <w:rPr>
          <w:rFonts w:hint="default" w:ascii="黑体" w:hAnsi="黑体" w:eastAsia="黑体" w:cs="黑体"/>
          <w:highlight w:val="none"/>
          <w:lang w:val="en-US" w:eastAsia="zh-CN"/>
        </w:rPr>
      </w:pPr>
      <w:r>
        <w:rPr>
          <w:rFonts w:hint="eastAsia" w:ascii="黑体" w:hAnsi="黑体" w:eastAsia="黑体" w:cs="黑体"/>
          <w:highlight w:val="none"/>
          <w:lang w:val="en-US" w:eastAsia="zh-CN"/>
        </w:rPr>
        <w:t>粉碎</w:t>
      </w:r>
    </w:p>
    <w:p>
      <w:pPr>
        <w:pStyle w:val="24"/>
        <w:ind w:firstLine="960"/>
        <w:rPr>
          <w:rFonts w:hint="default"/>
          <w:highlight w:val="none"/>
          <w:lang w:val="en-US"/>
        </w:rPr>
      </w:pPr>
      <w:r>
        <w:rPr>
          <w:rFonts w:hint="eastAsia"/>
          <w:highlight w:val="none"/>
          <w:lang w:val="en-US" w:eastAsia="zh-CN"/>
        </w:rPr>
        <w:t>将鳞片投入粉碎机中，加入适量清水，粉碎成均匀的浆状。外层鳞片、中层鳞片和芯片分别粉碎。</w:t>
      </w:r>
      <w:bookmarkStart w:id="40" w:name="OLE_LINK17"/>
      <w:r>
        <w:rPr>
          <w:rFonts w:hint="eastAsia"/>
          <w:highlight w:val="none"/>
          <w:lang w:val="en-US" w:eastAsia="zh-CN"/>
        </w:rPr>
        <w:t>水质应符合GB 5749的规定。</w:t>
      </w:r>
      <w:bookmarkEnd w:id="40"/>
    </w:p>
    <w:p>
      <w:pPr>
        <w:pStyle w:val="78"/>
        <w:bidi w:val="0"/>
        <w:spacing w:before="0" w:beforeLines="0" w:after="0" w:afterLines="0"/>
        <w:rPr>
          <w:rFonts w:hint="default" w:ascii="黑体" w:hAnsi="黑体" w:eastAsia="黑体" w:cs="黑体"/>
          <w:highlight w:val="none"/>
          <w:lang w:val="en-US" w:eastAsia="zh-CN"/>
        </w:rPr>
      </w:pPr>
      <w:r>
        <w:rPr>
          <w:rFonts w:hint="eastAsia" w:ascii="黑体" w:hAnsi="黑体" w:eastAsia="黑体" w:cs="黑体"/>
          <w:highlight w:val="none"/>
          <w:lang w:val="en-US" w:eastAsia="zh-CN"/>
        </w:rPr>
        <w:t>过滤、沉淀</w:t>
      </w:r>
    </w:p>
    <w:p>
      <w:pPr>
        <w:pStyle w:val="24"/>
        <w:ind w:firstLine="960"/>
        <w:rPr>
          <w:rFonts w:hint="default"/>
          <w:highlight w:val="none"/>
          <w:lang w:val="en-US"/>
        </w:rPr>
      </w:pPr>
      <w:r>
        <w:rPr>
          <w:rFonts w:hint="eastAsia"/>
          <w:highlight w:val="none"/>
          <w:lang w:val="en-US" w:eastAsia="zh-CN"/>
        </w:rPr>
        <w:t>将粉碎好的百合浆倒入容器中，静置，使百合粉自然沉降至底部，缓慢倾倒去除上层澄清液。向百合粉沉淀中加入清水，搅拌均匀后再次静置沉淀，重复2</w:t>
      </w:r>
      <w:r>
        <w:rPr>
          <w:rFonts w:hint="default"/>
          <w:highlight w:val="none"/>
          <w:lang w:val="en-US" w:eastAsia="zh-CN"/>
        </w:rPr>
        <w:t>～</w:t>
      </w:r>
      <w:r>
        <w:rPr>
          <w:rFonts w:hint="eastAsia"/>
          <w:highlight w:val="none"/>
          <w:lang w:val="en-US" w:eastAsia="zh-CN"/>
        </w:rPr>
        <w:t>3次，直至上清液澄清无色。最后将获得的百合粉投入离心机中进行离心，获得湿粉团。水质应符合GB 5749的规定。</w:t>
      </w:r>
    </w:p>
    <w:p>
      <w:pPr>
        <w:pStyle w:val="78"/>
        <w:bidi w:val="0"/>
        <w:spacing w:before="0" w:beforeLines="0" w:after="0" w:afterLines="0"/>
        <w:rPr>
          <w:rFonts w:hint="default" w:ascii="黑体" w:hAnsi="黑体" w:eastAsia="黑体" w:cs="黑体"/>
          <w:highlight w:val="none"/>
          <w:lang w:val="en-US" w:eastAsia="zh-CN"/>
        </w:rPr>
      </w:pPr>
      <w:r>
        <w:rPr>
          <w:rFonts w:hint="eastAsia" w:ascii="黑体" w:hAnsi="黑体" w:eastAsia="黑体" w:cs="黑体"/>
          <w:highlight w:val="none"/>
          <w:lang w:val="en-US" w:eastAsia="zh-CN"/>
        </w:rPr>
        <w:t>干燥</w:t>
      </w:r>
    </w:p>
    <w:p>
      <w:pPr>
        <w:pStyle w:val="24"/>
        <w:ind w:firstLine="960"/>
        <w:rPr>
          <w:rFonts w:hint="default"/>
          <w:highlight w:val="none"/>
          <w:lang w:val="en-US" w:eastAsia="zh-CN"/>
        </w:rPr>
      </w:pPr>
      <w:r>
        <w:rPr>
          <w:rFonts w:hint="default"/>
          <w:highlight w:val="none"/>
          <w:lang w:val="en-US" w:eastAsia="zh-CN"/>
        </w:rPr>
        <w:t>采用烘干机进行干燥，温度控制在</w:t>
      </w:r>
      <w:r>
        <w:rPr>
          <w:rFonts w:hint="eastAsia"/>
          <w:highlight w:val="none"/>
          <w:lang w:val="en-US" w:eastAsia="zh-CN"/>
        </w:rPr>
        <w:t>6</w:t>
      </w:r>
      <w:r>
        <w:rPr>
          <w:rFonts w:hint="default"/>
          <w:highlight w:val="none"/>
          <w:lang w:val="en-US" w:eastAsia="zh-CN"/>
        </w:rPr>
        <w:t>0℃</w:t>
      </w:r>
      <w:bookmarkStart w:id="41" w:name="OLE_LINK16"/>
      <w:r>
        <w:rPr>
          <w:rFonts w:hint="default"/>
          <w:highlight w:val="none"/>
          <w:lang w:val="en-US" w:eastAsia="zh-CN"/>
        </w:rPr>
        <w:t>～</w:t>
      </w:r>
      <w:bookmarkEnd w:id="41"/>
      <w:r>
        <w:rPr>
          <w:rFonts w:hint="eastAsia"/>
          <w:highlight w:val="none"/>
          <w:lang w:val="en-US" w:eastAsia="zh-CN"/>
        </w:rPr>
        <w:t>8</w:t>
      </w:r>
      <w:r>
        <w:rPr>
          <w:rFonts w:hint="default"/>
          <w:highlight w:val="none"/>
          <w:lang w:val="en-US" w:eastAsia="zh-CN"/>
        </w:rPr>
        <w:t>0℃，</w:t>
      </w:r>
      <w:bookmarkStart w:id="42" w:name="OLE_LINK20"/>
      <w:r>
        <w:rPr>
          <w:rFonts w:hint="default"/>
          <w:highlight w:val="none"/>
          <w:lang w:val="en-US" w:eastAsia="zh-CN"/>
        </w:rPr>
        <w:t>至</w:t>
      </w:r>
      <w:r>
        <w:rPr>
          <w:rFonts w:hint="eastAsia"/>
          <w:highlight w:val="none"/>
          <w:lang w:val="en-US" w:eastAsia="zh-CN"/>
        </w:rPr>
        <w:t>百合粉</w:t>
      </w:r>
      <w:bookmarkStart w:id="43" w:name="OLE_LINK21"/>
      <w:r>
        <w:rPr>
          <w:rFonts w:hint="eastAsia"/>
          <w:highlight w:val="none"/>
          <w:lang w:val="en-US" w:eastAsia="zh-CN"/>
        </w:rPr>
        <w:t>水分含量小于等于</w:t>
      </w:r>
      <w:bookmarkEnd w:id="43"/>
      <w:r>
        <w:rPr>
          <w:rFonts w:hint="eastAsia"/>
          <w:highlight w:val="none"/>
          <w:lang w:val="en-US" w:eastAsia="zh-CN"/>
        </w:rPr>
        <w:t>14</w:t>
      </w:r>
      <w:r>
        <w:rPr>
          <w:rFonts w:hint="default"/>
          <w:highlight w:val="none"/>
          <w:lang w:val="en-US" w:eastAsia="zh-CN"/>
        </w:rPr>
        <w:t>.5%。</w:t>
      </w:r>
    </w:p>
    <w:bookmarkEnd w:id="42"/>
    <w:p>
      <w:pPr>
        <w:pStyle w:val="78"/>
        <w:bidi w:val="0"/>
        <w:spacing w:before="0" w:beforeLines="0" w:after="0" w:afterLines="0"/>
        <w:rPr>
          <w:rFonts w:hint="default" w:ascii="黑体" w:hAnsi="黑体" w:eastAsia="黑体" w:cs="黑体"/>
          <w:highlight w:val="none"/>
          <w:lang w:val="en-US" w:eastAsia="zh-CN"/>
        </w:rPr>
      </w:pPr>
      <w:r>
        <w:rPr>
          <w:rFonts w:hint="eastAsia" w:ascii="黑体" w:hAnsi="黑体" w:eastAsia="黑体" w:cs="黑体"/>
          <w:highlight w:val="none"/>
          <w:lang w:val="en-US" w:eastAsia="zh-CN"/>
        </w:rPr>
        <w:t>冷却</w:t>
      </w:r>
    </w:p>
    <w:p>
      <w:pPr>
        <w:pStyle w:val="24"/>
        <w:ind w:firstLine="960"/>
        <w:rPr>
          <w:rFonts w:hint="default"/>
          <w:highlight w:val="none"/>
          <w:lang w:val="en-US" w:eastAsia="zh-CN"/>
        </w:rPr>
      </w:pPr>
      <w:r>
        <w:rPr>
          <w:rFonts w:hint="eastAsia"/>
          <w:highlight w:val="none"/>
          <w:lang w:val="en-US" w:eastAsia="zh-CN"/>
        </w:rPr>
        <w:t>将</w:t>
      </w:r>
      <w:r>
        <w:rPr>
          <w:rFonts w:hint="default"/>
          <w:highlight w:val="none"/>
          <w:lang w:val="en-US" w:eastAsia="zh-CN"/>
        </w:rPr>
        <w:t>烘干</w:t>
      </w:r>
      <w:r>
        <w:rPr>
          <w:rFonts w:hint="eastAsia"/>
          <w:highlight w:val="none"/>
          <w:lang w:val="en-US" w:eastAsia="zh-CN"/>
        </w:rPr>
        <w:t>后的百合粉冷却至室温。</w:t>
      </w:r>
    </w:p>
    <w:p>
      <w:pPr>
        <w:pStyle w:val="72"/>
        <w:bidi w:val="0"/>
        <w:rPr>
          <w:rFonts w:hint="default"/>
          <w:highlight w:val="none"/>
          <w:lang w:val="en-US" w:eastAsia="zh-CN"/>
        </w:rPr>
      </w:pPr>
      <w:r>
        <w:rPr>
          <w:rFonts w:hint="eastAsia"/>
          <w:highlight w:val="none"/>
          <w:lang w:val="en-US" w:eastAsia="zh-CN"/>
        </w:rPr>
        <w:t>百合干加工</w:t>
      </w:r>
    </w:p>
    <w:p>
      <w:pPr>
        <w:pStyle w:val="78"/>
        <w:bidi w:val="0"/>
        <w:spacing w:before="0" w:beforeLines="0" w:after="0" w:afterLines="0"/>
        <w:rPr>
          <w:rFonts w:hint="default" w:ascii="黑体" w:hAnsi="黑体" w:eastAsia="黑体" w:cs="黑体"/>
          <w:highlight w:val="none"/>
          <w:lang w:val="en-US" w:eastAsia="zh-CN"/>
        </w:rPr>
      </w:pPr>
      <w:r>
        <w:rPr>
          <w:rFonts w:hint="eastAsia" w:ascii="黑体" w:hAnsi="黑体" w:eastAsia="黑体" w:cs="黑体"/>
          <w:highlight w:val="none"/>
          <w:lang w:val="en-US" w:eastAsia="zh-CN"/>
        </w:rPr>
        <w:t>工艺流程</w:t>
      </w:r>
    </w:p>
    <w:p>
      <w:pPr>
        <w:pStyle w:val="24"/>
        <w:ind w:firstLine="960"/>
        <w:rPr>
          <w:rFonts w:hint="default"/>
          <w:highlight w:val="none"/>
        </w:rPr>
      </w:pPr>
      <w:r>
        <w:rPr>
          <w:rFonts w:hint="eastAsia"/>
          <w:highlight w:val="none"/>
          <w:lang w:val="en-US" w:eastAsia="zh-CN"/>
        </w:rPr>
        <w:t>鲜百合球</w:t>
      </w:r>
      <w:r>
        <w:rPr>
          <w:rFonts w:hint="default"/>
          <w:highlight w:val="none"/>
          <w:lang w:val="en-US" w:eastAsia="zh-CN"/>
        </w:rPr>
        <w:t>→</w:t>
      </w:r>
      <w:r>
        <w:rPr>
          <w:rFonts w:hint="eastAsia"/>
          <w:highlight w:val="none"/>
          <w:lang w:val="en-US" w:eastAsia="zh-CN"/>
        </w:rPr>
        <w:t>选剔、清洗</w:t>
      </w:r>
      <w:r>
        <w:rPr>
          <w:rFonts w:hint="default"/>
          <w:highlight w:val="none"/>
          <w:lang w:val="en-US" w:eastAsia="zh-CN"/>
        </w:rPr>
        <w:t>→</w:t>
      </w:r>
      <w:r>
        <w:rPr>
          <w:rFonts w:hint="eastAsia"/>
          <w:highlight w:val="none"/>
          <w:lang w:val="en-US" w:eastAsia="zh-CN"/>
        </w:rPr>
        <w:t>整理</w:t>
      </w:r>
      <w:r>
        <w:rPr>
          <w:rFonts w:hint="default"/>
          <w:highlight w:val="none"/>
          <w:lang w:val="en-US" w:eastAsia="zh-CN"/>
        </w:rPr>
        <w:t>→</w:t>
      </w:r>
      <w:r>
        <w:rPr>
          <w:rFonts w:hint="eastAsia"/>
          <w:highlight w:val="none"/>
          <w:lang w:val="en-US" w:eastAsia="zh-CN"/>
        </w:rPr>
        <w:t>杀青</w:t>
      </w:r>
      <w:r>
        <w:rPr>
          <w:rFonts w:hint="default"/>
          <w:highlight w:val="none"/>
          <w:lang w:val="en-US" w:eastAsia="zh-CN"/>
        </w:rPr>
        <w:t>→</w:t>
      </w:r>
      <w:r>
        <w:rPr>
          <w:rFonts w:hint="eastAsia"/>
          <w:highlight w:val="none"/>
          <w:lang w:val="en-US" w:eastAsia="zh-CN"/>
        </w:rPr>
        <w:t>烘干</w:t>
      </w:r>
      <w:r>
        <w:rPr>
          <w:rFonts w:hint="default"/>
          <w:highlight w:val="none"/>
          <w:lang w:val="en-US" w:eastAsia="zh-CN"/>
        </w:rPr>
        <w:t>→</w:t>
      </w:r>
      <w:r>
        <w:rPr>
          <w:rFonts w:hint="eastAsia"/>
          <w:highlight w:val="none"/>
          <w:lang w:val="en-US" w:eastAsia="zh-CN"/>
        </w:rPr>
        <w:t>冷却</w:t>
      </w:r>
      <w:r>
        <w:rPr>
          <w:rFonts w:hint="default"/>
          <w:highlight w:val="none"/>
          <w:lang w:val="en-US" w:eastAsia="zh-CN"/>
        </w:rPr>
        <w:t>。</w:t>
      </w:r>
    </w:p>
    <w:p>
      <w:pPr>
        <w:pStyle w:val="78"/>
        <w:bidi w:val="0"/>
        <w:spacing w:before="0" w:beforeLines="0" w:after="0" w:afterLines="0"/>
        <w:rPr>
          <w:rFonts w:hint="default" w:ascii="黑体" w:hAnsi="黑体" w:eastAsia="黑体" w:cs="黑体"/>
          <w:highlight w:val="none"/>
          <w:lang w:val="en-US" w:eastAsia="zh-CN"/>
        </w:rPr>
      </w:pPr>
      <w:r>
        <w:rPr>
          <w:rFonts w:hint="eastAsia" w:ascii="黑体" w:hAnsi="黑体" w:eastAsia="黑体" w:cs="黑体"/>
          <w:highlight w:val="none"/>
          <w:lang w:val="en-US" w:eastAsia="zh-CN"/>
        </w:rPr>
        <w:t>选剔、清洗</w:t>
      </w:r>
    </w:p>
    <w:p>
      <w:pPr>
        <w:pStyle w:val="24"/>
        <w:ind w:firstLine="960"/>
        <w:rPr>
          <w:rFonts w:hint="default"/>
          <w:highlight w:val="none"/>
          <w:lang w:val="en-US"/>
        </w:rPr>
      </w:pPr>
      <w:r>
        <w:rPr>
          <w:rFonts w:hint="eastAsia"/>
          <w:highlight w:val="none"/>
          <w:lang w:val="en-US" w:eastAsia="zh-CN"/>
        </w:rPr>
        <w:t>选取新鲜、饱满、色泽正常，无腐烂、霉变、病虫害斑点的鲜百合球，将鳞片剥下，用清水洗净，去除杂质。水质应符合GB 5749的规定。</w:t>
      </w:r>
    </w:p>
    <w:p>
      <w:pPr>
        <w:pStyle w:val="78"/>
        <w:bidi w:val="0"/>
        <w:spacing w:before="0" w:beforeLines="0" w:after="0" w:afterLines="0"/>
        <w:rPr>
          <w:rFonts w:hint="default" w:ascii="黑体" w:hAnsi="黑体" w:eastAsia="黑体" w:cs="黑体"/>
          <w:highlight w:val="none"/>
          <w:lang w:val="en-US" w:eastAsia="zh-CN"/>
        </w:rPr>
      </w:pPr>
      <w:r>
        <w:rPr>
          <w:rFonts w:hint="eastAsia" w:ascii="黑体" w:hAnsi="黑体" w:eastAsia="黑体" w:cs="黑体"/>
          <w:highlight w:val="none"/>
          <w:lang w:val="en-US" w:eastAsia="zh-CN"/>
        </w:rPr>
        <w:t>整理</w:t>
      </w:r>
    </w:p>
    <w:p>
      <w:pPr>
        <w:pStyle w:val="24"/>
        <w:ind w:firstLine="960"/>
        <w:rPr>
          <w:rFonts w:hint="default"/>
          <w:highlight w:val="none"/>
          <w:lang w:val="en-US"/>
        </w:rPr>
      </w:pPr>
      <w:r>
        <w:rPr>
          <w:rFonts w:hint="eastAsia"/>
          <w:highlight w:val="none"/>
          <w:lang w:val="en-US" w:eastAsia="zh-CN"/>
        </w:rPr>
        <w:t>将洗净的鳞片按照</w:t>
      </w:r>
      <w:bookmarkStart w:id="44" w:name="OLE_LINK11"/>
      <w:r>
        <w:rPr>
          <w:rFonts w:hint="eastAsia"/>
          <w:highlight w:val="none"/>
          <w:lang w:val="en-US" w:eastAsia="zh-CN"/>
        </w:rPr>
        <w:t>外层鳞片、中层鳞片和芯片</w:t>
      </w:r>
      <w:bookmarkEnd w:id="44"/>
      <w:r>
        <w:rPr>
          <w:rFonts w:hint="eastAsia"/>
          <w:highlight w:val="none"/>
          <w:lang w:val="en-US" w:eastAsia="zh-CN"/>
        </w:rPr>
        <w:t>分开盛装。</w:t>
      </w:r>
    </w:p>
    <w:p>
      <w:pPr>
        <w:pStyle w:val="78"/>
        <w:bidi w:val="0"/>
        <w:spacing w:before="0" w:beforeLines="0" w:after="0" w:afterLines="0"/>
        <w:rPr>
          <w:rFonts w:hint="default" w:ascii="黑体" w:hAnsi="黑体" w:eastAsia="黑体" w:cs="黑体"/>
          <w:highlight w:val="none"/>
          <w:lang w:val="en-US" w:eastAsia="zh-CN"/>
        </w:rPr>
      </w:pPr>
      <w:r>
        <w:rPr>
          <w:rFonts w:hint="eastAsia" w:ascii="黑体" w:hAnsi="黑体" w:eastAsia="黑体" w:cs="黑体"/>
          <w:highlight w:val="none"/>
          <w:lang w:val="en-US" w:eastAsia="zh-CN"/>
        </w:rPr>
        <w:t>杀青</w:t>
      </w:r>
    </w:p>
    <w:p>
      <w:pPr>
        <w:pStyle w:val="24"/>
        <w:ind w:firstLine="960"/>
        <w:rPr>
          <w:rFonts w:hint="default"/>
          <w:highlight w:val="none"/>
          <w:lang w:val="en-US"/>
        </w:rPr>
      </w:pPr>
      <w:r>
        <w:rPr>
          <w:rFonts w:hint="eastAsia"/>
          <w:highlight w:val="none"/>
          <w:lang w:val="en-US" w:eastAsia="zh-CN"/>
        </w:rPr>
        <w:t>将鳞片投入杀青锅中，沸水应没过鳞片。鳞片煮熟透，捞出，用凉清水淋洗降温。外层鳞片、中层鳞片和芯片分别煮烫。煮烫（2～3）次换一次水。水质应符合GB 5749的规定。</w:t>
      </w:r>
    </w:p>
    <w:p>
      <w:pPr>
        <w:pStyle w:val="78"/>
        <w:bidi w:val="0"/>
        <w:spacing w:before="0" w:beforeLines="0" w:after="0" w:afterLines="0"/>
        <w:rPr>
          <w:rFonts w:hint="default" w:ascii="黑体" w:hAnsi="黑体" w:eastAsia="黑体" w:cs="黑体"/>
          <w:highlight w:val="none"/>
          <w:lang w:val="en-US" w:eastAsia="zh-CN"/>
        </w:rPr>
      </w:pPr>
      <w:r>
        <w:rPr>
          <w:rFonts w:hint="eastAsia" w:ascii="黑体" w:hAnsi="黑体" w:eastAsia="黑体" w:cs="黑体"/>
          <w:highlight w:val="none"/>
          <w:lang w:val="en-US" w:eastAsia="zh-CN"/>
        </w:rPr>
        <w:t>烘干</w:t>
      </w:r>
    </w:p>
    <w:p>
      <w:pPr>
        <w:pStyle w:val="24"/>
        <w:ind w:firstLine="960"/>
        <w:rPr>
          <w:rFonts w:hint="default"/>
          <w:highlight w:val="none"/>
          <w:lang w:val="en-US" w:eastAsia="zh-CN"/>
        </w:rPr>
      </w:pPr>
      <w:r>
        <w:rPr>
          <w:rFonts w:hint="default"/>
          <w:highlight w:val="none"/>
          <w:lang w:val="en-US" w:eastAsia="zh-CN"/>
        </w:rPr>
        <w:t>采用烘干机进行干燥，温度控制在</w:t>
      </w:r>
      <w:r>
        <w:rPr>
          <w:rFonts w:hint="eastAsia"/>
          <w:highlight w:val="none"/>
          <w:lang w:val="en-US" w:eastAsia="zh-CN"/>
        </w:rPr>
        <w:t>6</w:t>
      </w:r>
      <w:r>
        <w:rPr>
          <w:rFonts w:hint="default"/>
          <w:highlight w:val="none"/>
          <w:lang w:val="en-US" w:eastAsia="zh-CN"/>
        </w:rPr>
        <w:t>0℃</w:t>
      </w:r>
      <w:bookmarkStart w:id="45" w:name="OLE_LINK13"/>
      <w:r>
        <w:rPr>
          <w:rFonts w:hint="default"/>
          <w:highlight w:val="none"/>
          <w:lang w:val="en-US" w:eastAsia="zh-CN"/>
        </w:rPr>
        <w:t>～</w:t>
      </w:r>
      <w:bookmarkEnd w:id="45"/>
      <w:r>
        <w:rPr>
          <w:rFonts w:hint="eastAsia"/>
          <w:highlight w:val="none"/>
          <w:lang w:val="en-US" w:eastAsia="zh-CN"/>
        </w:rPr>
        <w:t>8</w:t>
      </w:r>
      <w:r>
        <w:rPr>
          <w:rFonts w:hint="default"/>
          <w:highlight w:val="none"/>
          <w:lang w:val="en-US" w:eastAsia="zh-CN"/>
        </w:rPr>
        <w:t>0℃，至</w:t>
      </w:r>
      <w:r>
        <w:rPr>
          <w:rFonts w:hint="eastAsia"/>
          <w:highlight w:val="none"/>
          <w:lang w:val="en-US" w:eastAsia="zh-CN"/>
        </w:rPr>
        <w:t>百合干水分含量小于等于14</w:t>
      </w:r>
      <w:r>
        <w:rPr>
          <w:rFonts w:hint="default"/>
          <w:highlight w:val="none"/>
          <w:lang w:val="en-US" w:eastAsia="zh-CN"/>
        </w:rPr>
        <w:t>.</w:t>
      </w:r>
      <w:r>
        <w:rPr>
          <w:rFonts w:hint="eastAsia"/>
          <w:highlight w:val="none"/>
          <w:lang w:val="en-US" w:eastAsia="zh-CN"/>
        </w:rPr>
        <w:t>0</w:t>
      </w:r>
      <w:r>
        <w:rPr>
          <w:rFonts w:hint="default"/>
          <w:highlight w:val="none"/>
          <w:lang w:val="en-US" w:eastAsia="zh-CN"/>
        </w:rPr>
        <w:t>%。</w:t>
      </w:r>
    </w:p>
    <w:p>
      <w:pPr>
        <w:pStyle w:val="78"/>
        <w:bidi w:val="0"/>
        <w:spacing w:before="0" w:beforeLines="0" w:after="0" w:afterLines="0"/>
        <w:rPr>
          <w:rFonts w:hint="default" w:ascii="黑体" w:hAnsi="黑体" w:eastAsia="黑体" w:cs="黑体"/>
          <w:highlight w:val="none"/>
          <w:lang w:val="en-US" w:eastAsia="zh-CN"/>
        </w:rPr>
      </w:pPr>
      <w:r>
        <w:rPr>
          <w:rFonts w:hint="eastAsia" w:ascii="黑体" w:hAnsi="黑体" w:eastAsia="黑体" w:cs="黑体"/>
          <w:highlight w:val="none"/>
          <w:lang w:val="en-US" w:eastAsia="zh-CN"/>
        </w:rPr>
        <w:t>冷却</w:t>
      </w:r>
    </w:p>
    <w:p>
      <w:pPr>
        <w:pStyle w:val="24"/>
        <w:ind w:firstLine="960"/>
        <w:rPr>
          <w:rFonts w:hint="default"/>
          <w:highlight w:val="none"/>
          <w:lang w:val="en-US" w:eastAsia="zh-CN"/>
        </w:rPr>
      </w:pPr>
      <w:r>
        <w:rPr>
          <w:rFonts w:hint="eastAsia"/>
          <w:highlight w:val="none"/>
          <w:lang w:val="en-US" w:eastAsia="zh-CN"/>
        </w:rPr>
        <w:t>将</w:t>
      </w:r>
      <w:r>
        <w:rPr>
          <w:rFonts w:hint="default"/>
          <w:highlight w:val="none"/>
          <w:lang w:val="en-US" w:eastAsia="zh-CN"/>
        </w:rPr>
        <w:t>烘干</w:t>
      </w:r>
      <w:r>
        <w:rPr>
          <w:rFonts w:hint="eastAsia"/>
          <w:highlight w:val="none"/>
          <w:lang w:val="en-US" w:eastAsia="zh-CN"/>
        </w:rPr>
        <w:t>后的百合冷却至室温。</w:t>
      </w:r>
    </w:p>
    <w:p>
      <w:pPr>
        <w:pStyle w:val="71"/>
        <w:bidi w:val="0"/>
        <w:rPr>
          <w:rFonts w:hint="default"/>
          <w:highlight w:val="none"/>
        </w:rPr>
      </w:pPr>
      <w:bookmarkStart w:id="46" w:name="_Toc20517"/>
      <w:r>
        <w:rPr>
          <w:rFonts w:hint="default"/>
          <w:highlight w:val="none"/>
        </w:rPr>
        <w:t>包装、运输和贮存</w:t>
      </w:r>
      <w:bookmarkEnd w:id="46"/>
    </w:p>
    <w:p>
      <w:pPr>
        <w:pStyle w:val="72"/>
        <w:bidi w:val="0"/>
        <w:rPr>
          <w:rFonts w:hint="default"/>
          <w:highlight w:val="none"/>
        </w:rPr>
      </w:pPr>
      <w:r>
        <w:rPr>
          <w:rFonts w:hint="default"/>
          <w:highlight w:val="none"/>
          <w:lang w:val="en-US" w:eastAsia="zh-CN"/>
        </w:rPr>
        <w:t>包装</w:t>
      </w:r>
    </w:p>
    <w:p>
      <w:pPr>
        <w:pStyle w:val="78"/>
        <w:bidi w:val="0"/>
        <w:spacing w:before="0" w:beforeLines="0" w:after="0" w:afterLines="0"/>
        <w:rPr>
          <w:rFonts w:hint="eastAsia"/>
          <w:highlight w:val="none"/>
        </w:rPr>
      </w:pPr>
      <w:bookmarkStart w:id="47" w:name="OLE_LINK22"/>
      <w:r>
        <w:rPr>
          <w:rFonts w:hint="eastAsia"/>
          <w:highlight w:val="none"/>
        </w:rPr>
        <w:t>包装应符合</w:t>
      </w:r>
      <w:r>
        <w:rPr>
          <w:rFonts w:hint="eastAsia"/>
          <w:highlight w:val="none"/>
          <w:lang w:val="en-US" w:eastAsia="zh-CN"/>
        </w:rPr>
        <w:t>GB 7718和</w:t>
      </w:r>
      <w:bookmarkStart w:id="48" w:name="OLE_LINK18"/>
      <w:r>
        <w:rPr>
          <w:rFonts w:hint="eastAsia"/>
          <w:highlight w:val="none"/>
          <w:lang w:val="en-US" w:eastAsia="zh-CN"/>
        </w:rPr>
        <w:t>GB 28050</w:t>
      </w:r>
      <w:bookmarkEnd w:id="48"/>
      <w:r>
        <w:rPr>
          <w:rFonts w:hint="eastAsia"/>
          <w:highlight w:val="none"/>
          <w:lang w:val="en-US" w:eastAsia="zh-CN"/>
        </w:rPr>
        <w:t>的</w:t>
      </w:r>
      <w:r>
        <w:rPr>
          <w:rFonts w:hint="eastAsia"/>
          <w:highlight w:val="none"/>
        </w:rPr>
        <w:t>要求</w:t>
      </w:r>
      <w:r>
        <w:rPr>
          <w:rFonts w:hint="eastAsia"/>
          <w:highlight w:val="none"/>
          <w:lang w:eastAsia="zh-CN"/>
        </w:rPr>
        <w:t>，</w:t>
      </w:r>
      <w:r>
        <w:rPr>
          <w:rFonts w:hint="default"/>
          <w:highlight w:val="none"/>
          <w:lang w:val="en-US" w:eastAsia="zh-CN"/>
        </w:rPr>
        <w:t>注明</w:t>
      </w:r>
      <w:r>
        <w:rPr>
          <w:rFonts w:hint="eastAsia"/>
          <w:highlight w:val="none"/>
          <w:lang w:val="en-US" w:eastAsia="zh-CN"/>
        </w:rPr>
        <w:t>产品名称</w:t>
      </w:r>
      <w:r>
        <w:rPr>
          <w:rFonts w:hint="default"/>
          <w:highlight w:val="none"/>
          <w:lang w:val="en-US" w:eastAsia="zh-CN"/>
        </w:rPr>
        <w:t>、</w:t>
      </w:r>
      <w:r>
        <w:rPr>
          <w:rFonts w:hint="eastAsia"/>
          <w:highlight w:val="none"/>
          <w:lang w:val="en-US" w:eastAsia="zh-CN"/>
        </w:rPr>
        <w:t>生产者名称、</w:t>
      </w:r>
      <w:r>
        <w:rPr>
          <w:rFonts w:hint="default"/>
          <w:highlight w:val="none"/>
          <w:lang w:val="en-US" w:eastAsia="zh-CN"/>
        </w:rPr>
        <w:t>等级、净含量等信息</w:t>
      </w:r>
      <w:r>
        <w:rPr>
          <w:rFonts w:hint="eastAsia"/>
          <w:highlight w:val="none"/>
          <w:lang w:val="en-US" w:eastAsia="zh-CN"/>
        </w:rPr>
        <w:t>。</w:t>
      </w:r>
      <w:r>
        <w:rPr>
          <w:rFonts w:hint="eastAsia"/>
          <w:highlight w:val="none"/>
        </w:rPr>
        <w:t>绿色食品应符合NY/T 65</w:t>
      </w:r>
      <w:r>
        <w:rPr>
          <w:rFonts w:hint="eastAsia"/>
          <w:highlight w:val="none"/>
          <w:lang w:val="en-US" w:eastAsia="zh-CN"/>
        </w:rPr>
        <w:t>8</w:t>
      </w:r>
      <w:r>
        <w:rPr>
          <w:rFonts w:hint="eastAsia"/>
          <w:highlight w:val="none"/>
        </w:rPr>
        <w:t>的要求</w:t>
      </w:r>
      <w:r>
        <w:rPr>
          <w:rFonts w:hint="eastAsia"/>
          <w:highlight w:val="none"/>
          <w:lang w:eastAsia="zh-CN"/>
        </w:rPr>
        <w:t>，</w:t>
      </w:r>
      <w:r>
        <w:rPr>
          <w:rFonts w:hint="eastAsia"/>
          <w:highlight w:val="none"/>
        </w:rPr>
        <w:t>有机产品应符合GB/T 19630的要求。</w:t>
      </w:r>
      <w:bookmarkEnd w:id="47"/>
    </w:p>
    <w:p>
      <w:pPr>
        <w:pStyle w:val="78"/>
        <w:bidi w:val="0"/>
        <w:spacing w:before="0" w:beforeLines="0" w:after="0" w:afterLines="0"/>
        <w:rPr>
          <w:rFonts w:hint="eastAsia"/>
          <w:highlight w:val="none"/>
        </w:rPr>
      </w:pPr>
      <w:r>
        <w:rPr>
          <w:rFonts w:hint="eastAsia"/>
          <w:highlight w:val="none"/>
        </w:rPr>
        <w:t>包装材料应分别符合</w:t>
      </w:r>
      <w:r>
        <w:rPr>
          <w:highlight w:val="none"/>
        </w:rPr>
        <w:t>GB 4806.1</w:t>
      </w:r>
      <w:r>
        <w:rPr>
          <w:rFonts w:hint="eastAsia"/>
          <w:highlight w:val="none"/>
        </w:rPr>
        <w:t>、GB 4806.7的规定。</w:t>
      </w:r>
    </w:p>
    <w:p>
      <w:pPr>
        <w:pStyle w:val="78"/>
        <w:bidi w:val="0"/>
        <w:spacing w:before="0" w:beforeLines="0" w:after="0" w:afterLines="0"/>
        <w:rPr>
          <w:rFonts w:hint="eastAsia"/>
          <w:highlight w:val="none"/>
        </w:rPr>
      </w:pPr>
      <w:r>
        <w:rPr>
          <w:rFonts w:hint="eastAsia"/>
          <w:highlight w:val="none"/>
        </w:rPr>
        <w:t>塑料包装容器应符合GB/T 5737的要求。</w:t>
      </w:r>
    </w:p>
    <w:p>
      <w:pPr>
        <w:pStyle w:val="72"/>
        <w:bidi w:val="0"/>
        <w:rPr>
          <w:rFonts w:hint="default"/>
          <w:highlight w:val="none"/>
          <w:lang w:val="en-US" w:eastAsia="zh-CN"/>
        </w:rPr>
      </w:pPr>
      <w:r>
        <w:rPr>
          <w:rFonts w:hint="default"/>
          <w:highlight w:val="none"/>
          <w:lang w:val="en-US" w:eastAsia="zh-CN"/>
        </w:rPr>
        <w:t>运输</w:t>
      </w:r>
    </w:p>
    <w:p>
      <w:pPr>
        <w:pStyle w:val="24"/>
        <w:ind w:firstLine="960"/>
        <w:rPr>
          <w:rFonts w:hint="default"/>
          <w:highlight w:val="none"/>
        </w:rPr>
      </w:pPr>
      <w:r>
        <w:rPr>
          <w:rFonts w:hint="default"/>
          <w:highlight w:val="none"/>
          <w:lang w:val="en-US" w:eastAsia="zh-CN"/>
        </w:rPr>
        <w:t>运输工具应清洁、干燥、无异味、无污染；运输时应防雨、防潮、防暴晒，严禁与有毒、有异味等损害</w:t>
      </w:r>
      <w:r>
        <w:rPr>
          <w:rFonts w:hint="eastAsia"/>
          <w:highlight w:val="none"/>
          <w:lang w:val="en-US" w:eastAsia="zh-CN"/>
        </w:rPr>
        <w:t>百合</w:t>
      </w:r>
      <w:r>
        <w:rPr>
          <w:rFonts w:hint="default"/>
          <w:highlight w:val="none"/>
          <w:lang w:val="en-US" w:eastAsia="zh-CN"/>
        </w:rPr>
        <w:t>品质的货物混装运输，并避免剧烈撞击、重压。</w:t>
      </w:r>
      <w:r>
        <w:rPr>
          <w:rFonts w:hint="eastAsia"/>
          <w:highlight w:val="none"/>
          <w:lang w:val="en-US" w:eastAsia="zh-CN"/>
        </w:rPr>
        <w:t>鲜百合运输过程中适宜的温度为</w:t>
      </w:r>
      <w:bookmarkStart w:id="49" w:name="OLE_LINK14"/>
      <w:r>
        <w:rPr>
          <w:rFonts w:hint="eastAsia"/>
          <w:highlight w:val="none"/>
          <w:lang w:val="en-US" w:eastAsia="zh-CN"/>
        </w:rPr>
        <w:t>1℃</w:t>
      </w:r>
      <w:r>
        <w:rPr>
          <w:rFonts w:hint="default"/>
          <w:highlight w:val="none"/>
          <w:lang w:val="en-US" w:eastAsia="zh-CN"/>
        </w:rPr>
        <w:t>～</w:t>
      </w:r>
      <w:r>
        <w:rPr>
          <w:rFonts w:hint="eastAsia"/>
          <w:highlight w:val="none"/>
          <w:lang w:val="en-US" w:eastAsia="zh-CN"/>
        </w:rPr>
        <w:t>10℃</w:t>
      </w:r>
      <w:bookmarkEnd w:id="49"/>
      <w:r>
        <w:rPr>
          <w:rFonts w:hint="eastAsia"/>
          <w:highlight w:val="none"/>
          <w:lang w:val="en-US" w:eastAsia="zh-CN"/>
        </w:rPr>
        <w:t>。</w:t>
      </w:r>
      <w:r>
        <w:rPr>
          <w:rFonts w:hint="eastAsia"/>
          <w:highlight w:val="none"/>
        </w:rPr>
        <w:t>绿色食品应符合NY/T 1056的要求</w:t>
      </w:r>
      <w:r>
        <w:rPr>
          <w:rFonts w:hint="eastAsia"/>
          <w:highlight w:val="none"/>
          <w:lang w:eastAsia="zh-CN"/>
        </w:rPr>
        <w:t>，</w:t>
      </w:r>
      <w:r>
        <w:rPr>
          <w:rFonts w:hint="eastAsia"/>
          <w:highlight w:val="none"/>
        </w:rPr>
        <w:t>有机产品应符合GB/T 19630的要求。</w:t>
      </w:r>
    </w:p>
    <w:p>
      <w:pPr>
        <w:pStyle w:val="72"/>
        <w:bidi w:val="0"/>
        <w:rPr>
          <w:rFonts w:hint="default"/>
          <w:highlight w:val="none"/>
          <w:lang w:val="en-US" w:eastAsia="zh-CN"/>
        </w:rPr>
      </w:pPr>
      <w:r>
        <w:rPr>
          <w:rFonts w:hint="default"/>
          <w:highlight w:val="none"/>
          <w:lang w:val="en-US" w:eastAsia="zh-CN"/>
        </w:rPr>
        <w:t>贮存</w:t>
      </w:r>
    </w:p>
    <w:p>
      <w:pPr>
        <w:pStyle w:val="78"/>
        <w:numPr>
          <w:ilvl w:val="0"/>
          <w:numId w:val="0"/>
        </w:numPr>
        <w:spacing w:before="0" w:beforeLines="0" w:after="0" w:afterLines="0"/>
        <w:ind w:firstLine="420" w:firstLineChars="200"/>
        <w:rPr>
          <w:rFonts w:hint="default"/>
          <w:highlight w:val="none"/>
          <w:lang w:val="en-US" w:eastAsia="zh-CN"/>
        </w:rPr>
      </w:pPr>
      <w:bookmarkStart w:id="50" w:name="OLE_LINK23"/>
      <w:r>
        <w:rPr>
          <w:rFonts w:hint="eastAsia"/>
          <w:highlight w:val="none"/>
          <w:lang w:val="en-US" w:eastAsia="zh-CN"/>
        </w:rPr>
        <w:t xml:space="preserve">产品贮存应符合 </w:t>
      </w:r>
      <w:bookmarkStart w:id="51" w:name="OLE_LINK19"/>
      <w:r>
        <w:rPr>
          <w:rFonts w:hint="eastAsia"/>
          <w:highlight w:val="none"/>
          <w:lang w:val="en-US" w:eastAsia="zh-CN"/>
        </w:rPr>
        <w:t>GB 31621</w:t>
      </w:r>
      <w:bookmarkEnd w:id="51"/>
      <w:r>
        <w:rPr>
          <w:rFonts w:hint="eastAsia"/>
          <w:highlight w:val="none"/>
          <w:lang w:val="en-US" w:eastAsia="zh-CN"/>
        </w:rPr>
        <w:t xml:space="preserve"> 的有关规定，</w:t>
      </w:r>
      <w:bookmarkEnd w:id="50"/>
      <w:r>
        <w:rPr>
          <w:rFonts w:hint="eastAsia"/>
          <w:highlight w:val="none"/>
          <w:lang w:val="en-US" w:eastAsia="zh-CN"/>
        </w:rPr>
        <w:t>鲜百合应在0℃</w:t>
      </w:r>
      <w:r>
        <w:rPr>
          <w:rFonts w:hint="default"/>
          <w:highlight w:val="none"/>
          <w:lang w:val="en-US" w:eastAsia="zh-CN"/>
        </w:rPr>
        <w:t>～</w:t>
      </w:r>
      <w:r>
        <w:rPr>
          <w:rFonts w:hint="eastAsia"/>
          <w:highlight w:val="none"/>
          <w:lang w:val="en-US" w:eastAsia="zh-CN"/>
        </w:rPr>
        <w:t>5℃贮存；百合粉和百合干常温</w:t>
      </w:r>
      <w:bookmarkStart w:id="52" w:name="OLE_LINK15"/>
      <w:r>
        <w:rPr>
          <w:rFonts w:hint="eastAsia"/>
          <w:highlight w:val="none"/>
          <w:lang w:val="en-US" w:eastAsia="zh-CN"/>
        </w:rPr>
        <w:t>贮存</w:t>
      </w:r>
      <w:bookmarkEnd w:id="52"/>
      <w:r>
        <w:rPr>
          <w:rFonts w:hint="eastAsia"/>
          <w:highlight w:val="none"/>
          <w:lang w:val="en-US" w:eastAsia="zh-CN"/>
        </w:rPr>
        <w:t>。</w:t>
      </w:r>
    </w:p>
    <w:p>
      <w:pPr>
        <w:pStyle w:val="71"/>
        <w:bidi w:val="0"/>
        <w:rPr>
          <w:rFonts w:hint="default"/>
          <w:highlight w:val="none"/>
        </w:rPr>
      </w:pPr>
      <w:bookmarkStart w:id="53" w:name="_Toc27209"/>
      <w:r>
        <w:rPr>
          <w:rFonts w:hint="default"/>
          <w:highlight w:val="none"/>
        </w:rPr>
        <w:t>质量管理</w:t>
      </w:r>
      <w:bookmarkEnd w:id="53"/>
    </w:p>
    <w:p>
      <w:pPr>
        <w:pStyle w:val="72"/>
        <w:bidi w:val="0"/>
        <w:rPr>
          <w:rFonts w:hint="eastAsia"/>
          <w:highlight w:val="none"/>
          <w:lang w:val="en-US" w:eastAsia="zh-CN"/>
        </w:rPr>
      </w:pPr>
      <w:r>
        <w:rPr>
          <w:rFonts w:hint="eastAsia"/>
          <w:highlight w:val="none"/>
          <w:lang w:val="en-US" w:eastAsia="zh-CN"/>
        </w:rPr>
        <w:t>过程监控</w:t>
      </w:r>
    </w:p>
    <w:p>
      <w:pPr>
        <w:ind w:firstLine="420" w:firstLineChars="200"/>
        <w:rPr>
          <w:rFonts w:hint="eastAsia"/>
          <w:highlight w:val="none"/>
          <w:lang w:val="en-US" w:eastAsia="zh-CN"/>
        </w:rPr>
      </w:pPr>
      <w:r>
        <w:rPr>
          <w:rFonts w:hint="eastAsia"/>
          <w:highlight w:val="none"/>
          <w:lang w:val="en-US" w:eastAsia="zh-CN"/>
        </w:rPr>
        <w:t>对加工过程中的关键控制点进行监控，如干燥时间、温度等，并做好记录。</w:t>
      </w:r>
    </w:p>
    <w:p>
      <w:pPr>
        <w:pStyle w:val="72"/>
        <w:bidi w:val="0"/>
        <w:rPr>
          <w:rFonts w:hint="eastAsia"/>
          <w:highlight w:val="none"/>
          <w:lang w:val="en-US" w:eastAsia="zh-CN"/>
        </w:rPr>
      </w:pPr>
      <w:r>
        <w:rPr>
          <w:rFonts w:hint="eastAsia"/>
          <w:highlight w:val="none"/>
          <w:lang w:val="en-US" w:eastAsia="zh-CN"/>
        </w:rPr>
        <w:t>成品检验</w:t>
      </w:r>
    </w:p>
    <w:p>
      <w:pPr>
        <w:ind w:firstLine="420" w:firstLineChars="200"/>
        <w:rPr>
          <w:rFonts w:hint="eastAsia"/>
          <w:highlight w:val="none"/>
          <w:lang w:val="en-US" w:eastAsia="zh-CN"/>
        </w:rPr>
      </w:pPr>
      <w:r>
        <w:rPr>
          <w:rFonts w:hint="eastAsia"/>
          <w:highlight w:val="none"/>
          <w:lang w:val="en-US" w:eastAsia="zh-CN"/>
        </w:rPr>
        <w:t>对成品进行检验，鲜百合检验感官指标；百合粉和百合干检验感官指标、理化指标、安全指标等，检验合格后方可出厂。</w:t>
      </w:r>
    </w:p>
    <w:p>
      <w:pPr>
        <w:pStyle w:val="72"/>
        <w:bidi w:val="0"/>
        <w:rPr>
          <w:rFonts w:hint="eastAsia"/>
          <w:highlight w:val="none"/>
          <w:lang w:val="en-US" w:eastAsia="zh-CN"/>
        </w:rPr>
      </w:pPr>
      <w:r>
        <w:rPr>
          <w:rFonts w:hint="eastAsia"/>
          <w:highlight w:val="none"/>
          <w:lang w:val="en-US" w:eastAsia="zh-CN"/>
        </w:rPr>
        <w:t>质量追溯</w:t>
      </w:r>
    </w:p>
    <w:p>
      <w:pPr>
        <w:ind w:firstLine="420" w:firstLineChars="200"/>
        <w:rPr>
          <w:rFonts w:hint="eastAsia"/>
          <w:highlight w:val="none"/>
          <w:lang w:val="en-US" w:eastAsia="zh-CN"/>
        </w:rPr>
      </w:pPr>
      <w:r>
        <w:rPr>
          <w:rFonts w:hint="eastAsia"/>
          <w:highlight w:val="none"/>
          <w:lang w:val="en-US" w:eastAsia="zh-CN"/>
        </w:rPr>
        <w:t>建立完善的质量追溯体系，对产品从原料采购到加工、贮存、运输、销售等各个环节进行记录，确保产品质量可追溯。</w:t>
      </w:r>
    </w:p>
    <w:p>
      <w:pPr>
        <w:rPr>
          <w:rFonts w:hint="eastAsia"/>
          <w:highlight w:val="none"/>
          <w:lang w:val="en-US" w:eastAsia="zh-CN"/>
        </w:rPr>
      </w:pPr>
      <w:r>
        <w:rPr>
          <w:rFonts w:hint="eastAsia"/>
          <w:highlight w:val="none"/>
          <w:lang w:val="en-US" w:eastAsia="zh-CN"/>
        </w:rPr>
        <w:br w:type="page"/>
      </w:r>
      <w:bookmarkStart w:id="54" w:name="BKFL"/>
    </w:p>
    <w:p>
      <w:pPr>
        <w:pStyle w:val="87"/>
        <w:bidi w:val="0"/>
        <w:rPr>
          <w:rFonts w:hint="eastAsia"/>
          <w:highlight w:val="none"/>
          <w:lang w:val="en-US" w:eastAsia="zh-CN"/>
        </w:rPr>
      </w:pPr>
      <w:bookmarkStart w:id="55" w:name="_Toc28217"/>
    </w:p>
    <w:p>
      <w:pPr>
        <w:pStyle w:val="87"/>
        <w:numPr>
          <w:ilvl w:val="0"/>
          <w:numId w:val="0"/>
        </w:numPr>
        <w:bidi w:val="0"/>
        <w:ind w:leftChars="0"/>
        <w:jc w:val="center"/>
        <w:rPr>
          <w:rFonts w:hint="eastAsia"/>
          <w:highlight w:val="none"/>
          <w:lang w:val="en-US" w:eastAsia="zh-CN"/>
        </w:rPr>
      </w:pPr>
      <w:r>
        <w:rPr>
          <w:rFonts w:hint="eastAsia"/>
          <w:lang w:val="en-US" w:eastAsia="zh-CN"/>
        </w:rPr>
        <w:t>（规范性）</w:t>
      </w:r>
    </w:p>
    <w:p>
      <w:pPr>
        <w:pStyle w:val="87"/>
        <w:numPr>
          <w:ilvl w:val="0"/>
          <w:numId w:val="0"/>
        </w:numPr>
        <w:bidi w:val="0"/>
        <w:ind w:leftChars="0"/>
        <w:jc w:val="center"/>
        <w:rPr>
          <w:rFonts w:hint="eastAsia"/>
          <w:highlight w:val="none"/>
          <w:lang w:val="en-US" w:eastAsia="zh-CN"/>
        </w:rPr>
      </w:pPr>
      <w:r>
        <w:rPr>
          <w:rFonts w:hint="eastAsia"/>
          <w:highlight w:val="none"/>
          <w:lang w:val="en-US" w:eastAsia="zh-CN"/>
        </w:rPr>
        <w:t>井冈山百合生产区域范围图</w:t>
      </w:r>
      <w:bookmarkEnd w:id="55"/>
    </w:p>
    <w:p>
      <w:pPr>
        <w:pStyle w:val="24"/>
        <w:rPr>
          <w:rFonts w:hint="eastAsia"/>
          <w:highlight w:val="none"/>
          <w:lang w:val="en-US" w:eastAsia="zh-CN"/>
        </w:rPr>
      </w:pPr>
    </w:p>
    <w:p>
      <w:pPr>
        <w:pStyle w:val="24"/>
        <w:rPr>
          <w:rFonts w:hint="default"/>
          <w:highlight w:val="none"/>
          <w:lang w:val="en-US" w:eastAsia="zh-CN"/>
        </w:rPr>
      </w:pPr>
      <w:r>
        <w:rPr>
          <w:rFonts w:hint="eastAsia"/>
          <w:highlight w:val="none"/>
          <w:lang w:val="en-US" w:eastAsia="zh-CN"/>
        </w:rPr>
        <w:t>井冈山百合生产区域范围见图A.1。</w:t>
      </w:r>
    </w:p>
    <w:bookmarkEnd w:id="54"/>
    <w:p>
      <w:pPr>
        <w:pStyle w:val="24"/>
        <w:ind w:firstLine="0" w:firstLineChars="0"/>
        <w:jc w:val="center"/>
        <w:rPr>
          <w:highlight w:val="none"/>
        </w:rPr>
      </w:pPr>
      <w:r>
        <w:rPr>
          <w:highlight w:val="none"/>
        </w:rPr>
        <w:drawing>
          <wp:inline distT="0" distB="0" distL="114300" distR="114300">
            <wp:extent cx="3604260" cy="5093335"/>
            <wp:effectExtent l="0" t="0" r="15240" b="12065"/>
            <wp:docPr id="1" name="图片 1" descr="0678208d9958eceed3b97fe5adbcc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678208d9958eceed3b97fe5adbcc18"/>
                    <pic:cNvPicPr>
                      <a:picLocks noChangeAspect="1"/>
                    </pic:cNvPicPr>
                  </pic:nvPicPr>
                  <pic:blipFill>
                    <a:blip r:embed="rId10"/>
                    <a:stretch>
                      <a:fillRect/>
                    </a:stretch>
                  </pic:blipFill>
                  <pic:spPr>
                    <a:xfrm>
                      <a:off x="0" y="0"/>
                      <a:ext cx="3604260" cy="5093335"/>
                    </a:xfrm>
                    <a:prstGeom prst="rect">
                      <a:avLst/>
                    </a:prstGeom>
                  </pic:spPr>
                </pic:pic>
              </a:graphicData>
            </a:graphic>
          </wp:inline>
        </w:drawing>
      </w:r>
    </w:p>
    <w:p>
      <w:pPr>
        <w:pStyle w:val="113"/>
        <w:numPr>
          <w:ilvl w:val="0"/>
          <w:numId w:val="0"/>
        </w:numPr>
        <w:bidi w:val="0"/>
        <w:ind w:leftChars="0"/>
        <w:jc w:val="center"/>
        <w:rPr>
          <w:rFonts w:hint="eastAsia"/>
          <w:highlight w:val="none"/>
          <w:lang w:val="en-US" w:eastAsia="zh-CN"/>
        </w:rPr>
      </w:pPr>
      <w:r>
        <w:rPr>
          <w:rFonts w:hint="eastAsia"/>
          <w:highlight w:val="none"/>
          <w:lang w:val="en-US" w:eastAsia="zh-CN"/>
        </w:rPr>
        <w:t>图A.1 井冈山百合生产区域范围图</w:t>
      </w:r>
    </w:p>
    <w:p>
      <w:pPr>
        <w:pStyle w:val="24"/>
        <w:jc w:val="center"/>
        <w:rPr>
          <w:highlight w:val="none"/>
        </w:rPr>
      </w:pPr>
    </w:p>
    <w:p>
      <w:pPr>
        <w:pStyle w:val="24"/>
        <w:jc w:val="center"/>
        <w:rPr>
          <w:highlight w:val="none"/>
        </w:rPr>
      </w:pPr>
    </w:p>
    <w:p>
      <w:pPr>
        <w:pStyle w:val="24"/>
        <w:jc w:val="center"/>
        <w:rPr>
          <w:highlight w:val="none"/>
        </w:rPr>
      </w:pPr>
    </w:p>
    <w:p>
      <w:pPr>
        <w:pStyle w:val="111"/>
        <w:bidi w:val="0"/>
        <w:rPr>
          <w:rFonts w:hint="default"/>
          <w:highlight w:val="none"/>
          <w:lang w:val="en-US" w:eastAsia="zh-CN"/>
        </w:rPr>
      </w:pPr>
      <w:bookmarkStart w:id="56" w:name="EndLine"/>
      <w:r>
        <w:rPr>
          <w:rFonts w:hint="default"/>
          <w:highlight w:val="none"/>
          <w:lang w:val="en-US" w:eastAsia="zh-CN"/>
        </w:rPr>
        <w:drawing>
          <wp:inline distT="0" distB="0" distL="114300" distR="114300">
            <wp:extent cx="1485900" cy="317500"/>
            <wp:effectExtent l="0" t="0" r="0" b="6350"/>
            <wp:docPr id="2" name="图片 2" descr="EndLine"/>
            <wp:cNvGraphicFramePr/>
            <a:graphic xmlns:a="http://schemas.openxmlformats.org/drawingml/2006/main">
              <a:graphicData uri="http://schemas.openxmlformats.org/drawingml/2006/picture">
                <pic:pic xmlns:pic="http://schemas.openxmlformats.org/drawingml/2006/picture">
                  <pic:nvPicPr>
                    <pic:cNvPr id="2" name="图片 2" descr="EndLine"/>
                    <pic:cNvPicPr/>
                  </pic:nvPicPr>
                  <pic:blipFill>
                    <a:blip r:embed="rId11"/>
                    <a:stretch>
                      <a:fillRect/>
                    </a:stretch>
                  </pic:blipFill>
                  <pic:spPr>
                    <a:xfrm>
                      <a:off x="0" y="0"/>
                      <a:ext cx="1485900" cy="317500"/>
                    </a:xfrm>
                    <a:prstGeom prst="rect">
                      <a:avLst/>
                    </a:prstGeom>
                  </pic:spPr>
                </pic:pic>
              </a:graphicData>
            </a:graphic>
          </wp:inline>
        </w:drawing>
      </w:r>
      <w:bookmarkEnd w:id="56"/>
    </w:p>
    <w:sectPr>
      <w:footerReference r:id="rId7" w:type="default"/>
      <w:footerReference r:id="rId8" w:type="even"/>
      <w:pgSz w:w="11906" w:h="16838"/>
      <w:pgMar w:top="2410" w:right="1134" w:bottom="1134" w:left="1134" w:header="1418" w:footer="1134" w:gutter="284"/>
      <w:lnNumType w:countBy="0" w:restart="continuou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bidi w:val="0"/>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bidi w:val="0"/>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0"/>
                      <w:bidi w:val="0"/>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bidi w:val="0"/>
      <w:rPr>
        <w:rFonts w:hint="eastAsia" w:eastAsia="宋体"/>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bidi w:val="0"/>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0"/>
                      <w:bidi w:val="0"/>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bidi w:val="0"/>
      <w:jc w:val="left"/>
      <w:rPr>
        <w:rFonts w:hint="default" w:eastAsia="黑体"/>
        <w:lang w:val="en-US" w:eastAsia="zh-CN"/>
      </w:rPr>
    </w:pPr>
    <w:r>
      <w:rPr>
        <w:rFonts w:hint="eastAsia"/>
        <w:lang w:eastAsia="zh-CN"/>
      </w:rPr>
      <w:t xml:space="preserve">T/JALNCP </w:t>
    </w:r>
    <w:r>
      <w:rPr>
        <w:rFonts w:hint="eastAsia"/>
        <w:lang w:val="en-US" w:eastAsia="zh-CN"/>
      </w:rPr>
      <w:t>XXX</w:t>
    </w:r>
    <w:r>
      <w:rPr>
        <w:rFonts w:hint="eastAsia"/>
        <w:lang w:eastAsia="zh-CN"/>
      </w:rPr>
      <w:t>-202</w:t>
    </w:r>
    <w:r>
      <w:rPr>
        <w:rFonts w:hint="eastAsia"/>
        <w:lang w:val="en-US" w:eastAsia="zh-CN"/>
      </w:rPr>
      <w:t>5</w:t>
    </w:r>
  </w:p>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bidi w:val="0"/>
      <w:rPr>
        <w:rFonts w:hint="eastAsia" w:eastAsia="黑体"/>
        <w:lang w:eastAsia="zh-CN"/>
      </w:rPr>
    </w:pPr>
    <w:r>
      <w:rPr>
        <w:rFonts w:hint="eastAsia"/>
        <w:lang w:eastAsia="zh-CN"/>
      </w:rPr>
      <w:t xml:space="preserve">T/JALNCP </w:t>
    </w:r>
    <w:r>
      <w:rPr>
        <w:rFonts w:hint="eastAsia"/>
        <w:lang w:val="en-US" w:eastAsia="zh-CN"/>
      </w:rPr>
      <w:t>X</w:t>
    </w:r>
    <w:r>
      <w:rPr>
        <w:rFonts w:hint="eastAsia"/>
        <w:lang w:eastAsia="zh-CN"/>
      </w:rPr>
      <w:t>-202</w:t>
    </w:r>
    <w:r>
      <w:rPr>
        <w:rFonts w:hint="eastAsia"/>
        <w:lang w:val="en-US" w:eastAsia="zh-CN"/>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06DB5"/>
    <w:multiLevelType w:val="multilevel"/>
    <w:tmpl w:val="83506DB5"/>
    <w:lvl w:ilvl="0" w:tentative="0">
      <w:start w:val="1"/>
      <w:numFmt w:val="upperLetter"/>
      <w:lvlText w:val="%1"/>
      <w:lvlJc w:val="left"/>
      <w:pPr>
        <w:tabs>
          <w:tab w:val="left" w:pos="0"/>
        </w:tabs>
        <w:ind w:left="0" w:leftChars="0" w:firstLine="0" w:firstLineChars="0"/>
      </w:pPr>
      <w:rPr>
        <w:rFonts w:hint="default"/>
      </w:rPr>
    </w:lvl>
    <w:lvl w:ilvl="1" w:tentative="0">
      <w:start w:val="1"/>
      <w:numFmt w:val="decimal"/>
      <w:pStyle w:val="2"/>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A173C618"/>
    <w:multiLevelType w:val="multilevel"/>
    <w:tmpl w:val="A173C618"/>
    <w:lvl w:ilvl="0" w:tentative="0">
      <w:start w:val="1"/>
      <w:numFmt w:val="none"/>
      <w:pStyle w:val="56"/>
      <w:lvlText w:val="%1——"/>
      <w:lvlJc w:val="left"/>
      <w:pPr>
        <w:tabs>
          <w:tab w:val="left" w:pos="851"/>
        </w:tabs>
        <w:ind w:left="851" w:leftChars="0" w:hanging="426" w:firstLineChars="0"/>
      </w:pPr>
      <w:rPr>
        <w:rFonts w:hint="default" w:ascii="Times New Roman" w:hAnsi="Times New Roman" w:cs="Times New Roman"/>
        <w:sz w:val="20"/>
      </w:rPr>
    </w:lvl>
    <w:lvl w:ilvl="1" w:tentative="0">
      <w:start w:val="1"/>
      <w:numFmt w:val="bullet"/>
      <w:pStyle w:val="57"/>
      <w:lvlText w:val=""/>
      <w:lvlJc w:val="left"/>
      <w:pPr>
        <w:tabs>
          <w:tab w:val="left" w:pos="851"/>
        </w:tabs>
        <w:ind w:left="1270" w:leftChars="0" w:hanging="419" w:firstLineChars="0"/>
      </w:pPr>
      <w:rPr>
        <w:rFonts w:hint="default" w:ascii="Symbol" w:hAnsi="Symbol" w:cs="Symbol"/>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A2E19707"/>
    <w:multiLevelType w:val="multilevel"/>
    <w:tmpl w:val="A2E19707"/>
    <w:lvl w:ilvl="0" w:tentative="0">
      <w:start w:val="1"/>
      <w:numFmt w:val="none"/>
      <w:pStyle w:val="103"/>
      <w:suff w:val="nothing"/>
      <w:lvlText w:val="示例："/>
      <w:lvlJc w:val="left"/>
      <w:pPr>
        <w:ind w:left="0" w:leftChars="0" w:firstLine="363" w:firstLineChars="0"/>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A52F0134"/>
    <w:multiLevelType w:val="multilevel"/>
    <w:tmpl w:val="A52F0134"/>
    <w:lvl w:ilvl="0" w:tentative="0">
      <w:start w:val="1"/>
      <w:numFmt w:val="upperLetter"/>
      <w:pStyle w:val="87"/>
      <w:suff w:val="nothing"/>
      <w:lvlText w:val="附录%1"/>
      <w:lvlJc w:val="left"/>
      <w:pPr>
        <w:ind w:left="0" w:leftChars="0" w:firstLine="0" w:firstLineChars="0"/>
      </w:pPr>
      <w:rPr>
        <w:rFonts w:hint="default"/>
        <w:spacing w:val="102"/>
      </w:rPr>
    </w:lvl>
    <w:lvl w:ilvl="1" w:tentative="0">
      <w:start w:val="1"/>
      <w:numFmt w:val="decimal"/>
      <w:pStyle w:val="88"/>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89"/>
      <w:suff w:val="nothing"/>
      <w:lvlText w:val="%1.%2.%3　"/>
      <w:lvlJc w:val="left"/>
      <w:pPr>
        <w:ind w:left="0" w:leftChars="0" w:firstLine="0" w:firstLineChars="0"/>
      </w:pPr>
      <w:rPr>
        <w:rFonts w:hint="default" w:ascii="黑体" w:hAnsi="黑体" w:eastAsia="黑体" w:cs="黑体"/>
        <w:sz w:val="20"/>
      </w:rPr>
    </w:lvl>
    <w:lvl w:ilvl="3" w:tentative="0">
      <w:start w:val="1"/>
      <w:numFmt w:val="decimal"/>
      <w:pStyle w:val="90"/>
      <w:suff w:val="nothing"/>
      <w:lvlText w:val="%1.%2.%3.%4　"/>
      <w:lvlJc w:val="left"/>
      <w:pPr>
        <w:ind w:left="0" w:leftChars="0" w:firstLine="0" w:firstLineChars="0"/>
      </w:pPr>
      <w:rPr>
        <w:rFonts w:hint="default" w:ascii="黑体" w:hAnsi="黑体" w:eastAsia="黑体" w:cs="黑体"/>
        <w:sz w:val="20"/>
      </w:rPr>
    </w:lvl>
    <w:lvl w:ilvl="4" w:tentative="0">
      <w:start w:val="1"/>
      <w:numFmt w:val="decimal"/>
      <w:pStyle w:val="91"/>
      <w:suff w:val="nothing"/>
      <w:lvlText w:val="%1.%2.%3.%4.%5　"/>
      <w:lvlJc w:val="left"/>
      <w:pPr>
        <w:ind w:left="0" w:leftChars="0" w:firstLine="0" w:firstLineChars="0"/>
      </w:pPr>
      <w:rPr>
        <w:rFonts w:hint="default" w:ascii="黑体" w:hAnsi="黑体" w:eastAsia="黑体" w:cs="黑体"/>
        <w:sz w:val="20"/>
      </w:rPr>
    </w:lvl>
    <w:lvl w:ilvl="5" w:tentative="0">
      <w:start w:val="1"/>
      <w:numFmt w:val="decimal"/>
      <w:pStyle w:val="92"/>
      <w:suff w:val="nothing"/>
      <w:lvlText w:val="%1.%2.%3.%4.%5.%6　"/>
      <w:lvlJc w:val="left"/>
      <w:pPr>
        <w:ind w:left="0" w:leftChars="0" w:firstLine="0" w:firstLineChars="0"/>
      </w:pPr>
      <w:rPr>
        <w:rFonts w:hint="default" w:ascii="黑体" w:hAnsi="黑体" w:eastAsia="黑体" w:cs="黑体"/>
        <w:sz w:val="20"/>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B90C819A"/>
    <w:multiLevelType w:val="multilevel"/>
    <w:tmpl w:val="B90C819A"/>
    <w:lvl w:ilvl="0" w:tentative="0">
      <w:start w:val="1"/>
      <w:numFmt w:val="decimal"/>
      <w:pStyle w:val="71"/>
      <w:suff w:val="nothing"/>
      <w:lvlText w:val="%1　"/>
      <w:lvlJc w:val="left"/>
      <w:pPr>
        <w:ind w:left="0" w:leftChars="0" w:firstLine="0" w:firstLineChars="0"/>
      </w:pPr>
      <w:rPr>
        <w:rFonts w:hint="default" w:ascii="黑体" w:hAnsi="黑体" w:eastAsia="黑体" w:cs="黑体"/>
        <w:sz w:val="20"/>
      </w:rPr>
    </w:lvl>
    <w:lvl w:ilvl="1" w:tentative="0">
      <w:start w:val="1"/>
      <w:numFmt w:val="decimal"/>
      <w:pStyle w:val="72"/>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73"/>
      <w:suff w:val="nothing"/>
      <w:lvlText w:val="%1.%2.%3　"/>
      <w:lvlJc w:val="left"/>
      <w:pPr>
        <w:ind w:left="0" w:leftChars="0" w:firstLine="0" w:firstLineChars="0"/>
      </w:pPr>
      <w:rPr>
        <w:rFonts w:hint="default" w:ascii="黑体" w:hAnsi="黑体" w:eastAsia="黑体" w:cs="黑体"/>
        <w:sz w:val="20"/>
      </w:rPr>
    </w:lvl>
    <w:lvl w:ilvl="3" w:tentative="0">
      <w:start w:val="1"/>
      <w:numFmt w:val="decimal"/>
      <w:pStyle w:val="74"/>
      <w:suff w:val="nothing"/>
      <w:lvlText w:val="%1.%2.%3.%4　"/>
      <w:lvlJc w:val="left"/>
      <w:pPr>
        <w:ind w:left="0" w:leftChars="0" w:firstLine="0" w:firstLineChars="0"/>
      </w:pPr>
      <w:rPr>
        <w:rFonts w:hint="default" w:ascii="黑体" w:hAnsi="黑体" w:eastAsia="黑体" w:cs="黑体"/>
        <w:sz w:val="20"/>
      </w:rPr>
    </w:lvl>
    <w:lvl w:ilvl="4" w:tentative="0">
      <w:start w:val="1"/>
      <w:numFmt w:val="decimal"/>
      <w:pStyle w:val="75"/>
      <w:suff w:val="nothing"/>
      <w:lvlText w:val="%1.%2.%3.%4.%5　"/>
      <w:lvlJc w:val="left"/>
      <w:pPr>
        <w:ind w:left="0" w:leftChars="0" w:firstLine="0" w:firstLineChars="0"/>
      </w:pPr>
      <w:rPr>
        <w:rFonts w:hint="default" w:ascii="黑体" w:hAnsi="黑体" w:eastAsia="黑体" w:cs="黑体"/>
        <w:sz w:val="20"/>
      </w:rPr>
    </w:lvl>
    <w:lvl w:ilvl="5" w:tentative="0">
      <w:start w:val="1"/>
      <w:numFmt w:val="decimal"/>
      <w:pStyle w:val="76"/>
      <w:suff w:val="nothing"/>
      <w:lvlText w:val="%1.%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5">
    <w:nsid w:val="C0777F62"/>
    <w:multiLevelType w:val="multilevel"/>
    <w:tmpl w:val="C0777F62"/>
    <w:lvl w:ilvl="0" w:tentative="0">
      <w:start w:val="1"/>
      <w:numFmt w:val="decimal"/>
      <w:pStyle w:val="112"/>
      <w:suff w:val="nothing"/>
      <w:lvlText w:val="表%1  "/>
      <w:lvlJc w:val="left"/>
      <w:pPr>
        <w:tabs>
          <w:tab w:val="left" w:pos="539"/>
        </w:tabs>
        <w:ind w:left="0" w:leftChars="0" w:firstLine="0" w:firstLineChars="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6">
    <w:nsid w:val="E065AB2D"/>
    <w:multiLevelType w:val="multilevel"/>
    <w:tmpl w:val="E065AB2D"/>
    <w:lvl w:ilvl="0" w:tentative="0">
      <w:start w:val="1"/>
      <w:numFmt w:val="decimal"/>
      <w:pStyle w:val="106"/>
      <w:suff w:val="nothing"/>
      <w:lvlText w:val="注%1："/>
      <w:lvlJc w:val="left"/>
      <w:pPr>
        <w:ind w:left="811" w:leftChars="0" w:hanging="448" w:firstLineChars="0"/>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7">
    <w:nsid w:val="E31B39B2"/>
    <w:multiLevelType w:val="multilevel"/>
    <w:tmpl w:val="E31B39B2"/>
    <w:lvl w:ilvl="0" w:tentative="0">
      <w:start w:val="1"/>
      <w:numFmt w:val="lowerLetter"/>
      <w:pStyle w:val="59"/>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pStyle w:val="60"/>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pStyle w:val="58"/>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8">
    <w:nsid w:val="E4A9941D"/>
    <w:multiLevelType w:val="multilevel"/>
    <w:tmpl w:val="E4A9941D"/>
    <w:lvl w:ilvl="0" w:tentative="0">
      <w:start w:val="1"/>
      <w:numFmt w:val="decimal"/>
      <w:pStyle w:val="118"/>
      <w:suff w:val="nothing"/>
      <w:lvlText w:val="[%1]  "/>
      <w:lvlJc w:val="left"/>
      <w:pPr>
        <w:ind w:left="0" w:leftChars="0" w:firstLine="363" w:firstLineChars="0"/>
      </w:pPr>
      <w:rPr>
        <w:rFonts w:hint="eastAsia" w:ascii="黑体" w:hAnsi="黑体" w:eastAsia="黑体" w:cs="黑体"/>
        <w:sz w:val="18"/>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9">
    <w:nsid w:val="FAF8B29E"/>
    <w:multiLevelType w:val="multilevel"/>
    <w:tmpl w:val="FAF8B29E"/>
    <w:lvl w:ilvl="0" w:tentative="0">
      <w:start w:val="1"/>
      <w:numFmt w:val="decimal"/>
      <w:pStyle w:val="113"/>
      <w:suff w:val="nothing"/>
      <w:lvlText w:val="图%1  "/>
      <w:lvlJc w:val="left"/>
      <w:pPr>
        <w:tabs>
          <w:tab w:val="left" w:pos="539"/>
        </w:tabs>
        <w:ind w:left="0" w:leftChars="0" w:firstLine="0" w:firstLineChars="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0196A672"/>
    <w:multiLevelType w:val="multilevel"/>
    <w:tmpl w:val="0196A672"/>
    <w:lvl w:ilvl="0" w:tentative="0">
      <w:start w:val="1"/>
      <w:numFmt w:val="decimal"/>
      <w:pStyle w:val="104"/>
      <w:suff w:val="nothing"/>
      <w:lvlText w:val="示例%1："/>
      <w:lvlJc w:val="left"/>
      <w:pPr>
        <w:ind w:left="0" w:leftChars="0" w:firstLine="363" w:firstLineChars="0"/>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02E29276"/>
    <w:multiLevelType w:val="multilevel"/>
    <w:tmpl w:val="02E29276"/>
    <w:lvl w:ilvl="0" w:tentative="0">
      <w:start w:val="1"/>
      <w:numFmt w:val="lowerLetter"/>
      <w:pStyle w:val="107"/>
      <w:lvlText w:val="%1"/>
      <w:lvlJc w:val="left"/>
      <w:pPr>
        <w:tabs>
          <w:tab w:val="left" w:pos="539"/>
        </w:tabs>
        <w:ind w:left="539" w:leftChars="0" w:hanging="119" w:firstLineChars="0"/>
      </w:pPr>
      <w:rPr>
        <w:rFonts w:hint="eastAsia" w:ascii="宋体" w:hAnsi="宋体" w:eastAsia="宋体" w:cs="宋体"/>
        <w:sz w:val="15"/>
        <w:vertAlign w:val="superscript"/>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2">
    <w:nsid w:val="087F8283"/>
    <w:multiLevelType w:val="multilevel"/>
    <w:tmpl w:val="087F8283"/>
    <w:lvl w:ilvl="0" w:tentative="0">
      <w:start w:val="1"/>
      <w:numFmt w:val="decimal"/>
      <w:pStyle w:val="16"/>
      <w:lvlText w:val="%1)"/>
      <w:lvlJc w:val="left"/>
      <w:pPr>
        <w:tabs>
          <w:tab w:val="left" w:pos="0"/>
        </w:tabs>
        <w:ind w:left="720" w:leftChars="0" w:hanging="357" w:firstLineChars="0"/>
      </w:pPr>
      <w:rPr>
        <w:rFonts w:hint="eastAsia" w:ascii="宋体" w:hAnsi="宋体" w:eastAsia="宋体" w:cs="宋体"/>
        <w:sz w:val="15"/>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17AECDBE"/>
    <w:multiLevelType w:val="multilevel"/>
    <w:tmpl w:val="17AECDBE"/>
    <w:lvl w:ilvl="0" w:tentative="0">
      <w:start w:val="1"/>
      <w:numFmt w:val="none"/>
      <w:pStyle w:val="105"/>
      <w:suff w:val="nothing"/>
      <w:lvlText w:val="注："/>
      <w:lvlJc w:val="left"/>
      <w:pPr>
        <w:ind w:left="737" w:leftChars="0" w:hanging="374" w:firstLineChars="0"/>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4">
    <w:nsid w:val="1D60AA4C"/>
    <w:multiLevelType w:val="multilevel"/>
    <w:tmpl w:val="1D60AA4C"/>
    <w:lvl w:ilvl="0" w:tentative="0">
      <w:start w:val="1"/>
      <w:numFmt w:val="upperLetter"/>
      <w:pStyle w:val="98"/>
      <w:lvlText w:val="%1"/>
      <w:lvlJc w:val="left"/>
      <w:pPr>
        <w:tabs>
          <w:tab w:val="left" w:pos="0"/>
        </w:tabs>
        <w:ind w:left="0" w:leftChars="0" w:firstLine="0" w:firstLineChars="0"/>
      </w:pPr>
      <w:rPr>
        <w:rFonts w:hint="default"/>
      </w:rPr>
    </w:lvl>
    <w:lvl w:ilvl="1" w:tentative="0">
      <w:start w:val="1"/>
      <w:numFmt w:val="decimal"/>
      <w:pStyle w:val="99"/>
      <w:suff w:val="nothing"/>
      <w:lvlText w:val="图%1.%2　"/>
      <w:lvlJc w:val="left"/>
      <w:pPr>
        <w:ind w:left="0" w:leftChars="0" w:firstLine="0" w:firstLineChars="0"/>
      </w:pPr>
      <w:rPr>
        <w:rFonts w:hint="default"/>
      </w:rPr>
    </w:lvl>
    <w:lvl w:ilvl="2" w:tentative="0">
      <w:start w:val="1"/>
      <w:numFmt w:val="decimal"/>
      <w:pStyle w:val="3"/>
      <w:lvlText w:val="%1.%2.%3."/>
      <w:lvlJc w:val="left"/>
      <w:pPr>
        <w:ind w:left="720" w:hanging="720"/>
      </w:pPr>
      <w:rPr>
        <w:rFonts w:hint="default"/>
      </w:rPr>
    </w:lvl>
    <w:lvl w:ilvl="3" w:tentative="0">
      <w:start w:val="1"/>
      <w:numFmt w:val="decimal"/>
      <w:pStyle w:val="4"/>
      <w:lvlText w:val="%1.%2.%3.%4."/>
      <w:lvlJc w:val="left"/>
      <w:pPr>
        <w:ind w:left="864" w:hanging="864"/>
      </w:pPr>
      <w:rPr>
        <w:rFonts w:hint="default"/>
      </w:rPr>
    </w:lvl>
    <w:lvl w:ilvl="4" w:tentative="0">
      <w:start w:val="1"/>
      <w:numFmt w:val="decimal"/>
      <w:pStyle w:val="5"/>
      <w:lvlText w:val="%1.%2.%3.%4.%5."/>
      <w:lvlJc w:val="left"/>
      <w:pPr>
        <w:ind w:left="1008" w:hanging="1008"/>
      </w:pPr>
      <w:rPr>
        <w:rFonts w:hint="default"/>
      </w:rPr>
    </w:lvl>
    <w:lvl w:ilvl="5" w:tentative="0">
      <w:start w:val="1"/>
      <w:numFmt w:val="decimal"/>
      <w:pStyle w:val="6"/>
      <w:lvlText w:val="%1.%2.%3.%4.%5.%6."/>
      <w:lvlJc w:val="left"/>
      <w:pPr>
        <w:ind w:left="1151" w:hanging="1151"/>
      </w:pPr>
      <w:rPr>
        <w:rFonts w:hint="default"/>
      </w:rPr>
    </w:lvl>
    <w:lvl w:ilvl="6" w:tentative="0">
      <w:start w:val="1"/>
      <w:numFmt w:val="decimal"/>
      <w:pStyle w:val="7"/>
      <w:lvlText w:val="%1.%2.%3.%4.%5.%6.%7."/>
      <w:lvlJc w:val="left"/>
      <w:pPr>
        <w:ind w:left="1296" w:hanging="1296"/>
      </w:pPr>
      <w:rPr>
        <w:rFonts w:hint="default"/>
      </w:rPr>
    </w:lvl>
    <w:lvl w:ilvl="7" w:tentative="0">
      <w:start w:val="1"/>
      <w:numFmt w:val="decimal"/>
      <w:pStyle w:val="8"/>
      <w:lvlText w:val="%1.%2.%3.%4.%5.%6.%7.%8."/>
      <w:lvlJc w:val="left"/>
      <w:pPr>
        <w:ind w:left="1440" w:hanging="1440"/>
      </w:pPr>
      <w:rPr>
        <w:rFonts w:hint="default"/>
      </w:rPr>
    </w:lvl>
    <w:lvl w:ilvl="8" w:tentative="0">
      <w:start w:val="1"/>
      <w:numFmt w:val="decimal"/>
      <w:pStyle w:val="9"/>
      <w:lvlText w:val="%1.%2.%3.%4.%5.%6.%7.%8.%9."/>
      <w:lvlJc w:val="left"/>
      <w:pPr>
        <w:ind w:left="1583" w:hanging="1583"/>
      </w:pPr>
      <w:rPr>
        <w:rFonts w:hint="default"/>
      </w:rPr>
    </w:lvl>
  </w:abstractNum>
  <w:abstractNum w:abstractNumId="15">
    <w:nsid w:val="22827D5B"/>
    <w:multiLevelType w:val="multilevel"/>
    <w:tmpl w:val="22827D5B"/>
    <w:lvl w:ilvl="0" w:tentative="0">
      <w:start w:val="1"/>
      <w:numFmt w:val="none"/>
      <w:pStyle w:val="121"/>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6">
    <w:nsid w:val="471C86C0"/>
    <w:multiLevelType w:val="multilevel"/>
    <w:tmpl w:val="471C86C0"/>
    <w:lvl w:ilvl="0" w:tentative="0">
      <w:start w:val="1"/>
      <w:numFmt w:val="upperLetter"/>
      <w:pStyle w:val="100"/>
      <w:lvlText w:val="%1"/>
      <w:lvlJc w:val="left"/>
      <w:pPr>
        <w:tabs>
          <w:tab w:val="left" w:pos="0"/>
        </w:tabs>
        <w:ind w:left="0" w:leftChars="0" w:firstLine="0" w:firstLineChars="0"/>
      </w:pPr>
      <w:rPr>
        <w:rFonts w:hint="default"/>
      </w:rPr>
    </w:lvl>
    <w:lvl w:ilvl="1" w:tentative="0">
      <w:start w:val="1"/>
      <w:numFmt w:val="decimal"/>
      <w:pStyle w:val="101"/>
      <w:suff w:val="nothing"/>
      <w:lvlText w:val="表%1.%2　"/>
      <w:lvlJc w:val="left"/>
      <w:pPr>
        <w:ind w:left="0" w:leftChars="0" w:firstLine="0" w:firstLineChars="0"/>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7">
    <w:nsid w:val="672E8268"/>
    <w:multiLevelType w:val="multilevel"/>
    <w:tmpl w:val="672E8268"/>
    <w:lvl w:ilvl="0" w:tentative="0">
      <w:start w:val="1"/>
      <w:numFmt w:val="none"/>
      <w:pStyle w:val="54"/>
      <w:suff w:val="nothing"/>
      <w:lvlText w:val="%1"/>
      <w:lvlJc w:val="left"/>
      <w:pPr>
        <w:ind w:left="425" w:leftChars="0" w:hanging="425" w:firstLineChars="0"/>
      </w:pPr>
      <w:rPr>
        <w:rFonts w:hint="default"/>
      </w:rPr>
    </w:lvl>
    <w:lvl w:ilvl="1" w:tentative="0">
      <w:start w:val="1"/>
      <w:numFmt w:val="decimal"/>
      <w:pStyle w:val="61"/>
      <w:suff w:val="nothing"/>
      <w:lvlText w:val="%10.%2 "/>
      <w:lvlJc w:val="left"/>
      <w:pPr>
        <w:ind w:left="0" w:leftChars="0" w:firstLine="0" w:firstLineChars="0"/>
      </w:pPr>
      <w:rPr>
        <w:rFonts w:hint="default" w:ascii="黑体" w:hAnsi="黑体" w:eastAsia="黑体" w:cs="黑体"/>
        <w:sz w:val="20"/>
      </w:rPr>
    </w:lvl>
    <w:lvl w:ilvl="2" w:tentative="0">
      <w:start w:val="1"/>
      <w:numFmt w:val="decimal"/>
      <w:pStyle w:val="62"/>
      <w:suff w:val="nothing"/>
      <w:lvlText w:val="%10.%2.%3 "/>
      <w:lvlJc w:val="left"/>
      <w:pPr>
        <w:ind w:left="0" w:leftChars="0" w:firstLine="0" w:firstLineChars="0"/>
      </w:pPr>
      <w:rPr>
        <w:rFonts w:hint="default" w:ascii="黑体" w:hAnsi="黑体" w:eastAsia="黑体" w:cs="黑体"/>
        <w:sz w:val="20"/>
      </w:rPr>
    </w:lvl>
    <w:lvl w:ilvl="3" w:tentative="0">
      <w:start w:val="1"/>
      <w:numFmt w:val="decimal"/>
      <w:pStyle w:val="63"/>
      <w:suff w:val="nothing"/>
      <w:lvlText w:val="%10.%2.%3.%4 "/>
      <w:lvlJc w:val="left"/>
      <w:pPr>
        <w:ind w:left="0" w:leftChars="0" w:firstLine="0" w:firstLineChars="0"/>
      </w:pPr>
      <w:rPr>
        <w:rFonts w:hint="default" w:ascii="黑体" w:hAnsi="黑体" w:eastAsia="黑体" w:cs="黑体"/>
        <w:sz w:val="20"/>
      </w:rPr>
    </w:lvl>
    <w:lvl w:ilvl="4" w:tentative="0">
      <w:start w:val="1"/>
      <w:numFmt w:val="decimal"/>
      <w:pStyle w:val="64"/>
      <w:suff w:val="nothing"/>
      <w:lvlText w:val="%10.%2.%3.%4.%5 "/>
      <w:lvlJc w:val="left"/>
      <w:pPr>
        <w:ind w:left="0" w:leftChars="0" w:firstLine="0" w:firstLineChars="0"/>
      </w:pPr>
      <w:rPr>
        <w:rFonts w:hint="default" w:ascii="黑体" w:hAnsi="黑体" w:eastAsia="黑体" w:cs="黑体"/>
        <w:sz w:val="20"/>
      </w:rPr>
    </w:lvl>
    <w:lvl w:ilvl="5" w:tentative="0">
      <w:start w:val="1"/>
      <w:numFmt w:val="decimal"/>
      <w:pStyle w:val="65"/>
      <w:suff w:val="nothing"/>
      <w:lvlText w:val="%10.%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8">
    <w:nsid w:val="6DBF04F4"/>
    <w:multiLevelType w:val="multilevel"/>
    <w:tmpl w:val="6DBF04F4"/>
    <w:lvl w:ilvl="0" w:tentative="0">
      <w:start w:val="1"/>
      <w:numFmt w:val="none"/>
      <w:pStyle w:val="12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0"/>
  </w:num>
  <w:num w:numId="2">
    <w:abstractNumId w:val="14"/>
  </w:num>
  <w:num w:numId="3">
    <w:abstractNumId w:val="12"/>
  </w:num>
  <w:num w:numId="4">
    <w:abstractNumId w:val="17"/>
  </w:num>
  <w:num w:numId="5">
    <w:abstractNumId w:val="1"/>
  </w:num>
  <w:num w:numId="6">
    <w:abstractNumId w:val="7"/>
  </w:num>
  <w:num w:numId="7">
    <w:abstractNumId w:val="4"/>
  </w:num>
  <w:num w:numId="8">
    <w:abstractNumId w:val="3"/>
  </w:num>
  <w:num w:numId="9">
    <w:abstractNumId w:val="16"/>
  </w:num>
  <w:num w:numId="10">
    <w:abstractNumId w:val="2"/>
  </w:num>
  <w:num w:numId="11">
    <w:abstractNumId w:val="10"/>
  </w:num>
  <w:num w:numId="12">
    <w:abstractNumId w:val="13"/>
  </w:num>
  <w:num w:numId="13">
    <w:abstractNumId w:val="6"/>
  </w:num>
  <w:num w:numId="14">
    <w:abstractNumId w:val="11"/>
  </w:num>
  <w:num w:numId="15">
    <w:abstractNumId w:val="5"/>
  </w:num>
  <w:num w:numId="16">
    <w:abstractNumId w:val="9"/>
  </w:num>
  <w:num w:numId="17">
    <w:abstractNumId w:val="8"/>
  </w:num>
  <w:num w:numId="18">
    <w:abstractNumId w:val="1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ZmQ0OGMzMGJkMWJiYjdhNWZiZDYzMmM4NmQxNjAifQ=="/>
  </w:docVars>
  <w:rsids>
    <w:rsidRoot w:val="22A65372"/>
    <w:rsid w:val="00D56753"/>
    <w:rsid w:val="01AA1AC9"/>
    <w:rsid w:val="01F66F31"/>
    <w:rsid w:val="02781BC8"/>
    <w:rsid w:val="02C81BA2"/>
    <w:rsid w:val="02EA1F21"/>
    <w:rsid w:val="03305FFE"/>
    <w:rsid w:val="034B4BE6"/>
    <w:rsid w:val="03547F3F"/>
    <w:rsid w:val="03CD13CB"/>
    <w:rsid w:val="048E4B7A"/>
    <w:rsid w:val="04FD3B5A"/>
    <w:rsid w:val="05B66C8F"/>
    <w:rsid w:val="06B156A8"/>
    <w:rsid w:val="07231362"/>
    <w:rsid w:val="072964BD"/>
    <w:rsid w:val="08F17FDE"/>
    <w:rsid w:val="09A82D92"/>
    <w:rsid w:val="0A884A60"/>
    <w:rsid w:val="0B1F7084"/>
    <w:rsid w:val="0B8B6BB0"/>
    <w:rsid w:val="0BE36304"/>
    <w:rsid w:val="0C0F534B"/>
    <w:rsid w:val="0CAC2B9A"/>
    <w:rsid w:val="0D1D5845"/>
    <w:rsid w:val="0EF32D02"/>
    <w:rsid w:val="0FE32D76"/>
    <w:rsid w:val="104E6C88"/>
    <w:rsid w:val="10751554"/>
    <w:rsid w:val="11095037"/>
    <w:rsid w:val="113E3FDC"/>
    <w:rsid w:val="116C5620"/>
    <w:rsid w:val="12395B1B"/>
    <w:rsid w:val="126F2404"/>
    <w:rsid w:val="13456138"/>
    <w:rsid w:val="135E24F9"/>
    <w:rsid w:val="14C05AAC"/>
    <w:rsid w:val="14D40EDF"/>
    <w:rsid w:val="14F9760C"/>
    <w:rsid w:val="15712BD2"/>
    <w:rsid w:val="15BD5E17"/>
    <w:rsid w:val="15EC72D4"/>
    <w:rsid w:val="16B512D7"/>
    <w:rsid w:val="174C5427"/>
    <w:rsid w:val="174D4F79"/>
    <w:rsid w:val="17854713"/>
    <w:rsid w:val="178A6520"/>
    <w:rsid w:val="19570989"/>
    <w:rsid w:val="1A1C6A66"/>
    <w:rsid w:val="1A74451A"/>
    <w:rsid w:val="1ADA754A"/>
    <w:rsid w:val="1B040045"/>
    <w:rsid w:val="1B1371F0"/>
    <w:rsid w:val="1B4950A4"/>
    <w:rsid w:val="1B4B7903"/>
    <w:rsid w:val="1B5C3160"/>
    <w:rsid w:val="1BD45C69"/>
    <w:rsid w:val="1D37200B"/>
    <w:rsid w:val="1D57438E"/>
    <w:rsid w:val="1E6257AE"/>
    <w:rsid w:val="1F8F3F65"/>
    <w:rsid w:val="1FC64FE6"/>
    <w:rsid w:val="1FCD6C57"/>
    <w:rsid w:val="1FDE5942"/>
    <w:rsid w:val="2032134B"/>
    <w:rsid w:val="20AB2536"/>
    <w:rsid w:val="20B00A53"/>
    <w:rsid w:val="21310871"/>
    <w:rsid w:val="21690C01"/>
    <w:rsid w:val="216D51E3"/>
    <w:rsid w:val="21AF402D"/>
    <w:rsid w:val="220D54E6"/>
    <w:rsid w:val="221C3EC6"/>
    <w:rsid w:val="22A65372"/>
    <w:rsid w:val="22F419D2"/>
    <w:rsid w:val="23027962"/>
    <w:rsid w:val="23723119"/>
    <w:rsid w:val="23C94DA5"/>
    <w:rsid w:val="2432254F"/>
    <w:rsid w:val="24C9098F"/>
    <w:rsid w:val="252C1E57"/>
    <w:rsid w:val="25A03D3B"/>
    <w:rsid w:val="25CE197B"/>
    <w:rsid w:val="261750D0"/>
    <w:rsid w:val="264906B3"/>
    <w:rsid w:val="26E054C2"/>
    <w:rsid w:val="272555CB"/>
    <w:rsid w:val="27635A18"/>
    <w:rsid w:val="27EE27B6"/>
    <w:rsid w:val="2802590C"/>
    <w:rsid w:val="281318C7"/>
    <w:rsid w:val="283D3F3C"/>
    <w:rsid w:val="28A644E9"/>
    <w:rsid w:val="28C64B8B"/>
    <w:rsid w:val="293F1394"/>
    <w:rsid w:val="29464A42"/>
    <w:rsid w:val="2A6308E4"/>
    <w:rsid w:val="2AB47391"/>
    <w:rsid w:val="2C9C00DD"/>
    <w:rsid w:val="2CBD0053"/>
    <w:rsid w:val="2D6055AE"/>
    <w:rsid w:val="2DC53663"/>
    <w:rsid w:val="2E5261A0"/>
    <w:rsid w:val="2E8D23D3"/>
    <w:rsid w:val="2F566C69"/>
    <w:rsid w:val="2FA96BA0"/>
    <w:rsid w:val="300F506A"/>
    <w:rsid w:val="30B55C11"/>
    <w:rsid w:val="312C7FD4"/>
    <w:rsid w:val="320631E0"/>
    <w:rsid w:val="32B617CD"/>
    <w:rsid w:val="33212825"/>
    <w:rsid w:val="334E5558"/>
    <w:rsid w:val="33C8725F"/>
    <w:rsid w:val="33CC574C"/>
    <w:rsid w:val="34637DC3"/>
    <w:rsid w:val="34DD74E5"/>
    <w:rsid w:val="3510196C"/>
    <w:rsid w:val="353E23A2"/>
    <w:rsid w:val="357E174A"/>
    <w:rsid w:val="3681294D"/>
    <w:rsid w:val="36923812"/>
    <w:rsid w:val="36A81089"/>
    <w:rsid w:val="36DA7652"/>
    <w:rsid w:val="3748158D"/>
    <w:rsid w:val="38096F9A"/>
    <w:rsid w:val="380D00E1"/>
    <w:rsid w:val="386C12AB"/>
    <w:rsid w:val="38832151"/>
    <w:rsid w:val="38A5438E"/>
    <w:rsid w:val="38DB11B5"/>
    <w:rsid w:val="38F0287E"/>
    <w:rsid w:val="391A0D07"/>
    <w:rsid w:val="391B5FAD"/>
    <w:rsid w:val="3AB40CE8"/>
    <w:rsid w:val="3C2105FF"/>
    <w:rsid w:val="3C925059"/>
    <w:rsid w:val="3E301586"/>
    <w:rsid w:val="3F161F71"/>
    <w:rsid w:val="3F1D32FF"/>
    <w:rsid w:val="3F6B4657"/>
    <w:rsid w:val="3F783CDA"/>
    <w:rsid w:val="3F9A4950"/>
    <w:rsid w:val="40267F92"/>
    <w:rsid w:val="4067683A"/>
    <w:rsid w:val="40694322"/>
    <w:rsid w:val="406F4DC6"/>
    <w:rsid w:val="409B6018"/>
    <w:rsid w:val="41314E40"/>
    <w:rsid w:val="41367B0D"/>
    <w:rsid w:val="422406F0"/>
    <w:rsid w:val="42254279"/>
    <w:rsid w:val="425A3F23"/>
    <w:rsid w:val="43D766D2"/>
    <w:rsid w:val="44024872"/>
    <w:rsid w:val="442D5FB9"/>
    <w:rsid w:val="44E85E5F"/>
    <w:rsid w:val="464C3F49"/>
    <w:rsid w:val="46D80988"/>
    <w:rsid w:val="46FA335C"/>
    <w:rsid w:val="47340FD9"/>
    <w:rsid w:val="479E0D55"/>
    <w:rsid w:val="480C4D01"/>
    <w:rsid w:val="48454B9C"/>
    <w:rsid w:val="484A4A39"/>
    <w:rsid w:val="48F418BD"/>
    <w:rsid w:val="4A9B77CE"/>
    <w:rsid w:val="4AA53F92"/>
    <w:rsid w:val="4BBD2642"/>
    <w:rsid w:val="4C445F49"/>
    <w:rsid w:val="4C5C4D3B"/>
    <w:rsid w:val="4C765DFD"/>
    <w:rsid w:val="4D1879C1"/>
    <w:rsid w:val="4D9D2C0C"/>
    <w:rsid w:val="4E571C5E"/>
    <w:rsid w:val="4EBE7F2F"/>
    <w:rsid w:val="4F0E056F"/>
    <w:rsid w:val="50B145A5"/>
    <w:rsid w:val="50DD0520"/>
    <w:rsid w:val="516052CE"/>
    <w:rsid w:val="51811129"/>
    <w:rsid w:val="51AE428B"/>
    <w:rsid w:val="525E7A5F"/>
    <w:rsid w:val="52A336C4"/>
    <w:rsid w:val="5371731E"/>
    <w:rsid w:val="53D936D9"/>
    <w:rsid w:val="54501629"/>
    <w:rsid w:val="545C7B61"/>
    <w:rsid w:val="54EC5A4E"/>
    <w:rsid w:val="55D02A22"/>
    <w:rsid w:val="569254F2"/>
    <w:rsid w:val="579E7D32"/>
    <w:rsid w:val="583059FA"/>
    <w:rsid w:val="5A2D7CD1"/>
    <w:rsid w:val="5ADD173D"/>
    <w:rsid w:val="5B101B12"/>
    <w:rsid w:val="5BE41C93"/>
    <w:rsid w:val="5C050F4B"/>
    <w:rsid w:val="5C7D4F86"/>
    <w:rsid w:val="5D050F60"/>
    <w:rsid w:val="5D4B6E32"/>
    <w:rsid w:val="5DA47EAC"/>
    <w:rsid w:val="5DB669A1"/>
    <w:rsid w:val="5DEF3C61"/>
    <w:rsid w:val="5E0720B5"/>
    <w:rsid w:val="5E082F75"/>
    <w:rsid w:val="5E167662"/>
    <w:rsid w:val="5E2C229D"/>
    <w:rsid w:val="5EC91604"/>
    <w:rsid w:val="5F8D3732"/>
    <w:rsid w:val="5FA153D1"/>
    <w:rsid w:val="5FBE7D8F"/>
    <w:rsid w:val="601D2D07"/>
    <w:rsid w:val="602816AC"/>
    <w:rsid w:val="60535440"/>
    <w:rsid w:val="6098585B"/>
    <w:rsid w:val="60C62FD2"/>
    <w:rsid w:val="620C3034"/>
    <w:rsid w:val="637C7D45"/>
    <w:rsid w:val="6401024A"/>
    <w:rsid w:val="64760C38"/>
    <w:rsid w:val="650A312E"/>
    <w:rsid w:val="65273CE0"/>
    <w:rsid w:val="656F0AF0"/>
    <w:rsid w:val="65F8742B"/>
    <w:rsid w:val="665E1984"/>
    <w:rsid w:val="667A42E4"/>
    <w:rsid w:val="66E0683D"/>
    <w:rsid w:val="66ED765A"/>
    <w:rsid w:val="672229B1"/>
    <w:rsid w:val="68014E3F"/>
    <w:rsid w:val="69B55D5F"/>
    <w:rsid w:val="69C05D8A"/>
    <w:rsid w:val="6AFF5D53"/>
    <w:rsid w:val="6B40524A"/>
    <w:rsid w:val="6D327D8A"/>
    <w:rsid w:val="6D513FF0"/>
    <w:rsid w:val="6D5238C5"/>
    <w:rsid w:val="6DCD0D4F"/>
    <w:rsid w:val="6F151C5B"/>
    <w:rsid w:val="6FC25DE3"/>
    <w:rsid w:val="721A1187"/>
    <w:rsid w:val="724F2AC9"/>
    <w:rsid w:val="72B602C2"/>
    <w:rsid w:val="72FF2F80"/>
    <w:rsid w:val="73F43927"/>
    <w:rsid w:val="74356B23"/>
    <w:rsid w:val="74546F93"/>
    <w:rsid w:val="74AE35FE"/>
    <w:rsid w:val="765468FF"/>
    <w:rsid w:val="77304C77"/>
    <w:rsid w:val="778020AA"/>
    <w:rsid w:val="7833512C"/>
    <w:rsid w:val="7871055B"/>
    <w:rsid w:val="799779DB"/>
    <w:rsid w:val="7A444F15"/>
    <w:rsid w:val="7AC1097F"/>
    <w:rsid w:val="7AF16E13"/>
    <w:rsid w:val="7BBC11CF"/>
    <w:rsid w:val="7CE00EED"/>
    <w:rsid w:val="7CFE75C5"/>
    <w:rsid w:val="7D6514FE"/>
    <w:rsid w:val="7DAE2D99"/>
    <w:rsid w:val="7E284A85"/>
    <w:rsid w:val="7E953F59"/>
    <w:rsid w:val="7EB0669D"/>
    <w:rsid w:val="7EF96296"/>
    <w:rsid w:val="7F121106"/>
    <w:rsid w:val="7F3D4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宋体" w:hAnsi="Times New Roman" w:eastAsia="宋体" w:cs="宋体"/>
      <w:kern w:val="2"/>
      <w:sz w:val="21"/>
      <w:szCs w:val="24"/>
      <w:lang w:val="en-US" w:eastAsia="zh-CN" w:bidi="ar-SA"/>
    </w:rPr>
  </w:style>
  <w:style w:type="paragraph" w:styleId="2">
    <w:name w:val="heading 2"/>
    <w:basedOn w:val="1"/>
    <w:next w:val="1"/>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3">
    <w:name w:val="heading 3"/>
    <w:basedOn w:val="1"/>
    <w:next w:val="1"/>
    <w:unhideWhenUsed/>
    <w:qFormat/>
    <w:uiPriority w:val="0"/>
    <w:pPr>
      <w:keepNext/>
      <w:keepLines/>
      <w:numPr>
        <w:ilvl w:val="2"/>
        <w:numId w:val="2"/>
      </w:numPr>
      <w:spacing w:before="260" w:beforeLines="0" w:beforeAutospacing="0" w:after="260" w:afterLines="0" w:afterAutospacing="0" w:line="413" w:lineRule="auto"/>
      <w:ind w:left="720" w:hanging="720"/>
      <w:outlineLvl w:val="2"/>
    </w:pPr>
    <w:rPr>
      <w:b/>
      <w:sz w:val="32"/>
    </w:rPr>
  </w:style>
  <w:style w:type="paragraph" w:styleId="4">
    <w:name w:val="heading 4"/>
    <w:basedOn w:val="1"/>
    <w:next w:val="1"/>
    <w:unhideWhenUsed/>
    <w:qFormat/>
    <w:uiPriority w:val="0"/>
    <w:pPr>
      <w:keepNext/>
      <w:keepLines/>
      <w:numPr>
        <w:ilvl w:val="3"/>
        <w:numId w:val="2"/>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5">
    <w:name w:val="heading 5"/>
    <w:basedOn w:val="1"/>
    <w:next w:val="1"/>
    <w:unhideWhenUsed/>
    <w:qFormat/>
    <w:uiPriority w:val="0"/>
    <w:pPr>
      <w:keepNext/>
      <w:keepLines/>
      <w:numPr>
        <w:ilvl w:val="4"/>
        <w:numId w:val="2"/>
      </w:numPr>
      <w:spacing w:before="280" w:beforeLines="0" w:beforeAutospacing="0" w:after="290" w:afterLines="0" w:afterAutospacing="0" w:line="372" w:lineRule="auto"/>
      <w:ind w:left="1008" w:hanging="1008"/>
      <w:outlineLvl w:val="4"/>
    </w:pPr>
    <w:rPr>
      <w:b/>
      <w:sz w:val="28"/>
    </w:rPr>
  </w:style>
  <w:style w:type="paragraph" w:styleId="6">
    <w:name w:val="heading 6"/>
    <w:basedOn w:val="1"/>
    <w:next w:val="1"/>
    <w:unhideWhenUsed/>
    <w:qFormat/>
    <w:uiPriority w:val="0"/>
    <w:pPr>
      <w:keepNext/>
      <w:keepLines/>
      <w:numPr>
        <w:ilvl w:val="5"/>
        <w:numId w:val="2"/>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7">
    <w:name w:val="heading 7"/>
    <w:basedOn w:val="1"/>
    <w:next w:val="1"/>
    <w:unhideWhenUsed/>
    <w:qFormat/>
    <w:uiPriority w:val="0"/>
    <w:pPr>
      <w:keepNext/>
      <w:keepLines/>
      <w:numPr>
        <w:ilvl w:val="6"/>
        <w:numId w:val="2"/>
      </w:numPr>
      <w:spacing w:before="240" w:beforeLines="0" w:beforeAutospacing="0" w:after="64" w:afterLines="0" w:afterAutospacing="0" w:line="317" w:lineRule="auto"/>
      <w:ind w:left="1296" w:hanging="1296"/>
      <w:outlineLvl w:val="6"/>
    </w:pPr>
    <w:rPr>
      <w:b/>
      <w:sz w:val="24"/>
    </w:rPr>
  </w:style>
  <w:style w:type="paragraph" w:styleId="8">
    <w:name w:val="heading 8"/>
    <w:basedOn w:val="1"/>
    <w:next w:val="1"/>
    <w:unhideWhenUsed/>
    <w:qFormat/>
    <w:uiPriority w:val="0"/>
    <w:pPr>
      <w:keepNext/>
      <w:keepLines/>
      <w:numPr>
        <w:ilvl w:val="7"/>
        <w:numId w:val="2"/>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9">
    <w:name w:val="heading 9"/>
    <w:basedOn w:val="1"/>
    <w:next w:val="1"/>
    <w:unhideWhenUsed/>
    <w:qFormat/>
    <w:uiPriority w:val="0"/>
    <w:pPr>
      <w:keepNext/>
      <w:keepLines/>
      <w:numPr>
        <w:ilvl w:val="8"/>
        <w:numId w:val="2"/>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1">
    <w:name w:val="Default Paragraph Font"/>
    <w:semiHidden/>
    <w:qFormat/>
    <w:uiPriority w:val="0"/>
    <w:rPr>
      <w:rFonts w:hint="eastAsia" w:ascii="宋体" w:hAnsi="Times New Roman" w:eastAsia="宋体" w:cs="Times New Roman"/>
      <w:sz w:val="21"/>
    </w:rPr>
  </w:style>
  <w:style w:type="table" w:default="1" w:styleId="19">
    <w:name w:val="Normal Table"/>
    <w:semiHidden/>
    <w:qFormat/>
    <w:uiPriority w:val="0"/>
    <w:tblPr>
      <w:tblCellMar>
        <w:top w:w="0" w:type="dxa"/>
        <w:left w:w="108" w:type="dxa"/>
        <w:bottom w:w="0" w:type="dxa"/>
        <w:right w:w="108" w:type="dxa"/>
      </w:tblCellMar>
    </w:tblPr>
  </w:style>
  <w:style w:type="paragraph" w:styleId="10">
    <w:name w:val="toc 5"/>
    <w:basedOn w:val="1"/>
    <w:next w:val="1"/>
    <w:qFormat/>
    <w:uiPriority w:val="0"/>
    <w:pPr>
      <w:spacing w:line="300" w:lineRule="exact"/>
      <w:ind w:left="1680" w:leftChars="800"/>
    </w:pPr>
    <w:rPr>
      <w:rFonts w:hAnsi="宋体"/>
    </w:rPr>
  </w:style>
  <w:style w:type="paragraph" w:styleId="11">
    <w:name w:val="toc 3"/>
    <w:basedOn w:val="1"/>
    <w:next w:val="1"/>
    <w:qFormat/>
    <w:uiPriority w:val="0"/>
    <w:pPr>
      <w:spacing w:line="300" w:lineRule="exact"/>
      <w:ind w:left="840" w:leftChars="400"/>
    </w:pPr>
    <w:rPr>
      <w:rFonts w:hAnsi="宋体"/>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pPr>
      <w:spacing w:line="400" w:lineRule="exact"/>
    </w:pPr>
    <w:rPr>
      <w:rFonts w:hAnsi="宋体"/>
    </w:rPr>
  </w:style>
  <w:style w:type="paragraph" w:styleId="15">
    <w:name w:val="toc 4"/>
    <w:basedOn w:val="1"/>
    <w:next w:val="1"/>
    <w:qFormat/>
    <w:uiPriority w:val="0"/>
    <w:pPr>
      <w:spacing w:line="300" w:lineRule="exact"/>
      <w:ind w:left="1260" w:leftChars="600"/>
    </w:pPr>
    <w:rPr>
      <w:rFonts w:hAnsi="宋体"/>
    </w:rPr>
  </w:style>
  <w:style w:type="paragraph" w:styleId="16">
    <w:name w:val="footnote text"/>
    <w:basedOn w:val="1"/>
    <w:qFormat/>
    <w:uiPriority w:val="0"/>
    <w:pPr>
      <w:widowControl/>
      <w:numPr>
        <w:ilvl w:val="0"/>
        <w:numId w:val="3"/>
      </w:numPr>
      <w:autoSpaceDE w:val="0"/>
      <w:autoSpaceDN w:val="0"/>
      <w:snapToGrid/>
      <w:ind w:left="1380" w:leftChars="200" w:hanging="960" w:hangingChars="200"/>
      <w:jc w:val="both"/>
    </w:pPr>
    <w:rPr>
      <w:rFonts w:hAnsi="宋体"/>
      <w:sz w:val="15"/>
    </w:rPr>
  </w:style>
  <w:style w:type="paragraph" w:styleId="17">
    <w:name w:val="toc 6"/>
    <w:basedOn w:val="1"/>
    <w:next w:val="1"/>
    <w:qFormat/>
    <w:uiPriority w:val="0"/>
    <w:pPr>
      <w:spacing w:line="300" w:lineRule="exact"/>
      <w:ind w:left="2100" w:leftChars="1000"/>
    </w:pPr>
    <w:rPr>
      <w:rFonts w:hAnsi="宋体"/>
    </w:rPr>
  </w:style>
  <w:style w:type="paragraph" w:styleId="18">
    <w:name w:val="toc 2"/>
    <w:basedOn w:val="1"/>
    <w:next w:val="1"/>
    <w:qFormat/>
    <w:uiPriority w:val="0"/>
    <w:pPr>
      <w:spacing w:line="300" w:lineRule="exact"/>
      <w:ind w:left="420" w:leftChars="200"/>
    </w:pPr>
    <w:rPr>
      <w:rFonts w:hAnsi="宋体"/>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footnote reference"/>
    <w:basedOn w:val="21"/>
    <w:qFormat/>
    <w:uiPriority w:val="0"/>
    <w:rPr>
      <w:rFonts w:hAnsi="宋体" w:cs="宋体"/>
      <w:sz w:val="18"/>
      <w:vertAlign w:val="superscript"/>
    </w:rPr>
  </w:style>
  <w:style w:type="paragraph" w:customStyle="1" w:styleId="24">
    <w:name w:val="标准文件_段"/>
    <w:qFormat/>
    <w:uiPriority w:val="0"/>
    <w:pPr>
      <w:ind w:firstLine="960" w:firstLineChars="200"/>
      <w:jc w:val="both"/>
    </w:pPr>
    <w:rPr>
      <w:rFonts w:hint="eastAsia" w:ascii="宋体" w:hAnsi="Times New Roman" w:eastAsia="宋体" w:cs="宋体"/>
      <w:sz w:val="21"/>
    </w:rPr>
  </w:style>
  <w:style w:type="paragraph" w:customStyle="1" w:styleId="25">
    <w:name w:val="标准标志"/>
    <w:next w:val="1"/>
    <w:qFormat/>
    <w:uiPriority w:val="0"/>
    <w:pPr>
      <w:framePr w:w="2546" w:h="1134" w:hRule="exact" w:hSpace="181" w:wrap="around" w:vAnchor="margin" w:hAnchor="margin" w:x="6521" w:y="421" w:anchorLock="1"/>
      <w:shd w:val="clear" w:fill="FFFFFF"/>
      <w:spacing w:line="0" w:lineRule="atLeast"/>
      <w:jc w:val="right"/>
    </w:pPr>
    <w:rPr>
      <w:rFonts w:hint="eastAsia" w:ascii="Times New Roman" w:hAnsi="Times New Roman" w:eastAsia="宋体" w:cs="Times New Roman"/>
      <w:b/>
      <w:w w:val="170"/>
      <w:sz w:val="96"/>
    </w:rPr>
  </w:style>
  <w:style w:type="paragraph" w:customStyle="1" w:styleId="26">
    <w:name w:val="标准标志2"/>
    <w:next w:val="1"/>
    <w:qFormat/>
    <w:uiPriority w:val="0"/>
    <w:pPr>
      <w:framePr w:wrap="around" w:vAnchor="margin" w:hAnchor="margin" w:x="5614" w:y="398" w:anchorLock="1"/>
      <w:spacing w:line="0" w:lineRule="atLeast"/>
      <w:jc w:val="right"/>
    </w:pPr>
    <w:rPr>
      <w:rFonts w:hint="eastAsia" w:ascii="Times New Roman" w:hAnsi="Times New Roman" w:eastAsia="宋体" w:cs="Times New Roman"/>
      <w:b/>
      <w:w w:val="130"/>
      <w:sz w:val="96"/>
    </w:rPr>
  </w:style>
  <w:style w:type="paragraph" w:customStyle="1" w:styleId="27">
    <w:name w:val="标准称谓"/>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宋体" w:hAnsi="Times New Roman" w:eastAsia="宋体" w:cs="Times New Roman"/>
      <w:b/>
      <w:w w:val="148"/>
      <w:sz w:val="48"/>
    </w:rPr>
  </w:style>
  <w:style w:type="paragraph" w:customStyle="1" w:styleId="28">
    <w:name w:val="标准称谓2"/>
    <w:next w:val="1"/>
    <w:qFormat/>
    <w:uiPriority w:val="0"/>
    <w:pPr>
      <w:framePr w:w="6781" w:h="907" w:hRule="exact" w:hSpace="181" w:vSpace="181" w:wrap="around" w:vAnchor="page" w:hAnchor="page" w:xAlign="center" w:y="2269" w:anchorLock="1"/>
      <w:widowControl w:val="0"/>
      <w:kinsoku w:val="0"/>
      <w:overflowPunct w:val="0"/>
      <w:autoSpaceDE w:val="0"/>
      <w:autoSpaceDN w:val="0"/>
      <w:spacing w:line="0" w:lineRule="atLeast"/>
      <w:jc w:val="distribute"/>
    </w:pPr>
    <w:rPr>
      <w:rFonts w:hint="eastAsia" w:ascii="Times New Roman" w:hAnsi="Times New Roman" w:eastAsia="黑体" w:cs="Times New Roman"/>
      <w:spacing w:val="-40"/>
      <w:kern w:val="2"/>
      <w:sz w:val="72"/>
      <w:szCs w:val="72"/>
    </w:rPr>
  </w:style>
  <w:style w:type="paragraph" w:customStyle="1" w:styleId="29">
    <w:name w:val="标准称谓3"/>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黑体" w:hAnsi="Times New Roman" w:eastAsia="黑体" w:cs="Times New Roman"/>
      <w:sz w:val="48"/>
    </w:rPr>
  </w:style>
  <w:style w:type="paragraph" w:customStyle="1" w:styleId="30">
    <w:name w:val="标准书脚_奇数页"/>
    <w:qFormat/>
    <w:uiPriority w:val="0"/>
    <w:pPr>
      <w:ind w:right="227"/>
      <w:jc w:val="right"/>
    </w:pPr>
    <w:rPr>
      <w:rFonts w:hint="eastAsia" w:ascii="宋体" w:hAnsi="Times New Roman" w:eastAsia="宋体" w:cs="宋体"/>
      <w:sz w:val="18"/>
    </w:rPr>
  </w:style>
  <w:style w:type="paragraph" w:customStyle="1" w:styleId="31">
    <w:name w:val="标准书眉_奇数页"/>
    <w:next w:val="1"/>
    <w:qFormat/>
    <w:uiPriority w:val="0"/>
    <w:pPr>
      <w:tabs>
        <w:tab w:val="center" w:pos="4153"/>
        <w:tab w:val="right" w:pos="8306"/>
      </w:tabs>
      <w:spacing w:after="120"/>
      <w:jc w:val="right"/>
    </w:pPr>
    <w:rPr>
      <w:rFonts w:hint="eastAsia" w:ascii="黑体" w:hAnsi="Times New Roman" w:eastAsia="黑体" w:cs="黑体"/>
      <w:sz w:val="21"/>
    </w:rPr>
  </w:style>
  <w:style w:type="paragraph" w:customStyle="1" w:styleId="32">
    <w:name w:val="标准书眉_偶数页"/>
    <w:next w:val="1"/>
    <w:qFormat/>
    <w:uiPriority w:val="0"/>
    <w:pPr>
      <w:spacing w:after="120"/>
    </w:pPr>
    <w:rPr>
      <w:rFonts w:hint="eastAsia" w:ascii="黑体" w:hAnsi="Times New Roman" w:eastAsia="黑体" w:cs="黑体"/>
      <w:sz w:val="21"/>
    </w:rPr>
  </w:style>
  <w:style w:type="paragraph" w:customStyle="1" w:styleId="33">
    <w:name w:val="标准文件_参考文献标题"/>
    <w:basedOn w:val="1"/>
    <w:next w:val="1"/>
    <w:qFormat/>
    <w:uiPriority w:val="0"/>
    <w:pPr>
      <w:widowControl/>
      <w:spacing w:before="126" w:beforeLines="40" w:after="157" w:afterLines="50"/>
      <w:jc w:val="center"/>
      <w:outlineLvl w:val="0"/>
    </w:pPr>
    <w:rPr>
      <w:rFonts w:ascii="黑体" w:hAnsi="Times New Roman" w:eastAsia="黑体" w:cs="黑体"/>
      <w:kern w:val="0"/>
    </w:rPr>
  </w:style>
  <w:style w:type="paragraph" w:customStyle="1" w:styleId="34">
    <w:name w:val="封面标准顶部线"/>
    <w:qFormat/>
    <w:uiPriority w:val="0"/>
    <w:pPr>
      <w:framePr w:w="9673" w:hSpace="181" w:wrap="around" w:vAnchor="page" w:hAnchor="page" w:x="1390" w:y="4242"/>
      <w:spacing w:line="0" w:lineRule="atLeast"/>
    </w:pPr>
    <w:rPr>
      <w:rFonts w:hint="eastAsia" w:ascii="宋体" w:hAnsi="Times New Roman" w:eastAsia="宋体" w:cs="Times New Roman"/>
      <w:sz w:val="21"/>
    </w:rPr>
  </w:style>
  <w:style w:type="paragraph" w:customStyle="1" w:styleId="35">
    <w:name w:val="发布部门"/>
    <w:next w:val="24"/>
    <w:qFormat/>
    <w:uiPriority w:val="0"/>
    <w:pPr>
      <w:framePr w:w="7938" w:h="1134" w:hRule="exact" w:hSpace="125" w:vSpace="181" w:wrap="around" w:vAnchor="page" w:hAnchor="page" w:x="2150" w:y="14630" w:anchorLock="1"/>
      <w:spacing w:before="100"/>
      <w:jc w:val="center"/>
    </w:pPr>
    <w:rPr>
      <w:rFonts w:hint="eastAsia" w:ascii="宋体" w:hAnsi="Times New Roman" w:eastAsia="宋体" w:cs="Times New Roman"/>
      <w:spacing w:val="20"/>
      <w:w w:val="135"/>
      <w:sz w:val="28"/>
    </w:rPr>
  </w:style>
  <w:style w:type="paragraph" w:customStyle="1" w:styleId="36">
    <w:name w:val="发布日期"/>
    <w:qFormat/>
    <w:uiPriority w:val="0"/>
    <w:pPr>
      <w:framePr w:w="3997" w:h="471" w:hRule="exact" w:hSpace="181" w:vSpace="181" w:wrap="around" w:vAnchor="margin" w:hAnchor="page" w:y="14080" w:anchorLock="1"/>
      <w:spacing w:line="360" w:lineRule="exact"/>
    </w:pPr>
    <w:rPr>
      <w:rFonts w:hint="eastAsia" w:ascii="黑体" w:hAnsi="Times New Roman" w:eastAsia="黑体" w:cs="Times New Roman"/>
      <w:sz w:val="28"/>
    </w:rPr>
  </w:style>
  <w:style w:type="paragraph" w:customStyle="1" w:styleId="37">
    <w:name w:val="实施日期"/>
    <w:basedOn w:val="36"/>
    <w:qFormat/>
    <w:uiPriority w:val="0"/>
    <w:pPr>
      <w:framePr w:hSpace="0" w:wrap="around" w:vAnchor="page" w:hAnchor="page" w:x="7089" w:y="14176"/>
      <w:jc w:val="right"/>
    </w:pPr>
  </w:style>
  <w:style w:type="paragraph" w:customStyle="1" w:styleId="38">
    <w:name w:val="封面日期"/>
    <w:qFormat/>
    <w:uiPriority w:val="0"/>
    <w:pPr>
      <w:framePr w:w="9673" w:vSpace="181" w:wrap="around" w:vAnchor="page" w:hAnchor="page" w:x="1419" w:y="14176" w:anchorLock="1"/>
      <w:spacing w:line="360" w:lineRule="exact"/>
    </w:pPr>
    <w:rPr>
      <w:rFonts w:hint="eastAsia" w:ascii="黑体" w:hAnsi="Times New Roman" w:eastAsia="黑体" w:cs="Times New Roman"/>
      <w:sz w:val="28"/>
    </w:rPr>
  </w:style>
  <w:style w:type="paragraph" w:customStyle="1" w:styleId="39">
    <w:name w:val="封面标准代替信息"/>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rPr>
  </w:style>
  <w:style w:type="paragraph" w:customStyle="1" w:styleId="40">
    <w:name w:val="封面标准号2"/>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rPr>
  </w:style>
  <w:style w:type="paragraph" w:customStyle="1" w:styleId="41">
    <w:name w:val="封面标准名称"/>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rPr>
  </w:style>
  <w:style w:type="paragraph" w:customStyle="1" w:styleId="42">
    <w:name w:val="封面标准英文名称"/>
    <w:basedOn w:val="41"/>
    <w:qFormat/>
    <w:uiPriority w:val="0"/>
    <w:pPr>
      <w:widowControl w:val="0"/>
      <w:spacing w:before="410" w:line="360" w:lineRule="exact"/>
      <w:textAlignment w:val="bottom"/>
    </w:pPr>
    <w:rPr>
      <w:rFonts w:ascii="Times New Roman" w:hAnsi="Times New Roman" w:cs="Times New Roman"/>
      <w:sz w:val="28"/>
    </w:rPr>
  </w:style>
  <w:style w:type="paragraph" w:customStyle="1" w:styleId="43">
    <w:name w:val="封面一致性程度标识"/>
    <w:basedOn w:val="42"/>
    <w:qFormat/>
    <w:uiPriority w:val="0"/>
    <w:pPr>
      <w:spacing w:before="760"/>
    </w:pPr>
  </w:style>
  <w:style w:type="paragraph" w:customStyle="1" w:styleId="44">
    <w:name w:val="封面标准文稿类别"/>
    <w:basedOn w:val="43"/>
    <w:qFormat/>
    <w:uiPriority w:val="0"/>
    <w:pPr>
      <w:spacing w:before="440" w:after="160"/>
    </w:pPr>
    <w:rPr>
      <w:rFonts w:ascii="黑体" w:hAnsi="黑体" w:cs="黑体"/>
      <w:sz w:val="24"/>
    </w:rPr>
  </w:style>
  <w:style w:type="paragraph" w:customStyle="1" w:styleId="45">
    <w:name w:val="封面标准文稿编辑信息"/>
    <w:basedOn w:val="44"/>
    <w:qFormat/>
    <w:uiPriority w:val="0"/>
    <w:pPr>
      <w:spacing w:before="180" w:line="240" w:lineRule="atLeast"/>
    </w:pPr>
    <w:rPr>
      <w:sz w:val="21"/>
    </w:rPr>
  </w:style>
  <w:style w:type="paragraph" w:customStyle="1" w:styleId="46">
    <w:name w:val="封面标准文稿附件"/>
    <w:basedOn w:val="44"/>
    <w:qFormat/>
    <w:uiPriority w:val="0"/>
    <w:pPr>
      <w:spacing w:before="937" w:beforeLines="300" w:afterLines="30" w:line="240" w:lineRule="auto"/>
    </w:pPr>
    <w:rPr>
      <w:rFonts w:ascii="Times New Roman" w:hAnsi="Times New Roman" w:cs="Times New Roman"/>
      <w:b/>
      <w:sz w:val="21"/>
    </w:rPr>
  </w:style>
  <w:style w:type="paragraph" w:customStyle="1" w:styleId="47">
    <w:name w:val="其他发布部门"/>
    <w:basedOn w:val="35"/>
    <w:qFormat/>
    <w:uiPriority w:val="0"/>
    <w:pPr>
      <w:framePr w:wrap="around" w:y="15310"/>
      <w:spacing w:line="0" w:lineRule="atLeast"/>
    </w:pPr>
    <w:rPr>
      <w:rFonts w:ascii="黑体" w:hAnsi="黑体" w:eastAsia="黑体" w:cs="黑体"/>
    </w:rPr>
  </w:style>
  <w:style w:type="paragraph" w:customStyle="1" w:styleId="48">
    <w:name w:val="其他发布部门2"/>
    <w:basedOn w:val="35"/>
    <w:qFormat/>
    <w:uiPriority w:val="0"/>
    <w:pPr>
      <w:framePr w:w="7433" w:h="584" w:hRule="exact" w:hSpace="181" w:wrap="around" w:vAnchor="margin" w:hAnchor="margin" w:xAlign="center" w:y="15027"/>
      <w:spacing w:line="0" w:lineRule="atLeast"/>
    </w:pPr>
    <w:rPr>
      <w:rFonts w:ascii="黑体" w:hAnsi="黑体" w:eastAsia="黑体" w:cs="Times New Roman"/>
      <w:spacing w:val="0"/>
      <w:w w:val="100"/>
    </w:rPr>
  </w:style>
  <w:style w:type="paragraph" w:customStyle="1" w:styleId="49">
    <w:name w:val="其他发布部门3"/>
    <w:qFormat/>
    <w:uiPriority w:val="0"/>
    <w:pPr>
      <w:framePr w:w="9248" w:h="1259" w:hRule="exact" w:hSpace="181" w:vSpace="181" w:wrap="around" w:vAnchor="margin" w:hAnchor="margin" w:xAlign="center" w:y="14545"/>
      <w:spacing w:line="0" w:lineRule="atLeast"/>
      <w:jc w:val="center"/>
    </w:pPr>
    <w:rPr>
      <w:rFonts w:hint="eastAsia" w:ascii="黑体" w:hAnsi="Times New Roman" w:eastAsia="黑体" w:cs="Times New Roman"/>
      <w:sz w:val="28"/>
    </w:rPr>
  </w:style>
  <w:style w:type="paragraph" w:customStyle="1" w:styleId="50">
    <w:name w:val="其他发布日期"/>
    <w:basedOn w:val="36"/>
    <w:qFormat/>
    <w:uiPriority w:val="0"/>
    <w:pPr>
      <w:framePr w:hSpace="0" w:wrap="around" w:vAnchor="page" w:hAnchor="page" w:x="1419" w:y="14176"/>
    </w:pPr>
  </w:style>
  <w:style w:type="paragraph" w:customStyle="1" w:styleId="51">
    <w:name w:val="其他实施日期"/>
    <w:basedOn w:val="37"/>
    <w:qFormat/>
    <w:uiPriority w:val="0"/>
  </w:style>
  <w:style w:type="paragraph" w:customStyle="1" w:styleId="52">
    <w:name w:val="文献分类号"/>
    <w:qFormat/>
    <w:uiPriority w:val="0"/>
    <w:pPr>
      <w:framePr w:wrap="around" w:vAnchor="page" w:hAnchor="page" w:x="1373" w:y="568"/>
      <w:widowControl w:val="0"/>
      <w:textAlignment w:val="center"/>
    </w:pPr>
    <w:rPr>
      <w:rFonts w:hint="eastAsia" w:ascii="黑体" w:hAnsi="Times New Roman" w:eastAsia="黑体" w:cs="Times New Roman"/>
      <w:kern w:val="21"/>
      <w:sz w:val="21"/>
    </w:rPr>
  </w:style>
  <w:style w:type="paragraph" w:customStyle="1" w:styleId="53">
    <w:name w:val="标准文件_目录标题"/>
    <w:basedOn w:val="1"/>
    <w:qFormat/>
    <w:uiPriority w:val="0"/>
    <w:pPr>
      <w:shd w:val="clear" w:fill="FFFFFF"/>
      <w:spacing w:after="469" w:afterLines="150"/>
      <w:jc w:val="center"/>
    </w:pPr>
    <w:rPr>
      <w:rFonts w:ascii="黑体" w:hAnsi="Times New Roman" w:eastAsia="黑体" w:cs="黑体"/>
      <w:kern w:val="0"/>
      <w:sz w:val="32"/>
    </w:rPr>
  </w:style>
  <w:style w:type="paragraph" w:customStyle="1" w:styleId="54">
    <w:name w:val="标准文件_前言、引言标题"/>
    <w:next w:val="1"/>
    <w:qFormat/>
    <w:uiPriority w:val="0"/>
    <w:pPr>
      <w:numPr>
        <w:ilvl w:val="0"/>
        <w:numId w:val="4"/>
      </w:numPr>
      <w:suppressAutoHyphens w:val="0"/>
      <w:spacing w:after="469" w:afterLines="150"/>
      <w:ind w:left="425" w:hanging="425"/>
      <w:jc w:val="center"/>
      <w:outlineLvl w:val="0"/>
    </w:pPr>
    <w:rPr>
      <w:rFonts w:hint="eastAsia" w:ascii="黑体" w:hAnsi="Times New Roman" w:eastAsia="黑体" w:cs="黑体"/>
      <w:sz w:val="32"/>
    </w:rPr>
  </w:style>
  <w:style w:type="paragraph" w:customStyle="1" w:styleId="55">
    <w:name w:val="标准文件_正文标准名称"/>
    <w:basedOn w:val="1"/>
    <w:link w:val="119"/>
    <w:qFormat/>
    <w:uiPriority w:val="0"/>
    <w:pPr>
      <w:widowControl/>
      <w:suppressAutoHyphens w:val="0"/>
      <w:spacing w:after="640" w:line="400" w:lineRule="exact"/>
      <w:jc w:val="center"/>
    </w:pPr>
    <w:rPr>
      <w:rFonts w:ascii="黑体" w:hAnsi="黑体" w:eastAsia="黑体" w:cs="黑体"/>
      <w:sz w:val="32"/>
    </w:rPr>
  </w:style>
  <w:style w:type="paragraph" w:customStyle="1" w:styleId="56">
    <w:name w:val="标准文件_一级项"/>
    <w:next w:val="24"/>
    <w:qFormat/>
    <w:uiPriority w:val="0"/>
    <w:pPr>
      <w:numPr>
        <w:ilvl w:val="0"/>
        <w:numId w:val="5"/>
      </w:numPr>
      <w:suppressAutoHyphens w:val="0"/>
      <w:ind w:left="851" w:hanging="426"/>
    </w:pPr>
    <w:rPr>
      <w:rFonts w:hint="eastAsia" w:ascii="宋体" w:hAnsi="Times New Roman" w:eastAsia="宋体" w:cs="宋体"/>
      <w:sz w:val="21"/>
    </w:rPr>
  </w:style>
  <w:style w:type="paragraph" w:customStyle="1" w:styleId="57">
    <w:name w:val="标准文件_二级项2"/>
    <w:basedOn w:val="24"/>
    <w:next w:val="24"/>
    <w:qFormat/>
    <w:uiPriority w:val="0"/>
    <w:pPr>
      <w:numPr>
        <w:ilvl w:val="1"/>
        <w:numId w:val="5"/>
      </w:numPr>
      <w:suppressAutoHyphens w:val="0"/>
      <w:ind w:left="1270" w:hanging="419"/>
    </w:pPr>
    <w:rPr>
      <w:rFonts w:hAnsi="Times New Roman"/>
    </w:rPr>
  </w:style>
  <w:style w:type="paragraph" w:customStyle="1" w:styleId="58">
    <w:name w:val="标准文件_三级项"/>
    <w:basedOn w:val="1"/>
    <w:next w:val="24"/>
    <w:qFormat/>
    <w:uiPriority w:val="0"/>
    <w:pPr>
      <w:numPr>
        <w:ilvl w:val="2"/>
        <w:numId w:val="6"/>
      </w:numPr>
      <w:suppressAutoHyphens w:val="0"/>
      <w:spacing w:line="300" w:lineRule="exact"/>
      <w:ind w:left="1678" w:hanging="414"/>
    </w:pPr>
    <w:rPr>
      <w:rFonts w:hAnsi="+西文正文"/>
    </w:rPr>
  </w:style>
  <w:style w:type="paragraph" w:customStyle="1" w:styleId="59">
    <w:name w:val="标准文件_字母编号列项（一级）"/>
    <w:next w:val="24"/>
    <w:qFormat/>
    <w:uiPriority w:val="0"/>
    <w:pPr>
      <w:numPr>
        <w:ilvl w:val="0"/>
        <w:numId w:val="6"/>
      </w:numPr>
      <w:tabs>
        <w:tab w:val="left" w:pos="839"/>
      </w:tabs>
      <w:ind w:left="851" w:hanging="426"/>
      <w:jc w:val="both"/>
    </w:pPr>
    <w:rPr>
      <w:rFonts w:hint="eastAsia" w:ascii="宋体" w:hAnsi="Times New Roman" w:eastAsia="宋体" w:cs="宋体"/>
      <w:sz w:val="21"/>
    </w:rPr>
  </w:style>
  <w:style w:type="paragraph" w:customStyle="1" w:styleId="60">
    <w:name w:val="标准文件_数字编号列项（二级）"/>
    <w:next w:val="24"/>
    <w:qFormat/>
    <w:uiPriority w:val="0"/>
    <w:pPr>
      <w:numPr>
        <w:ilvl w:val="1"/>
        <w:numId w:val="6"/>
      </w:numPr>
      <w:tabs>
        <w:tab w:val="left" w:pos="1259"/>
        <w:tab w:val="clear" w:pos="1276"/>
      </w:tabs>
      <w:ind w:left="1259" w:hanging="419"/>
      <w:jc w:val="both"/>
    </w:pPr>
    <w:rPr>
      <w:rFonts w:hint="eastAsia" w:ascii="宋体" w:hAnsi="Times New Roman" w:eastAsia="宋体" w:cs="Times New Roman"/>
      <w:sz w:val="21"/>
    </w:rPr>
  </w:style>
  <w:style w:type="paragraph" w:customStyle="1" w:styleId="61">
    <w:name w:val="标准文件_引言一级条标题"/>
    <w:basedOn w:val="24"/>
    <w:next w:val="24"/>
    <w:qFormat/>
    <w:uiPriority w:val="0"/>
    <w:pPr>
      <w:numPr>
        <w:ilvl w:val="1"/>
        <w:numId w:val="4"/>
      </w:numPr>
      <w:spacing w:before="157" w:beforeLines="50" w:after="157" w:afterLines="50"/>
    </w:pPr>
    <w:rPr>
      <w:rFonts w:ascii="黑体" w:hAnsi="黑体" w:eastAsia="黑体" w:cs="黑体"/>
    </w:rPr>
  </w:style>
  <w:style w:type="paragraph" w:customStyle="1" w:styleId="62">
    <w:name w:val="标准文件_引言二级条标题"/>
    <w:basedOn w:val="24"/>
    <w:next w:val="24"/>
    <w:qFormat/>
    <w:uiPriority w:val="0"/>
    <w:pPr>
      <w:numPr>
        <w:ilvl w:val="2"/>
        <w:numId w:val="4"/>
      </w:numPr>
      <w:spacing w:before="157" w:beforeLines="50" w:after="157" w:afterLines="50"/>
    </w:pPr>
    <w:rPr>
      <w:rFonts w:ascii="黑体" w:hAnsi="黑体" w:eastAsia="黑体" w:cs="黑体"/>
    </w:rPr>
  </w:style>
  <w:style w:type="paragraph" w:customStyle="1" w:styleId="63">
    <w:name w:val="标准文件_引言三级条标题"/>
    <w:basedOn w:val="24"/>
    <w:next w:val="24"/>
    <w:qFormat/>
    <w:uiPriority w:val="0"/>
    <w:pPr>
      <w:numPr>
        <w:ilvl w:val="3"/>
        <w:numId w:val="4"/>
      </w:numPr>
      <w:spacing w:before="157" w:beforeLines="50" w:after="157" w:afterLines="50"/>
    </w:pPr>
    <w:rPr>
      <w:rFonts w:ascii="黑体" w:hAnsi="黑体" w:eastAsia="黑体" w:cs="黑体"/>
    </w:rPr>
  </w:style>
  <w:style w:type="paragraph" w:customStyle="1" w:styleId="64">
    <w:name w:val="标准文件_引言四级条标题"/>
    <w:basedOn w:val="24"/>
    <w:next w:val="24"/>
    <w:qFormat/>
    <w:uiPriority w:val="0"/>
    <w:pPr>
      <w:numPr>
        <w:ilvl w:val="4"/>
        <w:numId w:val="4"/>
      </w:numPr>
      <w:spacing w:before="157" w:beforeLines="50" w:after="157" w:afterLines="50"/>
    </w:pPr>
    <w:rPr>
      <w:rFonts w:ascii="黑体" w:hAnsi="黑体" w:eastAsia="黑体" w:cs="黑体"/>
    </w:rPr>
  </w:style>
  <w:style w:type="paragraph" w:customStyle="1" w:styleId="65">
    <w:name w:val="标准文件_引言五级条标题"/>
    <w:basedOn w:val="24"/>
    <w:next w:val="24"/>
    <w:qFormat/>
    <w:uiPriority w:val="0"/>
    <w:pPr>
      <w:numPr>
        <w:ilvl w:val="5"/>
        <w:numId w:val="4"/>
      </w:numPr>
      <w:spacing w:before="157" w:beforeLines="50" w:after="157" w:afterLines="50"/>
    </w:pPr>
    <w:rPr>
      <w:rFonts w:ascii="黑体" w:hAnsi="黑体" w:eastAsia="黑体" w:cs="黑体"/>
    </w:rPr>
  </w:style>
  <w:style w:type="paragraph" w:customStyle="1" w:styleId="66">
    <w:name w:val="标准文件_引言一级无标题"/>
    <w:basedOn w:val="61"/>
    <w:next w:val="24"/>
    <w:qFormat/>
    <w:uiPriority w:val="0"/>
    <w:pPr>
      <w:spacing w:before="4" w:beforeLines="1" w:after="4" w:afterLines="1" w:line="276" w:lineRule="auto"/>
    </w:pPr>
    <w:rPr>
      <w:rFonts w:ascii="宋体" w:hAnsi="宋体" w:eastAsia="宋体" w:cs="宋体"/>
    </w:rPr>
  </w:style>
  <w:style w:type="paragraph" w:customStyle="1" w:styleId="67">
    <w:name w:val="标准文件_引言二级无标题"/>
    <w:basedOn w:val="62"/>
    <w:next w:val="24"/>
    <w:qFormat/>
    <w:uiPriority w:val="0"/>
    <w:pPr>
      <w:spacing w:before="4" w:beforeLines="1" w:after="4" w:afterLines="1" w:line="276" w:lineRule="auto"/>
    </w:pPr>
    <w:rPr>
      <w:rFonts w:ascii="宋体" w:hAnsi="宋体" w:eastAsia="宋体" w:cs="宋体"/>
    </w:rPr>
  </w:style>
  <w:style w:type="paragraph" w:customStyle="1" w:styleId="68">
    <w:name w:val="标准文件_引言三级无标题"/>
    <w:basedOn w:val="63"/>
    <w:next w:val="24"/>
    <w:qFormat/>
    <w:uiPriority w:val="0"/>
    <w:pPr>
      <w:spacing w:before="4" w:beforeLines="1" w:after="4" w:afterLines="1" w:line="276" w:lineRule="auto"/>
    </w:pPr>
    <w:rPr>
      <w:rFonts w:ascii="宋体" w:hAnsi="宋体" w:eastAsia="宋体" w:cs="宋体"/>
    </w:rPr>
  </w:style>
  <w:style w:type="paragraph" w:customStyle="1" w:styleId="69">
    <w:name w:val="标准文件_引言四级无标题"/>
    <w:basedOn w:val="64"/>
    <w:next w:val="24"/>
    <w:qFormat/>
    <w:uiPriority w:val="0"/>
    <w:pPr>
      <w:spacing w:before="4" w:beforeLines="1" w:after="4" w:afterLines="1" w:line="276" w:lineRule="auto"/>
    </w:pPr>
    <w:rPr>
      <w:rFonts w:ascii="宋体" w:hAnsi="宋体" w:eastAsia="宋体" w:cs="宋体"/>
    </w:rPr>
  </w:style>
  <w:style w:type="paragraph" w:customStyle="1" w:styleId="70">
    <w:name w:val="标准文件_引言五级无标题"/>
    <w:basedOn w:val="65"/>
    <w:next w:val="24"/>
    <w:qFormat/>
    <w:uiPriority w:val="0"/>
    <w:pPr>
      <w:spacing w:before="4" w:beforeLines="1" w:after="4" w:afterLines="1" w:line="276" w:lineRule="auto"/>
    </w:pPr>
    <w:rPr>
      <w:rFonts w:ascii="宋体" w:hAnsi="宋体" w:eastAsia="宋体" w:cs="宋体"/>
    </w:rPr>
  </w:style>
  <w:style w:type="paragraph" w:customStyle="1" w:styleId="71">
    <w:name w:val="标准文件_章标题"/>
    <w:next w:val="24"/>
    <w:qFormat/>
    <w:uiPriority w:val="0"/>
    <w:pPr>
      <w:numPr>
        <w:ilvl w:val="0"/>
        <w:numId w:val="7"/>
      </w:numPr>
      <w:suppressAutoHyphens w:val="0"/>
      <w:spacing w:before="313" w:beforeLines="100" w:after="313" w:afterLines="100"/>
      <w:jc w:val="both"/>
      <w:outlineLvl w:val="0"/>
    </w:pPr>
    <w:rPr>
      <w:rFonts w:hint="eastAsia" w:ascii="黑体" w:hAnsi="Times New Roman" w:eastAsia="黑体" w:cs="黑体"/>
      <w:sz w:val="21"/>
    </w:rPr>
  </w:style>
  <w:style w:type="paragraph" w:customStyle="1" w:styleId="72">
    <w:name w:val="标准文件_一级条标题"/>
    <w:basedOn w:val="71"/>
    <w:next w:val="24"/>
    <w:qFormat/>
    <w:uiPriority w:val="0"/>
    <w:pPr>
      <w:numPr>
        <w:ilvl w:val="1"/>
      </w:numPr>
      <w:spacing w:before="157" w:beforeLines="50" w:after="157" w:afterLines="50"/>
      <w:ind w:firstLine="0"/>
      <w:outlineLvl w:val="1"/>
    </w:pPr>
    <w:rPr>
      <w:rFonts w:hAnsi="Times New Roman"/>
    </w:rPr>
  </w:style>
  <w:style w:type="paragraph" w:customStyle="1" w:styleId="73">
    <w:name w:val="标准文件_二级条标题"/>
    <w:next w:val="24"/>
    <w:qFormat/>
    <w:uiPriority w:val="0"/>
    <w:pPr>
      <w:numPr>
        <w:ilvl w:val="2"/>
        <w:numId w:val="7"/>
      </w:numPr>
      <w:suppressAutoHyphens w:val="0"/>
      <w:spacing w:before="157" w:beforeLines="50" w:after="157" w:afterLines="50"/>
      <w:jc w:val="both"/>
      <w:outlineLvl w:val="2"/>
    </w:pPr>
    <w:rPr>
      <w:rFonts w:hint="eastAsia" w:ascii="黑体" w:hAnsi="黑体" w:eastAsia="黑体" w:cs="黑体"/>
      <w:sz w:val="21"/>
    </w:rPr>
  </w:style>
  <w:style w:type="paragraph" w:customStyle="1" w:styleId="74">
    <w:name w:val="标准文件_三级条标题"/>
    <w:basedOn w:val="73"/>
    <w:next w:val="24"/>
    <w:qFormat/>
    <w:uiPriority w:val="0"/>
    <w:pPr>
      <w:numPr>
        <w:ilvl w:val="3"/>
      </w:numPr>
      <w:spacing w:before="157" w:after="157"/>
      <w:ind w:firstLine="0"/>
      <w:outlineLvl w:val="3"/>
    </w:pPr>
  </w:style>
  <w:style w:type="paragraph" w:customStyle="1" w:styleId="75">
    <w:name w:val="标准文件_四级条标题"/>
    <w:next w:val="24"/>
    <w:qFormat/>
    <w:uiPriority w:val="0"/>
    <w:pPr>
      <w:numPr>
        <w:ilvl w:val="4"/>
        <w:numId w:val="7"/>
      </w:numPr>
      <w:suppressAutoHyphens w:val="0"/>
      <w:spacing w:before="157" w:beforeLines="50" w:after="157" w:afterLines="50"/>
      <w:jc w:val="both"/>
      <w:outlineLvl w:val="4"/>
    </w:pPr>
    <w:rPr>
      <w:rFonts w:hint="eastAsia" w:ascii="黑体" w:hAnsi="黑体" w:eastAsia="黑体" w:cs="黑体"/>
      <w:sz w:val="21"/>
    </w:rPr>
  </w:style>
  <w:style w:type="paragraph" w:customStyle="1" w:styleId="76">
    <w:name w:val="标准文件_五级条标题"/>
    <w:next w:val="24"/>
    <w:qFormat/>
    <w:uiPriority w:val="0"/>
    <w:pPr>
      <w:numPr>
        <w:ilvl w:val="5"/>
        <w:numId w:val="7"/>
      </w:numPr>
      <w:suppressAutoHyphens w:val="0"/>
      <w:spacing w:before="157" w:beforeLines="50" w:after="157" w:afterLines="50"/>
      <w:jc w:val="both"/>
      <w:outlineLvl w:val="4"/>
    </w:pPr>
    <w:rPr>
      <w:rFonts w:hint="eastAsia" w:ascii="黑体" w:hAnsi="黑体" w:eastAsia="黑体" w:cs="黑体"/>
      <w:sz w:val="21"/>
    </w:rPr>
  </w:style>
  <w:style w:type="paragraph" w:customStyle="1" w:styleId="77">
    <w:name w:val="标准文件_一级无标题"/>
    <w:basedOn w:val="72"/>
    <w:qFormat/>
    <w:uiPriority w:val="0"/>
    <w:pPr>
      <w:spacing w:before="4" w:beforeLines="1" w:after="4" w:afterLines="1"/>
      <w:outlineLvl w:val="9"/>
    </w:pPr>
    <w:rPr>
      <w:rFonts w:ascii="宋体" w:hAnsi="宋体" w:eastAsia="宋体" w:cs="宋体"/>
    </w:rPr>
  </w:style>
  <w:style w:type="paragraph" w:customStyle="1" w:styleId="78">
    <w:name w:val="标准文件_二级无标题"/>
    <w:basedOn w:val="73"/>
    <w:qFormat/>
    <w:uiPriority w:val="0"/>
    <w:pPr>
      <w:spacing w:before="4" w:beforeLines="1" w:after="4" w:afterLines="1"/>
      <w:outlineLvl w:val="9"/>
    </w:pPr>
    <w:rPr>
      <w:rFonts w:ascii="宋体" w:hAnsi="宋体" w:eastAsia="宋体" w:cs="宋体"/>
    </w:rPr>
  </w:style>
  <w:style w:type="paragraph" w:customStyle="1" w:styleId="79">
    <w:name w:val="标准文件_三级无标题"/>
    <w:basedOn w:val="74"/>
    <w:qFormat/>
    <w:uiPriority w:val="0"/>
    <w:pPr>
      <w:spacing w:before="4" w:beforeLines="1" w:after="4" w:afterLines="1"/>
      <w:outlineLvl w:val="9"/>
    </w:pPr>
    <w:rPr>
      <w:rFonts w:ascii="宋体" w:hAnsi="宋体" w:eastAsia="宋体" w:cs="宋体"/>
    </w:rPr>
  </w:style>
  <w:style w:type="paragraph" w:customStyle="1" w:styleId="80">
    <w:name w:val="标准文件_四级无标题"/>
    <w:basedOn w:val="75"/>
    <w:qFormat/>
    <w:uiPriority w:val="0"/>
    <w:pPr>
      <w:spacing w:before="4" w:beforeLines="1" w:after="4" w:afterLines="1"/>
      <w:outlineLvl w:val="9"/>
    </w:pPr>
    <w:rPr>
      <w:rFonts w:ascii="宋体" w:hAnsi="宋体" w:eastAsia="宋体" w:cs="宋体"/>
    </w:rPr>
  </w:style>
  <w:style w:type="paragraph" w:customStyle="1" w:styleId="81">
    <w:name w:val="标准文件_五级无标题"/>
    <w:basedOn w:val="76"/>
    <w:qFormat/>
    <w:uiPriority w:val="0"/>
    <w:pPr>
      <w:spacing w:before="4" w:beforeLines="1" w:after="4" w:afterLines="1"/>
      <w:outlineLvl w:val="9"/>
    </w:pPr>
    <w:rPr>
      <w:rFonts w:ascii="宋体" w:hAnsi="宋体" w:eastAsia="宋体" w:cs="宋体"/>
    </w:rPr>
  </w:style>
  <w:style w:type="paragraph" w:customStyle="1" w:styleId="82">
    <w:name w:val="标准文件_术语条一"/>
    <w:basedOn w:val="77"/>
    <w:next w:val="24"/>
    <w:qFormat/>
    <w:uiPriority w:val="0"/>
    <w:pPr>
      <w:ind w:left="960" w:hanging="960" w:hangingChars="200"/>
    </w:pPr>
    <w:rPr>
      <w:rFonts w:ascii="黑体" w:hAnsi="黑体" w:eastAsia="黑体" w:cs="黑体"/>
    </w:rPr>
  </w:style>
  <w:style w:type="paragraph" w:customStyle="1" w:styleId="83">
    <w:name w:val="标准文件_术语条二"/>
    <w:basedOn w:val="78"/>
    <w:next w:val="24"/>
    <w:qFormat/>
    <w:uiPriority w:val="0"/>
    <w:pPr>
      <w:ind w:left="960" w:hanging="960" w:hangingChars="200"/>
    </w:pPr>
    <w:rPr>
      <w:rFonts w:ascii="黑体" w:hAnsi="黑体" w:eastAsia="黑体" w:cs="黑体"/>
    </w:rPr>
  </w:style>
  <w:style w:type="paragraph" w:customStyle="1" w:styleId="84">
    <w:name w:val="标准文件_术语条三"/>
    <w:basedOn w:val="79"/>
    <w:next w:val="24"/>
    <w:qFormat/>
    <w:uiPriority w:val="0"/>
    <w:pPr>
      <w:ind w:left="960" w:hanging="960" w:hangingChars="200"/>
    </w:pPr>
    <w:rPr>
      <w:rFonts w:ascii="黑体" w:hAnsi="黑体" w:eastAsia="黑体" w:cs="黑体"/>
    </w:rPr>
  </w:style>
  <w:style w:type="paragraph" w:customStyle="1" w:styleId="85">
    <w:name w:val="标准文件_术语条四"/>
    <w:basedOn w:val="80"/>
    <w:next w:val="24"/>
    <w:qFormat/>
    <w:uiPriority w:val="0"/>
    <w:pPr>
      <w:ind w:left="960" w:hanging="960" w:hangingChars="200"/>
    </w:pPr>
    <w:rPr>
      <w:rFonts w:ascii="黑体" w:hAnsi="黑体" w:eastAsia="黑体" w:cs="黑体"/>
    </w:rPr>
  </w:style>
  <w:style w:type="paragraph" w:customStyle="1" w:styleId="86">
    <w:name w:val="标准文件_术语条五"/>
    <w:basedOn w:val="81"/>
    <w:next w:val="24"/>
    <w:qFormat/>
    <w:uiPriority w:val="0"/>
    <w:pPr>
      <w:ind w:left="960" w:hanging="960" w:hangingChars="200"/>
    </w:pPr>
    <w:rPr>
      <w:rFonts w:ascii="黑体" w:hAnsi="黑体" w:eastAsia="黑体" w:cs="黑体"/>
    </w:rPr>
  </w:style>
  <w:style w:type="paragraph" w:customStyle="1" w:styleId="87">
    <w:name w:val="标准文件_附录标识"/>
    <w:basedOn w:val="1"/>
    <w:next w:val="24"/>
    <w:qFormat/>
    <w:uiPriority w:val="0"/>
    <w:pPr>
      <w:widowControl/>
      <w:numPr>
        <w:ilvl w:val="0"/>
        <w:numId w:val="8"/>
      </w:numPr>
      <w:suppressAutoHyphens w:val="0"/>
      <w:spacing w:before="79" w:beforeLines="25" w:after="157" w:afterLines="50"/>
      <w:jc w:val="center"/>
      <w:outlineLvl w:val="0"/>
    </w:pPr>
    <w:rPr>
      <w:rFonts w:ascii="黑体" w:hAnsi="黑体" w:eastAsia="黑体" w:cs="黑体"/>
    </w:rPr>
  </w:style>
  <w:style w:type="paragraph" w:customStyle="1" w:styleId="88">
    <w:name w:val="标准文件_附录一级条标题"/>
    <w:next w:val="24"/>
    <w:qFormat/>
    <w:uiPriority w:val="0"/>
    <w:pPr>
      <w:numPr>
        <w:ilvl w:val="1"/>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89">
    <w:name w:val="标准文件_附录二级条标题"/>
    <w:next w:val="24"/>
    <w:qFormat/>
    <w:uiPriority w:val="0"/>
    <w:pPr>
      <w:numPr>
        <w:ilvl w:val="2"/>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0">
    <w:name w:val="标准文件_附录三级条标题"/>
    <w:next w:val="24"/>
    <w:qFormat/>
    <w:uiPriority w:val="0"/>
    <w:pPr>
      <w:numPr>
        <w:ilvl w:val="3"/>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1">
    <w:name w:val="标准文件_附录四级条标题"/>
    <w:next w:val="24"/>
    <w:qFormat/>
    <w:uiPriority w:val="0"/>
    <w:pPr>
      <w:numPr>
        <w:ilvl w:val="4"/>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2">
    <w:name w:val="标准文件_附录五级条标题"/>
    <w:next w:val="24"/>
    <w:qFormat/>
    <w:uiPriority w:val="0"/>
    <w:pPr>
      <w:numPr>
        <w:ilvl w:val="5"/>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3">
    <w:name w:val="标准文件_附录一级无标题"/>
    <w:basedOn w:val="88"/>
    <w:qFormat/>
    <w:uiPriority w:val="0"/>
    <w:pPr>
      <w:spacing w:before="4" w:beforeLines="1" w:after="4" w:afterLines="1" w:line="276" w:lineRule="auto"/>
    </w:pPr>
    <w:rPr>
      <w:rFonts w:ascii="宋体" w:hAnsi="宋体" w:eastAsia="宋体" w:cs="宋体"/>
    </w:rPr>
  </w:style>
  <w:style w:type="paragraph" w:customStyle="1" w:styleId="94">
    <w:name w:val="标准文件_附录二级无标题"/>
    <w:basedOn w:val="89"/>
    <w:qFormat/>
    <w:uiPriority w:val="0"/>
    <w:pPr>
      <w:spacing w:before="4" w:beforeLines="1" w:after="4" w:afterLines="1" w:line="276" w:lineRule="auto"/>
    </w:pPr>
    <w:rPr>
      <w:rFonts w:ascii="宋体" w:hAnsi="宋体" w:eastAsia="宋体" w:cs="宋体"/>
    </w:rPr>
  </w:style>
  <w:style w:type="paragraph" w:customStyle="1" w:styleId="95">
    <w:name w:val="标准文件_附录三级无标题"/>
    <w:basedOn w:val="90"/>
    <w:qFormat/>
    <w:uiPriority w:val="0"/>
    <w:pPr>
      <w:spacing w:before="4" w:beforeLines="1" w:after="4" w:afterLines="1" w:line="276" w:lineRule="auto"/>
    </w:pPr>
    <w:rPr>
      <w:rFonts w:ascii="宋体" w:hAnsi="宋体" w:eastAsia="宋体" w:cs="宋体"/>
    </w:rPr>
  </w:style>
  <w:style w:type="paragraph" w:customStyle="1" w:styleId="96">
    <w:name w:val="标准文件_附录四级无标题"/>
    <w:basedOn w:val="91"/>
    <w:qFormat/>
    <w:uiPriority w:val="0"/>
    <w:pPr>
      <w:spacing w:before="4" w:beforeLines="1" w:after="4" w:afterLines="1" w:line="276" w:lineRule="auto"/>
    </w:pPr>
    <w:rPr>
      <w:rFonts w:ascii="宋体" w:hAnsi="宋体" w:eastAsia="宋体" w:cs="宋体"/>
    </w:rPr>
  </w:style>
  <w:style w:type="paragraph" w:customStyle="1" w:styleId="97">
    <w:name w:val="标准文件_附录五级无标题"/>
    <w:basedOn w:val="92"/>
    <w:qFormat/>
    <w:uiPriority w:val="0"/>
    <w:pPr>
      <w:spacing w:before="4" w:beforeLines="1" w:after="4" w:afterLines="1" w:line="276" w:lineRule="auto"/>
    </w:pPr>
    <w:rPr>
      <w:rFonts w:ascii="宋体" w:hAnsi="宋体" w:eastAsia="宋体" w:cs="宋体"/>
    </w:rPr>
  </w:style>
  <w:style w:type="paragraph" w:customStyle="1" w:styleId="98">
    <w:name w:val="附录图标号"/>
    <w:basedOn w:val="24"/>
    <w:next w:val="24"/>
    <w:qFormat/>
    <w:uiPriority w:val="0"/>
    <w:pPr>
      <w:numPr>
        <w:ilvl w:val="0"/>
        <w:numId w:val="2"/>
      </w:numPr>
      <w:spacing w:line="14" w:lineRule="exact"/>
      <w:ind w:left="0"/>
      <w:jc w:val="center"/>
    </w:pPr>
    <w:rPr>
      <w:sz w:val="2"/>
    </w:rPr>
  </w:style>
  <w:style w:type="paragraph" w:customStyle="1" w:styleId="99">
    <w:name w:val="附录图标题"/>
    <w:next w:val="24"/>
    <w:qFormat/>
    <w:uiPriority w:val="0"/>
    <w:pPr>
      <w:numPr>
        <w:ilvl w:val="1"/>
        <w:numId w:val="2"/>
      </w:numPr>
      <w:spacing w:before="157" w:beforeLines="50" w:after="157" w:afterLines="50"/>
      <w:jc w:val="center"/>
    </w:pPr>
    <w:rPr>
      <w:rFonts w:hint="eastAsia" w:ascii="黑体" w:hAnsi="黑体" w:eastAsia="黑体" w:cs="黑体"/>
      <w:sz w:val="21"/>
    </w:rPr>
  </w:style>
  <w:style w:type="paragraph" w:customStyle="1" w:styleId="100">
    <w:name w:val="附录表标号"/>
    <w:basedOn w:val="24"/>
    <w:next w:val="24"/>
    <w:qFormat/>
    <w:uiPriority w:val="0"/>
    <w:pPr>
      <w:numPr>
        <w:ilvl w:val="0"/>
        <w:numId w:val="9"/>
      </w:numPr>
      <w:spacing w:line="14" w:lineRule="exact"/>
      <w:ind w:left="0"/>
      <w:jc w:val="center"/>
    </w:pPr>
    <w:rPr>
      <w:sz w:val="2"/>
    </w:rPr>
  </w:style>
  <w:style w:type="paragraph" w:customStyle="1" w:styleId="101">
    <w:name w:val="附录表标题"/>
    <w:next w:val="24"/>
    <w:qFormat/>
    <w:uiPriority w:val="0"/>
    <w:pPr>
      <w:numPr>
        <w:ilvl w:val="1"/>
        <w:numId w:val="9"/>
      </w:numPr>
      <w:spacing w:before="157" w:beforeLines="50" w:after="157" w:afterLines="50"/>
      <w:jc w:val="center"/>
    </w:pPr>
    <w:rPr>
      <w:rFonts w:hint="eastAsia" w:ascii="黑体" w:hAnsi="黑体" w:eastAsia="黑体" w:cs="黑体"/>
      <w:sz w:val="21"/>
    </w:rPr>
  </w:style>
  <w:style w:type="paragraph" w:customStyle="1" w:styleId="102">
    <w:name w:val="标准文件_示例内容"/>
    <w:basedOn w:val="24"/>
    <w:qFormat/>
    <w:uiPriority w:val="0"/>
    <w:pPr>
      <w:suppressAutoHyphens w:val="0"/>
    </w:pPr>
    <w:rPr>
      <w:rFonts w:hAnsi="宋体"/>
      <w:sz w:val="18"/>
    </w:rPr>
  </w:style>
  <w:style w:type="paragraph" w:customStyle="1" w:styleId="103">
    <w:name w:val="标准文件_示例"/>
    <w:next w:val="102"/>
    <w:qFormat/>
    <w:uiPriority w:val="0"/>
    <w:pPr>
      <w:numPr>
        <w:ilvl w:val="0"/>
        <w:numId w:val="10"/>
      </w:numPr>
      <w:tabs>
        <w:tab w:val="left" w:pos="539"/>
      </w:tabs>
      <w:suppressAutoHyphens w:val="0"/>
      <w:jc w:val="both"/>
    </w:pPr>
    <w:rPr>
      <w:rFonts w:hint="eastAsia" w:ascii="宋体" w:hAnsi="宋体" w:eastAsia="宋体" w:cs="宋体"/>
      <w:sz w:val="18"/>
    </w:rPr>
  </w:style>
  <w:style w:type="paragraph" w:customStyle="1" w:styleId="104">
    <w:name w:val="标准文件_示例×"/>
    <w:basedOn w:val="1"/>
    <w:next w:val="102"/>
    <w:qFormat/>
    <w:uiPriority w:val="0"/>
    <w:pPr>
      <w:widowControl/>
      <w:numPr>
        <w:ilvl w:val="0"/>
        <w:numId w:val="11"/>
      </w:numPr>
      <w:tabs>
        <w:tab w:val="left" w:pos="539"/>
      </w:tabs>
      <w:suppressAutoHyphens w:val="0"/>
      <w:ind w:firstLine="363"/>
    </w:pPr>
    <w:rPr>
      <w:rFonts w:hAnsi="Times New Roman"/>
      <w:sz w:val="18"/>
    </w:rPr>
  </w:style>
  <w:style w:type="paragraph" w:customStyle="1" w:styleId="105">
    <w:name w:val="标准文件_注"/>
    <w:next w:val="24"/>
    <w:qFormat/>
    <w:uiPriority w:val="0"/>
    <w:pPr>
      <w:numPr>
        <w:ilvl w:val="0"/>
        <w:numId w:val="12"/>
      </w:numPr>
      <w:tabs>
        <w:tab w:val="left" w:pos="539"/>
      </w:tabs>
      <w:autoSpaceDE w:val="0"/>
      <w:autoSpaceDN w:val="0"/>
      <w:jc w:val="both"/>
    </w:pPr>
    <w:rPr>
      <w:rFonts w:hint="eastAsia" w:ascii="宋体" w:hAnsi="宋体" w:eastAsia="宋体" w:cs="宋体"/>
      <w:sz w:val="18"/>
    </w:rPr>
  </w:style>
  <w:style w:type="paragraph" w:customStyle="1" w:styleId="106">
    <w:name w:val="标准文件_注×"/>
    <w:next w:val="24"/>
    <w:qFormat/>
    <w:uiPriority w:val="0"/>
    <w:pPr>
      <w:numPr>
        <w:ilvl w:val="0"/>
        <w:numId w:val="13"/>
      </w:numPr>
      <w:tabs>
        <w:tab w:val="left" w:pos="539"/>
      </w:tabs>
      <w:jc w:val="both"/>
    </w:pPr>
    <w:rPr>
      <w:rFonts w:hint="eastAsia" w:ascii="宋体" w:hAnsi="宋体" w:eastAsia="宋体" w:cs="宋体"/>
      <w:sz w:val="18"/>
    </w:rPr>
  </w:style>
  <w:style w:type="paragraph" w:customStyle="1" w:styleId="107">
    <w:name w:val="标准文件_图表脚注"/>
    <w:basedOn w:val="1"/>
    <w:next w:val="24"/>
    <w:qFormat/>
    <w:uiPriority w:val="0"/>
    <w:pPr>
      <w:numPr>
        <w:ilvl w:val="0"/>
        <w:numId w:val="14"/>
      </w:numPr>
      <w:suppressAutoHyphens w:val="0"/>
      <w:adjustRightInd w:val="0"/>
      <w:jc w:val="left"/>
    </w:pPr>
    <w:rPr>
      <w:rFonts w:hAnsi="宋体"/>
      <w:sz w:val="18"/>
    </w:rPr>
  </w:style>
  <w:style w:type="paragraph" w:customStyle="1" w:styleId="108">
    <w:name w:val="标准文件_标准正文"/>
    <w:basedOn w:val="1"/>
    <w:next w:val="24"/>
    <w:qFormat/>
    <w:uiPriority w:val="0"/>
    <w:pPr>
      <w:ind w:firstLine="960" w:firstLineChars="200"/>
    </w:pPr>
  </w:style>
  <w:style w:type="paragraph" w:customStyle="1" w:styleId="109">
    <w:name w:val="标准文件_正文公式"/>
    <w:basedOn w:val="1"/>
    <w:next w:val="108"/>
    <w:qFormat/>
    <w:uiPriority w:val="0"/>
    <w:pPr>
      <w:tabs>
        <w:tab w:val="center" w:pos="4678"/>
        <w:tab w:val="right" w:leader="middleDot" w:pos="9355"/>
      </w:tabs>
    </w:pPr>
  </w:style>
  <w:style w:type="paragraph" w:customStyle="1" w:styleId="110">
    <w:name w:val="标准文件_表格"/>
    <w:basedOn w:val="24"/>
    <w:qFormat/>
    <w:uiPriority w:val="0"/>
    <w:pPr>
      <w:jc w:val="center"/>
    </w:pPr>
    <w:rPr>
      <w:sz w:val="18"/>
    </w:rPr>
  </w:style>
  <w:style w:type="paragraph" w:customStyle="1" w:styleId="111">
    <w:name w:val="终结线"/>
    <w:basedOn w:val="1"/>
    <w:qFormat/>
    <w:uiPriority w:val="0"/>
    <w:pPr>
      <w:framePr w:hSpace="181" w:vSpace="181" w:wrap="around" w:vAnchor="text" w:hAnchor="margin" w:xAlign="center" w:y="285"/>
    </w:pPr>
    <w:rPr>
      <w:rFonts w:ascii="Times New Roman" w:hAnsi="Times New Roman" w:cs="Times New Roman"/>
      <w:b/>
      <w:sz w:val="34"/>
    </w:rPr>
  </w:style>
  <w:style w:type="paragraph" w:customStyle="1" w:styleId="112">
    <w:name w:val="标准文件_正文表标题"/>
    <w:next w:val="24"/>
    <w:qFormat/>
    <w:uiPriority w:val="0"/>
    <w:pPr>
      <w:numPr>
        <w:ilvl w:val="0"/>
        <w:numId w:val="15"/>
      </w:numPr>
      <w:spacing w:before="157" w:beforeLines="50" w:after="157" w:afterLines="50"/>
      <w:jc w:val="center"/>
    </w:pPr>
    <w:rPr>
      <w:rFonts w:hint="eastAsia" w:ascii="黑体" w:hAnsi="黑体" w:eastAsia="黑体" w:cs="黑体"/>
      <w:sz w:val="21"/>
    </w:rPr>
  </w:style>
  <w:style w:type="paragraph" w:customStyle="1" w:styleId="113">
    <w:name w:val="标准文件_正文图标题"/>
    <w:next w:val="24"/>
    <w:qFormat/>
    <w:uiPriority w:val="0"/>
    <w:pPr>
      <w:numPr>
        <w:ilvl w:val="0"/>
        <w:numId w:val="16"/>
      </w:numPr>
      <w:spacing w:before="157" w:beforeLines="50" w:after="157" w:afterLines="50"/>
      <w:jc w:val="center"/>
    </w:pPr>
    <w:rPr>
      <w:rFonts w:hint="eastAsia" w:ascii="黑体" w:hAnsi="黑体" w:eastAsia="黑体" w:cs="黑体"/>
      <w:sz w:val="21"/>
    </w:rPr>
  </w:style>
  <w:style w:type="paragraph" w:customStyle="1" w:styleId="114">
    <w:name w:val="标准文件_索引标题"/>
    <w:basedOn w:val="33"/>
    <w:next w:val="24"/>
    <w:qFormat/>
    <w:uiPriority w:val="0"/>
    <w:rPr>
      <w:rFonts w:hAnsi="黑体"/>
    </w:rPr>
  </w:style>
  <w:style w:type="paragraph" w:customStyle="1" w:styleId="115">
    <w:name w:val="标准文件_索引项"/>
    <w:basedOn w:val="24"/>
    <w:next w:val="24"/>
    <w:qFormat/>
    <w:uiPriority w:val="0"/>
    <w:pPr>
      <w:tabs>
        <w:tab w:val="right" w:leader="dot" w:pos="9355"/>
      </w:tabs>
      <w:autoSpaceDE w:val="0"/>
      <w:autoSpaceDN w:val="0"/>
      <w:ind w:left="177" w:hanging="177" w:hangingChars="37"/>
      <w:jc w:val="left"/>
    </w:pPr>
  </w:style>
  <w:style w:type="paragraph" w:customStyle="1" w:styleId="116">
    <w:name w:val="标准文件_索引字母"/>
    <w:next w:val="24"/>
    <w:qFormat/>
    <w:uiPriority w:val="0"/>
    <w:pPr>
      <w:jc w:val="center"/>
    </w:pPr>
    <w:rPr>
      <w:rFonts w:hint="eastAsia" w:ascii="宋体" w:hAnsi="宋体" w:eastAsia="宋体" w:cs="宋体"/>
      <w:b/>
      <w:kern w:val="2"/>
      <w:sz w:val="21"/>
    </w:rPr>
  </w:style>
  <w:style w:type="paragraph" w:customStyle="1" w:styleId="117">
    <w:name w:val="标准文件_提示"/>
    <w:basedOn w:val="1"/>
    <w:qFormat/>
    <w:uiPriority w:val="0"/>
    <w:pPr>
      <w:ind w:firstLine="960" w:firstLineChars="200"/>
    </w:pPr>
    <w:rPr>
      <w:rFonts w:ascii="黑体" w:hAnsi="黑体" w:eastAsia="黑体" w:cs="黑体"/>
    </w:rPr>
  </w:style>
  <w:style w:type="paragraph" w:customStyle="1" w:styleId="118">
    <w:name w:val="标准文件_参考文献编号"/>
    <w:basedOn w:val="24"/>
    <w:qFormat/>
    <w:uiPriority w:val="0"/>
    <w:pPr>
      <w:numPr>
        <w:ilvl w:val="0"/>
        <w:numId w:val="17"/>
      </w:numPr>
    </w:pPr>
  </w:style>
  <w:style w:type="character" w:customStyle="1" w:styleId="119">
    <w:name w:val="标准文件_正文标准名称 Char"/>
    <w:link w:val="55"/>
    <w:qFormat/>
    <w:uiPriority w:val="0"/>
    <w:rPr>
      <w:rFonts w:ascii="黑体" w:hAnsi="黑体" w:eastAsia="黑体" w:cs="黑体"/>
      <w:sz w:val="32"/>
    </w:rPr>
  </w:style>
  <w:style w:type="paragraph" w:customStyle="1" w:styleId="12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21">
    <w:name w:val="注：（正文）"/>
    <w:basedOn w:val="122"/>
    <w:next w:val="120"/>
    <w:qFormat/>
    <w:uiPriority w:val="0"/>
    <w:pPr>
      <w:numPr>
        <w:ilvl w:val="0"/>
        <w:numId w:val="18"/>
      </w:numPr>
    </w:pPr>
  </w:style>
  <w:style w:type="paragraph" w:customStyle="1" w:styleId="122">
    <w:name w:val="注："/>
    <w:next w:val="120"/>
    <w:qFormat/>
    <w:uiPriority w:val="0"/>
    <w:pPr>
      <w:widowControl w:val="0"/>
      <w:numPr>
        <w:ilvl w:val="0"/>
        <w:numId w:val="19"/>
      </w:numPr>
      <w:autoSpaceDE w:val="0"/>
      <w:autoSpaceDN w:val="0"/>
      <w:jc w:val="both"/>
    </w:pPr>
    <w:rPr>
      <w:rFonts w:ascii="宋体" w:hAnsi="Times New Roman" w:eastAsia="宋体" w:cs="Times New Roman"/>
      <w:sz w:val="18"/>
      <w:szCs w:val="18"/>
      <w:lang w:val="en-US" w:eastAsia="zh-CN" w:bidi="ar-SA"/>
    </w:rPr>
  </w:style>
  <w:style w:type="paragraph" w:customStyle="1" w:styleId="123">
    <w:name w:val="标准文件_注："/>
    <w:next w:val="24"/>
    <w:qFormat/>
    <w:uiPriority w:val="0"/>
    <w:pPr>
      <w:widowControl w:val="0"/>
      <w:numPr>
        <w:ilvl w:val="0"/>
        <w:numId w:val="19"/>
      </w:numPr>
      <w:autoSpaceDE w:val="0"/>
      <w:autoSpaceDN w:val="0"/>
      <w:jc w:val="both"/>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43a72de-6420-4734-a0dc-b6c3f8f378bc}"/>
        <w:style w:val=""/>
        <w:category>
          <w:name w:val="常规"/>
          <w:gallery w:val="placeholder"/>
        </w:category>
        <w:types>
          <w:type w:val="bbPlcHdr"/>
        </w:types>
        <w:behaviors>
          <w:behavior w:val="content"/>
        </w:behaviors>
        <w:description w:val=""/>
        <w:guid w:val="{e43a72de-6420-4734-a0dc-b6c3f8f378bc}"/>
      </w:docPartPr>
      <w:docPartBody>
        <w:p>
          <w:r>
            <w:rPr>
              <w:color w:val="808080"/>
            </w:rPr>
            <w:t>选择一项。</w:t>
          </w:r>
        </w:p>
      </w:docPartBody>
    </w:docPart>
    <w:docPart>
      <w:docPartPr>
        <w:name w:val="{a2b934e1-4e69-4b3d-b344-351c81d94b35}"/>
        <w:style w:val=""/>
        <w:category>
          <w:name w:val="常规"/>
          <w:gallery w:val="placeholder"/>
        </w:category>
        <w:types>
          <w:type w:val="bbPlcHdr"/>
        </w:types>
        <w:behaviors>
          <w:behavior w:val="content"/>
        </w:behaviors>
        <w:description w:val=""/>
        <w:guid w:val="{a2b934e1-4e69-4b3d-b344-351c81d94b35}"/>
      </w:docPartPr>
      <w:docPartBody>
        <w:p>
          <w:r>
            <w:rPr>
              <w:color w:val="808080"/>
            </w:rPr>
            <w:t>选择一项。</w:t>
          </w:r>
        </w:p>
      </w:docPartBody>
    </w:docPart>
    <w:docPart>
      <w:docPartPr>
        <w:name w:val="{dc198fea-d184-4aa6-8509-aaf3d889285d}"/>
        <w:style w:val=""/>
        <w:category>
          <w:name w:val="常规"/>
          <w:gallery w:val="placeholder"/>
        </w:category>
        <w:types>
          <w:type w:val="bbPlcHdr"/>
        </w:types>
        <w:behaviors>
          <w:behavior w:val="content"/>
        </w:behaviors>
        <w:description w:val=""/>
        <w:guid w:val="{dc198fea-d184-4aa6-8509-aaf3d889285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2198</Words>
  <Characters>2491</Characters>
  <Lines>0</Lines>
  <Paragraphs>0</Paragraphs>
  <TotalTime>7</TotalTime>
  <ScaleCrop>false</ScaleCrop>
  <LinksUpToDate>false</LinksUpToDate>
  <CharactersWithSpaces>2601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2024-05-07T02:54:00Z</dcterms:created>
  <dc:creator>栗子</dc:creator>
  <cp:lastModifiedBy>王珊</cp:lastModifiedBy>
  <dcterms:modified xsi:type="dcterms:W3CDTF">2025-05-22T03:26:46Z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6F9C1558C851400CA6D8C4871979E171_13</vt:lpwstr>
  </property>
  <property fmtid="{D5CDD505-2E9C-101B-9397-08002B2CF9AE}" pid="4" name="KSOTemplateDocerSaveRecord">
    <vt:lpwstr>eyJoZGlkIjoiODhkNWY1NmM2YzE4MjliNTY1ZTgzZDM3ZmU5ODdjZDIiLCJ1c2VySWQiOiI2MjI4MjQzNzQifQ==</vt:lpwstr>
  </property>
</Properties>
</file>