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bidi w:val="0"/>
        <w:rPr>
          <w:rFonts w:hint="eastAsia"/>
          <w:lang w:val="en-US" w:eastAsia="zh-CN"/>
        </w:rPr>
      </w:pPr>
      <w:bookmarkStart w:id="0" w:name="TMark1"/>
      <w:r>
        <w:rPr>
          <w:rFonts w:hint="eastAsia" w:ascii="黑体" w:hAnsi="Times New Roman" w:eastAsia="黑体" w:cs="Times New Roman"/>
          <w:sz w:val="48"/>
          <w:lang w:val="en-US" w:eastAsia="zh-CN"/>
        </w:rPr>
        <w:fldChar w:fldCharType="begin">
          <w:ffData>
            <w:name w:val="TMark1"/>
            <w:enabled/>
            <w:calcOnExit w:val="0"/>
            <w:textInput>
              <w:default w:val="吉安市绿色农产品促进会"/>
            </w:textInput>
          </w:ffData>
        </w:fldChar>
      </w:r>
      <w:r>
        <w:rPr>
          <w:rFonts w:hint="eastAsia" w:ascii="黑体" w:hAnsi="Times New Roman" w:eastAsia="黑体" w:cs="Times New Roman"/>
          <w:sz w:val="48"/>
          <w:lang w:val="en-US" w:eastAsia="zh-CN"/>
        </w:rPr>
        <w:instrText xml:space="preserve">FORMTEXT</w:instrText>
      </w:r>
      <w:r>
        <w:rPr>
          <w:rFonts w:hint="eastAsia" w:ascii="黑体" w:hAnsi="Times New Roman" w:eastAsia="黑体" w:cs="Times New Roman"/>
          <w:sz w:val="48"/>
          <w:lang w:val="en-US" w:eastAsia="zh-CN"/>
        </w:rPr>
        <w:fldChar w:fldCharType="separate"/>
      </w:r>
      <w:r>
        <w:rPr>
          <w:rFonts w:hint="eastAsia" w:ascii="黑体" w:hAnsi="Times New Roman" w:eastAsia="黑体" w:cs="Times New Roman"/>
          <w:sz w:val="48"/>
          <w:lang w:val="en-US" w:eastAsia="zh-CN"/>
        </w:rPr>
        <w:t>吉安市绿色农产品促进会</w:t>
      </w:r>
      <w:r>
        <w:rPr>
          <w:rFonts w:hint="eastAsia" w:ascii="黑体" w:hAnsi="Times New Roman" w:eastAsia="黑体" w:cs="Times New Roman"/>
          <w:sz w:val="48"/>
          <w:lang w:val="en-US" w:eastAsia="zh-CN"/>
        </w:rPr>
        <w:fldChar w:fldCharType="end"/>
      </w:r>
      <w:bookmarkEnd w:id="0"/>
      <w:r>
        <w:rPr>
          <w:rFonts w:hint="eastAsia"/>
          <w:lang w:val="en-US" w:eastAsia="zh-CN"/>
        </w:rPr>
        <w:t>团体标准</w:t>
      </w:r>
    </w:p>
    <w:p>
      <w:pPr>
        <w:pStyle w:val="40"/>
        <w:bidi w:val="0"/>
        <w:rPr>
          <w:rFonts w:hint="eastAsia"/>
          <w:lang w:val="en-US" w:eastAsia="zh-CN"/>
        </w:rPr>
      </w:pPr>
      <w:bookmarkStart w:id="1" w:name="StandNo"/>
      <w:r>
        <w:rPr>
          <w:rFonts w:hint="eastAsia" w:ascii="黑体" w:hAnsi="Times New Roman" w:eastAsia="黑体" w:cs="Times New Roman"/>
          <w:sz w:val="28"/>
          <w:lang w:val="en-US" w:eastAsia="zh-CN"/>
        </w:rPr>
        <w:fldChar w:fldCharType="begin">
          <w:ffData>
            <w:name w:val="StandNo"/>
            <w:enabled/>
            <w:calcOnExit w:val="0"/>
            <w:textInput>
              <w:default w:val="T/JALNCP X-2025"/>
            </w:textInput>
          </w:ffData>
        </w:fldChar>
      </w:r>
      <w:r>
        <w:rPr>
          <w:rFonts w:hint="eastAsia" w:ascii="黑体" w:hAnsi="Times New Roman" w:eastAsia="黑体" w:cs="Times New Roman"/>
          <w:sz w:val="28"/>
          <w:lang w:val="en-US" w:eastAsia="zh-CN"/>
        </w:rPr>
        <w:instrText xml:space="preserve">FORMTEXT</w:instrText>
      </w:r>
      <w:r>
        <w:rPr>
          <w:rFonts w:hint="eastAsia" w:ascii="黑体" w:hAnsi="Times New Roman" w:eastAsia="黑体" w:cs="Times New Roman"/>
          <w:sz w:val="28"/>
          <w:lang w:val="en-US" w:eastAsia="zh-CN"/>
        </w:rPr>
        <w:fldChar w:fldCharType="separate"/>
      </w:r>
      <w:r>
        <w:rPr>
          <w:rFonts w:hint="eastAsia" w:ascii="黑体" w:hAnsi="Times New Roman" w:eastAsia="黑体" w:cs="Times New Roman"/>
          <w:sz w:val="28"/>
          <w:lang w:val="en-US" w:eastAsia="zh-CN"/>
        </w:rPr>
        <w:t>T/JALNCP X-2025</w:t>
      </w:r>
      <w:r>
        <w:rPr>
          <w:rFonts w:hint="eastAsia" w:ascii="黑体" w:hAnsi="Times New Roman" w:eastAsia="黑体" w:cs="Times New Roman"/>
          <w:sz w:val="28"/>
          <w:lang w:val="en-US" w:eastAsia="zh-CN"/>
        </w:rPr>
        <w:fldChar w:fldCharType="end"/>
      </w:r>
      <w:bookmarkEnd w:id="1"/>
    </w:p>
    <w:p>
      <w:pPr>
        <w:pStyle w:val="39"/>
        <w:bidi w:val="0"/>
        <w:rPr>
          <w:rFonts w:hint="eastAsia"/>
          <w:lang w:val="en-US" w:eastAsia="zh-CN"/>
        </w:rPr>
      </w:pPr>
      <w:r>
        <w:rPr>
          <w:rFonts w:hint="eastAsia"/>
          <w:lang w:val="en-US" w:eastAsia="zh-CN"/>
        </w:rPr>
        <w:fldChar w:fldCharType="begin">
          <w:ffData>
            <w:name w:val="ReplaceT"/>
            <w:enabled/>
            <w:calcOnExit w:val="0"/>
            <w:textInput/>
          </w:ffData>
        </w:fldChar>
      </w:r>
      <w:bookmarkStart w:id="2" w:name="ReplaceT"/>
      <w:r>
        <w:rPr>
          <w:rFonts w:hint="eastAsia"/>
          <w:lang w:val="en-US" w:eastAsia="zh-CN"/>
        </w:rPr>
        <w:instrText xml:space="preserve">FORMTEXT</w:instrText>
      </w:r>
      <w:r>
        <w:rPr>
          <w:rFonts w:hint="eastAsia"/>
          <w:lang w:val="en-US" w:eastAsia="zh-CN"/>
        </w:rPr>
        <w:fldChar w:fldCharType="separate"/>
      </w:r>
      <w:r>
        <w:rPr>
          <w:rFonts w:hint="default"/>
          <w:lang w:val="en-US" w:eastAsia="zh-CN"/>
        </w:rPr>
        <w:t>     </w:t>
      </w:r>
      <w:r>
        <w:rPr>
          <w:rFonts w:hint="eastAsia"/>
          <w:lang w:val="en-US" w:eastAsia="zh-CN"/>
        </w:rPr>
        <w:fldChar w:fldCharType="end"/>
      </w:r>
      <w:bookmarkEnd w:id="2"/>
    </w:p>
    <w:tbl>
      <w:tblPr>
        <w:tblStyle w:val="20"/>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741" w:type="dxa"/>
            <w:tcBorders>
              <w:top w:val="single" w:color="auto" w:sz="8" w:space="0"/>
            </w:tcBorders>
          </w:tcPr>
          <w:p>
            <w:pPr>
              <w:pStyle w:val="34"/>
              <w:widowControl w:val="0"/>
              <w:bidi w:val="0"/>
              <w:jc w:val="both"/>
              <w:rPr>
                <w:rFonts w:hint="eastAsia"/>
                <w:sz w:val="10"/>
                <w:vertAlign w:val="baseline"/>
                <w:lang w:val="en-US" w:eastAsia="zh-CN"/>
              </w:rPr>
            </w:pPr>
          </w:p>
        </w:tc>
      </w:tr>
    </w:tbl>
    <w:p>
      <w:pPr>
        <w:pStyle w:val="41"/>
        <w:bidi w:val="0"/>
        <w:rPr>
          <w:rFonts w:hint="eastAsia"/>
          <w:lang w:val="en-US" w:eastAsia="zh-CN"/>
        </w:rPr>
      </w:pPr>
      <w:bookmarkStart w:id="3" w:name="StdName"/>
      <w:r>
        <w:rPr>
          <w:rFonts w:hint="eastAsia" w:ascii="黑体" w:hAnsi="Times New Roman" w:eastAsia="黑体" w:cs="Times New Roman"/>
          <w:sz w:val="52"/>
          <w:lang w:val="en-US" w:eastAsia="zh-CN"/>
        </w:rPr>
        <w:fldChar w:fldCharType="begin">
          <w:ffData>
            <w:name w:val="StdName"/>
            <w:enabled/>
            <w:calcOnExit w:val="0"/>
            <w:textInput>
              <w:default w:val="井冈山绿茶加工技术规程"/>
            </w:textInput>
          </w:ffData>
        </w:fldChar>
      </w:r>
      <w:r>
        <w:rPr>
          <w:rFonts w:hint="eastAsia" w:ascii="黑体" w:hAnsi="Times New Roman" w:eastAsia="黑体" w:cs="Times New Roman"/>
          <w:sz w:val="52"/>
          <w:lang w:val="en-US" w:eastAsia="zh-CN"/>
        </w:rPr>
        <w:instrText xml:space="preserve">FORMTEXT</w:instrText>
      </w:r>
      <w:r>
        <w:rPr>
          <w:rFonts w:hint="eastAsia" w:ascii="黑体" w:hAnsi="Times New Roman" w:eastAsia="黑体" w:cs="Times New Roman"/>
          <w:sz w:val="52"/>
          <w:lang w:val="en-US" w:eastAsia="zh-CN"/>
        </w:rPr>
        <w:fldChar w:fldCharType="separate"/>
      </w:r>
      <w:r>
        <w:rPr>
          <w:rFonts w:hint="eastAsia" w:ascii="黑体" w:hAnsi="Times New Roman" w:eastAsia="黑体" w:cs="Times New Roman"/>
          <w:sz w:val="52"/>
          <w:lang w:val="en-US" w:eastAsia="zh-CN"/>
        </w:rPr>
        <w:t>井冈山</w:t>
      </w:r>
      <w:r>
        <w:rPr>
          <w:rFonts w:hint="eastAsia" w:cs="Times New Roman"/>
          <w:sz w:val="52"/>
          <w:lang w:val="en-US" w:eastAsia="zh-CN"/>
        </w:rPr>
        <w:t>白莲</w:t>
      </w:r>
      <w:r>
        <w:rPr>
          <w:rFonts w:hint="eastAsia" w:ascii="黑体" w:hAnsi="Times New Roman" w:eastAsia="黑体" w:cs="Times New Roman"/>
          <w:sz w:val="52"/>
          <w:lang w:val="en-US" w:eastAsia="zh-CN"/>
        </w:rPr>
        <w:t>加工技术规程</w:t>
      </w:r>
      <w:r>
        <w:rPr>
          <w:rFonts w:hint="eastAsia" w:ascii="黑体" w:hAnsi="Times New Roman" w:eastAsia="黑体" w:cs="Times New Roman"/>
          <w:sz w:val="52"/>
          <w:lang w:val="en-US" w:eastAsia="zh-CN"/>
        </w:rPr>
        <w:fldChar w:fldCharType="end"/>
      </w:r>
      <w:bookmarkEnd w:id="3"/>
    </w:p>
    <w:p>
      <w:pPr>
        <w:pStyle w:val="42"/>
        <w:pBdr>
          <w:top w:val="none" w:sz="0" w:space="0"/>
          <w:left w:val="none" w:sz="0" w:space="0"/>
          <w:bottom w:val="none" w:sz="0" w:space="0"/>
          <w:right w:val="none" w:sz="0" w:space="0"/>
        </w:pBdr>
        <w:bidi w:val="0"/>
        <w:rPr>
          <w:rFonts w:hint="default"/>
          <w:lang w:val="en-US" w:eastAsia="zh-CN"/>
        </w:rPr>
      </w:pPr>
      <w:bookmarkStart w:id="4" w:name="StdEnglishName"/>
      <w:r>
        <w:rPr>
          <w:rFonts w:hint="eastAsia" w:ascii="Times New Roman" w:hAnsi="Times New Roman" w:eastAsia="黑体" w:cs="Times New Roman"/>
          <w:sz w:val="28"/>
          <w:lang w:val="en-US" w:eastAsia="zh-CN"/>
        </w:rPr>
        <w:fldChar w:fldCharType="begin">
          <w:ffData>
            <w:name w:val="StdEnglishName"/>
            <w:enabled/>
            <w:calcOnExit w:val="0"/>
            <w:textInput>
              <w:default w:val="Technical Regulations for Processing Jinggangshan Green Tea"/>
            </w:textInput>
          </w:ffData>
        </w:fldChar>
      </w:r>
      <w:r>
        <w:rPr>
          <w:rFonts w:hint="eastAsia" w:ascii="Times New Roman" w:hAnsi="Times New Roman" w:eastAsia="黑体" w:cs="Times New Roman"/>
          <w:sz w:val="28"/>
          <w:lang w:val="en-US" w:eastAsia="zh-CN"/>
        </w:rPr>
        <w:instrText xml:space="preserve">FORMTEXT</w:instrText>
      </w:r>
      <w:r>
        <w:rPr>
          <w:rFonts w:hint="eastAsia" w:ascii="Times New Roman" w:hAnsi="Times New Roman" w:eastAsia="黑体" w:cs="Times New Roman"/>
          <w:sz w:val="28"/>
          <w:lang w:val="en-US" w:eastAsia="zh-CN"/>
        </w:rPr>
        <w:fldChar w:fldCharType="separate"/>
      </w:r>
      <w:r>
        <w:rPr>
          <w:rFonts w:hint="eastAsia" w:ascii="Times New Roman" w:hAnsi="Times New Roman" w:eastAsia="黑体" w:cs="Times New Roman"/>
          <w:sz w:val="28"/>
          <w:lang w:val="en-US" w:eastAsia="zh-CN"/>
        </w:rPr>
        <w:t>Technical Regulations for Processing Jinggangshan</w:t>
      </w:r>
      <w:r>
        <w:rPr>
          <w:rFonts w:hint="eastAsia" w:cs="Times New Roman"/>
          <w:sz w:val="28"/>
          <w:lang w:val="en-US" w:eastAsia="zh-CN"/>
        </w:rPr>
        <w:t xml:space="preserve"> </w:t>
      </w:r>
      <w:r>
        <w:rPr>
          <w:rFonts w:hint="eastAsia" w:ascii="Times New Roman" w:hAnsi="Times New Roman" w:eastAsia="黑体" w:cs="Times New Roman"/>
          <w:sz w:val="28"/>
          <w:lang w:val="en-US" w:eastAsia="zh-CN"/>
        </w:rPr>
        <w:t>white lotus seed</w:t>
      </w:r>
      <w:r>
        <w:rPr>
          <w:rFonts w:hint="eastAsia" w:ascii="Times New Roman" w:hAnsi="Times New Roman" w:eastAsia="黑体" w:cs="Times New Roman"/>
          <w:sz w:val="28"/>
          <w:lang w:val="en-US" w:eastAsia="zh-CN"/>
        </w:rPr>
        <w:fldChar w:fldCharType="end"/>
      </w:r>
      <w:bookmarkEnd w:id="4"/>
    </w:p>
    <w:p>
      <w:pPr>
        <w:pStyle w:val="43"/>
        <w:bidi w:val="0"/>
        <w:rPr>
          <w:rFonts w:hint="eastAsia"/>
          <w:lang w:val="en-US" w:eastAsia="zh-CN"/>
        </w:rPr>
      </w:pPr>
      <w:r>
        <w:rPr>
          <w:rFonts w:hint="eastAsia" w:cs="Times New Roman"/>
          <w:sz w:val="28"/>
          <w:lang w:val="en-US" w:eastAsia="zh-CN"/>
        </w:rPr>
        <w:t xml:space="preserve"> </w:t>
      </w:r>
    </w:p>
    <w:p>
      <w:pPr>
        <w:pStyle w:val="44"/>
        <w:bidi w:val="0"/>
        <w:spacing w:after="0"/>
        <w:rPr>
          <w:rFonts w:hint="eastAsia"/>
          <w:lang w:val="en-US" w:eastAsia="zh-CN"/>
        </w:rPr>
      </w:pPr>
      <w:bookmarkStart w:id="5" w:name="LB"/>
      <w:r>
        <w:rPr>
          <w:rFonts w:hint="eastAsia" w:ascii="黑体" w:hAnsi="黑体" w:eastAsia="黑体" w:cs="黑体"/>
          <w:sz w:val="24"/>
          <w:lang w:val="en-US" w:eastAsia="zh-CN"/>
        </w:rPr>
        <w:fldChar w:fldCharType="begin">
          <w:ffData>
            <w:name w:val="LB"/>
            <w:enabled/>
            <w:calcOnExit w:val="0"/>
            <w:ddList>
              <w:listEntry w:val="     "/>
              <w:listEntry w:val="草案版次选择"/>
              <w:listEntry w:val="（工作组讨论稿）"/>
              <w:listEntry w:val="（征求意见稿）"/>
              <w:listEntry w:val="（送审讨论稿）"/>
              <w:listEntry w:val="（送审稿）"/>
              <w:listEntry w:val="（报批稿）"/>
            </w:ddList>
          </w:ffData>
        </w:fldChar>
      </w:r>
      <w:r>
        <w:rPr>
          <w:rFonts w:hint="eastAsia" w:ascii="黑体" w:hAnsi="黑体" w:eastAsia="黑体" w:cs="黑体"/>
          <w:sz w:val="24"/>
          <w:lang w:val="en-US" w:eastAsia="zh-CN"/>
        </w:rPr>
        <w:instrText xml:space="preserve">FORMDROPDOWN</w:instrText>
      </w:r>
      <w:r>
        <w:rPr>
          <w:rFonts w:hint="eastAsia" w:ascii="黑体" w:hAnsi="黑体" w:eastAsia="黑体" w:cs="黑体"/>
          <w:sz w:val="24"/>
          <w:lang w:val="en-US" w:eastAsia="zh-CN"/>
        </w:rPr>
        <w:fldChar w:fldCharType="separate"/>
      </w:r>
      <w:r>
        <w:rPr>
          <w:rFonts w:hint="eastAsia" w:ascii="黑体" w:hAnsi="黑体" w:eastAsia="黑体" w:cs="黑体"/>
          <w:sz w:val="24"/>
          <w:lang w:val="en-US" w:eastAsia="zh-CN"/>
        </w:rPr>
        <w:fldChar w:fldCharType="end"/>
      </w:r>
      <w:bookmarkEnd w:id="5"/>
    </w:p>
    <w:p>
      <w:pPr>
        <w:pStyle w:val="45"/>
        <w:bidi w:val="0"/>
        <w:spacing w:before="100"/>
        <w:rPr>
          <w:rFonts w:hint="eastAsia"/>
          <w:lang w:val="en-US" w:eastAsia="zh-CN"/>
        </w:rPr>
      </w:pPr>
      <w:r>
        <w:rPr>
          <w:rFonts w:hint="eastAsia"/>
          <w:lang w:val="en-US" w:eastAsia="zh-CN"/>
        </w:rPr>
        <w:fldChar w:fldCharType="begin">
          <w:ffData>
            <w:name w:val="WCRQ"/>
            <w:enabled/>
            <w:calcOnExit w:val="0"/>
            <w:textInput/>
          </w:ffData>
        </w:fldChar>
      </w:r>
      <w:bookmarkStart w:id="6" w:name="WCRQ"/>
      <w:r>
        <w:rPr>
          <w:rFonts w:hint="eastAsia"/>
          <w:lang w:val="en-US" w:eastAsia="zh-CN"/>
        </w:rPr>
        <w:instrText xml:space="preserve">FORMTEXT</w:instrText>
      </w:r>
      <w:r>
        <w:rPr>
          <w:rFonts w:hint="eastAsia"/>
          <w:lang w:val="en-US" w:eastAsia="zh-CN"/>
        </w:rPr>
        <w:fldChar w:fldCharType="separate"/>
      </w:r>
      <w:r>
        <w:rPr>
          <w:rFonts w:hint="default"/>
          <w:lang w:val="en-US" w:eastAsia="zh-CN"/>
        </w:rPr>
        <w:t>     </w:t>
      </w:r>
      <w:r>
        <w:rPr>
          <w:rFonts w:hint="eastAsia"/>
          <w:lang w:val="en-US" w:eastAsia="zh-CN"/>
        </w:rPr>
        <w:fldChar w:fldCharType="end"/>
      </w:r>
      <w:bookmarkEnd w:id="6"/>
    </w:p>
    <w:p>
      <w:pPr>
        <w:pStyle w:val="46"/>
        <w:bidi w:val="0"/>
        <w:spacing w:before="687" w:beforeLines="220"/>
        <w:rPr>
          <w:rFonts w:hint="eastAsia"/>
          <w:lang w:val="en-US" w:eastAsia="zh-CN"/>
        </w:rPr>
      </w:pPr>
      <w:bookmarkStart w:id="7" w:name="FileSelect"/>
      <w:r>
        <w:rPr>
          <w:rFonts w:hint="eastAsia" w:ascii="Times New Roman" w:hAnsi="Times New Roman" w:eastAsia="黑体" w:cs="Times New Roman"/>
          <w:b/>
          <w:sz w:val="21"/>
          <w:lang w:val="en-US" w:eastAsia="zh-CN"/>
        </w:rPr>
        <w:fldChar w:fldCharType="begin">
          <w:ffData>
            <w:name w:val="FileSelect"/>
            <w:enabled/>
            <w:calcOnExit w:val="0"/>
            <w:ddList>
              <w:listEntry w:val="     "/>
              <w:listEntry w:val="在提交反馈意见时，请将您知道的相关专利连同支持性文件一并附上。"/>
            </w:ddList>
          </w:ffData>
        </w:fldChar>
      </w:r>
      <w:r>
        <w:rPr>
          <w:rFonts w:hint="eastAsia" w:ascii="Times New Roman" w:hAnsi="Times New Roman" w:eastAsia="黑体" w:cs="Times New Roman"/>
          <w:b/>
          <w:sz w:val="21"/>
          <w:lang w:val="en-US" w:eastAsia="zh-CN"/>
        </w:rPr>
        <w:instrText xml:space="preserve">FORMDROPDOWN</w:instrText>
      </w:r>
      <w:r>
        <w:rPr>
          <w:rFonts w:hint="eastAsia" w:ascii="Times New Roman" w:hAnsi="Times New Roman" w:eastAsia="黑体" w:cs="Times New Roman"/>
          <w:b/>
          <w:sz w:val="21"/>
          <w:lang w:val="en-US" w:eastAsia="zh-CN"/>
        </w:rPr>
        <w:fldChar w:fldCharType="separate"/>
      </w:r>
      <w:r>
        <w:rPr>
          <w:rFonts w:hint="eastAsia" w:ascii="Times New Roman" w:hAnsi="Times New Roman" w:eastAsia="黑体" w:cs="Times New Roman"/>
          <w:b/>
          <w:sz w:val="21"/>
          <w:lang w:val="en-US" w:eastAsia="zh-CN"/>
        </w:rPr>
        <w:fldChar w:fldCharType="end"/>
      </w:r>
      <w:bookmarkEnd w:id="7"/>
    </w:p>
    <w:tbl>
      <w:tblPr>
        <w:tblStyle w:val="20"/>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870"/>
        <w:gridCol w:w="48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exact"/>
        </w:trPr>
        <w:tc>
          <w:tcPr>
            <w:tcW w:w="4870" w:type="dxa"/>
            <w:tcBorders>
              <w:bottom w:val="single" w:color="auto" w:sz="8" w:space="0"/>
            </w:tcBorders>
            <w:tcMar>
              <w:left w:w="57" w:type="dxa"/>
              <w:bottom w:w="28" w:type="dxa"/>
            </w:tcMar>
          </w:tcPr>
          <w:p>
            <w:pPr>
              <w:pStyle w:val="38"/>
              <w:widowControl w:val="0"/>
              <w:bidi w:val="0"/>
              <w:jc w:val="both"/>
              <w:rPr>
                <w:rFonts w:hint="eastAsia"/>
                <w:vertAlign w:val="baseline"/>
                <w:lang w:val="en-US" w:eastAsia="zh-CN"/>
              </w:rPr>
            </w:pPr>
            <w:bookmarkStart w:id="8" w:name="FY"/>
            <w:r>
              <w:rPr>
                <w:rFonts w:hint="eastAsia" w:ascii="黑体" w:hAnsi="Times New Roman" w:eastAsia="黑体" w:cs="Times New Roman"/>
                <w:sz w:val="28"/>
                <w:vertAlign w:val="baseline"/>
                <w:lang w:val="en-US" w:eastAsia="zh-CN"/>
              </w:rPr>
              <w:fldChar w:fldCharType="begin">
                <w:ffData>
                  <w:name w:val="FY"/>
                  <w:enabled/>
                  <w:calcOnExit w:val="0"/>
                  <w:textInput>
                    <w:default w:val="2025"/>
                    <w:maxLength w:val="4"/>
                  </w:textInput>
                </w:ffData>
              </w:fldChar>
            </w:r>
            <w:r>
              <w:rPr>
                <w:rFonts w:hint="eastAsia" w:ascii="黑体" w:hAnsi="Times New Roman" w:eastAsia="黑体" w:cs="Times New Roman"/>
                <w:sz w:val="28"/>
                <w:vertAlign w:val="baseline"/>
                <w:lang w:val="en-US" w:eastAsia="zh-CN"/>
              </w:rPr>
              <w:instrText xml:space="preserve">FORMTEXT</w:instrText>
            </w:r>
            <w:r>
              <w:rPr>
                <w:rFonts w:hint="eastAsia" w:ascii="黑体" w:hAnsi="Times New Roman" w:eastAsia="黑体" w:cs="Times New Roman"/>
                <w:sz w:val="28"/>
                <w:vertAlign w:val="baseline"/>
                <w:lang w:val="en-US" w:eastAsia="zh-CN"/>
              </w:rPr>
              <w:fldChar w:fldCharType="separate"/>
            </w:r>
            <w:r>
              <w:rPr>
                <w:rFonts w:hint="eastAsia" w:ascii="黑体" w:hAnsi="Times New Roman" w:eastAsia="黑体" w:cs="Times New Roman"/>
                <w:sz w:val="28"/>
                <w:vertAlign w:val="baseline"/>
                <w:lang w:val="en-US" w:eastAsia="zh-CN"/>
              </w:rPr>
              <w:t>2025</w:t>
            </w:r>
            <w:r>
              <w:rPr>
                <w:rFonts w:hint="eastAsia" w:ascii="黑体" w:hAnsi="Times New Roman" w:eastAsia="黑体" w:cs="Times New Roman"/>
                <w:sz w:val="28"/>
                <w:vertAlign w:val="baseline"/>
                <w:lang w:val="en-US" w:eastAsia="zh-CN"/>
              </w:rPr>
              <w:fldChar w:fldCharType="end"/>
            </w:r>
            <w:bookmarkEnd w:id="8"/>
            <w:r>
              <w:rPr>
                <w:rFonts w:hint="eastAsia"/>
                <w:vertAlign w:val="baseline"/>
                <w:lang w:val="en-US" w:eastAsia="zh-CN"/>
              </w:rPr>
              <w:t xml:space="preserve"> - </w:t>
            </w:r>
            <w:r>
              <w:rPr>
                <w:rFonts w:hint="eastAsia"/>
                <w:vertAlign w:val="baseline"/>
                <w:lang w:val="en-US" w:eastAsia="zh-CN"/>
              </w:rPr>
              <w:fldChar w:fldCharType="begin">
                <w:ffData>
                  <w:name w:val="FM"/>
                  <w:enabled/>
                  <w:calcOnExit w:val="0"/>
                  <w:textInput>
                    <w:default w:val="XX"/>
                    <w:maxLength w:val="2"/>
                  </w:textInput>
                </w:ffData>
              </w:fldChar>
            </w:r>
            <w:bookmarkStart w:id="9" w:name="FM"/>
            <w:r>
              <w:rPr>
                <w:rFonts w:hint="eastAsia"/>
                <w:vertAlign w:val="baseline"/>
                <w:lang w:val="en-US" w:eastAsia="zh-CN"/>
              </w:rPr>
              <w:instrText xml:space="preserve">FORMTEXT</w:instrText>
            </w:r>
            <w:r>
              <w:rPr>
                <w:rFonts w:hint="eastAsia"/>
                <w:vertAlign w:val="baseline"/>
                <w:lang w:val="en-US" w:eastAsia="zh-CN"/>
              </w:rPr>
              <w:fldChar w:fldCharType="separate"/>
            </w:r>
            <w:r>
              <w:rPr>
                <w:rFonts w:hint="eastAsia"/>
                <w:vertAlign w:val="baseline"/>
                <w:lang w:val="en-US" w:eastAsia="zh-CN"/>
              </w:rPr>
              <w:t>XX</w:t>
            </w:r>
            <w:r>
              <w:rPr>
                <w:rFonts w:hint="eastAsia"/>
                <w:vertAlign w:val="baseline"/>
                <w:lang w:val="en-US" w:eastAsia="zh-CN"/>
              </w:rPr>
              <w:fldChar w:fldCharType="end"/>
            </w:r>
            <w:bookmarkEnd w:id="9"/>
            <w:r>
              <w:rPr>
                <w:rFonts w:hint="eastAsia"/>
                <w:vertAlign w:val="baseline"/>
                <w:lang w:val="en-US" w:eastAsia="zh-CN"/>
              </w:rPr>
              <w:t xml:space="preserve"> - </w:t>
            </w:r>
            <w:r>
              <w:rPr>
                <w:rFonts w:hint="eastAsia"/>
                <w:vertAlign w:val="baseline"/>
                <w:lang w:val="en-US" w:eastAsia="zh-CN"/>
              </w:rPr>
              <w:fldChar w:fldCharType="begin">
                <w:ffData>
                  <w:name w:val="FD"/>
                  <w:enabled/>
                  <w:calcOnExit w:val="0"/>
                  <w:textInput>
                    <w:default w:val="XX"/>
                    <w:maxLength w:val="2"/>
                  </w:textInput>
                </w:ffData>
              </w:fldChar>
            </w:r>
            <w:bookmarkStart w:id="10" w:name="FD"/>
            <w:r>
              <w:rPr>
                <w:rFonts w:hint="eastAsia"/>
                <w:vertAlign w:val="baseline"/>
                <w:lang w:val="en-US" w:eastAsia="zh-CN"/>
              </w:rPr>
              <w:instrText xml:space="preserve">FORMTEXT</w:instrText>
            </w:r>
            <w:r>
              <w:rPr>
                <w:rFonts w:hint="eastAsia"/>
                <w:vertAlign w:val="baseline"/>
                <w:lang w:val="en-US" w:eastAsia="zh-CN"/>
              </w:rPr>
              <w:fldChar w:fldCharType="separate"/>
            </w:r>
            <w:r>
              <w:rPr>
                <w:rFonts w:hint="eastAsia"/>
                <w:vertAlign w:val="baseline"/>
                <w:lang w:val="en-US" w:eastAsia="zh-CN"/>
              </w:rPr>
              <w:t>XX</w:t>
            </w:r>
            <w:r>
              <w:rPr>
                <w:rFonts w:hint="eastAsia"/>
                <w:vertAlign w:val="baseline"/>
                <w:lang w:val="en-US" w:eastAsia="zh-CN"/>
              </w:rPr>
              <w:fldChar w:fldCharType="end"/>
            </w:r>
            <w:bookmarkEnd w:id="10"/>
            <w:r>
              <w:rPr>
                <w:rFonts w:hint="eastAsia"/>
                <w:vertAlign w:val="baseline"/>
                <w:lang w:val="en-US" w:eastAsia="zh-CN"/>
              </w:rPr>
              <w:t xml:space="preserve"> 发布</w:t>
            </w:r>
          </w:p>
        </w:tc>
        <w:tc>
          <w:tcPr>
            <w:tcW w:w="4871" w:type="dxa"/>
            <w:tcBorders>
              <w:bottom w:val="single" w:color="auto" w:sz="8" w:space="0"/>
            </w:tcBorders>
            <w:tcMar>
              <w:right w:w="57" w:type="dxa"/>
            </w:tcMar>
          </w:tcPr>
          <w:p>
            <w:pPr>
              <w:pStyle w:val="38"/>
              <w:widowControl w:val="0"/>
              <w:bidi w:val="0"/>
              <w:jc w:val="right"/>
              <w:rPr>
                <w:rFonts w:hint="eastAsia"/>
                <w:vertAlign w:val="baseline"/>
                <w:lang w:val="en-US" w:eastAsia="zh-CN"/>
              </w:rPr>
            </w:pPr>
            <w:bookmarkStart w:id="11" w:name="SY"/>
            <w:r>
              <w:rPr>
                <w:rFonts w:hint="eastAsia" w:ascii="黑体" w:hAnsi="Times New Roman" w:eastAsia="黑体" w:cs="Times New Roman"/>
                <w:sz w:val="28"/>
                <w:vertAlign w:val="baseline"/>
                <w:lang w:val="en-US" w:eastAsia="zh-CN"/>
              </w:rPr>
              <w:fldChar w:fldCharType="begin">
                <w:ffData>
                  <w:name w:val="SY"/>
                  <w:enabled/>
                  <w:calcOnExit w:val="0"/>
                  <w:textInput>
                    <w:default w:val="2025"/>
                    <w:maxLength w:val="4"/>
                  </w:textInput>
                </w:ffData>
              </w:fldChar>
            </w:r>
            <w:r>
              <w:rPr>
                <w:rFonts w:hint="eastAsia" w:ascii="黑体" w:hAnsi="Times New Roman" w:eastAsia="黑体" w:cs="Times New Roman"/>
                <w:sz w:val="28"/>
                <w:vertAlign w:val="baseline"/>
                <w:lang w:val="en-US" w:eastAsia="zh-CN"/>
              </w:rPr>
              <w:instrText xml:space="preserve">FORMTEXT</w:instrText>
            </w:r>
            <w:r>
              <w:rPr>
                <w:rFonts w:hint="eastAsia" w:ascii="黑体" w:hAnsi="Times New Roman" w:eastAsia="黑体" w:cs="Times New Roman"/>
                <w:sz w:val="28"/>
                <w:vertAlign w:val="baseline"/>
                <w:lang w:val="en-US" w:eastAsia="zh-CN"/>
              </w:rPr>
              <w:fldChar w:fldCharType="separate"/>
            </w:r>
            <w:r>
              <w:rPr>
                <w:rFonts w:hint="eastAsia" w:ascii="黑体" w:hAnsi="Times New Roman" w:eastAsia="黑体" w:cs="Times New Roman"/>
                <w:sz w:val="28"/>
                <w:vertAlign w:val="baseline"/>
                <w:lang w:val="en-US" w:eastAsia="zh-CN"/>
              </w:rPr>
              <w:t>2025</w:t>
            </w:r>
            <w:r>
              <w:rPr>
                <w:rFonts w:hint="eastAsia" w:ascii="黑体" w:hAnsi="Times New Roman" w:eastAsia="黑体" w:cs="Times New Roman"/>
                <w:sz w:val="28"/>
                <w:vertAlign w:val="baseline"/>
                <w:lang w:val="en-US" w:eastAsia="zh-CN"/>
              </w:rPr>
              <w:fldChar w:fldCharType="end"/>
            </w:r>
            <w:bookmarkEnd w:id="11"/>
            <w:r>
              <w:rPr>
                <w:rFonts w:hint="eastAsia"/>
                <w:vertAlign w:val="baseline"/>
                <w:lang w:val="en-US" w:eastAsia="zh-CN"/>
              </w:rPr>
              <w:t xml:space="preserve"> - </w:t>
            </w:r>
            <w:r>
              <w:rPr>
                <w:rFonts w:hint="eastAsia"/>
                <w:vertAlign w:val="baseline"/>
                <w:lang w:val="en-US" w:eastAsia="zh-CN"/>
              </w:rPr>
              <w:fldChar w:fldCharType="begin">
                <w:ffData>
                  <w:name w:val="SM"/>
                  <w:enabled/>
                  <w:calcOnExit w:val="0"/>
                  <w:textInput>
                    <w:default w:val="XX"/>
                    <w:maxLength w:val="2"/>
                  </w:textInput>
                </w:ffData>
              </w:fldChar>
            </w:r>
            <w:bookmarkStart w:id="12" w:name="SM"/>
            <w:r>
              <w:rPr>
                <w:rFonts w:hint="eastAsia"/>
                <w:vertAlign w:val="baseline"/>
                <w:lang w:val="en-US" w:eastAsia="zh-CN"/>
              </w:rPr>
              <w:instrText xml:space="preserve">FORMTEXT</w:instrText>
            </w:r>
            <w:r>
              <w:rPr>
                <w:rFonts w:hint="eastAsia"/>
                <w:vertAlign w:val="baseline"/>
                <w:lang w:val="en-US" w:eastAsia="zh-CN"/>
              </w:rPr>
              <w:fldChar w:fldCharType="separate"/>
            </w:r>
            <w:r>
              <w:rPr>
                <w:rFonts w:hint="eastAsia"/>
                <w:vertAlign w:val="baseline"/>
                <w:lang w:val="en-US" w:eastAsia="zh-CN"/>
              </w:rPr>
              <w:t>XX</w:t>
            </w:r>
            <w:r>
              <w:rPr>
                <w:rFonts w:hint="eastAsia"/>
                <w:vertAlign w:val="baseline"/>
                <w:lang w:val="en-US" w:eastAsia="zh-CN"/>
              </w:rPr>
              <w:fldChar w:fldCharType="end"/>
            </w:r>
            <w:bookmarkEnd w:id="12"/>
            <w:r>
              <w:rPr>
                <w:rFonts w:hint="eastAsia"/>
                <w:vertAlign w:val="baseline"/>
                <w:lang w:val="en-US" w:eastAsia="zh-CN"/>
              </w:rPr>
              <w:t xml:space="preserve"> - </w:t>
            </w:r>
            <w:r>
              <w:rPr>
                <w:rFonts w:hint="eastAsia"/>
                <w:vertAlign w:val="baseline"/>
                <w:lang w:val="en-US" w:eastAsia="zh-CN"/>
              </w:rPr>
              <w:fldChar w:fldCharType="begin">
                <w:ffData>
                  <w:name w:val="SD"/>
                  <w:enabled/>
                  <w:calcOnExit w:val="0"/>
                  <w:textInput>
                    <w:default w:val="XX"/>
                    <w:maxLength w:val="2"/>
                  </w:textInput>
                </w:ffData>
              </w:fldChar>
            </w:r>
            <w:bookmarkStart w:id="13" w:name="SD"/>
            <w:r>
              <w:rPr>
                <w:rFonts w:hint="eastAsia"/>
                <w:vertAlign w:val="baseline"/>
                <w:lang w:val="en-US" w:eastAsia="zh-CN"/>
              </w:rPr>
              <w:instrText xml:space="preserve">FORMTEXT</w:instrText>
            </w:r>
            <w:r>
              <w:rPr>
                <w:rFonts w:hint="eastAsia"/>
                <w:vertAlign w:val="baseline"/>
                <w:lang w:val="en-US" w:eastAsia="zh-CN"/>
              </w:rPr>
              <w:fldChar w:fldCharType="separate"/>
            </w:r>
            <w:r>
              <w:rPr>
                <w:rFonts w:hint="eastAsia"/>
                <w:vertAlign w:val="baseline"/>
                <w:lang w:val="en-US" w:eastAsia="zh-CN"/>
              </w:rPr>
              <w:t>XX</w:t>
            </w:r>
            <w:r>
              <w:rPr>
                <w:rFonts w:hint="eastAsia"/>
                <w:vertAlign w:val="baseline"/>
                <w:lang w:val="en-US" w:eastAsia="zh-CN"/>
              </w:rPr>
              <w:fldChar w:fldCharType="end"/>
            </w:r>
            <w:bookmarkEnd w:id="13"/>
            <w:r>
              <w:rPr>
                <w:rFonts w:hint="eastAsia"/>
                <w:vertAlign w:val="baseline"/>
                <w:lang w:val="en-US" w:eastAsia="zh-CN"/>
              </w:rPr>
              <w:t xml:space="preserve"> 实施</w:t>
            </w:r>
          </w:p>
        </w:tc>
      </w:tr>
    </w:tbl>
    <w:p>
      <w:pPr>
        <w:pStyle w:val="48"/>
        <w:bidi w:val="0"/>
        <w:spacing w:before="0"/>
        <w:rPr>
          <w:rFonts w:hint="eastAsia"/>
          <w:spacing w:val="0"/>
          <w:w w:val="100"/>
          <w:sz w:val="28"/>
          <w:lang w:val="en-US" w:eastAsia="zh-CN"/>
        </w:rPr>
      </w:pPr>
      <w:bookmarkStart w:id="14" w:name="FM2"/>
      <w:r>
        <w:rPr>
          <w:rFonts w:hint="eastAsia" w:ascii="黑体" w:hAnsi="黑体" w:eastAsia="黑体" w:cs="Times New Roman"/>
          <w:spacing w:val="0"/>
          <w:w w:val="100"/>
          <w:sz w:val="28"/>
          <w:lang w:val="en-US" w:eastAsia="zh-CN"/>
        </w:rPr>
        <w:fldChar w:fldCharType="begin">
          <w:ffData>
            <w:name w:val="FM2"/>
            <w:enabled/>
            <w:calcOnExit w:val="0"/>
            <w:textInput>
              <w:default w:val="吉安市绿色农产品促进会"/>
            </w:textInput>
          </w:ffData>
        </w:fldChar>
      </w:r>
      <w:r>
        <w:rPr>
          <w:rFonts w:hint="eastAsia" w:ascii="黑体" w:hAnsi="黑体" w:eastAsia="黑体" w:cs="Times New Roman"/>
          <w:spacing w:val="0"/>
          <w:w w:val="100"/>
          <w:sz w:val="28"/>
          <w:lang w:val="en-US" w:eastAsia="zh-CN"/>
        </w:rPr>
        <w:instrText xml:space="preserve">FORMTEXT</w:instrText>
      </w:r>
      <w:r>
        <w:rPr>
          <w:rFonts w:hint="eastAsia" w:ascii="黑体" w:hAnsi="黑体" w:eastAsia="黑体" w:cs="Times New Roman"/>
          <w:spacing w:val="0"/>
          <w:w w:val="100"/>
          <w:sz w:val="28"/>
          <w:lang w:val="en-US" w:eastAsia="zh-CN"/>
        </w:rPr>
        <w:fldChar w:fldCharType="separate"/>
      </w:r>
      <w:r>
        <w:rPr>
          <w:rFonts w:hint="eastAsia" w:ascii="黑体" w:hAnsi="黑体" w:eastAsia="黑体" w:cs="Times New Roman"/>
          <w:spacing w:val="0"/>
          <w:w w:val="100"/>
          <w:sz w:val="28"/>
          <w:lang w:val="en-US" w:eastAsia="zh-CN"/>
        </w:rPr>
        <w:t>吉安市绿色农产品促进会</w:t>
      </w:r>
      <w:r>
        <w:rPr>
          <w:rFonts w:hint="eastAsia" w:ascii="黑体" w:hAnsi="黑体" w:eastAsia="黑体" w:cs="Times New Roman"/>
          <w:spacing w:val="0"/>
          <w:w w:val="100"/>
          <w:sz w:val="28"/>
          <w:lang w:val="en-US" w:eastAsia="zh-CN"/>
        </w:rPr>
        <w:fldChar w:fldCharType="end"/>
      </w:r>
      <w:bookmarkEnd w:id="14"/>
      <w:r>
        <w:rPr>
          <w:rFonts w:hint="eastAsia"/>
          <w:sz w:val="28"/>
          <w:lang w:val="en-US" w:eastAsia="zh-CN"/>
        </w:rPr>
        <w:t>  </w:t>
      </w:r>
      <w:r>
        <w:rPr>
          <w:rFonts w:hint="eastAsia"/>
          <w:spacing w:val="85"/>
          <w:w w:val="100"/>
          <w:sz w:val="28"/>
          <w:lang w:val="en-US" w:eastAsia="zh-CN"/>
        </w:rPr>
        <w:t>发</w:t>
      </w:r>
      <w:r>
        <w:rPr>
          <w:rFonts w:hint="eastAsia"/>
          <w:spacing w:val="0"/>
          <w:w w:val="100"/>
          <w:sz w:val="28"/>
          <w:lang w:val="en-US" w:eastAsia="zh-CN"/>
        </w:rPr>
        <w:t>布</w:t>
      </w:r>
    </w:p>
    <w:tbl>
      <w:tblPr>
        <w:tblStyle w:val="20"/>
        <w:tblW w:w="95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3"/>
        <w:gridCol w:w="91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pPr>
              <w:pStyle w:val="52"/>
              <w:framePr w:w="9639"/>
              <w:bidi w:val="0"/>
              <w:jc w:val="both"/>
              <w:rPr>
                <w:rFonts w:hint="eastAsia"/>
                <w:vertAlign w:val="baseline"/>
                <w:lang w:val="en-US" w:eastAsia="zh-CN"/>
              </w:rPr>
            </w:pPr>
            <w:r>
              <w:rPr>
                <w:rFonts w:hint="eastAsia"/>
                <w:vertAlign w:val="baseline"/>
                <w:lang w:val="en-US" w:eastAsia="zh-CN"/>
              </w:rPr>
              <w:t>ICS</w:t>
            </w:r>
          </w:p>
        </w:tc>
        <w:tc>
          <w:tcPr>
            <w:tcW w:w="9107" w:type="dxa"/>
          </w:tcPr>
          <w:p>
            <w:pPr>
              <w:pStyle w:val="52"/>
              <w:framePr w:w="9639"/>
              <w:bidi w:val="0"/>
              <w:jc w:val="both"/>
              <w:rPr>
                <w:rFonts w:hint="eastAsia"/>
                <w:vertAlign w:val="baseline"/>
                <w:lang w:val="en-US" w:eastAsia="zh-CN"/>
              </w:rPr>
            </w:pPr>
            <w:bookmarkStart w:id="15" w:name="ICS"/>
            <w:r>
              <w:rPr>
                <w:rFonts w:hint="eastAsia" w:ascii="黑体" w:hAnsi="Times New Roman" w:eastAsia="黑体" w:cs="Times New Roman"/>
                <w:kern w:val="21"/>
                <w:sz w:val="21"/>
                <w:vertAlign w:val="baseline"/>
                <w:lang w:val="en-US" w:eastAsia="zh-CN"/>
              </w:rPr>
              <w:fldChar w:fldCharType="begin">
                <w:ffData>
                  <w:name w:val="ICS"/>
                  <w:enabled/>
                  <w:calcOnExit w:val="0"/>
                  <w:textInput>
                    <w:default w:val="67.080.10"/>
                  </w:textInput>
                </w:ffData>
              </w:fldChar>
            </w:r>
            <w:r>
              <w:rPr>
                <w:rFonts w:hint="eastAsia" w:ascii="黑体" w:hAnsi="Times New Roman" w:eastAsia="黑体" w:cs="Times New Roman"/>
                <w:kern w:val="21"/>
                <w:sz w:val="21"/>
                <w:vertAlign w:val="baseline"/>
                <w:lang w:val="en-US" w:eastAsia="zh-CN"/>
              </w:rPr>
              <w:instrText xml:space="preserve">FORMTEXT</w:instrText>
            </w:r>
            <w:r>
              <w:rPr>
                <w:rFonts w:hint="eastAsia" w:ascii="黑体" w:hAnsi="Times New Roman" w:eastAsia="黑体" w:cs="Times New Roman"/>
                <w:kern w:val="21"/>
                <w:sz w:val="21"/>
                <w:vertAlign w:val="baseline"/>
                <w:lang w:val="en-US" w:eastAsia="zh-CN"/>
              </w:rPr>
              <w:fldChar w:fldCharType="separate"/>
            </w:r>
            <w:r>
              <w:rPr>
                <w:rFonts w:hint="eastAsia" w:ascii="黑体" w:hAnsi="Times New Roman" w:eastAsia="黑体" w:cs="Times New Roman"/>
                <w:kern w:val="21"/>
                <w:sz w:val="21"/>
                <w:vertAlign w:val="baseline"/>
                <w:lang w:val="en-US" w:eastAsia="zh-CN"/>
              </w:rPr>
              <w:t>67.080.10</w:t>
            </w:r>
            <w:r>
              <w:rPr>
                <w:rFonts w:hint="eastAsia" w:ascii="黑体" w:hAnsi="Times New Roman" w:eastAsia="黑体" w:cs="Times New Roman"/>
                <w:kern w:val="21"/>
                <w:sz w:val="21"/>
                <w:vertAlign w:val="baseline"/>
                <w:lang w:val="en-US" w:eastAsia="zh-CN"/>
              </w:rPr>
              <w:fldChar w:fldCharType="end"/>
            </w:r>
            <w:bookmarkEnd w:id="1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pPr>
              <w:pStyle w:val="52"/>
              <w:framePr w:w="9639"/>
              <w:bidi w:val="0"/>
              <w:jc w:val="both"/>
              <w:rPr>
                <w:rFonts w:hint="eastAsia"/>
                <w:vertAlign w:val="baseline"/>
                <w:lang w:val="en-US" w:eastAsia="zh-CN"/>
              </w:rPr>
            </w:pPr>
            <w:r>
              <w:rPr>
                <w:rFonts w:hint="eastAsia"/>
                <w:vertAlign w:val="baseline"/>
                <w:lang w:val="en-US" w:eastAsia="zh-CN"/>
              </w:rPr>
              <w:t>CCS</w:t>
            </w:r>
          </w:p>
        </w:tc>
        <w:tc>
          <w:tcPr>
            <w:tcW w:w="9107" w:type="dxa"/>
          </w:tcPr>
          <w:p>
            <w:pPr>
              <w:pStyle w:val="52"/>
              <w:framePr w:w="9639"/>
              <w:bidi w:val="0"/>
              <w:jc w:val="both"/>
              <w:rPr>
                <w:rFonts w:hint="eastAsia"/>
                <w:vertAlign w:val="baseline"/>
                <w:lang w:val="en-US" w:eastAsia="zh-CN"/>
              </w:rPr>
            </w:pPr>
            <w:bookmarkStart w:id="16" w:name="CCS"/>
            <w:r>
              <w:rPr>
                <w:rFonts w:hint="eastAsia" w:ascii="黑体" w:hAnsi="Times New Roman" w:eastAsia="黑体" w:cs="Times New Roman"/>
                <w:kern w:val="21"/>
                <w:sz w:val="21"/>
                <w:vertAlign w:val="baseline"/>
                <w:lang w:val="en-US" w:eastAsia="zh-CN"/>
              </w:rPr>
              <w:fldChar w:fldCharType="begin">
                <w:ffData>
                  <w:name w:val="CCS"/>
                  <w:enabled/>
                  <w:calcOnExit w:val="0"/>
                  <w:textInput>
                    <w:default w:val="B 31"/>
                  </w:textInput>
                </w:ffData>
              </w:fldChar>
            </w:r>
            <w:r>
              <w:rPr>
                <w:rFonts w:hint="eastAsia" w:ascii="黑体" w:hAnsi="Times New Roman" w:eastAsia="黑体" w:cs="Times New Roman"/>
                <w:kern w:val="21"/>
                <w:sz w:val="21"/>
                <w:vertAlign w:val="baseline"/>
                <w:lang w:val="en-US" w:eastAsia="zh-CN"/>
              </w:rPr>
              <w:instrText xml:space="preserve">FORMTEXT</w:instrText>
            </w:r>
            <w:r>
              <w:rPr>
                <w:rFonts w:hint="eastAsia" w:ascii="黑体" w:hAnsi="Times New Roman" w:eastAsia="黑体" w:cs="Times New Roman"/>
                <w:kern w:val="21"/>
                <w:sz w:val="21"/>
                <w:vertAlign w:val="baseline"/>
                <w:lang w:val="en-US" w:eastAsia="zh-CN"/>
              </w:rPr>
              <w:fldChar w:fldCharType="separate"/>
            </w:r>
            <w:r>
              <w:rPr>
                <w:rFonts w:hint="eastAsia" w:ascii="黑体" w:hAnsi="Times New Roman" w:eastAsia="黑体" w:cs="Times New Roman"/>
                <w:kern w:val="21"/>
                <w:sz w:val="21"/>
                <w:vertAlign w:val="baseline"/>
                <w:lang w:val="en-US" w:eastAsia="zh-CN"/>
              </w:rPr>
              <w:t>B 31</w:t>
            </w:r>
            <w:r>
              <w:rPr>
                <w:rFonts w:hint="eastAsia" w:ascii="黑体" w:hAnsi="Times New Roman" w:eastAsia="黑体" w:cs="Times New Roman"/>
                <w:kern w:val="21"/>
                <w:sz w:val="21"/>
                <w:vertAlign w:val="baseline"/>
                <w:lang w:val="en-US" w:eastAsia="zh-CN"/>
              </w:rPr>
              <w:fldChar w:fldCharType="end"/>
            </w:r>
            <w:bookmarkEnd w:id="16"/>
          </w:p>
          <w:tbl>
            <w:tblPr>
              <w:tblStyle w:val="20"/>
              <w:tblpPr w:vertAnchor="page" w:horzAnchor="margin" w:tblpXSpec="right" w:tblpY="114"/>
              <w:tblOverlap w:val="never"/>
              <w:tblW w:w="66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1" w:hRule="atLeast"/>
              </w:trPr>
              <w:tc>
                <w:tcPr>
                  <w:tcW w:w="6662" w:type="dxa"/>
                  <w:vAlign w:val="center"/>
                </w:tcPr>
                <w:p>
                  <w:pPr>
                    <w:pStyle w:val="52"/>
                    <w:framePr w:w="9639"/>
                    <w:bidi w:val="0"/>
                    <w:jc w:val="right"/>
                    <w:rPr>
                      <w:rFonts w:hint="eastAsia" w:ascii="Times New Roman" w:hAnsi="Times New Roman" w:eastAsia="宋体" w:cs="Times New Roman"/>
                      <w:b/>
                      <w:w w:val="130"/>
                      <w:kern w:val="0"/>
                      <w:sz w:val="21"/>
                      <w:vertAlign w:val="baseline"/>
                      <w:lang w:val="en-US" w:eastAsia="zh-CN"/>
                    </w:rPr>
                  </w:pPr>
                  <w:r>
                    <w:rPr>
                      <w:rFonts w:hint="eastAsia" w:ascii="楷体" w:hAnsi="楷体" w:eastAsia="楷体" w:cs="楷体"/>
                      <w:b/>
                      <w:w w:val="130"/>
                      <w:kern w:val="0"/>
                      <w:sz w:val="96"/>
                      <w:vertAlign w:val="baseline"/>
                      <w:lang w:val="en-US" w:eastAsia="zh-CN"/>
                    </w:rPr>
                    <w:t>T</w:t>
                  </w:r>
                  <w:r>
                    <w:rPr>
                      <w:rFonts w:hint="eastAsia" w:ascii="Times New Roman" w:eastAsia="宋体" w:cs="Times New Roman"/>
                      <w:b/>
                      <w:w w:val="130"/>
                      <w:kern w:val="0"/>
                      <w:sz w:val="96"/>
                      <w:vertAlign w:val="baseline"/>
                      <w:lang w:val="en-US" w:eastAsia="zh-CN"/>
                    </w:rPr>
                    <w:t>/</w:t>
                  </w:r>
                  <w:r>
                    <w:rPr>
                      <w:rFonts w:hint="eastAsia" w:ascii="Times New Roman" w:eastAsia="宋体" w:cs="Times New Roman"/>
                      <w:b/>
                      <w:w w:val="130"/>
                      <w:kern w:val="0"/>
                      <w:sz w:val="21"/>
                      <w:vertAlign w:val="baseline"/>
                      <w:lang w:val="en-US" w:eastAsia="zh-CN"/>
                    </w:rPr>
                    <w:t xml:space="preserve"> </w:t>
                  </w:r>
                  <w:r>
                    <w:rPr>
                      <w:rFonts w:hint="eastAsia" w:ascii="Times New Roman" w:eastAsia="宋体" w:cs="Times New Roman"/>
                      <w:b/>
                      <w:w w:val="130"/>
                      <w:kern w:val="0"/>
                      <w:sz w:val="96"/>
                      <w:vertAlign w:val="baseline"/>
                      <w:lang w:val="en-US" w:eastAsia="zh-CN"/>
                    </w:rPr>
                    <w:fldChar w:fldCharType="begin">
                      <w:ffData>
                        <w:name w:val="TMark"/>
                        <w:enabled/>
                        <w:calcOnExit w:val="0"/>
                        <w:textInput>
                          <w:maxLength w:val="8"/>
                        </w:textInput>
                      </w:ffData>
                    </w:fldChar>
                  </w:r>
                  <w:bookmarkStart w:id="17" w:name="TMark"/>
                  <w:r>
                    <w:rPr>
                      <w:rFonts w:hint="eastAsia" w:ascii="Times New Roman" w:eastAsia="宋体" w:cs="Times New Roman"/>
                      <w:b/>
                      <w:w w:val="130"/>
                      <w:kern w:val="0"/>
                      <w:sz w:val="96"/>
                      <w:vertAlign w:val="baseline"/>
                      <w:lang w:val="en-US" w:eastAsia="zh-CN"/>
                    </w:rPr>
                    <w:instrText xml:space="preserve">FORMTEXT</w:instrText>
                  </w:r>
                  <w:r>
                    <w:rPr>
                      <w:rFonts w:hint="eastAsia" w:ascii="Times New Roman" w:eastAsia="宋体" w:cs="Times New Roman"/>
                      <w:b/>
                      <w:w w:val="130"/>
                      <w:kern w:val="0"/>
                      <w:sz w:val="96"/>
                      <w:vertAlign w:val="baseline"/>
                      <w:lang w:val="en-US" w:eastAsia="zh-CN"/>
                    </w:rPr>
                    <w:fldChar w:fldCharType="separate"/>
                  </w:r>
                  <w:r>
                    <w:rPr>
                      <w:rFonts w:hint="eastAsia" w:ascii="Times New Roman" w:eastAsia="宋体" w:cs="Times New Roman"/>
                      <w:b/>
                      <w:w w:val="130"/>
                      <w:kern w:val="0"/>
                      <w:sz w:val="96"/>
                      <w:vertAlign w:val="baseline"/>
                      <w:lang w:val="en-US" w:eastAsia="zh-CN"/>
                    </w:rPr>
                    <w:t>JALNCP</w:t>
                  </w:r>
                  <w:r>
                    <w:rPr>
                      <w:rFonts w:hint="eastAsia" w:ascii="Times New Roman" w:eastAsia="宋体" w:cs="Times New Roman"/>
                      <w:b/>
                      <w:w w:val="130"/>
                      <w:kern w:val="0"/>
                      <w:sz w:val="96"/>
                      <w:vertAlign w:val="baseline"/>
                      <w:lang w:val="en-US" w:eastAsia="zh-CN"/>
                    </w:rPr>
                    <w:fldChar w:fldCharType="end"/>
                  </w:r>
                  <w:bookmarkEnd w:id="17"/>
                </w:p>
              </w:tc>
            </w:tr>
          </w:tbl>
          <w:p>
            <w:pPr>
              <w:pStyle w:val="52"/>
              <w:framePr w:w="9639"/>
              <w:bidi w:val="0"/>
              <w:jc w:val="both"/>
              <w:rPr>
                <w:rFonts w:hint="eastAsia"/>
                <w:vertAlign w:val="baseline"/>
                <w:lang w:val="en-US" w:eastAsia="zh-CN"/>
              </w:rPr>
            </w:pPr>
          </w:p>
        </w:tc>
      </w:tr>
    </w:tbl>
    <w:p>
      <w:pPr>
        <w:pStyle w:val="52"/>
        <w:framePr w:w="9639"/>
        <w:bidi w:val="0"/>
        <w:rPr>
          <w:rFonts w:hint="eastAsia"/>
          <w:lang w:val="en-US" w:eastAsia="zh-CN"/>
        </w:rPr>
        <w:sectPr>
          <w:headerReference r:id="rId3" w:type="even"/>
          <w:pgSz w:w="11906" w:h="16838"/>
          <w:pgMar w:top="-340" w:right="1134" w:bottom="1021" w:left="1134" w:header="0" w:footer="0" w:gutter="284"/>
          <w:lnNumType w:countBy="0" w:restart="continuous"/>
          <w:pgNumType w:fmt="decimal" w:start="1"/>
          <w:cols w:space="425" w:num="1"/>
          <w:titlePg/>
          <w:docGrid w:type="lines" w:linePitch="312" w:charSpace="0"/>
        </w:sectPr>
      </w:pPr>
    </w:p>
    <w:p>
      <w:pPr>
        <w:pStyle w:val="53"/>
        <w:bidi w:val="0"/>
        <w:rPr>
          <w:rFonts w:hint="eastAsia"/>
          <w:lang w:val="en-US" w:eastAsia="zh-CN"/>
        </w:rPr>
      </w:pPr>
      <w:r>
        <w:rPr>
          <w:rFonts w:hint="eastAsia"/>
          <w:spacing w:val="317"/>
          <w:lang w:val="en-US" w:eastAsia="zh-CN"/>
        </w:rPr>
        <w:t>目</w:t>
      </w:r>
      <w:bookmarkStart w:id="18" w:name="BKML"/>
      <w:r>
        <w:rPr>
          <w:rFonts w:hint="eastAsia"/>
          <w:lang w:val="en-US" w:eastAsia="zh-CN"/>
        </w:rPr>
        <w:t>次</w:t>
      </w:r>
      <w:bookmarkEnd w:id="18"/>
    </w:p>
    <w:p>
      <w:pPr>
        <w:pStyle w:val="14"/>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TOC \t "标准文件_前言、引言标题,1,标准文件_章标题,1,标准文件_附录标识,1,标准文件_参考文献标题,1,标准文件_索引标题,1" \h</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_Toc6346 </w:instrText>
      </w:r>
      <w:r>
        <w:rPr>
          <w:rFonts w:hint="eastAsia" w:ascii="宋体" w:hAnsi="宋体" w:eastAsia="宋体" w:cs="宋体"/>
          <w:spacing w:val="0"/>
          <w:lang w:val="en-US" w:eastAsia="zh-CN"/>
        </w:rPr>
        <w:fldChar w:fldCharType="separate"/>
      </w:r>
      <w:r>
        <w:rPr>
          <w:rFonts w:hint="eastAsia"/>
          <w:spacing w:val="317"/>
          <w:lang w:val="en-US" w:eastAsia="zh-CN"/>
        </w:rPr>
        <w:t>前</w:t>
      </w:r>
      <w:r>
        <w:rPr>
          <w:rFonts w:hint="eastAsia"/>
          <w:lang w:val="en-US" w:eastAsia="zh-CN"/>
        </w:rPr>
        <w:t>言</w:t>
      </w:r>
      <w:r>
        <w:tab/>
      </w:r>
      <w:r>
        <w:fldChar w:fldCharType="begin"/>
      </w:r>
      <w:r>
        <w:instrText xml:space="preserve"> PAGEREF _Toc6346 \h </w:instrText>
      </w:r>
      <w:r>
        <w:fldChar w:fldCharType="separate"/>
      </w:r>
      <w:r>
        <w:t>II</w:t>
      </w:r>
      <w:r>
        <w:fldChar w:fldCharType="end"/>
      </w:r>
      <w:r>
        <w:rPr>
          <w:rFonts w:hint="eastAsia" w:ascii="宋体" w:hAnsi="宋体" w:eastAsia="宋体" w:cs="宋体"/>
          <w:spacing w:val="0"/>
          <w:lang w:val="en-US" w:eastAsia="zh-CN"/>
        </w:rPr>
        <w:fldChar w:fldCharType="end"/>
      </w:r>
    </w:p>
    <w:p>
      <w:pPr>
        <w:pStyle w:val="14"/>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_Toc8541 </w:instrText>
      </w:r>
      <w:r>
        <w:rPr>
          <w:rFonts w:hint="eastAsia" w:ascii="宋体" w:hAnsi="宋体" w:eastAsia="宋体" w:cs="宋体"/>
          <w:spacing w:val="0"/>
          <w:lang w:val="en-US" w:eastAsia="zh-CN"/>
        </w:rPr>
        <w:fldChar w:fldCharType="separate"/>
      </w:r>
      <w:r>
        <w:rPr>
          <w:rFonts w:hint="default" w:ascii="黑体" w:hAnsi="黑体" w:eastAsia="黑体" w:cs="黑体"/>
          <w:lang w:val="en-US" w:eastAsia="zh-CN"/>
        </w:rPr>
        <w:t xml:space="preserve">1 </w:t>
      </w:r>
      <w:r>
        <w:rPr>
          <w:rFonts w:hint="eastAsia"/>
          <w:lang w:val="en-US" w:eastAsia="zh-CN"/>
        </w:rPr>
        <w:t>范围</w:t>
      </w:r>
      <w:r>
        <w:tab/>
      </w:r>
      <w:r>
        <w:fldChar w:fldCharType="begin"/>
      </w:r>
      <w:r>
        <w:instrText xml:space="preserve"> PAGEREF _Toc8541 \h </w:instrText>
      </w:r>
      <w:r>
        <w:fldChar w:fldCharType="separate"/>
      </w:r>
      <w:r>
        <w:t>1</w:t>
      </w:r>
      <w:r>
        <w:fldChar w:fldCharType="end"/>
      </w:r>
      <w:r>
        <w:rPr>
          <w:rFonts w:hint="eastAsia" w:ascii="宋体" w:hAnsi="宋体" w:eastAsia="宋体" w:cs="宋体"/>
          <w:spacing w:val="0"/>
          <w:lang w:val="en-US" w:eastAsia="zh-CN"/>
        </w:rPr>
        <w:fldChar w:fldCharType="end"/>
      </w:r>
    </w:p>
    <w:p>
      <w:pPr>
        <w:pStyle w:val="14"/>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_Toc30434 </w:instrText>
      </w:r>
      <w:r>
        <w:rPr>
          <w:rFonts w:hint="eastAsia" w:ascii="宋体" w:hAnsi="宋体" w:eastAsia="宋体" w:cs="宋体"/>
          <w:spacing w:val="0"/>
          <w:lang w:val="en-US" w:eastAsia="zh-CN"/>
        </w:rPr>
        <w:fldChar w:fldCharType="separate"/>
      </w:r>
      <w:r>
        <w:rPr>
          <w:rFonts w:hint="default" w:ascii="黑体" w:hAnsi="黑体" w:eastAsia="黑体" w:cs="黑体"/>
          <w:lang w:val="en-US" w:eastAsia="zh-CN"/>
        </w:rPr>
        <w:t xml:space="preserve">2 </w:t>
      </w:r>
      <w:r>
        <w:rPr>
          <w:rFonts w:hint="eastAsia"/>
          <w:lang w:val="en-US" w:eastAsia="zh-CN"/>
        </w:rPr>
        <w:t>规范性引用文件</w:t>
      </w:r>
      <w:r>
        <w:tab/>
      </w:r>
      <w:r>
        <w:fldChar w:fldCharType="begin"/>
      </w:r>
      <w:r>
        <w:instrText xml:space="preserve"> PAGEREF _Toc30434 \h </w:instrText>
      </w:r>
      <w:r>
        <w:fldChar w:fldCharType="separate"/>
      </w:r>
      <w:r>
        <w:t>1</w:t>
      </w:r>
      <w:r>
        <w:fldChar w:fldCharType="end"/>
      </w:r>
      <w:r>
        <w:rPr>
          <w:rFonts w:hint="eastAsia" w:ascii="宋体" w:hAnsi="宋体" w:eastAsia="宋体" w:cs="宋体"/>
          <w:spacing w:val="0"/>
          <w:lang w:val="en-US" w:eastAsia="zh-CN"/>
        </w:rPr>
        <w:fldChar w:fldCharType="end"/>
      </w:r>
    </w:p>
    <w:p>
      <w:pPr>
        <w:pStyle w:val="14"/>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_Toc5700 </w:instrText>
      </w:r>
      <w:r>
        <w:rPr>
          <w:rFonts w:hint="eastAsia" w:ascii="宋体" w:hAnsi="宋体" w:eastAsia="宋体" w:cs="宋体"/>
          <w:spacing w:val="0"/>
          <w:lang w:val="en-US" w:eastAsia="zh-CN"/>
        </w:rPr>
        <w:fldChar w:fldCharType="separate"/>
      </w:r>
      <w:r>
        <w:rPr>
          <w:rFonts w:hint="default" w:ascii="黑体" w:hAnsi="黑体" w:eastAsia="黑体" w:cs="黑体"/>
          <w:lang w:val="en-US" w:eastAsia="zh-CN"/>
        </w:rPr>
        <w:t xml:space="preserve">3 </w:t>
      </w:r>
      <w:r>
        <w:rPr>
          <w:rFonts w:hint="eastAsia"/>
          <w:lang w:val="en-US" w:eastAsia="zh-CN"/>
        </w:rPr>
        <w:t>术语和定义</w:t>
      </w:r>
      <w:r>
        <w:tab/>
      </w:r>
      <w:r>
        <w:fldChar w:fldCharType="begin"/>
      </w:r>
      <w:r>
        <w:instrText xml:space="preserve"> PAGEREF _Toc5700 \h </w:instrText>
      </w:r>
      <w:r>
        <w:fldChar w:fldCharType="separate"/>
      </w:r>
      <w:r>
        <w:t>1</w:t>
      </w:r>
      <w:r>
        <w:fldChar w:fldCharType="end"/>
      </w:r>
      <w:r>
        <w:rPr>
          <w:rFonts w:hint="eastAsia" w:ascii="宋体" w:hAnsi="宋体" w:eastAsia="宋体" w:cs="宋体"/>
          <w:spacing w:val="0"/>
          <w:lang w:val="en-US" w:eastAsia="zh-CN"/>
        </w:rPr>
        <w:fldChar w:fldCharType="end"/>
      </w:r>
    </w:p>
    <w:p>
      <w:pPr>
        <w:pStyle w:val="14"/>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_Toc20283 </w:instrText>
      </w:r>
      <w:r>
        <w:rPr>
          <w:rFonts w:hint="eastAsia" w:ascii="宋体" w:hAnsi="宋体" w:eastAsia="宋体" w:cs="宋体"/>
          <w:spacing w:val="0"/>
          <w:lang w:val="en-US" w:eastAsia="zh-CN"/>
        </w:rPr>
        <w:fldChar w:fldCharType="separate"/>
      </w:r>
      <w:r>
        <w:rPr>
          <w:rFonts w:hint="default" w:ascii="黑体" w:hAnsi="黑体" w:eastAsia="黑体" w:cs="黑体"/>
        </w:rPr>
        <w:t xml:space="preserve">4 </w:t>
      </w:r>
      <w:r>
        <w:rPr>
          <w:rFonts w:hint="eastAsia"/>
          <w:lang w:val="en-US" w:eastAsia="zh-CN"/>
        </w:rPr>
        <w:t>原料</w:t>
      </w:r>
      <w:r>
        <w:rPr>
          <w:rFonts w:hint="default"/>
        </w:rPr>
        <w:t>要求</w:t>
      </w:r>
      <w:r>
        <w:tab/>
      </w:r>
      <w:r>
        <w:fldChar w:fldCharType="begin"/>
      </w:r>
      <w:r>
        <w:instrText xml:space="preserve"> PAGEREF _Toc20283 \h </w:instrText>
      </w:r>
      <w:r>
        <w:fldChar w:fldCharType="separate"/>
      </w:r>
      <w:r>
        <w:t>1</w:t>
      </w:r>
      <w:r>
        <w:fldChar w:fldCharType="end"/>
      </w:r>
      <w:r>
        <w:rPr>
          <w:rFonts w:hint="eastAsia" w:ascii="宋体" w:hAnsi="宋体" w:eastAsia="宋体" w:cs="宋体"/>
          <w:spacing w:val="0"/>
          <w:lang w:val="en-US" w:eastAsia="zh-CN"/>
        </w:rPr>
        <w:fldChar w:fldCharType="end"/>
      </w:r>
    </w:p>
    <w:p>
      <w:pPr>
        <w:pStyle w:val="14"/>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_Toc14896 </w:instrText>
      </w:r>
      <w:r>
        <w:rPr>
          <w:rFonts w:hint="eastAsia" w:ascii="宋体" w:hAnsi="宋体" w:eastAsia="宋体" w:cs="宋体"/>
          <w:spacing w:val="0"/>
          <w:lang w:val="en-US" w:eastAsia="zh-CN"/>
        </w:rPr>
        <w:fldChar w:fldCharType="separate"/>
      </w:r>
      <w:r>
        <w:rPr>
          <w:rFonts w:hint="default" w:ascii="黑体" w:hAnsi="黑体" w:eastAsia="黑体" w:cs="黑体"/>
        </w:rPr>
        <w:t xml:space="preserve">5 </w:t>
      </w:r>
      <w:r>
        <w:rPr>
          <w:rFonts w:hint="default"/>
        </w:rPr>
        <w:t>加工条件</w:t>
      </w:r>
      <w:r>
        <w:tab/>
      </w:r>
      <w:r>
        <w:fldChar w:fldCharType="begin"/>
      </w:r>
      <w:r>
        <w:instrText xml:space="preserve"> PAGEREF _Toc14896 \h </w:instrText>
      </w:r>
      <w:r>
        <w:fldChar w:fldCharType="separate"/>
      </w:r>
      <w:r>
        <w:t>2</w:t>
      </w:r>
      <w:r>
        <w:fldChar w:fldCharType="end"/>
      </w:r>
      <w:r>
        <w:rPr>
          <w:rFonts w:hint="eastAsia" w:ascii="宋体" w:hAnsi="宋体" w:eastAsia="宋体" w:cs="宋体"/>
          <w:spacing w:val="0"/>
          <w:lang w:val="en-US" w:eastAsia="zh-CN"/>
        </w:rPr>
        <w:fldChar w:fldCharType="end"/>
      </w:r>
    </w:p>
    <w:p>
      <w:pPr>
        <w:pStyle w:val="14"/>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_Toc26166 </w:instrText>
      </w:r>
      <w:r>
        <w:rPr>
          <w:rFonts w:hint="eastAsia" w:ascii="宋体" w:hAnsi="宋体" w:eastAsia="宋体" w:cs="宋体"/>
          <w:spacing w:val="0"/>
          <w:lang w:val="en-US" w:eastAsia="zh-CN"/>
        </w:rPr>
        <w:fldChar w:fldCharType="separate"/>
      </w:r>
      <w:r>
        <w:rPr>
          <w:rFonts w:hint="default" w:ascii="黑体" w:hAnsi="黑体" w:eastAsia="黑体" w:cs="黑体"/>
        </w:rPr>
        <w:t xml:space="preserve">6 </w:t>
      </w:r>
      <w:r>
        <w:rPr>
          <w:rFonts w:hint="default"/>
        </w:rPr>
        <w:t>加工工艺</w:t>
      </w:r>
      <w:r>
        <w:tab/>
      </w:r>
      <w:r>
        <w:fldChar w:fldCharType="begin"/>
      </w:r>
      <w:r>
        <w:instrText xml:space="preserve"> PAGEREF _Toc26166 \h </w:instrText>
      </w:r>
      <w:r>
        <w:fldChar w:fldCharType="separate"/>
      </w:r>
      <w:r>
        <w:t>2</w:t>
      </w:r>
      <w:r>
        <w:fldChar w:fldCharType="end"/>
      </w:r>
      <w:r>
        <w:rPr>
          <w:rFonts w:hint="eastAsia" w:ascii="宋体" w:hAnsi="宋体" w:eastAsia="宋体" w:cs="宋体"/>
          <w:spacing w:val="0"/>
          <w:lang w:val="en-US" w:eastAsia="zh-CN"/>
        </w:rPr>
        <w:fldChar w:fldCharType="end"/>
      </w:r>
    </w:p>
    <w:p>
      <w:pPr>
        <w:pStyle w:val="14"/>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_Toc20517 </w:instrText>
      </w:r>
      <w:r>
        <w:rPr>
          <w:rFonts w:hint="eastAsia" w:ascii="宋体" w:hAnsi="宋体" w:eastAsia="宋体" w:cs="宋体"/>
          <w:spacing w:val="0"/>
          <w:lang w:val="en-US" w:eastAsia="zh-CN"/>
        </w:rPr>
        <w:fldChar w:fldCharType="separate"/>
      </w:r>
      <w:r>
        <w:rPr>
          <w:rFonts w:hint="default" w:ascii="黑体" w:hAnsi="黑体" w:eastAsia="黑体" w:cs="黑体"/>
        </w:rPr>
        <w:t xml:space="preserve">7 </w:t>
      </w:r>
      <w:r>
        <w:rPr>
          <w:rFonts w:hint="default"/>
        </w:rPr>
        <w:t>包装、运输和贮存</w:t>
      </w:r>
      <w:r>
        <w:tab/>
      </w:r>
      <w:r>
        <w:fldChar w:fldCharType="begin"/>
      </w:r>
      <w:r>
        <w:instrText xml:space="preserve"> PAGEREF _Toc20517 \h </w:instrText>
      </w:r>
      <w:r>
        <w:fldChar w:fldCharType="separate"/>
      </w:r>
      <w:r>
        <w:t>3</w:t>
      </w:r>
      <w:r>
        <w:fldChar w:fldCharType="end"/>
      </w:r>
      <w:r>
        <w:rPr>
          <w:rFonts w:hint="eastAsia" w:ascii="宋体" w:hAnsi="宋体" w:eastAsia="宋体" w:cs="宋体"/>
          <w:spacing w:val="0"/>
          <w:lang w:val="en-US" w:eastAsia="zh-CN"/>
        </w:rPr>
        <w:fldChar w:fldCharType="end"/>
      </w:r>
    </w:p>
    <w:p>
      <w:pPr>
        <w:pStyle w:val="14"/>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_Toc27209 </w:instrText>
      </w:r>
      <w:r>
        <w:rPr>
          <w:rFonts w:hint="eastAsia" w:ascii="宋体" w:hAnsi="宋体" w:eastAsia="宋体" w:cs="宋体"/>
          <w:spacing w:val="0"/>
          <w:lang w:val="en-US" w:eastAsia="zh-CN"/>
        </w:rPr>
        <w:fldChar w:fldCharType="separate"/>
      </w:r>
      <w:r>
        <w:rPr>
          <w:rFonts w:hint="default" w:ascii="黑体" w:hAnsi="黑体" w:eastAsia="黑体" w:cs="黑体"/>
        </w:rPr>
        <w:t xml:space="preserve">8 </w:t>
      </w:r>
      <w:r>
        <w:rPr>
          <w:rFonts w:hint="default"/>
        </w:rPr>
        <w:t>质量管理</w:t>
      </w:r>
      <w:r>
        <w:tab/>
      </w:r>
      <w:r>
        <w:fldChar w:fldCharType="begin"/>
      </w:r>
      <w:r>
        <w:instrText xml:space="preserve"> PAGEREF _Toc27209 \h </w:instrText>
      </w:r>
      <w:r>
        <w:fldChar w:fldCharType="separate"/>
      </w:r>
      <w:r>
        <w:t>3</w:t>
      </w:r>
      <w:r>
        <w:fldChar w:fldCharType="end"/>
      </w:r>
      <w:r>
        <w:rPr>
          <w:rFonts w:hint="eastAsia" w:ascii="宋体" w:hAnsi="宋体" w:eastAsia="宋体" w:cs="宋体"/>
          <w:spacing w:val="0"/>
          <w:lang w:val="en-US" w:eastAsia="zh-CN"/>
        </w:rPr>
        <w:fldChar w:fldCharType="end"/>
      </w:r>
    </w:p>
    <w:p>
      <w:pPr>
        <w:pStyle w:val="14"/>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_Toc28217 </w:instrText>
      </w:r>
      <w:r>
        <w:rPr>
          <w:rFonts w:hint="eastAsia" w:ascii="宋体" w:hAnsi="宋体" w:eastAsia="宋体" w:cs="宋体"/>
          <w:spacing w:val="0"/>
          <w:lang w:val="en-US" w:eastAsia="zh-CN"/>
        </w:rPr>
        <w:fldChar w:fldCharType="separate"/>
      </w:r>
      <w:r>
        <w:rPr>
          <w:rFonts w:hint="default"/>
          <w:spacing w:val="102"/>
          <w:lang w:val="en-US" w:eastAsia="zh-CN"/>
        </w:rPr>
        <w:t xml:space="preserve">附录A </w:t>
      </w:r>
      <w:r>
        <w:rPr>
          <w:rFonts w:hint="eastAsia"/>
          <w:lang w:val="en-US" w:eastAsia="zh-CN"/>
        </w:rPr>
        <w:t xml:space="preserve"> （规范性） 井冈山白莲生产区域范围图</w:t>
      </w:r>
      <w:r>
        <w:tab/>
      </w:r>
      <w:r>
        <w:rPr>
          <w:rFonts w:hint="eastAsia"/>
          <w:lang w:val="en-US" w:eastAsia="zh-CN"/>
        </w:rPr>
        <w:t>4</w:t>
      </w:r>
      <w:r>
        <w:rPr>
          <w:rFonts w:hint="eastAsia" w:ascii="宋体" w:hAnsi="宋体" w:eastAsia="宋体" w:cs="宋体"/>
          <w:spacing w:val="0"/>
          <w:lang w:val="en-US" w:eastAsia="zh-CN"/>
        </w:rPr>
        <w:fldChar w:fldCharType="end"/>
      </w:r>
    </w:p>
    <w:p>
      <w:pPr>
        <w:bidi w:val="0"/>
        <w:ind w:left="0" w:leftChars="0" w:firstLine="0" w:firstLineChars="0"/>
        <w:rPr>
          <w:rFonts w:hint="eastAsia"/>
          <w:lang w:val="en-US" w:eastAsia="zh-CN"/>
        </w:rPr>
      </w:pPr>
      <w:r>
        <w:rPr>
          <w:rFonts w:hint="eastAsia" w:ascii="宋体" w:hAnsi="宋体" w:eastAsia="宋体" w:cs="宋体"/>
          <w:spacing w:val="0"/>
          <w:lang w:val="en-US" w:eastAsia="zh-CN"/>
        </w:rPr>
        <w:fldChar w:fldCharType="end"/>
      </w:r>
    </w:p>
    <w:p>
      <w:pPr>
        <w:pStyle w:val="53"/>
        <w:bidi w:val="0"/>
        <w:rPr>
          <w:rFonts w:hint="eastAsia"/>
          <w:lang w:val="en-US" w:eastAsia="zh-CN"/>
        </w:rPr>
      </w:pPr>
      <w:r>
        <w:rPr>
          <w:rFonts w:hint="eastAsia"/>
          <w:lang w:val="en-US" w:eastAsia="zh-CN"/>
        </w:rPr>
        <w:br w:type="page"/>
      </w:r>
    </w:p>
    <w:p>
      <w:pPr>
        <w:pStyle w:val="54"/>
        <w:bidi w:val="0"/>
        <w:rPr>
          <w:rFonts w:hint="eastAsia"/>
          <w:lang w:val="en-US" w:eastAsia="zh-CN"/>
        </w:rPr>
      </w:pPr>
      <w:bookmarkStart w:id="19" w:name="_Toc6346"/>
      <w:r>
        <w:rPr>
          <w:rFonts w:hint="eastAsia"/>
          <w:spacing w:val="317"/>
          <w:lang w:val="en-US" w:eastAsia="zh-CN"/>
        </w:rPr>
        <w:t>前</w:t>
      </w:r>
      <w:bookmarkStart w:id="20" w:name="BKQY"/>
      <w:r>
        <w:rPr>
          <w:rFonts w:hint="eastAsia"/>
          <w:lang w:val="en-US" w:eastAsia="zh-CN"/>
        </w:rPr>
        <w:t>言</w:t>
      </w:r>
      <w:bookmarkEnd w:id="19"/>
    </w:p>
    <w:p>
      <w:pPr>
        <w:pStyle w:val="24"/>
        <w:bidi w:val="0"/>
        <w:rPr>
          <w:rFonts w:hint="eastAsia"/>
          <w:lang w:val="en-US" w:eastAsia="zh-CN"/>
        </w:rPr>
      </w:pPr>
      <w:r>
        <w:rPr>
          <w:rFonts w:hint="eastAsia"/>
          <w:lang w:val="en-US" w:eastAsia="zh-CN"/>
        </w:rPr>
        <w:t>本文件按照GB/T 1.1—2020《标准化工作导则  第1部分：标准化文件的结构和起草规则》的规定起草。</w:t>
      </w:r>
    </w:p>
    <w:p>
      <w:pPr>
        <w:pStyle w:val="24"/>
        <w:bidi w:val="0"/>
        <w:rPr>
          <w:rFonts w:hint="eastAsia"/>
          <w:lang w:val="en-US" w:eastAsia="zh-CN"/>
        </w:rPr>
      </w:pPr>
      <w:r>
        <w:rPr>
          <w:rFonts w:hint="eastAsia"/>
          <w:lang w:val="en-US" w:eastAsia="zh-CN"/>
        </w:rPr>
        <w:t>请注意本文件的某些内容可能涉及专利。本文件的发布机构不承担识别专利的责任。</w:t>
      </w:r>
    </w:p>
    <w:p>
      <w:pPr>
        <w:pStyle w:val="24"/>
        <w:bidi w:val="0"/>
        <w:rPr>
          <w:rFonts w:hint="eastAsia"/>
          <w:lang w:val="en-US" w:eastAsia="zh-CN"/>
        </w:rPr>
      </w:pPr>
      <w:r>
        <w:rPr>
          <w:rFonts w:hint="eastAsia"/>
          <w:lang w:val="en-US" w:eastAsia="zh-CN"/>
        </w:rPr>
        <w:t>本文件由</w:t>
      </w:r>
      <w:r>
        <w:rPr>
          <w:rFonts w:hint="eastAsia"/>
        </w:rPr>
        <w:t>吉安市绿色农产品促进会</w:t>
      </w:r>
      <w:r>
        <w:rPr>
          <w:rFonts w:hint="eastAsia"/>
          <w:lang w:val="en-US" w:eastAsia="zh-CN"/>
        </w:rPr>
        <w:t>提出并归口。</w:t>
      </w:r>
    </w:p>
    <w:p>
      <w:pPr>
        <w:pStyle w:val="24"/>
        <w:bidi w:val="0"/>
        <w:rPr>
          <w:rFonts w:hint="eastAsia" w:eastAsia="宋体"/>
          <w:lang w:val="en-US" w:eastAsia="zh-CN"/>
        </w:rPr>
      </w:pPr>
      <w:r>
        <w:rPr>
          <w:rFonts w:hint="eastAsia"/>
          <w:lang w:val="en-US" w:eastAsia="zh-CN"/>
        </w:rPr>
        <w:t>本文件起草单位：</w:t>
      </w:r>
    </w:p>
    <w:p>
      <w:pPr>
        <w:pStyle w:val="24"/>
        <w:bidi w:val="0"/>
        <w:rPr>
          <w:rFonts w:hint="eastAsia"/>
          <w:lang w:val="en-US" w:eastAsia="zh-CN"/>
        </w:rPr>
      </w:pPr>
      <w:r>
        <w:rPr>
          <w:rFonts w:hint="eastAsia"/>
          <w:lang w:val="en-US" w:eastAsia="zh-CN"/>
        </w:rPr>
        <w:t>本文件主要起草人：</w:t>
      </w:r>
    </w:p>
    <w:p>
      <w:pPr>
        <w:pStyle w:val="24"/>
        <w:bidi w:val="0"/>
        <w:rPr>
          <w:rFonts w:hint="eastAsia"/>
          <w:lang w:val="en-US" w:eastAsia="zh-CN"/>
        </w:rPr>
      </w:pPr>
    </w:p>
    <w:bookmarkEnd w:id="20"/>
    <w:p>
      <w:pPr>
        <w:rPr>
          <w:rFonts w:hint="eastAsia"/>
          <w:lang w:val="en-US" w:eastAsia="zh-CN"/>
        </w:rPr>
      </w:pPr>
    </w:p>
    <w:p>
      <w:pPr>
        <w:rPr>
          <w:rFonts w:hint="eastAsia"/>
          <w:lang w:val="en-US" w:eastAsia="zh-CN"/>
        </w:rPr>
      </w:pPr>
    </w:p>
    <w:p>
      <w:pPr>
        <w:rPr>
          <w:rFonts w:hint="eastAsia"/>
          <w:lang w:val="en-US" w:eastAsia="zh-CN"/>
        </w:rPr>
        <w:sectPr>
          <w:headerReference r:id="rId4" w:type="default"/>
          <w:footerReference r:id="rId5" w:type="default"/>
          <w:footerReference r:id="rId6" w:type="even"/>
          <w:pgSz w:w="11906" w:h="16838"/>
          <w:pgMar w:top="2410" w:right="1134" w:bottom="1134" w:left="1134" w:header="1418" w:footer="1134" w:gutter="284"/>
          <w:lnNumType w:countBy="0" w:restart="continuous"/>
          <w:pgNumType w:fmt="upperRoman" w:start="1"/>
          <w:cols w:space="425" w:num="1"/>
          <w:docGrid w:type="lines" w:linePitch="312" w:charSpace="0"/>
        </w:sectPr>
      </w:pPr>
    </w:p>
    <w:sdt>
      <w:sdtPr>
        <w:rPr>
          <w:rStyle w:val="119"/>
          <w:rFonts w:hint="eastAsia"/>
          <w:lang w:val="en-US" w:eastAsia="zh-CN"/>
        </w:rPr>
        <w:tag w:val="StandardName"/>
        <w:id w:val="147457484"/>
        <w:lock w:val="sdtLocked"/>
        <w:placeholder>
          <w:docPart w:val="{dc198fea-d184-4aa6-8509-aaf3d889285d}"/>
        </w:placeholder>
      </w:sdtPr>
      <w:sdtEndPr>
        <w:rPr>
          <w:rStyle w:val="119"/>
          <w:rFonts w:hint="eastAsia"/>
          <w:lang w:val="en-US" w:eastAsia="zh-CN"/>
        </w:rPr>
      </w:sdtEndPr>
      <w:sdtContent>
        <w:p>
          <w:pPr>
            <w:pStyle w:val="55"/>
            <w:bidi w:val="0"/>
            <w:rPr>
              <w:rStyle w:val="119"/>
              <w:rFonts w:hint="eastAsia"/>
              <w:lang w:val="en-US" w:eastAsia="zh-CN"/>
            </w:rPr>
          </w:pPr>
          <w:bookmarkStart w:id="21" w:name="StandardName"/>
          <w:r>
            <w:rPr>
              <w:rStyle w:val="119"/>
              <w:rFonts w:hint="eastAsia"/>
              <w:lang w:val="en-US" w:eastAsia="zh-CN"/>
            </w:rPr>
            <w:t>井冈山白莲加工技术规程</w:t>
          </w:r>
          <w:bookmarkEnd w:id="21"/>
        </w:p>
      </w:sdtContent>
    </w:sdt>
    <w:p>
      <w:pPr>
        <w:pStyle w:val="71"/>
        <w:bidi w:val="0"/>
        <w:rPr>
          <w:rStyle w:val="119"/>
          <w:rFonts w:hint="eastAsia"/>
          <w:lang w:val="en-US" w:eastAsia="zh-CN"/>
        </w:rPr>
      </w:pPr>
      <w:bookmarkStart w:id="22" w:name="_Toc8541"/>
      <w:r>
        <w:rPr>
          <w:rFonts w:hint="eastAsia"/>
          <w:lang w:val="en-US" w:eastAsia="zh-CN"/>
        </w:rPr>
        <w:t>范围</w:t>
      </w:r>
      <w:bookmarkEnd w:id="22"/>
    </w:p>
    <w:p>
      <w:pPr>
        <w:pStyle w:val="24"/>
        <w:rPr>
          <w:rFonts w:hint="eastAsia"/>
          <w:lang w:val="en-US" w:eastAsia="zh-CN"/>
        </w:rPr>
      </w:pPr>
      <w:r>
        <w:rPr>
          <w:rFonts w:hint="eastAsia"/>
          <w:lang w:val="en-US" w:eastAsia="zh-CN"/>
        </w:rPr>
        <w:t>本文件规定了井冈山白莲加工的术语和定义、原料要求、加工条件、加工工艺、包装、运输和贮存、质量管理。</w:t>
      </w:r>
    </w:p>
    <w:p>
      <w:pPr>
        <w:pStyle w:val="24"/>
        <w:rPr>
          <w:rFonts w:hint="eastAsia"/>
          <w:lang w:val="en-US" w:eastAsia="zh-CN"/>
        </w:rPr>
      </w:pPr>
      <w:r>
        <w:rPr>
          <w:rFonts w:hint="eastAsia"/>
          <w:lang w:val="en-US" w:eastAsia="zh-CN"/>
        </w:rPr>
        <w:t>本文件适用于吉安市行政区域范围内白莲的加工。</w:t>
      </w:r>
    </w:p>
    <w:p>
      <w:pPr>
        <w:pStyle w:val="71"/>
        <w:bidi w:val="0"/>
        <w:rPr>
          <w:rFonts w:hint="eastAsia"/>
          <w:lang w:val="en-US" w:eastAsia="zh-CN"/>
        </w:rPr>
      </w:pPr>
      <w:bookmarkStart w:id="23" w:name="_Toc30434"/>
      <w:r>
        <w:rPr>
          <w:rFonts w:hint="eastAsia"/>
          <w:lang w:val="en-US" w:eastAsia="zh-CN"/>
        </w:rPr>
        <w:t>规范性引用文件</w:t>
      </w:r>
      <w:bookmarkEnd w:id="23"/>
    </w:p>
    <w:sdt>
      <w:sdtPr>
        <w:rPr>
          <w:rFonts w:hint="eastAsia" w:ascii="宋体" w:hAnsi="Times New Roman" w:eastAsia="宋体" w:cs="宋体"/>
          <w:sz w:val="21"/>
          <w:lang w:val="en-US" w:eastAsia="zh-CN"/>
        </w:rPr>
        <w:tag w:val="StandNameFile"/>
        <w:id w:val="147458581"/>
        <w:placeholder>
          <w:docPart w:val="{e43a72de-6420-4734-a0dc-b6c3f8f378bc}"/>
        </w:placeholder>
        <w:comboBox>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comboBox>
      </w:sdtPr>
      <w:sdtEndPr>
        <w:rPr>
          <w:rFonts w:hint="eastAsia" w:ascii="宋体" w:hAnsi="Times New Roman" w:eastAsia="宋体" w:cs="宋体"/>
          <w:sz w:val="21"/>
          <w:lang w:val="en-US" w:eastAsia="zh-CN"/>
        </w:rPr>
      </w:sdtEndPr>
      <w:sdtContent>
        <w:p>
          <w:pPr>
            <w:pStyle w:val="24"/>
            <w:bidi w:val="0"/>
            <w:rPr>
              <w:rFonts w:hint="eastAsia" w:ascii="宋体" w:hAnsi="Times New Roman" w:eastAsia="宋体" w:cs="宋体"/>
              <w:sz w:val="21"/>
              <w:lang w:val="en-US" w:eastAsia="zh-CN"/>
            </w:rPr>
          </w:pPr>
          <w:r>
            <w:rPr>
              <w:rFonts w:hint="eastAsia" w:ascii="宋体" w:hAnsi="Times New Roman" w:eastAsia="宋体" w:cs="宋体"/>
              <w:sz w:val="21"/>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24"/>
        <w:bidi w:val="0"/>
        <w:rPr>
          <w:rFonts w:hint="eastAsia" w:ascii="宋体" w:hAnsi="Times New Roman" w:eastAsia="宋体" w:cs="宋体"/>
          <w:sz w:val="21"/>
          <w:highlight w:val="none"/>
          <w:lang w:val="en-US" w:eastAsia="zh-CN"/>
        </w:rPr>
      </w:pPr>
      <w:bookmarkStart w:id="24" w:name="_Toc5700"/>
      <w:r>
        <w:rPr>
          <w:rFonts w:hint="eastAsia" w:ascii="宋体" w:hAnsi="Times New Roman" w:eastAsia="宋体" w:cs="宋体"/>
          <w:sz w:val="21"/>
          <w:highlight w:val="none"/>
          <w:lang w:val="en-US" w:eastAsia="zh-CN"/>
        </w:rPr>
        <w:t xml:space="preserve">GB 28050 </w:t>
      </w:r>
      <w:r>
        <w:rPr>
          <w:rFonts w:hint="eastAsia" w:cs="宋体"/>
          <w:sz w:val="21"/>
          <w:highlight w:val="none"/>
          <w:lang w:val="en-US" w:eastAsia="zh-CN"/>
        </w:rPr>
        <w:t xml:space="preserve"> </w:t>
      </w:r>
      <w:r>
        <w:rPr>
          <w:rFonts w:hint="eastAsia" w:ascii="宋体" w:hAnsi="Times New Roman" w:eastAsia="宋体" w:cs="宋体"/>
          <w:sz w:val="21"/>
          <w:highlight w:val="none"/>
          <w:lang w:val="en-US" w:eastAsia="zh-CN"/>
        </w:rPr>
        <w:t>食品安全国家标准 预包装食品营养标签通则</w:t>
      </w:r>
    </w:p>
    <w:p>
      <w:pPr>
        <w:pStyle w:val="24"/>
        <w:bidi w:val="0"/>
        <w:rPr>
          <w:rFonts w:hint="eastAsia" w:ascii="宋体" w:hAnsi="Times New Roman" w:eastAsia="宋体" w:cs="宋体"/>
          <w:sz w:val="21"/>
          <w:highlight w:val="none"/>
          <w:lang w:val="en-US" w:eastAsia="zh-CN"/>
        </w:rPr>
      </w:pPr>
      <w:r>
        <w:rPr>
          <w:rFonts w:hint="eastAsia" w:ascii="宋体" w:hAnsi="Times New Roman" w:eastAsia="宋体" w:cs="宋体"/>
          <w:sz w:val="21"/>
          <w:highlight w:val="none"/>
          <w:lang w:val="en-US" w:eastAsia="zh-CN"/>
        </w:rPr>
        <w:t>GB 4806.1</w:t>
      </w:r>
      <w:r>
        <w:rPr>
          <w:rFonts w:hint="eastAsia" w:cs="宋体"/>
          <w:sz w:val="21"/>
          <w:highlight w:val="none"/>
          <w:lang w:val="en-US" w:eastAsia="zh-CN"/>
        </w:rPr>
        <w:t xml:space="preserve"> </w:t>
      </w:r>
      <w:r>
        <w:rPr>
          <w:rFonts w:hint="eastAsia" w:ascii="宋体" w:hAnsi="Times New Roman" w:eastAsia="宋体" w:cs="宋体"/>
          <w:sz w:val="21"/>
          <w:highlight w:val="none"/>
          <w:lang w:val="en-US" w:eastAsia="zh-CN"/>
        </w:rPr>
        <w:t xml:space="preserve"> 食品安全国家标准</w:t>
      </w:r>
      <w:r>
        <w:rPr>
          <w:rFonts w:hint="eastAsia" w:cs="宋体"/>
          <w:sz w:val="21"/>
          <w:highlight w:val="none"/>
          <w:lang w:val="en-US" w:eastAsia="zh-CN"/>
        </w:rPr>
        <w:t xml:space="preserve"> </w:t>
      </w:r>
      <w:r>
        <w:rPr>
          <w:rFonts w:hint="eastAsia" w:ascii="宋体" w:hAnsi="Times New Roman" w:eastAsia="宋体" w:cs="宋体"/>
          <w:sz w:val="21"/>
          <w:highlight w:val="none"/>
          <w:lang w:val="en-US" w:eastAsia="zh-CN"/>
        </w:rPr>
        <w:t xml:space="preserve"> 食品接触材料及制品通用安全要求</w:t>
      </w:r>
    </w:p>
    <w:p>
      <w:pPr>
        <w:pStyle w:val="24"/>
        <w:bidi w:val="0"/>
        <w:rPr>
          <w:rFonts w:hint="eastAsia" w:ascii="宋体" w:hAnsi="Times New Roman" w:eastAsia="宋体" w:cs="宋体"/>
          <w:sz w:val="21"/>
          <w:highlight w:val="none"/>
          <w:lang w:val="en-US" w:eastAsia="zh-CN"/>
        </w:rPr>
      </w:pPr>
      <w:r>
        <w:rPr>
          <w:rFonts w:hint="eastAsia" w:ascii="宋体" w:hAnsi="Times New Roman" w:eastAsia="宋体" w:cs="宋体"/>
          <w:sz w:val="21"/>
          <w:highlight w:val="none"/>
          <w:lang w:val="en-US" w:eastAsia="zh-CN"/>
        </w:rPr>
        <w:t>GB 4806.7  食品安全国家标准  食品接触用塑料材料及制品</w:t>
      </w:r>
    </w:p>
    <w:p>
      <w:pPr>
        <w:pStyle w:val="24"/>
        <w:bidi w:val="0"/>
        <w:rPr>
          <w:rFonts w:hint="default" w:ascii="宋体" w:hAnsi="Times New Roman" w:eastAsia="宋体" w:cs="宋体"/>
          <w:sz w:val="21"/>
          <w:highlight w:val="none"/>
          <w:lang w:val="en-US" w:eastAsia="zh-CN"/>
        </w:rPr>
      </w:pPr>
      <w:r>
        <w:rPr>
          <w:rFonts w:hint="eastAsia" w:cs="宋体"/>
          <w:sz w:val="21"/>
          <w:highlight w:val="none"/>
          <w:lang w:val="en-US" w:eastAsia="zh-CN"/>
        </w:rPr>
        <w:t>GB 5749  生活饮用水卫生标准</w:t>
      </w:r>
    </w:p>
    <w:p>
      <w:pPr>
        <w:pStyle w:val="24"/>
        <w:bidi w:val="0"/>
        <w:rPr>
          <w:rFonts w:hint="eastAsia" w:ascii="宋体" w:hAnsi="Times New Roman" w:eastAsia="宋体" w:cs="宋体"/>
          <w:sz w:val="21"/>
          <w:highlight w:val="none"/>
          <w:lang w:val="en-US" w:eastAsia="zh-CN"/>
        </w:rPr>
      </w:pPr>
      <w:r>
        <w:rPr>
          <w:rFonts w:hint="eastAsia" w:ascii="宋体" w:hAnsi="Times New Roman" w:eastAsia="宋体" w:cs="宋体"/>
          <w:sz w:val="21"/>
          <w:highlight w:val="none"/>
          <w:lang w:val="en-US" w:eastAsia="zh-CN"/>
        </w:rPr>
        <w:t>GB/T 5737  食品塑料周转箱</w:t>
      </w:r>
    </w:p>
    <w:p>
      <w:pPr>
        <w:pStyle w:val="24"/>
        <w:bidi w:val="0"/>
        <w:rPr>
          <w:rFonts w:hint="default"/>
          <w:highlight w:val="none"/>
          <w:lang w:val="en-US" w:eastAsia="zh-CN"/>
        </w:rPr>
      </w:pPr>
      <w:bookmarkStart w:id="25" w:name="_Hlk103956065"/>
      <w:r>
        <w:rPr>
          <w:rFonts w:hint="eastAsia"/>
          <w:highlight w:val="none"/>
          <w:lang w:val="en-US" w:eastAsia="zh-CN"/>
        </w:rPr>
        <w:t>GB 7718  食品安全国家标准 预包装食品标签通则</w:t>
      </w:r>
    </w:p>
    <w:p>
      <w:pPr>
        <w:pStyle w:val="24"/>
        <w:bidi w:val="0"/>
        <w:rPr>
          <w:rFonts w:hint="default"/>
          <w:highlight w:val="none"/>
          <w:lang w:val="en-US" w:eastAsia="zh-CN"/>
        </w:rPr>
      </w:pPr>
      <w:r>
        <w:rPr>
          <w:rFonts w:hint="eastAsia"/>
          <w:highlight w:val="none"/>
          <w:lang w:val="en-US" w:eastAsia="zh-CN"/>
        </w:rPr>
        <w:t>GB 14881  食品安全国家标准 食品生产通用卫生规范</w:t>
      </w:r>
    </w:p>
    <w:p>
      <w:pPr>
        <w:pStyle w:val="24"/>
        <w:bidi w:val="0"/>
        <w:rPr>
          <w:rFonts w:hint="eastAsia" w:ascii="宋体" w:hAnsi="Times New Roman" w:eastAsia="宋体" w:cs="宋体"/>
          <w:sz w:val="21"/>
          <w:highlight w:val="none"/>
          <w:lang w:val="en-US" w:eastAsia="zh-CN"/>
        </w:rPr>
      </w:pPr>
      <w:r>
        <w:rPr>
          <w:rFonts w:hint="eastAsia" w:ascii="宋体" w:hAnsi="Times New Roman" w:eastAsia="宋体" w:cs="宋体"/>
          <w:sz w:val="21"/>
          <w:highlight w:val="none"/>
          <w:lang w:val="en-US" w:eastAsia="zh-CN"/>
        </w:rPr>
        <w:t xml:space="preserve">GB/T 19630  有机产品  生产、加工、标识与管理体系要求 </w:t>
      </w:r>
      <w:bookmarkEnd w:id="25"/>
    </w:p>
    <w:p>
      <w:pPr>
        <w:pStyle w:val="24"/>
        <w:bidi w:val="0"/>
        <w:rPr>
          <w:rFonts w:hint="eastAsia" w:ascii="宋体" w:hAnsi="Times New Roman" w:eastAsia="宋体" w:cs="宋体"/>
          <w:sz w:val="21"/>
          <w:highlight w:val="none"/>
          <w:lang w:val="en-US" w:eastAsia="zh-CN"/>
        </w:rPr>
      </w:pPr>
      <w:r>
        <w:rPr>
          <w:rFonts w:hint="eastAsia" w:ascii="宋体" w:hAnsi="Times New Roman" w:eastAsia="宋体" w:cs="宋体"/>
          <w:sz w:val="21"/>
          <w:highlight w:val="none"/>
          <w:lang w:val="en-US" w:eastAsia="zh-CN"/>
        </w:rPr>
        <w:t xml:space="preserve">GB 31621 </w:t>
      </w:r>
      <w:r>
        <w:rPr>
          <w:rFonts w:hint="eastAsia" w:cs="宋体"/>
          <w:sz w:val="21"/>
          <w:highlight w:val="none"/>
          <w:lang w:val="en-US" w:eastAsia="zh-CN"/>
        </w:rPr>
        <w:t xml:space="preserve"> </w:t>
      </w:r>
      <w:r>
        <w:rPr>
          <w:rFonts w:hint="eastAsia" w:ascii="宋体" w:hAnsi="Times New Roman" w:eastAsia="宋体" w:cs="宋体"/>
          <w:sz w:val="21"/>
          <w:highlight w:val="none"/>
          <w:lang w:val="en-US" w:eastAsia="zh-CN"/>
        </w:rPr>
        <w:t>食品安全国家标准 食品经营过程卫生规范</w:t>
      </w:r>
    </w:p>
    <w:p>
      <w:pPr>
        <w:pStyle w:val="24"/>
        <w:bidi w:val="0"/>
        <w:rPr>
          <w:rFonts w:hint="default" w:ascii="宋体" w:hAnsi="Times New Roman" w:eastAsia="宋体" w:cs="宋体"/>
          <w:sz w:val="21"/>
          <w:highlight w:val="none"/>
          <w:lang w:val="en-US" w:eastAsia="zh-CN"/>
        </w:rPr>
      </w:pPr>
      <w:r>
        <w:rPr>
          <w:rFonts w:hint="eastAsia" w:ascii="宋体" w:hAnsi="Times New Roman" w:eastAsia="宋体" w:cs="宋体"/>
          <w:sz w:val="21"/>
          <w:highlight w:val="none"/>
          <w:lang w:val="en-US" w:eastAsia="zh-CN"/>
        </w:rPr>
        <w:t>NY/T 1042</w:t>
      </w:r>
      <w:r>
        <w:rPr>
          <w:rFonts w:hint="eastAsia" w:cs="宋体"/>
          <w:sz w:val="21"/>
          <w:highlight w:val="none"/>
          <w:lang w:val="en-US" w:eastAsia="zh-CN"/>
        </w:rPr>
        <w:t xml:space="preserve"> </w:t>
      </w:r>
      <w:r>
        <w:rPr>
          <w:rFonts w:hint="eastAsia" w:ascii="宋体" w:hAnsi="Times New Roman" w:eastAsia="宋体" w:cs="宋体"/>
          <w:sz w:val="21"/>
          <w:highlight w:val="none"/>
          <w:lang w:val="en-US" w:eastAsia="zh-CN"/>
        </w:rPr>
        <w:t xml:space="preserve"> 绿色食品 坚果</w:t>
      </w:r>
    </w:p>
    <w:p>
      <w:pPr>
        <w:pStyle w:val="71"/>
        <w:bidi w:val="0"/>
        <w:rPr>
          <w:rFonts w:hint="eastAsia" w:ascii="宋体" w:hAnsi="Times New Roman" w:eastAsia="宋体" w:cs="宋体"/>
          <w:lang w:val="en-US" w:eastAsia="zh-CN"/>
        </w:rPr>
      </w:pPr>
      <w:r>
        <w:rPr>
          <w:rFonts w:hint="eastAsia"/>
          <w:lang w:val="en-US" w:eastAsia="zh-CN"/>
        </w:rPr>
        <w:t>术语和定义</w:t>
      </w:r>
      <w:bookmarkEnd w:id="24"/>
    </w:p>
    <w:sdt>
      <w:sdtPr>
        <w:rPr>
          <w:rFonts w:hint="eastAsia" w:ascii="宋体" w:hAnsi="Times New Roman" w:eastAsia="宋体" w:cs="宋体"/>
          <w:sz w:val="21"/>
          <w:lang w:val="en-US" w:eastAsia="zh-CN"/>
        </w:rPr>
        <w:tag w:val="TermContent"/>
        <w:id w:val="147453675"/>
        <w:placeholder>
          <w:docPart w:val="{a2b934e1-4e69-4b3d-b344-351c81d94b3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ascii="宋体" w:hAnsi="Times New Roman" w:eastAsia="宋体" w:cs="宋体"/>
          <w:sz w:val="21"/>
          <w:lang w:val="en-US" w:eastAsia="zh-CN"/>
        </w:rPr>
      </w:sdtEndPr>
      <w:sdtContent>
        <w:p>
          <w:pPr>
            <w:pStyle w:val="24"/>
            <w:rPr>
              <w:rFonts w:hint="eastAsia"/>
              <w:lang w:val="en-US" w:eastAsia="zh-CN"/>
            </w:rPr>
          </w:pPr>
          <w:r>
            <w:rPr>
              <w:rFonts w:hint="eastAsia" w:ascii="宋体" w:hAnsi="Times New Roman" w:eastAsia="宋体" w:cs="宋体"/>
              <w:sz w:val="21"/>
              <w:lang w:val="en-US" w:eastAsia="zh-CN"/>
            </w:rPr>
            <w:t>下列术语和定义适用于本文件。</w:t>
          </w:r>
        </w:p>
      </w:sdtContent>
    </w:sdt>
    <w:p>
      <w:pPr>
        <w:pStyle w:val="24"/>
        <w:rPr>
          <w:rFonts w:hint="eastAsia"/>
          <w:lang w:val="en-US" w:eastAsia="zh-CN"/>
        </w:rPr>
      </w:pPr>
    </w:p>
    <w:p>
      <w:pPr>
        <w:pStyle w:val="82"/>
        <w:bidi w:val="0"/>
        <w:spacing w:after="0" w:afterLines="0"/>
        <w:ind w:left="420" w:hanging="420" w:hangingChars="200"/>
        <w:rPr>
          <w:rFonts w:hint="eastAsia" w:ascii="黑体" w:hAnsi="黑体" w:eastAsia="黑体" w:cs="黑体"/>
          <w:lang w:val="en-US" w:eastAsia="zh-CN"/>
        </w:rPr>
      </w:pPr>
    </w:p>
    <w:p>
      <w:pPr>
        <w:pStyle w:val="82"/>
        <w:numPr>
          <w:ilvl w:val="1"/>
          <w:numId w:val="0"/>
        </w:numPr>
        <w:bidi w:val="0"/>
        <w:spacing w:after="0" w:afterLines="0"/>
        <w:ind w:leftChars="-200" w:firstLine="840" w:firstLineChars="400"/>
        <w:rPr>
          <w:rFonts w:hint="default" w:ascii="黑体" w:hAnsi="黑体" w:eastAsia="黑体" w:cs="黑体"/>
          <w:lang w:val="en-US" w:eastAsia="zh-CN"/>
        </w:rPr>
      </w:pPr>
      <w:r>
        <w:rPr>
          <w:rFonts w:hint="eastAsia" w:cs="黑体"/>
          <w:lang w:val="en-US" w:eastAsia="zh-CN"/>
        </w:rPr>
        <w:t>井冈山白莲 Jinggangshan white lotus seed</w:t>
      </w:r>
      <w:bookmarkStart w:id="40" w:name="_GoBack"/>
      <w:bookmarkEnd w:id="40"/>
    </w:p>
    <w:p>
      <w:pPr>
        <w:pStyle w:val="24"/>
        <w:bidi w:val="0"/>
        <w:rPr>
          <w:rFonts w:hint="eastAsia" w:cs="宋体"/>
          <w:sz w:val="21"/>
          <w:lang w:val="en-US" w:eastAsia="zh-CN"/>
        </w:rPr>
      </w:pPr>
      <w:r>
        <w:rPr>
          <w:rFonts w:hint="eastAsia" w:cs="宋体"/>
          <w:sz w:val="21"/>
          <w:lang w:val="en-US" w:eastAsia="zh-CN"/>
        </w:rPr>
        <w:t>以吉安市行政区域范围内种植的鲜白莲为原料，按照特定加工工艺制作而成的干莲子，符合本文件要求，并经“井冈山®”商标持有人授权的白莲。</w:t>
      </w:r>
    </w:p>
    <w:p>
      <w:pPr>
        <w:pStyle w:val="24"/>
        <w:bidi w:val="0"/>
        <w:rPr>
          <w:rFonts w:hint="eastAsia" w:ascii="宋体" w:hAnsi="Times New Roman" w:eastAsia="宋体" w:cs="宋体"/>
          <w:sz w:val="21"/>
          <w:lang w:val="en-US" w:eastAsia="zh-CN"/>
        </w:rPr>
      </w:pPr>
      <w:r>
        <w:rPr>
          <w:rFonts w:hint="eastAsia" w:ascii="宋体" w:hAnsi="Times New Roman" w:eastAsia="宋体" w:cs="宋体"/>
          <w:sz w:val="21"/>
          <w:lang w:val="en-US" w:eastAsia="zh-CN"/>
        </w:rPr>
        <w:t>井冈山</w:t>
      </w:r>
      <w:r>
        <w:rPr>
          <w:rFonts w:hint="eastAsia" w:cs="宋体"/>
          <w:sz w:val="21"/>
          <w:lang w:val="en-US" w:eastAsia="zh-CN"/>
        </w:rPr>
        <w:t>白莲</w:t>
      </w:r>
      <w:r>
        <w:rPr>
          <w:rFonts w:hint="eastAsia" w:ascii="宋体" w:hAnsi="Times New Roman" w:eastAsia="宋体" w:cs="宋体"/>
          <w:sz w:val="21"/>
          <w:lang w:val="en-US" w:eastAsia="zh-CN"/>
        </w:rPr>
        <w:t>生产区域范围见附录A。</w:t>
      </w:r>
    </w:p>
    <w:p>
      <w:pPr>
        <w:pStyle w:val="71"/>
      </w:pPr>
      <w:bookmarkStart w:id="26" w:name="_Toc20283"/>
      <w:r>
        <w:rPr>
          <w:rFonts w:hint="eastAsia"/>
          <w:lang w:val="en-US" w:eastAsia="zh-CN"/>
        </w:rPr>
        <w:t>原料</w:t>
      </w:r>
      <w:r>
        <w:rPr>
          <w:rFonts w:hint="default"/>
        </w:rPr>
        <w:t>要求</w:t>
      </w:r>
      <w:bookmarkEnd w:id="26"/>
    </w:p>
    <w:p>
      <w:pPr>
        <w:pStyle w:val="72"/>
        <w:bidi w:val="0"/>
        <w:rPr>
          <w:rFonts w:hint="default"/>
        </w:rPr>
      </w:pPr>
      <w:r>
        <w:rPr>
          <w:rFonts w:hint="default"/>
          <w:lang w:val="en-US" w:eastAsia="zh-CN"/>
        </w:rPr>
        <w:t>采摘时间</w:t>
      </w:r>
    </w:p>
    <w:p>
      <w:pPr>
        <w:pStyle w:val="24"/>
        <w:ind w:firstLine="960"/>
        <w:rPr>
          <w:rFonts w:hint="default"/>
          <w:lang w:val="en-US"/>
        </w:rPr>
      </w:pPr>
      <w:r>
        <w:rPr>
          <w:rFonts w:hint="eastAsia"/>
          <w:lang w:val="en-US" w:eastAsia="zh-CN"/>
        </w:rPr>
        <w:t>每年7月初至9月下旬，莲蓬呈绿褐色，莲壳呈浅灰褪色时采收，采收时间一般在清晨或傍晚。</w:t>
      </w:r>
    </w:p>
    <w:p>
      <w:pPr>
        <w:pStyle w:val="72"/>
        <w:bidi w:val="0"/>
        <w:rPr>
          <w:rFonts w:hint="default"/>
          <w:lang w:val="en-US" w:eastAsia="zh-CN"/>
        </w:rPr>
      </w:pPr>
      <w:r>
        <w:rPr>
          <w:rFonts w:hint="default"/>
          <w:lang w:val="en-US" w:eastAsia="zh-CN"/>
        </w:rPr>
        <w:t>采摘方法</w:t>
      </w:r>
    </w:p>
    <w:p>
      <w:pPr>
        <w:pStyle w:val="24"/>
        <w:ind w:firstLine="960"/>
        <w:rPr>
          <w:rFonts w:hint="default"/>
          <w:lang w:val="en-US"/>
        </w:rPr>
      </w:pPr>
      <w:r>
        <w:rPr>
          <w:rFonts w:hint="eastAsia"/>
          <w:lang w:val="en-US" w:eastAsia="zh-CN"/>
        </w:rPr>
        <w:t>以手工采摘为主，采收的莲蓬应将莲蓬面向上，堆放在地上或箩筐内，并及时运到阴凉处，用于加工。</w:t>
      </w:r>
    </w:p>
    <w:p>
      <w:pPr>
        <w:pStyle w:val="71"/>
        <w:bidi w:val="0"/>
        <w:rPr>
          <w:rFonts w:hint="default"/>
        </w:rPr>
      </w:pPr>
      <w:bookmarkStart w:id="27" w:name="_Toc14896"/>
      <w:r>
        <w:rPr>
          <w:rFonts w:hint="default"/>
        </w:rPr>
        <w:t>加工条件</w:t>
      </w:r>
      <w:bookmarkEnd w:id="27"/>
    </w:p>
    <w:p>
      <w:pPr>
        <w:pStyle w:val="72"/>
        <w:bidi w:val="0"/>
        <w:rPr>
          <w:rFonts w:hint="default"/>
          <w:lang w:val="en-US" w:eastAsia="zh-CN"/>
        </w:rPr>
      </w:pPr>
      <w:r>
        <w:rPr>
          <w:rFonts w:hint="default"/>
          <w:lang w:val="en-US" w:eastAsia="zh-CN"/>
        </w:rPr>
        <w:t>加工场所</w:t>
      </w:r>
    </w:p>
    <w:p>
      <w:pPr>
        <w:pStyle w:val="78"/>
        <w:bidi w:val="0"/>
        <w:spacing w:before="0" w:beforeLines="0" w:after="0" w:afterLines="0"/>
        <w:rPr>
          <w:rFonts w:hint="default"/>
          <w:lang w:val="en-US" w:eastAsia="zh-CN"/>
        </w:rPr>
      </w:pPr>
      <w:r>
        <w:rPr>
          <w:rFonts w:hint="eastAsia"/>
          <w:lang w:val="en-US" w:eastAsia="zh-CN"/>
        </w:rPr>
        <w:t>应符合GB 14881的规定，</w:t>
      </w:r>
      <w:r>
        <w:rPr>
          <w:rFonts w:hint="default"/>
          <w:lang w:val="en-US" w:eastAsia="zh-CN"/>
        </w:rPr>
        <w:t>远离污染源，交通便利。厂房布局合理，</w:t>
      </w:r>
      <w:r>
        <w:rPr>
          <w:rFonts w:hint="eastAsia"/>
          <w:highlight w:val="none"/>
          <w:lang w:val="en-US" w:eastAsia="zh-CN"/>
        </w:rPr>
        <w:t>存放</w:t>
      </w:r>
      <w:r>
        <w:rPr>
          <w:rFonts w:hint="default"/>
          <w:highlight w:val="none"/>
          <w:lang w:val="en-US" w:eastAsia="zh-CN"/>
        </w:rPr>
        <w:t>区、</w:t>
      </w:r>
      <w:r>
        <w:rPr>
          <w:rFonts w:hint="default"/>
          <w:lang w:val="en-US" w:eastAsia="zh-CN"/>
        </w:rPr>
        <w:t>加工区、包装区应相互隔离，避免交叉污染。</w:t>
      </w:r>
    </w:p>
    <w:p>
      <w:pPr>
        <w:pStyle w:val="78"/>
        <w:bidi w:val="0"/>
        <w:spacing w:before="0" w:beforeLines="0" w:after="0" w:afterLines="0"/>
        <w:rPr>
          <w:rFonts w:hint="default"/>
        </w:rPr>
      </w:pPr>
      <w:r>
        <w:rPr>
          <w:rFonts w:hint="default"/>
          <w:lang w:val="en-US" w:eastAsia="zh-CN"/>
        </w:rPr>
        <w:t>配备完善的卫生设施，如更衣间、洗手池、防蝇鼠措施等。</w:t>
      </w:r>
    </w:p>
    <w:p>
      <w:pPr>
        <w:pStyle w:val="72"/>
        <w:bidi w:val="0"/>
        <w:rPr>
          <w:rFonts w:hint="default"/>
          <w:lang w:val="en-US" w:eastAsia="zh-CN"/>
        </w:rPr>
      </w:pPr>
      <w:r>
        <w:rPr>
          <w:rFonts w:hint="default"/>
          <w:lang w:val="en-US" w:eastAsia="zh-CN"/>
        </w:rPr>
        <w:t>设施与设备</w:t>
      </w:r>
    </w:p>
    <w:p>
      <w:pPr>
        <w:pStyle w:val="78"/>
        <w:bidi w:val="0"/>
        <w:spacing w:before="0" w:beforeLines="0" w:after="0" w:afterLines="0"/>
        <w:rPr>
          <w:rFonts w:hint="default"/>
          <w:highlight w:val="none"/>
          <w:lang w:val="en-US" w:eastAsia="zh-CN"/>
        </w:rPr>
      </w:pPr>
      <w:r>
        <w:rPr>
          <w:rFonts w:hint="default"/>
          <w:highlight w:val="none"/>
          <w:lang w:val="en-US" w:eastAsia="zh-CN"/>
        </w:rPr>
        <w:t>应具备烘干机等加工设备，以及必要的辅助设备。</w:t>
      </w:r>
    </w:p>
    <w:p>
      <w:pPr>
        <w:pStyle w:val="78"/>
        <w:bidi w:val="0"/>
        <w:spacing w:before="0" w:beforeLines="0" w:after="0" w:afterLines="0"/>
        <w:rPr>
          <w:rFonts w:hint="default"/>
          <w:highlight w:val="none"/>
          <w:lang w:val="en-US" w:eastAsia="zh-CN"/>
        </w:rPr>
      </w:pPr>
      <w:r>
        <w:rPr>
          <w:rFonts w:hint="default"/>
          <w:highlight w:val="none"/>
          <w:lang w:val="en-US" w:eastAsia="zh-CN"/>
        </w:rPr>
        <w:t>设备材质应符合食品安全要求，禁用铅、铝合金接触</w:t>
      </w:r>
      <w:r>
        <w:rPr>
          <w:rFonts w:hint="eastAsia"/>
          <w:highlight w:val="none"/>
          <w:lang w:val="en-US" w:eastAsia="zh-CN"/>
        </w:rPr>
        <w:t>莲子</w:t>
      </w:r>
      <w:r>
        <w:rPr>
          <w:rFonts w:hint="default"/>
          <w:highlight w:val="none"/>
          <w:lang w:val="en-US" w:eastAsia="zh-CN"/>
        </w:rPr>
        <w:t>，推荐使用不锈钢、竹制工具。</w:t>
      </w:r>
    </w:p>
    <w:p>
      <w:pPr>
        <w:pStyle w:val="78"/>
        <w:bidi w:val="0"/>
        <w:spacing w:before="0" w:beforeLines="0" w:after="0" w:afterLines="0"/>
        <w:rPr>
          <w:rFonts w:hint="default"/>
          <w:highlight w:val="none"/>
        </w:rPr>
      </w:pPr>
      <w:r>
        <w:rPr>
          <w:rFonts w:hint="default"/>
          <w:highlight w:val="none"/>
          <w:lang w:val="en-US" w:eastAsia="zh-CN"/>
        </w:rPr>
        <w:t>设备型号应与加工产能匹配。</w:t>
      </w:r>
    </w:p>
    <w:p>
      <w:pPr>
        <w:pStyle w:val="72"/>
        <w:bidi w:val="0"/>
        <w:rPr>
          <w:rFonts w:hint="default"/>
          <w:lang w:val="en-US" w:eastAsia="zh-CN"/>
        </w:rPr>
      </w:pPr>
      <w:r>
        <w:rPr>
          <w:rFonts w:hint="default"/>
          <w:lang w:val="en-US" w:eastAsia="zh-CN"/>
        </w:rPr>
        <w:t>加工人员</w:t>
      </w:r>
    </w:p>
    <w:p>
      <w:pPr>
        <w:pStyle w:val="78"/>
        <w:bidi w:val="0"/>
        <w:spacing w:before="0" w:beforeLines="0" w:after="0" w:afterLines="0"/>
        <w:rPr>
          <w:rFonts w:hint="default"/>
          <w:lang w:val="en-US" w:eastAsia="zh-CN"/>
        </w:rPr>
      </w:pPr>
      <w:r>
        <w:rPr>
          <w:rFonts w:hint="default"/>
          <w:lang w:val="en-US" w:eastAsia="zh-CN"/>
        </w:rPr>
        <w:t>加工人员数量应满足生产需求，人员结构合理。</w:t>
      </w:r>
    </w:p>
    <w:p>
      <w:pPr>
        <w:pStyle w:val="78"/>
        <w:bidi w:val="0"/>
        <w:spacing w:before="0" w:beforeLines="0" w:after="0" w:afterLines="0"/>
        <w:rPr>
          <w:rFonts w:hint="default"/>
        </w:rPr>
      </w:pPr>
      <w:r>
        <w:rPr>
          <w:rFonts w:hint="default"/>
          <w:lang w:val="en-US" w:eastAsia="zh-CN"/>
        </w:rPr>
        <w:t>加工人员</w:t>
      </w:r>
      <w:r>
        <w:rPr>
          <w:rFonts w:hint="eastAsia"/>
          <w:lang w:val="en-US" w:eastAsia="zh-CN"/>
        </w:rPr>
        <w:t>上岗前</w:t>
      </w:r>
      <w:r>
        <w:rPr>
          <w:rFonts w:hint="default"/>
          <w:lang w:val="en-US" w:eastAsia="zh-CN"/>
        </w:rPr>
        <w:t>应经过</w:t>
      </w:r>
      <w:r>
        <w:rPr>
          <w:rFonts w:hint="eastAsia"/>
          <w:lang w:val="en-US" w:eastAsia="zh-CN"/>
        </w:rPr>
        <w:t>莲蓬</w:t>
      </w:r>
      <w:r>
        <w:rPr>
          <w:rFonts w:hint="default"/>
          <w:lang w:val="en-US" w:eastAsia="zh-CN"/>
        </w:rPr>
        <w:t>专业</w:t>
      </w:r>
      <w:r>
        <w:rPr>
          <w:rFonts w:hint="eastAsia"/>
          <w:lang w:val="en-US" w:eastAsia="zh-CN"/>
        </w:rPr>
        <w:t>知识</w:t>
      </w:r>
      <w:r>
        <w:rPr>
          <w:rFonts w:hint="default"/>
          <w:lang w:val="en-US" w:eastAsia="zh-CN"/>
        </w:rPr>
        <w:t>培训，</w:t>
      </w:r>
      <w:r>
        <w:rPr>
          <w:rFonts w:hint="eastAsia"/>
          <w:lang w:val="en-US" w:eastAsia="zh-CN"/>
        </w:rPr>
        <w:t>了解莲蓬的生产、加工要求，</w:t>
      </w:r>
      <w:r>
        <w:rPr>
          <w:rFonts w:hint="default"/>
          <w:lang w:val="en-US" w:eastAsia="zh-CN"/>
        </w:rPr>
        <w:t>熟悉工艺操作和卫生规范，取得健康证明后方可上岗，工作时应穿戴整洁的工作服、帽，禁止吸烟。</w:t>
      </w:r>
    </w:p>
    <w:p>
      <w:pPr>
        <w:pStyle w:val="71"/>
        <w:bidi w:val="0"/>
        <w:rPr>
          <w:rFonts w:hint="default"/>
        </w:rPr>
      </w:pPr>
      <w:bookmarkStart w:id="28" w:name="_Toc26166"/>
      <w:r>
        <w:rPr>
          <w:rFonts w:hint="default"/>
        </w:rPr>
        <w:t>加工工艺</w:t>
      </w:r>
      <w:bookmarkEnd w:id="28"/>
    </w:p>
    <w:p>
      <w:pPr>
        <w:pStyle w:val="72"/>
        <w:bidi w:val="0"/>
        <w:rPr>
          <w:rFonts w:hint="default"/>
          <w:lang w:val="en-US" w:eastAsia="zh-CN"/>
        </w:rPr>
      </w:pPr>
      <w:r>
        <w:rPr>
          <w:rFonts w:hint="eastAsia"/>
          <w:lang w:val="en-US" w:eastAsia="zh-CN"/>
        </w:rPr>
        <w:t>加工</w:t>
      </w:r>
      <w:r>
        <w:rPr>
          <w:rFonts w:hint="default"/>
          <w:lang w:val="en-US" w:eastAsia="zh-CN"/>
        </w:rPr>
        <w:t>工艺流程</w:t>
      </w:r>
    </w:p>
    <w:p>
      <w:pPr>
        <w:pStyle w:val="24"/>
        <w:ind w:firstLine="960"/>
        <w:rPr>
          <w:rFonts w:hint="default"/>
        </w:rPr>
      </w:pPr>
      <w:r>
        <w:rPr>
          <w:rFonts w:hint="eastAsia"/>
          <w:lang w:val="en-US" w:eastAsia="zh-CN"/>
        </w:rPr>
        <w:t>脱籽</w:t>
      </w:r>
      <w:r>
        <w:rPr>
          <w:rFonts w:hint="default"/>
          <w:lang w:val="en-US" w:eastAsia="zh-CN"/>
        </w:rPr>
        <w:t>→</w:t>
      </w:r>
      <w:r>
        <w:rPr>
          <w:rFonts w:hint="eastAsia"/>
          <w:lang w:val="en-US" w:eastAsia="zh-CN"/>
        </w:rPr>
        <w:t>去壳</w:t>
      </w:r>
      <w:r>
        <w:rPr>
          <w:rFonts w:hint="default"/>
          <w:lang w:val="en-US" w:eastAsia="zh-CN"/>
        </w:rPr>
        <w:t>→</w:t>
      </w:r>
      <w:r>
        <w:rPr>
          <w:rFonts w:hint="eastAsia"/>
          <w:lang w:val="en-US" w:eastAsia="zh-CN"/>
        </w:rPr>
        <w:t>去皮</w:t>
      </w:r>
      <w:r>
        <w:rPr>
          <w:rFonts w:hint="default"/>
          <w:lang w:val="en-US" w:eastAsia="zh-CN"/>
        </w:rPr>
        <w:t>→</w:t>
      </w:r>
      <w:r>
        <w:rPr>
          <w:rFonts w:hint="eastAsia"/>
          <w:lang w:val="en-US" w:eastAsia="zh-CN"/>
        </w:rPr>
        <w:t>清洗</w:t>
      </w:r>
      <w:r>
        <w:rPr>
          <w:rFonts w:hint="default"/>
          <w:lang w:val="en-US" w:eastAsia="zh-CN"/>
        </w:rPr>
        <w:t>→</w:t>
      </w:r>
      <w:bookmarkStart w:id="29" w:name="OLE_LINK3"/>
      <w:r>
        <w:rPr>
          <w:rFonts w:hint="eastAsia"/>
          <w:lang w:val="en-US" w:eastAsia="zh-CN"/>
        </w:rPr>
        <w:t>通芯</w:t>
      </w:r>
      <w:bookmarkEnd w:id="29"/>
      <w:bookmarkStart w:id="30" w:name="OLE_LINK1"/>
      <w:r>
        <w:rPr>
          <w:rFonts w:hint="default"/>
          <w:lang w:val="en-US" w:eastAsia="zh-CN"/>
        </w:rPr>
        <w:t>→</w:t>
      </w:r>
      <w:bookmarkEnd w:id="30"/>
      <w:r>
        <w:rPr>
          <w:rFonts w:hint="eastAsia"/>
          <w:lang w:val="en-US" w:eastAsia="zh-CN"/>
        </w:rPr>
        <w:t>脱水</w:t>
      </w:r>
      <w:r>
        <w:rPr>
          <w:rFonts w:hint="default"/>
          <w:lang w:val="en-US" w:eastAsia="zh-CN"/>
        </w:rPr>
        <w:t>→</w:t>
      </w:r>
      <w:r>
        <w:rPr>
          <w:rFonts w:hint="eastAsia"/>
          <w:lang w:val="en-US" w:eastAsia="zh-CN"/>
        </w:rPr>
        <w:t>冷却</w:t>
      </w:r>
      <w:r>
        <w:rPr>
          <w:rFonts w:hint="default"/>
          <w:lang w:val="en-US" w:eastAsia="zh-CN"/>
        </w:rPr>
        <w:t>。</w:t>
      </w:r>
    </w:p>
    <w:p>
      <w:pPr>
        <w:pStyle w:val="72"/>
        <w:bidi w:val="0"/>
        <w:rPr>
          <w:rFonts w:hint="default"/>
          <w:lang w:val="en-US" w:eastAsia="zh-CN"/>
        </w:rPr>
      </w:pPr>
      <w:r>
        <w:rPr>
          <w:rFonts w:hint="eastAsia"/>
          <w:lang w:val="en-US" w:eastAsia="zh-CN"/>
        </w:rPr>
        <w:t>脱籽</w:t>
      </w:r>
    </w:p>
    <w:p>
      <w:pPr>
        <w:pStyle w:val="24"/>
        <w:ind w:firstLine="960"/>
        <w:rPr>
          <w:rFonts w:hint="default"/>
          <w:lang w:val="en-US"/>
        </w:rPr>
      </w:pPr>
      <w:bookmarkStart w:id="31" w:name="OLE_LINK2"/>
      <w:r>
        <w:rPr>
          <w:rFonts w:hint="eastAsia"/>
          <w:lang w:val="en-US" w:eastAsia="zh-CN"/>
        </w:rPr>
        <w:t>手工或机械脱籽</w:t>
      </w:r>
      <w:bookmarkEnd w:id="31"/>
      <w:r>
        <w:rPr>
          <w:rFonts w:hint="eastAsia"/>
          <w:lang w:val="en-US" w:eastAsia="zh-CN"/>
        </w:rPr>
        <w:t>，剔除过瘪粒、病虫粒。</w:t>
      </w:r>
    </w:p>
    <w:p>
      <w:pPr>
        <w:pStyle w:val="72"/>
        <w:bidi w:val="0"/>
        <w:rPr>
          <w:rFonts w:hint="default"/>
          <w:lang w:val="en-US" w:eastAsia="zh-CN"/>
        </w:rPr>
      </w:pPr>
      <w:r>
        <w:rPr>
          <w:rFonts w:hint="eastAsia"/>
          <w:lang w:val="en-US" w:eastAsia="zh-CN"/>
        </w:rPr>
        <w:t>去壳</w:t>
      </w:r>
    </w:p>
    <w:p>
      <w:pPr>
        <w:pStyle w:val="24"/>
        <w:ind w:firstLine="960"/>
        <w:rPr>
          <w:rFonts w:hint="default"/>
          <w:lang w:val="en-US"/>
        </w:rPr>
      </w:pPr>
      <w:r>
        <w:rPr>
          <w:rFonts w:hint="eastAsia"/>
          <w:lang w:val="en-US" w:eastAsia="zh-CN"/>
        </w:rPr>
        <w:t>手工或机械去壳，防止划伤籽粒，保持颗粒完整</w:t>
      </w:r>
    </w:p>
    <w:p>
      <w:pPr>
        <w:pStyle w:val="72"/>
        <w:bidi w:val="0"/>
        <w:rPr>
          <w:rFonts w:hint="default"/>
          <w:lang w:val="en-US" w:eastAsia="zh-CN"/>
        </w:rPr>
      </w:pPr>
      <w:r>
        <w:rPr>
          <w:rFonts w:hint="eastAsia"/>
          <w:lang w:val="en-US" w:eastAsia="zh-CN"/>
        </w:rPr>
        <w:t>去皮</w:t>
      </w:r>
    </w:p>
    <w:p>
      <w:pPr>
        <w:pStyle w:val="24"/>
        <w:ind w:firstLine="960"/>
        <w:rPr>
          <w:rFonts w:hint="default"/>
          <w:lang w:val="en-US"/>
        </w:rPr>
      </w:pPr>
      <w:r>
        <w:rPr>
          <w:rFonts w:hint="eastAsia"/>
          <w:lang w:val="en-US" w:eastAsia="zh-CN"/>
        </w:rPr>
        <w:t>用手从顶端撕开莲膜，一扯到底将膜去除干净，不伤莲肉，保持莲肉洁白。</w:t>
      </w:r>
    </w:p>
    <w:p>
      <w:pPr>
        <w:pStyle w:val="72"/>
        <w:bidi w:val="0"/>
        <w:rPr>
          <w:rFonts w:hint="default"/>
          <w:lang w:val="en-US" w:eastAsia="zh-CN"/>
        </w:rPr>
      </w:pPr>
      <w:r>
        <w:rPr>
          <w:rFonts w:hint="eastAsia"/>
          <w:lang w:val="en-US" w:eastAsia="zh-CN"/>
        </w:rPr>
        <w:t>清洗</w:t>
      </w:r>
    </w:p>
    <w:p>
      <w:pPr>
        <w:pStyle w:val="24"/>
        <w:ind w:firstLine="960"/>
        <w:rPr>
          <w:rFonts w:hint="default"/>
          <w:lang w:val="en-US"/>
        </w:rPr>
      </w:pPr>
      <w:r>
        <w:rPr>
          <w:rFonts w:hint="eastAsia"/>
          <w:lang w:val="en-US" w:eastAsia="zh-CN"/>
        </w:rPr>
        <w:t>用清水冲洗，洗净残余种皮、胚芽等粘黏物，沥干。</w:t>
      </w:r>
      <w:r>
        <w:rPr>
          <w:rFonts w:hint="eastAsia"/>
          <w:highlight w:val="none"/>
          <w:lang w:val="en-US" w:eastAsia="zh-CN"/>
        </w:rPr>
        <w:t>水质应符合GB 5749的规定。</w:t>
      </w:r>
    </w:p>
    <w:p>
      <w:pPr>
        <w:pStyle w:val="72"/>
        <w:bidi w:val="0"/>
        <w:rPr>
          <w:rFonts w:hint="default"/>
          <w:lang w:val="en-US" w:eastAsia="zh-CN"/>
        </w:rPr>
      </w:pPr>
      <w:r>
        <w:rPr>
          <w:rFonts w:hint="eastAsia"/>
          <w:lang w:val="en-US" w:eastAsia="zh-CN"/>
        </w:rPr>
        <w:t>通芯</w:t>
      </w:r>
    </w:p>
    <w:p>
      <w:pPr>
        <w:pStyle w:val="24"/>
        <w:ind w:firstLine="960"/>
        <w:rPr>
          <w:rFonts w:hint="default"/>
          <w:lang w:val="en-US"/>
        </w:rPr>
      </w:pPr>
      <w:r>
        <w:rPr>
          <w:rFonts w:hint="eastAsia"/>
          <w:lang w:val="en-US" w:eastAsia="zh-CN"/>
        </w:rPr>
        <w:t>捅去莲芯（胚），不得残留和破损。</w:t>
      </w:r>
    </w:p>
    <w:p>
      <w:pPr>
        <w:pStyle w:val="72"/>
        <w:bidi w:val="0"/>
        <w:rPr>
          <w:rFonts w:hint="default"/>
          <w:lang w:val="en-US" w:eastAsia="zh-CN"/>
        </w:rPr>
      </w:pPr>
      <w:r>
        <w:rPr>
          <w:rFonts w:hint="eastAsia"/>
          <w:lang w:val="en-US" w:eastAsia="zh-CN"/>
        </w:rPr>
        <w:t>脱水</w:t>
      </w:r>
    </w:p>
    <w:p>
      <w:pPr>
        <w:pStyle w:val="24"/>
        <w:ind w:firstLine="960"/>
        <w:rPr>
          <w:rFonts w:hint="default"/>
          <w:highlight w:val="none"/>
          <w:lang w:val="en-US" w:eastAsia="zh-CN"/>
        </w:rPr>
      </w:pPr>
      <w:r>
        <w:rPr>
          <w:rFonts w:hint="default"/>
          <w:highlight w:val="none"/>
          <w:lang w:val="en-US" w:eastAsia="zh-CN"/>
        </w:rPr>
        <w:t>采用烘干机进行干燥，温度控制在</w:t>
      </w:r>
      <w:r>
        <w:rPr>
          <w:rFonts w:hint="eastAsia"/>
          <w:highlight w:val="none"/>
          <w:lang w:val="en-US" w:eastAsia="zh-CN"/>
        </w:rPr>
        <w:t>7</w:t>
      </w:r>
      <w:r>
        <w:rPr>
          <w:rFonts w:hint="default"/>
          <w:highlight w:val="none"/>
          <w:lang w:val="en-US" w:eastAsia="zh-CN"/>
        </w:rPr>
        <w:t>0℃</w:t>
      </w:r>
      <w:r>
        <w:rPr>
          <w:rFonts w:hint="eastAsia"/>
          <w:highlight w:val="none"/>
          <w:lang w:val="en-US" w:eastAsia="zh-CN"/>
        </w:rPr>
        <w:t>左右</w:t>
      </w:r>
      <w:r>
        <w:rPr>
          <w:rFonts w:hint="default"/>
          <w:highlight w:val="none"/>
          <w:lang w:val="en-US" w:eastAsia="zh-CN"/>
        </w:rPr>
        <w:t>，至</w:t>
      </w:r>
      <w:r>
        <w:rPr>
          <w:rFonts w:hint="eastAsia"/>
          <w:highlight w:val="none"/>
          <w:lang w:val="en-US" w:eastAsia="zh-CN"/>
        </w:rPr>
        <w:t>干莲子水分含量小于等于11</w:t>
      </w:r>
      <w:r>
        <w:rPr>
          <w:rFonts w:hint="default"/>
          <w:highlight w:val="none"/>
          <w:lang w:val="en-US" w:eastAsia="zh-CN"/>
        </w:rPr>
        <w:t>.</w:t>
      </w:r>
      <w:r>
        <w:rPr>
          <w:rFonts w:hint="eastAsia"/>
          <w:highlight w:val="none"/>
          <w:lang w:val="en-US" w:eastAsia="zh-CN"/>
        </w:rPr>
        <w:t>0</w:t>
      </w:r>
      <w:r>
        <w:rPr>
          <w:rFonts w:hint="default"/>
          <w:highlight w:val="none"/>
          <w:lang w:val="en-US" w:eastAsia="zh-CN"/>
        </w:rPr>
        <w:t>%。</w:t>
      </w:r>
    </w:p>
    <w:p>
      <w:pPr>
        <w:pStyle w:val="72"/>
        <w:bidi w:val="0"/>
        <w:rPr>
          <w:rFonts w:hint="default"/>
          <w:lang w:val="en-US" w:eastAsia="zh-CN"/>
        </w:rPr>
      </w:pPr>
      <w:r>
        <w:rPr>
          <w:rFonts w:hint="eastAsia"/>
          <w:lang w:val="en-US" w:eastAsia="zh-CN"/>
        </w:rPr>
        <w:t>冷却</w:t>
      </w:r>
    </w:p>
    <w:p>
      <w:pPr>
        <w:pStyle w:val="24"/>
        <w:ind w:firstLine="960"/>
        <w:rPr>
          <w:rFonts w:hint="default"/>
          <w:highlight w:val="none"/>
          <w:lang w:val="en-US" w:eastAsia="zh-CN"/>
        </w:rPr>
      </w:pPr>
      <w:r>
        <w:rPr>
          <w:rFonts w:hint="eastAsia"/>
          <w:highlight w:val="none"/>
          <w:lang w:val="en-US" w:eastAsia="zh-CN"/>
        </w:rPr>
        <w:t>将烘干后的莲子冷却至室温。</w:t>
      </w:r>
    </w:p>
    <w:p>
      <w:pPr>
        <w:pStyle w:val="71"/>
        <w:bidi w:val="0"/>
        <w:rPr>
          <w:rFonts w:hint="default"/>
        </w:rPr>
      </w:pPr>
      <w:bookmarkStart w:id="32" w:name="_Toc20517"/>
      <w:r>
        <w:rPr>
          <w:rFonts w:hint="default"/>
        </w:rPr>
        <w:t>包装、运输和贮存</w:t>
      </w:r>
      <w:bookmarkEnd w:id="32"/>
    </w:p>
    <w:p>
      <w:pPr>
        <w:pStyle w:val="72"/>
        <w:bidi w:val="0"/>
        <w:rPr>
          <w:rFonts w:hint="default"/>
          <w:lang w:val="en-US" w:eastAsia="zh-CN"/>
        </w:rPr>
      </w:pPr>
      <w:r>
        <w:rPr>
          <w:rFonts w:hint="default"/>
          <w:lang w:val="en-US" w:eastAsia="zh-CN"/>
        </w:rPr>
        <w:t>包装</w:t>
      </w:r>
    </w:p>
    <w:p>
      <w:pPr>
        <w:pStyle w:val="78"/>
        <w:bidi w:val="0"/>
        <w:spacing w:before="0" w:beforeLines="0" w:after="0" w:afterLines="0"/>
        <w:rPr>
          <w:rFonts w:hint="eastAsia"/>
        </w:rPr>
      </w:pPr>
      <w:r>
        <w:rPr>
          <w:rFonts w:hint="eastAsia"/>
          <w:highlight w:val="none"/>
        </w:rPr>
        <w:t>包装应符合</w:t>
      </w:r>
      <w:r>
        <w:rPr>
          <w:rFonts w:hint="eastAsia"/>
          <w:highlight w:val="none"/>
          <w:lang w:val="en-US" w:eastAsia="zh-CN"/>
        </w:rPr>
        <w:t>GB 7718和</w:t>
      </w:r>
      <w:bookmarkStart w:id="33" w:name="OLE_LINK18"/>
      <w:r>
        <w:rPr>
          <w:rFonts w:hint="eastAsia"/>
          <w:highlight w:val="none"/>
          <w:lang w:val="en-US" w:eastAsia="zh-CN"/>
        </w:rPr>
        <w:t>GB 28050</w:t>
      </w:r>
      <w:bookmarkEnd w:id="33"/>
      <w:r>
        <w:rPr>
          <w:rFonts w:hint="eastAsia"/>
          <w:highlight w:val="none"/>
          <w:lang w:val="en-US" w:eastAsia="zh-CN"/>
        </w:rPr>
        <w:t>的</w:t>
      </w:r>
      <w:r>
        <w:rPr>
          <w:rFonts w:hint="eastAsia"/>
          <w:highlight w:val="none"/>
        </w:rPr>
        <w:t>要求</w:t>
      </w:r>
      <w:r>
        <w:rPr>
          <w:rFonts w:hint="eastAsia"/>
          <w:highlight w:val="none"/>
          <w:lang w:eastAsia="zh-CN"/>
        </w:rPr>
        <w:t>，</w:t>
      </w:r>
      <w:r>
        <w:rPr>
          <w:rFonts w:hint="default"/>
          <w:highlight w:val="none"/>
          <w:lang w:val="en-US" w:eastAsia="zh-CN"/>
        </w:rPr>
        <w:t>注明</w:t>
      </w:r>
      <w:r>
        <w:rPr>
          <w:rFonts w:hint="eastAsia"/>
          <w:highlight w:val="none"/>
          <w:lang w:val="en-US" w:eastAsia="zh-CN"/>
        </w:rPr>
        <w:t>产品名称</w:t>
      </w:r>
      <w:r>
        <w:rPr>
          <w:rFonts w:hint="default"/>
          <w:highlight w:val="none"/>
          <w:lang w:val="en-US" w:eastAsia="zh-CN"/>
        </w:rPr>
        <w:t>、</w:t>
      </w:r>
      <w:r>
        <w:rPr>
          <w:rFonts w:hint="eastAsia"/>
          <w:highlight w:val="none"/>
          <w:lang w:val="en-US" w:eastAsia="zh-CN"/>
        </w:rPr>
        <w:t>生产者名称、</w:t>
      </w:r>
      <w:r>
        <w:rPr>
          <w:rFonts w:hint="default"/>
          <w:highlight w:val="none"/>
          <w:lang w:val="en-US" w:eastAsia="zh-CN"/>
        </w:rPr>
        <w:t>等级、净含量等信息</w:t>
      </w:r>
      <w:r>
        <w:rPr>
          <w:rFonts w:hint="eastAsia"/>
          <w:highlight w:val="none"/>
          <w:lang w:val="en-US" w:eastAsia="zh-CN"/>
        </w:rPr>
        <w:t>。</w:t>
      </w:r>
      <w:r>
        <w:rPr>
          <w:rFonts w:hint="eastAsia"/>
          <w:highlight w:val="none"/>
        </w:rPr>
        <w:t>绿色食品应符合</w:t>
      </w:r>
      <w:bookmarkStart w:id="34" w:name="OLE_LINK4"/>
      <w:r>
        <w:rPr>
          <w:rFonts w:hint="eastAsia"/>
          <w:highlight w:val="none"/>
        </w:rPr>
        <w:t xml:space="preserve">NY/T </w:t>
      </w:r>
      <w:r>
        <w:rPr>
          <w:rFonts w:hint="eastAsia"/>
          <w:highlight w:val="none"/>
          <w:lang w:val="en-US" w:eastAsia="zh-CN"/>
        </w:rPr>
        <w:t>1042</w:t>
      </w:r>
      <w:bookmarkEnd w:id="34"/>
      <w:r>
        <w:rPr>
          <w:rFonts w:hint="eastAsia"/>
          <w:highlight w:val="none"/>
        </w:rPr>
        <w:t>的要求</w:t>
      </w:r>
      <w:r>
        <w:rPr>
          <w:rFonts w:hint="eastAsia"/>
          <w:highlight w:val="none"/>
          <w:lang w:eastAsia="zh-CN"/>
        </w:rPr>
        <w:t>，</w:t>
      </w:r>
      <w:r>
        <w:rPr>
          <w:rFonts w:hint="eastAsia"/>
          <w:highlight w:val="none"/>
        </w:rPr>
        <w:t>有机产品应符合GB/T 19630的要求。</w:t>
      </w:r>
    </w:p>
    <w:p>
      <w:pPr>
        <w:pStyle w:val="78"/>
        <w:bidi w:val="0"/>
        <w:spacing w:before="0" w:beforeLines="0" w:after="0" w:afterLines="0"/>
        <w:rPr>
          <w:rFonts w:hint="eastAsia"/>
        </w:rPr>
      </w:pPr>
      <w:r>
        <w:rPr>
          <w:rFonts w:hint="eastAsia"/>
        </w:rPr>
        <w:t>包装材料应分别符合</w:t>
      </w:r>
      <w:r>
        <w:t>GB 4806.1</w:t>
      </w:r>
      <w:r>
        <w:rPr>
          <w:rFonts w:hint="eastAsia"/>
        </w:rPr>
        <w:t>、GB 4806.7的规定。</w:t>
      </w:r>
    </w:p>
    <w:p>
      <w:pPr>
        <w:pStyle w:val="78"/>
        <w:bidi w:val="0"/>
        <w:spacing w:before="0" w:beforeLines="0" w:after="0" w:afterLines="0"/>
        <w:rPr>
          <w:rFonts w:hint="eastAsia"/>
        </w:rPr>
      </w:pPr>
      <w:r>
        <w:rPr>
          <w:rFonts w:hint="eastAsia"/>
        </w:rPr>
        <w:t>塑料包装容器应符合GB/T 5737的要求。</w:t>
      </w:r>
    </w:p>
    <w:p>
      <w:pPr>
        <w:pStyle w:val="72"/>
        <w:bidi w:val="0"/>
        <w:rPr>
          <w:rFonts w:hint="default"/>
          <w:lang w:val="en-US" w:eastAsia="zh-CN"/>
        </w:rPr>
      </w:pPr>
      <w:r>
        <w:rPr>
          <w:rFonts w:hint="default"/>
          <w:lang w:val="en-US" w:eastAsia="zh-CN"/>
        </w:rPr>
        <w:t>运输</w:t>
      </w:r>
    </w:p>
    <w:p>
      <w:pPr>
        <w:pStyle w:val="24"/>
        <w:ind w:firstLine="960"/>
        <w:rPr>
          <w:rFonts w:hint="default"/>
        </w:rPr>
      </w:pPr>
      <w:r>
        <w:rPr>
          <w:rFonts w:hint="default"/>
          <w:lang w:val="en-US" w:eastAsia="zh-CN"/>
        </w:rPr>
        <w:t>运输工具应清洁、干燥、无异味、无污染；运输时应防雨、防潮、防暴晒，严禁与有毒、有异味等损害</w:t>
      </w:r>
      <w:r>
        <w:rPr>
          <w:rFonts w:hint="eastAsia"/>
          <w:lang w:val="en-US" w:eastAsia="zh-CN"/>
        </w:rPr>
        <w:t>干莲子</w:t>
      </w:r>
      <w:r>
        <w:rPr>
          <w:rFonts w:hint="default"/>
          <w:lang w:val="en-US" w:eastAsia="zh-CN"/>
        </w:rPr>
        <w:t>品质的货物混装运输。</w:t>
      </w:r>
      <w:r>
        <w:rPr>
          <w:rFonts w:hint="eastAsia"/>
        </w:rPr>
        <w:t>绿色食品应符合</w:t>
      </w:r>
      <w:r>
        <w:rPr>
          <w:rFonts w:hint="eastAsia"/>
          <w:highlight w:val="none"/>
        </w:rPr>
        <w:t xml:space="preserve">NY/T </w:t>
      </w:r>
      <w:r>
        <w:rPr>
          <w:rFonts w:hint="eastAsia"/>
          <w:highlight w:val="none"/>
          <w:lang w:val="en-US" w:eastAsia="zh-CN"/>
        </w:rPr>
        <w:t>1042</w:t>
      </w:r>
      <w:r>
        <w:rPr>
          <w:rFonts w:hint="eastAsia"/>
        </w:rPr>
        <w:t>的要求</w:t>
      </w:r>
      <w:r>
        <w:rPr>
          <w:rFonts w:hint="eastAsia"/>
          <w:lang w:eastAsia="zh-CN"/>
        </w:rPr>
        <w:t>，</w:t>
      </w:r>
      <w:r>
        <w:rPr>
          <w:rFonts w:hint="eastAsia"/>
        </w:rPr>
        <w:t>有机产品应符合GB/T 19630的要求。</w:t>
      </w:r>
    </w:p>
    <w:p>
      <w:pPr>
        <w:pStyle w:val="72"/>
        <w:bidi w:val="0"/>
        <w:rPr>
          <w:rFonts w:hint="default"/>
          <w:lang w:val="en-US" w:eastAsia="zh-CN"/>
        </w:rPr>
      </w:pPr>
      <w:r>
        <w:rPr>
          <w:rFonts w:hint="default"/>
          <w:lang w:val="en-US" w:eastAsia="zh-CN"/>
        </w:rPr>
        <w:t>贮存</w:t>
      </w:r>
    </w:p>
    <w:p>
      <w:pPr>
        <w:pStyle w:val="78"/>
        <w:numPr>
          <w:ilvl w:val="0"/>
          <w:numId w:val="0"/>
        </w:numPr>
        <w:spacing w:before="0" w:beforeLines="0" w:after="0" w:afterLines="0"/>
        <w:ind w:firstLine="420" w:firstLineChars="200"/>
        <w:rPr>
          <w:rFonts w:hint="default"/>
          <w:lang w:val="en-US" w:eastAsia="zh-CN"/>
        </w:rPr>
      </w:pPr>
      <w:r>
        <w:rPr>
          <w:rFonts w:hint="eastAsia"/>
          <w:highlight w:val="none"/>
          <w:lang w:val="en-US" w:eastAsia="zh-CN"/>
        </w:rPr>
        <w:t>产品贮存应符合</w:t>
      </w:r>
      <w:bookmarkStart w:id="35" w:name="OLE_LINK19"/>
      <w:r>
        <w:rPr>
          <w:rFonts w:hint="eastAsia"/>
          <w:highlight w:val="none"/>
          <w:lang w:val="en-US" w:eastAsia="zh-CN"/>
        </w:rPr>
        <w:t>GB 31621</w:t>
      </w:r>
      <w:bookmarkEnd w:id="35"/>
      <w:r>
        <w:rPr>
          <w:rFonts w:hint="eastAsia"/>
          <w:highlight w:val="none"/>
          <w:lang w:val="en-US" w:eastAsia="zh-CN"/>
        </w:rPr>
        <w:t>的有关规定。</w:t>
      </w:r>
      <w:r>
        <w:rPr>
          <w:rFonts w:hint="default"/>
          <w:lang w:val="en-US" w:eastAsia="zh-CN"/>
        </w:rPr>
        <w:t>产品应贮存在清洁、干燥、阴凉、通风、无异味的专用仓库中，避免在阳光直射和高温高湿处存放；严禁与有毒、有异味（气）、易污染的物品混放。</w:t>
      </w:r>
    </w:p>
    <w:p>
      <w:pPr>
        <w:pStyle w:val="71"/>
        <w:bidi w:val="0"/>
        <w:rPr>
          <w:rFonts w:hint="default"/>
        </w:rPr>
      </w:pPr>
      <w:bookmarkStart w:id="36" w:name="_Toc27209"/>
      <w:r>
        <w:rPr>
          <w:rFonts w:hint="default"/>
        </w:rPr>
        <w:t>质量管理</w:t>
      </w:r>
      <w:bookmarkEnd w:id="36"/>
    </w:p>
    <w:p>
      <w:pPr>
        <w:pStyle w:val="72"/>
        <w:bidi w:val="0"/>
        <w:rPr>
          <w:rFonts w:hint="eastAsia"/>
          <w:lang w:val="en-US" w:eastAsia="zh-CN"/>
        </w:rPr>
      </w:pPr>
      <w:r>
        <w:rPr>
          <w:rFonts w:hint="eastAsia"/>
          <w:lang w:val="en-US" w:eastAsia="zh-CN"/>
        </w:rPr>
        <w:t>过程监控</w:t>
      </w:r>
    </w:p>
    <w:p>
      <w:pPr>
        <w:ind w:firstLine="420" w:firstLineChars="200"/>
        <w:rPr>
          <w:rFonts w:hint="eastAsia"/>
          <w:lang w:val="en-US" w:eastAsia="zh-CN"/>
        </w:rPr>
      </w:pPr>
      <w:r>
        <w:rPr>
          <w:rFonts w:hint="eastAsia"/>
          <w:lang w:val="en-US" w:eastAsia="zh-CN"/>
        </w:rPr>
        <w:t>对加工过程中的关键控制点进行监控，如脱水时间、温度等，并做好记录。</w:t>
      </w:r>
    </w:p>
    <w:p>
      <w:pPr>
        <w:pStyle w:val="72"/>
        <w:bidi w:val="0"/>
        <w:rPr>
          <w:rFonts w:hint="eastAsia"/>
          <w:lang w:val="en-US" w:eastAsia="zh-CN"/>
        </w:rPr>
      </w:pPr>
      <w:r>
        <w:rPr>
          <w:rFonts w:hint="eastAsia"/>
          <w:lang w:val="en-US" w:eastAsia="zh-CN"/>
        </w:rPr>
        <w:t>成品检验</w:t>
      </w:r>
    </w:p>
    <w:p>
      <w:pPr>
        <w:ind w:firstLine="420" w:firstLineChars="200"/>
        <w:rPr>
          <w:rFonts w:hint="eastAsia"/>
          <w:lang w:val="en-US" w:eastAsia="zh-CN"/>
        </w:rPr>
      </w:pPr>
      <w:r>
        <w:rPr>
          <w:rFonts w:hint="eastAsia"/>
          <w:lang w:val="en-US" w:eastAsia="zh-CN"/>
        </w:rPr>
        <w:t>对干莲子进行检验，包括感官指标、理化指标、安全指标等，检验合格后方可出厂。</w:t>
      </w:r>
    </w:p>
    <w:p>
      <w:pPr>
        <w:pStyle w:val="72"/>
        <w:bidi w:val="0"/>
        <w:rPr>
          <w:rFonts w:hint="eastAsia"/>
          <w:lang w:val="en-US" w:eastAsia="zh-CN"/>
        </w:rPr>
      </w:pPr>
      <w:r>
        <w:rPr>
          <w:rFonts w:hint="eastAsia"/>
          <w:lang w:val="en-US" w:eastAsia="zh-CN"/>
        </w:rPr>
        <w:t>质量追溯</w:t>
      </w:r>
    </w:p>
    <w:p>
      <w:pPr>
        <w:ind w:firstLine="420" w:firstLineChars="200"/>
        <w:rPr>
          <w:rFonts w:hint="eastAsia"/>
          <w:lang w:val="en-US" w:eastAsia="zh-CN"/>
        </w:rPr>
      </w:pPr>
      <w:r>
        <w:rPr>
          <w:rFonts w:hint="eastAsia"/>
          <w:lang w:val="en-US" w:eastAsia="zh-CN"/>
        </w:rPr>
        <w:t>建立完善的质量追溯体系，对产品从原料采购到加工、贮存、运输、销售等各个环节进行记录，确保产品质量可追溯。</w:t>
      </w:r>
    </w:p>
    <w:p>
      <w:pPr>
        <w:rPr>
          <w:rFonts w:hint="eastAsia"/>
          <w:lang w:val="en-US" w:eastAsia="zh-CN"/>
        </w:rPr>
      </w:pPr>
      <w:r>
        <w:rPr>
          <w:rFonts w:hint="eastAsia"/>
          <w:lang w:val="en-US" w:eastAsia="zh-CN"/>
        </w:rPr>
        <w:br w:type="page"/>
      </w:r>
      <w:bookmarkStart w:id="37" w:name="BKFL"/>
    </w:p>
    <w:p>
      <w:pPr>
        <w:pStyle w:val="98"/>
        <w:bidi w:val="0"/>
        <w:rPr>
          <w:rFonts w:hint="eastAsia"/>
          <w:lang w:val="en-US" w:eastAsia="zh-CN"/>
        </w:rPr>
      </w:pPr>
    </w:p>
    <w:p>
      <w:pPr>
        <w:pStyle w:val="100"/>
        <w:bidi w:val="0"/>
        <w:rPr>
          <w:rFonts w:hint="eastAsia"/>
          <w:lang w:val="en-US" w:eastAsia="zh-CN"/>
        </w:rPr>
      </w:pPr>
    </w:p>
    <w:p>
      <w:pPr>
        <w:pStyle w:val="87"/>
        <w:bidi w:val="0"/>
        <w:rPr>
          <w:rFonts w:hint="eastAsia"/>
          <w:lang w:val="en-US" w:eastAsia="zh-CN"/>
        </w:rPr>
      </w:pPr>
      <w:bookmarkStart w:id="38" w:name="_Toc28217"/>
    </w:p>
    <w:p>
      <w:pPr>
        <w:pStyle w:val="87"/>
        <w:numPr>
          <w:ilvl w:val="0"/>
          <w:numId w:val="0"/>
        </w:numPr>
        <w:bidi w:val="0"/>
        <w:ind w:leftChars="0"/>
        <w:jc w:val="center"/>
        <w:rPr>
          <w:rFonts w:hint="eastAsia"/>
          <w:lang w:val="en-US" w:eastAsia="zh-CN"/>
        </w:rPr>
      </w:pPr>
      <w:r>
        <w:rPr>
          <w:rFonts w:hint="eastAsia"/>
          <w:lang w:val="en-US" w:eastAsia="zh-CN"/>
        </w:rPr>
        <w:t>（规范性）</w:t>
      </w:r>
    </w:p>
    <w:p>
      <w:pPr>
        <w:pStyle w:val="87"/>
        <w:numPr>
          <w:ilvl w:val="0"/>
          <w:numId w:val="0"/>
        </w:numPr>
        <w:bidi w:val="0"/>
        <w:ind w:leftChars="0"/>
        <w:jc w:val="center"/>
        <w:rPr>
          <w:rFonts w:hint="eastAsia"/>
          <w:lang w:val="en-US" w:eastAsia="zh-CN"/>
        </w:rPr>
      </w:pPr>
      <w:r>
        <w:rPr>
          <w:rFonts w:hint="eastAsia"/>
          <w:lang w:val="en-US" w:eastAsia="zh-CN"/>
        </w:rPr>
        <w:t>井冈山白莲生产区域范围图</w:t>
      </w:r>
      <w:bookmarkEnd w:id="38"/>
    </w:p>
    <w:p>
      <w:pPr>
        <w:pStyle w:val="24"/>
        <w:rPr>
          <w:rFonts w:hint="eastAsia"/>
          <w:lang w:val="en-US" w:eastAsia="zh-CN"/>
        </w:rPr>
      </w:pPr>
    </w:p>
    <w:p>
      <w:pPr>
        <w:pStyle w:val="24"/>
        <w:rPr>
          <w:rFonts w:hint="default"/>
          <w:lang w:val="en-US" w:eastAsia="zh-CN"/>
        </w:rPr>
      </w:pPr>
      <w:r>
        <w:rPr>
          <w:rFonts w:hint="eastAsia"/>
          <w:lang w:val="en-US" w:eastAsia="zh-CN"/>
        </w:rPr>
        <w:t>井冈山白莲生产区域范围见图A.1。</w:t>
      </w:r>
    </w:p>
    <w:bookmarkEnd w:id="37"/>
    <w:p>
      <w:pPr>
        <w:pStyle w:val="24"/>
        <w:ind w:firstLine="0" w:firstLineChars="0"/>
        <w:jc w:val="center"/>
      </w:pPr>
      <w:r>
        <w:drawing>
          <wp:inline distT="0" distB="0" distL="114300" distR="114300">
            <wp:extent cx="3604260" cy="5093335"/>
            <wp:effectExtent l="0" t="0" r="15240" b="12065"/>
            <wp:docPr id="1" name="图片 1" descr="0678208d9958eceed3b97fe5adbcc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678208d9958eceed3b97fe5adbcc18"/>
                    <pic:cNvPicPr>
                      <a:picLocks noChangeAspect="1"/>
                    </pic:cNvPicPr>
                  </pic:nvPicPr>
                  <pic:blipFill>
                    <a:blip r:embed="rId10"/>
                    <a:stretch>
                      <a:fillRect/>
                    </a:stretch>
                  </pic:blipFill>
                  <pic:spPr>
                    <a:xfrm>
                      <a:off x="0" y="0"/>
                      <a:ext cx="3604260" cy="5093335"/>
                    </a:xfrm>
                    <a:prstGeom prst="rect">
                      <a:avLst/>
                    </a:prstGeom>
                  </pic:spPr>
                </pic:pic>
              </a:graphicData>
            </a:graphic>
          </wp:inline>
        </w:drawing>
      </w:r>
    </w:p>
    <w:p>
      <w:pPr>
        <w:pStyle w:val="113"/>
        <w:numPr>
          <w:ilvl w:val="0"/>
          <w:numId w:val="0"/>
        </w:numPr>
        <w:bidi w:val="0"/>
        <w:ind w:leftChars="0"/>
        <w:jc w:val="center"/>
        <w:rPr>
          <w:rFonts w:hint="eastAsia"/>
          <w:lang w:val="en-US" w:eastAsia="zh-CN"/>
        </w:rPr>
      </w:pPr>
      <w:r>
        <w:rPr>
          <w:rFonts w:hint="eastAsia"/>
          <w:lang w:val="en-US" w:eastAsia="zh-CN"/>
        </w:rPr>
        <w:t>图A.1 井冈山白莲生产区域范围图</w:t>
      </w:r>
    </w:p>
    <w:p>
      <w:pPr>
        <w:pStyle w:val="24"/>
        <w:jc w:val="center"/>
      </w:pPr>
    </w:p>
    <w:p>
      <w:pPr>
        <w:pStyle w:val="24"/>
        <w:jc w:val="center"/>
      </w:pPr>
    </w:p>
    <w:p>
      <w:pPr>
        <w:pStyle w:val="24"/>
        <w:jc w:val="center"/>
      </w:pPr>
    </w:p>
    <w:p>
      <w:pPr>
        <w:pStyle w:val="111"/>
        <w:bidi w:val="0"/>
        <w:rPr>
          <w:rFonts w:hint="default"/>
          <w:lang w:val="en-US" w:eastAsia="zh-CN"/>
        </w:rPr>
      </w:pPr>
      <w:bookmarkStart w:id="39" w:name="EndLine"/>
      <w:r>
        <w:rPr>
          <w:rFonts w:hint="default"/>
          <w:lang w:val="en-US" w:eastAsia="zh-CN"/>
        </w:rPr>
        <w:drawing>
          <wp:inline distT="0" distB="0" distL="114300" distR="114300">
            <wp:extent cx="1485900" cy="317500"/>
            <wp:effectExtent l="0" t="0" r="0" b="6350"/>
            <wp:docPr id="2" name="图片 2" descr="EndLine"/>
            <wp:cNvGraphicFramePr/>
            <a:graphic xmlns:a="http://schemas.openxmlformats.org/drawingml/2006/main">
              <a:graphicData uri="http://schemas.openxmlformats.org/drawingml/2006/picture">
                <pic:pic xmlns:pic="http://schemas.openxmlformats.org/drawingml/2006/picture">
                  <pic:nvPicPr>
                    <pic:cNvPr id="2" name="图片 2" descr="EndLine"/>
                    <pic:cNvPicPr/>
                  </pic:nvPicPr>
                  <pic:blipFill>
                    <a:blip r:embed="rId11"/>
                    <a:stretch>
                      <a:fillRect/>
                    </a:stretch>
                  </pic:blipFill>
                  <pic:spPr>
                    <a:xfrm>
                      <a:off x="0" y="0"/>
                      <a:ext cx="1485900" cy="317500"/>
                    </a:xfrm>
                    <a:prstGeom prst="rect">
                      <a:avLst/>
                    </a:prstGeom>
                  </pic:spPr>
                </pic:pic>
              </a:graphicData>
            </a:graphic>
          </wp:inline>
        </w:drawing>
      </w:r>
      <w:bookmarkEnd w:id="39"/>
    </w:p>
    <w:sectPr>
      <w:footerReference r:id="rId7" w:type="default"/>
      <w:footerReference r:id="rId8" w:type="even"/>
      <w:pgSz w:w="11906" w:h="16838"/>
      <w:pgMar w:top="2410" w:right="1134" w:bottom="1134" w:left="1134" w:header="1418" w:footer="1134" w:gutter="284"/>
      <w:lnNumType w:countBy="0" w:restart="continuou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西文正文">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bidi w:val="0"/>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bidi w:val="0"/>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0"/>
                      <w:bidi w:val="0"/>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bidi w:val="0"/>
      <w:rPr>
        <w:rFonts w:hint="eastAsia" w:eastAsia="宋体"/>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bidi w:val="0"/>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0"/>
                      <w:bidi w:val="0"/>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bidi w:val="0"/>
      <w:jc w:val="left"/>
      <w:rPr>
        <w:rFonts w:hint="default" w:eastAsia="黑体"/>
        <w:lang w:val="en-US" w:eastAsia="zh-CN"/>
      </w:rPr>
    </w:pPr>
    <w:r>
      <w:rPr>
        <w:rFonts w:hint="eastAsia"/>
        <w:lang w:eastAsia="zh-CN"/>
      </w:rPr>
      <w:t xml:space="preserve">T/JALNCP </w:t>
    </w:r>
    <w:r>
      <w:rPr>
        <w:rFonts w:hint="eastAsia"/>
        <w:lang w:val="en-US" w:eastAsia="zh-CN"/>
      </w:rPr>
      <w:t>XXX</w:t>
    </w:r>
    <w:r>
      <w:rPr>
        <w:rFonts w:hint="eastAsia"/>
        <w:lang w:eastAsia="zh-CN"/>
      </w:rPr>
      <w:t>-202</w:t>
    </w:r>
    <w:r>
      <w:rPr>
        <w:rFonts w:hint="eastAsia"/>
        <w:lang w:val="en-US" w:eastAsia="zh-CN"/>
      </w:rPr>
      <w:t>5</w:t>
    </w:r>
  </w:p>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bidi w:val="0"/>
      <w:rPr>
        <w:rFonts w:hint="eastAsia" w:eastAsia="黑体"/>
        <w:lang w:eastAsia="zh-CN"/>
      </w:rPr>
    </w:pPr>
    <w:r>
      <w:rPr>
        <w:rFonts w:hint="eastAsia"/>
        <w:lang w:eastAsia="zh-CN"/>
      </w:rPr>
      <w:t xml:space="preserve">T/JALNCP </w:t>
    </w:r>
    <w:r>
      <w:rPr>
        <w:rFonts w:hint="eastAsia"/>
        <w:lang w:val="en-US" w:eastAsia="zh-CN"/>
      </w:rPr>
      <w:t>X</w:t>
    </w:r>
    <w:r>
      <w:rPr>
        <w:rFonts w:hint="eastAsia"/>
        <w:lang w:eastAsia="zh-CN"/>
      </w:rPr>
      <w:t>-202</w:t>
    </w:r>
    <w:r>
      <w:rPr>
        <w:rFonts w:hint="eastAsia"/>
        <w:lang w:val="en-US" w:eastAsia="zh-CN"/>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06DB5"/>
    <w:multiLevelType w:val="multilevel"/>
    <w:tmpl w:val="83506DB5"/>
    <w:lvl w:ilvl="0" w:tentative="0">
      <w:start w:val="1"/>
      <w:numFmt w:val="upperLetter"/>
      <w:lvlText w:val="%1"/>
      <w:lvlJc w:val="left"/>
      <w:pPr>
        <w:tabs>
          <w:tab w:val="left" w:pos="0"/>
        </w:tabs>
        <w:ind w:left="0" w:leftChars="0" w:firstLine="0" w:firstLineChars="0"/>
      </w:pPr>
      <w:rPr>
        <w:rFonts w:hint="default"/>
      </w:rPr>
    </w:lvl>
    <w:lvl w:ilvl="1" w:tentative="0">
      <w:start w:val="1"/>
      <w:numFmt w:val="decimal"/>
      <w:pStyle w:val="2"/>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A173C618"/>
    <w:multiLevelType w:val="multilevel"/>
    <w:tmpl w:val="A173C618"/>
    <w:lvl w:ilvl="0" w:tentative="0">
      <w:start w:val="1"/>
      <w:numFmt w:val="none"/>
      <w:pStyle w:val="56"/>
      <w:lvlText w:val="%1——"/>
      <w:lvlJc w:val="left"/>
      <w:pPr>
        <w:tabs>
          <w:tab w:val="left" w:pos="851"/>
        </w:tabs>
        <w:ind w:left="851" w:leftChars="0" w:hanging="426" w:firstLineChars="0"/>
      </w:pPr>
      <w:rPr>
        <w:rFonts w:hint="default" w:ascii="Times New Roman" w:hAnsi="Times New Roman" w:cs="Times New Roman"/>
        <w:sz w:val="20"/>
      </w:rPr>
    </w:lvl>
    <w:lvl w:ilvl="1" w:tentative="0">
      <w:start w:val="1"/>
      <w:numFmt w:val="bullet"/>
      <w:pStyle w:val="57"/>
      <w:lvlText w:val=""/>
      <w:lvlJc w:val="left"/>
      <w:pPr>
        <w:tabs>
          <w:tab w:val="left" w:pos="851"/>
        </w:tabs>
        <w:ind w:left="1270" w:leftChars="0" w:hanging="419" w:firstLineChars="0"/>
      </w:pPr>
      <w:rPr>
        <w:rFonts w:hint="default" w:ascii="Symbol" w:hAnsi="Symbol" w:cs="Symbol"/>
      </w:rPr>
    </w:lvl>
    <w:lvl w:ilvl="2" w:tentative="0">
      <w:start w:val="1"/>
      <w:numFmt w:val="bullet"/>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
    <w:nsid w:val="A2E19707"/>
    <w:multiLevelType w:val="multilevel"/>
    <w:tmpl w:val="A2E19707"/>
    <w:lvl w:ilvl="0" w:tentative="0">
      <w:start w:val="1"/>
      <w:numFmt w:val="none"/>
      <w:pStyle w:val="103"/>
      <w:suff w:val="nothing"/>
      <w:lvlText w:val="示例："/>
      <w:lvlJc w:val="left"/>
      <w:pPr>
        <w:ind w:left="0" w:leftChars="0" w:firstLine="363" w:firstLineChars="0"/>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A52F0134"/>
    <w:multiLevelType w:val="multilevel"/>
    <w:tmpl w:val="A52F0134"/>
    <w:lvl w:ilvl="0" w:tentative="0">
      <w:start w:val="1"/>
      <w:numFmt w:val="upperLetter"/>
      <w:pStyle w:val="87"/>
      <w:suff w:val="nothing"/>
      <w:lvlText w:val="附录%1"/>
      <w:lvlJc w:val="left"/>
      <w:pPr>
        <w:ind w:left="0" w:leftChars="0" w:firstLine="0" w:firstLineChars="0"/>
      </w:pPr>
      <w:rPr>
        <w:rFonts w:hint="default"/>
        <w:spacing w:val="102"/>
      </w:rPr>
    </w:lvl>
    <w:lvl w:ilvl="1" w:tentative="0">
      <w:start w:val="1"/>
      <w:numFmt w:val="decimal"/>
      <w:pStyle w:val="88"/>
      <w:suff w:val="nothing"/>
      <w:lvlText w:val="%1.%2　"/>
      <w:lvlJc w:val="left"/>
      <w:pPr>
        <w:ind w:left="0" w:leftChars="0" w:firstLine="0" w:firstLineChars="0"/>
      </w:pPr>
      <w:rPr>
        <w:rFonts w:hint="default" w:ascii="黑体" w:hAnsi="黑体" w:eastAsia="黑体" w:cs="黑体"/>
        <w:sz w:val="20"/>
      </w:rPr>
    </w:lvl>
    <w:lvl w:ilvl="2" w:tentative="0">
      <w:start w:val="1"/>
      <w:numFmt w:val="decimal"/>
      <w:pStyle w:val="89"/>
      <w:suff w:val="nothing"/>
      <w:lvlText w:val="%1.%2.%3　"/>
      <w:lvlJc w:val="left"/>
      <w:pPr>
        <w:ind w:left="0" w:leftChars="0" w:firstLine="0" w:firstLineChars="0"/>
      </w:pPr>
      <w:rPr>
        <w:rFonts w:hint="default" w:ascii="黑体" w:hAnsi="黑体" w:eastAsia="黑体" w:cs="黑体"/>
        <w:sz w:val="20"/>
      </w:rPr>
    </w:lvl>
    <w:lvl w:ilvl="3" w:tentative="0">
      <w:start w:val="1"/>
      <w:numFmt w:val="decimal"/>
      <w:pStyle w:val="90"/>
      <w:suff w:val="nothing"/>
      <w:lvlText w:val="%1.%2.%3.%4　"/>
      <w:lvlJc w:val="left"/>
      <w:pPr>
        <w:ind w:left="0" w:leftChars="0" w:firstLine="0" w:firstLineChars="0"/>
      </w:pPr>
      <w:rPr>
        <w:rFonts w:hint="default" w:ascii="黑体" w:hAnsi="黑体" w:eastAsia="黑体" w:cs="黑体"/>
        <w:sz w:val="20"/>
      </w:rPr>
    </w:lvl>
    <w:lvl w:ilvl="4" w:tentative="0">
      <w:start w:val="1"/>
      <w:numFmt w:val="decimal"/>
      <w:pStyle w:val="91"/>
      <w:suff w:val="nothing"/>
      <w:lvlText w:val="%1.%2.%3.%4.%5　"/>
      <w:lvlJc w:val="left"/>
      <w:pPr>
        <w:ind w:left="0" w:leftChars="0" w:firstLine="0" w:firstLineChars="0"/>
      </w:pPr>
      <w:rPr>
        <w:rFonts w:hint="default" w:ascii="黑体" w:hAnsi="黑体" w:eastAsia="黑体" w:cs="黑体"/>
        <w:sz w:val="20"/>
      </w:rPr>
    </w:lvl>
    <w:lvl w:ilvl="5" w:tentative="0">
      <w:start w:val="1"/>
      <w:numFmt w:val="decimal"/>
      <w:pStyle w:val="92"/>
      <w:suff w:val="nothing"/>
      <w:lvlText w:val="%1.%2.%3.%4.%5.%6　"/>
      <w:lvlJc w:val="left"/>
      <w:pPr>
        <w:ind w:left="0" w:leftChars="0" w:firstLine="0" w:firstLineChars="0"/>
      </w:pPr>
      <w:rPr>
        <w:rFonts w:hint="default" w:ascii="黑体" w:hAnsi="黑体" w:eastAsia="黑体" w:cs="黑体"/>
        <w:sz w:val="20"/>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B90C819A"/>
    <w:multiLevelType w:val="multilevel"/>
    <w:tmpl w:val="B90C819A"/>
    <w:lvl w:ilvl="0" w:tentative="0">
      <w:start w:val="1"/>
      <w:numFmt w:val="decimal"/>
      <w:pStyle w:val="71"/>
      <w:suff w:val="nothing"/>
      <w:lvlText w:val="%1　"/>
      <w:lvlJc w:val="left"/>
      <w:pPr>
        <w:ind w:left="0" w:leftChars="0" w:firstLine="0" w:firstLineChars="0"/>
      </w:pPr>
      <w:rPr>
        <w:rFonts w:hint="default" w:ascii="黑体" w:hAnsi="黑体" w:eastAsia="黑体" w:cs="黑体"/>
        <w:sz w:val="20"/>
      </w:rPr>
    </w:lvl>
    <w:lvl w:ilvl="1" w:tentative="0">
      <w:start w:val="1"/>
      <w:numFmt w:val="decimal"/>
      <w:pStyle w:val="72"/>
      <w:suff w:val="nothing"/>
      <w:lvlText w:val="%1.%2　"/>
      <w:lvlJc w:val="left"/>
      <w:pPr>
        <w:ind w:left="0" w:leftChars="0" w:firstLine="0" w:firstLineChars="0"/>
      </w:pPr>
      <w:rPr>
        <w:rFonts w:hint="default" w:ascii="黑体" w:hAnsi="黑体" w:eastAsia="黑体" w:cs="黑体"/>
        <w:sz w:val="20"/>
      </w:rPr>
    </w:lvl>
    <w:lvl w:ilvl="2" w:tentative="0">
      <w:start w:val="1"/>
      <w:numFmt w:val="decimal"/>
      <w:pStyle w:val="73"/>
      <w:suff w:val="nothing"/>
      <w:lvlText w:val="%1.%2.%3　"/>
      <w:lvlJc w:val="left"/>
      <w:pPr>
        <w:ind w:left="0" w:leftChars="0" w:firstLine="0" w:firstLineChars="0"/>
      </w:pPr>
      <w:rPr>
        <w:rFonts w:hint="default" w:ascii="黑体" w:hAnsi="黑体" w:eastAsia="黑体" w:cs="黑体"/>
        <w:sz w:val="20"/>
      </w:rPr>
    </w:lvl>
    <w:lvl w:ilvl="3" w:tentative="0">
      <w:start w:val="1"/>
      <w:numFmt w:val="decimal"/>
      <w:pStyle w:val="74"/>
      <w:suff w:val="nothing"/>
      <w:lvlText w:val="%1.%2.%3.%4　"/>
      <w:lvlJc w:val="left"/>
      <w:pPr>
        <w:ind w:left="0" w:leftChars="0" w:firstLine="0" w:firstLineChars="0"/>
      </w:pPr>
      <w:rPr>
        <w:rFonts w:hint="default" w:ascii="黑体" w:hAnsi="黑体" w:eastAsia="黑体" w:cs="黑体"/>
        <w:sz w:val="20"/>
      </w:rPr>
    </w:lvl>
    <w:lvl w:ilvl="4" w:tentative="0">
      <w:start w:val="1"/>
      <w:numFmt w:val="decimal"/>
      <w:pStyle w:val="75"/>
      <w:suff w:val="nothing"/>
      <w:lvlText w:val="%1.%2.%3.%4.%5　"/>
      <w:lvlJc w:val="left"/>
      <w:pPr>
        <w:ind w:left="0" w:leftChars="0" w:firstLine="0" w:firstLineChars="0"/>
      </w:pPr>
      <w:rPr>
        <w:rFonts w:hint="default" w:ascii="黑体" w:hAnsi="黑体" w:eastAsia="黑体" w:cs="黑体"/>
        <w:sz w:val="20"/>
      </w:rPr>
    </w:lvl>
    <w:lvl w:ilvl="5" w:tentative="0">
      <w:start w:val="1"/>
      <w:numFmt w:val="decimal"/>
      <w:pStyle w:val="76"/>
      <w:suff w:val="nothing"/>
      <w:lvlText w:val="%1.%2.%3.%4.%5.%6　"/>
      <w:lvlJc w:val="left"/>
      <w:pPr>
        <w:ind w:left="0" w:leftChars="0" w:firstLine="0" w:firstLineChars="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5">
    <w:nsid w:val="C0777F62"/>
    <w:multiLevelType w:val="multilevel"/>
    <w:tmpl w:val="C0777F62"/>
    <w:lvl w:ilvl="0" w:tentative="0">
      <w:start w:val="1"/>
      <w:numFmt w:val="decimal"/>
      <w:pStyle w:val="112"/>
      <w:suff w:val="nothing"/>
      <w:lvlText w:val="表%1  "/>
      <w:lvlJc w:val="left"/>
      <w:pPr>
        <w:tabs>
          <w:tab w:val="left" w:pos="539"/>
        </w:tabs>
        <w:ind w:left="0" w:leftChars="0" w:firstLine="0" w:firstLineChars="0"/>
      </w:pPr>
      <w:rPr>
        <w:rFonts w:hint="eastAsia" w:ascii="黑体" w:hAnsi="黑体" w:eastAsia="黑体" w:cs="黑体"/>
        <w:sz w:val="21"/>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6">
    <w:nsid w:val="E065AB2D"/>
    <w:multiLevelType w:val="multilevel"/>
    <w:tmpl w:val="E065AB2D"/>
    <w:lvl w:ilvl="0" w:tentative="0">
      <w:start w:val="1"/>
      <w:numFmt w:val="decimal"/>
      <w:pStyle w:val="106"/>
      <w:suff w:val="nothing"/>
      <w:lvlText w:val="注%1："/>
      <w:lvlJc w:val="left"/>
      <w:pPr>
        <w:ind w:left="811" w:leftChars="0" w:hanging="448" w:firstLineChars="0"/>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7">
    <w:nsid w:val="E31B39B2"/>
    <w:multiLevelType w:val="multilevel"/>
    <w:tmpl w:val="E31B39B2"/>
    <w:lvl w:ilvl="0" w:tentative="0">
      <w:start w:val="1"/>
      <w:numFmt w:val="lowerLetter"/>
      <w:pStyle w:val="59"/>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pStyle w:val="60"/>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pStyle w:val="58"/>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8">
    <w:nsid w:val="E4A9941D"/>
    <w:multiLevelType w:val="multilevel"/>
    <w:tmpl w:val="E4A9941D"/>
    <w:lvl w:ilvl="0" w:tentative="0">
      <w:start w:val="1"/>
      <w:numFmt w:val="decimal"/>
      <w:pStyle w:val="118"/>
      <w:suff w:val="nothing"/>
      <w:lvlText w:val="[%1]  "/>
      <w:lvlJc w:val="left"/>
      <w:pPr>
        <w:ind w:left="0" w:leftChars="0" w:firstLine="363" w:firstLineChars="0"/>
      </w:pPr>
      <w:rPr>
        <w:rFonts w:hint="eastAsia" w:ascii="黑体" w:hAnsi="黑体" w:eastAsia="黑体" w:cs="黑体"/>
        <w:sz w:val="18"/>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9">
    <w:nsid w:val="FAF8B29E"/>
    <w:multiLevelType w:val="multilevel"/>
    <w:tmpl w:val="FAF8B29E"/>
    <w:lvl w:ilvl="0" w:tentative="0">
      <w:start w:val="1"/>
      <w:numFmt w:val="decimal"/>
      <w:pStyle w:val="113"/>
      <w:suff w:val="nothing"/>
      <w:lvlText w:val="图%1  "/>
      <w:lvlJc w:val="left"/>
      <w:pPr>
        <w:tabs>
          <w:tab w:val="left" w:pos="539"/>
        </w:tabs>
        <w:ind w:left="0" w:leftChars="0" w:firstLine="0" w:firstLineChars="0"/>
      </w:pPr>
      <w:rPr>
        <w:rFonts w:hint="eastAsia" w:ascii="黑体" w:hAnsi="黑体" w:eastAsia="黑体" w:cs="黑体"/>
        <w:sz w:val="21"/>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0196A672"/>
    <w:multiLevelType w:val="multilevel"/>
    <w:tmpl w:val="0196A672"/>
    <w:lvl w:ilvl="0" w:tentative="0">
      <w:start w:val="1"/>
      <w:numFmt w:val="decimal"/>
      <w:pStyle w:val="104"/>
      <w:suff w:val="nothing"/>
      <w:lvlText w:val="示例%1："/>
      <w:lvlJc w:val="left"/>
      <w:pPr>
        <w:ind w:left="0" w:leftChars="0" w:firstLine="363" w:firstLineChars="0"/>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1">
    <w:nsid w:val="02E29276"/>
    <w:multiLevelType w:val="multilevel"/>
    <w:tmpl w:val="02E29276"/>
    <w:lvl w:ilvl="0" w:tentative="0">
      <w:start w:val="1"/>
      <w:numFmt w:val="lowerLetter"/>
      <w:pStyle w:val="107"/>
      <w:lvlText w:val="%1"/>
      <w:lvlJc w:val="left"/>
      <w:pPr>
        <w:tabs>
          <w:tab w:val="left" w:pos="539"/>
        </w:tabs>
        <w:ind w:left="539" w:leftChars="0" w:hanging="119" w:firstLineChars="0"/>
      </w:pPr>
      <w:rPr>
        <w:rFonts w:hint="eastAsia" w:ascii="宋体" w:hAnsi="宋体" w:eastAsia="宋体" w:cs="宋体"/>
        <w:sz w:val="15"/>
        <w:vertAlign w:val="superscript"/>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2">
    <w:nsid w:val="087F8283"/>
    <w:multiLevelType w:val="multilevel"/>
    <w:tmpl w:val="087F8283"/>
    <w:lvl w:ilvl="0" w:tentative="0">
      <w:start w:val="1"/>
      <w:numFmt w:val="decimal"/>
      <w:pStyle w:val="16"/>
      <w:lvlText w:val="%1)"/>
      <w:lvlJc w:val="left"/>
      <w:pPr>
        <w:tabs>
          <w:tab w:val="left" w:pos="0"/>
        </w:tabs>
        <w:ind w:left="720" w:leftChars="0" w:hanging="357" w:firstLineChars="0"/>
      </w:pPr>
      <w:rPr>
        <w:rFonts w:hint="eastAsia" w:ascii="宋体" w:hAnsi="宋体" w:eastAsia="宋体" w:cs="宋体"/>
        <w:sz w:val="15"/>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3">
    <w:nsid w:val="17AECDBE"/>
    <w:multiLevelType w:val="multilevel"/>
    <w:tmpl w:val="17AECDBE"/>
    <w:lvl w:ilvl="0" w:tentative="0">
      <w:start w:val="1"/>
      <w:numFmt w:val="none"/>
      <w:pStyle w:val="105"/>
      <w:suff w:val="nothing"/>
      <w:lvlText w:val="注："/>
      <w:lvlJc w:val="left"/>
      <w:pPr>
        <w:ind w:left="737" w:leftChars="0" w:hanging="374" w:firstLineChars="0"/>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4">
    <w:nsid w:val="1D60AA4C"/>
    <w:multiLevelType w:val="multilevel"/>
    <w:tmpl w:val="1D60AA4C"/>
    <w:lvl w:ilvl="0" w:tentative="0">
      <w:start w:val="1"/>
      <w:numFmt w:val="upperLetter"/>
      <w:pStyle w:val="98"/>
      <w:lvlText w:val="%1"/>
      <w:lvlJc w:val="left"/>
      <w:pPr>
        <w:tabs>
          <w:tab w:val="left" w:pos="0"/>
        </w:tabs>
        <w:ind w:left="0" w:leftChars="0" w:firstLine="0" w:firstLineChars="0"/>
      </w:pPr>
      <w:rPr>
        <w:rFonts w:hint="default"/>
      </w:rPr>
    </w:lvl>
    <w:lvl w:ilvl="1" w:tentative="0">
      <w:start w:val="1"/>
      <w:numFmt w:val="decimal"/>
      <w:pStyle w:val="99"/>
      <w:suff w:val="nothing"/>
      <w:lvlText w:val="图%1.%2　"/>
      <w:lvlJc w:val="left"/>
      <w:pPr>
        <w:ind w:left="0" w:leftChars="0" w:firstLine="0" w:firstLineChars="0"/>
      </w:pPr>
      <w:rPr>
        <w:rFonts w:hint="default"/>
      </w:rPr>
    </w:lvl>
    <w:lvl w:ilvl="2" w:tentative="0">
      <w:start w:val="1"/>
      <w:numFmt w:val="decimal"/>
      <w:pStyle w:val="3"/>
      <w:lvlText w:val="%1.%2.%3."/>
      <w:lvlJc w:val="left"/>
      <w:pPr>
        <w:ind w:left="720" w:hanging="720"/>
      </w:pPr>
      <w:rPr>
        <w:rFonts w:hint="default"/>
      </w:rPr>
    </w:lvl>
    <w:lvl w:ilvl="3" w:tentative="0">
      <w:start w:val="1"/>
      <w:numFmt w:val="decimal"/>
      <w:pStyle w:val="4"/>
      <w:lvlText w:val="%1.%2.%3.%4."/>
      <w:lvlJc w:val="left"/>
      <w:pPr>
        <w:ind w:left="864" w:hanging="864"/>
      </w:pPr>
      <w:rPr>
        <w:rFonts w:hint="default"/>
      </w:rPr>
    </w:lvl>
    <w:lvl w:ilvl="4" w:tentative="0">
      <w:start w:val="1"/>
      <w:numFmt w:val="decimal"/>
      <w:pStyle w:val="5"/>
      <w:lvlText w:val="%1.%2.%3.%4.%5."/>
      <w:lvlJc w:val="left"/>
      <w:pPr>
        <w:ind w:left="1008" w:hanging="1008"/>
      </w:pPr>
      <w:rPr>
        <w:rFonts w:hint="default"/>
      </w:rPr>
    </w:lvl>
    <w:lvl w:ilvl="5" w:tentative="0">
      <w:start w:val="1"/>
      <w:numFmt w:val="decimal"/>
      <w:pStyle w:val="6"/>
      <w:lvlText w:val="%1.%2.%3.%4.%5.%6."/>
      <w:lvlJc w:val="left"/>
      <w:pPr>
        <w:ind w:left="1151" w:hanging="1151"/>
      </w:pPr>
      <w:rPr>
        <w:rFonts w:hint="default"/>
      </w:rPr>
    </w:lvl>
    <w:lvl w:ilvl="6" w:tentative="0">
      <w:start w:val="1"/>
      <w:numFmt w:val="decimal"/>
      <w:pStyle w:val="7"/>
      <w:lvlText w:val="%1.%2.%3.%4.%5.%6.%7."/>
      <w:lvlJc w:val="left"/>
      <w:pPr>
        <w:ind w:left="1296" w:hanging="1296"/>
      </w:pPr>
      <w:rPr>
        <w:rFonts w:hint="default"/>
      </w:rPr>
    </w:lvl>
    <w:lvl w:ilvl="7" w:tentative="0">
      <w:start w:val="1"/>
      <w:numFmt w:val="decimal"/>
      <w:pStyle w:val="8"/>
      <w:lvlText w:val="%1.%2.%3.%4.%5.%6.%7.%8."/>
      <w:lvlJc w:val="left"/>
      <w:pPr>
        <w:ind w:left="1440" w:hanging="1440"/>
      </w:pPr>
      <w:rPr>
        <w:rFonts w:hint="default"/>
      </w:rPr>
    </w:lvl>
    <w:lvl w:ilvl="8" w:tentative="0">
      <w:start w:val="1"/>
      <w:numFmt w:val="decimal"/>
      <w:pStyle w:val="9"/>
      <w:lvlText w:val="%1.%2.%3.%4.%5.%6.%7.%8.%9."/>
      <w:lvlJc w:val="left"/>
      <w:pPr>
        <w:ind w:left="1583" w:hanging="1583"/>
      </w:pPr>
      <w:rPr>
        <w:rFonts w:hint="default"/>
      </w:rPr>
    </w:lvl>
  </w:abstractNum>
  <w:abstractNum w:abstractNumId="15">
    <w:nsid w:val="22827D5B"/>
    <w:multiLevelType w:val="multilevel"/>
    <w:tmpl w:val="22827D5B"/>
    <w:lvl w:ilvl="0" w:tentative="0">
      <w:start w:val="1"/>
      <w:numFmt w:val="none"/>
      <w:pStyle w:val="121"/>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6">
    <w:nsid w:val="471C86C0"/>
    <w:multiLevelType w:val="multilevel"/>
    <w:tmpl w:val="471C86C0"/>
    <w:lvl w:ilvl="0" w:tentative="0">
      <w:start w:val="1"/>
      <w:numFmt w:val="upperLetter"/>
      <w:pStyle w:val="100"/>
      <w:lvlText w:val="%1"/>
      <w:lvlJc w:val="left"/>
      <w:pPr>
        <w:tabs>
          <w:tab w:val="left" w:pos="0"/>
        </w:tabs>
        <w:ind w:left="0" w:leftChars="0" w:firstLine="0" w:firstLineChars="0"/>
      </w:pPr>
      <w:rPr>
        <w:rFonts w:hint="default"/>
      </w:rPr>
    </w:lvl>
    <w:lvl w:ilvl="1" w:tentative="0">
      <w:start w:val="1"/>
      <w:numFmt w:val="decimal"/>
      <w:pStyle w:val="101"/>
      <w:suff w:val="nothing"/>
      <w:lvlText w:val="表%1.%2　"/>
      <w:lvlJc w:val="left"/>
      <w:pPr>
        <w:ind w:left="0" w:leftChars="0" w:firstLine="0" w:firstLineChars="0"/>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7">
    <w:nsid w:val="672E8268"/>
    <w:multiLevelType w:val="multilevel"/>
    <w:tmpl w:val="672E8268"/>
    <w:lvl w:ilvl="0" w:tentative="0">
      <w:start w:val="1"/>
      <w:numFmt w:val="none"/>
      <w:pStyle w:val="54"/>
      <w:suff w:val="nothing"/>
      <w:lvlText w:val="%1"/>
      <w:lvlJc w:val="left"/>
      <w:pPr>
        <w:ind w:left="425" w:leftChars="0" w:hanging="425" w:firstLineChars="0"/>
      </w:pPr>
      <w:rPr>
        <w:rFonts w:hint="default"/>
      </w:rPr>
    </w:lvl>
    <w:lvl w:ilvl="1" w:tentative="0">
      <w:start w:val="1"/>
      <w:numFmt w:val="decimal"/>
      <w:pStyle w:val="61"/>
      <w:suff w:val="nothing"/>
      <w:lvlText w:val="%10.%2 "/>
      <w:lvlJc w:val="left"/>
      <w:pPr>
        <w:ind w:left="0" w:leftChars="0" w:firstLine="0" w:firstLineChars="0"/>
      </w:pPr>
      <w:rPr>
        <w:rFonts w:hint="default" w:ascii="黑体" w:hAnsi="黑体" w:eastAsia="黑体" w:cs="黑体"/>
        <w:sz w:val="20"/>
      </w:rPr>
    </w:lvl>
    <w:lvl w:ilvl="2" w:tentative="0">
      <w:start w:val="1"/>
      <w:numFmt w:val="decimal"/>
      <w:pStyle w:val="62"/>
      <w:suff w:val="nothing"/>
      <w:lvlText w:val="%10.%2.%3 "/>
      <w:lvlJc w:val="left"/>
      <w:pPr>
        <w:ind w:left="0" w:leftChars="0" w:firstLine="0" w:firstLineChars="0"/>
      </w:pPr>
      <w:rPr>
        <w:rFonts w:hint="default" w:ascii="黑体" w:hAnsi="黑体" w:eastAsia="黑体" w:cs="黑体"/>
        <w:sz w:val="20"/>
      </w:rPr>
    </w:lvl>
    <w:lvl w:ilvl="3" w:tentative="0">
      <w:start w:val="1"/>
      <w:numFmt w:val="decimal"/>
      <w:pStyle w:val="63"/>
      <w:suff w:val="nothing"/>
      <w:lvlText w:val="%10.%2.%3.%4 "/>
      <w:lvlJc w:val="left"/>
      <w:pPr>
        <w:ind w:left="0" w:leftChars="0" w:firstLine="0" w:firstLineChars="0"/>
      </w:pPr>
      <w:rPr>
        <w:rFonts w:hint="default" w:ascii="黑体" w:hAnsi="黑体" w:eastAsia="黑体" w:cs="黑体"/>
        <w:sz w:val="20"/>
      </w:rPr>
    </w:lvl>
    <w:lvl w:ilvl="4" w:tentative="0">
      <w:start w:val="1"/>
      <w:numFmt w:val="decimal"/>
      <w:pStyle w:val="64"/>
      <w:suff w:val="nothing"/>
      <w:lvlText w:val="%10.%2.%3.%4.%5 "/>
      <w:lvlJc w:val="left"/>
      <w:pPr>
        <w:ind w:left="0" w:leftChars="0" w:firstLine="0" w:firstLineChars="0"/>
      </w:pPr>
      <w:rPr>
        <w:rFonts w:hint="default" w:ascii="黑体" w:hAnsi="黑体" w:eastAsia="黑体" w:cs="黑体"/>
        <w:sz w:val="20"/>
      </w:rPr>
    </w:lvl>
    <w:lvl w:ilvl="5" w:tentative="0">
      <w:start w:val="1"/>
      <w:numFmt w:val="decimal"/>
      <w:pStyle w:val="65"/>
      <w:suff w:val="nothing"/>
      <w:lvlText w:val="%10.%2.%3.%4.%5.%6 "/>
      <w:lvlJc w:val="left"/>
      <w:pPr>
        <w:ind w:left="0" w:leftChars="0" w:firstLine="0" w:firstLineChars="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8">
    <w:nsid w:val="6DBF04F4"/>
    <w:multiLevelType w:val="multilevel"/>
    <w:tmpl w:val="6DBF04F4"/>
    <w:lvl w:ilvl="0" w:tentative="0">
      <w:start w:val="1"/>
      <w:numFmt w:val="none"/>
      <w:pStyle w:val="123"/>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0"/>
  </w:num>
  <w:num w:numId="2">
    <w:abstractNumId w:val="14"/>
  </w:num>
  <w:num w:numId="3">
    <w:abstractNumId w:val="12"/>
  </w:num>
  <w:num w:numId="4">
    <w:abstractNumId w:val="17"/>
  </w:num>
  <w:num w:numId="5">
    <w:abstractNumId w:val="1"/>
  </w:num>
  <w:num w:numId="6">
    <w:abstractNumId w:val="7"/>
  </w:num>
  <w:num w:numId="7">
    <w:abstractNumId w:val="4"/>
  </w:num>
  <w:num w:numId="8">
    <w:abstractNumId w:val="3"/>
  </w:num>
  <w:num w:numId="9">
    <w:abstractNumId w:val="16"/>
  </w:num>
  <w:num w:numId="10">
    <w:abstractNumId w:val="2"/>
  </w:num>
  <w:num w:numId="11">
    <w:abstractNumId w:val="10"/>
  </w:num>
  <w:num w:numId="12">
    <w:abstractNumId w:val="13"/>
  </w:num>
  <w:num w:numId="13">
    <w:abstractNumId w:val="6"/>
  </w:num>
  <w:num w:numId="14">
    <w:abstractNumId w:val="11"/>
  </w:num>
  <w:num w:numId="15">
    <w:abstractNumId w:val="5"/>
  </w:num>
  <w:num w:numId="16">
    <w:abstractNumId w:val="9"/>
  </w:num>
  <w:num w:numId="17">
    <w:abstractNumId w:val="8"/>
  </w:num>
  <w:num w:numId="18">
    <w:abstractNumId w:val="1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lZmQ0OGMzMGJkMWJiYjdhNWZiZDYzMmM4NmQxNjAifQ=="/>
  </w:docVars>
  <w:rsids>
    <w:rsidRoot w:val="22A65372"/>
    <w:rsid w:val="00814795"/>
    <w:rsid w:val="00D56753"/>
    <w:rsid w:val="01F66F31"/>
    <w:rsid w:val="02A36C44"/>
    <w:rsid w:val="02C81BA2"/>
    <w:rsid w:val="02EA1F21"/>
    <w:rsid w:val="03305FFE"/>
    <w:rsid w:val="03E762C0"/>
    <w:rsid w:val="048E4B7A"/>
    <w:rsid w:val="04FD3B5A"/>
    <w:rsid w:val="05E90F42"/>
    <w:rsid w:val="07231362"/>
    <w:rsid w:val="072964BD"/>
    <w:rsid w:val="07391925"/>
    <w:rsid w:val="0A884A60"/>
    <w:rsid w:val="0B2D0A3B"/>
    <w:rsid w:val="0B732F2C"/>
    <w:rsid w:val="0B8B6BB0"/>
    <w:rsid w:val="0C0B585A"/>
    <w:rsid w:val="0D5300B7"/>
    <w:rsid w:val="0FE32D76"/>
    <w:rsid w:val="104E6C88"/>
    <w:rsid w:val="12395B1B"/>
    <w:rsid w:val="126F2404"/>
    <w:rsid w:val="13456138"/>
    <w:rsid w:val="135E24F9"/>
    <w:rsid w:val="136B3A23"/>
    <w:rsid w:val="14C05AAC"/>
    <w:rsid w:val="15B825AF"/>
    <w:rsid w:val="15BD5E17"/>
    <w:rsid w:val="15EC72D4"/>
    <w:rsid w:val="16B512D7"/>
    <w:rsid w:val="172D0D7B"/>
    <w:rsid w:val="17516817"/>
    <w:rsid w:val="178A6520"/>
    <w:rsid w:val="19570989"/>
    <w:rsid w:val="1991739F"/>
    <w:rsid w:val="19AF7825"/>
    <w:rsid w:val="1A1C6A66"/>
    <w:rsid w:val="1A74451A"/>
    <w:rsid w:val="1A91517D"/>
    <w:rsid w:val="1B4950A4"/>
    <w:rsid w:val="1B4B7903"/>
    <w:rsid w:val="1B5C3160"/>
    <w:rsid w:val="1BD45C69"/>
    <w:rsid w:val="1D57438E"/>
    <w:rsid w:val="1D76540F"/>
    <w:rsid w:val="1F8F3F65"/>
    <w:rsid w:val="1FB45B95"/>
    <w:rsid w:val="1FDE5942"/>
    <w:rsid w:val="20282729"/>
    <w:rsid w:val="2032134B"/>
    <w:rsid w:val="20AB2536"/>
    <w:rsid w:val="216D51E3"/>
    <w:rsid w:val="21AF402D"/>
    <w:rsid w:val="21EE5673"/>
    <w:rsid w:val="22A65372"/>
    <w:rsid w:val="23027962"/>
    <w:rsid w:val="23C94DA5"/>
    <w:rsid w:val="2432254F"/>
    <w:rsid w:val="25A03D3B"/>
    <w:rsid w:val="264906B3"/>
    <w:rsid w:val="27635A18"/>
    <w:rsid w:val="283D3F3C"/>
    <w:rsid w:val="28A644E9"/>
    <w:rsid w:val="293B2954"/>
    <w:rsid w:val="293F1394"/>
    <w:rsid w:val="29464A42"/>
    <w:rsid w:val="2AD74E2E"/>
    <w:rsid w:val="2DBB27E5"/>
    <w:rsid w:val="2DE57862"/>
    <w:rsid w:val="2E5261A0"/>
    <w:rsid w:val="2F174FB1"/>
    <w:rsid w:val="320631E0"/>
    <w:rsid w:val="33212825"/>
    <w:rsid w:val="334E5558"/>
    <w:rsid w:val="33C8725F"/>
    <w:rsid w:val="34637DC3"/>
    <w:rsid w:val="3510196C"/>
    <w:rsid w:val="353E23A2"/>
    <w:rsid w:val="357E174A"/>
    <w:rsid w:val="35904557"/>
    <w:rsid w:val="3681294D"/>
    <w:rsid w:val="36923812"/>
    <w:rsid w:val="36A81089"/>
    <w:rsid w:val="36DA7652"/>
    <w:rsid w:val="38096F9A"/>
    <w:rsid w:val="38A5438E"/>
    <w:rsid w:val="38DB11B5"/>
    <w:rsid w:val="38F0287E"/>
    <w:rsid w:val="391B5FAD"/>
    <w:rsid w:val="3B64270E"/>
    <w:rsid w:val="3C2105FF"/>
    <w:rsid w:val="3C925059"/>
    <w:rsid w:val="3E301586"/>
    <w:rsid w:val="3F6B4657"/>
    <w:rsid w:val="40267F92"/>
    <w:rsid w:val="4067683A"/>
    <w:rsid w:val="409B6018"/>
    <w:rsid w:val="41367B0D"/>
    <w:rsid w:val="422406F0"/>
    <w:rsid w:val="42F16CF9"/>
    <w:rsid w:val="430324AD"/>
    <w:rsid w:val="433B01F8"/>
    <w:rsid w:val="44476729"/>
    <w:rsid w:val="44E85E5F"/>
    <w:rsid w:val="45E83F3B"/>
    <w:rsid w:val="46D80988"/>
    <w:rsid w:val="46FA335C"/>
    <w:rsid w:val="480C4D01"/>
    <w:rsid w:val="48454B9C"/>
    <w:rsid w:val="488A3088"/>
    <w:rsid w:val="4904108C"/>
    <w:rsid w:val="497004D0"/>
    <w:rsid w:val="49D00F6E"/>
    <w:rsid w:val="4AA53F92"/>
    <w:rsid w:val="4BD90727"/>
    <w:rsid w:val="4C445F49"/>
    <w:rsid w:val="4D1879C1"/>
    <w:rsid w:val="4D1F0612"/>
    <w:rsid w:val="4D9D2C0C"/>
    <w:rsid w:val="4EBE7F2F"/>
    <w:rsid w:val="4F0E056F"/>
    <w:rsid w:val="5019366F"/>
    <w:rsid w:val="5024608B"/>
    <w:rsid w:val="50B145A5"/>
    <w:rsid w:val="50C80BF1"/>
    <w:rsid w:val="51811129"/>
    <w:rsid w:val="52FD1026"/>
    <w:rsid w:val="53424C8B"/>
    <w:rsid w:val="53542C10"/>
    <w:rsid w:val="53D936D9"/>
    <w:rsid w:val="545C7B61"/>
    <w:rsid w:val="54B41BB8"/>
    <w:rsid w:val="569254F2"/>
    <w:rsid w:val="57603931"/>
    <w:rsid w:val="5A2D7CD1"/>
    <w:rsid w:val="5AA75D1B"/>
    <w:rsid w:val="5BE41C93"/>
    <w:rsid w:val="5D050F60"/>
    <w:rsid w:val="5D50269A"/>
    <w:rsid w:val="5DD13F74"/>
    <w:rsid w:val="5E167662"/>
    <w:rsid w:val="5E2C229D"/>
    <w:rsid w:val="5EC91604"/>
    <w:rsid w:val="5FA153D1"/>
    <w:rsid w:val="60535440"/>
    <w:rsid w:val="6098585B"/>
    <w:rsid w:val="60C62FD2"/>
    <w:rsid w:val="632E2B36"/>
    <w:rsid w:val="657E056F"/>
    <w:rsid w:val="665E1984"/>
    <w:rsid w:val="66ED765A"/>
    <w:rsid w:val="66F372F7"/>
    <w:rsid w:val="681C38A5"/>
    <w:rsid w:val="68926770"/>
    <w:rsid w:val="69C05D8A"/>
    <w:rsid w:val="6B40524A"/>
    <w:rsid w:val="6C78431D"/>
    <w:rsid w:val="6D327D8A"/>
    <w:rsid w:val="6DCD0D4F"/>
    <w:rsid w:val="721A1187"/>
    <w:rsid w:val="72B602C2"/>
    <w:rsid w:val="74546F93"/>
    <w:rsid w:val="75461F61"/>
    <w:rsid w:val="769978E8"/>
    <w:rsid w:val="778020AA"/>
    <w:rsid w:val="7833512C"/>
    <w:rsid w:val="7879264D"/>
    <w:rsid w:val="7A444F15"/>
    <w:rsid w:val="7AC1097F"/>
    <w:rsid w:val="7AE2097E"/>
    <w:rsid w:val="7AF60CEA"/>
    <w:rsid w:val="7BD36518"/>
    <w:rsid w:val="7CAD6117"/>
    <w:rsid w:val="7D6514FE"/>
    <w:rsid w:val="7E284A85"/>
    <w:rsid w:val="7E461224"/>
    <w:rsid w:val="7EF96296"/>
    <w:rsid w:val="7FBF1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宋体" w:hAnsi="Times New Roman" w:eastAsia="宋体" w:cs="宋体"/>
      <w:kern w:val="2"/>
      <w:sz w:val="21"/>
      <w:szCs w:val="24"/>
      <w:lang w:val="en-US" w:eastAsia="zh-CN" w:bidi="ar-SA"/>
    </w:rPr>
  </w:style>
  <w:style w:type="paragraph" w:styleId="2">
    <w:name w:val="heading 2"/>
    <w:basedOn w:val="1"/>
    <w:next w:val="1"/>
    <w:unhideWhenUsed/>
    <w:qFormat/>
    <w:uiPriority w:val="0"/>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黑体"/>
      <w:b/>
      <w:sz w:val="32"/>
    </w:rPr>
  </w:style>
  <w:style w:type="paragraph" w:styleId="3">
    <w:name w:val="heading 3"/>
    <w:basedOn w:val="1"/>
    <w:next w:val="1"/>
    <w:unhideWhenUsed/>
    <w:qFormat/>
    <w:uiPriority w:val="0"/>
    <w:pPr>
      <w:keepNext/>
      <w:keepLines/>
      <w:numPr>
        <w:ilvl w:val="2"/>
        <w:numId w:val="2"/>
      </w:numPr>
      <w:spacing w:before="260" w:beforeLines="0" w:beforeAutospacing="0" w:after="260" w:afterLines="0" w:afterAutospacing="0" w:line="413" w:lineRule="auto"/>
      <w:ind w:left="720" w:hanging="720"/>
      <w:outlineLvl w:val="2"/>
    </w:pPr>
    <w:rPr>
      <w:b/>
      <w:sz w:val="32"/>
    </w:rPr>
  </w:style>
  <w:style w:type="paragraph" w:styleId="4">
    <w:name w:val="heading 4"/>
    <w:basedOn w:val="1"/>
    <w:next w:val="1"/>
    <w:unhideWhenUsed/>
    <w:qFormat/>
    <w:uiPriority w:val="0"/>
    <w:pPr>
      <w:keepNext/>
      <w:keepLines/>
      <w:numPr>
        <w:ilvl w:val="3"/>
        <w:numId w:val="2"/>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5">
    <w:name w:val="heading 5"/>
    <w:basedOn w:val="1"/>
    <w:next w:val="1"/>
    <w:unhideWhenUsed/>
    <w:qFormat/>
    <w:uiPriority w:val="0"/>
    <w:pPr>
      <w:keepNext/>
      <w:keepLines/>
      <w:numPr>
        <w:ilvl w:val="4"/>
        <w:numId w:val="2"/>
      </w:numPr>
      <w:spacing w:before="280" w:beforeLines="0" w:beforeAutospacing="0" w:after="290" w:afterLines="0" w:afterAutospacing="0" w:line="372" w:lineRule="auto"/>
      <w:ind w:left="1008" w:hanging="1008"/>
      <w:outlineLvl w:val="4"/>
    </w:pPr>
    <w:rPr>
      <w:b/>
      <w:sz w:val="28"/>
    </w:rPr>
  </w:style>
  <w:style w:type="paragraph" w:styleId="6">
    <w:name w:val="heading 6"/>
    <w:basedOn w:val="1"/>
    <w:next w:val="1"/>
    <w:unhideWhenUsed/>
    <w:qFormat/>
    <w:uiPriority w:val="0"/>
    <w:pPr>
      <w:keepNext/>
      <w:keepLines/>
      <w:numPr>
        <w:ilvl w:val="5"/>
        <w:numId w:val="2"/>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7">
    <w:name w:val="heading 7"/>
    <w:basedOn w:val="1"/>
    <w:next w:val="1"/>
    <w:unhideWhenUsed/>
    <w:qFormat/>
    <w:uiPriority w:val="0"/>
    <w:pPr>
      <w:keepNext/>
      <w:keepLines/>
      <w:numPr>
        <w:ilvl w:val="6"/>
        <w:numId w:val="2"/>
      </w:numPr>
      <w:spacing w:before="240" w:beforeLines="0" w:beforeAutospacing="0" w:after="64" w:afterLines="0" w:afterAutospacing="0" w:line="317" w:lineRule="auto"/>
      <w:ind w:left="1296" w:hanging="1296"/>
      <w:outlineLvl w:val="6"/>
    </w:pPr>
    <w:rPr>
      <w:b/>
      <w:sz w:val="24"/>
    </w:rPr>
  </w:style>
  <w:style w:type="paragraph" w:styleId="8">
    <w:name w:val="heading 8"/>
    <w:basedOn w:val="1"/>
    <w:next w:val="1"/>
    <w:unhideWhenUsed/>
    <w:qFormat/>
    <w:uiPriority w:val="0"/>
    <w:pPr>
      <w:keepNext/>
      <w:keepLines/>
      <w:numPr>
        <w:ilvl w:val="7"/>
        <w:numId w:val="2"/>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9">
    <w:name w:val="heading 9"/>
    <w:basedOn w:val="1"/>
    <w:next w:val="1"/>
    <w:unhideWhenUsed/>
    <w:qFormat/>
    <w:uiPriority w:val="0"/>
    <w:pPr>
      <w:keepNext/>
      <w:keepLines/>
      <w:numPr>
        <w:ilvl w:val="8"/>
        <w:numId w:val="2"/>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1">
    <w:name w:val="Default Paragraph Font"/>
    <w:semiHidden/>
    <w:qFormat/>
    <w:uiPriority w:val="0"/>
    <w:rPr>
      <w:rFonts w:hint="eastAsia" w:ascii="宋体" w:hAnsi="Times New Roman" w:eastAsia="宋体" w:cs="Times New Roman"/>
      <w:sz w:val="21"/>
    </w:rPr>
  </w:style>
  <w:style w:type="table" w:default="1" w:styleId="19">
    <w:name w:val="Normal Table"/>
    <w:semiHidden/>
    <w:qFormat/>
    <w:uiPriority w:val="0"/>
    <w:tblPr>
      <w:tblCellMar>
        <w:top w:w="0" w:type="dxa"/>
        <w:left w:w="108" w:type="dxa"/>
        <w:bottom w:w="0" w:type="dxa"/>
        <w:right w:w="108" w:type="dxa"/>
      </w:tblCellMar>
    </w:tblPr>
  </w:style>
  <w:style w:type="paragraph" w:styleId="10">
    <w:name w:val="toc 5"/>
    <w:basedOn w:val="1"/>
    <w:next w:val="1"/>
    <w:qFormat/>
    <w:uiPriority w:val="0"/>
    <w:pPr>
      <w:spacing w:line="300" w:lineRule="exact"/>
      <w:ind w:left="1680" w:leftChars="800"/>
    </w:pPr>
    <w:rPr>
      <w:rFonts w:hAnsi="宋体"/>
    </w:rPr>
  </w:style>
  <w:style w:type="paragraph" w:styleId="11">
    <w:name w:val="toc 3"/>
    <w:basedOn w:val="1"/>
    <w:next w:val="1"/>
    <w:qFormat/>
    <w:uiPriority w:val="0"/>
    <w:pPr>
      <w:spacing w:line="300" w:lineRule="exact"/>
      <w:ind w:left="840" w:leftChars="400"/>
    </w:pPr>
    <w:rPr>
      <w:rFonts w:hAnsi="宋体"/>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pPr>
      <w:spacing w:line="400" w:lineRule="exact"/>
    </w:pPr>
    <w:rPr>
      <w:rFonts w:hAnsi="宋体"/>
    </w:rPr>
  </w:style>
  <w:style w:type="paragraph" w:styleId="15">
    <w:name w:val="toc 4"/>
    <w:basedOn w:val="1"/>
    <w:next w:val="1"/>
    <w:qFormat/>
    <w:uiPriority w:val="0"/>
    <w:pPr>
      <w:spacing w:line="300" w:lineRule="exact"/>
      <w:ind w:left="1260" w:leftChars="600"/>
    </w:pPr>
    <w:rPr>
      <w:rFonts w:hAnsi="宋体"/>
    </w:rPr>
  </w:style>
  <w:style w:type="paragraph" w:styleId="16">
    <w:name w:val="footnote text"/>
    <w:basedOn w:val="1"/>
    <w:qFormat/>
    <w:uiPriority w:val="0"/>
    <w:pPr>
      <w:widowControl/>
      <w:numPr>
        <w:ilvl w:val="0"/>
        <w:numId w:val="3"/>
      </w:numPr>
      <w:autoSpaceDE w:val="0"/>
      <w:autoSpaceDN w:val="0"/>
      <w:snapToGrid/>
      <w:ind w:left="1380" w:leftChars="200" w:hanging="960" w:hangingChars="200"/>
      <w:jc w:val="both"/>
    </w:pPr>
    <w:rPr>
      <w:rFonts w:hAnsi="宋体"/>
      <w:sz w:val="15"/>
    </w:rPr>
  </w:style>
  <w:style w:type="paragraph" w:styleId="17">
    <w:name w:val="toc 6"/>
    <w:basedOn w:val="1"/>
    <w:next w:val="1"/>
    <w:qFormat/>
    <w:uiPriority w:val="0"/>
    <w:pPr>
      <w:spacing w:line="300" w:lineRule="exact"/>
      <w:ind w:left="2100" w:leftChars="1000"/>
    </w:pPr>
    <w:rPr>
      <w:rFonts w:hAnsi="宋体"/>
    </w:rPr>
  </w:style>
  <w:style w:type="paragraph" w:styleId="18">
    <w:name w:val="toc 2"/>
    <w:basedOn w:val="1"/>
    <w:next w:val="1"/>
    <w:qFormat/>
    <w:uiPriority w:val="0"/>
    <w:pPr>
      <w:spacing w:line="300" w:lineRule="exact"/>
      <w:ind w:left="420" w:leftChars="200"/>
    </w:pPr>
    <w:rPr>
      <w:rFonts w:hAnsi="宋体"/>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footnote reference"/>
    <w:basedOn w:val="21"/>
    <w:qFormat/>
    <w:uiPriority w:val="0"/>
    <w:rPr>
      <w:rFonts w:hAnsi="宋体" w:cs="宋体"/>
      <w:sz w:val="18"/>
      <w:vertAlign w:val="superscript"/>
    </w:rPr>
  </w:style>
  <w:style w:type="paragraph" w:customStyle="1" w:styleId="24">
    <w:name w:val="标准文件_段"/>
    <w:qFormat/>
    <w:uiPriority w:val="0"/>
    <w:pPr>
      <w:ind w:firstLine="960" w:firstLineChars="200"/>
      <w:jc w:val="both"/>
    </w:pPr>
    <w:rPr>
      <w:rFonts w:hint="eastAsia" w:ascii="宋体" w:hAnsi="Times New Roman" w:eastAsia="宋体" w:cs="宋体"/>
      <w:sz w:val="21"/>
    </w:rPr>
  </w:style>
  <w:style w:type="paragraph" w:customStyle="1" w:styleId="25">
    <w:name w:val="标准标志"/>
    <w:next w:val="1"/>
    <w:qFormat/>
    <w:uiPriority w:val="0"/>
    <w:pPr>
      <w:framePr w:w="2546" w:h="1134" w:hRule="exact" w:hSpace="181" w:wrap="around" w:vAnchor="margin" w:hAnchor="margin" w:x="6521" w:y="421" w:anchorLock="1"/>
      <w:shd w:val="clear" w:fill="FFFFFF"/>
      <w:spacing w:line="0" w:lineRule="atLeast"/>
      <w:jc w:val="right"/>
    </w:pPr>
    <w:rPr>
      <w:rFonts w:hint="eastAsia" w:ascii="Times New Roman" w:hAnsi="Times New Roman" w:eastAsia="宋体" w:cs="Times New Roman"/>
      <w:b/>
      <w:w w:val="170"/>
      <w:sz w:val="96"/>
    </w:rPr>
  </w:style>
  <w:style w:type="paragraph" w:customStyle="1" w:styleId="26">
    <w:name w:val="标准标志2"/>
    <w:next w:val="1"/>
    <w:qFormat/>
    <w:uiPriority w:val="0"/>
    <w:pPr>
      <w:framePr w:wrap="around" w:vAnchor="margin" w:hAnchor="margin" w:x="5614" w:y="398" w:anchorLock="1"/>
      <w:spacing w:line="0" w:lineRule="atLeast"/>
      <w:jc w:val="right"/>
    </w:pPr>
    <w:rPr>
      <w:rFonts w:hint="eastAsia" w:ascii="Times New Roman" w:hAnsi="Times New Roman" w:eastAsia="宋体" w:cs="Times New Roman"/>
      <w:b/>
      <w:w w:val="130"/>
      <w:sz w:val="96"/>
    </w:rPr>
  </w:style>
  <w:style w:type="paragraph" w:customStyle="1" w:styleId="27">
    <w:name w:val="标准称谓"/>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宋体" w:hAnsi="Times New Roman" w:eastAsia="宋体" w:cs="Times New Roman"/>
      <w:b/>
      <w:w w:val="148"/>
      <w:sz w:val="48"/>
    </w:rPr>
  </w:style>
  <w:style w:type="paragraph" w:customStyle="1" w:styleId="28">
    <w:name w:val="标准称谓2"/>
    <w:next w:val="1"/>
    <w:qFormat/>
    <w:uiPriority w:val="0"/>
    <w:pPr>
      <w:framePr w:w="6781" w:h="907" w:hRule="exact" w:hSpace="181" w:vSpace="181" w:wrap="around" w:vAnchor="page" w:hAnchor="page" w:xAlign="center" w:y="2269" w:anchorLock="1"/>
      <w:widowControl w:val="0"/>
      <w:kinsoku w:val="0"/>
      <w:overflowPunct w:val="0"/>
      <w:autoSpaceDE w:val="0"/>
      <w:autoSpaceDN w:val="0"/>
      <w:spacing w:line="0" w:lineRule="atLeast"/>
      <w:jc w:val="distribute"/>
    </w:pPr>
    <w:rPr>
      <w:rFonts w:hint="eastAsia" w:ascii="Times New Roman" w:hAnsi="Times New Roman" w:eastAsia="黑体" w:cs="Times New Roman"/>
      <w:spacing w:val="-40"/>
      <w:kern w:val="2"/>
      <w:sz w:val="72"/>
      <w:szCs w:val="72"/>
    </w:rPr>
  </w:style>
  <w:style w:type="paragraph" w:customStyle="1" w:styleId="29">
    <w:name w:val="标准称谓3"/>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黑体" w:hAnsi="Times New Roman" w:eastAsia="黑体" w:cs="Times New Roman"/>
      <w:sz w:val="48"/>
    </w:rPr>
  </w:style>
  <w:style w:type="paragraph" w:customStyle="1" w:styleId="30">
    <w:name w:val="标准书脚_奇数页"/>
    <w:qFormat/>
    <w:uiPriority w:val="0"/>
    <w:pPr>
      <w:ind w:right="227"/>
      <w:jc w:val="right"/>
    </w:pPr>
    <w:rPr>
      <w:rFonts w:hint="eastAsia" w:ascii="宋体" w:hAnsi="Times New Roman" w:eastAsia="宋体" w:cs="宋体"/>
      <w:sz w:val="18"/>
    </w:rPr>
  </w:style>
  <w:style w:type="paragraph" w:customStyle="1" w:styleId="31">
    <w:name w:val="标准书眉_奇数页"/>
    <w:next w:val="1"/>
    <w:qFormat/>
    <w:uiPriority w:val="0"/>
    <w:pPr>
      <w:tabs>
        <w:tab w:val="center" w:pos="4153"/>
        <w:tab w:val="right" w:pos="8306"/>
      </w:tabs>
      <w:spacing w:after="120"/>
      <w:jc w:val="right"/>
    </w:pPr>
    <w:rPr>
      <w:rFonts w:hint="eastAsia" w:ascii="黑体" w:hAnsi="Times New Roman" w:eastAsia="黑体" w:cs="黑体"/>
      <w:sz w:val="21"/>
    </w:rPr>
  </w:style>
  <w:style w:type="paragraph" w:customStyle="1" w:styleId="32">
    <w:name w:val="标准书眉_偶数页"/>
    <w:next w:val="1"/>
    <w:qFormat/>
    <w:uiPriority w:val="0"/>
    <w:pPr>
      <w:spacing w:after="120"/>
    </w:pPr>
    <w:rPr>
      <w:rFonts w:hint="eastAsia" w:ascii="黑体" w:hAnsi="Times New Roman" w:eastAsia="黑体" w:cs="黑体"/>
      <w:sz w:val="21"/>
    </w:rPr>
  </w:style>
  <w:style w:type="paragraph" w:customStyle="1" w:styleId="33">
    <w:name w:val="标准文件_参考文献标题"/>
    <w:basedOn w:val="1"/>
    <w:next w:val="1"/>
    <w:qFormat/>
    <w:uiPriority w:val="0"/>
    <w:pPr>
      <w:widowControl/>
      <w:spacing w:before="126" w:beforeLines="40" w:after="157" w:afterLines="50"/>
      <w:jc w:val="center"/>
      <w:outlineLvl w:val="0"/>
    </w:pPr>
    <w:rPr>
      <w:rFonts w:ascii="黑体" w:hAnsi="Times New Roman" w:eastAsia="黑体" w:cs="黑体"/>
      <w:kern w:val="0"/>
    </w:rPr>
  </w:style>
  <w:style w:type="paragraph" w:customStyle="1" w:styleId="34">
    <w:name w:val="封面标准顶部线"/>
    <w:qFormat/>
    <w:uiPriority w:val="0"/>
    <w:pPr>
      <w:framePr w:w="9673" w:hSpace="181" w:wrap="around" w:vAnchor="page" w:hAnchor="page" w:x="1390" w:y="4242"/>
      <w:spacing w:line="0" w:lineRule="atLeast"/>
    </w:pPr>
    <w:rPr>
      <w:rFonts w:hint="eastAsia" w:ascii="宋体" w:hAnsi="Times New Roman" w:eastAsia="宋体" w:cs="Times New Roman"/>
      <w:sz w:val="21"/>
    </w:rPr>
  </w:style>
  <w:style w:type="paragraph" w:customStyle="1" w:styleId="35">
    <w:name w:val="发布部门"/>
    <w:next w:val="24"/>
    <w:qFormat/>
    <w:uiPriority w:val="0"/>
    <w:pPr>
      <w:framePr w:w="7938" w:h="1134" w:hRule="exact" w:hSpace="125" w:vSpace="181" w:wrap="around" w:vAnchor="page" w:hAnchor="page" w:x="2150" w:y="14630" w:anchorLock="1"/>
      <w:spacing w:before="100"/>
      <w:jc w:val="center"/>
    </w:pPr>
    <w:rPr>
      <w:rFonts w:hint="eastAsia" w:ascii="宋体" w:hAnsi="Times New Roman" w:eastAsia="宋体" w:cs="Times New Roman"/>
      <w:spacing w:val="20"/>
      <w:w w:val="135"/>
      <w:sz w:val="28"/>
    </w:rPr>
  </w:style>
  <w:style w:type="paragraph" w:customStyle="1" w:styleId="36">
    <w:name w:val="发布日期"/>
    <w:qFormat/>
    <w:uiPriority w:val="0"/>
    <w:pPr>
      <w:framePr w:w="3997" w:h="471" w:hRule="exact" w:hSpace="181" w:vSpace="181" w:wrap="around" w:vAnchor="margin" w:hAnchor="page" w:y="14080" w:anchorLock="1"/>
      <w:spacing w:line="360" w:lineRule="exact"/>
    </w:pPr>
    <w:rPr>
      <w:rFonts w:hint="eastAsia" w:ascii="黑体" w:hAnsi="Times New Roman" w:eastAsia="黑体" w:cs="Times New Roman"/>
      <w:sz w:val="28"/>
    </w:rPr>
  </w:style>
  <w:style w:type="paragraph" w:customStyle="1" w:styleId="37">
    <w:name w:val="实施日期"/>
    <w:basedOn w:val="36"/>
    <w:qFormat/>
    <w:uiPriority w:val="0"/>
    <w:pPr>
      <w:framePr w:hSpace="0" w:wrap="around" w:vAnchor="page" w:hAnchor="page" w:x="7089" w:y="14176"/>
      <w:jc w:val="right"/>
    </w:pPr>
  </w:style>
  <w:style w:type="paragraph" w:customStyle="1" w:styleId="38">
    <w:name w:val="封面日期"/>
    <w:qFormat/>
    <w:uiPriority w:val="0"/>
    <w:pPr>
      <w:framePr w:w="9673" w:vSpace="181" w:wrap="around" w:vAnchor="page" w:hAnchor="page" w:x="1419" w:y="14176" w:anchorLock="1"/>
      <w:spacing w:line="360" w:lineRule="exact"/>
    </w:pPr>
    <w:rPr>
      <w:rFonts w:hint="eastAsia" w:ascii="黑体" w:hAnsi="Times New Roman" w:eastAsia="黑体" w:cs="Times New Roman"/>
      <w:sz w:val="28"/>
    </w:rPr>
  </w:style>
  <w:style w:type="paragraph" w:customStyle="1" w:styleId="39">
    <w:name w:val="封面标准代替信息"/>
    <w:qFormat/>
    <w:uiPriority w:val="0"/>
    <w:pPr>
      <w:framePr w:w="9355" w:h="624" w:hRule="exact" w:hSpace="181" w:vSpace="181" w:wrap="around" w:vAnchor="page" w:hAnchor="page" w:x="1419" w:y="3284"/>
      <w:spacing w:before="57" w:line="280" w:lineRule="exact"/>
      <w:jc w:val="right"/>
    </w:pPr>
    <w:rPr>
      <w:rFonts w:hint="eastAsia" w:ascii="黑体" w:hAnsi="Times New Roman" w:eastAsia="黑体" w:cs="Times New Roman"/>
      <w:sz w:val="21"/>
    </w:rPr>
  </w:style>
  <w:style w:type="paragraph" w:customStyle="1" w:styleId="40">
    <w:name w:val="封面标准号2"/>
    <w:qFormat/>
    <w:uiPriority w:val="0"/>
    <w:pPr>
      <w:framePr w:w="9355" w:h="624" w:hRule="exact" w:hSpace="181" w:vSpace="181" w:wrap="around" w:vAnchor="page" w:hAnchor="page" w:x="1419" w:y="3284"/>
      <w:spacing w:line="280" w:lineRule="exact"/>
      <w:jc w:val="right"/>
    </w:pPr>
    <w:rPr>
      <w:rFonts w:hint="eastAsia" w:ascii="黑体" w:hAnsi="Times New Roman" w:eastAsia="黑体" w:cs="Times New Roman"/>
      <w:sz w:val="28"/>
    </w:rPr>
  </w:style>
  <w:style w:type="paragraph" w:customStyle="1" w:styleId="41">
    <w:name w:val="封面标准名称"/>
    <w:qFormat/>
    <w:uiPriority w:val="0"/>
    <w:pPr>
      <w:framePr w:w="9639" w:h="6974" w:hRule="exact" w:wrap="around" w:vAnchor="page" w:hAnchor="page" w:x="1419" w:y="6408"/>
      <w:spacing w:line="700" w:lineRule="exact"/>
      <w:jc w:val="center"/>
    </w:pPr>
    <w:rPr>
      <w:rFonts w:hint="eastAsia" w:ascii="黑体" w:hAnsi="Times New Roman" w:eastAsia="黑体" w:cs="Times New Roman"/>
      <w:sz w:val="52"/>
    </w:rPr>
  </w:style>
  <w:style w:type="paragraph" w:customStyle="1" w:styleId="42">
    <w:name w:val="封面标准英文名称"/>
    <w:basedOn w:val="41"/>
    <w:qFormat/>
    <w:uiPriority w:val="0"/>
    <w:pPr>
      <w:widowControl w:val="0"/>
      <w:spacing w:before="410" w:line="360" w:lineRule="exact"/>
      <w:textAlignment w:val="bottom"/>
    </w:pPr>
    <w:rPr>
      <w:rFonts w:ascii="Times New Roman" w:hAnsi="Times New Roman" w:cs="Times New Roman"/>
      <w:sz w:val="28"/>
    </w:rPr>
  </w:style>
  <w:style w:type="paragraph" w:customStyle="1" w:styleId="43">
    <w:name w:val="封面一致性程度标识"/>
    <w:basedOn w:val="42"/>
    <w:qFormat/>
    <w:uiPriority w:val="0"/>
    <w:pPr>
      <w:spacing w:before="760"/>
    </w:pPr>
  </w:style>
  <w:style w:type="paragraph" w:customStyle="1" w:styleId="44">
    <w:name w:val="封面标准文稿类别"/>
    <w:basedOn w:val="43"/>
    <w:qFormat/>
    <w:uiPriority w:val="0"/>
    <w:pPr>
      <w:spacing w:before="440" w:after="160"/>
    </w:pPr>
    <w:rPr>
      <w:rFonts w:ascii="黑体" w:hAnsi="黑体" w:cs="黑体"/>
      <w:sz w:val="24"/>
    </w:rPr>
  </w:style>
  <w:style w:type="paragraph" w:customStyle="1" w:styleId="45">
    <w:name w:val="封面标准文稿编辑信息"/>
    <w:basedOn w:val="44"/>
    <w:qFormat/>
    <w:uiPriority w:val="0"/>
    <w:pPr>
      <w:spacing w:before="180" w:line="240" w:lineRule="atLeast"/>
    </w:pPr>
    <w:rPr>
      <w:sz w:val="21"/>
    </w:rPr>
  </w:style>
  <w:style w:type="paragraph" w:customStyle="1" w:styleId="46">
    <w:name w:val="封面标准文稿附件"/>
    <w:basedOn w:val="44"/>
    <w:qFormat/>
    <w:uiPriority w:val="0"/>
    <w:pPr>
      <w:spacing w:before="937" w:beforeLines="300" w:afterLines="30" w:line="240" w:lineRule="auto"/>
    </w:pPr>
    <w:rPr>
      <w:rFonts w:ascii="Times New Roman" w:hAnsi="Times New Roman" w:cs="Times New Roman"/>
      <w:b/>
      <w:sz w:val="21"/>
    </w:rPr>
  </w:style>
  <w:style w:type="paragraph" w:customStyle="1" w:styleId="47">
    <w:name w:val="其他发布部门"/>
    <w:basedOn w:val="35"/>
    <w:qFormat/>
    <w:uiPriority w:val="0"/>
    <w:pPr>
      <w:framePr w:wrap="around" w:y="15310"/>
      <w:spacing w:line="0" w:lineRule="atLeast"/>
    </w:pPr>
    <w:rPr>
      <w:rFonts w:ascii="黑体" w:hAnsi="黑体" w:eastAsia="黑体" w:cs="黑体"/>
    </w:rPr>
  </w:style>
  <w:style w:type="paragraph" w:customStyle="1" w:styleId="48">
    <w:name w:val="其他发布部门2"/>
    <w:basedOn w:val="35"/>
    <w:qFormat/>
    <w:uiPriority w:val="0"/>
    <w:pPr>
      <w:framePr w:w="7433" w:h="584" w:hRule="exact" w:hSpace="181" w:wrap="around" w:vAnchor="margin" w:hAnchor="margin" w:xAlign="center" w:y="15027"/>
      <w:spacing w:line="0" w:lineRule="atLeast"/>
    </w:pPr>
    <w:rPr>
      <w:rFonts w:ascii="黑体" w:hAnsi="黑体" w:eastAsia="黑体" w:cs="Times New Roman"/>
      <w:spacing w:val="0"/>
      <w:w w:val="100"/>
    </w:rPr>
  </w:style>
  <w:style w:type="paragraph" w:customStyle="1" w:styleId="49">
    <w:name w:val="其他发布部门3"/>
    <w:qFormat/>
    <w:uiPriority w:val="0"/>
    <w:pPr>
      <w:framePr w:w="9248" w:h="1259" w:hRule="exact" w:hSpace="181" w:vSpace="181" w:wrap="around" w:vAnchor="margin" w:hAnchor="margin" w:xAlign="center" w:y="14545"/>
      <w:spacing w:line="0" w:lineRule="atLeast"/>
      <w:jc w:val="center"/>
    </w:pPr>
    <w:rPr>
      <w:rFonts w:hint="eastAsia" w:ascii="黑体" w:hAnsi="Times New Roman" w:eastAsia="黑体" w:cs="Times New Roman"/>
      <w:sz w:val="28"/>
    </w:rPr>
  </w:style>
  <w:style w:type="paragraph" w:customStyle="1" w:styleId="50">
    <w:name w:val="其他发布日期"/>
    <w:basedOn w:val="36"/>
    <w:qFormat/>
    <w:uiPriority w:val="0"/>
    <w:pPr>
      <w:framePr w:hSpace="0" w:wrap="around" w:vAnchor="page" w:hAnchor="page" w:x="1419" w:y="14176"/>
    </w:pPr>
  </w:style>
  <w:style w:type="paragraph" w:customStyle="1" w:styleId="51">
    <w:name w:val="其他实施日期"/>
    <w:basedOn w:val="37"/>
    <w:qFormat/>
    <w:uiPriority w:val="0"/>
  </w:style>
  <w:style w:type="paragraph" w:customStyle="1" w:styleId="52">
    <w:name w:val="文献分类号"/>
    <w:qFormat/>
    <w:uiPriority w:val="0"/>
    <w:pPr>
      <w:framePr w:wrap="around" w:vAnchor="page" w:hAnchor="page" w:x="1373" w:y="568"/>
      <w:widowControl w:val="0"/>
      <w:textAlignment w:val="center"/>
    </w:pPr>
    <w:rPr>
      <w:rFonts w:hint="eastAsia" w:ascii="黑体" w:hAnsi="Times New Roman" w:eastAsia="黑体" w:cs="Times New Roman"/>
      <w:kern w:val="21"/>
      <w:sz w:val="21"/>
    </w:rPr>
  </w:style>
  <w:style w:type="paragraph" w:customStyle="1" w:styleId="53">
    <w:name w:val="标准文件_目录标题"/>
    <w:basedOn w:val="1"/>
    <w:qFormat/>
    <w:uiPriority w:val="0"/>
    <w:pPr>
      <w:shd w:val="clear" w:fill="FFFFFF"/>
      <w:spacing w:after="469" w:afterLines="150"/>
      <w:jc w:val="center"/>
    </w:pPr>
    <w:rPr>
      <w:rFonts w:ascii="黑体" w:hAnsi="Times New Roman" w:eastAsia="黑体" w:cs="黑体"/>
      <w:kern w:val="0"/>
      <w:sz w:val="32"/>
    </w:rPr>
  </w:style>
  <w:style w:type="paragraph" w:customStyle="1" w:styleId="54">
    <w:name w:val="标准文件_前言、引言标题"/>
    <w:next w:val="1"/>
    <w:qFormat/>
    <w:uiPriority w:val="0"/>
    <w:pPr>
      <w:numPr>
        <w:ilvl w:val="0"/>
        <w:numId w:val="4"/>
      </w:numPr>
      <w:suppressAutoHyphens w:val="0"/>
      <w:spacing w:after="469" w:afterLines="150"/>
      <w:ind w:left="425" w:hanging="425"/>
      <w:jc w:val="center"/>
      <w:outlineLvl w:val="0"/>
    </w:pPr>
    <w:rPr>
      <w:rFonts w:hint="eastAsia" w:ascii="黑体" w:hAnsi="Times New Roman" w:eastAsia="黑体" w:cs="黑体"/>
      <w:sz w:val="32"/>
    </w:rPr>
  </w:style>
  <w:style w:type="paragraph" w:customStyle="1" w:styleId="55">
    <w:name w:val="标准文件_正文标准名称"/>
    <w:basedOn w:val="1"/>
    <w:link w:val="119"/>
    <w:qFormat/>
    <w:uiPriority w:val="0"/>
    <w:pPr>
      <w:widowControl/>
      <w:suppressAutoHyphens w:val="0"/>
      <w:spacing w:after="640" w:line="400" w:lineRule="exact"/>
      <w:jc w:val="center"/>
    </w:pPr>
    <w:rPr>
      <w:rFonts w:ascii="黑体" w:hAnsi="黑体" w:eastAsia="黑体" w:cs="黑体"/>
      <w:sz w:val="32"/>
    </w:rPr>
  </w:style>
  <w:style w:type="paragraph" w:customStyle="1" w:styleId="56">
    <w:name w:val="标准文件_一级项"/>
    <w:next w:val="24"/>
    <w:qFormat/>
    <w:uiPriority w:val="0"/>
    <w:pPr>
      <w:numPr>
        <w:ilvl w:val="0"/>
        <w:numId w:val="5"/>
      </w:numPr>
      <w:suppressAutoHyphens w:val="0"/>
      <w:ind w:left="851" w:hanging="426"/>
    </w:pPr>
    <w:rPr>
      <w:rFonts w:hint="eastAsia" w:ascii="宋体" w:hAnsi="Times New Roman" w:eastAsia="宋体" w:cs="宋体"/>
      <w:sz w:val="21"/>
    </w:rPr>
  </w:style>
  <w:style w:type="paragraph" w:customStyle="1" w:styleId="57">
    <w:name w:val="标准文件_二级项2"/>
    <w:basedOn w:val="24"/>
    <w:next w:val="24"/>
    <w:qFormat/>
    <w:uiPriority w:val="0"/>
    <w:pPr>
      <w:numPr>
        <w:ilvl w:val="1"/>
        <w:numId w:val="5"/>
      </w:numPr>
      <w:suppressAutoHyphens w:val="0"/>
      <w:ind w:left="1270" w:hanging="419"/>
    </w:pPr>
    <w:rPr>
      <w:rFonts w:hAnsi="Times New Roman"/>
    </w:rPr>
  </w:style>
  <w:style w:type="paragraph" w:customStyle="1" w:styleId="58">
    <w:name w:val="标准文件_三级项"/>
    <w:basedOn w:val="1"/>
    <w:next w:val="24"/>
    <w:qFormat/>
    <w:uiPriority w:val="0"/>
    <w:pPr>
      <w:numPr>
        <w:ilvl w:val="2"/>
        <w:numId w:val="6"/>
      </w:numPr>
      <w:suppressAutoHyphens w:val="0"/>
      <w:spacing w:line="300" w:lineRule="exact"/>
      <w:ind w:left="1678" w:hanging="414"/>
    </w:pPr>
    <w:rPr>
      <w:rFonts w:hAnsi="+西文正文"/>
    </w:rPr>
  </w:style>
  <w:style w:type="paragraph" w:customStyle="1" w:styleId="59">
    <w:name w:val="标准文件_字母编号列项（一级）"/>
    <w:next w:val="24"/>
    <w:qFormat/>
    <w:uiPriority w:val="0"/>
    <w:pPr>
      <w:numPr>
        <w:ilvl w:val="0"/>
        <w:numId w:val="6"/>
      </w:numPr>
      <w:tabs>
        <w:tab w:val="left" w:pos="839"/>
      </w:tabs>
      <w:ind w:left="851" w:hanging="426"/>
      <w:jc w:val="both"/>
    </w:pPr>
    <w:rPr>
      <w:rFonts w:hint="eastAsia" w:ascii="宋体" w:hAnsi="Times New Roman" w:eastAsia="宋体" w:cs="宋体"/>
      <w:sz w:val="21"/>
    </w:rPr>
  </w:style>
  <w:style w:type="paragraph" w:customStyle="1" w:styleId="60">
    <w:name w:val="标准文件_数字编号列项（二级）"/>
    <w:next w:val="24"/>
    <w:qFormat/>
    <w:uiPriority w:val="0"/>
    <w:pPr>
      <w:numPr>
        <w:ilvl w:val="1"/>
        <w:numId w:val="6"/>
      </w:numPr>
      <w:tabs>
        <w:tab w:val="left" w:pos="1259"/>
        <w:tab w:val="clear" w:pos="1276"/>
      </w:tabs>
      <w:ind w:left="1259" w:hanging="419"/>
      <w:jc w:val="both"/>
    </w:pPr>
    <w:rPr>
      <w:rFonts w:hint="eastAsia" w:ascii="宋体" w:hAnsi="Times New Roman" w:eastAsia="宋体" w:cs="Times New Roman"/>
      <w:sz w:val="21"/>
    </w:rPr>
  </w:style>
  <w:style w:type="paragraph" w:customStyle="1" w:styleId="61">
    <w:name w:val="标准文件_引言一级条标题"/>
    <w:basedOn w:val="24"/>
    <w:next w:val="24"/>
    <w:qFormat/>
    <w:uiPriority w:val="0"/>
    <w:pPr>
      <w:numPr>
        <w:ilvl w:val="1"/>
        <w:numId w:val="4"/>
      </w:numPr>
      <w:spacing w:before="157" w:beforeLines="50" w:after="157" w:afterLines="50"/>
    </w:pPr>
    <w:rPr>
      <w:rFonts w:ascii="黑体" w:hAnsi="黑体" w:eastAsia="黑体" w:cs="黑体"/>
    </w:rPr>
  </w:style>
  <w:style w:type="paragraph" w:customStyle="1" w:styleId="62">
    <w:name w:val="标准文件_引言二级条标题"/>
    <w:basedOn w:val="24"/>
    <w:next w:val="24"/>
    <w:qFormat/>
    <w:uiPriority w:val="0"/>
    <w:pPr>
      <w:numPr>
        <w:ilvl w:val="2"/>
        <w:numId w:val="4"/>
      </w:numPr>
      <w:spacing w:before="157" w:beforeLines="50" w:after="157" w:afterLines="50"/>
    </w:pPr>
    <w:rPr>
      <w:rFonts w:ascii="黑体" w:hAnsi="黑体" w:eastAsia="黑体" w:cs="黑体"/>
    </w:rPr>
  </w:style>
  <w:style w:type="paragraph" w:customStyle="1" w:styleId="63">
    <w:name w:val="标准文件_引言三级条标题"/>
    <w:basedOn w:val="24"/>
    <w:next w:val="24"/>
    <w:qFormat/>
    <w:uiPriority w:val="0"/>
    <w:pPr>
      <w:numPr>
        <w:ilvl w:val="3"/>
        <w:numId w:val="4"/>
      </w:numPr>
      <w:spacing w:before="157" w:beforeLines="50" w:after="157" w:afterLines="50"/>
    </w:pPr>
    <w:rPr>
      <w:rFonts w:ascii="黑体" w:hAnsi="黑体" w:eastAsia="黑体" w:cs="黑体"/>
    </w:rPr>
  </w:style>
  <w:style w:type="paragraph" w:customStyle="1" w:styleId="64">
    <w:name w:val="标准文件_引言四级条标题"/>
    <w:basedOn w:val="24"/>
    <w:next w:val="24"/>
    <w:qFormat/>
    <w:uiPriority w:val="0"/>
    <w:pPr>
      <w:numPr>
        <w:ilvl w:val="4"/>
        <w:numId w:val="4"/>
      </w:numPr>
      <w:spacing w:before="157" w:beforeLines="50" w:after="157" w:afterLines="50"/>
    </w:pPr>
    <w:rPr>
      <w:rFonts w:ascii="黑体" w:hAnsi="黑体" w:eastAsia="黑体" w:cs="黑体"/>
    </w:rPr>
  </w:style>
  <w:style w:type="paragraph" w:customStyle="1" w:styleId="65">
    <w:name w:val="标准文件_引言五级条标题"/>
    <w:basedOn w:val="24"/>
    <w:next w:val="24"/>
    <w:qFormat/>
    <w:uiPriority w:val="0"/>
    <w:pPr>
      <w:numPr>
        <w:ilvl w:val="5"/>
        <w:numId w:val="4"/>
      </w:numPr>
      <w:spacing w:before="157" w:beforeLines="50" w:after="157" w:afterLines="50"/>
    </w:pPr>
    <w:rPr>
      <w:rFonts w:ascii="黑体" w:hAnsi="黑体" w:eastAsia="黑体" w:cs="黑体"/>
    </w:rPr>
  </w:style>
  <w:style w:type="paragraph" w:customStyle="1" w:styleId="66">
    <w:name w:val="标准文件_引言一级无标题"/>
    <w:basedOn w:val="61"/>
    <w:next w:val="24"/>
    <w:qFormat/>
    <w:uiPriority w:val="0"/>
    <w:pPr>
      <w:spacing w:before="4" w:beforeLines="1" w:after="4" w:afterLines="1" w:line="276" w:lineRule="auto"/>
    </w:pPr>
    <w:rPr>
      <w:rFonts w:ascii="宋体" w:hAnsi="宋体" w:eastAsia="宋体" w:cs="宋体"/>
    </w:rPr>
  </w:style>
  <w:style w:type="paragraph" w:customStyle="1" w:styleId="67">
    <w:name w:val="标准文件_引言二级无标题"/>
    <w:basedOn w:val="62"/>
    <w:next w:val="24"/>
    <w:qFormat/>
    <w:uiPriority w:val="0"/>
    <w:pPr>
      <w:spacing w:before="4" w:beforeLines="1" w:after="4" w:afterLines="1" w:line="276" w:lineRule="auto"/>
    </w:pPr>
    <w:rPr>
      <w:rFonts w:ascii="宋体" w:hAnsi="宋体" w:eastAsia="宋体" w:cs="宋体"/>
    </w:rPr>
  </w:style>
  <w:style w:type="paragraph" w:customStyle="1" w:styleId="68">
    <w:name w:val="标准文件_引言三级无标题"/>
    <w:basedOn w:val="63"/>
    <w:next w:val="24"/>
    <w:qFormat/>
    <w:uiPriority w:val="0"/>
    <w:pPr>
      <w:spacing w:before="4" w:beforeLines="1" w:after="4" w:afterLines="1" w:line="276" w:lineRule="auto"/>
    </w:pPr>
    <w:rPr>
      <w:rFonts w:ascii="宋体" w:hAnsi="宋体" w:eastAsia="宋体" w:cs="宋体"/>
    </w:rPr>
  </w:style>
  <w:style w:type="paragraph" w:customStyle="1" w:styleId="69">
    <w:name w:val="标准文件_引言四级无标题"/>
    <w:basedOn w:val="64"/>
    <w:next w:val="24"/>
    <w:qFormat/>
    <w:uiPriority w:val="0"/>
    <w:pPr>
      <w:spacing w:before="4" w:beforeLines="1" w:after="4" w:afterLines="1" w:line="276" w:lineRule="auto"/>
    </w:pPr>
    <w:rPr>
      <w:rFonts w:ascii="宋体" w:hAnsi="宋体" w:eastAsia="宋体" w:cs="宋体"/>
    </w:rPr>
  </w:style>
  <w:style w:type="paragraph" w:customStyle="1" w:styleId="70">
    <w:name w:val="标准文件_引言五级无标题"/>
    <w:basedOn w:val="65"/>
    <w:next w:val="24"/>
    <w:qFormat/>
    <w:uiPriority w:val="0"/>
    <w:pPr>
      <w:spacing w:before="4" w:beforeLines="1" w:after="4" w:afterLines="1" w:line="276" w:lineRule="auto"/>
    </w:pPr>
    <w:rPr>
      <w:rFonts w:ascii="宋体" w:hAnsi="宋体" w:eastAsia="宋体" w:cs="宋体"/>
    </w:rPr>
  </w:style>
  <w:style w:type="paragraph" w:customStyle="1" w:styleId="71">
    <w:name w:val="标准文件_章标题"/>
    <w:next w:val="24"/>
    <w:qFormat/>
    <w:uiPriority w:val="0"/>
    <w:pPr>
      <w:numPr>
        <w:ilvl w:val="0"/>
        <w:numId w:val="7"/>
      </w:numPr>
      <w:suppressAutoHyphens w:val="0"/>
      <w:spacing w:before="313" w:beforeLines="100" w:after="313" w:afterLines="100"/>
      <w:jc w:val="both"/>
      <w:outlineLvl w:val="0"/>
    </w:pPr>
    <w:rPr>
      <w:rFonts w:hint="eastAsia" w:ascii="黑体" w:hAnsi="Times New Roman" w:eastAsia="黑体" w:cs="黑体"/>
      <w:sz w:val="21"/>
    </w:rPr>
  </w:style>
  <w:style w:type="paragraph" w:customStyle="1" w:styleId="72">
    <w:name w:val="标准文件_一级条标题"/>
    <w:basedOn w:val="71"/>
    <w:next w:val="24"/>
    <w:qFormat/>
    <w:uiPriority w:val="0"/>
    <w:pPr>
      <w:numPr>
        <w:ilvl w:val="1"/>
      </w:numPr>
      <w:spacing w:before="157" w:beforeLines="50" w:after="157" w:afterLines="50"/>
      <w:ind w:firstLine="0"/>
      <w:outlineLvl w:val="1"/>
    </w:pPr>
    <w:rPr>
      <w:rFonts w:hAnsi="Times New Roman"/>
    </w:rPr>
  </w:style>
  <w:style w:type="paragraph" w:customStyle="1" w:styleId="73">
    <w:name w:val="标准文件_二级条标题"/>
    <w:next w:val="24"/>
    <w:qFormat/>
    <w:uiPriority w:val="0"/>
    <w:pPr>
      <w:numPr>
        <w:ilvl w:val="2"/>
        <w:numId w:val="7"/>
      </w:numPr>
      <w:suppressAutoHyphens w:val="0"/>
      <w:spacing w:before="157" w:beforeLines="50" w:after="157" w:afterLines="50"/>
      <w:jc w:val="both"/>
      <w:outlineLvl w:val="2"/>
    </w:pPr>
    <w:rPr>
      <w:rFonts w:hint="eastAsia" w:ascii="黑体" w:hAnsi="黑体" w:eastAsia="黑体" w:cs="黑体"/>
      <w:sz w:val="21"/>
    </w:rPr>
  </w:style>
  <w:style w:type="paragraph" w:customStyle="1" w:styleId="74">
    <w:name w:val="标准文件_三级条标题"/>
    <w:basedOn w:val="73"/>
    <w:next w:val="24"/>
    <w:qFormat/>
    <w:uiPriority w:val="0"/>
    <w:pPr>
      <w:numPr>
        <w:ilvl w:val="3"/>
      </w:numPr>
      <w:spacing w:before="157" w:after="157"/>
      <w:ind w:firstLine="0"/>
      <w:outlineLvl w:val="3"/>
    </w:pPr>
  </w:style>
  <w:style w:type="paragraph" w:customStyle="1" w:styleId="75">
    <w:name w:val="标准文件_四级条标题"/>
    <w:next w:val="24"/>
    <w:qFormat/>
    <w:uiPriority w:val="0"/>
    <w:pPr>
      <w:numPr>
        <w:ilvl w:val="4"/>
        <w:numId w:val="7"/>
      </w:numPr>
      <w:suppressAutoHyphens w:val="0"/>
      <w:spacing w:before="157" w:beforeLines="50" w:after="157" w:afterLines="50"/>
      <w:jc w:val="both"/>
      <w:outlineLvl w:val="4"/>
    </w:pPr>
    <w:rPr>
      <w:rFonts w:hint="eastAsia" w:ascii="黑体" w:hAnsi="黑体" w:eastAsia="黑体" w:cs="黑体"/>
      <w:sz w:val="21"/>
    </w:rPr>
  </w:style>
  <w:style w:type="paragraph" w:customStyle="1" w:styleId="76">
    <w:name w:val="标准文件_五级条标题"/>
    <w:next w:val="24"/>
    <w:qFormat/>
    <w:uiPriority w:val="0"/>
    <w:pPr>
      <w:numPr>
        <w:ilvl w:val="5"/>
        <w:numId w:val="7"/>
      </w:numPr>
      <w:suppressAutoHyphens w:val="0"/>
      <w:spacing w:before="157" w:beforeLines="50" w:after="157" w:afterLines="50"/>
      <w:jc w:val="both"/>
      <w:outlineLvl w:val="4"/>
    </w:pPr>
    <w:rPr>
      <w:rFonts w:hint="eastAsia" w:ascii="黑体" w:hAnsi="黑体" w:eastAsia="黑体" w:cs="黑体"/>
      <w:sz w:val="21"/>
    </w:rPr>
  </w:style>
  <w:style w:type="paragraph" w:customStyle="1" w:styleId="77">
    <w:name w:val="标准文件_一级无标题"/>
    <w:basedOn w:val="72"/>
    <w:qFormat/>
    <w:uiPriority w:val="0"/>
    <w:pPr>
      <w:spacing w:before="4" w:beforeLines="1" w:after="4" w:afterLines="1"/>
      <w:outlineLvl w:val="9"/>
    </w:pPr>
    <w:rPr>
      <w:rFonts w:ascii="宋体" w:hAnsi="宋体" w:eastAsia="宋体" w:cs="宋体"/>
    </w:rPr>
  </w:style>
  <w:style w:type="paragraph" w:customStyle="1" w:styleId="78">
    <w:name w:val="标准文件_二级无标题"/>
    <w:basedOn w:val="73"/>
    <w:qFormat/>
    <w:uiPriority w:val="0"/>
    <w:pPr>
      <w:spacing w:before="4" w:beforeLines="1" w:after="4" w:afterLines="1"/>
      <w:outlineLvl w:val="9"/>
    </w:pPr>
    <w:rPr>
      <w:rFonts w:ascii="宋体" w:hAnsi="宋体" w:eastAsia="宋体" w:cs="宋体"/>
    </w:rPr>
  </w:style>
  <w:style w:type="paragraph" w:customStyle="1" w:styleId="79">
    <w:name w:val="标准文件_三级无标题"/>
    <w:basedOn w:val="74"/>
    <w:qFormat/>
    <w:uiPriority w:val="0"/>
    <w:pPr>
      <w:spacing w:before="4" w:beforeLines="1" w:after="4" w:afterLines="1"/>
      <w:outlineLvl w:val="9"/>
    </w:pPr>
    <w:rPr>
      <w:rFonts w:ascii="宋体" w:hAnsi="宋体" w:eastAsia="宋体" w:cs="宋体"/>
    </w:rPr>
  </w:style>
  <w:style w:type="paragraph" w:customStyle="1" w:styleId="80">
    <w:name w:val="标准文件_四级无标题"/>
    <w:basedOn w:val="75"/>
    <w:qFormat/>
    <w:uiPriority w:val="0"/>
    <w:pPr>
      <w:spacing w:before="4" w:beforeLines="1" w:after="4" w:afterLines="1"/>
      <w:outlineLvl w:val="9"/>
    </w:pPr>
    <w:rPr>
      <w:rFonts w:ascii="宋体" w:hAnsi="宋体" w:eastAsia="宋体" w:cs="宋体"/>
    </w:rPr>
  </w:style>
  <w:style w:type="paragraph" w:customStyle="1" w:styleId="81">
    <w:name w:val="标准文件_五级无标题"/>
    <w:basedOn w:val="76"/>
    <w:qFormat/>
    <w:uiPriority w:val="0"/>
    <w:pPr>
      <w:spacing w:before="4" w:beforeLines="1" w:after="4" w:afterLines="1"/>
      <w:outlineLvl w:val="9"/>
    </w:pPr>
    <w:rPr>
      <w:rFonts w:ascii="宋体" w:hAnsi="宋体" w:eastAsia="宋体" w:cs="宋体"/>
    </w:rPr>
  </w:style>
  <w:style w:type="paragraph" w:customStyle="1" w:styleId="82">
    <w:name w:val="标准文件_术语条一"/>
    <w:basedOn w:val="77"/>
    <w:next w:val="24"/>
    <w:qFormat/>
    <w:uiPriority w:val="0"/>
    <w:pPr>
      <w:ind w:left="960" w:hanging="960" w:hangingChars="200"/>
    </w:pPr>
    <w:rPr>
      <w:rFonts w:ascii="黑体" w:hAnsi="黑体" w:eastAsia="黑体" w:cs="黑体"/>
    </w:rPr>
  </w:style>
  <w:style w:type="paragraph" w:customStyle="1" w:styleId="83">
    <w:name w:val="标准文件_术语条二"/>
    <w:basedOn w:val="78"/>
    <w:next w:val="24"/>
    <w:qFormat/>
    <w:uiPriority w:val="0"/>
    <w:pPr>
      <w:ind w:left="960" w:hanging="960" w:hangingChars="200"/>
    </w:pPr>
    <w:rPr>
      <w:rFonts w:ascii="黑体" w:hAnsi="黑体" w:eastAsia="黑体" w:cs="黑体"/>
    </w:rPr>
  </w:style>
  <w:style w:type="paragraph" w:customStyle="1" w:styleId="84">
    <w:name w:val="标准文件_术语条三"/>
    <w:basedOn w:val="79"/>
    <w:next w:val="24"/>
    <w:qFormat/>
    <w:uiPriority w:val="0"/>
    <w:pPr>
      <w:ind w:left="960" w:hanging="960" w:hangingChars="200"/>
    </w:pPr>
    <w:rPr>
      <w:rFonts w:ascii="黑体" w:hAnsi="黑体" w:eastAsia="黑体" w:cs="黑体"/>
    </w:rPr>
  </w:style>
  <w:style w:type="paragraph" w:customStyle="1" w:styleId="85">
    <w:name w:val="标准文件_术语条四"/>
    <w:basedOn w:val="80"/>
    <w:next w:val="24"/>
    <w:qFormat/>
    <w:uiPriority w:val="0"/>
    <w:pPr>
      <w:ind w:left="960" w:hanging="960" w:hangingChars="200"/>
    </w:pPr>
    <w:rPr>
      <w:rFonts w:ascii="黑体" w:hAnsi="黑体" w:eastAsia="黑体" w:cs="黑体"/>
    </w:rPr>
  </w:style>
  <w:style w:type="paragraph" w:customStyle="1" w:styleId="86">
    <w:name w:val="标准文件_术语条五"/>
    <w:basedOn w:val="81"/>
    <w:next w:val="24"/>
    <w:qFormat/>
    <w:uiPriority w:val="0"/>
    <w:pPr>
      <w:ind w:left="960" w:hanging="960" w:hangingChars="200"/>
    </w:pPr>
    <w:rPr>
      <w:rFonts w:ascii="黑体" w:hAnsi="黑体" w:eastAsia="黑体" w:cs="黑体"/>
    </w:rPr>
  </w:style>
  <w:style w:type="paragraph" w:customStyle="1" w:styleId="87">
    <w:name w:val="标准文件_附录标识"/>
    <w:basedOn w:val="1"/>
    <w:next w:val="24"/>
    <w:qFormat/>
    <w:uiPriority w:val="0"/>
    <w:pPr>
      <w:widowControl/>
      <w:numPr>
        <w:ilvl w:val="0"/>
        <w:numId w:val="8"/>
      </w:numPr>
      <w:suppressAutoHyphens w:val="0"/>
      <w:spacing w:before="79" w:beforeLines="25" w:after="157" w:afterLines="50"/>
      <w:jc w:val="center"/>
      <w:outlineLvl w:val="0"/>
    </w:pPr>
    <w:rPr>
      <w:rFonts w:ascii="黑体" w:hAnsi="黑体" w:eastAsia="黑体" w:cs="黑体"/>
    </w:rPr>
  </w:style>
  <w:style w:type="paragraph" w:customStyle="1" w:styleId="88">
    <w:name w:val="标准文件_附录一级条标题"/>
    <w:next w:val="24"/>
    <w:qFormat/>
    <w:uiPriority w:val="0"/>
    <w:pPr>
      <w:numPr>
        <w:ilvl w:val="1"/>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89">
    <w:name w:val="标准文件_附录二级条标题"/>
    <w:next w:val="24"/>
    <w:qFormat/>
    <w:uiPriority w:val="0"/>
    <w:pPr>
      <w:numPr>
        <w:ilvl w:val="2"/>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0">
    <w:name w:val="标准文件_附录三级条标题"/>
    <w:next w:val="24"/>
    <w:qFormat/>
    <w:uiPriority w:val="0"/>
    <w:pPr>
      <w:numPr>
        <w:ilvl w:val="3"/>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1">
    <w:name w:val="标准文件_附录四级条标题"/>
    <w:next w:val="24"/>
    <w:qFormat/>
    <w:uiPriority w:val="0"/>
    <w:pPr>
      <w:numPr>
        <w:ilvl w:val="4"/>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2">
    <w:name w:val="标准文件_附录五级条标题"/>
    <w:next w:val="24"/>
    <w:qFormat/>
    <w:uiPriority w:val="0"/>
    <w:pPr>
      <w:numPr>
        <w:ilvl w:val="5"/>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3">
    <w:name w:val="标准文件_附录一级无标题"/>
    <w:basedOn w:val="88"/>
    <w:qFormat/>
    <w:uiPriority w:val="0"/>
    <w:pPr>
      <w:spacing w:before="4" w:beforeLines="1" w:after="4" w:afterLines="1" w:line="276" w:lineRule="auto"/>
    </w:pPr>
    <w:rPr>
      <w:rFonts w:ascii="宋体" w:hAnsi="宋体" w:eastAsia="宋体" w:cs="宋体"/>
    </w:rPr>
  </w:style>
  <w:style w:type="paragraph" w:customStyle="1" w:styleId="94">
    <w:name w:val="标准文件_附录二级无标题"/>
    <w:basedOn w:val="89"/>
    <w:qFormat/>
    <w:uiPriority w:val="0"/>
    <w:pPr>
      <w:spacing w:before="4" w:beforeLines="1" w:after="4" w:afterLines="1" w:line="276" w:lineRule="auto"/>
    </w:pPr>
    <w:rPr>
      <w:rFonts w:ascii="宋体" w:hAnsi="宋体" w:eastAsia="宋体" w:cs="宋体"/>
    </w:rPr>
  </w:style>
  <w:style w:type="paragraph" w:customStyle="1" w:styleId="95">
    <w:name w:val="标准文件_附录三级无标题"/>
    <w:basedOn w:val="90"/>
    <w:qFormat/>
    <w:uiPriority w:val="0"/>
    <w:pPr>
      <w:spacing w:before="4" w:beforeLines="1" w:after="4" w:afterLines="1" w:line="276" w:lineRule="auto"/>
    </w:pPr>
    <w:rPr>
      <w:rFonts w:ascii="宋体" w:hAnsi="宋体" w:eastAsia="宋体" w:cs="宋体"/>
    </w:rPr>
  </w:style>
  <w:style w:type="paragraph" w:customStyle="1" w:styleId="96">
    <w:name w:val="标准文件_附录四级无标题"/>
    <w:basedOn w:val="91"/>
    <w:qFormat/>
    <w:uiPriority w:val="0"/>
    <w:pPr>
      <w:spacing w:before="4" w:beforeLines="1" w:after="4" w:afterLines="1" w:line="276" w:lineRule="auto"/>
    </w:pPr>
    <w:rPr>
      <w:rFonts w:ascii="宋体" w:hAnsi="宋体" w:eastAsia="宋体" w:cs="宋体"/>
    </w:rPr>
  </w:style>
  <w:style w:type="paragraph" w:customStyle="1" w:styleId="97">
    <w:name w:val="标准文件_附录五级无标题"/>
    <w:basedOn w:val="92"/>
    <w:qFormat/>
    <w:uiPriority w:val="0"/>
    <w:pPr>
      <w:spacing w:before="4" w:beforeLines="1" w:after="4" w:afterLines="1" w:line="276" w:lineRule="auto"/>
    </w:pPr>
    <w:rPr>
      <w:rFonts w:ascii="宋体" w:hAnsi="宋体" w:eastAsia="宋体" w:cs="宋体"/>
    </w:rPr>
  </w:style>
  <w:style w:type="paragraph" w:customStyle="1" w:styleId="98">
    <w:name w:val="附录图标号"/>
    <w:basedOn w:val="24"/>
    <w:next w:val="24"/>
    <w:qFormat/>
    <w:uiPriority w:val="0"/>
    <w:pPr>
      <w:numPr>
        <w:ilvl w:val="0"/>
        <w:numId w:val="2"/>
      </w:numPr>
      <w:spacing w:line="14" w:lineRule="exact"/>
      <w:ind w:left="0"/>
      <w:jc w:val="center"/>
    </w:pPr>
    <w:rPr>
      <w:sz w:val="2"/>
    </w:rPr>
  </w:style>
  <w:style w:type="paragraph" w:customStyle="1" w:styleId="99">
    <w:name w:val="附录图标题"/>
    <w:next w:val="24"/>
    <w:qFormat/>
    <w:uiPriority w:val="0"/>
    <w:pPr>
      <w:numPr>
        <w:ilvl w:val="1"/>
        <w:numId w:val="2"/>
      </w:numPr>
      <w:spacing w:before="157" w:beforeLines="50" w:after="157" w:afterLines="50"/>
      <w:jc w:val="center"/>
    </w:pPr>
    <w:rPr>
      <w:rFonts w:hint="eastAsia" w:ascii="黑体" w:hAnsi="黑体" w:eastAsia="黑体" w:cs="黑体"/>
      <w:sz w:val="21"/>
    </w:rPr>
  </w:style>
  <w:style w:type="paragraph" w:customStyle="1" w:styleId="100">
    <w:name w:val="附录表标号"/>
    <w:basedOn w:val="24"/>
    <w:next w:val="24"/>
    <w:qFormat/>
    <w:uiPriority w:val="0"/>
    <w:pPr>
      <w:numPr>
        <w:ilvl w:val="0"/>
        <w:numId w:val="9"/>
      </w:numPr>
      <w:spacing w:line="14" w:lineRule="exact"/>
      <w:ind w:left="0"/>
      <w:jc w:val="center"/>
    </w:pPr>
    <w:rPr>
      <w:sz w:val="2"/>
    </w:rPr>
  </w:style>
  <w:style w:type="paragraph" w:customStyle="1" w:styleId="101">
    <w:name w:val="附录表标题"/>
    <w:next w:val="24"/>
    <w:qFormat/>
    <w:uiPriority w:val="0"/>
    <w:pPr>
      <w:numPr>
        <w:ilvl w:val="1"/>
        <w:numId w:val="9"/>
      </w:numPr>
      <w:spacing w:before="157" w:beforeLines="50" w:after="157" w:afterLines="50"/>
      <w:jc w:val="center"/>
    </w:pPr>
    <w:rPr>
      <w:rFonts w:hint="eastAsia" w:ascii="黑体" w:hAnsi="黑体" w:eastAsia="黑体" w:cs="黑体"/>
      <w:sz w:val="21"/>
    </w:rPr>
  </w:style>
  <w:style w:type="paragraph" w:customStyle="1" w:styleId="102">
    <w:name w:val="标准文件_示例内容"/>
    <w:basedOn w:val="24"/>
    <w:qFormat/>
    <w:uiPriority w:val="0"/>
    <w:pPr>
      <w:suppressAutoHyphens w:val="0"/>
    </w:pPr>
    <w:rPr>
      <w:rFonts w:hAnsi="宋体"/>
      <w:sz w:val="18"/>
    </w:rPr>
  </w:style>
  <w:style w:type="paragraph" w:customStyle="1" w:styleId="103">
    <w:name w:val="标准文件_示例"/>
    <w:next w:val="102"/>
    <w:qFormat/>
    <w:uiPriority w:val="0"/>
    <w:pPr>
      <w:numPr>
        <w:ilvl w:val="0"/>
        <w:numId w:val="10"/>
      </w:numPr>
      <w:tabs>
        <w:tab w:val="left" w:pos="539"/>
      </w:tabs>
      <w:suppressAutoHyphens w:val="0"/>
      <w:jc w:val="both"/>
    </w:pPr>
    <w:rPr>
      <w:rFonts w:hint="eastAsia" w:ascii="宋体" w:hAnsi="宋体" w:eastAsia="宋体" w:cs="宋体"/>
      <w:sz w:val="18"/>
    </w:rPr>
  </w:style>
  <w:style w:type="paragraph" w:customStyle="1" w:styleId="104">
    <w:name w:val="标准文件_示例×"/>
    <w:basedOn w:val="1"/>
    <w:next w:val="102"/>
    <w:qFormat/>
    <w:uiPriority w:val="0"/>
    <w:pPr>
      <w:widowControl/>
      <w:numPr>
        <w:ilvl w:val="0"/>
        <w:numId w:val="11"/>
      </w:numPr>
      <w:tabs>
        <w:tab w:val="left" w:pos="539"/>
      </w:tabs>
      <w:suppressAutoHyphens w:val="0"/>
      <w:ind w:firstLine="363"/>
    </w:pPr>
    <w:rPr>
      <w:rFonts w:hAnsi="Times New Roman"/>
      <w:sz w:val="18"/>
    </w:rPr>
  </w:style>
  <w:style w:type="paragraph" w:customStyle="1" w:styleId="105">
    <w:name w:val="标准文件_注"/>
    <w:next w:val="24"/>
    <w:qFormat/>
    <w:uiPriority w:val="0"/>
    <w:pPr>
      <w:numPr>
        <w:ilvl w:val="0"/>
        <w:numId w:val="12"/>
      </w:numPr>
      <w:tabs>
        <w:tab w:val="left" w:pos="539"/>
      </w:tabs>
      <w:autoSpaceDE w:val="0"/>
      <w:autoSpaceDN w:val="0"/>
      <w:jc w:val="both"/>
    </w:pPr>
    <w:rPr>
      <w:rFonts w:hint="eastAsia" w:ascii="宋体" w:hAnsi="宋体" w:eastAsia="宋体" w:cs="宋体"/>
      <w:sz w:val="18"/>
    </w:rPr>
  </w:style>
  <w:style w:type="paragraph" w:customStyle="1" w:styleId="106">
    <w:name w:val="标准文件_注×"/>
    <w:next w:val="24"/>
    <w:qFormat/>
    <w:uiPriority w:val="0"/>
    <w:pPr>
      <w:numPr>
        <w:ilvl w:val="0"/>
        <w:numId w:val="13"/>
      </w:numPr>
      <w:tabs>
        <w:tab w:val="left" w:pos="539"/>
      </w:tabs>
      <w:jc w:val="both"/>
    </w:pPr>
    <w:rPr>
      <w:rFonts w:hint="eastAsia" w:ascii="宋体" w:hAnsi="宋体" w:eastAsia="宋体" w:cs="宋体"/>
      <w:sz w:val="18"/>
    </w:rPr>
  </w:style>
  <w:style w:type="paragraph" w:customStyle="1" w:styleId="107">
    <w:name w:val="标准文件_图表脚注"/>
    <w:basedOn w:val="1"/>
    <w:next w:val="24"/>
    <w:qFormat/>
    <w:uiPriority w:val="0"/>
    <w:pPr>
      <w:numPr>
        <w:ilvl w:val="0"/>
        <w:numId w:val="14"/>
      </w:numPr>
      <w:suppressAutoHyphens w:val="0"/>
      <w:adjustRightInd w:val="0"/>
      <w:jc w:val="left"/>
    </w:pPr>
    <w:rPr>
      <w:rFonts w:hAnsi="宋体"/>
      <w:sz w:val="18"/>
    </w:rPr>
  </w:style>
  <w:style w:type="paragraph" w:customStyle="1" w:styleId="108">
    <w:name w:val="标准文件_标准正文"/>
    <w:basedOn w:val="1"/>
    <w:next w:val="24"/>
    <w:qFormat/>
    <w:uiPriority w:val="0"/>
    <w:pPr>
      <w:ind w:firstLine="960" w:firstLineChars="200"/>
    </w:pPr>
  </w:style>
  <w:style w:type="paragraph" w:customStyle="1" w:styleId="109">
    <w:name w:val="标准文件_正文公式"/>
    <w:basedOn w:val="1"/>
    <w:next w:val="108"/>
    <w:qFormat/>
    <w:uiPriority w:val="0"/>
    <w:pPr>
      <w:tabs>
        <w:tab w:val="center" w:pos="4678"/>
        <w:tab w:val="right" w:leader="middleDot" w:pos="9355"/>
      </w:tabs>
    </w:pPr>
  </w:style>
  <w:style w:type="paragraph" w:customStyle="1" w:styleId="110">
    <w:name w:val="标准文件_表格"/>
    <w:basedOn w:val="24"/>
    <w:qFormat/>
    <w:uiPriority w:val="0"/>
    <w:pPr>
      <w:jc w:val="center"/>
    </w:pPr>
    <w:rPr>
      <w:sz w:val="18"/>
    </w:rPr>
  </w:style>
  <w:style w:type="paragraph" w:customStyle="1" w:styleId="111">
    <w:name w:val="终结线"/>
    <w:basedOn w:val="1"/>
    <w:qFormat/>
    <w:uiPriority w:val="0"/>
    <w:pPr>
      <w:framePr w:hSpace="181" w:vSpace="181" w:wrap="around" w:vAnchor="text" w:hAnchor="margin" w:xAlign="center" w:y="285"/>
    </w:pPr>
    <w:rPr>
      <w:rFonts w:ascii="Times New Roman" w:hAnsi="Times New Roman" w:cs="Times New Roman"/>
      <w:b/>
      <w:sz w:val="34"/>
    </w:rPr>
  </w:style>
  <w:style w:type="paragraph" w:customStyle="1" w:styleId="112">
    <w:name w:val="标准文件_正文表标题"/>
    <w:next w:val="24"/>
    <w:qFormat/>
    <w:uiPriority w:val="0"/>
    <w:pPr>
      <w:numPr>
        <w:ilvl w:val="0"/>
        <w:numId w:val="15"/>
      </w:numPr>
      <w:spacing w:before="157" w:beforeLines="50" w:after="157" w:afterLines="50"/>
      <w:jc w:val="center"/>
    </w:pPr>
    <w:rPr>
      <w:rFonts w:hint="eastAsia" w:ascii="黑体" w:hAnsi="黑体" w:eastAsia="黑体" w:cs="黑体"/>
      <w:sz w:val="21"/>
    </w:rPr>
  </w:style>
  <w:style w:type="paragraph" w:customStyle="1" w:styleId="113">
    <w:name w:val="标准文件_正文图标题"/>
    <w:next w:val="24"/>
    <w:qFormat/>
    <w:uiPriority w:val="0"/>
    <w:pPr>
      <w:numPr>
        <w:ilvl w:val="0"/>
        <w:numId w:val="16"/>
      </w:numPr>
      <w:spacing w:before="157" w:beforeLines="50" w:after="157" w:afterLines="50"/>
      <w:jc w:val="center"/>
    </w:pPr>
    <w:rPr>
      <w:rFonts w:hint="eastAsia" w:ascii="黑体" w:hAnsi="黑体" w:eastAsia="黑体" w:cs="黑体"/>
      <w:sz w:val="21"/>
    </w:rPr>
  </w:style>
  <w:style w:type="paragraph" w:customStyle="1" w:styleId="114">
    <w:name w:val="标准文件_索引标题"/>
    <w:basedOn w:val="33"/>
    <w:next w:val="24"/>
    <w:qFormat/>
    <w:uiPriority w:val="0"/>
    <w:rPr>
      <w:rFonts w:hAnsi="黑体"/>
    </w:rPr>
  </w:style>
  <w:style w:type="paragraph" w:customStyle="1" w:styleId="115">
    <w:name w:val="标准文件_索引项"/>
    <w:basedOn w:val="24"/>
    <w:next w:val="24"/>
    <w:qFormat/>
    <w:uiPriority w:val="0"/>
    <w:pPr>
      <w:tabs>
        <w:tab w:val="right" w:leader="dot" w:pos="9355"/>
      </w:tabs>
      <w:autoSpaceDE w:val="0"/>
      <w:autoSpaceDN w:val="0"/>
      <w:ind w:left="177" w:hanging="177" w:hangingChars="37"/>
      <w:jc w:val="left"/>
    </w:pPr>
  </w:style>
  <w:style w:type="paragraph" w:customStyle="1" w:styleId="116">
    <w:name w:val="标准文件_索引字母"/>
    <w:next w:val="24"/>
    <w:qFormat/>
    <w:uiPriority w:val="0"/>
    <w:pPr>
      <w:jc w:val="center"/>
    </w:pPr>
    <w:rPr>
      <w:rFonts w:hint="eastAsia" w:ascii="宋体" w:hAnsi="宋体" w:eastAsia="宋体" w:cs="宋体"/>
      <w:b/>
      <w:kern w:val="2"/>
      <w:sz w:val="21"/>
    </w:rPr>
  </w:style>
  <w:style w:type="paragraph" w:customStyle="1" w:styleId="117">
    <w:name w:val="标准文件_提示"/>
    <w:basedOn w:val="1"/>
    <w:qFormat/>
    <w:uiPriority w:val="0"/>
    <w:pPr>
      <w:ind w:firstLine="960" w:firstLineChars="200"/>
    </w:pPr>
    <w:rPr>
      <w:rFonts w:ascii="黑体" w:hAnsi="黑体" w:eastAsia="黑体" w:cs="黑体"/>
    </w:rPr>
  </w:style>
  <w:style w:type="paragraph" w:customStyle="1" w:styleId="118">
    <w:name w:val="标准文件_参考文献编号"/>
    <w:basedOn w:val="24"/>
    <w:qFormat/>
    <w:uiPriority w:val="0"/>
    <w:pPr>
      <w:numPr>
        <w:ilvl w:val="0"/>
        <w:numId w:val="17"/>
      </w:numPr>
    </w:pPr>
  </w:style>
  <w:style w:type="character" w:customStyle="1" w:styleId="119">
    <w:name w:val="标准文件_正文标准名称 Char"/>
    <w:link w:val="55"/>
    <w:qFormat/>
    <w:uiPriority w:val="0"/>
    <w:rPr>
      <w:rFonts w:ascii="黑体" w:hAnsi="黑体" w:eastAsia="黑体" w:cs="黑体"/>
      <w:sz w:val="32"/>
    </w:rPr>
  </w:style>
  <w:style w:type="paragraph" w:customStyle="1" w:styleId="12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21">
    <w:name w:val="注：（正文）"/>
    <w:basedOn w:val="122"/>
    <w:next w:val="120"/>
    <w:qFormat/>
    <w:uiPriority w:val="0"/>
    <w:pPr>
      <w:numPr>
        <w:ilvl w:val="0"/>
        <w:numId w:val="18"/>
      </w:numPr>
    </w:pPr>
  </w:style>
  <w:style w:type="paragraph" w:customStyle="1" w:styleId="122">
    <w:name w:val="注："/>
    <w:next w:val="120"/>
    <w:qFormat/>
    <w:uiPriority w:val="0"/>
    <w:pPr>
      <w:widowControl w:val="0"/>
      <w:numPr>
        <w:ilvl w:val="0"/>
        <w:numId w:val="19"/>
      </w:numPr>
      <w:autoSpaceDE w:val="0"/>
      <w:autoSpaceDN w:val="0"/>
      <w:jc w:val="both"/>
    </w:pPr>
    <w:rPr>
      <w:rFonts w:ascii="宋体" w:hAnsi="Times New Roman" w:eastAsia="宋体" w:cs="Times New Roman"/>
      <w:sz w:val="18"/>
      <w:szCs w:val="18"/>
      <w:lang w:val="en-US" w:eastAsia="zh-CN" w:bidi="ar-SA"/>
    </w:rPr>
  </w:style>
  <w:style w:type="paragraph" w:customStyle="1" w:styleId="123">
    <w:name w:val="标准文件_注："/>
    <w:next w:val="24"/>
    <w:qFormat/>
    <w:uiPriority w:val="0"/>
    <w:pPr>
      <w:widowControl w:val="0"/>
      <w:numPr>
        <w:ilvl w:val="0"/>
        <w:numId w:val="19"/>
      </w:numPr>
      <w:autoSpaceDE w:val="0"/>
      <w:autoSpaceDN w:val="0"/>
      <w:jc w:val="both"/>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pn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43a72de-6420-4734-a0dc-b6c3f8f378bc}"/>
        <w:style w:val=""/>
        <w:category>
          <w:name w:val="常规"/>
          <w:gallery w:val="placeholder"/>
        </w:category>
        <w:types>
          <w:type w:val="bbPlcHdr"/>
        </w:types>
        <w:behaviors>
          <w:behavior w:val="content"/>
        </w:behaviors>
        <w:description w:val=""/>
        <w:guid w:val="{e43a72de-6420-4734-a0dc-b6c3f8f378bc}"/>
      </w:docPartPr>
      <w:docPartBody>
        <w:p>
          <w:r>
            <w:rPr>
              <w:color w:val="808080"/>
            </w:rPr>
            <w:t>选择一项。</w:t>
          </w:r>
        </w:p>
      </w:docPartBody>
    </w:docPart>
    <w:docPart>
      <w:docPartPr>
        <w:name w:val="{a2b934e1-4e69-4b3d-b344-351c81d94b35}"/>
        <w:style w:val=""/>
        <w:category>
          <w:name w:val="常规"/>
          <w:gallery w:val="placeholder"/>
        </w:category>
        <w:types>
          <w:type w:val="bbPlcHdr"/>
        </w:types>
        <w:behaviors>
          <w:behavior w:val="content"/>
        </w:behaviors>
        <w:description w:val=""/>
        <w:guid w:val="{a2b934e1-4e69-4b3d-b344-351c81d94b35}"/>
      </w:docPartPr>
      <w:docPartBody>
        <w:p>
          <w:r>
            <w:rPr>
              <w:color w:val="808080"/>
            </w:rPr>
            <w:t>选择一项。</w:t>
          </w:r>
        </w:p>
      </w:docPartBody>
    </w:docPart>
    <w:docPart>
      <w:docPartPr>
        <w:name w:val="{dc198fea-d184-4aa6-8509-aaf3d889285d}"/>
        <w:style w:val=""/>
        <w:category>
          <w:name w:val="常规"/>
          <w:gallery w:val="placeholder"/>
        </w:category>
        <w:types>
          <w:type w:val="bbPlcHdr"/>
        </w:types>
        <w:behaviors>
          <w:behavior w:val="content"/>
        </w:behaviors>
        <w:description w:val=""/>
        <w:guid w:val="{dc198fea-d184-4aa6-8509-aaf3d889285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1774</Words>
  <Characters>2027</Characters>
  <Lines>0</Lines>
  <Paragraphs>0</Paragraphs>
  <TotalTime>1</TotalTime>
  <ScaleCrop>false</ScaleCrop>
  <LinksUpToDate>false</LinksUpToDate>
  <CharactersWithSpaces>2129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2024-05-07T02:54:00Z</dcterms:created>
  <dc:creator>栗子</dc:creator>
  <cp:lastModifiedBy>王珊</cp:lastModifiedBy>
  <dcterms:modified xsi:type="dcterms:W3CDTF">2025-05-23T09:29:17Z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6F9C1558C851400CA6D8C4871979E171_13</vt:lpwstr>
  </property>
  <property fmtid="{D5CDD505-2E9C-101B-9397-08002B2CF9AE}" pid="4" name="KSOTemplateDocerSaveRecord">
    <vt:lpwstr>eyJoZGlkIjoiODhkNWY1NmM2YzE4MjliNTY1ZTgzZDM3ZmU5ODdjZDIiLCJ1c2VySWQiOiI2MjI4MjQzNzQifQ==</vt:lpwstr>
  </property>
</Properties>
</file>