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22912">
        <w:tc>
          <w:tcPr>
            <w:tcW w:w="509" w:type="dxa"/>
          </w:tcPr>
          <w:p w:rsidR="00422912" w:rsidRDefault="00E17A9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22912" w:rsidRDefault="00E17A9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67.050</w:t>
            </w:r>
            <w:r>
              <w:rPr>
                <w:rFonts w:ascii="黑体" w:eastAsia="黑体" w:hAnsi="黑体"/>
                <w:sz w:val="21"/>
                <w:szCs w:val="21"/>
              </w:rPr>
              <w:fldChar w:fldCharType="end"/>
            </w:r>
            <w:bookmarkEnd w:id="0"/>
          </w:p>
        </w:tc>
      </w:tr>
      <w:tr w:rsidR="00422912">
        <w:tc>
          <w:tcPr>
            <w:tcW w:w="509" w:type="dxa"/>
          </w:tcPr>
          <w:p w:rsidR="00422912" w:rsidRDefault="00E17A9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22912">
              <w:trPr>
                <w:trHeight w:hRule="exact" w:val="1021"/>
              </w:trPr>
              <w:tc>
                <w:tcPr>
                  <w:tcW w:w="9242" w:type="dxa"/>
                  <w:vAlign w:val="center"/>
                </w:tcPr>
                <w:p w:rsidR="00422912" w:rsidRDefault="00E17A9A" w:rsidP="00F44E3B">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422912" w:rsidRDefault="00E17A9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04</w:t>
            </w:r>
            <w:r>
              <w:rPr>
                <w:rFonts w:ascii="黑体" w:eastAsia="黑体" w:hAnsi="黑体"/>
                <w:sz w:val="21"/>
                <w:szCs w:val="21"/>
              </w:rPr>
              <w:fldChar w:fldCharType="end"/>
            </w:r>
            <w:bookmarkEnd w:id="2"/>
          </w:p>
        </w:tc>
      </w:tr>
    </w:tbl>
    <w:p w:rsidR="00422912" w:rsidRDefault="00E17A9A">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22912" w:rsidRDefault="00E17A9A">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422912" w:rsidRDefault="00E17A9A">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422912" w:rsidRDefault="00E17A9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22912" w:rsidRDefault="00422912">
      <w:pPr>
        <w:pStyle w:val="affff9"/>
        <w:framePr w:w="9639" w:h="6976" w:hRule="exact" w:hSpace="0" w:vSpace="0" w:wrap="around" w:hAnchor="page" w:y="6408"/>
        <w:jc w:val="center"/>
        <w:rPr>
          <w:rFonts w:ascii="黑体" w:eastAsia="黑体" w:hAnsi="黑体"/>
          <w:b w:val="0"/>
          <w:bCs w:val="0"/>
          <w:w w:val="100"/>
        </w:rPr>
      </w:pPr>
    </w:p>
    <w:p w:rsidR="00422912" w:rsidRDefault="00E17A9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磷脂酰丝氨酸食品有助于辅助改善记忆力功效评价方法</w:t>
      </w:r>
      <w:r>
        <w:fldChar w:fldCharType="end"/>
      </w:r>
      <w:bookmarkEnd w:id="8"/>
    </w:p>
    <w:p w:rsidR="00422912" w:rsidRDefault="00422912">
      <w:pPr>
        <w:framePr w:w="9639" w:h="6974" w:hRule="exact" w:wrap="around" w:vAnchor="page" w:hAnchor="page" w:x="1419" w:y="6408" w:anchorLock="1"/>
        <w:ind w:left="-1418"/>
      </w:pPr>
    </w:p>
    <w:p w:rsidR="00422912" w:rsidRDefault="00E17A9A">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Evaluation methods for the efficacy of phosphatidylserine food in assisting to improve memory</w:t>
      </w:r>
      <w:r>
        <w:rPr>
          <w:rFonts w:eastAsia="黑体"/>
          <w:szCs w:val="28"/>
        </w:rPr>
        <w:fldChar w:fldCharType="end"/>
      </w:r>
      <w:bookmarkEnd w:id="9"/>
    </w:p>
    <w:p w:rsidR="00422912" w:rsidRDefault="00422912">
      <w:pPr>
        <w:framePr w:w="9639" w:h="6974" w:hRule="exact" w:wrap="around" w:vAnchor="page" w:hAnchor="page" w:x="1419" w:y="6408" w:anchorLock="1"/>
        <w:spacing w:line="760" w:lineRule="exact"/>
        <w:ind w:left="-1418"/>
      </w:pPr>
    </w:p>
    <w:p w:rsidR="00422912" w:rsidRDefault="00422912">
      <w:pPr>
        <w:pStyle w:val="afffffff1"/>
        <w:framePr w:w="9639" w:h="6974" w:hRule="exact" w:wrap="around" w:vAnchor="page" w:hAnchor="page" w:x="1419" w:y="6408" w:anchorLock="1"/>
        <w:textAlignment w:val="bottom"/>
        <w:rPr>
          <w:rFonts w:eastAsia="黑体"/>
          <w:szCs w:val="28"/>
        </w:rPr>
      </w:pPr>
    </w:p>
    <w:bookmarkStart w:id="10" w:name="_GoBack"/>
    <w:p w:rsidR="00422912" w:rsidRDefault="00E17A9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F44E3B">
        <w:rPr>
          <w:sz w:val="24"/>
          <w:szCs w:val="28"/>
        </w:rPr>
      </w:r>
      <w:r>
        <w:rPr>
          <w:sz w:val="24"/>
          <w:szCs w:val="28"/>
        </w:rPr>
        <w:fldChar w:fldCharType="end"/>
      </w:r>
      <w:bookmarkEnd w:id="11"/>
      <w:bookmarkEnd w:id="10"/>
    </w:p>
    <w:p w:rsidR="00422912" w:rsidRDefault="00E17A9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422912" w:rsidRDefault="00E17A9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422912" w:rsidRDefault="00E17A9A">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422912" w:rsidRDefault="00E17A9A">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422912" w:rsidRDefault="00E17A9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422912" w:rsidRDefault="00E17A9A">
      <w:pPr>
        <w:rPr>
          <w:rFonts w:ascii="宋体" w:hAnsi="宋体"/>
          <w:sz w:val="28"/>
          <w:szCs w:val="28"/>
        </w:rPr>
        <w:sectPr w:rsidR="0042291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22912" w:rsidRDefault="00E17A9A">
      <w:pPr>
        <w:pStyle w:val="affffff3"/>
        <w:spacing w:after="360"/>
      </w:pPr>
      <w:bookmarkStart w:id="21" w:name="BookMark1"/>
      <w:r>
        <w:rPr>
          <w:rFonts w:hint="eastAsia"/>
          <w:spacing w:val="320"/>
        </w:rPr>
        <w:lastRenderedPageBreak/>
        <w:t>目</w:t>
      </w:r>
      <w:r>
        <w:rPr>
          <w:rFonts w:hint="eastAsia"/>
        </w:rPr>
        <w:t>次</w:t>
      </w:r>
    </w:p>
    <w:p w:rsidR="00422912" w:rsidRDefault="00E17A9A">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7949461" w:history="1">
        <w:r>
          <w:rPr>
            <w:rStyle w:val="affff5"/>
            <w:rFonts w:hint="eastAsia"/>
          </w:rPr>
          <w:t>前言</w:t>
        </w:r>
        <w:r>
          <w:tab/>
        </w:r>
        <w:r>
          <w:fldChar w:fldCharType="begin"/>
        </w:r>
        <w:r>
          <w:instrText xml:space="preserve"> PAGEREF _Toc197949461 \h </w:instrText>
        </w:r>
        <w:r>
          <w:fldChar w:fldCharType="separate"/>
        </w:r>
        <w:r w:rsidR="00155004">
          <w:rPr>
            <w:noProof/>
          </w:rPr>
          <w:t>II</w:t>
        </w:r>
        <w:r>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62" w:history="1">
        <w:r w:rsidR="00E17A9A">
          <w:rPr>
            <w:rStyle w:val="affff5"/>
          </w:rPr>
          <w:t xml:space="preserve">1 </w:t>
        </w:r>
        <w:r w:rsidR="00E17A9A">
          <w:rPr>
            <w:rStyle w:val="affff5"/>
            <w:rFonts w:hint="eastAsia"/>
          </w:rPr>
          <w:t xml:space="preserve"> 范围</w:t>
        </w:r>
        <w:r w:rsidR="00E17A9A">
          <w:tab/>
        </w:r>
        <w:r w:rsidR="00E17A9A">
          <w:fldChar w:fldCharType="begin"/>
        </w:r>
        <w:r w:rsidR="00E17A9A">
          <w:instrText xml:space="preserve"> PAGEREF _Toc197949462 \h </w:instrText>
        </w:r>
        <w:r w:rsidR="00E17A9A">
          <w:fldChar w:fldCharType="separate"/>
        </w:r>
        <w:r w:rsidR="00155004">
          <w:rPr>
            <w:noProof/>
          </w:rPr>
          <w:t>1</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63" w:history="1">
        <w:r w:rsidR="00E17A9A">
          <w:rPr>
            <w:rStyle w:val="affff5"/>
          </w:rPr>
          <w:t xml:space="preserve">2 </w:t>
        </w:r>
        <w:r w:rsidR="00E17A9A">
          <w:rPr>
            <w:rStyle w:val="affff5"/>
            <w:rFonts w:hint="eastAsia"/>
          </w:rPr>
          <w:t xml:space="preserve"> 规范性引用文件</w:t>
        </w:r>
        <w:r w:rsidR="00E17A9A">
          <w:tab/>
        </w:r>
        <w:r w:rsidR="00E17A9A">
          <w:fldChar w:fldCharType="begin"/>
        </w:r>
        <w:r w:rsidR="00E17A9A">
          <w:instrText xml:space="preserve"> PAGEREF _Toc197949463 \h </w:instrText>
        </w:r>
        <w:r w:rsidR="00E17A9A">
          <w:fldChar w:fldCharType="separate"/>
        </w:r>
        <w:r w:rsidR="00155004">
          <w:rPr>
            <w:noProof/>
          </w:rPr>
          <w:t>1</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64" w:history="1">
        <w:r w:rsidR="00E17A9A">
          <w:rPr>
            <w:rStyle w:val="affff5"/>
          </w:rPr>
          <w:t xml:space="preserve">3 </w:t>
        </w:r>
        <w:r w:rsidR="00E17A9A">
          <w:rPr>
            <w:rStyle w:val="affff5"/>
            <w:rFonts w:hint="eastAsia"/>
          </w:rPr>
          <w:t xml:space="preserve"> 术语和定义</w:t>
        </w:r>
        <w:r w:rsidR="00E17A9A">
          <w:tab/>
        </w:r>
        <w:r w:rsidR="00E17A9A">
          <w:fldChar w:fldCharType="begin"/>
        </w:r>
        <w:r w:rsidR="00E17A9A">
          <w:instrText xml:space="preserve"> PAGEREF _Toc197949464 \h </w:instrText>
        </w:r>
        <w:r w:rsidR="00E17A9A">
          <w:fldChar w:fldCharType="separate"/>
        </w:r>
        <w:r w:rsidR="00155004">
          <w:rPr>
            <w:noProof/>
          </w:rPr>
          <w:t>1</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65" w:history="1">
        <w:r w:rsidR="00E17A9A">
          <w:rPr>
            <w:rStyle w:val="affff5"/>
          </w:rPr>
          <w:t xml:space="preserve">4 </w:t>
        </w:r>
        <w:r w:rsidR="00E17A9A">
          <w:rPr>
            <w:rStyle w:val="affff5"/>
            <w:rFonts w:hint="eastAsia"/>
          </w:rPr>
          <w:t xml:space="preserve"> 基本原则</w:t>
        </w:r>
        <w:r w:rsidR="00E17A9A">
          <w:tab/>
        </w:r>
        <w:r w:rsidR="00E17A9A">
          <w:fldChar w:fldCharType="begin"/>
        </w:r>
        <w:r w:rsidR="00E17A9A">
          <w:instrText xml:space="preserve"> PAGEREF _Toc197949465 \h </w:instrText>
        </w:r>
        <w:r w:rsidR="00E17A9A">
          <w:fldChar w:fldCharType="separate"/>
        </w:r>
        <w:r w:rsidR="00155004">
          <w:rPr>
            <w:noProof/>
          </w:rPr>
          <w:t>1</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66" w:history="1">
        <w:r w:rsidR="00E17A9A">
          <w:rPr>
            <w:rStyle w:val="affff5"/>
          </w:rPr>
          <w:t xml:space="preserve">5 </w:t>
        </w:r>
        <w:r w:rsidR="00E17A9A">
          <w:rPr>
            <w:rStyle w:val="affff5"/>
            <w:rFonts w:hint="eastAsia"/>
          </w:rPr>
          <w:t xml:space="preserve"> 试验参与者要求</w:t>
        </w:r>
        <w:r w:rsidR="00E17A9A">
          <w:tab/>
        </w:r>
        <w:r w:rsidR="00E17A9A">
          <w:fldChar w:fldCharType="begin"/>
        </w:r>
        <w:r w:rsidR="00E17A9A">
          <w:instrText xml:space="preserve"> PAGEREF _Toc197949466 \h </w:instrText>
        </w:r>
        <w:r w:rsidR="00E17A9A">
          <w:fldChar w:fldCharType="separate"/>
        </w:r>
        <w:r w:rsidR="00155004">
          <w:rPr>
            <w:noProof/>
          </w:rPr>
          <w:t>1</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67" w:history="1">
        <w:r w:rsidR="00E17A9A">
          <w:rPr>
            <w:rStyle w:val="affff5"/>
          </w:rPr>
          <w:t xml:space="preserve">6 </w:t>
        </w:r>
        <w:r w:rsidR="00E17A9A">
          <w:rPr>
            <w:rStyle w:val="affff5"/>
            <w:rFonts w:hint="eastAsia"/>
          </w:rPr>
          <w:t xml:space="preserve"> 受试样品</w:t>
        </w:r>
        <w:r w:rsidR="00E17A9A">
          <w:tab/>
        </w:r>
        <w:r w:rsidR="00E17A9A">
          <w:fldChar w:fldCharType="begin"/>
        </w:r>
        <w:r w:rsidR="00E17A9A">
          <w:instrText xml:space="preserve"> PAGEREF _Toc197949467 \h </w:instrText>
        </w:r>
        <w:r w:rsidR="00E17A9A">
          <w:fldChar w:fldCharType="separate"/>
        </w:r>
        <w:r w:rsidR="00155004">
          <w:rPr>
            <w:noProof/>
          </w:rPr>
          <w:t>2</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68" w:history="1">
        <w:r w:rsidR="00E17A9A">
          <w:rPr>
            <w:rStyle w:val="affff5"/>
          </w:rPr>
          <w:t xml:space="preserve">7 </w:t>
        </w:r>
        <w:r w:rsidR="00E17A9A">
          <w:rPr>
            <w:rStyle w:val="affff5"/>
            <w:rFonts w:hint="eastAsia"/>
          </w:rPr>
          <w:t xml:space="preserve"> 试验设计和分组</w:t>
        </w:r>
        <w:r w:rsidR="00E17A9A">
          <w:tab/>
        </w:r>
        <w:r w:rsidR="00E17A9A">
          <w:fldChar w:fldCharType="begin"/>
        </w:r>
        <w:r w:rsidR="00E17A9A">
          <w:instrText xml:space="preserve"> PAGEREF _Toc197949468 \h </w:instrText>
        </w:r>
        <w:r w:rsidR="00E17A9A">
          <w:fldChar w:fldCharType="separate"/>
        </w:r>
        <w:r w:rsidR="00155004">
          <w:rPr>
            <w:noProof/>
          </w:rPr>
          <w:t>2</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69" w:history="1">
        <w:r w:rsidR="00E17A9A">
          <w:rPr>
            <w:rStyle w:val="affff5"/>
          </w:rPr>
          <w:t xml:space="preserve">8 </w:t>
        </w:r>
        <w:r w:rsidR="00E17A9A">
          <w:rPr>
            <w:rStyle w:val="affff5"/>
            <w:rFonts w:hint="eastAsia"/>
          </w:rPr>
          <w:t xml:space="preserve"> 观察指标</w:t>
        </w:r>
        <w:r w:rsidR="00E17A9A">
          <w:tab/>
        </w:r>
        <w:r w:rsidR="00E17A9A">
          <w:fldChar w:fldCharType="begin"/>
        </w:r>
        <w:r w:rsidR="00E17A9A">
          <w:instrText xml:space="preserve"> PAGEREF _Toc197949469 \h </w:instrText>
        </w:r>
        <w:r w:rsidR="00E17A9A">
          <w:fldChar w:fldCharType="separate"/>
        </w:r>
        <w:r w:rsidR="00155004">
          <w:rPr>
            <w:noProof/>
          </w:rPr>
          <w:t>3</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70" w:history="1">
        <w:r w:rsidR="00E17A9A">
          <w:rPr>
            <w:rStyle w:val="affff5"/>
          </w:rPr>
          <w:t xml:space="preserve">9 </w:t>
        </w:r>
        <w:r w:rsidR="00E17A9A">
          <w:rPr>
            <w:rStyle w:val="affff5"/>
            <w:rFonts w:hint="eastAsia"/>
          </w:rPr>
          <w:t xml:space="preserve"> 数据处理</w:t>
        </w:r>
        <w:r w:rsidR="00E17A9A">
          <w:tab/>
        </w:r>
        <w:r w:rsidR="00E17A9A">
          <w:fldChar w:fldCharType="begin"/>
        </w:r>
        <w:r w:rsidR="00E17A9A">
          <w:instrText xml:space="preserve"> PAGEREF _Toc197949470 \h </w:instrText>
        </w:r>
        <w:r w:rsidR="00E17A9A">
          <w:fldChar w:fldCharType="separate"/>
        </w:r>
        <w:r w:rsidR="00155004">
          <w:rPr>
            <w:noProof/>
          </w:rPr>
          <w:t>4</w:t>
        </w:r>
        <w:r w:rsidR="00E17A9A">
          <w:fldChar w:fldCharType="end"/>
        </w:r>
      </w:hyperlink>
    </w:p>
    <w:p w:rsidR="00422912" w:rsidRDefault="0026242E">
      <w:pPr>
        <w:pStyle w:val="10"/>
        <w:tabs>
          <w:tab w:val="right" w:leader="dot" w:pos="9344"/>
        </w:tabs>
        <w:rPr>
          <w:rFonts w:asciiTheme="minorHAnsi" w:eastAsiaTheme="minorEastAsia" w:hAnsiTheme="minorHAnsi" w:cstheme="minorBidi"/>
          <w:szCs w:val="22"/>
        </w:rPr>
      </w:pPr>
      <w:hyperlink w:anchor="_Toc197949471" w:history="1">
        <w:r w:rsidR="00E17A9A">
          <w:rPr>
            <w:rStyle w:val="affff5"/>
          </w:rPr>
          <w:t xml:space="preserve">10 </w:t>
        </w:r>
        <w:r w:rsidR="00E17A9A">
          <w:rPr>
            <w:rStyle w:val="affff5"/>
            <w:rFonts w:hint="eastAsia"/>
          </w:rPr>
          <w:t xml:space="preserve"> 结果判定</w:t>
        </w:r>
        <w:r w:rsidR="00E17A9A">
          <w:tab/>
        </w:r>
        <w:r w:rsidR="00E17A9A">
          <w:fldChar w:fldCharType="begin"/>
        </w:r>
        <w:r w:rsidR="00E17A9A">
          <w:instrText xml:space="preserve"> PAGEREF _Toc197949471 \h </w:instrText>
        </w:r>
        <w:r w:rsidR="00E17A9A">
          <w:fldChar w:fldCharType="separate"/>
        </w:r>
        <w:r w:rsidR="00155004">
          <w:rPr>
            <w:noProof/>
          </w:rPr>
          <w:t>4</w:t>
        </w:r>
        <w:r w:rsidR="00E17A9A">
          <w:fldChar w:fldCharType="end"/>
        </w:r>
      </w:hyperlink>
    </w:p>
    <w:p w:rsidR="00422912" w:rsidRDefault="00E17A9A">
      <w:pPr>
        <w:pStyle w:val="affffff3"/>
        <w:spacing w:after="360"/>
        <w:sectPr w:rsidR="00422912">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422912" w:rsidRDefault="00E17A9A">
      <w:pPr>
        <w:pStyle w:val="a6"/>
        <w:spacing w:before="900" w:after="360"/>
      </w:pPr>
      <w:bookmarkStart w:id="22" w:name="_Toc197949461"/>
      <w:bookmarkStart w:id="23" w:name="BookMark2"/>
      <w:bookmarkEnd w:id="21"/>
      <w:r>
        <w:rPr>
          <w:spacing w:val="320"/>
        </w:rPr>
        <w:lastRenderedPageBreak/>
        <w:t>前</w:t>
      </w:r>
      <w:r>
        <w:t>言</w:t>
      </w:r>
      <w:bookmarkEnd w:id="22"/>
    </w:p>
    <w:p w:rsidR="00422912" w:rsidRDefault="00E17A9A">
      <w:pPr>
        <w:pStyle w:val="affffe"/>
        <w:spacing w:line="288" w:lineRule="auto"/>
        <w:ind w:firstLine="420"/>
      </w:pPr>
      <w:r>
        <w:rPr>
          <w:rFonts w:hint="eastAsia"/>
        </w:rPr>
        <w:t>本文件按照GB/T 1.1—2020《标准化工作导则  第1部分：标准化文件的结构和起草规则》的规定起草。</w:t>
      </w:r>
    </w:p>
    <w:p w:rsidR="00422912" w:rsidRDefault="00E17A9A">
      <w:pPr>
        <w:pStyle w:val="affffe"/>
        <w:spacing w:line="288" w:lineRule="auto"/>
        <w:ind w:firstLine="420"/>
      </w:pPr>
      <w:r>
        <w:t>请注意本文件的某些内容可能涉及专利。本文件的发布机构不承担识别专利的责任。</w:t>
      </w:r>
    </w:p>
    <w:p w:rsidR="00422912" w:rsidRDefault="00E17A9A">
      <w:pPr>
        <w:pStyle w:val="affffe"/>
        <w:spacing w:line="288" w:lineRule="auto"/>
        <w:ind w:firstLine="420"/>
      </w:pPr>
      <w:r>
        <w:rPr>
          <w:rFonts w:hint="eastAsia"/>
        </w:rPr>
        <w:t>本文件由上海欧睿生物科技有限公司提出。</w:t>
      </w:r>
    </w:p>
    <w:p w:rsidR="00422912" w:rsidRDefault="00E17A9A">
      <w:pPr>
        <w:pStyle w:val="affffe"/>
        <w:spacing w:line="288" w:lineRule="auto"/>
        <w:ind w:firstLine="420"/>
      </w:pPr>
      <w:r>
        <w:rPr>
          <w:rFonts w:hint="eastAsia"/>
        </w:rPr>
        <w:t>本文件由中国商品学会归口。</w:t>
      </w:r>
    </w:p>
    <w:p w:rsidR="00422912" w:rsidRDefault="00E17A9A">
      <w:pPr>
        <w:pStyle w:val="affffe"/>
        <w:spacing w:line="288" w:lineRule="auto"/>
        <w:ind w:firstLine="420"/>
      </w:pPr>
      <w:r>
        <w:rPr>
          <w:rFonts w:hint="eastAsia"/>
        </w:rPr>
        <w:t>本文件起草单位：上海欧睿生物科技有限公司、××××、××××</w:t>
      </w:r>
    </w:p>
    <w:p w:rsidR="00422912" w:rsidRDefault="00E17A9A">
      <w:pPr>
        <w:pStyle w:val="affffe"/>
        <w:spacing w:line="288" w:lineRule="auto"/>
        <w:ind w:firstLine="420"/>
      </w:pPr>
      <w:r>
        <w:rPr>
          <w:rFonts w:hint="eastAsia"/>
        </w:rPr>
        <w:t>本文件主要起草人：×××、×××、×××</w:t>
      </w:r>
    </w:p>
    <w:p w:rsidR="00422912" w:rsidRDefault="00422912">
      <w:pPr>
        <w:pStyle w:val="affffe"/>
        <w:ind w:firstLine="420"/>
      </w:pPr>
    </w:p>
    <w:p w:rsidR="00422912" w:rsidRDefault="00422912">
      <w:pPr>
        <w:pStyle w:val="affffe"/>
        <w:ind w:firstLine="420"/>
        <w:sectPr w:rsidR="00422912">
          <w:pgSz w:w="11906" w:h="16838"/>
          <w:pgMar w:top="1928" w:right="1134" w:bottom="1134" w:left="1134" w:header="1418" w:footer="1134" w:gutter="284"/>
          <w:pgNumType w:fmt="upperRoman"/>
          <w:cols w:space="425"/>
          <w:formProt w:val="0"/>
          <w:docGrid w:linePitch="312"/>
        </w:sectPr>
      </w:pPr>
    </w:p>
    <w:p w:rsidR="00422912" w:rsidRDefault="00422912">
      <w:pPr>
        <w:spacing w:line="20" w:lineRule="exact"/>
        <w:jc w:val="center"/>
        <w:rPr>
          <w:rFonts w:ascii="黑体" w:eastAsia="黑体" w:hAnsi="黑体"/>
          <w:sz w:val="32"/>
          <w:szCs w:val="32"/>
        </w:rPr>
      </w:pPr>
      <w:bookmarkStart w:id="24" w:name="BookMark4"/>
      <w:bookmarkEnd w:id="23"/>
    </w:p>
    <w:p w:rsidR="00422912" w:rsidRDefault="0042291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422912" w:rsidRDefault="00E17A9A">
          <w:pPr>
            <w:pStyle w:val="afffffffff1"/>
            <w:spacing w:beforeLines="100" w:before="240" w:afterLines="220" w:after="528"/>
          </w:pPr>
          <w:r>
            <w:rPr>
              <w:rFonts w:hint="eastAsia"/>
            </w:rPr>
            <w:t>磷脂酰丝氨酸食品有助于辅助改善记忆力功效评价方法</w:t>
          </w:r>
        </w:p>
      </w:sdtContent>
    </w:sdt>
    <w:p w:rsidR="00422912" w:rsidRDefault="00E17A9A">
      <w:pPr>
        <w:pStyle w:val="affc"/>
        <w:spacing w:before="240" w:after="240"/>
      </w:pPr>
      <w:bookmarkStart w:id="26" w:name="_Toc187999600"/>
      <w:bookmarkStart w:id="27" w:name="_Toc26718930"/>
      <w:bookmarkStart w:id="28" w:name="_Toc197949462"/>
      <w:bookmarkStart w:id="29" w:name="_Toc24884211"/>
      <w:bookmarkStart w:id="30" w:name="_Toc17233325"/>
      <w:bookmarkStart w:id="31" w:name="_Toc26986771"/>
      <w:bookmarkStart w:id="32" w:name="_Toc26648465"/>
      <w:bookmarkStart w:id="33" w:name="_Toc97192964"/>
      <w:bookmarkStart w:id="34" w:name="_Toc17233333"/>
      <w:bookmarkStart w:id="35" w:name="_Toc26986530"/>
      <w:bookmarkStart w:id="36" w:name="_Toc24884218"/>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422912" w:rsidRDefault="00E17A9A">
      <w:pPr>
        <w:pStyle w:val="affffe"/>
        <w:spacing w:line="288" w:lineRule="auto"/>
        <w:ind w:firstLine="420"/>
      </w:pPr>
      <w:bookmarkStart w:id="37" w:name="_Toc24884219"/>
      <w:bookmarkStart w:id="38" w:name="_Toc24884212"/>
      <w:bookmarkStart w:id="39" w:name="_Toc17233334"/>
      <w:bookmarkStart w:id="40" w:name="_Toc26648466"/>
      <w:bookmarkStart w:id="41" w:name="_Toc17233326"/>
      <w:r>
        <w:t>本文件规定了</w:t>
      </w:r>
      <w:r>
        <w:rPr>
          <w:rFonts w:hint="eastAsia"/>
        </w:rPr>
        <w:t>磷脂酰丝氨酸食品有助于辅助改善记忆力功效评价的基本原则、试验参与者要求、受试样品、试验设计和分组、观察指标、数据处理和结果判定。</w:t>
      </w:r>
    </w:p>
    <w:p w:rsidR="00422912" w:rsidRDefault="00E17A9A">
      <w:pPr>
        <w:pStyle w:val="affffe"/>
        <w:spacing w:line="288" w:lineRule="auto"/>
        <w:ind w:firstLine="420"/>
      </w:pPr>
      <w:r>
        <w:rPr>
          <w:rFonts w:hint="eastAsia"/>
        </w:rPr>
        <w:t>本文件适用于磷脂酰丝氨酸食品有助于辅助改善记忆力功效评价的实施和过程控制。</w:t>
      </w:r>
    </w:p>
    <w:p w:rsidR="00422912" w:rsidRDefault="00E17A9A">
      <w:pPr>
        <w:pStyle w:val="affc"/>
        <w:spacing w:before="240" w:after="240"/>
      </w:pPr>
      <w:bookmarkStart w:id="42" w:name="_Toc197949463"/>
      <w:bookmarkStart w:id="43" w:name="_Toc187999601"/>
      <w:bookmarkStart w:id="44" w:name="_Toc26986531"/>
      <w:bookmarkStart w:id="45" w:name="_Toc26986772"/>
      <w:bookmarkStart w:id="46" w:name="_Toc26718931"/>
      <w:bookmarkStart w:id="47" w:name="_Toc97192965"/>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22912" w:rsidRDefault="00E17A9A">
          <w:pPr>
            <w:pStyle w:val="affffe"/>
            <w:ind w:firstLine="420"/>
          </w:pPr>
          <w:r>
            <w:rPr>
              <w:rFonts w:hint="eastAsia"/>
            </w:rPr>
            <w:t>本文件没有规范性引用文件。</w:t>
          </w:r>
        </w:p>
      </w:sdtContent>
    </w:sdt>
    <w:p w:rsidR="00422912" w:rsidRDefault="00E17A9A">
      <w:pPr>
        <w:pStyle w:val="affc"/>
        <w:spacing w:before="240" w:after="240"/>
      </w:pPr>
      <w:bookmarkStart w:id="48" w:name="_Toc187999602"/>
      <w:bookmarkStart w:id="49" w:name="_Toc197949464"/>
      <w:bookmarkStart w:id="50" w:name="_Toc97192966"/>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22912" w:rsidRDefault="00E17A9A">
          <w:pPr>
            <w:pStyle w:val="affffe"/>
            <w:spacing w:line="288" w:lineRule="auto"/>
            <w:ind w:firstLine="420"/>
          </w:pPr>
          <w:r>
            <w:t>下列术语和定义适用于本文件。</w:t>
          </w:r>
        </w:p>
      </w:sdtContent>
    </w:sdt>
    <w:p w:rsidR="00422912" w:rsidRDefault="00E17A9A">
      <w:pPr>
        <w:pStyle w:val="affd"/>
        <w:spacing w:beforeLines="0" w:before="0" w:afterLines="0" w:after="0" w:line="288" w:lineRule="auto"/>
        <w:rPr>
          <w:rFonts w:hAnsi="黑体"/>
        </w:rPr>
      </w:pPr>
      <w:r>
        <w:rPr>
          <w:rFonts w:hAnsi="黑体"/>
        </w:rPr>
        <w:br/>
      </w:r>
      <w:r>
        <w:rPr>
          <w:rFonts w:hAnsi="黑体" w:hint="eastAsia"/>
        </w:rPr>
        <w:t xml:space="preserve">    </w:t>
      </w:r>
      <w:r>
        <w:rPr>
          <w:rFonts w:hAnsi="黑体"/>
        </w:rPr>
        <w:t>磷脂酰丝氨酸</w:t>
      </w:r>
      <w:r>
        <w:rPr>
          <w:rFonts w:hAnsi="黑体" w:hint="eastAsia"/>
        </w:rPr>
        <w:t xml:space="preserve">食品  </w:t>
      </w:r>
      <w:proofErr w:type="spellStart"/>
      <w:r>
        <w:rPr>
          <w:rFonts w:hAnsi="黑体" w:hint="eastAsia"/>
        </w:rPr>
        <w:t>p</w:t>
      </w:r>
      <w:r>
        <w:rPr>
          <w:rFonts w:hAnsi="黑体"/>
        </w:rPr>
        <w:t>hosphatidylserine</w:t>
      </w:r>
      <w:proofErr w:type="spellEnd"/>
      <w:r>
        <w:rPr>
          <w:rFonts w:hAnsi="黑体" w:hint="eastAsia"/>
        </w:rPr>
        <w:t xml:space="preserve"> food</w:t>
      </w:r>
    </w:p>
    <w:p w:rsidR="00422912" w:rsidRDefault="00E17A9A">
      <w:pPr>
        <w:pStyle w:val="affffe"/>
        <w:spacing w:line="288" w:lineRule="auto"/>
        <w:ind w:firstLine="420"/>
      </w:pPr>
      <w:r>
        <w:rPr>
          <w:rFonts w:hint="eastAsia"/>
        </w:rPr>
        <w:t>大豆卵磷脂和 L-丝氨酸为原料，采用磷脂酶转化反应后，添加或不添加食品添加剂，经纯化、干燥后包装制得的食品。</w:t>
      </w:r>
    </w:p>
    <w:p w:rsidR="00422912" w:rsidRDefault="00E17A9A">
      <w:pPr>
        <w:pStyle w:val="affc"/>
        <w:spacing w:before="240" w:after="240"/>
      </w:pPr>
      <w:bookmarkStart w:id="52" w:name="_Toc197949465"/>
      <w:r>
        <w:rPr>
          <w:rFonts w:hint="eastAsia"/>
        </w:rPr>
        <w:t>基本原则</w:t>
      </w:r>
      <w:bookmarkEnd w:id="52"/>
    </w:p>
    <w:p w:rsidR="00422912" w:rsidRDefault="00E17A9A">
      <w:pPr>
        <w:pStyle w:val="affffffff7"/>
        <w:spacing w:line="288" w:lineRule="auto"/>
      </w:pPr>
      <w:r>
        <w:rPr>
          <w:rFonts w:hint="eastAsia"/>
        </w:rPr>
        <w:t>试验应满足赫尔辛基宣言，样本测试单位具备相应的资质要求，测试实施应相应法规要求及接受相关监管机构监督。</w:t>
      </w:r>
    </w:p>
    <w:p w:rsidR="00422912" w:rsidRDefault="00E17A9A">
      <w:pPr>
        <w:pStyle w:val="affffffff7"/>
        <w:spacing w:line="288" w:lineRule="auto"/>
      </w:pPr>
      <w:r>
        <w:rPr>
          <w:rFonts w:hint="eastAsia"/>
        </w:rPr>
        <w:t>产品应具有安全性依据，并符合相关法律法规的规定，确保在正常、可预见的情况下，不会对试验参与者的健康产生危害。</w:t>
      </w:r>
    </w:p>
    <w:p w:rsidR="00422912" w:rsidRDefault="00E17A9A">
      <w:pPr>
        <w:pStyle w:val="affffffff7"/>
        <w:spacing w:line="288" w:lineRule="auto"/>
      </w:pPr>
      <w:r>
        <w:rPr>
          <w:rFonts w:hint="eastAsia"/>
        </w:rPr>
        <w:t>所有试验参与者应当签署知情同意书后方可开展测试，且应采取必要的医学防护措施，最大程度地保护试验参与者的利益。</w:t>
      </w:r>
    </w:p>
    <w:p w:rsidR="00422912" w:rsidRDefault="00E17A9A">
      <w:pPr>
        <w:pStyle w:val="affffffff7"/>
        <w:spacing w:line="288" w:lineRule="auto"/>
      </w:pPr>
      <w:r>
        <w:rPr>
          <w:rFonts w:hint="eastAsia"/>
        </w:rPr>
        <w:t>应对试验参与者的个人信息进行保密。</w:t>
      </w:r>
    </w:p>
    <w:p w:rsidR="00422912" w:rsidRDefault="00E17A9A">
      <w:pPr>
        <w:pStyle w:val="affffffff7"/>
        <w:spacing w:line="288" w:lineRule="auto"/>
      </w:pPr>
      <w:r>
        <w:rPr>
          <w:rFonts w:hint="eastAsia"/>
        </w:rPr>
        <w:t>试验期间应对试验参与者任何不良反应予以记录。如试验参与者出现身体不适，应立即停止测试。</w:t>
      </w:r>
    </w:p>
    <w:p w:rsidR="00422912" w:rsidRDefault="00E17A9A">
      <w:pPr>
        <w:pStyle w:val="affc"/>
        <w:spacing w:before="240" w:after="240"/>
      </w:pPr>
      <w:bookmarkStart w:id="53" w:name="_Toc197949466"/>
      <w:r>
        <w:t>试验参与者要求</w:t>
      </w:r>
      <w:bookmarkEnd w:id="53"/>
    </w:p>
    <w:p w:rsidR="00422912" w:rsidRDefault="00E17A9A">
      <w:pPr>
        <w:pStyle w:val="affd"/>
        <w:spacing w:before="120" w:after="120"/>
      </w:pPr>
      <w:r>
        <w:t>纳入标准</w:t>
      </w:r>
    </w:p>
    <w:p w:rsidR="00422912" w:rsidRDefault="00E17A9A">
      <w:pPr>
        <w:pStyle w:val="affffe"/>
        <w:spacing w:line="288" w:lineRule="auto"/>
        <w:ind w:firstLine="420"/>
      </w:pPr>
      <w:r>
        <w:rPr>
          <w:rFonts w:hint="eastAsia"/>
        </w:rPr>
        <w:t>试验参与者应满足以下条件：</w:t>
      </w:r>
    </w:p>
    <w:p w:rsidR="00422912" w:rsidRDefault="00E17A9A">
      <w:pPr>
        <w:pStyle w:val="af5"/>
        <w:spacing w:line="288" w:lineRule="auto"/>
      </w:pPr>
      <w:r>
        <w:rPr>
          <w:rFonts w:hint="eastAsia"/>
        </w:rPr>
        <w:t>年龄35 岁</w:t>
      </w:r>
      <w:r>
        <w:rPr>
          <w:rFonts w:hAnsi="宋体" w:hint="eastAsia"/>
        </w:rPr>
        <w:t>～</w:t>
      </w:r>
      <w:r>
        <w:rPr>
          <w:rFonts w:hint="eastAsia"/>
        </w:rPr>
        <w:t>65岁；</w:t>
      </w:r>
    </w:p>
    <w:p w:rsidR="00422912" w:rsidRDefault="00E17A9A">
      <w:pPr>
        <w:pStyle w:val="af5"/>
        <w:spacing w:line="288" w:lineRule="auto"/>
      </w:pPr>
      <w:r>
        <w:rPr>
          <w:rFonts w:hint="eastAsia"/>
        </w:rPr>
        <w:t>自觉记忆力下降；</w:t>
      </w:r>
    </w:p>
    <w:p w:rsidR="00422912" w:rsidRDefault="00E17A9A">
      <w:pPr>
        <w:pStyle w:val="af5"/>
        <w:spacing w:line="288" w:lineRule="auto"/>
      </w:pPr>
      <w:r>
        <w:rPr>
          <w:rFonts w:hint="eastAsia"/>
        </w:rPr>
        <w:t>简易智力状态检查量表（MMSE）评分大于或等于 24 分；</w:t>
      </w:r>
    </w:p>
    <w:p w:rsidR="00422912" w:rsidRDefault="00E17A9A">
      <w:pPr>
        <w:pStyle w:val="af5"/>
        <w:spacing w:line="288" w:lineRule="auto"/>
      </w:pPr>
      <w:r>
        <w:rPr>
          <w:rFonts w:hint="eastAsia"/>
        </w:rPr>
        <w:t>在筛选期（</w:t>
      </w:r>
      <w:proofErr w:type="spellStart"/>
      <w:r>
        <w:rPr>
          <w:rFonts w:hint="eastAsia"/>
        </w:rPr>
        <w:t>Scr</w:t>
      </w:r>
      <w:proofErr w:type="spellEnd"/>
      <w:r>
        <w:rPr>
          <w:rFonts w:hint="eastAsia"/>
        </w:rPr>
        <w:t xml:space="preserve">）通过 </w:t>
      </w:r>
      <w:proofErr w:type="spellStart"/>
      <w:r>
        <w:rPr>
          <w:rFonts w:hint="eastAsia"/>
        </w:rPr>
        <w:t>Cognitrax</w:t>
      </w:r>
      <w:proofErr w:type="spellEnd"/>
      <w:r>
        <w:rPr>
          <w:rFonts w:hint="eastAsia"/>
        </w:rPr>
        <w:t xml:space="preserve"> 测得的综合记忆标准</w:t>
      </w:r>
      <w:proofErr w:type="gramStart"/>
      <w:r>
        <w:rPr>
          <w:rFonts w:hint="eastAsia"/>
        </w:rPr>
        <w:t>化分数</w:t>
      </w:r>
      <w:proofErr w:type="gramEnd"/>
      <w:r>
        <w:rPr>
          <w:rFonts w:hint="eastAsia"/>
        </w:rPr>
        <w:t>相对较低；</w:t>
      </w:r>
    </w:p>
    <w:p w:rsidR="00422912" w:rsidRDefault="00E17A9A">
      <w:pPr>
        <w:pStyle w:val="af5"/>
        <w:spacing w:line="288" w:lineRule="auto"/>
      </w:pPr>
      <w:r>
        <w:rPr>
          <w:rFonts w:hint="eastAsia"/>
        </w:rPr>
        <w:t>经医师判定适合参与研究。</w:t>
      </w:r>
    </w:p>
    <w:p w:rsidR="00422912" w:rsidRDefault="00E17A9A">
      <w:pPr>
        <w:pStyle w:val="affd"/>
        <w:spacing w:before="120" w:after="120"/>
      </w:pPr>
      <w:r>
        <w:t>排除标准</w:t>
      </w:r>
    </w:p>
    <w:p w:rsidR="00422912" w:rsidRDefault="00E17A9A">
      <w:pPr>
        <w:pStyle w:val="affffe"/>
        <w:spacing w:line="288" w:lineRule="auto"/>
        <w:ind w:firstLine="420"/>
      </w:pPr>
      <w:r>
        <w:rPr>
          <w:rFonts w:hint="eastAsia"/>
        </w:rPr>
        <w:t>具备以下条件之一者不应作为试验参与者参加试验：</w:t>
      </w:r>
    </w:p>
    <w:p w:rsidR="00422912" w:rsidRDefault="00E17A9A">
      <w:pPr>
        <w:pStyle w:val="af5"/>
        <w:numPr>
          <w:ilvl w:val="0"/>
          <w:numId w:val="32"/>
        </w:numPr>
        <w:spacing w:line="288" w:lineRule="auto"/>
      </w:pPr>
      <w:r>
        <w:rPr>
          <w:rFonts w:hint="eastAsia"/>
        </w:rPr>
        <w:lastRenderedPageBreak/>
        <w:t>正在接受治疗或有恶性肿瘤、心力衰竭、心肌梗死病史；</w:t>
      </w:r>
    </w:p>
    <w:p w:rsidR="00422912" w:rsidRDefault="00E17A9A">
      <w:pPr>
        <w:pStyle w:val="af5"/>
        <w:numPr>
          <w:ilvl w:val="0"/>
          <w:numId w:val="32"/>
        </w:numPr>
        <w:spacing w:line="288" w:lineRule="auto"/>
      </w:pPr>
      <w:r>
        <w:rPr>
          <w:rFonts w:hint="eastAsia"/>
        </w:rPr>
        <w:t>携带心脏起搏器或植入式心律转复除颤器（ICD）；</w:t>
      </w:r>
    </w:p>
    <w:p w:rsidR="00422912" w:rsidRDefault="00E17A9A">
      <w:pPr>
        <w:pStyle w:val="af5"/>
        <w:numPr>
          <w:ilvl w:val="0"/>
          <w:numId w:val="32"/>
        </w:numPr>
        <w:spacing w:line="288" w:lineRule="auto"/>
      </w:pPr>
      <w:r>
        <w:rPr>
          <w:rFonts w:hint="eastAsia"/>
        </w:rPr>
        <w:t>正在接受心律失常、肝病、肾病、脑血管疾病、风湿病、糖尿病、血脂异常、高血压或其他慢性疾病治疗；</w:t>
      </w:r>
    </w:p>
    <w:p w:rsidR="00422912" w:rsidRDefault="00E17A9A">
      <w:pPr>
        <w:pStyle w:val="af5"/>
        <w:numPr>
          <w:ilvl w:val="0"/>
          <w:numId w:val="32"/>
        </w:numPr>
        <w:spacing w:line="288" w:lineRule="auto"/>
      </w:pPr>
      <w:r>
        <w:rPr>
          <w:rFonts w:hint="eastAsia"/>
        </w:rPr>
        <w:t>患有痴呆症；</w:t>
      </w:r>
    </w:p>
    <w:p w:rsidR="00422912" w:rsidRDefault="00E17A9A">
      <w:pPr>
        <w:pStyle w:val="af5"/>
        <w:numPr>
          <w:ilvl w:val="0"/>
          <w:numId w:val="32"/>
        </w:numPr>
        <w:spacing w:line="288" w:lineRule="auto"/>
      </w:pPr>
      <w:r>
        <w:rPr>
          <w:rFonts w:hint="eastAsia"/>
        </w:rPr>
        <w:t>有抑郁症、注意力缺陷/多动障碍（ADHD）等心理健康问题；</w:t>
      </w:r>
    </w:p>
    <w:p w:rsidR="00422912" w:rsidRDefault="00E17A9A">
      <w:pPr>
        <w:pStyle w:val="af5"/>
        <w:numPr>
          <w:ilvl w:val="0"/>
          <w:numId w:val="32"/>
        </w:numPr>
        <w:spacing w:line="288" w:lineRule="auto"/>
      </w:pPr>
      <w:r>
        <w:rPr>
          <w:rFonts w:hint="eastAsia"/>
        </w:rPr>
        <w:t>日常摄入“特定保健用食品”“功能声称食品”“其他功能性食品/饮料”；</w:t>
      </w:r>
    </w:p>
    <w:p w:rsidR="00422912" w:rsidRDefault="00E17A9A">
      <w:pPr>
        <w:pStyle w:val="af5"/>
        <w:numPr>
          <w:ilvl w:val="0"/>
          <w:numId w:val="32"/>
        </w:numPr>
        <w:spacing w:line="288" w:lineRule="auto"/>
      </w:pPr>
      <w:r>
        <w:rPr>
          <w:rFonts w:hint="eastAsia"/>
        </w:rPr>
        <w:t>日常服用可能改善认知功能的补充剂或食品，如磷脂酰丝氨酸、DHA、EPA、银杏叶提取物、生育三烯</w:t>
      </w:r>
      <w:proofErr w:type="gramStart"/>
      <w:r>
        <w:rPr>
          <w:rFonts w:hint="eastAsia"/>
        </w:rPr>
        <w:t>酚</w:t>
      </w:r>
      <w:proofErr w:type="gramEnd"/>
      <w:r>
        <w:rPr>
          <w:rFonts w:hint="eastAsia"/>
        </w:rPr>
        <w:t>、虾青素、γ-氨基丁酸（GABA）、缩醛磷脂等；</w:t>
      </w:r>
    </w:p>
    <w:p w:rsidR="00422912" w:rsidRDefault="00E17A9A">
      <w:pPr>
        <w:pStyle w:val="af5"/>
        <w:numPr>
          <w:ilvl w:val="0"/>
          <w:numId w:val="32"/>
        </w:numPr>
        <w:spacing w:line="288" w:lineRule="auto"/>
      </w:pPr>
      <w:r>
        <w:rPr>
          <w:rFonts w:hint="eastAsia"/>
        </w:rPr>
        <w:t>每周食用沙丁鱼、</w:t>
      </w:r>
      <w:proofErr w:type="gramStart"/>
      <w:r>
        <w:rPr>
          <w:rFonts w:hint="eastAsia"/>
        </w:rPr>
        <w:t>鲭</w:t>
      </w:r>
      <w:proofErr w:type="gramEnd"/>
      <w:r>
        <w:rPr>
          <w:rFonts w:hint="eastAsia"/>
        </w:rPr>
        <w:t>鱼、秋刀鱼等青背鱼类大于或等于 4 d；</w:t>
      </w:r>
    </w:p>
    <w:p w:rsidR="00422912" w:rsidRDefault="00E17A9A">
      <w:pPr>
        <w:pStyle w:val="af5"/>
        <w:numPr>
          <w:ilvl w:val="0"/>
          <w:numId w:val="32"/>
        </w:numPr>
        <w:spacing w:line="288" w:lineRule="auto"/>
      </w:pPr>
      <w:r>
        <w:rPr>
          <w:rFonts w:hint="eastAsia"/>
        </w:rPr>
        <w:t>日常使用可能影响认知功能的设备、仪器或应用程序，如益智拼图、脑力训练游戏；</w:t>
      </w:r>
    </w:p>
    <w:p w:rsidR="00422912" w:rsidRDefault="00E17A9A">
      <w:pPr>
        <w:pStyle w:val="af5"/>
        <w:numPr>
          <w:ilvl w:val="0"/>
          <w:numId w:val="32"/>
        </w:numPr>
        <w:spacing w:line="288" w:lineRule="auto"/>
      </w:pPr>
      <w:r>
        <w:rPr>
          <w:rFonts w:hint="eastAsia"/>
        </w:rPr>
        <w:t>定期服用药物（包括草药）或补充剂；</w:t>
      </w:r>
    </w:p>
    <w:p w:rsidR="00422912" w:rsidRDefault="00E17A9A">
      <w:pPr>
        <w:pStyle w:val="af5"/>
        <w:numPr>
          <w:ilvl w:val="0"/>
          <w:numId w:val="32"/>
        </w:numPr>
        <w:spacing w:line="288" w:lineRule="auto"/>
      </w:pPr>
      <w:r>
        <w:rPr>
          <w:rFonts w:hint="eastAsia"/>
        </w:rPr>
        <w:t>对药物和/或试验食品相关产品过敏；</w:t>
      </w:r>
    </w:p>
    <w:p w:rsidR="00422912" w:rsidRDefault="00E17A9A">
      <w:pPr>
        <w:pStyle w:val="af5"/>
        <w:numPr>
          <w:ilvl w:val="0"/>
          <w:numId w:val="32"/>
        </w:numPr>
        <w:spacing w:line="288" w:lineRule="auto"/>
      </w:pPr>
      <w:r>
        <w:rPr>
          <w:rFonts w:hint="eastAsia"/>
        </w:rPr>
        <w:t>妊娠、哺乳或计划妊娠；</w:t>
      </w:r>
    </w:p>
    <w:p w:rsidR="00422912" w:rsidRDefault="00E17A9A">
      <w:pPr>
        <w:pStyle w:val="af5"/>
        <w:numPr>
          <w:ilvl w:val="0"/>
          <w:numId w:val="32"/>
        </w:numPr>
        <w:spacing w:line="288" w:lineRule="auto"/>
      </w:pPr>
      <w:r>
        <w:rPr>
          <w:rFonts w:hint="eastAsia"/>
        </w:rPr>
        <w:t>前 28 d 内参加过其他临床试验，或计划在试验期间参加其他临床试验；</w:t>
      </w:r>
    </w:p>
    <w:p w:rsidR="00422912" w:rsidRDefault="00E17A9A">
      <w:pPr>
        <w:pStyle w:val="af5"/>
        <w:numPr>
          <w:ilvl w:val="0"/>
          <w:numId w:val="32"/>
        </w:numPr>
        <w:spacing w:line="288" w:lineRule="auto"/>
      </w:pPr>
      <w:r>
        <w:rPr>
          <w:rFonts w:hint="eastAsia"/>
        </w:rPr>
        <w:t>被主要研究者判定为不适合参与。</w:t>
      </w:r>
    </w:p>
    <w:p w:rsidR="00422912" w:rsidRDefault="00E17A9A">
      <w:pPr>
        <w:pStyle w:val="affc"/>
        <w:spacing w:before="240" w:after="240"/>
      </w:pPr>
      <w:bookmarkStart w:id="54" w:name="_Toc197949467"/>
      <w:r>
        <w:t>受试样品</w:t>
      </w:r>
      <w:bookmarkEnd w:id="54"/>
    </w:p>
    <w:p w:rsidR="00422912" w:rsidRDefault="00E17A9A">
      <w:pPr>
        <w:pStyle w:val="affd"/>
        <w:spacing w:before="120" w:after="120"/>
      </w:pPr>
      <w:r>
        <w:t>试验样品</w:t>
      </w:r>
    </w:p>
    <w:p w:rsidR="00422912" w:rsidRDefault="00E17A9A">
      <w:pPr>
        <w:pStyle w:val="affe"/>
        <w:spacing w:beforeLines="0" w:before="0" w:afterLines="0" w:after="0" w:line="288" w:lineRule="auto"/>
        <w:rPr>
          <w:rFonts w:ascii="宋体" w:eastAsia="宋体"/>
        </w:rPr>
      </w:pPr>
      <w:r>
        <w:rPr>
          <w:rFonts w:ascii="宋体" w:eastAsia="宋体" w:hint="eastAsia"/>
        </w:rPr>
        <w:t>试验组 1：鲱鱼</w:t>
      </w:r>
      <w:proofErr w:type="gramStart"/>
      <w:r>
        <w:rPr>
          <w:rFonts w:ascii="宋体" w:eastAsia="宋体" w:hint="eastAsia"/>
        </w:rPr>
        <w:t>卵</w:t>
      </w:r>
      <w:proofErr w:type="gramEnd"/>
      <w:r>
        <w:rPr>
          <w:rFonts w:ascii="宋体" w:eastAsia="宋体" w:hint="eastAsia"/>
        </w:rPr>
        <w:t>来源 Omega-3 磷脂酰丝氨酸食品。</w:t>
      </w:r>
    </w:p>
    <w:p w:rsidR="00422912" w:rsidRDefault="00E17A9A">
      <w:pPr>
        <w:pStyle w:val="affe"/>
        <w:spacing w:beforeLines="0" w:before="0" w:afterLines="0" w:after="0" w:line="288" w:lineRule="auto"/>
        <w:rPr>
          <w:rFonts w:ascii="宋体" w:eastAsia="宋体"/>
        </w:rPr>
      </w:pPr>
      <w:r>
        <w:rPr>
          <w:rFonts w:ascii="宋体" w:eastAsia="宋体" w:hint="eastAsia"/>
        </w:rPr>
        <w:t>试验组 2：大豆来源磷脂酰丝氨酸食品。</w:t>
      </w:r>
    </w:p>
    <w:p w:rsidR="00422912" w:rsidRDefault="00E17A9A">
      <w:pPr>
        <w:pStyle w:val="affe"/>
        <w:spacing w:beforeLines="0" w:before="0" w:afterLines="0" w:after="0" w:line="288" w:lineRule="auto"/>
      </w:pPr>
      <w:r>
        <w:rPr>
          <w:rFonts w:ascii="宋体" w:eastAsia="宋体" w:hint="eastAsia"/>
        </w:rPr>
        <w:t>安慰剂组：微晶纤维素（安慰剂）。</w:t>
      </w:r>
    </w:p>
    <w:p w:rsidR="00422912" w:rsidRDefault="00E17A9A">
      <w:pPr>
        <w:pStyle w:val="affd"/>
        <w:spacing w:before="120" w:after="120"/>
      </w:pPr>
      <w:r>
        <w:t>试验周期</w:t>
      </w:r>
    </w:p>
    <w:p w:rsidR="00422912" w:rsidRDefault="00E17A9A">
      <w:pPr>
        <w:pStyle w:val="affffe"/>
        <w:ind w:firstLine="420"/>
      </w:pPr>
      <w:r>
        <w:rPr>
          <w:rFonts w:hint="eastAsia"/>
        </w:rPr>
        <w:t>干预期为 12 周。</w:t>
      </w:r>
    </w:p>
    <w:p w:rsidR="00422912" w:rsidRDefault="00E17A9A">
      <w:pPr>
        <w:pStyle w:val="affd"/>
        <w:spacing w:before="120" w:after="120"/>
      </w:pPr>
      <w:r>
        <w:t>用法用量</w:t>
      </w:r>
    </w:p>
    <w:p w:rsidR="00422912" w:rsidRDefault="00E17A9A">
      <w:pPr>
        <w:pStyle w:val="affffffffa"/>
        <w:numPr>
          <w:ilvl w:val="0"/>
          <w:numId w:val="0"/>
        </w:numPr>
        <w:spacing w:line="288" w:lineRule="auto"/>
        <w:ind w:firstLineChars="200" w:firstLine="420"/>
      </w:pPr>
      <w:r>
        <w:rPr>
          <w:rFonts w:hint="eastAsia"/>
        </w:rPr>
        <w:t>试验组1、试验组 2 和安慰剂组每日早餐后温水送服 4 粒。应当日完成服用，漏服应当日补服，不可次日加倍。</w:t>
      </w:r>
    </w:p>
    <w:p w:rsidR="00422912" w:rsidRDefault="00E17A9A">
      <w:pPr>
        <w:pStyle w:val="affc"/>
        <w:spacing w:before="240" w:after="240"/>
      </w:pPr>
      <w:bookmarkStart w:id="55" w:name="_Toc197949468"/>
      <w:r>
        <w:t>试验设计和分组</w:t>
      </w:r>
      <w:bookmarkEnd w:id="55"/>
    </w:p>
    <w:p w:rsidR="00422912" w:rsidRDefault="00E17A9A">
      <w:pPr>
        <w:pStyle w:val="affd"/>
        <w:spacing w:before="120" w:after="120"/>
      </w:pPr>
      <w:r>
        <w:rPr>
          <w:rFonts w:hint="eastAsia"/>
        </w:rPr>
        <w:t>试验设计</w:t>
      </w:r>
    </w:p>
    <w:p w:rsidR="00422912" w:rsidRDefault="00E17A9A">
      <w:pPr>
        <w:pStyle w:val="affffe"/>
        <w:spacing w:line="288" w:lineRule="auto"/>
        <w:ind w:firstLine="420"/>
      </w:pPr>
      <w:r>
        <w:rPr>
          <w:rFonts w:hint="eastAsia"/>
        </w:rPr>
        <w:t>试验设计主要数据如下：</w:t>
      </w:r>
    </w:p>
    <w:p w:rsidR="00422912" w:rsidRDefault="00E17A9A">
      <w:pPr>
        <w:pStyle w:val="af5"/>
        <w:numPr>
          <w:ilvl w:val="0"/>
          <w:numId w:val="33"/>
        </w:numPr>
        <w:spacing w:line="288" w:lineRule="auto"/>
      </w:pPr>
      <w:r>
        <w:rPr>
          <w:rFonts w:hint="eastAsia"/>
        </w:rPr>
        <w:t>试验目的：安全性及有效性；</w:t>
      </w:r>
    </w:p>
    <w:p w:rsidR="00422912" w:rsidRDefault="00E17A9A">
      <w:pPr>
        <w:pStyle w:val="af5"/>
        <w:numPr>
          <w:ilvl w:val="0"/>
          <w:numId w:val="33"/>
        </w:numPr>
        <w:spacing w:line="288" w:lineRule="auto"/>
      </w:pPr>
      <w:r>
        <w:rPr>
          <w:rFonts w:hint="eastAsia"/>
        </w:rPr>
        <w:t>试验类型：干预性、平行对照、随机、双盲、安慰剂对照；</w:t>
      </w:r>
    </w:p>
    <w:p w:rsidR="00422912" w:rsidRDefault="00E17A9A">
      <w:pPr>
        <w:pStyle w:val="af5"/>
        <w:numPr>
          <w:ilvl w:val="0"/>
          <w:numId w:val="33"/>
        </w:numPr>
        <w:spacing w:line="288" w:lineRule="auto"/>
      </w:pPr>
      <w:r>
        <w:rPr>
          <w:rFonts w:hint="eastAsia"/>
        </w:rPr>
        <w:t>组数：3 组；</w:t>
      </w:r>
    </w:p>
    <w:p w:rsidR="00422912" w:rsidRDefault="00E17A9A">
      <w:pPr>
        <w:pStyle w:val="af5"/>
        <w:numPr>
          <w:ilvl w:val="0"/>
          <w:numId w:val="33"/>
        </w:numPr>
        <w:spacing w:line="288" w:lineRule="auto"/>
      </w:pPr>
      <w:r>
        <w:rPr>
          <w:rFonts w:hint="eastAsia"/>
        </w:rPr>
        <w:t>临床检查次数：2 次，包括筛选及基线评估（</w:t>
      </w:r>
      <w:proofErr w:type="spellStart"/>
      <w:r>
        <w:rPr>
          <w:rFonts w:hint="eastAsia"/>
        </w:rPr>
        <w:t>Scr</w:t>
      </w:r>
      <w:proofErr w:type="spellEnd"/>
      <w:r>
        <w:rPr>
          <w:rFonts w:hint="eastAsia"/>
        </w:rPr>
        <w:t>）和服用后12周（12 w）；</w:t>
      </w:r>
    </w:p>
    <w:p w:rsidR="00422912" w:rsidRDefault="00E17A9A">
      <w:pPr>
        <w:pStyle w:val="af5"/>
        <w:numPr>
          <w:ilvl w:val="0"/>
          <w:numId w:val="33"/>
        </w:numPr>
        <w:spacing w:line="288" w:lineRule="auto"/>
      </w:pPr>
      <w:r>
        <w:rPr>
          <w:rFonts w:hint="eastAsia"/>
        </w:rPr>
        <w:t>拟筛选人数：210 人；</w:t>
      </w:r>
    </w:p>
    <w:p w:rsidR="00422912" w:rsidRDefault="00E17A9A">
      <w:pPr>
        <w:pStyle w:val="afff2"/>
        <w:spacing w:line="288" w:lineRule="auto"/>
      </w:pPr>
      <w:r>
        <w:rPr>
          <w:rFonts w:hint="eastAsia"/>
        </w:rPr>
        <w:t>拟筛选人数说明：为满足研究所需合格受试者数量（研究人数与计划入组人数），预先筛选的最低人数要求。</w:t>
      </w:r>
    </w:p>
    <w:p w:rsidR="00422912" w:rsidRDefault="00E17A9A">
      <w:pPr>
        <w:pStyle w:val="af5"/>
        <w:numPr>
          <w:ilvl w:val="0"/>
          <w:numId w:val="33"/>
        </w:numPr>
        <w:spacing w:line="288" w:lineRule="auto"/>
      </w:pPr>
      <w:r>
        <w:rPr>
          <w:rFonts w:hint="eastAsia"/>
        </w:rPr>
        <w:t>研究人数：105人，35 人×3 组；</w:t>
      </w:r>
    </w:p>
    <w:p w:rsidR="00422912" w:rsidRDefault="00E17A9A">
      <w:pPr>
        <w:pStyle w:val="af5"/>
        <w:numPr>
          <w:ilvl w:val="0"/>
          <w:numId w:val="33"/>
        </w:numPr>
        <w:spacing w:line="288" w:lineRule="auto"/>
      </w:pPr>
      <w:r>
        <w:rPr>
          <w:rFonts w:hint="eastAsia"/>
        </w:rPr>
        <w:t>计划入组人数：114 人，38 人×3 组。</w:t>
      </w:r>
    </w:p>
    <w:p w:rsidR="00422912" w:rsidRDefault="00E17A9A">
      <w:pPr>
        <w:pStyle w:val="affd"/>
        <w:spacing w:before="120" w:after="120"/>
      </w:pPr>
      <w:r>
        <w:lastRenderedPageBreak/>
        <w:t>分组要求</w:t>
      </w:r>
    </w:p>
    <w:p w:rsidR="00422912" w:rsidRDefault="00E17A9A">
      <w:pPr>
        <w:pStyle w:val="affffe"/>
        <w:spacing w:line="288" w:lineRule="auto"/>
        <w:ind w:firstLine="420"/>
      </w:pPr>
      <w:r>
        <w:rPr>
          <w:rFonts w:hint="eastAsia"/>
        </w:rPr>
        <w:t>在筛选考试中符合资格标准的参与者，根据分配控制器创建的计算机生成的分配表被分配到实验组或安慰剂组。每组的分配比例为 1：1：1。分配表使用 SPSS 生成，算法使用分层块随机化。阻塞因素为年龄（≥50，＜50）和（EPA+DHA）/AA 比率（≥中位数，＜中位数）。如表 1 所示。</w:t>
      </w:r>
    </w:p>
    <w:p w:rsidR="00422912" w:rsidRDefault="00E17A9A">
      <w:pPr>
        <w:pStyle w:val="aff2"/>
        <w:spacing w:before="120" w:after="120"/>
      </w:pPr>
      <w:r>
        <w:rPr>
          <w:rFonts w:hint="eastAsia"/>
        </w:rPr>
        <w:t>试验分组</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3"/>
        <w:gridCol w:w="3127"/>
      </w:tblGrid>
      <w:tr w:rsidR="00422912">
        <w:trPr>
          <w:tblHeader/>
          <w:jc w:val="center"/>
        </w:trPr>
        <w:tc>
          <w:tcPr>
            <w:tcW w:w="3190" w:type="dxa"/>
            <w:tcBorders>
              <w:top w:val="single" w:sz="8" w:space="0" w:color="auto"/>
              <w:bottom w:val="single" w:sz="8" w:space="0" w:color="auto"/>
            </w:tcBorders>
            <w:shd w:val="clear" w:color="auto" w:fill="auto"/>
            <w:vAlign w:val="center"/>
          </w:tcPr>
          <w:p w:rsidR="00422912" w:rsidRDefault="00E17A9A">
            <w:pPr>
              <w:pStyle w:val="afffffffff2"/>
            </w:pPr>
            <w:r>
              <w:rPr>
                <w:rFonts w:hint="eastAsia"/>
              </w:rPr>
              <w:t>编码</w:t>
            </w:r>
          </w:p>
        </w:tc>
        <w:tc>
          <w:tcPr>
            <w:tcW w:w="3190" w:type="dxa"/>
            <w:tcBorders>
              <w:top w:val="single" w:sz="8" w:space="0" w:color="auto"/>
              <w:bottom w:val="single" w:sz="8" w:space="0" w:color="auto"/>
            </w:tcBorders>
            <w:shd w:val="clear" w:color="auto" w:fill="auto"/>
            <w:vAlign w:val="center"/>
          </w:tcPr>
          <w:p w:rsidR="00422912" w:rsidRDefault="00E17A9A">
            <w:pPr>
              <w:pStyle w:val="afffffffff2"/>
            </w:pPr>
            <w:r>
              <w:rPr>
                <w:rFonts w:hint="eastAsia"/>
              </w:rPr>
              <w:t>样本大小</w:t>
            </w:r>
          </w:p>
        </w:tc>
        <w:tc>
          <w:tcPr>
            <w:tcW w:w="3190" w:type="dxa"/>
            <w:tcBorders>
              <w:top w:val="single" w:sz="8" w:space="0" w:color="auto"/>
              <w:bottom w:val="single" w:sz="8" w:space="0" w:color="auto"/>
            </w:tcBorders>
            <w:shd w:val="clear" w:color="auto" w:fill="auto"/>
            <w:vAlign w:val="center"/>
          </w:tcPr>
          <w:p w:rsidR="00422912" w:rsidRDefault="00E17A9A">
            <w:pPr>
              <w:pStyle w:val="afffffffff2"/>
            </w:pPr>
            <w:r>
              <w:rPr>
                <w:rFonts w:hint="eastAsia"/>
              </w:rPr>
              <w:t>分层条件</w:t>
            </w:r>
          </w:p>
        </w:tc>
      </w:tr>
      <w:tr w:rsidR="00422912">
        <w:trPr>
          <w:jc w:val="center"/>
        </w:trPr>
        <w:tc>
          <w:tcPr>
            <w:tcW w:w="3190" w:type="dxa"/>
            <w:tcBorders>
              <w:top w:val="single" w:sz="8" w:space="0" w:color="auto"/>
            </w:tcBorders>
            <w:shd w:val="clear" w:color="auto" w:fill="auto"/>
            <w:vAlign w:val="center"/>
          </w:tcPr>
          <w:p w:rsidR="00422912" w:rsidRDefault="00E17A9A">
            <w:pPr>
              <w:pStyle w:val="afffffffff2"/>
            </w:pPr>
            <w:r>
              <w:rPr>
                <w:rFonts w:hint="eastAsia"/>
              </w:rPr>
              <w:t>1</w:t>
            </w:r>
          </w:p>
        </w:tc>
        <w:tc>
          <w:tcPr>
            <w:tcW w:w="3190" w:type="dxa"/>
            <w:tcBorders>
              <w:top w:val="single" w:sz="8" w:space="0" w:color="auto"/>
            </w:tcBorders>
            <w:shd w:val="clear" w:color="auto" w:fill="auto"/>
            <w:vAlign w:val="center"/>
          </w:tcPr>
          <w:p w:rsidR="00422912" w:rsidRDefault="00E17A9A">
            <w:pPr>
              <w:pStyle w:val="afffffffff2"/>
            </w:pPr>
            <w:r>
              <w:rPr>
                <w:rFonts w:hint="eastAsia"/>
              </w:rPr>
              <w:t>27</w:t>
            </w:r>
          </w:p>
        </w:tc>
        <w:tc>
          <w:tcPr>
            <w:tcW w:w="3190" w:type="dxa"/>
            <w:tcBorders>
              <w:top w:val="single" w:sz="8" w:space="0" w:color="auto"/>
            </w:tcBorders>
            <w:shd w:val="clear" w:color="auto" w:fill="auto"/>
            <w:vAlign w:val="center"/>
          </w:tcPr>
          <w:p w:rsidR="00422912" w:rsidRDefault="00E17A9A">
            <w:pPr>
              <w:pStyle w:val="afffffffff2"/>
            </w:pPr>
            <w:r>
              <w:rPr>
                <w:rFonts w:hint="eastAsia"/>
              </w:rPr>
              <w:t>年龄 ≥50 岁，比率 ≥中位数</w:t>
            </w:r>
          </w:p>
        </w:tc>
      </w:tr>
      <w:tr w:rsidR="00422912">
        <w:trPr>
          <w:jc w:val="center"/>
        </w:trPr>
        <w:tc>
          <w:tcPr>
            <w:tcW w:w="3190" w:type="dxa"/>
            <w:shd w:val="clear" w:color="auto" w:fill="auto"/>
            <w:vAlign w:val="center"/>
          </w:tcPr>
          <w:p w:rsidR="00422912" w:rsidRDefault="00E17A9A">
            <w:pPr>
              <w:pStyle w:val="afffffffff2"/>
            </w:pPr>
            <w:r>
              <w:rPr>
                <w:rFonts w:hint="eastAsia"/>
              </w:rPr>
              <w:t>2</w:t>
            </w:r>
          </w:p>
        </w:tc>
        <w:tc>
          <w:tcPr>
            <w:tcW w:w="3190" w:type="dxa"/>
            <w:shd w:val="clear" w:color="auto" w:fill="auto"/>
            <w:vAlign w:val="center"/>
          </w:tcPr>
          <w:p w:rsidR="00422912" w:rsidRDefault="00E17A9A">
            <w:pPr>
              <w:pStyle w:val="afffffffff2"/>
            </w:pPr>
            <w:r>
              <w:rPr>
                <w:rFonts w:hint="eastAsia"/>
              </w:rPr>
              <w:t>30</w:t>
            </w:r>
          </w:p>
        </w:tc>
        <w:tc>
          <w:tcPr>
            <w:tcW w:w="3190" w:type="dxa"/>
            <w:shd w:val="clear" w:color="auto" w:fill="auto"/>
            <w:vAlign w:val="center"/>
          </w:tcPr>
          <w:p w:rsidR="00422912" w:rsidRDefault="00E17A9A">
            <w:pPr>
              <w:pStyle w:val="afffffffff2"/>
            </w:pPr>
            <w:r>
              <w:rPr>
                <w:rFonts w:hint="eastAsia"/>
              </w:rPr>
              <w:t>年龄 ≥50 岁，比率 ＜中位数</w:t>
            </w:r>
          </w:p>
        </w:tc>
      </w:tr>
      <w:tr w:rsidR="00422912">
        <w:trPr>
          <w:jc w:val="center"/>
        </w:trPr>
        <w:tc>
          <w:tcPr>
            <w:tcW w:w="3190" w:type="dxa"/>
            <w:shd w:val="clear" w:color="auto" w:fill="auto"/>
            <w:vAlign w:val="center"/>
          </w:tcPr>
          <w:p w:rsidR="00422912" w:rsidRDefault="00E17A9A">
            <w:pPr>
              <w:pStyle w:val="afffffffff2"/>
            </w:pPr>
            <w:r>
              <w:rPr>
                <w:rFonts w:hint="eastAsia"/>
              </w:rPr>
              <w:t>3</w:t>
            </w:r>
          </w:p>
        </w:tc>
        <w:tc>
          <w:tcPr>
            <w:tcW w:w="3190" w:type="dxa"/>
            <w:shd w:val="clear" w:color="auto" w:fill="auto"/>
            <w:vAlign w:val="center"/>
          </w:tcPr>
          <w:p w:rsidR="00422912" w:rsidRDefault="00E17A9A">
            <w:pPr>
              <w:pStyle w:val="afffffffff2"/>
            </w:pPr>
            <w:r>
              <w:rPr>
                <w:rFonts w:hint="eastAsia"/>
              </w:rPr>
              <w:t>27</w:t>
            </w:r>
          </w:p>
        </w:tc>
        <w:tc>
          <w:tcPr>
            <w:tcW w:w="3190" w:type="dxa"/>
            <w:shd w:val="clear" w:color="auto" w:fill="auto"/>
            <w:vAlign w:val="center"/>
          </w:tcPr>
          <w:p w:rsidR="00422912" w:rsidRDefault="00E17A9A">
            <w:pPr>
              <w:pStyle w:val="afffffffff2"/>
            </w:pPr>
            <w:r>
              <w:rPr>
                <w:rFonts w:hint="eastAsia"/>
              </w:rPr>
              <w:t>年龄 ＜50 岁，比率 ≥中位数</w:t>
            </w:r>
          </w:p>
        </w:tc>
      </w:tr>
      <w:tr w:rsidR="00422912">
        <w:trPr>
          <w:jc w:val="center"/>
        </w:trPr>
        <w:tc>
          <w:tcPr>
            <w:tcW w:w="3190" w:type="dxa"/>
            <w:shd w:val="clear" w:color="auto" w:fill="auto"/>
            <w:vAlign w:val="center"/>
          </w:tcPr>
          <w:p w:rsidR="00422912" w:rsidRDefault="00E17A9A">
            <w:pPr>
              <w:pStyle w:val="afffffffff2"/>
            </w:pPr>
            <w:r>
              <w:rPr>
                <w:rFonts w:hint="eastAsia"/>
              </w:rPr>
              <w:t>4</w:t>
            </w:r>
          </w:p>
        </w:tc>
        <w:tc>
          <w:tcPr>
            <w:tcW w:w="3190" w:type="dxa"/>
            <w:shd w:val="clear" w:color="auto" w:fill="auto"/>
            <w:vAlign w:val="center"/>
          </w:tcPr>
          <w:p w:rsidR="00422912" w:rsidRDefault="00E17A9A">
            <w:pPr>
              <w:pStyle w:val="afffffffff2"/>
            </w:pPr>
            <w:r>
              <w:rPr>
                <w:rFonts w:hint="eastAsia"/>
              </w:rPr>
              <w:t>30</w:t>
            </w:r>
          </w:p>
        </w:tc>
        <w:tc>
          <w:tcPr>
            <w:tcW w:w="3190" w:type="dxa"/>
            <w:shd w:val="clear" w:color="auto" w:fill="auto"/>
            <w:vAlign w:val="center"/>
          </w:tcPr>
          <w:p w:rsidR="00422912" w:rsidRDefault="00E17A9A">
            <w:pPr>
              <w:pStyle w:val="afffffffff2"/>
            </w:pPr>
            <w:r>
              <w:rPr>
                <w:rFonts w:hint="eastAsia"/>
              </w:rPr>
              <w:t>年龄 ＜50 岁，比率 ＜中位数</w:t>
            </w:r>
          </w:p>
        </w:tc>
      </w:tr>
    </w:tbl>
    <w:p w:rsidR="00422912" w:rsidRDefault="00E17A9A">
      <w:pPr>
        <w:pStyle w:val="affc"/>
        <w:spacing w:before="240" w:after="240"/>
      </w:pPr>
      <w:bookmarkStart w:id="56" w:name="_Toc197949469"/>
      <w:r>
        <w:rPr>
          <w:rFonts w:hint="eastAsia"/>
        </w:rPr>
        <w:t>观察指标</w:t>
      </w:r>
      <w:bookmarkEnd w:id="56"/>
    </w:p>
    <w:p w:rsidR="00422912" w:rsidRDefault="00E17A9A">
      <w:pPr>
        <w:pStyle w:val="affd"/>
        <w:spacing w:before="120" w:after="120"/>
      </w:pPr>
      <w:r>
        <w:t>安全性指标</w:t>
      </w:r>
    </w:p>
    <w:p w:rsidR="00422912" w:rsidRDefault="00E17A9A">
      <w:pPr>
        <w:pStyle w:val="affffffffa"/>
        <w:spacing w:line="288" w:lineRule="auto"/>
      </w:pPr>
      <w:r>
        <w:t>人体测量：</w:t>
      </w:r>
    </w:p>
    <w:p w:rsidR="00422912" w:rsidRDefault="00E17A9A">
      <w:pPr>
        <w:pStyle w:val="af5"/>
        <w:numPr>
          <w:ilvl w:val="0"/>
          <w:numId w:val="34"/>
        </w:numPr>
        <w:spacing w:line="288" w:lineRule="auto"/>
      </w:pPr>
      <w:r>
        <w:rPr>
          <w:rFonts w:hint="eastAsia"/>
        </w:rPr>
        <w:t>测量身高体重，计算 BMI，体重指数（BMI）的计算方法为：体重（kg）除以身高（m）的平方；</w:t>
      </w:r>
    </w:p>
    <w:p w:rsidR="00422912" w:rsidRDefault="00E17A9A">
      <w:pPr>
        <w:pStyle w:val="af5"/>
        <w:numPr>
          <w:ilvl w:val="0"/>
          <w:numId w:val="34"/>
        </w:numPr>
        <w:spacing w:line="288" w:lineRule="auto"/>
      </w:pPr>
      <w:r>
        <w:rPr>
          <w:rFonts w:hint="eastAsia"/>
        </w:rPr>
        <w:t>参数：身高、体重、BMI；</w:t>
      </w:r>
    </w:p>
    <w:p w:rsidR="00422912" w:rsidRDefault="00E17A9A">
      <w:pPr>
        <w:pStyle w:val="af5"/>
        <w:numPr>
          <w:ilvl w:val="0"/>
          <w:numId w:val="34"/>
        </w:numPr>
        <w:spacing w:line="288" w:lineRule="auto"/>
      </w:pPr>
      <w:r>
        <w:rPr>
          <w:rFonts w:hint="eastAsia"/>
        </w:rPr>
        <w:t>时间点：筛选期（</w:t>
      </w:r>
      <w:proofErr w:type="spellStart"/>
      <w:r>
        <w:rPr>
          <w:rFonts w:hint="eastAsia"/>
        </w:rPr>
        <w:t>Scr</w:t>
      </w:r>
      <w:proofErr w:type="spellEnd"/>
      <w:r>
        <w:rPr>
          <w:rFonts w:hint="eastAsia"/>
        </w:rPr>
        <w:t>）和服用后12周（12 w）。</w:t>
      </w:r>
    </w:p>
    <w:p w:rsidR="00422912" w:rsidRDefault="00E17A9A">
      <w:pPr>
        <w:pStyle w:val="affe"/>
        <w:spacing w:beforeLines="0" w:before="0" w:afterLines="0" w:after="0" w:line="288" w:lineRule="auto"/>
        <w:rPr>
          <w:rFonts w:ascii="宋体" w:eastAsia="宋体"/>
        </w:rPr>
      </w:pPr>
      <w:r>
        <w:rPr>
          <w:rFonts w:ascii="宋体" w:eastAsia="宋体" w:hint="eastAsia"/>
        </w:rPr>
        <w:t>血压检查：</w:t>
      </w:r>
    </w:p>
    <w:p w:rsidR="00422912" w:rsidRDefault="00E17A9A">
      <w:pPr>
        <w:pStyle w:val="af5"/>
        <w:numPr>
          <w:ilvl w:val="0"/>
          <w:numId w:val="35"/>
        </w:numPr>
        <w:spacing w:line="288" w:lineRule="auto"/>
      </w:pPr>
      <w:r>
        <w:rPr>
          <w:rFonts w:hint="eastAsia"/>
        </w:rPr>
        <w:t>方法：电子腕式血压计；</w:t>
      </w:r>
    </w:p>
    <w:p w:rsidR="00422912" w:rsidRDefault="00E17A9A">
      <w:pPr>
        <w:pStyle w:val="af5"/>
        <w:numPr>
          <w:ilvl w:val="0"/>
          <w:numId w:val="35"/>
        </w:numPr>
        <w:spacing w:line="288" w:lineRule="auto"/>
      </w:pPr>
      <w:r>
        <w:rPr>
          <w:rFonts w:hint="eastAsia"/>
        </w:rPr>
        <w:t>参数：收缩压/舒张压；</w:t>
      </w:r>
    </w:p>
    <w:p w:rsidR="00422912" w:rsidRDefault="00E17A9A">
      <w:pPr>
        <w:pStyle w:val="af5"/>
        <w:numPr>
          <w:ilvl w:val="0"/>
          <w:numId w:val="35"/>
        </w:numPr>
        <w:spacing w:line="288" w:lineRule="auto"/>
      </w:pPr>
      <w:r>
        <w:rPr>
          <w:rFonts w:hint="eastAsia"/>
        </w:rPr>
        <w:t>时间点：筛选期（</w:t>
      </w:r>
      <w:proofErr w:type="spellStart"/>
      <w:r>
        <w:rPr>
          <w:rFonts w:hint="eastAsia"/>
        </w:rPr>
        <w:t>Scr</w:t>
      </w:r>
      <w:proofErr w:type="spellEnd"/>
      <w:r>
        <w:rPr>
          <w:rFonts w:hint="eastAsia"/>
        </w:rPr>
        <w:t>）和服用后12周（12 w）。</w:t>
      </w:r>
    </w:p>
    <w:p w:rsidR="00422912" w:rsidRDefault="00E17A9A">
      <w:pPr>
        <w:pStyle w:val="affe"/>
        <w:spacing w:beforeLines="0" w:before="0" w:afterLines="0" w:after="0" w:line="288" w:lineRule="auto"/>
        <w:rPr>
          <w:rFonts w:ascii="宋体" w:eastAsia="宋体"/>
        </w:rPr>
      </w:pPr>
      <w:r>
        <w:rPr>
          <w:rFonts w:ascii="宋体" w:eastAsia="宋体" w:hint="eastAsia"/>
        </w:rPr>
        <w:t>尿检：</w:t>
      </w:r>
    </w:p>
    <w:p w:rsidR="00422912" w:rsidRDefault="00E17A9A">
      <w:pPr>
        <w:pStyle w:val="af5"/>
        <w:numPr>
          <w:ilvl w:val="0"/>
          <w:numId w:val="36"/>
        </w:numPr>
        <w:spacing w:line="288" w:lineRule="auto"/>
      </w:pPr>
      <w:r>
        <w:rPr>
          <w:rFonts w:hint="eastAsia"/>
        </w:rPr>
        <w:t>方法：采集 10 mL 尿液；</w:t>
      </w:r>
    </w:p>
    <w:p w:rsidR="00422912" w:rsidRDefault="00E17A9A">
      <w:pPr>
        <w:pStyle w:val="af5"/>
        <w:numPr>
          <w:ilvl w:val="0"/>
          <w:numId w:val="36"/>
        </w:numPr>
        <w:spacing w:line="288" w:lineRule="auto"/>
      </w:pPr>
      <w:r>
        <w:rPr>
          <w:rFonts w:hint="eastAsia"/>
        </w:rPr>
        <w:t>参数：蛋白、糖、pH、潜血；</w:t>
      </w:r>
    </w:p>
    <w:p w:rsidR="00422912" w:rsidRDefault="00E17A9A">
      <w:pPr>
        <w:pStyle w:val="af5"/>
        <w:numPr>
          <w:ilvl w:val="0"/>
          <w:numId w:val="36"/>
        </w:numPr>
        <w:spacing w:line="288" w:lineRule="auto"/>
      </w:pPr>
      <w:r>
        <w:rPr>
          <w:rFonts w:hint="eastAsia"/>
        </w:rPr>
        <w:t>时间点：</w:t>
      </w:r>
      <w:proofErr w:type="spellStart"/>
      <w:r>
        <w:rPr>
          <w:rFonts w:hint="eastAsia"/>
        </w:rPr>
        <w:t>Scr</w:t>
      </w:r>
      <w:proofErr w:type="spellEnd"/>
      <w:r>
        <w:rPr>
          <w:rFonts w:hint="eastAsia"/>
        </w:rPr>
        <w:t xml:space="preserve"> 和 12 w。</w:t>
      </w:r>
    </w:p>
    <w:p w:rsidR="00422912" w:rsidRDefault="00E17A9A">
      <w:pPr>
        <w:pStyle w:val="affe"/>
        <w:spacing w:beforeLines="0" w:before="0" w:afterLines="0" w:after="0" w:line="288" w:lineRule="auto"/>
      </w:pPr>
      <w:r>
        <w:rPr>
          <w:rFonts w:ascii="宋体" w:eastAsia="宋体" w:hint="eastAsia"/>
        </w:rPr>
        <w:t>外周血检查（血液学/生化）：</w:t>
      </w:r>
    </w:p>
    <w:p w:rsidR="00422912" w:rsidRDefault="00E17A9A">
      <w:pPr>
        <w:pStyle w:val="af5"/>
        <w:numPr>
          <w:ilvl w:val="0"/>
          <w:numId w:val="37"/>
        </w:numPr>
        <w:spacing w:line="288" w:lineRule="auto"/>
      </w:pPr>
      <w:r>
        <w:rPr>
          <w:rFonts w:hint="eastAsia"/>
        </w:rPr>
        <w:t>方法：采集 13 mL 静脉血；</w:t>
      </w:r>
    </w:p>
    <w:p w:rsidR="00422912" w:rsidRDefault="00E17A9A">
      <w:pPr>
        <w:pStyle w:val="af5"/>
        <w:numPr>
          <w:ilvl w:val="0"/>
          <w:numId w:val="37"/>
        </w:numPr>
        <w:spacing w:line="288" w:lineRule="auto"/>
      </w:pPr>
      <w:r>
        <w:rPr>
          <w:rFonts w:hint="eastAsia"/>
        </w:rPr>
        <w:t>参数：包含血常规、肝功能、肾功能等 34 项指标及脂肪酸谱；白细胞计数（WBC）；红细胞计数（RBC）；血红蛋白（</w:t>
      </w:r>
      <w:proofErr w:type="spellStart"/>
      <w:r>
        <w:rPr>
          <w:rFonts w:hint="eastAsia"/>
        </w:rPr>
        <w:t>Hb</w:t>
      </w:r>
      <w:proofErr w:type="spellEnd"/>
      <w:r>
        <w:rPr>
          <w:rFonts w:hint="eastAsia"/>
        </w:rPr>
        <w:t>）；血细胞比容（</w:t>
      </w:r>
      <w:proofErr w:type="spellStart"/>
      <w:r>
        <w:rPr>
          <w:rFonts w:hint="eastAsia"/>
        </w:rPr>
        <w:t>Ht</w:t>
      </w:r>
      <w:proofErr w:type="spellEnd"/>
      <w:r>
        <w:rPr>
          <w:rFonts w:hint="eastAsia"/>
        </w:rPr>
        <w:t>）；血小板计数（PLT）；天冬氨酸转氨酶（AST）、丙氨酸转氨酶（ALT）、-谷氨酰转肽酶（-GTP）、总胆红素（T-BIL）、总蛋白（TP）、尿素氮（UN）、肌</w:t>
      </w:r>
      <w:proofErr w:type="gramStart"/>
      <w:r>
        <w:rPr>
          <w:rFonts w:hint="eastAsia"/>
        </w:rPr>
        <w:t>酐</w:t>
      </w:r>
      <w:proofErr w:type="gramEnd"/>
      <w:r>
        <w:rPr>
          <w:rFonts w:hint="eastAsia"/>
        </w:rPr>
        <w:t>（CRE）、尿酸（UA）、钠（Na）、钾（K）、氯（</w:t>
      </w:r>
      <w:proofErr w:type="spellStart"/>
      <w:r>
        <w:rPr>
          <w:rFonts w:hint="eastAsia"/>
        </w:rPr>
        <w:t>Cl</w:t>
      </w:r>
      <w:proofErr w:type="spellEnd"/>
      <w:r>
        <w:rPr>
          <w:rFonts w:hint="eastAsia"/>
        </w:rPr>
        <w:t>）、血清淀粉酶 （AMY/S）、总胆固醇（T-</w:t>
      </w:r>
      <w:proofErr w:type="spellStart"/>
      <w:r>
        <w:rPr>
          <w:rFonts w:hint="eastAsia"/>
        </w:rPr>
        <w:t>cho</w:t>
      </w:r>
      <w:proofErr w:type="spellEnd"/>
      <w:r>
        <w:rPr>
          <w:rFonts w:hint="eastAsia"/>
        </w:rPr>
        <w:t>）、高密度脂蛋白胆固醇（HDL-</w:t>
      </w:r>
      <w:proofErr w:type="spellStart"/>
      <w:r>
        <w:rPr>
          <w:rFonts w:hint="eastAsia"/>
        </w:rPr>
        <w:t>cho</w:t>
      </w:r>
      <w:proofErr w:type="spellEnd"/>
      <w:r>
        <w:rPr>
          <w:rFonts w:hint="eastAsia"/>
        </w:rPr>
        <w:t>）、低密度脂蛋白胆固醇（LDL-</w:t>
      </w:r>
      <w:proofErr w:type="spellStart"/>
      <w:r>
        <w:rPr>
          <w:rFonts w:hint="eastAsia"/>
        </w:rPr>
        <w:t>cho</w:t>
      </w:r>
      <w:proofErr w:type="spellEnd"/>
      <w:r>
        <w:rPr>
          <w:rFonts w:hint="eastAsia"/>
        </w:rPr>
        <w:t xml:space="preserve">）、甘油三酯（TG）、葡萄糖（GLU）、血红蛋白 A1c（HbA1c：NGSP） 和脂肪酸分数{4 </w:t>
      </w:r>
      <w:proofErr w:type="gramStart"/>
      <w:r>
        <w:rPr>
          <w:rFonts w:hint="eastAsia"/>
        </w:rPr>
        <w:t>个</w:t>
      </w:r>
      <w:proofErr w:type="gramEnd"/>
      <w:r>
        <w:rPr>
          <w:rFonts w:hint="eastAsia"/>
        </w:rPr>
        <w:t>成分： 花生四烯酸（AA）、二十碳五烯酸（EPA）、二高γ-亚麻酸（DHLA）、二十二碳六烯酸（DHA）、EPA/AA 比率、DHA/AA 比率和（EPA+DHA）/AA 比率}。</w:t>
      </w:r>
    </w:p>
    <w:p w:rsidR="00422912" w:rsidRDefault="00E17A9A">
      <w:pPr>
        <w:pStyle w:val="af5"/>
        <w:spacing w:line="288" w:lineRule="auto"/>
      </w:pPr>
      <w:r>
        <w:rPr>
          <w:rFonts w:hint="eastAsia"/>
        </w:rPr>
        <w:t>时间点：筛选期（</w:t>
      </w:r>
      <w:proofErr w:type="spellStart"/>
      <w:r>
        <w:rPr>
          <w:rFonts w:hint="eastAsia"/>
        </w:rPr>
        <w:t>Scr</w:t>
      </w:r>
      <w:proofErr w:type="spellEnd"/>
      <w:r>
        <w:rPr>
          <w:rFonts w:hint="eastAsia"/>
        </w:rPr>
        <w:t>）和服用后12周（12 w）。</w:t>
      </w:r>
    </w:p>
    <w:p w:rsidR="00422912" w:rsidRDefault="00E17A9A">
      <w:pPr>
        <w:pStyle w:val="affd"/>
        <w:spacing w:before="120" w:after="120"/>
      </w:pPr>
      <w:r>
        <w:t>功效指标</w:t>
      </w:r>
    </w:p>
    <w:p w:rsidR="00422912" w:rsidRDefault="00E17A9A">
      <w:pPr>
        <w:pStyle w:val="affffe"/>
        <w:spacing w:line="288" w:lineRule="auto"/>
        <w:ind w:firstLine="420"/>
      </w:pPr>
      <w:r>
        <w:t>认知功能评估</w:t>
      </w:r>
      <w:r>
        <w:rPr>
          <w:rFonts w:hint="eastAsia"/>
        </w:rPr>
        <w:t>：</w:t>
      </w:r>
    </w:p>
    <w:p w:rsidR="00422912" w:rsidRDefault="00E17A9A">
      <w:pPr>
        <w:pStyle w:val="af5"/>
        <w:numPr>
          <w:ilvl w:val="0"/>
          <w:numId w:val="38"/>
        </w:numPr>
        <w:spacing w:line="288" w:lineRule="auto"/>
      </w:pPr>
      <w:r>
        <w:rPr>
          <w:rFonts w:hint="eastAsia"/>
        </w:rPr>
        <w:lastRenderedPageBreak/>
        <w:t xml:space="preserve">方法：通过 </w:t>
      </w:r>
      <w:proofErr w:type="spellStart"/>
      <w:r>
        <w:rPr>
          <w:rFonts w:hint="eastAsia"/>
        </w:rPr>
        <w:t>Cognitrax</w:t>
      </w:r>
      <w:proofErr w:type="spellEnd"/>
      <w:r>
        <w:rPr>
          <w:rFonts w:hint="eastAsia"/>
        </w:rPr>
        <w:t xml:space="preserve"> 系统进行 10 项神经认知测试，包括语言记忆（VBM）、视觉记忆（VIM）、手指敲击（FTT）、符号数字编码（SDC）、斯</w:t>
      </w:r>
      <w:proofErr w:type="gramStart"/>
      <w:r>
        <w:rPr>
          <w:rFonts w:hint="eastAsia"/>
        </w:rPr>
        <w:t>特</w:t>
      </w:r>
      <w:proofErr w:type="gramEnd"/>
      <w:r>
        <w:rPr>
          <w:rFonts w:hint="eastAsia"/>
        </w:rPr>
        <w:t xml:space="preserve">鲁普测试（ST）、注意力转移（SAT）、持续表现（CPT）、情绪感知（POET）、推理（NVRT）和四部分连续表现（FPCPT），使用计算机化测试系统 </w:t>
      </w:r>
      <w:proofErr w:type="spellStart"/>
      <w:r>
        <w:rPr>
          <w:rFonts w:hint="eastAsia"/>
        </w:rPr>
        <w:t>Cognitrax</w:t>
      </w:r>
      <w:proofErr w:type="spellEnd"/>
      <w:r>
        <w:rPr>
          <w:rFonts w:hint="eastAsia"/>
        </w:rPr>
        <w:t xml:space="preserve"> 进行测量；</w:t>
      </w:r>
    </w:p>
    <w:p w:rsidR="00422912" w:rsidRDefault="00E17A9A">
      <w:pPr>
        <w:pStyle w:val="af5"/>
        <w:numPr>
          <w:ilvl w:val="0"/>
          <w:numId w:val="38"/>
        </w:numPr>
        <w:spacing w:line="288" w:lineRule="auto"/>
      </w:pPr>
      <w:r>
        <w:rPr>
          <w:rFonts w:hint="eastAsia"/>
        </w:rPr>
        <w:t>参数：各认知领域标准化评分，包括神经认知指数（NCI）、复合记忆、语言记忆、视觉记忆、精神运动速度、反应时间、复杂注意力、认知灵活性、处理速度、执行功能、社交敏锐度、推理、工作记忆、持续注意力、简单注意力和运动速度。</w:t>
      </w:r>
    </w:p>
    <w:p w:rsidR="00422912" w:rsidRDefault="00E17A9A">
      <w:pPr>
        <w:pStyle w:val="af5"/>
        <w:spacing w:line="288" w:lineRule="auto"/>
      </w:pPr>
      <w:r>
        <w:rPr>
          <w:rFonts w:hint="eastAsia"/>
        </w:rPr>
        <w:t>时间点：筛选期（</w:t>
      </w:r>
      <w:proofErr w:type="spellStart"/>
      <w:r>
        <w:rPr>
          <w:rFonts w:hint="eastAsia"/>
        </w:rPr>
        <w:t>Scr</w:t>
      </w:r>
      <w:proofErr w:type="spellEnd"/>
      <w:r>
        <w:rPr>
          <w:rFonts w:hint="eastAsia"/>
        </w:rPr>
        <w:t>）和服用后12周（12 w）。</w:t>
      </w:r>
    </w:p>
    <w:p w:rsidR="00422912" w:rsidRDefault="00E17A9A">
      <w:pPr>
        <w:pStyle w:val="affc"/>
        <w:spacing w:before="240" w:after="240"/>
      </w:pPr>
      <w:bookmarkStart w:id="57" w:name="_Toc197949470"/>
      <w:r>
        <w:rPr>
          <w:rFonts w:hint="eastAsia"/>
        </w:rPr>
        <w:t>数据处理</w:t>
      </w:r>
      <w:bookmarkEnd w:id="57"/>
    </w:p>
    <w:p w:rsidR="00422912" w:rsidRDefault="00E17A9A">
      <w:pPr>
        <w:pStyle w:val="affd"/>
        <w:spacing w:before="120" w:after="120"/>
      </w:pPr>
      <w:r>
        <w:rPr>
          <w:rFonts w:hint="eastAsia"/>
        </w:rPr>
        <w:t>有效性统计分析</w:t>
      </w:r>
    </w:p>
    <w:p w:rsidR="00422912" w:rsidRDefault="00E17A9A">
      <w:pPr>
        <w:pStyle w:val="affe"/>
        <w:spacing w:before="120" w:after="120"/>
      </w:pPr>
      <w:r>
        <w:rPr>
          <w:rFonts w:hint="eastAsia"/>
        </w:rPr>
        <w:t>主要疗效终点</w:t>
      </w:r>
    </w:p>
    <w:p w:rsidR="00422912" w:rsidRDefault="00E17A9A">
      <w:pPr>
        <w:pStyle w:val="affffe"/>
        <w:spacing w:line="288" w:lineRule="auto"/>
        <w:ind w:firstLine="420"/>
      </w:pPr>
      <w:r>
        <w:rPr>
          <w:rFonts w:hint="eastAsia"/>
        </w:rPr>
        <w:t>所有值均以平均值和标准差表示，将使用协方差分析（ANCOVA）进行组间比较，以基线（筛选和基线评估值）作为协变量。如果需要从多方面进行数据分析，例如非配对 t 检验等其他测试，将采用这些测试，并相应地对测试食品进行功效评估。</w:t>
      </w:r>
    </w:p>
    <w:p w:rsidR="00422912" w:rsidRDefault="00E17A9A">
      <w:pPr>
        <w:pStyle w:val="affe"/>
        <w:spacing w:before="120" w:after="120"/>
      </w:pPr>
      <w:r>
        <w:rPr>
          <w:rFonts w:hint="eastAsia"/>
        </w:rPr>
        <w:t>次要疗效终点</w:t>
      </w:r>
    </w:p>
    <w:p w:rsidR="00422912" w:rsidRDefault="00E17A9A">
      <w:pPr>
        <w:pStyle w:val="affffe"/>
        <w:spacing w:line="288" w:lineRule="auto"/>
        <w:ind w:firstLine="420"/>
      </w:pPr>
      <w:r>
        <w:rPr>
          <w:rFonts w:hint="eastAsia"/>
        </w:rPr>
        <w:t>次要终点采用相同的主要终点分析模型。如果从上述分析方法以外的多方面角度进行数据分析时，还需要进行其他测试，将采用这些测试，并相应地对测试食品进行功效评估。</w:t>
      </w:r>
    </w:p>
    <w:p w:rsidR="00422912" w:rsidRDefault="00E17A9A">
      <w:pPr>
        <w:pStyle w:val="affd"/>
        <w:spacing w:before="120" w:after="120"/>
      </w:pPr>
      <w:r>
        <w:t>安全性统计分析</w:t>
      </w:r>
    </w:p>
    <w:p w:rsidR="00422912" w:rsidRDefault="00E17A9A">
      <w:pPr>
        <w:pStyle w:val="affe"/>
        <w:spacing w:before="120" w:after="120"/>
      </w:pPr>
      <w:r>
        <w:t>主要安全终点</w:t>
      </w:r>
    </w:p>
    <w:p w:rsidR="00422912" w:rsidRDefault="00E17A9A">
      <w:pPr>
        <w:pStyle w:val="affffe"/>
        <w:spacing w:line="288" w:lineRule="auto"/>
        <w:ind w:firstLine="420"/>
      </w:pPr>
      <w:r>
        <w:t>数据分析集为 SAF。试验中发现的副作用和不良事件分别由参与者总结。按组汇总副作用和不良事件的发生率，计算每组的发生率和组间发生率差异的 95</w:t>
      </w:r>
      <w:r>
        <w:rPr>
          <w:rFonts w:hAnsi="宋体" w:hint="eastAsia"/>
        </w:rPr>
        <w:t>％</w:t>
      </w:r>
      <w:r>
        <w:t xml:space="preserve"> 置信区间。使用 Fisher 精确检验或卡方检验等检验比较副作用和不良事件的发生率。</w:t>
      </w:r>
    </w:p>
    <w:p w:rsidR="00422912" w:rsidRDefault="00E17A9A">
      <w:pPr>
        <w:pStyle w:val="affe"/>
        <w:spacing w:before="120" w:after="120"/>
      </w:pPr>
      <w:r>
        <w:t>次要安全终点</w:t>
      </w:r>
    </w:p>
    <w:p w:rsidR="00422912" w:rsidRDefault="00E17A9A">
      <w:pPr>
        <w:pStyle w:val="affffe"/>
        <w:spacing w:line="288" w:lineRule="auto"/>
        <w:ind w:firstLine="420"/>
      </w:pPr>
      <w:r>
        <w:rPr>
          <w:rFonts w:hint="eastAsia"/>
        </w:rPr>
        <w:t>数据分析集为 SAF。计算干预前尿液分析和外周血检查记载检查项目在各自标准</w:t>
      </w:r>
      <w:proofErr w:type="gramStart"/>
      <w:r>
        <w:rPr>
          <w:rFonts w:hint="eastAsia"/>
        </w:rPr>
        <w:t>范围内但干预</w:t>
      </w:r>
      <w:proofErr w:type="gramEnd"/>
      <w:r>
        <w:rPr>
          <w:rFonts w:hint="eastAsia"/>
        </w:rPr>
        <w:t>后超出范围的病例比例，每个时间点的组间比较采用 Fisher 精确检验或卡方检验。如果需要从多方面进行数据分析，将采用其他测试，并相应地对测试食品进行安全评估。</w:t>
      </w:r>
    </w:p>
    <w:p w:rsidR="00422912" w:rsidRDefault="00E17A9A">
      <w:pPr>
        <w:pStyle w:val="affe"/>
        <w:spacing w:before="120" w:after="120"/>
      </w:pPr>
      <w:r>
        <w:t>其他安全项目</w:t>
      </w:r>
    </w:p>
    <w:p w:rsidR="00422912" w:rsidRDefault="00E17A9A">
      <w:pPr>
        <w:pStyle w:val="affffe"/>
        <w:spacing w:line="288" w:lineRule="auto"/>
        <w:ind w:firstLine="420"/>
      </w:pPr>
      <w:r>
        <w:rPr>
          <w:rFonts w:hint="eastAsia"/>
        </w:rPr>
        <w:t>计算每个临床检查值的统计数据，并制作汇总表。</w:t>
      </w:r>
    </w:p>
    <w:p w:rsidR="00422912" w:rsidRDefault="00E17A9A">
      <w:pPr>
        <w:pStyle w:val="affc"/>
        <w:spacing w:before="240" w:after="240"/>
      </w:pPr>
      <w:bookmarkStart w:id="58" w:name="_Toc197949471"/>
      <w:r>
        <w:rPr>
          <w:rFonts w:hint="eastAsia"/>
        </w:rPr>
        <w:t>结果判定</w:t>
      </w:r>
      <w:bookmarkEnd w:id="58"/>
    </w:p>
    <w:p w:rsidR="00422912" w:rsidRDefault="00E17A9A">
      <w:pPr>
        <w:pStyle w:val="affd"/>
        <w:spacing w:before="120" w:after="120"/>
      </w:pPr>
      <w:r>
        <w:rPr>
          <w:rFonts w:hint="eastAsia"/>
        </w:rPr>
        <w:t>有效性终点</w:t>
      </w:r>
    </w:p>
    <w:p w:rsidR="00422912" w:rsidRDefault="00E17A9A">
      <w:pPr>
        <w:pStyle w:val="affffffffa"/>
        <w:spacing w:line="288" w:lineRule="auto"/>
      </w:pPr>
      <w:r>
        <w:rPr>
          <w:rFonts w:hint="eastAsia"/>
        </w:rPr>
        <w:t xml:space="preserve">主要终点：12 w </w:t>
      </w:r>
      <w:proofErr w:type="gramStart"/>
      <w:r>
        <w:rPr>
          <w:rFonts w:hint="eastAsia"/>
        </w:rPr>
        <w:t>时综合</w:t>
      </w:r>
      <w:proofErr w:type="gramEnd"/>
      <w:r>
        <w:rPr>
          <w:rFonts w:hint="eastAsia"/>
        </w:rPr>
        <w:t>记忆标准化评分实测值。</w:t>
      </w:r>
    </w:p>
    <w:p w:rsidR="00422912" w:rsidRDefault="00E17A9A">
      <w:pPr>
        <w:pStyle w:val="affe"/>
        <w:spacing w:beforeLines="0" w:before="0" w:afterLines="0" w:after="0" w:line="288" w:lineRule="auto"/>
        <w:rPr>
          <w:rFonts w:ascii="宋体" w:eastAsia="宋体"/>
        </w:rPr>
      </w:pPr>
      <w:r>
        <w:rPr>
          <w:rFonts w:ascii="宋体" w:eastAsia="宋体" w:hint="eastAsia"/>
        </w:rPr>
        <w:t>次要终点：</w:t>
      </w:r>
    </w:p>
    <w:p w:rsidR="00422912" w:rsidRDefault="00E17A9A">
      <w:pPr>
        <w:pStyle w:val="af5"/>
        <w:numPr>
          <w:ilvl w:val="0"/>
          <w:numId w:val="39"/>
        </w:numPr>
        <w:spacing w:line="288" w:lineRule="auto"/>
      </w:pPr>
      <w:r>
        <w:rPr>
          <w:rFonts w:hint="eastAsia"/>
        </w:rPr>
        <w:t>Scr-12 w 综合记忆标准化评分变化量；</w:t>
      </w:r>
    </w:p>
    <w:p w:rsidR="00422912" w:rsidRDefault="00E17A9A">
      <w:pPr>
        <w:pStyle w:val="af5"/>
        <w:numPr>
          <w:ilvl w:val="0"/>
          <w:numId w:val="39"/>
        </w:numPr>
        <w:spacing w:line="288" w:lineRule="auto"/>
      </w:pPr>
      <w:r>
        <w:rPr>
          <w:rFonts w:hint="eastAsia"/>
        </w:rPr>
        <w:t>各认知领域 12 w 实测值及 Scr-12 w 变化量。</w:t>
      </w:r>
    </w:p>
    <w:p w:rsidR="00422912" w:rsidRDefault="00E17A9A">
      <w:pPr>
        <w:pStyle w:val="affd"/>
        <w:spacing w:before="120" w:after="120"/>
      </w:pPr>
      <w:r>
        <w:t>安全性终点</w:t>
      </w:r>
    </w:p>
    <w:p w:rsidR="00422912" w:rsidRDefault="00E17A9A">
      <w:pPr>
        <w:pStyle w:val="affe"/>
        <w:spacing w:beforeLines="0" w:before="0" w:afterLines="0" w:after="0" w:line="288" w:lineRule="auto"/>
        <w:rPr>
          <w:rFonts w:ascii="宋体" w:eastAsia="宋体"/>
        </w:rPr>
      </w:pPr>
      <w:r>
        <w:rPr>
          <w:rFonts w:ascii="宋体" w:eastAsia="宋体" w:hint="eastAsia"/>
        </w:rPr>
        <w:lastRenderedPageBreak/>
        <w:t>主要终点：不良事件发生率。</w:t>
      </w:r>
    </w:p>
    <w:p w:rsidR="00422912" w:rsidRDefault="00E17A9A">
      <w:pPr>
        <w:pStyle w:val="affe"/>
        <w:spacing w:beforeLines="0" w:before="0" w:afterLines="0" w:after="0" w:line="288" w:lineRule="auto"/>
        <w:rPr>
          <w:rFonts w:ascii="宋体" w:eastAsia="宋体"/>
        </w:rPr>
      </w:pPr>
      <w:r>
        <w:rPr>
          <w:rFonts w:ascii="宋体" w:eastAsia="宋体" w:hint="eastAsia"/>
        </w:rPr>
        <w:t>次要终点：尿检/血</w:t>
      </w:r>
      <w:proofErr w:type="gramStart"/>
      <w:r>
        <w:rPr>
          <w:rFonts w:ascii="宋体" w:eastAsia="宋体" w:hint="eastAsia"/>
        </w:rPr>
        <w:t>检指标</w:t>
      </w:r>
      <w:proofErr w:type="gramEnd"/>
      <w:r>
        <w:rPr>
          <w:rFonts w:ascii="宋体" w:eastAsia="宋体" w:hint="eastAsia"/>
        </w:rPr>
        <w:t>从正常值转为异常的比例。</w:t>
      </w:r>
    </w:p>
    <w:p w:rsidR="00422912" w:rsidRDefault="00E17A9A">
      <w:pPr>
        <w:pStyle w:val="affe"/>
        <w:spacing w:beforeLines="0" w:before="0" w:afterLines="0" w:after="0" w:line="288" w:lineRule="auto"/>
        <w:rPr>
          <w:rFonts w:ascii="宋体" w:eastAsia="宋体"/>
        </w:rPr>
      </w:pPr>
      <w:r>
        <w:rPr>
          <w:rFonts w:ascii="宋体" w:eastAsia="宋体" w:hint="eastAsia"/>
        </w:rPr>
        <w:t>其他终点：人体测量、体格检查、尿检、血检。</w:t>
      </w:r>
    </w:p>
    <w:p w:rsidR="00422912" w:rsidRDefault="00E17A9A">
      <w:pPr>
        <w:pStyle w:val="affffe"/>
        <w:ind w:firstLineChars="0" w:firstLine="0"/>
        <w:jc w:val="center"/>
      </w:pPr>
      <w:bookmarkStart w:id="59" w:name="BookMark8"/>
      <w:bookmarkEnd w:id="24"/>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59"/>
    </w:p>
    <w:sectPr w:rsidR="0042291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2E" w:rsidRDefault="0026242E">
      <w:pPr>
        <w:spacing w:line="240" w:lineRule="auto"/>
      </w:pPr>
      <w:r>
        <w:separator/>
      </w:r>
    </w:p>
  </w:endnote>
  <w:endnote w:type="continuationSeparator" w:id="0">
    <w:p w:rsidR="0026242E" w:rsidRDefault="00262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E17A9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422912">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422912">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E17A9A">
    <w:pPr>
      <w:pStyle w:val="affffb"/>
    </w:pPr>
    <w:r>
      <w:fldChar w:fldCharType="begin"/>
    </w:r>
    <w:r>
      <w:instrText>PAGE   \* MERGEFORMAT</w:instrText>
    </w:r>
    <w:r>
      <w:fldChar w:fldCharType="separate"/>
    </w:r>
    <w:r w:rsidR="00155004" w:rsidRPr="0015500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2E" w:rsidRDefault="0026242E">
      <w:pPr>
        <w:spacing w:line="240" w:lineRule="auto"/>
      </w:pPr>
      <w:r>
        <w:separator/>
      </w:r>
    </w:p>
  </w:footnote>
  <w:footnote w:type="continuationSeparator" w:id="0">
    <w:p w:rsidR="0026242E" w:rsidRDefault="002624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422912">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E17A9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422912">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E17A9A">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55004">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12" w:rsidRDefault="00E17A9A">
    <w:pPr>
      <w:pStyle w:val="afffff3"/>
    </w:pPr>
    <w:r>
      <w:fldChar w:fldCharType="begin"/>
    </w:r>
    <w:r>
      <w:instrText xml:space="preserve"> STYLEREF  标准文件_文件编号  \* MERGEFORMAT </w:instrText>
    </w:r>
    <w:r>
      <w:fldChar w:fldCharType="separate"/>
    </w:r>
    <w:r w:rsidR="00155004">
      <w:rPr>
        <w:noProof/>
      </w:rPr>
      <w:t>T/CS XXXX</w:t>
    </w:r>
    <w:r w:rsidR="00155004">
      <w:rPr>
        <w:noProof/>
      </w:rPr>
      <w:t>—</w:t>
    </w:r>
    <w:r w:rsidR="00155004">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00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42E"/>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23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912"/>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AF7"/>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0D3"/>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689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0FC9"/>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5D4C"/>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F2B"/>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A2E"/>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A9A"/>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4E3B"/>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A26"/>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6B93656"/>
    <w:rsid w:val="2B9925FA"/>
    <w:rsid w:val="2C1F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C44949" w:rsidRDefault="0073080A">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C44949" w:rsidRDefault="0073080A">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C44949" w:rsidRDefault="0073080A">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443419"/>
    <w:rsid w:val="0073080A"/>
    <w:rsid w:val="00836C2F"/>
    <w:rsid w:val="00AF1D09"/>
    <w:rsid w:val="00BF4B22"/>
    <w:rsid w:val="00C4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CE7DB-E331-4E0D-8BDA-2743F2C9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173</TotalTime>
  <Pages>8</Pages>
  <Words>729</Words>
  <Characters>4160</Characters>
  <Application>Microsoft Office Word</Application>
  <DocSecurity>0</DocSecurity>
  <Lines>34</Lines>
  <Paragraphs>9</Paragraphs>
  <ScaleCrop>false</ScaleCrop>
  <Company>PCMI</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6</cp:revision>
  <cp:lastPrinted>2025-05-14T03:20:00Z</cp:lastPrinted>
  <dcterms:created xsi:type="dcterms:W3CDTF">2025-01-17T01:45:00Z</dcterms:created>
  <dcterms:modified xsi:type="dcterms:W3CDTF">2025-05-14T03:20:00Z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2052-12.1.0.20784</vt:lpwstr>
  </property>
  <property fmtid="{D5CDD505-2E9C-101B-9397-08002B2CF9AE}" pid="16" name="ICV">
    <vt:lpwstr>574E932A408142DC80B38EABE58129AA_12</vt:lpwstr>
  </property>
</Properties>
</file>