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AA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C33298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CC74C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67.220.10</w:t>
            </w:r>
            <w:r>
              <w:rPr>
                <w:rFonts w:ascii="黑体" w:hAnsi="黑体" w:eastAsia="黑体"/>
                <w:sz w:val="21"/>
                <w:szCs w:val="21"/>
              </w:rPr>
              <w:fldChar w:fldCharType="end"/>
            </w:r>
            <w:bookmarkEnd w:id="0"/>
          </w:p>
        </w:tc>
      </w:tr>
      <w:tr w14:paraId="51A0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5FFB8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2A2FEB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E4044F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5213834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66</w:t>
            </w:r>
            <w:r>
              <w:rPr>
                <w:rFonts w:ascii="黑体" w:hAnsi="黑体" w:eastAsia="黑体"/>
                <w:sz w:val="21"/>
                <w:szCs w:val="21"/>
              </w:rPr>
              <w:fldChar w:fldCharType="end"/>
            </w:r>
            <w:bookmarkEnd w:id="2"/>
          </w:p>
        </w:tc>
      </w:tr>
    </w:tbl>
    <w:p w14:paraId="0DBE9AE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w:t>
      </w:r>
      <w:r>
        <w:rPr>
          <w:rFonts w:ascii="黑体" w:eastAsia="黑体"/>
          <w:b w:val="0"/>
          <w:w w:val="100"/>
          <w:sz w:val="48"/>
        </w:rPr>
        <w:t>商品学会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448A585">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DED808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695958">
      <w:pPr>
        <w:pStyle w:val="50"/>
        <w:framePr w:w="9639" w:h="6976" w:hRule="exact" w:hSpace="0" w:vSpace="0" w:wrap="around" w:hAnchor="page" w:y="6408"/>
        <w:jc w:val="center"/>
        <w:rPr>
          <w:rFonts w:ascii="黑体" w:hAnsi="黑体" w:eastAsia="黑体"/>
          <w:b w:val="0"/>
          <w:bCs w:val="0"/>
          <w:w w:val="100"/>
        </w:rPr>
      </w:pPr>
    </w:p>
    <w:p w14:paraId="039560AF">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黔南山牛肉浓汤调味料</w:t>
      </w:r>
      <w:r>
        <w:fldChar w:fldCharType="end"/>
      </w:r>
      <w:bookmarkEnd w:id="8"/>
    </w:p>
    <w:p w14:paraId="14AAD9A4">
      <w:pPr>
        <w:framePr w:w="9639" w:h="6974" w:hRule="exact" w:wrap="around" w:vAnchor="page" w:hAnchor="page" w:x="1419" w:y="6408" w:anchorLock="1"/>
        <w:ind w:left="-1418"/>
      </w:pPr>
    </w:p>
    <w:p w14:paraId="796C27A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Q</w:t>
      </w:r>
      <w:r>
        <w:rPr>
          <w:rFonts w:eastAsia="黑体"/>
          <w:szCs w:val="28"/>
        </w:rPr>
        <w:t>iannan mountain beef thick soup seasoning</w:t>
      </w:r>
      <w:r>
        <w:rPr>
          <w:rFonts w:eastAsia="黑体"/>
          <w:szCs w:val="28"/>
        </w:rPr>
        <w:fldChar w:fldCharType="end"/>
      </w:r>
      <w:bookmarkEnd w:id="9"/>
    </w:p>
    <w:p w14:paraId="453AA2B6">
      <w:pPr>
        <w:framePr w:w="9639" w:h="6974" w:hRule="exact" w:wrap="around" w:vAnchor="page" w:hAnchor="page" w:x="1419" w:y="6408" w:anchorLock="1"/>
        <w:spacing w:line="760" w:lineRule="exact"/>
        <w:ind w:left="-1418"/>
      </w:pPr>
    </w:p>
    <w:p w14:paraId="758106FE">
      <w:pPr>
        <w:pStyle w:val="125"/>
        <w:framePr w:w="9639" w:h="6974" w:hRule="exact" w:wrap="around" w:vAnchor="page" w:hAnchor="page" w:x="1419" w:y="6408" w:anchorLock="1"/>
        <w:textAlignment w:val="bottom"/>
        <w:rPr>
          <w:rFonts w:eastAsia="黑体"/>
          <w:szCs w:val="28"/>
        </w:rPr>
      </w:pPr>
    </w:p>
    <w:p w14:paraId="71F6272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5A734CC">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AA12C6F">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34326C4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中国商</w:t>
      </w:r>
      <w:r>
        <w:rPr>
          <w:rFonts w:hint="eastAsia" w:hAnsi="黑体"/>
          <w:w w:val="100"/>
          <w:sz w:val="28"/>
        </w:rPr>
        <w:t>品学</w:t>
      </w:r>
      <w:r>
        <w:rPr>
          <w:rFonts w:hAnsi="黑体"/>
          <w:w w:val="100"/>
          <w:sz w:val="28"/>
        </w:rPr>
        <w:t>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D6FA97F">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C6233D">
      <w:pPr>
        <w:pStyle w:val="89"/>
        <w:spacing w:before="900" w:after="360"/>
      </w:pPr>
      <w:bookmarkStart w:id="18" w:name="BookMark2"/>
      <w:r>
        <w:rPr>
          <w:spacing w:val="320"/>
        </w:rPr>
        <w:t>前</w:t>
      </w:r>
      <w:r>
        <w:t>言</w:t>
      </w:r>
    </w:p>
    <w:p w14:paraId="3F42942E">
      <w:pPr>
        <w:pStyle w:val="56"/>
        <w:ind w:firstLine="420"/>
      </w:pPr>
      <w:r>
        <w:rPr>
          <w:rFonts w:hint="eastAsia"/>
        </w:rPr>
        <w:t>本文件按照GB/T 1.1—2020《标准化工作导则  第1部分：标准化文件的结构和起草规则》的规定起草。</w:t>
      </w:r>
    </w:p>
    <w:p w14:paraId="40B431FD">
      <w:pPr>
        <w:pStyle w:val="56"/>
        <w:ind w:firstLine="420"/>
      </w:pPr>
      <w:r>
        <w:rPr>
          <w:rFonts w:hint="eastAsia"/>
        </w:rPr>
        <w:t>请注意本文件的某些内容可能涉及专利。本文件的发布机构不承担识别专利的责任。</w:t>
      </w:r>
    </w:p>
    <w:p w14:paraId="783B8B50">
      <w:pPr>
        <w:pStyle w:val="56"/>
        <w:ind w:firstLine="420"/>
      </w:pPr>
      <w:r>
        <w:rPr>
          <w:rFonts w:hint="eastAsia"/>
        </w:rPr>
        <w:t>本文件由贵州省长顺黔南山绿色食品有限公司提出。</w:t>
      </w:r>
    </w:p>
    <w:p w14:paraId="1F5C7DC4">
      <w:pPr>
        <w:pStyle w:val="56"/>
        <w:ind w:firstLine="420"/>
      </w:pPr>
      <w:r>
        <w:rPr>
          <w:rFonts w:hint="eastAsia"/>
        </w:rPr>
        <w:t>本文件由中国商品学会归口。</w:t>
      </w:r>
    </w:p>
    <w:p w14:paraId="3A518BDD">
      <w:pPr>
        <w:pStyle w:val="56"/>
        <w:ind w:firstLine="420"/>
      </w:pPr>
      <w:r>
        <w:rPr>
          <w:rFonts w:hint="eastAsia"/>
        </w:rPr>
        <w:t>本文件起草单位：</w:t>
      </w:r>
      <w:bookmarkStart w:id="19" w:name="_Hlk190935481"/>
      <w:r>
        <w:rPr>
          <w:rFonts w:hint="eastAsia"/>
        </w:rPr>
        <w:t>贵州省长顺黔南山绿色食品有限公司、</w:t>
      </w:r>
      <w:r>
        <w:rPr>
          <w:rFonts w:hint="eastAsia"/>
          <w:lang w:val="en-US" w:eastAsia="zh-CN"/>
        </w:rPr>
        <w:t>XXX</w:t>
      </w:r>
      <w:r>
        <w:rPr>
          <w:rFonts w:hint="eastAsia"/>
        </w:rPr>
        <w:t>、</w:t>
      </w:r>
      <w:r>
        <w:rPr>
          <w:rFonts w:hint="eastAsia"/>
          <w:lang w:val="en-US" w:eastAsia="zh-CN"/>
        </w:rPr>
        <w:t>XXX</w:t>
      </w:r>
      <w:r>
        <w:rPr>
          <w:rFonts w:hint="eastAsia"/>
        </w:rPr>
        <w:t>。</w:t>
      </w:r>
      <w:bookmarkEnd w:id="19"/>
    </w:p>
    <w:p w14:paraId="656F77F2">
      <w:pPr>
        <w:pStyle w:val="56"/>
        <w:ind w:firstLine="420"/>
      </w:pPr>
      <w:r>
        <w:rPr>
          <w:rFonts w:hint="eastAsia"/>
        </w:rPr>
        <w:t>本文件主要起草人：</w:t>
      </w:r>
      <w:bookmarkStart w:id="20" w:name="_Hlk190935488"/>
      <w:r>
        <w:rPr>
          <w:rFonts w:hint="eastAsia"/>
          <w:lang w:val="en-US" w:eastAsia="zh-CN"/>
        </w:rPr>
        <w:t>XXX</w:t>
      </w:r>
      <w:r>
        <w:rPr>
          <w:rFonts w:hint="eastAsia"/>
        </w:rPr>
        <w:t>、</w:t>
      </w:r>
      <w:r>
        <w:rPr>
          <w:rFonts w:hint="eastAsia"/>
          <w:lang w:val="en-US" w:eastAsia="zh-CN"/>
        </w:rPr>
        <w:t>XXX</w:t>
      </w:r>
      <w:r>
        <w:rPr>
          <w:rFonts w:hint="eastAsia"/>
        </w:rPr>
        <w:t>、</w:t>
      </w:r>
      <w:r>
        <w:rPr>
          <w:rFonts w:hint="eastAsia"/>
          <w:lang w:val="en-US" w:eastAsia="zh-CN"/>
        </w:rPr>
        <w:t>XXX</w:t>
      </w:r>
      <w:r>
        <w:rPr>
          <w:rFonts w:hint="eastAsia"/>
        </w:rPr>
        <w:t>。</w:t>
      </w:r>
      <w:bookmarkEnd w:id="20"/>
    </w:p>
    <w:p w14:paraId="005976E1">
      <w:pPr>
        <w:pStyle w:val="56"/>
        <w:ind w:firstLine="420"/>
      </w:pPr>
    </w:p>
    <w:p w14:paraId="033241CD">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8"/>
    <w:p w14:paraId="3A130175">
      <w:pPr>
        <w:spacing w:line="20" w:lineRule="exact"/>
        <w:jc w:val="center"/>
        <w:rPr>
          <w:rFonts w:ascii="黑体" w:hAnsi="黑体" w:eastAsia="黑体"/>
          <w:sz w:val="32"/>
          <w:szCs w:val="32"/>
        </w:rPr>
      </w:pPr>
      <w:bookmarkStart w:id="21" w:name="BookMark4"/>
    </w:p>
    <w:p w14:paraId="062BBF43">
      <w:pPr>
        <w:spacing w:line="20" w:lineRule="exact"/>
        <w:jc w:val="center"/>
        <w:rPr>
          <w:rFonts w:ascii="黑体" w:hAnsi="黑体" w:eastAsia="黑体"/>
          <w:sz w:val="32"/>
          <w:szCs w:val="32"/>
        </w:rPr>
      </w:pPr>
    </w:p>
    <w:sdt>
      <w:sdtPr>
        <w:tag w:val="NEW_STAND_NAME"/>
        <w:id w:val="595910757"/>
        <w:lock w:val="sdtLocked"/>
        <w:placeholder>
          <w:docPart w:val="E3B0DCD5032845089BC283149F35BE2A"/>
        </w:placeholder>
      </w:sdtPr>
      <w:sdtContent>
        <w:p w14:paraId="575511C1">
          <w:pPr>
            <w:pStyle w:val="177"/>
            <w:spacing w:before="240" w:beforeLines="100" w:after="528" w:afterLines="220"/>
          </w:pPr>
          <w:bookmarkStart w:id="22" w:name="NEW_STAND_NAME"/>
          <w:r>
            <w:rPr>
              <w:rFonts w:hint="eastAsia"/>
            </w:rPr>
            <w:t>黔南山牛肉浓汤调味料</w:t>
          </w:r>
        </w:p>
      </w:sdtContent>
    </w:sdt>
    <w:bookmarkEnd w:id="22"/>
    <w:p w14:paraId="7596FD97">
      <w:pPr>
        <w:pStyle w:val="104"/>
        <w:spacing w:before="240" w:after="240"/>
      </w:pPr>
      <w:bookmarkStart w:id="23" w:name="_Toc26986771"/>
      <w:bookmarkStart w:id="24" w:name="_Toc97192964"/>
      <w:bookmarkStart w:id="25" w:name="_Toc26986530"/>
      <w:bookmarkStart w:id="26" w:name="_Toc17233333"/>
      <w:bookmarkStart w:id="27" w:name="_Toc26718930"/>
      <w:bookmarkStart w:id="28" w:name="_Toc24884218"/>
      <w:bookmarkStart w:id="29" w:name="_Toc24884211"/>
      <w:bookmarkStart w:id="30" w:name="_Toc17233325"/>
      <w:bookmarkStart w:id="31" w:name="_Toc26648465"/>
      <w:r>
        <w:rPr>
          <w:rFonts w:hint="eastAsia"/>
        </w:rPr>
        <w:t>范围</w:t>
      </w:r>
      <w:bookmarkEnd w:id="23"/>
      <w:bookmarkEnd w:id="24"/>
      <w:bookmarkEnd w:id="25"/>
      <w:bookmarkEnd w:id="26"/>
      <w:bookmarkEnd w:id="27"/>
      <w:bookmarkEnd w:id="28"/>
      <w:bookmarkEnd w:id="29"/>
      <w:bookmarkEnd w:id="30"/>
      <w:bookmarkEnd w:id="31"/>
    </w:p>
    <w:p w14:paraId="7BFB44E0">
      <w:pPr>
        <w:pStyle w:val="56"/>
        <w:ind w:firstLine="420"/>
      </w:pPr>
      <w:bookmarkStart w:id="32" w:name="_Toc17233326"/>
      <w:bookmarkStart w:id="33" w:name="_Toc24884212"/>
      <w:bookmarkStart w:id="34" w:name="_Toc17233334"/>
      <w:bookmarkStart w:id="35" w:name="_Toc24884219"/>
      <w:bookmarkStart w:id="36" w:name="_Toc26648466"/>
      <w:r>
        <w:rPr>
          <w:rFonts w:hint="eastAsia"/>
        </w:rPr>
        <w:t>本文件规定了黔南山牛肉浓汤调味料（以下简称“调味料”）在术语定义、产品分类、要求</w:t>
      </w:r>
      <w:bookmarkStart w:id="45" w:name="_GoBack"/>
      <w:bookmarkEnd w:id="45"/>
      <w:r>
        <w:rPr>
          <w:rFonts w:hint="eastAsia"/>
        </w:rPr>
        <w:t>、检验规则以及标志、标签、包装、运输、贮存等的要求。</w:t>
      </w:r>
    </w:p>
    <w:p w14:paraId="3C8B79F3">
      <w:pPr>
        <w:pStyle w:val="56"/>
        <w:ind w:firstLine="420"/>
      </w:pPr>
      <w:r>
        <w:rPr>
          <w:rFonts w:hint="eastAsia"/>
        </w:rPr>
        <w:t>本文件适用于以鲜（冻）牛肉、牛骨或牛副产品经过熬制后，去掉肉渣和牛骨的汤汁为主要原料，添加或不添加牛肉粒、添加或不添加香辛料、食品添加剂等辅料中的一种或几种进行加热调配，再经冷却、灌装、高温灭菌等工艺制成的调味料。</w:t>
      </w:r>
    </w:p>
    <w:p w14:paraId="4DD22EED">
      <w:pPr>
        <w:pStyle w:val="104"/>
        <w:spacing w:before="240" w:after="240"/>
      </w:pPr>
      <w:bookmarkStart w:id="37" w:name="_Toc26986531"/>
      <w:bookmarkStart w:id="38" w:name="_Toc267189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6EC0AA4041C4070A96D5D1EA78BF5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5F1729">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60934B">
      <w:pPr>
        <w:pStyle w:val="56"/>
        <w:ind w:firstLine="420"/>
      </w:pPr>
      <w:r>
        <w:rPr>
          <w:rFonts w:hint="eastAsia"/>
        </w:rPr>
        <w:t>GB/T 191  包装储运图示标志</w:t>
      </w:r>
    </w:p>
    <w:p w14:paraId="46C37689">
      <w:pPr>
        <w:pStyle w:val="56"/>
        <w:ind w:firstLine="420"/>
      </w:pPr>
      <w:r>
        <w:rPr>
          <w:rFonts w:hint="eastAsia"/>
        </w:rPr>
        <w:t>GB/T 546 食用盐</w:t>
      </w:r>
    </w:p>
    <w:p w14:paraId="1C5EEBB6">
      <w:pPr>
        <w:pStyle w:val="56"/>
        <w:ind w:firstLine="420"/>
      </w:pPr>
      <w:r>
        <w:rPr>
          <w:rFonts w:hint="eastAsia"/>
        </w:rPr>
        <w:t>GB 2707 食品安全国家标准 鲜（冻）畜、禽产品</w:t>
      </w:r>
    </w:p>
    <w:p w14:paraId="575D10BA">
      <w:pPr>
        <w:pStyle w:val="56"/>
        <w:ind w:firstLine="420"/>
      </w:pPr>
      <w:r>
        <w:rPr>
          <w:rFonts w:hint="eastAsia"/>
        </w:rPr>
        <w:t>GB 2720 食品安全国家标准 味精</w:t>
      </w:r>
    </w:p>
    <w:p w14:paraId="4441C13A">
      <w:pPr>
        <w:pStyle w:val="56"/>
        <w:ind w:firstLine="420"/>
      </w:pPr>
      <w:r>
        <w:rPr>
          <w:rFonts w:hint="eastAsia"/>
        </w:rPr>
        <w:t>GB 2760 食品安全国家标准 食品添加剂使用标准</w:t>
      </w:r>
    </w:p>
    <w:p w14:paraId="41ECDF58">
      <w:pPr>
        <w:pStyle w:val="56"/>
        <w:ind w:firstLine="420"/>
      </w:pPr>
      <w:r>
        <w:rPr>
          <w:rFonts w:hint="eastAsia"/>
        </w:rPr>
        <w:t>GB 4789.4 食品安全国家标准 食品微生物学检验 沙门氏菌检验</w:t>
      </w:r>
    </w:p>
    <w:p w14:paraId="785A409C">
      <w:pPr>
        <w:pStyle w:val="56"/>
        <w:ind w:firstLine="420"/>
      </w:pPr>
      <w:r>
        <w:rPr>
          <w:rFonts w:hint="eastAsia"/>
        </w:rPr>
        <w:t>GB 4789.10 食品安全国家标准 食品微生物学检验 金黄色葡萄球菌检验</w:t>
      </w:r>
    </w:p>
    <w:p w14:paraId="0518B97A">
      <w:pPr>
        <w:pStyle w:val="56"/>
        <w:ind w:firstLine="420"/>
      </w:pPr>
      <w:r>
        <w:rPr>
          <w:rFonts w:hint="eastAsia"/>
        </w:rPr>
        <w:t>GB 4806.7 食品安全国家标准 食品接触用塑料材料及制品</w:t>
      </w:r>
    </w:p>
    <w:p w14:paraId="2526D25D">
      <w:pPr>
        <w:pStyle w:val="56"/>
        <w:ind w:firstLine="420"/>
      </w:pPr>
      <w:r>
        <w:rPr>
          <w:rFonts w:hint="eastAsia"/>
        </w:rPr>
        <w:t>GB 5009.11 食品安全国家标准 食品中总砷及无机砷的测定</w:t>
      </w:r>
    </w:p>
    <w:p w14:paraId="7844CE0C">
      <w:pPr>
        <w:pStyle w:val="56"/>
        <w:ind w:firstLine="420"/>
      </w:pPr>
      <w:r>
        <w:rPr>
          <w:rFonts w:hint="eastAsia"/>
        </w:rPr>
        <w:t>GB 5009.12 食品安全国家标准 食品中铅的测定</w:t>
      </w:r>
    </w:p>
    <w:p w14:paraId="123B2736">
      <w:pPr>
        <w:pStyle w:val="56"/>
        <w:ind w:firstLine="420"/>
      </w:pPr>
      <w:r>
        <w:rPr>
          <w:rFonts w:hint="eastAsia"/>
        </w:rPr>
        <w:t>GB 5009.44-2016 食品安全国家标准 食品中氯化物的测定</w:t>
      </w:r>
    </w:p>
    <w:p w14:paraId="537BCBF4">
      <w:pPr>
        <w:pStyle w:val="56"/>
        <w:ind w:firstLine="420"/>
      </w:pPr>
      <w:r>
        <w:rPr>
          <w:rFonts w:hint="eastAsia"/>
        </w:rPr>
        <w:t>GB 5009.235-2016 食品安全国家标准 食品中氨基酸态氮的测定</w:t>
      </w:r>
    </w:p>
    <w:p w14:paraId="21F07F9B">
      <w:pPr>
        <w:pStyle w:val="56"/>
        <w:ind w:firstLine="420"/>
      </w:pPr>
      <w:r>
        <w:rPr>
          <w:rFonts w:hint="eastAsia"/>
        </w:rPr>
        <w:t>GB 5749 生活饮用水卫生标准</w:t>
      </w:r>
    </w:p>
    <w:p w14:paraId="3EFCB35C">
      <w:pPr>
        <w:pStyle w:val="56"/>
        <w:ind w:firstLine="420"/>
      </w:pPr>
      <w:r>
        <w:rPr>
          <w:rFonts w:hint="eastAsia"/>
        </w:rPr>
        <w:t>GB/T 6543  运输包装用单瓦楞纸箱和双瓦楞纸箱</w:t>
      </w:r>
    </w:p>
    <w:p w14:paraId="5E21511B">
      <w:pPr>
        <w:pStyle w:val="56"/>
        <w:ind w:firstLine="420"/>
      </w:pPr>
      <w:r>
        <w:rPr>
          <w:rFonts w:hint="eastAsia"/>
        </w:rPr>
        <w:t>GB 7718  食品安全国家标准 预包装食品标签通则</w:t>
      </w:r>
    </w:p>
    <w:p w14:paraId="42084A4C">
      <w:pPr>
        <w:pStyle w:val="56"/>
        <w:ind w:firstLine="420"/>
      </w:pPr>
      <w:r>
        <w:rPr>
          <w:rFonts w:hint="eastAsia"/>
        </w:rPr>
        <w:t>GB 10146 食品安全国家标准 食用动物油脂</w:t>
      </w:r>
    </w:p>
    <w:p w14:paraId="6719FAB3">
      <w:pPr>
        <w:pStyle w:val="56"/>
        <w:ind w:firstLine="420"/>
      </w:pPr>
      <w:r>
        <w:rPr>
          <w:rFonts w:hint="eastAsia"/>
        </w:rPr>
        <w:t>GB 14881  食品安全国家标准 食品生产通用卫生规范</w:t>
      </w:r>
    </w:p>
    <w:p w14:paraId="08D6B2A3">
      <w:pPr>
        <w:pStyle w:val="56"/>
        <w:ind w:firstLine="420"/>
      </w:pPr>
      <w:r>
        <w:rPr>
          <w:rFonts w:hint="eastAsia"/>
        </w:rPr>
        <w:t>GB/T 15691 香辛料调味品通用技术条件</w:t>
      </w:r>
    </w:p>
    <w:p w14:paraId="7C166E0C">
      <w:pPr>
        <w:pStyle w:val="56"/>
        <w:ind w:firstLine="420"/>
      </w:pPr>
      <w:r>
        <w:rPr>
          <w:rFonts w:hint="eastAsia"/>
        </w:rPr>
        <w:t>GB/T 17238 鲜、冻分割牛肉</w:t>
      </w:r>
    </w:p>
    <w:p w14:paraId="63A052AA">
      <w:pPr>
        <w:pStyle w:val="56"/>
        <w:ind w:firstLine="420"/>
      </w:pPr>
      <w:r>
        <w:rPr>
          <w:rFonts w:hint="eastAsia"/>
        </w:rPr>
        <w:t>GB 28050  食品安全国家标准 预包装食品营养标签通则</w:t>
      </w:r>
    </w:p>
    <w:p w14:paraId="3D9A4155">
      <w:pPr>
        <w:pStyle w:val="56"/>
        <w:ind w:firstLine="420"/>
      </w:pPr>
      <w:r>
        <w:rPr>
          <w:rFonts w:hint="eastAsia"/>
        </w:rPr>
        <w:t>GB 31644-2018 食品安全国家标准 复合调味料</w:t>
      </w:r>
    </w:p>
    <w:p w14:paraId="47A19C9C">
      <w:pPr>
        <w:pStyle w:val="56"/>
        <w:ind w:firstLine="420"/>
      </w:pPr>
      <w:r>
        <w:rPr>
          <w:rFonts w:hint="eastAsia"/>
        </w:rPr>
        <w:t>SB/T 10371 鸡精调味料</w:t>
      </w:r>
    </w:p>
    <w:p w14:paraId="7F4C018C">
      <w:pPr>
        <w:pStyle w:val="56"/>
        <w:ind w:firstLine="420"/>
      </w:pPr>
      <w:r>
        <w:rPr>
          <w:rFonts w:hint="eastAsia"/>
        </w:rPr>
        <w:t>JJF 1070 定量包装商品净含量计量检验规则</w:t>
      </w:r>
    </w:p>
    <w:p w14:paraId="4A39A53C">
      <w:pPr>
        <w:pStyle w:val="56"/>
        <w:ind w:firstLine="420"/>
      </w:pPr>
      <w:r>
        <w:rPr>
          <w:rFonts w:hint="eastAsia"/>
        </w:rPr>
        <w:t>定量包装商品计量监督管理办法  国家市场监督管理总局令第70号</w:t>
      </w:r>
    </w:p>
    <w:p w14:paraId="53172D9C">
      <w:pPr>
        <w:pStyle w:val="104"/>
        <w:spacing w:before="240" w:after="240"/>
      </w:pPr>
      <w:bookmarkStart w:id="41" w:name="_Toc97192966"/>
      <w:r>
        <w:rPr>
          <w:rFonts w:hint="eastAsia"/>
          <w:szCs w:val="21"/>
        </w:rPr>
        <w:t>术语和定义</w:t>
      </w:r>
      <w:bookmarkEnd w:id="41"/>
    </w:p>
    <w:sdt>
      <w:sdtPr>
        <w:id w:val="-1909835108"/>
        <w:placeholder>
          <w:docPart w:val="EAF844F5239044378963083767721F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B3D9802">
          <w:pPr>
            <w:pStyle w:val="56"/>
            <w:ind w:firstLine="420"/>
          </w:pPr>
          <w:bookmarkStart w:id="42" w:name="_Toc26986532"/>
          <w:bookmarkEnd w:id="42"/>
          <w:r>
            <w:t>下列术语和定义适用于本文件。</w:t>
          </w:r>
        </w:p>
      </w:sdtContent>
    </w:sdt>
    <w:p w14:paraId="2DA9F66F">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黔南山牛肉浓汤调味料 q</w:t>
      </w:r>
      <w:r>
        <w:rPr>
          <w:rFonts w:ascii="黑体" w:hAnsi="黑体" w:eastAsia="黑体"/>
        </w:rPr>
        <w:t>iannan mountain beef thick soup seasoning</w:t>
      </w:r>
    </w:p>
    <w:p w14:paraId="44FD5281">
      <w:pPr>
        <w:pStyle w:val="56"/>
        <w:ind w:firstLine="420"/>
      </w:pPr>
      <w:r>
        <w:rPr>
          <w:rFonts w:hint="eastAsia"/>
        </w:rPr>
        <w:t>以鲜（冻）牛肉、牛骨或牛副产品经过熬制后，去掉肉渣和牛骨的汤汁为主要原料，添加或不添加牛肉粒，添加或不添加香辛料、食品添加剂等辅料中的一种或几种进行加热调配，再经冷却、灌装、高温灭菌等工艺制成，具有牛肉滋味和香气的预包装复合调味料。</w:t>
      </w:r>
    </w:p>
    <w:p w14:paraId="4552E72B">
      <w:pPr>
        <w:pStyle w:val="104"/>
        <w:spacing w:before="240" w:after="240"/>
      </w:pPr>
      <w:r>
        <w:rPr>
          <w:rFonts w:hint="eastAsia"/>
        </w:rPr>
        <w:t>产品分类</w:t>
      </w:r>
    </w:p>
    <w:p w14:paraId="50EEB42A">
      <w:pPr>
        <w:pStyle w:val="56"/>
        <w:ind w:firstLine="420"/>
      </w:pPr>
      <w:r>
        <w:rPr>
          <w:rFonts w:hint="eastAsia"/>
        </w:rPr>
        <w:t>产品按形态不同，分为液态或半固态。</w:t>
      </w:r>
    </w:p>
    <w:p w14:paraId="2093D6E9">
      <w:pPr>
        <w:pStyle w:val="104"/>
        <w:spacing w:before="240" w:after="240"/>
      </w:pPr>
      <w:r>
        <w:rPr>
          <w:rFonts w:hint="eastAsia"/>
        </w:rPr>
        <w:t>要求</w:t>
      </w:r>
    </w:p>
    <w:p w14:paraId="135BF472">
      <w:pPr>
        <w:pStyle w:val="105"/>
        <w:spacing w:before="120" w:after="120"/>
      </w:pPr>
      <w:r>
        <w:rPr>
          <w:rFonts w:hint="eastAsia"/>
        </w:rPr>
        <w:t>原辅料要求</w:t>
      </w:r>
    </w:p>
    <w:p w14:paraId="666EBE18">
      <w:pPr>
        <w:pStyle w:val="65"/>
        <w:spacing w:before="120" w:after="120"/>
      </w:pPr>
      <w:r>
        <w:rPr>
          <w:rFonts w:hint="eastAsia"/>
        </w:rPr>
        <w:t>牛肉、牛骨、牛副产品</w:t>
      </w:r>
    </w:p>
    <w:p w14:paraId="187B4154">
      <w:pPr>
        <w:pStyle w:val="56"/>
        <w:ind w:firstLine="420"/>
      </w:pPr>
      <w:r>
        <w:rPr>
          <w:rFonts w:hint="eastAsia"/>
        </w:rPr>
        <w:t>应符合GB 2707和GB/T 17238的规定。</w:t>
      </w:r>
    </w:p>
    <w:p w14:paraId="4BA40B01">
      <w:pPr>
        <w:pStyle w:val="65"/>
        <w:spacing w:before="120" w:after="120"/>
      </w:pPr>
      <w:r>
        <w:rPr>
          <w:rFonts w:hint="eastAsia"/>
        </w:rPr>
        <w:t>牛油</w:t>
      </w:r>
    </w:p>
    <w:p w14:paraId="596EB35F">
      <w:pPr>
        <w:pStyle w:val="56"/>
        <w:ind w:firstLine="420"/>
      </w:pPr>
      <w:r>
        <w:rPr>
          <w:rFonts w:hint="eastAsia"/>
        </w:rPr>
        <w:t>应符合</w:t>
      </w:r>
      <w:r>
        <w:t>GB 10146</w:t>
      </w:r>
      <w:r>
        <w:rPr>
          <w:rFonts w:hint="eastAsia"/>
        </w:rPr>
        <w:t>的规定。</w:t>
      </w:r>
    </w:p>
    <w:p w14:paraId="081F8586">
      <w:pPr>
        <w:pStyle w:val="65"/>
        <w:spacing w:before="120" w:after="120"/>
      </w:pPr>
      <w:r>
        <w:rPr>
          <w:rFonts w:hint="eastAsia"/>
        </w:rPr>
        <w:t>食用盐</w:t>
      </w:r>
    </w:p>
    <w:p w14:paraId="615DCA1F">
      <w:pPr>
        <w:pStyle w:val="56"/>
        <w:ind w:firstLine="420"/>
      </w:pPr>
      <w:r>
        <w:rPr>
          <w:rFonts w:hint="eastAsia"/>
        </w:rPr>
        <w:t>应符合GB/T 5461的规定。</w:t>
      </w:r>
    </w:p>
    <w:p w14:paraId="0C571E58">
      <w:pPr>
        <w:pStyle w:val="65"/>
        <w:spacing w:before="120" w:after="120"/>
      </w:pPr>
      <w:r>
        <w:rPr>
          <w:rFonts w:hint="eastAsia"/>
        </w:rPr>
        <w:t>鸡精调味料</w:t>
      </w:r>
    </w:p>
    <w:p w14:paraId="3305A80C">
      <w:pPr>
        <w:pStyle w:val="56"/>
        <w:ind w:firstLine="420"/>
      </w:pPr>
      <w:r>
        <w:rPr>
          <w:rFonts w:hint="eastAsia"/>
        </w:rPr>
        <w:t>应符合</w:t>
      </w:r>
      <w:r>
        <w:t>SB/T 10371</w:t>
      </w:r>
      <w:r>
        <w:rPr>
          <w:rFonts w:hint="eastAsia"/>
        </w:rPr>
        <w:t>的规定。</w:t>
      </w:r>
    </w:p>
    <w:p w14:paraId="6B1DF241">
      <w:pPr>
        <w:pStyle w:val="65"/>
        <w:spacing w:before="120" w:after="120"/>
      </w:pPr>
      <w:r>
        <w:rPr>
          <w:rFonts w:hint="eastAsia"/>
        </w:rPr>
        <w:t>味精</w:t>
      </w:r>
    </w:p>
    <w:p w14:paraId="16581552">
      <w:pPr>
        <w:pStyle w:val="56"/>
        <w:ind w:firstLine="420"/>
      </w:pPr>
      <w:r>
        <w:rPr>
          <w:rFonts w:hint="eastAsia"/>
        </w:rPr>
        <w:t>应符合</w:t>
      </w:r>
      <w:r>
        <w:t>GB 2720</w:t>
      </w:r>
      <w:r>
        <w:rPr>
          <w:rFonts w:hint="eastAsia"/>
        </w:rPr>
        <w:t>的规定。</w:t>
      </w:r>
    </w:p>
    <w:p w14:paraId="22B820CF">
      <w:pPr>
        <w:pStyle w:val="65"/>
        <w:spacing w:before="120" w:after="120"/>
      </w:pPr>
      <w:r>
        <w:rPr>
          <w:rFonts w:hint="eastAsia"/>
        </w:rPr>
        <w:t>香辛料</w:t>
      </w:r>
    </w:p>
    <w:p w14:paraId="37AAAFAC">
      <w:pPr>
        <w:pStyle w:val="56"/>
        <w:ind w:firstLine="420"/>
      </w:pPr>
      <w:r>
        <w:rPr>
          <w:rFonts w:hint="eastAsia"/>
        </w:rPr>
        <w:t>应符合GB/T 15691的规定。</w:t>
      </w:r>
    </w:p>
    <w:p w14:paraId="7CD53087">
      <w:pPr>
        <w:pStyle w:val="65"/>
        <w:spacing w:before="120" w:after="120"/>
      </w:pPr>
      <w:r>
        <w:rPr>
          <w:rFonts w:hint="eastAsia"/>
        </w:rPr>
        <w:t>生产用水</w:t>
      </w:r>
    </w:p>
    <w:p w14:paraId="43E5EAA8">
      <w:pPr>
        <w:pStyle w:val="56"/>
        <w:ind w:firstLine="420"/>
      </w:pPr>
      <w:r>
        <w:rPr>
          <w:rFonts w:hint="eastAsia"/>
        </w:rPr>
        <w:t>应符合GB 5749的规定。</w:t>
      </w:r>
    </w:p>
    <w:p w14:paraId="415B363F">
      <w:pPr>
        <w:pStyle w:val="105"/>
        <w:spacing w:before="120" w:after="120"/>
      </w:pPr>
      <w:r>
        <w:rPr>
          <w:rFonts w:hint="eastAsia"/>
        </w:rPr>
        <w:t>感官要求</w:t>
      </w:r>
    </w:p>
    <w:p w14:paraId="0E63CC6C">
      <w:pPr>
        <w:pStyle w:val="165"/>
      </w:pPr>
      <w:r>
        <w:rPr>
          <w:rFonts w:hint="eastAsia"/>
        </w:rPr>
        <w:t>半固态调味料感官要求应符合表1的规定。</w:t>
      </w:r>
    </w:p>
    <w:p w14:paraId="69E9ED25">
      <w:pPr>
        <w:pStyle w:val="112"/>
        <w:spacing w:before="120" w:after="120"/>
      </w:pPr>
      <w:r>
        <w:rPr>
          <w:rFonts w:hint="eastAsia"/>
        </w:rPr>
        <w:t>半固态调味料感官要求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1F5C6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top w:val="single" w:color="auto" w:sz="8" w:space="0"/>
              <w:bottom w:val="single" w:color="auto" w:sz="8" w:space="0"/>
            </w:tcBorders>
            <w:shd w:val="clear" w:color="auto" w:fill="auto"/>
            <w:vAlign w:val="center"/>
          </w:tcPr>
          <w:p w14:paraId="55DA1F15">
            <w:pPr>
              <w:pStyle w:val="178"/>
            </w:pPr>
            <w:r>
              <w:rPr>
                <w:rFonts w:hint="eastAsia"/>
              </w:rPr>
              <w:t>项目</w:t>
            </w:r>
          </w:p>
        </w:tc>
        <w:tc>
          <w:tcPr>
            <w:tcW w:w="3185" w:type="dxa"/>
            <w:tcBorders>
              <w:top w:val="single" w:color="auto" w:sz="8" w:space="0"/>
              <w:bottom w:val="single" w:color="auto" w:sz="8" w:space="0"/>
            </w:tcBorders>
            <w:shd w:val="clear" w:color="auto" w:fill="auto"/>
            <w:vAlign w:val="center"/>
          </w:tcPr>
          <w:p w14:paraId="2BE74504">
            <w:pPr>
              <w:pStyle w:val="178"/>
            </w:pPr>
            <w:r>
              <w:rPr>
                <w:rFonts w:hint="eastAsia"/>
              </w:rPr>
              <w:t>指标</w:t>
            </w:r>
          </w:p>
        </w:tc>
        <w:tc>
          <w:tcPr>
            <w:tcW w:w="3185" w:type="dxa"/>
            <w:tcBorders>
              <w:top w:val="single" w:color="auto" w:sz="8" w:space="0"/>
              <w:bottom w:val="single" w:color="auto" w:sz="8" w:space="0"/>
            </w:tcBorders>
            <w:shd w:val="clear" w:color="auto" w:fill="auto"/>
            <w:vAlign w:val="center"/>
          </w:tcPr>
          <w:p w14:paraId="624F82DE">
            <w:pPr>
              <w:pStyle w:val="178"/>
            </w:pPr>
            <w:r>
              <w:rPr>
                <w:rFonts w:hint="eastAsia"/>
              </w:rPr>
              <w:t>检验方法</w:t>
            </w:r>
          </w:p>
        </w:tc>
      </w:tr>
      <w:tr w14:paraId="5C838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shd w:val="clear" w:color="auto" w:fill="auto"/>
            <w:vAlign w:val="center"/>
          </w:tcPr>
          <w:p w14:paraId="36A9EED7">
            <w:pPr>
              <w:pStyle w:val="178"/>
            </w:pPr>
            <w:r>
              <w:rPr>
                <w:rFonts w:hint="eastAsia"/>
              </w:rPr>
              <w:t>色泽</w:t>
            </w:r>
          </w:p>
        </w:tc>
        <w:tc>
          <w:tcPr>
            <w:tcW w:w="3185" w:type="dxa"/>
            <w:tcBorders>
              <w:top w:val="single" w:color="auto" w:sz="8" w:space="0"/>
            </w:tcBorders>
            <w:shd w:val="clear" w:color="auto" w:fill="auto"/>
            <w:vAlign w:val="center"/>
          </w:tcPr>
          <w:p w14:paraId="303C7537">
            <w:pPr>
              <w:pStyle w:val="178"/>
            </w:pPr>
            <w:r>
              <w:rPr>
                <w:rFonts w:hint="eastAsia"/>
              </w:rPr>
              <w:t>具有该产品固有的色泽</w:t>
            </w:r>
          </w:p>
        </w:tc>
        <w:tc>
          <w:tcPr>
            <w:tcW w:w="3185" w:type="dxa"/>
            <w:vMerge w:val="restart"/>
            <w:tcBorders>
              <w:top w:val="single" w:color="auto" w:sz="8" w:space="0"/>
            </w:tcBorders>
            <w:shd w:val="clear" w:color="auto" w:fill="auto"/>
            <w:vAlign w:val="center"/>
          </w:tcPr>
          <w:p w14:paraId="1A6980EC">
            <w:pPr>
              <w:pStyle w:val="178"/>
            </w:pPr>
            <w:r>
              <w:t>GB 31644-2018</w:t>
            </w:r>
            <w:r>
              <w:rPr>
                <w:rFonts w:hint="eastAsia"/>
              </w:rPr>
              <w:t>中3.2条</w:t>
            </w:r>
          </w:p>
        </w:tc>
      </w:tr>
      <w:tr w14:paraId="56A74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3D80A0A3">
            <w:pPr>
              <w:pStyle w:val="178"/>
            </w:pPr>
            <w:r>
              <w:rPr>
                <w:rFonts w:hint="eastAsia"/>
              </w:rPr>
              <w:t>状态</w:t>
            </w:r>
          </w:p>
        </w:tc>
        <w:tc>
          <w:tcPr>
            <w:tcW w:w="3185" w:type="dxa"/>
            <w:shd w:val="clear" w:color="auto" w:fill="auto"/>
            <w:vAlign w:val="center"/>
          </w:tcPr>
          <w:p w14:paraId="0A9F5706">
            <w:pPr>
              <w:pStyle w:val="178"/>
            </w:pPr>
            <w:r>
              <w:rPr>
                <w:rFonts w:hint="eastAsia"/>
              </w:rPr>
              <w:t>半固态，，无霉变，无正常视力可见的外来杂质</w:t>
            </w:r>
          </w:p>
        </w:tc>
        <w:tc>
          <w:tcPr>
            <w:tcW w:w="3185" w:type="dxa"/>
            <w:vMerge w:val="continue"/>
            <w:shd w:val="clear" w:color="auto" w:fill="auto"/>
            <w:vAlign w:val="center"/>
          </w:tcPr>
          <w:p w14:paraId="1DDA3170">
            <w:pPr>
              <w:pStyle w:val="178"/>
            </w:pPr>
          </w:p>
        </w:tc>
      </w:tr>
      <w:tr w14:paraId="080CD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6A8C237B">
            <w:pPr>
              <w:pStyle w:val="178"/>
            </w:pPr>
            <w:r>
              <w:rPr>
                <w:rFonts w:hint="eastAsia"/>
              </w:rPr>
              <w:t>滋味、气味</w:t>
            </w:r>
          </w:p>
        </w:tc>
        <w:tc>
          <w:tcPr>
            <w:tcW w:w="3185" w:type="dxa"/>
            <w:shd w:val="clear" w:color="auto" w:fill="auto"/>
            <w:vAlign w:val="center"/>
          </w:tcPr>
          <w:p w14:paraId="1D3A0A2A">
            <w:pPr>
              <w:pStyle w:val="178"/>
            </w:pPr>
            <w:r>
              <w:rPr>
                <w:rFonts w:hint="eastAsia"/>
              </w:rPr>
              <w:t>具有本产品品种固有的滋味和气味，无异味，无异嗅</w:t>
            </w:r>
          </w:p>
        </w:tc>
        <w:tc>
          <w:tcPr>
            <w:tcW w:w="3185" w:type="dxa"/>
            <w:vMerge w:val="continue"/>
            <w:shd w:val="clear" w:color="auto" w:fill="auto"/>
            <w:vAlign w:val="center"/>
          </w:tcPr>
          <w:p w14:paraId="56A4B6FC">
            <w:pPr>
              <w:pStyle w:val="178"/>
            </w:pPr>
          </w:p>
        </w:tc>
      </w:tr>
    </w:tbl>
    <w:p w14:paraId="02BF298A">
      <w:pPr>
        <w:pStyle w:val="165"/>
      </w:pPr>
      <w:r>
        <w:rPr>
          <w:rFonts w:hint="eastAsia"/>
        </w:rPr>
        <w:t>液态调味料感官要求应符合表2的规定。</w:t>
      </w:r>
    </w:p>
    <w:p w14:paraId="5FC4CF8F">
      <w:pPr>
        <w:pStyle w:val="112"/>
        <w:spacing w:before="120" w:after="120"/>
      </w:pPr>
      <w:r>
        <w:rPr>
          <w:rFonts w:hint="eastAsia"/>
        </w:rPr>
        <w:t>液态调味料感官要求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43D3F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top w:val="single" w:color="auto" w:sz="8" w:space="0"/>
              <w:bottom w:val="single" w:color="auto" w:sz="8" w:space="0"/>
            </w:tcBorders>
            <w:shd w:val="clear" w:color="auto" w:fill="auto"/>
            <w:vAlign w:val="center"/>
          </w:tcPr>
          <w:p w14:paraId="701ADE07">
            <w:pPr>
              <w:pStyle w:val="178"/>
            </w:pPr>
            <w:r>
              <w:rPr>
                <w:rFonts w:hint="eastAsia"/>
              </w:rPr>
              <w:t>项目</w:t>
            </w:r>
          </w:p>
        </w:tc>
        <w:tc>
          <w:tcPr>
            <w:tcW w:w="3185" w:type="dxa"/>
            <w:tcBorders>
              <w:top w:val="single" w:color="auto" w:sz="8" w:space="0"/>
              <w:bottom w:val="single" w:color="auto" w:sz="8" w:space="0"/>
            </w:tcBorders>
            <w:shd w:val="clear" w:color="auto" w:fill="auto"/>
            <w:vAlign w:val="center"/>
          </w:tcPr>
          <w:p w14:paraId="51C49513">
            <w:pPr>
              <w:pStyle w:val="178"/>
            </w:pPr>
            <w:r>
              <w:rPr>
                <w:rFonts w:hint="eastAsia"/>
              </w:rPr>
              <w:t>指标</w:t>
            </w:r>
          </w:p>
        </w:tc>
        <w:tc>
          <w:tcPr>
            <w:tcW w:w="3185" w:type="dxa"/>
            <w:tcBorders>
              <w:top w:val="single" w:color="auto" w:sz="8" w:space="0"/>
              <w:bottom w:val="single" w:color="auto" w:sz="8" w:space="0"/>
            </w:tcBorders>
            <w:shd w:val="clear" w:color="auto" w:fill="auto"/>
            <w:vAlign w:val="center"/>
          </w:tcPr>
          <w:p w14:paraId="7D97CE58">
            <w:pPr>
              <w:pStyle w:val="178"/>
            </w:pPr>
            <w:r>
              <w:rPr>
                <w:rFonts w:hint="eastAsia"/>
              </w:rPr>
              <w:t>检验方法</w:t>
            </w:r>
          </w:p>
        </w:tc>
      </w:tr>
      <w:tr w14:paraId="75645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shd w:val="clear" w:color="auto" w:fill="auto"/>
            <w:vAlign w:val="center"/>
          </w:tcPr>
          <w:p w14:paraId="36514B14">
            <w:pPr>
              <w:pStyle w:val="178"/>
            </w:pPr>
            <w:r>
              <w:rPr>
                <w:rFonts w:hint="eastAsia"/>
              </w:rPr>
              <w:t>色泽</w:t>
            </w:r>
          </w:p>
        </w:tc>
        <w:tc>
          <w:tcPr>
            <w:tcW w:w="3185" w:type="dxa"/>
            <w:tcBorders>
              <w:top w:val="single" w:color="auto" w:sz="8" w:space="0"/>
            </w:tcBorders>
            <w:shd w:val="clear" w:color="auto" w:fill="auto"/>
            <w:vAlign w:val="center"/>
          </w:tcPr>
          <w:p w14:paraId="67B9FF73">
            <w:pPr>
              <w:pStyle w:val="178"/>
            </w:pPr>
            <w:r>
              <w:rPr>
                <w:rFonts w:hint="eastAsia"/>
              </w:rPr>
              <w:t>具有该产品固有的色泽</w:t>
            </w:r>
          </w:p>
        </w:tc>
        <w:tc>
          <w:tcPr>
            <w:tcW w:w="3185" w:type="dxa"/>
            <w:vMerge w:val="restart"/>
            <w:tcBorders>
              <w:top w:val="single" w:color="auto" w:sz="8" w:space="0"/>
            </w:tcBorders>
            <w:shd w:val="clear" w:color="auto" w:fill="auto"/>
            <w:vAlign w:val="center"/>
          </w:tcPr>
          <w:p w14:paraId="6589E007">
            <w:pPr>
              <w:pStyle w:val="178"/>
            </w:pPr>
            <w:r>
              <w:rPr>
                <w:rFonts w:hint="eastAsia"/>
              </w:rPr>
              <w:t>GB 31644-2018中3.2条</w:t>
            </w:r>
          </w:p>
        </w:tc>
      </w:tr>
      <w:tr w14:paraId="4B37C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24D2B96B">
            <w:pPr>
              <w:pStyle w:val="178"/>
            </w:pPr>
            <w:r>
              <w:rPr>
                <w:rFonts w:hint="eastAsia"/>
              </w:rPr>
              <w:t>状态</w:t>
            </w:r>
          </w:p>
        </w:tc>
        <w:tc>
          <w:tcPr>
            <w:tcW w:w="3185" w:type="dxa"/>
            <w:shd w:val="clear" w:color="auto" w:fill="auto"/>
            <w:vAlign w:val="center"/>
          </w:tcPr>
          <w:p w14:paraId="4320116B">
            <w:pPr>
              <w:pStyle w:val="178"/>
            </w:pPr>
            <w:r>
              <w:rPr>
                <w:rFonts w:hint="eastAsia"/>
              </w:rPr>
              <w:t>液态，无霉变，无正常视力可见的外来杂质</w:t>
            </w:r>
          </w:p>
        </w:tc>
        <w:tc>
          <w:tcPr>
            <w:tcW w:w="3185" w:type="dxa"/>
            <w:vMerge w:val="continue"/>
            <w:shd w:val="clear" w:color="auto" w:fill="auto"/>
            <w:vAlign w:val="center"/>
          </w:tcPr>
          <w:p w14:paraId="4048FDA7">
            <w:pPr>
              <w:pStyle w:val="178"/>
            </w:pPr>
          </w:p>
        </w:tc>
      </w:tr>
      <w:tr w14:paraId="43F82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364B9120">
            <w:pPr>
              <w:pStyle w:val="178"/>
            </w:pPr>
            <w:r>
              <w:rPr>
                <w:rFonts w:hint="eastAsia"/>
              </w:rPr>
              <w:t>滋味、气味</w:t>
            </w:r>
          </w:p>
        </w:tc>
        <w:tc>
          <w:tcPr>
            <w:tcW w:w="3185" w:type="dxa"/>
            <w:shd w:val="clear" w:color="auto" w:fill="auto"/>
            <w:vAlign w:val="center"/>
          </w:tcPr>
          <w:p w14:paraId="0C0B394B">
            <w:pPr>
              <w:pStyle w:val="178"/>
            </w:pPr>
            <w:r>
              <w:rPr>
                <w:rFonts w:hint="eastAsia"/>
              </w:rPr>
              <w:t>具有本产品品种固有的滋味和气味，无异味，无异嗅</w:t>
            </w:r>
          </w:p>
        </w:tc>
        <w:tc>
          <w:tcPr>
            <w:tcW w:w="3185" w:type="dxa"/>
            <w:vMerge w:val="continue"/>
            <w:shd w:val="clear" w:color="auto" w:fill="auto"/>
            <w:vAlign w:val="center"/>
          </w:tcPr>
          <w:p w14:paraId="25A19C5C">
            <w:pPr>
              <w:pStyle w:val="178"/>
            </w:pPr>
          </w:p>
        </w:tc>
      </w:tr>
    </w:tbl>
    <w:p w14:paraId="552165D8">
      <w:pPr>
        <w:pStyle w:val="105"/>
        <w:spacing w:before="120" w:after="120"/>
      </w:pPr>
      <w:r>
        <w:rPr>
          <w:rFonts w:hint="eastAsia"/>
        </w:rPr>
        <w:t>理化指标</w:t>
      </w:r>
    </w:p>
    <w:p w14:paraId="4744CE12">
      <w:pPr>
        <w:pStyle w:val="165"/>
      </w:pPr>
      <w:bookmarkStart w:id="43" w:name="_Hlk197518355"/>
      <w:r>
        <w:rPr>
          <w:rFonts w:hint="eastAsia"/>
        </w:rPr>
        <w:t>半固态调味料理化指标</w:t>
      </w:r>
      <w:bookmarkEnd w:id="43"/>
      <w:r>
        <w:rPr>
          <w:rFonts w:hint="eastAsia"/>
        </w:rPr>
        <w:t>应符合表3的规定。</w:t>
      </w:r>
    </w:p>
    <w:p w14:paraId="20EFCB12">
      <w:pPr>
        <w:pStyle w:val="112"/>
        <w:spacing w:before="120" w:after="120"/>
      </w:pPr>
      <w:r>
        <w:rPr>
          <w:rFonts w:hint="eastAsia"/>
        </w:rPr>
        <w:t>半固态调味料理化指标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3A1BA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top w:val="single" w:color="auto" w:sz="8" w:space="0"/>
              <w:bottom w:val="single" w:color="auto" w:sz="8" w:space="0"/>
            </w:tcBorders>
            <w:shd w:val="clear" w:color="auto" w:fill="auto"/>
            <w:vAlign w:val="center"/>
          </w:tcPr>
          <w:p w14:paraId="521C48FA">
            <w:pPr>
              <w:pStyle w:val="178"/>
            </w:pPr>
            <w:r>
              <w:rPr>
                <w:rFonts w:hint="eastAsia"/>
              </w:rPr>
              <w:t>项目</w:t>
            </w:r>
          </w:p>
        </w:tc>
        <w:tc>
          <w:tcPr>
            <w:tcW w:w="3185" w:type="dxa"/>
            <w:tcBorders>
              <w:top w:val="single" w:color="auto" w:sz="8" w:space="0"/>
              <w:bottom w:val="single" w:color="auto" w:sz="8" w:space="0"/>
            </w:tcBorders>
            <w:shd w:val="clear" w:color="auto" w:fill="auto"/>
            <w:vAlign w:val="center"/>
          </w:tcPr>
          <w:p w14:paraId="22288061">
            <w:pPr>
              <w:pStyle w:val="178"/>
            </w:pPr>
            <w:r>
              <w:rPr>
                <w:rFonts w:hint="eastAsia"/>
              </w:rPr>
              <w:t>指标</w:t>
            </w:r>
          </w:p>
        </w:tc>
        <w:tc>
          <w:tcPr>
            <w:tcW w:w="3185" w:type="dxa"/>
            <w:tcBorders>
              <w:top w:val="single" w:color="auto" w:sz="8" w:space="0"/>
              <w:bottom w:val="single" w:color="auto" w:sz="8" w:space="0"/>
            </w:tcBorders>
            <w:shd w:val="clear" w:color="auto" w:fill="auto"/>
            <w:vAlign w:val="center"/>
          </w:tcPr>
          <w:p w14:paraId="06D1CFC0">
            <w:pPr>
              <w:pStyle w:val="178"/>
            </w:pPr>
            <w:r>
              <w:rPr>
                <w:rFonts w:hint="eastAsia"/>
              </w:rPr>
              <w:t>检验方法</w:t>
            </w:r>
          </w:p>
        </w:tc>
      </w:tr>
      <w:tr w14:paraId="1B45E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3BF93249">
            <w:pPr>
              <w:pStyle w:val="178"/>
            </w:pPr>
            <w:r>
              <w:rPr>
                <w:rFonts w:hint="eastAsia"/>
              </w:rPr>
              <w:t>氨基酸态氮（以N计），g/100g</w:t>
            </w:r>
          </w:p>
        </w:tc>
        <w:tc>
          <w:tcPr>
            <w:tcW w:w="3185" w:type="dxa"/>
            <w:shd w:val="clear" w:color="auto" w:fill="auto"/>
            <w:vAlign w:val="center"/>
          </w:tcPr>
          <w:p w14:paraId="620AEDC3">
            <w:pPr>
              <w:pStyle w:val="178"/>
            </w:pPr>
            <w:r>
              <w:rPr>
                <w:rFonts w:hint="eastAsia"/>
              </w:rPr>
              <w:t>≥0.05</w:t>
            </w:r>
          </w:p>
        </w:tc>
        <w:tc>
          <w:tcPr>
            <w:tcW w:w="3185" w:type="dxa"/>
            <w:shd w:val="clear" w:color="auto" w:fill="auto"/>
            <w:vAlign w:val="center"/>
          </w:tcPr>
          <w:p w14:paraId="58504A79">
            <w:pPr>
              <w:pStyle w:val="178"/>
            </w:pPr>
            <w:r>
              <w:rPr>
                <w:rFonts w:hint="eastAsia"/>
              </w:rPr>
              <w:t>GB 5009.235-2016（第一法）</w:t>
            </w:r>
          </w:p>
        </w:tc>
      </w:tr>
      <w:tr w14:paraId="0D272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0CCE79A6">
            <w:pPr>
              <w:pStyle w:val="178"/>
            </w:pPr>
            <w:r>
              <w:rPr>
                <w:rFonts w:hint="eastAsia"/>
              </w:rPr>
              <w:t>氯化物（以NaCl计)，g/100g</w:t>
            </w:r>
          </w:p>
        </w:tc>
        <w:tc>
          <w:tcPr>
            <w:tcW w:w="3185" w:type="dxa"/>
            <w:shd w:val="clear" w:color="auto" w:fill="auto"/>
            <w:vAlign w:val="center"/>
          </w:tcPr>
          <w:p w14:paraId="681D924B">
            <w:pPr>
              <w:pStyle w:val="178"/>
            </w:pPr>
            <w:r>
              <w:rPr>
                <w:rFonts w:hint="eastAsia"/>
              </w:rPr>
              <w:t>≤15.0</w:t>
            </w:r>
          </w:p>
        </w:tc>
        <w:tc>
          <w:tcPr>
            <w:tcW w:w="3185" w:type="dxa"/>
            <w:shd w:val="clear" w:color="auto" w:fill="auto"/>
            <w:vAlign w:val="center"/>
          </w:tcPr>
          <w:p w14:paraId="518241E7">
            <w:pPr>
              <w:pStyle w:val="178"/>
            </w:pPr>
            <w:r>
              <w:t>GB 5009.</w:t>
            </w:r>
            <w:r>
              <w:rPr>
                <w:rFonts w:hint="eastAsia"/>
              </w:rPr>
              <w:t>44</w:t>
            </w:r>
            <w:r>
              <w:t>-2016</w:t>
            </w:r>
            <w:r>
              <w:rPr>
                <w:rFonts w:hint="eastAsia"/>
              </w:rPr>
              <w:t>（第三法）</w:t>
            </w:r>
          </w:p>
        </w:tc>
      </w:tr>
      <w:tr w14:paraId="36B09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76952042">
            <w:pPr>
              <w:pStyle w:val="178"/>
            </w:pPr>
            <w:r>
              <w:rPr>
                <w:rFonts w:hint="eastAsia"/>
              </w:rPr>
              <w:t>总固形物含量，g/100g</w:t>
            </w:r>
          </w:p>
        </w:tc>
        <w:tc>
          <w:tcPr>
            <w:tcW w:w="3185" w:type="dxa"/>
            <w:shd w:val="clear" w:color="auto" w:fill="auto"/>
            <w:vAlign w:val="center"/>
          </w:tcPr>
          <w:p w14:paraId="520369CE">
            <w:pPr>
              <w:pStyle w:val="178"/>
            </w:pPr>
            <w:r>
              <w:rPr>
                <w:rFonts w:hint="eastAsia"/>
              </w:rPr>
              <w:t>≥8.0</w:t>
            </w:r>
          </w:p>
        </w:tc>
        <w:tc>
          <w:tcPr>
            <w:tcW w:w="3185" w:type="dxa"/>
            <w:shd w:val="clear" w:color="auto" w:fill="auto"/>
            <w:vAlign w:val="center"/>
          </w:tcPr>
          <w:p w14:paraId="67FED7FA">
            <w:pPr>
              <w:pStyle w:val="178"/>
            </w:pPr>
            <w:r>
              <w:rPr>
                <w:rFonts w:hint="eastAsia"/>
              </w:rPr>
              <w:t>GB/T 10786</w:t>
            </w:r>
          </w:p>
        </w:tc>
      </w:tr>
    </w:tbl>
    <w:p w14:paraId="476BE897">
      <w:pPr>
        <w:pStyle w:val="165"/>
      </w:pPr>
      <w:r>
        <w:rPr>
          <w:rFonts w:hint="eastAsia"/>
        </w:rPr>
        <w:t>液态调味料理化指标应符合表4的规定。</w:t>
      </w:r>
    </w:p>
    <w:p w14:paraId="7F1079DF">
      <w:pPr>
        <w:pStyle w:val="112"/>
        <w:spacing w:before="120" w:after="120"/>
      </w:pPr>
      <w:r>
        <w:rPr>
          <w:rFonts w:hint="eastAsia"/>
        </w:rPr>
        <w:t>液态调味料理化指标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54B31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top w:val="single" w:color="auto" w:sz="8" w:space="0"/>
              <w:bottom w:val="single" w:color="auto" w:sz="8" w:space="0"/>
            </w:tcBorders>
            <w:shd w:val="clear" w:color="auto" w:fill="auto"/>
            <w:vAlign w:val="center"/>
          </w:tcPr>
          <w:p w14:paraId="6DA753AF">
            <w:pPr>
              <w:pStyle w:val="178"/>
            </w:pPr>
            <w:r>
              <w:rPr>
                <w:rFonts w:hint="eastAsia"/>
              </w:rPr>
              <w:t>项目</w:t>
            </w:r>
          </w:p>
        </w:tc>
        <w:tc>
          <w:tcPr>
            <w:tcW w:w="3185" w:type="dxa"/>
            <w:tcBorders>
              <w:top w:val="single" w:color="auto" w:sz="8" w:space="0"/>
              <w:bottom w:val="single" w:color="auto" w:sz="8" w:space="0"/>
            </w:tcBorders>
            <w:shd w:val="clear" w:color="auto" w:fill="auto"/>
            <w:vAlign w:val="center"/>
          </w:tcPr>
          <w:p w14:paraId="47424906">
            <w:pPr>
              <w:pStyle w:val="178"/>
            </w:pPr>
            <w:r>
              <w:rPr>
                <w:rFonts w:hint="eastAsia"/>
              </w:rPr>
              <w:t>指标</w:t>
            </w:r>
          </w:p>
        </w:tc>
        <w:tc>
          <w:tcPr>
            <w:tcW w:w="3185" w:type="dxa"/>
            <w:tcBorders>
              <w:top w:val="single" w:color="auto" w:sz="8" w:space="0"/>
              <w:bottom w:val="single" w:color="auto" w:sz="8" w:space="0"/>
            </w:tcBorders>
            <w:shd w:val="clear" w:color="auto" w:fill="auto"/>
            <w:vAlign w:val="center"/>
          </w:tcPr>
          <w:p w14:paraId="54F84D1C">
            <w:pPr>
              <w:pStyle w:val="178"/>
            </w:pPr>
            <w:r>
              <w:rPr>
                <w:rFonts w:hint="eastAsia"/>
              </w:rPr>
              <w:t>检验方法</w:t>
            </w:r>
          </w:p>
        </w:tc>
      </w:tr>
      <w:tr w14:paraId="136DC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shd w:val="clear" w:color="auto" w:fill="auto"/>
            <w:vAlign w:val="center"/>
          </w:tcPr>
          <w:p w14:paraId="75271AFD">
            <w:pPr>
              <w:pStyle w:val="178"/>
            </w:pPr>
            <w:r>
              <w:rPr>
                <w:rFonts w:hint="eastAsia"/>
              </w:rPr>
              <w:t>氨基酸态氮（以N计），g/100g</w:t>
            </w:r>
          </w:p>
        </w:tc>
        <w:tc>
          <w:tcPr>
            <w:tcW w:w="3185" w:type="dxa"/>
            <w:tcBorders>
              <w:top w:val="single" w:color="auto" w:sz="8" w:space="0"/>
            </w:tcBorders>
            <w:shd w:val="clear" w:color="auto" w:fill="auto"/>
            <w:vAlign w:val="center"/>
          </w:tcPr>
          <w:p w14:paraId="78435298">
            <w:pPr>
              <w:pStyle w:val="178"/>
            </w:pPr>
            <w:r>
              <w:rPr>
                <w:rFonts w:hint="eastAsia"/>
              </w:rPr>
              <w:t>≥0.05</w:t>
            </w:r>
          </w:p>
        </w:tc>
        <w:tc>
          <w:tcPr>
            <w:tcW w:w="3185" w:type="dxa"/>
            <w:tcBorders>
              <w:top w:val="single" w:color="auto" w:sz="8" w:space="0"/>
            </w:tcBorders>
            <w:shd w:val="clear" w:color="auto" w:fill="auto"/>
            <w:vAlign w:val="center"/>
          </w:tcPr>
          <w:p w14:paraId="49C486A2">
            <w:pPr>
              <w:pStyle w:val="178"/>
            </w:pPr>
            <w:r>
              <w:rPr>
                <w:rFonts w:hint="eastAsia"/>
              </w:rPr>
              <w:t>GB 5009.235-2016（第一法）</w:t>
            </w:r>
          </w:p>
        </w:tc>
      </w:tr>
      <w:tr w14:paraId="13A7F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7482C648">
            <w:pPr>
              <w:pStyle w:val="178"/>
            </w:pPr>
            <w:r>
              <w:rPr>
                <w:rFonts w:hint="eastAsia"/>
              </w:rPr>
              <w:t>氯化物（以NaCl计)，g/100g</w:t>
            </w:r>
          </w:p>
        </w:tc>
        <w:tc>
          <w:tcPr>
            <w:tcW w:w="3185" w:type="dxa"/>
            <w:shd w:val="clear" w:color="auto" w:fill="auto"/>
            <w:vAlign w:val="center"/>
          </w:tcPr>
          <w:p w14:paraId="57FDBF67">
            <w:pPr>
              <w:pStyle w:val="178"/>
            </w:pPr>
            <w:r>
              <w:rPr>
                <w:rFonts w:hint="eastAsia"/>
              </w:rPr>
              <w:t>≤15.0</w:t>
            </w:r>
          </w:p>
        </w:tc>
        <w:tc>
          <w:tcPr>
            <w:tcW w:w="3185" w:type="dxa"/>
            <w:shd w:val="clear" w:color="auto" w:fill="auto"/>
            <w:vAlign w:val="center"/>
          </w:tcPr>
          <w:p w14:paraId="3CA4A703">
            <w:pPr>
              <w:pStyle w:val="178"/>
            </w:pPr>
            <w:r>
              <w:t>GB 5009.</w:t>
            </w:r>
            <w:r>
              <w:rPr>
                <w:rFonts w:hint="eastAsia"/>
              </w:rPr>
              <w:t>44</w:t>
            </w:r>
            <w:r>
              <w:t>-2016</w:t>
            </w:r>
            <w:r>
              <w:rPr>
                <w:rFonts w:hint="eastAsia"/>
              </w:rPr>
              <w:t>（第三法）</w:t>
            </w:r>
          </w:p>
        </w:tc>
      </w:tr>
    </w:tbl>
    <w:p w14:paraId="157E3EB9">
      <w:pPr>
        <w:pStyle w:val="105"/>
        <w:spacing w:before="120" w:after="120"/>
      </w:pPr>
      <w:r>
        <w:rPr>
          <w:rFonts w:hint="eastAsia"/>
        </w:rPr>
        <w:t>污染物限量</w:t>
      </w:r>
    </w:p>
    <w:p w14:paraId="7969D116">
      <w:pPr>
        <w:pStyle w:val="56"/>
        <w:ind w:firstLine="420"/>
      </w:pPr>
      <w:r>
        <w:rPr>
          <w:rFonts w:hint="eastAsia"/>
        </w:rPr>
        <w:t>污染物限量应符合表5的规定。</w:t>
      </w:r>
    </w:p>
    <w:p w14:paraId="7AF8933E">
      <w:pPr>
        <w:pStyle w:val="112"/>
        <w:spacing w:before="120" w:after="120"/>
      </w:pPr>
      <w:r>
        <w:rPr>
          <w:rFonts w:hint="eastAsia"/>
        </w:rPr>
        <w:t>污染物限量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32274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top w:val="single" w:color="auto" w:sz="8" w:space="0"/>
              <w:bottom w:val="single" w:color="auto" w:sz="8" w:space="0"/>
            </w:tcBorders>
            <w:shd w:val="clear" w:color="auto" w:fill="auto"/>
            <w:vAlign w:val="center"/>
          </w:tcPr>
          <w:p w14:paraId="093D61FE">
            <w:pPr>
              <w:pStyle w:val="178"/>
            </w:pPr>
            <w:r>
              <w:rPr>
                <w:rFonts w:hint="eastAsia"/>
              </w:rPr>
              <w:t>项目</w:t>
            </w:r>
          </w:p>
        </w:tc>
        <w:tc>
          <w:tcPr>
            <w:tcW w:w="3185" w:type="dxa"/>
            <w:tcBorders>
              <w:top w:val="single" w:color="auto" w:sz="8" w:space="0"/>
              <w:bottom w:val="single" w:color="auto" w:sz="8" w:space="0"/>
            </w:tcBorders>
            <w:shd w:val="clear" w:color="auto" w:fill="auto"/>
            <w:vAlign w:val="center"/>
          </w:tcPr>
          <w:p w14:paraId="12E4F4B0">
            <w:pPr>
              <w:pStyle w:val="178"/>
            </w:pPr>
            <w:r>
              <w:rPr>
                <w:rFonts w:hint="eastAsia"/>
              </w:rPr>
              <w:t>指标</w:t>
            </w:r>
          </w:p>
        </w:tc>
        <w:tc>
          <w:tcPr>
            <w:tcW w:w="3185" w:type="dxa"/>
            <w:tcBorders>
              <w:top w:val="single" w:color="auto" w:sz="8" w:space="0"/>
              <w:bottom w:val="single" w:color="auto" w:sz="8" w:space="0"/>
            </w:tcBorders>
            <w:shd w:val="clear" w:color="auto" w:fill="auto"/>
            <w:vAlign w:val="center"/>
          </w:tcPr>
          <w:p w14:paraId="748BCC3E">
            <w:pPr>
              <w:pStyle w:val="178"/>
            </w:pPr>
            <w:r>
              <w:rPr>
                <w:rFonts w:hint="eastAsia"/>
              </w:rPr>
              <w:t>检验方法</w:t>
            </w:r>
          </w:p>
        </w:tc>
      </w:tr>
      <w:tr w14:paraId="107F4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shd w:val="clear" w:color="auto" w:fill="auto"/>
            <w:vAlign w:val="center"/>
          </w:tcPr>
          <w:p w14:paraId="287DCEB5">
            <w:pPr>
              <w:pStyle w:val="178"/>
            </w:pPr>
            <w:r>
              <w:rPr>
                <w:rFonts w:hint="eastAsia"/>
              </w:rPr>
              <w:t>无机砷（以As计），mg/kg</w:t>
            </w:r>
          </w:p>
        </w:tc>
        <w:tc>
          <w:tcPr>
            <w:tcW w:w="3185" w:type="dxa"/>
            <w:tcBorders>
              <w:top w:val="single" w:color="auto" w:sz="8" w:space="0"/>
            </w:tcBorders>
            <w:shd w:val="clear" w:color="auto" w:fill="auto"/>
            <w:vAlign w:val="center"/>
          </w:tcPr>
          <w:p w14:paraId="7D6FB909">
            <w:pPr>
              <w:pStyle w:val="178"/>
            </w:pPr>
            <w:r>
              <w:rPr>
                <w:rFonts w:hint="eastAsia"/>
              </w:rPr>
              <w:t>≤0.1</w:t>
            </w:r>
          </w:p>
        </w:tc>
        <w:tc>
          <w:tcPr>
            <w:tcW w:w="3185" w:type="dxa"/>
            <w:tcBorders>
              <w:top w:val="single" w:color="auto" w:sz="8" w:space="0"/>
            </w:tcBorders>
            <w:shd w:val="clear" w:color="auto" w:fill="auto"/>
            <w:vAlign w:val="center"/>
          </w:tcPr>
          <w:p w14:paraId="421A92D1">
            <w:pPr>
              <w:pStyle w:val="178"/>
            </w:pPr>
            <w:r>
              <w:t>GB 5009.</w:t>
            </w:r>
            <w:r>
              <w:rPr>
                <w:rFonts w:hint="eastAsia"/>
              </w:rPr>
              <w:t>11</w:t>
            </w:r>
          </w:p>
        </w:tc>
      </w:tr>
      <w:tr w14:paraId="0D9F9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7D1B9C67">
            <w:pPr>
              <w:pStyle w:val="178"/>
            </w:pPr>
            <w:r>
              <w:rPr>
                <w:rFonts w:hint="eastAsia"/>
              </w:rPr>
              <w:t>铅（以Pb计），mg/kg</w:t>
            </w:r>
          </w:p>
        </w:tc>
        <w:tc>
          <w:tcPr>
            <w:tcW w:w="3185" w:type="dxa"/>
            <w:shd w:val="clear" w:color="auto" w:fill="auto"/>
            <w:vAlign w:val="center"/>
          </w:tcPr>
          <w:p w14:paraId="274C219E">
            <w:pPr>
              <w:pStyle w:val="178"/>
            </w:pPr>
            <w:r>
              <w:rPr>
                <w:rFonts w:hint="eastAsia"/>
              </w:rPr>
              <w:t>≤0.9</w:t>
            </w:r>
          </w:p>
        </w:tc>
        <w:tc>
          <w:tcPr>
            <w:tcW w:w="3185" w:type="dxa"/>
            <w:shd w:val="clear" w:color="auto" w:fill="auto"/>
            <w:vAlign w:val="center"/>
          </w:tcPr>
          <w:p w14:paraId="2EB26A2A">
            <w:pPr>
              <w:pStyle w:val="178"/>
            </w:pPr>
            <w:r>
              <w:t>GB 5009.1</w:t>
            </w:r>
            <w:r>
              <w:rPr>
                <w:rFonts w:hint="eastAsia"/>
              </w:rPr>
              <w:t>2</w:t>
            </w:r>
          </w:p>
        </w:tc>
      </w:tr>
    </w:tbl>
    <w:p w14:paraId="310FB327">
      <w:pPr>
        <w:pStyle w:val="105"/>
        <w:spacing w:before="120" w:after="120"/>
      </w:pPr>
      <w:r>
        <w:rPr>
          <w:rFonts w:hint="eastAsia"/>
        </w:rPr>
        <w:t>微生物限量</w:t>
      </w:r>
    </w:p>
    <w:p w14:paraId="3B3F8E34">
      <w:pPr>
        <w:pStyle w:val="56"/>
        <w:ind w:firstLine="420"/>
      </w:pPr>
      <w:r>
        <w:rPr>
          <w:rFonts w:hint="eastAsia"/>
        </w:rPr>
        <w:t>微生物限量应符合表6的规定。</w:t>
      </w:r>
    </w:p>
    <w:p w14:paraId="1EB4ED02">
      <w:pPr>
        <w:pStyle w:val="112"/>
        <w:spacing w:before="120" w:after="120"/>
      </w:pPr>
      <w:r>
        <w:rPr>
          <w:rFonts w:hint="eastAsia"/>
        </w:rPr>
        <w:t>微生物限量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085"/>
        <w:gridCol w:w="1071"/>
        <w:gridCol w:w="1071"/>
        <w:gridCol w:w="1071"/>
        <w:gridCol w:w="1071"/>
        <w:gridCol w:w="3185"/>
      </w:tblGrid>
      <w:tr w14:paraId="35655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4" w:hRule="atLeast"/>
          <w:tblHeader/>
          <w:jc w:val="center"/>
        </w:trPr>
        <w:tc>
          <w:tcPr>
            <w:tcW w:w="2085" w:type="dxa"/>
            <w:vMerge w:val="restart"/>
            <w:tcBorders>
              <w:top w:val="single" w:color="auto" w:sz="8" w:space="0"/>
            </w:tcBorders>
            <w:shd w:val="clear" w:color="auto" w:fill="auto"/>
            <w:vAlign w:val="center"/>
          </w:tcPr>
          <w:p w14:paraId="3B0AD431">
            <w:pPr>
              <w:pStyle w:val="178"/>
            </w:pPr>
            <w:r>
              <w:rPr>
                <w:rFonts w:hint="eastAsia"/>
              </w:rPr>
              <w:t>项目</w:t>
            </w:r>
          </w:p>
        </w:tc>
        <w:tc>
          <w:tcPr>
            <w:tcW w:w="4284" w:type="dxa"/>
            <w:gridSpan w:val="4"/>
            <w:tcBorders>
              <w:top w:val="single" w:color="auto" w:sz="8" w:space="0"/>
              <w:bottom w:val="single" w:color="auto" w:sz="8" w:space="0"/>
            </w:tcBorders>
            <w:shd w:val="clear" w:color="auto" w:fill="auto"/>
            <w:vAlign w:val="center"/>
          </w:tcPr>
          <w:p w14:paraId="297B2887">
            <w:pPr>
              <w:pStyle w:val="178"/>
            </w:pPr>
            <w:r>
              <w:rPr>
                <w:rFonts w:hint="eastAsia"/>
              </w:rPr>
              <w:t>采样方案及限量</w:t>
            </w:r>
          </w:p>
        </w:tc>
        <w:tc>
          <w:tcPr>
            <w:tcW w:w="3185" w:type="dxa"/>
            <w:vMerge w:val="restart"/>
            <w:tcBorders>
              <w:top w:val="single" w:color="auto" w:sz="8" w:space="0"/>
            </w:tcBorders>
            <w:shd w:val="clear" w:color="auto" w:fill="auto"/>
            <w:vAlign w:val="center"/>
          </w:tcPr>
          <w:p w14:paraId="74CE9CE1">
            <w:pPr>
              <w:pStyle w:val="178"/>
            </w:pPr>
            <w:r>
              <w:rPr>
                <w:rFonts w:hint="eastAsia"/>
              </w:rPr>
              <w:t>检验方法</w:t>
            </w:r>
          </w:p>
        </w:tc>
      </w:tr>
      <w:tr w14:paraId="07AC2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3" w:hRule="atLeast"/>
          <w:tblHeader/>
          <w:jc w:val="center"/>
        </w:trPr>
        <w:tc>
          <w:tcPr>
            <w:tcW w:w="2085" w:type="dxa"/>
            <w:vMerge w:val="continue"/>
            <w:shd w:val="clear" w:color="auto" w:fill="auto"/>
            <w:vAlign w:val="center"/>
          </w:tcPr>
          <w:p w14:paraId="4194AB4E">
            <w:pPr>
              <w:pStyle w:val="178"/>
            </w:pPr>
          </w:p>
        </w:tc>
        <w:tc>
          <w:tcPr>
            <w:tcW w:w="1071" w:type="dxa"/>
            <w:tcBorders>
              <w:top w:val="single" w:color="auto" w:sz="8" w:space="0"/>
              <w:bottom w:val="single" w:color="auto" w:sz="8" w:space="0"/>
            </w:tcBorders>
            <w:shd w:val="clear" w:color="auto" w:fill="auto"/>
            <w:vAlign w:val="center"/>
          </w:tcPr>
          <w:p w14:paraId="2B8DA388">
            <w:pPr>
              <w:pStyle w:val="178"/>
            </w:pPr>
            <w:r>
              <w:rPr>
                <w:rFonts w:hint="eastAsia"/>
              </w:rPr>
              <w:t>n</w:t>
            </w:r>
          </w:p>
        </w:tc>
        <w:tc>
          <w:tcPr>
            <w:tcW w:w="1071" w:type="dxa"/>
            <w:tcBorders>
              <w:top w:val="single" w:color="auto" w:sz="8" w:space="0"/>
              <w:bottom w:val="single" w:color="auto" w:sz="8" w:space="0"/>
            </w:tcBorders>
            <w:shd w:val="clear" w:color="auto" w:fill="auto"/>
            <w:vAlign w:val="center"/>
          </w:tcPr>
          <w:p w14:paraId="73C765F4">
            <w:pPr>
              <w:pStyle w:val="178"/>
            </w:pPr>
            <w:r>
              <w:rPr>
                <w:rFonts w:hint="eastAsia"/>
              </w:rPr>
              <w:t>c</w:t>
            </w:r>
          </w:p>
        </w:tc>
        <w:tc>
          <w:tcPr>
            <w:tcW w:w="1071" w:type="dxa"/>
            <w:tcBorders>
              <w:top w:val="single" w:color="auto" w:sz="8" w:space="0"/>
              <w:bottom w:val="single" w:color="auto" w:sz="8" w:space="0"/>
            </w:tcBorders>
            <w:shd w:val="clear" w:color="auto" w:fill="auto"/>
            <w:vAlign w:val="center"/>
          </w:tcPr>
          <w:p w14:paraId="439F41C5">
            <w:pPr>
              <w:pStyle w:val="178"/>
            </w:pPr>
            <w:r>
              <w:rPr>
                <w:rFonts w:hint="eastAsia"/>
              </w:rPr>
              <w:t>m</w:t>
            </w:r>
          </w:p>
        </w:tc>
        <w:tc>
          <w:tcPr>
            <w:tcW w:w="1071" w:type="dxa"/>
            <w:tcBorders>
              <w:top w:val="single" w:color="auto" w:sz="8" w:space="0"/>
              <w:bottom w:val="single" w:color="auto" w:sz="8" w:space="0"/>
            </w:tcBorders>
            <w:shd w:val="clear" w:color="auto" w:fill="auto"/>
            <w:vAlign w:val="center"/>
          </w:tcPr>
          <w:p w14:paraId="7F7C9BAF">
            <w:pPr>
              <w:pStyle w:val="178"/>
            </w:pPr>
            <w:r>
              <w:rPr>
                <w:rFonts w:hint="eastAsia"/>
              </w:rPr>
              <w:t>M</w:t>
            </w:r>
          </w:p>
        </w:tc>
        <w:tc>
          <w:tcPr>
            <w:tcW w:w="3185" w:type="dxa"/>
            <w:vMerge w:val="continue"/>
            <w:shd w:val="clear" w:color="auto" w:fill="auto"/>
            <w:vAlign w:val="center"/>
          </w:tcPr>
          <w:p w14:paraId="6A6D8C4C">
            <w:pPr>
              <w:pStyle w:val="178"/>
            </w:pPr>
          </w:p>
        </w:tc>
      </w:tr>
      <w:tr w14:paraId="460DC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2085" w:type="dxa"/>
            <w:tcBorders>
              <w:top w:val="single" w:color="auto" w:sz="8" w:space="0"/>
            </w:tcBorders>
            <w:shd w:val="clear" w:color="auto" w:fill="auto"/>
            <w:vAlign w:val="center"/>
          </w:tcPr>
          <w:p w14:paraId="0C7E9479">
            <w:pPr>
              <w:pStyle w:val="178"/>
            </w:pPr>
            <w:r>
              <w:rPr>
                <w:rFonts w:hint="eastAsia"/>
              </w:rPr>
              <w:t>菌落总数</w:t>
            </w:r>
          </w:p>
        </w:tc>
        <w:tc>
          <w:tcPr>
            <w:tcW w:w="1071" w:type="dxa"/>
            <w:tcBorders>
              <w:top w:val="single" w:color="auto" w:sz="8" w:space="0"/>
            </w:tcBorders>
            <w:shd w:val="clear" w:color="auto" w:fill="auto"/>
            <w:vAlign w:val="center"/>
          </w:tcPr>
          <w:p w14:paraId="73453B05">
            <w:pPr>
              <w:pStyle w:val="178"/>
            </w:pPr>
            <w:r>
              <w:rPr>
                <w:rFonts w:hint="eastAsia"/>
              </w:rPr>
              <w:t>5</w:t>
            </w:r>
          </w:p>
        </w:tc>
        <w:tc>
          <w:tcPr>
            <w:tcW w:w="1071" w:type="dxa"/>
            <w:tcBorders>
              <w:top w:val="single" w:color="auto" w:sz="8" w:space="0"/>
            </w:tcBorders>
            <w:shd w:val="clear" w:color="auto" w:fill="auto"/>
            <w:vAlign w:val="center"/>
          </w:tcPr>
          <w:p w14:paraId="41F614F2">
            <w:pPr>
              <w:pStyle w:val="178"/>
            </w:pPr>
            <w:r>
              <w:rPr>
                <w:rFonts w:hint="eastAsia"/>
              </w:rPr>
              <w:t>2</w:t>
            </w:r>
          </w:p>
        </w:tc>
        <w:tc>
          <w:tcPr>
            <w:tcW w:w="1071" w:type="dxa"/>
            <w:tcBorders>
              <w:top w:val="single" w:color="auto" w:sz="8" w:space="0"/>
            </w:tcBorders>
            <w:shd w:val="clear" w:color="auto" w:fill="auto"/>
            <w:vAlign w:val="center"/>
          </w:tcPr>
          <w:p w14:paraId="188E5192">
            <w:pPr>
              <w:pStyle w:val="178"/>
            </w:pPr>
            <w:r>
              <w:rPr>
                <w:rFonts w:hint="eastAsia"/>
              </w:rPr>
              <w:t>1000</w:t>
            </w:r>
          </w:p>
        </w:tc>
        <w:tc>
          <w:tcPr>
            <w:tcW w:w="1071" w:type="dxa"/>
            <w:tcBorders>
              <w:top w:val="single" w:color="auto" w:sz="8" w:space="0"/>
            </w:tcBorders>
            <w:shd w:val="clear" w:color="auto" w:fill="auto"/>
            <w:vAlign w:val="center"/>
          </w:tcPr>
          <w:p w14:paraId="6F129BC1">
            <w:pPr>
              <w:pStyle w:val="178"/>
            </w:pPr>
            <w:r>
              <w:rPr>
                <w:rFonts w:hint="eastAsia"/>
              </w:rPr>
              <w:t>10000</w:t>
            </w:r>
          </w:p>
        </w:tc>
        <w:tc>
          <w:tcPr>
            <w:tcW w:w="3185" w:type="dxa"/>
            <w:tcBorders>
              <w:top w:val="single" w:color="auto" w:sz="8" w:space="0"/>
            </w:tcBorders>
            <w:shd w:val="clear" w:color="auto" w:fill="auto"/>
            <w:vAlign w:val="center"/>
          </w:tcPr>
          <w:p w14:paraId="37EE24FD">
            <w:pPr>
              <w:pStyle w:val="178"/>
            </w:pPr>
            <w:r>
              <w:t>GB 4789.</w:t>
            </w:r>
            <w:r>
              <w:rPr>
                <w:rFonts w:hint="eastAsia"/>
              </w:rPr>
              <w:t>2</w:t>
            </w:r>
          </w:p>
        </w:tc>
      </w:tr>
      <w:tr w14:paraId="3A1D5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2085" w:type="dxa"/>
            <w:tcBorders>
              <w:top w:val="single" w:color="auto" w:sz="8" w:space="0"/>
            </w:tcBorders>
            <w:shd w:val="clear" w:color="auto" w:fill="auto"/>
            <w:vAlign w:val="center"/>
          </w:tcPr>
          <w:p w14:paraId="1A2688ED">
            <w:pPr>
              <w:pStyle w:val="178"/>
            </w:pPr>
            <w:r>
              <w:rPr>
                <w:rFonts w:hint="eastAsia"/>
              </w:rPr>
              <w:t>大肠菌群</w:t>
            </w:r>
          </w:p>
        </w:tc>
        <w:tc>
          <w:tcPr>
            <w:tcW w:w="1071" w:type="dxa"/>
            <w:tcBorders>
              <w:bottom w:val="single" w:color="auto" w:sz="8" w:space="0"/>
            </w:tcBorders>
            <w:shd w:val="clear" w:color="auto" w:fill="auto"/>
            <w:vAlign w:val="center"/>
          </w:tcPr>
          <w:p w14:paraId="04A66314">
            <w:pPr>
              <w:pStyle w:val="178"/>
            </w:pPr>
            <w:r>
              <w:rPr>
                <w:rFonts w:hint="eastAsia"/>
              </w:rPr>
              <w:t>5</w:t>
            </w:r>
          </w:p>
        </w:tc>
        <w:tc>
          <w:tcPr>
            <w:tcW w:w="1071" w:type="dxa"/>
            <w:tcBorders>
              <w:bottom w:val="single" w:color="auto" w:sz="8" w:space="0"/>
            </w:tcBorders>
            <w:shd w:val="clear" w:color="auto" w:fill="auto"/>
            <w:vAlign w:val="center"/>
          </w:tcPr>
          <w:p w14:paraId="7E33BB0C">
            <w:pPr>
              <w:pStyle w:val="178"/>
            </w:pPr>
            <w:r>
              <w:rPr>
                <w:rFonts w:hint="eastAsia"/>
              </w:rPr>
              <w:t>2</w:t>
            </w:r>
          </w:p>
        </w:tc>
        <w:tc>
          <w:tcPr>
            <w:tcW w:w="1071" w:type="dxa"/>
            <w:tcBorders>
              <w:bottom w:val="single" w:color="auto" w:sz="8" w:space="0"/>
            </w:tcBorders>
            <w:shd w:val="clear" w:color="auto" w:fill="auto"/>
            <w:vAlign w:val="center"/>
          </w:tcPr>
          <w:p w14:paraId="219BB1D3">
            <w:pPr>
              <w:pStyle w:val="178"/>
            </w:pPr>
            <w:r>
              <w:rPr>
                <w:rFonts w:hint="eastAsia"/>
              </w:rPr>
              <w:t>10</w:t>
            </w:r>
          </w:p>
        </w:tc>
        <w:tc>
          <w:tcPr>
            <w:tcW w:w="1071" w:type="dxa"/>
            <w:tcBorders>
              <w:bottom w:val="single" w:color="auto" w:sz="8" w:space="0"/>
            </w:tcBorders>
            <w:shd w:val="clear" w:color="auto" w:fill="auto"/>
            <w:vAlign w:val="center"/>
          </w:tcPr>
          <w:p w14:paraId="535FB9A6">
            <w:pPr>
              <w:pStyle w:val="178"/>
            </w:pPr>
            <w:r>
              <w:rPr>
                <w:rFonts w:hint="eastAsia"/>
              </w:rPr>
              <w:t>100</w:t>
            </w:r>
          </w:p>
        </w:tc>
        <w:tc>
          <w:tcPr>
            <w:tcW w:w="3185" w:type="dxa"/>
            <w:tcBorders>
              <w:top w:val="single" w:color="auto" w:sz="8" w:space="0"/>
            </w:tcBorders>
            <w:shd w:val="clear" w:color="auto" w:fill="auto"/>
            <w:vAlign w:val="center"/>
          </w:tcPr>
          <w:p w14:paraId="1A61EF12">
            <w:pPr>
              <w:pStyle w:val="178"/>
            </w:pPr>
            <w:r>
              <w:t>GB 4789.</w:t>
            </w:r>
            <w:r>
              <w:rPr>
                <w:rFonts w:hint="eastAsia"/>
              </w:rPr>
              <w:t>3</w:t>
            </w:r>
          </w:p>
        </w:tc>
      </w:tr>
    </w:tbl>
    <w:p w14:paraId="4D55FFC4">
      <w:pPr>
        <w:pStyle w:val="105"/>
        <w:spacing w:before="120" w:after="120"/>
      </w:pPr>
      <w:r>
        <w:rPr>
          <w:rFonts w:hint="eastAsia"/>
        </w:rPr>
        <w:t>致病菌限量</w:t>
      </w:r>
    </w:p>
    <w:p w14:paraId="2D3F3C31">
      <w:pPr>
        <w:pStyle w:val="56"/>
        <w:ind w:firstLine="420"/>
      </w:pPr>
      <w:r>
        <w:rPr>
          <w:rFonts w:hint="eastAsia"/>
        </w:rPr>
        <w:t>致病菌限量应符合表7的规定。</w:t>
      </w:r>
    </w:p>
    <w:p w14:paraId="133CB5EC">
      <w:pPr>
        <w:pStyle w:val="112"/>
        <w:spacing w:before="120" w:after="120"/>
      </w:pPr>
      <w:r>
        <w:rPr>
          <w:rFonts w:hint="eastAsia"/>
        </w:rPr>
        <w:t>致病菌限量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085"/>
        <w:gridCol w:w="992"/>
        <w:gridCol w:w="1134"/>
        <w:gridCol w:w="1134"/>
        <w:gridCol w:w="1024"/>
        <w:gridCol w:w="3185"/>
      </w:tblGrid>
      <w:tr w14:paraId="579BA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2085" w:type="dxa"/>
            <w:vMerge w:val="restart"/>
            <w:tcBorders>
              <w:top w:val="single" w:color="auto" w:sz="8" w:space="0"/>
            </w:tcBorders>
            <w:shd w:val="clear" w:color="auto" w:fill="auto"/>
            <w:vAlign w:val="center"/>
          </w:tcPr>
          <w:p w14:paraId="54E3BCD5">
            <w:pPr>
              <w:pStyle w:val="178"/>
            </w:pPr>
            <w:r>
              <w:rPr>
                <w:rFonts w:hint="eastAsia"/>
              </w:rPr>
              <w:t>项目</w:t>
            </w:r>
          </w:p>
        </w:tc>
        <w:tc>
          <w:tcPr>
            <w:tcW w:w="4284" w:type="dxa"/>
            <w:gridSpan w:val="4"/>
            <w:tcBorders>
              <w:top w:val="single" w:color="auto" w:sz="8" w:space="0"/>
              <w:bottom w:val="single" w:color="auto" w:sz="8" w:space="0"/>
            </w:tcBorders>
            <w:shd w:val="clear" w:color="auto" w:fill="auto"/>
            <w:vAlign w:val="center"/>
          </w:tcPr>
          <w:p w14:paraId="3FD02BE5">
            <w:pPr>
              <w:pStyle w:val="178"/>
            </w:pPr>
            <w:r>
              <w:rPr>
                <w:rFonts w:hint="eastAsia"/>
              </w:rPr>
              <w:t>采样方案及限量(若非指定，均以/25g或/25mL表示)</w:t>
            </w:r>
          </w:p>
        </w:tc>
        <w:tc>
          <w:tcPr>
            <w:tcW w:w="3185" w:type="dxa"/>
            <w:vMerge w:val="restart"/>
            <w:tcBorders>
              <w:top w:val="single" w:color="auto" w:sz="8" w:space="0"/>
            </w:tcBorders>
            <w:shd w:val="clear" w:color="auto" w:fill="auto"/>
            <w:vAlign w:val="center"/>
          </w:tcPr>
          <w:p w14:paraId="3030B4FA">
            <w:pPr>
              <w:pStyle w:val="178"/>
            </w:pPr>
            <w:r>
              <w:rPr>
                <w:rFonts w:hint="eastAsia"/>
              </w:rPr>
              <w:t>检验方法</w:t>
            </w:r>
          </w:p>
        </w:tc>
      </w:tr>
      <w:tr w14:paraId="299D9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 w:hRule="atLeast"/>
          <w:tblHeader/>
          <w:jc w:val="center"/>
        </w:trPr>
        <w:tc>
          <w:tcPr>
            <w:tcW w:w="2085" w:type="dxa"/>
            <w:vMerge w:val="continue"/>
            <w:tcBorders>
              <w:bottom w:val="single" w:color="auto" w:sz="8" w:space="0"/>
            </w:tcBorders>
            <w:shd w:val="clear" w:color="auto" w:fill="auto"/>
            <w:vAlign w:val="center"/>
          </w:tcPr>
          <w:p w14:paraId="5D078C14">
            <w:pPr>
              <w:pStyle w:val="178"/>
            </w:pPr>
          </w:p>
        </w:tc>
        <w:tc>
          <w:tcPr>
            <w:tcW w:w="992" w:type="dxa"/>
            <w:tcBorders>
              <w:top w:val="single" w:color="auto" w:sz="8" w:space="0"/>
              <w:bottom w:val="single" w:color="auto" w:sz="8" w:space="0"/>
            </w:tcBorders>
            <w:shd w:val="clear" w:color="auto" w:fill="auto"/>
            <w:vAlign w:val="center"/>
          </w:tcPr>
          <w:p w14:paraId="6A02FE02">
            <w:pPr>
              <w:pStyle w:val="178"/>
            </w:pPr>
            <w:r>
              <w:rPr>
                <w:rFonts w:hint="eastAsia"/>
              </w:rPr>
              <w:t>n</w:t>
            </w:r>
          </w:p>
        </w:tc>
        <w:tc>
          <w:tcPr>
            <w:tcW w:w="1134" w:type="dxa"/>
            <w:tcBorders>
              <w:top w:val="single" w:color="auto" w:sz="8" w:space="0"/>
              <w:bottom w:val="single" w:color="auto" w:sz="8" w:space="0"/>
            </w:tcBorders>
            <w:shd w:val="clear" w:color="auto" w:fill="auto"/>
            <w:vAlign w:val="center"/>
          </w:tcPr>
          <w:p w14:paraId="0FD77316">
            <w:pPr>
              <w:pStyle w:val="178"/>
            </w:pPr>
            <w:r>
              <w:rPr>
                <w:rFonts w:hint="eastAsia"/>
              </w:rPr>
              <w:t>c</w:t>
            </w:r>
          </w:p>
        </w:tc>
        <w:tc>
          <w:tcPr>
            <w:tcW w:w="1134" w:type="dxa"/>
            <w:tcBorders>
              <w:top w:val="single" w:color="auto" w:sz="8" w:space="0"/>
              <w:bottom w:val="single" w:color="auto" w:sz="8" w:space="0"/>
            </w:tcBorders>
            <w:shd w:val="clear" w:color="auto" w:fill="auto"/>
            <w:vAlign w:val="center"/>
          </w:tcPr>
          <w:p w14:paraId="5766DD18">
            <w:pPr>
              <w:pStyle w:val="178"/>
            </w:pPr>
            <w:r>
              <w:rPr>
                <w:rFonts w:hint="eastAsia"/>
              </w:rPr>
              <w:t>m</w:t>
            </w:r>
          </w:p>
        </w:tc>
        <w:tc>
          <w:tcPr>
            <w:tcW w:w="1024" w:type="dxa"/>
            <w:tcBorders>
              <w:top w:val="single" w:color="auto" w:sz="8" w:space="0"/>
              <w:bottom w:val="single" w:color="auto" w:sz="8" w:space="0"/>
            </w:tcBorders>
            <w:shd w:val="clear" w:color="auto" w:fill="auto"/>
            <w:vAlign w:val="center"/>
          </w:tcPr>
          <w:p w14:paraId="0595CA77">
            <w:pPr>
              <w:pStyle w:val="178"/>
            </w:pPr>
            <w:r>
              <w:rPr>
                <w:rFonts w:hint="eastAsia"/>
              </w:rPr>
              <w:t>M</w:t>
            </w:r>
          </w:p>
        </w:tc>
        <w:tc>
          <w:tcPr>
            <w:tcW w:w="3185" w:type="dxa"/>
            <w:vMerge w:val="continue"/>
            <w:tcBorders>
              <w:bottom w:val="single" w:color="auto" w:sz="8" w:space="0"/>
            </w:tcBorders>
            <w:shd w:val="clear" w:color="auto" w:fill="auto"/>
            <w:vAlign w:val="center"/>
          </w:tcPr>
          <w:p w14:paraId="5E84D99F">
            <w:pPr>
              <w:pStyle w:val="178"/>
            </w:pPr>
          </w:p>
        </w:tc>
      </w:tr>
      <w:tr w14:paraId="30156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085" w:type="dxa"/>
            <w:tcBorders>
              <w:top w:val="single" w:color="auto" w:sz="8" w:space="0"/>
            </w:tcBorders>
            <w:shd w:val="clear" w:color="auto" w:fill="auto"/>
            <w:vAlign w:val="center"/>
          </w:tcPr>
          <w:p w14:paraId="09F8D9E2">
            <w:pPr>
              <w:pStyle w:val="178"/>
            </w:pPr>
            <w:r>
              <w:rPr>
                <w:rFonts w:hint="eastAsia"/>
              </w:rPr>
              <w:t>沙门氏菌</w:t>
            </w:r>
          </w:p>
        </w:tc>
        <w:tc>
          <w:tcPr>
            <w:tcW w:w="992" w:type="dxa"/>
            <w:tcBorders>
              <w:top w:val="single" w:color="auto" w:sz="8" w:space="0"/>
            </w:tcBorders>
            <w:shd w:val="clear" w:color="auto" w:fill="auto"/>
            <w:vAlign w:val="center"/>
          </w:tcPr>
          <w:p w14:paraId="53534BF9">
            <w:pPr>
              <w:pStyle w:val="178"/>
            </w:pPr>
            <w:r>
              <w:rPr>
                <w:rFonts w:hint="eastAsia"/>
              </w:rPr>
              <w:t>5</w:t>
            </w:r>
          </w:p>
        </w:tc>
        <w:tc>
          <w:tcPr>
            <w:tcW w:w="1134" w:type="dxa"/>
            <w:tcBorders>
              <w:top w:val="single" w:color="auto" w:sz="8" w:space="0"/>
            </w:tcBorders>
            <w:shd w:val="clear" w:color="auto" w:fill="auto"/>
            <w:vAlign w:val="center"/>
          </w:tcPr>
          <w:p w14:paraId="3D965F8E">
            <w:pPr>
              <w:pStyle w:val="178"/>
            </w:pPr>
            <w:r>
              <w:rPr>
                <w:rFonts w:hint="eastAsia"/>
              </w:rPr>
              <w:t>0</w:t>
            </w:r>
          </w:p>
        </w:tc>
        <w:tc>
          <w:tcPr>
            <w:tcW w:w="1134" w:type="dxa"/>
            <w:tcBorders>
              <w:top w:val="single" w:color="auto" w:sz="8" w:space="0"/>
            </w:tcBorders>
            <w:shd w:val="clear" w:color="auto" w:fill="auto"/>
            <w:vAlign w:val="center"/>
          </w:tcPr>
          <w:p w14:paraId="4CDCAB18">
            <w:pPr>
              <w:pStyle w:val="178"/>
            </w:pPr>
            <w:r>
              <w:rPr>
                <w:rFonts w:hint="eastAsia"/>
              </w:rPr>
              <w:t>0</w:t>
            </w:r>
          </w:p>
        </w:tc>
        <w:tc>
          <w:tcPr>
            <w:tcW w:w="1024" w:type="dxa"/>
            <w:tcBorders>
              <w:top w:val="single" w:color="auto" w:sz="8" w:space="0"/>
            </w:tcBorders>
            <w:shd w:val="clear" w:color="auto" w:fill="auto"/>
            <w:vAlign w:val="center"/>
          </w:tcPr>
          <w:p w14:paraId="2ACB64C8">
            <w:pPr>
              <w:pStyle w:val="178"/>
            </w:pPr>
            <w:r>
              <w:rPr>
                <w:rFonts w:hint="eastAsia"/>
              </w:rPr>
              <w:t>-</w:t>
            </w:r>
          </w:p>
        </w:tc>
        <w:tc>
          <w:tcPr>
            <w:tcW w:w="3185" w:type="dxa"/>
            <w:tcBorders>
              <w:top w:val="single" w:color="auto" w:sz="8" w:space="0"/>
            </w:tcBorders>
            <w:shd w:val="clear" w:color="auto" w:fill="auto"/>
            <w:vAlign w:val="center"/>
          </w:tcPr>
          <w:p w14:paraId="57E6108A">
            <w:pPr>
              <w:pStyle w:val="178"/>
            </w:pPr>
            <w:r>
              <w:t>GB 4789.4</w:t>
            </w:r>
          </w:p>
        </w:tc>
      </w:tr>
      <w:tr w14:paraId="4DFA4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085" w:type="dxa"/>
            <w:shd w:val="clear" w:color="auto" w:fill="auto"/>
            <w:vAlign w:val="center"/>
          </w:tcPr>
          <w:p w14:paraId="411E57A0">
            <w:pPr>
              <w:pStyle w:val="178"/>
            </w:pPr>
            <w:r>
              <w:rPr>
                <w:rFonts w:hint="eastAsia"/>
              </w:rPr>
              <w:t>金黄色葡萄球菌</w:t>
            </w:r>
          </w:p>
        </w:tc>
        <w:tc>
          <w:tcPr>
            <w:tcW w:w="992" w:type="dxa"/>
            <w:shd w:val="clear" w:color="auto" w:fill="auto"/>
            <w:vAlign w:val="center"/>
          </w:tcPr>
          <w:p w14:paraId="6EB50906">
            <w:pPr>
              <w:pStyle w:val="178"/>
            </w:pPr>
            <w:r>
              <w:rPr>
                <w:rFonts w:hint="eastAsia"/>
              </w:rPr>
              <w:t>5</w:t>
            </w:r>
          </w:p>
        </w:tc>
        <w:tc>
          <w:tcPr>
            <w:tcW w:w="1134" w:type="dxa"/>
            <w:shd w:val="clear" w:color="auto" w:fill="auto"/>
            <w:vAlign w:val="center"/>
          </w:tcPr>
          <w:p w14:paraId="32282A7C">
            <w:pPr>
              <w:pStyle w:val="178"/>
            </w:pPr>
            <w:r>
              <w:rPr>
                <w:rFonts w:hint="eastAsia"/>
              </w:rPr>
              <w:t>1</w:t>
            </w:r>
          </w:p>
        </w:tc>
        <w:tc>
          <w:tcPr>
            <w:tcW w:w="1134" w:type="dxa"/>
            <w:shd w:val="clear" w:color="auto" w:fill="auto"/>
            <w:vAlign w:val="center"/>
          </w:tcPr>
          <w:p w14:paraId="49F2A1E6">
            <w:pPr>
              <w:pStyle w:val="178"/>
            </w:pPr>
            <w:r>
              <w:rPr>
                <w:rFonts w:hint="eastAsia"/>
              </w:rPr>
              <w:t>100</w:t>
            </w:r>
          </w:p>
        </w:tc>
        <w:tc>
          <w:tcPr>
            <w:tcW w:w="1024" w:type="dxa"/>
            <w:shd w:val="clear" w:color="auto" w:fill="auto"/>
            <w:vAlign w:val="center"/>
          </w:tcPr>
          <w:p w14:paraId="441468AC">
            <w:pPr>
              <w:pStyle w:val="178"/>
            </w:pPr>
            <w:r>
              <w:rPr>
                <w:rFonts w:hint="eastAsia"/>
              </w:rPr>
              <w:t>1000</w:t>
            </w:r>
          </w:p>
        </w:tc>
        <w:tc>
          <w:tcPr>
            <w:tcW w:w="3185" w:type="dxa"/>
            <w:shd w:val="clear" w:color="auto" w:fill="auto"/>
            <w:vAlign w:val="center"/>
          </w:tcPr>
          <w:p w14:paraId="5E005644">
            <w:pPr>
              <w:pStyle w:val="178"/>
            </w:pPr>
            <w:r>
              <w:t>GB 4789.10</w:t>
            </w:r>
          </w:p>
        </w:tc>
      </w:tr>
      <w:tr w14:paraId="79836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6"/>
            <w:tcBorders>
              <w:top w:val="single" w:color="auto" w:sz="8" w:space="0"/>
              <w:bottom w:val="single" w:color="auto" w:sz="8" w:space="0"/>
            </w:tcBorders>
            <w:shd w:val="clear" w:color="auto" w:fill="auto"/>
            <w:vAlign w:val="center"/>
          </w:tcPr>
          <w:p w14:paraId="1637E61B">
            <w:pPr>
              <w:pStyle w:val="179"/>
            </w:pPr>
            <w:r>
              <w:rPr>
                <w:rFonts w:hint="eastAsia"/>
              </w:rPr>
              <w:t>样品的采集和处理按GB 4789.1执行。</w:t>
            </w:r>
          </w:p>
        </w:tc>
      </w:tr>
    </w:tbl>
    <w:p w14:paraId="02153562">
      <w:pPr>
        <w:pStyle w:val="105"/>
        <w:spacing w:before="120" w:after="120"/>
      </w:pPr>
      <w:r>
        <w:rPr>
          <w:rFonts w:hint="eastAsia"/>
        </w:rPr>
        <w:t>食品添加剂</w:t>
      </w:r>
    </w:p>
    <w:p w14:paraId="39B31404">
      <w:pPr>
        <w:pStyle w:val="56"/>
        <w:ind w:firstLine="420"/>
      </w:pPr>
      <w:r>
        <w:rPr>
          <w:rFonts w:hint="eastAsia"/>
        </w:rPr>
        <w:t>食品添加剂应符合GB 2760的规定。</w:t>
      </w:r>
    </w:p>
    <w:p w14:paraId="7FEC68F8">
      <w:pPr>
        <w:pStyle w:val="105"/>
        <w:spacing w:before="120" w:after="120"/>
      </w:pPr>
      <w:r>
        <w:rPr>
          <w:rFonts w:hint="eastAsia"/>
        </w:rPr>
        <w:t>净含量</w:t>
      </w:r>
    </w:p>
    <w:p w14:paraId="4223F485">
      <w:pPr>
        <w:pStyle w:val="56"/>
        <w:ind w:firstLine="420"/>
      </w:pPr>
      <w:r>
        <w:rPr>
          <w:rFonts w:hint="eastAsia"/>
        </w:rPr>
        <w:t>应符合定量包装商品计量监督管理办法（国家市场监督管理总局令第70号）的规定，并按JJF 1070的规定进行检验。</w:t>
      </w:r>
    </w:p>
    <w:p w14:paraId="7D6459AB">
      <w:pPr>
        <w:pStyle w:val="105"/>
        <w:spacing w:before="120" w:after="120"/>
      </w:pPr>
      <w:r>
        <w:rPr>
          <w:rFonts w:hint="eastAsia"/>
        </w:rPr>
        <w:t>生产加工过程的卫生要求</w:t>
      </w:r>
    </w:p>
    <w:p w14:paraId="5A2C9A95">
      <w:pPr>
        <w:pStyle w:val="56"/>
        <w:ind w:firstLine="420"/>
      </w:pPr>
      <w:r>
        <w:rPr>
          <w:rFonts w:hint="eastAsia"/>
        </w:rPr>
        <w:t>应符合GB 14881的规定。</w:t>
      </w:r>
    </w:p>
    <w:p w14:paraId="478227D3">
      <w:pPr>
        <w:pStyle w:val="104"/>
        <w:spacing w:before="240" w:after="240"/>
      </w:pPr>
      <w:r>
        <w:rPr>
          <w:rFonts w:hint="eastAsia"/>
        </w:rPr>
        <w:t>检验规则</w:t>
      </w:r>
    </w:p>
    <w:p w14:paraId="00FAE9BC">
      <w:pPr>
        <w:pStyle w:val="105"/>
        <w:spacing w:before="120" w:after="120"/>
      </w:pPr>
      <w:r>
        <w:rPr>
          <w:rFonts w:hint="eastAsia"/>
        </w:rPr>
        <w:t>检验分类</w:t>
      </w:r>
    </w:p>
    <w:p w14:paraId="0EBC4C6F">
      <w:pPr>
        <w:pStyle w:val="56"/>
        <w:ind w:firstLine="420"/>
      </w:pPr>
      <w:r>
        <w:rPr>
          <w:rFonts w:hint="eastAsia"/>
        </w:rPr>
        <w:t>检验分为出厂检验和型式检验。</w:t>
      </w:r>
    </w:p>
    <w:p w14:paraId="4C560F65">
      <w:pPr>
        <w:pStyle w:val="105"/>
        <w:spacing w:before="120" w:after="120"/>
      </w:pPr>
      <w:r>
        <w:rPr>
          <w:rFonts w:hint="eastAsia"/>
        </w:rPr>
        <w:t>组批</w:t>
      </w:r>
    </w:p>
    <w:p w14:paraId="086A7A92">
      <w:pPr>
        <w:pStyle w:val="56"/>
        <w:ind w:firstLine="420"/>
      </w:pPr>
      <w:r>
        <w:rPr>
          <w:rFonts w:hint="eastAsia"/>
        </w:rPr>
        <w:t>同一班次、同一批投料、同一品种、同一规格的产品为一批。</w:t>
      </w:r>
    </w:p>
    <w:p w14:paraId="77FB87E6">
      <w:pPr>
        <w:pStyle w:val="105"/>
        <w:spacing w:before="120" w:after="120"/>
      </w:pPr>
      <w:r>
        <w:rPr>
          <w:rFonts w:hint="eastAsia"/>
        </w:rPr>
        <w:t>抽样</w:t>
      </w:r>
    </w:p>
    <w:p w14:paraId="51831CFA">
      <w:pPr>
        <w:pStyle w:val="56"/>
        <w:ind w:firstLine="420"/>
      </w:pPr>
      <w:r>
        <w:rPr>
          <w:rFonts w:hint="eastAsia"/>
        </w:rPr>
        <w:t>从每批产品中随机抽取，抽样基数不少于200袋（瓶），抽样数量为12袋（瓶）。样品分成2份，一份用于检验，一份作为备用样品。</w:t>
      </w:r>
    </w:p>
    <w:p w14:paraId="7C291E43">
      <w:pPr>
        <w:pStyle w:val="105"/>
        <w:spacing w:before="120" w:after="120"/>
      </w:pPr>
      <w:r>
        <w:rPr>
          <w:rFonts w:hint="eastAsia"/>
        </w:rPr>
        <w:t>出厂检验</w:t>
      </w:r>
    </w:p>
    <w:p w14:paraId="6A741180">
      <w:pPr>
        <w:pStyle w:val="165"/>
      </w:pPr>
      <w:r>
        <w:rPr>
          <w:rFonts w:hint="eastAsia"/>
        </w:rPr>
        <w:t>每批产品出厂前，应由检验部门检验合格后方可出厂。</w:t>
      </w:r>
    </w:p>
    <w:p w14:paraId="569938FB">
      <w:pPr>
        <w:pStyle w:val="165"/>
      </w:pPr>
      <w:r>
        <w:rPr>
          <w:rFonts w:hint="eastAsia"/>
        </w:rPr>
        <w:t>半固态调味料的出厂检验的项目为感官要求、总固形物含量（限半固体调味料）、菌落总数、大肠菌群。</w:t>
      </w:r>
    </w:p>
    <w:p w14:paraId="321240F2">
      <w:pPr>
        <w:pStyle w:val="105"/>
        <w:spacing w:before="120" w:after="120"/>
      </w:pPr>
      <w:r>
        <w:rPr>
          <w:rFonts w:hint="eastAsia"/>
        </w:rPr>
        <w:t>型式检验</w:t>
      </w:r>
    </w:p>
    <w:p w14:paraId="6C582041">
      <w:pPr>
        <w:pStyle w:val="165"/>
      </w:pPr>
      <w:r>
        <w:rPr>
          <w:rFonts w:hint="eastAsia"/>
        </w:rPr>
        <w:t>正常生产时每年进行一次型式检验，有下列情况之一时，也应进行型式检验：</w:t>
      </w:r>
    </w:p>
    <w:p w14:paraId="0BDA4BB0">
      <w:pPr>
        <w:pStyle w:val="132"/>
      </w:pPr>
      <w:r>
        <w:rPr>
          <w:rFonts w:hint="eastAsia"/>
        </w:rPr>
        <w:t>新产品投产时；</w:t>
      </w:r>
    </w:p>
    <w:p w14:paraId="50964BF8">
      <w:pPr>
        <w:pStyle w:val="132"/>
      </w:pPr>
      <w:r>
        <w:rPr>
          <w:rFonts w:hint="eastAsia"/>
        </w:rPr>
        <w:t>连续停产三个月以上又恢复生产时；</w:t>
      </w:r>
    </w:p>
    <w:p w14:paraId="30ED494E">
      <w:pPr>
        <w:pStyle w:val="132"/>
      </w:pPr>
      <w:r>
        <w:rPr>
          <w:rFonts w:hint="eastAsia"/>
        </w:rPr>
        <w:t>原料或生产工艺出现大的变化时；</w:t>
      </w:r>
    </w:p>
    <w:p w14:paraId="1A21F182">
      <w:pPr>
        <w:pStyle w:val="132"/>
      </w:pPr>
      <w:r>
        <w:rPr>
          <w:rFonts w:hint="eastAsia"/>
        </w:rPr>
        <w:t>出厂检验结果与平常记录有较大差别时；</w:t>
      </w:r>
    </w:p>
    <w:p w14:paraId="233AB63C">
      <w:pPr>
        <w:pStyle w:val="132"/>
      </w:pPr>
      <w:r>
        <w:rPr>
          <w:rFonts w:hint="eastAsia"/>
        </w:rPr>
        <w:t>国家质量监督部门提出型式检验要求时。</w:t>
      </w:r>
    </w:p>
    <w:p w14:paraId="1E6DE381">
      <w:pPr>
        <w:pStyle w:val="165"/>
      </w:pPr>
      <w:r>
        <w:rPr>
          <w:rFonts w:hint="eastAsia"/>
        </w:rPr>
        <w:t>型式检验为本文件5.2条、5.3条、5.4条、5.5条、5.6条以及5.7条。</w:t>
      </w:r>
    </w:p>
    <w:p w14:paraId="78BD9F2E">
      <w:pPr>
        <w:pStyle w:val="105"/>
        <w:spacing w:before="120" w:after="120"/>
      </w:pPr>
      <w:r>
        <w:rPr>
          <w:rFonts w:hint="eastAsia"/>
        </w:rPr>
        <w:t>判定规则</w:t>
      </w:r>
    </w:p>
    <w:p w14:paraId="1D90A751">
      <w:pPr>
        <w:pStyle w:val="165"/>
      </w:pPr>
      <w:r>
        <w:rPr>
          <w:rFonts w:hint="eastAsia"/>
        </w:rPr>
        <w:t xml:space="preserve">检验结果全部项目符合本文件规定时，判该批产品为合格品。若有三项以上（含三项）不符合本文件，直接判定整批产品为不合格品。 </w:t>
      </w:r>
    </w:p>
    <w:p w14:paraId="516F8ECA">
      <w:pPr>
        <w:pStyle w:val="165"/>
      </w:pPr>
      <w:r>
        <w:rPr>
          <w:rFonts w:hint="eastAsia"/>
        </w:rPr>
        <w:t>微生物指标不合格时不得复检，直接判定该批产品不合格。</w:t>
      </w:r>
    </w:p>
    <w:p w14:paraId="3FC5B659">
      <w:pPr>
        <w:pStyle w:val="165"/>
      </w:pPr>
      <w:r>
        <w:rPr>
          <w:rFonts w:hint="eastAsia"/>
        </w:rPr>
        <w:t>除微生物指标外，检验结果中如有不符合本文件要求时，可从该批产品中加倍抽样进行复检，以复检结果为准。若复检结果仍有一项不符合本文件，否则判整批产品为不合格品。</w:t>
      </w:r>
    </w:p>
    <w:p w14:paraId="1EF13B71">
      <w:pPr>
        <w:pStyle w:val="104"/>
        <w:spacing w:before="240" w:after="240"/>
      </w:pPr>
      <w:r>
        <w:rPr>
          <w:rFonts w:hint="eastAsia"/>
        </w:rPr>
        <w:t>标志、包装、运输、贮存和保质期</w:t>
      </w:r>
    </w:p>
    <w:p w14:paraId="27821FFD">
      <w:pPr>
        <w:pStyle w:val="105"/>
        <w:spacing w:before="120" w:after="120"/>
      </w:pPr>
      <w:r>
        <w:rPr>
          <w:rFonts w:hint="eastAsia"/>
        </w:rPr>
        <w:t>标志</w:t>
      </w:r>
    </w:p>
    <w:p w14:paraId="3BB3CFC5">
      <w:pPr>
        <w:pStyle w:val="165"/>
      </w:pPr>
      <w:r>
        <w:rPr>
          <w:rFonts w:hint="eastAsia"/>
        </w:rPr>
        <w:t>产品包装物上应有明显标志，产品标签应符合GB 7718、GB 28050的规定，产品的外包装图示标志应符合GB/T 191的要求。</w:t>
      </w:r>
    </w:p>
    <w:p w14:paraId="026CA3CC">
      <w:pPr>
        <w:pStyle w:val="105"/>
        <w:spacing w:before="120" w:after="120"/>
      </w:pPr>
      <w:r>
        <w:rPr>
          <w:rFonts w:hint="eastAsia"/>
        </w:rPr>
        <w:t>包装</w:t>
      </w:r>
    </w:p>
    <w:p w14:paraId="1CD4880D">
      <w:pPr>
        <w:pStyle w:val="165"/>
      </w:pPr>
      <w:r>
        <w:rPr>
          <w:rFonts w:hint="eastAsia"/>
        </w:rPr>
        <w:t>内包装采用食品级塑料制品，应符合GB 4806.7的要求，包装应严密、不泄漏。</w:t>
      </w:r>
    </w:p>
    <w:p w14:paraId="20742462">
      <w:pPr>
        <w:pStyle w:val="165"/>
      </w:pPr>
      <w:r>
        <w:rPr>
          <w:rFonts w:hint="eastAsia"/>
        </w:rPr>
        <w:t>外包装用纸箱应符合GB/T 6543有关要求，封口胶带粘贴牢固、平整，并保证箱内产品完好。</w:t>
      </w:r>
    </w:p>
    <w:p w14:paraId="22A47CEC">
      <w:pPr>
        <w:pStyle w:val="105"/>
        <w:spacing w:before="120" w:after="120"/>
      </w:pPr>
      <w:r>
        <w:rPr>
          <w:rFonts w:hint="eastAsia"/>
        </w:rPr>
        <w:t>运输</w:t>
      </w:r>
    </w:p>
    <w:p w14:paraId="1B5941DA">
      <w:pPr>
        <w:pStyle w:val="56"/>
        <w:ind w:firstLine="420"/>
      </w:pPr>
      <w:r>
        <w:rPr>
          <w:rFonts w:hint="eastAsia"/>
        </w:rPr>
        <w:t>运输工具应清洁、卫生，禁止与有害物品混装、混运，搬运过程避免剧烈撞击，防止日晒、雨淋。</w:t>
      </w:r>
    </w:p>
    <w:p w14:paraId="4A40130C">
      <w:pPr>
        <w:pStyle w:val="105"/>
        <w:spacing w:before="120" w:after="120"/>
      </w:pPr>
      <w:r>
        <w:rPr>
          <w:rFonts w:hint="eastAsia"/>
        </w:rPr>
        <w:t>贮存</w:t>
      </w:r>
    </w:p>
    <w:p w14:paraId="17279ECF">
      <w:pPr>
        <w:pStyle w:val="56"/>
        <w:ind w:firstLine="420"/>
      </w:pPr>
      <w:r>
        <w:rPr>
          <w:rFonts w:hint="eastAsia"/>
        </w:rPr>
        <w:t>产品应贮存于阴凉、干燥、清洁、卫生、通风、无虫害、无鼠害的仓库中，不得与有毒、有害、易挥发、有异味的物品混贮。</w:t>
      </w:r>
    </w:p>
    <w:p w14:paraId="660430CE">
      <w:pPr>
        <w:pStyle w:val="105"/>
        <w:spacing w:before="120" w:after="120"/>
      </w:pPr>
      <w:r>
        <w:rPr>
          <w:rFonts w:hint="eastAsia"/>
        </w:rPr>
        <w:t>保质期</w:t>
      </w:r>
    </w:p>
    <w:p w14:paraId="686F7433">
      <w:pPr>
        <w:pStyle w:val="56"/>
        <w:ind w:firstLine="420"/>
      </w:pPr>
      <w:r>
        <w:rPr>
          <w:rFonts w:hint="eastAsia"/>
        </w:rPr>
        <w:t>在符合上述规定的运输、贮存的条件且包装完好，产品保质期为2个月。</w:t>
      </w:r>
    </w:p>
    <w:bookmarkEnd w:id="21"/>
    <w:p w14:paraId="419E1FFB">
      <w:pPr>
        <w:pStyle w:val="56"/>
        <w:ind w:firstLine="0" w:firstLineChars="0"/>
        <w:jc w:val="center"/>
      </w:pPr>
      <w:bookmarkStart w:id="44" w:name="BookMark8"/>
      <w:r>
        <w:drawing>
          <wp:inline distT="0" distB="0" distL="0" distR="0">
            <wp:extent cx="1485900" cy="317500"/>
            <wp:effectExtent l="0" t="0" r="0" b="0"/>
            <wp:docPr id="183937724" name="图片 3"/>
            <wp:cNvGraphicFramePr/>
            <a:graphic xmlns:a="http://schemas.openxmlformats.org/drawingml/2006/main">
              <a:graphicData uri="http://schemas.openxmlformats.org/drawingml/2006/picture">
                <pic:pic xmlns:pic="http://schemas.openxmlformats.org/drawingml/2006/picture">
                  <pic:nvPicPr>
                    <pic:cNvPr id="183937724" name="图片 3"/>
                    <pic:cNvPicPr/>
                  </pic:nvPicPr>
                  <pic:blipFill>
                    <a:blip r:embed="rId20">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7673">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726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8FB7">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2E0E">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E02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FD7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FB60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984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7C7B">
    <w:pPr>
      <w:pStyle w:val="61"/>
    </w:pPr>
    <w:r>
      <w:fldChar w:fldCharType="begin"/>
    </w:r>
    <w:r>
      <w:instrText xml:space="preserve"> STYLEREF  标准文件_文件编号  \* MERGEFORMAT </w:instrText>
    </w:r>
    <w:r>
      <w:fldChar w:fldCharType="separate"/>
    </w:r>
    <w:r>
      <w:t>T/CS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467A">
    <w:pPr>
      <w:pStyle w:val="62"/>
    </w:pPr>
    <w:r>
      <w:fldChar w:fldCharType="begin"/>
    </w:r>
    <w:r>
      <w:instrText xml:space="preserve"> STYLEREF  标准文件_文件编号 \* MERGEFORMAT </w:instrText>
    </w:r>
    <w:r>
      <w:fldChar w:fldCharType="separate"/>
    </w:r>
    <w: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B448">
    <w:pPr>
      <w:pStyle w:val="61"/>
    </w:pPr>
    <w:r>
      <w:fldChar w:fldCharType="begin"/>
    </w:r>
    <w:r>
      <w:instrText xml:space="preserve"> STYLEREF  标准文件_文件编号  \* MERGEFORMAT </w:instrText>
    </w:r>
    <w:r>
      <w:fldChar w:fldCharType="separate"/>
    </w:r>
    <w:r>
      <w:t>T/CS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2E25">
    <w:pPr>
      <w:pStyle w:val="62"/>
    </w:pPr>
    <w:r>
      <w:fldChar w:fldCharType="begin"/>
    </w:r>
    <w:r>
      <w:instrText xml:space="preserve"> STYLEREF  标准文件_文件编号 \* MERGEFORMAT </w:instrText>
    </w:r>
    <w:r>
      <w:fldChar w:fldCharType="separate"/>
    </w:r>
    <w:r>
      <w:t>T/CS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D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41D"/>
    <w:rsid w:val="000346A5"/>
    <w:rsid w:val="00035399"/>
    <w:rsid w:val="000359C3"/>
    <w:rsid w:val="00035A7D"/>
    <w:rsid w:val="00036179"/>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AAF"/>
    <w:rsid w:val="00090CA6"/>
    <w:rsid w:val="00092B8A"/>
    <w:rsid w:val="00092FB0"/>
    <w:rsid w:val="000934C5"/>
    <w:rsid w:val="00093D25"/>
    <w:rsid w:val="00093DAB"/>
    <w:rsid w:val="00094D73"/>
    <w:rsid w:val="00096D63"/>
    <w:rsid w:val="000A02B1"/>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3330"/>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441"/>
    <w:rsid w:val="00142969"/>
    <w:rsid w:val="001446C2"/>
    <w:rsid w:val="001457E7"/>
    <w:rsid w:val="00145D9D"/>
    <w:rsid w:val="00146388"/>
    <w:rsid w:val="001505D2"/>
    <w:rsid w:val="001529E5"/>
    <w:rsid w:val="00152FB3"/>
    <w:rsid w:val="00153C7E"/>
    <w:rsid w:val="00156B25"/>
    <w:rsid w:val="00156E1A"/>
    <w:rsid w:val="00157894"/>
    <w:rsid w:val="001579A8"/>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116"/>
    <w:rsid w:val="001C2C03"/>
    <w:rsid w:val="001C42F7"/>
    <w:rsid w:val="001C49E5"/>
    <w:rsid w:val="001C680C"/>
    <w:rsid w:val="001C7FEA"/>
    <w:rsid w:val="001D0499"/>
    <w:rsid w:val="001D0BBE"/>
    <w:rsid w:val="001D0ED4"/>
    <w:rsid w:val="001D212F"/>
    <w:rsid w:val="001D29D7"/>
    <w:rsid w:val="001D2DE7"/>
    <w:rsid w:val="001D411C"/>
    <w:rsid w:val="001D4216"/>
    <w:rsid w:val="001E1B6A"/>
    <w:rsid w:val="001E2484"/>
    <w:rsid w:val="001E3CC4"/>
    <w:rsid w:val="001E4882"/>
    <w:rsid w:val="001E73AB"/>
    <w:rsid w:val="001F092D"/>
    <w:rsid w:val="001F143A"/>
    <w:rsid w:val="001F1605"/>
    <w:rsid w:val="001F2508"/>
    <w:rsid w:val="001F4816"/>
    <w:rsid w:val="001F69B4"/>
    <w:rsid w:val="001F77C7"/>
    <w:rsid w:val="001F7925"/>
    <w:rsid w:val="00200183"/>
    <w:rsid w:val="00200333"/>
    <w:rsid w:val="0020107D"/>
    <w:rsid w:val="00202AA4"/>
    <w:rsid w:val="002031F7"/>
    <w:rsid w:val="00203D9E"/>
    <w:rsid w:val="002040E6"/>
    <w:rsid w:val="00204A02"/>
    <w:rsid w:val="0020527B"/>
    <w:rsid w:val="00205F2C"/>
    <w:rsid w:val="00210B15"/>
    <w:rsid w:val="002142EA"/>
    <w:rsid w:val="00215ADD"/>
    <w:rsid w:val="002204BB"/>
    <w:rsid w:val="00221B79"/>
    <w:rsid w:val="00221C6B"/>
    <w:rsid w:val="002253A1"/>
    <w:rsid w:val="00225CF8"/>
    <w:rsid w:val="0022794E"/>
    <w:rsid w:val="00227F9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866"/>
    <w:rsid w:val="00265CB7"/>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6FB0"/>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E2D"/>
    <w:rsid w:val="002D42B5"/>
    <w:rsid w:val="002D4F1A"/>
    <w:rsid w:val="002D6EC6"/>
    <w:rsid w:val="002D79AC"/>
    <w:rsid w:val="002E039D"/>
    <w:rsid w:val="002E4D5A"/>
    <w:rsid w:val="002E6326"/>
    <w:rsid w:val="002F30E0"/>
    <w:rsid w:val="002F35E4"/>
    <w:rsid w:val="002F3730"/>
    <w:rsid w:val="002F38E1"/>
    <w:rsid w:val="002F4B1F"/>
    <w:rsid w:val="002F7AF6"/>
    <w:rsid w:val="00300E63"/>
    <w:rsid w:val="00302F5F"/>
    <w:rsid w:val="0030441D"/>
    <w:rsid w:val="00305496"/>
    <w:rsid w:val="00306063"/>
    <w:rsid w:val="00313B85"/>
    <w:rsid w:val="00317988"/>
    <w:rsid w:val="003206F4"/>
    <w:rsid w:val="003221B4"/>
    <w:rsid w:val="0032258D"/>
    <w:rsid w:val="00322E62"/>
    <w:rsid w:val="00324D13"/>
    <w:rsid w:val="00324EDD"/>
    <w:rsid w:val="003331E4"/>
    <w:rsid w:val="00336C64"/>
    <w:rsid w:val="00337162"/>
    <w:rsid w:val="0034194F"/>
    <w:rsid w:val="00344601"/>
    <w:rsid w:val="00344605"/>
    <w:rsid w:val="003474AA"/>
    <w:rsid w:val="00350D1D"/>
    <w:rsid w:val="00352C83"/>
    <w:rsid w:val="00352F1A"/>
    <w:rsid w:val="00360E61"/>
    <w:rsid w:val="0036107C"/>
    <w:rsid w:val="003615D2"/>
    <w:rsid w:val="0036429C"/>
    <w:rsid w:val="00364A53"/>
    <w:rsid w:val="003654CB"/>
    <w:rsid w:val="00365AA9"/>
    <w:rsid w:val="00365F86"/>
    <w:rsid w:val="00365F87"/>
    <w:rsid w:val="00366E89"/>
    <w:rsid w:val="003705F4"/>
    <w:rsid w:val="00370D58"/>
    <w:rsid w:val="00371316"/>
    <w:rsid w:val="003725F2"/>
    <w:rsid w:val="00376713"/>
    <w:rsid w:val="003778EE"/>
    <w:rsid w:val="00381815"/>
    <w:rsid w:val="003819AF"/>
    <w:rsid w:val="003820E9"/>
    <w:rsid w:val="00382DE7"/>
    <w:rsid w:val="00384FFC"/>
    <w:rsid w:val="00386854"/>
    <w:rsid w:val="003872FC"/>
    <w:rsid w:val="00387ADC"/>
    <w:rsid w:val="00390020"/>
    <w:rsid w:val="003903D6"/>
    <w:rsid w:val="00390EE6"/>
    <w:rsid w:val="0039118F"/>
    <w:rsid w:val="00392AD7"/>
    <w:rsid w:val="003938D9"/>
    <w:rsid w:val="00394376"/>
    <w:rsid w:val="003943FF"/>
    <w:rsid w:val="003962DB"/>
    <w:rsid w:val="003974EB"/>
    <w:rsid w:val="00397CC5"/>
    <w:rsid w:val="003A11D1"/>
    <w:rsid w:val="003A1582"/>
    <w:rsid w:val="003A25B8"/>
    <w:rsid w:val="003A2D56"/>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65D"/>
    <w:rsid w:val="00405884"/>
    <w:rsid w:val="00407299"/>
    <w:rsid w:val="00407D39"/>
    <w:rsid w:val="0041477A"/>
    <w:rsid w:val="004167A3"/>
    <w:rsid w:val="0042550E"/>
    <w:rsid w:val="00432DAA"/>
    <w:rsid w:val="00434305"/>
    <w:rsid w:val="00435DF7"/>
    <w:rsid w:val="0043741A"/>
    <w:rsid w:val="0044083F"/>
    <w:rsid w:val="00441AE7"/>
    <w:rsid w:val="00445574"/>
    <w:rsid w:val="004461D1"/>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4A6"/>
    <w:rsid w:val="004C1FBC"/>
    <w:rsid w:val="004C25A2"/>
    <w:rsid w:val="004C3F1D"/>
    <w:rsid w:val="004C458D"/>
    <w:rsid w:val="004C7556"/>
    <w:rsid w:val="004C7E8B"/>
    <w:rsid w:val="004C7E9D"/>
    <w:rsid w:val="004C7F67"/>
    <w:rsid w:val="004D076D"/>
    <w:rsid w:val="004D0EF1"/>
    <w:rsid w:val="004D2253"/>
    <w:rsid w:val="004D4406"/>
    <w:rsid w:val="004D4984"/>
    <w:rsid w:val="004D7C42"/>
    <w:rsid w:val="004E0465"/>
    <w:rsid w:val="004E127B"/>
    <w:rsid w:val="004E1C0A"/>
    <w:rsid w:val="004E30C5"/>
    <w:rsid w:val="004E4AA5"/>
    <w:rsid w:val="004E4AEE"/>
    <w:rsid w:val="004E59E3"/>
    <w:rsid w:val="004E6173"/>
    <w:rsid w:val="004E67C0"/>
    <w:rsid w:val="004F391A"/>
    <w:rsid w:val="004F3CFB"/>
    <w:rsid w:val="004F41C7"/>
    <w:rsid w:val="004F6456"/>
    <w:rsid w:val="004F696E"/>
    <w:rsid w:val="004F6C71"/>
    <w:rsid w:val="00501012"/>
    <w:rsid w:val="00501139"/>
    <w:rsid w:val="0050363E"/>
    <w:rsid w:val="005039BC"/>
    <w:rsid w:val="005043BB"/>
    <w:rsid w:val="00504A3D"/>
    <w:rsid w:val="00505767"/>
    <w:rsid w:val="005073F0"/>
    <w:rsid w:val="00510A7B"/>
    <w:rsid w:val="00512AFC"/>
    <w:rsid w:val="00512F6E"/>
    <w:rsid w:val="00513038"/>
    <w:rsid w:val="00514174"/>
    <w:rsid w:val="00516088"/>
    <w:rsid w:val="00516B0B"/>
    <w:rsid w:val="00521824"/>
    <w:rsid w:val="005220EC"/>
    <w:rsid w:val="00523F95"/>
    <w:rsid w:val="00524D65"/>
    <w:rsid w:val="00525B16"/>
    <w:rsid w:val="00533D04"/>
    <w:rsid w:val="00534804"/>
    <w:rsid w:val="00534BDF"/>
    <w:rsid w:val="005354EA"/>
    <w:rsid w:val="0053585F"/>
    <w:rsid w:val="00535EC4"/>
    <w:rsid w:val="00535ED9"/>
    <w:rsid w:val="0053692B"/>
    <w:rsid w:val="00540CF6"/>
    <w:rsid w:val="00541853"/>
    <w:rsid w:val="00543BDA"/>
    <w:rsid w:val="005441CC"/>
    <w:rsid w:val="005479DA"/>
    <w:rsid w:val="00547BCC"/>
    <w:rsid w:val="0055001E"/>
    <w:rsid w:val="0055013B"/>
    <w:rsid w:val="00551F6F"/>
    <w:rsid w:val="00555044"/>
    <w:rsid w:val="00561475"/>
    <w:rsid w:val="00562308"/>
    <w:rsid w:val="0056487B"/>
    <w:rsid w:val="00564FB9"/>
    <w:rsid w:val="00572DD1"/>
    <w:rsid w:val="00573D9E"/>
    <w:rsid w:val="005801E3"/>
    <w:rsid w:val="00581802"/>
    <w:rsid w:val="005831BA"/>
    <w:rsid w:val="005836A8"/>
    <w:rsid w:val="0058409C"/>
    <w:rsid w:val="00584262"/>
    <w:rsid w:val="0058590E"/>
    <w:rsid w:val="005859B6"/>
    <w:rsid w:val="00586630"/>
    <w:rsid w:val="00587ADD"/>
    <w:rsid w:val="00593A49"/>
    <w:rsid w:val="005947B5"/>
    <w:rsid w:val="00596160"/>
    <w:rsid w:val="005966E2"/>
    <w:rsid w:val="00596A05"/>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7BA"/>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295"/>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694"/>
    <w:rsid w:val="00693962"/>
    <w:rsid w:val="00697EAC"/>
    <w:rsid w:val="006A07AA"/>
    <w:rsid w:val="006A25E5"/>
    <w:rsid w:val="006A2B46"/>
    <w:rsid w:val="006A336D"/>
    <w:rsid w:val="006A37B9"/>
    <w:rsid w:val="006B2672"/>
    <w:rsid w:val="006B54BF"/>
    <w:rsid w:val="006B5F44"/>
    <w:rsid w:val="006B5F90"/>
    <w:rsid w:val="006B62E4"/>
    <w:rsid w:val="006C1BBA"/>
    <w:rsid w:val="006C2079"/>
    <w:rsid w:val="006C3F20"/>
    <w:rsid w:val="006C5A62"/>
    <w:rsid w:val="006C5D68"/>
    <w:rsid w:val="006C6976"/>
    <w:rsid w:val="006C6DD0"/>
    <w:rsid w:val="006D04EA"/>
    <w:rsid w:val="006D16C4"/>
    <w:rsid w:val="006D2436"/>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377AF"/>
    <w:rsid w:val="0074165C"/>
    <w:rsid w:val="00742C35"/>
    <w:rsid w:val="007432CA"/>
    <w:rsid w:val="007439EB"/>
    <w:rsid w:val="00743CB4"/>
    <w:rsid w:val="00743F0A"/>
    <w:rsid w:val="007444E8"/>
    <w:rsid w:val="0074548E"/>
    <w:rsid w:val="00745773"/>
    <w:rsid w:val="00746800"/>
    <w:rsid w:val="00746ED8"/>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507"/>
    <w:rsid w:val="00783ECF"/>
    <w:rsid w:val="0078413A"/>
    <w:rsid w:val="007959E8"/>
    <w:rsid w:val="00795E9C"/>
    <w:rsid w:val="007A0521"/>
    <w:rsid w:val="007A2D14"/>
    <w:rsid w:val="007A2E12"/>
    <w:rsid w:val="007A3475"/>
    <w:rsid w:val="007A3696"/>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333"/>
    <w:rsid w:val="007D06C4"/>
    <w:rsid w:val="007D1352"/>
    <w:rsid w:val="007D2508"/>
    <w:rsid w:val="007D346A"/>
    <w:rsid w:val="007D49C1"/>
    <w:rsid w:val="007D4D8E"/>
    <w:rsid w:val="007D6518"/>
    <w:rsid w:val="007D76BD"/>
    <w:rsid w:val="007E0BF1"/>
    <w:rsid w:val="007E1E6B"/>
    <w:rsid w:val="007F0ED8"/>
    <w:rsid w:val="007F0F63"/>
    <w:rsid w:val="007F1700"/>
    <w:rsid w:val="007F348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1D7"/>
    <w:rsid w:val="008373D3"/>
    <w:rsid w:val="00840617"/>
    <w:rsid w:val="00840F84"/>
    <w:rsid w:val="00842A47"/>
    <w:rsid w:val="00843C13"/>
    <w:rsid w:val="00843DEF"/>
    <w:rsid w:val="008454F8"/>
    <w:rsid w:val="0085173A"/>
    <w:rsid w:val="008603CE"/>
    <w:rsid w:val="008620FC"/>
    <w:rsid w:val="008627A5"/>
    <w:rsid w:val="00862ABC"/>
    <w:rsid w:val="00863E05"/>
    <w:rsid w:val="00865ACA"/>
    <w:rsid w:val="00865D28"/>
    <w:rsid w:val="00865F85"/>
    <w:rsid w:val="00867C10"/>
    <w:rsid w:val="00870439"/>
    <w:rsid w:val="0087050D"/>
    <w:rsid w:val="00870DA1"/>
    <w:rsid w:val="00883F93"/>
    <w:rsid w:val="00884DB3"/>
    <w:rsid w:val="00885A9D"/>
    <w:rsid w:val="008864F6"/>
    <w:rsid w:val="00887E85"/>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11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30F"/>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1BA"/>
    <w:rsid w:val="009908A3"/>
    <w:rsid w:val="009911AF"/>
    <w:rsid w:val="00991875"/>
    <w:rsid w:val="00991F92"/>
    <w:rsid w:val="00992985"/>
    <w:rsid w:val="00993889"/>
    <w:rsid w:val="0099551B"/>
    <w:rsid w:val="009966D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D0C"/>
    <w:rsid w:val="009C3152"/>
    <w:rsid w:val="009C3257"/>
    <w:rsid w:val="009C4CFA"/>
    <w:rsid w:val="009C5070"/>
    <w:rsid w:val="009D112C"/>
    <w:rsid w:val="009D1385"/>
    <w:rsid w:val="009D34AC"/>
    <w:rsid w:val="009D47FA"/>
    <w:rsid w:val="009D4C5B"/>
    <w:rsid w:val="009D50D2"/>
    <w:rsid w:val="009D6BCA"/>
    <w:rsid w:val="009D7F69"/>
    <w:rsid w:val="009E0F62"/>
    <w:rsid w:val="009E1286"/>
    <w:rsid w:val="009E4A58"/>
    <w:rsid w:val="009E5A2D"/>
    <w:rsid w:val="009E5AB2"/>
    <w:rsid w:val="009E6219"/>
    <w:rsid w:val="009F03B3"/>
    <w:rsid w:val="00A0096C"/>
    <w:rsid w:val="00A01757"/>
    <w:rsid w:val="00A028C0"/>
    <w:rsid w:val="00A02BAE"/>
    <w:rsid w:val="00A03075"/>
    <w:rsid w:val="00A06A6B"/>
    <w:rsid w:val="00A07E47"/>
    <w:rsid w:val="00A109E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5E08"/>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302"/>
    <w:rsid w:val="00A6328A"/>
    <w:rsid w:val="00A648CD"/>
    <w:rsid w:val="00A6537A"/>
    <w:rsid w:val="00A67866"/>
    <w:rsid w:val="00A70B07"/>
    <w:rsid w:val="00A723F8"/>
    <w:rsid w:val="00A77529"/>
    <w:rsid w:val="00A77CCB"/>
    <w:rsid w:val="00A83D8D"/>
    <w:rsid w:val="00A8446B"/>
    <w:rsid w:val="00A8473F"/>
    <w:rsid w:val="00A862D6"/>
    <w:rsid w:val="00A86687"/>
    <w:rsid w:val="00A8715E"/>
    <w:rsid w:val="00A90BE9"/>
    <w:rsid w:val="00A90F10"/>
    <w:rsid w:val="00A9295B"/>
    <w:rsid w:val="00A93B09"/>
    <w:rsid w:val="00A952D7"/>
    <w:rsid w:val="00A963F7"/>
    <w:rsid w:val="00A96AD8"/>
    <w:rsid w:val="00AA052C"/>
    <w:rsid w:val="00AA1E45"/>
    <w:rsid w:val="00AA4286"/>
    <w:rsid w:val="00AA456B"/>
    <w:rsid w:val="00AA46DD"/>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698"/>
    <w:rsid w:val="00AE070A"/>
    <w:rsid w:val="00AE0A5B"/>
    <w:rsid w:val="00AE101C"/>
    <w:rsid w:val="00AE2A69"/>
    <w:rsid w:val="00AE37E5"/>
    <w:rsid w:val="00AE5EB4"/>
    <w:rsid w:val="00AF0C18"/>
    <w:rsid w:val="00AF47C5"/>
    <w:rsid w:val="00AF5398"/>
    <w:rsid w:val="00B049AF"/>
    <w:rsid w:val="00B07242"/>
    <w:rsid w:val="00B10534"/>
    <w:rsid w:val="00B10FAB"/>
    <w:rsid w:val="00B113DB"/>
    <w:rsid w:val="00B11B53"/>
    <w:rsid w:val="00B11D8A"/>
    <w:rsid w:val="00B12981"/>
    <w:rsid w:val="00B147DD"/>
    <w:rsid w:val="00B156FD"/>
    <w:rsid w:val="00B21F61"/>
    <w:rsid w:val="00B22C32"/>
    <w:rsid w:val="00B2359F"/>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323"/>
    <w:rsid w:val="00B703FD"/>
    <w:rsid w:val="00B72880"/>
    <w:rsid w:val="00B758BF"/>
    <w:rsid w:val="00B77EC8"/>
    <w:rsid w:val="00B81E69"/>
    <w:rsid w:val="00B827A6"/>
    <w:rsid w:val="00B831CE"/>
    <w:rsid w:val="00B86677"/>
    <w:rsid w:val="00B87131"/>
    <w:rsid w:val="00B939B1"/>
    <w:rsid w:val="00B96D40"/>
    <w:rsid w:val="00B97386"/>
    <w:rsid w:val="00BA263B"/>
    <w:rsid w:val="00BA3BF7"/>
    <w:rsid w:val="00BA42B2"/>
    <w:rsid w:val="00BA58D4"/>
    <w:rsid w:val="00BA5B9E"/>
    <w:rsid w:val="00BA7C9A"/>
    <w:rsid w:val="00BB5F8F"/>
    <w:rsid w:val="00BB657A"/>
    <w:rsid w:val="00BC1A4E"/>
    <w:rsid w:val="00BC5151"/>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A40"/>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5FE"/>
    <w:rsid w:val="00C80CB8"/>
    <w:rsid w:val="00C819F8"/>
    <w:rsid w:val="00C8248C"/>
    <w:rsid w:val="00C84E33"/>
    <w:rsid w:val="00C86D6F"/>
    <w:rsid w:val="00C870D8"/>
    <w:rsid w:val="00C905FC"/>
    <w:rsid w:val="00C92D03"/>
    <w:rsid w:val="00C9319C"/>
    <w:rsid w:val="00C9435D"/>
    <w:rsid w:val="00C94DF2"/>
    <w:rsid w:val="00C9651A"/>
    <w:rsid w:val="00C96741"/>
    <w:rsid w:val="00CA2D1B"/>
    <w:rsid w:val="00CA375D"/>
    <w:rsid w:val="00CA662A"/>
    <w:rsid w:val="00CA7AFD"/>
    <w:rsid w:val="00CA7C3C"/>
    <w:rsid w:val="00CB0189"/>
    <w:rsid w:val="00CB0BA2"/>
    <w:rsid w:val="00CB1A42"/>
    <w:rsid w:val="00CB1B0C"/>
    <w:rsid w:val="00CB2310"/>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DA8"/>
    <w:rsid w:val="00D20737"/>
    <w:rsid w:val="00D219FE"/>
    <w:rsid w:val="00D21E81"/>
    <w:rsid w:val="00D223DE"/>
    <w:rsid w:val="00D25E37"/>
    <w:rsid w:val="00D2661A"/>
    <w:rsid w:val="00D27582"/>
    <w:rsid w:val="00D27EC4"/>
    <w:rsid w:val="00D32719"/>
    <w:rsid w:val="00D32BFB"/>
    <w:rsid w:val="00D33333"/>
    <w:rsid w:val="00D352A2"/>
    <w:rsid w:val="00D4162B"/>
    <w:rsid w:val="00D42083"/>
    <w:rsid w:val="00D4514F"/>
    <w:rsid w:val="00D451E2"/>
    <w:rsid w:val="00D45E89"/>
    <w:rsid w:val="00D45E8D"/>
    <w:rsid w:val="00D466AE"/>
    <w:rsid w:val="00D4734F"/>
    <w:rsid w:val="00D51805"/>
    <w:rsid w:val="00D51BF3"/>
    <w:rsid w:val="00D65C48"/>
    <w:rsid w:val="00D66846"/>
    <w:rsid w:val="00D675FB"/>
    <w:rsid w:val="00D71F25"/>
    <w:rsid w:val="00D72A9C"/>
    <w:rsid w:val="00D7440A"/>
    <w:rsid w:val="00D76CD9"/>
    <w:rsid w:val="00D77031"/>
    <w:rsid w:val="00D83F5F"/>
    <w:rsid w:val="00D84941"/>
    <w:rsid w:val="00D84FA1"/>
    <w:rsid w:val="00D851F0"/>
    <w:rsid w:val="00D86DB7"/>
    <w:rsid w:val="00D87BF5"/>
    <w:rsid w:val="00D90721"/>
    <w:rsid w:val="00D926D0"/>
    <w:rsid w:val="00D93030"/>
    <w:rsid w:val="00D950E1"/>
    <w:rsid w:val="00D952A6"/>
    <w:rsid w:val="00D95E0A"/>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ACA"/>
    <w:rsid w:val="00DC2134"/>
    <w:rsid w:val="00DC3067"/>
    <w:rsid w:val="00DC370B"/>
    <w:rsid w:val="00DC5B90"/>
    <w:rsid w:val="00DD00FF"/>
    <w:rsid w:val="00DD0619"/>
    <w:rsid w:val="00DD07FB"/>
    <w:rsid w:val="00DD25C6"/>
    <w:rsid w:val="00DD398B"/>
    <w:rsid w:val="00DD4FE5"/>
    <w:rsid w:val="00DD54B0"/>
    <w:rsid w:val="00DD57EE"/>
    <w:rsid w:val="00DD6BCC"/>
    <w:rsid w:val="00DE0A4B"/>
    <w:rsid w:val="00DE2410"/>
    <w:rsid w:val="00DE2939"/>
    <w:rsid w:val="00DE6586"/>
    <w:rsid w:val="00DE6E81"/>
    <w:rsid w:val="00DE703F"/>
    <w:rsid w:val="00DE7595"/>
    <w:rsid w:val="00DF048F"/>
    <w:rsid w:val="00DF1961"/>
    <w:rsid w:val="00DF44DE"/>
    <w:rsid w:val="00DF756C"/>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1FA"/>
    <w:rsid w:val="00E35D1E"/>
    <w:rsid w:val="00E364F9"/>
    <w:rsid w:val="00E365FA"/>
    <w:rsid w:val="00E36789"/>
    <w:rsid w:val="00E44A83"/>
    <w:rsid w:val="00E502C1"/>
    <w:rsid w:val="00E502DD"/>
    <w:rsid w:val="00E50ADA"/>
    <w:rsid w:val="00E50D3A"/>
    <w:rsid w:val="00E51387"/>
    <w:rsid w:val="00E51E68"/>
    <w:rsid w:val="00E52EFD"/>
    <w:rsid w:val="00E5408A"/>
    <w:rsid w:val="00E56800"/>
    <w:rsid w:val="00E57EE8"/>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75A"/>
    <w:rsid w:val="00E95D13"/>
    <w:rsid w:val="00E95DD3"/>
    <w:rsid w:val="00E969D5"/>
    <w:rsid w:val="00EA58D1"/>
    <w:rsid w:val="00EA61BC"/>
    <w:rsid w:val="00EA681A"/>
    <w:rsid w:val="00EA735B"/>
    <w:rsid w:val="00EB1099"/>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0652"/>
    <w:rsid w:val="00EF3235"/>
    <w:rsid w:val="00EF44B9"/>
    <w:rsid w:val="00EF7E72"/>
    <w:rsid w:val="00F06D37"/>
    <w:rsid w:val="00F06EF9"/>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39"/>
    <w:rsid w:val="00F45447"/>
    <w:rsid w:val="00F456C6"/>
    <w:rsid w:val="00F4577B"/>
    <w:rsid w:val="00F46496"/>
    <w:rsid w:val="00F474D0"/>
    <w:rsid w:val="00F47CF1"/>
    <w:rsid w:val="00F50179"/>
    <w:rsid w:val="00F515EE"/>
    <w:rsid w:val="00F51F89"/>
    <w:rsid w:val="00F56511"/>
    <w:rsid w:val="00F6194E"/>
    <w:rsid w:val="00F623AC"/>
    <w:rsid w:val="00F6412A"/>
    <w:rsid w:val="00F65893"/>
    <w:rsid w:val="00F66A4A"/>
    <w:rsid w:val="00F66A6D"/>
    <w:rsid w:val="00F71E22"/>
    <w:rsid w:val="00F72142"/>
    <w:rsid w:val="00F72AE7"/>
    <w:rsid w:val="00F74BB7"/>
    <w:rsid w:val="00F812E3"/>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F01"/>
    <w:rsid w:val="00FD00E6"/>
    <w:rsid w:val="00FD09A1"/>
    <w:rsid w:val="00FD2A7C"/>
    <w:rsid w:val="00FD59EB"/>
    <w:rsid w:val="00FD7299"/>
    <w:rsid w:val="00FE1FBE"/>
    <w:rsid w:val="00FE3901"/>
    <w:rsid w:val="00FE39D3"/>
    <w:rsid w:val="00FE3FAE"/>
    <w:rsid w:val="00FE4BCE"/>
    <w:rsid w:val="00FE54AE"/>
    <w:rsid w:val="00FE576A"/>
    <w:rsid w:val="00FE7E79"/>
    <w:rsid w:val="00FF1373"/>
    <w:rsid w:val="00FF3E7D"/>
    <w:rsid w:val="00FF5B99"/>
    <w:rsid w:val="00FF730C"/>
    <w:rsid w:val="00FF73F4"/>
    <w:rsid w:val="00FF7CE4"/>
    <w:rsid w:val="00FF7E39"/>
    <w:rsid w:val="08C74B18"/>
    <w:rsid w:val="11FD199C"/>
    <w:rsid w:val="29701552"/>
    <w:rsid w:val="4AE07D5B"/>
    <w:rsid w:val="6BA0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B0DCD5032845089BC283149F35BE2A"/>
        <w:style w:val=""/>
        <w:category>
          <w:name w:val="常规"/>
          <w:gallery w:val="placeholder"/>
        </w:category>
        <w:types>
          <w:type w:val="bbPlcHdr"/>
        </w:types>
        <w:behaviors>
          <w:behavior w:val="content"/>
        </w:behaviors>
        <w:description w:val=""/>
        <w:guid w:val="{5A1EF4A1-3A20-41B6-9CB5-3B8BFC1ACFF1}"/>
      </w:docPartPr>
      <w:docPartBody>
        <w:p w14:paraId="4EF275F9">
          <w:pPr>
            <w:pStyle w:val="5"/>
          </w:pPr>
          <w:r>
            <w:rPr>
              <w:rStyle w:val="4"/>
              <w:rFonts w:hint="eastAsia"/>
            </w:rPr>
            <w:t>单击或点击此处输入文字。</w:t>
          </w:r>
        </w:p>
      </w:docPartBody>
    </w:docPart>
    <w:docPart>
      <w:docPartPr>
        <w:name w:val="56EC0AA4041C4070A96D5D1EA78BF5F3"/>
        <w:style w:val=""/>
        <w:category>
          <w:name w:val="常规"/>
          <w:gallery w:val="placeholder"/>
        </w:category>
        <w:types>
          <w:type w:val="bbPlcHdr"/>
        </w:types>
        <w:behaviors>
          <w:behavior w:val="content"/>
        </w:behaviors>
        <w:description w:val=""/>
        <w:guid w:val="{3E77688C-F41E-4F10-A127-8416D50BAB31}"/>
      </w:docPartPr>
      <w:docPartBody>
        <w:p w14:paraId="38406A3A">
          <w:pPr>
            <w:pStyle w:val="6"/>
          </w:pPr>
          <w:r>
            <w:rPr>
              <w:rStyle w:val="4"/>
              <w:rFonts w:hint="eastAsia"/>
            </w:rPr>
            <w:t>选择一项。</w:t>
          </w:r>
        </w:p>
      </w:docPartBody>
    </w:docPart>
    <w:docPart>
      <w:docPartPr>
        <w:name w:val="EAF844F5239044378963083767721F4F"/>
        <w:style w:val=""/>
        <w:category>
          <w:name w:val="常规"/>
          <w:gallery w:val="placeholder"/>
        </w:category>
        <w:types>
          <w:type w:val="bbPlcHdr"/>
        </w:types>
        <w:behaviors>
          <w:behavior w:val="content"/>
        </w:behaviors>
        <w:description w:val=""/>
        <w:guid w:val="{50264456-05F8-40CE-91B2-FEE7C0271646}"/>
      </w:docPartPr>
      <w:docPartBody>
        <w:p w14:paraId="3457795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6D"/>
    <w:rsid w:val="000A3DC2"/>
    <w:rsid w:val="000D50E2"/>
    <w:rsid w:val="00153AB9"/>
    <w:rsid w:val="00204A02"/>
    <w:rsid w:val="00540CF6"/>
    <w:rsid w:val="005A04F2"/>
    <w:rsid w:val="007377AF"/>
    <w:rsid w:val="007A2D14"/>
    <w:rsid w:val="008341D7"/>
    <w:rsid w:val="008D211F"/>
    <w:rsid w:val="009D7F69"/>
    <w:rsid w:val="00AA46DD"/>
    <w:rsid w:val="00B81E69"/>
    <w:rsid w:val="00BA5EEA"/>
    <w:rsid w:val="00C04B6D"/>
    <w:rsid w:val="00C7224F"/>
    <w:rsid w:val="00D32BFB"/>
    <w:rsid w:val="00D7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3B0DCD5032845089BC283149F35BE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EC0AA4041C4070A96D5D1EA78BF5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AF844F5239044378963083767721F4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A5CD7-D491-477F-947E-3A4CA6A9A3F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2640</Words>
  <Characters>3207</Characters>
  <Lines>27</Lines>
  <Paragraphs>7</Paragraphs>
  <TotalTime>48</TotalTime>
  <ScaleCrop>false</ScaleCrop>
  <LinksUpToDate>false</LinksUpToDate>
  <CharactersWithSpaces>3337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2025-05-09T02:21:00Z</dcterms:created>
  <dc:creator>lenovo</dc:creator>
  <dc:description>&lt;config cover="true" show_menu="true" version="1.0.0" doctype="SDKXY"&gt;_x000d_
&lt;/config&gt;</dc:description>
  <cp:lastModifiedBy>吴赫川</cp:lastModifiedBy>
  <cp:lastPrinted>2021-02-02T08:22:00Z</cp:lastPrinted>
  <dcterms:modified xsi:type="dcterms:W3CDTF">2025-05-14T01:33:14Z</dcterms:modified>
  <dc:title>团体标准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eyJoZGlkIjoiNzVmZmRmOTYzZTI1ZTQ2YzMxYTcyNzA0NWQ5M2E5NTgiLCJ1c2VySWQiOiI0NjE0ODEyMzMifQ==</vt:lpwstr>
  </property>
  <property fmtid="{D5CDD505-2E9C-101B-9397-08002B2CF9AE}" pid="16" name="KSOProductBuildVer">
    <vt:lpwstr>2052-12.1.0.20784</vt:lpwstr>
  </property>
  <property fmtid="{D5CDD505-2E9C-101B-9397-08002B2CF9AE}" pid="17" name="ICV">
    <vt:lpwstr>5BF8A429B6B24835BC1E3F499D2F758B_12</vt:lpwstr>
  </property>
</Properties>
</file>