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F7F1B">
        <w:tc>
          <w:tcPr>
            <w:tcW w:w="509" w:type="dxa"/>
          </w:tcPr>
          <w:p w:rsidR="00CF7F1B" w:rsidRDefault="003856C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F7F1B" w:rsidRDefault="003856C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77.140.20</w:t>
            </w:r>
            <w:r>
              <w:rPr>
                <w:rFonts w:ascii="黑体" w:eastAsia="黑体" w:hAnsi="黑体"/>
                <w:sz w:val="21"/>
                <w:szCs w:val="21"/>
              </w:rPr>
              <w:fldChar w:fldCharType="end"/>
            </w:r>
            <w:bookmarkEnd w:id="0"/>
          </w:p>
        </w:tc>
      </w:tr>
      <w:tr w:rsidR="00CF7F1B">
        <w:tc>
          <w:tcPr>
            <w:tcW w:w="509" w:type="dxa"/>
          </w:tcPr>
          <w:p w:rsidR="00CF7F1B" w:rsidRDefault="003856C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F7F1B">
              <w:trPr>
                <w:trHeight w:hRule="exact" w:val="1021"/>
              </w:trPr>
              <w:tc>
                <w:tcPr>
                  <w:tcW w:w="9242" w:type="dxa"/>
                  <w:vAlign w:val="center"/>
                </w:tcPr>
                <w:p w:rsidR="00CF7F1B" w:rsidRDefault="003856C1" w:rsidP="00E84733">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CF7F1B" w:rsidRDefault="003856C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H 46</w:t>
            </w:r>
            <w:r>
              <w:rPr>
                <w:rFonts w:ascii="黑体" w:eastAsia="黑体" w:hAnsi="黑体"/>
                <w:sz w:val="21"/>
                <w:szCs w:val="21"/>
              </w:rPr>
              <w:fldChar w:fldCharType="end"/>
            </w:r>
            <w:bookmarkEnd w:id="2"/>
          </w:p>
        </w:tc>
      </w:tr>
    </w:tbl>
    <w:p w:rsidR="00CF7F1B" w:rsidRDefault="003856C1">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CF7F1B" w:rsidRDefault="003856C1">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CF7F1B" w:rsidRDefault="003856C1">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CF7F1B" w:rsidRDefault="003856C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F7F1B" w:rsidRDefault="00CF7F1B">
      <w:pPr>
        <w:pStyle w:val="affff9"/>
        <w:framePr w:w="9639" w:h="6976" w:hRule="exact" w:hSpace="0" w:vSpace="0" w:wrap="around" w:hAnchor="page" w:y="6408"/>
        <w:jc w:val="center"/>
        <w:rPr>
          <w:rFonts w:ascii="黑体" w:eastAsia="黑体" w:hAnsi="黑体"/>
          <w:b w:val="0"/>
          <w:bCs w:val="0"/>
          <w:w w:val="100"/>
        </w:rPr>
      </w:pPr>
    </w:p>
    <w:p w:rsidR="00CF7F1B" w:rsidRDefault="003856C1">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高精密冷轧不锈钢带生产工艺规范</w:t>
      </w:r>
      <w:r>
        <w:fldChar w:fldCharType="end"/>
      </w:r>
      <w:bookmarkEnd w:id="8"/>
    </w:p>
    <w:p w:rsidR="00CF7F1B" w:rsidRDefault="00CF7F1B">
      <w:pPr>
        <w:framePr w:w="9639" w:h="6974" w:hRule="exact" w:wrap="around" w:vAnchor="page" w:hAnchor="page" w:x="1419" w:y="6408" w:anchorLock="1"/>
        <w:ind w:left="-1418"/>
      </w:pPr>
    </w:p>
    <w:p w:rsidR="00CF7F1B" w:rsidRDefault="003856C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Production Process Specification for High-Precision Cold-Rolled Stainless Steel Strips</w:t>
      </w:r>
      <w:r>
        <w:rPr>
          <w:rFonts w:eastAsia="黑体"/>
          <w:szCs w:val="28"/>
        </w:rPr>
        <w:fldChar w:fldCharType="end"/>
      </w:r>
      <w:bookmarkEnd w:id="9"/>
    </w:p>
    <w:p w:rsidR="00CF7F1B" w:rsidRDefault="00CF7F1B">
      <w:pPr>
        <w:framePr w:w="9639" w:h="6974" w:hRule="exact" w:wrap="around" w:vAnchor="page" w:hAnchor="page" w:x="1419" w:y="6408" w:anchorLock="1"/>
        <w:spacing w:line="760" w:lineRule="exact"/>
        <w:ind w:left="-1418"/>
      </w:pPr>
    </w:p>
    <w:p w:rsidR="00CF7F1B" w:rsidRDefault="00CF7F1B">
      <w:pPr>
        <w:pStyle w:val="afffffff1"/>
        <w:framePr w:w="9639" w:h="6974" w:hRule="exact" w:wrap="around" w:vAnchor="page" w:hAnchor="page" w:x="1419" w:y="6408" w:anchorLock="1"/>
        <w:textAlignment w:val="bottom"/>
        <w:rPr>
          <w:rFonts w:eastAsia="黑体"/>
          <w:szCs w:val="28"/>
        </w:rPr>
      </w:pPr>
    </w:p>
    <w:bookmarkStart w:id="10" w:name="_GoBack"/>
    <w:p w:rsidR="00CF7F1B" w:rsidRDefault="003856C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E84733">
        <w:rPr>
          <w:sz w:val="24"/>
          <w:szCs w:val="28"/>
        </w:rPr>
      </w:r>
      <w:r>
        <w:rPr>
          <w:sz w:val="24"/>
          <w:szCs w:val="28"/>
        </w:rPr>
        <w:fldChar w:fldCharType="end"/>
      </w:r>
      <w:bookmarkEnd w:id="11"/>
      <w:bookmarkEnd w:id="10"/>
    </w:p>
    <w:p w:rsidR="00CF7F1B" w:rsidRDefault="003856C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CF7F1B" w:rsidRDefault="003856C1">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CF7F1B" w:rsidRDefault="003856C1">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CF7F1B" w:rsidRDefault="003856C1">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CF7F1B" w:rsidRDefault="003856C1">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CF7F1B" w:rsidRDefault="003856C1">
      <w:pPr>
        <w:rPr>
          <w:rFonts w:ascii="宋体" w:hAnsi="宋体"/>
          <w:sz w:val="28"/>
          <w:szCs w:val="28"/>
        </w:rPr>
        <w:sectPr w:rsidR="00CF7F1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3B147A" w:rsidRDefault="003B147A" w:rsidP="003B147A">
      <w:pPr>
        <w:pStyle w:val="affffff3"/>
        <w:spacing w:after="360"/>
      </w:pPr>
      <w:bookmarkStart w:id="21" w:name="BookMark1"/>
      <w:bookmarkStart w:id="22" w:name="_Toc197776928"/>
      <w:r w:rsidRPr="003B147A">
        <w:rPr>
          <w:rFonts w:hint="eastAsia"/>
          <w:spacing w:val="320"/>
        </w:rPr>
        <w:lastRenderedPageBreak/>
        <w:t>目</w:t>
      </w:r>
      <w:r>
        <w:rPr>
          <w:rFonts w:hint="eastAsia"/>
        </w:rPr>
        <w:t>次</w:t>
      </w:r>
    </w:p>
    <w:p w:rsidR="003B147A" w:rsidRPr="003B147A" w:rsidRDefault="003B147A">
      <w:pPr>
        <w:pStyle w:val="10"/>
        <w:tabs>
          <w:tab w:val="right" w:leader="dot" w:pos="9344"/>
        </w:tabs>
        <w:rPr>
          <w:rFonts w:asciiTheme="minorHAnsi" w:eastAsiaTheme="minorEastAsia" w:hAnsiTheme="minorHAnsi" w:cstheme="minorBidi"/>
          <w:noProof/>
          <w:szCs w:val="22"/>
        </w:rPr>
      </w:pPr>
      <w:r w:rsidRPr="003B147A">
        <w:fldChar w:fldCharType="begin"/>
      </w:r>
      <w:r w:rsidRPr="003B147A">
        <w:instrText xml:space="preserve"> TOC \o "1-1" \h </w:instrText>
      </w:r>
      <w:r w:rsidRPr="003B147A">
        <w:fldChar w:fldCharType="separate"/>
      </w:r>
      <w:hyperlink w:anchor="_Toc197778327" w:history="1">
        <w:r w:rsidRPr="003B147A">
          <w:rPr>
            <w:rStyle w:val="affff5"/>
            <w:rFonts w:hint="eastAsia"/>
            <w:noProof/>
          </w:rPr>
          <w:t>前言</w:t>
        </w:r>
        <w:r w:rsidRPr="003B147A">
          <w:rPr>
            <w:noProof/>
          </w:rPr>
          <w:tab/>
        </w:r>
        <w:r w:rsidRPr="003B147A">
          <w:rPr>
            <w:noProof/>
          </w:rPr>
          <w:fldChar w:fldCharType="begin"/>
        </w:r>
        <w:r w:rsidRPr="003B147A">
          <w:rPr>
            <w:noProof/>
          </w:rPr>
          <w:instrText xml:space="preserve"> PAGEREF _Toc197778327 \h </w:instrText>
        </w:r>
        <w:r w:rsidRPr="003B147A">
          <w:rPr>
            <w:noProof/>
          </w:rPr>
        </w:r>
        <w:r w:rsidRPr="003B147A">
          <w:rPr>
            <w:noProof/>
          </w:rPr>
          <w:fldChar w:fldCharType="separate"/>
        </w:r>
        <w:r w:rsidR="00A903D7">
          <w:rPr>
            <w:noProof/>
          </w:rPr>
          <w:t>II</w:t>
        </w:r>
        <w:r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28" w:history="1">
        <w:r w:rsidR="003B147A" w:rsidRPr="003B147A">
          <w:rPr>
            <w:rStyle w:val="affff5"/>
            <w:noProof/>
          </w:rPr>
          <w:t>1</w:t>
        </w:r>
        <w:r w:rsidR="003B147A">
          <w:rPr>
            <w:rStyle w:val="affff5"/>
            <w:noProof/>
          </w:rPr>
          <w:t xml:space="preserve"> </w:t>
        </w:r>
        <w:r w:rsidR="003B147A" w:rsidRPr="003B147A">
          <w:rPr>
            <w:rStyle w:val="affff5"/>
            <w:rFonts w:hint="eastAsia"/>
            <w:noProof/>
          </w:rPr>
          <w:t xml:space="preserve"> 范围</w:t>
        </w:r>
        <w:r w:rsidR="003B147A" w:rsidRPr="003B147A">
          <w:rPr>
            <w:noProof/>
          </w:rPr>
          <w:tab/>
        </w:r>
        <w:r w:rsidR="003B147A" w:rsidRPr="003B147A">
          <w:rPr>
            <w:noProof/>
          </w:rPr>
          <w:fldChar w:fldCharType="begin"/>
        </w:r>
        <w:r w:rsidR="003B147A" w:rsidRPr="003B147A">
          <w:rPr>
            <w:noProof/>
          </w:rPr>
          <w:instrText xml:space="preserve"> PAGEREF _Toc197778328 \h </w:instrText>
        </w:r>
        <w:r w:rsidR="003B147A" w:rsidRPr="003B147A">
          <w:rPr>
            <w:noProof/>
          </w:rPr>
        </w:r>
        <w:r w:rsidR="003B147A" w:rsidRPr="003B147A">
          <w:rPr>
            <w:noProof/>
          </w:rPr>
          <w:fldChar w:fldCharType="separate"/>
        </w:r>
        <w:r w:rsidR="00A903D7">
          <w:rPr>
            <w:noProof/>
          </w:rPr>
          <w:t>1</w:t>
        </w:r>
        <w:r w:rsidR="003B147A"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29" w:history="1">
        <w:r w:rsidR="003B147A" w:rsidRPr="003B147A">
          <w:rPr>
            <w:rStyle w:val="affff5"/>
            <w:noProof/>
          </w:rPr>
          <w:t>2</w:t>
        </w:r>
        <w:r w:rsidR="003B147A">
          <w:rPr>
            <w:rStyle w:val="affff5"/>
            <w:noProof/>
          </w:rPr>
          <w:t xml:space="preserve"> </w:t>
        </w:r>
        <w:r w:rsidR="003B147A" w:rsidRPr="003B147A">
          <w:rPr>
            <w:rStyle w:val="affff5"/>
            <w:rFonts w:hint="eastAsia"/>
            <w:noProof/>
          </w:rPr>
          <w:t xml:space="preserve"> 规范性引用文件</w:t>
        </w:r>
        <w:r w:rsidR="003B147A" w:rsidRPr="003B147A">
          <w:rPr>
            <w:noProof/>
          </w:rPr>
          <w:tab/>
        </w:r>
        <w:r w:rsidR="003B147A" w:rsidRPr="003B147A">
          <w:rPr>
            <w:noProof/>
          </w:rPr>
          <w:fldChar w:fldCharType="begin"/>
        </w:r>
        <w:r w:rsidR="003B147A" w:rsidRPr="003B147A">
          <w:rPr>
            <w:noProof/>
          </w:rPr>
          <w:instrText xml:space="preserve"> PAGEREF _Toc197778329 \h </w:instrText>
        </w:r>
        <w:r w:rsidR="003B147A" w:rsidRPr="003B147A">
          <w:rPr>
            <w:noProof/>
          </w:rPr>
        </w:r>
        <w:r w:rsidR="003B147A" w:rsidRPr="003B147A">
          <w:rPr>
            <w:noProof/>
          </w:rPr>
          <w:fldChar w:fldCharType="separate"/>
        </w:r>
        <w:r w:rsidR="00A903D7">
          <w:rPr>
            <w:noProof/>
          </w:rPr>
          <w:t>1</w:t>
        </w:r>
        <w:r w:rsidR="003B147A"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30" w:history="1">
        <w:r w:rsidR="003B147A" w:rsidRPr="003B147A">
          <w:rPr>
            <w:rStyle w:val="affff5"/>
            <w:noProof/>
          </w:rPr>
          <w:t>3</w:t>
        </w:r>
        <w:r w:rsidR="003B147A">
          <w:rPr>
            <w:rStyle w:val="affff5"/>
            <w:noProof/>
          </w:rPr>
          <w:t xml:space="preserve"> </w:t>
        </w:r>
        <w:r w:rsidR="003B147A" w:rsidRPr="003B147A">
          <w:rPr>
            <w:rStyle w:val="affff5"/>
            <w:rFonts w:hint="eastAsia"/>
            <w:noProof/>
          </w:rPr>
          <w:t xml:space="preserve"> 术语和定义</w:t>
        </w:r>
        <w:r w:rsidR="003B147A" w:rsidRPr="003B147A">
          <w:rPr>
            <w:noProof/>
          </w:rPr>
          <w:tab/>
        </w:r>
        <w:r w:rsidR="003B147A" w:rsidRPr="003B147A">
          <w:rPr>
            <w:noProof/>
          </w:rPr>
          <w:fldChar w:fldCharType="begin"/>
        </w:r>
        <w:r w:rsidR="003B147A" w:rsidRPr="003B147A">
          <w:rPr>
            <w:noProof/>
          </w:rPr>
          <w:instrText xml:space="preserve"> PAGEREF _Toc197778330 \h </w:instrText>
        </w:r>
        <w:r w:rsidR="003B147A" w:rsidRPr="003B147A">
          <w:rPr>
            <w:noProof/>
          </w:rPr>
        </w:r>
        <w:r w:rsidR="003B147A" w:rsidRPr="003B147A">
          <w:rPr>
            <w:noProof/>
          </w:rPr>
          <w:fldChar w:fldCharType="separate"/>
        </w:r>
        <w:r w:rsidR="00A903D7">
          <w:rPr>
            <w:noProof/>
          </w:rPr>
          <w:t>1</w:t>
        </w:r>
        <w:r w:rsidR="003B147A"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31" w:history="1">
        <w:r w:rsidR="003B147A" w:rsidRPr="003B147A">
          <w:rPr>
            <w:rStyle w:val="affff5"/>
            <w:noProof/>
          </w:rPr>
          <w:t>4</w:t>
        </w:r>
        <w:r w:rsidR="003B147A">
          <w:rPr>
            <w:rStyle w:val="affff5"/>
            <w:noProof/>
          </w:rPr>
          <w:t xml:space="preserve"> </w:t>
        </w:r>
        <w:r w:rsidR="003B147A" w:rsidRPr="003B147A">
          <w:rPr>
            <w:rStyle w:val="affff5"/>
            <w:rFonts w:hint="eastAsia"/>
            <w:noProof/>
          </w:rPr>
          <w:t xml:space="preserve"> 工厂建设</w:t>
        </w:r>
        <w:r w:rsidR="003B147A" w:rsidRPr="003B147A">
          <w:rPr>
            <w:noProof/>
          </w:rPr>
          <w:tab/>
        </w:r>
        <w:r w:rsidR="003B147A" w:rsidRPr="003B147A">
          <w:rPr>
            <w:noProof/>
          </w:rPr>
          <w:fldChar w:fldCharType="begin"/>
        </w:r>
        <w:r w:rsidR="003B147A" w:rsidRPr="003B147A">
          <w:rPr>
            <w:noProof/>
          </w:rPr>
          <w:instrText xml:space="preserve"> PAGEREF _Toc197778331 \h </w:instrText>
        </w:r>
        <w:r w:rsidR="003B147A" w:rsidRPr="003B147A">
          <w:rPr>
            <w:noProof/>
          </w:rPr>
        </w:r>
        <w:r w:rsidR="003B147A" w:rsidRPr="003B147A">
          <w:rPr>
            <w:noProof/>
          </w:rPr>
          <w:fldChar w:fldCharType="separate"/>
        </w:r>
        <w:r w:rsidR="00A903D7">
          <w:rPr>
            <w:noProof/>
          </w:rPr>
          <w:t>1</w:t>
        </w:r>
        <w:r w:rsidR="003B147A"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32" w:history="1">
        <w:r w:rsidR="003B147A" w:rsidRPr="003B147A">
          <w:rPr>
            <w:rStyle w:val="affff5"/>
            <w:noProof/>
          </w:rPr>
          <w:t>5</w:t>
        </w:r>
        <w:r w:rsidR="003B147A">
          <w:rPr>
            <w:rStyle w:val="affff5"/>
            <w:noProof/>
          </w:rPr>
          <w:t xml:space="preserve"> </w:t>
        </w:r>
        <w:r w:rsidR="003B147A" w:rsidRPr="003B147A">
          <w:rPr>
            <w:rStyle w:val="affff5"/>
            <w:rFonts w:hint="eastAsia"/>
            <w:noProof/>
          </w:rPr>
          <w:t xml:space="preserve"> 原料要求</w:t>
        </w:r>
        <w:r w:rsidR="003B147A" w:rsidRPr="003B147A">
          <w:rPr>
            <w:noProof/>
          </w:rPr>
          <w:tab/>
        </w:r>
        <w:r w:rsidR="003B147A" w:rsidRPr="003B147A">
          <w:rPr>
            <w:noProof/>
          </w:rPr>
          <w:fldChar w:fldCharType="begin"/>
        </w:r>
        <w:r w:rsidR="003B147A" w:rsidRPr="003B147A">
          <w:rPr>
            <w:noProof/>
          </w:rPr>
          <w:instrText xml:space="preserve"> PAGEREF _Toc197778332 \h </w:instrText>
        </w:r>
        <w:r w:rsidR="003B147A" w:rsidRPr="003B147A">
          <w:rPr>
            <w:noProof/>
          </w:rPr>
        </w:r>
        <w:r w:rsidR="003B147A" w:rsidRPr="003B147A">
          <w:rPr>
            <w:noProof/>
          </w:rPr>
          <w:fldChar w:fldCharType="separate"/>
        </w:r>
        <w:r w:rsidR="00A903D7">
          <w:rPr>
            <w:noProof/>
          </w:rPr>
          <w:t>2</w:t>
        </w:r>
        <w:r w:rsidR="003B147A"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33" w:history="1">
        <w:r w:rsidR="003B147A" w:rsidRPr="003B147A">
          <w:rPr>
            <w:rStyle w:val="affff5"/>
            <w:noProof/>
          </w:rPr>
          <w:t>6</w:t>
        </w:r>
        <w:r w:rsidR="003B147A">
          <w:rPr>
            <w:rStyle w:val="affff5"/>
            <w:noProof/>
          </w:rPr>
          <w:t xml:space="preserve"> </w:t>
        </w:r>
        <w:r w:rsidR="003B147A" w:rsidRPr="003B147A">
          <w:rPr>
            <w:rStyle w:val="affff5"/>
            <w:rFonts w:hint="eastAsia"/>
            <w:noProof/>
          </w:rPr>
          <w:t xml:space="preserve"> 生产工艺</w:t>
        </w:r>
        <w:r w:rsidR="003B147A" w:rsidRPr="003B147A">
          <w:rPr>
            <w:noProof/>
          </w:rPr>
          <w:tab/>
        </w:r>
        <w:r w:rsidR="003B147A" w:rsidRPr="003B147A">
          <w:rPr>
            <w:noProof/>
          </w:rPr>
          <w:fldChar w:fldCharType="begin"/>
        </w:r>
        <w:r w:rsidR="003B147A" w:rsidRPr="003B147A">
          <w:rPr>
            <w:noProof/>
          </w:rPr>
          <w:instrText xml:space="preserve"> PAGEREF _Toc197778333 \h </w:instrText>
        </w:r>
        <w:r w:rsidR="003B147A" w:rsidRPr="003B147A">
          <w:rPr>
            <w:noProof/>
          </w:rPr>
        </w:r>
        <w:r w:rsidR="003B147A" w:rsidRPr="003B147A">
          <w:rPr>
            <w:noProof/>
          </w:rPr>
          <w:fldChar w:fldCharType="separate"/>
        </w:r>
        <w:r w:rsidR="00A903D7">
          <w:rPr>
            <w:noProof/>
          </w:rPr>
          <w:t>3</w:t>
        </w:r>
        <w:r w:rsidR="003B147A"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34" w:history="1">
        <w:r w:rsidR="003B147A" w:rsidRPr="003B147A">
          <w:rPr>
            <w:rStyle w:val="affff5"/>
            <w:noProof/>
          </w:rPr>
          <w:t>7</w:t>
        </w:r>
        <w:r w:rsidR="003B147A">
          <w:rPr>
            <w:rStyle w:val="affff5"/>
            <w:noProof/>
          </w:rPr>
          <w:t xml:space="preserve"> </w:t>
        </w:r>
        <w:r w:rsidR="003B147A" w:rsidRPr="003B147A">
          <w:rPr>
            <w:rStyle w:val="affff5"/>
            <w:rFonts w:hint="eastAsia"/>
            <w:noProof/>
          </w:rPr>
          <w:t xml:space="preserve"> 质量控制</w:t>
        </w:r>
        <w:r w:rsidR="003B147A" w:rsidRPr="003B147A">
          <w:rPr>
            <w:noProof/>
          </w:rPr>
          <w:tab/>
        </w:r>
        <w:r w:rsidR="003B147A" w:rsidRPr="003B147A">
          <w:rPr>
            <w:noProof/>
          </w:rPr>
          <w:fldChar w:fldCharType="begin"/>
        </w:r>
        <w:r w:rsidR="003B147A" w:rsidRPr="003B147A">
          <w:rPr>
            <w:noProof/>
          </w:rPr>
          <w:instrText xml:space="preserve"> PAGEREF _Toc197778334 \h </w:instrText>
        </w:r>
        <w:r w:rsidR="003B147A" w:rsidRPr="003B147A">
          <w:rPr>
            <w:noProof/>
          </w:rPr>
        </w:r>
        <w:r w:rsidR="003B147A" w:rsidRPr="003B147A">
          <w:rPr>
            <w:noProof/>
          </w:rPr>
          <w:fldChar w:fldCharType="separate"/>
        </w:r>
        <w:r w:rsidR="00A903D7">
          <w:rPr>
            <w:noProof/>
          </w:rPr>
          <w:t>4</w:t>
        </w:r>
        <w:r w:rsidR="003B147A"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35" w:history="1">
        <w:r w:rsidR="003B147A" w:rsidRPr="003B147A">
          <w:rPr>
            <w:rStyle w:val="affff5"/>
            <w:noProof/>
          </w:rPr>
          <w:t>8</w:t>
        </w:r>
        <w:r w:rsidR="003B147A">
          <w:rPr>
            <w:rStyle w:val="affff5"/>
            <w:noProof/>
          </w:rPr>
          <w:t xml:space="preserve"> </w:t>
        </w:r>
        <w:r w:rsidR="003B147A" w:rsidRPr="003B147A">
          <w:rPr>
            <w:rStyle w:val="affff5"/>
            <w:rFonts w:hint="eastAsia"/>
            <w:noProof/>
          </w:rPr>
          <w:t xml:space="preserve"> 贮存要求</w:t>
        </w:r>
        <w:r w:rsidR="003B147A" w:rsidRPr="003B147A">
          <w:rPr>
            <w:noProof/>
          </w:rPr>
          <w:tab/>
        </w:r>
        <w:r w:rsidR="003B147A" w:rsidRPr="003B147A">
          <w:rPr>
            <w:noProof/>
          </w:rPr>
          <w:fldChar w:fldCharType="begin"/>
        </w:r>
        <w:r w:rsidR="003B147A" w:rsidRPr="003B147A">
          <w:rPr>
            <w:noProof/>
          </w:rPr>
          <w:instrText xml:space="preserve"> PAGEREF _Toc197778335 \h </w:instrText>
        </w:r>
        <w:r w:rsidR="003B147A" w:rsidRPr="003B147A">
          <w:rPr>
            <w:noProof/>
          </w:rPr>
        </w:r>
        <w:r w:rsidR="003B147A" w:rsidRPr="003B147A">
          <w:rPr>
            <w:noProof/>
          </w:rPr>
          <w:fldChar w:fldCharType="separate"/>
        </w:r>
        <w:r w:rsidR="00A903D7">
          <w:rPr>
            <w:noProof/>
          </w:rPr>
          <w:t>5</w:t>
        </w:r>
        <w:r w:rsidR="003B147A" w:rsidRPr="003B147A">
          <w:rPr>
            <w:noProof/>
          </w:rPr>
          <w:fldChar w:fldCharType="end"/>
        </w:r>
      </w:hyperlink>
    </w:p>
    <w:p w:rsidR="003B147A" w:rsidRPr="003B147A" w:rsidRDefault="00E61331">
      <w:pPr>
        <w:pStyle w:val="10"/>
        <w:tabs>
          <w:tab w:val="right" w:leader="dot" w:pos="9344"/>
        </w:tabs>
        <w:rPr>
          <w:rFonts w:asciiTheme="minorHAnsi" w:eastAsiaTheme="minorEastAsia" w:hAnsiTheme="minorHAnsi" w:cstheme="minorBidi"/>
          <w:noProof/>
          <w:szCs w:val="22"/>
        </w:rPr>
      </w:pPr>
      <w:hyperlink w:anchor="_Toc197778336" w:history="1">
        <w:r w:rsidR="003B147A" w:rsidRPr="003B147A">
          <w:rPr>
            <w:rStyle w:val="affff5"/>
            <w:rFonts w:hint="eastAsia"/>
            <w:noProof/>
          </w:rPr>
          <w:t>参考文献</w:t>
        </w:r>
        <w:r w:rsidR="003B147A" w:rsidRPr="003B147A">
          <w:rPr>
            <w:noProof/>
          </w:rPr>
          <w:tab/>
        </w:r>
        <w:r w:rsidR="003B147A" w:rsidRPr="003B147A">
          <w:rPr>
            <w:noProof/>
          </w:rPr>
          <w:fldChar w:fldCharType="begin"/>
        </w:r>
        <w:r w:rsidR="003B147A" w:rsidRPr="003B147A">
          <w:rPr>
            <w:noProof/>
          </w:rPr>
          <w:instrText xml:space="preserve"> PAGEREF _Toc197778336 \h </w:instrText>
        </w:r>
        <w:r w:rsidR="003B147A" w:rsidRPr="003B147A">
          <w:rPr>
            <w:noProof/>
          </w:rPr>
        </w:r>
        <w:r w:rsidR="003B147A" w:rsidRPr="003B147A">
          <w:rPr>
            <w:noProof/>
          </w:rPr>
          <w:fldChar w:fldCharType="separate"/>
        </w:r>
        <w:r w:rsidR="00A903D7">
          <w:rPr>
            <w:noProof/>
          </w:rPr>
          <w:t>6</w:t>
        </w:r>
        <w:r w:rsidR="003B147A" w:rsidRPr="003B147A">
          <w:rPr>
            <w:noProof/>
          </w:rPr>
          <w:fldChar w:fldCharType="end"/>
        </w:r>
      </w:hyperlink>
    </w:p>
    <w:p w:rsidR="003B147A" w:rsidRPr="003B147A" w:rsidRDefault="003B147A" w:rsidP="003B147A">
      <w:pPr>
        <w:pStyle w:val="affffff3"/>
        <w:spacing w:after="360"/>
        <w:sectPr w:rsidR="003B147A" w:rsidRPr="003B147A" w:rsidSect="003B147A">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rsidRPr="003B147A">
        <w:fldChar w:fldCharType="end"/>
      </w:r>
    </w:p>
    <w:p w:rsidR="00CF7F1B" w:rsidRDefault="003856C1">
      <w:pPr>
        <w:pStyle w:val="a6"/>
        <w:spacing w:before="900" w:after="360"/>
      </w:pPr>
      <w:bookmarkStart w:id="23" w:name="_Toc197778327"/>
      <w:bookmarkStart w:id="24" w:name="BookMark2"/>
      <w:bookmarkEnd w:id="21"/>
      <w:r>
        <w:rPr>
          <w:spacing w:val="320"/>
        </w:rPr>
        <w:lastRenderedPageBreak/>
        <w:t>前</w:t>
      </w:r>
      <w:r>
        <w:t>言</w:t>
      </w:r>
      <w:bookmarkEnd w:id="22"/>
      <w:bookmarkEnd w:id="23"/>
    </w:p>
    <w:p w:rsidR="00CF7F1B" w:rsidRDefault="003856C1">
      <w:pPr>
        <w:pStyle w:val="affffe"/>
        <w:spacing w:line="288" w:lineRule="auto"/>
        <w:ind w:firstLine="420"/>
      </w:pPr>
      <w:r>
        <w:rPr>
          <w:rFonts w:hint="eastAsia"/>
        </w:rPr>
        <w:t>本文件按照GB/T 1.1—2020《标准化工作导则  第1部分：标准化文件的结构和起草规则》的规定起草。</w:t>
      </w:r>
    </w:p>
    <w:p w:rsidR="00CF7F1B" w:rsidRDefault="003856C1">
      <w:pPr>
        <w:pStyle w:val="affffe"/>
        <w:spacing w:line="288" w:lineRule="auto"/>
        <w:ind w:firstLine="420"/>
      </w:pPr>
      <w:r>
        <w:t>请注意本文件的某些内容可能涉及专利。本文件的发布机构不承担识别专利的责任。</w:t>
      </w:r>
    </w:p>
    <w:p w:rsidR="00CF7F1B" w:rsidRDefault="003856C1">
      <w:pPr>
        <w:pStyle w:val="affffe"/>
        <w:spacing w:line="288" w:lineRule="auto"/>
        <w:ind w:firstLine="420"/>
      </w:pPr>
      <w:r>
        <w:rPr>
          <w:rFonts w:hint="eastAsia"/>
        </w:rPr>
        <w:t>本文件由河北亚新不锈钢制品有限公司提出。</w:t>
      </w:r>
    </w:p>
    <w:p w:rsidR="00CF7F1B" w:rsidRDefault="003856C1">
      <w:pPr>
        <w:pStyle w:val="affffe"/>
        <w:spacing w:line="288" w:lineRule="auto"/>
        <w:ind w:firstLine="420"/>
      </w:pPr>
      <w:r>
        <w:rPr>
          <w:rFonts w:hint="eastAsia"/>
        </w:rPr>
        <w:t>本文件由中国商品学会归口。</w:t>
      </w:r>
    </w:p>
    <w:p w:rsidR="00CF7F1B" w:rsidRDefault="003856C1">
      <w:pPr>
        <w:pStyle w:val="affffe"/>
        <w:spacing w:line="288" w:lineRule="auto"/>
        <w:ind w:firstLine="420"/>
      </w:pPr>
      <w:r>
        <w:rPr>
          <w:rFonts w:hint="eastAsia"/>
        </w:rPr>
        <w:t>本文件起草单位：河北亚新不锈钢制品有限公司、河北朴星合金科技有限公司、邢台市聚友不锈钢制品有限公司、邢台市万钧厨具有限公司、邢台聚瑞不锈钢制品有限公司、广西梧州市金海不锈钢有限公司。</w:t>
      </w:r>
    </w:p>
    <w:p w:rsidR="00CF7F1B" w:rsidRDefault="003856C1">
      <w:pPr>
        <w:pStyle w:val="affffe"/>
        <w:spacing w:line="288" w:lineRule="auto"/>
        <w:ind w:firstLine="420"/>
      </w:pPr>
      <w:r>
        <w:rPr>
          <w:rFonts w:hint="eastAsia"/>
        </w:rPr>
        <w:t>本文件主要起草人：×××、×××、×××</w:t>
      </w:r>
    </w:p>
    <w:p w:rsidR="00CF7F1B" w:rsidRDefault="00CF7F1B">
      <w:pPr>
        <w:pStyle w:val="affffe"/>
        <w:ind w:firstLine="420"/>
      </w:pPr>
    </w:p>
    <w:p w:rsidR="00CF7F1B" w:rsidRDefault="00CF7F1B">
      <w:pPr>
        <w:pStyle w:val="affffe"/>
        <w:ind w:firstLine="420"/>
        <w:sectPr w:rsidR="00CF7F1B">
          <w:pgSz w:w="11906" w:h="16838"/>
          <w:pgMar w:top="1928" w:right="1134" w:bottom="1134" w:left="1134" w:header="1418" w:footer="1134" w:gutter="284"/>
          <w:pgNumType w:fmt="upperRoman"/>
          <w:cols w:space="425"/>
          <w:formProt w:val="0"/>
          <w:docGrid w:linePitch="312"/>
        </w:sectPr>
      </w:pPr>
    </w:p>
    <w:p w:rsidR="00CF7F1B" w:rsidRDefault="00CF7F1B">
      <w:pPr>
        <w:spacing w:line="20" w:lineRule="exact"/>
        <w:jc w:val="center"/>
        <w:rPr>
          <w:rFonts w:ascii="黑体" w:eastAsia="黑体" w:hAnsi="黑体"/>
          <w:sz w:val="32"/>
          <w:szCs w:val="32"/>
        </w:rPr>
      </w:pPr>
      <w:bookmarkStart w:id="25" w:name="BookMark4"/>
      <w:bookmarkEnd w:id="24"/>
    </w:p>
    <w:p w:rsidR="00CF7F1B" w:rsidRDefault="00CF7F1B">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6A7672F4FD5C420B878BA9111AC6A963"/>
        </w:placeholder>
      </w:sdtPr>
      <w:sdtEndPr/>
      <w:sdtContent>
        <w:p w:rsidR="00CF7F1B" w:rsidRDefault="003856C1">
          <w:pPr>
            <w:pStyle w:val="afffffffff1"/>
            <w:spacing w:beforeLines="100" w:before="240" w:afterLines="220" w:after="528"/>
          </w:pPr>
          <w:r>
            <w:rPr>
              <w:rFonts w:hint="eastAsia"/>
            </w:rPr>
            <w:t>高精密冷轧不锈钢带生产工艺规范</w:t>
          </w:r>
        </w:p>
      </w:sdtContent>
    </w:sdt>
    <w:p w:rsidR="00CF7F1B" w:rsidRDefault="003856C1">
      <w:pPr>
        <w:pStyle w:val="affc"/>
        <w:spacing w:before="240" w:after="240"/>
      </w:pPr>
      <w:bookmarkStart w:id="27" w:name="_Toc197776929"/>
      <w:bookmarkStart w:id="28" w:name="_Toc97192964"/>
      <w:bookmarkStart w:id="29" w:name="_Toc187999600"/>
      <w:bookmarkStart w:id="30" w:name="_Toc26986530"/>
      <w:bookmarkStart w:id="31" w:name="_Toc17233333"/>
      <w:bookmarkStart w:id="32" w:name="_Toc24884211"/>
      <w:bookmarkStart w:id="33" w:name="_Toc26648465"/>
      <w:bookmarkStart w:id="34" w:name="_Toc26718930"/>
      <w:bookmarkStart w:id="35" w:name="_Toc17233325"/>
      <w:bookmarkStart w:id="36" w:name="_Toc24884218"/>
      <w:bookmarkStart w:id="37" w:name="_Toc26986771"/>
      <w:bookmarkStart w:id="38" w:name="_Toc197778328"/>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CF7F1B" w:rsidRDefault="003856C1">
      <w:pPr>
        <w:pStyle w:val="affffe"/>
        <w:spacing w:line="288" w:lineRule="auto"/>
        <w:ind w:firstLine="420"/>
      </w:pPr>
      <w:bookmarkStart w:id="39" w:name="_Toc17233334"/>
      <w:bookmarkStart w:id="40" w:name="_Toc17233326"/>
      <w:bookmarkStart w:id="41" w:name="_Toc24884212"/>
      <w:bookmarkStart w:id="42" w:name="_Toc26648466"/>
      <w:bookmarkStart w:id="43" w:name="_Toc24884219"/>
      <w:r>
        <w:t>本文件规定了</w:t>
      </w:r>
      <w:bookmarkStart w:id="44" w:name="OLE_LINK1"/>
      <w:r>
        <w:t>高精密冷轧不锈钢带生产</w:t>
      </w:r>
      <w:bookmarkEnd w:id="44"/>
      <w:r>
        <w:t>的工厂建设、原料要求、生产工艺、质量控制和贮存要求。</w:t>
      </w:r>
    </w:p>
    <w:p w:rsidR="00CF7F1B" w:rsidRDefault="003856C1">
      <w:pPr>
        <w:pStyle w:val="affffe"/>
        <w:spacing w:line="288" w:lineRule="auto"/>
        <w:ind w:firstLine="420"/>
      </w:pPr>
      <w:r>
        <w:rPr>
          <w:rFonts w:hint="eastAsia"/>
        </w:rPr>
        <w:t>本文件适用于</w:t>
      </w:r>
      <w:r>
        <w:t>高精密冷轧不锈钢带生产过程质量控制。</w:t>
      </w:r>
    </w:p>
    <w:p w:rsidR="00CF7F1B" w:rsidRDefault="003856C1">
      <w:pPr>
        <w:pStyle w:val="affc"/>
        <w:spacing w:before="240" w:after="240"/>
      </w:pPr>
      <w:bookmarkStart w:id="45" w:name="_Toc26986772"/>
      <w:bookmarkStart w:id="46" w:name="_Toc26718931"/>
      <w:bookmarkStart w:id="47" w:name="_Toc97192965"/>
      <w:bookmarkStart w:id="48" w:name="_Toc187999601"/>
      <w:bookmarkStart w:id="49" w:name="_Toc26986531"/>
      <w:bookmarkStart w:id="50" w:name="_Toc197776930"/>
      <w:bookmarkStart w:id="51" w:name="_Toc197778329"/>
      <w:r>
        <w:rPr>
          <w:rFonts w:hint="eastAsia"/>
        </w:rPr>
        <w:t>规范性引用文件</w:t>
      </w:r>
      <w:bookmarkEnd w:id="39"/>
      <w:bookmarkEnd w:id="40"/>
      <w:bookmarkEnd w:id="41"/>
      <w:bookmarkEnd w:id="42"/>
      <w:bookmarkEnd w:id="43"/>
      <w:bookmarkEnd w:id="45"/>
      <w:bookmarkEnd w:id="46"/>
      <w:bookmarkEnd w:id="47"/>
      <w:bookmarkEnd w:id="48"/>
      <w:bookmarkEnd w:id="49"/>
      <w:bookmarkEnd w:id="50"/>
      <w:bookmarkEnd w:id="51"/>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F7F1B" w:rsidRDefault="003856C1">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F7F1B" w:rsidRDefault="003856C1">
      <w:pPr>
        <w:pStyle w:val="affffe"/>
        <w:spacing w:line="288" w:lineRule="auto"/>
        <w:ind w:firstLine="420"/>
      </w:pPr>
      <w:r>
        <w:rPr>
          <w:rFonts w:hint="eastAsia"/>
        </w:rPr>
        <w:t>GB/T 191  包装储运图示标志</w:t>
      </w:r>
    </w:p>
    <w:p w:rsidR="00CF7F1B" w:rsidRDefault="003856C1">
      <w:pPr>
        <w:pStyle w:val="affffe"/>
        <w:spacing w:line="288" w:lineRule="auto"/>
        <w:ind w:firstLine="420"/>
      </w:pPr>
      <w:r>
        <w:rPr>
          <w:rFonts w:hint="eastAsia"/>
        </w:rPr>
        <w:t>GB/T 222  钢的成品化学成分允许偏差</w:t>
      </w:r>
    </w:p>
    <w:p w:rsidR="00CF7F1B" w:rsidRDefault="003856C1">
      <w:pPr>
        <w:pStyle w:val="affffe"/>
        <w:spacing w:line="288" w:lineRule="auto"/>
        <w:ind w:firstLine="420"/>
      </w:pPr>
      <w:r>
        <w:t>GB/T 228.1</w:t>
      </w:r>
      <w:r>
        <w:rPr>
          <w:rFonts w:hint="eastAsia"/>
        </w:rPr>
        <w:t xml:space="preserve">  金属材料  拉伸试验  第 1 部分：室温试验方法</w:t>
      </w:r>
    </w:p>
    <w:p w:rsidR="00CF7F1B" w:rsidRDefault="003856C1">
      <w:pPr>
        <w:pStyle w:val="affffe"/>
        <w:spacing w:line="288" w:lineRule="auto"/>
        <w:ind w:firstLine="420"/>
      </w:pPr>
      <w:r>
        <w:rPr>
          <w:rFonts w:hint="eastAsia"/>
        </w:rPr>
        <w:t>GB/T 3280—2015  不锈钢冷轧钢板和钢带</w:t>
      </w:r>
    </w:p>
    <w:p w:rsidR="00CF7F1B" w:rsidRDefault="003856C1">
      <w:pPr>
        <w:pStyle w:val="affffe"/>
        <w:spacing w:line="288" w:lineRule="auto"/>
        <w:ind w:firstLine="420"/>
      </w:pPr>
      <w:r>
        <w:rPr>
          <w:rFonts w:hint="eastAsia"/>
        </w:rPr>
        <w:t>GB/T 19001  质量管理体系  要求</w:t>
      </w:r>
    </w:p>
    <w:p w:rsidR="00CF7F1B" w:rsidRDefault="003856C1">
      <w:pPr>
        <w:pStyle w:val="affffe"/>
        <w:spacing w:line="288" w:lineRule="auto"/>
        <w:ind w:firstLine="420"/>
      </w:pPr>
      <w:r>
        <w:rPr>
          <w:rFonts w:hint="eastAsia"/>
        </w:rPr>
        <w:t>GB 21368  钢铁企业能源计量器具配备和管理要求</w:t>
      </w:r>
    </w:p>
    <w:p w:rsidR="00CF7F1B" w:rsidRDefault="003856C1">
      <w:pPr>
        <w:pStyle w:val="affffe"/>
        <w:spacing w:line="288" w:lineRule="auto"/>
        <w:ind w:firstLine="420"/>
      </w:pPr>
      <w:r>
        <w:rPr>
          <w:rFonts w:hint="eastAsia"/>
        </w:rPr>
        <w:t>GB/T 23001  信息化和工业化融合管理体系 要求</w:t>
      </w:r>
    </w:p>
    <w:p w:rsidR="00CF7F1B" w:rsidRDefault="003856C1">
      <w:pPr>
        <w:pStyle w:val="affffe"/>
        <w:spacing w:line="288" w:lineRule="auto"/>
        <w:ind w:firstLine="420"/>
      </w:pPr>
      <w:r>
        <w:rPr>
          <w:rFonts w:hint="eastAsia"/>
        </w:rPr>
        <w:t>GB/T 23331  能源管理体系  要求及使用指南</w:t>
      </w:r>
    </w:p>
    <w:p w:rsidR="00CF7F1B" w:rsidRDefault="003856C1">
      <w:pPr>
        <w:pStyle w:val="affffe"/>
        <w:spacing w:line="288" w:lineRule="auto"/>
        <w:ind w:firstLine="420"/>
      </w:pPr>
      <w:r>
        <w:rPr>
          <w:rFonts w:hint="eastAsia"/>
        </w:rPr>
        <w:t>GB/T 24001  环境管理体系  要求及使用指南</w:t>
      </w:r>
    </w:p>
    <w:p w:rsidR="00CF7F1B" w:rsidRDefault="003856C1">
      <w:pPr>
        <w:pStyle w:val="affffe"/>
        <w:spacing w:line="288" w:lineRule="auto"/>
        <w:ind w:firstLine="420"/>
      </w:pPr>
      <w:r>
        <w:rPr>
          <w:rFonts w:hint="eastAsia"/>
        </w:rPr>
        <w:t>GB/T 24789  用水单位水计量器具配备和管理通则</w:t>
      </w:r>
    </w:p>
    <w:p w:rsidR="00CF7F1B" w:rsidRDefault="003856C1">
      <w:pPr>
        <w:pStyle w:val="affffe"/>
        <w:spacing w:line="288" w:lineRule="auto"/>
        <w:ind w:firstLine="420"/>
      </w:pPr>
      <w:r>
        <w:rPr>
          <w:rFonts w:hint="eastAsia"/>
        </w:rPr>
        <w:t>GB/T 36132—2018  绿色工厂评价通则</w:t>
      </w:r>
    </w:p>
    <w:p w:rsidR="00CF7F1B" w:rsidRDefault="003856C1">
      <w:pPr>
        <w:pStyle w:val="affffe"/>
        <w:spacing w:line="288" w:lineRule="auto"/>
        <w:ind w:firstLine="420"/>
      </w:pPr>
      <w:r>
        <w:rPr>
          <w:rFonts w:hint="eastAsia"/>
        </w:rPr>
        <w:t>GB/T 45001  职业健康安全管理体系  要求及使用指南</w:t>
      </w:r>
    </w:p>
    <w:p w:rsidR="00CF7F1B" w:rsidRDefault="003856C1">
      <w:pPr>
        <w:pStyle w:val="affffe"/>
        <w:spacing w:line="288" w:lineRule="auto"/>
        <w:ind w:firstLine="420"/>
      </w:pPr>
      <w:r>
        <w:rPr>
          <w:rFonts w:hint="eastAsia"/>
        </w:rPr>
        <w:t>GB 51093  钢铁企业喷雾焙烧法盐酸废液再生工程技术规范</w:t>
      </w:r>
    </w:p>
    <w:p w:rsidR="00CF7F1B" w:rsidRDefault="003856C1">
      <w:pPr>
        <w:pStyle w:val="affc"/>
        <w:spacing w:before="240" w:after="240"/>
      </w:pPr>
      <w:bookmarkStart w:id="52" w:name="_Toc97192966"/>
      <w:bookmarkStart w:id="53" w:name="_Toc187999602"/>
      <w:bookmarkStart w:id="54" w:name="_Toc197776931"/>
      <w:bookmarkStart w:id="55" w:name="_Toc197778330"/>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CF7F1B" w:rsidRDefault="003856C1">
          <w:pPr>
            <w:pStyle w:val="affffe"/>
            <w:spacing w:line="288" w:lineRule="auto"/>
            <w:ind w:firstLine="420"/>
          </w:pPr>
          <w:r>
            <w:t>下列术语和定义适用于本文件。</w:t>
          </w:r>
        </w:p>
      </w:sdtContent>
    </w:sdt>
    <w:p w:rsidR="00CF7F1B" w:rsidRDefault="003856C1">
      <w:pPr>
        <w:pStyle w:val="affffffffffd"/>
        <w:spacing w:line="288" w:lineRule="auto"/>
        <w:ind w:left="420" w:hangingChars="200" w:hanging="420"/>
        <w:rPr>
          <w:rFonts w:ascii="黑体" w:eastAsia="黑体" w:hAnsi="黑体"/>
        </w:rPr>
      </w:pPr>
      <w:r>
        <w:rPr>
          <w:rFonts w:ascii="黑体" w:eastAsia="黑体" w:hAnsi="黑体"/>
        </w:rPr>
        <w:br/>
        <w:t>冷轧不锈钢带</w:t>
      </w:r>
      <w:r>
        <w:rPr>
          <w:rFonts w:ascii="黑体" w:eastAsia="黑体" w:hAnsi="黑体" w:hint="eastAsia"/>
        </w:rPr>
        <w:t xml:space="preserve">  cold-rolled stainless steel strip</w:t>
      </w:r>
    </w:p>
    <w:p w:rsidR="00CF7F1B" w:rsidRDefault="003856C1">
      <w:pPr>
        <w:pStyle w:val="affffe"/>
        <w:spacing w:line="288" w:lineRule="auto"/>
        <w:ind w:firstLine="420"/>
      </w:pPr>
      <w:r>
        <w:rPr>
          <w:rFonts w:hint="eastAsia"/>
        </w:rPr>
        <w:t>以不锈钢毛坯为基础原料，在常温下经过冷轧，热处理之后而形成的附属工业钢带产品。</w:t>
      </w:r>
    </w:p>
    <w:p w:rsidR="00CF7F1B" w:rsidRDefault="003856C1">
      <w:pPr>
        <w:pStyle w:val="affc"/>
        <w:spacing w:before="240" w:after="240"/>
      </w:pPr>
      <w:bookmarkStart w:id="57" w:name="_Toc197778331"/>
      <w:bookmarkStart w:id="58" w:name="_Toc197776932"/>
      <w:r>
        <w:rPr>
          <w:rFonts w:hint="eastAsia"/>
        </w:rPr>
        <w:t>工厂建设</w:t>
      </w:r>
      <w:bookmarkEnd w:id="57"/>
    </w:p>
    <w:p w:rsidR="00CF7F1B" w:rsidRDefault="003856C1">
      <w:pPr>
        <w:pStyle w:val="affd"/>
        <w:spacing w:before="120" w:after="120"/>
      </w:pPr>
      <w:r>
        <w:rPr>
          <w:rFonts w:hint="eastAsia"/>
        </w:rPr>
        <w:t>基本要求</w:t>
      </w:r>
    </w:p>
    <w:p w:rsidR="00CF7F1B" w:rsidRDefault="003856C1">
      <w:pPr>
        <w:pStyle w:val="affffffffa"/>
        <w:spacing w:line="288" w:lineRule="auto"/>
      </w:pPr>
      <w:r>
        <w:rPr>
          <w:rFonts w:hint="eastAsia"/>
        </w:rPr>
        <w:t>合规性要求如下：</w:t>
      </w:r>
    </w:p>
    <w:p w:rsidR="00CF7F1B" w:rsidRDefault="003856C1">
      <w:pPr>
        <w:pStyle w:val="af5"/>
        <w:spacing w:line="288" w:lineRule="auto"/>
      </w:pPr>
      <w:r>
        <w:rPr>
          <w:rFonts w:hint="eastAsia"/>
        </w:rPr>
        <w:t>应依法设立，在建设和生产过程中应遵守有关法律法规、政策和标准要求；</w:t>
      </w:r>
    </w:p>
    <w:p w:rsidR="00CF7F1B" w:rsidRDefault="003856C1">
      <w:pPr>
        <w:pStyle w:val="af5"/>
        <w:spacing w:line="288" w:lineRule="auto"/>
      </w:pPr>
      <w:r>
        <w:rPr>
          <w:rFonts w:hint="eastAsia"/>
        </w:rPr>
        <w:t>近 3 年(含成立不足 3 年)无较大及以上安全、环保、质量等事故；</w:t>
      </w:r>
    </w:p>
    <w:p w:rsidR="00CF7F1B" w:rsidRDefault="003856C1">
      <w:pPr>
        <w:pStyle w:val="af5"/>
        <w:spacing w:line="288" w:lineRule="auto"/>
      </w:pPr>
      <w:r>
        <w:rPr>
          <w:rFonts w:hint="eastAsia"/>
        </w:rPr>
        <w:t>近 3 年内未被列入国家相关失信企业名单；</w:t>
      </w:r>
    </w:p>
    <w:p w:rsidR="00CF7F1B" w:rsidRDefault="003856C1">
      <w:pPr>
        <w:pStyle w:val="af5"/>
        <w:spacing w:line="288" w:lineRule="auto"/>
      </w:pPr>
      <w:r>
        <w:rPr>
          <w:rFonts w:hint="eastAsia"/>
        </w:rPr>
        <w:t>各种污染物排放指标应符合国家和地方现行有关标准、法律法规的要求；</w:t>
      </w:r>
    </w:p>
    <w:p w:rsidR="00CF7F1B" w:rsidRDefault="003856C1">
      <w:pPr>
        <w:pStyle w:val="af5"/>
        <w:spacing w:line="288" w:lineRule="auto"/>
      </w:pPr>
      <w:r>
        <w:rPr>
          <w:rFonts w:hint="eastAsia"/>
        </w:rPr>
        <w:t>依据行业、地方相关标准及要求开展清洁生产评价。</w:t>
      </w:r>
    </w:p>
    <w:p w:rsidR="00CF7F1B" w:rsidRDefault="003856C1">
      <w:pPr>
        <w:pStyle w:val="affe"/>
        <w:spacing w:beforeLines="0" w:before="0" w:afterLines="0" w:after="0" w:line="288" w:lineRule="auto"/>
        <w:rPr>
          <w:rFonts w:ascii="宋体" w:eastAsia="宋体"/>
        </w:rPr>
      </w:pPr>
      <w:r>
        <w:rPr>
          <w:rFonts w:ascii="宋体" w:eastAsia="宋体" w:hint="eastAsia"/>
        </w:rPr>
        <w:lastRenderedPageBreak/>
        <w:t>基础管理职责应符合 GB/T 36132—2018 中的 4.3.2 的要求。</w:t>
      </w:r>
    </w:p>
    <w:p w:rsidR="00CF7F1B" w:rsidRDefault="003856C1">
      <w:pPr>
        <w:pStyle w:val="affd"/>
        <w:spacing w:before="120" w:after="120"/>
      </w:pPr>
      <w:r>
        <w:rPr>
          <w:rFonts w:hint="eastAsia"/>
        </w:rPr>
        <w:t>基础设施</w:t>
      </w:r>
    </w:p>
    <w:p w:rsidR="00CF7F1B" w:rsidRDefault="003856C1">
      <w:pPr>
        <w:pStyle w:val="affffffffa"/>
        <w:spacing w:line="288" w:lineRule="auto"/>
      </w:pPr>
      <w:r>
        <w:rPr>
          <w:rFonts w:hint="eastAsia"/>
        </w:rPr>
        <w:t>建筑设施要求如下：</w:t>
      </w:r>
    </w:p>
    <w:p w:rsidR="00CF7F1B" w:rsidRDefault="003856C1">
      <w:pPr>
        <w:pStyle w:val="af5"/>
        <w:numPr>
          <w:ilvl w:val="0"/>
          <w:numId w:val="32"/>
        </w:numPr>
        <w:spacing w:line="288" w:lineRule="auto"/>
      </w:pPr>
      <w:r>
        <w:rPr>
          <w:rFonts w:hint="eastAsia"/>
        </w:rPr>
        <w:t>应从建筑材料、建筑结构、采光照明、绿化及场地、再生资源及能源利用等方面进行建筑的节材、节能、节水、节地、无害化及可再生能源利用；</w:t>
      </w:r>
    </w:p>
    <w:p w:rsidR="00CF7F1B" w:rsidRDefault="003856C1">
      <w:pPr>
        <w:pStyle w:val="af5"/>
        <w:numPr>
          <w:ilvl w:val="0"/>
          <w:numId w:val="32"/>
        </w:numPr>
        <w:spacing w:line="288" w:lineRule="auto"/>
      </w:pPr>
      <w:r>
        <w:rPr>
          <w:rFonts w:hint="eastAsia"/>
        </w:rPr>
        <w:t>宜集约利用厂区，在满足生产工艺前提下，优先采用联合厂房、多层建筑、高层建筑等。</w:t>
      </w:r>
    </w:p>
    <w:p w:rsidR="00CF7F1B" w:rsidRDefault="003856C1">
      <w:pPr>
        <w:pStyle w:val="affe"/>
        <w:spacing w:beforeLines="0" w:before="0" w:afterLines="0" w:after="0" w:line="288" w:lineRule="auto"/>
        <w:rPr>
          <w:rFonts w:ascii="宋体" w:eastAsia="宋体"/>
        </w:rPr>
      </w:pPr>
      <w:r>
        <w:rPr>
          <w:rFonts w:ascii="宋体" w:eastAsia="宋体" w:hint="eastAsia"/>
        </w:rPr>
        <w:t>专用设备要求如下：</w:t>
      </w:r>
    </w:p>
    <w:p w:rsidR="00CF7F1B" w:rsidRDefault="003856C1">
      <w:pPr>
        <w:pStyle w:val="af5"/>
        <w:numPr>
          <w:ilvl w:val="0"/>
          <w:numId w:val="33"/>
        </w:numPr>
        <w:spacing w:line="288" w:lineRule="auto"/>
      </w:pPr>
      <w:r>
        <w:rPr>
          <w:rFonts w:hint="eastAsia"/>
        </w:rPr>
        <w:t>应无钢铁产业政策和结构调整指导目录中规定的淘汰类装备；</w:t>
      </w:r>
    </w:p>
    <w:p w:rsidR="00CF7F1B" w:rsidRDefault="003856C1">
      <w:pPr>
        <w:pStyle w:val="af5"/>
        <w:numPr>
          <w:ilvl w:val="0"/>
          <w:numId w:val="33"/>
        </w:numPr>
        <w:spacing w:line="288" w:lineRule="auto"/>
      </w:pPr>
      <w:r>
        <w:rPr>
          <w:rFonts w:hint="eastAsia"/>
        </w:rPr>
        <w:t>生产工艺、建设规模、主要装备等应符合国家、地方相关产业政策等要求。</w:t>
      </w:r>
    </w:p>
    <w:p w:rsidR="00CF7F1B" w:rsidRDefault="003856C1">
      <w:pPr>
        <w:pStyle w:val="affffffffa"/>
        <w:spacing w:line="288" w:lineRule="auto"/>
      </w:pPr>
      <w:r>
        <w:rPr>
          <w:rFonts w:hint="eastAsia"/>
        </w:rPr>
        <w:t>通用设备应采用效率高、能耗低、水耗低、物耗低的产品，宜使用变频电机、变频空压机、变频风机、节能高效水泵、蒸汽发生器、低氮燃烧器等设备。</w:t>
      </w:r>
    </w:p>
    <w:p w:rsidR="00CF7F1B" w:rsidRDefault="003856C1">
      <w:pPr>
        <w:pStyle w:val="affe"/>
        <w:spacing w:beforeLines="0" w:before="0" w:afterLines="0" w:after="0" w:line="288" w:lineRule="auto"/>
        <w:rPr>
          <w:rFonts w:ascii="宋体" w:eastAsia="宋体"/>
        </w:rPr>
      </w:pPr>
      <w:r>
        <w:rPr>
          <w:rFonts w:ascii="宋体" w:eastAsia="宋体" w:hint="eastAsia"/>
        </w:rPr>
        <w:t>计量设备要求如下：</w:t>
      </w:r>
    </w:p>
    <w:p w:rsidR="00CF7F1B" w:rsidRDefault="003856C1">
      <w:pPr>
        <w:pStyle w:val="af5"/>
        <w:numPr>
          <w:ilvl w:val="0"/>
          <w:numId w:val="34"/>
        </w:numPr>
        <w:spacing w:line="288" w:lineRule="auto"/>
      </w:pPr>
      <w:r>
        <w:rPr>
          <w:rFonts w:hint="eastAsia"/>
        </w:rPr>
        <w:t>应依据 GB 21368 的要求配备、使用和管理能源计量器具。工厂进出用能单位、进出主要次级用能单位、主要用能设备能源计量器具配备率应符合 GB 21368 要求；</w:t>
      </w:r>
    </w:p>
    <w:p w:rsidR="00CF7F1B" w:rsidRDefault="003856C1">
      <w:pPr>
        <w:pStyle w:val="af5"/>
        <w:numPr>
          <w:ilvl w:val="0"/>
          <w:numId w:val="34"/>
        </w:numPr>
        <w:spacing w:line="288" w:lineRule="auto"/>
      </w:pPr>
      <w:r>
        <w:rPr>
          <w:rFonts w:hint="eastAsia"/>
        </w:rPr>
        <w:t>应依据 GB/T 24789 的要求配备、使用和管理用水计量器具。工厂用水单位、次级用水单位、主要用水设备水计量器具配置率应符合 GB/T 24789 的要求。</w:t>
      </w:r>
    </w:p>
    <w:p w:rsidR="00CF7F1B" w:rsidRDefault="003856C1">
      <w:pPr>
        <w:pStyle w:val="af5"/>
        <w:numPr>
          <w:ilvl w:val="0"/>
          <w:numId w:val="35"/>
        </w:numPr>
        <w:spacing w:line="288" w:lineRule="auto"/>
      </w:pPr>
      <w:r>
        <w:rPr>
          <w:rFonts w:hint="eastAsia"/>
        </w:rPr>
        <w:t>应配备外径千分尺、光泽度仪、数显外径千分尺、盒尺、数显维氏硬度计、光学显微镜、拉力试验机等辅助检测设备。检测设备应按计量管理办法定时检验，合格方可使用。</w:t>
      </w:r>
    </w:p>
    <w:p w:rsidR="00CF7F1B" w:rsidRDefault="003856C1">
      <w:pPr>
        <w:pStyle w:val="affffffffa"/>
        <w:spacing w:line="288" w:lineRule="auto"/>
      </w:pPr>
      <w:r>
        <w:rPr>
          <w:rFonts w:hint="eastAsia"/>
        </w:rPr>
        <w:t>污集物处理设备要求如下：</w:t>
      </w:r>
    </w:p>
    <w:p w:rsidR="00CF7F1B" w:rsidRDefault="003856C1">
      <w:pPr>
        <w:pStyle w:val="af5"/>
        <w:numPr>
          <w:ilvl w:val="0"/>
          <w:numId w:val="36"/>
        </w:numPr>
        <w:spacing w:line="288" w:lineRule="auto"/>
      </w:pPr>
      <w:r>
        <w:rPr>
          <w:rFonts w:hint="eastAsia"/>
        </w:rPr>
        <w:t>环保设施建设应符合三同时制度和环境影响评价制度等国家、地方相关法律法规要求；</w:t>
      </w:r>
    </w:p>
    <w:p w:rsidR="00CF7F1B" w:rsidRDefault="003856C1">
      <w:pPr>
        <w:pStyle w:val="af5"/>
        <w:numPr>
          <w:ilvl w:val="0"/>
          <w:numId w:val="36"/>
        </w:numPr>
        <w:spacing w:line="288" w:lineRule="auto"/>
      </w:pPr>
      <w:r>
        <w:rPr>
          <w:rFonts w:hint="eastAsia"/>
        </w:rPr>
        <w:t>酸洗过程、彩涂喷漆过程、锅炉烟气及易产尘点应配套相应的废气、废水等环境治理设施，处理能力应满足工厂正常生产时达标排放要求；</w:t>
      </w:r>
    </w:p>
    <w:p w:rsidR="00CF7F1B" w:rsidRDefault="003856C1">
      <w:pPr>
        <w:pStyle w:val="af5"/>
        <w:spacing w:line="288" w:lineRule="auto"/>
      </w:pPr>
      <w:r>
        <w:rPr>
          <w:rFonts w:hint="eastAsia"/>
        </w:rPr>
        <w:t>含有酸处理的工厂宜建设发酸再生工程，工程的建设及维护管理应符合 GB 51093 等相关标准的规定。</w:t>
      </w:r>
    </w:p>
    <w:p w:rsidR="00CF7F1B" w:rsidRDefault="003856C1">
      <w:pPr>
        <w:pStyle w:val="affd"/>
        <w:spacing w:before="120" w:after="120"/>
      </w:pPr>
      <w:r>
        <w:rPr>
          <w:rFonts w:hint="eastAsia"/>
        </w:rPr>
        <w:t>管理体系</w:t>
      </w:r>
    </w:p>
    <w:p w:rsidR="00CF7F1B" w:rsidRDefault="003856C1">
      <w:pPr>
        <w:pStyle w:val="affe"/>
        <w:spacing w:before="120" w:after="120"/>
      </w:pPr>
      <w:r>
        <w:rPr>
          <w:rFonts w:hint="eastAsia"/>
        </w:rPr>
        <w:t>质量管理体系</w:t>
      </w:r>
    </w:p>
    <w:p w:rsidR="00CF7F1B" w:rsidRDefault="003856C1">
      <w:pPr>
        <w:pStyle w:val="affffe"/>
        <w:spacing w:line="288" w:lineRule="auto"/>
        <w:ind w:firstLine="420"/>
      </w:pPr>
      <w:r>
        <w:rPr>
          <w:rFonts w:hint="eastAsia"/>
        </w:rPr>
        <w:t>应建立、实施并保持质量管理体系，质量管理体系应符合 GB/T 19001 的要求。</w:t>
      </w:r>
    </w:p>
    <w:p w:rsidR="00CF7F1B" w:rsidRDefault="003856C1">
      <w:pPr>
        <w:pStyle w:val="affe"/>
        <w:spacing w:before="120" w:after="120"/>
      </w:pPr>
      <w:r>
        <w:rPr>
          <w:rFonts w:hint="eastAsia"/>
        </w:rPr>
        <w:t>职业健康安全管理体系</w:t>
      </w:r>
    </w:p>
    <w:p w:rsidR="00CF7F1B" w:rsidRDefault="003856C1">
      <w:pPr>
        <w:pStyle w:val="affffe"/>
        <w:spacing w:line="288" w:lineRule="auto"/>
        <w:ind w:firstLine="420"/>
      </w:pPr>
      <w:r>
        <w:rPr>
          <w:rFonts w:hint="eastAsia"/>
        </w:rPr>
        <w:t>应建立、实施并保持职业健康安全管理体系，职业健康安全管理体系应符合 GB/T 45001 的要求。</w:t>
      </w:r>
    </w:p>
    <w:p w:rsidR="00CF7F1B" w:rsidRDefault="003856C1">
      <w:pPr>
        <w:pStyle w:val="affe"/>
        <w:spacing w:before="120" w:after="120"/>
      </w:pPr>
      <w:r>
        <w:rPr>
          <w:rFonts w:hint="eastAsia"/>
        </w:rPr>
        <w:t>环境管理体系</w:t>
      </w:r>
    </w:p>
    <w:p w:rsidR="00CF7F1B" w:rsidRDefault="003856C1">
      <w:pPr>
        <w:pStyle w:val="affffe"/>
        <w:spacing w:line="288" w:lineRule="auto"/>
        <w:ind w:firstLine="420"/>
      </w:pPr>
      <w:r>
        <w:rPr>
          <w:rFonts w:hint="eastAsia"/>
        </w:rPr>
        <w:t>应建立、实施并保持环境管理体系，环境管理体系应符合 GB/T 24001 的要求。</w:t>
      </w:r>
    </w:p>
    <w:p w:rsidR="00CF7F1B" w:rsidRDefault="003856C1">
      <w:pPr>
        <w:pStyle w:val="affe"/>
        <w:spacing w:before="120" w:after="120"/>
      </w:pPr>
      <w:r>
        <w:rPr>
          <w:rFonts w:hint="eastAsia"/>
        </w:rPr>
        <w:t>能源管理体系</w:t>
      </w:r>
    </w:p>
    <w:p w:rsidR="00CF7F1B" w:rsidRDefault="003856C1">
      <w:pPr>
        <w:pStyle w:val="affffe"/>
        <w:spacing w:line="288" w:lineRule="auto"/>
        <w:ind w:firstLine="420"/>
      </w:pPr>
      <w:r>
        <w:rPr>
          <w:rFonts w:hint="eastAsia"/>
        </w:rPr>
        <w:t>应建立、实施并保持能源管理体系，能源管理体系应符合 GB/T 23331 的要求。</w:t>
      </w:r>
    </w:p>
    <w:p w:rsidR="00CF7F1B" w:rsidRDefault="003856C1">
      <w:pPr>
        <w:pStyle w:val="affe"/>
        <w:spacing w:before="120" w:after="120"/>
      </w:pPr>
      <w:r>
        <w:rPr>
          <w:rFonts w:hint="eastAsia"/>
        </w:rPr>
        <w:t>信息化和工业化融合管理体系</w:t>
      </w:r>
    </w:p>
    <w:p w:rsidR="00CF7F1B" w:rsidRDefault="003856C1">
      <w:pPr>
        <w:pStyle w:val="affffe"/>
        <w:spacing w:line="288" w:lineRule="auto"/>
        <w:ind w:firstLine="420"/>
      </w:pPr>
      <w:r>
        <w:rPr>
          <w:rFonts w:hint="eastAsia"/>
        </w:rPr>
        <w:t>宜建立、实施并保持信息化和工业化融合管理体系，信息化和工业化融合管理体系宜符合 GB/T 23001 的要求。</w:t>
      </w:r>
    </w:p>
    <w:p w:rsidR="00CF7F1B" w:rsidRDefault="003856C1">
      <w:pPr>
        <w:pStyle w:val="affc"/>
        <w:spacing w:before="240" w:after="240"/>
      </w:pPr>
      <w:bookmarkStart w:id="59" w:name="_Toc197778332"/>
      <w:r>
        <w:rPr>
          <w:rFonts w:hint="eastAsia"/>
        </w:rPr>
        <w:t>原料要求</w:t>
      </w:r>
      <w:bookmarkEnd w:id="58"/>
      <w:bookmarkEnd w:id="59"/>
    </w:p>
    <w:p w:rsidR="00CF7F1B" w:rsidRDefault="003856C1">
      <w:pPr>
        <w:pStyle w:val="affffffff7"/>
        <w:spacing w:line="288" w:lineRule="auto"/>
      </w:pPr>
      <w:r>
        <w:rPr>
          <w:rFonts w:hint="eastAsia"/>
        </w:rPr>
        <w:lastRenderedPageBreak/>
        <w:t>钢的牌号、分类及化学成分(熔炼分析)应符合 GB/T 3280—2015 表 16</w:t>
      </w:r>
      <w:r>
        <w:rPr>
          <w:rFonts w:hAnsi="宋体" w:hint="eastAsia"/>
        </w:rPr>
        <w:t>～</w:t>
      </w:r>
      <w:r>
        <w:rPr>
          <w:rFonts w:hint="eastAsia"/>
        </w:rPr>
        <w:t>表 20 的规定。各国不锈钢牌号对照参见 GB/T 3280—2015 附录 A。不锈钢的特性和用途参见 GB/T 3280—2015 附录 B。</w:t>
      </w:r>
    </w:p>
    <w:p w:rsidR="00CF7F1B" w:rsidRDefault="003856C1">
      <w:pPr>
        <w:pStyle w:val="affffffff7"/>
        <w:spacing w:line="288" w:lineRule="auto"/>
      </w:pPr>
      <w:r>
        <w:rPr>
          <w:rFonts w:hint="eastAsia"/>
        </w:rPr>
        <w:t>成品化学成分允许偏差应符合 GB/T 222 的规定。</w:t>
      </w:r>
    </w:p>
    <w:p w:rsidR="00CF7F1B" w:rsidRDefault="003856C1">
      <w:pPr>
        <w:pStyle w:val="affc"/>
        <w:spacing w:before="240" w:after="240"/>
      </w:pPr>
      <w:bookmarkStart w:id="60" w:name="_Toc197776933"/>
      <w:bookmarkStart w:id="61" w:name="_Toc197778333"/>
      <w:r>
        <w:t>生产工艺</w:t>
      </w:r>
      <w:bookmarkEnd w:id="60"/>
      <w:bookmarkEnd w:id="61"/>
    </w:p>
    <w:p w:rsidR="00CF7F1B" w:rsidRDefault="003856C1">
      <w:pPr>
        <w:pStyle w:val="affd"/>
        <w:spacing w:before="120" w:after="120"/>
      </w:pPr>
      <w:r>
        <w:t>工艺流程</w:t>
      </w:r>
    </w:p>
    <w:p w:rsidR="00CF7F1B" w:rsidRDefault="003856C1">
      <w:pPr>
        <w:pStyle w:val="affffe"/>
        <w:ind w:firstLine="420"/>
      </w:pPr>
      <w:r>
        <w:rPr>
          <w:rFonts w:hint="eastAsia"/>
        </w:rPr>
        <w:t>高精密冷轧不锈钢带生产工艺流程如图 1 所示。</w:t>
      </w:r>
    </w:p>
    <w:p w:rsidR="00CF7F1B" w:rsidRDefault="00E84733">
      <w:pPr>
        <w:pStyle w:val="affffe"/>
        <w:ind w:firstLine="4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65.9pt">
            <v:imagedata r:id="rId21" o:title="未命名文件(9)"/>
          </v:shape>
        </w:pict>
      </w:r>
    </w:p>
    <w:p w:rsidR="00CF7F1B" w:rsidRDefault="003856C1">
      <w:pPr>
        <w:pStyle w:val="afd"/>
        <w:spacing w:before="120" w:after="120"/>
      </w:pPr>
      <w:r>
        <w:t>生产工艺流程</w:t>
      </w:r>
    </w:p>
    <w:p w:rsidR="00CF7F1B" w:rsidRDefault="003856C1">
      <w:pPr>
        <w:pStyle w:val="affd"/>
        <w:spacing w:before="120" w:after="120"/>
      </w:pPr>
      <w:r>
        <w:t>冷轧</w:t>
      </w:r>
    </w:p>
    <w:p w:rsidR="00CF7F1B" w:rsidRDefault="003856C1">
      <w:pPr>
        <w:pStyle w:val="affffffffa"/>
        <w:spacing w:line="288" w:lineRule="auto"/>
      </w:pPr>
      <w:r>
        <w:rPr>
          <w:rFonts w:hint="eastAsia"/>
        </w:rPr>
        <w:t>应采用多道次轧制工艺，根据目标厚度和材质特性确定各道次的压下量分配。首道次压下量不宜过大，宜控制在 15</w:t>
      </w:r>
      <w:r>
        <w:rPr>
          <w:rFonts w:hAnsi="宋体" w:hint="eastAsia"/>
        </w:rPr>
        <w:t>％</w:t>
      </w:r>
      <w:r>
        <w:rPr>
          <w:rFonts w:hint="eastAsia"/>
        </w:rPr>
        <w:t xml:space="preserve"> 以内，后续道次应逐渐增加压下量，</w:t>
      </w:r>
      <w:r>
        <w:t>每道次压下量在 10</w:t>
      </w:r>
      <w:r>
        <w:rPr>
          <w:rFonts w:hAnsi="宋体" w:hint="eastAsia"/>
        </w:rPr>
        <w:t>％～</w:t>
      </w:r>
      <w:r>
        <w:t>20</w:t>
      </w:r>
      <w:r>
        <w:rPr>
          <w:rFonts w:hAnsi="宋体" w:hint="eastAsia"/>
        </w:rPr>
        <w:t>％</w:t>
      </w:r>
      <w:r>
        <w:rPr>
          <w:rFonts w:hint="eastAsia"/>
        </w:rPr>
        <w:t>，每道次压下量应保持均匀。</w:t>
      </w:r>
      <w:r>
        <w:rPr>
          <w:rFonts w:ascii="MS Gothic" w:eastAsia="MS Gothic" w:hAnsi="MS Gothic" w:cs="MS Gothic" w:hint="eastAsia"/>
        </w:rPr>
        <w:t>​</w:t>
      </w:r>
    </w:p>
    <w:p w:rsidR="00CF7F1B" w:rsidRDefault="003856C1">
      <w:pPr>
        <w:pStyle w:val="affffffffa"/>
        <w:spacing w:line="288" w:lineRule="auto"/>
      </w:pPr>
      <w:r>
        <w:rPr>
          <w:rFonts w:hint="eastAsia"/>
        </w:rPr>
        <w:t>轧制力波动范围应控制在设定值的 ±3</w:t>
      </w:r>
      <w:r>
        <w:rPr>
          <w:rFonts w:hAnsi="宋体" w:hint="eastAsia"/>
        </w:rPr>
        <w:t>％</w:t>
      </w:r>
      <w:r>
        <w:t xml:space="preserve"> </w:t>
      </w:r>
      <w:r>
        <w:rPr>
          <w:rFonts w:hint="eastAsia"/>
        </w:rPr>
        <w:t>应根据不同的轧制阶段和带材厚度，合理调整轧制力。</w:t>
      </w:r>
    </w:p>
    <w:p w:rsidR="00CF7F1B" w:rsidRDefault="003856C1">
      <w:pPr>
        <w:pStyle w:val="affffffffa"/>
        <w:spacing w:line="288" w:lineRule="auto"/>
      </w:pPr>
      <w:r>
        <w:t>轧制速度应根据带材材质、厚度以及设备能力合理设定，速度波动范围控制在</w:t>
      </w:r>
      <w:r>
        <w:rPr>
          <w:rFonts w:hint="eastAsia"/>
        </w:rPr>
        <w:t xml:space="preserve"> </w:t>
      </w:r>
      <w:r>
        <w:rPr>
          <w:rFonts w:hAnsi="宋体"/>
        </w:rPr>
        <w:t>±</w:t>
      </w:r>
      <w:r>
        <w:t>0.5</w:t>
      </w:r>
      <w:r>
        <w:rPr>
          <w:rFonts w:hint="eastAsia"/>
        </w:rPr>
        <w:t xml:space="preserve"> </w:t>
      </w:r>
      <w:r>
        <w:t>m/min 以内。在轧制过程中，避免速度突变，防止对带材表面质量和板形产生不良影响。</w:t>
      </w:r>
    </w:p>
    <w:p w:rsidR="00CF7F1B" w:rsidRDefault="003856C1">
      <w:pPr>
        <w:pStyle w:val="affe"/>
        <w:spacing w:beforeLines="0" w:before="0" w:afterLines="0" w:after="0" w:line="288" w:lineRule="auto"/>
      </w:pPr>
      <w:r>
        <w:rPr>
          <w:rFonts w:ascii="宋体" w:eastAsia="宋体" w:hint="eastAsia"/>
        </w:rPr>
        <w:t>应配备高精度的 X 射线测厚仪，实时监测带材厚度，厚度偏差控制在 ±0.003 mm 以内。应根据厚度测量反馈信号，自动调整轧辊辊缝，确保产品厚度精度。</w:t>
      </w:r>
    </w:p>
    <w:p w:rsidR="00CF7F1B" w:rsidRDefault="003856C1">
      <w:pPr>
        <w:pStyle w:val="affd"/>
        <w:spacing w:before="120" w:after="120"/>
      </w:pPr>
      <w:r>
        <w:t>清洗</w:t>
      </w:r>
    </w:p>
    <w:p w:rsidR="00CF7F1B" w:rsidRDefault="003856C1">
      <w:pPr>
        <w:pStyle w:val="affffffffa"/>
        <w:spacing w:line="288" w:lineRule="auto"/>
      </w:pPr>
      <w:r>
        <w:rPr>
          <w:rFonts w:hint="eastAsia"/>
        </w:rPr>
        <w:t>冷轧后的不锈钢带应进行清洗，去除表面残留的轧制油、铁屑等杂质。采用碱性脱脂剂进行脱脂清洗，脱脂剂浓度应控制在（30</w:t>
      </w:r>
      <w:r>
        <w:rPr>
          <w:rFonts w:hAnsi="宋体" w:hint="eastAsia"/>
        </w:rPr>
        <w:t>～</w:t>
      </w:r>
      <w:r>
        <w:rPr>
          <w:rFonts w:hint="eastAsia"/>
        </w:rPr>
        <w:t>50）g/L，清洗温度为（50</w:t>
      </w:r>
      <w:r>
        <w:rPr>
          <w:rFonts w:hAnsi="宋体" w:hint="eastAsia"/>
        </w:rPr>
        <w:t>～</w:t>
      </w:r>
      <w:r>
        <w:rPr>
          <w:rFonts w:hint="eastAsia"/>
        </w:rPr>
        <w:t>60）℃，清洗时间不少于 3 min。</w:t>
      </w:r>
    </w:p>
    <w:p w:rsidR="00CF7F1B" w:rsidRDefault="003856C1">
      <w:pPr>
        <w:pStyle w:val="affffffffa"/>
        <w:spacing w:line="288" w:lineRule="auto"/>
      </w:pPr>
      <w:r>
        <w:rPr>
          <w:rFonts w:hint="eastAsia"/>
        </w:rPr>
        <w:t>脱脂后应用清水进行多道次漂洗，确保带材表面无脱脂剂残留，</w:t>
      </w:r>
      <w:r>
        <w:t>漂洗水的电导率应小于 10</w:t>
      </w:r>
      <w:r>
        <w:rPr>
          <w:rFonts w:hint="eastAsia"/>
        </w:rPr>
        <w:t xml:space="preserve"> </w:t>
      </w:r>
      <w:r>
        <w:t>μ</w:t>
      </w:r>
      <w:r>
        <w:t>S/cm。</w:t>
      </w:r>
    </w:p>
    <w:p w:rsidR="00CF7F1B" w:rsidRDefault="003856C1">
      <w:pPr>
        <w:pStyle w:val="affffffffa"/>
        <w:spacing w:line="288" w:lineRule="auto"/>
      </w:pPr>
      <w:r>
        <w:rPr>
          <w:rFonts w:hint="eastAsia"/>
        </w:rPr>
        <w:t>清洗后应采用热风干燥，</w:t>
      </w:r>
      <w:r>
        <w:t>干燥温度应控制在（</w:t>
      </w:r>
      <w:r>
        <w:rPr>
          <w:rFonts w:hint="eastAsia"/>
        </w:rPr>
        <w:t>80</w:t>
      </w:r>
      <w:r>
        <w:rPr>
          <w:rFonts w:hAnsi="宋体" w:hint="eastAsia"/>
        </w:rPr>
        <w:t>～</w:t>
      </w:r>
      <w:r>
        <w:rPr>
          <w:rFonts w:hint="eastAsia"/>
        </w:rPr>
        <w:t>100</w:t>
      </w:r>
      <w:r>
        <w:t>）</w:t>
      </w:r>
      <w:r>
        <w:rPr>
          <w:rFonts w:hint="eastAsia"/>
        </w:rPr>
        <w:t>℃</w:t>
      </w:r>
      <w:r>
        <w:t>，风速控制在（</w:t>
      </w:r>
      <w:r>
        <w:rPr>
          <w:rFonts w:hint="eastAsia"/>
        </w:rPr>
        <w:t>10</w:t>
      </w:r>
      <w:r>
        <w:rPr>
          <w:rFonts w:hAnsi="宋体" w:hint="eastAsia"/>
        </w:rPr>
        <w:t>～</w:t>
      </w:r>
      <w:r>
        <w:rPr>
          <w:rFonts w:hint="eastAsia"/>
        </w:rPr>
        <w:t>15</w:t>
      </w:r>
      <w:r>
        <w:t>）m/s。</w:t>
      </w:r>
      <w:r>
        <w:rPr>
          <w:rFonts w:hint="eastAsia"/>
        </w:rPr>
        <w:t>清洗完成的不锈钢带应无水分残留。</w:t>
      </w:r>
    </w:p>
    <w:p w:rsidR="00CF7F1B" w:rsidRDefault="003856C1">
      <w:pPr>
        <w:pStyle w:val="affd"/>
        <w:spacing w:before="120" w:after="120"/>
      </w:pPr>
      <w:r>
        <w:t>退火</w:t>
      </w:r>
    </w:p>
    <w:p w:rsidR="00CF7F1B" w:rsidRDefault="003856C1">
      <w:pPr>
        <w:pStyle w:val="affffffffa"/>
        <w:spacing w:line="288" w:lineRule="auto"/>
      </w:pPr>
      <w:r>
        <w:rPr>
          <w:rFonts w:hint="eastAsia"/>
        </w:rPr>
        <w:t>应根据不锈钢带的材质和冷轧加工硬化程度，选择合适的退火方式，如连续退火或间歇退火：</w:t>
      </w:r>
    </w:p>
    <w:p w:rsidR="00CF7F1B" w:rsidRDefault="003856C1">
      <w:pPr>
        <w:pStyle w:val="af5"/>
        <w:numPr>
          <w:ilvl w:val="0"/>
          <w:numId w:val="37"/>
        </w:numPr>
        <w:spacing w:line="288" w:lineRule="auto"/>
      </w:pPr>
      <w:r>
        <w:rPr>
          <w:rFonts w:hint="eastAsia"/>
        </w:rPr>
        <w:t>连续退火适用于大规模生产，能提高生产效率和产品质量稳定性；</w:t>
      </w:r>
    </w:p>
    <w:p w:rsidR="00CF7F1B" w:rsidRDefault="003856C1">
      <w:pPr>
        <w:pStyle w:val="af5"/>
        <w:spacing w:line="288" w:lineRule="auto"/>
      </w:pPr>
      <w:r>
        <w:rPr>
          <w:rFonts w:hint="eastAsia"/>
        </w:rPr>
        <w:t>间歇退火适用于小批量、多品种生产。</w:t>
      </w:r>
      <w:r>
        <w:rPr>
          <w:rFonts w:ascii="MS Gothic" w:eastAsia="MS Gothic" w:hAnsi="MS Gothic" w:cs="MS Gothic" w:hint="eastAsia"/>
        </w:rPr>
        <w:t>​</w:t>
      </w:r>
    </w:p>
    <w:p w:rsidR="00CF7F1B" w:rsidRDefault="003856C1">
      <w:pPr>
        <w:pStyle w:val="affffffffa"/>
        <w:spacing w:line="288" w:lineRule="auto"/>
      </w:pPr>
      <w:r>
        <w:rPr>
          <w:rFonts w:hint="eastAsia"/>
        </w:rPr>
        <w:t>应精确控制退火温度，退火温度偏差应控制在 ±10℃ 以内。</w:t>
      </w:r>
      <w:r>
        <w:rPr>
          <w:rFonts w:ascii="MS Gothic" w:eastAsia="MS Gothic" w:hAnsi="MS Gothic" w:cs="MS Gothic" w:hint="eastAsia"/>
        </w:rPr>
        <w:t>​</w:t>
      </w:r>
    </w:p>
    <w:p w:rsidR="00CF7F1B" w:rsidRDefault="003856C1">
      <w:pPr>
        <w:pStyle w:val="affffffffa"/>
        <w:spacing w:line="288" w:lineRule="auto"/>
      </w:pPr>
      <w:r>
        <w:rPr>
          <w:rFonts w:hint="eastAsia"/>
        </w:rPr>
        <w:t>退火时间应根据带材厚度、炉内气氛以及加热速度等因素合理确定，确保带材充分消除加工硬化，恢复良好的塑性和韧性。</w:t>
      </w:r>
    </w:p>
    <w:p w:rsidR="00CF7F1B" w:rsidRDefault="003856C1">
      <w:pPr>
        <w:pStyle w:val="affffffffa"/>
        <w:spacing w:line="288" w:lineRule="auto"/>
      </w:pPr>
      <w:r>
        <w:rPr>
          <w:rFonts w:hint="eastAsia"/>
        </w:rPr>
        <w:t>不锈钢包边料退火技术要求按表 1 执行。</w:t>
      </w:r>
    </w:p>
    <w:p w:rsidR="00CF7F1B" w:rsidRDefault="00CF7F1B">
      <w:pPr>
        <w:pStyle w:val="affd"/>
        <w:numPr>
          <w:ilvl w:val="0"/>
          <w:numId w:val="0"/>
        </w:numPr>
        <w:spacing w:before="120" w:after="120"/>
      </w:pPr>
    </w:p>
    <w:p w:rsidR="00CF7F1B" w:rsidRDefault="00CF7F1B">
      <w:pPr>
        <w:pStyle w:val="affffe"/>
        <w:ind w:firstLine="420"/>
      </w:pPr>
    </w:p>
    <w:p w:rsidR="00CF7F1B" w:rsidRDefault="003856C1">
      <w:pPr>
        <w:pStyle w:val="aff2"/>
        <w:spacing w:before="120" w:after="120"/>
      </w:pPr>
      <w:r>
        <w:rPr>
          <w:rFonts w:hint="eastAsia"/>
        </w:rPr>
        <w:lastRenderedPageBreak/>
        <w:t>退火技术要求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2"/>
        <w:gridCol w:w="1878"/>
        <w:gridCol w:w="1876"/>
        <w:gridCol w:w="1874"/>
      </w:tblGrid>
      <w:tr w:rsidR="00CF7F1B">
        <w:trPr>
          <w:tblHeader/>
          <w:jc w:val="center"/>
        </w:trPr>
        <w:tc>
          <w:tcPr>
            <w:tcW w:w="1874" w:type="dxa"/>
            <w:tcBorders>
              <w:top w:val="single" w:sz="8" w:space="0" w:color="auto"/>
              <w:bottom w:val="single" w:sz="8" w:space="0" w:color="auto"/>
            </w:tcBorders>
            <w:shd w:val="clear" w:color="auto" w:fill="auto"/>
            <w:vAlign w:val="center"/>
          </w:tcPr>
          <w:p w:rsidR="00CF7F1B" w:rsidRDefault="003856C1">
            <w:pPr>
              <w:pStyle w:val="afffffffff2"/>
            </w:pPr>
            <w:r>
              <w:rPr>
                <w:rFonts w:hint="eastAsia"/>
              </w:rPr>
              <w:t>材质</w:t>
            </w:r>
          </w:p>
        </w:tc>
        <w:tc>
          <w:tcPr>
            <w:tcW w:w="1872" w:type="dxa"/>
            <w:tcBorders>
              <w:top w:val="single" w:sz="8" w:space="0" w:color="auto"/>
              <w:bottom w:val="single" w:sz="8" w:space="0" w:color="auto"/>
            </w:tcBorders>
            <w:shd w:val="clear" w:color="auto" w:fill="auto"/>
            <w:vAlign w:val="center"/>
          </w:tcPr>
          <w:p w:rsidR="00CF7F1B" w:rsidRDefault="003856C1">
            <w:pPr>
              <w:pStyle w:val="afffffffff2"/>
            </w:pPr>
            <w:r>
              <w:rPr>
                <w:rFonts w:hint="eastAsia"/>
              </w:rPr>
              <w:t>品种</w:t>
            </w:r>
          </w:p>
        </w:tc>
        <w:tc>
          <w:tcPr>
            <w:tcW w:w="1878" w:type="dxa"/>
            <w:tcBorders>
              <w:top w:val="single" w:sz="8" w:space="0" w:color="auto"/>
              <w:bottom w:val="single" w:sz="8" w:space="0" w:color="auto"/>
            </w:tcBorders>
            <w:shd w:val="clear" w:color="auto" w:fill="auto"/>
            <w:vAlign w:val="center"/>
          </w:tcPr>
          <w:p w:rsidR="00CF7F1B" w:rsidRDefault="003856C1">
            <w:pPr>
              <w:pStyle w:val="afffffffff2"/>
            </w:pPr>
            <w:r>
              <w:rPr>
                <w:rFonts w:hint="eastAsia"/>
              </w:rPr>
              <w:t>硬度 HV</w:t>
            </w:r>
          </w:p>
        </w:tc>
        <w:tc>
          <w:tcPr>
            <w:tcW w:w="1876" w:type="dxa"/>
            <w:tcBorders>
              <w:top w:val="single" w:sz="8" w:space="0" w:color="auto"/>
              <w:bottom w:val="single" w:sz="8" w:space="0" w:color="auto"/>
            </w:tcBorders>
            <w:shd w:val="clear" w:color="auto" w:fill="auto"/>
            <w:vAlign w:val="center"/>
          </w:tcPr>
          <w:p w:rsidR="00CF7F1B" w:rsidRDefault="003856C1">
            <w:pPr>
              <w:pStyle w:val="afffffffff2"/>
            </w:pPr>
            <w:r>
              <w:rPr>
                <w:rFonts w:hint="eastAsia"/>
              </w:rPr>
              <w:t>厚度</w:t>
            </w:r>
          </w:p>
        </w:tc>
        <w:tc>
          <w:tcPr>
            <w:tcW w:w="1874" w:type="dxa"/>
            <w:tcBorders>
              <w:top w:val="single" w:sz="8" w:space="0" w:color="auto"/>
              <w:bottom w:val="single" w:sz="8" w:space="0" w:color="auto"/>
            </w:tcBorders>
            <w:shd w:val="clear" w:color="auto" w:fill="auto"/>
            <w:vAlign w:val="center"/>
          </w:tcPr>
          <w:p w:rsidR="00CF7F1B" w:rsidRDefault="003856C1">
            <w:pPr>
              <w:pStyle w:val="afffffffff2"/>
            </w:pPr>
            <w:r>
              <w:rPr>
                <w:rFonts w:hint="eastAsia"/>
              </w:rPr>
              <w:t>亮度</w:t>
            </w:r>
          </w:p>
        </w:tc>
      </w:tr>
      <w:tr w:rsidR="00CF7F1B">
        <w:trPr>
          <w:jc w:val="center"/>
        </w:trPr>
        <w:tc>
          <w:tcPr>
            <w:tcW w:w="1874" w:type="dxa"/>
            <w:tcBorders>
              <w:top w:val="single" w:sz="8" w:space="0" w:color="auto"/>
            </w:tcBorders>
            <w:shd w:val="clear" w:color="auto" w:fill="auto"/>
            <w:vAlign w:val="center"/>
          </w:tcPr>
          <w:p w:rsidR="00CF7F1B" w:rsidRDefault="003856C1">
            <w:pPr>
              <w:pStyle w:val="afffffffff2"/>
            </w:pPr>
            <w:r>
              <w:rPr>
                <w:rFonts w:hint="eastAsia"/>
              </w:rPr>
              <w:t>201</w:t>
            </w:r>
          </w:p>
        </w:tc>
        <w:tc>
          <w:tcPr>
            <w:tcW w:w="1872" w:type="dxa"/>
            <w:tcBorders>
              <w:top w:val="single" w:sz="8" w:space="0" w:color="auto"/>
            </w:tcBorders>
            <w:shd w:val="clear" w:color="auto" w:fill="auto"/>
            <w:vAlign w:val="center"/>
          </w:tcPr>
          <w:p w:rsidR="00CF7F1B" w:rsidRDefault="003856C1">
            <w:pPr>
              <w:pStyle w:val="afffffffff2"/>
            </w:pPr>
            <w:r>
              <w:rPr>
                <w:rFonts w:hint="eastAsia"/>
              </w:rPr>
              <w:t>常规料</w:t>
            </w:r>
          </w:p>
        </w:tc>
        <w:tc>
          <w:tcPr>
            <w:tcW w:w="1878" w:type="dxa"/>
            <w:tcBorders>
              <w:top w:val="single" w:sz="8" w:space="0" w:color="auto"/>
            </w:tcBorders>
            <w:shd w:val="clear" w:color="auto" w:fill="auto"/>
            <w:vAlign w:val="center"/>
          </w:tcPr>
          <w:p w:rsidR="00CF7F1B" w:rsidRDefault="003856C1">
            <w:pPr>
              <w:pStyle w:val="afffffffff2"/>
            </w:pPr>
            <w:r>
              <w:rPr>
                <w:rFonts w:hint="eastAsia"/>
              </w:rPr>
              <w:t>220</w:t>
            </w:r>
            <w:r>
              <w:rPr>
                <w:rFonts w:hAnsi="宋体" w:hint="eastAsia"/>
              </w:rPr>
              <w:t>～</w:t>
            </w:r>
            <w:r>
              <w:rPr>
                <w:rFonts w:hint="eastAsia"/>
              </w:rPr>
              <w:t>240</w:t>
            </w:r>
          </w:p>
        </w:tc>
        <w:tc>
          <w:tcPr>
            <w:tcW w:w="1876" w:type="dxa"/>
            <w:tcBorders>
              <w:top w:val="single" w:sz="8" w:space="0" w:color="auto"/>
            </w:tcBorders>
            <w:shd w:val="clear" w:color="auto" w:fill="auto"/>
            <w:vAlign w:val="center"/>
          </w:tcPr>
          <w:p w:rsidR="00CF7F1B" w:rsidRDefault="003856C1">
            <w:pPr>
              <w:pStyle w:val="afffffffff2"/>
            </w:pPr>
            <w:r>
              <w:rPr>
                <w:rFonts w:hint="eastAsia"/>
              </w:rPr>
              <w:t>±0.02</w:t>
            </w:r>
          </w:p>
        </w:tc>
        <w:tc>
          <w:tcPr>
            <w:tcW w:w="1874" w:type="dxa"/>
            <w:tcBorders>
              <w:top w:val="single" w:sz="8" w:space="0" w:color="auto"/>
            </w:tcBorders>
            <w:shd w:val="clear" w:color="auto" w:fill="auto"/>
            <w:vAlign w:val="center"/>
          </w:tcPr>
          <w:p w:rsidR="00CF7F1B" w:rsidRDefault="003856C1">
            <w:pPr>
              <w:pStyle w:val="afffffffff2"/>
            </w:pPr>
            <w:r>
              <w:rPr>
                <w:rFonts w:hint="eastAsia"/>
              </w:rPr>
              <w:t>170 度以上</w:t>
            </w:r>
          </w:p>
        </w:tc>
      </w:tr>
      <w:tr w:rsidR="00CF7F1B">
        <w:trPr>
          <w:jc w:val="center"/>
        </w:trPr>
        <w:tc>
          <w:tcPr>
            <w:tcW w:w="1874" w:type="dxa"/>
            <w:shd w:val="clear" w:color="auto" w:fill="auto"/>
            <w:vAlign w:val="center"/>
          </w:tcPr>
          <w:p w:rsidR="00CF7F1B" w:rsidRDefault="003856C1">
            <w:pPr>
              <w:pStyle w:val="afffffffff2"/>
            </w:pPr>
            <w:r>
              <w:rPr>
                <w:rFonts w:hint="eastAsia"/>
              </w:rPr>
              <w:t>201</w:t>
            </w:r>
          </w:p>
        </w:tc>
        <w:tc>
          <w:tcPr>
            <w:tcW w:w="1872" w:type="dxa"/>
            <w:shd w:val="clear" w:color="auto" w:fill="auto"/>
            <w:vAlign w:val="center"/>
          </w:tcPr>
          <w:p w:rsidR="00CF7F1B" w:rsidRDefault="003856C1">
            <w:pPr>
              <w:pStyle w:val="afffffffff2"/>
            </w:pPr>
            <w:r>
              <w:rPr>
                <w:rFonts w:hint="eastAsia"/>
              </w:rPr>
              <w:t>常规料</w:t>
            </w:r>
          </w:p>
        </w:tc>
        <w:tc>
          <w:tcPr>
            <w:tcW w:w="1878" w:type="dxa"/>
            <w:shd w:val="clear" w:color="auto" w:fill="auto"/>
            <w:vAlign w:val="center"/>
          </w:tcPr>
          <w:p w:rsidR="00CF7F1B" w:rsidRDefault="003856C1">
            <w:pPr>
              <w:pStyle w:val="afffffffff2"/>
            </w:pPr>
            <w:r>
              <w:rPr>
                <w:rFonts w:hint="eastAsia"/>
              </w:rPr>
              <w:t>190</w:t>
            </w:r>
            <w:r>
              <w:rPr>
                <w:rFonts w:hAnsi="宋体" w:hint="eastAsia"/>
              </w:rPr>
              <w:t>～250</w:t>
            </w:r>
          </w:p>
        </w:tc>
        <w:tc>
          <w:tcPr>
            <w:tcW w:w="1876" w:type="dxa"/>
            <w:shd w:val="clear" w:color="auto" w:fill="auto"/>
            <w:vAlign w:val="center"/>
          </w:tcPr>
          <w:p w:rsidR="00CF7F1B" w:rsidRDefault="003856C1">
            <w:pPr>
              <w:pStyle w:val="afffffffff2"/>
            </w:pPr>
            <w:r>
              <w:rPr>
                <w:rFonts w:hint="eastAsia"/>
              </w:rPr>
              <w:t>±0.03</w:t>
            </w:r>
          </w:p>
        </w:tc>
        <w:tc>
          <w:tcPr>
            <w:tcW w:w="1874" w:type="dxa"/>
            <w:shd w:val="clear" w:color="auto" w:fill="auto"/>
            <w:vAlign w:val="center"/>
          </w:tcPr>
          <w:p w:rsidR="00CF7F1B" w:rsidRDefault="003856C1">
            <w:pPr>
              <w:pStyle w:val="afffffffff2"/>
            </w:pPr>
            <w:r>
              <w:rPr>
                <w:rFonts w:hint="eastAsia"/>
              </w:rPr>
              <w:t>150 度以上</w:t>
            </w:r>
          </w:p>
        </w:tc>
      </w:tr>
      <w:tr w:rsidR="00CF7F1B">
        <w:trPr>
          <w:jc w:val="center"/>
        </w:trPr>
        <w:tc>
          <w:tcPr>
            <w:tcW w:w="1874" w:type="dxa"/>
            <w:shd w:val="clear" w:color="auto" w:fill="auto"/>
            <w:vAlign w:val="center"/>
          </w:tcPr>
          <w:p w:rsidR="00CF7F1B" w:rsidRDefault="003856C1">
            <w:pPr>
              <w:pStyle w:val="afffffffff2"/>
            </w:pPr>
            <w:r>
              <w:rPr>
                <w:rFonts w:hint="eastAsia"/>
              </w:rPr>
              <w:t>201</w:t>
            </w:r>
          </w:p>
        </w:tc>
        <w:tc>
          <w:tcPr>
            <w:tcW w:w="1872" w:type="dxa"/>
            <w:shd w:val="clear" w:color="auto" w:fill="auto"/>
            <w:vAlign w:val="center"/>
          </w:tcPr>
          <w:p w:rsidR="00CF7F1B" w:rsidRDefault="003856C1">
            <w:pPr>
              <w:pStyle w:val="afffffffff2"/>
            </w:pPr>
            <w:r>
              <w:rPr>
                <w:rFonts w:hint="eastAsia"/>
              </w:rPr>
              <w:t>常规料</w:t>
            </w:r>
          </w:p>
        </w:tc>
        <w:tc>
          <w:tcPr>
            <w:tcW w:w="1878" w:type="dxa"/>
            <w:shd w:val="clear" w:color="auto" w:fill="auto"/>
            <w:vAlign w:val="center"/>
          </w:tcPr>
          <w:p w:rsidR="00CF7F1B" w:rsidRDefault="003856C1">
            <w:pPr>
              <w:pStyle w:val="afffffffff2"/>
            </w:pPr>
            <w:r>
              <w:rPr>
                <w:rFonts w:hint="eastAsia"/>
              </w:rPr>
              <w:t>190</w:t>
            </w:r>
            <w:r>
              <w:rPr>
                <w:rFonts w:hAnsi="宋体" w:hint="eastAsia"/>
              </w:rPr>
              <w:t>～235</w:t>
            </w:r>
          </w:p>
        </w:tc>
        <w:tc>
          <w:tcPr>
            <w:tcW w:w="1876" w:type="dxa"/>
            <w:shd w:val="clear" w:color="auto" w:fill="auto"/>
            <w:vAlign w:val="center"/>
          </w:tcPr>
          <w:p w:rsidR="00CF7F1B" w:rsidRDefault="003856C1">
            <w:pPr>
              <w:pStyle w:val="afffffffff2"/>
            </w:pPr>
            <w:r>
              <w:rPr>
                <w:rFonts w:hint="eastAsia"/>
              </w:rPr>
              <w:t>±0.03</w:t>
            </w:r>
          </w:p>
        </w:tc>
        <w:tc>
          <w:tcPr>
            <w:tcW w:w="1874" w:type="dxa"/>
            <w:shd w:val="clear" w:color="auto" w:fill="auto"/>
            <w:vAlign w:val="center"/>
          </w:tcPr>
          <w:p w:rsidR="00CF7F1B" w:rsidRDefault="003856C1">
            <w:pPr>
              <w:pStyle w:val="afffffffff2"/>
            </w:pPr>
            <w:r>
              <w:rPr>
                <w:rFonts w:hint="eastAsia"/>
              </w:rPr>
              <w:t>160 度以上</w:t>
            </w:r>
          </w:p>
        </w:tc>
      </w:tr>
      <w:tr w:rsidR="00CF7F1B">
        <w:trPr>
          <w:jc w:val="center"/>
        </w:trPr>
        <w:tc>
          <w:tcPr>
            <w:tcW w:w="1874" w:type="dxa"/>
            <w:shd w:val="clear" w:color="auto" w:fill="auto"/>
            <w:vAlign w:val="center"/>
          </w:tcPr>
          <w:p w:rsidR="00CF7F1B" w:rsidRDefault="003856C1">
            <w:pPr>
              <w:pStyle w:val="afffffffff2"/>
            </w:pPr>
            <w:r>
              <w:rPr>
                <w:rFonts w:hint="eastAsia"/>
              </w:rPr>
              <w:t>304</w:t>
            </w:r>
          </w:p>
        </w:tc>
        <w:tc>
          <w:tcPr>
            <w:tcW w:w="1872" w:type="dxa"/>
            <w:shd w:val="clear" w:color="auto" w:fill="auto"/>
            <w:vAlign w:val="center"/>
          </w:tcPr>
          <w:p w:rsidR="00CF7F1B" w:rsidRDefault="003856C1">
            <w:pPr>
              <w:pStyle w:val="afffffffff2"/>
            </w:pPr>
            <w:r>
              <w:rPr>
                <w:rFonts w:hint="eastAsia"/>
              </w:rPr>
              <w:t>特殊料</w:t>
            </w:r>
          </w:p>
        </w:tc>
        <w:tc>
          <w:tcPr>
            <w:tcW w:w="1878" w:type="dxa"/>
            <w:shd w:val="clear" w:color="auto" w:fill="auto"/>
            <w:vAlign w:val="center"/>
          </w:tcPr>
          <w:p w:rsidR="00CF7F1B" w:rsidRDefault="003856C1">
            <w:pPr>
              <w:pStyle w:val="afffffffff2"/>
            </w:pPr>
            <w:r>
              <w:rPr>
                <w:rFonts w:hint="eastAsia"/>
              </w:rPr>
              <w:t>155</w:t>
            </w:r>
            <w:r>
              <w:rPr>
                <w:rFonts w:hAnsi="宋体" w:hint="eastAsia"/>
              </w:rPr>
              <w:t>～160</w:t>
            </w:r>
          </w:p>
        </w:tc>
        <w:tc>
          <w:tcPr>
            <w:tcW w:w="1876" w:type="dxa"/>
            <w:shd w:val="clear" w:color="auto" w:fill="auto"/>
            <w:vAlign w:val="center"/>
          </w:tcPr>
          <w:p w:rsidR="00CF7F1B" w:rsidRDefault="003856C1">
            <w:pPr>
              <w:pStyle w:val="afffffffff2"/>
            </w:pPr>
            <w:r>
              <w:rPr>
                <w:rFonts w:hint="eastAsia"/>
              </w:rPr>
              <w:t>±0.02</w:t>
            </w:r>
          </w:p>
        </w:tc>
        <w:tc>
          <w:tcPr>
            <w:tcW w:w="1874" w:type="dxa"/>
            <w:shd w:val="clear" w:color="auto" w:fill="auto"/>
            <w:vAlign w:val="center"/>
          </w:tcPr>
          <w:p w:rsidR="00CF7F1B" w:rsidRDefault="003856C1">
            <w:pPr>
              <w:pStyle w:val="afffffffff2"/>
            </w:pPr>
            <w:r>
              <w:rPr>
                <w:rFonts w:hint="eastAsia"/>
              </w:rPr>
              <w:t>350 度以上</w:t>
            </w:r>
          </w:p>
        </w:tc>
      </w:tr>
    </w:tbl>
    <w:p w:rsidR="00CF7F1B" w:rsidRDefault="003856C1">
      <w:pPr>
        <w:pStyle w:val="affd"/>
        <w:spacing w:before="120" w:after="120"/>
      </w:pPr>
      <w:r>
        <w:t>拉矫</w:t>
      </w:r>
    </w:p>
    <w:p w:rsidR="00CF7F1B" w:rsidRDefault="003856C1">
      <w:pPr>
        <w:pStyle w:val="affffe"/>
        <w:spacing w:line="288" w:lineRule="auto"/>
        <w:ind w:firstLine="420"/>
      </w:pPr>
      <w:r>
        <w:rPr>
          <w:rFonts w:hint="eastAsia"/>
        </w:rPr>
        <w:t>退火后的不锈钢带应通过拉矫机进行板形矫。拉矫过程中，应实时监测带材的板形，通过调整拉矫机的辊缝、张力等参数，消除带材的浪形、瓢曲等板形缺陷，使带材的平直度达到 1.0I 单位以内。</w:t>
      </w:r>
    </w:p>
    <w:p w:rsidR="00CF7F1B" w:rsidRDefault="003856C1">
      <w:pPr>
        <w:pStyle w:val="affd"/>
        <w:spacing w:before="120" w:after="120"/>
      </w:pPr>
      <w:r>
        <w:t>分条</w:t>
      </w:r>
    </w:p>
    <w:p w:rsidR="00CF7F1B" w:rsidRDefault="003856C1">
      <w:pPr>
        <w:pStyle w:val="affffffffa"/>
        <w:spacing w:line="288" w:lineRule="auto"/>
      </w:pPr>
      <w:r>
        <w:rPr>
          <w:rFonts w:hint="eastAsia"/>
        </w:rPr>
        <w:t xml:space="preserve">应根据客户需求确定分条宽度，分条宽度偏差应控制在 ±5 </w:t>
      </w:r>
      <w:r>
        <w:t xml:space="preserve">mm </w:t>
      </w:r>
      <w:r>
        <w:rPr>
          <w:rFonts w:hint="eastAsia"/>
        </w:rPr>
        <w:t>以内。分条前应检查分条刀具的锋利度和安装精度，刀具的刃口磨损量不应超过</w:t>
      </w:r>
      <w:r>
        <w:t xml:space="preserve"> 0.02</w:t>
      </w:r>
      <w:r>
        <w:rPr>
          <w:rFonts w:hint="eastAsia"/>
        </w:rPr>
        <w:t xml:space="preserve"> </w:t>
      </w:r>
      <w:r>
        <w:t>mm</w:t>
      </w:r>
      <w:r>
        <w:rPr>
          <w:rFonts w:hint="eastAsia"/>
        </w:rPr>
        <w:t>。</w:t>
      </w:r>
      <w:r>
        <w:rPr>
          <w:rFonts w:ascii="MS Gothic" w:eastAsia="MS Gothic" w:hAnsi="MS Gothic" w:cs="MS Gothic" w:hint="eastAsia"/>
        </w:rPr>
        <w:t>​</w:t>
      </w:r>
    </w:p>
    <w:p w:rsidR="00CF7F1B" w:rsidRDefault="003856C1">
      <w:pPr>
        <w:pStyle w:val="affffffffa"/>
        <w:spacing w:line="288" w:lineRule="auto"/>
      </w:pPr>
      <w:r>
        <w:rPr>
          <w:rFonts w:hint="eastAsia"/>
        </w:rPr>
        <w:t>分条过程中，应控制分条速度，保持张力稳定，防止带材边缘出现毛刺、卷边等缺陷。</w:t>
      </w:r>
    </w:p>
    <w:p w:rsidR="00CF7F1B" w:rsidRDefault="003856C1">
      <w:pPr>
        <w:pStyle w:val="affffffffa"/>
        <w:spacing w:line="288" w:lineRule="auto"/>
      </w:pPr>
      <w:r>
        <w:rPr>
          <w:rFonts w:hint="eastAsia"/>
        </w:rPr>
        <w:t>分条后应对带材边缘进行检查，边缘应光滑、无裂纹。</w:t>
      </w:r>
    </w:p>
    <w:p w:rsidR="00CF7F1B" w:rsidRDefault="003856C1">
      <w:pPr>
        <w:pStyle w:val="affd"/>
        <w:spacing w:before="120" w:after="120"/>
      </w:pPr>
      <w:r>
        <w:t>包装</w:t>
      </w:r>
    </w:p>
    <w:p w:rsidR="00CF7F1B" w:rsidRDefault="003856C1">
      <w:pPr>
        <w:pStyle w:val="affffffffa"/>
        <w:spacing w:line="288" w:lineRule="auto"/>
      </w:pPr>
      <w:r>
        <w:rPr>
          <w:rFonts w:hint="eastAsia"/>
        </w:rPr>
        <w:t>钢带采用三层包装，内层为防锈纸紧密贴合钢带表面，中层为塑料薄膜包裹，外层为厚度不小于</w:t>
      </w:r>
      <w:r>
        <w:t xml:space="preserve"> 3</w:t>
      </w:r>
      <w:r>
        <w:rPr>
          <w:rFonts w:hint="eastAsia"/>
        </w:rPr>
        <w:t xml:space="preserve"> </w:t>
      </w:r>
      <w:r>
        <w:t xml:space="preserve">mm </w:t>
      </w:r>
      <w:r>
        <w:rPr>
          <w:rFonts w:hint="eastAsia"/>
        </w:rPr>
        <w:t>的木箱。内包装确保无空气残留，防止在运输和贮存过程中产生锈蚀和划伤。</w:t>
      </w:r>
      <w:r>
        <w:rPr>
          <w:rFonts w:ascii="MS Gothic" w:eastAsia="MS Gothic" w:hAnsi="MS Gothic" w:cs="MS Gothic" w:hint="eastAsia"/>
        </w:rPr>
        <w:t>​</w:t>
      </w:r>
    </w:p>
    <w:p w:rsidR="00CF7F1B" w:rsidRDefault="003856C1">
      <w:pPr>
        <w:pStyle w:val="affffffffa"/>
        <w:spacing w:line="288" w:lineRule="auto"/>
      </w:pPr>
      <w:r>
        <w:rPr>
          <w:rFonts w:hint="eastAsia"/>
        </w:rPr>
        <w:t>外包装木箱应牢固，通过钢带打包固定，能满足长途运输的要求。</w:t>
      </w:r>
    </w:p>
    <w:p w:rsidR="00CF7F1B" w:rsidRDefault="003856C1">
      <w:pPr>
        <w:pStyle w:val="affffffffa"/>
        <w:spacing w:line="288" w:lineRule="auto"/>
      </w:pPr>
      <w:r>
        <w:rPr>
          <w:rFonts w:hint="eastAsia"/>
        </w:rPr>
        <w:t>包装箱外部应标注产品规格（厚度×宽度×长度）、数量、重量、生产厂家、生产日期等信息，同时按 GB/T 191 的规定选择使用“防潮”“轻放”“向上” 等包装储运图示。</w:t>
      </w:r>
    </w:p>
    <w:p w:rsidR="00CF7F1B" w:rsidRDefault="003856C1">
      <w:pPr>
        <w:pStyle w:val="affc"/>
        <w:spacing w:before="240" w:after="240"/>
      </w:pPr>
      <w:bookmarkStart w:id="62" w:name="_Toc197776934"/>
      <w:bookmarkStart w:id="63" w:name="_Toc197778334"/>
      <w:r>
        <w:t>质量控制</w:t>
      </w:r>
      <w:bookmarkEnd w:id="62"/>
      <w:bookmarkEnd w:id="63"/>
    </w:p>
    <w:p w:rsidR="00CF7F1B" w:rsidRDefault="003856C1">
      <w:pPr>
        <w:pStyle w:val="affd"/>
        <w:spacing w:before="120" w:after="120"/>
      </w:pPr>
      <w:r>
        <w:rPr>
          <w:rFonts w:hint="eastAsia"/>
        </w:rPr>
        <w:t>原材料控制</w:t>
      </w:r>
    </w:p>
    <w:p w:rsidR="00CF7F1B" w:rsidRDefault="003856C1">
      <w:pPr>
        <w:pStyle w:val="affffe"/>
        <w:spacing w:line="288" w:lineRule="auto"/>
        <w:ind w:firstLine="420"/>
      </w:pPr>
      <w:r>
        <w:rPr>
          <w:rFonts w:hint="eastAsia"/>
        </w:rPr>
        <w:t>原材料进厂应检测入库验收证原料元素成分、组织结构、厚度、宽度和重量应符合合同要求。</w:t>
      </w:r>
    </w:p>
    <w:p w:rsidR="00CF7F1B" w:rsidRDefault="003856C1">
      <w:pPr>
        <w:pStyle w:val="affd"/>
        <w:spacing w:before="120" w:after="120"/>
      </w:pPr>
      <w:r>
        <w:t>过程检验</w:t>
      </w:r>
    </w:p>
    <w:p w:rsidR="00CF7F1B" w:rsidRDefault="003856C1">
      <w:pPr>
        <w:pStyle w:val="affe"/>
        <w:spacing w:beforeLines="0" w:before="0" w:afterLines="0" w:after="0" w:line="288" w:lineRule="auto"/>
      </w:pPr>
      <w:r>
        <w:rPr>
          <w:rFonts w:ascii="宋体" w:eastAsia="宋体" w:hint="eastAsia"/>
        </w:rPr>
        <w:t>每道工序应采用自检、互检和专检方案，使用工序控制流程卡跟踪加工过程。</w:t>
      </w:r>
    </w:p>
    <w:p w:rsidR="00CF7F1B" w:rsidRDefault="003856C1">
      <w:pPr>
        <w:pStyle w:val="affffffffa"/>
        <w:spacing w:line="288" w:lineRule="auto"/>
      </w:pPr>
      <w:r>
        <w:rPr>
          <w:rFonts w:hint="eastAsia"/>
        </w:rPr>
        <w:t>在冷轧、清洗、退火、拉矫、分条等各生产环节，应定期对带材的厚度、宽度、板形、表面质量等进行测量和检查，记录关键工艺参数和检验结果。</w:t>
      </w:r>
      <w:r>
        <w:rPr>
          <w:rFonts w:ascii="MS Gothic" w:eastAsia="MS Gothic" w:hAnsi="MS Gothic" w:cs="MS Gothic" w:hint="eastAsia"/>
        </w:rPr>
        <w:t>​</w:t>
      </w:r>
    </w:p>
    <w:p w:rsidR="00CF7F1B" w:rsidRDefault="003856C1">
      <w:pPr>
        <w:pStyle w:val="affffffffa"/>
        <w:spacing w:line="288" w:lineRule="auto"/>
      </w:pPr>
      <w:r>
        <w:rPr>
          <w:rFonts w:hint="eastAsia"/>
        </w:rPr>
        <w:t>应检查退火后的带材硬度，每批产品至少抽检</w:t>
      </w:r>
      <w:r>
        <w:t xml:space="preserve"> 3 </w:t>
      </w:r>
      <w:r>
        <w:rPr>
          <w:rFonts w:hint="eastAsia"/>
        </w:rPr>
        <w:t>个试样进行硬度测试。</w:t>
      </w:r>
      <w:r>
        <w:rPr>
          <w:rFonts w:ascii="MS Gothic" w:eastAsia="MS Gothic" w:hAnsi="MS Gothic" w:cs="MS Gothic" w:hint="eastAsia"/>
        </w:rPr>
        <w:t>​</w:t>
      </w:r>
    </w:p>
    <w:p w:rsidR="00CF7F1B" w:rsidRDefault="003856C1">
      <w:pPr>
        <w:pStyle w:val="affffffffa"/>
        <w:spacing w:line="288" w:lineRule="auto"/>
      </w:pPr>
      <w:r>
        <w:rPr>
          <w:rFonts w:ascii="MS Gothic" w:eastAsiaTheme="minorEastAsia" w:hAnsi="MS Gothic" w:cs="MS Gothic" w:hint="eastAsia"/>
        </w:rPr>
        <w:t>应</w:t>
      </w:r>
      <w:r>
        <w:rPr>
          <w:rFonts w:hint="eastAsia"/>
        </w:rPr>
        <w:t>观察清洗后带材表面清洁度、拉矫后带材板形和分条后带材边缘质量，对缺陷进行记录和统计，及时调整工艺参数，确保各环节质量符合产品技术文件要求。</w:t>
      </w:r>
    </w:p>
    <w:p w:rsidR="00CF7F1B" w:rsidRDefault="003856C1">
      <w:pPr>
        <w:pStyle w:val="affd"/>
        <w:spacing w:before="120" w:after="120"/>
      </w:pPr>
      <w:r>
        <w:t>成品检验</w:t>
      </w:r>
    </w:p>
    <w:p w:rsidR="00CF7F1B" w:rsidRDefault="003856C1">
      <w:pPr>
        <w:pStyle w:val="affffffffa"/>
        <w:spacing w:line="288" w:lineRule="auto"/>
      </w:pPr>
      <w:r>
        <w:rPr>
          <w:rFonts w:hint="eastAsia"/>
        </w:rPr>
        <w:t>不锈钢带应符合 GB/T 3280—2015 的规定。</w:t>
      </w:r>
    </w:p>
    <w:p w:rsidR="00CF7F1B" w:rsidRDefault="003856C1">
      <w:pPr>
        <w:pStyle w:val="affe"/>
        <w:spacing w:beforeLines="0" w:before="0" w:afterLines="0" w:after="0" w:line="288" w:lineRule="auto"/>
        <w:rPr>
          <w:rFonts w:ascii="宋体" w:eastAsia="宋体"/>
        </w:rPr>
      </w:pPr>
      <w:r>
        <w:rPr>
          <w:rFonts w:ascii="宋体" w:eastAsia="宋体" w:hint="eastAsia"/>
        </w:rPr>
        <w:t>每卷成品钢带应进行全面检验，包括尺寸偏差、力学性能、表面质量等。尺寸偏差应符合 GB/T 3280—2015 的规定；力学性能应符合</w:t>
      </w:r>
      <w:r>
        <w:rPr>
          <w:rFonts w:ascii="宋体" w:eastAsia="宋体"/>
        </w:rPr>
        <w:t xml:space="preserve"> GB/T 228.1 </w:t>
      </w:r>
      <w:r>
        <w:rPr>
          <w:rFonts w:ascii="宋体" w:eastAsia="宋体" w:hint="eastAsia"/>
        </w:rPr>
        <w:t>的要求；表面质量应符合</w:t>
      </w:r>
      <w:r>
        <w:rPr>
          <w:rFonts w:ascii="宋体" w:eastAsia="宋体"/>
        </w:rPr>
        <w:t xml:space="preserve"> GB/T 3280</w:t>
      </w:r>
      <w:r>
        <w:rPr>
          <w:rFonts w:ascii="宋体" w:eastAsia="宋体" w:hint="eastAsia"/>
        </w:rPr>
        <w:t>—2015</w:t>
      </w:r>
      <w:r>
        <w:rPr>
          <w:rFonts w:ascii="宋体" w:eastAsia="宋体"/>
        </w:rPr>
        <w:t xml:space="preserve"> </w:t>
      </w:r>
      <w:r>
        <w:rPr>
          <w:rFonts w:ascii="宋体" w:eastAsia="宋体" w:hint="eastAsia"/>
        </w:rPr>
        <w:t>的规定，表面不应有明显的划伤、麻点、色差等缺陷，表面粗糙度</w:t>
      </w:r>
      <w:r>
        <w:rPr>
          <w:rFonts w:ascii="宋体" w:eastAsia="宋体"/>
        </w:rPr>
        <w:t xml:space="preserve"> </w:t>
      </w:r>
      <w:r>
        <w:rPr>
          <w:rFonts w:ascii="Times New Roman"/>
          <w:i/>
        </w:rPr>
        <w:t>Ra</w:t>
      </w:r>
      <w:r>
        <w:rPr>
          <w:rFonts w:ascii="宋体" w:eastAsia="宋体"/>
        </w:rPr>
        <w:t xml:space="preserve"> </w:t>
      </w:r>
      <w:r>
        <w:rPr>
          <w:rFonts w:ascii="宋体" w:eastAsia="宋体" w:hint="eastAsia"/>
        </w:rPr>
        <w:t>应不大于</w:t>
      </w:r>
      <w:r>
        <w:rPr>
          <w:rFonts w:ascii="宋体" w:eastAsia="宋体"/>
        </w:rPr>
        <w:t xml:space="preserve"> 0.4</w:t>
      </w:r>
      <w:r>
        <w:rPr>
          <w:rFonts w:ascii="宋体" w:eastAsia="宋体" w:hint="eastAsia"/>
        </w:rPr>
        <w:t xml:space="preserve"> </w:t>
      </w:r>
      <w:r>
        <w:rPr>
          <w:rFonts w:ascii="宋体" w:eastAsia="宋体" w:hAnsi="宋体"/>
        </w:rPr>
        <w:t>μm</w:t>
      </w:r>
      <w:r>
        <w:rPr>
          <w:rFonts w:ascii="宋体" w:eastAsia="宋体" w:hint="eastAsia"/>
        </w:rPr>
        <w:t>。</w:t>
      </w:r>
      <w:r>
        <w:rPr>
          <w:rFonts w:ascii="MS Gothic" w:eastAsia="MS Gothic" w:hAnsi="MS Gothic" w:cs="MS Gothic" w:hint="eastAsia"/>
        </w:rPr>
        <w:t>​</w:t>
      </w:r>
    </w:p>
    <w:p w:rsidR="00CF7F1B" w:rsidRDefault="003856C1">
      <w:pPr>
        <w:pStyle w:val="affe"/>
        <w:spacing w:beforeLines="0" w:before="0" w:afterLines="0" w:after="0" w:line="288" w:lineRule="auto"/>
      </w:pPr>
      <w:r>
        <w:rPr>
          <w:rFonts w:ascii="宋体" w:eastAsia="宋体" w:hint="eastAsia"/>
        </w:rPr>
        <w:t>对于有特殊要求的产品，如高耐腐蚀性、高导电性等，应进行相应的特殊性能检测，检测方法和指标应符合客户要求或相关标准规定。</w:t>
      </w:r>
    </w:p>
    <w:p w:rsidR="00CF7F1B" w:rsidRDefault="003856C1">
      <w:pPr>
        <w:pStyle w:val="affc"/>
        <w:spacing w:before="240" w:after="240"/>
      </w:pPr>
      <w:bookmarkStart w:id="64" w:name="_Toc197776935"/>
      <w:bookmarkStart w:id="65" w:name="_Toc197778335"/>
      <w:r>
        <w:lastRenderedPageBreak/>
        <w:t>贮存要求</w:t>
      </w:r>
      <w:bookmarkEnd w:id="64"/>
      <w:bookmarkEnd w:id="65"/>
    </w:p>
    <w:p w:rsidR="00CF7F1B" w:rsidRDefault="003856C1">
      <w:pPr>
        <w:pStyle w:val="affffffff7"/>
        <w:spacing w:line="288" w:lineRule="auto"/>
      </w:pPr>
      <w:r>
        <w:rPr>
          <w:rFonts w:hint="eastAsia"/>
        </w:rPr>
        <w:t>钢带应贮存在干燥、通风良好的仓库内，仓库地面应平整、无积水，环境湿度控制在</w:t>
      </w:r>
      <w:r>
        <w:t xml:space="preserve"> 60</w:t>
      </w:r>
      <w:r>
        <w:rPr>
          <w:rFonts w:hAnsi="宋体" w:hint="eastAsia"/>
        </w:rPr>
        <w:t>％</w:t>
      </w:r>
      <w:r>
        <w:t xml:space="preserve"> </w:t>
      </w:r>
      <w:r>
        <w:rPr>
          <w:rFonts w:hint="eastAsia"/>
        </w:rPr>
        <w:t>以下。</w:t>
      </w:r>
    </w:p>
    <w:p w:rsidR="00CF7F1B" w:rsidRDefault="003856C1">
      <w:pPr>
        <w:pStyle w:val="affffffff7"/>
        <w:spacing w:line="288" w:lineRule="auto"/>
      </w:pPr>
      <w:r>
        <w:rPr>
          <w:rFonts w:hint="eastAsia"/>
        </w:rPr>
        <w:t>不同规格、材质的钢带应分开存放，堆放高度不宜超过</w:t>
      </w:r>
      <w:r>
        <w:t xml:space="preserve"> 1.5</w:t>
      </w:r>
      <w:r>
        <w:rPr>
          <w:rFonts w:hint="eastAsia"/>
        </w:rPr>
        <w:t xml:space="preserve"> </w:t>
      </w:r>
      <w:r>
        <w:t>m</w:t>
      </w:r>
      <w:r>
        <w:rPr>
          <w:rFonts w:hint="eastAsia"/>
        </w:rPr>
        <w:t>，防止底层钢带受压变形。</w:t>
      </w:r>
      <w:r>
        <w:rPr>
          <w:rFonts w:ascii="MS Gothic" w:eastAsia="MS Gothic" w:hAnsi="MS Gothic" w:cs="MS Gothic" w:hint="eastAsia"/>
        </w:rPr>
        <w:t>​</w:t>
      </w:r>
    </w:p>
    <w:p w:rsidR="00CF7F1B" w:rsidRDefault="003856C1">
      <w:pPr>
        <w:pStyle w:val="affffffff7"/>
        <w:spacing w:line="288" w:lineRule="auto"/>
      </w:pPr>
      <w:r>
        <w:rPr>
          <w:rFonts w:hint="eastAsia"/>
        </w:rPr>
        <w:t>贮存时间不宜过长，一般不超过 3 个月，超过贮存时间应重新检验合格后，方可发货。</w:t>
      </w:r>
    </w:p>
    <w:p w:rsidR="00CF7F1B" w:rsidRDefault="00CF7F1B">
      <w:pPr>
        <w:pStyle w:val="affffffffa"/>
        <w:spacing w:line="288" w:lineRule="auto"/>
        <w:sectPr w:rsidR="00CF7F1B">
          <w:pgSz w:w="11906" w:h="16838"/>
          <w:pgMar w:top="1928" w:right="1134" w:bottom="1134" w:left="1134" w:header="1418" w:footer="1134" w:gutter="284"/>
          <w:pgNumType w:start="1"/>
          <w:cols w:space="425"/>
          <w:formProt w:val="0"/>
          <w:docGrid w:linePitch="312"/>
        </w:sectPr>
      </w:pPr>
      <w:bookmarkStart w:id="66" w:name="BookMark6"/>
      <w:bookmarkEnd w:id="25"/>
    </w:p>
    <w:p w:rsidR="00CF7F1B" w:rsidRDefault="003856C1">
      <w:pPr>
        <w:pStyle w:val="afffff5"/>
        <w:spacing w:after="120"/>
      </w:pPr>
      <w:bookmarkStart w:id="67" w:name="_Toc197776936"/>
      <w:bookmarkStart w:id="68" w:name="_Toc197778336"/>
      <w:r>
        <w:rPr>
          <w:rFonts w:hint="eastAsia"/>
          <w:spacing w:val="105"/>
        </w:rPr>
        <w:lastRenderedPageBreak/>
        <w:t>参考文</w:t>
      </w:r>
      <w:r>
        <w:rPr>
          <w:rFonts w:hint="eastAsia"/>
        </w:rPr>
        <w:t>献</w:t>
      </w:r>
      <w:bookmarkEnd w:id="67"/>
      <w:bookmarkEnd w:id="68"/>
    </w:p>
    <w:p w:rsidR="00CF7F1B" w:rsidRDefault="003856C1">
      <w:pPr>
        <w:pStyle w:val="affffe"/>
        <w:spacing w:line="288" w:lineRule="auto"/>
        <w:ind w:firstLine="420"/>
      </w:pPr>
      <w:r>
        <w:rPr>
          <w:rFonts w:hint="eastAsia"/>
        </w:rPr>
        <w:t xml:space="preserve">[1]  </w:t>
      </w:r>
      <w:r>
        <w:t>GB/T 3280</w:t>
      </w:r>
      <w:r>
        <w:t>—</w:t>
      </w:r>
      <w:r>
        <w:t>2015</w:t>
      </w:r>
      <w:r>
        <w:rPr>
          <w:rFonts w:hint="eastAsia"/>
        </w:rPr>
        <w:t xml:space="preserve">  不锈钢冷轧钢板和钢带</w:t>
      </w:r>
      <w:bookmarkEnd w:id="66"/>
    </w:p>
    <w:p w:rsidR="00CF7F1B" w:rsidRDefault="003856C1">
      <w:pPr>
        <w:pStyle w:val="affffe"/>
        <w:ind w:firstLineChars="0" w:firstLine="0"/>
        <w:jc w:val="center"/>
      </w:pPr>
      <w:bookmarkStart w:id="69" w:name="BookMark8"/>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a:stretch>
                      <a:fillRect/>
                    </a:stretch>
                  </pic:blipFill>
                  <pic:spPr>
                    <a:xfrm>
                      <a:off x="0" y="0"/>
                      <a:ext cx="1485900" cy="317500"/>
                    </a:xfrm>
                    <a:prstGeom prst="rect">
                      <a:avLst/>
                    </a:prstGeom>
                  </pic:spPr>
                </pic:pic>
              </a:graphicData>
            </a:graphic>
          </wp:inline>
        </w:drawing>
      </w:r>
      <w:bookmarkEnd w:id="69"/>
    </w:p>
    <w:sectPr w:rsidR="00CF7F1B">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31" w:rsidRDefault="00E61331">
      <w:pPr>
        <w:spacing w:line="240" w:lineRule="auto"/>
      </w:pPr>
      <w:r>
        <w:separator/>
      </w:r>
    </w:p>
  </w:endnote>
  <w:endnote w:type="continuationSeparator" w:id="0">
    <w:p w:rsidR="00E61331" w:rsidRDefault="00E61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3856C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CF7F1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CF7F1B">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3856C1">
    <w:pPr>
      <w:pStyle w:val="affffb"/>
    </w:pPr>
    <w:r>
      <w:fldChar w:fldCharType="begin"/>
    </w:r>
    <w:r>
      <w:instrText>PAGE   \* MERGEFORMAT</w:instrText>
    </w:r>
    <w:r>
      <w:fldChar w:fldCharType="separate"/>
    </w:r>
    <w:r w:rsidR="00A903D7" w:rsidRPr="00A903D7">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31" w:rsidRDefault="00E61331">
      <w:pPr>
        <w:spacing w:line="240" w:lineRule="auto"/>
      </w:pPr>
      <w:r>
        <w:separator/>
      </w:r>
    </w:p>
  </w:footnote>
  <w:footnote w:type="continuationSeparator" w:id="0">
    <w:p w:rsidR="00E61331" w:rsidRDefault="00E613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CF7F1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3856C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CF7F1B">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3856C1">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03D7">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B" w:rsidRDefault="003856C1">
    <w:pPr>
      <w:pStyle w:val="afffff3"/>
    </w:pPr>
    <w:r>
      <w:fldChar w:fldCharType="begin"/>
    </w:r>
    <w:r>
      <w:instrText xml:space="preserve"> STYLEREF  标准文件_文件编号  \* MERGEFORMAT </w:instrText>
    </w:r>
    <w:r>
      <w:fldChar w:fldCharType="separate"/>
    </w:r>
    <w:r w:rsidR="00A903D7">
      <w:rPr>
        <w:noProof/>
      </w:rPr>
      <w:t>T/CS XXXX</w:t>
    </w:r>
    <w:r w:rsidR="00A903D7">
      <w:rPr>
        <w:noProof/>
      </w:rPr>
      <w:t>—</w:t>
    </w:r>
    <w:r w:rsidR="00A903D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977"/>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EB1"/>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02B"/>
    <w:rsid w:val="00376713"/>
    <w:rsid w:val="00381815"/>
    <w:rsid w:val="003819AF"/>
    <w:rsid w:val="003820E9"/>
    <w:rsid w:val="00382DE7"/>
    <w:rsid w:val="00384813"/>
    <w:rsid w:val="00384FFC"/>
    <w:rsid w:val="003856C1"/>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47A"/>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290"/>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39F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E63"/>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B67"/>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7643"/>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1F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9B9"/>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3D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4F"/>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0F8"/>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564"/>
    <w:rsid w:val="00CE0C4F"/>
    <w:rsid w:val="00CE30EA"/>
    <w:rsid w:val="00CF048A"/>
    <w:rsid w:val="00CF155A"/>
    <w:rsid w:val="00CF2947"/>
    <w:rsid w:val="00CF686F"/>
    <w:rsid w:val="00CF6E60"/>
    <w:rsid w:val="00CF7BCA"/>
    <w:rsid w:val="00CF7F1B"/>
    <w:rsid w:val="00D008FD"/>
    <w:rsid w:val="00D0321C"/>
    <w:rsid w:val="00D035EC"/>
    <w:rsid w:val="00D06AB1"/>
    <w:rsid w:val="00D06FC1"/>
    <w:rsid w:val="00D072ED"/>
    <w:rsid w:val="00D07A16"/>
    <w:rsid w:val="00D1067E"/>
    <w:rsid w:val="00D10F50"/>
    <w:rsid w:val="00D11272"/>
    <w:rsid w:val="00D126F5"/>
    <w:rsid w:val="00D1489E"/>
    <w:rsid w:val="00D20308"/>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63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0CC"/>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331"/>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733"/>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848"/>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4E40"/>
    <w:rsid w:val="00FB54E8"/>
    <w:rsid w:val="00FB7054"/>
    <w:rsid w:val="00FC17B7"/>
    <w:rsid w:val="00FC2CB7"/>
    <w:rsid w:val="00FC4090"/>
    <w:rsid w:val="00FC55B4"/>
    <w:rsid w:val="00FD00E6"/>
    <w:rsid w:val="00FD09A1"/>
    <w:rsid w:val="00FD2A7C"/>
    <w:rsid w:val="00FD327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DEF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kern w:val="2"/>
      <w:sz w:val="21"/>
      <w:szCs w:val="21"/>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010764" w:rsidRDefault="00684DD1">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010764" w:rsidRDefault="00684DD1">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010764" w:rsidRDefault="00684DD1">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10764"/>
    <w:rsid w:val="002F2972"/>
    <w:rsid w:val="003E4F7D"/>
    <w:rsid w:val="00684DD1"/>
    <w:rsid w:val="0083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qFormat/>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qFormat/>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BCAD5-2F1B-4C8F-A3DE-E8D6BB40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310</TotalTime>
  <Pages>9</Pages>
  <Words>822</Words>
  <Characters>4686</Characters>
  <Application>Microsoft Office Word</Application>
  <DocSecurity>0</DocSecurity>
  <Lines>39</Lines>
  <Paragraphs>10</Paragraphs>
  <ScaleCrop>false</ScaleCrop>
  <Company>PCMI</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11</cp:revision>
  <cp:lastPrinted>2025-05-10T06:06:00Z</cp:lastPrinted>
  <dcterms:created xsi:type="dcterms:W3CDTF">2025-01-17T01:45:00Z</dcterms:created>
  <dcterms:modified xsi:type="dcterms:W3CDTF">2025-05-10T06:06:00Z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2052-12.1.0.20784</vt:lpwstr>
  </property>
  <property fmtid="{D5CDD505-2E9C-101B-9397-08002B2CF9AE}" pid="16" name="ICV">
    <vt:lpwstr>2A6C3DCB92D5493DB54621DC611F90A2_12</vt:lpwstr>
  </property>
</Properties>
</file>