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7BC7" w14:textId="77777777" w:rsidR="00B50F84" w:rsidRDefault="00B50F84" w:rsidP="00B50F84">
      <w:pPr>
        <w:tabs>
          <w:tab w:val="left" w:pos="7371"/>
        </w:tabs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I</w:t>
      </w:r>
      <w:r>
        <w:rPr>
          <w:rFonts w:ascii="Times New Roman" w:hAnsi="Times New Roman" w:cs="Times New Roman" w:hint="eastAsia"/>
          <w:color w:val="000000"/>
          <w:szCs w:val="21"/>
        </w:rPr>
        <w:t>CS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65.020</w:t>
      </w:r>
    </w:p>
    <w:p w14:paraId="427F3C43" w14:textId="33CD043E" w:rsidR="00B50F84" w:rsidRDefault="00B50F84" w:rsidP="00B50F84"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B 20</w:t>
      </w:r>
    </w:p>
    <w:p w14:paraId="2637AE4F" w14:textId="77777777" w:rsidR="00B50F84" w:rsidRDefault="00B50F84" w:rsidP="00B50F84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14:paraId="4126C99E" w14:textId="77777777" w:rsidR="00B50F84" w:rsidRDefault="00B50F84" w:rsidP="00B50F84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14:paraId="08117FBA" w14:textId="77777777" w:rsidR="00B50F84" w:rsidRDefault="00B50F84" w:rsidP="00B50F84">
      <w:pPr>
        <w:jc w:val="center"/>
        <w:rPr>
          <w:rFonts w:ascii="Times New Roman" w:eastAsia="黑体" w:hAnsi="Times New Roman" w:cs="Times New Roman"/>
          <w:color w:val="000000"/>
          <w:sz w:val="84"/>
          <w:szCs w:val="84"/>
        </w:rPr>
      </w:pPr>
      <w:r>
        <w:rPr>
          <w:rFonts w:ascii="Times New Roman" w:eastAsia="黑体" w:hAnsi="Times New Roman" w:cs="Times New Roman"/>
          <w:color w:val="000000"/>
          <w:sz w:val="84"/>
          <w:szCs w:val="84"/>
        </w:rPr>
        <w:t>团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体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标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准</w:t>
      </w:r>
    </w:p>
    <w:p w14:paraId="225DC76E" w14:textId="77777777" w:rsidR="00B50F84" w:rsidRDefault="00B50F84" w:rsidP="00B50F84">
      <w:pPr>
        <w:jc w:val="center"/>
        <w:rPr>
          <w:rFonts w:ascii="Times New Roman" w:hAnsi="Times New Roman" w:cs="Times New Roman"/>
          <w:color w:val="000000"/>
          <w:sz w:val="84"/>
          <w:szCs w:val="84"/>
        </w:rPr>
      </w:pPr>
    </w:p>
    <w:p w14:paraId="02B89E08" w14:textId="77777777" w:rsidR="00B50F84" w:rsidRDefault="00B50F84" w:rsidP="00B50F84">
      <w:pPr>
        <w:jc w:val="righ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 xml:space="preserve">  T/HXCY </w:t>
      </w:r>
      <w:r w:rsidRPr="00771ED3">
        <w:rPr>
          <w:rFonts w:ascii="Times New Roman" w:hAnsi="Times New Roman" w:cs="Times New Roman"/>
          <w:b/>
          <w:szCs w:val="21"/>
        </w:rPr>
        <w:t>XXX—XXXX</w:t>
      </w:r>
    </w:p>
    <w:p w14:paraId="7F934EED" w14:textId="77777777" w:rsidR="00B50F84" w:rsidRDefault="00B50F84" w:rsidP="00B50F84">
      <w:pPr>
        <w:jc w:val="left"/>
        <w:rPr>
          <w:rFonts w:ascii="Times New Roman" w:hAnsi="Times New Roman" w:cs="Times New Roman"/>
          <w:color w:val="000000"/>
          <w:szCs w:val="21"/>
          <w:u w:val="single"/>
        </w:rPr>
      </w:pPr>
      <w:r>
        <w:rPr>
          <w:rFonts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                    </w:t>
      </w:r>
    </w:p>
    <w:p w14:paraId="5147D8E1" w14:textId="77777777" w:rsidR="00B50F84" w:rsidRPr="00A818BB" w:rsidRDefault="00B50F84" w:rsidP="00B50F84">
      <w:pPr>
        <w:jc w:val="left"/>
        <w:rPr>
          <w:rFonts w:ascii="Times New Roman" w:hAnsi="Times New Roman" w:cs="Times New Roman"/>
          <w:color w:val="000000"/>
          <w:sz w:val="48"/>
          <w:szCs w:val="48"/>
          <w:u w:val="single"/>
        </w:rPr>
      </w:pPr>
    </w:p>
    <w:p w14:paraId="1F4BAF09" w14:textId="5904C79C" w:rsidR="000D6F34" w:rsidRPr="00A818BB" w:rsidRDefault="00267027" w:rsidP="002C394F">
      <w:pPr>
        <w:jc w:val="center"/>
        <w:rPr>
          <w:rFonts w:ascii="黑体" w:eastAsia="黑体" w:hAnsi="黑体" w:cs="Arial" w:hint="eastAsia"/>
          <w:color w:val="000000"/>
          <w:sz w:val="48"/>
          <w:szCs w:val="48"/>
          <w:shd w:val="clear" w:color="auto" w:fill="FFFFFF"/>
        </w:rPr>
      </w:pPr>
      <w:r w:rsidRPr="00A818BB">
        <w:rPr>
          <w:rFonts w:ascii="黑体" w:eastAsia="黑体" w:hAnsi="黑体" w:cs="Arial" w:hint="eastAsia"/>
          <w:color w:val="000000"/>
          <w:sz w:val="48"/>
          <w:szCs w:val="48"/>
          <w:shd w:val="clear" w:color="auto" w:fill="FFFFFF"/>
        </w:rPr>
        <w:t>饲用燕麦生产施用有机肥替代化肥</w:t>
      </w:r>
      <w:r w:rsidR="00745795" w:rsidRPr="00A818BB">
        <w:rPr>
          <w:rFonts w:ascii="黑体" w:eastAsia="黑体" w:hAnsi="黑体" w:cs="Arial"/>
          <w:color w:val="000000"/>
          <w:sz w:val="48"/>
          <w:szCs w:val="48"/>
          <w:shd w:val="clear" w:color="auto" w:fill="FFFFFF"/>
        </w:rPr>
        <w:t>技术规程</w:t>
      </w:r>
    </w:p>
    <w:p w14:paraId="42300535" w14:textId="053582DB" w:rsidR="001816D9" w:rsidRPr="00B50F84" w:rsidRDefault="001816D9" w:rsidP="00B50F84">
      <w:pPr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0F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Technical Regulation for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R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eplacing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C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hemical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F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ertilizer with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O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rganic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F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ertilizer in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P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roduction of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F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eed</w:t>
      </w:r>
      <w:r w:rsidR="004F31D9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67027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O</w:t>
      </w:r>
      <w:r w:rsidR="00267027" w:rsidRPr="002670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at</w:t>
      </w:r>
    </w:p>
    <w:p w14:paraId="48C150F3" w14:textId="75701B75" w:rsidR="00C46EAA" w:rsidRPr="00B50F84" w:rsidRDefault="00B50F84" w:rsidP="00B50F84">
      <w:pPr>
        <w:widowControl/>
        <w:shd w:val="clear" w:color="auto" w:fill="FFFFFF"/>
        <w:spacing w:beforeLines="50" w:before="156" w:line="360" w:lineRule="auto"/>
        <w:jc w:val="center"/>
        <w:rPr>
          <w:rFonts w:ascii="Arial" w:eastAsia="宋体" w:hAnsi="Arial" w:cs="Arial"/>
          <w:b/>
          <w:bCs/>
          <w:color w:val="626675"/>
          <w:kern w:val="0"/>
          <w:sz w:val="24"/>
          <w:szCs w:val="24"/>
        </w:rPr>
      </w:pPr>
      <w:r w:rsidRPr="00B50F84">
        <w:rPr>
          <w:rFonts w:ascii="Arial" w:eastAsia="宋体" w:hAnsi="Arial" w:cs="Arial" w:hint="eastAsia"/>
          <w:b/>
          <w:bCs/>
          <w:color w:val="626675"/>
          <w:kern w:val="0"/>
          <w:sz w:val="24"/>
          <w:szCs w:val="24"/>
        </w:rPr>
        <w:t>（征求意见稿）</w:t>
      </w:r>
    </w:p>
    <w:p w14:paraId="5506531A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46FBEDBC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1C5896C0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37E60A03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1769B0D8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48848C68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6A7DFA28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24F2419B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27162316" w14:textId="77777777" w:rsidR="00B50F84" w:rsidRDefault="00B50F84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79A135FB" w14:textId="77777777" w:rsidR="00B50F84" w:rsidRDefault="00B50F84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3830D17F" w14:textId="00E60B79" w:rsidR="00B50F84" w:rsidRDefault="00B50F84" w:rsidP="00B50F84">
      <w:pPr>
        <w:jc w:val="left"/>
        <w:rPr>
          <w:rFonts w:ascii="Times New Roman" w:eastAsia="黑体" w:hAnsi="Times New Roman" w:cs="Times New Roman"/>
          <w:color w:val="000000"/>
          <w:szCs w:val="21"/>
          <w:u w:val="single"/>
        </w:rPr>
      </w:pPr>
      <w:r w:rsidRPr="00771ED3">
        <w:rPr>
          <w:rFonts w:ascii="Times New Roman" w:eastAsia="黑体" w:hAnsi="Times New Roman" w:cs="Times New Roman"/>
          <w:szCs w:val="21"/>
          <w:u w:val="single"/>
        </w:rPr>
        <w:t>XXXX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771ED3"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</w:t>
      </w:r>
      <w:r>
        <w:rPr>
          <w:rFonts w:ascii="Times New Roman" w:eastAsia="黑体" w:hAnsi="Times New Roman" w:cs="Times New Roman"/>
          <w:szCs w:val="21"/>
          <w:u w:val="single"/>
        </w:rPr>
        <w:t>-</w:t>
      </w:r>
      <w:r w:rsidRPr="00771ED3">
        <w:rPr>
          <w:rFonts w:ascii="Times New Roman" w:eastAsia="黑体" w:hAnsi="Times New Roman" w:cs="Times New Roman"/>
          <w:szCs w:val="21"/>
          <w:u w:val="single"/>
        </w:rPr>
        <w:t xml:space="preserve"> XX</w:t>
      </w:r>
      <w:r>
        <w:rPr>
          <w:rFonts w:ascii="Times New Roman" w:eastAsia="黑体" w:hAnsi="Times New Roman" w:cs="Times New Roman"/>
          <w:szCs w:val="21"/>
          <w:u w:val="single"/>
        </w:rPr>
        <w:t>发布</w:t>
      </w:r>
      <w:r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 xml:space="preserve">                                       </w:t>
      </w:r>
      <w:r>
        <w:rPr>
          <w:rFonts w:ascii="Times New Roman" w:eastAsia="黑体" w:hAnsi="Times New Roman" w:cs="Times New Roman"/>
          <w:color w:val="000000"/>
          <w:szCs w:val="21"/>
          <w:u w:val="single"/>
        </w:rPr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771ED3">
        <w:rPr>
          <w:rFonts w:ascii="Times New Roman" w:eastAsia="黑体" w:hAnsi="Times New Roman" w:cs="Times New Roman"/>
          <w:szCs w:val="21"/>
          <w:u w:val="single"/>
        </w:rPr>
        <w:t xml:space="preserve"> 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314BF9">
        <w:rPr>
          <w:rFonts w:ascii="Times New Roman" w:eastAsia="黑体" w:hAnsi="Times New Roman" w:cs="Times New Roman"/>
          <w:szCs w:val="21"/>
          <w:u w:val="single"/>
        </w:rPr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</w:t>
      </w:r>
      <w:r>
        <w:rPr>
          <w:rFonts w:ascii="Times New Roman" w:eastAsia="黑体" w:hAnsi="Times New Roman" w:cs="Times New Roman"/>
          <w:szCs w:val="21"/>
          <w:u w:val="single"/>
        </w:rPr>
        <w:t>实施</w:t>
      </w:r>
    </w:p>
    <w:p w14:paraId="43E1CCE1" w14:textId="77777777" w:rsidR="00B50F84" w:rsidRDefault="00B50F84" w:rsidP="00B50F84">
      <w:pPr>
        <w:jc w:val="center"/>
        <w:rPr>
          <w:rFonts w:ascii="Times New Roman" w:eastAsia="黑体" w:hAnsi="Times New Roman" w:cs="Times New Roman"/>
          <w:color w:val="000000"/>
          <w:szCs w:val="21"/>
          <w:u w:val="single"/>
        </w:rPr>
      </w:pPr>
    </w:p>
    <w:p w14:paraId="487DA21D" w14:textId="77777777" w:rsidR="00B50F84" w:rsidRDefault="00B50F84" w:rsidP="00B50F84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北京华夏草业产业技术创新战略联盟</w:t>
      </w: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>发布</w:t>
      </w:r>
    </w:p>
    <w:p w14:paraId="4617CD01" w14:textId="77777777" w:rsidR="00FE3825" w:rsidRDefault="00FE3825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6362955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5FE358D4" w14:textId="3FFA7B98" w:rsidR="008859C1" w:rsidRPr="00B50F84" w:rsidRDefault="008859C1" w:rsidP="00B50F84">
          <w:pPr>
            <w:pStyle w:val="TOC"/>
            <w:jc w:val="center"/>
            <w:rPr>
              <w:rFonts w:ascii="黑体" w:eastAsia="黑体" w:hAnsi="黑体" w:hint="eastAsia"/>
              <w:color w:val="000000" w:themeColor="text1"/>
            </w:rPr>
          </w:pPr>
          <w:r w:rsidRPr="00B50F84">
            <w:rPr>
              <w:rFonts w:ascii="黑体" w:eastAsia="黑体" w:hAnsi="黑体"/>
              <w:color w:val="000000" w:themeColor="text1"/>
              <w:lang w:val="zh-CN"/>
            </w:rPr>
            <w:t>目</w:t>
          </w:r>
          <w:r w:rsidR="003160D5" w:rsidRPr="00B50F84">
            <w:rPr>
              <w:rFonts w:ascii="黑体" w:eastAsia="黑体" w:hAnsi="黑体" w:hint="eastAsia"/>
              <w:color w:val="000000" w:themeColor="text1"/>
              <w:lang w:val="zh-CN"/>
            </w:rPr>
            <w:t xml:space="preserve"> </w:t>
          </w:r>
          <w:r w:rsidR="003160D5" w:rsidRPr="00B50F84">
            <w:rPr>
              <w:rFonts w:ascii="黑体" w:eastAsia="黑体" w:hAnsi="黑体"/>
              <w:color w:val="000000" w:themeColor="text1"/>
              <w:lang w:val="zh-CN"/>
            </w:rPr>
            <w:t xml:space="preserve">  </w:t>
          </w:r>
          <w:r w:rsidR="00546399">
            <w:rPr>
              <w:rFonts w:ascii="黑体" w:eastAsia="黑体" w:hAnsi="黑体" w:hint="eastAsia"/>
              <w:color w:val="000000" w:themeColor="text1"/>
              <w:lang w:val="zh-CN"/>
            </w:rPr>
            <w:t>次</w:t>
          </w:r>
        </w:p>
        <w:p w14:paraId="1FA9251E" w14:textId="2FF93840" w:rsidR="008C0249" w:rsidRDefault="008859C1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r w:rsidRPr="00B50F84">
            <w:rPr>
              <w:sz w:val="24"/>
              <w:szCs w:val="24"/>
            </w:rPr>
            <w:fldChar w:fldCharType="begin"/>
          </w:r>
          <w:r w:rsidRPr="00B50F84">
            <w:rPr>
              <w:sz w:val="24"/>
              <w:szCs w:val="24"/>
            </w:rPr>
            <w:instrText xml:space="preserve"> TOC \o "1-3" \h \z \u </w:instrText>
          </w:r>
          <w:r w:rsidRPr="00B50F84">
            <w:rPr>
              <w:sz w:val="24"/>
              <w:szCs w:val="24"/>
            </w:rPr>
            <w:fldChar w:fldCharType="separate"/>
          </w:r>
          <w:hyperlink w:anchor="_Toc197615099" w:history="1">
            <w:r w:rsidR="008C0249" w:rsidRPr="007B4B37">
              <w:rPr>
                <w:rStyle w:val="a3"/>
                <w:noProof/>
              </w:rPr>
              <w:t>前   言</w:t>
            </w:r>
            <w:r w:rsidR="008C0249">
              <w:rPr>
                <w:noProof/>
                <w:webHidden/>
              </w:rPr>
              <w:tab/>
            </w:r>
            <w:r w:rsidR="008C0249">
              <w:rPr>
                <w:noProof/>
                <w:webHidden/>
              </w:rPr>
              <w:fldChar w:fldCharType="begin"/>
            </w:r>
            <w:r w:rsidR="008C0249">
              <w:rPr>
                <w:noProof/>
                <w:webHidden/>
              </w:rPr>
              <w:instrText xml:space="preserve"> PAGEREF _Toc197615099 \h </w:instrText>
            </w:r>
            <w:r w:rsidR="008C0249">
              <w:rPr>
                <w:noProof/>
                <w:webHidden/>
              </w:rPr>
            </w:r>
            <w:r w:rsidR="008C0249">
              <w:rPr>
                <w:noProof/>
                <w:webHidden/>
              </w:rPr>
              <w:fldChar w:fldCharType="separate"/>
            </w:r>
            <w:r w:rsidR="008C0249">
              <w:rPr>
                <w:noProof/>
                <w:webHidden/>
              </w:rPr>
              <w:t>3</w:t>
            </w:r>
            <w:r w:rsidR="008C0249">
              <w:rPr>
                <w:noProof/>
                <w:webHidden/>
              </w:rPr>
              <w:fldChar w:fldCharType="end"/>
            </w:r>
          </w:hyperlink>
        </w:p>
        <w:p w14:paraId="55F39F64" w14:textId="10A5C154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1" w:history="1">
            <w:r w:rsidRPr="007B4B37">
              <w:rPr>
                <w:rStyle w:val="a3"/>
                <w:rFonts w:ascii="宋体" w:eastAsia="宋体" w:hAnsi="宋体"/>
                <w:noProof/>
              </w:rPr>
              <w:t>1　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694F8" w14:textId="24B02F26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2" w:history="1">
            <w:r w:rsidRPr="007B4B37">
              <w:rPr>
                <w:rStyle w:val="a3"/>
                <w:rFonts w:ascii="宋体" w:eastAsia="宋体" w:hAnsi="宋体"/>
                <w:noProof/>
              </w:rPr>
              <w:t>2　引用文件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DDF8A" w14:textId="2AA0C0E6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3" w:history="1">
            <w:r w:rsidRPr="007B4B37">
              <w:rPr>
                <w:rStyle w:val="a3"/>
                <w:rFonts w:ascii="宋体" w:eastAsia="宋体" w:hAnsi="宋体"/>
                <w:noProof/>
              </w:rPr>
              <w:t xml:space="preserve">3 </w:t>
            </w:r>
            <w:r w:rsidR="00B14CFC">
              <w:rPr>
                <w:rStyle w:val="a3"/>
                <w:rFonts w:ascii="宋体" w:eastAsia="宋体" w:hAnsi="宋体" w:hint="eastAsia"/>
                <w:noProof/>
              </w:rPr>
              <w:t xml:space="preserve"> </w:t>
            </w:r>
            <w:r w:rsidRPr="007B4B37">
              <w:rPr>
                <w:rStyle w:val="a3"/>
                <w:rFonts w:ascii="宋体" w:eastAsia="宋体" w:hAnsi="宋体"/>
                <w:noProof/>
              </w:rPr>
              <w:t>核心目标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564E9" w14:textId="678E1E42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4" w:history="1">
            <w:r w:rsidRPr="007B4B37">
              <w:rPr>
                <w:rStyle w:val="a3"/>
                <w:rFonts w:ascii="宋体" w:eastAsia="宋体" w:hAnsi="宋体"/>
                <w:noProof/>
              </w:rPr>
              <w:t xml:space="preserve">4 </w:t>
            </w:r>
            <w:r w:rsidR="00B14CFC">
              <w:rPr>
                <w:rStyle w:val="a3"/>
                <w:rFonts w:ascii="宋体" w:eastAsia="宋体" w:hAnsi="宋体" w:hint="eastAsia"/>
                <w:noProof/>
              </w:rPr>
              <w:t xml:space="preserve"> </w:t>
            </w:r>
            <w:r w:rsidRPr="007B4B37">
              <w:rPr>
                <w:rStyle w:val="a3"/>
                <w:rFonts w:ascii="宋体" w:eastAsia="宋体" w:hAnsi="宋体"/>
                <w:noProof/>
              </w:rPr>
              <w:t>基本原则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D05D3" w14:textId="4D67EDD0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5" w:history="1">
            <w:r w:rsidRPr="007B4B37">
              <w:rPr>
                <w:rStyle w:val="a3"/>
                <w:rFonts w:ascii="宋体" w:eastAsia="宋体" w:hAnsi="宋体"/>
                <w:noProof/>
              </w:rPr>
              <w:t>5　生产环境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55EEC" w14:textId="025DE8C8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6" w:history="1">
            <w:r w:rsidRPr="007B4B37">
              <w:rPr>
                <w:rStyle w:val="a3"/>
                <w:rFonts w:ascii="宋体" w:eastAsia="宋体" w:hAnsi="宋体"/>
                <w:noProof/>
              </w:rPr>
              <w:t>6　有机肥种类与要求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75389" w14:textId="63FD89AD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7" w:history="1">
            <w:r w:rsidRPr="007B4B37">
              <w:rPr>
                <w:rStyle w:val="a3"/>
                <w:rFonts w:ascii="宋体" w:eastAsia="宋体" w:hAnsi="宋体"/>
                <w:noProof/>
              </w:rPr>
              <w:t>7　有机肥施用技术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C7367" w14:textId="1D9B21D0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8" w:history="1">
            <w:r w:rsidRPr="007B4B37">
              <w:rPr>
                <w:rStyle w:val="a3"/>
                <w:rFonts w:ascii="宋体" w:eastAsia="宋体" w:hAnsi="宋体"/>
                <w:noProof/>
              </w:rPr>
              <w:t>8　配套管理措施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41EF2" w14:textId="46D6145E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09" w:history="1">
            <w:r w:rsidRPr="007B4B37">
              <w:rPr>
                <w:rStyle w:val="a3"/>
                <w:rFonts w:ascii="宋体" w:eastAsia="宋体" w:hAnsi="宋体"/>
                <w:noProof/>
              </w:rPr>
              <w:t>9　监测与效果评估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3EC4C" w14:textId="5CE5D298" w:rsidR="008C0249" w:rsidRDefault="008C0249">
          <w:pPr>
            <w:pStyle w:val="TOC1"/>
            <w:rPr>
              <w:rFonts w:hint="eastAsia"/>
              <w:noProof/>
              <w:sz w:val="22"/>
              <w:szCs w:val="24"/>
              <w14:ligatures w14:val="standardContextual"/>
            </w:rPr>
          </w:pPr>
          <w:hyperlink w:anchor="_Toc197615110" w:history="1">
            <w:r w:rsidRPr="007B4B37">
              <w:rPr>
                <w:rStyle w:val="a3"/>
                <w:rFonts w:ascii="宋体" w:eastAsia="宋体" w:hAnsi="宋体"/>
                <w:noProof/>
              </w:rPr>
              <w:t>10　关键节点技术控制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_Toc197615110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39EF3" w14:textId="067D1D45" w:rsidR="008859C1" w:rsidRPr="00B50F84" w:rsidRDefault="008859C1" w:rsidP="003160D5">
          <w:pPr>
            <w:spacing w:line="480" w:lineRule="auto"/>
            <w:rPr>
              <w:rFonts w:hint="eastAsia"/>
              <w:sz w:val="24"/>
              <w:szCs w:val="24"/>
            </w:rPr>
          </w:pPr>
          <w:r w:rsidRPr="00B50F84"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40F07387" w14:textId="77777777" w:rsidR="00872FB1" w:rsidRDefault="00872FB1" w:rsidP="008859C1">
      <w:pPr>
        <w:pStyle w:val="1"/>
        <w:rPr>
          <w:rFonts w:ascii="Arial" w:eastAsia="宋体" w:hAnsi="Arial" w:cs="Arial"/>
          <w:color w:val="333333"/>
          <w:kern w:val="0"/>
          <w:sz w:val="27"/>
          <w:szCs w:val="27"/>
        </w:rPr>
      </w:pPr>
    </w:p>
    <w:p w14:paraId="75D5DE24" w14:textId="77777777" w:rsidR="00401F13" w:rsidRPr="00B50F84" w:rsidRDefault="00872FB1" w:rsidP="00401F13">
      <w:pPr>
        <w:pStyle w:val="1"/>
        <w:jc w:val="center"/>
        <w:rPr>
          <w:rFonts w:hint="eastAsia"/>
          <w:sz w:val="32"/>
          <w:szCs w:val="32"/>
        </w:rPr>
      </w:pPr>
      <w:r>
        <w:rPr>
          <w:rFonts w:ascii="Arial" w:eastAsia="宋体" w:hAnsi="Arial" w:cs="Arial"/>
          <w:color w:val="333333"/>
          <w:kern w:val="0"/>
          <w:sz w:val="27"/>
          <w:szCs w:val="27"/>
        </w:rPr>
        <w:br w:type="page"/>
      </w:r>
      <w:bookmarkStart w:id="0" w:name="_Toc197615099"/>
      <w:r w:rsidR="00401F13" w:rsidRPr="00B50F84">
        <w:rPr>
          <w:rFonts w:hint="eastAsia"/>
          <w:sz w:val="32"/>
          <w:szCs w:val="32"/>
        </w:rPr>
        <w:t xml:space="preserve">前 </w:t>
      </w:r>
      <w:r w:rsidR="00401F13" w:rsidRPr="00B50F84">
        <w:rPr>
          <w:sz w:val="32"/>
          <w:szCs w:val="32"/>
        </w:rPr>
        <w:t xml:space="preserve">  </w:t>
      </w:r>
      <w:r w:rsidR="00401F13" w:rsidRPr="00B50F84">
        <w:rPr>
          <w:rFonts w:hint="eastAsia"/>
          <w:sz w:val="32"/>
          <w:szCs w:val="32"/>
        </w:rPr>
        <w:t>言</w:t>
      </w:r>
      <w:bookmarkEnd w:id="0"/>
    </w:p>
    <w:p w14:paraId="28B8018B" w14:textId="0EE2E963" w:rsidR="00401F13" w:rsidRPr="005F0629" w:rsidRDefault="00401F13" w:rsidP="00110385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按照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GB/T 1.1-2020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《标准化工作导则第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1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部分：标准化文件的结构和起草规则》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的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规定起草。</w:t>
      </w:r>
    </w:p>
    <w:p w14:paraId="361FEBB7" w14:textId="7ED29723" w:rsidR="00401F13" w:rsidRPr="005F0629" w:rsidRDefault="00401F13" w:rsidP="00110385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由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北京华夏草业产业技术创新战略联盟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提出并归口。</w:t>
      </w:r>
    </w:p>
    <w:p w14:paraId="6B5D5CD9" w14:textId="77777777" w:rsidR="00267027" w:rsidRPr="005F0629" w:rsidRDefault="00267027" w:rsidP="00110385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本文件起草单位：西北农林科技大学</w:t>
      </w:r>
    </w:p>
    <w:p w14:paraId="77BFDA41" w14:textId="77777777" w:rsidR="00267027" w:rsidRPr="005F0629" w:rsidRDefault="00267027" w:rsidP="00110385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主要起草人：王佺珍</w:t>
      </w:r>
      <w:r>
        <w:rPr>
          <w:rFonts w:ascii="Arial" w:eastAsia="宋体" w:hAnsi="Arial" w:cs="Arial" w:hint="eastAsia"/>
          <w:kern w:val="0"/>
          <w:sz w:val="24"/>
          <w:szCs w:val="24"/>
        </w:rPr>
        <w:t>，闫明科，杨国栋，杨东明，许岳飞，曹玉曼</w:t>
      </w:r>
    </w:p>
    <w:p w14:paraId="6DB88BCF" w14:textId="77777777" w:rsidR="00401F13" w:rsidRPr="00E06921" w:rsidRDefault="00401F13" w:rsidP="00110385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06921">
        <w:rPr>
          <w:rFonts w:ascii="Arial" w:eastAsia="宋体" w:hAnsi="Arial" w:cs="Arial"/>
          <w:kern w:val="0"/>
          <w:sz w:val="24"/>
          <w:szCs w:val="24"/>
        </w:rPr>
        <w:t>本文件为首次发布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28AC8A0D" w14:textId="77777777" w:rsidR="00F13BBE" w:rsidRDefault="00401F13" w:rsidP="00110385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06921">
        <w:rPr>
          <w:rFonts w:ascii="Arial" w:eastAsia="宋体" w:hAnsi="Arial" w:cs="Arial"/>
          <w:kern w:val="0"/>
          <w:sz w:val="24"/>
          <w:szCs w:val="24"/>
        </w:rPr>
        <w:t>本文件的某些内容可能涉及专利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5BD866CE" w14:textId="44F5E705" w:rsidR="00401F13" w:rsidRPr="005F0629" w:rsidRDefault="00401F13" w:rsidP="00110385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本文件的</w:t>
      </w:r>
      <w:r w:rsidR="00D3693E">
        <w:rPr>
          <w:rFonts w:ascii="Arial" w:eastAsia="宋体" w:hAnsi="Arial" w:cs="Arial" w:hint="eastAsia"/>
          <w:kern w:val="0"/>
          <w:sz w:val="24"/>
          <w:szCs w:val="24"/>
        </w:rPr>
        <w:t>发</w:t>
      </w:r>
      <w:r>
        <w:rPr>
          <w:rFonts w:ascii="Arial" w:eastAsia="宋体" w:hAnsi="Arial" w:cs="Arial" w:hint="eastAsia"/>
          <w:kern w:val="0"/>
          <w:sz w:val="24"/>
          <w:szCs w:val="24"/>
        </w:rPr>
        <w:t>布机构不承担</w:t>
      </w:r>
      <w:r w:rsidRPr="00E06921">
        <w:rPr>
          <w:rFonts w:ascii="Arial" w:eastAsia="宋体" w:hAnsi="Arial" w:cs="Arial" w:hint="eastAsia"/>
          <w:kern w:val="0"/>
          <w:sz w:val="24"/>
          <w:szCs w:val="24"/>
        </w:rPr>
        <w:t>识别这些专利的责任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17ECC82D" w14:textId="77777777" w:rsidR="00401F13" w:rsidRDefault="00401F13" w:rsidP="00401F13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71C829EE" w14:textId="77777777" w:rsidR="00401F13" w:rsidRDefault="00401F13" w:rsidP="00401F13">
      <w:pPr>
        <w:widowControl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  <w:r>
        <w:rPr>
          <w:rFonts w:ascii="Arial" w:eastAsia="宋体" w:hAnsi="Arial" w:cs="Arial"/>
          <w:color w:val="626675"/>
          <w:kern w:val="0"/>
          <w:sz w:val="24"/>
          <w:szCs w:val="24"/>
        </w:rPr>
        <w:br w:type="page"/>
      </w:r>
    </w:p>
    <w:p w14:paraId="5F9F28F5" w14:textId="77777777" w:rsidR="00986C5B" w:rsidRDefault="00986C5B" w:rsidP="00986C5B">
      <w:pPr>
        <w:widowControl/>
        <w:spacing w:before="330" w:line="720" w:lineRule="atLeast"/>
        <w:ind w:left="300"/>
        <w:jc w:val="center"/>
        <w:outlineLvl w:val="1"/>
        <w:rPr>
          <w:rFonts w:ascii="Arial" w:eastAsia="宋体" w:hAnsi="Arial" w:cs="Arial"/>
          <w:color w:val="333333"/>
          <w:kern w:val="0"/>
          <w:sz w:val="32"/>
          <w:szCs w:val="32"/>
        </w:rPr>
        <w:sectPr w:rsidR="00986C5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81D49F" w14:textId="02DA958E" w:rsidR="00872FB1" w:rsidRPr="00B50F84" w:rsidRDefault="004647C0" w:rsidP="00986C5B">
      <w:pPr>
        <w:widowControl/>
        <w:spacing w:before="330" w:line="720" w:lineRule="atLeast"/>
        <w:ind w:left="300"/>
        <w:jc w:val="center"/>
        <w:outlineLvl w:val="1"/>
        <w:rPr>
          <w:rFonts w:ascii="黑体" w:eastAsia="黑体" w:hAnsi="黑体" w:cs="Arial" w:hint="eastAsia"/>
          <w:color w:val="333333"/>
          <w:kern w:val="0"/>
          <w:sz w:val="32"/>
          <w:szCs w:val="32"/>
        </w:rPr>
      </w:pPr>
      <w:bookmarkStart w:id="1" w:name="_Toc197615100"/>
      <w:r w:rsidRPr="004647C0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饲用燕麦生产施用有机肥替代化肥技术规程</w:t>
      </w:r>
      <w:bookmarkEnd w:id="1"/>
    </w:p>
    <w:p w14:paraId="748A70E8" w14:textId="40E0C104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2" w:name="_Toc197615101"/>
      <w:r w:rsidRPr="004676CC">
        <w:rPr>
          <w:rFonts w:ascii="宋体" w:eastAsia="宋体" w:hAnsi="宋体"/>
          <w:sz w:val="21"/>
          <w:szCs w:val="21"/>
        </w:rPr>
        <w:t xml:space="preserve">1　</w:t>
      </w:r>
      <w:r w:rsidR="00872FB1" w:rsidRPr="004676CC">
        <w:rPr>
          <w:rFonts w:ascii="宋体" w:eastAsia="宋体" w:hAnsi="宋体" w:hint="eastAsia"/>
          <w:sz w:val="21"/>
          <w:szCs w:val="21"/>
        </w:rPr>
        <w:t>适用</w:t>
      </w:r>
      <w:r w:rsidRPr="004676CC">
        <w:rPr>
          <w:rFonts w:ascii="宋体" w:eastAsia="宋体" w:hAnsi="宋体"/>
          <w:sz w:val="21"/>
          <w:szCs w:val="21"/>
        </w:rPr>
        <w:t>范围</w:t>
      </w:r>
      <w:bookmarkEnd w:id="2"/>
    </w:p>
    <w:p w14:paraId="7E6C90A8" w14:textId="745C25EC" w:rsidR="00005884" w:rsidRPr="00110385" w:rsidRDefault="00005884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本文件规定了饲用燕麦种植生产施用有机肥替代化肥的基本原则、有机肥种类与要求、有机肥施用技术、配套管理措施、监测与效果评估和</w:t>
      </w:r>
      <w:r w:rsidR="00CA1A98" w:rsidRPr="00110385">
        <w:rPr>
          <w:rFonts w:ascii="宋体" w:eastAsia="宋体" w:hAnsi="宋体" w:hint="eastAsia"/>
          <w:szCs w:val="21"/>
        </w:rPr>
        <w:t>关键节点技术控制</w:t>
      </w:r>
      <w:r w:rsidRPr="00110385">
        <w:rPr>
          <w:rFonts w:ascii="宋体" w:eastAsia="宋体" w:hAnsi="宋体" w:hint="eastAsia"/>
          <w:szCs w:val="21"/>
        </w:rPr>
        <w:t>等。</w:t>
      </w:r>
    </w:p>
    <w:p w14:paraId="7E1A6066" w14:textId="2121D8E6" w:rsidR="003A6413" w:rsidRPr="00110385" w:rsidRDefault="00005884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本文件适用于燕麦饲草种植中，通过有机肥替代或部分替代化肥的绿色生产模式，适用于有机认证农田或生态友好型</w:t>
      </w:r>
      <w:r w:rsidR="005878E5" w:rsidRPr="00110385">
        <w:rPr>
          <w:rFonts w:ascii="宋体" w:eastAsia="宋体" w:hAnsi="宋体" w:hint="eastAsia"/>
          <w:szCs w:val="21"/>
        </w:rPr>
        <w:t>饲草</w:t>
      </w:r>
      <w:r w:rsidRPr="00110385">
        <w:rPr>
          <w:rFonts w:ascii="宋体" w:eastAsia="宋体" w:hAnsi="宋体" w:hint="eastAsia"/>
          <w:szCs w:val="21"/>
        </w:rPr>
        <w:t>种植区。</w:t>
      </w:r>
    </w:p>
    <w:p w14:paraId="4369937B" w14:textId="7F853E75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3" w:name="_Toc197615102"/>
      <w:r w:rsidRPr="004676CC">
        <w:rPr>
          <w:rFonts w:ascii="宋体" w:eastAsia="宋体" w:hAnsi="宋体"/>
          <w:sz w:val="21"/>
          <w:szCs w:val="21"/>
        </w:rPr>
        <w:t>2　引用文件</w:t>
      </w:r>
      <w:bookmarkEnd w:id="3"/>
    </w:p>
    <w:p w14:paraId="444BB571" w14:textId="1FF30CAC" w:rsidR="003A6413" w:rsidRPr="00110385" w:rsidRDefault="003A6413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</w:t>
      </w:r>
      <w:r w:rsidR="00416459" w:rsidRPr="00110385">
        <w:rPr>
          <w:rFonts w:ascii="宋体" w:eastAsia="宋体" w:hAnsi="宋体" w:hint="eastAsia"/>
          <w:szCs w:val="21"/>
        </w:rPr>
        <w:t>本文件</w:t>
      </w:r>
      <w:r w:rsidRPr="00110385">
        <w:rPr>
          <w:rFonts w:ascii="宋体" w:eastAsia="宋体" w:hAnsi="宋体" w:hint="eastAsia"/>
          <w:szCs w:val="21"/>
        </w:rPr>
        <w:t>。</w:t>
      </w:r>
    </w:p>
    <w:p w14:paraId="572D5742" w14:textId="6EB19F12" w:rsidR="00404D0E" w:rsidRPr="00110385" w:rsidRDefault="00404D0E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GB 38400-2019</w:t>
      </w:r>
      <w:r w:rsidRPr="00110385">
        <w:rPr>
          <w:rFonts w:ascii="宋体" w:eastAsia="宋体" w:hAnsi="宋体" w:hint="eastAsia"/>
          <w:szCs w:val="21"/>
        </w:rPr>
        <w:t xml:space="preserve"> </w:t>
      </w:r>
      <w:r w:rsidRPr="00110385">
        <w:rPr>
          <w:rFonts w:ascii="宋体" w:eastAsia="宋体" w:hAnsi="宋体"/>
          <w:szCs w:val="21"/>
        </w:rPr>
        <w:t>肥料中有毒有害物质的限量要求</w:t>
      </w:r>
    </w:p>
    <w:p w14:paraId="37E74339" w14:textId="3B7373C6" w:rsidR="00897EF7" w:rsidRPr="00110385" w:rsidRDefault="00897EF7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NY/T 525-2021</w:t>
      </w:r>
      <w:r w:rsidRPr="00110385">
        <w:rPr>
          <w:rFonts w:ascii="宋体" w:eastAsia="宋体" w:hAnsi="宋体" w:hint="eastAsia"/>
          <w:szCs w:val="21"/>
        </w:rPr>
        <w:t xml:space="preserve"> 有机肥料</w:t>
      </w:r>
    </w:p>
    <w:p w14:paraId="44C7193C" w14:textId="1A4082D1" w:rsidR="003A6413" w:rsidRPr="00110385" w:rsidRDefault="003A6413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NY/T 496 肥料合理使用准则 通则</w:t>
      </w:r>
    </w:p>
    <w:p w14:paraId="251FFB53" w14:textId="77777777" w:rsidR="003A6413" w:rsidRPr="00110385" w:rsidRDefault="003A6413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NY/T 1276  农药安全使用规范  总则</w:t>
      </w:r>
    </w:p>
    <w:p w14:paraId="56F9618A" w14:textId="77777777" w:rsidR="003A6413" w:rsidRPr="00110385" w:rsidRDefault="003A6413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NY/T 1868 肥料合理使用准则 有机肥料</w:t>
      </w:r>
    </w:p>
    <w:p w14:paraId="324702BF" w14:textId="77777777" w:rsidR="007025E9" w:rsidRPr="00110385" w:rsidRDefault="003A6413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NY 5332 无公害食品 大田作物产地环境条件</w:t>
      </w:r>
    </w:p>
    <w:p w14:paraId="1190279C" w14:textId="77777777" w:rsidR="00110385" w:rsidRPr="00110385" w:rsidRDefault="00110385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DB62/T 2896-2018</w:t>
      </w:r>
      <w:r w:rsidRPr="00110385">
        <w:rPr>
          <w:rFonts w:ascii="宋体" w:eastAsia="宋体" w:hAnsi="宋体" w:hint="eastAsia"/>
          <w:szCs w:val="21"/>
        </w:rPr>
        <w:t xml:space="preserve"> 饲草燕麦栽培技术规程</w:t>
      </w:r>
    </w:p>
    <w:p w14:paraId="4ECB1DD5" w14:textId="47BABF91" w:rsidR="008868E7" w:rsidRPr="00110385" w:rsidRDefault="008868E7" w:rsidP="004676C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EC 834/2007</w:t>
      </w:r>
      <w:r w:rsidRPr="00110385">
        <w:rPr>
          <w:rFonts w:ascii="宋体" w:eastAsia="宋体" w:hAnsi="宋体" w:hint="eastAsia"/>
          <w:szCs w:val="21"/>
        </w:rPr>
        <w:t xml:space="preserve"> 欧盟有机产品和标识</w:t>
      </w:r>
    </w:p>
    <w:p w14:paraId="4C36B521" w14:textId="522BB3B3" w:rsidR="002233EF" w:rsidRPr="002233EF" w:rsidRDefault="002233EF" w:rsidP="002233EF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4" w:name="_Toc197615103"/>
      <w:r w:rsidRPr="002233EF">
        <w:rPr>
          <w:rFonts w:ascii="宋体" w:eastAsia="宋体" w:hAnsi="宋体" w:hint="eastAsia"/>
          <w:sz w:val="21"/>
          <w:szCs w:val="21"/>
        </w:rPr>
        <w:t xml:space="preserve">3 </w:t>
      </w:r>
      <w:r w:rsidR="00B14CFC">
        <w:rPr>
          <w:rFonts w:ascii="宋体" w:eastAsia="宋体" w:hAnsi="宋体" w:hint="eastAsia"/>
          <w:sz w:val="21"/>
          <w:szCs w:val="21"/>
        </w:rPr>
        <w:t xml:space="preserve"> </w:t>
      </w:r>
      <w:r w:rsidRPr="002233EF">
        <w:rPr>
          <w:rFonts w:ascii="宋体" w:eastAsia="宋体" w:hAnsi="宋体" w:hint="eastAsia"/>
          <w:sz w:val="21"/>
          <w:szCs w:val="21"/>
        </w:rPr>
        <w:t>核心目标</w:t>
      </w:r>
      <w:bookmarkEnd w:id="4"/>
    </w:p>
    <w:p w14:paraId="1AF1FB47" w14:textId="3D2178AE" w:rsidR="002233EF" w:rsidRPr="002233EF" w:rsidRDefault="002233EF" w:rsidP="002233EF">
      <w:pPr>
        <w:spacing w:line="360" w:lineRule="auto"/>
        <w:rPr>
          <w:rFonts w:ascii="黑体" w:eastAsia="黑体" w:hAnsi="黑体" w:hint="eastAsia"/>
          <w:szCs w:val="21"/>
        </w:rPr>
      </w:pPr>
      <w:r w:rsidRPr="002233EF">
        <w:rPr>
          <w:rFonts w:ascii="黑体" w:eastAsia="黑体" w:hAnsi="黑体" w:hint="eastAsia"/>
          <w:szCs w:val="21"/>
        </w:rPr>
        <w:t>3.1</w:t>
      </w:r>
      <w:r w:rsidRPr="002233EF">
        <w:rPr>
          <w:rFonts w:ascii="黑体" w:eastAsia="黑体" w:hAnsi="黑体"/>
          <w:szCs w:val="21"/>
        </w:rPr>
        <w:t>替代原则</w:t>
      </w:r>
    </w:p>
    <w:p w14:paraId="535C8D23" w14:textId="2A084955" w:rsidR="002233EF" w:rsidRPr="00110385" w:rsidRDefault="002233EF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 xml:space="preserve">通过有机肥和生态管理，减少或完全替代化学合成肥料。  </w:t>
      </w:r>
    </w:p>
    <w:p w14:paraId="6723DE65" w14:textId="77777777" w:rsidR="002233EF" w:rsidRPr="002233EF" w:rsidRDefault="002233EF" w:rsidP="002233EF">
      <w:pPr>
        <w:spacing w:line="360" w:lineRule="auto"/>
        <w:rPr>
          <w:rFonts w:ascii="黑体" w:eastAsia="黑体" w:hAnsi="黑体" w:hint="eastAsia"/>
          <w:szCs w:val="21"/>
        </w:rPr>
      </w:pPr>
      <w:r w:rsidRPr="002233EF">
        <w:rPr>
          <w:rFonts w:ascii="黑体" w:eastAsia="黑体" w:hAnsi="黑体" w:hint="eastAsia"/>
          <w:szCs w:val="21"/>
        </w:rPr>
        <w:t>3.</w:t>
      </w:r>
      <w:r w:rsidRPr="002233EF">
        <w:rPr>
          <w:rFonts w:ascii="黑体" w:eastAsia="黑体" w:hAnsi="黑体"/>
          <w:szCs w:val="21"/>
        </w:rPr>
        <w:t>2.效益平衡</w:t>
      </w:r>
    </w:p>
    <w:p w14:paraId="0C32532B" w14:textId="7D920DAF" w:rsidR="002233EF" w:rsidRPr="00110385" w:rsidRDefault="002233EF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维持燕麦饲草产量与品质，同步提升土壤有机质含量。</w:t>
      </w:r>
    </w:p>
    <w:p w14:paraId="659CBD9B" w14:textId="7199BF2E" w:rsidR="002233EF" w:rsidRPr="002233EF" w:rsidRDefault="002233EF" w:rsidP="002233EF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5" w:name="_Toc197615104"/>
      <w:r w:rsidRPr="002233EF">
        <w:rPr>
          <w:rFonts w:ascii="宋体" w:eastAsia="宋体" w:hAnsi="宋体" w:hint="eastAsia"/>
          <w:sz w:val="21"/>
          <w:szCs w:val="21"/>
        </w:rPr>
        <w:t>4 基本原则</w:t>
      </w:r>
      <w:bookmarkEnd w:id="5"/>
    </w:p>
    <w:p w14:paraId="2D88896F" w14:textId="07F2C649" w:rsidR="002233EF" w:rsidRPr="002233EF" w:rsidRDefault="002233EF" w:rsidP="002233EF">
      <w:pPr>
        <w:spacing w:line="360" w:lineRule="auto"/>
        <w:rPr>
          <w:rFonts w:ascii="黑体" w:eastAsia="黑体" w:hAnsi="黑体" w:hint="eastAsia"/>
          <w:szCs w:val="21"/>
        </w:rPr>
      </w:pPr>
      <w:r w:rsidRPr="002233EF">
        <w:rPr>
          <w:rFonts w:ascii="黑体" w:eastAsia="黑体" w:hAnsi="黑体" w:hint="eastAsia"/>
          <w:szCs w:val="21"/>
        </w:rPr>
        <w:t xml:space="preserve">4.1 </w:t>
      </w:r>
      <w:r w:rsidRPr="002233EF">
        <w:rPr>
          <w:rFonts w:ascii="黑体" w:eastAsia="黑体" w:hAnsi="黑体"/>
          <w:szCs w:val="21"/>
        </w:rPr>
        <w:t>生态优先</w:t>
      </w:r>
    </w:p>
    <w:p w14:paraId="4922C012" w14:textId="3F5200F9" w:rsidR="002233EF" w:rsidRPr="00110385" w:rsidRDefault="002233EF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以改善土壤健康、提升</w:t>
      </w:r>
      <w:r w:rsidR="00E520E7" w:rsidRPr="00110385">
        <w:rPr>
          <w:rFonts w:ascii="宋体" w:eastAsia="宋体" w:hAnsi="宋体" w:hint="eastAsia"/>
          <w:szCs w:val="21"/>
        </w:rPr>
        <w:t>饲用燕麦</w:t>
      </w:r>
      <w:r w:rsidRPr="00110385">
        <w:rPr>
          <w:rFonts w:ascii="宋体" w:eastAsia="宋体" w:hAnsi="宋体"/>
          <w:szCs w:val="21"/>
        </w:rPr>
        <w:t>饲草品质为目标，禁止使用化学合成肥料。</w:t>
      </w:r>
    </w:p>
    <w:p w14:paraId="01E63C3A" w14:textId="36EEF326" w:rsidR="002233EF" w:rsidRPr="002233EF" w:rsidRDefault="002233EF" w:rsidP="002233EF">
      <w:pPr>
        <w:spacing w:line="360" w:lineRule="auto"/>
        <w:rPr>
          <w:rFonts w:ascii="黑体" w:eastAsia="黑体" w:hAnsi="黑体" w:hint="eastAsia"/>
          <w:szCs w:val="21"/>
        </w:rPr>
      </w:pPr>
      <w:r w:rsidRPr="002233EF">
        <w:rPr>
          <w:rFonts w:ascii="黑体" w:eastAsia="黑体" w:hAnsi="黑体" w:hint="eastAsia"/>
          <w:szCs w:val="21"/>
        </w:rPr>
        <w:t xml:space="preserve">4.2 </w:t>
      </w:r>
      <w:r w:rsidRPr="002233EF">
        <w:rPr>
          <w:rFonts w:ascii="黑体" w:eastAsia="黑体" w:hAnsi="黑体"/>
          <w:szCs w:val="21"/>
        </w:rPr>
        <w:t>养分平衡</w:t>
      </w:r>
    </w:p>
    <w:p w14:paraId="552F476F" w14:textId="10C2322A" w:rsidR="002233EF" w:rsidRPr="00110385" w:rsidRDefault="002233EF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通过有机肥与生物菌剂结合，满足</w:t>
      </w:r>
      <w:r w:rsidR="00E520E7" w:rsidRPr="00110385">
        <w:rPr>
          <w:rFonts w:ascii="宋体" w:eastAsia="宋体" w:hAnsi="宋体" w:hint="eastAsia"/>
          <w:szCs w:val="21"/>
        </w:rPr>
        <w:t>饲用</w:t>
      </w:r>
      <w:r w:rsidRPr="00110385">
        <w:rPr>
          <w:rFonts w:ascii="宋体" w:eastAsia="宋体" w:hAnsi="宋体"/>
          <w:szCs w:val="21"/>
        </w:rPr>
        <w:t>燕麦氮、磷、钾及微量元素需求。</w:t>
      </w:r>
    </w:p>
    <w:p w14:paraId="2D7888FE" w14:textId="097DB755" w:rsidR="002233EF" w:rsidRPr="002233EF" w:rsidRDefault="002233EF" w:rsidP="002233EF">
      <w:pPr>
        <w:spacing w:line="360" w:lineRule="auto"/>
        <w:rPr>
          <w:rFonts w:ascii="黑体" w:eastAsia="黑体" w:hAnsi="黑体" w:hint="eastAsia"/>
          <w:szCs w:val="21"/>
        </w:rPr>
      </w:pPr>
      <w:r w:rsidRPr="002233EF">
        <w:rPr>
          <w:rFonts w:ascii="黑体" w:eastAsia="黑体" w:hAnsi="黑体" w:hint="eastAsia"/>
          <w:szCs w:val="21"/>
        </w:rPr>
        <w:t xml:space="preserve">4.3 </w:t>
      </w:r>
      <w:r w:rsidRPr="002233EF">
        <w:rPr>
          <w:rFonts w:ascii="黑体" w:eastAsia="黑体" w:hAnsi="黑体"/>
          <w:szCs w:val="21"/>
        </w:rPr>
        <w:t>因地制宜</w:t>
      </w:r>
    </w:p>
    <w:p w14:paraId="59CBA7D9" w14:textId="58075C9B" w:rsidR="002233EF" w:rsidRPr="00110385" w:rsidRDefault="002233EF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根据土壤肥力、气候条件及有机肥资源调整方案。</w:t>
      </w:r>
    </w:p>
    <w:p w14:paraId="35729A87" w14:textId="563D4F01" w:rsidR="003A6413" w:rsidRPr="004676CC" w:rsidRDefault="00AD6260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6" w:name="_Toc197615105"/>
      <w:r>
        <w:rPr>
          <w:rFonts w:ascii="宋体" w:eastAsia="宋体" w:hAnsi="宋体" w:hint="eastAsia"/>
          <w:sz w:val="21"/>
          <w:szCs w:val="21"/>
        </w:rPr>
        <w:t>5</w:t>
      </w:r>
      <w:r w:rsidR="003A6413" w:rsidRPr="004676CC">
        <w:rPr>
          <w:rFonts w:ascii="宋体" w:eastAsia="宋体" w:hAnsi="宋体"/>
          <w:sz w:val="21"/>
          <w:szCs w:val="21"/>
        </w:rPr>
        <w:t xml:space="preserve">　</w:t>
      </w:r>
      <w:r w:rsidR="00C1705C" w:rsidRPr="004676CC">
        <w:rPr>
          <w:rFonts w:ascii="宋体" w:eastAsia="宋体" w:hAnsi="宋体" w:hint="eastAsia"/>
          <w:sz w:val="21"/>
          <w:szCs w:val="21"/>
        </w:rPr>
        <w:t>生产</w:t>
      </w:r>
      <w:r w:rsidR="003A6413" w:rsidRPr="004676CC">
        <w:rPr>
          <w:rFonts w:ascii="宋体" w:eastAsia="宋体" w:hAnsi="宋体"/>
          <w:sz w:val="21"/>
          <w:szCs w:val="21"/>
        </w:rPr>
        <w:t>环境</w:t>
      </w:r>
      <w:bookmarkEnd w:id="6"/>
    </w:p>
    <w:p w14:paraId="089EF919" w14:textId="77777777" w:rsidR="003A6413" w:rsidRPr="00110385" w:rsidRDefault="003A6413" w:rsidP="00B50F84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种植区内产地环境符合</w:t>
      </w:r>
      <w:r w:rsidRPr="00110385">
        <w:rPr>
          <w:rFonts w:ascii="宋体" w:eastAsia="宋体" w:hAnsi="宋体"/>
          <w:szCs w:val="21"/>
        </w:rPr>
        <w:t>NY 5332的规定。</w:t>
      </w:r>
    </w:p>
    <w:p w14:paraId="6F1F4E4A" w14:textId="4934ED30" w:rsidR="00C1705C" w:rsidRPr="004676CC" w:rsidRDefault="00AD6260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C1705C" w:rsidRPr="004676CC">
        <w:rPr>
          <w:rFonts w:ascii="黑体" w:eastAsia="黑体" w:hAnsi="黑体"/>
          <w:szCs w:val="21"/>
        </w:rPr>
        <w:t>.1 土壤条件</w:t>
      </w:r>
    </w:p>
    <w:p w14:paraId="1F0B599B" w14:textId="22BFB165" w:rsidR="00C1705C" w:rsidRPr="00110385" w:rsidRDefault="00C1705C" w:rsidP="00B50F84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饲用燕麦种植</w:t>
      </w:r>
      <w:r w:rsidR="000E306C" w:rsidRPr="00110385">
        <w:rPr>
          <w:rFonts w:ascii="宋体" w:eastAsia="宋体" w:hAnsi="宋体" w:hint="eastAsia"/>
          <w:szCs w:val="21"/>
        </w:rPr>
        <w:t>应</w:t>
      </w:r>
      <w:bookmarkStart w:id="7" w:name="_Hlk197501944"/>
      <w:r w:rsidRPr="00110385">
        <w:rPr>
          <w:rFonts w:ascii="宋体" w:eastAsia="宋体" w:hAnsi="宋体" w:hint="eastAsia"/>
          <w:szCs w:val="21"/>
        </w:rPr>
        <w:t>选择土壤肥力中等，土质轻粘土地为宜</w:t>
      </w:r>
      <w:bookmarkEnd w:id="7"/>
      <w:r w:rsidRPr="00110385">
        <w:rPr>
          <w:rFonts w:ascii="宋体" w:eastAsia="宋体" w:hAnsi="宋体" w:hint="eastAsia"/>
          <w:szCs w:val="21"/>
        </w:rPr>
        <w:t>。</w:t>
      </w:r>
    </w:p>
    <w:p w14:paraId="1179585E" w14:textId="4DDB8EB2" w:rsidR="00C1705C" w:rsidRPr="004676CC" w:rsidRDefault="00AD6260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C1705C" w:rsidRPr="004676CC">
        <w:rPr>
          <w:rFonts w:ascii="黑体" w:eastAsia="黑体" w:hAnsi="黑体"/>
          <w:szCs w:val="21"/>
        </w:rPr>
        <w:t>.2</w:t>
      </w:r>
      <w:r w:rsidR="004676CC" w:rsidRPr="004676CC">
        <w:rPr>
          <w:rFonts w:ascii="黑体" w:eastAsia="黑体" w:hAnsi="黑体" w:hint="eastAsia"/>
          <w:szCs w:val="21"/>
        </w:rPr>
        <w:t xml:space="preserve"> </w:t>
      </w:r>
      <w:r w:rsidR="00C1705C" w:rsidRPr="004676CC">
        <w:rPr>
          <w:rFonts w:ascii="黑体" w:eastAsia="黑体" w:hAnsi="黑体"/>
          <w:szCs w:val="21"/>
        </w:rPr>
        <w:t>水质条件</w:t>
      </w:r>
    </w:p>
    <w:p w14:paraId="65B0E11A" w14:textId="7893D82D" w:rsidR="00C1705C" w:rsidRPr="00110385" w:rsidRDefault="00C24590" w:rsidP="00B50F84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bookmarkStart w:id="8" w:name="_Hlk197501965"/>
      <w:r w:rsidRPr="00110385">
        <w:rPr>
          <w:rFonts w:ascii="宋体" w:eastAsia="宋体" w:hAnsi="宋体" w:hint="eastAsia"/>
          <w:szCs w:val="21"/>
        </w:rPr>
        <w:t>满足燕麦生产的旱作，或者</w:t>
      </w:r>
      <w:r w:rsidR="00C1705C" w:rsidRPr="00110385">
        <w:rPr>
          <w:rFonts w:ascii="宋体" w:eastAsia="宋体" w:hAnsi="宋体" w:hint="eastAsia"/>
          <w:szCs w:val="21"/>
        </w:rPr>
        <w:t>有灌溉水源</w:t>
      </w:r>
      <w:bookmarkEnd w:id="8"/>
      <w:r w:rsidR="00C1705C" w:rsidRPr="00110385">
        <w:rPr>
          <w:rFonts w:ascii="宋体" w:eastAsia="宋体" w:hAnsi="宋体" w:hint="eastAsia"/>
          <w:szCs w:val="21"/>
        </w:rPr>
        <w:t>。</w:t>
      </w:r>
    </w:p>
    <w:p w14:paraId="55C6F591" w14:textId="4D15492E" w:rsidR="003A6413" w:rsidRPr="004676CC" w:rsidRDefault="00AD6260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9" w:name="_Toc197615106"/>
      <w:r>
        <w:rPr>
          <w:rFonts w:ascii="宋体" w:eastAsia="宋体" w:hAnsi="宋体" w:hint="eastAsia"/>
          <w:sz w:val="21"/>
          <w:szCs w:val="21"/>
        </w:rPr>
        <w:t>6</w:t>
      </w:r>
      <w:r w:rsidR="003A6413" w:rsidRPr="004676CC">
        <w:rPr>
          <w:rFonts w:ascii="宋体" w:eastAsia="宋体" w:hAnsi="宋体"/>
          <w:sz w:val="21"/>
          <w:szCs w:val="21"/>
        </w:rPr>
        <w:t xml:space="preserve">　</w:t>
      </w:r>
      <w:r w:rsidRPr="00AD6260">
        <w:rPr>
          <w:rFonts w:ascii="宋体" w:eastAsia="宋体" w:hAnsi="宋体" w:hint="eastAsia"/>
          <w:sz w:val="21"/>
          <w:szCs w:val="21"/>
        </w:rPr>
        <w:t>有机肥种类与要求</w:t>
      </w:r>
      <w:bookmarkEnd w:id="9"/>
    </w:p>
    <w:p w14:paraId="0838863A" w14:textId="49115CC5" w:rsidR="00AD6260" w:rsidRPr="00A92E78" w:rsidRDefault="00AD6260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6.1 </w:t>
      </w:r>
      <w:r w:rsidRPr="00A92E78">
        <w:rPr>
          <w:rFonts w:ascii="黑体" w:eastAsia="黑体" w:hAnsi="黑体"/>
          <w:szCs w:val="21"/>
        </w:rPr>
        <w:t>推荐有机肥类型</w:t>
      </w:r>
    </w:p>
    <w:p w14:paraId="6A471D45" w14:textId="77777777" w:rsidR="00A92E78" w:rsidRPr="00A92E78" w:rsidRDefault="00A92E78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6.1.1 </w:t>
      </w:r>
      <w:r w:rsidR="00AD6260" w:rsidRPr="00A92E78">
        <w:rPr>
          <w:rFonts w:ascii="黑体" w:eastAsia="黑体" w:hAnsi="黑体" w:hint="eastAsia"/>
          <w:szCs w:val="21"/>
        </w:rPr>
        <w:t>堆肥</w:t>
      </w:r>
    </w:p>
    <w:p w14:paraId="7B820A87" w14:textId="2DB4DB4D" w:rsidR="00AD6260" w:rsidRPr="00110385" w:rsidRDefault="00AD6260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农作物秸秆、畜禽粪便（需腐熟）、厨余等发酵产物（</w:t>
      </w:r>
      <w:r w:rsidRPr="00110385">
        <w:rPr>
          <w:rFonts w:ascii="宋体" w:eastAsia="宋体" w:hAnsi="宋体"/>
          <w:szCs w:val="21"/>
        </w:rPr>
        <w:t>C/N比25</w:t>
      </w:r>
      <w:r w:rsidR="00110385">
        <w:rPr>
          <w:rFonts w:ascii="黑体" w:eastAsia="黑体" w:hAnsi="黑体" w:hint="eastAsia"/>
          <w:szCs w:val="21"/>
        </w:rPr>
        <w:t>～</w:t>
      </w:r>
      <w:r w:rsidRPr="00110385">
        <w:rPr>
          <w:rFonts w:ascii="宋体" w:eastAsia="宋体" w:hAnsi="宋体"/>
          <w:szCs w:val="21"/>
        </w:rPr>
        <w:t>30:1）。</w:t>
      </w:r>
    </w:p>
    <w:p w14:paraId="267E49AA" w14:textId="77777777" w:rsidR="00A92E78" w:rsidRPr="00A92E78" w:rsidRDefault="00A92E78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6.1.2 </w:t>
      </w:r>
      <w:r w:rsidR="00AD6260" w:rsidRPr="00A92E78">
        <w:rPr>
          <w:rFonts w:ascii="黑体" w:eastAsia="黑体" w:hAnsi="黑体" w:hint="eastAsia"/>
          <w:szCs w:val="21"/>
        </w:rPr>
        <w:t>商品有机肥</w:t>
      </w:r>
    </w:p>
    <w:p w14:paraId="46DAC45E" w14:textId="7ADDB539" w:rsidR="00AD6260" w:rsidRPr="00110385" w:rsidRDefault="00AD6260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符合</w:t>
      </w:r>
      <w:r w:rsidRPr="00110385">
        <w:rPr>
          <w:rFonts w:ascii="宋体" w:eastAsia="宋体" w:hAnsi="宋体"/>
          <w:szCs w:val="21"/>
        </w:rPr>
        <w:t>NY/T 525-2021标准，有机质≥45%，总养分（N+P</w:t>
      </w:r>
      <w:r w:rsidRPr="00110385">
        <w:rPr>
          <w:rFonts w:ascii="Cambria Math" w:eastAsia="宋体" w:hAnsi="Cambria Math" w:cs="Cambria Math"/>
          <w:szCs w:val="21"/>
        </w:rPr>
        <w:t>₂</w:t>
      </w:r>
      <w:r w:rsidRPr="00110385">
        <w:rPr>
          <w:rFonts w:ascii="宋体" w:eastAsia="宋体" w:hAnsi="宋体"/>
          <w:szCs w:val="21"/>
        </w:rPr>
        <w:t>O</w:t>
      </w:r>
      <w:r w:rsidRPr="00110385">
        <w:rPr>
          <w:rFonts w:ascii="Cambria Math" w:eastAsia="宋体" w:hAnsi="Cambria Math" w:cs="Cambria Math"/>
          <w:szCs w:val="21"/>
        </w:rPr>
        <w:t>₅</w:t>
      </w:r>
      <w:r w:rsidRPr="00110385">
        <w:rPr>
          <w:rFonts w:ascii="宋体" w:eastAsia="宋体" w:hAnsi="宋体"/>
          <w:szCs w:val="21"/>
        </w:rPr>
        <w:t>+K</w:t>
      </w:r>
      <w:r w:rsidRPr="00110385">
        <w:rPr>
          <w:rFonts w:ascii="Cambria Math" w:eastAsia="宋体" w:hAnsi="Cambria Math" w:cs="Cambria Math"/>
          <w:szCs w:val="21"/>
        </w:rPr>
        <w:t>₂</w:t>
      </w:r>
      <w:r w:rsidRPr="00110385">
        <w:rPr>
          <w:rFonts w:ascii="宋体" w:eastAsia="宋体" w:hAnsi="宋体"/>
          <w:szCs w:val="21"/>
        </w:rPr>
        <w:t>O）≥5%。</w:t>
      </w:r>
    </w:p>
    <w:p w14:paraId="4A52C2F5" w14:textId="77777777" w:rsidR="00A92E78" w:rsidRPr="00A92E78" w:rsidRDefault="00A92E78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6.1.3 </w:t>
      </w:r>
      <w:r w:rsidR="00AD6260" w:rsidRPr="00A92E78">
        <w:rPr>
          <w:rFonts w:ascii="黑体" w:eastAsia="黑体" w:hAnsi="黑体" w:hint="eastAsia"/>
          <w:szCs w:val="21"/>
        </w:rPr>
        <w:t>绿肥</w:t>
      </w:r>
    </w:p>
    <w:p w14:paraId="51AC3692" w14:textId="10A2A2F8" w:rsidR="00AD6260" w:rsidRPr="00110385" w:rsidRDefault="00AD6260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种植豆科植物（如苜蓿、紫云英）翻压还田。</w:t>
      </w:r>
    </w:p>
    <w:p w14:paraId="03DA8047" w14:textId="77777777" w:rsidR="00A92E78" w:rsidRPr="00A92E78" w:rsidRDefault="00A92E78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6.1.4 </w:t>
      </w:r>
      <w:r w:rsidR="00AD6260" w:rsidRPr="00A92E78">
        <w:rPr>
          <w:rFonts w:ascii="黑体" w:eastAsia="黑体" w:hAnsi="黑体" w:hint="eastAsia"/>
          <w:szCs w:val="21"/>
        </w:rPr>
        <w:t>沼液</w:t>
      </w:r>
      <w:r w:rsidR="00AD6260" w:rsidRPr="00A92E78">
        <w:rPr>
          <w:rFonts w:ascii="黑体" w:eastAsia="黑体" w:hAnsi="黑体"/>
          <w:szCs w:val="21"/>
        </w:rPr>
        <w:t>/沼渣</w:t>
      </w:r>
    </w:p>
    <w:p w14:paraId="56B65282" w14:textId="0C0A57E4" w:rsidR="00AD6260" w:rsidRPr="00110385" w:rsidRDefault="00AD6260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沼气池产物需充分腐熟，重金属含量达标。</w:t>
      </w:r>
    </w:p>
    <w:p w14:paraId="2B882C68" w14:textId="400D7FF9" w:rsidR="00AD6260" w:rsidRPr="00A92E78" w:rsidRDefault="00AD6260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6.2 </w:t>
      </w:r>
      <w:r w:rsidRPr="00A92E78">
        <w:rPr>
          <w:rFonts w:ascii="黑体" w:eastAsia="黑体" w:hAnsi="黑体"/>
          <w:szCs w:val="21"/>
        </w:rPr>
        <w:t>质量要求</w:t>
      </w:r>
    </w:p>
    <w:p w14:paraId="7063AC3C" w14:textId="77777777" w:rsidR="00A92E78" w:rsidRPr="00A92E78" w:rsidRDefault="00A92E78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6.2.1 </w:t>
      </w:r>
      <w:r w:rsidR="00AD6260" w:rsidRPr="00A92E78">
        <w:rPr>
          <w:rFonts w:ascii="黑体" w:eastAsia="黑体" w:hAnsi="黑体" w:hint="eastAsia"/>
          <w:szCs w:val="21"/>
        </w:rPr>
        <w:t>腐熟度</w:t>
      </w:r>
    </w:p>
    <w:p w14:paraId="221C49D4" w14:textId="6D8DB4F2" w:rsidR="00AD6260" w:rsidRPr="00110385" w:rsidRDefault="00AD6260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无恶臭、无未分解原料（堆肥温度降至环境温度并稳定）。</w:t>
      </w:r>
    </w:p>
    <w:p w14:paraId="6E25E2FD" w14:textId="77777777" w:rsidR="00A92E78" w:rsidRPr="00A92E78" w:rsidRDefault="00A92E78" w:rsidP="00AD6260">
      <w:pPr>
        <w:spacing w:line="360" w:lineRule="auto"/>
        <w:rPr>
          <w:rFonts w:ascii="黑体" w:eastAsia="黑体" w:hAnsi="黑体" w:hint="eastAsia"/>
          <w:szCs w:val="21"/>
        </w:rPr>
      </w:pPr>
      <w:r w:rsidRPr="00A92E78">
        <w:rPr>
          <w:rFonts w:ascii="黑体" w:eastAsia="黑体" w:hAnsi="黑体" w:hint="eastAsia"/>
          <w:szCs w:val="21"/>
        </w:rPr>
        <w:t xml:space="preserve">6.2.2 </w:t>
      </w:r>
      <w:r w:rsidR="00AD6260" w:rsidRPr="00A92E78">
        <w:rPr>
          <w:rFonts w:ascii="黑体" w:eastAsia="黑体" w:hAnsi="黑体" w:hint="eastAsia"/>
          <w:szCs w:val="21"/>
        </w:rPr>
        <w:t>安全性</w:t>
      </w:r>
    </w:p>
    <w:p w14:paraId="4CC7B270" w14:textId="5CBA323B" w:rsidR="003A6413" w:rsidRPr="00110385" w:rsidRDefault="00AD6260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重金属（镉、铅等）含量符合</w:t>
      </w:r>
      <w:r w:rsidRPr="00110385">
        <w:rPr>
          <w:rFonts w:ascii="宋体" w:eastAsia="宋体" w:hAnsi="宋体"/>
          <w:szCs w:val="21"/>
        </w:rPr>
        <w:t>GB 38400-2019标准，无病原菌残留。</w:t>
      </w:r>
    </w:p>
    <w:p w14:paraId="241548B5" w14:textId="386EE6FE" w:rsidR="003A6413" w:rsidRPr="004676CC" w:rsidRDefault="00A92E78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10" w:name="_Toc197615107"/>
      <w:r>
        <w:rPr>
          <w:rFonts w:ascii="宋体" w:eastAsia="宋体" w:hAnsi="宋体" w:hint="eastAsia"/>
          <w:sz w:val="21"/>
          <w:szCs w:val="21"/>
        </w:rPr>
        <w:t>7</w:t>
      </w:r>
      <w:r w:rsidR="003A6413" w:rsidRPr="004676CC">
        <w:rPr>
          <w:rFonts w:ascii="宋体" w:eastAsia="宋体" w:hAnsi="宋体"/>
          <w:sz w:val="21"/>
          <w:szCs w:val="21"/>
        </w:rPr>
        <w:t xml:space="preserve">　</w:t>
      </w:r>
      <w:r w:rsidR="00D13872" w:rsidRPr="00D13872">
        <w:rPr>
          <w:rFonts w:ascii="宋体" w:eastAsia="宋体" w:hAnsi="宋体" w:hint="eastAsia"/>
          <w:sz w:val="21"/>
          <w:szCs w:val="21"/>
        </w:rPr>
        <w:t>有机肥施用技术</w:t>
      </w:r>
      <w:bookmarkEnd w:id="10"/>
    </w:p>
    <w:p w14:paraId="0DE37B69" w14:textId="09AC4AA9" w:rsidR="00D13872" w:rsidRPr="00D13872" w:rsidRDefault="00D13872" w:rsidP="00D13872">
      <w:pPr>
        <w:spacing w:line="360" w:lineRule="auto"/>
        <w:rPr>
          <w:rFonts w:ascii="黑体" w:eastAsia="黑体" w:hAnsi="黑体" w:hint="eastAsia"/>
          <w:szCs w:val="21"/>
        </w:rPr>
      </w:pPr>
      <w:bookmarkStart w:id="11" w:name="_Hlk197502074"/>
      <w:r>
        <w:rPr>
          <w:rFonts w:ascii="黑体" w:eastAsia="黑体" w:hAnsi="黑体" w:hint="eastAsia"/>
          <w:szCs w:val="21"/>
        </w:rPr>
        <w:t xml:space="preserve">7.1 </w:t>
      </w:r>
      <w:r w:rsidRPr="00D13872">
        <w:rPr>
          <w:rFonts w:ascii="黑体" w:eastAsia="黑体" w:hAnsi="黑体"/>
          <w:szCs w:val="21"/>
        </w:rPr>
        <w:t>基肥施用（播种前10</w:t>
      </w:r>
      <w:r w:rsidR="00110385">
        <w:rPr>
          <w:rFonts w:ascii="黑体" w:eastAsia="黑体" w:hAnsi="黑体" w:hint="eastAsia"/>
          <w:szCs w:val="21"/>
        </w:rPr>
        <w:t>天～</w:t>
      </w:r>
      <w:r w:rsidRPr="00D13872">
        <w:rPr>
          <w:rFonts w:ascii="黑体" w:eastAsia="黑体" w:hAnsi="黑体"/>
          <w:szCs w:val="21"/>
        </w:rPr>
        <w:t>15天）</w:t>
      </w:r>
    </w:p>
    <w:p w14:paraId="7BB6E40F" w14:textId="77777777" w:rsidR="00D13872" w:rsidRDefault="00D13872" w:rsidP="00D13872">
      <w:pPr>
        <w:spacing w:line="360" w:lineRule="auto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7.1.1 </w:t>
      </w:r>
      <w:r w:rsidRPr="00D13872">
        <w:rPr>
          <w:rFonts w:ascii="黑体" w:eastAsia="黑体" w:hAnsi="黑体" w:cs="黑体" w:hint="eastAsia"/>
          <w:szCs w:val="21"/>
        </w:rPr>
        <w:t>用量</w:t>
      </w:r>
    </w:p>
    <w:p w14:paraId="6B0233BF" w14:textId="6698A15A" w:rsidR="00D13872" w:rsidRPr="00110385" w:rsidRDefault="00D13872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每亩施腐熟堆肥或商品有机肥</w:t>
      </w:r>
      <w:r w:rsidRPr="00110385">
        <w:rPr>
          <w:rFonts w:ascii="宋体" w:eastAsia="宋体" w:hAnsi="宋体"/>
          <w:szCs w:val="21"/>
        </w:rPr>
        <w:t>2</w:t>
      </w:r>
      <w:r w:rsidR="00110385" w:rsidRPr="00110385">
        <w:rPr>
          <w:rFonts w:ascii="宋体" w:eastAsia="宋体" w:hAnsi="宋体" w:hint="eastAsia"/>
          <w:szCs w:val="21"/>
        </w:rPr>
        <w:t>吨～</w:t>
      </w:r>
      <w:r w:rsidRPr="00110385">
        <w:rPr>
          <w:rFonts w:ascii="宋体" w:eastAsia="宋体" w:hAnsi="宋体"/>
          <w:szCs w:val="21"/>
        </w:rPr>
        <w:t>3吨（贫瘠土壤增至4</w:t>
      </w:r>
      <w:r w:rsidR="00A510BB" w:rsidRPr="00110385">
        <w:rPr>
          <w:rFonts w:ascii="宋体" w:eastAsia="宋体" w:hAnsi="宋体" w:hint="eastAsia"/>
          <w:szCs w:val="21"/>
        </w:rPr>
        <w:t>.5</w:t>
      </w:r>
      <w:r w:rsidRPr="00110385">
        <w:rPr>
          <w:rFonts w:ascii="宋体" w:eastAsia="宋体" w:hAnsi="宋体"/>
          <w:szCs w:val="21"/>
        </w:rPr>
        <w:t>吨）。</w:t>
      </w:r>
      <w:r w:rsidR="00A510BB" w:rsidRPr="00110385">
        <w:rPr>
          <w:rFonts w:ascii="宋体" w:eastAsia="宋体" w:hAnsi="宋体" w:hint="eastAsia"/>
          <w:szCs w:val="21"/>
        </w:rPr>
        <w:t>参阅附录1。</w:t>
      </w:r>
    </w:p>
    <w:p w14:paraId="51DF0CF3" w14:textId="77777777" w:rsidR="00D13872" w:rsidRDefault="00D13872" w:rsidP="00D13872">
      <w:pPr>
        <w:spacing w:line="360" w:lineRule="auto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7.1.2 </w:t>
      </w:r>
      <w:r w:rsidRPr="00D13872">
        <w:rPr>
          <w:rFonts w:ascii="黑体" w:eastAsia="黑体" w:hAnsi="黑体" w:cs="黑体" w:hint="eastAsia"/>
          <w:szCs w:val="21"/>
        </w:rPr>
        <w:t>方法</w:t>
      </w:r>
    </w:p>
    <w:p w14:paraId="4E8826F7" w14:textId="232CCF5E" w:rsidR="00D13872" w:rsidRPr="00110385" w:rsidRDefault="00D13872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均匀撒施后深翻</w:t>
      </w:r>
      <w:r w:rsidRPr="00110385">
        <w:rPr>
          <w:rFonts w:ascii="宋体" w:eastAsia="宋体" w:hAnsi="宋体"/>
          <w:szCs w:val="21"/>
        </w:rPr>
        <w:t>20</w:t>
      </w:r>
      <w:r w:rsidR="00110385" w:rsidRPr="00110385">
        <w:rPr>
          <w:rFonts w:ascii="宋体" w:eastAsia="宋体" w:hAnsi="宋体" w:hint="eastAsia"/>
          <w:szCs w:val="21"/>
        </w:rPr>
        <w:t>cm～</w:t>
      </w:r>
      <w:r w:rsidRPr="00110385">
        <w:rPr>
          <w:rFonts w:ascii="宋体" w:eastAsia="宋体" w:hAnsi="宋体"/>
          <w:szCs w:val="21"/>
        </w:rPr>
        <w:t>30cm，或开沟条施（沟深15cm，覆土镇压）。</w:t>
      </w:r>
    </w:p>
    <w:p w14:paraId="584B9FE1" w14:textId="660777B1" w:rsidR="00D13872" w:rsidRPr="00D13872" w:rsidRDefault="00D13872" w:rsidP="00D13872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 xml:space="preserve">7.2 </w:t>
      </w:r>
      <w:r w:rsidRPr="00D13872">
        <w:rPr>
          <w:rFonts w:ascii="黑体" w:eastAsia="黑体" w:hAnsi="黑体"/>
          <w:szCs w:val="21"/>
        </w:rPr>
        <w:t>追肥管理（分蘖期至拔节期）</w:t>
      </w:r>
      <w:r>
        <w:rPr>
          <w:rFonts w:ascii="黑体" w:eastAsia="黑体" w:hAnsi="黑体" w:hint="eastAsia"/>
          <w:szCs w:val="21"/>
        </w:rPr>
        <w:t xml:space="preserve"> </w:t>
      </w:r>
    </w:p>
    <w:p w14:paraId="6025E015" w14:textId="77777777" w:rsidR="00D13872" w:rsidRDefault="00D13872" w:rsidP="00D13872">
      <w:pPr>
        <w:spacing w:line="360" w:lineRule="auto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7.2.1 </w:t>
      </w:r>
      <w:r w:rsidRPr="00D13872">
        <w:rPr>
          <w:rFonts w:ascii="黑体" w:eastAsia="黑体" w:hAnsi="黑体" w:cs="黑体" w:hint="eastAsia"/>
          <w:szCs w:val="21"/>
        </w:rPr>
        <w:t>沼液追肥</w:t>
      </w:r>
    </w:p>
    <w:p w14:paraId="684165E2" w14:textId="339EA6BE" w:rsidR="00D13872" w:rsidRPr="00110385" w:rsidRDefault="00D13872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稀释</w:t>
      </w:r>
      <w:r w:rsidRPr="00110385">
        <w:rPr>
          <w:rFonts w:ascii="宋体" w:eastAsia="宋体" w:hAnsi="宋体"/>
          <w:szCs w:val="21"/>
        </w:rPr>
        <w:t>3</w:t>
      </w:r>
      <w:r w:rsidR="00110385" w:rsidRPr="00110385">
        <w:rPr>
          <w:rFonts w:ascii="宋体" w:eastAsia="宋体" w:hAnsi="宋体" w:hint="eastAsia"/>
          <w:szCs w:val="21"/>
        </w:rPr>
        <w:t>倍～</w:t>
      </w:r>
      <w:r w:rsidRPr="00110385">
        <w:rPr>
          <w:rFonts w:ascii="宋体" w:eastAsia="宋体" w:hAnsi="宋体"/>
          <w:szCs w:val="21"/>
        </w:rPr>
        <w:t>5倍后沟灌或喷灌，亩用量500</w:t>
      </w:r>
      <w:r w:rsidR="00110385" w:rsidRPr="00110385">
        <w:rPr>
          <w:rFonts w:ascii="宋体" w:eastAsia="宋体" w:hAnsi="宋体" w:hint="eastAsia"/>
          <w:szCs w:val="21"/>
        </w:rPr>
        <w:t>kg～</w:t>
      </w:r>
      <w:r w:rsidRPr="00110385">
        <w:rPr>
          <w:rFonts w:ascii="宋体" w:eastAsia="宋体" w:hAnsi="宋体"/>
          <w:szCs w:val="21"/>
        </w:rPr>
        <w:t>800kg。</w:t>
      </w:r>
    </w:p>
    <w:p w14:paraId="42E170CA" w14:textId="77777777" w:rsidR="00D13872" w:rsidRDefault="00D13872" w:rsidP="00D13872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7.2.2 </w:t>
      </w:r>
      <w:r w:rsidRPr="00D13872">
        <w:rPr>
          <w:rFonts w:ascii="黑体" w:eastAsia="黑体" w:hAnsi="黑体" w:cs="黑体" w:hint="eastAsia"/>
          <w:szCs w:val="21"/>
        </w:rPr>
        <w:t>豆饼</w:t>
      </w:r>
      <w:r w:rsidRPr="00D13872">
        <w:rPr>
          <w:rFonts w:ascii="黑体" w:eastAsia="黑体" w:hAnsi="黑体"/>
          <w:szCs w:val="21"/>
        </w:rPr>
        <w:t>/菜籽粕</w:t>
      </w:r>
    </w:p>
    <w:p w14:paraId="2FEE8591" w14:textId="1ED03A18" w:rsidR="00D13872" w:rsidRPr="00110385" w:rsidRDefault="00D13872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粉碎后穴施，亩用量100</w:t>
      </w:r>
      <w:r w:rsidR="00110385" w:rsidRPr="00110385">
        <w:rPr>
          <w:rFonts w:ascii="宋体" w:eastAsia="宋体" w:hAnsi="宋体" w:hint="eastAsia"/>
          <w:szCs w:val="21"/>
        </w:rPr>
        <w:t>kg～</w:t>
      </w:r>
      <w:r w:rsidRPr="00110385">
        <w:rPr>
          <w:rFonts w:ascii="宋体" w:eastAsia="宋体" w:hAnsi="宋体"/>
          <w:szCs w:val="21"/>
        </w:rPr>
        <w:t>150kg，配合生物菌剂（如EM菌）提高分解效率。</w:t>
      </w:r>
    </w:p>
    <w:p w14:paraId="6C86C5D1" w14:textId="7FEDB6A3" w:rsidR="00D13872" w:rsidRPr="00D13872" w:rsidRDefault="00D13872" w:rsidP="00D13872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 xml:space="preserve">7.3 </w:t>
      </w:r>
      <w:r w:rsidRPr="00D13872">
        <w:rPr>
          <w:rFonts w:ascii="黑体" w:eastAsia="黑体" w:hAnsi="黑体"/>
          <w:szCs w:val="21"/>
        </w:rPr>
        <w:t>绿肥配套</w:t>
      </w:r>
    </w:p>
    <w:p w14:paraId="51D73218" w14:textId="530C10BE" w:rsidR="003A6413" w:rsidRPr="00110385" w:rsidRDefault="00D13872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轮作模式</w:t>
      </w:r>
      <w:r w:rsidR="00331E8E" w:rsidRPr="00110385">
        <w:rPr>
          <w:rFonts w:ascii="宋体" w:eastAsia="宋体" w:hAnsi="宋体" w:hint="eastAsia"/>
          <w:szCs w:val="21"/>
        </w:rPr>
        <w:t>:</w:t>
      </w:r>
      <w:r w:rsidRPr="00110385">
        <w:rPr>
          <w:rFonts w:ascii="宋体" w:eastAsia="宋体" w:hAnsi="宋体" w:hint="eastAsia"/>
          <w:szCs w:val="21"/>
        </w:rPr>
        <w:t>燕麦</w:t>
      </w:r>
      <w:r w:rsidRPr="00110385">
        <w:rPr>
          <w:rFonts w:ascii="宋体" w:eastAsia="宋体" w:hAnsi="宋体"/>
          <w:szCs w:val="21"/>
        </w:rPr>
        <w:t>-豆科绿肥轮作，绿肥盛花期翻压还田（亩产鲜草2</w:t>
      </w:r>
      <w:r w:rsidR="00110385" w:rsidRPr="00110385">
        <w:rPr>
          <w:rFonts w:ascii="宋体" w:eastAsia="宋体" w:hAnsi="宋体" w:hint="eastAsia"/>
          <w:szCs w:val="21"/>
        </w:rPr>
        <w:t>吨～</w:t>
      </w:r>
      <w:r w:rsidRPr="00110385">
        <w:rPr>
          <w:rFonts w:ascii="宋体" w:eastAsia="宋体" w:hAnsi="宋体"/>
          <w:szCs w:val="21"/>
        </w:rPr>
        <w:t>3吨，提供约60kg氮素）</w:t>
      </w:r>
      <w:r w:rsidR="003A6413" w:rsidRPr="00110385">
        <w:rPr>
          <w:rFonts w:ascii="宋体" w:eastAsia="宋体" w:hAnsi="宋体"/>
          <w:szCs w:val="21"/>
        </w:rPr>
        <w:t>。</w:t>
      </w:r>
      <w:bookmarkEnd w:id="11"/>
    </w:p>
    <w:p w14:paraId="2992E4A4" w14:textId="626997A8" w:rsidR="00A510BB" w:rsidRPr="00A510BB" w:rsidRDefault="00A510BB" w:rsidP="00A510BB">
      <w:pPr>
        <w:spacing w:line="360" w:lineRule="auto"/>
        <w:rPr>
          <w:rFonts w:ascii="黑体" w:eastAsia="黑体" w:hAnsi="黑体" w:hint="eastAsia"/>
          <w:szCs w:val="21"/>
        </w:rPr>
      </w:pPr>
      <w:r w:rsidRPr="00A510BB">
        <w:rPr>
          <w:rFonts w:ascii="黑体" w:eastAsia="黑体" w:hAnsi="黑体" w:hint="eastAsia"/>
          <w:szCs w:val="21"/>
        </w:rPr>
        <w:t>7.4 实施建议</w:t>
      </w:r>
    </w:p>
    <w:p w14:paraId="00AC4986" w14:textId="33B8F5C2" w:rsidR="00A510BB" w:rsidRPr="00110385" w:rsidRDefault="00A510BB" w:rsidP="00A510BB">
      <w:pPr>
        <w:spacing w:line="360" w:lineRule="auto"/>
        <w:rPr>
          <w:rFonts w:ascii="宋体" w:eastAsia="宋体" w:hAnsi="宋体" w:hint="eastAsia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   </w:t>
      </w:r>
      <w:r w:rsidRPr="00110385">
        <w:rPr>
          <w:rFonts w:ascii="宋体" w:eastAsia="宋体" w:hAnsi="宋体" w:hint="eastAsia"/>
          <w:szCs w:val="21"/>
        </w:rPr>
        <w:t>初次替代时可采用“有机肥</w:t>
      </w:r>
      <w:r w:rsidRPr="00110385">
        <w:rPr>
          <w:rFonts w:ascii="宋体" w:eastAsia="宋体" w:hAnsi="宋体"/>
          <w:szCs w:val="21"/>
        </w:rPr>
        <w:t>70%+化肥30%”过渡，逐年减少化肥比例。连续3年实施后，土壤肥力显著提升，可完全替代化肥</w:t>
      </w:r>
      <w:r w:rsidRPr="00110385">
        <w:rPr>
          <w:rFonts w:ascii="宋体" w:eastAsia="宋体" w:hAnsi="宋体" w:hint="eastAsia"/>
          <w:szCs w:val="21"/>
        </w:rPr>
        <w:t>。</w:t>
      </w:r>
    </w:p>
    <w:p w14:paraId="47A99DC2" w14:textId="6015E881" w:rsidR="003A6413" w:rsidRPr="004676CC" w:rsidRDefault="00D13872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12" w:name="_Toc197615108"/>
      <w:r>
        <w:rPr>
          <w:rFonts w:ascii="宋体" w:eastAsia="宋体" w:hAnsi="宋体" w:hint="eastAsia"/>
          <w:sz w:val="21"/>
          <w:szCs w:val="21"/>
        </w:rPr>
        <w:t>8</w:t>
      </w:r>
      <w:r w:rsidR="003A6413" w:rsidRPr="004676CC">
        <w:rPr>
          <w:rFonts w:ascii="宋体" w:eastAsia="宋体" w:hAnsi="宋体"/>
          <w:sz w:val="21"/>
          <w:szCs w:val="21"/>
        </w:rPr>
        <w:t xml:space="preserve">　</w:t>
      </w:r>
      <w:r w:rsidRPr="00D13872">
        <w:rPr>
          <w:rFonts w:ascii="宋体" w:eastAsia="宋体" w:hAnsi="宋体" w:hint="eastAsia"/>
          <w:sz w:val="21"/>
          <w:szCs w:val="21"/>
        </w:rPr>
        <w:t>配套管理措施</w:t>
      </w:r>
      <w:bookmarkEnd w:id="12"/>
    </w:p>
    <w:p w14:paraId="5115E98D" w14:textId="71540484" w:rsidR="003A6413" w:rsidRPr="004676CC" w:rsidRDefault="00D13872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3A6413" w:rsidRPr="004676CC">
        <w:rPr>
          <w:rFonts w:ascii="黑体" w:eastAsia="黑体" w:hAnsi="黑体"/>
          <w:szCs w:val="21"/>
        </w:rPr>
        <w:t xml:space="preserve">.1　</w:t>
      </w:r>
      <w:r w:rsidRPr="00D13872">
        <w:rPr>
          <w:rFonts w:ascii="黑体" w:eastAsia="黑体" w:hAnsi="黑体" w:hint="eastAsia"/>
          <w:szCs w:val="21"/>
        </w:rPr>
        <w:t>土壤改良</w:t>
      </w:r>
    </w:p>
    <w:p w14:paraId="2BD41EA8" w14:textId="6627F88C" w:rsidR="00331E8E" w:rsidRPr="00331E8E" w:rsidRDefault="00331E8E" w:rsidP="00D13872">
      <w:pPr>
        <w:spacing w:line="360" w:lineRule="auto"/>
        <w:rPr>
          <w:rFonts w:ascii="黑体" w:eastAsia="黑体" w:hAnsi="黑体" w:cs="黑体" w:hint="eastAsia"/>
          <w:szCs w:val="21"/>
        </w:rPr>
      </w:pPr>
      <w:r w:rsidRPr="00331E8E">
        <w:rPr>
          <w:rFonts w:ascii="黑体" w:eastAsia="黑体" w:hAnsi="黑体" w:cs="黑体" w:hint="eastAsia"/>
          <w:szCs w:val="21"/>
        </w:rPr>
        <w:t>8.1.1</w:t>
      </w:r>
      <w:r w:rsidR="00D13872" w:rsidRPr="00331E8E">
        <w:rPr>
          <w:rFonts w:ascii="黑体" w:eastAsia="黑体" w:hAnsi="黑体" w:cs="黑体" w:hint="eastAsia"/>
          <w:szCs w:val="21"/>
        </w:rPr>
        <w:t>酸性土壤（</w:t>
      </w:r>
      <w:r w:rsidR="00D13872" w:rsidRPr="00331E8E">
        <w:rPr>
          <w:rFonts w:ascii="黑体" w:eastAsia="黑体" w:hAnsi="黑体" w:cs="黑体"/>
          <w:szCs w:val="21"/>
        </w:rPr>
        <w:t>pH&lt;6.0）</w:t>
      </w:r>
    </w:p>
    <w:p w14:paraId="5E745579" w14:textId="33A5F7B1" w:rsidR="00D13872" w:rsidRPr="00110385" w:rsidRDefault="00D13872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增施草木灰（</w:t>
      </w:r>
      <w:r w:rsidR="00110385">
        <w:rPr>
          <w:rFonts w:ascii="宋体" w:eastAsia="宋体" w:hAnsi="宋体" w:hint="eastAsia"/>
          <w:szCs w:val="21"/>
        </w:rPr>
        <w:t>每667平方米</w:t>
      </w:r>
      <w:r w:rsidRPr="00110385">
        <w:rPr>
          <w:rFonts w:ascii="宋体" w:eastAsia="宋体" w:hAnsi="宋体"/>
          <w:szCs w:val="21"/>
        </w:rPr>
        <w:t>50</w:t>
      </w:r>
      <w:r w:rsidR="00110385">
        <w:rPr>
          <w:rFonts w:ascii="宋体" w:eastAsia="宋体" w:hAnsi="宋体" w:hint="eastAsia"/>
          <w:szCs w:val="21"/>
        </w:rPr>
        <w:t xml:space="preserve"> kg</w:t>
      </w:r>
      <w:r w:rsidR="00110385">
        <w:rPr>
          <w:rFonts w:ascii="黑体" w:eastAsia="黑体" w:hAnsi="黑体" w:hint="eastAsia"/>
          <w:szCs w:val="21"/>
        </w:rPr>
        <w:t>～</w:t>
      </w:r>
      <w:r w:rsidRPr="00110385">
        <w:rPr>
          <w:rFonts w:ascii="宋体" w:eastAsia="宋体" w:hAnsi="宋体"/>
          <w:szCs w:val="21"/>
        </w:rPr>
        <w:t>100</w:t>
      </w:r>
      <w:r w:rsidR="00110385">
        <w:rPr>
          <w:rFonts w:ascii="宋体" w:eastAsia="宋体" w:hAnsi="宋体" w:hint="eastAsia"/>
          <w:szCs w:val="21"/>
        </w:rPr>
        <w:t xml:space="preserve"> </w:t>
      </w:r>
      <w:r w:rsidRPr="00110385">
        <w:rPr>
          <w:rFonts w:ascii="宋体" w:eastAsia="宋体" w:hAnsi="宋体"/>
          <w:szCs w:val="21"/>
        </w:rPr>
        <w:t>kg）或钙镁磷肥调节。</w:t>
      </w:r>
    </w:p>
    <w:p w14:paraId="3D352B05" w14:textId="3C2C9612" w:rsidR="00331E8E" w:rsidRPr="0076475D" w:rsidRDefault="00331E8E" w:rsidP="00D13872">
      <w:pPr>
        <w:spacing w:line="360" w:lineRule="auto"/>
        <w:rPr>
          <w:rFonts w:ascii="黑体" w:eastAsia="黑体" w:hAnsi="黑体" w:cs="黑体" w:hint="eastAsia"/>
          <w:szCs w:val="21"/>
        </w:rPr>
      </w:pPr>
      <w:r w:rsidRPr="0076475D">
        <w:rPr>
          <w:rFonts w:ascii="黑体" w:eastAsia="黑体" w:hAnsi="黑体" w:cs="黑体" w:hint="eastAsia"/>
          <w:szCs w:val="21"/>
        </w:rPr>
        <w:t>8.1.2</w:t>
      </w:r>
      <w:r w:rsidR="00D13872" w:rsidRPr="0076475D">
        <w:rPr>
          <w:rFonts w:ascii="黑体" w:eastAsia="黑体" w:hAnsi="黑体" w:cs="黑体" w:hint="eastAsia"/>
          <w:szCs w:val="21"/>
        </w:rPr>
        <w:t>沙质土壤</w:t>
      </w:r>
    </w:p>
    <w:p w14:paraId="50ADAA67" w14:textId="001B9524" w:rsidR="003A6413" w:rsidRPr="00110385" w:rsidRDefault="00D13872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添加腐殖酸类有机肥增强保水性</w:t>
      </w:r>
      <w:r w:rsidR="003A6413" w:rsidRPr="00110385">
        <w:rPr>
          <w:rFonts w:ascii="宋体" w:eastAsia="宋体" w:hAnsi="宋体" w:hint="eastAsia"/>
          <w:szCs w:val="21"/>
        </w:rPr>
        <w:t>。</w:t>
      </w:r>
    </w:p>
    <w:p w14:paraId="50E2D897" w14:textId="18F7DF5A" w:rsidR="00BB4BDE" w:rsidRPr="004676CC" w:rsidRDefault="00D13872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BB4BDE" w:rsidRPr="004676CC">
        <w:rPr>
          <w:rFonts w:ascii="黑体" w:eastAsia="黑体" w:hAnsi="黑体"/>
          <w:szCs w:val="21"/>
        </w:rPr>
        <w:t xml:space="preserve">.2　</w:t>
      </w:r>
      <w:r w:rsidRPr="00D13872">
        <w:rPr>
          <w:rFonts w:ascii="黑体" w:eastAsia="黑体" w:hAnsi="黑体" w:hint="eastAsia"/>
          <w:szCs w:val="21"/>
        </w:rPr>
        <w:t>生物增效</w:t>
      </w:r>
    </w:p>
    <w:p w14:paraId="2EFFE46B" w14:textId="3D68084C" w:rsidR="00BB4BDE" w:rsidRPr="00110385" w:rsidRDefault="00D13872" w:rsidP="00B50F84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bookmarkStart w:id="13" w:name="_Hlk197502359"/>
      <w:r w:rsidRPr="00110385">
        <w:rPr>
          <w:rFonts w:ascii="宋体" w:eastAsia="宋体" w:hAnsi="宋体" w:hint="eastAsia"/>
          <w:szCs w:val="21"/>
        </w:rPr>
        <w:t>接种根瘤菌或解磷解钾菌剂（播种时拌种或与有机肥混合施用）</w:t>
      </w:r>
      <w:r w:rsidR="00BB4BDE" w:rsidRPr="00110385">
        <w:rPr>
          <w:rFonts w:ascii="宋体" w:eastAsia="宋体" w:hAnsi="宋体" w:hint="eastAsia"/>
          <w:szCs w:val="21"/>
        </w:rPr>
        <w:t>。</w:t>
      </w:r>
      <w:bookmarkEnd w:id="13"/>
    </w:p>
    <w:p w14:paraId="02F117E6" w14:textId="6BFE0EAB" w:rsidR="003A6413" w:rsidRPr="004676CC" w:rsidRDefault="00D13872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3A6413" w:rsidRPr="004676CC">
        <w:rPr>
          <w:rFonts w:ascii="黑体" w:eastAsia="黑体" w:hAnsi="黑体"/>
          <w:szCs w:val="21"/>
        </w:rPr>
        <w:t xml:space="preserve">.3　</w:t>
      </w:r>
      <w:r w:rsidRPr="00D13872">
        <w:rPr>
          <w:rFonts w:ascii="黑体" w:eastAsia="黑体" w:hAnsi="黑体" w:hint="eastAsia"/>
          <w:szCs w:val="21"/>
        </w:rPr>
        <w:t>水分管理</w:t>
      </w:r>
    </w:p>
    <w:p w14:paraId="71A4F4E8" w14:textId="6988EDA8" w:rsidR="003A6413" w:rsidRPr="00110385" w:rsidRDefault="00D13872" w:rsidP="00B50F84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施肥后及时灌溉（尤其旱地），促进有机养分释放</w:t>
      </w:r>
      <w:r w:rsidR="003A6413" w:rsidRPr="00110385">
        <w:rPr>
          <w:rFonts w:ascii="宋体" w:eastAsia="宋体" w:hAnsi="宋体"/>
          <w:szCs w:val="21"/>
        </w:rPr>
        <w:t>。</w:t>
      </w:r>
    </w:p>
    <w:p w14:paraId="5AC68A19" w14:textId="1B29E118" w:rsidR="003A6413" w:rsidRPr="004676CC" w:rsidRDefault="0076475D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14" w:name="_Toc197615109"/>
      <w:r>
        <w:rPr>
          <w:rFonts w:ascii="宋体" w:eastAsia="宋体" w:hAnsi="宋体" w:hint="eastAsia"/>
          <w:sz w:val="21"/>
          <w:szCs w:val="21"/>
        </w:rPr>
        <w:t>9</w:t>
      </w:r>
      <w:r w:rsidR="003A6413" w:rsidRPr="004676CC">
        <w:rPr>
          <w:rFonts w:ascii="宋体" w:eastAsia="宋体" w:hAnsi="宋体"/>
          <w:sz w:val="21"/>
          <w:szCs w:val="21"/>
        </w:rPr>
        <w:t xml:space="preserve">　</w:t>
      </w:r>
      <w:r w:rsidRPr="0076475D">
        <w:rPr>
          <w:rFonts w:ascii="宋体" w:eastAsia="宋体" w:hAnsi="宋体" w:hint="eastAsia"/>
          <w:sz w:val="21"/>
          <w:szCs w:val="21"/>
        </w:rPr>
        <w:t>监测与效果评估</w:t>
      </w:r>
      <w:bookmarkEnd w:id="14"/>
    </w:p>
    <w:p w14:paraId="573EF27E" w14:textId="60CF27B5" w:rsidR="003A6413" w:rsidRPr="0076475D" w:rsidRDefault="0076475D" w:rsidP="0076475D">
      <w:pPr>
        <w:spacing w:line="360" w:lineRule="auto"/>
        <w:rPr>
          <w:rFonts w:ascii="黑体" w:eastAsia="黑体" w:hAnsi="黑体" w:hint="eastAsia"/>
          <w:szCs w:val="21"/>
        </w:rPr>
      </w:pPr>
      <w:r w:rsidRPr="0076475D">
        <w:rPr>
          <w:rFonts w:ascii="黑体" w:eastAsia="黑体" w:hAnsi="黑体" w:hint="eastAsia"/>
          <w:szCs w:val="21"/>
        </w:rPr>
        <w:t>9</w:t>
      </w:r>
      <w:r w:rsidR="003A6413" w:rsidRPr="0076475D">
        <w:rPr>
          <w:rFonts w:ascii="黑体" w:eastAsia="黑体" w:hAnsi="黑体"/>
          <w:szCs w:val="21"/>
        </w:rPr>
        <w:t>.</w:t>
      </w:r>
      <w:r w:rsidR="0062340F" w:rsidRPr="0076475D">
        <w:rPr>
          <w:rFonts w:ascii="黑体" w:eastAsia="黑体" w:hAnsi="黑体"/>
          <w:szCs w:val="21"/>
        </w:rPr>
        <w:t>1</w:t>
      </w:r>
      <w:r w:rsidR="003A6413" w:rsidRPr="0076475D">
        <w:rPr>
          <w:rFonts w:ascii="黑体" w:eastAsia="黑体" w:hAnsi="黑体"/>
          <w:szCs w:val="21"/>
        </w:rPr>
        <w:t xml:space="preserve">　</w:t>
      </w:r>
      <w:r w:rsidRPr="0076475D">
        <w:rPr>
          <w:rFonts w:ascii="黑体" w:eastAsia="黑体" w:hAnsi="黑体" w:hint="eastAsia"/>
          <w:szCs w:val="21"/>
        </w:rPr>
        <w:t>土壤指标</w:t>
      </w:r>
    </w:p>
    <w:p w14:paraId="24E9C0AA" w14:textId="217577AD" w:rsidR="003A6413" w:rsidRPr="00110385" w:rsidRDefault="0076475D" w:rsidP="00B50F84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每年检测土壤有机质、</w:t>
      </w:r>
      <w:r w:rsidRPr="00110385">
        <w:rPr>
          <w:rFonts w:ascii="宋体" w:eastAsia="宋体" w:hAnsi="宋体"/>
          <w:szCs w:val="21"/>
        </w:rPr>
        <w:t>pH值、速效氮磷钾含量</w:t>
      </w:r>
      <w:r w:rsidR="003A6413" w:rsidRPr="00110385">
        <w:rPr>
          <w:rFonts w:ascii="宋体" w:eastAsia="宋体" w:hAnsi="宋体" w:hint="eastAsia"/>
          <w:szCs w:val="21"/>
        </w:rPr>
        <w:t>。</w:t>
      </w:r>
      <w:r w:rsidR="00A510BB" w:rsidRPr="00110385">
        <w:rPr>
          <w:rFonts w:ascii="宋体" w:eastAsia="宋体" w:hAnsi="宋体" w:hint="eastAsia"/>
          <w:szCs w:val="21"/>
        </w:rPr>
        <w:t>参阅附录2。</w:t>
      </w:r>
    </w:p>
    <w:p w14:paraId="3690FB05" w14:textId="196A9B92" w:rsidR="003A6413" w:rsidRPr="004676CC" w:rsidRDefault="0076475D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="003A6413" w:rsidRPr="00B50F84">
        <w:rPr>
          <w:rFonts w:ascii="黑体" w:eastAsia="黑体" w:hAnsi="黑体"/>
          <w:szCs w:val="21"/>
        </w:rPr>
        <w:t>.</w:t>
      </w:r>
      <w:r w:rsidR="0062340F" w:rsidRPr="00B50F84">
        <w:rPr>
          <w:rFonts w:ascii="黑体" w:eastAsia="黑体" w:hAnsi="黑体"/>
          <w:szCs w:val="21"/>
        </w:rPr>
        <w:t>2</w:t>
      </w:r>
      <w:r w:rsidR="003A6413" w:rsidRPr="00B50F84">
        <w:rPr>
          <w:rFonts w:ascii="黑体" w:eastAsia="黑体" w:hAnsi="黑体"/>
          <w:szCs w:val="21"/>
        </w:rPr>
        <w:t xml:space="preserve">　</w:t>
      </w:r>
      <w:r w:rsidRPr="0076475D">
        <w:rPr>
          <w:rFonts w:ascii="黑体" w:eastAsia="黑体" w:hAnsi="黑体" w:hint="eastAsia"/>
          <w:szCs w:val="21"/>
        </w:rPr>
        <w:t>产量与品质</w:t>
      </w:r>
    </w:p>
    <w:p w14:paraId="0830F1E2" w14:textId="59F8E290" w:rsidR="0076475D" w:rsidRPr="0076475D" w:rsidRDefault="0076475D" w:rsidP="0076475D">
      <w:pPr>
        <w:spacing w:line="360" w:lineRule="auto"/>
        <w:rPr>
          <w:rFonts w:ascii="黑体" w:eastAsia="黑体" w:hAnsi="黑体" w:cs="黑体" w:hint="eastAsia"/>
          <w:szCs w:val="21"/>
        </w:rPr>
      </w:pPr>
      <w:bookmarkStart w:id="15" w:name="_Hlk197502451"/>
      <w:r w:rsidRPr="0076475D">
        <w:rPr>
          <w:rFonts w:ascii="黑体" w:eastAsia="黑体" w:hAnsi="黑体" w:cs="黑体" w:hint="eastAsia"/>
          <w:szCs w:val="21"/>
        </w:rPr>
        <w:t>9.2.1 目标产量</w:t>
      </w:r>
    </w:p>
    <w:p w14:paraId="7F85132C" w14:textId="1D746B0B" w:rsidR="0076475D" w:rsidRPr="00110385" w:rsidRDefault="0076475D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鲜草亩产</w:t>
      </w:r>
      <w:r w:rsidRPr="00110385">
        <w:rPr>
          <w:rFonts w:ascii="宋体" w:eastAsia="宋体" w:hAnsi="宋体"/>
          <w:szCs w:val="21"/>
        </w:rPr>
        <w:t>3</w:t>
      </w:r>
      <w:r w:rsidR="00110385">
        <w:rPr>
          <w:rFonts w:ascii="宋体" w:eastAsia="宋体" w:hAnsi="宋体" w:hint="eastAsia"/>
          <w:szCs w:val="21"/>
        </w:rPr>
        <w:t>吨</w:t>
      </w:r>
      <w:r w:rsidR="00110385">
        <w:rPr>
          <w:rFonts w:ascii="黑体" w:eastAsia="黑体" w:hAnsi="黑体" w:hint="eastAsia"/>
          <w:szCs w:val="21"/>
        </w:rPr>
        <w:t>～</w:t>
      </w:r>
      <w:r w:rsidRPr="00110385">
        <w:rPr>
          <w:rFonts w:ascii="宋体" w:eastAsia="宋体" w:hAnsi="宋体"/>
          <w:szCs w:val="21"/>
        </w:rPr>
        <w:t>4吨（干旱区）或4</w:t>
      </w:r>
      <w:r w:rsidR="00110385">
        <w:rPr>
          <w:rFonts w:ascii="宋体" w:eastAsia="宋体" w:hAnsi="宋体" w:hint="eastAsia"/>
          <w:szCs w:val="21"/>
        </w:rPr>
        <w:t>吨</w:t>
      </w:r>
      <w:r w:rsidR="00110385">
        <w:rPr>
          <w:rFonts w:ascii="黑体" w:eastAsia="黑体" w:hAnsi="黑体" w:hint="eastAsia"/>
          <w:szCs w:val="21"/>
        </w:rPr>
        <w:t>～</w:t>
      </w:r>
      <w:r w:rsidRPr="00110385">
        <w:rPr>
          <w:rFonts w:ascii="宋体" w:eastAsia="宋体" w:hAnsi="宋体"/>
          <w:szCs w:val="21"/>
        </w:rPr>
        <w:t>6吨（灌溉区）。</w:t>
      </w:r>
    </w:p>
    <w:p w14:paraId="46382242" w14:textId="5227186F" w:rsidR="0076475D" w:rsidRPr="0076475D" w:rsidRDefault="0076475D" w:rsidP="0076475D">
      <w:pPr>
        <w:spacing w:line="360" w:lineRule="auto"/>
        <w:rPr>
          <w:rFonts w:ascii="黑体" w:eastAsia="黑体" w:hAnsi="黑体" w:cs="黑体" w:hint="eastAsia"/>
          <w:szCs w:val="21"/>
        </w:rPr>
      </w:pPr>
      <w:r w:rsidRPr="0076475D">
        <w:rPr>
          <w:rFonts w:ascii="黑体" w:eastAsia="黑体" w:hAnsi="黑体" w:cs="黑体" w:hint="eastAsia"/>
          <w:szCs w:val="21"/>
        </w:rPr>
        <w:t>9.2.2 品质指标</w:t>
      </w:r>
    </w:p>
    <w:p w14:paraId="57A66328" w14:textId="48F68C82" w:rsidR="003A6413" w:rsidRPr="00110385" w:rsidRDefault="0076475D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粗蛋白≥</w:t>
      </w:r>
      <w:r w:rsidRPr="00110385">
        <w:rPr>
          <w:rFonts w:ascii="宋体" w:eastAsia="宋体" w:hAnsi="宋体"/>
          <w:szCs w:val="21"/>
        </w:rPr>
        <w:t>8%，粗纤维≤30%</w:t>
      </w:r>
      <w:r w:rsidR="003A6413" w:rsidRPr="00110385">
        <w:rPr>
          <w:rFonts w:ascii="宋体" w:eastAsia="宋体" w:hAnsi="宋体"/>
          <w:szCs w:val="21"/>
        </w:rPr>
        <w:t>。</w:t>
      </w:r>
      <w:bookmarkEnd w:id="15"/>
    </w:p>
    <w:p w14:paraId="2536CC73" w14:textId="44D6C80F" w:rsidR="003A6413" w:rsidRPr="004676CC" w:rsidRDefault="0076475D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16" w:name="_Toc197615110"/>
      <w:r>
        <w:rPr>
          <w:rFonts w:ascii="宋体" w:eastAsia="宋体" w:hAnsi="宋体" w:hint="eastAsia"/>
          <w:sz w:val="21"/>
          <w:szCs w:val="21"/>
        </w:rPr>
        <w:t>10</w:t>
      </w:r>
      <w:r w:rsidR="003A6413" w:rsidRPr="004676CC">
        <w:rPr>
          <w:rFonts w:ascii="宋体" w:eastAsia="宋体" w:hAnsi="宋体"/>
          <w:sz w:val="21"/>
          <w:szCs w:val="21"/>
        </w:rPr>
        <w:t xml:space="preserve">　</w:t>
      </w:r>
      <w:r w:rsidR="00A41BF1" w:rsidRPr="00A41BF1">
        <w:rPr>
          <w:rFonts w:ascii="宋体" w:eastAsia="宋体" w:hAnsi="宋体" w:hint="eastAsia"/>
          <w:sz w:val="21"/>
          <w:szCs w:val="21"/>
        </w:rPr>
        <w:t>关键节点技术控制</w:t>
      </w:r>
      <w:bookmarkEnd w:id="16"/>
    </w:p>
    <w:p w14:paraId="1B61829B" w14:textId="2BA92B2B" w:rsidR="003A6413" w:rsidRDefault="00A41BF1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="003A6413" w:rsidRPr="00B50F84">
        <w:rPr>
          <w:rFonts w:ascii="黑体" w:eastAsia="黑体" w:hAnsi="黑体"/>
          <w:szCs w:val="21"/>
        </w:rPr>
        <w:t xml:space="preserve">.1　</w:t>
      </w:r>
      <w:r w:rsidRPr="00A41BF1">
        <w:rPr>
          <w:rFonts w:ascii="黑体" w:eastAsia="黑体" w:hAnsi="黑体" w:hint="eastAsia"/>
          <w:szCs w:val="21"/>
        </w:rPr>
        <w:t>技术适配性优化</w:t>
      </w:r>
    </w:p>
    <w:p w14:paraId="06FC4E67" w14:textId="14F7913C" w:rsidR="00AD6B29" w:rsidRPr="00B50F84" w:rsidRDefault="00AD6B29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10.1.1</w:t>
      </w:r>
      <w:r w:rsidRPr="00AD6B29">
        <w:rPr>
          <w:rFonts w:ascii="黑体" w:eastAsia="黑体" w:hAnsi="黑体"/>
          <w:szCs w:val="21"/>
        </w:rPr>
        <w:t>有机肥-土壤-作物匹配</w:t>
      </w:r>
    </w:p>
    <w:p w14:paraId="1A0FA22C" w14:textId="5971C25D" w:rsidR="00511E3C" w:rsidRPr="00110385" w:rsidRDefault="00AD6B29" w:rsidP="00511E3C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根据土壤类型（如栗钙土需高碳氮比堆肥）选择有机肥配方；通过叶片营养诊断调整追肥方案（无人机多光谱监测叶绿素含量</w:t>
      </w:r>
      <w:r w:rsidR="00E520E7" w:rsidRPr="00110385">
        <w:rPr>
          <w:rFonts w:ascii="宋体" w:eastAsia="宋体" w:hAnsi="宋体" w:hint="eastAsia"/>
          <w:szCs w:val="21"/>
        </w:rPr>
        <w:t>等</w:t>
      </w:r>
      <w:r w:rsidRPr="00110385">
        <w:rPr>
          <w:rFonts w:ascii="宋体" w:eastAsia="宋体" w:hAnsi="宋体"/>
          <w:szCs w:val="21"/>
        </w:rPr>
        <w:t>）</w:t>
      </w:r>
      <w:r w:rsidR="003A6413" w:rsidRPr="00110385">
        <w:rPr>
          <w:rFonts w:ascii="宋体" w:eastAsia="宋体" w:hAnsi="宋体"/>
          <w:szCs w:val="21"/>
        </w:rPr>
        <w:t>。</w:t>
      </w:r>
    </w:p>
    <w:p w14:paraId="5BE60B35" w14:textId="5ACE21E5" w:rsidR="00511E3C" w:rsidRPr="00511E3C" w:rsidRDefault="00511E3C" w:rsidP="00511E3C">
      <w:pPr>
        <w:spacing w:line="360" w:lineRule="auto"/>
        <w:rPr>
          <w:rFonts w:ascii="黑体" w:eastAsia="黑体" w:hAnsi="黑体" w:hint="eastAsia"/>
          <w:szCs w:val="21"/>
        </w:rPr>
      </w:pPr>
      <w:r w:rsidRPr="00511E3C">
        <w:rPr>
          <w:rFonts w:ascii="黑体" w:eastAsia="黑体" w:hAnsi="黑体" w:hint="eastAsia"/>
          <w:szCs w:val="21"/>
        </w:rPr>
        <w:t xml:space="preserve">10.1.2 </w:t>
      </w:r>
      <w:r w:rsidRPr="00511E3C">
        <w:rPr>
          <w:rFonts w:ascii="黑体" w:eastAsia="黑体" w:hAnsi="黑体"/>
          <w:szCs w:val="21"/>
        </w:rPr>
        <w:t>精准施用技术</w:t>
      </w:r>
    </w:p>
    <w:p w14:paraId="158823EB" w14:textId="3F9D1634" w:rsidR="00511E3C" w:rsidRPr="00110385" w:rsidRDefault="00511E3C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基肥采用深施机械（埋深20</w:t>
      </w:r>
      <w:r w:rsidR="00110385">
        <w:rPr>
          <w:rFonts w:ascii="宋体" w:eastAsia="宋体" w:hAnsi="宋体" w:hint="eastAsia"/>
          <w:szCs w:val="21"/>
        </w:rPr>
        <w:t xml:space="preserve"> cm</w:t>
      </w:r>
      <w:r w:rsidR="00110385">
        <w:rPr>
          <w:rFonts w:ascii="黑体" w:eastAsia="黑体" w:hAnsi="黑体" w:hint="eastAsia"/>
          <w:szCs w:val="21"/>
        </w:rPr>
        <w:t>～</w:t>
      </w:r>
      <w:r w:rsidRPr="00110385">
        <w:rPr>
          <w:rFonts w:ascii="宋体" w:eastAsia="宋体" w:hAnsi="宋体"/>
          <w:szCs w:val="21"/>
        </w:rPr>
        <w:t>30</w:t>
      </w:r>
      <w:r w:rsidR="00110385">
        <w:rPr>
          <w:rFonts w:ascii="宋体" w:eastAsia="宋体" w:hAnsi="宋体" w:hint="eastAsia"/>
          <w:szCs w:val="21"/>
        </w:rPr>
        <w:t xml:space="preserve"> </w:t>
      </w:r>
      <w:r w:rsidRPr="00110385">
        <w:rPr>
          <w:rFonts w:ascii="宋体" w:eastAsia="宋体" w:hAnsi="宋体"/>
          <w:szCs w:val="21"/>
        </w:rPr>
        <w:t>cm，减少氨挥发）；</w:t>
      </w:r>
      <w:r w:rsidRPr="00110385">
        <w:rPr>
          <w:rFonts w:ascii="宋体" w:eastAsia="宋体" w:hAnsi="宋体" w:hint="eastAsia"/>
          <w:szCs w:val="21"/>
        </w:rPr>
        <w:t>建议</w:t>
      </w:r>
      <w:r w:rsidRPr="00110385">
        <w:rPr>
          <w:rFonts w:ascii="宋体" w:eastAsia="宋体" w:hAnsi="宋体"/>
          <w:szCs w:val="21"/>
        </w:rPr>
        <w:t>追肥使用液体有机肥滴灌系统，提升利用率15%</w:t>
      </w:r>
      <w:r w:rsidR="00110385">
        <w:rPr>
          <w:rFonts w:ascii="黑体" w:eastAsia="黑体" w:hAnsi="黑体" w:hint="eastAsia"/>
          <w:szCs w:val="21"/>
        </w:rPr>
        <w:t>～</w:t>
      </w:r>
      <w:r w:rsidRPr="00110385">
        <w:rPr>
          <w:rFonts w:ascii="宋体" w:eastAsia="宋体" w:hAnsi="宋体"/>
          <w:szCs w:val="21"/>
        </w:rPr>
        <w:t>20%</w:t>
      </w:r>
      <w:r w:rsidRPr="00110385">
        <w:rPr>
          <w:rFonts w:ascii="宋体" w:eastAsia="宋体" w:hAnsi="宋体" w:hint="eastAsia"/>
          <w:szCs w:val="21"/>
        </w:rPr>
        <w:t>。</w:t>
      </w:r>
    </w:p>
    <w:p w14:paraId="775B550D" w14:textId="48BE6550" w:rsidR="003A6413" w:rsidRPr="00B50F84" w:rsidRDefault="00A41BF1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="003A6413" w:rsidRPr="00B50F84">
        <w:rPr>
          <w:rFonts w:ascii="黑体" w:eastAsia="黑体" w:hAnsi="黑体"/>
          <w:szCs w:val="21"/>
        </w:rPr>
        <w:t>.2</w:t>
      </w:r>
      <w:r w:rsidR="0062340F" w:rsidRPr="00B50F84">
        <w:rPr>
          <w:rFonts w:ascii="黑体" w:eastAsia="黑体" w:hAnsi="黑体"/>
          <w:szCs w:val="21"/>
        </w:rPr>
        <w:t xml:space="preserve"> </w:t>
      </w:r>
      <w:r w:rsidR="00BF72CF" w:rsidRPr="00BF72CF">
        <w:rPr>
          <w:rFonts w:ascii="黑体" w:eastAsia="黑体" w:hAnsi="黑体" w:hint="eastAsia"/>
          <w:szCs w:val="21"/>
        </w:rPr>
        <w:t>风险控制节点</w:t>
      </w:r>
    </w:p>
    <w:p w14:paraId="05DAD787" w14:textId="2C5D61BF" w:rsidR="003A6413" w:rsidRPr="00511E3C" w:rsidRDefault="00AD6B29" w:rsidP="00AD6B29">
      <w:pPr>
        <w:spacing w:line="360" w:lineRule="auto"/>
        <w:rPr>
          <w:rFonts w:ascii="黑体" w:eastAsia="黑体" w:hAnsi="黑体" w:hint="eastAsia"/>
          <w:szCs w:val="21"/>
        </w:rPr>
      </w:pPr>
      <w:r w:rsidRPr="00511E3C">
        <w:rPr>
          <w:rFonts w:ascii="黑体" w:eastAsia="黑体" w:hAnsi="黑体" w:hint="eastAsia"/>
          <w:szCs w:val="21"/>
        </w:rPr>
        <w:t>10</w:t>
      </w:r>
      <w:r w:rsidR="000E2E1F" w:rsidRPr="00511E3C">
        <w:rPr>
          <w:rFonts w:ascii="黑体" w:eastAsia="黑体" w:hAnsi="黑体"/>
          <w:szCs w:val="21"/>
        </w:rPr>
        <w:t>.2.1</w:t>
      </w:r>
      <w:r w:rsidR="003A6413" w:rsidRPr="00511E3C">
        <w:rPr>
          <w:rFonts w:ascii="黑体" w:eastAsia="黑体" w:hAnsi="黑体"/>
          <w:szCs w:val="21"/>
        </w:rPr>
        <w:t xml:space="preserve"> </w:t>
      </w:r>
      <w:r w:rsidRPr="00511E3C">
        <w:rPr>
          <w:rFonts w:ascii="黑体" w:eastAsia="黑体" w:hAnsi="黑体"/>
          <w:szCs w:val="21"/>
        </w:rPr>
        <w:t>腐熟度实时监测</w:t>
      </w:r>
    </w:p>
    <w:p w14:paraId="44A910A6" w14:textId="692FEFB4" w:rsidR="00AD6B29" w:rsidRPr="00110385" w:rsidRDefault="00AD6B29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>采用物联网传感器监测堆肥温度、湿度，确保腐熟周期≤</w:t>
      </w:r>
      <w:r w:rsidRPr="00110385">
        <w:rPr>
          <w:rFonts w:ascii="宋体" w:eastAsia="宋体" w:hAnsi="宋体"/>
          <w:szCs w:val="21"/>
        </w:rPr>
        <w:t>45天（C/N比稳定在20</w:t>
      </w:r>
      <w:r w:rsidR="00110385">
        <w:rPr>
          <w:rFonts w:ascii="黑体" w:eastAsia="黑体" w:hAnsi="黑体" w:hint="eastAsia"/>
          <w:szCs w:val="21"/>
        </w:rPr>
        <w:t>～</w:t>
      </w:r>
      <w:r w:rsidRPr="00110385">
        <w:rPr>
          <w:rFonts w:ascii="宋体" w:eastAsia="宋体" w:hAnsi="宋体"/>
          <w:szCs w:val="21"/>
        </w:rPr>
        <w:t>25）</w:t>
      </w:r>
      <w:r w:rsidRPr="00110385">
        <w:rPr>
          <w:rFonts w:ascii="宋体" w:eastAsia="宋体" w:hAnsi="宋体" w:hint="eastAsia"/>
          <w:szCs w:val="21"/>
        </w:rPr>
        <w:t>。</w:t>
      </w:r>
    </w:p>
    <w:p w14:paraId="378AF6A3" w14:textId="159B4BBD" w:rsidR="003A6413" w:rsidRPr="00511E3C" w:rsidRDefault="00AD6B29" w:rsidP="00AD6B29">
      <w:pPr>
        <w:spacing w:line="360" w:lineRule="auto"/>
        <w:rPr>
          <w:rFonts w:ascii="黑体" w:eastAsia="黑体" w:hAnsi="黑体" w:hint="eastAsia"/>
          <w:szCs w:val="21"/>
        </w:rPr>
      </w:pPr>
      <w:r w:rsidRPr="00511E3C">
        <w:rPr>
          <w:rFonts w:ascii="黑体" w:eastAsia="黑体" w:hAnsi="黑体" w:hint="eastAsia"/>
          <w:szCs w:val="21"/>
        </w:rPr>
        <w:t>10</w:t>
      </w:r>
      <w:r w:rsidR="000E2E1F" w:rsidRPr="00511E3C">
        <w:rPr>
          <w:rFonts w:ascii="黑体" w:eastAsia="黑体" w:hAnsi="黑体"/>
          <w:szCs w:val="21"/>
        </w:rPr>
        <w:t>.2.2</w:t>
      </w:r>
      <w:r w:rsidRPr="00511E3C">
        <w:rPr>
          <w:rFonts w:ascii="黑体" w:eastAsia="黑体" w:hAnsi="黑体" w:hint="eastAsia"/>
          <w:szCs w:val="21"/>
        </w:rPr>
        <w:t xml:space="preserve"> </w:t>
      </w:r>
      <w:r w:rsidRPr="00511E3C">
        <w:rPr>
          <w:rFonts w:ascii="黑体" w:eastAsia="黑体" w:hAnsi="黑体"/>
          <w:szCs w:val="21"/>
        </w:rPr>
        <w:t>重金属动态管控</w:t>
      </w:r>
    </w:p>
    <w:p w14:paraId="24018C2E" w14:textId="307E2B66" w:rsidR="00AD6B29" w:rsidRPr="00110385" w:rsidRDefault="00AD6B29" w:rsidP="00AD6B29">
      <w:pPr>
        <w:spacing w:line="360" w:lineRule="auto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 xml:space="preserve">    每年播种前检测土壤重金属（镉、砷等），超标地块启用生物修复（如蜈蚣草富集镉）。</w:t>
      </w:r>
    </w:p>
    <w:p w14:paraId="6924A594" w14:textId="77DD1D48" w:rsidR="003A6413" w:rsidRPr="00511E3C" w:rsidRDefault="00AD6B29" w:rsidP="00AD6B29">
      <w:pPr>
        <w:spacing w:line="360" w:lineRule="auto"/>
        <w:rPr>
          <w:rFonts w:ascii="黑体" w:eastAsia="黑体" w:hAnsi="黑体" w:hint="eastAsia"/>
          <w:szCs w:val="21"/>
        </w:rPr>
      </w:pPr>
      <w:r w:rsidRPr="00511E3C">
        <w:rPr>
          <w:rFonts w:ascii="黑体" w:eastAsia="黑体" w:hAnsi="黑体" w:hint="eastAsia"/>
          <w:szCs w:val="21"/>
        </w:rPr>
        <w:t>10</w:t>
      </w:r>
      <w:r w:rsidR="000E2E1F" w:rsidRPr="00511E3C">
        <w:rPr>
          <w:rFonts w:ascii="黑体" w:eastAsia="黑体" w:hAnsi="黑体"/>
          <w:szCs w:val="21"/>
        </w:rPr>
        <w:t>.2.3</w:t>
      </w:r>
      <w:r w:rsidR="003A6413" w:rsidRPr="00511E3C">
        <w:rPr>
          <w:rFonts w:ascii="黑体" w:eastAsia="黑体" w:hAnsi="黑体"/>
          <w:szCs w:val="21"/>
        </w:rPr>
        <w:t xml:space="preserve"> </w:t>
      </w:r>
      <w:r w:rsidR="008868E7" w:rsidRPr="00511E3C">
        <w:rPr>
          <w:rFonts w:ascii="黑体" w:eastAsia="黑体" w:hAnsi="黑体"/>
          <w:szCs w:val="21"/>
        </w:rPr>
        <w:t>病虫害阈值管理</w:t>
      </w:r>
    </w:p>
    <w:p w14:paraId="58D9EB8D" w14:textId="6110D1A2" w:rsidR="008868E7" w:rsidRPr="00110385" w:rsidRDefault="008868E7" w:rsidP="00AD6B29">
      <w:pPr>
        <w:spacing w:line="360" w:lineRule="auto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 xml:space="preserve">    设定杂草覆盖率≤</w:t>
      </w:r>
      <w:r w:rsidRPr="00110385">
        <w:rPr>
          <w:rFonts w:ascii="宋体" w:eastAsia="宋体" w:hAnsi="宋体"/>
          <w:szCs w:val="21"/>
        </w:rPr>
        <w:t>10%、虫口密度≤5头/m²为干预临界值，优先使用生物防治</w:t>
      </w:r>
      <w:r w:rsidRPr="00110385">
        <w:rPr>
          <w:rFonts w:ascii="宋体" w:eastAsia="宋体" w:hAnsi="宋体" w:hint="eastAsia"/>
          <w:szCs w:val="21"/>
        </w:rPr>
        <w:t>。</w:t>
      </w:r>
    </w:p>
    <w:p w14:paraId="4E77964B" w14:textId="1D46F764" w:rsidR="003A6413" w:rsidRPr="00B50F84" w:rsidRDefault="00A41BF1" w:rsidP="004676C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="003A6413" w:rsidRPr="00B50F84">
        <w:rPr>
          <w:rFonts w:ascii="黑体" w:eastAsia="黑体" w:hAnsi="黑体"/>
          <w:szCs w:val="21"/>
        </w:rPr>
        <w:t>.</w:t>
      </w:r>
      <w:r w:rsidR="0062340F" w:rsidRPr="00B50F84">
        <w:rPr>
          <w:rFonts w:ascii="黑体" w:eastAsia="黑体" w:hAnsi="黑体"/>
          <w:szCs w:val="21"/>
        </w:rPr>
        <w:t>3</w:t>
      </w:r>
      <w:r w:rsidR="003A6413" w:rsidRPr="00B50F84">
        <w:rPr>
          <w:rFonts w:ascii="黑体" w:eastAsia="黑体" w:hAnsi="黑体"/>
          <w:szCs w:val="21"/>
        </w:rPr>
        <w:t xml:space="preserve">　</w:t>
      </w:r>
      <w:r w:rsidR="00BF72CF" w:rsidRPr="00BF72CF">
        <w:rPr>
          <w:rFonts w:ascii="黑体" w:eastAsia="黑体" w:hAnsi="黑体" w:hint="eastAsia"/>
          <w:szCs w:val="21"/>
        </w:rPr>
        <w:t>规模化技术集成</w:t>
      </w:r>
    </w:p>
    <w:p w14:paraId="0A694B07" w14:textId="2917042A" w:rsidR="008868E7" w:rsidRPr="00511E3C" w:rsidRDefault="008868E7" w:rsidP="008868E7">
      <w:pPr>
        <w:spacing w:line="360" w:lineRule="auto"/>
        <w:rPr>
          <w:rFonts w:ascii="黑体" w:eastAsia="黑体" w:hAnsi="黑体" w:hint="eastAsia"/>
          <w:szCs w:val="21"/>
        </w:rPr>
      </w:pPr>
      <w:r w:rsidRPr="00511E3C">
        <w:rPr>
          <w:rFonts w:ascii="黑体" w:eastAsia="黑体" w:hAnsi="黑体" w:hint="eastAsia"/>
          <w:szCs w:val="21"/>
        </w:rPr>
        <w:t>10.3.1</w:t>
      </w:r>
      <w:r w:rsidRPr="00511E3C">
        <w:rPr>
          <w:rFonts w:ascii="黑体" w:eastAsia="黑体" w:hAnsi="黑体"/>
          <w:szCs w:val="21"/>
        </w:rPr>
        <w:t>区域循环系统</w:t>
      </w:r>
    </w:p>
    <w:p w14:paraId="07EB4561" w14:textId="3C12A8E9" w:rsidR="008868E7" w:rsidRPr="00110385" w:rsidRDefault="008868E7" w:rsidP="008868E7">
      <w:pPr>
        <w:spacing w:line="360" w:lineRule="auto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 w:hint="eastAsia"/>
          <w:szCs w:val="21"/>
        </w:rPr>
        <w:t xml:space="preserve">    </w:t>
      </w:r>
      <w:r w:rsidRPr="00110385">
        <w:rPr>
          <w:rFonts w:ascii="宋体" w:eastAsia="宋体" w:hAnsi="宋体"/>
          <w:szCs w:val="21"/>
        </w:rPr>
        <w:t>与周边养殖场共建粪污收储运体系（半径≤10公里），降低运输成本30%；</w:t>
      </w:r>
      <w:r w:rsidRPr="00110385">
        <w:rPr>
          <w:rFonts w:ascii="宋体" w:eastAsia="宋体" w:hAnsi="宋体" w:hint="eastAsia"/>
          <w:szCs w:val="21"/>
        </w:rPr>
        <w:t>建议可以</w:t>
      </w:r>
      <w:r w:rsidRPr="00110385">
        <w:rPr>
          <w:rFonts w:ascii="宋体" w:eastAsia="宋体" w:hAnsi="宋体"/>
          <w:szCs w:val="21"/>
        </w:rPr>
        <w:t>构建“燕麦饲草-牛羊养殖-有机肥生产”闭合回路，全链收益提升25%</w:t>
      </w:r>
      <w:r w:rsidRPr="00110385">
        <w:rPr>
          <w:rFonts w:ascii="宋体" w:eastAsia="宋体" w:hAnsi="宋体" w:hint="eastAsia"/>
          <w:szCs w:val="21"/>
        </w:rPr>
        <w:t>。</w:t>
      </w:r>
    </w:p>
    <w:p w14:paraId="4418E9B7" w14:textId="5D7B3CF7" w:rsidR="008868E7" w:rsidRPr="00511E3C" w:rsidRDefault="008868E7" w:rsidP="008868E7">
      <w:pPr>
        <w:spacing w:line="360" w:lineRule="auto"/>
        <w:rPr>
          <w:rFonts w:ascii="黑体" w:eastAsia="黑体" w:hAnsi="黑体" w:hint="eastAsia"/>
          <w:szCs w:val="21"/>
        </w:rPr>
      </w:pPr>
      <w:r w:rsidRPr="00511E3C">
        <w:rPr>
          <w:rFonts w:ascii="黑体" w:eastAsia="黑体" w:hAnsi="黑体" w:hint="eastAsia"/>
          <w:szCs w:val="21"/>
        </w:rPr>
        <w:t xml:space="preserve">10.3.2 </w:t>
      </w:r>
      <w:r w:rsidRPr="00511E3C">
        <w:rPr>
          <w:rFonts w:ascii="黑体" w:eastAsia="黑体" w:hAnsi="黑体"/>
          <w:szCs w:val="21"/>
        </w:rPr>
        <w:t>数字化管理平台</w:t>
      </w:r>
    </w:p>
    <w:p w14:paraId="1AA01981" w14:textId="4D46D17F" w:rsidR="00110385" w:rsidRDefault="008868E7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110385">
        <w:rPr>
          <w:rFonts w:ascii="宋体" w:eastAsia="宋体" w:hAnsi="宋体"/>
          <w:szCs w:val="21"/>
        </w:rPr>
        <w:t>嵌入区块链技术追溯有机肥来源与施用记录，满足欧盟有机认证（</w:t>
      </w:r>
      <w:bookmarkStart w:id="17" w:name="_Hlk197614851"/>
      <w:r w:rsidRPr="00110385">
        <w:rPr>
          <w:rFonts w:ascii="宋体" w:eastAsia="宋体" w:hAnsi="宋体"/>
          <w:szCs w:val="21"/>
        </w:rPr>
        <w:t>EC 834/2007</w:t>
      </w:r>
      <w:bookmarkEnd w:id="17"/>
      <w:r w:rsidRPr="00110385">
        <w:rPr>
          <w:rFonts w:ascii="宋体" w:eastAsia="宋体" w:hAnsi="宋体"/>
          <w:szCs w:val="21"/>
        </w:rPr>
        <w:t>）要求；利用AI模型预测产量-成本-价格波动，动态调整种植面积</w:t>
      </w:r>
      <w:r w:rsidR="003A6413" w:rsidRPr="00110385">
        <w:rPr>
          <w:rFonts w:ascii="宋体" w:eastAsia="宋体" w:hAnsi="宋体"/>
          <w:szCs w:val="21"/>
        </w:rPr>
        <w:t>。</w:t>
      </w:r>
    </w:p>
    <w:p w14:paraId="30DFCB61" w14:textId="77777777" w:rsidR="00110385" w:rsidRDefault="00110385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br w:type="page"/>
      </w:r>
    </w:p>
    <w:p w14:paraId="10980ABA" w14:textId="77777777" w:rsidR="00A510BB" w:rsidRPr="00BD409B" w:rsidRDefault="00A510BB" w:rsidP="00110385">
      <w:pPr>
        <w:jc w:val="center"/>
        <w:rPr>
          <w:rFonts w:ascii="宋体" w:eastAsia="宋体" w:hAnsi="宋体" w:hint="eastAsia"/>
          <w:b/>
          <w:bCs/>
        </w:rPr>
      </w:pPr>
      <w:r w:rsidRPr="00BD409B">
        <w:rPr>
          <w:rFonts w:ascii="宋体" w:eastAsia="宋体" w:hAnsi="宋体"/>
          <w:b/>
          <w:bCs/>
        </w:rPr>
        <w:t>附录</w:t>
      </w:r>
      <w:r w:rsidRPr="00BD409B">
        <w:rPr>
          <w:rFonts w:ascii="宋体" w:eastAsia="宋体" w:hAnsi="宋体" w:hint="eastAsia"/>
          <w:b/>
          <w:bCs/>
        </w:rPr>
        <w:t>1</w:t>
      </w:r>
      <w:r w:rsidRPr="00BD409B">
        <w:rPr>
          <w:rFonts w:ascii="宋体" w:eastAsia="宋体" w:hAnsi="宋体"/>
          <w:b/>
          <w:bCs/>
        </w:rPr>
        <w:t>：有机肥替代化肥用量参考表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2357"/>
      </w:tblGrid>
      <w:tr w:rsidR="00A510BB" w:rsidRPr="00BD409B" w14:paraId="3CED52D2" w14:textId="77777777" w:rsidTr="00E553E0">
        <w:trPr>
          <w:jc w:val="center"/>
        </w:trPr>
        <w:tc>
          <w:tcPr>
            <w:tcW w:w="3880" w:type="dxa"/>
          </w:tcPr>
          <w:p w14:paraId="33E02A68" w14:textId="77777777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有机肥类型基肥用量（吨/亩）</w:t>
            </w:r>
          </w:p>
        </w:tc>
        <w:tc>
          <w:tcPr>
            <w:tcW w:w="2357" w:type="dxa"/>
          </w:tcPr>
          <w:p w14:paraId="39C7B165" w14:textId="77777777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折合纯氮量（kg/亩）</w:t>
            </w:r>
          </w:p>
        </w:tc>
      </w:tr>
      <w:tr w:rsidR="00A510BB" w:rsidRPr="00BD409B" w14:paraId="7C50C479" w14:textId="77777777" w:rsidTr="00E553E0">
        <w:trPr>
          <w:jc w:val="center"/>
        </w:trPr>
        <w:tc>
          <w:tcPr>
            <w:tcW w:w="3880" w:type="dxa"/>
          </w:tcPr>
          <w:p w14:paraId="778F280A" w14:textId="090EB47D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腐熟牛粪堆肥3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4</w:t>
            </w:r>
            <w:r w:rsidRPr="00BD409B">
              <w:rPr>
                <w:rFonts w:ascii="宋体" w:eastAsia="宋体" w:hAnsi="宋体" w:hint="eastAsia"/>
              </w:rPr>
              <w:t>.</w:t>
            </w:r>
            <w:r w:rsidRPr="00BD409B">
              <w:rPr>
                <w:rFonts w:ascii="宋体" w:eastAsia="宋体" w:hAnsi="宋体"/>
              </w:rPr>
              <w:t>15</w:t>
            </w:r>
          </w:p>
        </w:tc>
        <w:tc>
          <w:tcPr>
            <w:tcW w:w="2357" w:type="dxa"/>
          </w:tcPr>
          <w:p w14:paraId="49FFFB19" w14:textId="77777777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20</w:t>
            </w:r>
          </w:p>
        </w:tc>
      </w:tr>
      <w:tr w:rsidR="00A510BB" w:rsidRPr="00BD409B" w14:paraId="1FBF19E2" w14:textId="77777777" w:rsidTr="00E553E0">
        <w:trPr>
          <w:jc w:val="center"/>
        </w:trPr>
        <w:tc>
          <w:tcPr>
            <w:tcW w:w="3880" w:type="dxa"/>
          </w:tcPr>
          <w:p w14:paraId="418E405B" w14:textId="6628DFEF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商品有机肥0.8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1.28</w:t>
            </w:r>
          </w:p>
        </w:tc>
        <w:tc>
          <w:tcPr>
            <w:tcW w:w="2357" w:type="dxa"/>
          </w:tcPr>
          <w:p w14:paraId="0947BA34" w14:textId="77777777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12</w:t>
            </w:r>
          </w:p>
        </w:tc>
      </w:tr>
      <w:tr w:rsidR="00A510BB" w:rsidRPr="00BD409B" w14:paraId="4207C730" w14:textId="77777777" w:rsidTr="00E553E0">
        <w:trPr>
          <w:jc w:val="center"/>
        </w:trPr>
        <w:tc>
          <w:tcPr>
            <w:tcW w:w="3880" w:type="dxa"/>
          </w:tcPr>
          <w:p w14:paraId="0150C766" w14:textId="7A2BB485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豆科绿肥翻压2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3（鲜重）</w:t>
            </w:r>
          </w:p>
        </w:tc>
        <w:tc>
          <w:tcPr>
            <w:tcW w:w="2357" w:type="dxa"/>
          </w:tcPr>
          <w:p w14:paraId="12FE54CC" w14:textId="5454F8DC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10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18</w:t>
            </w:r>
          </w:p>
        </w:tc>
      </w:tr>
    </w:tbl>
    <w:p w14:paraId="0E32FF07" w14:textId="59C44D61" w:rsidR="00A510BB" w:rsidRPr="00BD409B" w:rsidRDefault="00A510BB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BD409B">
        <w:rPr>
          <w:rFonts w:ascii="宋体" w:eastAsia="宋体" w:hAnsi="宋体"/>
          <w:szCs w:val="21"/>
        </w:rPr>
        <w:t>本</w:t>
      </w:r>
      <w:r w:rsidRPr="00BD409B">
        <w:rPr>
          <w:rFonts w:ascii="宋体" w:eastAsia="宋体" w:hAnsi="宋体" w:hint="eastAsia"/>
          <w:szCs w:val="21"/>
        </w:rPr>
        <w:t>文件规定的技术指标，</w:t>
      </w:r>
      <w:r w:rsidRPr="00BD409B">
        <w:rPr>
          <w:rFonts w:ascii="宋体" w:eastAsia="宋体" w:hAnsi="宋体"/>
          <w:szCs w:val="21"/>
        </w:rPr>
        <w:t>需结合田间试验优化参数，建议连续3年实施以实现土壤肥力提升与产量稳定。</w:t>
      </w:r>
    </w:p>
    <w:p w14:paraId="6029D760" w14:textId="55FE8CC0" w:rsidR="00110385" w:rsidRPr="00BD409B" w:rsidRDefault="00110385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  <w:r w:rsidRPr="00BD409B">
        <w:rPr>
          <w:rFonts w:ascii="宋体" w:eastAsia="宋体" w:hAnsi="宋体" w:hint="eastAsia"/>
          <w:szCs w:val="21"/>
        </w:rPr>
        <w:br w:type="page"/>
      </w:r>
    </w:p>
    <w:p w14:paraId="216A7D17" w14:textId="77777777" w:rsidR="00A510BB" w:rsidRPr="00BD409B" w:rsidRDefault="00A510BB" w:rsidP="00A510BB">
      <w:pPr>
        <w:jc w:val="left"/>
        <w:rPr>
          <w:rFonts w:ascii="宋体" w:eastAsia="宋体" w:hAnsi="宋体" w:hint="eastAsia"/>
        </w:rPr>
      </w:pPr>
    </w:p>
    <w:p w14:paraId="62E8FBF6" w14:textId="01BB00AF" w:rsidR="00A510BB" w:rsidRPr="00BD409B" w:rsidRDefault="00A510BB" w:rsidP="00110385">
      <w:pPr>
        <w:jc w:val="center"/>
        <w:rPr>
          <w:rFonts w:ascii="宋体" w:eastAsia="宋体" w:hAnsi="宋体" w:hint="eastAsia"/>
          <w:b/>
          <w:bCs/>
        </w:rPr>
      </w:pPr>
      <w:r w:rsidRPr="00BD409B">
        <w:rPr>
          <w:rFonts w:ascii="宋体" w:eastAsia="宋体" w:hAnsi="宋体"/>
          <w:b/>
          <w:bCs/>
        </w:rPr>
        <w:t>附</w:t>
      </w:r>
      <w:r w:rsidRPr="00BD409B">
        <w:rPr>
          <w:rFonts w:ascii="宋体" w:eastAsia="宋体" w:hAnsi="宋体" w:hint="eastAsia"/>
          <w:b/>
          <w:bCs/>
        </w:rPr>
        <w:t>录2</w:t>
      </w:r>
      <w:r w:rsidRPr="00BD409B">
        <w:rPr>
          <w:rFonts w:ascii="宋体" w:eastAsia="宋体" w:hAnsi="宋体"/>
          <w:b/>
          <w:bCs/>
        </w:rPr>
        <w:t>：有机肥替代化肥效益对比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1932"/>
        <w:gridCol w:w="1704"/>
        <w:gridCol w:w="2673"/>
      </w:tblGrid>
      <w:tr w:rsidR="00A510BB" w:rsidRPr="00BD409B" w14:paraId="0728A8CB" w14:textId="77777777" w:rsidTr="00E553E0">
        <w:trPr>
          <w:jc w:val="center"/>
        </w:trPr>
        <w:tc>
          <w:tcPr>
            <w:tcW w:w="2126" w:type="dxa"/>
          </w:tcPr>
          <w:p w14:paraId="1F170022" w14:textId="77777777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施肥模式</w:t>
            </w:r>
          </w:p>
        </w:tc>
        <w:tc>
          <w:tcPr>
            <w:tcW w:w="2038" w:type="dxa"/>
          </w:tcPr>
          <w:p w14:paraId="506CE42E" w14:textId="77777777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成本（元/亩）</w:t>
            </w:r>
          </w:p>
        </w:tc>
        <w:tc>
          <w:tcPr>
            <w:tcW w:w="1790" w:type="dxa"/>
          </w:tcPr>
          <w:p w14:paraId="7C7A8BA7" w14:textId="77777777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产量（吨/亩）</w:t>
            </w:r>
          </w:p>
        </w:tc>
        <w:tc>
          <w:tcPr>
            <w:tcW w:w="2835" w:type="dxa"/>
          </w:tcPr>
          <w:p w14:paraId="044C88CC" w14:textId="77777777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土壤有机质年增幅</w:t>
            </w:r>
          </w:p>
        </w:tc>
      </w:tr>
      <w:tr w:rsidR="00A510BB" w:rsidRPr="00BD409B" w14:paraId="55E216DC" w14:textId="77777777" w:rsidTr="00E553E0">
        <w:trPr>
          <w:jc w:val="center"/>
        </w:trPr>
        <w:tc>
          <w:tcPr>
            <w:tcW w:w="2126" w:type="dxa"/>
          </w:tcPr>
          <w:p w14:paraId="3DE02D71" w14:textId="77777777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全量化肥</w:t>
            </w:r>
          </w:p>
        </w:tc>
        <w:tc>
          <w:tcPr>
            <w:tcW w:w="2038" w:type="dxa"/>
          </w:tcPr>
          <w:p w14:paraId="5C3C1CA5" w14:textId="439D98C0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300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400</w:t>
            </w:r>
          </w:p>
        </w:tc>
        <w:tc>
          <w:tcPr>
            <w:tcW w:w="1790" w:type="dxa"/>
          </w:tcPr>
          <w:p w14:paraId="0923C28E" w14:textId="2360E2C3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4.5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5.5</w:t>
            </w:r>
          </w:p>
        </w:tc>
        <w:tc>
          <w:tcPr>
            <w:tcW w:w="2835" w:type="dxa"/>
          </w:tcPr>
          <w:p w14:paraId="3BEB888B" w14:textId="77777777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基本持平或下降</w:t>
            </w:r>
          </w:p>
        </w:tc>
      </w:tr>
      <w:tr w:rsidR="00A510BB" w:rsidRPr="00BD409B" w14:paraId="67519EF7" w14:textId="77777777" w:rsidTr="00E553E0">
        <w:trPr>
          <w:jc w:val="center"/>
        </w:trPr>
        <w:tc>
          <w:tcPr>
            <w:tcW w:w="2126" w:type="dxa"/>
          </w:tcPr>
          <w:p w14:paraId="5D93D202" w14:textId="77777777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有机肥替代</w:t>
            </w:r>
          </w:p>
        </w:tc>
        <w:tc>
          <w:tcPr>
            <w:tcW w:w="2038" w:type="dxa"/>
          </w:tcPr>
          <w:p w14:paraId="0AEC79A3" w14:textId="2DD14758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400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600</w:t>
            </w:r>
          </w:p>
        </w:tc>
        <w:tc>
          <w:tcPr>
            <w:tcW w:w="1790" w:type="dxa"/>
          </w:tcPr>
          <w:p w14:paraId="2D030CB3" w14:textId="448A9CAF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4.0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5.0</w:t>
            </w:r>
          </w:p>
        </w:tc>
        <w:tc>
          <w:tcPr>
            <w:tcW w:w="2835" w:type="dxa"/>
          </w:tcPr>
          <w:p w14:paraId="690B087D" w14:textId="4C35B8CE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0.1%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0.3%</w:t>
            </w:r>
          </w:p>
        </w:tc>
      </w:tr>
      <w:tr w:rsidR="00A510BB" w:rsidRPr="00BD409B" w14:paraId="01098528" w14:textId="77777777" w:rsidTr="00E553E0">
        <w:trPr>
          <w:jc w:val="center"/>
        </w:trPr>
        <w:tc>
          <w:tcPr>
            <w:tcW w:w="2126" w:type="dxa"/>
          </w:tcPr>
          <w:p w14:paraId="414C57BA" w14:textId="77777777" w:rsidR="00A510BB" w:rsidRPr="00BD409B" w:rsidRDefault="00A510BB" w:rsidP="00E553E0">
            <w:pPr>
              <w:spacing w:line="360" w:lineRule="auto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有机肥+绿肥轮作</w:t>
            </w:r>
          </w:p>
        </w:tc>
        <w:tc>
          <w:tcPr>
            <w:tcW w:w="2038" w:type="dxa"/>
          </w:tcPr>
          <w:p w14:paraId="28CE46ED" w14:textId="3DE553F4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350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500</w:t>
            </w:r>
          </w:p>
        </w:tc>
        <w:tc>
          <w:tcPr>
            <w:tcW w:w="1790" w:type="dxa"/>
          </w:tcPr>
          <w:p w14:paraId="0C83A919" w14:textId="23440E77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4.2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5.2</w:t>
            </w:r>
          </w:p>
        </w:tc>
        <w:tc>
          <w:tcPr>
            <w:tcW w:w="2835" w:type="dxa"/>
          </w:tcPr>
          <w:p w14:paraId="31FAE3FF" w14:textId="6102F718" w:rsidR="00A510BB" w:rsidRPr="00BD409B" w:rsidRDefault="00A510BB" w:rsidP="00BD409B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BD409B">
              <w:rPr>
                <w:rFonts w:ascii="宋体" w:eastAsia="宋体" w:hAnsi="宋体"/>
              </w:rPr>
              <w:t>0.3%</w:t>
            </w:r>
            <w:r w:rsidR="00110385" w:rsidRPr="00BD409B">
              <w:rPr>
                <w:rFonts w:ascii="宋体" w:eastAsia="宋体" w:hAnsi="宋体"/>
              </w:rPr>
              <w:t>～</w:t>
            </w:r>
            <w:r w:rsidRPr="00BD409B">
              <w:rPr>
                <w:rFonts w:ascii="宋体" w:eastAsia="宋体" w:hAnsi="宋体"/>
              </w:rPr>
              <w:t>0.5%</w:t>
            </w:r>
          </w:p>
        </w:tc>
      </w:tr>
    </w:tbl>
    <w:p w14:paraId="65460900" w14:textId="77777777" w:rsidR="00A510BB" w:rsidRPr="00BD409B" w:rsidRDefault="00A510BB" w:rsidP="00A510BB">
      <w:pPr>
        <w:rPr>
          <w:rFonts w:ascii="宋体" w:eastAsia="宋体" w:hAnsi="宋体" w:hint="eastAsia"/>
        </w:rPr>
      </w:pPr>
    </w:p>
    <w:p w14:paraId="148A24B4" w14:textId="77777777" w:rsidR="00110385" w:rsidRPr="00110385" w:rsidRDefault="00110385" w:rsidP="00110385">
      <w:pPr>
        <w:spacing w:line="360" w:lineRule="auto"/>
        <w:ind w:firstLineChars="202" w:firstLine="424"/>
        <w:rPr>
          <w:rFonts w:ascii="宋体" w:eastAsia="宋体" w:hAnsi="宋体" w:hint="eastAsia"/>
          <w:szCs w:val="21"/>
        </w:rPr>
      </w:pPr>
    </w:p>
    <w:p w14:paraId="12AEC66A" w14:textId="77777777" w:rsidR="00110385" w:rsidRDefault="00110385" w:rsidP="00110385">
      <w:pPr>
        <w:jc w:val="center"/>
        <w:rPr>
          <w:rFonts w:ascii="华文宋体" w:eastAsia="华文宋体" w:hAnsi="华文宋体" w:hint="eastAsia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____________________________</w:t>
      </w:r>
    </w:p>
    <w:p w14:paraId="4EA920B6" w14:textId="77777777" w:rsidR="00A510BB" w:rsidRPr="00A510BB" w:rsidRDefault="00A510BB" w:rsidP="00A510BB">
      <w:pPr>
        <w:jc w:val="left"/>
        <w:rPr>
          <w:rFonts w:ascii="华文宋体" w:eastAsia="华文宋体" w:hAnsi="华文宋体" w:cs="Arial" w:hint="eastAsia"/>
          <w:color w:val="333333"/>
          <w:kern w:val="0"/>
          <w:sz w:val="24"/>
          <w:szCs w:val="24"/>
        </w:rPr>
      </w:pPr>
    </w:p>
    <w:sectPr w:rsidR="00A510BB" w:rsidRPr="00A510BB" w:rsidSect="00986C5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BF53" w14:textId="77777777" w:rsidR="003961FC" w:rsidRDefault="003961FC" w:rsidP="009E669E">
      <w:pPr>
        <w:rPr>
          <w:rFonts w:hint="eastAsia"/>
        </w:rPr>
      </w:pPr>
      <w:r>
        <w:separator/>
      </w:r>
    </w:p>
  </w:endnote>
  <w:endnote w:type="continuationSeparator" w:id="0">
    <w:p w14:paraId="6C996647" w14:textId="77777777" w:rsidR="003961FC" w:rsidRDefault="003961FC" w:rsidP="009E66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F9D7" w14:textId="4A7F8701" w:rsidR="00986C5B" w:rsidRDefault="00986C5B" w:rsidP="00986C5B">
    <w:pPr>
      <w:pStyle w:val="a8"/>
      <w:jc w:val="right"/>
      <w:rPr>
        <w:rFonts w:hint="eastAsia"/>
      </w:rPr>
    </w:pPr>
    <w:r>
      <w:rPr>
        <w:rFonts w:hint="eastAsia"/>
      </w:rPr>
      <w:t>III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457129"/>
      <w:docPartObj>
        <w:docPartGallery w:val="Page Numbers (Bottom of Page)"/>
        <w:docPartUnique/>
      </w:docPartObj>
    </w:sdtPr>
    <w:sdtContent>
      <w:p w14:paraId="42259548" w14:textId="745B28E0" w:rsidR="00986C5B" w:rsidRDefault="00986C5B">
        <w:pPr>
          <w:pStyle w:val="a8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376F41" w14:textId="2F5C2375" w:rsidR="00986C5B" w:rsidRDefault="00986C5B" w:rsidP="00986C5B">
    <w:pPr>
      <w:pStyle w:val="a8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90FB" w14:textId="77777777" w:rsidR="003961FC" w:rsidRDefault="003961FC" w:rsidP="009E669E">
      <w:pPr>
        <w:rPr>
          <w:rFonts w:hint="eastAsia"/>
        </w:rPr>
      </w:pPr>
      <w:r>
        <w:separator/>
      </w:r>
    </w:p>
  </w:footnote>
  <w:footnote w:type="continuationSeparator" w:id="0">
    <w:p w14:paraId="5A1EA276" w14:textId="77777777" w:rsidR="003961FC" w:rsidRDefault="003961FC" w:rsidP="009E66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DAC3" w14:textId="73CD010B" w:rsidR="00524785" w:rsidRDefault="00524785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81529D" wp14:editId="504B40D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361971027" name="文本框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C665" w14:textId="5347080E" w:rsidR="00524785" w:rsidRPr="00B50F84" w:rsidRDefault="00986C5B">
                          <w:pPr>
                            <w:jc w:val="right"/>
                            <w:rPr>
                              <w:rFonts w:ascii="黑体" w:eastAsia="黑体" w:hAnsi="黑体" w:hint="eastAsia"/>
                            </w:rPr>
                          </w:pPr>
                          <w:r w:rsidRPr="00B50F84">
                            <w:rPr>
                              <w:rFonts w:ascii="黑体" w:eastAsia="黑体" w:hAnsi="黑体"/>
                            </w:rPr>
                            <w:t>T/HXCY xxx-2025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1529D" id="_x0000_t202" coordsize="21600,21600" o:spt="202" path="m,l,21600r21600,l21600,xe">
              <v:stroke joinstyle="miter"/>
              <v:path gradientshapeok="t" o:connecttype="rect"/>
            </v:shapetype>
            <v:shape id="文本框 44" o:spid="_x0000_s1026" type="#_x0000_t202" style="position:absolute;left:0;text-align:left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C9FC665" w14:textId="5347080E" w:rsidR="00524785" w:rsidRPr="00B50F84" w:rsidRDefault="00986C5B">
                    <w:pPr>
                      <w:jc w:val="right"/>
                      <w:rPr>
                        <w:rFonts w:ascii="黑体" w:eastAsia="黑体" w:hAnsi="黑体"/>
                      </w:rPr>
                    </w:pPr>
                    <w:r w:rsidRPr="00B50F84">
                      <w:rPr>
                        <w:rFonts w:ascii="黑体" w:eastAsia="黑体" w:hAnsi="黑体"/>
                      </w:rPr>
                      <w:t>T/HXCY xxx-2025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852"/>
    <w:multiLevelType w:val="multilevel"/>
    <w:tmpl w:val="BA4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66F40"/>
    <w:multiLevelType w:val="multilevel"/>
    <w:tmpl w:val="5F5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156B4"/>
    <w:multiLevelType w:val="multilevel"/>
    <w:tmpl w:val="EA12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E6AEC"/>
    <w:multiLevelType w:val="multilevel"/>
    <w:tmpl w:val="5A52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F78FC"/>
    <w:multiLevelType w:val="multilevel"/>
    <w:tmpl w:val="639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C2717"/>
    <w:multiLevelType w:val="multilevel"/>
    <w:tmpl w:val="B58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873416">
    <w:abstractNumId w:val="2"/>
  </w:num>
  <w:num w:numId="2" w16cid:durableId="484979806">
    <w:abstractNumId w:val="3"/>
  </w:num>
  <w:num w:numId="3" w16cid:durableId="1206794086">
    <w:abstractNumId w:val="4"/>
  </w:num>
  <w:num w:numId="4" w16cid:durableId="1601183771">
    <w:abstractNumId w:val="5"/>
  </w:num>
  <w:num w:numId="5" w16cid:durableId="1521160088">
    <w:abstractNumId w:val="1"/>
  </w:num>
  <w:num w:numId="6" w16cid:durableId="11581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95"/>
    <w:rsid w:val="00005884"/>
    <w:rsid w:val="00053761"/>
    <w:rsid w:val="000669C3"/>
    <w:rsid w:val="0009183C"/>
    <w:rsid w:val="000924D1"/>
    <w:rsid w:val="000D3C0C"/>
    <w:rsid w:val="000D6F34"/>
    <w:rsid w:val="000E0B5C"/>
    <w:rsid w:val="000E187E"/>
    <w:rsid w:val="000E2E1F"/>
    <w:rsid w:val="000E306C"/>
    <w:rsid w:val="000F658E"/>
    <w:rsid w:val="00110385"/>
    <w:rsid w:val="00151DA1"/>
    <w:rsid w:val="001816D9"/>
    <w:rsid w:val="001F2372"/>
    <w:rsid w:val="00203411"/>
    <w:rsid w:val="00222AB3"/>
    <w:rsid w:val="002233EF"/>
    <w:rsid w:val="00263703"/>
    <w:rsid w:val="00265DCD"/>
    <w:rsid w:val="00267027"/>
    <w:rsid w:val="002721CA"/>
    <w:rsid w:val="002A08BE"/>
    <w:rsid w:val="002C394F"/>
    <w:rsid w:val="002E6844"/>
    <w:rsid w:val="003160D5"/>
    <w:rsid w:val="00331E8E"/>
    <w:rsid w:val="003961FC"/>
    <w:rsid w:val="003A19EC"/>
    <w:rsid w:val="003A6413"/>
    <w:rsid w:val="003E0025"/>
    <w:rsid w:val="00401F13"/>
    <w:rsid w:val="004034D1"/>
    <w:rsid w:val="00404D0E"/>
    <w:rsid w:val="00416459"/>
    <w:rsid w:val="00425669"/>
    <w:rsid w:val="00426990"/>
    <w:rsid w:val="00441DCA"/>
    <w:rsid w:val="004439D8"/>
    <w:rsid w:val="004647C0"/>
    <w:rsid w:val="004676CC"/>
    <w:rsid w:val="004904D7"/>
    <w:rsid w:val="004E3ECF"/>
    <w:rsid w:val="004E439B"/>
    <w:rsid w:val="004F31D9"/>
    <w:rsid w:val="00511E3C"/>
    <w:rsid w:val="0051415D"/>
    <w:rsid w:val="00524785"/>
    <w:rsid w:val="00546399"/>
    <w:rsid w:val="005878E5"/>
    <w:rsid w:val="005A3CD5"/>
    <w:rsid w:val="005B6046"/>
    <w:rsid w:val="005D2703"/>
    <w:rsid w:val="005F0629"/>
    <w:rsid w:val="006006EC"/>
    <w:rsid w:val="0062340F"/>
    <w:rsid w:val="00676C82"/>
    <w:rsid w:val="006C0C99"/>
    <w:rsid w:val="006E2F7B"/>
    <w:rsid w:val="007025E9"/>
    <w:rsid w:val="00713111"/>
    <w:rsid w:val="00745795"/>
    <w:rsid w:val="0076475D"/>
    <w:rsid w:val="00764D15"/>
    <w:rsid w:val="00872FB1"/>
    <w:rsid w:val="008859C1"/>
    <w:rsid w:val="008868E7"/>
    <w:rsid w:val="00897EF7"/>
    <w:rsid w:val="008C0249"/>
    <w:rsid w:val="008E0AAB"/>
    <w:rsid w:val="009109B7"/>
    <w:rsid w:val="00933DFE"/>
    <w:rsid w:val="00986C5B"/>
    <w:rsid w:val="009A0BDF"/>
    <w:rsid w:val="009B0C7E"/>
    <w:rsid w:val="009E669E"/>
    <w:rsid w:val="00A24250"/>
    <w:rsid w:val="00A27D69"/>
    <w:rsid w:val="00A41BF1"/>
    <w:rsid w:val="00A510BB"/>
    <w:rsid w:val="00A818BB"/>
    <w:rsid w:val="00A92E78"/>
    <w:rsid w:val="00A9676E"/>
    <w:rsid w:val="00AB6698"/>
    <w:rsid w:val="00AD6260"/>
    <w:rsid w:val="00AD6B29"/>
    <w:rsid w:val="00AF2D22"/>
    <w:rsid w:val="00B10877"/>
    <w:rsid w:val="00B14CFC"/>
    <w:rsid w:val="00B33719"/>
    <w:rsid w:val="00B50F84"/>
    <w:rsid w:val="00B602D3"/>
    <w:rsid w:val="00BA42D5"/>
    <w:rsid w:val="00BA4A3D"/>
    <w:rsid w:val="00BB4BDE"/>
    <w:rsid w:val="00BD409B"/>
    <w:rsid w:val="00BE1D6C"/>
    <w:rsid w:val="00BF72CF"/>
    <w:rsid w:val="00C051F6"/>
    <w:rsid w:val="00C1705C"/>
    <w:rsid w:val="00C17F1B"/>
    <w:rsid w:val="00C24590"/>
    <w:rsid w:val="00C46EAA"/>
    <w:rsid w:val="00C51A2C"/>
    <w:rsid w:val="00CA193F"/>
    <w:rsid w:val="00CA1A98"/>
    <w:rsid w:val="00CB58A8"/>
    <w:rsid w:val="00CC5905"/>
    <w:rsid w:val="00D13872"/>
    <w:rsid w:val="00D26F17"/>
    <w:rsid w:val="00D3693E"/>
    <w:rsid w:val="00D90196"/>
    <w:rsid w:val="00DA5312"/>
    <w:rsid w:val="00DC5E07"/>
    <w:rsid w:val="00DD409F"/>
    <w:rsid w:val="00E06921"/>
    <w:rsid w:val="00E06EC8"/>
    <w:rsid w:val="00E24024"/>
    <w:rsid w:val="00E520E7"/>
    <w:rsid w:val="00EB6F1C"/>
    <w:rsid w:val="00EB7CCB"/>
    <w:rsid w:val="00F13BBE"/>
    <w:rsid w:val="00F15255"/>
    <w:rsid w:val="00F7181D"/>
    <w:rsid w:val="00F87DA3"/>
    <w:rsid w:val="00FC5549"/>
    <w:rsid w:val="00FD2CD1"/>
    <w:rsid w:val="00FE3825"/>
    <w:rsid w:val="00FF18D3"/>
    <w:rsid w:val="00FF567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A6B11"/>
  <w15:chartTrackingRefBased/>
  <w15:docId w15:val="{366B0AE8-7B96-409D-98C7-3B759A81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A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457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795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74579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level1">
    <w:name w:val="level1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dex">
    <w:name w:val="index"/>
    <w:basedOn w:val="a0"/>
    <w:rsid w:val="00745795"/>
  </w:style>
  <w:style w:type="character" w:customStyle="1" w:styleId="text">
    <w:name w:val="text"/>
    <w:basedOn w:val="a0"/>
    <w:rsid w:val="00745795"/>
  </w:style>
  <w:style w:type="paragraph" w:customStyle="1" w:styleId="level2">
    <w:name w:val="level2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45795"/>
    <w:rPr>
      <w:b/>
      <w:bCs/>
      <w:sz w:val="32"/>
      <w:szCs w:val="32"/>
    </w:rPr>
  </w:style>
  <w:style w:type="paragraph" w:customStyle="1" w:styleId="list-dot">
    <w:name w:val="list-dot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-part-audio-text">
    <w:name w:val="j-part-audio-text"/>
    <w:basedOn w:val="a0"/>
    <w:rsid w:val="00745795"/>
  </w:style>
  <w:style w:type="paragraph" w:customStyle="1" w:styleId="reference-item">
    <w:name w:val="reference-item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ite">
    <w:name w:val="site"/>
    <w:basedOn w:val="a0"/>
    <w:rsid w:val="00745795"/>
  </w:style>
  <w:style w:type="character" w:customStyle="1" w:styleId="10">
    <w:name w:val="标题 1 字符"/>
    <w:basedOn w:val="a0"/>
    <w:link w:val="1"/>
    <w:uiPriority w:val="9"/>
    <w:rsid w:val="00BA4A3D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BA4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C1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6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66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6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669E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8859C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8859C1"/>
    <w:pPr>
      <w:ind w:leftChars="200" w:left="420"/>
    </w:pPr>
  </w:style>
  <w:style w:type="paragraph" w:styleId="TOC1">
    <w:name w:val="toc 1"/>
    <w:basedOn w:val="a"/>
    <w:next w:val="a"/>
    <w:autoRedefine/>
    <w:uiPriority w:val="39"/>
    <w:unhideWhenUsed/>
    <w:rsid w:val="00401F13"/>
    <w:pPr>
      <w:tabs>
        <w:tab w:val="right" w:leader="dot" w:pos="8296"/>
      </w:tabs>
      <w:spacing w:line="360" w:lineRule="auto"/>
    </w:pPr>
  </w:style>
  <w:style w:type="paragraph" w:styleId="aa">
    <w:name w:val="List Paragraph"/>
    <w:basedOn w:val="a"/>
    <w:uiPriority w:val="34"/>
    <w:qFormat/>
    <w:rsid w:val="002233EF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868E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8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35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72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BEBEB"/>
            <w:bottom w:val="none" w:sz="0" w:space="0" w:color="auto"/>
            <w:right w:val="none" w:sz="0" w:space="0" w:color="auto"/>
          </w:divBdr>
        </w:div>
      </w:divsChild>
    </w:div>
    <w:div w:id="46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6695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73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2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78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32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73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56509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34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20402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14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44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2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79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8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0EC0-9840-452D-B612-DA5C4170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1769</Words>
  <Characters>2176</Characters>
  <Application>Microsoft Office Word</Application>
  <DocSecurity>0</DocSecurity>
  <Lines>155</Lines>
  <Paragraphs>219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Quanzhen Wang</dc:creator>
  <cp:keywords/>
  <dc:description/>
  <cp:lastModifiedBy>ThinkPad</cp:lastModifiedBy>
  <cp:revision>33</cp:revision>
  <cp:lastPrinted>2024-01-17T08:12:00Z</cp:lastPrinted>
  <dcterms:created xsi:type="dcterms:W3CDTF">2025-05-08T02:41:00Z</dcterms:created>
  <dcterms:modified xsi:type="dcterms:W3CDTF">2025-05-13T10:30:00Z</dcterms:modified>
</cp:coreProperties>
</file>