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BC8F" w14:textId="77777777" w:rsidR="008A4F46" w:rsidRDefault="00000000">
      <w:pPr>
        <w:tabs>
          <w:tab w:val="left" w:pos="7371"/>
        </w:tabs>
        <w:jc w:val="left"/>
        <w:rPr>
          <w:highlight w:val="yellow"/>
        </w:rPr>
      </w:pPr>
      <w:bookmarkStart w:id="0" w:name="_Hlk191990230"/>
      <w:bookmarkStart w:id="1" w:name="_Hlk175905260"/>
      <w:r>
        <w:rPr>
          <w:highlight w:val="yellow"/>
        </w:rPr>
        <w:t>ICS 6</w:t>
      </w:r>
      <w:r>
        <w:rPr>
          <w:rFonts w:hint="eastAsia"/>
          <w:highlight w:val="yellow"/>
        </w:rPr>
        <w:t>5</w:t>
      </w:r>
      <w:r>
        <w:rPr>
          <w:highlight w:val="yellow"/>
        </w:rPr>
        <w:t>.120</w:t>
      </w:r>
    </w:p>
    <w:p w14:paraId="0C14694F" w14:textId="77777777" w:rsidR="008A4F46" w:rsidRDefault="00000000">
      <w:pPr>
        <w:jc w:val="left"/>
        <w:rPr>
          <w:highlight w:val="yellow"/>
        </w:rPr>
      </w:pPr>
      <w:r>
        <w:rPr>
          <w:highlight w:val="yellow"/>
        </w:rPr>
        <w:t xml:space="preserve">B </w:t>
      </w:r>
      <w:r>
        <w:rPr>
          <w:rFonts w:hint="eastAsia"/>
          <w:highlight w:val="yellow"/>
        </w:rPr>
        <w:t>20</w:t>
      </w:r>
    </w:p>
    <w:bookmarkEnd w:id="0"/>
    <w:p w14:paraId="0618A763" w14:textId="77777777" w:rsidR="008A4F46" w:rsidRDefault="008A4F46">
      <w:pPr>
        <w:jc w:val="center"/>
      </w:pPr>
    </w:p>
    <w:p w14:paraId="7ADA3077" w14:textId="77777777" w:rsidR="008A4F46" w:rsidRDefault="008A4F46">
      <w:pPr>
        <w:jc w:val="center"/>
      </w:pPr>
    </w:p>
    <w:p w14:paraId="1F824B94" w14:textId="77777777" w:rsidR="008A4F46" w:rsidRDefault="00000000">
      <w:pPr>
        <w:jc w:val="center"/>
        <w:rPr>
          <w:rFonts w:eastAsia="黑体"/>
          <w:sz w:val="84"/>
          <w:szCs w:val="84"/>
        </w:rPr>
      </w:pPr>
      <w:bookmarkStart w:id="2" w:name="_Hlk191991850"/>
      <w:bookmarkStart w:id="3" w:name="_Hlk191990252"/>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649A3A77" w14:textId="77777777" w:rsidR="008A4F46" w:rsidRDefault="008A4F46">
      <w:pPr>
        <w:jc w:val="center"/>
        <w:rPr>
          <w:sz w:val="84"/>
          <w:szCs w:val="84"/>
        </w:rPr>
      </w:pPr>
    </w:p>
    <w:p w14:paraId="0BC1CEEF" w14:textId="77777777" w:rsidR="008A4F46" w:rsidRDefault="00000000">
      <w:pPr>
        <w:jc w:val="right"/>
        <w:rPr>
          <w:b/>
          <w:bCs/>
        </w:rPr>
      </w:pPr>
      <w:bookmarkStart w:id="4" w:name="_Hlk191975570"/>
      <w:r>
        <w:rPr>
          <w:b/>
          <w:bCs/>
        </w:rPr>
        <w:t>T/HXCY XXX-</w:t>
      </w:r>
      <w:r>
        <w:rPr>
          <w:rFonts w:hint="eastAsia"/>
          <w:b/>
          <w:bCs/>
        </w:rPr>
        <w:t>2025</w:t>
      </w:r>
    </w:p>
    <w:bookmarkEnd w:id="4"/>
    <w:p w14:paraId="252C694A" w14:textId="77777777" w:rsidR="008A4F46" w:rsidRDefault="00000000">
      <w:pPr>
        <w:jc w:val="left"/>
        <w:rPr>
          <w:u w:val="single"/>
        </w:rPr>
      </w:pPr>
      <w:r>
        <w:rPr>
          <w:u w:val="single"/>
        </w:rPr>
        <w:t xml:space="preserve">                                                                               </w:t>
      </w:r>
    </w:p>
    <w:bookmarkEnd w:id="2"/>
    <w:p w14:paraId="33CFF3C8" w14:textId="77777777" w:rsidR="008A4F46" w:rsidRDefault="008A4F46">
      <w:pPr>
        <w:jc w:val="right"/>
        <w:rPr>
          <w:b/>
          <w:bCs/>
        </w:rPr>
      </w:pPr>
    </w:p>
    <w:bookmarkEnd w:id="3"/>
    <w:p w14:paraId="1701AC79" w14:textId="77777777" w:rsidR="008A4F46" w:rsidRDefault="00000000">
      <w:pPr>
        <w:jc w:val="center"/>
        <w:rPr>
          <w:rFonts w:eastAsia="黑体"/>
          <w:b/>
          <w:bCs/>
          <w:sz w:val="28"/>
          <w:szCs w:val="28"/>
        </w:rPr>
      </w:pPr>
      <w:r>
        <w:rPr>
          <w:rFonts w:eastAsia="黑体" w:hint="eastAsia"/>
          <w:spacing w:val="-17"/>
          <w:sz w:val="48"/>
          <w:szCs w:val="48"/>
        </w:rPr>
        <w:t>西南地区高粱</w:t>
      </w:r>
      <w:r>
        <w:rPr>
          <w:rFonts w:eastAsia="黑体" w:hint="eastAsia"/>
          <w:spacing w:val="-17"/>
          <w:sz w:val="48"/>
          <w:szCs w:val="48"/>
        </w:rPr>
        <w:t>-</w:t>
      </w:r>
      <w:r>
        <w:rPr>
          <w:rFonts w:eastAsia="黑体" w:hint="eastAsia"/>
          <w:spacing w:val="-17"/>
          <w:sz w:val="48"/>
          <w:szCs w:val="48"/>
        </w:rPr>
        <w:t>苏丹草杂交种制种技术规程</w:t>
      </w:r>
      <w:r>
        <w:rPr>
          <w:rFonts w:eastAsia="黑体" w:hint="eastAsia"/>
          <w:b/>
          <w:bCs/>
          <w:sz w:val="28"/>
          <w:szCs w:val="28"/>
        </w:rPr>
        <w:t>Technical Regulations for Seed Production of Sorghum-</w:t>
      </w:r>
      <w:proofErr w:type="spellStart"/>
      <w:r>
        <w:rPr>
          <w:rFonts w:eastAsia="黑体" w:hint="eastAsia"/>
          <w:b/>
          <w:bCs/>
          <w:sz w:val="28"/>
          <w:szCs w:val="28"/>
        </w:rPr>
        <w:t>Sudangrass</w:t>
      </w:r>
      <w:proofErr w:type="spellEnd"/>
      <w:r>
        <w:rPr>
          <w:rFonts w:eastAsia="黑体" w:hint="eastAsia"/>
          <w:b/>
          <w:bCs/>
          <w:sz w:val="28"/>
          <w:szCs w:val="28"/>
        </w:rPr>
        <w:t xml:space="preserve"> Hybrid in Southwest China</w:t>
      </w:r>
    </w:p>
    <w:bookmarkEnd w:id="1"/>
    <w:p w14:paraId="44D43563" w14:textId="77777777" w:rsidR="008A4F46" w:rsidRDefault="008A4F46">
      <w:pPr>
        <w:jc w:val="center"/>
        <w:rPr>
          <w:rFonts w:eastAsia="黑体"/>
          <w:sz w:val="24"/>
          <w:szCs w:val="24"/>
        </w:rPr>
      </w:pPr>
    </w:p>
    <w:p w14:paraId="27A7445D" w14:textId="77777777" w:rsidR="008A4F46" w:rsidRDefault="00000000">
      <w:pPr>
        <w:jc w:val="center"/>
        <w:rPr>
          <w:rFonts w:eastAsia="黑体"/>
          <w:sz w:val="24"/>
          <w:szCs w:val="24"/>
        </w:rPr>
      </w:pPr>
      <w:r>
        <w:rPr>
          <w:rFonts w:eastAsia="黑体" w:hint="eastAsia"/>
          <w:sz w:val="24"/>
          <w:szCs w:val="24"/>
        </w:rPr>
        <w:t>（征求意见稿）</w:t>
      </w:r>
    </w:p>
    <w:p w14:paraId="56F65F94" w14:textId="77777777" w:rsidR="008A4F46" w:rsidRDefault="008A4F46">
      <w:pPr>
        <w:jc w:val="center"/>
        <w:rPr>
          <w:rFonts w:eastAsia="黑体"/>
          <w:sz w:val="48"/>
          <w:szCs w:val="48"/>
        </w:rPr>
      </w:pPr>
    </w:p>
    <w:p w14:paraId="44BD88A8" w14:textId="77777777" w:rsidR="008A4F46" w:rsidRDefault="008A4F46">
      <w:pPr>
        <w:jc w:val="center"/>
        <w:rPr>
          <w:rFonts w:eastAsia="黑体"/>
          <w:sz w:val="48"/>
          <w:szCs w:val="48"/>
        </w:rPr>
      </w:pPr>
    </w:p>
    <w:p w14:paraId="36307158" w14:textId="77777777" w:rsidR="008A4F46" w:rsidRDefault="008A4F46">
      <w:pPr>
        <w:jc w:val="center"/>
        <w:rPr>
          <w:rFonts w:eastAsia="黑体"/>
          <w:sz w:val="48"/>
          <w:szCs w:val="48"/>
        </w:rPr>
      </w:pPr>
    </w:p>
    <w:p w14:paraId="7B790E6A" w14:textId="77777777" w:rsidR="008A4F46" w:rsidRDefault="008A4F46">
      <w:pPr>
        <w:jc w:val="center"/>
        <w:rPr>
          <w:rFonts w:eastAsia="黑体"/>
          <w:sz w:val="48"/>
          <w:szCs w:val="48"/>
        </w:rPr>
      </w:pPr>
    </w:p>
    <w:p w14:paraId="6E2AE35A" w14:textId="77777777" w:rsidR="008A4F46" w:rsidRDefault="008A4F46">
      <w:pPr>
        <w:jc w:val="center"/>
        <w:rPr>
          <w:rFonts w:eastAsia="黑体"/>
          <w:sz w:val="48"/>
          <w:szCs w:val="48"/>
        </w:rPr>
      </w:pPr>
    </w:p>
    <w:p w14:paraId="689C0EBF" w14:textId="77777777" w:rsidR="008A4F46" w:rsidRDefault="008A4F46">
      <w:pPr>
        <w:jc w:val="center"/>
        <w:rPr>
          <w:rFonts w:eastAsia="黑体"/>
          <w:sz w:val="48"/>
          <w:szCs w:val="48"/>
        </w:rPr>
      </w:pPr>
    </w:p>
    <w:p w14:paraId="45EEB118" w14:textId="77777777" w:rsidR="008A4F46" w:rsidRDefault="008A4F46">
      <w:pPr>
        <w:spacing w:afterLines="100" w:after="312"/>
        <w:jc w:val="center"/>
        <w:rPr>
          <w:rFonts w:ascii="黑体" w:eastAsia="黑体" w:hAnsi="黑体" w:hint="eastAsia"/>
          <w:sz w:val="48"/>
          <w:szCs w:val="48"/>
        </w:rPr>
      </w:pPr>
    </w:p>
    <w:p w14:paraId="50BC42F7" w14:textId="77777777" w:rsidR="008A4F46" w:rsidRDefault="008A4F46">
      <w:pPr>
        <w:spacing w:afterLines="100" w:after="312"/>
        <w:jc w:val="center"/>
        <w:rPr>
          <w:rFonts w:ascii="黑体" w:eastAsia="黑体" w:hAnsi="黑体" w:hint="eastAsia"/>
          <w:sz w:val="48"/>
          <w:szCs w:val="48"/>
        </w:rPr>
      </w:pPr>
    </w:p>
    <w:p w14:paraId="710CBB49" w14:textId="77777777" w:rsidR="008A4F46" w:rsidRDefault="00000000">
      <w:pPr>
        <w:jc w:val="left"/>
        <w:rPr>
          <w:rFonts w:ascii="黑体" w:eastAsia="黑体" w:hAnsi="黑体" w:hint="eastAsia"/>
          <w:u w:val="single"/>
        </w:rPr>
      </w:pPr>
      <w:bookmarkStart w:id="5" w:name="_Hlk191975616"/>
      <w:bookmarkStart w:id="6" w:name="_Hlk191991896"/>
      <w:r>
        <w:rPr>
          <w:rFonts w:ascii="黑体" w:eastAsia="黑体" w:hAnsi="黑体" w:hint="eastAsia"/>
          <w:u w:val="single"/>
        </w:rPr>
        <w:t>2025</w:t>
      </w:r>
      <w:bookmarkStart w:id="7" w:name="_Hlk191975599"/>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bookmarkEnd w:id="7"/>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bookmarkEnd w:id="5"/>
    </w:p>
    <w:p w14:paraId="0A139628" w14:textId="77777777" w:rsidR="008A4F46" w:rsidRDefault="00000000">
      <w:pPr>
        <w:spacing w:beforeLines="100" w:before="312"/>
        <w:jc w:val="center"/>
        <w:sectPr w:rsidR="008A4F46">
          <w:footerReference w:type="default" r:id="rId7"/>
          <w:pgSz w:w="11906" w:h="16838"/>
          <w:pgMar w:top="1440" w:right="1800" w:bottom="1440" w:left="1800" w:header="851" w:footer="992" w:gutter="0"/>
          <w:pgNumType w:fmt="upperRoman" w:start="1"/>
          <w:cols w:space="720"/>
          <w:docGrid w:type="lines" w:linePitch="312"/>
        </w:sectPr>
      </w:pPr>
      <w:r>
        <w:rPr>
          <w:rFonts w:ascii="黑体" w:eastAsia="黑体" w:hAnsi="黑体" w:cs="黑体" w:hint="eastAsia"/>
        </w:rPr>
        <w:t>北京华夏草业产业技术创新战略联盟发布</w:t>
      </w:r>
      <w:bookmarkStart w:id="8" w:name="_Toc175908325"/>
      <w:bookmarkStart w:id="9" w:name="_Toc32084"/>
    </w:p>
    <w:p w14:paraId="2B46F376" w14:textId="77777777" w:rsidR="008A4F46" w:rsidRDefault="00000000">
      <w:pPr>
        <w:pStyle w:val="a7"/>
      </w:pPr>
      <w:bookmarkStart w:id="10" w:name="_Toc26231"/>
      <w:bookmarkStart w:id="11" w:name="_Toc30731"/>
      <w:bookmarkStart w:id="12" w:name="_Hlk191975698"/>
      <w:bookmarkEnd w:id="6"/>
      <w:r>
        <w:lastRenderedPageBreak/>
        <w:t>目</w:t>
      </w:r>
      <w:r>
        <w:rPr>
          <w:rFonts w:hint="eastAsia"/>
        </w:rPr>
        <w:t xml:space="preserve">  </w:t>
      </w:r>
      <w:bookmarkEnd w:id="8"/>
      <w:r>
        <w:rPr>
          <w:rFonts w:hint="eastAsia"/>
        </w:rPr>
        <w:t>次</w:t>
      </w:r>
      <w:bookmarkEnd w:id="9"/>
      <w:bookmarkEnd w:id="10"/>
      <w:bookmarkEnd w:id="11"/>
    </w:p>
    <w:bookmarkEnd w:id="12"/>
    <w:p w14:paraId="67BA3298" w14:textId="77777777" w:rsidR="008A4F46" w:rsidRDefault="00000000">
      <w:pPr>
        <w:pStyle w:val="TOC1"/>
        <w:tabs>
          <w:tab w:val="right" w:leader="dot" w:pos="8306"/>
        </w:tabs>
        <w:spacing w:line="360" w:lineRule="auto"/>
      </w:pPr>
      <w:r>
        <w:fldChar w:fldCharType="begin"/>
      </w:r>
      <w:r>
        <w:instrText xml:space="preserve"> TOC \o "1-3" \h \z \u </w:instrText>
      </w:r>
      <w:r>
        <w:fldChar w:fldCharType="separate"/>
      </w:r>
      <w:hyperlink w:anchor="_Toc31984" w:history="1">
        <w:r>
          <w:rPr>
            <w:rFonts w:hint="eastAsia"/>
          </w:rPr>
          <w:t>前</w:t>
        </w:r>
        <w:r>
          <w:rPr>
            <w:rFonts w:hint="eastAsia"/>
          </w:rPr>
          <w:t xml:space="preserve">  </w:t>
        </w:r>
        <w:r>
          <w:rPr>
            <w:rFonts w:hint="eastAsia"/>
          </w:rPr>
          <w:t>言</w:t>
        </w:r>
        <w:r>
          <w:tab/>
        </w:r>
        <w:r>
          <w:fldChar w:fldCharType="begin"/>
        </w:r>
        <w:r>
          <w:instrText xml:space="preserve"> PAGEREF _Toc31984 \h </w:instrText>
        </w:r>
        <w:r>
          <w:fldChar w:fldCharType="separate"/>
        </w:r>
        <w:r>
          <w:t>II</w:t>
        </w:r>
        <w:r>
          <w:fldChar w:fldCharType="end"/>
        </w:r>
      </w:hyperlink>
    </w:p>
    <w:p w14:paraId="043857A2" w14:textId="77777777" w:rsidR="008A4F46" w:rsidRDefault="00000000">
      <w:pPr>
        <w:pStyle w:val="TOC1"/>
        <w:tabs>
          <w:tab w:val="right" w:leader="dot" w:pos="8306"/>
        </w:tabs>
        <w:spacing w:line="360" w:lineRule="auto"/>
      </w:pPr>
      <w:hyperlink w:anchor="_Toc26562" w:history="1">
        <w:r>
          <w:rPr>
            <w:rFonts w:hint="eastAsia"/>
          </w:rPr>
          <w:t xml:space="preserve">1 </w:t>
        </w:r>
        <w:r>
          <w:rPr>
            <w:rFonts w:hint="eastAsia"/>
          </w:rPr>
          <w:t>范围</w:t>
        </w:r>
        <w:r>
          <w:tab/>
        </w:r>
        <w:r>
          <w:fldChar w:fldCharType="begin"/>
        </w:r>
        <w:r>
          <w:instrText xml:space="preserve"> PAGEREF _Toc26562 \h </w:instrText>
        </w:r>
        <w:r>
          <w:fldChar w:fldCharType="separate"/>
        </w:r>
        <w:r>
          <w:t>1</w:t>
        </w:r>
        <w:r>
          <w:fldChar w:fldCharType="end"/>
        </w:r>
      </w:hyperlink>
    </w:p>
    <w:p w14:paraId="4602F05B" w14:textId="77777777" w:rsidR="008A4F46" w:rsidRDefault="00000000">
      <w:pPr>
        <w:pStyle w:val="TOC1"/>
        <w:tabs>
          <w:tab w:val="right" w:leader="dot" w:pos="8306"/>
        </w:tabs>
        <w:spacing w:line="360" w:lineRule="auto"/>
      </w:pPr>
      <w:hyperlink w:anchor="_Toc27127" w:history="1">
        <w:r>
          <w:rPr>
            <w:rFonts w:hint="eastAsia"/>
          </w:rPr>
          <w:t xml:space="preserve">2 </w:t>
        </w:r>
        <w:r>
          <w:rPr>
            <w:rFonts w:hint="eastAsia"/>
          </w:rPr>
          <w:t>规范性引用文件</w:t>
        </w:r>
        <w:r>
          <w:tab/>
        </w:r>
        <w:r>
          <w:fldChar w:fldCharType="begin"/>
        </w:r>
        <w:r>
          <w:instrText xml:space="preserve"> PAGEREF _Toc27127 \h </w:instrText>
        </w:r>
        <w:r>
          <w:fldChar w:fldCharType="separate"/>
        </w:r>
        <w:r>
          <w:t>1</w:t>
        </w:r>
        <w:r>
          <w:fldChar w:fldCharType="end"/>
        </w:r>
      </w:hyperlink>
    </w:p>
    <w:p w14:paraId="1E007406" w14:textId="77777777" w:rsidR="008A4F46" w:rsidRDefault="00000000">
      <w:pPr>
        <w:pStyle w:val="TOC1"/>
        <w:tabs>
          <w:tab w:val="right" w:leader="dot" w:pos="8306"/>
        </w:tabs>
        <w:spacing w:line="360" w:lineRule="auto"/>
      </w:pPr>
      <w:hyperlink w:anchor="_Toc19914" w:history="1">
        <w:r>
          <w:rPr>
            <w:rFonts w:hint="eastAsia"/>
          </w:rPr>
          <w:t>3</w:t>
        </w:r>
        <w:r>
          <w:rPr>
            <w:rFonts w:hint="eastAsia"/>
          </w:rPr>
          <w:t>术语和定义</w:t>
        </w:r>
        <w:r>
          <w:tab/>
        </w:r>
        <w:r>
          <w:fldChar w:fldCharType="begin"/>
        </w:r>
        <w:r>
          <w:instrText xml:space="preserve"> PAGEREF _Toc19914 \h </w:instrText>
        </w:r>
        <w:r>
          <w:fldChar w:fldCharType="separate"/>
        </w:r>
        <w:r>
          <w:t>1</w:t>
        </w:r>
        <w:r>
          <w:fldChar w:fldCharType="end"/>
        </w:r>
      </w:hyperlink>
    </w:p>
    <w:p w14:paraId="526E877B" w14:textId="77777777" w:rsidR="008A4F46" w:rsidRDefault="00000000">
      <w:pPr>
        <w:pStyle w:val="TOC1"/>
        <w:tabs>
          <w:tab w:val="right" w:leader="dot" w:pos="8306"/>
        </w:tabs>
        <w:spacing w:line="360" w:lineRule="auto"/>
      </w:pPr>
      <w:hyperlink w:anchor="_Toc17863" w:history="1">
        <w:r>
          <w:rPr>
            <w:rFonts w:hint="eastAsia"/>
          </w:rPr>
          <w:t xml:space="preserve">4 </w:t>
        </w:r>
        <w:r>
          <w:rPr>
            <w:rFonts w:hint="eastAsia"/>
          </w:rPr>
          <w:t>选地与整地</w:t>
        </w:r>
        <w:r>
          <w:tab/>
        </w:r>
        <w:r>
          <w:fldChar w:fldCharType="begin"/>
        </w:r>
        <w:r>
          <w:instrText xml:space="preserve"> PAGEREF _Toc17863 \h </w:instrText>
        </w:r>
        <w:r>
          <w:fldChar w:fldCharType="separate"/>
        </w:r>
        <w:r>
          <w:t>2</w:t>
        </w:r>
        <w:r>
          <w:fldChar w:fldCharType="end"/>
        </w:r>
      </w:hyperlink>
    </w:p>
    <w:p w14:paraId="44355646" w14:textId="77777777" w:rsidR="008A4F46" w:rsidRDefault="00000000">
      <w:pPr>
        <w:pStyle w:val="TOC1"/>
        <w:tabs>
          <w:tab w:val="right" w:leader="dot" w:pos="8306"/>
        </w:tabs>
        <w:spacing w:line="360" w:lineRule="auto"/>
      </w:pPr>
      <w:hyperlink w:anchor="_Toc31574" w:history="1">
        <w:r>
          <w:rPr>
            <w:rFonts w:hint="eastAsia"/>
          </w:rPr>
          <w:t xml:space="preserve">5 </w:t>
        </w:r>
        <w:r>
          <w:rPr>
            <w:rFonts w:hint="eastAsia"/>
          </w:rPr>
          <w:t>播种方式</w:t>
        </w:r>
        <w:r>
          <w:tab/>
        </w:r>
        <w:r>
          <w:fldChar w:fldCharType="begin"/>
        </w:r>
        <w:r>
          <w:instrText xml:space="preserve"> PAGEREF _Toc31574 \h </w:instrText>
        </w:r>
        <w:r>
          <w:fldChar w:fldCharType="separate"/>
        </w:r>
        <w:r>
          <w:t>2</w:t>
        </w:r>
        <w:r>
          <w:fldChar w:fldCharType="end"/>
        </w:r>
      </w:hyperlink>
    </w:p>
    <w:p w14:paraId="72AD37B7" w14:textId="77777777" w:rsidR="008A4F46" w:rsidRDefault="00000000">
      <w:pPr>
        <w:pStyle w:val="TOC1"/>
        <w:tabs>
          <w:tab w:val="right" w:leader="dot" w:pos="8306"/>
        </w:tabs>
        <w:spacing w:line="360" w:lineRule="auto"/>
      </w:pPr>
      <w:hyperlink w:anchor="_Toc18296" w:history="1">
        <w:r>
          <w:rPr>
            <w:rFonts w:hint="eastAsia"/>
          </w:rPr>
          <w:t xml:space="preserve">6 </w:t>
        </w:r>
        <w:r>
          <w:rPr>
            <w:rFonts w:hint="eastAsia"/>
          </w:rPr>
          <w:t>花期调控</w:t>
        </w:r>
        <w:r>
          <w:tab/>
        </w:r>
        <w:r>
          <w:fldChar w:fldCharType="begin"/>
        </w:r>
        <w:r>
          <w:instrText xml:space="preserve"> PAGEREF _Toc18296 \h </w:instrText>
        </w:r>
        <w:r>
          <w:fldChar w:fldCharType="separate"/>
        </w:r>
        <w:r>
          <w:t>3</w:t>
        </w:r>
        <w:r>
          <w:fldChar w:fldCharType="end"/>
        </w:r>
      </w:hyperlink>
    </w:p>
    <w:p w14:paraId="6F442C8C" w14:textId="77777777" w:rsidR="008A4F46" w:rsidRDefault="00000000">
      <w:pPr>
        <w:pStyle w:val="TOC1"/>
        <w:tabs>
          <w:tab w:val="right" w:leader="dot" w:pos="8306"/>
        </w:tabs>
        <w:spacing w:line="360" w:lineRule="auto"/>
      </w:pPr>
      <w:hyperlink w:anchor="_Toc17682" w:history="1">
        <w:r>
          <w:rPr>
            <w:rFonts w:hint="eastAsia"/>
          </w:rPr>
          <w:t xml:space="preserve">7 </w:t>
        </w:r>
        <w:r>
          <w:rPr>
            <w:rFonts w:hint="eastAsia"/>
          </w:rPr>
          <w:t>田间管理</w:t>
        </w:r>
        <w:r>
          <w:tab/>
        </w:r>
        <w:r>
          <w:fldChar w:fldCharType="begin"/>
        </w:r>
        <w:r>
          <w:instrText xml:space="preserve"> PAGEREF _Toc17682 \h </w:instrText>
        </w:r>
        <w:r>
          <w:fldChar w:fldCharType="separate"/>
        </w:r>
        <w:r>
          <w:t>3</w:t>
        </w:r>
        <w:r>
          <w:fldChar w:fldCharType="end"/>
        </w:r>
      </w:hyperlink>
    </w:p>
    <w:p w14:paraId="17546209" w14:textId="77777777" w:rsidR="008A4F46" w:rsidRDefault="00000000">
      <w:pPr>
        <w:pStyle w:val="TOC1"/>
        <w:tabs>
          <w:tab w:val="right" w:leader="dot" w:pos="8306"/>
        </w:tabs>
        <w:spacing w:line="360" w:lineRule="auto"/>
      </w:pPr>
      <w:hyperlink w:anchor="_Toc27888" w:history="1">
        <w:r>
          <w:rPr>
            <w:rFonts w:hint="eastAsia"/>
          </w:rPr>
          <w:t xml:space="preserve">8 </w:t>
        </w:r>
        <w:r>
          <w:rPr>
            <w:rFonts w:hint="eastAsia"/>
          </w:rPr>
          <w:t>种子收获</w:t>
        </w:r>
        <w:r>
          <w:tab/>
        </w:r>
        <w:r>
          <w:fldChar w:fldCharType="begin"/>
        </w:r>
        <w:r>
          <w:instrText xml:space="preserve"> PAGEREF _Toc27888 \h </w:instrText>
        </w:r>
        <w:r>
          <w:fldChar w:fldCharType="separate"/>
        </w:r>
        <w:r>
          <w:t>3</w:t>
        </w:r>
        <w:r>
          <w:fldChar w:fldCharType="end"/>
        </w:r>
      </w:hyperlink>
    </w:p>
    <w:p w14:paraId="62DB1BBA" w14:textId="77777777" w:rsidR="008A4F46" w:rsidRDefault="00000000">
      <w:pPr>
        <w:pStyle w:val="TOC1"/>
        <w:tabs>
          <w:tab w:val="right" w:leader="dot" w:pos="8306"/>
        </w:tabs>
        <w:spacing w:line="360" w:lineRule="auto"/>
      </w:pPr>
      <w:hyperlink w:anchor="_Toc32582" w:history="1">
        <w:r>
          <w:rPr>
            <w:rFonts w:hint="eastAsia"/>
          </w:rPr>
          <w:t xml:space="preserve">9 </w:t>
        </w:r>
        <w:r>
          <w:rPr>
            <w:rFonts w:hint="eastAsia"/>
          </w:rPr>
          <w:t>种子贮藏与包装运输</w:t>
        </w:r>
        <w:r>
          <w:tab/>
        </w:r>
        <w:r>
          <w:fldChar w:fldCharType="begin"/>
        </w:r>
        <w:r>
          <w:instrText xml:space="preserve"> PAGEREF _Toc32582 \h </w:instrText>
        </w:r>
        <w:r>
          <w:fldChar w:fldCharType="separate"/>
        </w:r>
        <w:r>
          <w:t>3</w:t>
        </w:r>
        <w:r>
          <w:fldChar w:fldCharType="end"/>
        </w:r>
      </w:hyperlink>
    </w:p>
    <w:p w14:paraId="06DE5DDC" w14:textId="77777777" w:rsidR="008A4F46" w:rsidRDefault="00000000">
      <w:pPr>
        <w:pStyle w:val="TOC1"/>
        <w:tabs>
          <w:tab w:val="right" w:leader="dot" w:pos="8296"/>
        </w:tabs>
        <w:spacing w:line="360" w:lineRule="auto"/>
        <w:rPr>
          <w:rFonts w:asciiTheme="minorHAnsi" w:eastAsiaTheme="minorEastAsia" w:hAnsiTheme="minorHAnsi" w:cstheme="minorBidi" w:hint="eastAsia"/>
          <w:szCs w:val="22"/>
          <w14:ligatures w14:val="standardContextual"/>
        </w:rPr>
      </w:pPr>
      <w:r>
        <w:rPr>
          <w:bCs/>
          <w:lang w:val="zh-CN"/>
        </w:rPr>
        <w:fldChar w:fldCharType="end"/>
      </w:r>
    </w:p>
    <w:p w14:paraId="0BB1BB05" w14:textId="77777777" w:rsidR="008A4F46" w:rsidRDefault="008A4F46">
      <w:pPr>
        <w:spacing w:line="360" w:lineRule="auto"/>
      </w:pPr>
    </w:p>
    <w:p w14:paraId="2E79CF1A" w14:textId="77777777" w:rsidR="008A4F46" w:rsidRDefault="008A4F46">
      <w:pPr>
        <w:pStyle w:val="a7"/>
        <w:jc w:val="right"/>
      </w:pPr>
    </w:p>
    <w:p w14:paraId="622FB626" w14:textId="77777777" w:rsidR="008A4F46" w:rsidRDefault="00000000">
      <w:pPr>
        <w:pStyle w:val="a7"/>
        <w:rPr>
          <w:b w:val="0"/>
          <w:bCs w:val="0"/>
        </w:rPr>
      </w:pPr>
      <w:r>
        <w:br w:type="page"/>
      </w:r>
      <w:bookmarkStart w:id="13" w:name="_Toc31984"/>
      <w:bookmarkStart w:id="14" w:name="_Toc175908326"/>
      <w:r>
        <w:rPr>
          <w:rFonts w:hint="eastAsia"/>
          <w:b w:val="0"/>
          <w:bCs w:val="0"/>
        </w:rPr>
        <w:t>前</w:t>
      </w:r>
      <w:r>
        <w:rPr>
          <w:rFonts w:hint="eastAsia"/>
          <w:b w:val="0"/>
          <w:bCs w:val="0"/>
        </w:rPr>
        <w:t xml:space="preserve">  </w:t>
      </w:r>
      <w:r>
        <w:rPr>
          <w:rFonts w:hint="eastAsia"/>
          <w:b w:val="0"/>
          <w:bCs w:val="0"/>
        </w:rPr>
        <w:t>言</w:t>
      </w:r>
      <w:bookmarkEnd w:id="13"/>
      <w:bookmarkEnd w:id="14"/>
    </w:p>
    <w:p w14:paraId="430A3502" w14:textId="77777777" w:rsidR="008A4F46" w:rsidRDefault="00000000">
      <w:pPr>
        <w:spacing w:line="360" w:lineRule="auto"/>
        <w:ind w:firstLineChars="200" w:firstLine="420"/>
      </w:pPr>
      <w:bookmarkStart w:id="15" w:name="_Hlk191990623"/>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79A07859" w14:textId="77777777" w:rsidR="008A4F46" w:rsidRDefault="00000000">
      <w:pPr>
        <w:spacing w:line="360" w:lineRule="auto"/>
        <w:ind w:firstLineChars="200" w:firstLine="420"/>
      </w:pPr>
      <w:r>
        <w:rPr>
          <w:rFonts w:hint="eastAsia"/>
        </w:rPr>
        <w:t>注：在不引起混淆的情况下，本文件中“标准化文件”简称为“文件”。</w:t>
      </w:r>
    </w:p>
    <w:p w14:paraId="1C35DA62" w14:textId="77777777" w:rsidR="008A4F46" w:rsidRDefault="00000000">
      <w:pPr>
        <w:spacing w:line="360" w:lineRule="auto"/>
        <w:ind w:firstLineChars="200" w:firstLine="420"/>
      </w:pPr>
      <w:r>
        <w:rPr>
          <w:rFonts w:hint="eastAsia"/>
        </w:rPr>
        <w:t>本文件由北京华夏草业产业技术创新战略联盟提出并归口。</w:t>
      </w:r>
    </w:p>
    <w:p w14:paraId="59079261" w14:textId="77777777" w:rsidR="008A4F46" w:rsidRDefault="00000000">
      <w:pPr>
        <w:spacing w:line="360" w:lineRule="auto"/>
        <w:ind w:firstLineChars="200" w:firstLine="420"/>
      </w:pPr>
      <w:r>
        <w:rPr>
          <w:rFonts w:hint="eastAsia"/>
        </w:rPr>
        <w:t>本文件起草单位：四川省农业科学院农业资源与环境研究所、西昌市林业和草原局、宜宾市农业科学院、宣汉县饲草饲料工作站、四川省林业和草原发展研究中心（四川省林业和草原信息中心）。</w:t>
      </w:r>
    </w:p>
    <w:p w14:paraId="12877699" w14:textId="77777777" w:rsidR="008A4F46" w:rsidRDefault="00000000">
      <w:pPr>
        <w:spacing w:line="360" w:lineRule="auto"/>
        <w:ind w:firstLineChars="200" w:firstLine="420"/>
      </w:pPr>
      <w:r>
        <w:rPr>
          <w:rFonts w:hint="eastAsia"/>
        </w:rPr>
        <w:t>本文件主要起草人∶朱永群、刘秋旭、张健、雷佳、贺兵、段春华、程碧真、徐娅玲、李祥艳、周丽、杨林、王成、王鸿、李博、刘影、乔娅、邱婷。</w:t>
      </w:r>
    </w:p>
    <w:p w14:paraId="71DD7983" w14:textId="77777777" w:rsidR="008A4F46" w:rsidRDefault="00000000">
      <w:pPr>
        <w:spacing w:line="360" w:lineRule="auto"/>
        <w:ind w:firstLineChars="200" w:firstLine="420"/>
        <w:jc w:val="left"/>
      </w:pPr>
      <w:r>
        <w:rPr>
          <w:rFonts w:hint="eastAsia"/>
        </w:rPr>
        <w:t>本文件为首次发布。</w:t>
      </w:r>
    </w:p>
    <w:p w14:paraId="0527472D" w14:textId="77777777" w:rsidR="008A4F46" w:rsidRDefault="00000000">
      <w:pPr>
        <w:spacing w:line="360" w:lineRule="auto"/>
        <w:ind w:firstLineChars="200" w:firstLine="420"/>
        <w:jc w:val="left"/>
      </w:pPr>
      <w:r>
        <w:rPr>
          <w:rFonts w:hint="eastAsia"/>
        </w:rPr>
        <w:t>本文件的某些内容可能涉及专利。本文件的发布机构不承担识别这些专利的责任。</w:t>
      </w:r>
    </w:p>
    <w:bookmarkEnd w:id="15"/>
    <w:p w14:paraId="3FDCE1E2" w14:textId="77777777" w:rsidR="008A4F46" w:rsidRDefault="008A4F46">
      <w:pPr>
        <w:spacing w:line="360" w:lineRule="auto"/>
        <w:ind w:firstLineChars="200" w:firstLine="480"/>
        <w:jc w:val="left"/>
        <w:rPr>
          <w:sz w:val="24"/>
        </w:rPr>
        <w:sectPr w:rsidR="008A4F46">
          <w:headerReference w:type="default" r:id="rId8"/>
          <w:pgSz w:w="11906" w:h="16838"/>
          <w:pgMar w:top="1440" w:right="1800" w:bottom="1440" w:left="1800" w:header="851" w:footer="992" w:gutter="0"/>
          <w:pgNumType w:fmt="upperRoman" w:start="1"/>
          <w:cols w:space="720"/>
          <w:docGrid w:type="lines" w:linePitch="312"/>
        </w:sectPr>
      </w:pPr>
    </w:p>
    <w:p w14:paraId="2FBF6976" w14:textId="77777777" w:rsidR="008A4F46" w:rsidRDefault="00000000">
      <w:pPr>
        <w:spacing w:afterLines="100" w:after="312" w:line="360" w:lineRule="auto"/>
        <w:jc w:val="center"/>
        <w:rPr>
          <w:rFonts w:ascii="黑体" w:eastAsia="黑体" w:hAnsi="黑体" w:hint="eastAsia"/>
          <w:sz w:val="32"/>
          <w:szCs w:val="24"/>
        </w:rPr>
      </w:pPr>
      <w:r>
        <w:rPr>
          <w:rFonts w:ascii="黑体" w:eastAsia="黑体" w:hAnsi="黑体" w:hint="eastAsia"/>
          <w:sz w:val="32"/>
          <w:szCs w:val="24"/>
        </w:rPr>
        <w:t>西南地区高粱-苏丹草杂交种制种技术规程</w:t>
      </w:r>
    </w:p>
    <w:p w14:paraId="79F876A3" w14:textId="77777777" w:rsidR="008A4F46" w:rsidRDefault="00000000">
      <w:pPr>
        <w:pStyle w:val="a7"/>
        <w:spacing w:beforeLines="50" w:before="156" w:afterLines="50" w:after="156"/>
        <w:jc w:val="left"/>
        <w:rPr>
          <w:b w:val="0"/>
          <w:bCs w:val="0"/>
          <w:sz w:val="21"/>
          <w:szCs w:val="21"/>
        </w:rPr>
      </w:pPr>
      <w:bookmarkStart w:id="19" w:name="_Toc26562"/>
      <w:bookmarkStart w:id="20" w:name="_Toc175908327"/>
      <w:r>
        <w:rPr>
          <w:rFonts w:hint="eastAsia"/>
          <w:b w:val="0"/>
          <w:bCs w:val="0"/>
          <w:sz w:val="21"/>
          <w:szCs w:val="21"/>
        </w:rPr>
        <w:t xml:space="preserve">1 </w:t>
      </w:r>
      <w:r>
        <w:rPr>
          <w:rFonts w:hint="eastAsia"/>
          <w:b w:val="0"/>
          <w:bCs w:val="0"/>
          <w:sz w:val="21"/>
          <w:szCs w:val="21"/>
        </w:rPr>
        <w:t>范围</w:t>
      </w:r>
      <w:bookmarkEnd w:id="19"/>
      <w:bookmarkEnd w:id="20"/>
    </w:p>
    <w:p w14:paraId="483C5362" w14:textId="77777777" w:rsidR="008A4F46" w:rsidRDefault="00000000">
      <w:pPr>
        <w:spacing w:line="360" w:lineRule="auto"/>
        <w:ind w:firstLineChars="200" w:firstLine="420"/>
      </w:pPr>
      <w:r>
        <w:rPr>
          <w:rFonts w:hint="eastAsia"/>
        </w:rPr>
        <w:t>本技术规程规定了西南地区高粱</w:t>
      </w:r>
      <w:r>
        <w:rPr>
          <w:rFonts w:hint="eastAsia"/>
        </w:rPr>
        <w:t>-</w:t>
      </w:r>
      <w:r>
        <w:rPr>
          <w:rFonts w:hint="eastAsia"/>
        </w:rPr>
        <w:t>苏丹草杂交种制种技术的术语和定义、选地与整地、播种方式、花期调控、田间管理、种子收获、种子贮藏与包装运输的具体方法。</w:t>
      </w:r>
    </w:p>
    <w:p w14:paraId="74A97C4F" w14:textId="77777777" w:rsidR="008A4F46" w:rsidRDefault="00000000">
      <w:pPr>
        <w:spacing w:line="360" w:lineRule="auto"/>
        <w:ind w:firstLineChars="200" w:firstLine="420"/>
      </w:pPr>
      <w:r>
        <w:rPr>
          <w:rFonts w:hint="eastAsia"/>
        </w:rPr>
        <w:t>本文件适用于高粱</w:t>
      </w:r>
      <w:r>
        <w:rPr>
          <w:rFonts w:hint="eastAsia"/>
        </w:rPr>
        <w:t>-</w:t>
      </w:r>
      <w:r>
        <w:rPr>
          <w:rFonts w:hint="eastAsia"/>
        </w:rPr>
        <w:t>苏丹草杂交种的种子生产。</w:t>
      </w:r>
    </w:p>
    <w:p w14:paraId="2512DC03" w14:textId="77777777" w:rsidR="008A4F46" w:rsidRDefault="00000000">
      <w:pPr>
        <w:pStyle w:val="a7"/>
        <w:spacing w:beforeLines="50" w:before="156" w:afterLines="50" w:after="156"/>
        <w:jc w:val="left"/>
        <w:rPr>
          <w:b w:val="0"/>
          <w:bCs w:val="0"/>
          <w:sz w:val="21"/>
          <w:szCs w:val="21"/>
        </w:rPr>
      </w:pPr>
      <w:bookmarkStart w:id="21" w:name="_Toc27127"/>
      <w:r>
        <w:rPr>
          <w:rFonts w:hint="eastAsia"/>
          <w:b w:val="0"/>
          <w:bCs w:val="0"/>
          <w:sz w:val="21"/>
          <w:szCs w:val="21"/>
        </w:rPr>
        <w:t xml:space="preserve">2 </w:t>
      </w:r>
      <w:r>
        <w:rPr>
          <w:rFonts w:hint="eastAsia"/>
          <w:b w:val="0"/>
          <w:bCs w:val="0"/>
          <w:sz w:val="21"/>
          <w:szCs w:val="21"/>
        </w:rPr>
        <w:t>规范性引用文件</w:t>
      </w:r>
      <w:bookmarkEnd w:id="21"/>
    </w:p>
    <w:p w14:paraId="736E8770"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772A2C1"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 xml:space="preserve">GB 2930.1-2017 </w:t>
      </w:r>
      <w:r>
        <w:rPr>
          <w:rFonts w:hint="eastAsia"/>
          <w:kern w:val="2"/>
          <w:sz w:val="21"/>
          <w:szCs w:val="21"/>
        </w:rPr>
        <w:t>草种子检验规程</w:t>
      </w:r>
    </w:p>
    <w:p w14:paraId="259C4692"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 xml:space="preserve">GB 5084-2021 </w:t>
      </w:r>
      <w:r>
        <w:rPr>
          <w:rFonts w:hint="eastAsia"/>
          <w:kern w:val="2"/>
          <w:sz w:val="21"/>
          <w:szCs w:val="21"/>
        </w:rPr>
        <w:t>农田灌溉水质标准</w:t>
      </w:r>
    </w:p>
    <w:p w14:paraId="7F321AA0"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 xml:space="preserve">GB 6142 </w:t>
      </w:r>
      <w:r>
        <w:rPr>
          <w:rFonts w:hint="eastAsia"/>
          <w:kern w:val="2"/>
          <w:sz w:val="21"/>
          <w:szCs w:val="21"/>
        </w:rPr>
        <w:t>禾本科草种子质量分级</w:t>
      </w:r>
    </w:p>
    <w:p w14:paraId="11ADFEB1"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 xml:space="preserve">GB 15618-2018 </w:t>
      </w:r>
      <w:r>
        <w:rPr>
          <w:rFonts w:hint="eastAsia"/>
          <w:kern w:val="2"/>
          <w:sz w:val="21"/>
          <w:szCs w:val="21"/>
        </w:rPr>
        <w:t>土壤环境质量</w:t>
      </w:r>
      <w:r>
        <w:rPr>
          <w:rFonts w:hint="eastAsia"/>
          <w:kern w:val="2"/>
          <w:sz w:val="21"/>
          <w:szCs w:val="21"/>
        </w:rPr>
        <w:t xml:space="preserve"> </w:t>
      </w:r>
      <w:r>
        <w:rPr>
          <w:rFonts w:hint="eastAsia"/>
          <w:kern w:val="2"/>
          <w:sz w:val="21"/>
          <w:szCs w:val="21"/>
        </w:rPr>
        <w:t>农用地土壤污染风险管控标准（试行）</w:t>
      </w:r>
    </w:p>
    <w:p w14:paraId="771A0D01"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 xml:space="preserve">NY/T 1276-2007 </w:t>
      </w:r>
      <w:r>
        <w:rPr>
          <w:rFonts w:hint="eastAsia"/>
          <w:kern w:val="2"/>
          <w:sz w:val="21"/>
          <w:szCs w:val="21"/>
        </w:rPr>
        <w:t>农药安全使用规范</w:t>
      </w:r>
      <w:r>
        <w:rPr>
          <w:rFonts w:hint="eastAsia"/>
          <w:kern w:val="2"/>
          <w:sz w:val="21"/>
          <w:szCs w:val="21"/>
        </w:rPr>
        <w:t xml:space="preserve"> </w:t>
      </w:r>
      <w:r>
        <w:rPr>
          <w:rFonts w:hint="eastAsia"/>
          <w:kern w:val="2"/>
          <w:sz w:val="21"/>
          <w:szCs w:val="21"/>
        </w:rPr>
        <w:t>总则</w:t>
      </w:r>
    </w:p>
    <w:p w14:paraId="024254AF"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 xml:space="preserve">NY/T 1577-2007 </w:t>
      </w:r>
      <w:r>
        <w:rPr>
          <w:rFonts w:hint="eastAsia"/>
          <w:kern w:val="2"/>
          <w:sz w:val="21"/>
          <w:szCs w:val="21"/>
        </w:rPr>
        <w:t>草籽包装与标识</w:t>
      </w:r>
    </w:p>
    <w:p w14:paraId="2C74AEBC" w14:textId="77777777" w:rsidR="008A4F46" w:rsidRDefault="00000000">
      <w:pPr>
        <w:pStyle w:val="a7"/>
        <w:spacing w:beforeLines="50" w:before="156" w:afterLines="50" w:after="156"/>
        <w:jc w:val="left"/>
        <w:rPr>
          <w:b w:val="0"/>
          <w:bCs w:val="0"/>
          <w:sz w:val="21"/>
          <w:szCs w:val="21"/>
        </w:rPr>
      </w:pPr>
      <w:bookmarkStart w:id="22" w:name="_Toc19914"/>
      <w:r>
        <w:rPr>
          <w:rFonts w:hint="eastAsia"/>
          <w:b w:val="0"/>
          <w:bCs w:val="0"/>
          <w:sz w:val="21"/>
          <w:szCs w:val="21"/>
        </w:rPr>
        <w:t>3</w:t>
      </w:r>
      <w:r>
        <w:rPr>
          <w:rFonts w:hint="eastAsia"/>
          <w:b w:val="0"/>
          <w:bCs w:val="0"/>
          <w:sz w:val="21"/>
          <w:szCs w:val="21"/>
        </w:rPr>
        <w:t>术语和定义</w:t>
      </w:r>
      <w:bookmarkEnd w:id="22"/>
    </w:p>
    <w:p w14:paraId="136036F8"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下列术语和定义适用于本文件。</w:t>
      </w:r>
    </w:p>
    <w:p w14:paraId="6D29854F" w14:textId="77777777" w:rsidR="008A4F46" w:rsidRDefault="00000000">
      <w:pPr>
        <w:pStyle w:val="a7"/>
        <w:spacing w:before="60"/>
        <w:jc w:val="left"/>
        <w:rPr>
          <w:b w:val="0"/>
          <w:bCs w:val="0"/>
          <w:sz w:val="21"/>
          <w:szCs w:val="21"/>
        </w:rPr>
      </w:pPr>
      <w:bookmarkStart w:id="23" w:name="_Toc176548713"/>
      <w:bookmarkStart w:id="24" w:name="_Toc2987"/>
      <w:bookmarkStart w:id="25" w:name="_Toc26286"/>
      <w:r>
        <w:rPr>
          <w:rFonts w:hint="eastAsia"/>
          <w:b w:val="0"/>
          <w:bCs w:val="0"/>
          <w:sz w:val="21"/>
          <w:szCs w:val="21"/>
        </w:rPr>
        <w:t>3.1</w:t>
      </w:r>
      <w:r>
        <w:rPr>
          <w:rFonts w:hint="eastAsia"/>
          <w:b w:val="0"/>
          <w:bCs w:val="0"/>
          <w:sz w:val="21"/>
          <w:szCs w:val="21"/>
        </w:rPr>
        <w:t>高粱</w:t>
      </w:r>
      <w:r>
        <w:rPr>
          <w:rFonts w:hint="eastAsia"/>
          <w:b w:val="0"/>
          <w:bCs w:val="0"/>
          <w:sz w:val="21"/>
          <w:szCs w:val="21"/>
        </w:rPr>
        <w:t>-</w:t>
      </w:r>
      <w:r>
        <w:rPr>
          <w:rFonts w:hint="eastAsia"/>
          <w:b w:val="0"/>
          <w:bCs w:val="0"/>
          <w:sz w:val="21"/>
          <w:szCs w:val="21"/>
        </w:rPr>
        <w:t>苏丹草杂交种</w:t>
      </w:r>
      <w:r>
        <w:rPr>
          <w:rFonts w:hint="eastAsia"/>
          <w:b w:val="0"/>
          <w:bCs w:val="0"/>
          <w:sz w:val="21"/>
          <w:szCs w:val="21"/>
        </w:rPr>
        <w:t xml:space="preserve"> </w:t>
      </w:r>
      <w:bookmarkEnd w:id="23"/>
      <w:r>
        <w:rPr>
          <w:rFonts w:hint="eastAsia"/>
          <w:b w:val="0"/>
          <w:bCs w:val="0"/>
          <w:sz w:val="21"/>
          <w:szCs w:val="21"/>
        </w:rPr>
        <w:t>Sorghum-</w:t>
      </w:r>
      <w:proofErr w:type="spellStart"/>
      <w:r>
        <w:rPr>
          <w:rFonts w:hint="eastAsia"/>
          <w:b w:val="0"/>
          <w:bCs w:val="0"/>
          <w:sz w:val="21"/>
          <w:szCs w:val="21"/>
        </w:rPr>
        <w:t>Sudangrass</w:t>
      </w:r>
      <w:proofErr w:type="spellEnd"/>
      <w:r>
        <w:rPr>
          <w:rFonts w:hint="eastAsia"/>
          <w:b w:val="0"/>
          <w:bCs w:val="0"/>
          <w:sz w:val="21"/>
          <w:szCs w:val="21"/>
        </w:rPr>
        <w:t xml:space="preserve"> Hybrid</w:t>
      </w:r>
      <w:bookmarkEnd w:id="24"/>
      <w:bookmarkEnd w:id="25"/>
    </w:p>
    <w:p w14:paraId="6CEC10E5"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为禾本科高粱属一年生牧草，是母本高粱与父本苏丹草的杂交种，综合了高粱抗旱、抗害、耐倒伏、产草量高等特性和苏丹草分蘖性和再生性强、营养价值高、适口性好等优良特性。</w:t>
      </w:r>
    </w:p>
    <w:p w14:paraId="3751224B" w14:textId="77777777" w:rsidR="008A4F46" w:rsidRDefault="00000000">
      <w:pPr>
        <w:pStyle w:val="a7"/>
        <w:spacing w:before="60"/>
        <w:jc w:val="left"/>
        <w:rPr>
          <w:rFonts w:eastAsia="等线"/>
          <w:color w:val="333333"/>
          <w:sz w:val="30"/>
          <w:szCs w:val="30"/>
          <w:shd w:val="clear" w:color="auto" w:fill="FFFFFF"/>
        </w:rPr>
      </w:pPr>
      <w:bookmarkStart w:id="26" w:name="_Toc176548714"/>
      <w:bookmarkStart w:id="27" w:name="_Toc10953"/>
      <w:bookmarkStart w:id="28" w:name="_Toc23534"/>
      <w:r>
        <w:rPr>
          <w:rFonts w:hint="eastAsia"/>
          <w:b w:val="0"/>
          <w:bCs w:val="0"/>
          <w:sz w:val="21"/>
          <w:szCs w:val="21"/>
        </w:rPr>
        <w:t xml:space="preserve">3.2 </w:t>
      </w:r>
      <w:r>
        <w:rPr>
          <w:rFonts w:hint="eastAsia"/>
          <w:b w:val="0"/>
          <w:bCs w:val="0"/>
          <w:sz w:val="21"/>
          <w:szCs w:val="21"/>
        </w:rPr>
        <w:t>父本</w:t>
      </w:r>
      <w:r>
        <w:rPr>
          <w:rFonts w:hint="eastAsia"/>
          <w:b w:val="0"/>
          <w:bCs w:val="0"/>
          <w:sz w:val="21"/>
          <w:szCs w:val="21"/>
        </w:rPr>
        <w:t xml:space="preserve"> </w:t>
      </w:r>
      <w:bookmarkEnd w:id="26"/>
      <w:r>
        <w:rPr>
          <w:rFonts w:hint="eastAsia"/>
          <w:b w:val="0"/>
          <w:bCs w:val="0"/>
          <w:sz w:val="21"/>
          <w:szCs w:val="21"/>
        </w:rPr>
        <w:t>Male parent</w:t>
      </w:r>
      <w:bookmarkEnd w:id="27"/>
      <w:bookmarkEnd w:id="28"/>
    </w:p>
    <w:p w14:paraId="40EF7DD5"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高粱</w:t>
      </w:r>
      <w:r>
        <w:rPr>
          <w:rFonts w:hint="eastAsia"/>
          <w:kern w:val="2"/>
          <w:sz w:val="21"/>
          <w:szCs w:val="21"/>
        </w:rPr>
        <w:t>-</w:t>
      </w:r>
      <w:r>
        <w:rPr>
          <w:rFonts w:hint="eastAsia"/>
          <w:kern w:val="2"/>
          <w:sz w:val="21"/>
          <w:szCs w:val="21"/>
        </w:rPr>
        <w:t>苏丹草杂交种的父本为苏丹草。</w:t>
      </w:r>
    </w:p>
    <w:p w14:paraId="72C6AB48" w14:textId="77777777" w:rsidR="008A4F46" w:rsidRDefault="00000000">
      <w:pPr>
        <w:pStyle w:val="a7"/>
        <w:spacing w:before="60"/>
        <w:jc w:val="left"/>
        <w:rPr>
          <w:rFonts w:eastAsia="等线"/>
          <w:color w:val="333333"/>
          <w:sz w:val="30"/>
          <w:szCs w:val="30"/>
          <w:shd w:val="clear" w:color="auto" w:fill="FFFFFF"/>
        </w:rPr>
      </w:pPr>
      <w:bookmarkStart w:id="29" w:name="_Toc20259"/>
      <w:bookmarkStart w:id="30" w:name="_Toc15266"/>
      <w:r>
        <w:rPr>
          <w:rFonts w:hint="eastAsia"/>
          <w:b w:val="0"/>
          <w:bCs w:val="0"/>
          <w:sz w:val="21"/>
          <w:szCs w:val="21"/>
        </w:rPr>
        <w:t xml:space="preserve">3.3 </w:t>
      </w:r>
      <w:r>
        <w:rPr>
          <w:rFonts w:hint="eastAsia"/>
          <w:b w:val="0"/>
          <w:bCs w:val="0"/>
          <w:sz w:val="21"/>
          <w:szCs w:val="21"/>
        </w:rPr>
        <w:t>母本</w:t>
      </w:r>
      <w:r>
        <w:rPr>
          <w:rFonts w:hint="eastAsia"/>
          <w:b w:val="0"/>
          <w:bCs w:val="0"/>
          <w:sz w:val="21"/>
          <w:szCs w:val="21"/>
        </w:rPr>
        <w:t xml:space="preserve"> Female parent</w:t>
      </w:r>
      <w:bookmarkEnd w:id="29"/>
      <w:bookmarkEnd w:id="30"/>
    </w:p>
    <w:p w14:paraId="1EDCD0F2"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高粱</w:t>
      </w:r>
      <w:r>
        <w:rPr>
          <w:rFonts w:hint="eastAsia"/>
          <w:kern w:val="2"/>
          <w:sz w:val="21"/>
          <w:szCs w:val="21"/>
        </w:rPr>
        <w:t>-</w:t>
      </w:r>
      <w:r>
        <w:rPr>
          <w:rFonts w:hint="eastAsia"/>
          <w:kern w:val="2"/>
          <w:sz w:val="21"/>
          <w:szCs w:val="21"/>
        </w:rPr>
        <w:t>苏丹草杂交种的母本为高粱雄性不育系。</w:t>
      </w:r>
    </w:p>
    <w:p w14:paraId="0C7A3698" w14:textId="77777777" w:rsidR="008A4F46" w:rsidRDefault="00000000">
      <w:pPr>
        <w:pStyle w:val="a7"/>
        <w:spacing w:before="60"/>
        <w:jc w:val="left"/>
        <w:rPr>
          <w:rFonts w:eastAsia="等线"/>
          <w:color w:val="333333"/>
          <w:sz w:val="30"/>
          <w:szCs w:val="30"/>
          <w:shd w:val="clear" w:color="auto" w:fill="FFFFFF"/>
        </w:rPr>
      </w:pPr>
      <w:bookmarkStart w:id="31" w:name="_Toc1669"/>
      <w:bookmarkStart w:id="32" w:name="_Toc8314"/>
      <w:r>
        <w:rPr>
          <w:rFonts w:hint="eastAsia"/>
          <w:b w:val="0"/>
          <w:bCs w:val="0"/>
          <w:sz w:val="21"/>
          <w:szCs w:val="21"/>
        </w:rPr>
        <w:t xml:space="preserve">3.4 </w:t>
      </w:r>
      <w:r>
        <w:rPr>
          <w:rFonts w:hint="eastAsia"/>
          <w:b w:val="0"/>
          <w:bCs w:val="0"/>
          <w:sz w:val="21"/>
          <w:szCs w:val="21"/>
        </w:rPr>
        <w:t>成熟期</w:t>
      </w:r>
      <w:r>
        <w:rPr>
          <w:rFonts w:hint="eastAsia"/>
          <w:b w:val="0"/>
          <w:bCs w:val="0"/>
          <w:sz w:val="21"/>
          <w:szCs w:val="21"/>
        </w:rPr>
        <w:t xml:space="preserve"> Maturity stage</w:t>
      </w:r>
      <w:bookmarkEnd w:id="31"/>
      <w:bookmarkEnd w:id="32"/>
    </w:p>
    <w:p w14:paraId="7E63F7A3" w14:textId="77777777" w:rsidR="008A4F46" w:rsidRDefault="00000000">
      <w:pPr>
        <w:pStyle w:val="ad"/>
        <w:adjustRightInd w:val="0"/>
        <w:spacing w:line="360" w:lineRule="auto"/>
        <w:ind w:firstLine="420"/>
        <w:contextualSpacing/>
        <w:rPr>
          <w:kern w:val="2"/>
          <w:sz w:val="21"/>
          <w:szCs w:val="21"/>
        </w:rPr>
      </w:pPr>
      <w:r>
        <w:rPr>
          <w:rFonts w:hint="eastAsia"/>
          <w:kern w:val="2"/>
          <w:sz w:val="21"/>
          <w:szCs w:val="21"/>
        </w:rPr>
        <w:t>指植株</w:t>
      </w:r>
      <w:r>
        <w:rPr>
          <w:rFonts w:hint="eastAsia"/>
          <w:kern w:val="2"/>
          <w:sz w:val="21"/>
          <w:szCs w:val="21"/>
        </w:rPr>
        <w:t>80%</w:t>
      </w:r>
      <w:r>
        <w:rPr>
          <w:rFonts w:hint="eastAsia"/>
          <w:kern w:val="2"/>
          <w:sz w:val="21"/>
          <w:szCs w:val="21"/>
        </w:rPr>
        <w:t>种子成熟的时期。</w:t>
      </w:r>
    </w:p>
    <w:p w14:paraId="2FB176CD" w14:textId="77777777" w:rsidR="008A4F46" w:rsidRDefault="008A4F46">
      <w:pPr>
        <w:pStyle w:val="ad"/>
        <w:adjustRightInd w:val="0"/>
        <w:spacing w:line="360" w:lineRule="auto"/>
        <w:ind w:firstLine="420"/>
        <w:contextualSpacing/>
        <w:rPr>
          <w:kern w:val="2"/>
          <w:sz w:val="21"/>
          <w:szCs w:val="21"/>
        </w:rPr>
      </w:pPr>
    </w:p>
    <w:p w14:paraId="17F69DCA" w14:textId="77777777" w:rsidR="008A4F46" w:rsidRDefault="00000000">
      <w:pPr>
        <w:pStyle w:val="a7"/>
        <w:spacing w:beforeLines="50" w:before="156" w:afterLines="50" w:after="156"/>
        <w:jc w:val="left"/>
        <w:rPr>
          <w:b w:val="0"/>
          <w:bCs w:val="0"/>
          <w:sz w:val="21"/>
          <w:szCs w:val="21"/>
        </w:rPr>
      </w:pPr>
      <w:bookmarkStart w:id="33" w:name="_Toc17863"/>
      <w:r>
        <w:rPr>
          <w:rFonts w:hint="eastAsia"/>
          <w:b w:val="0"/>
          <w:bCs w:val="0"/>
          <w:sz w:val="21"/>
          <w:szCs w:val="21"/>
        </w:rPr>
        <w:t xml:space="preserve">4 </w:t>
      </w:r>
      <w:r>
        <w:rPr>
          <w:rFonts w:hint="eastAsia"/>
          <w:b w:val="0"/>
          <w:bCs w:val="0"/>
          <w:sz w:val="21"/>
          <w:szCs w:val="21"/>
        </w:rPr>
        <w:t>选地与整地</w:t>
      </w:r>
      <w:bookmarkEnd w:id="33"/>
    </w:p>
    <w:p w14:paraId="3CBA48A7" w14:textId="77777777" w:rsidR="008A4F46" w:rsidRDefault="00000000">
      <w:pPr>
        <w:spacing w:line="360" w:lineRule="auto"/>
        <w:ind w:firstLineChars="200" w:firstLine="420"/>
      </w:pPr>
      <w:r>
        <w:rPr>
          <w:rFonts w:hint="eastAsia"/>
        </w:rPr>
        <w:t>选择地势平坦、耕层深厚、土质肥沃、土壤肥力中、集中连片、保水保肥性能好、有灌溉条件、方便机械作业的地块。土壤环境条件应符合</w:t>
      </w:r>
      <w:r>
        <w:rPr>
          <w:rFonts w:hint="eastAsia"/>
        </w:rPr>
        <w:t>GB 15618-2018</w:t>
      </w:r>
      <w:r>
        <w:rPr>
          <w:rFonts w:hint="eastAsia"/>
        </w:rPr>
        <w:t>二级标准要求。灌溉用水水质条件应符合</w:t>
      </w:r>
      <w:r>
        <w:rPr>
          <w:rFonts w:hint="eastAsia"/>
        </w:rPr>
        <w:t>GB 5084-2021</w:t>
      </w:r>
      <w:r>
        <w:rPr>
          <w:rFonts w:hint="eastAsia"/>
        </w:rPr>
        <w:t>的要求。</w:t>
      </w:r>
    </w:p>
    <w:p w14:paraId="45A4E01E" w14:textId="13BB64F2" w:rsidR="008A4F46" w:rsidRDefault="00000000">
      <w:pPr>
        <w:spacing w:line="360" w:lineRule="auto"/>
        <w:ind w:firstLineChars="200" w:firstLine="420"/>
      </w:pPr>
      <w:r>
        <w:rPr>
          <w:rFonts w:hint="eastAsia"/>
        </w:rPr>
        <w:t>要深翻耕，整地细平，并清除所有杂草和地表杂物；翻耕深度为</w:t>
      </w:r>
      <w:r>
        <w:rPr>
          <w:rFonts w:hint="eastAsia"/>
        </w:rPr>
        <w:t>20</w:t>
      </w:r>
      <w:r>
        <w:rPr>
          <w:rFonts w:hint="eastAsia"/>
        </w:rPr>
        <w:t>～</w:t>
      </w:r>
      <w:r>
        <w:rPr>
          <w:rFonts w:hint="eastAsia"/>
        </w:rPr>
        <w:t>25 cm</w:t>
      </w:r>
      <w:r>
        <w:rPr>
          <w:rFonts w:hint="eastAsia"/>
        </w:rPr>
        <w:t>，播种前一般要求土块细碎，施入优质腐熟农家肥</w:t>
      </w:r>
      <w:r>
        <w:rPr>
          <w:rFonts w:hint="eastAsia"/>
        </w:rPr>
        <w:t>22.5 t/hm</w:t>
      </w:r>
      <w:r>
        <w:rPr>
          <w:rFonts w:hint="eastAsia"/>
          <w:vertAlign w:val="superscript"/>
        </w:rPr>
        <w:t>2</w:t>
      </w:r>
      <w:r>
        <w:rPr>
          <w:rFonts w:hint="eastAsia"/>
        </w:rPr>
        <w:t>～</w:t>
      </w:r>
      <w:r>
        <w:rPr>
          <w:rFonts w:hint="eastAsia"/>
        </w:rPr>
        <w:t>30 t/hm</w:t>
      </w:r>
      <w:r>
        <w:rPr>
          <w:rFonts w:hint="eastAsia"/>
          <w:vertAlign w:val="superscript"/>
        </w:rPr>
        <w:t>2</w:t>
      </w:r>
      <w:r>
        <w:rPr>
          <w:rFonts w:hint="eastAsia"/>
        </w:rPr>
        <w:t>或复合肥（</w:t>
      </w:r>
      <w:r>
        <w:rPr>
          <w:rFonts w:hint="eastAsia"/>
        </w:rPr>
        <w:t>N:P:K=15:15:15</w:t>
      </w:r>
      <w:r>
        <w:rPr>
          <w:rFonts w:hint="eastAsia"/>
        </w:rPr>
        <w:t>）</w:t>
      </w:r>
      <w:r>
        <w:rPr>
          <w:rFonts w:hint="eastAsia"/>
        </w:rPr>
        <w:t>450 kg/hm</w:t>
      </w:r>
      <w:r>
        <w:rPr>
          <w:rFonts w:hint="eastAsia"/>
          <w:vertAlign w:val="superscript"/>
        </w:rPr>
        <w:t>2</w:t>
      </w:r>
      <w:r>
        <w:rPr>
          <w:rFonts w:hint="eastAsia"/>
        </w:rPr>
        <w:t>～</w:t>
      </w:r>
      <w:r>
        <w:rPr>
          <w:rFonts w:hint="eastAsia"/>
        </w:rPr>
        <w:t>600 kg/hm</w:t>
      </w:r>
      <w:r>
        <w:rPr>
          <w:rFonts w:hint="eastAsia"/>
          <w:vertAlign w:val="superscript"/>
        </w:rPr>
        <w:t>2</w:t>
      </w:r>
      <w:r>
        <w:rPr>
          <w:rFonts w:hint="eastAsia"/>
        </w:rPr>
        <w:t>，结合耕地翻入土中。</w:t>
      </w:r>
    </w:p>
    <w:p w14:paraId="6B1005C1" w14:textId="77777777" w:rsidR="008A4F46" w:rsidRDefault="00000000">
      <w:pPr>
        <w:pStyle w:val="a7"/>
        <w:spacing w:beforeLines="50" w:before="156" w:afterLines="50" w:after="156"/>
        <w:jc w:val="left"/>
        <w:rPr>
          <w:b w:val="0"/>
          <w:bCs w:val="0"/>
          <w:sz w:val="21"/>
          <w:szCs w:val="21"/>
        </w:rPr>
      </w:pPr>
      <w:bookmarkStart w:id="34" w:name="_Toc31574"/>
      <w:r>
        <w:rPr>
          <w:rFonts w:hint="eastAsia"/>
          <w:b w:val="0"/>
          <w:bCs w:val="0"/>
          <w:sz w:val="21"/>
          <w:szCs w:val="21"/>
        </w:rPr>
        <w:t xml:space="preserve">5 </w:t>
      </w:r>
      <w:r>
        <w:rPr>
          <w:rFonts w:hint="eastAsia"/>
          <w:b w:val="0"/>
          <w:bCs w:val="0"/>
          <w:sz w:val="21"/>
          <w:szCs w:val="21"/>
        </w:rPr>
        <w:t>播种方式</w:t>
      </w:r>
      <w:bookmarkEnd w:id="34"/>
    </w:p>
    <w:p w14:paraId="037FDF3B" w14:textId="77777777" w:rsidR="008A4F46" w:rsidRDefault="00000000">
      <w:pPr>
        <w:spacing w:line="360" w:lineRule="auto"/>
      </w:pPr>
      <w:r>
        <w:rPr>
          <w:rFonts w:hint="eastAsia"/>
        </w:rPr>
        <w:t>5.1</w:t>
      </w:r>
      <w:r>
        <w:rPr>
          <w:rFonts w:hint="eastAsia"/>
        </w:rPr>
        <w:t>隔离：采用空间隔离时，与其他花粉来源地至少相距</w:t>
      </w:r>
      <w:r>
        <w:rPr>
          <w:rFonts w:hint="eastAsia"/>
        </w:rPr>
        <w:t>1000 m</w:t>
      </w:r>
      <w:r>
        <w:rPr>
          <w:rFonts w:hint="eastAsia"/>
        </w:rPr>
        <w:t>；采用时间隔离时，花期间隔时间应在</w:t>
      </w:r>
      <w:r>
        <w:rPr>
          <w:rFonts w:hint="eastAsia"/>
        </w:rPr>
        <w:t>20 d</w:t>
      </w:r>
      <w:r>
        <w:rPr>
          <w:rFonts w:hint="eastAsia"/>
        </w:rPr>
        <w:t>以上；制种田周围</w:t>
      </w:r>
      <w:r>
        <w:rPr>
          <w:rFonts w:hint="eastAsia"/>
        </w:rPr>
        <w:t>1000 m</w:t>
      </w:r>
      <w:r>
        <w:rPr>
          <w:rFonts w:hint="eastAsia"/>
        </w:rPr>
        <w:t>以内禁止种植高粱属植物。</w:t>
      </w:r>
    </w:p>
    <w:p w14:paraId="5054C8EF" w14:textId="77777777" w:rsidR="008A4F46" w:rsidRDefault="00000000">
      <w:pPr>
        <w:spacing w:line="360" w:lineRule="auto"/>
      </w:pPr>
      <w:r>
        <w:rPr>
          <w:rFonts w:hint="eastAsia"/>
        </w:rPr>
        <w:t>5.2</w:t>
      </w:r>
      <w:r>
        <w:rPr>
          <w:rFonts w:hint="eastAsia"/>
        </w:rPr>
        <w:t>选种：父本、母本的种子应当选择粒大饱满、整齐一致、生活力强、发芽率高的种子，精选后种子质量应符合</w:t>
      </w:r>
      <w:r>
        <w:rPr>
          <w:rFonts w:hint="eastAsia"/>
        </w:rPr>
        <w:t xml:space="preserve">GB 6142 </w:t>
      </w:r>
      <w:r>
        <w:rPr>
          <w:rFonts w:hint="eastAsia"/>
        </w:rPr>
        <w:t>禾本科草种子质量分级一级种子标准。</w:t>
      </w:r>
    </w:p>
    <w:p w14:paraId="73438971" w14:textId="77777777" w:rsidR="008A4F46" w:rsidRDefault="00000000">
      <w:pPr>
        <w:spacing w:line="360" w:lineRule="auto"/>
      </w:pPr>
      <w:r>
        <w:rPr>
          <w:rFonts w:hint="eastAsia"/>
        </w:rPr>
        <w:t>5.3</w:t>
      </w:r>
      <w:r>
        <w:rPr>
          <w:rFonts w:hint="eastAsia"/>
        </w:rPr>
        <w:t>播种时间</w:t>
      </w:r>
    </w:p>
    <w:p w14:paraId="5B055177" w14:textId="77777777" w:rsidR="008A4F46" w:rsidRDefault="00000000">
      <w:pPr>
        <w:spacing w:line="360" w:lineRule="auto"/>
      </w:pPr>
      <w:r>
        <w:rPr>
          <w:rFonts w:hint="eastAsia"/>
        </w:rPr>
        <w:t>5.3.1</w:t>
      </w:r>
      <w:r>
        <w:rPr>
          <w:rFonts w:hint="eastAsia"/>
        </w:rPr>
        <w:t>四川省成都平原及盆周山地丘陵</w:t>
      </w:r>
    </w:p>
    <w:p w14:paraId="69506EDC" w14:textId="77777777" w:rsidR="008A4F46" w:rsidRDefault="00000000">
      <w:pPr>
        <w:spacing w:line="360" w:lineRule="auto"/>
        <w:ind w:firstLineChars="200" w:firstLine="420"/>
      </w:pPr>
      <w:r>
        <w:rPr>
          <w:rFonts w:hint="eastAsia"/>
        </w:rPr>
        <w:t>一般</w:t>
      </w:r>
      <w:r>
        <w:rPr>
          <w:rFonts w:hint="eastAsia"/>
        </w:rPr>
        <w:t>4</w:t>
      </w:r>
      <w:r>
        <w:rPr>
          <w:rFonts w:hint="eastAsia"/>
        </w:rPr>
        <w:t>月上旬～</w:t>
      </w:r>
      <w:r>
        <w:rPr>
          <w:rFonts w:hint="eastAsia"/>
        </w:rPr>
        <w:t>4</w:t>
      </w:r>
      <w:r>
        <w:rPr>
          <w:rFonts w:hint="eastAsia"/>
        </w:rPr>
        <w:t>月中旬春播，地温稳定在</w:t>
      </w:r>
      <w:r>
        <w:rPr>
          <w:rFonts w:hint="eastAsia"/>
        </w:rPr>
        <w:t xml:space="preserve">15 </w:t>
      </w:r>
      <w:r>
        <w:rPr>
          <w:rFonts w:hint="eastAsia"/>
        </w:rPr>
        <w:t>℃以上即可播种，最迟不超过</w:t>
      </w:r>
      <w:r>
        <w:rPr>
          <w:rFonts w:hint="eastAsia"/>
        </w:rPr>
        <w:t>5</w:t>
      </w:r>
      <w:r>
        <w:rPr>
          <w:rFonts w:hint="eastAsia"/>
        </w:rPr>
        <w:t>月中旬；根据土壤类型，进行合理密植，行距</w:t>
      </w:r>
      <w:r>
        <w:rPr>
          <w:rFonts w:hint="eastAsia"/>
        </w:rPr>
        <w:t>50 cm</w:t>
      </w:r>
      <w:r>
        <w:rPr>
          <w:rFonts w:hint="eastAsia"/>
        </w:rPr>
        <w:t>，株距</w:t>
      </w:r>
      <w:r>
        <w:rPr>
          <w:rFonts w:hint="eastAsia"/>
        </w:rPr>
        <w:t>15 cm</w:t>
      </w:r>
      <w:r>
        <w:rPr>
          <w:rFonts w:hint="eastAsia"/>
        </w:rPr>
        <w:t>；父母本同期播种，父本、母本种植行比</w:t>
      </w:r>
      <w:r>
        <w:rPr>
          <w:rFonts w:hint="eastAsia"/>
        </w:rPr>
        <w:t>2:6</w:t>
      </w:r>
      <w:r>
        <w:rPr>
          <w:rFonts w:hint="eastAsia"/>
        </w:rPr>
        <w:t>。</w:t>
      </w:r>
    </w:p>
    <w:p w14:paraId="3D87A160" w14:textId="77777777" w:rsidR="008A4F46" w:rsidRDefault="00000000">
      <w:pPr>
        <w:spacing w:line="360" w:lineRule="auto"/>
      </w:pPr>
      <w:r>
        <w:rPr>
          <w:rFonts w:hint="eastAsia"/>
        </w:rPr>
        <w:t>5.3.2</w:t>
      </w:r>
      <w:r>
        <w:rPr>
          <w:rFonts w:hint="eastAsia"/>
        </w:rPr>
        <w:t>四川攀西地区</w:t>
      </w:r>
    </w:p>
    <w:p w14:paraId="182580AF" w14:textId="20B8899F" w:rsidR="008A4F46" w:rsidRDefault="00000000">
      <w:pPr>
        <w:spacing w:line="360" w:lineRule="auto"/>
        <w:ind w:firstLineChars="200" w:firstLine="420"/>
      </w:pPr>
      <w:r>
        <w:rPr>
          <w:rFonts w:hint="eastAsia"/>
        </w:rPr>
        <w:t>一般为</w:t>
      </w:r>
      <w:r>
        <w:rPr>
          <w:rFonts w:hint="eastAsia"/>
        </w:rPr>
        <w:t>5</w:t>
      </w:r>
      <w:r>
        <w:rPr>
          <w:rFonts w:hint="eastAsia"/>
        </w:rPr>
        <w:t>月中旬～</w:t>
      </w:r>
      <w:r>
        <w:rPr>
          <w:rFonts w:hint="eastAsia"/>
        </w:rPr>
        <w:t>5</w:t>
      </w:r>
      <w:r>
        <w:rPr>
          <w:rFonts w:hint="eastAsia"/>
        </w:rPr>
        <w:t>月下旬播种，根据土壤类型，进行合理密植，行距</w:t>
      </w:r>
      <w:r>
        <w:rPr>
          <w:rFonts w:hint="eastAsia"/>
        </w:rPr>
        <w:t>30 cm</w:t>
      </w:r>
      <w:r>
        <w:rPr>
          <w:rFonts w:hint="eastAsia"/>
        </w:rPr>
        <w:t>，株距</w:t>
      </w:r>
      <w:r>
        <w:rPr>
          <w:rFonts w:hint="eastAsia"/>
        </w:rPr>
        <w:t>28 cm</w:t>
      </w:r>
      <w:r>
        <w:rPr>
          <w:rFonts w:hint="eastAsia"/>
        </w:rPr>
        <w:t>；父本第一批单独播种，间隔</w:t>
      </w:r>
      <w:r>
        <w:rPr>
          <w:rFonts w:hint="eastAsia"/>
        </w:rPr>
        <w:t>8</w:t>
      </w:r>
      <w:r w:rsidR="007250E6">
        <w:rPr>
          <w:rFonts w:hint="eastAsia"/>
        </w:rPr>
        <w:t xml:space="preserve"> </w:t>
      </w:r>
      <w:r w:rsidR="007250E6">
        <w:rPr>
          <w:rFonts w:hint="eastAsia"/>
        </w:rPr>
        <w:t>d</w:t>
      </w:r>
      <w:r>
        <w:rPr>
          <w:rFonts w:hint="eastAsia"/>
        </w:rPr>
        <w:t>～</w:t>
      </w:r>
      <w:r>
        <w:rPr>
          <w:rFonts w:hint="eastAsia"/>
        </w:rPr>
        <w:t>10 d</w:t>
      </w:r>
      <w:r>
        <w:rPr>
          <w:rFonts w:hint="eastAsia"/>
        </w:rPr>
        <w:t>父本、母本同期播第二批，最终父母本种植行比控制在</w:t>
      </w:r>
      <w:r>
        <w:rPr>
          <w:rFonts w:hint="eastAsia"/>
        </w:rPr>
        <w:t>2:10</w:t>
      </w:r>
      <w:r>
        <w:rPr>
          <w:rFonts w:hint="eastAsia"/>
        </w:rPr>
        <w:t>。</w:t>
      </w:r>
    </w:p>
    <w:p w14:paraId="449984D7" w14:textId="77777777" w:rsidR="008A4F46" w:rsidRDefault="00000000">
      <w:pPr>
        <w:spacing w:line="360" w:lineRule="auto"/>
      </w:pPr>
      <w:r>
        <w:rPr>
          <w:rFonts w:hint="eastAsia"/>
        </w:rPr>
        <w:t>5.3.3</w:t>
      </w:r>
      <w:r>
        <w:rPr>
          <w:rFonts w:hint="eastAsia"/>
        </w:rPr>
        <w:t>贵州省</w:t>
      </w:r>
    </w:p>
    <w:p w14:paraId="3CD7761C" w14:textId="171C64DE" w:rsidR="008A4F46" w:rsidRDefault="00000000">
      <w:pPr>
        <w:spacing w:line="360" w:lineRule="auto"/>
        <w:ind w:firstLineChars="200" w:firstLine="420"/>
      </w:pPr>
      <w:r>
        <w:rPr>
          <w:rFonts w:hint="eastAsia"/>
        </w:rPr>
        <w:t>一般为</w:t>
      </w:r>
      <w:r>
        <w:rPr>
          <w:rFonts w:hint="eastAsia"/>
        </w:rPr>
        <w:t>5</w:t>
      </w:r>
      <w:r>
        <w:rPr>
          <w:rFonts w:hint="eastAsia"/>
        </w:rPr>
        <w:t>月中旬～</w:t>
      </w:r>
      <w:r>
        <w:rPr>
          <w:rFonts w:hint="eastAsia"/>
        </w:rPr>
        <w:t>5</w:t>
      </w:r>
      <w:r>
        <w:rPr>
          <w:rFonts w:hint="eastAsia"/>
        </w:rPr>
        <w:t>月下旬播种，根据土壤类型，进行合理密植，行距</w:t>
      </w:r>
      <w:r>
        <w:rPr>
          <w:rFonts w:hint="eastAsia"/>
        </w:rPr>
        <w:t>30cm</w:t>
      </w:r>
      <w:r>
        <w:rPr>
          <w:rFonts w:hint="eastAsia"/>
        </w:rPr>
        <w:t>，株距</w:t>
      </w:r>
      <w:r>
        <w:rPr>
          <w:rFonts w:hint="eastAsia"/>
        </w:rPr>
        <w:t>28cm</w:t>
      </w:r>
      <w:r>
        <w:rPr>
          <w:rFonts w:hint="eastAsia"/>
        </w:rPr>
        <w:t>；父本第一批单独播种，间隔</w:t>
      </w:r>
      <w:r>
        <w:rPr>
          <w:rFonts w:hint="eastAsia"/>
        </w:rPr>
        <w:t>8</w:t>
      </w:r>
      <w:r w:rsidR="007250E6">
        <w:rPr>
          <w:rFonts w:hint="eastAsia"/>
        </w:rPr>
        <w:t xml:space="preserve"> </w:t>
      </w:r>
      <w:r w:rsidR="007250E6">
        <w:rPr>
          <w:rFonts w:hint="eastAsia"/>
        </w:rPr>
        <w:t>d</w:t>
      </w:r>
      <w:r>
        <w:rPr>
          <w:rFonts w:hint="eastAsia"/>
        </w:rPr>
        <w:t>～</w:t>
      </w:r>
      <w:r>
        <w:rPr>
          <w:rFonts w:hint="eastAsia"/>
        </w:rPr>
        <w:t>10 d</w:t>
      </w:r>
      <w:r>
        <w:rPr>
          <w:rFonts w:hint="eastAsia"/>
        </w:rPr>
        <w:t>父本、母本同期播第二批，最终父母本种植行比控制在</w:t>
      </w:r>
      <w:r>
        <w:rPr>
          <w:rFonts w:hint="eastAsia"/>
        </w:rPr>
        <w:t>2:8</w:t>
      </w:r>
      <w:r>
        <w:rPr>
          <w:rFonts w:hint="eastAsia"/>
        </w:rPr>
        <w:t>。</w:t>
      </w:r>
    </w:p>
    <w:p w14:paraId="16870227" w14:textId="77777777" w:rsidR="008A4F46" w:rsidRDefault="00000000">
      <w:pPr>
        <w:spacing w:line="360" w:lineRule="auto"/>
      </w:pPr>
      <w:r>
        <w:rPr>
          <w:rFonts w:hint="eastAsia"/>
        </w:rPr>
        <w:t>5.3.4</w:t>
      </w:r>
      <w:r>
        <w:rPr>
          <w:rFonts w:hint="eastAsia"/>
        </w:rPr>
        <w:t>云南省南繁</w:t>
      </w:r>
    </w:p>
    <w:p w14:paraId="78497881" w14:textId="07D53538" w:rsidR="008A4F46" w:rsidRDefault="00000000">
      <w:pPr>
        <w:spacing w:line="360" w:lineRule="auto"/>
        <w:ind w:firstLineChars="200" w:firstLine="420"/>
      </w:pPr>
      <w:r>
        <w:rPr>
          <w:rFonts w:hint="eastAsia"/>
        </w:rPr>
        <w:t>在云南省南繁，一般为</w:t>
      </w:r>
      <w:r>
        <w:rPr>
          <w:rFonts w:hint="eastAsia"/>
        </w:rPr>
        <w:t>9</w:t>
      </w:r>
      <w:r>
        <w:rPr>
          <w:rFonts w:hint="eastAsia"/>
        </w:rPr>
        <w:t>月中旬～</w:t>
      </w:r>
      <w:r>
        <w:rPr>
          <w:rFonts w:hint="eastAsia"/>
        </w:rPr>
        <w:t>10</w:t>
      </w:r>
      <w:r>
        <w:rPr>
          <w:rFonts w:hint="eastAsia"/>
        </w:rPr>
        <w:t>月上旬，根据土壤类型，进行合理密植，行距</w:t>
      </w:r>
      <w:r>
        <w:rPr>
          <w:rFonts w:hint="eastAsia"/>
        </w:rPr>
        <w:t>50 cm</w:t>
      </w:r>
      <w:r>
        <w:rPr>
          <w:rFonts w:hint="eastAsia"/>
        </w:rPr>
        <w:t>，株距</w:t>
      </w:r>
      <w:r>
        <w:rPr>
          <w:rFonts w:hint="eastAsia"/>
        </w:rPr>
        <w:t>15 cm</w:t>
      </w:r>
      <w:r>
        <w:rPr>
          <w:rFonts w:hint="eastAsia"/>
        </w:rPr>
        <w:t>；父本第一批单独播种，间隔</w:t>
      </w:r>
      <w:r>
        <w:rPr>
          <w:rFonts w:hint="eastAsia"/>
        </w:rPr>
        <w:t>5</w:t>
      </w:r>
      <w:r w:rsidR="007250E6">
        <w:rPr>
          <w:rFonts w:hint="eastAsia"/>
        </w:rPr>
        <w:t xml:space="preserve"> </w:t>
      </w:r>
      <w:r w:rsidR="007250E6">
        <w:rPr>
          <w:rFonts w:hint="eastAsia"/>
        </w:rPr>
        <w:t>d</w:t>
      </w:r>
      <w:r>
        <w:rPr>
          <w:rFonts w:hint="eastAsia"/>
        </w:rPr>
        <w:t>～</w:t>
      </w:r>
      <w:r>
        <w:rPr>
          <w:rFonts w:hint="eastAsia"/>
        </w:rPr>
        <w:t>7 d</w:t>
      </w:r>
      <w:r>
        <w:rPr>
          <w:rFonts w:hint="eastAsia"/>
        </w:rPr>
        <w:t>父本、母本同期播第二批，最终父母本种植行比控制在</w:t>
      </w:r>
      <w:r>
        <w:rPr>
          <w:rFonts w:hint="eastAsia"/>
        </w:rPr>
        <w:t>2:8</w:t>
      </w:r>
      <w:r>
        <w:rPr>
          <w:rFonts w:hint="eastAsia"/>
        </w:rPr>
        <w:t>。</w:t>
      </w:r>
    </w:p>
    <w:p w14:paraId="7E50143D" w14:textId="77777777" w:rsidR="008A4F46" w:rsidRDefault="00000000">
      <w:pPr>
        <w:pStyle w:val="a7"/>
        <w:spacing w:beforeLines="50" w:before="156" w:afterLines="50" w:after="156"/>
        <w:jc w:val="left"/>
        <w:rPr>
          <w:b w:val="0"/>
          <w:bCs w:val="0"/>
          <w:sz w:val="21"/>
          <w:szCs w:val="21"/>
        </w:rPr>
      </w:pPr>
      <w:bookmarkStart w:id="35" w:name="_Toc18296"/>
      <w:bookmarkStart w:id="36" w:name="_Toc175908336"/>
      <w:r>
        <w:rPr>
          <w:rFonts w:hint="eastAsia"/>
          <w:b w:val="0"/>
          <w:bCs w:val="0"/>
          <w:sz w:val="21"/>
          <w:szCs w:val="21"/>
        </w:rPr>
        <w:t xml:space="preserve">6 </w:t>
      </w:r>
      <w:r>
        <w:rPr>
          <w:rFonts w:hint="eastAsia"/>
          <w:b w:val="0"/>
          <w:bCs w:val="0"/>
          <w:sz w:val="21"/>
          <w:szCs w:val="21"/>
        </w:rPr>
        <w:t>花期调控</w:t>
      </w:r>
      <w:bookmarkEnd w:id="35"/>
    </w:p>
    <w:p w14:paraId="7EE00423" w14:textId="77777777" w:rsidR="008A4F46" w:rsidRDefault="00000000">
      <w:pPr>
        <w:spacing w:line="360" w:lineRule="auto"/>
        <w:ind w:firstLineChars="200" w:firstLine="420"/>
      </w:pPr>
      <w:r>
        <w:rPr>
          <w:rFonts w:hint="eastAsia"/>
        </w:rPr>
        <w:t>在拔节期时，父母本花期不遇时，对花期偏晚的亲本，要采取早中耕、多中耕、</w:t>
      </w:r>
      <w:proofErr w:type="gramStart"/>
      <w:r>
        <w:rPr>
          <w:rFonts w:hint="eastAsia"/>
        </w:rPr>
        <w:t>偏水偏肥</w:t>
      </w:r>
      <w:proofErr w:type="gramEnd"/>
      <w:r>
        <w:rPr>
          <w:rFonts w:hint="eastAsia"/>
        </w:rPr>
        <w:t>、喷施生长调节剂（赤霉素、磷酸二氢钾等）措施；对花期偏早的亲本，采取减少水肥、去除功能叶片、</w:t>
      </w:r>
      <w:proofErr w:type="gramStart"/>
      <w:r>
        <w:rPr>
          <w:rFonts w:hint="eastAsia"/>
        </w:rPr>
        <w:t>除主穗等</w:t>
      </w:r>
      <w:proofErr w:type="gramEnd"/>
      <w:r>
        <w:rPr>
          <w:rFonts w:hint="eastAsia"/>
        </w:rPr>
        <w:t>措施。</w:t>
      </w:r>
    </w:p>
    <w:p w14:paraId="13BB9674" w14:textId="77777777" w:rsidR="008A4F46" w:rsidRDefault="00000000">
      <w:pPr>
        <w:spacing w:line="360" w:lineRule="auto"/>
        <w:ind w:firstLineChars="200" w:firstLine="420"/>
      </w:pPr>
      <w:r>
        <w:rPr>
          <w:rFonts w:hint="eastAsia"/>
        </w:rPr>
        <w:t>若父母本花期相遇，授粉期间有风传播花粉，则不需要人工辅助授粉；若没有</w:t>
      </w:r>
      <w:proofErr w:type="gramStart"/>
      <w:r>
        <w:rPr>
          <w:rFonts w:hint="eastAsia"/>
        </w:rPr>
        <w:t>风传播</w:t>
      </w:r>
      <w:proofErr w:type="gramEnd"/>
      <w:r>
        <w:rPr>
          <w:rFonts w:hint="eastAsia"/>
        </w:rPr>
        <w:t>花粉，则需要人工“赶花”授粉，用棍子轻轻拍打父本植株中上部，使花粉传播幅度大且均匀地与母本进行杂交。根据当地气候条件，人工辅助授粉应在上午</w:t>
      </w:r>
      <w:r>
        <w:rPr>
          <w:rFonts w:hint="eastAsia"/>
        </w:rPr>
        <w:t>8</w:t>
      </w:r>
      <w:r>
        <w:rPr>
          <w:rFonts w:hint="eastAsia"/>
        </w:rPr>
        <w:t>点至</w:t>
      </w:r>
      <w:r>
        <w:rPr>
          <w:rFonts w:hint="eastAsia"/>
        </w:rPr>
        <w:t>10</w:t>
      </w:r>
      <w:r>
        <w:rPr>
          <w:rFonts w:hint="eastAsia"/>
        </w:rPr>
        <w:t>点父本花粉活力强时进行。</w:t>
      </w:r>
    </w:p>
    <w:p w14:paraId="08F5B3D3" w14:textId="77777777" w:rsidR="008A4F46" w:rsidRDefault="00000000">
      <w:pPr>
        <w:pStyle w:val="a7"/>
        <w:spacing w:beforeLines="50" w:before="156" w:afterLines="50" w:after="156"/>
        <w:jc w:val="left"/>
        <w:rPr>
          <w:b w:val="0"/>
          <w:bCs w:val="0"/>
          <w:sz w:val="21"/>
          <w:szCs w:val="21"/>
        </w:rPr>
      </w:pPr>
      <w:bookmarkStart w:id="37" w:name="_Toc17682"/>
      <w:r>
        <w:rPr>
          <w:rFonts w:hint="eastAsia"/>
          <w:b w:val="0"/>
          <w:bCs w:val="0"/>
          <w:sz w:val="21"/>
          <w:szCs w:val="21"/>
        </w:rPr>
        <w:t xml:space="preserve">7 </w:t>
      </w:r>
      <w:r>
        <w:rPr>
          <w:rFonts w:hint="eastAsia"/>
          <w:b w:val="0"/>
          <w:bCs w:val="0"/>
          <w:sz w:val="21"/>
          <w:szCs w:val="21"/>
        </w:rPr>
        <w:t>田间管理</w:t>
      </w:r>
      <w:bookmarkEnd w:id="37"/>
    </w:p>
    <w:p w14:paraId="36E1C122" w14:textId="77777777" w:rsidR="008A4F46" w:rsidRDefault="00000000">
      <w:pPr>
        <w:spacing w:line="360" w:lineRule="auto"/>
      </w:pPr>
      <w:r>
        <w:rPr>
          <w:rFonts w:hint="eastAsia"/>
        </w:rPr>
        <w:t xml:space="preserve">7.1 </w:t>
      </w:r>
      <w:r>
        <w:rPr>
          <w:rFonts w:hint="eastAsia"/>
        </w:rPr>
        <w:t>合理灌溉：在干旱地区施土壤墒情，适当进行灌溉，有条件的地区建设排水系统，在多雨的季节引水排放，减少病害的发生。</w:t>
      </w:r>
    </w:p>
    <w:p w14:paraId="2B18186D" w14:textId="77777777" w:rsidR="008A4F46" w:rsidRDefault="00000000">
      <w:pPr>
        <w:spacing w:line="360" w:lineRule="auto"/>
      </w:pPr>
      <w:r>
        <w:rPr>
          <w:rFonts w:hint="eastAsia"/>
        </w:rPr>
        <w:t xml:space="preserve">7.2 </w:t>
      </w:r>
      <w:r>
        <w:rPr>
          <w:rFonts w:hint="eastAsia"/>
        </w:rPr>
        <w:t>施肥：根据苗情，在分孽、孕穗期分别追施尿素等速效性氮肥</w:t>
      </w:r>
      <w:r>
        <w:rPr>
          <w:rFonts w:hint="eastAsia"/>
        </w:rPr>
        <w:t>75 kg/hm</w:t>
      </w:r>
      <w:r>
        <w:rPr>
          <w:rFonts w:hint="eastAsia"/>
          <w:vertAlign w:val="superscript"/>
        </w:rPr>
        <w:t>2</w:t>
      </w:r>
      <w:r>
        <w:rPr>
          <w:rFonts w:hint="eastAsia"/>
        </w:rPr>
        <w:t>～</w:t>
      </w:r>
      <w:r>
        <w:rPr>
          <w:rFonts w:hint="eastAsia"/>
        </w:rPr>
        <w:t>150 kg/hm</w:t>
      </w:r>
      <w:r>
        <w:rPr>
          <w:rFonts w:hint="eastAsia"/>
          <w:vertAlign w:val="superscript"/>
        </w:rPr>
        <w:t>2</w:t>
      </w:r>
      <w:r>
        <w:rPr>
          <w:rFonts w:hint="eastAsia"/>
        </w:rPr>
        <w:t>，幼穗形成期可酌情施用磷肥、钾肥。</w:t>
      </w:r>
    </w:p>
    <w:p w14:paraId="4EF5ACFB" w14:textId="53B40CC6" w:rsidR="008A4F46" w:rsidRDefault="00000000">
      <w:pPr>
        <w:spacing w:line="360" w:lineRule="auto"/>
      </w:pPr>
      <w:r>
        <w:rPr>
          <w:rFonts w:hint="eastAsia"/>
        </w:rPr>
        <w:t xml:space="preserve">7.3 </w:t>
      </w:r>
      <w:r>
        <w:rPr>
          <w:rFonts w:hint="eastAsia"/>
        </w:rPr>
        <w:t>病虫害防治：常见病害为锈病、叶斑病等，常见的虫害为蚜虫和条</w:t>
      </w:r>
      <w:proofErr w:type="gramStart"/>
      <w:r>
        <w:rPr>
          <w:rFonts w:hint="eastAsia"/>
        </w:rPr>
        <w:t>螟</w:t>
      </w:r>
      <w:proofErr w:type="gramEnd"/>
      <w:r>
        <w:rPr>
          <w:rFonts w:hint="eastAsia"/>
        </w:rPr>
        <w:t>。治疗锈病可以使用</w:t>
      </w:r>
      <w:proofErr w:type="gramStart"/>
      <w:r>
        <w:rPr>
          <w:rFonts w:hint="eastAsia"/>
        </w:rPr>
        <w:t>禾果利</w:t>
      </w:r>
      <w:proofErr w:type="gramEnd"/>
      <w:r>
        <w:rPr>
          <w:rFonts w:hint="eastAsia"/>
        </w:rPr>
        <w:t>可湿性粉剂配合</w:t>
      </w:r>
      <w:r>
        <w:rPr>
          <w:rFonts w:hint="eastAsia"/>
        </w:rPr>
        <w:t>2 %</w:t>
      </w:r>
      <w:r>
        <w:rPr>
          <w:rFonts w:hint="eastAsia"/>
        </w:rPr>
        <w:t>粉锈宁乳油进行喷雾叶面治疗，或者用</w:t>
      </w:r>
      <w:r>
        <w:rPr>
          <w:rFonts w:hint="eastAsia"/>
        </w:rPr>
        <w:t>80 %</w:t>
      </w:r>
      <w:r>
        <w:rPr>
          <w:rFonts w:hint="eastAsia"/>
        </w:rPr>
        <w:t>代森锌稀释</w:t>
      </w:r>
      <w:r>
        <w:rPr>
          <w:rFonts w:hint="eastAsia"/>
        </w:rPr>
        <w:t>400</w:t>
      </w:r>
      <w:r w:rsidR="007250E6">
        <w:rPr>
          <w:rFonts w:hint="eastAsia"/>
        </w:rPr>
        <w:t>倍</w:t>
      </w:r>
      <w:r>
        <w:rPr>
          <w:rFonts w:hint="eastAsia"/>
        </w:rPr>
        <w:t>～</w:t>
      </w:r>
      <w:r>
        <w:rPr>
          <w:rFonts w:hint="eastAsia"/>
        </w:rPr>
        <w:t>600</w:t>
      </w:r>
      <w:r>
        <w:rPr>
          <w:rFonts w:hint="eastAsia"/>
        </w:rPr>
        <w:t>倍，喷施叶面。间隔</w:t>
      </w:r>
      <w:r>
        <w:rPr>
          <w:rFonts w:hint="eastAsia"/>
        </w:rPr>
        <w:t>7d</w:t>
      </w:r>
      <w:r>
        <w:rPr>
          <w:rFonts w:hint="eastAsia"/>
        </w:rPr>
        <w:t>再进行第</w:t>
      </w:r>
      <w:r>
        <w:rPr>
          <w:rFonts w:hint="eastAsia"/>
        </w:rPr>
        <w:t>2</w:t>
      </w:r>
      <w:r>
        <w:rPr>
          <w:rFonts w:hint="eastAsia"/>
        </w:rPr>
        <w:t>次治疗。防治蚜虫可以使用</w:t>
      </w:r>
      <w:r>
        <w:rPr>
          <w:rFonts w:hint="eastAsia"/>
        </w:rPr>
        <w:t>10 %</w:t>
      </w:r>
      <w:proofErr w:type="gramStart"/>
      <w:r>
        <w:rPr>
          <w:rFonts w:hint="eastAsia"/>
        </w:rPr>
        <w:t>吡</w:t>
      </w:r>
      <w:proofErr w:type="gramEnd"/>
      <w:r>
        <w:rPr>
          <w:rFonts w:hint="eastAsia"/>
        </w:rPr>
        <w:t>虫</w:t>
      </w:r>
      <w:proofErr w:type="gramStart"/>
      <w:r>
        <w:rPr>
          <w:rFonts w:hint="eastAsia"/>
        </w:rPr>
        <w:t>啉</w:t>
      </w:r>
      <w:proofErr w:type="gramEnd"/>
      <w:r>
        <w:rPr>
          <w:rFonts w:hint="eastAsia"/>
        </w:rPr>
        <w:t>超微粉剂</w:t>
      </w:r>
      <w:r>
        <w:rPr>
          <w:rFonts w:hint="eastAsia"/>
        </w:rPr>
        <w:t>2000</w:t>
      </w:r>
      <w:r>
        <w:rPr>
          <w:rFonts w:hint="eastAsia"/>
        </w:rPr>
        <w:t>倍</w:t>
      </w:r>
      <w:proofErr w:type="gramStart"/>
      <w:r>
        <w:rPr>
          <w:rFonts w:hint="eastAsia"/>
        </w:rPr>
        <w:t>液或者</w:t>
      </w:r>
      <w:proofErr w:type="gramEnd"/>
      <w:r>
        <w:rPr>
          <w:rFonts w:hint="eastAsia"/>
        </w:rPr>
        <w:t>用</w:t>
      </w:r>
      <w:r>
        <w:rPr>
          <w:rFonts w:hint="eastAsia"/>
        </w:rPr>
        <w:t>40 %</w:t>
      </w:r>
      <w:r>
        <w:rPr>
          <w:rFonts w:hint="eastAsia"/>
        </w:rPr>
        <w:t>蚜虫灵乳油</w:t>
      </w:r>
      <w:r>
        <w:rPr>
          <w:rFonts w:hint="eastAsia"/>
        </w:rPr>
        <w:t>2000</w:t>
      </w:r>
      <w:r>
        <w:rPr>
          <w:rFonts w:hint="eastAsia"/>
        </w:rPr>
        <w:t>倍液喷雾防治，用药</w:t>
      </w:r>
      <w:r>
        <w:rPr>
          <w:rFonts w:hint="eastAsia"/>
        </w:rPr>
        <w:t>2</w:t>
      </w:r>
      <w:r>
        <w:rPr>
          <w:rFonts w:hint="eastAsia"/>
        </w:rPr>
        <w:t>次，间隔</w:t>
      </w:r>
      <w:r>
        <w:rPr>
          <w:rFonts w:hint="eastAsia"/>
        </w:rPr>
        <w:t>7</w:t>
      </w:r>
      <w:r w:rsidR="007250E6">
        <w:rPr>
          <w:rFonts w:hint="eastAsia"/>
        </w:rPr>
        <w:t xml:space="preserve"> </w:t>
      </w:r>
      <w:r w:rsidR="007250E6">
        <w:rPr>
          <w:rFonts w:hint="eastAsia"/>
        </w:rPr>
        <w:t>d</w:t>
      </w:r>
      <w:r>
        <w:rPr>
          <w:rFonts w:hint="eastAsia"/>
        </w:rPr>
        <w:t>～</w:t>
      </w:r>
      <w:r>
        <w:rPr>
          <w:rFonts w:hint="eastAsia"/>
        </w:rPr>
        <w:t>10 d</w:t>
      </w:r>
      <w:r>
        <w:rPr>
          <w:rFonts w:hint="eastAsia"/>
        </w:rPr>
        <w:t>。药物使用按</w:t>
      </w:r>
      <w:r>
        <w:rPr>
          <w:rFonts w:hint="eastAsia"/>
        </w:rPr>
        <w:t>NY/T 1276-2007</w:t>
      </w:r>
      <w:r>
        <w:rPr>
          <w:rFonts w:hint="eastAsia"/>
        </w:rPr>
        <w:t>的规定执行。</w:t>
      </w:r>
    </w:p>
    <w:p w14:paraId="18BE0630" w14:textId="77777777" w:rsidR="008A4F46" w:rsidRDefault="00000000">
      <w:pPr>
        <w:pStyle w:val="a7"/>
        <w:spacing w:beforeLines="50" w:before="156" w:afterLines="50" w:after="156"/>
        <w:jc w:val="left"/>
        <w:rPr>
          <w:b w:val="0"/>
          <w:bCs w:val="0"/>
          <w:sz w:val="21"/>
          <w:szCs w:val="21"/>
        </w:rPr>
      </w:pPr>
      <w:bookmarkStart w:id="38" w:name="_Toc27888"/>
      <w:r>
        <w:rPr>
          <w:rFonts w:hint="eastAsia"/>
          <w:b w:val="0"/>
          <w:bCs w:val="0"/>
          <w:sz w:val="21"/>
          <w:szCs w:val="21"/>
        </w:rPr>
        <w:t xml:space="preserve">8 </w:t>
      </w:r>
      <w:r>
        <w:rPr>
          <w:rFonts w:hint="eastAsia"/>
          <w:b w:val="0"/>
          <w:bCs w:val="0"/>
          <w:sz w:val="21"/>
          <w:szCs w:val="21"/>
        </w:rPr>
        <w:t>种子收获</w:t>
      </w:r>
      <w:bookmarkEnd w:id="38"/>
    </w:p>
    <w:p w14:paraId="78A81091" w14:textId="77777777" w:rsidR="008A4F46" w:rsidRDefault="00000000">
      <w:pPr>
        <w:spacing w:line="360" w:lineRule="auto"/>
      </w:pPr>
      <w:r>
        <w:rPr>
          <w:rFonts w:hint="eastAsia"/>
        </w:rPr>
        <w:t xml:space="preserve">8.1 </w:t>
      </w:r>
      <w:r>
        <w:rPr>
          <w:rFonts w:hint="eastAsia"/>
        </w:rPr>
        <w:t>收获时期：当</w:t>
      </w:r>
      <w:r>
        <w:rPr>
          <w:rFonts w:hint="eastAsia"/>
        </w:rPr>
        <w:t>80 %</w:t>
      </w:r>
      <w:r>
        <w:rPr>
          <w:rFonts w:hint="eastAsia"/>
        </w:rPr>
        <w:t>植株种子进入蜡熟后期时，为种子收获的最适期。</w:t>
      </w:r>
    </w:p>
    <w:p w14:paraId="10117F5A" w14:textId="77777777" w:rsidR="008A4F46" w:rsidRDefault="00000000">
      <w:pPr>
        <w:spacing w:line="360" w:lineRule="auto"/>
      </w:pPr>
      <w:r>
        <w:rPr>
          <w:rFonts w:hint="eastAsia"/>
        </w:rPr>
        <w:t xml:space="preserve">8.2 </w:t>
      </w:r>
      <w:r>
        <w:rPr>
          <w:rFonts w:hint="eastAsia"/>
        </w:rPr>
        <w:t>晾晒干燥：收获后及时晾晒或采用机械干燥处理，含水量不超过</w:t>
      </w:r>
      <w:r>
        <w:rPr>
          <w:rFonts w:hint="eastAsia"/>
        </w:rPr>
        <w:t>14 %</w:t>
      </w:r>
      <w:r>
        <w:rPr>
          <w:rFonts w:hint="eastAsia"/>
        </w:rPr>
        <w:t>。</w:t>
      </w:r>
    </w:p>
    <w:p w14:paraId="66548ED3" w14:textId="77777777" w:rsidR="008A4F46" w:rsidRDefault="00000000">
      <w:pPr>
        <w:spacing w:line="360" w:lineRule="auto"/>
      </w:pPr>
      <w:r>
        <w:rPr>
          <w:rFonts w:hint="eastAsia"/>
        </w:rPr>
        <w:t xml:space="preserve">8.3 </w:t>
      </w:r>
      <w:r>
        <w:rPr>
          <w:rFonts w:hint="eastAsia"/>
        </w:rPr>
        <w:t>清选与分级：</w:t>
      </w:r>
      <w:proofErr w:type="gramStart"/>
      <w:r>
        <w:rPr>
          <w:rFonts w:hint="eastAsia"/>
        </w:rPr>
        <w:t>用风筛清选</w:t>
      </w:r>
      <w:proofErr w:type="gramEnd"/>
      <w:r>
        <w:rPr>
          <w:rFonts w:hint="eastAsia"/>
        </w:rPr>
        <w:t>和机械清选，种子质量至少达到二级及以上标准。分级按照</w:t>
      </w:r>
      <w:r>
        <w:rPr>
          <w:rFonts w:hint="eastAsia"/>
        </w:rPr>
        <w:t>GB 6142</w:t>
      </w:r>
      <w:r>
        <w:rPr>
          <w:rFonts w:hint="eastAsia"/>
        </w:rPr>
        <w:t>执行。</w:t>
      </w:r>
    </w:p>
    <w:p w14:paraId="5A58B74A" w14:textId="77777777" w:rsidR="008A4F46" w:rsidRDefault="00000000">
      <w:pPr>
        <w:pStyle w:val="a7"/>
        <w:spacing w:beforeLines="50" w:before="156" w:afterLines="50" w:after="156"/>
        <w:jc w:val="left"/>
        <w:rPr>
          <w:b w:val="0"/>
          <w:bCs w:val="0"/>
          <w:sz w:val="21"/>
          <w:szCs w:val="21"/>
        </w:rPr>
      </w:pPr>
      <w:bookmarkStart w:id="39" w:name="_Toc32582"/>
      <w:r>
        <w:rPr>
          <w:rFonts w:hint="eastAsia"/>
          <w:b w:val="0"/>
          <w:bCs w:val="0"/>
          <w:sz w:val="21"/>
          <w:szCs w:val="21"/>
        </w:rPr>
        <w:t xml:space="preserve">9 </w:t>
      </w:r>
      <w:r>
        <w:rPr>
          <w:rFonts w:hint="eastAsia"/>
          <w:b w:val="0"/>
          <w:bCs w:val="0"/>
          <w:sz w:val="21"/>
          <w:szCs w:val="21"/>
        </w:rPr>
        <w:t>种子贮藏与包装运输</w:t>
      </w:r>
      <w:bookmarkEnd w:id="39"/>
    </w:p>
    <w:p w14:paraId="7BC40144" w14:textId="77777777" w:rsidR="008A4F46" w:rsidRDefault="00000000">
      <w:pPr>
        <w:spacing w:line="360" w:lineRule="auto"/>
      </w:pPr>
      <w:r>
        <w:rPr>
          <w:rFonts w:hint="eastAsia"/>
        </w:rPr>
        <w:t xml:space="preserve">9.1 </w:t>
      </w:r>
      <w:r>
        <w:rPr>
          <w:rFonts w:hint="eastAsia"/>
        </w:rPr>
        <w:t>种子检验：对种子的品种名称、种质来源、种植年限、种植地块、收获时间、纯净度、生活力、发芽率、含水量等指标进行检验。检验按照</w:t>
      </w:r>
      <w:r>
        <w:rPr>
          <w:rFonts w:hint="eastAsia"/>
        </w:rPr>
        <w:t>GB T 2930.1-2017</w:t>
      </w:r>
      <w:r>
        <w:rPr>
          <w:rFonts w:hint="eastAsia"/>
        </w:rPr>
        <w:t>执行。</w:t>
      </w:r>
    </w:p>
    <w:p w14:paraId="05D93DF6" w14:textId="77777777" w:rsidR="008A4F46" w:rsidRDefault="00000000">
      <w:pPr>
        <w:spacing w:line="360" w:lineRule="auto"/>
      </w:pPr>
      <w:r>
        <w:rPr>
          <w:rFonts w:hint="eastAsia"/>
        </w:rPr>
        <w:t>9.2</w:t>
      </w:r>
      <w:r>
        <w:rPr>
          <w:rFonts w:hint="eastAsia"/>
        </w:rPr>
        <w:t>种子贮藏：贮藏前种子水分含量控制在</w:t>
      </w:r>
      <w:r>
        <w:rPr>
          <w:rFonts w:hint="eastAsia"/>
        </w:rPr>
        <w:t>12%</w:t>
      </w:r>
      <w:r>
        <w:rPr>
          <w:rFonts w:hint="eastAsia"/>
        </w:rPr>
        <w:t>～</w:t>
      </w:r>
      <w:r>
        <w:rPr>
          <w:rFonts w:hint="eastAsia"/>
        </w:rPr>
        <w:t>13%</w:t>
      </w:r>
      <w:r>
        <w:rPr>
          <w:rFonts w:hint="eastAsia"/>
        </w:rPr>
        <w:t>，入库前贮库用磷化铝片剂熏蒸杀菌杀虫，用量为每吨种子</w:t>
      </w:r>
      <w:r>
        <w:rPr>
          <w:rFonts w:hint="eastAsia"/>
        </w:rPr>
        <w:t>5</w:t>
      </w:r>
      <w:r>
        <w:rPr>
          <w:rFonts w:hint="eastAsia"/>
        </w:rPr>
        <w:t>片，每片重量为</w:t>
      </w:r>
      <w:r>
        <w:rPr>
          <w:rFonts w:hint="eastAsia"/>
        </w:rPr>
        <w:t>3.2</w:t>
      </w:r>
      <w:r>
        <w:rPr>
          <w:rFonts w:hint="eastAsia"/>
        </w:rPr>
        <w:t>克（</w:t>
      </w:r>
      <w:proofErr w:type="spellStart"/>
      <w:r>
        <w:rPr>
          <w:rFonts w:hint="eastAsia"/>
        </w:rPr>
        <w:t>AlP</w:t>
      </w:r>
      <w:proofErr w:type="spellEnd"/>
      <w:r>
        <w:rPr>
          <w:rFonts w:hint="eastAsia"/>
        </w:rPr>
        <w:t>含量</w:t>
      </w:r>
      <w:r>
        <w:rPr>
          <w:rFonts w:hint="eastAsia"/>
        </w:rPr>
        <w:t>56%</w:t>
      </w:r>
      <w:r>
        <w:rPr>
          <w:rFonts w:hint="eastAsia"/>
        </w:rPr>
        <w:t>）；入库后注意通风换气、防虫防鼠并定期检查。药物使用按</w:t>
      </w:r>
      <w:r>
        <w:rPr>
          <w:rFonts w:hint="eastAsia"/>
        </w:rPr>
        <w:t>NY/T 1276-2007</w:t>
      </w:r>
      <w:r>
        <w:rPr>
          <w:rFonts w:hint="eastAsia"/>
        </w:rPr>
        <w:t>的规定执行。</w:t>
      </w:r>
    </w:p>
    <w:p w14:paraId="541A05C9" w14:textId="77777777" w:rsidR="008A4F46" w:rsidRDefault="00000000">
      <w:pPr>
        <w:spacing w:line="360" w:lineRule="auto"/>
      </w:pPr>
      <w:r>
        <w:rPr>
          <w:rFonts w:hint="eastAsia"/>
        </w:rPr>
        <w:t xml:space="preserve">9.3 </w:t>
      </w:r>
      <w:r>
        <w:rPr>
          <w:rFonts w:hint="eastAsia"/>
        </w:rPr>
        <w:t>种子包装：种子包装上应有明确的品种、等级、重量、生产日期、产地等标志。</w:t>
      </w:r>
      <w:bookmarkStart w:id="40" w:name="_Hlk154757506"/>
      <w:r>
        <w:rPr>
          <w:rFonts w:hint="eastAsia"/>
        </w:rPr>
        <w:t>按照</w:t>
      </w:r>
      <w:r>
        <w:rPr>
          <w:rFonts w:hint="eastAsia"/>
        </w:rPr>
        <w:t>NY/T 1577-2007</w:t>
      </w:r>
      <w:r>
        <w:rPr>
          <w:rFonts w:hint="eastAsia"/>
        </w:rPr>
        <w:t>执行。</w:t>
      </w:r>
      <w:bookmarkEnd w:id="40"/>
    </w:p>
    <w:p w14:paraId="56C0EBAD" w14:textId="77777777" w:rsidR="008A4F46" w:rsidRDefault="00000000">
      <w:pPr>
        <w:spacing w:line="360" w:lineRule="auto"/>
        <w:rPr>
          <w:rFonts w:ascii="宋体" w:hAnsi="宋体" w:hint="eastAsia"/>
          <w:color w:val="000000"/>
          <w:sz w:val="22"/>
        </w:rPr>
      </w:pPr>
      <w:r>
        <w:rPr>
          <w:rFonts w:hint="eastAsia"/>
        </w:rPr>
        <w:t xml:space="preserve">9.4 </w:t>
      </w:r>
      <w:r>
        <w:rPr>
          <w:rFonts w:hint="eastAsia"/>
        </w:rPr>
        <w:t>种子运输：种子运输过程中一定要注意包装的完好程度，注意防雨、防火。严禁与易燃物、可燃物、酸类或化学品等混装混运。</w:t>
      </w:r>
    </w:p>
    <w:bookmarkEnd w:id="36"/>
    <w:p w14:paraId="5416DDAC" w14:textId="61553C70" w:rsidR="008A4F46" w:rsidRDefault="007250E6" w:rsidP="007250E6">
      <w:pPr>
        <w:spacing w:line="360" w:lineRule="auto"/>
        <w:jc w:val="center"/>
        <w:rPr>
          <w:u w:val="single"/>
        </w:rPr>
      </w:pPr>
      <w:r>
        <w:rPr>
          <w:noProof/>
          <w:u w:val="single"/>
        </w:rPr>
        <mc:AlternateContent>
          <mc:Choice Requires="wps">
            <w:drawing>
              <wp:anchor distT="0" distB="0" distL="114300" distR="114300" simplePos="0" relativeHeight="251659264" behindDoc="0" locked="0" layoutInCell="1" allowOverlap="1" wp14:anchorId="1DFC8109" wp14:editId="3FDCEF01">
                <wp:simplePos x="0" y="0"/>
                <wp:positionH relativeFrom="column">
                  <wp:posOffset>1516380</wp:posOffset>
                </wp:positionH>
                <wp:positionV relativeFrom="paragraph">
                  <wp:posOffset>198120</wp:posOffset>
                </wp:positionV>
                <wp:extent cx="2903220" cy="0"/>
                <wp:effectExtent l="0" t="0" r="0" b="0"/>
                <wp:wrapNone/>
                <wp:docPr id="1196589880" name="直接连接符 1"/>
                <wp:cNvGraphicFramePr/>
                <a:graphic xmlns:a="http://schemas.openxmlformats.org/drawingml/2006/main">
                  <a:graphicData uri="http://schemas.microsoft.com/office/word/2010/wordprocessingShape">
                    <wps:wsp>
                      <wps:cNvCnPr/>
                      <wps:spPr>
                        <a:xfrm flipV="1">
                          <a:off x="0" y="0"/>
                          <a:ext cx="2903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C1DD6" id="直接连接符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pt,15.6pt" to="34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" strokecolor="black [3200]" strokeweight=".5pt">
                <v:stroke joinstyle="miter"/>
              </v:line>
            </w:pict>
          </mc:Fallback>
        </mc:AlternateContent>
      </w:r>
    </w:p>
    <w:p w14:paraId="57E78B30" w14:textId="77777777" w:rsidR="008A4F46" w:rsidRDefault="008A4F46"/>
    <w:sectPr w:rsidR="008A4F46">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A8443" w14:textId="77777777" w:rsidR="00A32A50" w:rsidRDefault="00A32A50">
      <w:r>
        <w:separator/>
      </w:r>
    </w:p>
  </w:endnote>
  <w:endnote w:type="continuationSeparator" w:id="0">
    <w:p w14:paraId="5BCFDB71" w14:textId="77777777" w:rsidR="00A32A50" w:rsidRDefault="00A3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BDDE" w14:textId="77777777" w:rsidR="008A4F46" w:rsidRDefault="00000000">
    <w:pPr>
      <w:pStyle w:val="a3"/>
      <w:jc w:val="right"/>
      <w:rPr>
        <w:rFonts w:hint="eastAsia"/>
      </w:rPr>
    </w:pPr>
    <w:r>
      <w:fldChar w:fldCharType="begin"/>
    </w:r>
    <w:r>
      <w:instrText>PAGE   \* MERGEFORMAT</w:instrText>
    </w:r>
    <w:r>
      <w:fldChar w:fldCharType="separate"/>
    </w:r>
    <w:r>
      <w:rPr>
        <w:lang w:val="zh-CN"/>
      </w:rPr>
      <w:t>2</w:t>
    </w:r>
    <w:r>
      <w:fldChar w:fldCharType="end"/>
    </w:r>
  </w:p>
  <w:p w14:paraId="2B67D9C6" w14:textId="77777777" w:rsidR="008A4F46" w:rsidRDefault="008A4F46">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BCCA" w14:textId="77777777" w:rsidR="008A4F46" w:rsidRDefault="00000000">
    <w:pPr>
      <w:pStyle w:val="a3"/>
      <w:jc w:val="right"/>
      <w:rPr>
        <w:rFonts w:hint="eastAsia"/>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185D34E7" w14:textId="77777777" w:rsidR="008A4F46" w:rsidRDefault="008A4F46">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F3B00" w14:textId="77777777" w:rsidR="00A32A50" w:rsidRDefault="00A32A50">
      <w:r>
        <w:separator/>
      </w:r>
    </w:p>
  </w:footnote>
  <w:footnote w:type="continuationSeparator" w:id="0">
    <w:p w14:paraId="777517CC" w14:textId="77777777" w:rsidR="00A32A50" w:rsidRDefault="00A3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6456" w14:textId="77777777" w:rsidR="008A4F46" w:rsidRDefault="00000000">
    <w:pPr>
      <w:spacing w:before="18" w:line="177" w:lineRule="auto"/>
      <w:ind w:right="9"/>
      <w:jc w:val="right"/>
      <w:rPr>
        <w:rFonts w:ascii="黑体" w:eastAsia="黑体" w:hAnsi="黑体" w:cs="黑体" w:hint="eastAsia"/>
      </w:rPr>
    </w:pPr>
    <w:bookmarkStart w:id="16" w:name="_Hlk191990397"/>
    <w:bookmarkStart w:id="17" w:name="_Hlk191990383"/>
    <w:bookmarkStart w:id="18" w:name="_Hlk191990384"/>
    <w:r>
      <w:rPr>
        <w:rFonts w:ascii="黑体" w:eastAsia="黑体" w:hAnsi="黑体" w:cs="黑体" w:hint="eastAsia"/>
        <w:b/>
        <w:bCs/>
        <w:spacing w:val="-2"/>
      </w:rPr>
      <w:t>T/</w:t>
    </w:r>
    <w:r>
      <w:rPr>
        <w:rFonts w:ascii="黑体" w:eastAsia="黑体" w:hAnsi="黑体" w:cs="黑体"/>
        <w:b/>
        <w:bCs/>
        <w:spacing w:val="-2"/>
      </w:rPr>
      <w:t>HXCY</w:t>
    </w:r>
    <w:r>
      <w:rPr>
        <w:rFonts w:ascii="黑体" w:eastAsia="黑体" w:hAnsi="黑体" w:cs="黑体"/>
        <w:spacing w:val="-2"/>
      </w:rPr>
      <w:t xml:space="preserve"> </w:t>
    </w:r>
    <w:r>
      <w:rPr>
        <w:rFonts w:ascii="黑体" w:eastAsia="黑体" w:hAnsi="黑体" w:cs="黑体" w:hint="eastAsia"/>
        <w:b/>
        <w:bCs/>
        <w:spacing w:val="-2"/>
      </w:rPr>
      <w:t>XX</w:t>
    </w:r>
    <w:bookmarkEnd w:id="16"/>
    <w:r>
      <w:rPr>
        <w:rFonts w:eastAsia="Times New Roman"/>
        <w:b/>
        <w:bCs/>
        <w:spacing w:val="-2"/>
      </w:rPr>
      <w:t>—</w:t>
    </w:r>
    <w:r>
      <w:rPr>
        <w:rFonts w:ascii="黑体" w:eastAsia="黑体" w:hAnsi="黑体" w:cs="黑体"/>
        <w:b/>
        <w:bCs/>
        <w:spacing w:val="-2"/>
      </w:rPr>
      <w:t>202</w:t>
    </w:r>
    <w:r>
      <w:rPr>
        <w:rFonts w:ascii="黑体" w:eastAsia="黑体" w:hAnsi="黑体" w:cs="黑体" w:hint="eastAsia"/>
        <w:b/>
        <w:bCs/>
        <w:spacing w:val="-2"/>
      </w:rPr>
      <w:t>5</w:t>
    </w:r>
    <w:bookmarkEnd w:id="17"/>
    <w:bookmarkEnd w:id="1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kMzVhNTA1NWMzZDc0MDk3Nzc1ODUzODEwMDUwODEifQ=="/>
  </w:docVars>
  <w:rsids>
    <w:rsidRoot w:val="000E21A2"/>
    <w:rsid w:val="000B507C"/>
    <w:rsid w:val="000C0178"/>
    <w:rsid w:val="000D0210"/>
    <w:rsid w:val="000E21A2"/>
    <w:rsid w:val="000F5E4D"/>
    <w:rsid w:val="0011005D"/>
    <w:rsid w:val="001760B7"/>
    <w:rsid w:val="001A678E"/>
    <w:rsid w:val="00221E78"/>
    <w:rsid w:val="00235211"/>
    <w:rsid w:val="00240CC7"/>
    <w:rsid w:val="0026591D"/>
    <w:rsid w:val="002B1B5F"/>
    <w:rsid w:val="002C20A3"/>
    <w:rsid w:val="002F7826"/>
    <w:rsid w:val="00343558"/>
    <w:rsid w:val="0036166E"/>
    <w:rsid w:val="003B591D"/>
    <w:rsid w:val="00433637"/>
    <w:rsid w:val="0048222D"/>
    <w:rsid w:val="004A1BCC"/>
    <w:rsid w:val="004B6CCE"/>
    <w:rsid w:val="00513183"/>
    <w:rsid w:val="005D71B4"/>
    <w:rsid w:val="00642F4D"/>
    <w:rsid w:val="006603BF"/>
    <w:rsid w:val="006C6DB6"/>
    <w:rsid w:val="007016E5"/>
    <w:rsid w:val="0072339B"/>
    <w:rsid w:val="007250E6"/>
    <w:rsid w:val="00766462"/>
    <w:rsid w:val="00796CFC"/>
    <w:rsid w:val="007B60E4"/>
    <w:rsid w:val="00800B21"/>
    <w:rsid w:val="008135BF"/>
    <w:rsid w:val="0089788F"/>
    <w:rsid w:val="008A1E2C"/>
    <w:rsid w:val="008A4F46"/>
    <w:rsid w:val="008C06AD"/>
    <w:rsid w:val="0098674A"/>
    <w:rsid w:val="00A0303E"/>
    <w:rsid w:val="00A20224"/>
    <w:rsid w:val="00A3136A"/>
    <w:rsid w:val="00A32A50"/>
    <w:rsid w:val="00A46C32"/>
    <w:rsid w:val="00A8031A"/>
    <w:rsid w:val="00AE1D8B"/>
    <w:rsid w:val="00B260D1"/>
    <w:rsid w:val="00BB44E5"/>
    <w:rsid w:val="00BD5B38"/>
    <w:rsid w:val="00C10621"/>
    <w:rsid w:val="00C94D66"/>
    <w:rsid w:val="00D05E45"/>
    <w:rsid w:val="00D13638"/>
    <w:rsid w:val="00DC7CC1"/>
    <w:rsid w:val="00DE1F5B"/>
    <w:rsid w:val="00E0543C"/>
    <w:rsid w:val="00E16386"/>
    <w:rsid w:val="00E86C0A"/>
    <w:rsid w:val="00EF65D7"/>
    <w:rsid w:val="00F32177"/>
    <w:rsid w:val="00FD7B68"/>
    <w:rsid w:val="012433B5"/>
    <w:rsid w:val="03AA7B5F"/>
    <w:rsid w:val="04C42EA2"/>
    <w:rsid w:val="056C5A14"/>
    <w:rsid w:val="05A625A8"/>
    <w:rsid w:val="05B24F0D"/>
    <w:rsid w:val="07033ECF"/>
    <w:rsid w:val="070D4D1D"/>
    <w:rsid w:val="07724E37"/>
    <w:rsid w:val="07A900BB"/>
    <w:rsid w:val="080A5070"/>
    <w:rsid w:val="09152574"/>
    <w:rsid w:val="095A2ED7"/>
    <w:rsid w:val="09C3065B"/>
    <w:rsid w:val="0AA3355A"/>
    <w:rsid w:val="0C0A26E6"/>
    <w:rsid w:val="0C131555"/>
    <w:rsid w:val="0FCB1589"/>
    <w:rsid w:val="10D03F34"/>
    <w:rsid w:val="1111423B"/>
    <w:rsid w:val="12A14823"/>
    <w:rsid w:val="135A2147"/>
    <w:rsid w:val="14AD5701"/>
    <w:rsid w:val="159E329B"/>
    <w:rsid w:val="16493207"/>
    <w:rsid w:val="16F545EE"/>
    <w:rsid w:val="179B7A92"/>
    <w:rsid w:val="17B1375A"/>
    <w:rsid w:val="17DA70CC"/>
    <w:rsid w:val="19193365"/>
    <w:rsid w:val="1A745A40"/>
    <w:rsid w:val="1ABB66F9"/>
    <w:rsid w:val="1ACB4B33"/>
    <w:rsid w:val="1BAE5BFE"/>
    <w:rsid w:val="1BCF41AF"/>
    <w:rsid w:val="1E30357D"/>
    <w:rsid w:val="20323B69"/>
    <w:rsid w:val="212D7C2F"/>
    <w:rsid w:val="21837328"/>
    <w:rsid w:val="218B0B78"/>
    <w:rsid w:val="21AD6D40"/>
    <w:rsid w:val="21D87D59"/>
    <w:rsid w:val="21FF23D6"/>
    <w:rsid w:val="2250591D"/>
    <w:rsid w:val="23FE79FB"/>
    <w:rsid w:val="249E0BC2"/>
    <w:rsid w:val="27ED433A"/>
    <w:rsid w:val="28604C1E"/>
    <w:rsid w:val="2AB0164F"/>
    <w:rsid w:val="2CA35012"/>
    <w:rsid w:val="2FB219C5"/>
    <w:rsid w:val="315F16D9"/>
    <w:rsid w:val="320F33F3"/>
    <w:rsid w:val="32F1614B"/>
    <w:rsid w:val="33353039"/>
    <w:rsid w:val="33CA3782"/>
    <w:rsid w:val="345E036E"/>
    <w:rsid w:val="34F07BA1"/>
    <w:rsid w:val="36D44B3E"/>
    <w:rsid w:val="37DA5F5D"/>
    <w:rsid w:val="380B25BB"/>
    <w:rsid w:val="39A05497"/>
    <w:rsid w:val="39FA5B24"/>
    <w:rsid w:val="3A0045B7"/>
    <w:rsid w:val="3AC25832"/>
    <w:rsid w:val="3B6A56AF"/>
    <w:rsid w:val="3CE5162C"/>
    <w:rsid w:val="3E3E224C"/>
    <w:rsid w:val="3F9D61EE"/>
    <w:rsid w:val="3FF90B0A"/>
    <w:rsid w:val="408C61FB"/>
    <w:rsid w:val="40DF691A"/>
    <w:rsid w:val="4190546D"/>
    <w:rsid w:val="424B26B5"/>
    <w:rsid w:val="42984CC3"/>
    <w:rsid w:val="43E95E59"/>
    <w:rsid w:val="455D3F88"/>
    <w:rsid w:val="484C255F"/>
    <w:rsid w:val="48C911E0"/>
    <w:rsid w:val="49BE6FF3"/>
    <w:rsid w:val="4D5C1497"/>
    <w:rsid w:val="4D683655"/>
    <w:rsid w:val="4DDD6DE8"/>
    <w:rsid w:val="4EC76BAD"/>
    <w:rsid w:val="50BE09AE"/>
    <w:rsid w:val="51DA0C16"/>
    <w:rsid w:val="5218167A"/>
    <w:rsid w:val="52B94C95"/>
    <w:rsid w:val="539574B0"/>
    <w:rsid w:val="53C26B6E"/>
    <w:rsid w:val="53E21FCA"/>
    <w:rsid w:val="556424D0"/>
    <w:rsid w:val="55BD4A9D"/>
    <w:rsid w:val="561843C9"/>
    <w:rsid w:val="56332FB1"/>
    <w:rsid w:val="575F72A0"/>
    <w:rsid w:val="583A1747"/>
    <w:rsid w:val="584414A5"/>
    <w:rsid w:val="594C6863"/>
    <w:rsid w:val="5A2D7B6F"/>
    <w:rsid w:val="5AD15D41"/>
    <w:rsid w:val="5B105E32"/>
    <w:rsid w:val="5B6F4A8B"/>
    <w:rsid w:val="5BFF491F"/>
    <w:rsid w:val="5E50284E"/>
    <w:rsid w:val="5E622D10"/>
    <w:rsid w:val="5E9D5548"/>
    <w:rsid w:val="5EE65064"/>
    <w:rsid w:val="5FD21144"/>
    <w:rsid w:val="62F0596F"/>
    <w:rsid w:val="65173194"/>
    <w:rsid w:val="655F3BBF"/>
    <w:rsid w:val="65E027F7"/>
    <w:rsid w:val="67C2230C"/>
    <w:rsid w:val="68D02BEC"/>
    <w:rsid w:val="692C5D69"/>
    <w:rsid w:val="69923B2C"/>
    <w:rsid w:val="6A2E78BF"/>
    <w:rsid w:val="6A4D41E9"/>
    <w:rsid w:val="6CEE3336"/>
    <w:rsid w:val="6DB225B5"/>
    <w:rsid w:val="6FBD6CAE"/>
    <w:rsid w:val="6FC9117A"/>
    <w:rsid w:val="70472F9A"/>
    <w:rsid w:val="712612F0"/>
    <w:rsid w:val="729A01E8"/>
    <w:rsid w:val="73B07597"/>
    <w:rsid w:val="74406B6D"/>
    <w:rsid w:val="74A717E7"/>
    <w:rsid w:val="75D27C98"/>
    <w:rsid w:val="77423580"/>
    <w:rsid w:val="78C0261C"/>
    <w:rsid w:val="78FB7506"/>
    <w:rsid w:val="79C2508F"/>
    <w:rsid w:val="7C2235AF"/>
    <w:rsid w:val="7D0821F2"/>
    <w:rsid w:val="7DF74136"/>
    <w:rsid w:val="7E3D56B9"/>
    <w:rsid w:val="7E3E094F"/>
    <w:rsid w:val="7E8835EA"/>
    <w:rsid w:val="7F2E3582"/>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C69F"/>
  <w15:docId w15:val="{E22C1E38-8036-46C1-B9FF-746DD14B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等线" w:eastAsia="等线" w:hAnsi="等线"/>
      <w:sz w:val="18"/>
      <w:szCs w:val="18"/>
    </w:rPr>
  </w:style>
  <w:style w:type="paragraph" w:styleId="a5">
    <w:name w:val="header"/>
    <w:basedOn w:val="a"/>
    <w:link w:val="a6"/>
    <w:uiPriority w:val="99"/>
    <w:unhideWhenUsed/>
    <w:qFormat/>
    <w:pPr>
      <w:tabs>
        <w:tab w:val="center" w:pos="4153"/>
        <w:tab w:val="right" w:pos="8306"/>
      </w:tabs>
      <w:snapToGrid w:val="0"/>
      <w:jc w:val="center"/>
    </w:pPr>
    <w:rPr>
      <w:rFonts w:ascii="等线" w:eastAsia="等线" w:hAnsi="等线"/>
      <w:sz w:val="18"/>
      <w:szCs w:val="18"/>
    </w:rPr>
  </w:style>
  <w:style w:type="paragraph" w:styleId="TOC1">
    <w:name w:val="toc 1"/>
    <w:basedOn w:val="a"/>
    <w:next w:val="a"/>
    <w:uiPriority w:val="39"/>
    <w:unhideWhenUsed/>
    <w:qFormat/>
  </w:style>
  <w:style w:type="paragraph" w:styleId="a7">
    <w:name w:val="Title"/>
    <w:basedOn w:val="a"/>
    <w:next w:val="a"/>
    <w:link w:val="a8"/>
    <w:uiPriority w:val="10"/>
    <w:qFormat/>
    <w:pPr>
      <w:spacing w:before="240" w:after="60"/>
      <w:jc w:val="center"/>
      <w:outlineLvl w:val="0"/>
    </w:pPr>
    <w:rPr>
      <w:rFonts w:eastAsia="黑体"/>
      <w:b/>
      <w:bCs/>
      <w:sz w:val="32"/>
      <w:szCs w:val="32"/>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uiPriority w:val="99"/>
    <w:unhideWhenUsed/>
    <w:qFormat/>
    <w:rPr>
      <w:color w:val="467886"/>
      <w:u w:val="single"/>
    </w:rPr>
  </w:style>
  <w:style w:type="character" w:customStyle="1" w:styleId="10">
    <w:name w:val="标题 1 字符"/>
    <w:link w:val="1"/>
    <w:uiPriority w:val="9"/>
    <w:qFormat/>
    <w:rPr>
      <w:rFonts w:ascii="Times New Roman" w:eastAsia="黑体" w:hAnsi="Times New Roman" w:cs="Times New Roman"/>
      <w:b/>
      <w:bCs/>
      <w:kern w:val="44"/>
      <w:sz w:val="32"/>
      <w:szCs w:val="44"/>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character" w:customStyle="1" w:styleId="a8">
    <w:name w:val="标题 字符"/>
    <w:link w:val="a7"/>
    <w:uiPriority w:val="10"/>
    <w:qFormat/>
    <w:rPr>
      <w:rFonts w:ascii="Times New Roman" w:eastAsia="黑体" w:hAnsi="Times New Roman" w:cs="Times New Roman"/>
      <w:b/>
      <w:bCs/>
      <w:sz w:val="32"/>
      <w:szCs w:val="32"/>
    </w:rPr>
  </w:style>
  <w:style w:type="paragraph" w:customStyle="1" w:styleId="11">
    <w:name w:val="样式1"/>
    <w:basedOn w:val="1"/>
    <w:link w:val="12"/>
    <w:qFormat/>
  </w:style>
  <w:style w:type="character" w:customStyle="1" w:styleId="12">
    <w:name w:val="样式1 字符"/>
    <w:link w:val="11"/>
    <w:qFormat/>
    <w:rPr>
      <w:rFonts w:ascii="Times New Roman" w:eastAsia="黑体" w:hAnsi="Times New Roman" w:cs="Times New Roman"/>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0F4761"/>
      <w:kern w:val="0"/>
      <w:szCs w:val="32"/>
    </w:rPr>
  </w:style>
  <w:style w:type="paragraph" w:customStyle="1" w:styleId="13">
    <w:name w:val="修订1"/>
    <w:hidden/>
    <w:uiPriority w:val="99"/>
    <w:unhideWhenUsed/>
    <w:qFormat/>
    <w:rPr>
      <w:kern w:val="2"/>
      <w:sz w:val="21"/>
      <w:szCs w:val="21"/>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Bodytext1">
    <w:name w:val="Body text|1"/>
    <w:basedOn w:val="a"/>
    <w:qFormat/>
    <w:pPr>
      <w:spacing w:after="310" w:line="326" w:lineRule="auto"/>
      <w:ind w:firstLine="400"/>
    </w:pPr>
    <w:rPr>
      <w:rFonts w:ascii="宋体" w:hAnsi="宋体" w:cs="宋体"/>
      <w:sz w:val="40"/>
      <w:szCs w:val="40"/>
      <w:lang w:val="zh-TW" w:eastAsia="zh-TW" w:bidi="zh-TW"/>
    </w:rPr>
  </w:style>
  <w:style w:type="paragraph" w:customStyle="1" w:styleId="Bodytext2">
    <w:name w:val="Body text|2"/>
    <w:basedOn w:val="a"/>
    <w:qFormat/>
    <w:pPr>
      <w:spacing w:after="200" w:line="620" w:lineRule="exact"/>
    </w:pPr>
    <w:rPr>
      <w:rFonts w:ascii="Calibri" w:hAnsi="Calibri"/>
      <w:sz w:val="42"/>
      <w:szCs w:val="42"/>
    </w:rPr>
  </w:style>
  <w:style w:type="paragraph" w:customStyle="1" w:styleId="ac">
    <w:name w:val="标准文件_段"/>
    <w:link w:val="Char"/>
    <w:autoRedefine/>
    <w:qFormat/>
    <w:pPr>
      <w:autoSpaceDE w:val="0"/>
      <w:autoSpaceDN w:val="0"/>
      <w:ind w:firstLineChars="200" w:firstLine="200"/>
      <w:jc w:val="both"/>
    </w:pPr>
    <w:rPr>
      <w:rFonts w:ascii="宋体"/>
      <w:sz w:val="21"/>
    </w:rPr>
  </w:style>
  <w:style w:type="paragraph" w:customStyle="1" w:styleId="ad">
    <w:name w:val="段"/>
    <w:link w:val="Char0"/>
    <w:autoRedefine/>
    <w:qFormat/>
    <w:pPr>
      <w:tabs>
        <w:tab w:val="center" w:pos="4201"/>
        <w:tab w:val="right" w:leader="dot" w:pos="9298"/>
      </w:tabs>
      <w:autoSpaceDE w:val="0"/>
      <w:autoSpaceDN w:val="0"/>
      <w:ind w:firstLineChars="200" w:firstLine="560"/>
      <w:jc w:val="both"/>
    </w:pPr>
    <w:rPr>
      <w:sz w:val="28"/>
      <w:szCs w:val="28"/>
    </w:rPr>
  </w:style>
  <w:style w:type="character" w:customStyle="1" w:styleId="Char0">
    <w:name w:val="段 Char"/>
    <w:link w:val="ad"/>
    <w:autoRedefine/>
    <w:qFormat/>
    <w:rPr>
      <w:sz w:val="28"/>
      <w:szCs w:val="28"/>
    </w:rPr>
  </w:style>
  <w:style w:type="paragraph" w:customStyle="1" w:styleId="ae">
    <w:name w:val="一级条标题"/>
    <w:next w:val="ad"/>
    <w:autoRedefine/>
    <w:qFormat/>
    <w:pPr>
      <w:ind w:firstLineChars="200" w:firstLine="560"/>
    </w:pPr>
    <w:rPr>
      <w:sz w:val="28"/>
      <w:szCs w:val="28"/>
    </w:rPr>
  </w:style>
  <w:style w:type="paragraph" w:customStyle="1" w:styleId="af">
    <w:name w:val="标准文件_三级无标题"/>
    <w:basedOn w:val="a"/>
    <w:autoRedefine/>
    <w:qFormat/>
    <w:pPr>
      <w:widowControl/>
      <w:ind w:firstLineChars="200" w:firstLine="560"/>
    </w:pPr>
    <w:rPr>
      <w:kern w:val="0"/>
      <w:sz w:val="28"/>
      <w:szCs w:val="28"/>
    </w:rPr>
  </w:style>
  <w:style w:type="paragraph" w:customStyle="1" w:styleId="af0">
    <w:name w:val="二级条标题"/>
    <w:basedOn w:val="ae"/>
    <w:next w:val="ad"/>
    <w:autoRedefine/>
    <w:qFormat/>
    <w:pPr>
      <w:spacing w:beforeLines="50" w:before="50" w:afterLines="50" w:after="50"/>
      <w:outlineLvl w:val="3"/>
    </w:pPr>
    <w:rPr>
      <w:rFonts w:ascii="黑体" w:eastAsia="黑体"/>
      <w:sz w:val="21"/>
      <w:szCs w:val="21"/>
    </w:rPr>
  </w:style>
  <w:style w:type="paragraph" w:customStyle="1" w:styleId="af1">
    <w:name w:val="标准文件_标准正文"/>
    <w:basedOn w:val="a"/>
    <w:next w:val="ac"/>
    <w:autoRedefine/>
    <w:qFormat/>
    <w:pPr>
      <w:adjustRightInd w:val="0"/>
      <w:snapToGrid w:val="0"/>
      <w:spacing w:line="400" w:lineRule="exact"/>
      <w:ind w:firstLineChars="200" w:firstLine="200"/>
    </w:pPr>
    <w:rPr>
      <w:rFonts w:ascii="Calibri" w:hAnsi="Calibri"/>
      <w:kern w:val="0"/>
    </w:rPr>
  </w:style>
  <w:style w:type="paragraph" w:customStyle="1" w:styleId="af2">
    <w:name w:val="标准文件_正文公式"/>
    <w:basedOn w:val="a"/>
    <w:next w:val="af1"/>
    <w:autoRedefine/>
    <w:qFormat/>
    <w:pPr>
      <w:tabs>
        <w:tab w:val="center" w:pos="4678"/>
        <w:tab w:val="right" w:leader="middleDot" w:pos="9356"/>
      </w:tabs>
      <w:adjustRightInd w:val="0"/>
    </w:pPr>
    <w:rPr>
      <w:rFonts w:ascii="宋体" w:hAnsi="宋体"/>
    </w:rPr>
  </w:style>
  <w:style w:type="character" w:customStyle="1" w:styleId="Char">
    <w:name w:val="标准文件_段 Char"/>
    <w:link w:val="ac"/>
    <w:autoRedefine/>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9A00-F121-4738-94B1-01EB095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1769</Words>
  <Characters>2089</Characters>
  <Application>Microsoft Office Word</Application>
  <DocSecurity>0</DocSecurity>
  <Lines>104</Lines>
  <Paragraphs>104</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jiamin zhang</dc:creator>
  <cp:lastModifiedBy>ThinkPad</cp:lastModifiedBy>
  <cp:revision>11</cp:revision>
  <dcterms:created xsi:type="dcterms:W3CDTF">2024-09-06T12:59:00Z</dcterms:created>
  <dcterms:modified xsi:type="dcterms:W3CDTF">2025-05-13T03:53:00Z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7F8483597D704661ABF7F497416EC453_13</vt:lpwstr>
  </property>
  <property fmtid="{D5CDD505-2E9C-101B-9397-08002B2CF9AE}" pid="4" name="KSOTemplateDocerSaveRecord">
    <vt:lpwstr>eyJoZGlkIjoiZmMzYWE3M2UyNWFhYTgyODYxMTkyZGQyZjkxMDg4YzkiLCJ1c2VySWQiOiIyNDM3MjM1MCJ9</vt:lpwstr>
  </property>
</Properties>
</file>