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9CF1" w14:textId="77777777" w:rsidR="00642B34" w:rsidRPr="00E1210E" w:rsidRDefault="00642B34" w:rsidP="00642B34">
      <w:pPr>
        <w:spacing w:line="360" w:lineRule="auto"/>
        <w:jc w:val="center"/>
        <w:rPr>
          <w:rFonts w:ascii="Times New Roman" w:eastAsia="宋体" w:hAnsi="Times New Roman" w:cs="Times New Roman"/>
          <w:bCs/>
          <w:sz w:val="52"/>
          <w:szCs w:val="52"/>
        </w:rPr>
      </w:pPr>
    </w:p>
    <w:p w14:paraId="6115CDA6" w14:textId="77777777" w:rsidR="00642B34" w:rsidRPr="00E1210E" w:rsidRDefault="00642B34" w:rsidP="00642B34">
      <w:pPr>
        <w:spacing w:line="360" w:lineRule="auto"/>
        <w:jc w:val="center"/>
        <w:rPr>
          <w:rFonts w:ascii="Times New Roman" w:eastAsia="宋体" w:hAnsi="Times New Roman" w:cs="Times New Roman"/>
          <w:bCs/>
          <w:sz w:val="52"/>
          <w:szCs w:val="52"/>
        </w:rPr>
      </w:pPr>
    </w:p>
    <w:p w14:paraId="1C7F3C23" w14:textId="77777777" w:rsidR="00642B34" w:rsidRPr="00E1210E" w:rsidRDefault="00642B34" w:rsidP="00642B34">
      <w:pPr>
        <w:spacing w:line="360" w:lineRule="auto"/>
        <w:jc w:val="center"/>
        <w:rPr>
          <w:rFonts w:ascii="Times New Roman" w:eastAsia="宋体" w:hAnsi="Times New Roman" w:cs="Times New Roman"/>
          <w:bCs/>
          <w:sz w:val="52"/>
          <w:szCs w:val="52"/>
        </w:rPr>
      </w:pPr>
    </w:p>
    <w:p w14:paraId="5832D498" w14:textId="77777777" w:rsidR="00642B34" w:rsidRPr="00E1210E" w:rsidRDefault="00642B34" w:rsidP="00642B34">
      <w:pPr>
        <w:spacing w:line="360" w:lineRule="auto"/>
        <w:jc w:val="center"/>
        <w:rPr>
          <w:rFonts w:ascii="Times New Roman" w:eastAsia="宋体" w:hAnsi="Times New Roman" w:cs="Times New Roman"/>
          <w:bCs/>
          <w:sz w:val="52"/>
          <w:szCs w:val="52"/>
        </w:rPr>
      </w:pPr>
    </w:p>
    <w:p w14:paraId="3112A8CE" w14:textId="77777777" w:rsidR="00642B34" w:rsidRDefault="00642B34" w:rsidP="00642B34">
      <w:pPr>
        <w:jc w:val="center"/>
        <w:rPr>
          <w:rFonts w:ascii="宋体" w:eastAsia="宋体" w:hAnsi="宋体" w:cs="Times New Roman" w:hint="eastAsia"/>
          <w:sz w:val="52"/>
          <w:szCs w:val="52"/>
        </w:rPr>
      </w:pPr>
      <w:r w:rsidRPr="00E1210E">
        <w:rPr>
          <w:rFonts w:ascii="宋体" w:eastAsia="宋体" w:hAnsi="宋体" w:cs="Times New Roman"/>
          <w:sz w:val="52"/>
          <w:szCs w:val="52"/>
        </w:rPr>
        <w:t>团</w:t>
      </w:r>
      <w:r w:rsidRPr="00E1210E">
        <w:rPr>
          <w:rFonts w:ascii="宋体" w:eastAsia="宋体" w:hAnsi="宋体" w:cs="Times New Roman" w:hint="eastAsia"/>
          <w:sz w:val="52"/>
          <w:szCs w:val="52"/>
        </w:rPr>
        <w:t xml:space="preserve"> </w:t>
      </w:r>
      <w:r w:rsidRPr="00E1210E">
        <w:rPr>
          <w:rFonts w:ascii="宋体" w:eastAsia="宋体" w:hAnsi="宋体" w:cs="Times New Roman"/>
          <w:sz w:val="52"/>
          <w:szCs w:val="52"/>
        </w:rPr>
        <w:t>体</w:t>
      </w:r>
      <w:r w:rsidRPr="00E1210E">
        <w:rPr>
          <w:rFonts w:ascii="宋体" w:eastAsia="宋体" w:hAnsi="宋体" w:cs="Times New Roman" w:hint="eastAsia"/>
          <w:sz w:val="52"/>
          <w:szCs w:val="52"/>
        </w:rPr>
        <w:t xml:space="preserve"> </w:t>
      </w:r>
      <w:r w:rsidRPr="00E1210E">
        <w:rPr>
          <w:rFonts w:ascii="宋体" w:eastAsia="宋体" w:hAnsi="宋体" w:cs="Times New Roman"/>
          <w:sz w:val="52"/>
          <w:szCs w:val="52"/>
        </w:rPr>
        <w:t>标</w:t>
      </w:r>
      <w:r w:rsidRPr="00E1210E">
        <w:rPr>
          <w:rFonts w:ascii="宋体" w:eastAsia="宋体" w:hAnsi="宋体" w:cs="Times New Roman" w:hint="eastAsia"/>
          <w:sz w:val="52"/>
          <w:szCs w:val="52"/>
        </w:rPr>
        <w:t xml:space="preserve"> </w:t>
      </w:r>
      <w:r w:rsidRPr="00E1210E">
        <w:rPr>
          <w:rFonts w:ascii="宋体" w:eastAsia="宋体" w:hAnsi="宋体" w:cs="Times New Roman"/>
          <w:sz w:val="52"/>
          <w:szCs w:val="52"/>
        </w:rPr>
        <w:t>准</w:t>
      </w:r>
    </w:p>
    <w:p w14:paraId="7CA10797" w14:textId="77777777" w:rsidR="00E1210E" w:rsidRPr="009944CB" w:rsidRDefault="00E1210E" w:rsidP="00642B34">
      <w:pPr>
        <w:jc w:val="center"/>
        <w:rPr>
          <w:rFonts w:ascii="宋体" w:eastAsia="宋体" w:hAnsi="宋体" w:cs="Times New Roman" w:hint="eastAsia"/>
          <w:sz w:val="52"/>
          <w:szCs w:val="52"/>
        </w:rPr>
      </w:pPr>
    </w:p>
    <w:p w14:paraId="1C45E730" w14:textId="73EBCEA8" w:rsidR="00642B34" w:rsidRPr="00E1210E" w:rsidRDefault="00642B34" w:rsidP="00E1210E">
      <w:pPr>
        <w:spacing w:line="360" w:lineRule="auto"/>
        <w:ind w:leftChars="-250" w:left="-525" w:rightChars="-350" w:right="-735"/>
        <w:jc w:val="center"/>
        <w:rPr>
          <w:rFonts w:ascii="黑体" w:eastAsia="黑体" w:hAnsi="黑体" w:cs="Times New Roman" w:hint="eastAsia"/>
          <w:sz w:val="44"/>
          <w:szCs w:val="44"/>
        </w:rPr>
      </w:pPr>
      <w:bookmarkStart w:id="0" w:name="_Hlk198026862"/>
      <w:r w:rsidRPr="00E1210E">
        <w:rPr>
          <w:rFonts w:ascii="黑体" w:eastAsia="黑体" w:hAnsi="黑体" w:cs="Times New Roman"/>
          <w:sz w:val="44"/>
          <w:szCs w:val="44"/>
          <w14:ligatures w14:val="none"/>
        </w:rPr>
        <w:t>《</w:t>
      </w:r>
      <w:r w:rsidR="00A40417" w:rsidRPr="00E1210E">
        <w:rPr>
          <w:rFonts w:ascii="黑体" w:eastAsia="黑体" w:hAnsi="黑体" w:cs="Times New Roman" w:hint="eastAsia"/>
          <w:sz w:val="44"/>
          <w:szCs w:val="44"/>
          <w14:ligatures w14:val="none"/>
        </w:rPr>
        <w:t>柠条锦鸡儿饲料原料分类与质量分级</w:t>
      </w:r>
      <w:r w:rsidRPr="00E1210E">
        <w:rPr>
          <w:rFonts w:ascii="黑体" w:eastAsia="黑体" w:hAnsi="黑体" w:cs="Times New Roman" w:hint="eastAsia"/>
          <w:sz w:val="44"/>
          <w:szCs w:val="44"/>
          <w14:ligatures w14:val="none"/>
        </w:rPr>
        <w:t>》</w:t>
      </w:r>
    </w:p>
    <w:bookmarkEnd w:id="0"/>
    <w:p w14:paraId="40C2D708" w14:textId="77777777" w:rsidR="00642B34" w:rsidRPr="00E1210E" w:rsidRDefault="00642B34" w:rsidP="00E1210E">
      <w:pPr>
        <w:spacing w:beforeLines="100" w:before="312" w:afterLines="100" w:after="312" w:line="480" w:lineRule="auto"/>
        <w:jc w:val="center"/>
        <w:rPr>
          <w:rFonts w:ascii="黑体" w:eastAsia="黑体" w:hAnsi="黑体" w:cs="Times New Roman" w:hint="eastAsia"/>
          <w:sz w:val="44"/>
          <w:szCs w:val="44"/>
          <w14:ligatures w14:val="none"/>
        </w:rPr>
      </w:pPr>
      <w:r w:rsidRPr="00E1210E">
        <w:rPr>
          <w:rFonts w:ascii="黑体" w:eastAsia="黑体" w:hAnsi="黑体" w:cs="Times New Roman" w:hint="eastAsia"/>
          <w:sz w:val="44"/>
          <w:szCs w:val="44"/>
          <w14:ligatures w14:val="none"/>
        </w:rPr>
        <w:t>编制说明</w:t>
      </w:r>
    </w:p>
    <w:p w14:paraId="0DC02966" w14:textId="77777777" w:rsidR="00642B34" w:rsidRPr="009962C1" w:rsidRDefault="00642B34" w:rsidP="00642B34">
      <w:pPr>
        <w:spacing w:line="360" w:lineRule="auto"/>
        <w:jc w:val="center"/>
        <w:rPr>
          <w:rFonts w:ascii="Times New Roman" w:eastAsia="宋体" w:hAnsi="Times New Roman" w:cs="Times New Roman"/>
          <w:bCs/>
          <w:sz w:val="36"/>
          <w:szCs w:val="36"/>
        </w:rPr>
      </w:pPr>
    </w:p>
    <w:p w14:paraId="2000D937" w14:textId="77777777" w:rsidR="00642B34" w:rsidRPr="009962C1" w:rsidRDefault="00642B34" w:rsidP="00642B34">
      <w:pPr>
        <w:spacing w:line="360" w:lineRule="auto"/>
        <w:jc w:val="center"/>
        <w:rPr>
          <w:rFonts w:ascii="Times New Roman" w:eastAsia="宋体" w:hAnsi="Times New Roman" w:cs="Times New Roman"/>
          <w:bCs/>
          <w:sz w:val="36"/>
          <w:szCs w:val="36"/>
        </w:rPr>
      </w:pPr>
    </w:p>
    <w:p w14:paraId="5B99DE6F" w14:textId="77777777" w:rsidR="00642B34" w:rsidRPr="009962C1" w:rsidRDefault="00642B34" w:rsidP="00642B34">
      <w:pPr>
        <w:spacing w:line="360" w:lineRule="auto"/>
        <w:jc w:val="center"/>
        <w:rPr>
          <w:rFonts w:ascii="Times New Roman" w:eastAsia="宋体" w:hAnsi="Times New Roman" w:cs="Times New Roman"/>
          <w:bCs/>
          <w:sz w:val="36"/>
          <w:szCs w:val="36"/>
        </w:rPr>
      </w:pPr>
    </w:p>
    <w:p w14:paraId="38F71ECB" w14:textId="77777777" w:rsidR="00642B34" w:rsidRPr="009962C1" w:rsidRDefault="00642B34" w:rsidP="00642B34">
      <w:pPr>
        <w:spacing w:line="360" w:lineRule="auto"/>
        <w:jc w:val="center"/>
        <w:rPr>
          <w:rFonts w:ascii="Times New Roman" w:eastAsia="宋体" w:hAnsi="Times New Roman" w:cs="Times New Roman"/>
          <w:bCs/>
          <w:sz w:val="36"/>
          <w:szCs w:val="36"/>
        </w:rPr>
      </w:pPr>
    </w:p>
    <w:p w14:paraId="7B651CBF" w14:textId="77777777" w:rsidR="00642B34" w:rsidRPr="009962C1" w:rsidRDefault="00642B34" w:rsidP="00642B34">
      <w:pPr>
        <w:spacing w:line="360" w:lineRule="auto"/>
        <w:jc w:val="center"/>
        <w:rPr>
          <w:rFonts w:ascii="Times New Roman" w:eastAsia="宋体" w:hAnsi="Times New Roman" w:cs="Times New Roman"/>
          <w:bCs/>
          <w:sz w:val="36"/>
          <w:szCs w:val="36"/>
        </w:rPr>
      </w:pPr>
    </w:p>
    <w:p w14:paraId="710CC4C5" w14:textId="77777777" w:rsidR="00642B34" w:rsidRPr="009962C1" w:rsidRDefault="00642B34" w:rsidP="00642B34">
      <w:pPr>
        <w:spacing w:line="360" w:lineRule="auto"/>
        <w:jc w:val="center"/>
        <w:rPr>
          <w:rFonts w:ascii="Times New Roman" w:eastAsia="宋体" w:hAnsi="Times New Roman" w:cs="Times New Roman"/>
          <w:bCs/>
          <w:sz w:val="36"/>
          <w:szCs w:val="36"/>
        </w:rPr>
      </w:pPr>
    </w:p>
    <w:p w14:paraId="11E59D4D" w14:textId="77777777" w:rsidR="00642B34" w:rsidRPr="009962C1" w:rsidRDefault="00642B34" w:rsidP="00642B34">
      <w:pPr>
        <w:spacing w:line="360" w:lineRule="auto"/>
        <w:jc w:val="center"/>
        <w:rPr>
          <w:rFonts w:ascii="Times New Roman" w:eastAsia="宋体" w:hAnsi="Times New Roman" w:cs="Times New Roman"/>
          <w:bCs/>
          <w:sz w:val="36"/>
          <w:szCs w:val="36"/>
        </w:rPr>
      </w:pPr>
    </w:p>
    <w:p w14:paraId="30D03D75" w14:textId="77777777" w:rsidR="00642B34" w:rsidRDefault="00642B34" w:rsidP="00642B34">
      <w:pPr>
        <w:spacing w:line="360" w:lineRule="auto"/>
        <w:jc w:val="center"/>
        <w:rPr>
          <w:rFonts w:ascii="Times New Roman" w:eastAsia="宋体" w:hAnsi="Times New Roman" w:cs="Times New Roman"/>
          <w:bCs/>
          <w:sz w:val="36"/>
          <w:szCs w:val="36"/>
        </w:rPr>
      </w:pPr>
    </w:p>
    <w:p w14:paraId="53CA13FF" w14:textId="77777777" w:rsidR="00E1210E" w:rsidRDefault="00E1210E" w:rsidP="00642B34">
      <w:pPr>
        <w:spacing w:line="360" w:lineRule="auto"/>
        <w:jc w:val="center"/>
        <w:rPr>
          <w:rFonts w:ascii="Times New Roman" w:eastAsia="宋体" w:hAnsi="Times New Roman" w:cs="Times New Roman"/>
          <w:bCs/>
          <w:sz w:val="36"/>
          <w:szCs w:val="36"/>
        </w:rPr>
      </w:pPr>
    </w:p>
    <w:p w14:paraId="0D71F3DE" w14:textId="77777777" w:rsidR="006A02F2" w:rsidRDefault="006A02F2" w:rsidP="00642B34">
      <w:pPr>
        <w:spacing w:line="360" w:lineRule="auto"/>
        <w:jc w:val="center"/>
        <w:rPr>
          <w:rFonts w:ascii="Times New Roman" w:eastAsia="宋体" w:hAnsi="Times New Roman" w:cs="Times New Roman"/>
          <w:bCs/>
          <w:sz w:val="36"/>
          <w:szCs w:val="36"/>
        </w:rPr>
      </w:pPr>
    </w:p>
    <w:p w14:paraId="10C1E924" w14:textId="1F3AAE32" w:rsidR="006A02F2" w:rsidRDefault="006A02F2" w:rsidP="00642B34">
      <w:pPr>
        <w:spacing w:line="360" w:lineRule="auto"/>
        <w:jc w:val="center"/>
        <w:rPr>
          <w:rFonts w:ascii="黑体" w:eastAsia="黑体" w:hAnsi="黑体" w:cs="Times New Roman" w:hint="eastAsia"/>
          <w:bCs/>
          <w:sz w:val="28"/>
          <w:szCs w:val="28"/>
          <w14:ligatures w14:val="none"/>
        </w:rPr>
      </w:pPr>
      <w:r w:rsidRPr="006A02F2">
        <w:rPr>
          <w:rFonts w:ascii="黑体" w:eastAsia="黑体" w:hAnsi="黑体" w:cs="Times New Roman" w:hint="eastAsia"/>
          <w:bCs/>
          <w:sz w:val="28"/>
          <w:szCs w:val="28"/>
          <w14:ligatures w14:val="none"/>
        </w:rPr>
        <w:t>《柠条锦鸡儿饲料原料分类与质量分级》</w:t>
      </w:r>
      <w:proofErr w:type="gramStart"/>
      <w:r>
        <w:rPr>
          <w:rFonts w:ascii="黑体" w:eastAsia="黑体" w:hAnsi="黑体" w:cs="Times New Roman" w:hint="eastAsia"/>
          <w:bCs/>
          <w:sz w:val="28"/>
          <w:szCs w:val="28"/>
          <w14:ligatures w14:val="none"/>
        </w:rPr>
        <w:t>团标制定</w:t>
      </w:r>
      <w:proofErr w:type="gramEnd"/>
      <w:r>
        <w:rPr>
          <w:rFonts w:ascii="黑体" w:eastAsia="黑体" w:hAnsi="黑体" w:cs="Times New Roman" w:hint="eastAsia"/>
          <w:bCs/>
          <w:sz w:val="28"/>
          <w:szCs w:val="28"/>
          <w14:ligatures w14:val="none"/>
        </w:rPr>
        <w:t>组</w:t>
      </w:r>
    </w:p>
    <w:p w14:paraId="38EB32E0" w14:textId="2982F79E" w:rsidR="006A02F2" w:rsidRDefault="00642B34" w:rsidP="006A02F2">
      <w:pPr>
        <w:widowControl/>
        <w:jc w:val="center"/>
        <w:rPr>
          <w:rFonts w:ascii="黑体" w:eastAsia="黑体" w:hAnsi="黑体" w:cs="Times New Roman" w:hint="eastAsia"/>
          <w:bCs/>
          <w:sz w:val="28"/>
          <w:szCs w:val="28"/>
          <w14:ligatures w14:val="none"/>
        </w:rPr>
      </w:pPr>
      <w:r w:rsidRPr="006A02F2">
        <w:rPr>
          <w:rFonts w:ascii="黑体" w:eastAsia="黑体" w:hAnsi="黑体" w:cs="Times New Roman"/>
          <w:bCs/>
          <w:sz w:val="28"/>
          <w:szCs w:val="28"/>
          <w14:ligatures w14:val="none"/>
        </w:rPr>
        <w:t>二〇</w:t>
      </w:r>
      <w:r w:rsidRPr="006A02F2">
        <w:rPr>
          <w:rFonts w:ascii="黑体" w:eastAsia="黑体" w:hAnsi="黑体" w:cs="Times New Roman" w:hint="eastAsia"/>
          <w:bCs/>
          <w:sz w:val="28"/>
          <w:szCs w:val="28"/>
          <w14:ligatures w14:val="none"/>
        </w:rPr>
        <w:t>二</w:t>
      </w:r>
      <w:r w:rsidR="009944CB">
        <w:rPr>
          <w:rFonts w:ascii="黑体" w:eastAsia="黑体" w:hAnsi="黑体" w:cs="Times New Roman" w:hint="eastAsia"/>
          <w:bCs/>
          <w:sz w:val="28"/>
          <w:szCs w:val="28"/>
          <w14:ligatures w14:val="none"/>
        </w:rPr>
        <w:t>五</w:t>
      </w:r>
      <w:r w:rsidRPr="006A02F2">
        <w:rPr>
          <w:rFonts w:ascii="黑体" w:eastAsia="黑体" w:hAnsi="黑体" w:cs="Times New Roman"/>
          <w:bCs/>
          <w:sz w:val="28"/>
          <w:szCs w:val="28"/>
          <w14:ligatures w14:val="none"/>
        </w:rPr>
        <w:t>年</w:t>
      </w:r>
      <w:r w:rsidR="009944CB">
        <w:rPr>
          <w:rFonts w:ascii="黑体" w:eastAsia="黑体" w:hAnsi="黑体" w:cs="Times New Roman" w:hint="eastAsia"/>
          <w:bCs/>
          <w:sz w:val="28"/>
          <w:szCs w:val="28"/>
          <w14:ligatures w14:val="none"/>
        </w:rPr>
        <w:t>四</w:t>
      </w:r>
      <w:r w:rsidRPr="006A02F2">
        <w:rPr>
          <w:rFonts w:ascii="黑体" w:eastAsia="黑体" w:hAnsi="黑体" w:cs="Times New Roman"/>
          <w:bCs/>
          <w:sz w:val="28"/>
          <w:szCs w:val="28"/>
          <w14:ligatures w14:val="none"/>
        </w:rPr>
        <w:t>月</w:t>
      </w:r>
    </w:p>
    <w:bookmarkStart w:id="1" w:name="_Hlk180173503" w:displacedByCustomXml="next"/>
    <w:sdt>
      <w:sdtPr>
        <w:rPr>
          <w:rFonts w:asciiTheme="minorHAnsi" w:eastAsiaTheme="minorEastAsia" w:hAnsiTheme="minorHAnsi" w:cstheme="minorBidi"/>
          <w:color w:val="auto"/>
          <w:kern w:val="2"/>
          <w:sz w:val="21"/>
          <w:szCs w:val="22"/>
          <w:lang w:val="zh-CN"/>
          <w14:ligatures w14:val="standardContextual"/>
        </w:rPr>
        <w:id w:val="1007711994"/>
        <w:docPartObj>
          <w:docPartGallery w:val="Table of Contents"/>
          <w:docPartUnique/>
        </w:docPartObj>
      </w:sdtPr>
      <w:sdtEndPr>
        <w:rPr>
          <w:b/>
          <w:bCs/>
        </w:rPr>
      </w:sdtEndPr>
      <w:sdtContent>
        <w:p w14:paraId="46360ED5" w14:textId="1E1C7604" w:rsidR="00AC0533" w:rsidRPr="00AC0533" w:rsidRDefault="00AC0533" w:rsidP="00AC0533">
          <w:pPr>
            <w:pStyle w:val="TOC"/>
            <w:jc w:val="center"/>
            <w:rPr>
              <w:rFonts w:ascii="黑体" w:eastAsia="黑体" w:hAnsi="黑体" w:cs="Times New Roman" w:hint="eastAsia"/>
              <w:color w:val="auto"/>
              <w:kern w:val="2"/>
            </w:rPr>
          </w:pPr>
          <w:r w:rsidRPr="00AC0533">
            <w:rPr>
              <w:rFonts w:ascii="黑体" w:eastAsia="黑体" w:hAnsi="黑体" w:cs="Times New Roman" w:hint="eastAsia"/>
              <w:color w:val="auto"/>
              <w:kern w:val="2"/>
            </w:rPr>
            <w:t>目</w:t>
          </w:r>
          <w:r>
            <w:rPr>
              <w:rFonts w:ascii="黑体" w:eastAsia="黑体" w:hAnsi="黑体" w:cs="Times New Roman" w:hint="eastAsia"/>
              <w:color w:val="auto"/>
              <w:kern w:val="2"/>
            </w:rPr>
            <w:t xml:space="preserve"> </w:t>
          </w:r>
          <w:r w:rsidRPr="00AC0533">
            <w:rPr>
              <w:rFonts w:ascii="黑体" w:eastAsia="黑体" w:hAnsi="黑体" w:cs="Times New Roman" w:hint="eastAsia"/>
              <w:color w:val="auto"/>
              <w:kern w:val="2"/>
            </w:rPr>
            <w:t>次</w:t>
          </w:r>
        </w:p>
        <w:p w14:paraId="5C403B34" w14:textId="041890FA" w:rsidR="00AC0533" w:rsidRPr="00AC0533" w:rsidRDefault="00AC0533" w:rsidP="00AC0533">
          <w:pPr>
            <w:pStyle w:val="TOC1"/>
            <w:tabs>
              <w:tab w:val="right" w:leader="dot" w:pos="8296"/>
            </w:tabs>
            <w:spacing w:line="360" w:lineRule="auto"/>
            <w:rPr>
              <w:rFonts w:ascii="Times New Roman" w:eastAsia="宋体" w:hAnsi="Times New Roman" w:cs="Times New Roman"/>
              <w:noProof/>
              <w:sz w:val="24"/>
              <w:szCs w:val="24"/>
            </w:rPr>
          </w:pPr>
          <w:r>
            <w:fldChar w:fldCharType="begin"/>
          </w:r>
          <w:r>
            <w:instrText xml:space="preserve"> TOC \o "1-3" \h \z \u </w:instrText>
          </w:r>
          <w:r>
            <w:fldChar w:fldCharType="separate"/>
          </w:r>
          <w:hyperlink w:anchor="_Toc198040177" w:history="1">
            <w:r w:rsidRPr="00AC0533">
              <w:rPr>
                <w:rStyle w:val="af5"/>
                <w:rFonts w:ascii="Times New Roman" w:eastAsia="宋体" w:hAnsi="Times New Roman" w:cs="Times New Roman"/>
                <w:noProof/>
                <w:sz w:val="24"/>
                <w:szCs w:val="24"/>
              </w:rPr>
              <w:t>一、任务来源</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_Toc198040177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3</w:t>
            </w:r>
            <w:r w:rsidRPr="00AC0533">
              <w:rPr>
                <w:rFonts w:ascii="Times New Roman" w:eastAsia="宋体" w:hAnsi="Times New Roman" w:cs="Times New Roman"/>
                <w:noProof/>
                <w:webHidden/>
                <w:sz w:val="24"/>
                <w:szCs w:val="24"/>
              </w:rPr>
              <w:fldChar w:fldCharType="end"/>
            </w:r>
          </w:hyperlink>
        </w:p>
        <w:p w14:paraId="272C27D0" w14:textId="21F0A676" w:rsidR="00AC0533" w:rsidRPr="00AC0533" w:rsidRDefault="00AC0533" w:rsidP="00AC0533">
          <w:pPr>
            <w:pStyle w:val="TOC1"/>
            <w:tabs>
              <w:tab w:val="right" w:leader="dot" w:pos="8296"/>
            </w:tabs>
            <w:spacing w:line="360" w:lineRule="auto"/>
            <w:rPr>
              <w:rFonts w:ascii="Times New Roman" w:eastAsia="宋体" w:hAnsi="Times New Roman" w:cs="Times New Roman"/>
              <w:noProof/>
              <w:sz w:val="24"/>
              <w:szCs w:val="24"/>
            </w:rPr>
          </w:pPr>
          <w:hyperlink w:anchor="_Toc198040178" w:history="1">
            <w:r w:rsidRPr="00AC0533">
              <w:rPr>
                <w:rStyle w:val="af5"/>
                <w:rFonts w:ascii="Times New Roman" w:eastAsia="宋体" w:hAnsi="Times New Roman" w:cs="Times New Roman"/>
                <w:noProof/>
                <w:sz w:val="24"/>
                <w:szCs w:val="24"/>
              </w:rPr>
              <w:t>二、编制目的和意义</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_Toc198040178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3</w:t>
            </w:r>
            <w:r w:rsidRPr="00AC0533">
              <w:rPr>
                <w:rFonts w:ascii="Times New Roman" w:eastAsia="宋体" w:hAnsi="Times New Roman" w:cs="Times New Roman"/>
                <w:noProof/>
                <w:webHidden/>
                <w:sz w:val="24"/>
                <w:szCs w:val="24"/>
              </w:rPr>
              <w:fldChar w:fldCharType="end"/>
            </w:r>
          </w:hyperlink>
        </w:p>
        <w:p w14:paraId="64001BF2" w14:textId="123F0C8A" w:rsidR="00AC0533" w:rsidRPr="00AC0533" w:rsidRDefault="00AC0533" w:rsidP="00AC0533">
          <w:pPr>
            <w:pStyle w:val="TOC1"/>
            <w:tabs>
              <w:tab w:val="right" w:leader="dot" w:pos="8296"/>
            </w:tabs>
            <w:spacing w:line="360" w:lineRule="auto"/>
            <w:rPr>
              <w:rFonts w:ascii="Times New Roman" w:eastAsia="宋体" w:hAnsi="Times New Roman" w:cs="Times New Roman"/>
              <w:noProof/>
              <w:sz w:val="24"/>
              <w:szCs w:val="24"/>
            </w:rPr>
          </w:pPr>
          <w:hyperlink w:anchor="_Toc198040179" w:history="1">
            <w:r w:rsidRPr="00AC0533">
              <w:rPr>
                <w:rStyle w:val="af5"/>
                <w:rFonts w:ascii="Times New Roman" w:eastAsia="宋体" w:hAnsi="Times New Roman" w:cs="Times New Roman"/>
                <w:noProof/>
                <w:sz w:val="24"/>
                <w:szCs w:val="24"/>
              </w:rPr>
              <w:t>三、编制原则和依据</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_Toc198040179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3</w:t>
            </w:r>
            <w:r w:rsidRPr="00AC0533">
              <w:rPr>
                <w:rFonts w:ascii="Times New Roman" w:eastAsia="宋体" w:hAnsi="Times New Roman" w:cs="Times New Roman"/>
                <w:noProof/>
                <w:webHidden/>
                <w:sz w:val="24"/>
                <w:szCs w:val="24"/>
              </w:rPr>
              <w:fldChar w:fldCharType="end"/>
            </w:r>
          </w:hyperlink>
        </w:p>
        <w:p w14:paraId="733CF465" w14:textId="7C311022" w:rsidR="00AC0533" w:rsidRPr="00AC0533" w:rsidRDefault="00AC0533" w:rsidP="00AC0533">
          <w:pPr>
            <w:pStyle w:val="TOC1"/>
            <w:tabs>
              <w:tab w:val="right" w:leader="dot" w:pos="8296"/>
            </w:tabs>
            <w:spacing w:line="360" w:lineRule="auto"/>
            <w:rPr>
              <w:rFonts w:ascii="Times New Roman" w:eastAsia="宋体" w:hAnsi="Times New Roman" w:cs="Times New Roman"/>
              <w:noProof/>
              <w:sz w:val="24"/>
              <w:szCs w:val="24"/>
            </w:rPr>
          </w:pPr>
          <w:hyperlink w:anchor="_Toc198040180" w:history="1">
            <w:r w:rsidRPr="00AC0533">
              <w:rPr>
                <w:rStyle w:val="af5"/>
                <w:rFonts w:ascii="Times New Roman" w:eastAsia="宋体" w:hAnsi="Times New Roman" w:cs="Times New Roman"/>
                <w:noProof/>
                <w:sz w:val="24"/>
                <w:szCs w:val="24"/>
              </w:rPr>
              <w:t>四、主要工作过程</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_Toc198040180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4</w:t>
            </w:r>
            <w:r w:rsidRPr="00AC0533">
              <w:rPr>
                <w:rFonts w:ascii="Times New Roman" w:eastAsia="宋体" w:hAnsi="Times New Roman" w:cs="Times New Roman"/>
                <w:noProof/>
                <w:webHidden/>
                <w:sz w:val="24"/>
                <w:szCs w:val="24"/>
              </w:rPr>
              <w:fldChar w:fldCharType="end"/>
            </w:r>
          </w:hyperlink>
        </w:p>
        <w:p w14:paraId="0478AC99" w14:textId="35ECBC04" w:rsidR="00AC0533" w:rsidRPr="00AC0533" w:rsidRDefault="00AC0533" w:rsidP="00AC0533">
          <w:pPr>
            <w:pStyle w:val="TOC2"/>
            <w:tabs>
              <w:tab w:val="left" w:pos="880"/>
              <w:tab w:val="right" w:leader="dot" w:pos="8296"/>
            </w:tabs>
            <w:spacing w:line="360" w:lineRule="auto"/>
            <w:rPr>
              <w:rFonts w:ascii="Times New Roman" w:eastAsia="宋体" w:hAnsi="Times New Roman" w:cs="Times New Roman"/>
              <w:noProof/>
              <w:sz w:val="24"/>
              <w:szCs w:val="24"/>
            </w:rPr>
          </w:pPr>
          <w:hyperlink w:anchor="_Toc198040181" w:history="1">
            <w:r w:rsidRPr="00AC0533">
              <w:rPr>
                <w:rStyle w:val="af5"/>
                <w:rFonts w:ascii="Times New Roman" w:eastAsia="宋体" w:hAnsi="Times New Roman" w:cs="Times New Roman"/>
                <w:noProof/>
                <w:sz w:val="24"/>
                <w:szCs w:val="24"/>
                <w14:ligatures w14:val="none"/>
              </w:rPr>
              <w:t>1.</w:t>
            </w:r>
            <w:r w:rsidRPr="00AC0533">
              <w:rPr>
                <w:rFonts w:ascii="Times New Roman" w:eastAsia="宋体" w:hAnsi="Times New Roman" w:cs="Times New Roman"/>
                <w:noProof/>
                <w:sz w:val="24"/>
                <w:szCs w:val="24"/>
              </w:rPr>
              <w:tab/>
            </w:r>
            <w:r w:rsidRPr="00AC0533">
              <w:rPr>
                <w:rStyle w:val="af5"/>
                <w:rFonts w:ascii="Times New Roman" w:eastAsia="宋体" w:hAnsi="Times New Roman" w:cs="Times New Roman"/>
                <w:noProof/>
                <w:sz w:val="24"/>
                <w:szCs w:val="24"/>
                <w14:ligatures w14:val="none"/>
              </w:rPr>
              <w:t>成立标准编制组</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_Toc198040181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4</w:t>
            </w:r>
            <w:r w:rsidRPr="00AC0533">
              <w:rPr>
                <w:rFonts w:ascii="Times New Roman" w:eastAsia="宋体" w:hAnsi="Times New Roman" w:cs="Times New Roman"/>
                <w:noProof/>
                <w:webHidden/>
                <w:sz w:val="24"/>
                <w:szCs w:val="24"/>
              </w:rPr>
              <w:fldChar w:fldCharType="end"/>
            </w:r>
          </w:hyperlink>
        </w:p>
        <w:p w14:paraId="24821E42" w14:textId="0FD4BAE6" w:rsidR="00AC0533" w:rsidRPr="00AC0533" w:rsidRDefault="00AC0533" w:rsidP="00AC0533">
          <w:pPr>
            <w:pStyle w:val="TOC2"/>
            <w:tabs>
              <w:tab w:val="left" w:pos="880"/>
              <w:tab w:val="right" w:leader="dot" w:pos="8296"/>
            </w:tabs>
            <w:spacing w:line="360" w:lineRule="auto"/>
            <w:rPr>
              <w:rFonts w:ascii="Times New Roman" w:eastAsia="宋体" w:hAnsi="Times New Roman" w:cs="Times New Roman"/>
              <w:noProof/>
              <w:sz w:val="24"/>
              <w:szCs w:val="24"/>
            </w:rPr>
          </w:pPr>
          <w:hyperlink w:anchor="_Toc198040182" w:history="1">
            <w:r w:rsidRPr="00AC0533">
              <w:rPr>
                <w:rStyle w:val="af5"/>
                <w:rFonts w:ascii="Times New Roman" w:eastAsia="宋体" w:hAnsi="Times New Roman" w:cs="Times New Roman"/>
                <w:noProof/>
                <w:sz w:val="24"/>
                <w:szCs w:val="24"/>
                <w14:ligatures w14:val="none"/>
              </w:rPr>
              <w:t>2.</w:t>
            </w:r>
            <w:r w:rsidRPr="00AC0533">
              <w:rPr>
                <w:rFonts w:ascii="Times New Roman" w:eastAsia="宋体" w:hAnsi="Times New Roman" w:cs="Times New Roman"/>
                <w:noProof/>
                <w:sz w:val="24"/>
                <w:szCs w:val="24"/>
              </w:rPr>
              <w:tab/>
            </w:r>
            <w:r w:rsidRPr="00AC0533">
              <w:rPr>
                <w:rStyle w:val="af5"/>
                <w:rFonts w:ascii="Times New Roman" w:eastAsia="宋体" w:hAnsi="Times New Roman" w:cs="Times New Roman"/>
                <w:noProof/>
                <w:sz w:val="24"/>
                <w:szCs w:val="24"/>
                <w14:ligatures w14:val="none"/>
              </w:rPr>
              <w:t>工作基础与项目调研</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_Toc198040182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4</w:t>
            </w:r>
            <w:r w:rsidRPr="00AC0533">
              <w:rPr>
                <w:rFonts w:ascii="Times New Roman" w:eastAsia="宋体" w:hAnsi="Times New Roman" w:cs="Times New Roman"/>
                <w:noProof/>
                <w:webHidden/>
                <w:sz w:val="24"/>
                <w:szCs w:val="24"/>
              </w:rPr>
              <w:fldChar w:fldCharType="end"/>
            </w:r>
          </w:hyperlink>
        </w:p>
        <w:p w14:paraId="2ECF980E" w14:textId="7C6B64CF" w:rsidR="00AC0533" w:rsidRPr="00AC0533" w:rsidRDefault="00AC0533" w:rsidP="00AC0533">
          <w:pPr>
            <w:pStyle w:val="TOC2"/>
            <w:tabs>
              <w:tab w:val="left" w:pos="880"/>
              <w:tab w:val="right" w:leader="dot" w:pos="8296"/>
            </w:tabs>
            <w:spacing w:line="360" w:lineRule="auto"/>
            <w:rPr>
              <w:rFonts w:ascii="Times New Roman" w:eastAsia="宋体" w:hAnsi="Times New Roman" w:cs="Times New Roman"/>
              <w:noProof/>
              <w:sz w:val="24"/>
              <w:szCs w:val="24"/>
            </w:rPr>
          </w:pPr>
          <w:hyperlink w:anchor="_Toc198040183" w:history="1">
            <w:r w:rsidRPr="00AC0533">
              <w:rPr>
                <w:rStyle w:val="af5"/>
                <w:rFonts w:ascii="Times New Roman" w:eastAsia="宋体" w:hAnsi="Times New Roman" w:cs="Times New Roman"/>
                <w:noProof/>
                <w:sz w:val="24"/>
                <w:szCs w:val="24"/>
                <w14:ligatures w14:val="none"/>
              </w:rPr>
              <w:t>3.</w:t>
            </w:r>
            <w:r w:rsidRPr="00AC0533">
              <w:rPr>
                <w:rFonts w:ascii="Times New Roman" w:eastAsia="宋体" w:hAnsi="Times New Roman" w:cs="Times New Roman"/>
                <w:noProof/>
                <w:sz w:val="24"/>
                <w:szCs w:val="24"/>
              </w:rPr>
              <w:tab/>
            </w:r>
            <w:r w:rsidRPr="00AC0533">
              <w:rPr>
                <w:rStyle w:val="af5"/>
                <w:rFonts w:ascii="Times New Roman" w:eastAsia="宋体" w:hAnsi="Times New Roman" w:cs="Times New Roman"/>
                <w:noProof/>
                <w:sz w:val="24"/>
                <w:szCs w:val="24"/>
                <w14:ligatures w14:val="none"/>
              </w:rPr>
              <w:t>完善草案与编制说明</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_Toc198040183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5</w:t>
            </w:r>
            <w:r w:rsidRPr="00AC0533">
              <w:rPr>
                <w:rFonts w:ascii="Times New Roman" w:eastAsia="宋体" w:hAnsi="Times New Roman" w:cs="Times New Roman"/>
                <w:noProof/>
                <w:webHidden/>
                <w:sz w:val="24"/>
                <w:szCs w:val="24"/>
              </w:rPr>
              <w:fldChar w:fldCharType="end"/>
            </w:r>
          </w:hyperlink>
        </w:p>
        <w:p w14:paraId="6D090EE6" w14:textId="459703B7" w:rsidR="00AC0533" w:rsidRPr="00AC0533" w:rsidRDefault="00AC0533" w:rsidP="00AC0533">
          <w:pPr>
            <w:pStyle w:val="TOC1"/>
            <w:tabs>
              <w:tab w:val="right" w:leader="dot" w:pos="8296"/>
            </w:tabs>
            <w:spacing w:line="360" w:lineRule="auto"/>
            <w:rPr>
              <w:rFonts w:ascii="Times New Roman" w:eastAsia="宋体" w:hAnsi="Times New Roman" w:cs="Times New Roman"/>
              <w:noProof/>
              <w:sz w:val="24"/>
              <w:szCs w:val="24"/>
            </w:rPr>
          </w:pPr>
          <w:hyperlink w:anchor="_Toc198040184" w:history="1">
            <w:r w:rsidRPr="00AC0533">
              <w:rPr>
                <w:rStyle w:val="af5"/>
                <w:rFonts w:ascii="Times New Roman" w:eastAsia="宋体" w:hAnsi="Times New Roman" w:cs="Times New Roman"/>
                <w:noProof/>
                <w:sz w:val="24"/>
                <w:szCs w:val="24"/>
              </w:rPr>
              <w:t>五、主要技术内容确定的依据</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_Toc198040184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5</w:t>
            </w:r>
            <w:r w:rsidRPr="00AC0533">
              <w:rPr>
                <w:rFonts w:ascii="Times New Roman" w:eastAsia="宋体" w:hAnsi="Times New Roman" w:cs="Times New Roman"/>
                <w:noProof/>
                <w:webHidden/>
                <w:sz w:val="24"/>
                <w:szCs w:val="24"/>
              </w:rPr>
              <w:fldChar w:fldCharType="end"/>
            </w:r>
          </w:hyperlink>
        </w:p>
        <w:p w14:paraId="0F8D8824" w14:textId="432EB268" w:rsidR="00AC0533" w:rsidRPr="00AC0533" w:rsidRDefault="00AC0533" w:rsidP="00AC0533">
          <w:pPr>
            <w:pStyle w:val="TOC2"/>
            <w:tabs>
              <w:tab w:val="right" w:leader="dot" w:pos="8296"/>
            </w:tabs>
            <w:spacing w:line="360" w:lineRule="auto"/>
            <w:rPr>
              <w:rFonts w:ascii="Times New Roman" w:eastAsia="宋体" w:hAnsi="Times New Roman" w:cs="Times New Roman"/>
              <w:noProof/>
              <w:sz w:val="24"/>
              <w:szCs w:val="24"/>
            </w:rPr>
          </w:pPr>
          <w:hyperlink w:anchor="_Toc198040185" w:history="1">
            <w:r w:rsidRPr="00AC0533">
              <w:rPr>
                <w:rStyle w:val="af5"/>
                <w:rFonts w:ascii="Times New Roman" w:eastAsia="宋体" w:hAnsi="Times New Roman" w:cs="Times New Roman"/>
                <w:noProof/>
                <w:sz w:val="24"/>
                <w:szCs w:val="24"/>
                <w14:ligatures w14:val="none"/>
              </w:rPr>
              <w:t xml:space="preserve">1. </w:t>
            </w:r>
            <w:r w:rsidRPr="00AC0533">
              <w:rPr>
                <w:rStyle w:val="af5"/>
                <w:rFonts w:ascii="Times New Roman" w:eastAsia="宋体" w:hAnsi="Times New Roman" w:cs="Times New Roman"/>
                <w:noProof/>
                <w:sz w:val="24"/>
                <w:szCs w:val="24"/>
                <w14:ligatures w14:val="none"/>
              </w:rPr>
              <w:t>适用范围</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_Toc198040185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5</w:t>
            </w:r>
            <w:r w:rsidRPr="00AC0533">
              <w:rPr>
                <w:rFonts w:ascii="Times New Roman" w:eastAsia="宋体" w:hAnsi="Times New Roman" w:cs="Times New Roman"/>
                <w:noProof/>
                <w:webHidden/>
                <w:sz w:val="24"/>
                <w:szCs w:val="24"/>
              </w:rPr>
              <w:fldChar w:fldCharType="end"/>
            </w:r>
          </w:hyperlink>
        </w:p>
        <w:p w14:paraId="43AC86D9" w14:textId="4DE52F86" w:rsidR="00AC0533" w:rsidRPr="00AC0533" w:rsidRDefault="00AC0533" w:rsidP="00AC0533">
          <w:pPr>
            <w:pStyle w:val="TOC2"/>
            <w:tabs>
              <w:tab w:val="right" w:leader="dot" w:pos="8296"/>
            </w:tabs>
            <w:spacing w:line="360" w:lineRule="auto"/>
            <w:rPr>
              <w:rFonts w:ascii="Times New Roman" w:eastAsia="宋体" w:hAnsi="Times New Roman" w:cs="Times New Roman"/>
              <w:noProof/>
              <w:sz w:val="24"/>
              <w:szCs w:val="24"/>
            </w:rPr>
          </w:pPr>
          <w:hyperlink w:anchor="_Toc198040186" w:history="1">
            <w:r w:rsidRPr="00AC0533">
              <w:rPr>
                <w:rStyle w:val="af5"/>
                <w:rFonts w:ascii="Times New Roman" w:eastAsia="宋体" w:hAnsi="Times New Roman" w:cs="Times New Roman"/>
                <w:noProof/>
                <w:sz w:val="24"/>
                <w:szCs w:val="24"/>
                <w14:ligatures w14:val="none"/>
              </w:rPr>
              <w:t xml:space="preserve">2. </w:t>
            </w:r>
            <w:r w:rsidRPr="00AC0533">
              <w:rPr>
                <w:rStyle w:val="af5"/>
                <w:rFonts w:ascii="Times New Roman" w:eastAsia="宋体" w:hAnsi="Times New Roman" w:cs="Times New Roman"/>
                <w:noProof/>
                <w:sz w:val="24"/>
                <w:szCs w:val="24"/>
                <w14:ligatures w14:val="none"/>
              </w:rPr>
              <w:t>规范性引用文件</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_Toc198040186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5</w:t>
            </w:r>
            <w:r w:rsidRPr="00AC0533">
              <w:rPr>
                <w:rFonts w:ascii="Times New Roman" w:eastAsia="宋体" w:hAnsi="Times New Roman" w:cs="Times New Roman"/>
                <w:noProof/>
                <w:webHidden/>
                <w:sz w:val="24"/>
                <w:szCs w:val="24"/>
              </w:rPr>
              <w:fldChar w:fldCharType="end"/>
            </w:r>
          </w:hyperlink>
        </w:p>
        <w:p w14:paraId="4CBE0E65" w14:textId="1AC9F2D6" w:rsidR="00AC0533" w:rsidRPr="00AC0533" w:rsidRDefault="00AC0533" w:rsidP="00AC0533">
          <w:pPr>
            <w:pStyle w:val="TOC2"/>
            <w:tabs>
              <w:tab w:val="right" w:leader="dot" w:pos="8296"/>
            </w:tabs>
            <w:spacing w:line="360" w:lineRule="auto"/>
            <w:rPr>
              <w:rFonts w:ascii="Times New Roman" w:eastAsia="宋体" w:hAnsi="Times New Roman" w:cs="Times New Roman"/>
              <w:noProof/>
              <w:sz w:val="24"/>
              <w:szCs w:val="24"/>
            </w:rPr>
          </w:pPr>
          <w:hyperlink w:anchor="_Toc198040187" w:history="1">
            <w:r w:rsidRPr="00AC0533">
              <w:rPr>
                <w:rStyle w:val="af5"/>
                <w:rFonts w:ascii="Times New Roman" w:eastAsia="宋体" w:hAnsi="Times New Roman" w:cs="Times New Roman"/>
                <w:noProof/>
                <w:sz w:val="24"/>
                <w:szCs w:val="24"/>
                <w14:ligatures w14:val="none"/>
              </w:rPr>
              <w:t xml:space="preserve">3. </w:t>
            </w:r>
            <w:r w:rsidRPr="00AC0533">
              <w:rPr>
                <w:rStyle w:val="af5"/>
                <w:rFonts w:ascii="Times New Roman" w:eastAsia="宋体" w:hAnsi="Times New Roman" w:cs="Times New Roman"/>
                <w:noProof/>
                <w:sz w:val="24"/>
                <w:szCs w:val="24"/>
                <w14:ligatures w14:val="none"/>
              </w:rPr>
              <w:t>主要技术指标确定的依据</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_Toc198040187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5</w:t>
            </w:r>
            <w:r w:rsidRPr="00AC0533">
              <w:rPr>
                <w:rFonts w:ascii="Times New Roman" w:eastAsia="宋体" w:hAnsi="Times New Roman" w:cs="Times New Roman"/>
                <w:noProof/>
                <w:webHidden/>
                <w:sz w:val="24"/>
                <w:szCs w:val="24"/>
              </w:rPr>
              <w:fldChar w:fldCharType="end"/>
            </w:r>
          </w:hyperlink>
        </w:p>
        <w:p w14:paraId="323B112F" w14:textId="6A671BE4" w:rsidR="00AC0533" w:rsidRPr="00AC0533" w:rsidRDefault="00AC0533" w:rsidP="00AC0533">
          <w:pPr>
            <w:pStyle w:val="TOC1"/>
            <w:tabs>
              <w:tab w:val="left" w:pos="880"/>
              <w:tab w:val="right" w:leader="dot" w:pos="8296"/>
            </w:tabs>
            <w:spacing w:line="360" w:lineRule="auto"/>
            <w:rPr>
              <w:rFonts w:ascii="Times New Roman" w:eastAsia="宋体" w:hAnsi="Times New Roman" w:cs="Times New Roman"/>
              <w:noProof/>
              <w:sz w:val="24"/>
              <w:szCs w:val="24"/>
            </w:rPr>
          </w:pPr>
          <w:hyperlink w:anchor="_Toc198040188" w:history="1">
            <w:r w:rsidRPr="00AC0533">
              <w:rPr>
                <w:rStyle w:val="af5"/>
                <w:rFonts w:ascii="Times New Roman" w:eastAsia="宋体" w:hAnsi="Times New Roman" w:cs="Times New Roman"/>
                <w:noProof/>
                <w:sz w:val="24"/>
                <w:szCs w:val="24"/>
              </w:rPr>
              <w:t>六、</w:t>
            </w:r>
            <w:r w:rsidRPr="00AC0533">
              <w:rPr>
                <w:rFonts w:ascii="Times New Roman" w:eastAsia="宋体" w:hAnsi="Times New Roman" w:cs="Times New Roman"/>
                <w:noProof/>
                <w:sz w:val="24"/>
                <w:szCs w:val="24"/>
              </w:rPr>
              <w:tab/>
            </w:r>
            <w:r w:rsidRPr="00AC0533">
              <w:rPr>
                <w:rStyle w:val="af5"/>
                <w:rFonts w:ascii="Times New Roman" w:eastAsia="宋体" w:hAnsi="Times New Roman" w:cs="Times New Roman"/>
                <w:noProof/>
                <w:sz w:val="24"/>
                <w:szCs w:val="24"/>
              </w:rPr>
              <w:t>采用的国际标准</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_Toc198040188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7</w:t>
            </w:r>
            <w:r w:rsidRPr="00AC0533">
              <w:rPr>
                <w:rFonts w:ascii="Times New Roman" w:eastAsia="宋体" w:hAnsi="Times New Roman" w:cs="Times New Roman"/>
                <w:noProof/>
                <w:webHidden/>
                <w:sz w:val="24"/>
                <w:szCs w:val="24"/>
              </w:rPr>
              <w:fldChar w:fldCharType="end"/>
            </w:r>
          </w:hyperlink>
        </w:p>
        <w:p w14:paraId="1F0EFF69" w14:textId="53661455" w:rsidR="00AC0533" w:rsidRPr="00AC0533" w:rsidRDefault="00AC0533" w:rsidP="00AC0533">
          <w:pPr>
            <w:pStyle w:val="TOC1"/>
            <w:tabs>
              <w:tab w:val="right" w:leader="dot" w:pos="8296"/>
            </w:tabs>
            <w:spacing w:line="360" w:lineRule="auto"/>
            <w:rPr>
              <w:rFonts w:ascii="Times New Roman" w:eastAsia="宋体" w:hAnsi="Times New Roman" w:cs="Times New Roman"/>
              <w:noProof/>
              <w:sz w:val="24"/>
              <w:szCs w:val="24"/>
            </w:rPr>
          </w:pPr>
          <w:hyperlink w:anchor="_Toc198040189" w:history="1">
            <w:r w:rsidRPr="00AC0533">
              <w:rPr>
                <w:rStyle w:val="af5"/>
                <w:rFonts w:ascii="Times New Roman" w:eastAsia="宋体" w:hAnsi="Times New Roman" w:cs="Times New Roman"/>
                <w:noProof/>
                <w:sz w:val="24"/>
                <w:szCs w:val="24"/>
              </w:rPr>
              <w:t>七、与现行法律法规和强制性标准的关系</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_Toc198040189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7</w:t>
            </w:r>
            <w:r w:rsidRPr="00AC0533">
              <w:rPr>
                <w:rFonts w:ascii="Times New Roman" w:eastAsia="宋体" w:hAnsi="Times New Roman" w:cs="Times New Roman"/>
                <w:noProof/>
                <w:webHidden/>
                <w:sz w:val="24"/>
                <w:szCs w:val="24"/>
              </w:rPr>
              <w:fldChar w:fldCharType="end"/>
            </w:r>
          </w:hyperlink>
        </w:p>
        <w:p w14:paraId="1D690FA0" w14:textId="2F62E63F" w:rsidR="00AC0533" w:rsidRPr="00AC0533" w:rsidRDefault="00AC0533" w:rsidP="00AC0533">
          <w:pPr>
            <w:pStyle w:val="TOC1"/>
            <w:tabs>
              <w:tab w:val="right" w:leader="dot" w:pos="8296"/>
            </w:tabs>
            <w:spacing w:line="360" w:lineRule="auto"/>
            <w:rPr>
              <w:rFonts w:ascii="Times New Roman" w:eastAsia="宋体" w:hAnsi="Times New Roman" w:cs="Times New Roman"/>
              <w:noProof/>
              <w:sz w:val="24"/>
              <w:szCs w:val="24"/>
            </w:rPr>
          </w:pPr>
          <w:hyperlink w:anchor="_Toc198040190" w:history="1">
            <w:r w:rsidRPr="00AC0533">
              <w:rPr>
                <w:rStyle w:val="af5"/>
                <w:rFonts w:ascii="Times New Roman" w:eastAsia="宋体" w:hAnsi="Times New Roman" w:cs="Times New Roman"/>
                <w:noProof/>
                <w:sz w:val="24"/>
                <w:szCs w:val="24"/>
              </w:rPr>
              <w:t>八、重大分歧意见的处理经过和依据</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_Toc198040190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7</w:t>
            </w:r>
            <w:r w:rsidRPr="00AC0533">
              <w:rPr>
                <w:rFonts w:ascii="Times New Roman" w:eastAsia="宋体" w:hAnsi="Times New Roman" w:cs="Times New Roman"/>
                <w:noProof/>
                <w:webHidden/>
                <w:sz w:val="24"/>
                <w:szCs w:val="24"/>
              </w:rPr>
              <w:fldChar w:fldCharType="end"/>
            </w:r>
          </w:hyperlink>
        </w:p>
        <w:p w14:paraId="6289349B" w14:textId="293D7652" w:rsidR="00AC0533" w:rsidRPr="00AC0533" w:rsidRDefault="00AC0533" w:rsidP="00AC0533">
          <w:pPr>
            <w:pStyle w:val="TOC1"/>
            <w:tabs>
              <w:tab w:val="right" w:leader="dot" w:pos="8296"/>
            </w:tabs>
            <w:spacing w:line="360" w:lineRule="auto"/>
            <w:rPr>
              <w:rFonts w:ascii="Times New Roman" w:eastAsia="宋体" w:hAnsi="Times New Roman" w:cs="Times New Roman"/>
              <w:noProof/>
              <w:sz w:val="24"/>
              <w:szCs w:val="24"/>
            </w:rPr>
          </w:pPr>
          <w:hyperlink w:anchor="_Toc198040191" w:history="1">
            <w:r w:rsidRPr="00AC0533">
              <w:rPr>
                <w:rStyle w:val="af5"/>
                <w:rFonts w:ascii="Times New Roman" w:eastAsia="宋体" w:hAnsi="Times New Roman" w:cs="Times New Roman"/>
                <w:noProof/>
                <w:sz w:val="24"/>
                <w:szCs w:val="24"/>
              </w:rPr>
              <w:t>九、标准作为强制性或推荐性标准的意见</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_Toc198040191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7</w:t>
            </w:r>
            <w:r w:rsidRPr="00AC0533">
              <w:rPr>
                <w:rFonts w:ascii="Times New Roman" w:eastAsia="宋体" w:hAnsi="Times New Roman" w:cs="Times New Roman"/>
                <w:noProof/>
                <w:webHidden/>
                <w:sz w:val="24"/>
                <w:szCs w:val="24"/>
              </w:rPr>
              <w:fldChar w:fldCharType="end"/>
            </w:r>
          </w:hyperlink>
        </w:p>
        <w:p w14:paraId="44B40316" w14:textId="14B83FC0" w:rsidR="00AC0533" w:rsidRPr="00AC0533" w:rsidRDefault="00AC0533" w:rsidP="00AC0533">
          <w:pPr>
            <w:pStyle w:val="TOC1"/>
            <w:tabs>
              <w:tab w:val="right" w:leader="dot" w:pos="8296"/>
            </w:tabs>
            <w:spacing w:line="360" w:lineRule="auto"/>
            <w:rPr>
              <w:rFonts w:ascii="Times New Roman" w:eastAsia="宋体" w:hAnsi="Times New Roman" w:cs="Times New Roman"/>
              <w:noProof/>
              <w:sz w:val="24"/>
              <w:szCs w:val="24"/>
            </w:rPr>
          </w:pPr>
          <w:hyperlink w:anchor="_Toc198040192" w:history="1">
            <w:r w:rsidRPr="00AC0533">
              <w:rPr>
                <w:rStyle w:val="af5"/>
                <w:rFonts w:ascii="Times New Roman" w:eastAsia="宋体" w:hAnsi="Times New Roman" w:cs="Times New Roman"/>
                <w:noProof/>
                <w:sz w:val="24"/>
                <w:szCs w:val="24"/>
              </w:rPr>
              <w:t>十、贯彻标准的要求和措施建议</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_Toc198040192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7</w:t>
            </w:r>
            <w:r w:rsidRPr="00AC0533">
              <w:rPr>
                <w:rFonts w:ascii="Times New Roman" w:eastAsia="宋体" w:hAnsi="Times New Roman" w:cs="Times New Roman"/>
                <w:noProof/>
                <w:webHidden/>
                <w:sz w:val="24"/>
                <w:szCs w:val="24"/>
              </w:rPr>
              <w:fldChar w:fldCharType="end"/>
            </w:r>
          </w:hyperlink>
        </w:p>
        <w:p w14:paraId="48E74898" w14:textId="7FF30BD4" w:rsidR="00AC0533" w:rsidRPr="00AC0533" w:rsidRDefault="00AC0533" w:rsidP="00AC0533">
          <w:pPr>
            <w:pStyle w:val="TOC1"/>
            <w:tabs>
              <w:tab w:val="right" w:leader="dot" w:pos="8296"/>
            </w:tabs>
            <w:spacing w:line="360" w:lineRule="auto"/>
            <w:rPr>
              <w:rFonts w:ascii="Times New Roman" w:eastAsia="宋体" w:hAnsi="Times New Roman" w:cs="Times New Roman"/>
              <w:noProof/>
              <w:sz w:val="24"/>
              <w:szCs w:val="24"/>
            </w:rPr>
          </w:pPr>
          <w:hyperlink w:anchor="_Toc198040193" w:history="1">
            <w:r w:rsidRPr="00AC0533">
              <w:rPr>
                <w:rStyle w:val="af5"/>
                <w:rFonts w:ascii="Times New Roman" w:eastAsia="宋体" w:hAnsi="Times New Roman" w:cs="Times New Roman"/>
                <w:noProof/>
                <w:sz w:val="24"/>
                <w:szCs w:val="24"/>
              </w:rPr>
              <w:t>十一、废止现行有关标准的建议</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_Toc198040193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7</w:t>
            </w:r>
            <w:r w:rsidRPr="00AC0533">
              <w:rPr>
                <w:rFonts w:ascii="Times New Roman" w:eastAsia="宋体" w:hAnsi="Times New Roman" w:cs="Times New Roman"/>
                <w:noProof/>
                <w:webHidden/>
                <w:sz w:val="24"/>
                <w:szCs w:val="24"/>
              </w:rPr>
              <w:fldChar w:fldCharType="end"/>
            </w:r>
          </w:hyperlink>
        </w:p>
        <w:p w14:paraId="6BD8D4BF" w14:textId="40B51A95" w:rsidR="00AC0533" w:rsidRDefault="00AC0533" w:rsidP="00AC0533">
          <w:pPr>
            <w:pStyle w:val="TOC1"/>
            <w:tabs>
              <w:tab w:val="right" w:leader="dot" w:pos="8296"/>
            </w:tabs>
            <w:spacing w:line="360" w:lineRule="auto"/>
            <w:rPr>
              <w:rFonts w:hint="eastAsia"/>
              <w:noProof/>
            </w:rPr>
          </w:pPr>
          <w:hyperlink w:anchor="_Toc198040194" w:history="1">
            <w:r w:rsidRPr="00AC0533">
              <w:rPr>
                <w:rStyle w:val="af5"/>
                <w:rFonts w:ascii="Times New Roman" w:eastAsia="宋体" w:hAnsi="Times New Roman" w:cs="Times New Roman"/>
                <w:noProof/>
                <w:sz w:val="24"/>
                <w:szCs w:val="24"/>
              </w:rPr>
              <w:t>十二、其他应予说明的事项</w:t>
            </w:r>
            <w:r w:rsidRPr="00AC0533">
              <w:rPr>
                <w:rFonts w:ascii="Times New Roman" w:eastAsia="宋体" w:hAnsi="Times New Roman" w:cs="Times New Roman"/>
                <w:noProof/>
                <w:webHidden/>
                <w:sz w:val="24"/>
                <w:szCs w:val="24"/>
              </w:rPr>
              <w:tab/>
            </w:r>
            <w:r w:rsidRPr="00AC0533">
              <w:rPr>
                <w:rFonts w:ascii="Times New Roman" w:eastAsia="宋体" w:hAnsi="Times New Roman" w:cs="Times New Roman"/>
                <w:noProof/>
                <w:webHidden/>
                <w:sz w:val="24"/>
                <w:szCs w:val="24"/>
              </w:rPr>
              <w:fldChar w:fldCharType="begin"/>
            </w:r>
            <w:r w:rsidRPr="00AC0533">
              <w:rPr>
                <w:rFonts w:ascii="Times New Roman" w:eastAsia="宋体" w:hAnsi="Times New Roman" w:cs="Times New Roman"/>
                <w:noProof/>
                <w:webHidden/>
                <w:sz w:val="24"/>
                <w:szCs w:val="24"/>
              </w:rPr>
              <w:instrText xml:space="preserve"> PAGEREF _Toc198040194 \h </w:instrText>
            </w:r>
            <w:r w:rsidRPr="00AC0533">
              <w:rPr>
                <w:rFonts w:ascii="Times New Roman" w:eastAsia="宋体" w:hAnsi="Times New Roman" w:cs="Times New Roman"/>
                <w:noProof/>
                <w:webHidden/>
                <w:sz w:val="24"/>
                <w:szCs w:val="24"/>
              </w:rPr>
            </w:r>
            <w:r w:rsidRPr="00AC0533">
              <w:rPr>
                <w:rFonts w:ascii="Times New Roman" w:eastAsia="宋体" w:hAnsi="Times New Roman" w:cs="Times New Roman"/>
                <w:noProof/>
                <w:webHidden/>
                <w:sz w:val="24"/>
                <w:szCs w:val="24"/>
              </w:rPr>
              <w:fldChar w:fldCharType="separate"/>
            </w:r>
            <w:r w:rsidRPr="00AC0533">
              <w:rPr>
                <w:rFonts w:ascii="Times New Roman" w:eastAsia="宋体" w:hAnsi="Times New Roman" w:cs="Times New Roman"/>
                <w:noProof/>
                <w:webHidden/>
                <w:sz w:val="24"/>
                <w:szCs w:val="24"/>
              </w:rPr>
              <w:t>7</w:t>
            </w:r>
            <w:r w:rsidRPr="00AC0533">
              <w:rPr>
                <w:rFonts w:ascii="Times New Roman" w:eastAsia="宋体" w:hAnsi="Times New Roman" w:cs="Times New Roman"/>
                <w:noProof/>
                <w:webHidden/>
                <w:sz w:val="24"/>
                <w:szCs w:val="24"/>
              </w:rPr>
              <w:fldChar w:fldCharType="end"/>
            </w:r>
          </w:hyperlink>
        </w:p>
        <w:p w14:paraId="22E3D6E0" w14:textId="7EC99207" w:rsidR="00AC0533" w:rsidRDefault="00AC0533">
          <w:pPr>
            <w:rPr>
              <w:rFonts w:hint="eastAsia"/>
            </w:rPr>
          </w:pPr>
          <w:r>
            <w:rPr>
              <w:b/>
              <w:bCs/>
              <w:lang w:val="zh-CN"/>
            </w:rPr>
            <w:fldChar w:fldCharType="end"/>
          </w:r>
        </w:p>
      </w:sdtContent>
    </w:sdt>
    <w:p w14:paraId="77B63D7D" w14:textId="77777777" w:rsidR="006A02F2" w:rsidRDefault="006A02F2">
      <w:pPr>
        <w:widowControl/>
        <w:jc w:val="left"/>
        <w:rPr>
          <w:rFonts w:ascii="Times New Roman" w:eastAsia="宋体" w:hAnsi="Times New Roman" w:cs="Times New Roman"/>
          <w:b/>
          <w:bCs/>
          <w:sz w:val="28"/>
          <w:szCs w:val="28"/>
        </w:rPr>
      </w:pPr>
      <w:r>
        <w:rPr>
          <w:rFonts w:ascii="Times New Roman" w:eastAsia="宋体" w:hAnsi="Times New Roman" w:cs="Times New Roman"/>
          <w:b/>
          <w:bCs/>
          <w:sz w:val="28"/>
          <w:szCs w:val="28"/>
        </w:rPr>
        <w:br w:type="page"/>
      </w:r>
    </w:p>
    <w:p w14:paraId="7CA0BE67" w14:textId="3F9DB05D" w:rsidR="005860CD" w:rsidRPr="006A02F2" w:rsidRDefault="005860CD" w:rsidP="006A02F2">
      <w:pPr>
        <w:pStyle w:val="1"/>
      </w:pPr>
      <w:bookmarkStart w:id="2" w:name="_Toc198040177"/>
      <w:bookmarkEnd w:id="1"/>
      <w:r w:rsidRPr="006A02F2">
        <w:t>一、</w:t>
      </w:r>
      <w:r w:rsidR="006A02F2">
        <w:rPr>
          <w:rFonts w:hint="eastAsia"/>
        </w:rPr>
        <w:t>任务来源</w:t>
      </w:r>
      <w:bookmarkEnd w:id="2"/>
    </w:p>
    <w:p w14:paraId="7745914C" w14:textId="2A5FFC2B" w:rsidR="005860CD" w:rsidRPr="006A02F2" w:rsidRDefault="00CD534B" w:rsidP="00975CB7">
      <w:pPr>
        <w:spacing w:line="360" w:lineRule="auto"/>
        <w:ind w:firstLineChars="200" w:firstLine="480"/>
        <w:rPr>
          <w:rFonts w:ascii="Times New Roman" w:eastAsia="宋体" w:hAnsi="Times New Roman" w:cs="Times New Roman"/>
          <w:sz w:val="24"/>
          <w:szCs w:val="24"/>
        </w:rPr>
      </w:pPr>
      <w:r w:rsidRPr="006A02F2">
        <w:rPr>
          <w:rFonts w:ascii="Times New Roman" w:eastAsia="宋体" w:hAnsi="Times New Roman" w:cs="Times New Roman" w:hint="eastAsia"/>
          <w:sz w:val="24"/>
          <w:szCs w:val="24"/>
        </w:rPr>
        <w:t>项目依托</w:t>
      </w:r>
      <w:r w:rsidR="00975CB7" w:rsidRPr="006A02F2">
        <w:rPr>
          <w:rFonts w:ascii="Times New Roman" w:eastAsia="宋体" w:hAnsi="Times New Roman" w:cs="Times New Roman" w:hint="eastAsia"/>
          <w:sz w:val="24"/>
          <w:szCs w:val="24"/>
        </w:rPr>
        <w:t>国家</w:t>
      </w:r>
      <w:r w:rsidR="00A541F8" w:rsidRPr="006A02F2">
        <w:rPr>
          <w:rFonts w:ascii="Times New Roman" w:eastAsia="宋体" w:hAnsi="Times New Roman" w:cs="Times New Roman" w:hint="eastAsia"/>
          <w:sz w:val="24"/>
          <w:szCs w:val="24"/>
        </w:rPr>
        <w:t>重点研发</w:t>
      </w:r>
      <w:r w:rsidR="00975CB7" w:rsidRPr="006A02F2">
        <w:rPr>
          <w:rFonts w:ascii="Times New Roman" w:eastAsia="宋体" w:hAnsi="Times New Roman" w:cs="Times New Roman" w:hint="eastAsia"/>
          <w:sz w:val="24"/>
          <w:szCs w:val="24"/>
        </w:rPr>
        <w:t>项目</w:t>
      </w:r>
      <w:r w:rsidR="00A541F8" w:rsidRPr="006A02F2">
        <w:rPr>
          <w:rFonts w:ascii="Times New Roman" w:eastAsia="宋体" w:hAnsi="Times New Roman" w:cs="Times New Roman" w:hint="eastAsia"/>
          <w:sz w:val="24"/>
          <w:szCs w:val="24"/>
        </w:rPr>
        <w:t>子课题</w:t>
      </w:r>
      <w:r w:rsidR="00975CB7" w:rsidRPr="006A02F2">
        <w:rPr>
          <w:rFonts w:ascii="Times New Roman" w:eastAsia="宋体" w:hAnsi="Times New Roman" w:cs="Times New Roman" w:hint="eastAsia"/>
          <w:sz w:val="24"/>
          <w:szCs w:val="24"/>
        </w:rPr>
        <w:t>“</w:t>
      </w:r>
      <w:proofErr w:type="gramStart"/>
      <w:r w:rsidR="00975CB7" w:rsidRPr="006A02F2">
        <w:rPr>
          <w:rFonts w:ascii="Times New Roman" w:eastAsia="宋体" w:hAnsi="Times New Roman" w:cs="Times New Roman" w:hint="eastAsia"/>
          <w:sz w:val="24"/>
          <w:szCs w:val="24"/>
        </w:rPr>
        <w:t>柠</w:t>
      </w:r>
      <w:proofErr w:type="gramEnd"/>
      <w:r w:rsidR="00975CB7" w:rsidRPr="006A02F2">
        <w:rPr>
          <w:rFonts w:ascii="Times New Roman" w:eastAsia="宋体" w:hAnsi="Times New Roman" w:cs="Times New Roman" w:hint="eastAsia"/>
          <w:sz w:val="24"/>
          <w:szCs w:val="24"/>
        </w:rPr>
        <w:t>条机械化适时收获及预处理关键技术研究”</w:t>
      </w:r>
      <w:r w:rsidR="00A541F8" w:rsidRPr="006A02F2">
        <w:rPr>
          <w:rFonts w:ascii="Times New Roman" w:eastAsia="宋体" w:hAnsi="Times New Roman" w:cs="Times New Roman" w:hint="eastAsia"/>
          <w:sz w:val="24"/>
          <w:szCs w:val="24"/>
        </w:rPr>
        <w:t>，开展</w:t>
      </w:r>
      <w:proofErr w:type="gramStart"/>
      <w:r w:rsidR="00975CB7" w:rsidRPr="006A02F2">
        <w:rPr>
          <w:rFonts w:ascii="Times New Roman" w:eastAsia="宋体" w:hAnsi="Times New Roman" w:cs="Times New Roman" w:hint="eastAsia"/>
          <w:sz w:val="24"/>
          <w:szCs w:val="24"/>
        </w:rPr>
        <w:t>柠</w:t>
      </w:r>
      <w:proofErr w:type="gramEnd"/>
      <w:r w:rsidR="00975CB7" w:rsidRPr="006A02F2">
        <w:rPr>
          <w:rFonts w:ascii="Times New Roman" w:eastAsia="宋体" w:hAnsi="Times New Roman" w:cs="Times New Roman" w:hint="eastAsia"/>
          <w:sz w:val="24"/>
          <w:szCs w:val="24"/>
        </w:rPr>
        <w:t>条锦鸡儿饲料原料分类与质量分级</w:t>
      </w:r>
      <w:r w:rsidR="00A541F8" w:rsidRPr="006A02F2">
        <w:rPr>
          <w:rFonts w:ascii="Times New Roman" w:eastAsia="宋体" w:hAnsi="Times New Roman" w:cs="Times New Roman" w:hint="eastAsia"/>
          <w:sz w:val="24"/>
          <w:szCs w:val="24"/>
        </w:rPr>
        <w:t>研究</w:t>
      </w:r>
      <w:r w:rsidR="00975CB7" w:rsidRPr="006A02F2">
        <w:rPr>
          <w:rFonts w:ascii="Times New Roman" w:eastAsia="宋体" w:hAnsi="Times New Roman" w:cs="Times New Roman" w:hint="eastAsia"/>
          <w:sz w:val="24"/>
          <w:szCs w:val="24"/>
        </w:rPr>
        <w:t>，同时</w:t>
      </w:r>
      <w:r w:rsidR="00DE3125" w:rsidRPr="006A02F2">
        <w:rPr>
          <w:rFonts w:ascii="Times New Roman" w:eastAsia="宋体" w:hAnsi="Times New Roman" w:cs="Times New Roman" w:hint="eastAsia"/>
          <w:sz w:val="24"/>
          <w:szCs w:val="24"/>
        </w:rPr>
        <w:t>联合相关领域头部企业与科研院校共同开展</w:t>
      </w:r>
      <w:r w:rsidR="00795A56" w:rsidRPr="006A02F2">
        <w:rPr>
          <w:rFonts w:ascii="Times New Roman" w:eastAsia="宋体" w:hAnsi="Times New Roman" w:cs="Times New Roman" w:hint="eastAsia"/>
          <w:sz w:val="24"/>
          <w:szCs w:val="24"/>
        </w:rPr>
        <w:t>工作</w:t>
      </w:r>
      <w:r w:rsidR="00DE3125" w:rsidRPr="006A02F2">
        <w:rPr>
          <w:rFonts w:ascii="Times New Roman" w:eastAsia="宋体" w:hAnsi="Times New Roman" w:cs="Times New Roman" w:hint="eastAsia"/>
          <w:sz w:val="24"/>
          <w:szCs w:val="24"/>
        </w:rPr>
        <w:t>。</w:t>
      </w:r>
    </w:p>
    <w:p w14:paraId="09FC773B" w14:textId="77777777" w:rsidR="006A02F2" w:rsidRDefault="006A02F2" w:rsidP="006A02F2">
      <w:pPr>
        <w:pStyle w:val="1"/>
      </w:pPr>
      <w:bookmarkStart w:id="3" w:name="_Toc176456971"/>
      <w:bookmarkStart w:id="4" w:name="_Toc28119"/>
      <w:bookmarkStart w:id="5" w:name="_Toc198040178"/>
      <w:r>
        <w:rPr>
          <w:rFonts w:hint="eastAsia"/>
        </w:rPr>
        <w:t>二、</w:t>
      </w:r>
      <w:r>
        <w:t>编制目的和意义</w:t>
      </w:r>
      <w:bookmarkEnd w:id="3"/>
      <w:bookmarkEnd w:id="4"/>
      <w:bookmarkEnd w:id="5"/>
    </w:p>
    <w:p w14:paraId="6F3F40C1" w14:textId="77777777" w:rsidR="006A02F2" w:rsidRPr="006A02F2" w:rsidRDefault="006A02F2" w:rsidP="006A02F2">
      <w:pPr>
        <w:spacing w:line="360" w:lineRule="auto"/>
        <w:ind w:firstLineChars="200" w:firstLine="480"/>
        <w:rPr>
          <w:rFonts w:ascii="Times New Roman" w:eastAsia="宋体" w:hAnsi="Times New Roman" w:cs="Times New Roman"/>
          <w:sz w:val="24"/>
          <w:szCs w:val="24"/>
        </w:rPr>
      </w:pPr>
      <w:proofErr w:type="gramStart"/>
      <w:r w:rsidRPr="006A02F2">
        <w:rPr>
          <w:rFonts w:ascii="Times New Roman" w:eastAsia="宋体" w:hAnsi="Times New Roman" w:cs="Times New Roman" w:hint="eastAsia"/>
          <w:sz w:val="24"/>
          <w:szCs w:val="24"/>
        </w:rPr>
        <w:t>柠</w:t>
      </w:r>
      <w:proofErr w:type="gramEnd"/>
      <w:r w:rsidRPr="006A02F2">
        <w:rPr>
          <w:rFonts w:ascii="Times New Roman" w:eastAsia="宋体" w:hAnsi="Times New Roman" w:cs="Times New Roman" w:hint="eastAsia"/>
          <w:sz w:val="24"/>
          <w:szCs w:val="24"/>
        </w:rPr>
        <w:t>条锦鸡儿作为新型木本蛋白饲料资源，其生产、加工和转化利用环节长期面临原料利用率低、机械化采收不足、营养转化机制不明确等核心关键技术瓶颈，亟需通过标准化破解产业</w:t>
      </w:r>
      <w:proofErr w:type="gramStart"/>
      <w:r w:rsidRPr="006A02F2">
        <w:rPr>
          <w:rFonts w:ascii="Times New Roman" w:eastAsia="宋体" w:hAnsi="Times New Roman" w:cs="Times New Roman" w:hint="eastAsia"/>
          <w:sz w:val="24"/>
          <w:szCs w:val="24"/>
        </w:rPr>
        <w:t>链发展</w:t>
      </w:r>
      <w:proofErr w:type="gramEnd"/>
      <w:r w:rsidRPr="006A02F2">
        <w:rPr>
          <w:rFonts w:ascii="Times New Roman" w:eastAsia="宋体" w:hAnsi="Times New Roman" w:cs="Times New Roman" w:hint="eastAsia"/>
          <w:sz w:val="24"/>
          <w:szCs w:val="24"/>
        </w:rPr>
        <w:t>壁垒。现</w:t>
      </w:r>
      <w:proofErr w:type="gramStart"/>
      <w:r w:rsidRPr="006A02F2">
        <w:rPr>
          <w:rFonts w:ascii="Times New Roman" w:eastAsia="宋体" w:hAnsi="Times New Roman" w:cs="Times New Roman" w:hint="eastAsia"/>
          <w:sz w:val="24"/>
          <w:szCs w:val="24"/>
        </w:rPr>
        <w:t>柠</w:t>
      </w:r>
      <w:proofErr w:type="gramEnd"/>
      <w:r w:rsidRPr="006A02F2">
        <w:rPr>
          <w:rFonts w:ascii="Times New Roman" w:eastAsia="宋体" w:hAnsi="Times New Roman" w:cs="Times New Roman" w:hint="eastAsia"/>
          <w:sz w:val="24"/>
          <w:szCs w:val="24"/>
        </w:rPr>
        <w:t>条种植、平茬及饲料加工体系缺乏统一规范，导致原料品质参差不齐、加工装备适配性差，制约规模化应用。制定</w:t>
      </w:r>
      <w:proofErr w:type="gramStart"/>
      <w:r w:rsidRPr="006A02F2">
        <w:rPr>
          <w:rFonts w:ascii="Times New Roman" w:eastAsia="宋体" w:hAnsi="Times New Roman" w:cs="Times New Roman" w:hint="eastAsia"/>
          <w:sz w:val="24"/>
          <w:szCs w:val="24"/>
        </w:rPr>
        <w:t>柠</w:t>
      </w:r>
      <w:proofErr w:type="gramEnd"/>
      <w:r w:rsidRPr="006A02F2">
        <w:rPr>
          <w:rFonts w:ascii="Times New Roman" w:eastAsia="宋体" w:hAnsi="Times New Roman" w:cs="Times New Roman" w:hint="eastAsia"/>
          <w:sz w:val="24"/>
          <w:szCs w:val="24"/>
        </w:rPr>
        <w:t>条锦鸡儿饲料原料分类与质量分级标准可填补技术空白，加大推广</w:t>
      </w:r>
      <w:proofErr w:type="gramStart"/>
      <w:r w:rsidRPr="006A02F2">
        <w:rPr>
          <w:rFonts w:ascii="Times New Roman" w:eastAsia="宋体" w:hAnsi="Times New Roman" w:cs="Times New Roman" w:hint="eastAsia"/>
          <w:sz w:val="24"/>
          <w:szCs w:val="24"/>
        </w:rPr>
        <w:t>柠</w:t>
      </w:r>
      <w:proofErr w:type="gramEnd"/>
      <w:r w:rsidRPr="006A02F2">
        <w:rPr>
          <w:rFonts w:ascii="Times New Roman" w:eastAsia="宋体" w:hAnsi="Times New Roman" w:cs="Times New Roman" w:hint="eastAsia"/>
          <w:sz w:val="24"/>
          <w:szCs w:val="24"/>
        </w:rPr>
        <w:t>条锦鸡儿饲料化应用，为</w:t>
      </w:r>
      <w:proofErr w:type="gramStart"/>
      <w:r w:rsidRPr="006A02F2">
        <w:rPr>
          <w:rFonts w:ascii="Times New Roman" w:eastAsia="宋体" w:hAnsi="Times New Roman" w:cs="Times New Roman" w:hint="eastAsia"/>
          <w:sz w:val="24"/>
          <w:szCs w:val="24"/>
        </w:rPr>
        <w:t>构建全产业链标准</w:t>
      </w:r>
      <w:proofErr w:type="gramEnd"/>
      <w:r w:rsidRPr="006A02F2">
        <w:rPr>
          <w:rFonts w:ascii="Times New Roman" w:eastAsia="宋体" w:hAnsi="Times New Roman" w:cs="Times New Roman" w:hint="eastAsia"/>
          <w:sz w:val="24"/>
          <w:szCs w:val="24"/>
        </w:rPr>
        <w:t>体系提供核心支撑。</w:t>
      </w:r>
    </w:p>
    <w:p w14:paraId="2C8A5037" w14:textId="09B4329D" w:rsidR="006A02F2" w:rsidRDefault="006A02F2" w:rsidP="006A02F2">
      <w:pPr>
        <w:spacing w:line="360" w:lineRule="auto"/>
        <w:ind w:firstLineChars="200" w:firstLine="480"/>
        <w:rPr>
          <w:rFonts w:ascii="Times New Roman" w:eastAsia="宋体" w:hAnsi="Times New Roman" w:cs="Times New Roman"/>
          <w:sz w:val="24"/>
          <w:szCs w:val="24"/>
        </w:rPr>
      </w:pPr>
      <w:r w:rsidRPr="006A02F2">
        <w:rPr>
          <w:rFonts w:ascii="Times New Roman" w:eastAsia="宋体" w:hAnsi="Times New Roman" w:cs="Times New Roman" w:hint="eastAsia"/>
          <w:sz w:val="24"/>
          <w:szCs w:val="24"/>
        </w:rPr>
        <w:t>“</w:t>
      </w:r>
      <w:proofErr w:type="gramStart"/>
      <w:r w:rsidRPr="006A02F2">
        <w:rPr>
          <w:rFonts w:ascii="Times New Roman" w:eastAsia="宋体" w:hAnsi="Times New Roman" w:cs="Times New Roman" w:hint="eastAsia"/>
          <w:sz w:val="24"/>
          <w:szCs w:val="24"/>
        </w:rPr>
        <w:t>柠</w:t>
      </w:r>
      <w:proofErr w:type="gramEnd"/>
      <w:r w:rsidRPr="006A02F2">
        <w:rPr>
          <w:rFonts w:ascii="Times New Roman" w:eastAsia="宋体" w:hAnsi="Times New Roman" w:cs="Times New Roman" w:hint="eastAsia"/>
          <w:sz w:val="24"/>
          <w:szCs w:val="24"/>
        </w:rPr>
        <w:t>条锦鸡儿饲料原料分类与质量分级”标准的提出，有利于实现</w:t>
      </w:r>
      <w:proofErr w:type="gramStart"/>
      <w:r w:rsidRPr="006A02F2">
        <w:rPr>
          <w:rFonts w:ascii="Times New Roman" w:eastAsia="宋体" w:hAnsi="Times New Roman" w:cs="Times New Roman" w:hint="eastAsia"/>
          <w:sz w:val="24"/>
          <w:szCs w:val="24"/>
        </w:rPr>
        <w:t>柠</w:t>
      </w:r>
      <w:proofErr w:type="gramEnd"/>
      <w:r w:rsidRPr="006A02F2">
        <w:rPr>
          <w:rFonts w:ascii="Times New Roman" w:eastAsia="宋体" w:hAnsi="Times New Roman" w:cs="Times New Roman" w:hint="eastAsia"/>
          <w:sz w:val="24"/>
          <w:szCs w:val="24"/>
        </w:rPr>
        <w:t>条锦鸡儿饲料资源精细</w:t>
      </w:r>
      <w:proofErr w:type="gramStart"/>
      <w:r w:rsidRPr="006A02F2">
        <w:rPr>
          <w:rFonts w:ascii="Times New Roman" w:eastAsia="宋体" w:hAnsi="Times New Roman" w:cs="Times New Roman" w:hint="eastAsia"/>
          <w:sz w:val="24"/>
          <w:szCs w:val="24"/>
        </w:rPr>
        <w:t>化开发</w:t>
      </w:r>
      <w:proofErr w:type="gramEnd"/>
      <w:r w:rsidRPr="006A02F2">
        <w:rPr>
          <w:rFonts w:ascii="Times New Roman" w:eastAsia="宋体" w:hAnsi="Times New Roman" w:cs="Times New Roman" w:hint="eastAsia"/>
          <w:sz w:val="24"/>
          <w:szCs w:val="24"/>
        </w:rPr>
        <w:t>与分级利用，提升其作为蛋白饲料和功能性添加剂的经济价值，缓解饲用蛋白短缺压力，助力畜牧业降本增效。通过推动“林</w:t>
      </w:r>
      <w:r w:rsidRPr="006A02F2">
        <w:rPr>
          <w:rFonts w:ascii="Times New Roman" w:eastAsia="宋体" w:hAnsi="Times New Roman" w:cs="Times New Roman" w:hint="eastAsia"/>
          <w:sz w:val="24"/>
          <w:szCs w:val="24"/>
        </w:rPr>
        <w:t>-</w:t>
      </w:r>
      <w:r w:rsidRPr="006A02F2">
        <w:rPr>
          <w:rFonts w:ascii="Times New Roman" w:eastAsia="宋体" w:hAnsi="Times New Roman" w:cs="Times New Roman" w:hint="eastAsia"/>
          <w:sz w:val="24"/>
          <w:szCs w:val="24"/>
        </w:rPr>
        <w:t>草</w:t>
      </w:r>
      <w:r w:rsidRPr="006A02F2">
        <w:rPr>
          <w:rFonts w:ascii="Times New Roman" w:eastAsia="宋体" w:hAnsi="Times New Roman" w:cs="Times New Roman" w:hint="eastAsia"/>
          <w:sz w:val="24"/>
          <w:szCs w:val="24"/>
        </w:rPr>
        <w:t>-</w:t>
      </w:r>
      <w:r w:rsidRPr="006A02F2">
        <w:rPr>
          <w:rFonts w:ascii="Times New Roman" w:eastAsia="宋体" w:hAnsi="Times New Roman" w:cs="Times New Roman" w:hint="eastAsia"/>
          <w:sz w:val="24"/>
          <w:szCs w:val="24"/>
        </w:rPr>
        <w:t>畜”立体生态种养模式，引导机械化采收装备研发、智能化加工基地建设及产销订单化对接，形成“一株</w:t>
      </w:r>
      <w:proofErr w:type="gramStart"/>
      <w:r w:rsidRPr="006A02F2">
        <w:rPr>
          <w:rFonts w:ascii="Times New Roman" w:eastAsia="宋体" w:hAnsi="Times New Roman" w:cs="Times New Roman" w:hint="eastAsia"/>
          <w:sz w:val="24"/>
          <w:szCs w:val="24"/>
        </w:rPr>
        <w:t>柠</w:t>
      </w:r>
      <w:proofErr w:type="gramEnd"/>
      <w:r w:rsidRPr="006A02F2">
        <w:rPr>
          <w:rFonts w:ascii="Times New Roman" w:eastAsia="宋体" w:hAnsi="Times New Roman" w:cs="Times New Roman" w:hint="eastAsia"/>
          <w:sz w:val="24"/>
          <w:szCs w:val="24"/>
        </w:rPr>
        <w:t>条”到“一块好肉”的全产业链发展。同时，以标准化带动行业协会、龙头企业与农牧民协同发展，构建产销信息平台与区域交易中心，促进资源开发与生态保护的有机统一，既通过规模化加工助农增收，又依托平茬管理实现植被固土增绿，为国家生态屏障区农牧业高质量发展提供可复制范式。</w:t>
      </w:r>
    </w:p>
    <w:p w14:paraId="49730777" w14:textId="77777777" w:rsidR="006A02F2" w:rsidRDefault="006A02F2" w:rsidP="006A02F2">
      <w:pPr>
        <w:pStyle w:val="1"/>
      </w:pPr>
      <w:bookmarkStart w:id="6" w:name="_Toc2455"/>
      <w:bookmarkStart w:id="7" w:name="_Toc22674795"/>
      <w:bookmarkStart w:id="8" w:name="_Toc22682828"/>
      <w:bookmarkStart w:id="9" w:name="_Toc176456972"/>
      <w:bookmarkStart w:id="10" w:name="_Toc404077040"/>
      <w:bookmarkStart w:id="11" w:name="_Toc198040179"/>
      <w:r>
        <w:rPr>
          <w:rFonts w:hint="eastAsia"/>
        </w:rPr>
        <w:t>三、</w:t>
      </w:r>
      <w:r>
        <w:t>编制原则和依据</w:t>
      </w:r>
      <w:bookmarkEnd w:id="6"/>
      <w:bookmarkEnd w:id="7"/>
      <w:bookmarkEnd w:id="8"/>
      <w:bookmarkEnd w:id="9"/>
      <w:bookmarkEnd w:id="10"/>
      <w:bookmarkEnd w:id="11"/>
    </w:p>
    <w:p w14:paraId="0E31AECB" w14:textId="77777777" w:rsidR="006A02F2" w:rsidRPr="00D9030E" w:rsidRDefault="006A02F2" w:rsidP="006A02F2">
      <w:pPr>
        <w:spacing w:line="360" w:lineRule="auto"/>
        <w:ind w:firstLineChars="200" w:firstLine="480"/>
        <w:rPr>
          <w:rFonts w:ascii="Times New Roman" w:eastAsia="宋体" w:hAnsi="Times New Roman" w:cs="Times New Roman"/>
          <w:sz w:val="24"/>
          <w:szCs w:val="24"/>
        </w:rPr>
      </w:pPr>
      <w:r w:rsidRPr="00D9030E">
        <w:rPr>
          <w:rFonts w:ascii="Times New Roman" w:eastAsia="宋体" w:hAnsi="Times New Roman" w:cs="Times New Roman"/>
          <w:sz w:val="24"/>
          <w:szCs w:val="24"/>
        </w:rPr>
        <w:t>在标准制定过程中，我们始终遵循密切联系生产实践，确保标准具有较强的科学性、可操作性，坚持促进行业规范发展的基本原则。根据我国</w:t>
      </w:r>
      <w:proofErr w:type="gramStart"/>
      <w:r w:rsidRPr="00D9030E">
        <w:rPr>
          <w:rFonts w:ascii="Times New Roman" w:eastAsia="宋体" w:hAnsi="Times New Roman" w:cs="Times New Roman"/>
          <w:sz w:val="24"/>
          <w:szCs w:val="24"/>
        </w:rPr>
        <w:t>柠</w:t>
      </w:r>
      <w:proofErr w:type="gramEnd"/>
      <w:r w:rsidRPr="00D9030E">
        <w:rPr>
          <w:rFonts w:ascii="Times New Roman" w:eastAsia="宋体" w:hAnsi="Times New Roman" w:cs="Times New Roman"/>
          <w:sz w:val="24"/>
          <w:szCs w:val="24"/>
        </w:rPr>
        <w:t>条锦鸡儿饲料的现状，将标准的适用范围确定为</w:t>
      </w:r>
      <w:r w:rsidRPr="00D9030E">
        <w:rPr>
          <w:rFonts w:ascii="Times New Roman" w:eastAsia="宋体" w:hAnsi="Times New Roman" w:cs="Times New Roman"/>
          <w:sz w:val="24"/>
          <w:szCs w:val="24"/>
        </w:rPr>
        <w:t>“</w:t>
      </w:r>
      <w:r w:rsidRPr="00D9030E">
        <w:rPr>
          <w:rFonts w:ascii="Times New Roman" w:eastAsia="宋体" w:hAnsi="Times New Roman" w:cs="Times New Roman"/>
          <w:sz w:val="24"/>
          <w:szCs w:val="24"/>
        </w:rPr>
        <w:t>新鲜</w:t>
      </w:r>
      <w:proofErr w:type="gramStart"/>
      <w:r w:rsidRPr="00D9030E">
        <w:rPr>
          <w:rFonts w:ascii="Times New Roman" w:eastAsia="宋体" w:hAnsi="Times New Roman" w:cs="Times New Roman"/>
          <w:sz w:val="24"/>
          <w:szCs w:val="24"/>
        </w:rPr>
        <w:t>柠</w:t>
      </w:r>
      <w:proofErr w:type="gramEnd"/>
      <w:r w:rsidRPr="00D9030E">
        <w:rPr>
          <w:rFonts w:ascii="Times New Roman" w:eastAsia="宋体" w:hAnsi="Times New Roman" w:cs="Times New Roman"/>
          <w:sz w:val="24"/>
          <w:szCs w:val="24"/>
        </w:rPr>
        <w:t>条锦鸡儿、风干</w:t>
      </w:r>
      <w:proofErr w:type="gramStart"/>
      <w:r w:rsidRPr="00D9030E">
        <w:rPr>
          <w:rFonts w:ascii="Times New Roman" w:eastAsia="宋体" w:hAnsi="Times New Roman" w:cs="Times New Roman"/>
          <w:sz w:val="24"/>
          <w:szCs w:val="24"/>
        </w:rPr>
        <w:t>柠</w:t>
      </w:r>
      <w:proofErr w:type="gramEnd"/>
      <w:r w:rsidRPr="00D9030E">
        <w:rPr>
          <w:rFonts w:ascii="Times New Roman" w:eastAsia="宋体" w:hAnsi="Times New Roman" w:cs="Times New Roman"/>
          <w:sz w:val="24"/>
          <w:szCs w:val="24"/>
        </w:rPr>
        <w:t>条锦鸡儿、蒸汽爆破及其他处理</w:t>
      </w:r>
      <w:proofErr w:type="gramStart"/>
      <w:r w:rsidRPr="00D9030E">
        <w:rPr>
          <w:rFonts w:ascii="Times New Roman" w:eastAsia="宋体" w:hAnsi="Times New Roman" w:cs="Times New Roman"/>
          <w:sz w:val="24"/>
          <w:szCs w:val="24"/>
        </w:rPr>
        <w:t>柠</w:t>
      </w:r>
      <w:proofErr w:type="gramEnd"/>
      <w:r w:rsidRPr="00D9030E">
        <w:rPr>
          <w:rFonts w:ascii="Times New Roman" w:eastAsia="宋体" w:hAnsi="Times New Roman" w:cs="Times New Roman"/>
          <w:sz w:val="24"/>
          <w:szCs w:val="24"/>
        </w:rPr>
        <w:t>条锦鸡儿饲料原料</w:t>
      </w:r>
      <w:r w:rsidRPr="00D9030E">
        <w:rPr>
          <w:rFonts w:ascii="Times New Roman" w:eastAsia="宋体" w:hAnsi="Times New Roman" w:cs="Times New Roman"/>
          <w:sz w:val="24"/>
          <w:szCs w:val="24"/>
        </w:rPr>
        <w:t>”</w:t>
      </w:r>
      <w:r w:rsidRPr="00D9030E">
        <w:rPr>
          <w:rFonts w:ascii="Times New Roman" w:eastAsia="宋体" w:hAnsi="Times New Roman" w:cs="Times New Roman"/>
          <w:sz w:val="24"/>
          <w:szCs w:val="24"/>
        </w:rPr>
        <w:t>。</w:t>
      </w:r>
    </w:p>
    <w:p w14:paraId="230B6675" w14:textId="77777777" w:rsidR="006A02F2" w:rsidRPr="00D9030E" w:rsidRDefault="006A02F2" w:rsidP="006A02F2">
      <w:pPr>
        <w:spacing w:line="360" w:lineRule="auto"/>
        <w:ind w:firstLineChars="200" w:firstLine="480"/>
        <w:rPr>
          <w:rFonts w:ascii="Times New Roman" w:eastAsia="宋体" w:hAnsi="Times New Roman" w:cs="Times New Roman"/>
          <w:sz w:val="24"/>
          <w:szCs w:val="24"/>
        </w:rPr>
      </w:pPr>
      <w:r w:rsidRPr="00D9030E">
        <w:rPr>
          <w:rFonts w:ascii="Times New Roman" w:eastAsia="宋体" w:hAnsi="Times New Roman" w:cs="Times New Roman"/>
          <w:sz w:val="24"/>
          <w:szCs w:val="24"/>
        </w:rPr>
        <w:t>目前，国内的相关标准有</w:t>
      </w:r>
      <w:r w:rsidRPr="00D9030E">
        <w:rPr>
          <w:rFonts w:ascii="Times New Roman" w:eastAsia="宋体" w:hAnsi="Times New Roman" w:cs="Times New Roman"/>
          <w:sz w:val="24"/>
          <w:szCs w:val="24"/>
        </w:rPr>
        <w:t xml:space="preserve">: </w:t>
      </w:r>
      <w:r w:rsidRPr="00D9030E">
        <w:rPr>
          <w:rFonts w:ascii="Times New Roman" w:eastAsia="宋体" w:hAnsi="Times New Roman" w:cs="Times New Roman"/>
          <w:sz w:val="24"/>
          <w:szCs w:val="24"/>
        </w:rPr>
        <w:t>《</w:t>
      </w:r>
      <w:r w:rsidRPr="00D9030E">
        <w:rPr>
          <w:rFonts w:ascii="Times New Roman" w:eastAsia="宋体" w:hAnsi="Times New Roman" w:cs="Times New Roman"/>
          <w:sz w:val="24"/>
          <w:szCs w:val="24"/>
        </w:rPr>
        <w:t xml:space="preserve">T/CAAA 084-2022 </w:t>
      </w:r>
      <w:r w:rsidRPr="00D9030E">
        <w:rPr>
          <w:rFonts w:ascii="Times New Roman" w:eastAsia="宋体" w:hAnsi="Times New Roman" w:cs="Times New Roman"/>
          <w:sz w:val="24"/>
          <w:szCs w:val="24"/>
        </w:rPr>
        <w:t>猫尾草干草质量分级》《</w:t>
      </w:r>
      <w:r w:rsidRPr="00D9030E">
        <w:rPr>
          <w:rFonts w:ascii="Times New Roman" w:eastAsia="宋体" w:hAnsi="Times New Roman" w:cs="Times New Roman"/>
          <w:sz w:val="24"/>
          <w:szCs w:val="24"/>
        </w:rPr>
        <w:t xml:space="preserve">T/CAAA 086—2022 </w:t>
      </w:r>
      <w:r w:rsidRPr="00D9030E">
        <w:rPr>
          <w:rFonts w:ascii="Times New Roman" w:eastAsia="宋体" w:hAnsi="Times New Roman" w:cs="Times New Roman"/>
          <w:sz w:val="24"/>
          <w:szCs w:val="24"/>
        </w:rPr>
        <w:t>苜蓿草粉质量分级》等。但其所规范的样品特性与</w:t>
      </w:r>
      <w:proofErr w:type="gramStart"/>
      <w:r w:rsidRPr="00D9030E">
        <w:rPr>
          <w:rFonts w:ascii="Times New Roman" w:eastAsia="宋体" w:hAnsi="Times New Roman" w:cs="Times New Roman"/>
          <w:sz w:val="24"/>
          <w:szCs w:val="24"/>
        </w:rPr>
        <w:t>柠</w:t>
      </w:r>
      <w:proofErr w:type="gramEnd"/>
      <w:r w:rsidRPr="00D9030E">
        <w:rPr>
          <w:rFonts w:ascii="Times New Roman" w:eastAsia="宋体" w:hAnsi="Times New Roman" w:cs="Times New Roman"/>
          <w:sz w:val="24"/>
          <w:szCs w:val="24"/>
        </w:rPr>
        <w:t>条锦鸡</w:t>
      </w:r>
      <w:proofErr w:type="gramStart"/>
      <w:r w:rsidRPr="00D9030E">
        <w:rPr>
          <w:rFonts w:ascii="Times New Roman" w:eastAsia="宋体" w:hAnsi="Times New Roman" w:cs="Times New Roman"/>
          <w:sz w:val="24"/>
          <w:szCs w:val="24"/>
        </w:rPr>
        <w:t>儿存在</w:t>
      </w:r>
      <w:proofErr w:type="gramEnd"/>
      <w:r w:rsidRPr="00D9030E">
        <w:rPr>
          <w:rFonts w:ascii="Times New Roman" w:eastAsia="宋体" w:hAnsi="Times New Roman" w:cs="Times New Roman"/>
          <w:sz w:val="24"/>
          <w:szCs w:val="24"/>
        </w:rPr>
        <w:t>一定差异，无法直接适用。因此，有必要对</w:t>
      </w:r>
      <w:proofErr w:type="gramStart"/>
      <w:r w:rsidRPr="00D9030E">
        <w:rPr>
          <w:rFonts w:ascii="Times New Roman" w:eastAsia="宋体" w:hAnsi="Times New Roman" w:cs="Times New Roman"/>
          <w:sz w:val="24"/>
          <w:szCs w:val="24"/>
        </w:rPr>
        <w:t>柠</w:t>
      </w:r>
      <w:proofErr w:type="gramEnd"/>
      <w:r w:rsidRPr="00D9030E">
        <w:rPr>
          <w:rFonts w:ascii="Times New Roman" w:eastAsia="宋体" w:hAnsi="Times New Roman" w:cs="Times New Roman"/>
          <w:sz w:val="24"/>
          <w:szCs w:val="24"/>
        </w:rPr>
        <w:t>条锦鸡儿饲料原料分类与质量分级实施统一标准。</w:t>
      </w:r>
    </w:p>
    <w:p w14:paraId="07666B24" w14:textId="77777777" w:rsidR="006A02F2" w:rsidRPr="00D9030E" w:rsidRDefault="006A02F2" w:rsidP="006A02F2">
      <w:pPr>
        <w:spacing w:line="360" w:lineRule="auto"/>
        <w:ind w:firstLineChars="200" w:firstLine="480"/>
        <w:rPr>
          <w:rFonts w:ascii="Times New Roman" w:eastAsia="宋体" w:hAnsi="Times New Roman" w:cs="Times New Roman"/>
          <w:sz w:val="24"/>
          <w:szCs w:val="24"/>
        </w:rPr>
      </w:pPr>
      <w:r w:rsidRPr="00D9030E">
        <w:rPr>
          <w:rFonts w:ascii="Times New Roman" w:eastAsia="宋体" w:hAnsi="Times New Roman" w:cs="Times New Roman"/>
          <w:sz w:val="24"/>
          <w:szCs w:val="24"/>
        </w:rPr>
        <w:t>本标准根据我国</w:t>
      </w:r>
      <w:proofErr w:type="gramStart"/>
      <w:r w:rsidRPr="00D9030E">
        <w:rPr>
          <w:rFonts w:ascii="Times New Roman" w:eastAsia="宋体" w:hAnsi="Times New Roman" w:cs="Times New Roman"/>
          <w:sz w:val="24"/>
          <w:szCs w:val="24"/>
        </w:rPr>
        <w:t>柠</w:t>
      </w:r>
      <w:proofErr w:type="gramEnd"/>
      <w:r w:rsidRPr="00D9030E">
        <w:rPr>
          <w:rFonts w:ascii="Times New Roman" w:eastAsia="宋体" w:hAnsi="Times New Roman" w:cs="Times New Roman"/>
          <w:sz w:val="24"/>
          <w:szCs w:val="24"/>
        </w:rPr>
        <w:t>条锦鸡儿饲料生产实际而制定，没有引用国际标准。同时，该标准与现行法律法规无冲突，并保证了对该标准最新版本的引用。</w:t>
      </w:r>
    </w:p>
    <w:p w14:paraId="596FD51E" w14:textId="77777777" w:rsidR="006A02F2" w:rsidRDefault="006A02F2" w:rsidP="006A02F2">
      <w:pPr>
        <w:pStyle w:val="1"/>
        <w:rPr>
          <w:szCs w:val="28"/>
        </w:rPr>
      </w:pPr>
      <w:bookmarkStart w:id="12" w:name="_Toc197503229"/>
      <w:bookmarkStart w:id="13" w:name="_Toc176453393"/>
      <w:bookmarkStart w:id="14" w:name="_Toc198040180"/>
      <w:r>
        <w:rPr>
          <w:rFonts w:hint="eastAsia"/>
          <w:szCs w:val="28"/>
        </w:rPr>
        <w:t>四、主要工作过程</w:t>
      </w:r>
      <w:bookmarkEnd w:id="12"/>
      <w:bookmarkEnd w:id="13"/>
      <w:bookmarkEnd w:id="14"/>
    </w:p>
    <w:p w14:paraId="3E9D3583" w14:textId="45E58938" w:rsidR="00D9030E" w:rsidRDefault="00D9030E" w:rsidP="00D9030E">
      <w:pPr>
        <w:spacing w:line="360" w:lineRule="auto"/>
        <w:ind w:firstLineChars="200" w:firstLine="480"/>
        <w:rPr>
          <w:rFonts w:ascii="Times New Roman" w:eastAsia="宋体" w:hAnsi="Times New Roman" w:cs="Times New Roman"/>
          <w:sz w:val="24"/>
          <w:szCs w:val="24"/>
        </w:rPr>
      </w:pPr>
      <w:r w:rsidRPr="00D9030E">
        <w:rPr>
          <w:rFonts w:ascii="Times New Roman" w:eastAsia="宋体" w:hAnsi="Times New Roman" w:cs="Times New Roman" w:hint="eastAsia"/>
          <w:sz w:val="24"/>
          <w:szCs w:val="24"/>
        </w:rPr>
        <w:t>在标准的起草过程中由中国农业大学成立了标准起草小组，由中国农业大学负责确定技术指标、样本分析、组织撰写标准、意见汇总等工作。经过约</w:t>
      </w:r>
      <w:r w:rsidRPr="00D9030E">
        <w:rPr>
          <w:rFonts w:ascii="Times New Roman" w:eastAsia="宋体" w:hAnsi="Times New Roman" w:cs="Times New Roman" w:hint="eastAsia"/>
          <w:sz w:val="24"/>
          <w:szCs w:val="24"/>
        </w:rPr>
        <w:t>1-2</w:t>
      </w:r>
      <w:r w:rsidRPr="00D9030E">
        <w:rPr>
          <w:rFonts w:ascii="Times New Roman" w:eastAsia="宋体" w:hAnsi="Times New Roman" w:cs="Times New Roman" w:hint="eastAsia"/>
          <w:sz w:val="24"/>
          <w:szCs w:val="24"/>
        </w:rPr>
        <w:t>年资料收集、试验检测和技术分析、提纲讨论、起草初稿、征询业内专家意见及修改，形成标准草案。</w:t>
      </w:r>
      <w:r w:rsidRPr="00D9030E">
        <w:rPr>
          <w:rFonts w:ascii="Times New Roman" w:eastAsia="宋体" w:hAnsi="Times New Roman" w:cs="Times New Roman" w:hint="eastAsia"/>
          <w:sz w:val="24"/>
          <w:szCs w:val="24"/>
        </w:rPr>
        <w:t>202</w:t>
      </w:r>
      <w:r w:rsidR="00A31BF1">
        <w:rPr>
          <w:rFonts w:ascii="Times New Roman" w:eastAsia="宋体" w:hAnsi="Times New Roman" w:cs="Times New Roman" w:hint="eastAsia"/>
          <w:sz w:val="24"/>
          <w:szCs w:val="24"/>
        </w:rPr>
        <w:t>4</w:t>
      </w:r>
      <w:r w:rsidRPr="00D9030E">
        <w:rPr>
          <w:rFonts w:ascii="Times New Roman" w:eastAsia="宋体" w:hAnsi="Times New Roman" w:cs="Times New Roman" w:hint="eastAsia"/>
          <w:sz w:val="24"/>
          <w:szCs w:val="24"/>
        </w:rPr>
        <w:t>年</w:t>
      </w:r>
      <w:r w:rsidR="00A31BF1">
        <w:rPr>
          <w:rFonts w:ascii="Times New Roman" w:eastAsia="宋体" w:hAnsi="Times New Roman" w:cs="Times New Roman" w:hint="eastAsia"/>
          <w:sz w:val="24"/>
          <w:szCs w:val="24"/>
        </w:rPr>
        <w:t>12</w:t>
      </w:r>
      <w:r w:rsidR="00A31BF1">
        <w:rPr>
          <w:rFonts w:ascii="Times New Roman" w:eastAsia="宋体" w:hAnsi="Times New Roman" w:cs="Times New Roman" w:hint="eastAsia"/>
          <w:sz w:val="24"/>
          <w:szCs w:val="24"/>
        </w:rPr>
        <w:t>月，</w:t>
      </w:r>
      <w:r w:rsidRPr="00D9030E">
        <w:rPr>
          <w:rFonts w:ascii="Times New Roman" w:eastAsia="宋体" w:hAnsi="Times New Roman" w:cs="Times New Roman" w:hint="eastAsia"/>
          <w:sz w:val="24"/>
          <w:szCs w:val="24"/>
        </w:rPr>
        <w:t>由中国农业大学申请团体标准的立项根据北京华夏草业产业技术创新战略联盟下达的团体标准修订项目计划批准了《柠条锦鸡儿饲料原料分类与质量分级》团体标准的制订。目前，已根据意见完成标准草案及编制说明的撰写与修改，提交北京华夏草业产业技术创新战略联盟进一步供相关专家进行评审会。工作过程简述如下：</w:t>
      </w:r>
    </w:p>
    <w:p w14:paraId="59D54D4C" w14:textId="2DE679EB" w:rsidR="00D9030E" w:rsidRPr="00D9030E" w:rsidRDefault="00D9030E" w:rsidP="00D9030E">
      <w:pPr>
        <w:pStyle w:val="a9"/>
        <w:numPr>
          <w:ilvl w:val="0"/>
          <w:numId w:val="8"/>
        </w:numPr>
        <w:spacing w:line="360" w:lineRule="auto"/>
        <w:ind w:firstLineChars="0"/>
        <w:outlineLvl w:val="1"/>
        <w:rPr>
          <w:rFonts w:ascii="Times New Roman" w:eastAsia="宋体" w:hAnsi="Times New Roman" w:cs="Times New Roman"/>
          <w:b/>
          <w:bCs/>
          <w:sz w:val="24"/>
          <w:szCs w:val="21"/>
          <w14:ligatures w14:val="none"/>
        </w:rPr>
      </w:pPr>
      <w:bookmarkStart w:id="15" w:name="_Toc198040181"/>
      <w:r w:rsidRPr="00D9030E">
        <w:rPr>
          <w:rFonts w:ascii="Times New Roman" w:eastAsia="宋体" w:hAnsi="Times New Roman" w:cs="Times New Roman" w:hint="eastAsia"/>
          <w:b/>
          <w:bCs/>
          <w:sz w:val="24"/>
          <w:szCs w:val="21"/>
          <w14:ligatures w14:val="none"/>
        </w:rPr>
        <w:t>成立标准编制组</w:t>
      </w:r>
      <w:bookmarkEnd w:id="15"/>
    </w:p>
    <w:p w14:paraId="67033865" w14:textId="77777777" w:rsidR="00D9030E" w:rsidRPr="00D9030E" w:rsidRDefault="00D9030E" w:rsidP="00D9030E">
      <w:pPr>
        <w:spacing w:line="360" w:lineRule="auto"/>
        <w:ind w:firstLineChars="200" w:firstLine="480"/>
        <w:rPr>
          <w:rFonts w:ascii="Times New Roman" w:eastAsia="宋体" w:hAnsi="Times New Roman" w:cs="Times New Roman"/>
          <w:sz w:val="24"/>
          <w:szCs w:val="24"/>
        </w:rPr>
      </w:pPr>
      <w:r w:rsidRPr="00D9030E">
        <w:rPr>
          <w:rFonts w:ascii="Times New Roman" w:eastAsia="宋体" w:hAnsi="Times New Roman" w:cs="Times New Roman" w:hint="eastAsia"/>
          <w:sz w:val="24"/>
          <w:szCs w:val="24"/>
        </w:rPr>
        <w:t>自</w:t>
      </w:r>
      <w:r w:rsidRPr="00D9030E">
        <w:rPr>
          <w:rFonts w:ascii="Times New Roman" w:eastAsia="宋体" w:hAnsi="Times New Roman" w:cs="Times New Roman" w:hint="eastAsia"/>
          <w:sz w:val="24"/>
          <w:szCs w:val="24"/>
        </w:rPr>
        <w:t>2022</w:t>
      </w:r>
      <w:r w:rsidRPr="00D9030E">
        <w:rPr>
          <w:rFonts w:ascii="Times New Roman" w:eastAsia="宋体" w:hAnsi="Times New Roman" w:cs="Times New Roman" w:hint="eastAsia"/>
          <w:sz w:val="24"/>
          <w:szCs w:val="24"/>
        </w:rPr>
        <w:t>年起，起草小组收集相关标准《</w:t>
      </w:r>
      <w:r w:rsidRPr="00D9030E">
        <w:rPr>
          <w:rFonts w:ascii="Times New Roman" w:eastAsia="宋体" w:hAnsi="Times New Roman" w:cs="Times New Roman" w:hint="eastAsia"/>
          <w:sz w:val="24"/>
          <w:szCs w:val="24"/>
        </w:rPr>
        <w:t>GB/T 6432</w:t>
      </w:r>
      <w:r w:rsidRPr="00D9030E">
        <w:rPr>
          <w:rFonts w:ascii="Times New Roman" w:eastAsia="宋体" w:hAnsi="Times New Roman" w:cs="Times New Roman" w:hint="eastAsia"/>
          <w:sz w:val="24"/>
          <w:szCs w:val="24"/>
        </w:rPr>
        <w:tab/>
      </w:r>
      <w:r w:rsidRPr="00D9030E">
        <w:rPr>
          <w:rFonts w:ascii="Times New Roman" w:eastAsia="宋体" w:hAnsi="Times New Roman" w:cs="Times New Roman" w:hint="eastAsia"/>
          <w:sz w:val="24"/>
          <w:szCs w:val="24"/>
        </w:rPr>
        <w:t>饲料中粗蛋白的测定》《</w:t>
      </w:r>
      <w:r w:rsidRPr="00D9030E">
        <w:rPr>
          <w:rFonts w:ascii="Times New Roman" w:eastAsia="宋体" w:hAnsi="Times New Roman" w:cs="Times New Roman" w:hint="eastAsia"/>
          <w:sz w:val="24"/>
          <w:szCs w:val="24"/>
        </w:rPr>
        <w:t xml:space="preserve">T/CAAA 084-2022 </w:t>
      </w:r>
      <w:r w:rsidRPr="00D9030E">
        <w:rPr>
          <w:rFonts w:ascii="Times New Roman" w:eastAsia="宋体" w:hAnsi="Times New Roman" w:cs="Times New Roman" w:hint="eastAsia"/>
          <w:sz w:val="24"/>
          <w:szCs w:val="24"/>
        </w:rPr>
        <w:t>猫尾草干草质量分级》《</w:t>
      </w:r>
      <w:r w:rsidRPr="00D9030E">
        <w:rPr>
          <w:rFonts w:ascii="Times New Roman" w:eastAsia="宋体" w:hAnsi="Times New Roman" w:cs="Times New Roman" w:hint="eastAsia"/>
          <w:sz w:val="24"/>
          <w:szCs w:val="24"/>
        </w:rPr>
        <w:t>T/CAAA 086</w:t>
      </w:r>
      <w:r w:rsidRPr="00D9030E">
        <w:rPr>
          <w:rFonts w:ascii="Times New Roman" w:eastAsia="宋体" w:hAnsi="Times New Roman" w:cs="Times New Roman" w:hint="eastAsia"/>
          <w:sz w:val="24"/>
          <w:szCs w:val="24"/>
        </w:rPr>
        <w:t>—</w:t>
      </w:r>
      <w:r w:rsidRPr="00D9030E">
        <w:rPr>
          <w:rFonts w:ascii="Times New Roman" w:eastAsia="宋体" w:hAnsi="Times New Roman" w:cs="Times New Roman" w:hint="eastAsia"/>
          <w:sz w:val="24"/>
          <w:szCs w:val="24"/>
        </w:rPr>
        <w:t xml:space="preserve">2022 </w:t>
      </w:r>
      <w:r w:rsidRPr="00D9030E">
        <w:rPr>
          <w:rFonts w:ascii="Times New Roman" w:eastAsia="宋体" w:hAnsi="Times New Roman" w:cs="Times New Roman" w:hint="eastAsia"/>
          <w:sz w:val="24"/>
          <w:szCs w:val="24"/>
        </w:rPr>
        <w:t>苜蓿草粉质量分级》《</w:t>
      </w:r>
      <w:r w:rsidRPr="00D9030E">
        <w:rPr>
          <w:rFonts w:ascii="Times New Roman" w:eastAsia="宋体" w:hAnsi="Times New Roman" w:cs="Times New Roman" w:hint="eastAsia"/>
          <w:sz w:val="24"/>
          <w:szCs w:val="24"/>
        </w:rPr>
        <w:t xml:space="preserve">GB/T 6438 </w:t>
      </w:r>
      <w:r w:rsidRPr="00D9030E">
        <w:rPr>
          <w:rFonts w:ascii="Times New Roman" w:eastAsia="宋体" w:hAnsi="Times New Roman" w:cs="Times New Roman" w:hint="eastAsia"/>
          <w:sz w:val="24"/>
          <w:szCs w:val="24"/>
        </w:rPr>
        <w:t>饲料中粗灰分的测定》《</w:t>
      </w:r>
      <w:r w:rsidRPr="00D9030E">
        <w:rPr>
          <w:rFonts w:ascii="Times New Roman" w:eastAsia="宋体" w:hAnsi="Times New Roman" w:cs="Times New Roman" w:hint="eastAsia"/>
          <w:sz w:val="24"/>
          <w:szCs w:val="24"/>
        </w:rPr>
        <w:t>GB/T 27985</w:t>
      </w:r>
      <w:r w:rsidRPr="00D9030E">
        <w:rPr>
          <w:rFonts w:ascii="Times New Roman" w:eastAsia="宋体" w:hAnsi="Times New Roman" w:cs="Times New Roman" w:hint="eastAsia"/>
          <w:sz w:val="24"/>
          <w:szCs w:val="24"/>
        </w:rPr>
        <w:t>饲料中单宁的测定》等，收集</w:t>
      </w:r>
      <w:proofErr w:type="gramStart"/>
      <w:r w:rsidRPr="00D9030E">
        <w:rPr>
          <w:rFonts w:ascii="Times New Roman" w:eastAsia="宋体" w:hAnsi="Times New Roman" w:cs="Times New Roman" w:hint="eastAsia"/>
          <w:sz w:val="24"/>
          <w:szCs w:val="24"/>
        </w:rPr>
        <w:t>柠</w:t>
      </w:r>
      <w:proofErr w:type="gramEnd"/>
      <w:r w:rsidRPr="00D9030E">
        <w:rPr>
          <w:rFonts w:ascii="Times New Roman" w:eastAsia="宋体" w:hAnsi="Times New Roman" w:cs="Times New Roman" w:hint="eastAsia"/>
          <w:sz w:val="24"/>
          <w:szCs w:val="24"/>
        </w:rPr>
        <w:t>条锦鸡儿饲料相关文献论文资料和专利，储备了相关的知识基础，进行了细致的分析和评价。</w:t>
      </w:r>
    </w:p>
    <w:p w14:paraId="01976817" w14:textId="5B557686" w:rsidR="00D9030E" w:rsidRPr="00D9030E" w:rsidRDefault="00D9030E" w:rsidP="00D9030E">
      <w:pPr>
        <w:pStyle w:val="a9"/>
        <w:numPr>
          <w:ilvl w:val="0"/>
          <w:numId w:val="8"/>
        </w:numPr>
        <w:spacing w:line="360" w:lineRule="auto"/>
        <w:ind w:firstLineChars="0"/>
        <w:outlineLvl w:val="1"/>
        <w:rPr>
          <w:rFonts w:ascii="Times New Roman" w:eastAsia="宋体" w:hAnsi="Times New Roman" w:cs="Times New Roman"/>
          <w:b/>
          <w:bCs/>
          <w:sz w:val="24"/>
          <w:szCs w:val="21"/>
          <w14:ligatures w14:val="none"/>
        </w:rPr>
      </w:pPr>
      <w:bookmarkStart w:id="16" w:name="_Toc198040182"/>
      <w:r w:rsidRPr="00D9030E">
        <w:rPr>
          <w:rFonts w:ascii="Times New Roman" w:eastAsia="宋体" w:hAnsi="Times New Roman" w:cs="Times New Roman" w:hint="eastAsia"/>
          <w:b/>
          <w:bCs/>
          <w:sz w:val="24"/>
          <w:szCs w:val="21"/>
          <w14:ligatures w14:val="none"/>
        </w:rPr>
        <w:t>工作基础与项目调研</w:t>
      </w:r>
      <w:bookmarkEnd w:id="16"/>
    </w:p>
    <w:p w14:paraId="2880F553" w14:textId="77777777" w:rsidR="00D9030E" w:rsidRPr="00D9030E" w:rsidRDefault="00D9030E" w:rsidP="00D9030E">
      <w:pPr>
        <w:spacing w:line="360" w:lineRule="auto"/>
        <w:ind w:firstLineChars="200" w:firstLine="480"/>
        <w:rPr>
          <w:rFonts w:ascii="Times New Roman" w:eastAsia="宋体" w:hAnsi="Times New Roman" w:cs="Times New Roman"/>
          <w:sz w:val="24"/>
          <w:szCs w:val="24"/>
        </w:rPr>
      </w:pPr>
      <w:r w:rsidRPr="00D9030E">
        <w:rPr>
          <w:rFonts w:ascii="Times New Roman" w:eastAsia="宋体" w:hAnsi="Times New Roman" w:cs="Times New Roman" w:hint="eastAsia"/>
          <w:sz w:val="24"/>
          <w:szCs w:val="24"/>
        </w:rPr>
        <w:t>在承担本文件制定工作之前，编制组牵头单位先后在饲草全产业链相关领域制定了国家标准、行业标准、地方标准、团体标准</w:t>
      </w:r>
      <w:r w:rsidRPr="00D9030E">
        <w:rPr>
          <w:rFonts w:ascii="Times New Roman" w:eastAsia="宋体" w:hAnsi="Times New Roman" w:cs="Times New Roman" w:hint="eastAsia"/>
          <w:sz w:val="24"/>
          <w:szCs w:val="24"/>
        </w:rPr>
        <w:t>40</w:t>
      </w:r>
      <w:r w:rsidRPr="00D9030E">
        <w:rPr>
          <w:rFonts w:ascii="Times New Roman" w:eastAsia="宋体" w:hAnsi="Times New Roman" w:cs="Times New Roman" w:hint="eastAsia"/>
          <w:sz w:val="24"/>
          <w:szCs w:val="24"/>
        </w:rPr>
        <w:t>余项。《柠条锦鸡儿饲料原料分类与质量分级》获得农业农村</w:t>
      </w:r>
      <w:proofErr w:type="gramStart"/>
      <w:r w:rsidRPr="00D9030E">
        <w:rPr>
          <w:rFonts w:ascii="Times New Roman" w:eastAsia="宋体" w:hAnsi="Times New Roman" w:cs="Times New Roman" w:hint="eastAsia"/>
          <w:sz w:val="24"/>
          <w:szCs w:val="24"/>
        </w:rPr>
        <w:t>部行业</w:t>
      </w:r>
      <w:proofErr w:type="gramEnd"/>
      <w:r w:rsidRPr="00D9030E">
        <w:rPr>
          <w:rFonts w:ascii="Times New Roman" w:eastAsia="宋体" w:hAnsi="Times New Roman" w:cs="Times New Roman" w:hint="eastAsia"/>
          <w:sz w:val="24"/>
          <w:szCs w:val="24"/>
        </w:rPr>
        <w:t>标准立项支持。编制组的科研人员长期从事</w:t>
      </w:r>
      <w:proofErr w:type="gramStart"/>
      <w:r w:rsidRPr="00D9030E">
        <w:rPr>
          <w:rFonts w:ascii="Times New Roman" w:eastAsia="宋体" w:hAnsi="Times New Roman" w:cs="Times New Roman" w:hint="eastAsia"/>
          <w:sz w:val="24"/>
          <w:szCs w:val="24"/>
        </w:rPr>
        <w:t>柠</w:t>
      </w:r>
      <w:proofErr w:type="gramEnd"/>
      <w:r w:rsidRPr="00D9030E">
        <w:rPr>
          <w:rFonts w:ascii="Times New Roman" w:eastAsia="宋体" w:hAnsi="Times New Roman" w:cs="Times New Roman" w:hint="eastAsia"/>
          <w:sz w:val="24"/>
          <w:szCs w:val="24"/>
        </w:rPr>
        <w:t>条锦鸡儿饲料相关的研究，具有丰富的经验。为本文件制定提供了重要的理论和实践基础。</w:t>
      </w:r>
    </w:p>
    <w:p w14:paraId="7650491E" w14:textId="289EFC44" w:rsidR="00D9030E" w:rsidRPr="00D9030E" w:rsidRDefault="00D9030E" w:rsidP="00D9030E">
      <w:pPr>
        <w:spacing w:line="360" w:lineRule="auto"/>
        <w:ind w:firstLineChars="200" w:firstLine="480"/>
        <w:rPr>
          <w:rFonts w:ascii="Times New Roman" w:eastAsia="宋体" w:hAnsi="Times New Roman" w:cs="Times New Roman"/>
          <w:sz w:val="24"/>
          <w:szCs w:val="24"/>
        </w:rPr>
      </w:pPr>
      <w:r w:rsidRPr="00D9030E">
        <w:rPr>
          <w:rFonts w:ascii="Times New Roman" w:eastAsia="宋体" w:hAnsi="Times New Roman" w:cs="Times New Roman" w:hint="eastAsia"/>
          <w:sz w:val="24"/>
          <w:szCs w:val="24"/>
        </w:rPr>
        <w:t>起草小组在</w:t>
      </w:r>
      <w:r w:rsidRPr="00D9030E">
        <w:rPr>
          <w:rFonts w:ascii="Times New Roman" w:eastAsia="宋体" w:hAnsi="Times New Roman" w:cs="Times New Roman" w:hint="eastAsia"/>
          <w:sz w:val="24"/>
          <w:szCs w:val="24"/>
        </w:rPr>
        <w:t>2022</w:t>
      </w:r>
      <w:r w:rsidRPr="00D9030E">
        <w:rPr>
          <w:rFonts w:ascii="Times New Roman" w:eastAsia="宋体" w:hAnsi="Times New Roman" w:cs="Times New Roman" w:hint="eastAsia"/>
          <w:sz w:val="24"/>
          <w:szCs w:val="24"/>
        </w:rPr>
        <w:t>年</w:t>
      </w:r>
      <w:r w:rsidRPr="00D9030E">
        <w:rPr>
          <w:rFonts w:ascii="Times New Roman" w:eastAsia="宋体" w:hAnsi="Times New Roman" w:cs="Times New Roman" w:hint="eastAsia"/>
          <w:sz w:val="24"/>
          <w:szCs w:val="24"/>
        </w:rPr>
        <w:t>-2024</w:t>
      </w:r>
      <w:r w:rsidRPr="00D9030E">
        <w:rPr>
          <w:rFonts w:ascii="Times New Roman" w:eastAsia="宋体" w:hAnsi="Times New Roman" w:cs="Times New Roman" w:hint="eastAsia"/>
          <w:sz w:val="24"/>
          <w:szCs w:val="24"/>
        </w:rPr>
        <w:t>年，走访了内蒙古自治区多个市、旗、嘎查，了解其饲料利用和生产情况，调研了内蒙古正羊农牧业科技发展有限公司、内蒙古隆顺庄农牧业科技开发有限公司等</w:t>
      </w:r>
      <w:proofErr w:type="gramStart"/>
      <w:r w:rsidRPr="00D9030E">
        <w:rPr>
          <w:rFonts w:ascii="Times New Roman" w:eastAsia="宋体" w:hAnsi="Times New Roman" w:cs="Times New Roman" w:hint="eastAsia"/>
          <w:sz w:val="24"/>
          <w:szCs w:val="24"/>
        </w:rPr>
        <w:t>柠</w:t>
      </w:r>
      <w:proofErr w:type="gramEnd"/>
      <w:r w:rsidRPr="00D9030E">
        <w:rPr>
          <w:rFonts w:ascii="Times New Roman" w:eastAsia="宋体" w:hAnsi="Times New Roman" w:cs="Times New Roman" w:hint="eastAsia"/>
          <w:sz w:val="24"/>
          <w:szCs w:val="24"/>
        </w:rPr>
        <w:t>条饲用加工企业，与中国农业大学、内蒙古科技大学包头师范学院、贵州大学</w:t>
      </w:r>
      <w:r w:rsidR="00E93FB9">
        <w:rPr>
          <w:rFonts w:ascii="Times New Roman" w:eastAsia="宋体" w:hAnsi="Times New Roman" w:cs="Times New Roman" w:hint="eastAsia"/>
          <w:sz w:val="24"/>
          <w:szCs w:val="24"/>
        </w:rPr>
        <w:t>和</w:t>
      </w:r>
      <w:r w:rsidRPr="00D9030E">
        <w:rPr>
          <w:rFonts w:ascii="Times New Roman" w:eastAsia="宋体" w:hAnsi="Times New Roman" w:cs="Times New Roman" w:hint="eastAsia"/>
          <w:sz w:val="24"/>
          <w:szCs w:val="24"/>
        </w:rPr>
        <w:t>青海大学等相关专家进行深入交流和探讨，均一致认为</w:t>
      </w:r>
      <w:r w:rsidR="00A31BF1">
        <w:rPr>
          <w:rFonts w:ascii="Times New Roman" w:eastAsia="宋体" w:hAnsi="Times New Roman" w:cs="Times New Roman" w:hint="eastAsia"/>
          <w:sz w:val="24"/>
          <w:szCs w:val="24"/>
        </w:rPr>
        <w:t>制定</w:t>
      </w:r>
      <w:proofErr w:type="gramStart"/>
      <w:r w:rsidRPr="00D9030E">
        <w:rPr>
          <w:rFonts w:ascii="Times New Roman" w:eastAsia="宋体" w:hAnsi="Times New Roman" w:cs="Times New Roman" w:hint="eastAsia"/>
          <w:sz w:val="24"/>
          <w:szCs w:val="24"/>
        </w:rPr>
        <w:t>柠</w:t>
      </w:r>
      <w:proofErr w:type="gramEnd"/>
      <w:r w:rsidRPr="00D9030E">
        <w:rPr>
          <w:rFonts w:ascii="Times New Roman" w:eastAsia="宋体" w:hAnsi="Times New Roman" w:cs="Times New Roman" w:hint="eastAsia"/>
          <w:sz w:val="24"/>
          <w:szCs w:val="24"/>
        </w:rPr>
        <w:t>条锦鸡儿饲料原料分类与质量分级标准非常必要。</w:t>
      </w:r>
    </w:p>
    <w:p w14:paraId="0111F2AF" w14:textId="344F0FDB" w:rsidR="00D9030E" w:rsidRPr="00D9030E" w:rsidRDefault="00D9030E" w:rsidP="00D9030E">
      <w:pPr>
        <w:pStyle w:val="a9"/>
        <w:numPr>
          <w:ilvl w:val="0"/>
          <w:numId w:val="8"/>
        </w:numPr>
        <w:spacing w:line="360" w:lineRule="auto"/>
        <w:ind w:firstLineChars="0"/>
        <w:outlineLvl w:val="1"/>
        <w:rPr>
          <w:rFonts w:ascii="Times New Roman" w:eastAsia="宋体" w:hAnsi="Times New Roman" w:cs="Times New Roman"/>
          <w:b/>
          <w:bCs/>
          <w:sz w:val="24"/>
          <w:szCs w:val="21"/>
          <w14:ligatures w14:val="none"/>
        </w:rPr>
      </w:pPr>
      <w:bookmarkStart w:id="17" w:name="_Toc198040183"/>
      <w:r w:rsidRPr="00D9030E">
        <w:rPr>
          <w:rFonts w:ascii="Times New Roman" w:eastAsia="宋体" w:hAnsi="Times New Roman" w:cs="Times New Roman" w:hint="eastAsia"/>
          <w:b/>
          <w:bCs/>
          <w:sz w:val="24"/>
          <w:szCs w:val="21"/>
          <w14:ligatures w14:val="none"/>
        </w:rPr>
        <w:t>完善草案与编制说明</w:t>
      </w:r>
      <w:bookmarkEnd w:id="17"/>
    </w:p>
    <w:p w14:paraId="332D9D2D" w14:textId="4D0F38B8" w:rsidR="006A02F2" w:rsidRPr="00D9030E" w:rsidRDefault="00D9030E" w:rsidP="00D9030E">
      <w:pPr>
        <w:spacing w:line="360" w:lineRule="auto"/>
        <w:ind w:firstLineChars="200" w:firstLine="480"/>
        <w:rPr>
          <w:rFonts w:ascii="Times New Roman" w:eastAsia="宋体" w:hAnsi="Times New Roman" w:cs="Times New Roman"/>
          <w:sz w:val="24"/>
          <w:szCs w:val="24"/>
        </w:rPr>
      </w:pPr>
      <w:r w:rsidRPr="00D9030E">
        <w:rPr>
          <w:rFonts w:ascii="Times New Roman" w:eastAsia="宋体" w:hAnsi="Times New Roman" w:cs="Times New Roman" w:hint="eastAsia"/>
          <w:sz w:val="24"/>
          <w:szCs w:val="24"/>
        </w:rPr>
        <w:t>2023</w:t>
      </w:r>
      <w:r w:rsidRPr="00D9030E">
        <w:rPr>
          <w:rFonts w:ascii="Times New Roman" w:eastAsia="宋体" w:hAnsi="Times New Roman" w:cs="Times New Roman" w:hint="eastAsia"/>
          <w:sz w:val="24"/>
          <w:szCs w:val="24"/>
        </w:rPr>
        <w:t>年</w:t>
      </w:r>
      <w:r w:rsidRPr="00D9030E">
        <w:rPr>
          <w:rFonts w:ascii="Times New Roman" w:eastAsia="宋体" w:hAnsi="Times New Roman" w:cs="Times New Roman" w:hint="eastAsia"/>
          <w:sz w:val="24"/>
          <w:szCs w:val="24"/>
        </w:rPr>
        <w:t>2</w:t>
      </w:r>
      <w:r w:rsidRPr="00D9030E">
        <w:rPr>
          <w:rFonts w:ascii="Times New Roman" w:eastAsia="宋体" w:hAnsi="Times New Roman" w:cs="Times New Roman" w:hint="eastAsia"/>
          <w:sz w:val="24"/>
          <w:szCs w:val="24"/>
        </w:rPr>
        <w:t>月</w:t>
      </w:r>
      <w:r w:rsidRPr="00D9030E">
        <w:rPr>
          <w:rFonts w:ascii="Times New Roman" w:eastAsia="宋体" w:hAnsi="Times New Roman" w:cs="Times New Roman" w:hint="eastAsia"/>
          <w:sz w:val="24"/>
          <w:szCs w:val="24"/>
        </w:rPr>
        <w:t>-2024</w:t>
      </w:r>
      <w:r w:rsidRPr="00D9030E">
        <w:rPr>
          <w:rFonts w:ascii="Times New Roman" w:eastAsia="宋体" w:hAnsi="Times New Roman" w:cs="Times New Roman" w:hint="eastAsia"/>
          <w:sz w:val="24"/>
          <w:szCs w:val="24"/>
        </w:rPr>
        <w:t>年</w:t>
      </w:r>
      <w:r w:rsidR="00A31BF1">
        <w:rPr>
          <w:rFonts w:ascii="Times New Roman" w:eastAsia="宋体" w:hAnsi="Times New Roman" w:cs="Times New Roman" w:hint="eastAsia"/>
          <w:sz w:val="24"/>
          <w:szCs w:val="24"/>
        </w:rPr>
        <w:t>12</w:t>
      </w:r>
      <w:r w:rsidRPr="00D9030E">
        <w:rPr>
          <w:rFonts w:ascii="Times New Roman" w:eastAsia="宋体" w:hAnsi="Times New Roman" w:cs="Times New Roman" w:hint="eastAsia"/>
          <w:sz w:val="24"/>
          <w:szCs w:val="24"/>
        </w:rPr>
        <w:t>月，在收集大量数据和查阅相关文献资料的基础上，开始撰写标准草稿。</w:t>
      </w:r>
    </w:p>
    <w:p w14:paraId="0AE3626A" w14:textId="77777777" w:rsidR="006A02F2" w:rsidRDefault="006A02F2" w:rsidP="006A02F2">
      <w:pPr>
        <w:pStyle w:val="1"/>
        <w:rPr>
          <w:szCs w:val="28"/>
        </w:rPr>
      </w:pPr>
      <w:bookmarkStart w:id="18" w:name="_Toc176453397"/>
      <w:bookmarkStart w:id="19" w:name="_Toc197503233"/>
      <w:bookmarkStart w:id="20" w:name="_Toc198040184"/>
      <w:r>
        <w:rPr>
          <w:rFonts w:hint="eastAsia"/>
          <w:szCs w:val="28"/>
        </w:rPr>
        <w:t>五、主</w:t>
      </w:r>
      <w:r>
        <w:rPr>
          <w:szCs w:val="28"/>
        </w:rPr>
        <w:t>要技术内容确定的依据</w:t>
      </w:r>
      <w:bookmarkEnd w:id="18"/>
      <w:bookmarkEnd w:id="19"/>
      <w:bookmarkEnd w:id="20"/>
    </w:p>
    <w:p w14:paraId="311DB520" w14:textId="4BF8FC97" w:rsidR="00D9030E" w:rsidRPr="00D9030E" w:rsidRDefault="00D9030E" w:rsidP="00D9030E">
      <w:pPr>
        <w:spacing w:line="360" w:lineRule="auto"/>
        <w:outlineLvl w:val="1"/>
        <w:rPr>
          <w:rFonts w:ascii="Times New Roman" w:eastAsia="宋体" w:hAnsi="Times New Roman" w:cs="Times New Roman"/>
          <w:b/>
          <w:bCs/>
          <w:sz w:val="24"/>
          <w:szCs w:val="21"/>
          <w14:ligatures w14:val="none"/>
        </w:rPr>
      </w:pPr>
      <w:bookmarkStart w:id="21" w:name="_Toc198040185"/>
      <w:r w:rsidRPr="00D9030E">
        <w:rPr>
          <w:rFonts w:ascii="Times New Roman" w:eastAsia="宋体" w:hAnsi="Times New Roman" w:cs="Times New Roman" w:hint="eastAsia"/>
          <w:b/>
          <w:bCs/>
          <w:sz w:val="24"/>
          <w:szCs w:val="21"/>
          <w14:ligatures w14:val="none"/>
        </w:rPr>
        <w:t>1.</w:t>
      </w:r>
      <w:r>
        <w:rPr>
          <w:rFonts w:ascii="Times New Roman" w:eastAsia="宋体" w:hAnsi="Times New Roman" w:cs="Times New Roman" w:hint="eastAsia"/>
          <w:b/>
          <w:bCs/>
          <w:sz w:val="24"/>
          <w:szCs w:val="21"/>
          <w14:ligatures w14:val="none"/>
        </w:rPr>
        <w:t xml:space="preserve"> </w:t>
      </w:r>
      <w:r w:rsidRPr="00D9030E">
        <w:rPr>
          <w:rFonts w:ascii="Times New Roman" w:eastAsia="宋体" w:hAnsi="Times New Roman" w:cs="Times New Roman" w:hint="eastAsia"/>
          <w:b/>
          <w:bCs/>
          <w:sz w:val="24"/>
          <w:szCs w:val="21"/>
          <w14:ligatures w14:val="none"/>
        </w:rPr>
        <w:t>适用范围</w:t>
      </w:r>
      <w:bookmarkEnd w:id="21"/>
    </w:p>
    <w:p w14:paraId="72DEB581" w14:textId="430262CE" w:rsidR="000C3652" w:rsidRDefault="005740C8" w:rsidP="00D9030E">
      <w:pPr>
        <w:spacing w:line="360" w:lineRule="auto"/>
        <w:ind w:firstLineChars="200" w:firstLine="480"/>
        <w:rPr>
          <w:rFonts w:ascii="Times New Roman" w:eastAsia="宋体" w:hAnsi="Times New Roman" w:cs="Times New Roman"/>
          <w:sz w:val="24"/>
          <w:szCs w:val="24"/>
        </w:rPr>
      </w:pPr>
      <w:r w:rsidRPr="005740C8">
        <w:rPr>
          <w:rFonts w:ascii="Times New Roman" w:eastAsia="宋体" w:hAnsi="Times New Roman" w:cs="Times New Roman" w:hint="eastAsia"/>
          <w:sz w:val="24"/>
          <w:szCs w:val="24"/>
        </w:rPr>
        <w:t>本标准规定了新鲜</w:t>
      </w:r>
      <w:proofErr w:type="gramStart"/>
      <w:r w:rsidRPr="005740C8">
        <w:rPr>
          <w:rFonts w:ascii="Times New Roman" w:eastAsia="宋体" w:hAnsi="Times New Roman" w:cs="Times New Roman" w:hint="eastAsia"/>
          <w:sz w:val="24"/>
          <w:szCs w:val="24"/>
        </w:rPr>
        <w:t>柠</w:t>
      </w:r>
      <w:proofErr w:type="gramEnd"/>
      <w:r w:rsidRPr="005740C8">
        <w:rPr>
          <w:rFonts w:ascii="Times New Roman" w:eastAsia="宋体" w:hAnsi="Times New Roman" w:cs="Times New Roman" w:hint="eastAsia"/>
          <w:sz w:val="24"/>
          <w:szCs w:val="24"/>
        </w:rPr>
        <w:t>条锦鸡儿饲料原料的分类与分级，明确了分类分级依据及判定规则。该标准适用于新鲜</w:t>
      </w:r>
      <w:proofErr w:type="gramStart"/>
      <w:r w:rsidRPr="005740C8">
        <w:rPr>
          <w:rFonts w:ascii="Times New Roman" w:eastAsia="宋体" w:hAnsi="Times New Roman" w:cs="Times New Roman" w:hint="eastAsia"/>
          <w:sz w:val="24"/>
          <w:szCs w:val="24"/>
        </w:rPr>
        <w:t>柠</w:t>
      </w:r>
      <w:proofErr w:type="gramEnd"/>
      <w:r w:rsidRPr="005740C8">
        <w:rPr>
          <w:rFonts w:ascii="Times New Roman" w:eastAsia="宋体" w:hAnsi="Times New Roman" w:cs="Times New Roman" w:hint="eastAsia"/>
          <w:sz w:val="24"/>
          <w:szCs w:val="24"/>
        </w:rPr>
        <w:t>条锦鸡儿、风干</w:t>
      </w:r>
      <w:proofErr w:type="gramStart"/>
      <w:r w:rsidRPr="005740C8">
        <w:rPr>
          <w:rFonts w:ascii="Times New Roman" w:eastAsia="宋体" w:hAnsi="Times New Roman" w:cs="Times New Roman" w:hint="eastAsia"/>
          <w:sz w:val="24"/>
          <w:szCs w:val="24"/>
        </w:rPr>
        <w:t>柠</w:t>
      </w:r>
      <w:proofErr w:type="gramEnd"/>
      <w:r w:rsidRPr="005740C8">
        <w:rPr>
          <w:rFonts w:ascii="Times New Roman" w:eastAsia="宋体" w:hAnsi="Times New Roman" w:cs="Times New Roman" w:hint="eastAsia"/>
          <w:sz w:val="24"/>
          <w:szCs w:val="24"/>
        </w:rPr>
        <w:t>条锦鸡儿、蒸汽爆破及其他处理方式的</w:t>
      </w:r>
      <w:proofErr w:type="gramStart"/>
      <w:r w:rsidRPr="005740C8">
        <w:rPr>
          <w:rFonts w:ascii="Times New Roman" w:eastAsia="宋体" w:hAnsi="Times New Roman" w:cs="Times New Roman" w:hint="eastAsia"/>
          <w:sz w:val="24"/>
          <w:szCs w:val="24"/>
        </w:rPr>
        <w:t>柠</w:t>
      </w:r>
      <w:proofErr w:type="gramEnd"/>
      <w:r w:rsidRPr="005740C8">
        <w:rPr>
          <w:rFonts w:ascii="Times New Roman" w:eastAsia="宋体" w:hAnsi="Times New Roman" w:cs="Times New Roman" w:hint="eastAsia"/>
          <w:sz w:val="24"/>
          <w:szCs w:val="24"/>
        </w:rPr>
        <w:t>条锦鸡儿饲料原料。通过建立科学的分类分级体系和判定准则，规范不同</w:t>
      </w:r>
      <w:r>
        <w:rPr>
          <w:rFonts w:ascii="Times New Roman" w:eastAsia="宋体" w:hAnsi="Times New Roman" w:cs="Times New Roman" w:hint="eastAsia"/>
          <w:sz w:val="24"/>
          <w:szCs w:val="24"/>
        </w:rPr>
        <w:t>形式</w:t>
      </w:r>
      <w:proofErr w:type="gramStart"/>
      <w:r w:rsidRPr="005740C8">
        <w:rPr>
          <w:rFonts w:ascii="Times New Roman" w:eastAsia="宋体" w:hAnsi="Times New Roman" w:cs="Times New Roman" w:hint="eastAsia"/>
          <w:sz w:val="24"/>
          <w:szCs w:val="24"/>
        </w:rPr>
        <w:t>柠</w:t>
      </w:r>
      <w:proofErr w:type="gramEnd"/>
      <w:r w:rsidRPr="005740C8">
        <w:rPr>
          <w:rFonts w:ascii="Times New Roman" w:eastAsia="宋体" w:hAnsi="Times New Roman" w:cs="Times New Roman" w:hint="eastAsia"/>
          <w:sz w:val="24"/>
          <w:szCs w:val="24"/>
        </w:rPr>
        <w:t>条锦鸡儿饲料原料的生产与质量管理，为饲料加工企业提供原料品质判定依据，促进</w:t>
      </w:r>
      <w:proofErr w:type="gramStart"/>
      <w:r w:rsidRPr="005740C8">
        <w:rPr>
          <w:rFonts w:ascii="Times New Roman" w:eastAsia="宋体" w:hAnsi="Times New Roman" w:cs="Times New Roman" w:hint="eastAsia"/>
          <w:sz w:val="24"/>
          <w:szCs w:val="24"/>
        </w:rPr>
        <w:t>柠条资源</w:t>
      </w:r>
      <w:proofErr w:type="gramEnd"/>
      <w:r w:rsidRPr="005740C8">
        <w:rPr>
          <w:rFonts w:ascii="Times New Roman" w:eastAsia="宋体" w:hAnsi="Times New Roman" w:cs="Times New Roman" w:hint="eastAsia"/>
          <w:sz w:val="24"/>
          <w:szCs w:val="24"/>
        </w:rPr>
        <w:t>的高效利用及畜牧养殖业的标准化发展。</w:t>
      </w:r>
    </w:p>
    <w:p w14:paraId="19F6A986" w14:textId="77777777" w:rsidR="00D9030E" w:rsidRPr="00D9030E" w:rsidRDefault="00D9030E" w:rsidP="00D9030E">
      <w:pPr>
        <w:spacing w:line="360" w:lineRule="auto"/>
        <w:outlineLvl w:val="1"/>
        <w:rPr>
          <w:rFonts w:ascii="Times New Roman" w:eastAsia="宋体" w:hAnsi="Times New Roman" w:cs="Times New Roman"/>
          <w:b/>
          <w:bCs/>
          <w:sz w:val="24"/>
          <w:szCs w:val="21"/>
          <w14:ligatures w14:val="none"/>
        </w:rPr>
      </w:pPr>
      <w:bookmarkStart w:id="22" w:name="_Toc198040186"/>
      <w:r w:rsidRPr="00D9030E">
        <w:rPr>
          <w:rFonts w:ascii="Times New Roman" w:eastAsia="宋体" w:hAnsi="Times New Roman" w:cs="Times New Roman" w:hint="eastAsia"/>
          <w:b/>
          <w:bCs/>
          <w:sz w:val="24"/>
          <w:szCs w:val="21"/>
          <w14:ligatures w14:val="none"/>
        </w:rPr>
        <w:t xml:space="preserve">2. </w:t>
      </w:r>
      <w:r w:rsidRPr="00D9030E">
        <w:rPr>
          <w:rFonts w:ascii="Times New Roman" w:eastAsia="宋体" w:hAnsi="Times New Roman" w:cs="Times New Roman" w:hint="eastAsia"/>
          <w:b/>
          <w:bCs/>
          <w:sz w:val="24"/>
          <w:szCs w:val="21"/>
          <w14:ligatures w14:val="none"/>
        </w:rPr>
        <w:t>规范性引用文件</w:t>
      </w:r>
      <w:bookmarkEnd w:id="22"/>
    </w:p>
    <w:p w14:paraId="36016FB3" w14:textId="11EA2BC3" w:rsidR="00AC0533" w:rsidRPr="00AC0533" w:rsidRDefault="00D9030E" w:rsidP="00AC0533">
      <w:pPr>
        <w:spacing w:line="360" w:lineRule="auto"/>
        <w:ind w:firstLineChars="200" w:firstLine="480"/>
        <w:rPr>
          <w:rFonts w:ascii="Times New Roman" w:eastAsia="宋体" w:hAnsi="Times New Roman" w:cs="Times New Roman"/>
          <w:sz w:val="24"/>
          <w:szCs w:val="24"/>
        </w:rPr>
      </w:pPr>
      <w:r w:rsidRPr="00D9030E">
        <w:rPr>
          <w:rFonts w:ascii="Times New Roman" w:eastAsia="宋体" w:hAnsi="Times New Roman" w:cs="Times New Roman" w:hint="eastAsia"/>
          <w:sz w:val="24"/>
          <w:szCs w:val="24"/>
        </w:rPr>
        <w:t>本标准主要参考了《</w:t>
      </w:r>
      <w:r w:rsidR="00AC0533" w:rsidRPr="00AC0533">
        <w:rPr>
          <w:rFonts w:ascii="Times New Roman" w:eastAsia="宋体" w:hAnsi="Times New Roman" w:cs="Times New Roman" w:hint="eastAsia"/>
          <w:sz w:val="24"/>
          <w:szCs w:val="24"/>
        </w:rPr>
        <w:t>GB/T 6435</w:t>
      </w:r>
      <w:r w:rsidR="00AC0533">
        <w:rPr>
          <w:rFonts w:ascii="Times New Roman" w:eastAsia="宋体" w:hAnsi="Times New Roman" w:cs="Times New Roman" w:hint="eastAsia"/>
          <w:sz w:val="24"/>
          <w:szCs w:val="24"/>
        </w:rPr>
        <w:t xml:space="preserve"> </w:t>
      </w:r>
      <w:r w:rsidR="00AC0533" w:rsidRPr="00AC0533">
        <w:rPr>
          <w:rFonts w:ascii="Times New Roman" w:eastAsia="宋体" w:hAnsi="Times New Roman" w:cs="Times New Roman" w:hint="eastAsia"/>
          <w:sz w:val="24"/>
          <w:szCs w:val="24"/>
        </w:rPr>
        <w:t>饲料中水分的测定</w:t>
      </w:r>
      <w:r w:rsidRPr="00D9030E">
        <w:rPr>
          <w:rFonts w:ascii="Times New Roman" w:eastAsia="宋体" w:hAnsi="Times New Roman" w:cs="Times New Roman" w:hint="eastAsia"/>
          <w:sz w:val="24"/>
          <w:szCs w:val="24"/>
        </w:rPr>
        <w:t>》、《</w:t>
      </w:r>
      <w:r w:rsidR="00AC0533" w:rsidRPr="00AC0533">
        <w:rPr>
          <w:rFonts w:ascii="Times New Roman" w:eastAsia="宋体" w:hAnsi="Times New Roman" w:cs="Times New Roman" w:hint="eastAsia"/>
          <w:sz w:val="24"/>
          <w:szCs w:val="24"/>
        </w:rPr>
        <w:t>GB/T 6432</w:t>
      </w:r>
      <w:r w:rsidR="00AC0533">
        <w:rPr>
          <w:rFonts w:ascii="Times New Roman" w:eastAsia="宋体" w:hAnsi="Times New Roman" w:cs="Times New Roman" w:hint="eastAsia"/>
          <w:sz w:val="24"/>
          <w:szCs w:val="24"/>
        </w:rPr>
        <w:t xml:space="preserve"> </w:t>
      </w:r>
      <w:r w:rsidR="00AC0533" w:rsidRPr="00AC0533">
        <w:rPr>
          <w:rFonts w:ascii="Times New Roman" w:eastAsia="宋体" w:hAnsi="Times New Roman" w:cs="Times New Roman" w:hint="eastAsia"/>
          <w:sz w:val="24"/>
          <w:szCs w:val="24"/>
        </w:rPr>
        <w:t>饲料中粗蛋白的测定</w:t>
      </w:r>
      <w:r w:rsidR="00AC0533" w:rsidRPr="00AC0533">
        <w:rPr>
          <w:rFonts w:ascii="Times New Roman" w:eastAsia="宋体" w:hAnsi="Times New Roman" w:cs="Times New Roman" w:hint="eastAsia"/>
          <w:sz w:val="24"/>
          <w:szCs w:val="24"/>
        </w:rPr>
        <w:t xml:space="preserve"> </w:t>
      </w:r>
      <w:r w:rsidR="00AC0533" w:rsidRPr="00AC0533">
        <w:rPr>
          <w:rFonts w:ascii="Times New Roman" w:eastAsia="宋体" w:hAnsi="Times New Roman" w:cs="Times New Roman" w:hint="eastAsia"/>
          <w:sz w:val="24"/>
          <w:szCs w:val="24"/>
        </w:rPr>
        <w:t>凯氏定氮法</w:t>
      </w:r>
      <w:r w:rsidRPr="00D9030E">
        <w:rPr>
          <w:rFonts w:ascii="Times New Roman" w:eastAsia="宋体" w:hAnsi="Times New Roman" w:cs="Times New Roman" w:hint="eastAsia"/>
          <w:sz w:val="24"/>
          <w:szCs w:val="24"/>
        </w:rPr>
        <w:t>》、《</w:t>
      </w:r>
      <w:r w:rsidR="00AC0533" w:rsidRPr="00AC0533">
        <w:rPr>
          <w:rFonts w:ascii="Times New Roman" w:eastAsia="宋体" w:hAnsi="Times New Roman" w:cs="Times New Roman" w:hint="eastAsia"/>
          <w:sz w:val="24"/>
          <w:szCs w:val="24"/>
        </w:rPr>
        <w:t>GB/T 6433</w:t>
      </w:r>
      <w:r w:rsidR="00AC0533" w:rsidRPr="00AC0533">
        <w:rPr>
          <w:rFonts w:ascii="Times New Roman" w:eastAsia="宋体" w:hAnsi="Times New Roman" w:cs="Times New Roman" w:hint="eastAsia"/>
          <w:sz w:val="24"/>
          <w:szCs w:val="24"/>
        </w:rPr>
        <w:t>饲料粗脂肪测定方法</w:t>
      </w:r>
      <w:r w:rsidRPr="00D9030E">
        <w:rPr>
          <w:rFonts w:ascii="Times New Roman" w:eastAsia="宋体" w:hAnsi="Times New Roman" w:cs="Times New Roman" w:hint="eastAsia"/>
          <w:sz w:val="24"/>
          <w:szCs w:val="24"/>
        </w:rPr>
        <w:t>》、《</w:t>
      </w:r>
      <w:r w:rsidR="00AC0533" w:rsidRPr="00AC0533">
        <w:rPr>
          <w:rFonts w:ascii="Times New Roman" w:eastAsia="宋体" w:hAnsi="Times New Roman" w:cs="Times New Roman" w:hint="eastAsia"/>
          <w:sz w:val="24"/>
          <w:szCs w:val="24"/>
        </w:rPr>
        <w:t>GB/T 20806</w:t>
      </w:r>
      <w:r w:rsidR="00AC0533">
        <w:rPr>
          <w:rFonts w:ascii="Times New Roman" w:eastAsia="宋体" w:hAnsi="Times New Roman" w:cs="Times New Roman" w:hint="eastAsia"/>
          <w:sz w:val="24"/>
          <w:szCs w:val="24"/>
        </w:rPr>
        <w:t xml:space="preserve"> </w:t>
      </w:r>
      <w:r w:rsidR="00AC0533" w:rsidRPr="00AC0533">
        <w:rPr>
          <w:rFonts w:ascii="Times New Roman" w:eastAsia="宋体" w:hAnsi="Times New Roman" w:cs="Times New Roman" w:hint="eastAsia"/>
          <w:sz w:val="24"/>
          <w:szCs w:val="24"/>
        </w:rPr>
        <w:t>饲料中中性洗涤纤维（</w:t>
      </w:r>
      <w:r w:rsidR="00AC0533" w:rsidRPr="00AC0533">
        <w:rPr>
          <w:rFonts w:ascii="Times New Roman" w:eastAsia="宋体" w:hAnsi="Times New Roman" w:cs="Times New Roman" w:hint="eastAsia"/>
          <w:sz w:val="24"/>
          <w:szCs w:val="24"/>
        </w:rPr>
        <w:t>NDF</w:t>
      </w:r>
      <w:r w:rsidR="00AC0533" w:rsidRPr="00AC0533">
        <w:rPr>
          <w:rFonts w:ascii="Times New Roman" w:eastAsia="宋体" w:hAnsi="Times New Roman" w:cs="Times New Roman" w:hint="eastAsia"/>
          <w:sz w:val="24"/>
          <w:szCs w:val="24"/>
        </w:rPr>
        <w:t>）的测定</w:t>
      </w:r>
      <w:r w:rsidRPr="00D9030E">
        <w:rPr>
          <w:rFonts w:ascii="Times New Roman" w:eastAsia="宋体" w:hAnsi="Times New Roman" w:cs="Times New Roman" w:hint="eastAsia"/>
          <w:sz w:val="24"/>
          <w:szCs w:val="24"/>
        </w:rPr>
        <w:t>》、《</w:t>
      </w:r>
      <w:r w:rsidR="00AC0533" w:rsidRPr="00AC0533">
        <w:rPr>
          <w:rFonts w:ascii="Times New Roman" w:eastAsia="宋体" w:hAnsi="Times New Roman" w:cs="Times New Roman" w:hint="eastAsia"/>
          <w:sz w:val="24"/>
          <w:szCs w:val="24"/>
        </w:rPr>
        <w:t>NY/T 1459</w:t>
      </w:r>
      <w:r w:rsidR="00AC0533">
        <w:rPr>
          <w:rFonts w:ascii="Times New Roman" w:eastAsia="宋体" w:hAnsi="Times New Roman" w:cs="Times New Roman" w:hint="eastAsia"/>
          <w:sz w:val="24"/>
          <w:szCs w:val="24"/>
        </w:rPr>
        <w:t xml:space="preserve"> </w:t>
      </w:r>
      <w:r w:rsidR="00AC0533" w:rsidRPr="00AC0533">
        <w:rPr>
          <w:rFonts w:ascii="Times New Roman" w:eastAsia="宋体" w:hAnsi="Times New Roman" w:cs="Times New Roman" w:hint="eastAsia"/>
          <w:sz w:val="24"/>
          <w:szCs w:val="24"/>
        </w:rPr>
        <w:t>饲料中酸性洗涤纤维的测定</w:t>
      </w:r>
      <w:r w:rsidRPr="00D9030E">
        <w:rPr>
          <w:rFonts w:ascii="Times New Roman" w:eastAsia="宋体" w:hAnsi="Times New Roman" w:cs="Times New Roman" w:hint="eastAsia"/>
          <w:sz w:val="24"/>
          <w:szCs w:val="24"/>
        </w:rPr>
        <w:t>》、《</w:t>
      </w:r>
      <w:r w:rsidR="00AC0533" w:rsidRPr="00AC0533">
        <w:rPr>
          <w:rFonts w:ascii="Times New Roman" w:eastAsia="宋体" w:hAnsi="Times New Roman" w:cs="Times New Roman" w:hint="eastAsia"/>
          <w:sz w:val="24"/>
          <w:szCs w:val="24"/>
        </w:rPr>
        <w:t>GB/T 27985</w:t>
      </w:r>
      <w:r w:rsidR="00AC0533" w:rsidRPr="00AC0533">
        <w:rPr>
          <w:rFonts w:ascii="Times New Roman" w:eastAsia="宋体" w:hAnsi="Times New Roman" w:cs="Times New Roman" w:hint="eastAsia"/>
          <w:sz w:val="24"/>
          <w:szCs w:val="24"/>
        </w:rPr>
        <w:t>饲料中单宁的测定</w:t>
      </w:r>
      <w:r w:rsidR="00AC0533" w:rsidRPr="00AC0533">
        <w:rPr>
          <w:rFonts w:ascii="Times New Roman" w:eastAsia="宋体" w:hAnsi="Times New Roman" w:cs="Times New Roman" w:hint="eastAsia"/>
          <w:sz w:val="24"/>
          <w:szCs w:val="24"/>
        </w:rPr>
        <w:t xml:space="preserve"> </w:t>
      </w:r>
      <w:r w:rsidR="00AC0533" w:rsidRPr="00AC0533">
        <w:rPr>
          <w:rFonts w:ascii="Times New Roman" w:eastAsia="宋体" w:hAnsi="Times New Roman" w:cs="Times New Roman" w:hint="eastAsia"/>
          <w:sz w:val="24"/>
          <w:szCs w:val="24"/>
        </w:rPr>
        <w:t>分光光度法</w:t>
      </w:r>
      <w:r w:rsidRPr="00D9030E">
        <w:rPr>
          <w:rFonts w:ascii="Times New Roman" w:eastAsia="宋体" w:hAnsi="Times New Roman" w:cs="Times New Roman" w:hint="eastAsia"/>
          <w:sz w:val="24"/>
          <w:szCs w:val="24"/>
        </w:rPr>
        <w:t>》</w:t>
      </w:r>
      <w:r w:rsidR="00AC0533">
        <w:rPr>
          <w:rFonts w:ascii="Times New Roman" w:eastAsia="宋体" w:hAnsi="Times New Roman" w:cs="Times New Roman" w:hint="eastAsia"/>
          <w:sz w:val="24"/>
          <w:szCs w:val="24"/>
        </w:rPr>
        <w:t>和</w:t>
      </w:r>
      <w:r w:rsidRPr="00D9030E">
        <w:rPr>
          <w:rFonts w:ascii="Times New Roman" w:eastAsia="宋体" w:hAnsi="Times New Roman" w:cs="Times New Roman" w:hint="eastAsia"/>
          <w:sz w:val="24"/>
          <w:szCs w:val="24"/>
        </w:rPr>
        <w:t>《</w:t>
      </w:r>
      <w:r w:rsidR="00AC0533" w:rsidRPr="00AC0533">
        <w:rPr>
          <w:rFonts w:ascii="Times New Roman" w:eastAsia="宋体" w:hAnsi="Times New Roman" w:cs="Times New Roman" w:hint="eastAsia"/>
          <w:sz w:val="24"/>
          <w:szCs w:val="24"/>
        </w:rPr>
        <w:t>GB/T 6438</w:t>
      </w:r>
      <w:r w:rsidR="00AC0533">
        <w:rPr>
          <w:rFonts w:ascii="Times New Roman" w:eastAsia="宋体" w:hAnsi="Times New Roman" w:cs="Times New Roman" w:hint="eastAsia"/>
          <w:sz w:val="24"/>
          <w:szCs w:val="24"/>
        </w:rPr>
        <w:t xml:space="preserve"> </w:t>
      </w:r>
      <w:r w:rsidR="00AC0533" w:rsidRPr="00AC0533">
        <w:rPr>
          <w:rFonts w:ascii="Times New Roman" w:eastAsia="宋体" w:hAnsi="Times New Roman" w:cs="Times New Roman" w:hint="eastAsia"/>
          <w:sz w:val="24"/>
          <w:szCs w:val="24"/>
        </w:rPr>
        <w:t>饲料中粗灰分的测定</w:t>
      </w:r>
      <w:r w:rsidRPr="00D9030E">
        <w:rPr>
          <w:rFonts w:ascii="Times New Roman" w:eastAsia="宋体" w:hAnsi="Times New Roman" w:cs="Times New Roman" w:hint="eastAsia"/>
          <w:sz w:val="24"/>
          <w:szCs w:val="24"/>
        </w:rPr>
        <w:t>》</w:t>
      </w:r>
      <w:r w:rsidR="00AC0533" w:rsidRPr="00AC0533">
        <w:rPr>
          <w:rFonts w:ascii="Times New Roman" w:eastAsia="宋体" w:hAnsi="Times New Roman" w:cs="Times New Roman" w:hint="eastAsia"/>
          <w:sz w:val="24"/>
          <w:szCs w:val="24"/>
        </w:rPr>
        <w:t>以及最新发表的相关文献。</w:t>
      </w:r>
    </w:p>
    <w:p w14:paraId="173D8992" w14:textId="4C450AAD" w:rsidR="00D9030E" w:rsidRPr="00AC0533" w:rsidRDefault="00D9030E" w:rsidP="00D9030E">
      <w:pPr>
        <w:spacing w:line="360" w:lineRule="auto"/>
        <w:outlineLvl w:val="1"/>
        <w:rPr>
          <w:rFonts w:ascii="Times New Roman" w:eastAsia="宋体" w:hAnsi="Times New Roman" w:cs="Times New Roman"/>
          <w:b/>
          <w:bCs/>
          <w:sz w:val="24"/>
          <w:szCs w:val="21"/>
          <w14:ligatures w14:val="none"/>
        </w:rPr>
      </w:pPr>
      <w:bookmarkStart w:id="23" w:name="_Toc198040187"/>
      <w:r w:rsidRPr="00D9030E">
        <w:rPr>
          <w:rFonts w:ascii="Times New Roman" w:eastAsia="宋体" w:hAnsi="Times New Roman" w:cs="Times New Roman" w:hint="eastAsia"/>
          <w:b/>
          <w:bCs/>
          <w:sz w:val="24"/>
          <w:szCs w:val="21"/>
          <w14:ligatures w14:val="none"/>
        </w:rPr>
        <w:t xml:space="preserve">3. </w:t>
      </w:r>
      <w:r w:rsidR="00AC0533" w:rsidRPr="00AC0533">
        <w:rPr>
          <w:rFonts w:ascii="Times New Roman" w:eastAsia="宋体" w:hAnsi="Times New Roman" w:cs="Times New Roman" w:hint="eastAsia"/>
          <w:b/>
          <w:bCs/>
          <w:sz w:val="24"/>
          <w:szCs w:val="21"/>
          <w14:ligatures w14:val="none"/>
        </w:rPr>
        <w:t>主要技术指标确定的依据</w:t>
      </w:r>
      <w:bookmarkEnd w:id="23"/>
    </w:p>
    <w:p w14:paraId="454D8C10" w14:textId="77777777" w:rsidR="00D9030E" w:rsidRPr="00AC0533" w:rsidRDefault="00D9030E" w:rsidP="00D9030E">
      <w:pPr>
        <w:spacing w:line="360" w:lineRule="auto"/>
        <w:ind w:firstLineChars="200" w:firstLine="480"/>
        <w:rPr>
          <w:rFonts w:ascii="Times New Roman" w:eastAsia="宋体" w:hAnsi="Times New Roman" w:cs="Times New Roman"/>
          <w:sz w:val="24"/>
          <w:szCs w:val="24"/>
        </w:rPr>
      </w:pP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条锦鸡</w:t>
      </w:r>
      <w:proofErr w:type="gramStart"/>
      <w:r w:rsidRPr="00AC0533">
        <w:rPr>
          <w:rFonts w:ascii="Times New Roman" w:eastAsia="宋体" w:hAnsi="Times New Roman" w:cs="Times New Roman" w:hint="eastAsia"/>
          <w:sz w:val="24"/>
          <w:szCs w:val="24"/>
        </w:rPr>
        <w:t>儿依据</w:t>
      </w:r>
      <w:proofErr w:type="gramEnd"/>
      <w:r w:rsidRPr="00AC0533">
        <w:rPr>
          <w:rFonts w:ascii="Times New Roman" w:eastAsia="宋体" w:hAnsi="Times New Roman" w:cs="Times New Roman" w:hint="eastAsia"/>
          <w:sz w:val="24"/>
          <w:szCs w:val="24"/>
        </w:rPr>
        <w:t>加工方式与处理程度分为：新鲜</w:t>
      </w: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条锦鸡儿、风干</w:t>
      </w: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条锦鸡儿、蒸汽爆破及其他处理</w:t>
      </w: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条锦鸡儿。</w:t>
      </w:r>
    </w:p>
    <w:p w14:paraId="4B0313A2" w14:textId="77777777" w:rsidR="00D9030E" w:rsidRPr="00AC0533" w:rsidRDefault="00D9030E" w:rsidP="00D9030E">
      <w:pPr>
        <w:spacing w:line="360" w:lineRule="auto"/>
        <w:ind w:firstLineChars="200" w:firstLine="480"/>
        <w:rPr>
          <w:rFonts w:ascii="Times New Roman" w:eastAsia="宋体" w:hAnsi="Times New Roman" w:cs="Times New Roman"/>
          <w:sz w:val="24"/>
          <w:szCs w:val="24"/>
        </w:rPr>
      </w:pPr>
      <w:r w:rsidRPr="00AC0533">
        <w:rPr>
          <w:rFonts w:ascii="Times New Roman" w:eastAsia="宋体" w:hAnsi="Times New Roman" w:cs="Times New Roman" w:hint="eastAsia"/>
          <w:sz w:val="24"/>
          <w:szCs w:val="24"/>
        </w:rPr>
        <w:t>不同处理</w:t>
      </w: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条原料营养品质检测结果见表</w:t>
      </w:r>
      <w:r w:rsidRPr="00AC0533">
        <w:rPr>
          <w:rFonts w:ascii="Times New Roman" w:eastAsia="宋体" w:hAnsi="Times New Roman" w:cs="Times New Roman" w:hint="eastAsia"/>
          <w:sz w:val="24"/>
          <w:szCs w:val="24"/>
        </w:rPr>
        <w:t>1</w:t>
      </w:r>
      <w:r w:rsidRPr="00AC0533">
        <w:rPr>
          <w:rFonts w:ascii="Times New Roman" w:eastAsia="宋体" w:hAnsi="Times New Roman" w:cs="Times New Roman" w:hint="eastAsia"/>
          <w:sz w:val="24"/>
          <w:szCs w:val="24"/>
        </w:rPr>
        <w:t>，揉丝</w:t>
      </w: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条和蒸汽处理过的</w:t>
      </w: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条干物质（</w:t>
      </w:r>
      <w:r w:rsidRPr="00AC0533">
        <w:rPr>
          <w:rFonts w:ascii="Times New Roman" w:eastAsia="宋体" w:hAnsi="Times New Roman" w:cs="Times New Roman" w:hint="eastAsia"/>
          <w:sz w:val="24"/>
          <w:szCs w:val="24"/>
        </w:rPr>
        <w:t>DM</w:t>
      </w:r>
      <w:r w:rsidRPr="00AC0533">
        <w:rPr>
          <w:rFonts w:ascii="Times New Roman" w:eastAsia="宋体" w:hAnsi="Times New Roman" w:cs="Times New Roman" w:hint="eastAsia"/>
          <w:sz w:val="24"/>
          <w:szCs w:val="24"/>
        </w:rPr>
        <w:t>）含量分别为</w:t>
      </w:r>
      <w:r w:rsidRPr="00AC0533">
        <w:rPr>
          <w:rFonts w:ascii="Times New Roman" w:eastAsia="宋体" w:hAnsi="Times New Roman" w:cs="Times New Roman" w:hint="eastAsia"/>
          <w:sz w:val="24"/>
          <w:szCs w:val="24"/>
        </w:rPr>
        <w:t>75.97%</w:t>
      </w:r>
      <w:r w:rsidRPr="00AC0533">
        <w:rPr>
          <w:rFonts w:ascii="Times New Roman" w:eastAsia="宋体" w:hAnsi="Times New Roman" w:cs="Times New Roman" w:hint="eastAsia"/>
          <w:sz w:val="24"/>
          <w:szCs w:val="24"/>
        </w:rPr>
        <w:t>和</w:t>
      </w:r>
      <w:r w:rsidRPr="00AC0533">
        <w:rPr>
          <w:rFonts w:ascii="Times New Roman" w:eastAsia="宋体" w:hAnsi="Times New Roman" w:cs="Times New Roman" w:hint="eastAsia"/>
          <w:sz w:val="24"/>
          <w:szCs w:val="24"/>
        </w:rPr>
        <w:t>79.34%</w:t>
      </w:r>
      <w:r w:rsidRPr="00AC0533">
        <w:rPr>
          <w:rFonts w:ascii="Times New Roman" w:eastAsia="宋体" w:hAnsi="Times New Roman" w:cs="Times New Roman" w:hint="eastAsia"/>
          <w:sz w:val="24"/>
          <w:szCs w:val="24"/>
        </w:rPr>
        <w:t>；粗脂肪（</w:t>
      </w:r>
      <w:r w:rsidRPr="00AC0533">
        <w:rPr>
          <w:rFonts w:ascii="Times New Roman" w:eastAsia="宋体" w:hAnsi="Times New Roman" w:cs="Times New Roman" w:hint="eastAsia"/>
          <w:sz w:val="24"/>
          <w:szCs w:val="24"/>
        </w:rPr>
        <w:t>EE</w:t>
      </w:r>
      <w:r w:rsidRPr="00AC0533">
        <w:rPr>
          <w:rFonts w:ascii="Times New Roman" w:eastAsia="宋体" w:hAnsi="Times New Roman" w:cs="Times New Roman" w:hint="eastAsia"/>
          <w:sz w:val="24"/>
          <w:szCs w:val="24"/>
        </w:rPr>
        <w:t>）含量分别为</w:t>
      </w:r>
      <w:r w:rsidRPr="00AC0533">
        <w:rPr>
          <w:rFonts w:ascii="Times New Roman" w:eastAsia="宋体" w:hAnsi="Times New Roman" w:cs="Times New Roman" w:hint="eastAsia"/>
          <w:sz w:val="24"/>
          <w:szCs w:val="24"/>
        </w:rPr>
        <w:t>2.19%</w:t>
      </w:r>
      <w:r w:rsidRPr="00AC0533">
        <w:rPr>
          <w:rFonts w:ascii="Times New Roman" w:eastAsia="宋体" w:hAnsi="Times New Roman" w:cs="Times New Roman" w:hint="eastAsia"/>
          <w:sz w:val="24"/>
          <w:szCs w:val="24"/>
        </w:rPr>
        <w:t>和</w:t>
      </w:r>
      <w:r w:rsidRPr="00AC0533">
        <w:rPr>
          <w:rFonts w:ascii="Times New Roman" w:eastAsia="宋体" w:hAnsi="Times New Roman" w:cs="Times New Roman" w:hint="eastAsia"/>
          <w:sz w:val="24"/>
          <w:szCs w:val="24"/>
        </w:rPr>
        <w:t>3.10%</w:t>
      </w:r>
      <w:r w:rsidRPr="00AC0533">
        <w:rPr>
          <w:rFonts w:ascii="Times New Roman" w:eastAsia="宋体" w:hAnsi="Times New Roman" w:cs="Times New Roman" w:hint="eastAsia"/>
          <w:sz w:val="24"/>
          <w:szCs w:val="24"/>
        </w:rPr>
        <w:t>；中性洗涤纤维（</w:t>
      </w:r>
      <w:r w:rsidRPr="00AC0533">
        <w:rPr>
          <w:rFonts w:ascii="Times New Roman" w:eastAsia="宋体" w:hAnsi="Times New Roman" w:cs="Times New Roman" w:hint="eastAsia"/>
          <w:sz w:val="24"/>
          <w:szCs w:val="24"/>
        </w:rPr>
        <w:t>NDF</w:t>
      </w:r>
      <w:r w:rsidRPr="00AC0533">
        <w:rPr>
          <w:rFonts w:ascii="Times New Roman" w:eastAsia="宋体" w:hAnsi="Times New Roman" w:cs="Times New Roman" w:hint="eastAsia"/>
          <w:sz w:val="24"/>
          <w:szCs w:val="24"/>
        </w:rPr>
        <w:t>）影响反刍动物采食量，</w:t>
      </w:r>
      <w:r w:rsidRPr="00AC0533">
        <w:rPr>
          <w:rFonts w:ascii="Times New Roman" w:eastAsia="宋体" w:hAnsi="Times New Roman" w:cs="Times New Roman" w:hint="eastAsia"/>
          <w:sz w:val="24"/>
          <w:szCs w:val="24"/>
        </w:rPr>
        <w:t>NDF</w:t>
      </w:r>
      <w:r w:rsidRPr="00AC0533">
        <w:rPr>
          <w:rFonts w:ascii="Times New Roman" w:eastAsia="宋体" w:hAnsi="Times New Roman" w:cs="Times New Roman" w:hint="eastAsia"/>
          <w:sz w:val="24"/>
          <w:szCs w:val="24"/>
        </w:rPr>
        <w:t>含量过高会限制反刍动物采食量，揉丝</w:t>
      </w: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条和蒸汽处理过的</w:t>
      </w: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w:t>
      </w:r>
      <w:r w:rsidRPr="00AC0533">
        <w:rPr>
          <w:rFonts w:ascii="Times New Roman" w:eastAsia="宋体" w:hAnsi="Times New Roman" w:cs="Times New Roman" w:hint="eastAsia"/>
          <w:sz w:val="24"/>
          <w:szCs w:val="24"/>
        </w:rPr>
        <w:t>NDF</w:t>
      </w:r>
      <w:r w:rsidRPr="00AC0533">
        <w:rPr>
          <w:rFonts w:ascii="Times New Roman" w:eastAsia="宋体" w:hAnsi="Times New Roman" w:cs="Times New Roman" w:hint="eastAsia"/>
          <w:sz w:val="24"/>
          <w:szCs w:val="24"/>
        </w:rPr>
        <w:t>含量分别为</w:t>
      </w:r>
      <w:r w:rsidRPr="00AC0533">
        <w:rPr>
          <w:rFonts w:ascii="Times New Roman" w:eastAsia="宋体" w:hAnsi="Times New Roman" w:cs="Times New Roman" w:hint="eastAsia"/>
          <w:sz w:val="24"/>
          <w:szCs w:val="24"/>
        </w:rPr>
        <w:t>81.12%</w:t>
      </w:r>
      <w:r w:rsidRPr="00AC0533">
        <w:rPr>
          <w:rFonts w:ascii="Times New Roman" w:eastAsia="宋体" w:hAnsi="Times New Roman" w:cs="Times New Roman" w:hint="eastAsia"/>
          <w:sz w:val="24"/>
          <w:szCs w:val="24"/>
        </w:rPr>
        <w:t>和</w:t>
      </w:r>
      <w:r w:rsidRPr="00AC0533">
        <w:rPr>
          <w:rFonts w:ascii="Times New Roman" w:eastAsia="宋体" w:hAnsi="Times New Roman" w:cs="Times New Roman" w:hint="eastAsia"/>
          <w:sz w:val="24"/>
          <w:szCs w:val="24"/>
        </w:rPr>
        <w:t>62.49%</w:t>
      </w:r>
      <w:r w:rsidRPr="00AC0533">
        <w:rPr>
          <w:rFonts w:ascii="Times New Roman" w:eastAsia="宋体" w:hAnsi="Times New Roman" w:cs="Times New Roman" w:hint="eastAsia"/>
          <w:sz w:val="24"/>
          <w:szCs w:val="24"/>
        </w:rPr>
        <w:t>，蒸汽处理后的</w:t>
      </w: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条具有较低的</w:t>
      </w:r>
      <w:r w:rsidRPr="00AC0533">
        <w:rPr>
          <w:rFonts w:ascii="Times New Roman" w:eastAsia="宋体" w:hAnsi="Times New Roman" w:cs="Times New Roman" w:hint="eastAsia"/>
          <w:sz w:val="24"/>
          <w:szCs w:val="24"/>
        </w:rPr>
        <w:t>NDF</w:t>
      </w:r>
      <w:r w:rsidRPr="00AC0533">
        <w:rPr>
          <w:rFonts w:ascii="Times New Roman" w:eastAsia="宋体" w:hAnsi="Times New Roman" w:cs="Times New Roman" w:hint="eastAsia"/>
          <w:sz w:val="24"/>
          <w:szCs w:val="24"/>
        </w:rPr>
        <w:t>，酸性洗涤纤维（</w:t>
      </w:r>
      <w:r w:rsidRPr="00AC0533">
        <w:rPr>
          <w:rFonts w:ascii="Times New Roman" w:eastAsia="宋体" w:hAnsi="Times New Roman" w:cs="Times New Roman" w:hint="eastAsia"/>
          <w:sz w:val="24"/>
          <w:szCs w:val="24"/>
        </w:rPr>
        <w:t>ADF</w:t>
      </w:r>
      <w:r w:rsidRPr="00AC0533">
        <w:rPr>
          <w:rFonts w:ascii="Times New Roman" w:eastAsia="宋体" w:hAnsi="Times New Roman" w:cs="Times New Roman" w:hint="eastAsia"/>
          <w:sz w:val="24"/>
          <w:szCs w:val="24"/>
        </w:rPr>
        <w:t>）影响反刍动物的消化率，</w:t>
      </w:r>
      <w:r w:rsidRPr="00AC0533">
        <w:rPr>
          <w:rFonts w:ascii="Times New Roman" w:eastAsia="宋体" w:hAnsi="Times New Roman" w:cs="Times New Roman" w:hint="eastAsia"/>
          <w:sz w:val="24"/>
          <w:szCs w:val="24"/>
        </w:rPr>
        <w:t>ADF</w:t>
      </w:r>
      <w:r w:rsidRPr="00AC0533">
        <w:rPr>
          <w:rFonts w:ascii="Times New Roman" w:eastAsia="宋体" w:hAnsi="Times New Roman" w:cs="Times New Roman" w:hint="eastAsia"/>
          <w:sz w:val="24"/>
          <w:szCs w:val="24"/>
        </w:rPr>
        <w:t>含量越低，消化率越高，饲草料品质越好，揉丝</w:t>
      </w: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条和蒸汽处理过的</w:t>
      </w: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w:t>
      </w:r>
      <w:r w:rsidRPr="00AC0533">
        <w:rPr>
          <w:rFonts w:ascii="Times New Roman" w:eastAsia="宋体" w:hAnsi="Times New Roman" w:cs="Times New Roman" w:hint="eastAsia"/>
          <w:sz w:val="24"/>
          <w:szCs w:val="24"/>
        </w:rPr>
        <w:t>ADF</w:t>
      </w:r>
      <w:r w:rsidRPr="00AC0533">
        <w:rPr>
          <w:rFonts w:ascii="Times New Roman" w:eastAsia="宋体" w:hAnsi="Times New Roman" w:cs="Times New Roman" w:hint="eastAsia"/>
          <w:sz w:val="24"/>
          <w:szCs w:val="24"/>
        </w:rPr>
        <w:t>含量分别为</w:t>
      </w:r>
      <w:r w:rsidRPr="00AC0533">
        <w:rPr>
          <w:rFonts w:ascii="Times New Roman" w:eastAsia="宋体" w:hAnsi="Times New Roman" w:cs="Times New Roman" w:hint="eastAsia"/>
          <w:sz w:val="24"/>
          <w:szCs w:val="24"/>
        </w:rPr>
        <w:t>62.49%</w:t>
      </w:r>
      <w:r w:rsidRPr="00AC0533">
        <w:rPr>
          <w:rFonts w:ascii="Times New Roman" w:eastAsia="宋体" w:hAnsi="Times New Roman" w:cs="Times New Roman" w:hint="eastAsia"/>
          <w:sz w:val="24"/>
          <w:szCs w:val="24"/>
        </w:rPr>
        <w:t>和</w:t>
      </w:r>
      <w:r w:rsidRPr="00AC0533">
        <w:rPr>
          <w:rFonts w:ascii="Times New Roman" w:eastAsia="宋体" w:hAnsi="Times New Roman" w:cs="Times New Roman" w:hint="eastAsia"/>
          <w:sz w:val="24"/>
          <w:szCs w:val="24"/>
        </w:rPr>
        <w:t>50.23%</w:t>
      </w:r>
      <w:r w:rsidRPr="00AC0533">
        <w:rPr>
          <w:rFonts w:ascii="Times New Roman" w:eastAsia="宋体" w:hAnsi="Times New Roman" w:cs="Times New Roman" w:hint="eastAsia"/>
          <w:sz w:val="24"/>
          <w:szCs w:val="24"/>
        </w:rPr>
        <w:t>。结果表明不同处理能够有利于</w:t>
      </w: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条饲料化利用，根据不同处理方式进行分级有利于规范生产加工利用，提高</w:t>
      </w: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条利用率和商品价值，满足广大养殖户和企业生产的需要，有效促进畜牧业的发展和产业链的延伸，对</w:t>
      </w: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条原料品质进行分级，以期提高</w:t>
      </w: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条利用，为</w:t>
      </w: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条饲料资源开发及其在养殖中的推广应用提供参考。</w:t>
      </w:r>
    </w:p>
    <w:p w14:paraId="5015152D" w14:textId="77777777" w:rsidR="00D9030E" w:rsidRPr="009962C1" w:rsidRDefault="00D9030E" w:rsidP="00D9030E">
      <w:pPr>
        <w:keepNext/>
        <w:spacing w:line="360" w:lineRule="auto"/>
        <w:ind w:firstLine="664"/>
        <w:jc w:val="center"/>
        <w:rPr>
          <w:rFonts w:ascii="Times New Roman" w:eastAsia="宋体" w:hAnsi="Times New Roman" w:cstheme="majorBidi"/>
          <w:sz w:val="24"/>
          <w:szCs w:val="20"/>
        </w:rPr>
      </w:pPr>
      <w:r w:rsidRPr="009962C1">
        <w:rPr>
          <w:rFonts w:ascii="Times New Roman" w:eastAsia="宋体" w:hAnsi="Times New Roman" w:cstheme="majorBidi" w:hint="eastAsia"/>
          <w:sz w:val="24"/>
          <w:szCs w:val="20"/>
        </w:rPr>
        <w:t>表</w:t>
      </w:r>
      <w:r w:rsidRPr="009962C1">
        <w:rPr>
          <w:rFonts w:ascii="Times New Roman" w:eastAsia="宋体" w:hAnsi="Times New Roman" w:cstheme="majorBidi"/>
          <w:sz w:val="24"/>
          <w:szCs w:val="20"/>
        </w:rPr>
        <w:t xml:space="preserve">1 </w:t>
      </w:r>
      <w:proofErr w:type="gramStart"/>
      <w:r w:rsidRPr="009962C1">
        <w:rPr>
          <w:rFonts w:ascii="Times New Roman" w:eastAsia="宋体" w:hAnsi="Times New Roman" w:cstheme="majorBidi" w:hint="eastAsia"/>
          <w:sz w:val="24"/>
          <w:szCs w:val="20"/>
        </w:rPr>
        <w:t>柠</w:t>
      </w:r>
      <w:proofErr w:type="gramEnd"/>
      <w:r w:rsidRPr="009962C1">
        <w:rPr>
          <w:rFonts w:ascii="Times New Roman" w:eastAsia="宋体" w:hAnsi="Times New Roman" w:cstheme="majorBidi" w:hint="eastAsia"/>
          <w:sz w:val="24"/>
          <w:szCs w:val="20"/>
        </w:rPr>
        <w:t>条原料营养成分</w:t>
      </w:r>
    </w:p>
    <w:tbl>
      <w:tblPr>
        <w:tblStyle w:val="af0"/>
        <w:tblW w:w="9638"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1364"/>
        <w:gridCol w:w="1364"/>
        <w:gridCol w:w="1194"/>
        <w:gridCol w:w="1195"/>
        <w:gridCol w:w="1194"/>
        <w:gridCol w:w="1194"/>
        <w:gridCol w:w="1195"/>
      </w:tblGrid>
      <w:tr w:rsidR="00D9030E" w:rsidRPr="009962C1" w14:paraId="7DDAF3AC" w14:textId="77777777" w:rsidTr="00A66165">
        <w:trPr>
          <w:trHeight w:val="380"/>
          <w:jc w:val="center"/>
        </w:trPr>
        <w:tc>
          <w:tcPr>
            <w:tcW w:w="938" w:type="dxa"/>
            <w:tcBorders>
              <w:top w:val="single" w:sz="12" w:space="0" w:color="auto"/>
              <w:bottom w:val="single" w:sz="8" w:space="0" w:color="auto"/>
            </w:tcBorders>
            <w:noWrap/>
            <w:vAlign w:val="center"/>
            <w:hideMark/>
          </w:tcPr>
          <w:p w14:paraId="53DA4BB1" w14:textId="77777777" w:rsidR="00D9030E" w:rsidRPr="009962C1" w:rsidRDefault="00D9030E" w:rsidP="00A66165">
            <w:pPr>
              <w:spacing w:line="360" w:lineRule="auto"/>
              <w:jc w:val="center"/>
              <w:rPr>
                <w:sz w:val="24"/>
                <w:szCs w:val="18"/>
              </w:rPr>
            </w:pPr>
            <w:r w:rsidRPr="009962C1">
              <w:rPr>
                <w:rFonts w:hint="eastAsia"/>
                <w:sz w:val="24"/>
                <w:szCs w:val="18"/>
              </w:rPr>
              <w:t>项目</w:t>
            </w:r>
          </w:p>
        </w:tc>
        <w:tc>
          <w:tcPr>
            <w:tcW w:w="1364" w:type="dxa"/>
            <w:tcBorders>
              <w:top w:val="single" w:sz="12" w:space="0" w:color="auto"/>
              <w:bottom w:val="single" w:sz="8" w:space="0" w:color="auto"/>
            </w:tcBorders>
            <w:noWrap/>
            <w:vAlign w:val="center"/>
            <w:hideMark/>
          </w:tcPr>
          <w:p w14:paraId="7896B82A" w14:textId="77777777" w:rsidR="00D9030E" w:rsidRPr="009962C1" w:rsidRDefault="00D9030E" w:rsidP="00A66165">
            <w:pPr>
              <w:spacing w:line="360" w:lineRule="auto"/>
              <w:jc w:val="center"/>
              <w:rPr>
                <w:sz w:val="24"/>
                <w:szCs w:val="18"/>
              </w:rPr>
            </w:pPr>
            <w:r w:rsidRPr="009962C1">
              <w:rPr>
                <w:sz w:val="24"/>
                <w:szCs w:val="18"/>
              </w:rPr>
              <w:t>揉丝</w:t>
            </w:r>
            <w:proofErr w:type="gramStart"/>
            <w:r w:rsidRPr="009962C1">
              <w:rPr>
                <w:sz w:val="24"/>
                <w:szCs w:val="18"/>
              </w:rPr>
              <w:t>柠</w:t>
            </w:r>
            <w:proofErr w:type="gramEnd"/>
            <w:r w:rsidRPr="009962C1">
              <w:rPr>
                <w:sz w:val="24"/>
                <w:szCs w:val="18"/>
              </w:rPr>
              <w:t>条</w:t>
            </w:r>
          </w:p>
        </w:tc>
        <w:tc>
          <w:tcPr>
            <w:tcW w:w="1364" w:type="dxa"/>
            <w:tcBorders>
              <w:top w:val="single" w:sz="12" w:space="0" w:color="auto"/>
              <w:bottom w:val="single" w:sz="8" w:space="0" w:color="auto"/>
            </w:tcBorders>
            <w:noWrap/>
            <w:vAlign w:val="center"/>
            <w:hideMark/>
          </w:tcPr>
          <w:p w14:paraId="49240E8E" w14:textId="77777777" w:rsidR="00D9030E" w:rsidRPr="009962C1" w:rsidRDefault="00D9030E" w:rsidP="00A66165">
            <w:pPr>
              <w:spacing w:line="360" w:lineRule="auto"/>
              <w:jc w:val="center"/>
              <w:rPr>
                <w:sz w:val="24"/>
                <w:szCs w:val="18"/>
              </w:rPr>
            </w:pPr>
            <w:r w:rsidRPr="009962C1">
              <w:rPr>
                <w:sz w:val="24"/>
                <w:szCs w:val="18"/>
              </w:rPr>
              <w:t>蒸汽</w:t>
            </w:r>
            <w:proofErr w:type="gramStart"/>
            <w:r w:rsidRPr="009962C1">
              <w:rPr>
                <w:sz w:val="24"/>
                <w:szCs w:val="18"/>
              </w:rPr>
              <w:t>柠</w:t>
            </w:r>
            <w:proofErr w:type="gramEnd"/>
            <w:r w:rsidRPr="009962C1">
              <w:rPr>
                <w:sz w:val="24"/>
                <w:szCs w:val="18"/>
              </w:rPr>
              <w:t>条</w:t>
            </w:r>
          </w:p>
        </w:tc>
        <w:tc>
          <w:tcPr>
            <w:tcW w:w="1194" w:type="dxa"/>
            <w:tcBorders>
              <w:top w:val="single" w:sz="12" w:space="0" w:color="auto"/>
              <w:bottom w:val="single" w:sz="8" w:space="0" w:color="auto"/>
            </w:tcBorders>
            <w:noWrap/>
            <w:vAlign w:val="center"/>
            <w:hideMark/>
          </w:tcPr>
          <w:p w14:paraId="074F3BA0" w14:textId="77777777" w:rsidR="00D9030E" w:rsidRPr="009962C1" w:rsidRDefault="00D9030E" w:rsidP="00A66165">
            <w:pPr>
              <w:spacing w:line="360" w:lineRule="auto"/>
              <w:jc w:val="center"/>
              <w:rPr>
                <w:sz w:val="24"/>
                <w:szCs w:val="18"/>
              </w:rPr>
            </w:pPr>
            <w:r w:rsidRPr="009962C1">
              <w:rPr>
                <w:rFonts w:hint="eastAsia"/>
                <w:sz w:val="24"/>
                <w:szCs w:val="18"/>
              </w:rPr>
              <w:t>风干</w:t>
            </w:r>
            <w:proofErr w:type="gramStart"/>
            <w:r w:rsidRPr="009962C1">
              <w:rPr>
                <w:sz w:val="24"/>
                <w:szCs w:val="18"/>
              </w:rPr>
              <w:t>柠</w:t>
            </w:r>
            <w:proofErr w:type="gramEnd"/>
            <w:r w:rsidRPr="009962C1">
              <w:rPr>
                <w:sz w:val="24"/>
                <w:szCs w:val="18"/>
              </w:rPr>
              <w:t>条</w:t>
            </w:r>
          </w:p>
        </w:tc>
        <w:tc>
          <w:tcPr>
            <w:tcW w:w="1195" w:type="dxa"/>
            <w:tcBorders>
              <w:top w:val="single" w:sz="12" w:space="0" w:color="auto"/>
              <w:bottom w:val="single" w:sz="8" w:space="0" w:color="auto"/>
            </w:tcBorders>
            <w:noWrap/>
            <w:vAlign w:val="center"/>
            <w:hideMark/>
          </w:tcPr>
          <w:p w14:paraId="05AF1B08" w14:textId="77777777" w:rsidR="00D9030E" w:rsidRPr="009962C1" w:rsidRDefault="00D9030E" w:rsidP="00A66165">
            <w:pPr>
              <w:spacing w:line="360" w:lineRule="auto"/>
              <w:jc w:val="center"/>
              <w:rPr>
                <w:sz w:val="24"/>
                <w:szCs w:val="18"/>
              </w:rPr>
            </w:pPr>
            <w:proofErr w:type="gramStart"/>
            <w:r w:rsidRPr="009962C1">
              <w:rPr>
                <w:sz w:val="24"/>
                <w:szCs w:val="18"/>
              </w:rPr>
              <w:t>柠</w:t>
            </w:r>
            <w:proofErr w:type="gramEnd"/>
            <w:r w:rsidRPr="009962C1">
              <w:rPr>
                <w:sz w:val="24"/>
                <w:szCs w:val="18"/>
              </w:rPr>
              <w:t>条粉</w:t>
            </w:r>
          </w:p>
        </w:tc>
        <w:tc>
          <w:tcPr>
            <w:tcW w:w="1194" w:type="dxa"/>
            <w:tcBorders>
              <w:top w:val="single" w:sz="12" w:space="0" w:color="auto"/>
              <w:bottom w:val="single" w:sz="8" w:space="0" w:color="auto"/>
            </w:tcBorders>
            <w:noWrap/>
            <w:vAlign w:val="center"/>
            <w:hideMark/>
          </w:tcPr>
          <w:p w14:paraId="29ACB456" w14:textId="77777777" w:rsidR="00D9030E" w:rsidRPr="009962C1" w:rsidRDefault="00D9030E" w:rsidP="00A66165">
            <w:pPr>
              <w:spacing w:line="360" w:lineRule="auto"/>
              <w:jc w:val="center"/>
              <w:rPr>
                <w:sz w:val="24"/>
                <w:szCs w:val="18"/>
              </w:rPr>
            </w:pPr>
            <w:proofErr w:type="gramStart"/>
            <w:r w:rsidRPr="009962C1">
              <w:rPr>
                <w:sz w:val="24"/>
                <w:szCs w:val="18"/>
              </w:rPr>
              <w:t>柠</w:t>
            </w:r>
            <w:proofErr w:type="gramEnd"/>
            <w:r w:rsidRPr="009962C1">
              <w:rPr>
                <w:sz w:val="24"/>
                <w:szCs w:val="18"/>
              </w:rPr>
              <w:t>条颗粒</w:t>
            </w:r>
          </w:p>
        </w:tc>
        <w:tc>
          <w:tcPr>
            <w:tcW w:w="1194" w:type="dxa"/>
            <w:tcBorders>
              <w:top w:val="single" w:sz="12" w:space="0" w:color="auto"/>
              <w:bottom w:val="single" w:sz="8" w:space="0" w:color="auto"/>
            </w:tcBorders>
            <w:noWrap/>
            <w:vAlign w:val="center"/>
            <w:hideMark/>
          </w:tcPr>
          <w:p w14:paraId="618F0415" w14:textId="77777777" w:rsidR="00D9030E" w:rsidRPr="009962C1" w:rsidRDefault="00D9030E" w:rsidP="00A66165">
            <w:pPr>
              <w:spacing w:line="360" w:lineRule="auto"/>
              <w:jc w:val="center"/>
              <w:rPr>
                <w:sz w:val="24"/>
                <w:szCs w:val="18"/>
              </w:rPr>
            </w:pPr>
            <w:proofErr w:type="gramStart"/>
            <w:r w:rsidRPr="009962C1">
              <w:rPr>
                <w:sz w:val="24"/>
                <w:szCs w:val="18"/>
              </w:rPr>
              <w:t>柠</w:t>
            </w:r>
            <w:proofErr w:type="gramEnd"/>
            <w:r w:rsidRPr="009962C1">
              <w:rPr>
                <w:sz w:val="24"/>
                <w:szCs w:val="18"/>
              </w:rPr>
              <w:t>条茎</w:t>
            </w:r>
          </w:p>
        </w:tc>
        <w:tc>
          <w:tcPr>
            <w:tcW w:w="1195" w:type="dxa"/>
            <w:tcBorders>
              <w:top w:val="single" w:sz="12" w:space="0" w:color="auto"/>
              <w:bottom w:val="single" w:sz="8" w:space="0" w:color="auto"/>
            </w:tcBorders>
            <w:noWrap/>
            <w:vAlign w:val="center"/>
            <w:hideMark/>
          </w:tcPr>
          <w:p w14:paraId="469C865A" w14:textId="77777777" w:rsidR="00D9030E" w:rsidRPr="009962C1" w:rsidRDefault="00D9030E" w:rsidP="00A66165">
            <w:pPr>
              <w:spacing w:line="360" w:lineRule="auto"/>
              <w:jc w:val="center"/>
              <w:rPr>
                <w:sz w:val="24"/>
                <w:szCs w:val="18"/>
              </w:rPr>
            </w:pPr>
            <w:proofErr w:type="gramStart"/>
            <w:r w:rsidRPr="009962C1">
              <w:rPr>
                <w:sz w:val="24"/>
                <w:szCs w:val="18"/>
              </w:rPr>
              <w:t>柠</w:t>
            </w:r>
            <w:proofErr w:type="gramEnd"/>
            <w:r w:rsidRPr="009962C1">
              <w:rPr>
                <w:sz w:val="24"/>
                <w:szCs w:val="18"/>
              </w:rPr>
              <w:t>条叶</w:t>
            </w:r>
          </w:p>
        </w:tc>
      </w:tr>
      <w:tr w:rsidR="00D9030E" w:rsidRPr="009962C1" w14:paraId="7B8B436A" w14:textId="77777777" w:rsidTr="00A66165">
        <w:trPr>
          <w:trHeight w:val="380"/>
          <w:jc w:val="center"/>
        </w:trPr>
        <w:tc>
          <w:tcPr>
            <w:tcW w:w="938" w:type="dxa"/>
            <w:tcBorders>
              <w:top w:val="single" w:sz="8" w:space="0" w:color="auto"/>
            </w:tcBorders>
            <w:noWrap/>
            <w:vAlign w:val="center"/>
            <w:hideMark/>
          </w:tcPr>
          <w:p w14:paraId="53C30A8A" w14:textId="77777777" w:rsidR="00D9030E" w:rsidRPr="009962C1" w:rsidRDefault="00D9030E" w:rsidP="00A66165">
            <w:pPr>
              <w:spacing w:line="360" w:lineRule="auto"/>
              <w:jc w:val="center"/>
              <w:rPr>
                <w:sz w:val="24"/>
                <w:szCs w:val="18"/>
              </w:rPr>
            </w:pPr>
            <w:proofErr w:type="gramStart"/>
            <w:r w:rsidRPr="009962C1">
              <w:rPr>
                <w:sz w:val="24"/>
                <w:szCs w:val="18"/>
              </w:rPr>
              <w:t>DM(</w:t>
            </w:r>
            <w:proofErr w:type="gramEnd"/>
            <w:r w:rsidRPr="009962C1">
              <w:rPr>
                <w:sz w:val="24"/>
                <w:szCs w:val="18"/>
              </w:rPr>
              <w:t>%)</w:t>
            </w:r>
          </w:p>
        </w:tc>
        <w:tc>
          <w:tcPr>
            <w:tcW w:w="1364" w:type="dxa"/>
            <w:tcBorders>
              <w:top w:val="single" w:sz="8" w:space="0" w:color="auto"/>
            </w:tcBorders>
            <w:noWrap/>
            <w:vAlign w:val="center"/>
            <w:hideMark/>
          </w:tcPr>
          <w:p w14:paraId="7C78301D" w14:textId="77777777" w:rsidR="00D9030E" w:rsidRPr="009962C1" w:rsidRDefault="00D9030E" w:rsidP="00A66165">
            <w:pPr>
              <w:spacing w:line="360" w:lineRule="auto"/>
              <w:jc w:val="center"/>
              <w:rPr>
                <w:sz w:val="24"/>
                <w:szCs w:val="18"/>
              </w:rPr>
            </w:pPr>
            <w:r w:rsidRPr="009962C1">
              <w:rPr>
                <w:sz w:val="24"/>
                <w:szCs w:val="18"/>
              </w:rPr>
              <w:t>75.97</w:t>
            </w:r>
          </w:p>
        </w:tc>
        <w:tc>
          <w:tcPr>
            <w:tcW w:w="1364" w:type="dxa"/>
            <w:tcBorders>
              <w:top w:val="single" w:sz="8" w:space="0" w:color="auto"/>
            </w:tcBorders>
            <w:noWrap/>
            <w:vAlign w:val="center"/>
            <w:hideMark/>
          </w:tcPr>
          <w:p w14:paraId="29DABC87" w14:textId="77777777" w:rsidR="00D9030E" w:rsidRPr="009962C1" w:rsidRDefault="00D9030E" w:rsidP="00A66165">
            <w:pPr>
              <w:spacing w:line="360" w:lineRule="auto"/>
              <w:jc w:val="center"/>
              <w:rPr>
                <w:sz w:val="24"/>
                <w:szCs w:val="18"/>
              </w:rPr>
            </w:pPr>
            <w:r w:rsidRPr="009962C1">
              <w:rPr>
                <w:sz w:val="24"/>
                <w:szCs w:val="18"/>
              </w:rPr>
              <w:t>79.34</w:t>
            </w:r>
          </w:p>
        </w:tc>
        <w:tc>
          <w:tcPr>
            <w:tcW w:w="1194" w:type="dxa"/>
            <w:tcBorders>
              <w:top w:val="single" w:sz="8" w:space="0" w:color="auto"/>
            </w:tcBorders>
            <w:noWrap/>
            <w:vAlign w:val="center"/>
            <w:hideMark/>
          </w:tcPr>
          <w:p w14:paraId="477F4169" w14:textId="77777777" w:rsidR="00D9030E" w:rsidRPr="009962C1" w:rsidRDefault="00D9030E" w:rsidP="00A66165">
            <w:pPr>
              <w:spacing w:line="360" w:lineRule="auto"/>
              <w:jc w:val="center"/>
              <w:rPr>
                <w:sz w:val="24"/>
                <w:szCs w:val="18"/>
              </w:rPr>
            </w:pPr>
            <w:r w:rsidRPr="009962C1">
              <w:rPr>
                <w:sz w:val="24"/>
                <w:szCs w:val="18"/>
              </w:rPr>
              <w:t>92.01</w:t>
            </w:r>
          </w:p>
        </w:tc>
        <w:tc>
          <w:tcPr>
            <w:tcW w:w="1195" w:type="dxa"/>
            <w:tcBorders>
              <w:top w:val="single" w:sz="8" w:space="0" w:color="auto"/>
            </w:tcBorders>
            <w:noWrap/>
            <w:vAlign w:val="center"/>
            <w:hideMark/>
          </w:tcPr>
          <w:p w14:paraId="77FD4616" w14:textId="77777777" w:rsidR="00D9030E" w:rsidRPr="009962C1" w:rsidRDefault="00D9030E" w:rsidP="00A66165">
            <w:pPr>
              <w:spacing w:line="360" w:lineRule="auto"/>
              <w:jc w:val="center"/>
              <w:rPr>
                <w:sz w:val="24"/>
                <w:szCs w:val="18"/>
              </w:rPr>
            </w:pPr>
            <w:r w:rsidRPr="009962C1">
              <w:rPr>
                <w:sz w:val="24"/>
                <w:szCs w:val="18"/>
              </w:rPr>
              <w:t>92.03</w:t>
            </w:r>
          </w:p>
        </w:tc>
        <w:tc>
          <w:tcPr>
            <w:tcW w:w="1194" w:type="dxa"/>
            <w:tcBorders>
              <w:top w:val="single" w:sz="8" w:space="0" w:color="auto"/>
            </w:tcBorders>
            <w:noWrap/>
            <w:vAlign w:val="center"/>
            <w:hideMark/>
          </w:tcPr>
          <w:p w14:paraId="4A76BE3E" w14:textId="77777777" w:rsidR="00D9030E" w:rsidRPr="009962C1" w:rsidRDefault="00D9030E" w:rsidP="00A66165">
            <w:pPr>
              <w:spacing w:line="360" w:lineRule="auto"/>
              <w:jc w:val="center"/>
              <w:rPr>
                <w:sz w:val="24"/>
                <w:szCs w:val="18"/>
              </w:rPr>
            </w:pPr>
            <w:r w:rsidRPr="009962C1">
              <w:rPr>
                <w:sz w:val="24"/>
                <w:szCs w:val="18"/>
              </w:rPr>
              <w:t>97.19</w:t>
            </w:r>
          </w:p>
        </w:tc>
        <w:tc>
          <w:tcPr>
            <w:tcW w:w="1194" w:type="dxa"/>
            <w:tcBorders>
              <w:top w:val="single" w:sz="8" w:space="0" w:color="auto"/>
            </w:tcBorders>
            <w:noWrap/>
            <w:vAlign w:val="center"/>
            <w:hideMark/>
          </w:tcPr>
          <w:p w14:paraId="486D1AED" w14:textId="77777777" w:rsidR="00D9030E" w:rsidRPr="009962C1" w:rsidRDefault="00D9030E" w:rsidP="00A66165">
            <w:pPr>
              <w:spacing w:line="360" w:lineRule="auto"/>
              <w:jc w:val="center"/>
              <w:rPr>
                <w:sz w:val="24"/>
                <w:szCs w:val="18"/>
              </w:rPr>
            </w:pPr>
            <w:r w:rsidRPr="009962C1">
              <w:rPr>
                <w:sz w:val="24"/>
                <w:szCs w:val="18"/>
              </w:rPr>
              <w:t>93.15</w:t>
            </w:r>
          </w:p>
        </w:tc>
        <w:tc>
          <w:tcPr>
            <w:tcW w:w="1195" w:type="dxa"/>
            <w:tcBorders>
              <w:top w:val="single" w:sz="8" w:space="0" w:color="auto"/>
            </w:tcBorders>
            <w:noWrap/>
            <w:vAlign w:val="center"/>
            <w:hideMark/>
          </w:tcPr>
          <w:p w14:paraId="1CAEDE1A" w14:textId="77777777" w:rsidR="00D9030E" w:rsidRPr="009962C1" w:rsidRDefault="00D9030E" w:rsidP="00A66165">
            <w:pPr>
              <w:spacing w:line="360" w:lineRule="auto"/>
              <w:jc w:val="center"/>
              <w:rPr>
                <w:sz w:val="24"/>
                <w:szCs w:val="18"/>
              </w:rPr>
            </w:pPr>
            <w:r w:rsidRPr="009962C1">
              <w:rPr>
                <w:sz w:val="24"/>
                <w:szCs w:val="18"/>
              </w:rPr>
              <w:t>93.21</w:t>
            </w:r>
          </w:p>
        </w:tc>
      </w:tr>
      <w:tr w:rsidR="00D9030E" w:rsidRPr="009962C1" w14:paraId="1D3F7449" w14:textId="77777777" w:rsidTr="00A66165">
        <w:trPr>
          <w:trHeight w:val="380"/>
          <w:jc w:val="center"/>
        </w:trPr>
        <w:tc>
          <w:tcPr>
            <w:tcW w:w="938" w:type="dxa"/>
            <w:noWrap/>
            <w:vAlign w:val="center"/>
            <w:hideMark/>
          </w:tcPr>
          <w:p w14:paraId="28A62DA6" w14:textId="77777777" w:rsidR="00D9030E" w:rsidRPr="009962C1" w:rsidRDefault="00D9030E" w:rsidP="00A66165">
            <w:pPr>
              <w:spacing w:line="360" w:lineRule="auto"/>
              <w:jc w:val="center"/>
              <w:rPr>
                <w:sz w:val="24"/>
                <w:szCs w:val="18"/>
              </w:rPr>
            </w:pPr>
            <w:proofErr w:type="gramStart"/>
            <w:r w:rsidRPr="009962C1">
              <w:rPr>
                <w:sz w:val="24"/>
                <w:szCs w:val="18"/>
              </w:rPr>
              <w:t>EE(</w:t>
            </w:r>
            <w:proofErr w:type="gramEnd"/>
            <w:r w:rsidRPr="009962C1">
              <w:rPr>
                <w:sz w:val="24"/>
                <w:szCs w:val="18"/>
              </w:rPr>
              <w:t>%)</w:t>
            </w:r>
          </w:p>
        </w:tc>
        <w:tc>
          <w:tcPr>
            <w:tcW w:w="1364" w:type="dxa"/>
            <w:noWrap/>
            <w:vAlign w:val="center"/>
            <w:hideMark/>
          </w:tcPr>
          <w:p w14:paraId="0A3201C4" w14:textId="77777777" w:rsidR="00D9030E" w:rsidRPr="009962C1" w:rsidRDefault="00D9030E" w:rsidP="00A66165">
            <w:pPr>
              <w:spacing w:line="360" w:lineRule="auto"/>
              <w:jc w:val="center"/>
              <w:rPr>
                <w:sz w:val="24"/>
                <w:szCs w:val="18"/>
              </w:rPr>
            </w:pPr>
            <w:r w:rsidRPr="009962C1">
              <w:rPr>
                <w:sz w:val="24"/>
                <w:szCs w:val="18"/>
              </w:rPr>
              <w:t>2.19</w:t>
            </w:r>
          </w:p>
        </w:tc>
        <w:tc>
          <w:tcPr>
            <w:tcW w:w="1364" w:type="dxa"/>
            <w:noWrap/>
            <w:vAlign w:val="center"/>
            <w:hideMark/>
          </w:tcPr>
          <w:p w14:paraId="3B7A621E" w14:textId="77777777" w:rsidR="00D9030E" w:rsidRPr="009962C1" w:rsidRDefault="00D9030E" w:rsidP="00A66165">
            <w:pPr>
              <w:spacing w:line="360" w:lineRule="auto"/>
              <w:jc w:val="center"/>
              <w:rPr>
                <w:sz w:val="24"/>
                <w:szCs w:val="18"/>
              </w:rPr>
            </w:pPr>
            <w:r w:rsidRPr="009962C1">
              <w:rPr>
                <w:sz w:val="24"/>
                <w:szCs w:val="18"/>
              </w:rPr>
              <w:t>3.10</w:t>
            </w:r>
          </w:p>
        </w:tc>
        <w:tc>
          <w:tcPr>
            <w:tcW w:w="1194" w:type="dxa"/>
            <w:noWrap/>
            <w:vAlign w:val="center"/>
            <w:hideMark/>
          </w:tcPr>
          <w:p w14:paraId="6112EF4A" w14:textId="77777777" w:rsidR="00D9030E" w:rsidRPr="009962C1" w:rsidRDefault="00D9030E" w:rsidP="00A66165">
            <w:pPr>
              <w:spacing w:line="360" w:lineRule="auto"/>
              <w:jc w:val="center"/>
              <w:rPr>
                <w:sz w:val="24"/>
                <w:szCs w:val="18"/>
              </w:rPr>
            </w:pPr>
            <w:r w:rsidRPr="009962C1">
              <w:rPr>
                <w:sz w:val="24"/>
                <w:szCs w:val="18"/>
              </w:rPr>
              <w:t>2.26</w:t>
            </w:r>
          </w:p>
        </w:tc>
        <w:tc>
          <w:tcPr>
            <w:tcW w:w="1195" w:type="dxa"/>
            <w:noWrap/>
            <w:vAlign w:val="center"/>
            <w:hideMark/>
          </w:tcPr>
          <w:p w14:paraId="2E72D448" w14:textId="77777777" w:rsidR="00D9030E" w:rsidRPr="009962C1" w:rsidRDefault="00D9030E" w:rsidP="00A66165">
            <w:pPr>
              <w:spacing w:line="360" w:lineRule="auto"/>
              <w:jc w:val="center"/>
              <w:rPr>
                <w:sz w:val="24"/>
                <w:szCs w:val="18"/>
              </w:rPr>
            </w:pPr>
            <w:r w:rsidRPr="009962C1">
              <w:rPr>
                <w:sz w:val="24"/>
                <w:szCs w:val="18"/>
              </w:rPr>
              <w:t>3.11</w:t>
            </w:r>
          </w:p>
        </w:tc>
        <w:tc>
          <w:tcPr>
            <w:tcW w:w="1194" w:type="dxa"/>
            <w:noWrap/>
            <w:vAlign w:val="center"/>
            <w:hideMark/>
          </w:tcPr>
          <w:p w14:paraId="0646A54D" w14:textId="77777777" w:rsidR="00D9030E" w:rsidRPr="009962C1" w:rsidRDefault="00D9030E" w:rsidP="00A66165">
            <w:pPr>
              <w:spacing w:line="360" w:lineRule="auto"/>
              <w:jc w:val="center"/>
              <w:rPr>
                <w:sz w:val="24"/>
                <w:szCs w:val="18"/>
              </w:rPr>
            </w:pPr>
            <w:r w:rsidRPr="009962C1">
              <w:rPr>
                <w:sz w:val="24"/>
                <w:szCs w:val="18"/>
              </w:rPr>
              <w:t>3.21</w:t>
            </w:r>
          </w:p>
        </w:tc>
        <w:tc>
          <w:tcPr>
            <w:tcW w:w="1194" w:type="dxa"/>
            <w:noWrap/>
            <w:vAlign w:val="center"/>
            <w:hideMark/>
          </w:tcPr>
          <w:p w14:paraId="5F4037F6" w14:textId="77777777" w:rsidR="00D9030E" w:rsidRPr="009962C1" w:rsidRDefault="00D9030E" w:rsidP="00A66165">
            <w:pPr>
              <w:spacing w:line="360" w:lineRule="auto"/>
              <w:jc w:val="center"/>
              <w:rPr>
                <w:sz w:val="24"/>
                <w:szCs w:val="18"/>
              </w:rPr>
            </w:pPr>
            <w:r w:rsidRPr="009962C1">
              <w:rPr>
                <w:sz w:val="24"/>
                <w:szCs w:val="18"/>
              </w:rPr>
              <w:t>3.71</w:t>
            </w:r>
          </w:p>
        </w:tc>
        <w:tc>
          <w:tcPr>
            <w:tcW w:w="1195" w:type="dxa"/>
            <w:noWrap/>
            <w:vAlign w:val="center"/>
            <w:hideMark/>
          </w:tcPr>
          <w:p w14:paraId="3DAFD306" w14:textId="77777777" w:rsidR="00D9030E" w:rsidRPr="009962C1" w:rsidRDefault="00D9030E" w:rsidP="00A66165">
            <w:pPr>
              <w:spacing w:line="360" w:lineRule="auto"/>
              <w:jc w:val="center"/>
              <w:rPr>
                <w:sz w:val="24"/>
                <w:szCs w:val="18"/>
              </w:rPr>
            </w:pPr>
            <w:r w:rsidRPr="009962C1">
              <w:rPr>
                <w:sz w:val="24"/>
                <w:szCs w:val="18"/>
              </w:rPr>
              <w:t>4.16</w:t>
            </w:r>
          </w:p>
        </w:tc>
      </w:tr>
      <w:tr w:rsidR="00D9030E" w:rsidRPr="009962C1" w14:paraId="377A4A78" w14:textId="77777777" w:rsidTr="00A66165">
        <w:trPr>
          <w:trHeight w:val="380"/>
          <w:jc w:val="center"/>
        </w:trPr>
        <w:tc>
          <w:tcPr>
            <w:tcW w:w="938" w:type="dxa"/>
            <w:noWrap/>
            <w:vAlign w:val="center"/>
            <w:hideMark/>
          </w:tcPr>
          <w:p w14:paraId="265CC599" w14:textId="77777777" w:rsidR="00D9030E" w:rsidRPr="009962C1" w:rsidRDefault="00D9030E" w:rsidP="00A66165">
            <w:pPr>
              <w:spacing w:line="360" w:lineRule="auto"/>
              <w:jc w:val="center"/>
              <w:rPr>
                <w:sz w:val="24"/>
                <w:szCs w:val="18"/>
              </w:rPr>
            </w:pPr>
            <w:proofErr w:type="gramStart"/>
            <w:r w:rsidRPr="009962C1">
              <w:rPr>
                <w:sz w:val="24"/>
                <w:szCs w:val="18"/>
              </w:rPr>
              <w:t>CP(</w:t>
            </w:r>
            <w:proofErr w:type="gramEnd"/>
            <w:r w:rsidRPr="009962C1">
              <w:rPr>
                <w:sz w:val="24"/>
                <w:szCs w:val="18"/>
              </w:rPr>
              <w:t>%)</w:t>
            </w:r>
          </w:p>
        </w:tc>
        <w:tc>
          <w:tcPr>
            <w:tcW w:w="1364" w:type="dxa"/>
            <w:noWrap/>
            <w:vAlign w:val="center"/>
            <w:hideMark/>
          </w:tcPr>
          <w:p w14:paraId="50155772" w14:textId="77777777" w:rsidR="00D9030E" w:rsidRPr="009962C1" w:rsidRDefault="00D9030E" w:rsidP="00A66165">
            <w:pPr>
              <w:spacing w:line="360" w:lineRule="auto"/>
              <w:jc w:val="center"/>
              <w:rPr>
                <w:sz w:val="24"/>
                <w:szCs w:val="18"/>
              </w:rPr>
            </w:pPr>
            <w:r w:rsidRPr="009962C1">
              <w:rPr>
                <w:sz w:val="24"/>
                <w:szCs w:val="18"/>
              </w:rPr>
              <w:t>8.50</w:t>
            </w:r>
          </w:p>
        </w:tc>
        <w:tc>
          <w:tcPr>
            <w:tcW w:w="1364" w:type="dxa"/>
            <w:noWrap/>
            <w:vAlign w:val="center"/>
            <w:hideMark/>
          </w:tcPr>
          <w:p w14:paraId="5DC89A96" w14:textId="77777777" w:rsidR="00D9030E" w:rsidRPr="009962C1" w:rsidRDefault="00D9030E" w:rsidP="00A66165">
            <w:pPr>
              <w:spacing w:line="360" w:lineRule="auto"/>
              <w:jc w:val="center"/>
              <w:rPr>
                <w:sz w:val="24"/>
                <w:szCs w:val="18"/>
              </w:rPr>
            </w:pPr>
            <w:r w:rsidRPr="009962C1">
              <w:rPr>
                <w:sz w:val="24"/>
                <w:szCs w:val="18"/>
              </w:rPr>
              <w:t>8.47</w:t>
            </w:r>
          </w:p>
        </w:tc>
        <w:tc>
          <w:tcPr>
            <w:tcW w:w="1194" w:type="dxa"/>
            <w:noWrap/>
            <w:vAlign w:val="center"/>
            <w:hideMark/>
          </w:tcPr>
          <w:p w14:paraId="73DF5517" w14:textId="77777777" w:rsidR="00D9030E" w:rsidRPr="009962C1" w:rsidRDefault="00D9030E" w:rsidP="00A66165">
            <w:pPr>
              <w:spacing w:line="360" w:lineRule="auto"/>
              <w:jc w:val="center"/>
              <w:rPr>
                <w:sz w:val="24"/>
                <w:szCs w:val="18"/>
              </w:rPr>
            </w:pPr>
            <w:r w:rsidRPr="009962C1">
              <w:rPr>
                <w:sz w:val="24"/>
                <w:szCs w:val="18"/>
              </w:rPr>
              <w:t>10.79</w:t>
            </w:r>
          </w:p>
        </w:tc>
        <w:tc>
          <w:tcPr>
            <w:tcW w:w="1195" w:type="dxa"/>
            <w:noWrap/>
            <w:vAlign w:val="center"/>
            <w:hideMark/>
          </w:tcPr>
          <w:p w14:paraId="59D04313" w14:textId="77777777" w:rsidR="00D9030E" w:rsidRPr="009962C1" w:rsidRDefault="00D9030E" w:rsidP="00A66165">
            <w:pPr>
              <w:spacing w:line="360" w:lineRule="auto"/>
              <w:jc w:val="center"/>
              <w:rPr>
                <w:sz w:val="24"/>
                <w:szCs w:val="18"/>
              </w:rPr>
            </w:pPr>
            <w:r w:rsidRPr="009962C1">
              <w:rPr>
                <w:sz w:val="24"/>
                <w:szCs w:val="18"/>
              </w:rPr>
              <w:t>18.44</w:t>
            </w:r>
          </w:p>
        </w:tc>
        <w:tc>
          <w:tcPr>
            <w:tcW w:w="1194" w:type="dxa"/>
            <w:noWrap/>
            <w:vAlign w:val="center"/>
            <w:hideMark/>
          </w:tcPr>
          <w:p w14:paraId="25AA0326" w14:textId="77777777" w:rsidR="00D9030E" w:rsidRPr="009962C1" w:rsidRDefault="00D9030E" w:rsidP="00A66165">
            <w:pPr>
              <w:spacing w:line="360" w:lineRule="auto"/>
              <w:jc w:val="center"/>
              <w:rPr>
                <w:sz w:val="24"/>
                <w:szCs w:val="18"/>
              </w:rPr>
            </w:pPr>
            <w:r w:rsidRPr="009962C1">
              <w:rPr>
                <w:sz w:val="24"/>
                <w:szCs w:val="18"/>
              </w:rPr>
              <w:t>10.01</w:t>
            </w:r>
          </w:p>
        </w:tc>
        <w:tc>
          <w:tcPr>
            <w:tcW w:w="1194" w:type="dxa"/>
            <w:noWrap/>
            <w:vAlign w:val="center"/>
            <w:hideMark/>
          </w:tcPr>
          <w:p w14:paraId="06479B14" w14:textId="77777777" w:rsidR="00D9030E" w:rsidRPr="009962C1" w:rsidRDefault="00D9030E" w:rsidP="00A66165">
            <w:pPr>
              <w:spacing w:line="360" w:lineRule="auto"/>
              <w:jc w:val="center"/>
              <w:rPr>
                <w:sz w:val="24"/>
                <w:szCs w:val="18"/>
              </w:rPr>
            </w:pPr>
            <w:r w:rsidRPr="009962C1">
              <w:rPr>
                <w:sz w:val="24"/>
                <w:szCs w:val="18"/>
              </w:rPr>
              <w:t>14.07</w:t>
            </w:r>
          </w:p>
        </w:tc>
        <w:tc>
          <w:tcPr>
            <w:tcW w:w="1195" w:type="dxa"/>
            <w:noWrap/>
            <w:vAlign w:val="center"/>
            <w:hideMark/>
          </w:tcPr>
          <w:p w14:paraId="041512AE" w14:textId="77777777" w:rsidR="00D9030E" w:rsidRPr="009962C1" w:rsidRDefault="00D9030E" w:rsidP="00A66165">
            <w:pPr>
              <w:spacing w:line="360" w:lineRule="auto"/>
              <w:jc w:val="center"/>
              <w:rPr>
                <w:sz w:val="24"/>
                <w:szCs w:val="18"/>
              </w:rPr>
            </w:pPr>
            <w:r w:rsidRPr="009962C1">
              <w:rPr>
                <w:sz w:val="24"/>
                <w:szCs w:val="18"/>
              </w:rPr>
              <w:t>15.12</w:t>
            </w:r>
          </w:p>
        </w:tc>
      </w:tr>
      <w:tr w:rsidR="00D9030E" w:rsidRPr="009962C1" w14:paraId="700CEF27" w14:textId="77777777" w:rsidTr="00A66165">
        <w:trPr>
          <w:trHeight w:val="380"/>
          <w:jc w:val="center"/>
        </w:trPr>
        <w:tc>
          <w:tcPr>
            <w:tcW w:w="938" w:type="dxa"/>
            <w:noWrap/>
            <w:vAlign w:val="center"/>
            <w:hideMark/>
          </w:tcPr>
          <w:p w14:paraId="6987AC57" w14:textId="77777777" w:rsidR="00D9030E" w:rsidRPr="009962C1" w:rsidRDefault="00D9030E" w:rsidP="00A66165">
            <w:pPr>
              <w:spacing w:line="360" w:lineRule="auto"/>
              <w:jc w:val="center"/>
              <w:rPr>
                <w:sz w:val="24"/>
                <w:szCs w:val="18"/>
              </w:rPr>
            </w:pPr>
            <w:proofErr w:type="gramStart"/>
            <w:r w:rsidRPr="009962C1">
              <w:rPr>
                <w:sz w:val="24"/>
                <w:szCs w:val="18"/>
              </w:rPr>
              <w:t>NDF(</w:t>
            </w:r>
            <w:proofErr w:type="gramEnd"/>
            <w:r w:rsidRPr="009962C1">
              <w:rPr>
                <w:sz w:val="24"/>
                <w:szCs w:val="18"/>
              </w:rPr>
              <w:t>%)</w:t>
            </w:r>
          </w:p>
        </w:tc>
        <w:tc>
          <w:tcPr>
            <w:tcW w:w="1364" w:type="dxa"/>
            <w:noWrap/>
            <w:vAlign w:val="center"/>
            <w:hideMark/>
          </w:tcPr>
          <w:p w14:paraId="14EB8224" w14:textId="77777777" w:rsidR="00D9030E" w:rsidRPr="009962C1" w:rsidRDefault="00D9030E" w:rsidP="00A66165">
            <w:pPr>
              <w:spacing w:line="360" w:lineRule="auto"/>
              <w:jc w:val="center"/>
              <w:rPr>
                <w:sz w:val="24"/>
                <w:szCs w:val="18"/>
              </w:rPr>
            </w:pPr>
            <w:r w:rsidRPr="009962C1">
              <w:rPr>
                <w:sz w:val="24"/>
                <w:szCs w:val="18"/>
              </w:rPr>
              <w:t>81.12</w:t>
            </w:r>
          </w:p>
        </w:tc>
        <w:tc>
          <w:tcPr>
            <w:tcW w:w="1364" w:type="dxa"/>
            <w:noWrap/>
            <w:vAlign w:val="center"/>
            <w:hideMark/>
          </w:tcPr>
          <w:p w14:paraId="29EC4E36" w14:textId="77777777" w:rsidR="00D9030E" w:rsidRPr="009962C1" w:rsidRDefault="00D9030E" w:rsidP="00A66165">
            <w:pPr>
              <w:spacing w:line="360" w:lineRule="auto"/>
              <w:jc w:val="center"/>
              <w:rPr>
                <w:sz w:val="24"/>
                <w:szCs w:val="18"/>
              </w:rPr>
            </w:pPr>
            <w:r w:rsidRPr="009962C1">
              <w:rPr>
                <w:sz w:val="24"/>
                <w:szCs w:val="18"/>
              </w:rPr>
              <w:t>62.60</w:t>
            </w:r>
          </w:p>
        </w:tc>
        <w:tc>
          <w:tcPr>
            <w:tcW w:w="1194" w:type="dxa"/>
            <w:noWrap/>
            <w:vAlign w:val="center"/>
            <w:hideMark/>
          </w:tcPr>
          <w:p w14:paraId="69812AC2" w14:textId="77777777" w:rsidR="00D9030E" w:rsidRPr="009962C1" w:rsidRDefault="00D9030E" w:rsidP="00A66165">
            <w:pPr>
              <w:spacing w:line="360" w:lineRule="auto"/>
              <w:jc w:val="center"/>
              <w:rPr>
                <w:sz w:val="24"/>
                <w:szCs w:val="18"/>
              </w:rPr>
            </w:pPr>
            <w:r w:rsidRPr="009962C1">
              <w:rPr>
                <w:sz w:val="24"/>
                <w:szCs w:val="18"/>
              </w:rPr>
              <w:t>67.32</w:t>
            </w:r>
          </w:p>
        </w:tc>
        <w:tc>
          <w:tcPr>
            <w:tcW w:w="1195" w:type="dxa"/>
            <w:noWrap/>
            <w:vAlign w:val="center"/>
            <w:hideMark/>
          </w:tcPr>
          <w:p w14:paraId="1B5236B6" w14:textId="77777777" w:rsidR="00D9030E" w:rsidRPr="009962C1" w:rsidRDefault="00D9030E" w:rsidP="00A66165">
            <w:pPr>
              <w:spacing w:line="360" w:lineRule="auto"/>
              <w:jc w:val="center"/>
              <w:rPr>
                <w:sz w:val="24"/>
                <w:szCs w:val="18"/>
              </w:rPr>
            </w:pPr>
            <w:r w:rsidRPr="009962C1">
              <w:rPr>
                <w:sz w:val="24"/>
                <w:szCs w:val="18"/>
              </w:rPr>
              <w:t>58.35</w:t>
            </w:r>
          </w:p>
        </w:tc>
        <w:tc>
          <w:tcPr>
            <w:tcW w:w="1194" w:type="dxa"/>
            <w:noWrap/>
            <w:vAlign w:val="center"/>
            <w:hideMark/>
          </w:tcPr>
          <w:p w14:paraId="3C099C9D" w14:textId="77777777" w:rsidR="00D9030E" w:rsidRPr="009962C1" w:rsidRDefault="00D9030E" w:rsidP="00A66165">
            <w:pPr>
              <w:spacing w:line="360" w:lineRule="auto"/>
              <w:jc w:val="center"/>
              <w:rPr>
                <w:sz w:val="24"/>
                <w:szCs w:val="18"/>
              </w:rPr>
            </w:pPr>
            <w:r w:rsidRPr="009962C1">
              <w:rPr>
                <w:sz w:val="24"/>
                <w:szCs w:val="18"/>
              </w:rPr>
              <w:t>47.72</w:t>
            </w:r>
          </w:p>
        </w:tc>
        <w:tc>
          <w:tcPr>
            <w:tcW w:w="1194" w:type="dxa"/>
            <w:noWrap/>
            <w:vAlign w:val="center"/>
            <w:hideMark/>
          </w:tcPr>
          <w:p w14:paraId="57CA0B3A" w14:textId="77777777" w:rsidR="00D9030E" w:rsidRPr="009962C1" w:rsidRDefault="00D9030E" w:rsidP="00A66165">
            <w:pPr>
              <w:spacing w:line="360" w:lineRule="auto"/>
              <w:jc w:val="center"/>
              <w:rPr>
                <w:sz w:val="24"/>
                <w:szCs w:val="18"/>
              </w:rPr>
            </w:pPr>
            <w:r w:rsidRPr="009962C1">
              <w:rPr>
                <w:sz w:val="24"/>
                <w:szCs w:val="18"/>
              </w:rPr>
              <w:t>51.46</w:t>
            </w:r>
          </w:p>
        </w:tc>
        <w:tc>
          <w:tcPr>
            <w:tcW w:w="1195" w:type="dxa"/>
            <w:noWrap/>
            <w:vAlign w:val="center"/>
            <w:hideMark/>
          </w:tcPr>
          <w:p w14:paraId="7D1D81E3" w14:textId="77777777" w:rsidR="00D9030E" w:rsidRPr="009962C1" w:rsidRDefault="00D9030E" w:rsidP="00A66165">
            <w:pPr>
              <w:spacing w:line="360" w:lineRule="auto"/>
              <w:jc w:val="center"/>
              <w:rPr>
                <w:sz w:val="24"/>
                <w:szCs w:val="18"/>
              </w:rPr>
            </w:pPr>
            <w:r w:rsidRPr="009962C1">
              <w:rPr>
                <w:sz w:val="24"/>
                <w:szCs w:val="18"/>
              </w:rPr>
              <w:t>45.84</w:t>
            </w:r>
          </w:p>
        </w:tc>
      </w:tr>
      <w:tr w:rsidR="00D9030E" w:rsidRPr="009962C1" w14:paraId="29FD2536" w14:textId="77777777" w:rsidTr="00A66165">
        <w:trPr>
          <w:trHeight w:val="380"/>
          <w:jc w:val="center"/>
        </w:trPr>
        <w:tc>
          <w:tcPr>
            <w:tcW w:w="938" w:type="dxa"/>
            <w:noWrap/>
            <w:vAlign w:val="center"/>
            <w:hideMark/>
          </w:tcPr>
          <w:p w14:paraId="3B3F9797" w14:textId="77777777" w:rsidR="00D9030E" w:rsidRPr="009962C1" w:rsidRDefault="00D9030E" w:rsidP="00A66165">
            <w:pPr>
              <w:spacing w:line="360" w:lineRule="auto"/>
              <w:jc w:val="center"/>
              <w:rPr>
                <w:sz w:val="24"/>
                <w:szCs w:val="18"/>
              </w:rPr>
            </w:pPr>
            <w:proofErr w:type="gramStart"/>
            <w:r w:rsidRPr="009962C1">
              <w:rPr>
                <w:sz w:val="24"/>
                <w:szCs w:val="18"/>
              </w:rPr>
              <w:t>ADF(</w:t>
            </w:r>
            <w:proofErr w:type="gramEnd"/>
            <w:r w:rsidRPr="009962C1">
              <w:rPr>
                <w:sz w:val="24"/>
                <w:szCs w:val="18"/>
              </w:rPr>
              <w:t>%)</w:t>
            </w:r>
          </w:p>
        </w:tc>
        <w:tc>
          <w:tcPr>
            <w:tcW w:w="1364" w:type="dxa"/>
            <w:noWrap/>
            <w:vAlign w:val="center"/>
            <w:hideMark/>
          </w:tcPr>
          <w:p w14:paraId="11A74F67" w14:textId="77777777" w:rsidR="00D9030E" w:rsidRPr="009962C1" w:rsidRDefault="00D9030E" w:rsidP="00A66165">
            <w:pPr>
              <w:spacing w:line="360" w:lineRule="auto"/>
              <w:jc w:val="center"/>
              <w:rPr>
                <w:sz w:val="24"/>
                <w:szCs w:val="18"/>
              </w:rPr>
            </w:pPr>
            <w:r w:rsidRPr="009962C1">
              <w:rPr>
                <w:sz w:val="24"/>
                <w:szCs w:val="18"/>
              </w:rPr>
              <w:t>62.49</w:t>
            </w:r>
          </w:p>
        </w:tc>
        <w:tc>
          <w:tcPr>
            <w:tcW w:w="1364" w:type="dxa"/>
            <w:noWrap/>
            <w:vAlign w:val="center"/>
            <w:hideMark/>
          </w:tcPr>
          <w:p w14:paraId="5A9DEA33" w14:textId="77777777" w:rsidR="00D9030E" w:rsidRPr="009962C1" w:rsidRDefault="00D9030E" w:rsidP="00A66165">
            <w:pPr>
              <w:spacing w:line="360" w:lineRule="auto"/>
              <w:jc w:val="center"/>
              <w:rPr>
                <w:sz w:val="24"/>
                <w:szCs w:val="18"/>
              </w:rPr>
            </w:pPr>
            <w:r w:rsidRPr="009962C1">
              <w:rPr>
                <w:sz w:val="24"/>
                <w:szCs w:val="18"/>
              </w:rPr>
              <w:t>50.23</w:t>
            </w:r>
          </w:p>
        </w:tc>
        <w:tc>
          <w:tcPr>
            <w:tcW w:w="1194" w:type="dxa"/>
            <w:noWrap/>
            <w:vAlign w:val="center"/>
            <w:hideMark/>
          </w:tcPr>
          <w:p w14:paraId="772E80D0" w14:textId="77777777" w:rsidR="00D9030E" w:rsidRPr="009962C1" w:rsidRDefault="00D9030E" w:rsidP="00A66165">
            <w:pPr>
              <w:spacing w:line="360" w:lineRule="auto"/>
              <w:jc w:val="center"/>
              <w:rPr>
                <w:sz w:val="24"/>
                <w:szCs w:val="18"/>
              </w:rPr>
            </w:pPr>
            <w:r w:rsidRPr="009962C1">
              <w:rPr>
                <w:sz w:val="24"/>
                <w:szCs w:val="18"/>
              </w:rPr>
              <w:t>51.22</w:t>
            </w:r>
          </w:p>
        </w:tc>
        <w:tc>
          <w:tcPr>
            <w:tcW w:w="1195" w:type="dxa"/>
            <w:noWrap/>
            <w:vAlign w:val="center"/>
            <w:hideMark/>
          </w:tcPr>
          <w:p w14:paraId="4E10A70B" w14:textId="77777777" w:rsidR="00D9030E" w:rsidRPr="009962C1" w:rsidRDefault="00D9030E" w:rsidP="00A66165">
            <w:pPr>
              <w:spacing w:line="360" w:lineRule="auto"/>
              <w:jc w:val="center"/>
              <w:rPr>
                <w:sz w:val="24"/>
                <w:szCs w:val="18"/>
              </w:rPr>
            </w:pPr>
            <w:r w:rsidRPr="009962C1">
              <w:rPr>
                <w:sz w:val="24"/>
                <w:szCs w:val="18"/>
              </w:rPr>
              <w:t>35.98</w:t>
            </w:r>
          </w:p>
        </w:tc>
        <w:tc>
          <w:tcPr>
            <w:tcW w:w="1194" w:type="dxa"/>
            <w:noWrap/>
            <w:vAlign w:val="center"/>
            <w:hideMark/>
          </w:tcPr>
          <w:p w14:paraId="6FE53805" w14:textId="77777777" w:rsidR="00D9030E" w:rsidRPr="009962C1" w:rsidRDefault="00D9030E" w:rsidP="00A66165">
            <w:pPr>
              <w:spacing w:line="360" w:lineRule="auto"/>
              <w:jc w:val="center"/>
              <w:rPr>
                <w:sz w:val="24"/>
                <w:szCs w:val="18"/>
              </w:rPr>
            </w:pPr>
            <w:r w:rsidRPr="009962C1">
              <w:rPr>
                <w:sz w:val="24"/>
                <w:szCs w:val="18"/>
              </w:rPr>
              <w:t>30.72</w:t>
            </w:r>
          </w:p>
        </w:tc>
        <w:tc>
          <w:tcPr>
            <w:tcW w:w="1194" w:type="dxa"/>
            <w:noWrap/>
            <w:vAlign w:val="center"/>
            <w:hideMark/>
          </w:tcPr>
          <w:p w14:paraId="47A30EA7" w14:textId="77777777" w:rsidR="00D9030E" w:rsidRPr="009962C1" w:rsidRDefault="00D9030E" w:rsidP="00A66165">
            <w:pPr>
              <w:spacing w:line="360" w:lineRule="auto"/>
              <w:jc w:val="center"/>
              <w:rPr>
                <w:sz w:val="24"/>
                <w:szCs w:val="18"/>
              </w:rPr>
            </w:pPr>
            <w:r w:rsidRPr="009962C1">
              <w:rPr>
                <w:sz w:val="24"/>
                <w:szCs w:val="18"/>
              </w:rPr>
              <w:t>21.32</w:t>
            </w:r>
          </w:p>
        </w:tc>
        <w:tc>
          <w:tcPr>
            <w:tcW w:w="1195" w:type="dxa"/>
            <w:noWrap/>
            <w:vAlign w:val="center"/>
            <w:hideMark/>
          </w:tcPr>
          <w:p w14:paraId="5575F9CE" w14:textId="77777777" w:rsidR="00D9030E" w:rsidRPr="009962C1" w:rsidRDefault="00D9030E" w:rsidP="00A66165">
            <w:pPr>
              <w:spacing w:line="360" w:lineRule="auto"/>
              <w:jc w:val="center"/>
              <w:rPr>
                <w:sz w:val="24"/>
                <w:szCs w:val="18"/>
              </w:rPr>
            </w:pPr>
            <w:r w:rsidRPr="009962C1">
              <w:rPr>
                <w:sz w:val="24"/>
                <w:szCs w:val="18"/>
              </w:rPr>
              <w:t>31.29</w:t>
            </w:r>
          </w:p>
        </w:tc>
      </w:tr>
    </w:tbl>
    <w:p w14:paraId="6F894621" w14:textId="77777777" w:rsidR="00D9030E" w:rsidRPr="00AC0533" w:rsidRDefault="00D9030E" w:rsidP="00E93FB9">
      <w:pPr>
        <w:spacing w:line="360" w:lineRule="auto"/>
        <w:ind w:firstLineChars="200" w:firstLine="480"/>
        <w:rPr>
          <w:rFonts w:ascii="Times New Roman" w:eastAsia="宋体" w:hAnsi="Times New Roman" w:cs="Times New Roman"/>
          <w:sz w:val="24"/>
          <w:szCs w:val="24"/>
        </w:rPr>
      </w:pP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条与与其他大宗饲草料营养成分比较见表</w:t>
      </w:r>
      <w:r w:rsidRPr="00AC0533">
        <w:rPr>
          <w:rFonts w:ascii="Times New Roman" w:eastAsia="宋体" w:hAnsi="Times New Roman" w:cs="Times New Roman" w:hint="eastAsia"/>
          <w:sz w:val="24"/>
          <w:szCs w:val="24"/>
        </w:rPr>
        <w:t>2</w:t>
      </w:r>
      <w:r w:rsidRPr="00AC0533">
        <w:rPr>
          <w:rFonts w:ascii="Times New Roman" w:eastAsia="宋体" w:hAnsi="Times New Roman" w:cs="Times New Roman" w:hint="eastAsia"/>
          <w:sz w:val="24"/>
          <w:szCs w:val="24"/>
        </w:rPr>
        <w:t>，</w:t>
      </w:r>
      <w:proofErr w:type="gramStart"/>
      <w:r w:rsidRPr="00AC0533">
        <w:rPr>
          <w:rFonts w:ascii="Times New Roman" w:eastAsia="宋体" w:hAnsi="Times New Roman" w:cs="Times New Roman" w:hint="eastAsia"/>
          <w:sz w:val="24"/>
          <w:szCs w:val="24"/>
        </w:rPr>
        <w:t>柠</w:t>
      </w:r>
      <w:proofErr w:type="gramEnd"/>
      <w:r w:rsidRPr="00AC0533">
        <w:rPr>
          <w:rFonts w:ascii="Times New Roman" w:eastAsia="宋体" w:hAnsi="Times New Roman" w:cs="Times New Roman" w:hint="eastAsia"/>
          <w:sz w:val="24"/>
          <w:szCs w:val="24"/>
        </w:rPr>
        <w:t>条粗蛋白含量和粗脂肪含量高于玉米但低于大豆，合理的利用有利于降低大豆使用量，而粗纤维含量高于其他饲草料，经过适合的饲喂配比能够作为很好的粗饲料来源。</w:t>
      </w:r>
    </w:p>
    <w:p w14:paraId="00546511" w14:textId="77777777" w:rsidR="00D9030E" w:rsidRPr="00AC0533" w:rsidRDefault="00D9030E" w:rsidP="00D9030E">
      <w:pPr>
        <w:keepNext/>
        <w:spacing w:line="360" w:lineRule="auto"/>
        <w:ind w:firstLine="664"/>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表</w:t>
      </w:r>
      <w:r w:rsidRPr="00AC0533">
        <w:rPr>
          <w:rFonts w:ascii="Times New Roman" w:eastAsia="宋体" w:hAnsi="Times New Roman" w:cstheme="majorBidi" w:hint="eastAsia"/>
          <w:sz w:val="24"/>
          <w:szCs w:val="24"/>
        </w:rPr>
        <w:t>2</w:t>
      </w:r>
      <w:r w:rsidRPr="00AC0533">
        <w:rPr>
          <w:rFonts w:ascii="Times New Roman" w:eastAsia="宋体" w:hAnsi="Times New Roman" w:cstheme="majorBidi" w:hint="eastAsia"/>
          <w:sz w:val="24"/>
          <w:szCs w:val="24"/>
        </w:rPr>
        <w:t>饲草料营养成分比较</w:t>
      </w:r>
    </w:p>
    <w:tbl>
      <w:tblPr>
        <w:tblW w:w="5000" w:type="pct"/>
        <w:jc w:val="center"/>
        <w:tblBorders>
          <w:top w:val="single" w:sz="12" w:space="0" w:color="auto"/>
        </w:tblBorders>
        <w:shd w:val="clear" w:color="auto" w:fill="FFFFFF" w:themeFill="background1"/>
        <w:tblCellMar>
          <w:left w:w="0" w:type="dxa"/>
          <w:right w:w="0" w:type="dxa"/>
        </w:tblCellMar>
        <w:tblLook w:val="0600" w:firstRow="0" w:lastRow="0" w:firstColumn="0" w:lastColumn="0" w:noHBand="1" w:noVBand="1"/>
      </w:tblPr>
      <w:tblGrid>
        <w:gridCol w:w="2126"/>
        <w:gridCol w:w="1135"/>
        <w:gridCol w:w="1399"/>
        <w:gridCol w:w="1108"/>
        <w:gridCol w:w="1430"/>
        <w:gridCol w:w="1108"/>
      </w:tblGrid>
      <w:tr w:rsidR="00D9030E" w:rsidRPr="00AC0533" w14:paraId="63A79F46" w14:textId="77777777" w:rsidTr="00A66165">
        <w:trPr>
          <w:trHeight w:val="619"/>
          <w:jc w:val="center"/>
        </w:trPr>
        <w:tc>
          <w:tcPr>
            <w:tcW w:w="1280" w:type="pct"/>
            <w:tcBorders>
              <w:top w:val="single" w:sz="12" w:space="0" w:color="auto"/>
              <w:bottom w:val="single" w:sz="8" w:space="0" w:color="auto"/>
            </w:tcBorders>
            <w:shd w:val="clear" w:color="auto" w:fill="FFFFFF" w:themeFill="background1"/>
            <w:tcMar>
              <w:top w:w="12" w:type="dxa"/>
              <w:left w:w="12" w:type="dxa"/>
              <w:bottom w:w="0" w:type="dxa"/>
              <w:right w:w="12" w:type="dxa"/>
            </w:tcMar>
            <w:vAlign w:val="center"/>
            <w:hideMark/>
          </w:tcPr>
          <w:p w14:paraId="40B5E111"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营养组份（</w:t>
            </w:r>
            <w:r w:rsidRPr="00AC0533">
              <w:rPr>
                <w:rFonts w:ascii="Times New Roman" w:eastAsia="宋体" w:hAnsi="Times New Roman" w:cstheme="majorBidi"/>
                <w:sz w:val="24"/>
                <w:szCs w:val="24"/>
              </w:rPr>
              <w:t>%DM</w:t>
            </w:r>
            <w:r w:rsidRPr="00AC0533">
              <w:rPr>
                <w:rFonts w:ascii="Times New Roman" w:eastAsia="宋体" w:hAnsi="Times New Roman" w:cstheme="majorBidi" w:hint="eastAsia"/>
                <w:sz w:val="24"/>
                <w:szCs w:val="24"/>
              </w:rPr>
              <w:t>）</w:t>
            </w:r>
          </w:p>
        </w:tc>
        <w:tc>
          <w:tcPr>
            <w:tcW w:w="683" w:type="pct"/>
            <w:tcBorders>
              <w:top w:val="single" w:sz="12" w:space="0" w:color="auto"/>
              <w:bottom w:val="single" w:sz="8" w:space="0" w:color="auto"/>
            </w:tcBorders>
            <w:shd w:val="clear" w:color="auto" w:fill="FFFFFF" w:themeFill="background1"/>
            <w:tcMar>
              <w:top w:w="12" w:type="dxa"/>
              <w:left w:w="12" w:type="dxa"/>
              <w:bottom w:w="0" w:type="dxa"/>
              <w:right w:w="12" w:type="dxa"/>
            </w:tcMar>
            <w:vAlign w:val="center"/>
            <w:hideMark/>
          </w:tcPr>
          <w:p w14:paraId="1C88233E"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粗蛋白</w:t>
            </w:r>
          </w:p>
        </w:tc>
        <w:tc>
          <w:tcPr>
            <w:tcW w:w="842" w:type="pct"/>
            <w:tcBorders>
              <w:top w:val="single" w:sz="12" w:space="0" w:color="auto"/>
              <w:bottom w:val="single" w:sz="8" w:space="0" w:color="auto"/>
            </w:tcBorders>
            <w:shd w:val="clear" w:color="auto" w:fill="FFFFFF" w:themeFill="background1"/>
            <w:tcMar>
              <w:top w:w="12" w:type="dxa"/>
              <w:left w:w="12" w:type="dxa"/>
              <w:bottom w:w="0" w:type="dxa"/>
              <w:right w:w="12" w:type="dxa"/>
            </w:tcMar>
            <w:vAlign w:val="center"/>
            <w:hideMark/>
          </w:tcPr>
          <w:p w14:paraId="2DBCD020"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粗脂肪</w:t>
            </w:r>
          </w:p>
        </w:tc>
        <w:tc>
          <w:tcPr>
            <w:tcW w:w="667" w:type="pct"/>
            <w:tcBorders>
              <w:top w:val="single" w:sz="12" w:space="0" w:color="auto"/>
              <w:bottom w:val="single" w:sz="8" w:space="0" w:color="auto"/>
            </w:tcBorders>
            <w:shd w:val="clear" w:color="auto" w:fill="FFFFFF" w:themeFill="background1"/>
            <w:tcMar>
              <w:top w:w="12" w:type="dxa"/>
              <w:left w:w="12" w:type="dxa"/>
              <w:bottom w:w="0" w:type="dxa"/>
              <w:right w:w="12" w:type="dxa"/>
            </w:tcMar>
            <w:vAlign w:val="center"/>
            <w:hideMark/>
          </w:tcPr>
          <w:p w14:paraId="3F8923DB"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粗纤维</w:t>
            </w:r>
          </w:p>
        </w:tc>
        <w:tc>
          <w:tcPr>
            <w:tcW w:w="861" w:type="pct"/>
            <w:tcBorders>
              <w:top w:val="single" w:sz="12" w:space="0" w:color="auto"/>
              <w:bottom w:val="single" w:sz="8" w:space="0" w:color="auto"/>
            </w:tcBorders>
            <w:shd w:val="clear" w:color="auto" w:fill="FFFFFF" w:themeFill="background1"/>
            <w:tcMar>
              <w:top w:w="12" w:type="dxa"/>
              <w:left w:w="12" w:type="dxa"/>
              <w:bottom w:w="0" w:type="dxa"/>
              <w:right w:w="12" w:type="dxa"/>
            </w:tcMar>
            <w:vAlign w:val="center"/>
            <w:hideMark/>
          </w:tcPr>
          <w:p w14:paraId="0B31664C"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无氮浸出物</w:t>
            </w:r>
          </w:p>
        </w:tc>
        <w:tc>
          <w:tcPr>
            <w:tcW w:w="667" w:type="pct"/>
            <w:tcBorders>
              <w:top w:val="single" w:sz="12" w:space="0" w:color="auto"/>
              <w:bottom w:val="single" w:sz="8" w:space="0" w:color="auto"/>
            </w:tcBorders>
            <w:shd w:val="clear" w:color="auto" w:fill="FFFFFF" w:themeFill="background1"/>
            <w:tcMar>
              <w:top w:w="12" w:type="dxa"/>
              <w:left w:w="12" w:type="dxa"/>
              <w:bottom w:w="0" w:type="dxa"/>
              <w:right w:w="12" w:type="dxa"/>
            </w:tcMar>
            <w:vAlign w:val="center"/>
            <w:hideMark/>
          </w:tcPr>
          <w:p w14:paraId="012E2E01"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氨基酸</w:t>
            </w:r>
          </w:p>
        </w:tc>
      </w:tr>
      <w:tr w:rsidR="00D9030E" w:rsidRPr="00AC0533" w14:paraId="1EDA49AC" w14:textId="77777777" w:rsidTr="00A66165">
        <w:trPr>
          <w:trHeight w:val="274"/>
          <w:jc w:val="center"/>
        </w:trPr>
        <w:tc>
          <w:tcPr>
            <w:tcW w:w="1280" w:type="pct"/>
            <w:tcBorders>
              <w:top w:val="single" w:sz="8" w:space="0" w:color="auto"/>
            </w:tcBorders>
            <w:shd w:val="clear" w:color="auto" w:fill="FFFFFF" w:themeFill="background1"/>
            <w:tcMar>
              <w:top w:w="12" w:type="dxa"/>
              <w:left w:w="12" w:type="dxa"/>
              <w:bottom w:w="0" w:type="dxa"/>
              <w:right w:w="12" w:type="dxa"/>
            </w:tcMar>
            <w:vAlign w:val="center"/>
            <w:hideMark/>
          </w:tcPr>
          <w:p w14:paraId="30962223"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锦鸡儿</w:t>
            </w:r>
          </w:p>
        </w:tc>
        <w:tc>
          <w:tcPr>
            <w:tcW w:w="683" w:type="pct"/>
            <w:tcBorders>
              <w:top w:val="single" w:sz="8" w:space="0" w:color="auto"/>
            </w:tcBorders>
            <w:shd w:val="clear" w:color="auto" w:fill="FFFFFF" w:themeFill="background1"/>
            <w:tcMar>
              <w:top w:w="12" w:type="dxa"/>
              <w:left w:w="12" w:type="dxa"/>
              <w:bottom w:w="0" w:type="dxa"/>
              <w:right w:w="12" w:type="dxa"/>
            </w:tcMar>
            <w:vAlign w:val="center"/>
            <w:hideMark/>
          </w:tcPr>
          <w:p w14:paraId="0AA878A0"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10.7</w:t>
            </w:r>
          </w:p>
        </w:tc>
        <w:tc>
          <w:tcPr>
            <w:tcW w:w="842" w:type="pct"/>
            <w:tcBorders>
              <w:top w:val="single" w:sz="8" w:space="0" w:color="auto"/>
            </w:tcBorders>
            <w:shd w:val="clear" w:color="auto" w:fill="FFFFFF" w:themeFill="background1"/>
            <w:tcMar>
              <w:top w:w="12" w:type="dxa"/>
              <w:left w:w="12" w:type="dxa"/>
              <w:bottom w:w="0" w:type="dxa"/>
              <w:right w:w="12" w:type="dxa"/>
            </w:tcMar>
            <w:vAlign w:val="center"/>
            <w:hideMark/>
          </w:tcPr>
          <w:p w14:paraId="7C2858C7"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7</w:t>
            </w:r>
          </w:p>
        </w:tc>
        <w:tc>
          <w:tcPr>
            <w:tcW w:w="667" w:type="pct"/>
            <w:tcBorders>
              <w:top w:val="single" w:sz="8" w:space="0" w:color="auto"/>
            </w:tcBorders>
            <w:shd w:val="clear" w:color="auto" w:fill="FFFFFF" w:themeFill="background1"/>
            <w:tcMar>
              <w:top w:w="12" w:type="dxa"/>
              <w:left w:w="12" w:type="dxa"/>
              <w:bottom w:w="0" w:type="dxa"/>
              <w:right w:w="12" w:type="dxa"/>
            </w:tcMar>
            <w:vAlign w:val="center"/>
            <w:hideMark/>
          </w:tcPr>
          <w:p w14:paraId="32E2D583"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35</w:t>
            </w:r>
          </w:p>
        </w:tc>
        <w:tc>
          <w:tcPr>
            <w:tcW w:w="861" w:type="pct"/>
            <w:tcBorders>
              <w:top w:val="single" w:sz="8" w:space="0" w:color="auto"/>
            </w:tcBorders>
            <w:shd w:val="clear" w:color="auto" w:fill="FFFFFF" w:themeFill="background1"/>
            <w:tcMar>
              <w:top w:w="12" w:type="dxa"/>
              <w:left w:w="12" w:type="dxa"/>
              <w:bottom w:w="0" w:type="dxa"/>
              <w:right w:w="12" w:type="dxa"/>
            </w:tcMar>
            <w:vAlign w:val="center"/>
            <w:hideMark/>
          </w:tcPr>
          <w:p w14:paraId="4325C8F3"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31.6</w:t>
            </w:r>
          </w:p>
        </w:tc>
        <w:tc>
          <w:tcPr>
            <w:tcW w:w="667" w:type="pct"/>
            <w:tcBorders>
              <w:top w:val="single" w:sz="8" w:space="0" w:color="auto"/>
            </w:tcBorders>
            <w:shd w:val="clear" w:color="auto" w:fill="FFFFFF" w:themeFill="background1"/>
            <w:tcMar>
              <w:top w:w="12" w:type="dxa"/>
              <w:left w:w="12" w:type="dxa"/>
              <w:bottom w:w="0" w:type="dxa"/>
              <w:right w:w="12" w:type="dxa"/>
            </w:tcMar>
            <w:vAlign w:val="center"/>
            <w:hideMark/>
          </w:tcPr>
          <w:p w14:paraId="1B9ADB43"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12.5</w:t>
            </w:r>
          </w:p>
        </w:tc>
      </w:tr>
      <w:tr w:rsidR="00D9030E" w:rsidRPr="00AC0533" w14:paraId="507A9AC8" w14:textId="77777777" w:rsidTr="00A66165">
        <w:trPr>
          <w:trHeight w:val="413"/>
          <w:jc w:val="center"/>
        </w:trPr>
        <w:tc>
          <w:tcPr>
            <w:tcW w:w="1280" w:type="pct"/>
            <w:shd w:val="clear" w:color="auto" w:fill="FFFFFF" w:themeFill="background1"/>
            <w:tcMar>
              <w:top w:w="12" w:type="dxa"/>
              <w:left w:w="12" w:type="dxa"/>
              <w:bottom w:w="0" w:type="dxa"/>
              <w:right w:w="12" w:type="dxa"/>
            </w:tcMar>
            <w:vAlign w:val="center"/>
            <w:hideMark/>
          </w:tcPr>
          <w:p w14:paraId="37490508"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大豆</w:t>
            </w:r>
          </w:p>
        </w:tc>
        <w:tc>
          <w:tcPr>
            <w:tcW w:w="683" w:type="pct"/>
            <w:shd w:val="clear" w:color="auto" w:fill="FFFFFF" w:themeFill="background1"/>
            <w:tcMar>
              <w:top w:w="12" w:type="dxa"/>
              <w:left w:w="12" w:type="dxa"/>
              <w:bottom w:w="0" w:type="dxa"/>
              <w:right w:w="12" w:type="dxa"/>
            </w:tcMar>
            <w:vAlign w:val="center"/>
            <w:hideMark/>
          </w:tcPr>
          <w:p w14:paraId="0752CA91"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36</w:t>
            </w:r>
          </w:p>
        </w:tc>
        <w:tc>
          <w:tcPr>
            <w:tcW w:w="842" w:type="pct"/>
            <w:shd w:val="clear" w:color="auto" w:fill="FFFFFF" w:themeFill="background1"/>
            <w:tcMar>
              <w:top w:w="12" w:type="dxa"/>
              <w:left w:w="12" w:type="dxa"/>
              <w:bottom w:w="0" w:type="dxa"/>
              <w:right w:w="12" w:type="dxa"/>
            </w:tcMar>
            <w:vAlign w:val="center"/>
            <w:hideMark/>
          </w:tcPr>
          <w:p w14:paraId="0E31DB2B"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18</w:t>
            </w:r>
          </w:p>
        </w:tc>
        <w:tc>
          <w:tcPr>
            <w:tcW w:w="667" w:type="pct"/>
            <w:shd w:val="clear" w:color="auto" w:fill="FFFFFF" w:themeFill="background1"/>
            <w:tcMar>
              <w:top w:w="12" w:type="dxa"/>
              <w:left w:w="12" w:type="dxa"/>
              <w:bottom w:w="0" w:type="dxa"/>
              <w:right w:w="12" w:type="dxa"/>
            </w:tcMar>
            <w:vAlign w:val="center"/>
            <w:hideMark/>
          </w:tcPr>
          <w:p w14:paraId="29B1C6D5"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6.17</w:t>
            </w:r>
          </w:p>
        </w:tc>
        <w:tc>
          <w:tcPr>
            <w:tcW w:w="861" w:type="pct"/>
            <w:shd w:val="clear" w:color="auto" w:fill="FFFFFF" w:themeFill="background1"/>
            <w:tcMar>
              <w:top w:w="12" w:type="dxa"/>
              <w:left w:w="12" w:type="dxa"/>
              <w:bottom w:w="0" w:type="dxa"/>
              <w:right w:w="12" w:type="dxa"/>
            </w:tcMar>
            <w:vAlign w:val="center"/>
            <w:hideMark/>
          </w:tcPr>
          <w:p w14:paraId="2425946D"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25.7</w:t>
            </w:r>
          </w:p>
        </w:tc>
        <w:tc>
          <w:tcPr>
            <w:tcW w:w="667" w:type="pct"/>
            <w:shd w:val="clear" w:color="auto" w:fill="FFFFFF" w:themeFill="background1"/>
            <w:tcMar>
              <w:top w:w="12" w:type="dxa"/>
              <w:left w:w="12" w:type="dxa"/>
              <w:bottom w:w="0" w:type="dxa"/>
              <w:right w:w="12" w:type="dxa"/>
            </w:tcMar>
            <w:vAlign w:val="center"/>
            <w:hideMark/>
          </w:tcPr>
          <w:p w14:paraId="50BBD22B"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16.5</w:t>
            </w:r>
          </w:p>
        </w:tc>
      </w:tr>
      <w:tr w:rsidR="00D9030E" w:rsidRPr="00AC0533" w14:paraId="3DC8DF92" w14:textId="77777777" w:rsidTr="00A66165">
        <w:trPr>
          <w:trHeight w:val="136"/>
          <w:jc w:val="center"/>
        </w:trPr>
        <w:tc>
          <w:tcPr>
            <w:tcW w:w="1280" w:type="pct"/>
            <w:shd w:val="clear" w:color="auto" w:fill="FFFFFF" w:themeFill="background1"/>
            <w:tcMar>
              <w:top w:w="12" w:type="dxa"/>
              <w:left w:w="12" w:type="dxa"/>
              <w:bottom w:w="0" w:type="dxa"/>
              <w:right w:w="12" w:type="dxa"/>
            </w:tcMar>
            <w:vAlign w:val="center"/>
            <w:hideMark/>
          </w:tcPr>
          <w:p w14:paraId="0A90B85C"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苜蓿</w:t>
            </w:r>
          </w:p>
        </w:tc>
        <w:tc>
          <w:tcPr>
            <w:tcW w:w="683" w:type="pct"/>
            <w:shd w:val="clear" w:color="auto" w:fill="FFFFFF" w:themeFill="background1"/>
            <w:tcMar>
              <w:top w:w="12" w:type="dxa"/>
              <w:left w:w="12" w:type="dxa"/>
              <w:bottom w:w="0" w:type="dxa"/>
              <w:right w:w="12" w:type="dxa"/>
            </w:tcMar>
            <w:vAlign w:val="center"/>
            <w:hideMark/>
          </w:tcPr>
          <w:p w14:paraId="6CFD62C2"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21</w:t>
            </w:r>
          </w:p>
        </w:tc>
        <w:tc>
          <w:tcPr>
            <w:tcW w:w="842" w:type="pct"/>
            <w:shd w:val="clear" w:color="auto" w:fill="FFFFFF" w:themeFill="background1"/>
            <w:tcMar>
              <w:top w:w="12" w:type="dxa"/>
              <w:left w:w="12" w:type="dxa"/>
              <w:bottom w:w="0" w:type="dxa"/>
              <w:right w:w="12" w:type="dxa"/>
            </w:tcMar>
            <w:vAlign w:val="center"/>
            <w:hideMark/>
          </w:tcPr>
          <w:p w14:paraId="4FC2954D"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4.6</w:t>
            </w:r>
          </w:p>
        </w:tc>
        <w:tc>
          <w:tcPr>
            <w:tcW w:w="667" w:type="pct"/>
            <w:shd w:val="clear" w:color="auto" w:fill="FFFFFF" w:themeFill="background1"/>
            <w:tcMar>
              <w:top w:w="12" w:type="dxa"/>
              <w:left w:w="12" w:type="dxa"/>
              <w:bottom w:w="0" w:type="dxa"/>
              <w:right w:w="12" w:type="dxa"/>
            </w:tcMar>
            <w:vAlign w:val="center"/>
            <w:hideMark/>
          </w:tcPr>
          <w:p w14:paraId="76E6894E"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25</w:t>
            </w:r>
          </w:p>
        </w:tc>
        <w:tc>
          <w:tcPr>
            <w:tcW w:w="861" w:type="pct"/>
            <w:shd w:val="clear" w:color="auto" w:fill="FFFFFF" w:themeFill="background1"/>
            <w:tcMar>
              <w:top w:w="12" w:type="dxa"/>
              <w:left w:w="12" w:type="dxa"/>
              <w:bottom w:w="0" w:type="dxa"/>
              <w:right w:w="12" w:type="dxa"/>
            </w:tcMar>
            <w:vAlign w:val="center"/>
            <w:hideMark/>
          </w:tcPr>
          <w:p w14:paraId="052E697B"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34.4</w:t>
            </w:r>
          </w:p>
        </w:tc>
        <w:tc>
          <w:tcPr>
            <w:tcW w:w="667" w:type="pct"/>
            <w:shd w:val="clear" w:color="auto" w:fill="FFFFFF" w:themeFill="background1"/>
            <w:tcMar>
              <w:top w:w="12" w:type="dxa"/>
              <w:left w:w="12" w:type="dxa"/>
              <w:bottom w:w="0" w:type="dxa"/>
              <w:right w:w="12" w:type="dxa"/>
            </w:tcMar>
            <w:vAlign w:val="center"/>
            <w:hideMark/>
          </w:tcPr>
          <w:p w14:paraId="609135C6"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12</w:t>
            </w:r>
          </w:p>
        </w:tc>
      </w:tr>
      <w:tr w:rsidR="00D9030E" w:rsidRPr="00AC0533" w14:paraId="5D83DC1D" w14:textId="77777777" w:rsidTr="00A66165">
        <w:trPr>
          <w:trHeight w:val="56"/>
          <w:jc w:val="center"/>
        </w:trPr>
        <w:tc>
          <w:tcPr>
            <w:tcW w:w="1280" w:type="pct"/>
            <w:tcBorders>
              <w:bottom w:val="single" w:sz="12" w:space="0" w:color="auto"/>
            </w:tcBorders>
            <w:shd w:val="clear" w:color="auto" w:fill="FFFFFF" w:themeFill="background1"/>
            <w:tcMar>
              <w:top w:w="12" w:type="dxa"/>
              <w:left w:w="12" w:type="dxa"/>
              <w:bottom w:w="0" w:type="dxa"/>
              <w:right w:w="12" w:type="dxa"/>
            </w:tcMar>
            <w:vAlign w:val="center"/>
            <w:hideMark/>
          </w:tcPr>
          <w:p w14:paraId="5E35BA6E"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玉米</w:t>
            </w:r>
          </w:p>
        </w:tc>
        <w:tc>
          <w:tcPr>
            <w:tcW w:w="683" w:type="pct"/>
            <w:tcBorders>
              <w:bottom w:val="single" w:sz="12" w:space="0" w:color="auto"/>
            </w:tcBorders>
            <w:shd w:val="clear" w:color="auto" w:fill="FFFFFF" w:themeFill="background1"/>
            <w:tcMar>
              <w:top w:w="12" w:type="dxa"/>
              <w:left w:w="12" w:type="dxa"/>
              <w:bottom w:w="0" w:type="dxa"/>
              <w:right w:w="12" w:type="dxa"/>
            </w:tcMar>
            <w:vAlign w:val="center"/>
            <w:hideMark/>
          </w:tcPr>
          <w:p w14:paraId="4E3DF85C"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2.7</w:t>
            </w:r>
          </w:p>
        </w:tc>
        <w:tc>
          <w:tcPr>
            <w:tcW w:w="842" w:type="pct"/>
            <w:tcBorders>
              <w:bottom w:val="single" w:sz="12" w:space="0" w:color="auto"/>
            </w:tcBorders>
            <w:shd w:val="clear" w:color="auto" w:fill="FFFFFF" w:themeFill="background1"/>
            <w:tcMar>
              <w:top w:w="12" w:type="dxa"/>
              <w:left w:w="12" w:type="dxa"/>
              <w:bottom w:w="0" w:type="dxa"/>
              <w:right w:w="12" w:type="dxa"/>
            </w:tcMar>
            <w:vAlign w:val="center"/>
            <w:hideMark/>
          </w:tcPr>
          <w:p w14:paraId="3A6DB890"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0.8</w:t>
            </w:r>
          </w:p>
        </w:tc>
        <w:tc>
          <w:tcPr>
            <w:tcW w:w="667" w:type="pct"/>
            <w:tcBorders>
              <w:bottom w:val="single" w:sz="12" w:space="0" w:color="auto"/>
            </w:tcBorders>
            <w:shd w:val="clear" w:color="auto" w:fill="FFFFFF" w:themeFill="background1"/>
            <w:tcMar>
              <w:top w:w="12" w:type="dxa"/>
              <w:left w:w="12" w:type="dxa"/>
              <w:bottom w:w="0" w:type="dxa"/>
              <w:right w:w="12" w:type="dxa"/>
            </w:tcMar>
            <w:vAlign w:val="center"/>
            <w:hideMark/>
          </w:tcPr>
          <w:p w14:paraId="1E4E4FAB"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6.4</w:t>
            </w:r>
          </w:p>
        </w:tc>
        <w:tc>
          <w:tcPr>
            <w:tcW w:w="861" w:type="pct"/>
            <w:tcBorders>
              <w:bottom w:val="single" w:sz="12" w:space="0" w:color="auto"/>
            </w:tcBorders>
            <w:shd w:val="clear" w:color="auto" w:fill="FFFFFF" w:themeFill="background1"/>
            <w:tcMar>
              <w:top w:w="12" w:type="dxa"/>
              <w:left w:w="12" w:type="dxa"/>
              <w:bottom w:w="0" w:type="dxa"/>
              <w:right w:w="12" w:type="dxa"/>
            </w:tcMar>
            <w:vAlign w:val="center"/>
            <w:hideMark/>
          </w:tcPr>
          <w:p w14:paraId="3D53276A"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15.9</w:t>
            </w:r>
          </w:p>
        </w:tc>
        <w:tc>
          <w:tcPr>
            <w:tcW w:w="667" w:type="pct"/>
            <w:tcBorders>
              <w:bottom w:val="single" w:sz="12" w:space="0" w:color="auto"/>
            </w:tcBorders>
            <w:shd w:val="clear" w:color="auto" w:fill="FFFFFF" w:themeFill="background1"/>
            <w:tcMar>
              <w:top w:w="12" w:type="dxa"/>
              <w:left w:w="12" w:type="dxa"/>
              <w:bottom w:w="0" w:type="dxa"/>
              <w:right w:w="12" w:type="dxa"/>
            </w:tcMar>
            <w:vAlign w:val="center"/>
            <w:hideMark/>
          </w:tcPr>
          <w:p w14:paraId="3A1BF49C"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18.9</w:t>
            </w:r>
          </w:p>
        </w:tc>
      </w:tr>
    </w:tbl>
    <w:p w14:paraId="26A01D67" w14:textId="77777777" w:rsidR="00D9030E" w:rsidRPr="00AC0533" w:rsidRDefault="00D9030E" w:rsidP="00D9030E">
      <w:pPr>
        <w:ind w:firstLineChars="200" w:firstLine="480"/>
        <w:rPr>
          <w:rFonts w:ascii="Times New Roman" w:eastAsia="宋体" w:hAnsi="Times New Roman" w:cs="Times New Roman"/>
          <w:sz w:val="24"/>
          <w:szCs w:val="24"/>
        </w:rPr>
      </w:pPr>
    </w:p>
    <w:p w14:paraId="6794BC3A" w14:textId="77777777" w:rsidR="00D9030E" w:rsidRPr="00AC0533" w:rsidRDefault="00D9030E" w:rsidP="00E93FB9">
      <w:pPr>
        <w:spacing w:line="360" w:lineRule="auto"/>
        <w:ind w:firstLineChars="200" w:firstLine="480"/>
        <w:rPr>
          <w:rFonts w:ascii="Times New Roman" w:eastAsia="宋体" w:hAnsi="Times New Roman" w:cs="Times New Roman"/>
          <w:sz w:val="24"/>
          <w:szCs w:val="24"/>
        </w:rPr>
      </w:pPr>
      <w:r w:rsidRPr="00AC0533">
        <w:rPr>
          <w:rFonts w:ascii="Times New Roman" w:eastAsia="宋体" w:hAnsi="Times New Roman" w:cs="Times New Roman"/>
          <w:sz w:val="24"/>
          <w:szCs w:val="24"/>
        </w:rPr>
        <w:t>不同品种锦鸡儿</w:t>
      </w:r>
      <w:r w:rsidRPr="00AC0533">
        <w:rPr>
          <w:rFonts w:ascii="Times New Roman" w:eastAsia="宋体" w:hAnsi="Times New Roman" w:cs="Times New Roman" w:hint="eastAsia"/>
          <w:sz w:val="24"/>
          <w:szCs w:val="24"/>
        </w:rPr>
        <w:t>营养成分见表</w:t>
      </w:r>
      <w:r w:rsidRPr="00AC0533">
        <w:rPr>
          <w:rFonts w:ascii="Times New Roman" w:eastAsia="宋体" w:hAnsi="Times New Roman" w:cs="Times New Roman" w:hint="eastAsia"/>
          <w:sz w:val="24"/>
          <w:szCs w:val="24"/>
        </w:rPr>
        <w:t>3</w:t>
      </w:r>
      <w:r w:rsidRPr="00AC0533">
        <w:rPr>
          <w:rFonts w:ascii="Times New Roman" w:eastAsia="宋体" w:hAnsi="Times New Roman" w:cs="Times New Roman" w:hint="eastAsia"/>
          <w:sz w:val="24"/>
          <w:szCs w:val="24"/>
        </w:rPr>
        <w:t>，</w:t>
      </w:r>
      <w:r w:rsidRPr="00AC0533">
        <w:rPr>
          <w:rFonts w:ascii="Times New Roman" w:eastAsia="宋体" w:hAnsi="Times New Roman" w:cs="Times New Roman"/>
          <w:sz w:val="24"/>
          <w:szCs w:val="24"/>
        </w:rPr>
        <w:t>中间锦鸡</w:t>
      </w:r>
      <w:proofErr w:type="gramStart"/>
      <w:r w:rsidRPr="00AC0533">
        <w:rPr>
          <w:rFonts w:ascii="Times New Roman" w:eastAsia="宋体" w:hAnsi="Times New Roman" w:cs="Times New Roman"/>
          <w:sz w:val="24"/>
          <w:szCs w:val="24"/>
        </w:rPr>
        <w:t>儿具有</w:t>
      </w:r>
      <w:proofErr w:type="gramEnd"/>
      <w:r w:rsidRPr="00AC0533">
        <w:rPr>
          <w:rFonts w:ascii="Times New Roman" w:eastAsia="宋体" w:hAnsi="Times New Roman" w:cs="Times New Roman"/>
          <w:sz w:val="24"/>
          <w:szCs w:val="24"/>
        </w:rPr>
        <w:t>较高的粗蛋白，较低的纤维含量但植株较低，产量次于</w:t>
      </w:r>
      <w:proofErr w:type="gramStart"/>
      <w:r w:rsidRPr="00AC0533">
        <w:rPr>
          <w:rFonts w:ascii="Times New Roman" w:eastAsia="宋体" w:hAnsi="Times New Roman" w:cs="Times New Roman"/>
          <w:sz w:val="24"/>
          <w:szCs w:val="24"/>
        </w:rPr>
        <w:t>柠</w:t>
      </w:r>
      <w:proofErr w:type="gramEnd"/>
      <w:r w:rsidRPr="00AC0533">
        <w:rPr>
          <w:rFonts w:ascii="Times New Roman" w:eastAsia="宋体" w:hAnsi="Times New Roman" w:cs="Times New Roman"/>
          <w:sz w:val="24"/>
          <w:szCs w:val="24"/>
        </w:rPr>
        <w:t>条锦鸡儿；在收获原料往往混合多种锦鸡儿，因此对锦鸡</w:t>
      </w:r>
      <w:proofErr w:type="gramStart"/>
      <w:r w:rsidRPr="00AC0533">
        <w:rPr>
          <w:rFonts w:ascii="Times New Roman" w:eastAsia="宋体" w:hAnsi="Times New Roman" w:cs="Times New Roman"/>
          <w:sz w:val="24"/>
          <w:szCs w:val="24"/>
        </w:rPr>
        <w:t>儿原料</w:t>
      </w:r>
      <w:proofErr w:type="gramEnd"/>
      <w:r w:rsidRPr="00AC0533">
        <w:rPr>
          <w:rFonts w:ascii="Times New Roman" w:eastAsia="宋体" w:hAnsi="Times New Roman" w:cs="Times New Roman"/>
          <w:sz w:val="24"/>
          <w:szCs w:val="24"/>
        </w:rPr>
        <w:t>进行分级具有重要意义。</w:t>
      </w:r>
    </w:p>
    <w:p w14:paraId="5005E5AB" w14:textId="77777777" w:rsidR="00D9030E" w:rsidRPr="00AC0533" w:rsidRDefault="00D9030E" w:rsidP="00D9030E">
      <w:pPr>
        <w:keepNext/>
        <w:spacing w:line="360" w:lineRule="auto"/>
        <w:ind w:firstLine="664"/>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表</w:t>
      </w:r>
      <w:r w:rsidRPr="00AC0533">
        <w:rPr>
          <w:rFonts w:ascii="Times New Roman" w:eastAsia="宋体" w:hAnsi="Times New Roman" w:cstheme="majorBidi" w:hint="eastAsia"/>
          <w:sz w:val="24"/>
          <w:szCs w:val="24"/>
        </w:rPr>
        <w:t xml:space="preserve"> 3</w:t>
      </w:r>
      <w:r w:rsidRPr="00AC0533">
        <w:rPr>
          <w:rFonts w:ascii="Times New Roman" w:eastAsia="宋体" w:hAnsi="Times New Roman" w:cstheme="majorBidi" w:hint="eastAsia"/>
          <w:sz w:val="24"/>
          <w:szCs w:val="24"/>
        </w:rPr>
        <w:t>不同锦鸡儿营养成分含量</w:t>
      </w:r>
    </w:p>
    <w:tbl>
      <w:tblPr>
        <w:tblW w:w="5000" w:type="pct"/>
        <w:jc w:val="center"/>
        <w:tblBorders>
          <w:top w:val="single" w:sz="12" w:space="0" w:color="auto"/>
        </w:tblBorders>
        <w:shd w:val="clear" w:color="auto" w:fill="FFFFFF" w:themeFill="background1"/>
        <w:tblCellMar>
          <w:left w:w="0" w:type="dxa"/>
          <w:right w:w="0" w:type="dxa"/>
        </w:tblCellMar>
        <w:tblLook w:val="0600" w:firstRow="0" w:lastRow="0" w:firstColumn="0" w:lastColumn="0" w:noHBand="1" w:noVBand="1"/>
      </w:tblPr>
      <w:tblGrid>
        <w:gridCol w:w="3124"/>
        <w:gridCol w:w="1116"/>
        <w:gridCol w:w="1116"/>
        <w:gridCol w:w="1116"/>
        <w:gridCol w:w="1834"/>
      </w:tblGrid>
      <w:tr w:rsidR="00D9030E" w:rsidRPr="00AC0533" w14:paraId="4507336D" w14:textId="77777777" w:rsidTr="00A66165">
        <w:trPr>
          <w:trHeight w:val="619"/>
          <w:jc w:val="center"/>
        </w:trPr>
        <w:tc>
          <w:tcPr>
            <w:tcW w:w="1880" w:type="pct"/>
            <w:tcBorders>
              <w:top w:val="single" w:sz="12" w:space="0" w:color="auto"/>
              <w:bottom w:val="single" w:sz="8" w:space="0" w:color="auto"/>
            </w:tcBorders>
            <w:shd w:val="clear" w:color="auto" w:fill="FFFFFF" w:themeFill="background1"/>
            <w:tcMar>
              <w:top w:w="12" w:type="dxa"/>
              <w:left w:w="12" w:type="dxa"/>
              <w:bottom w:w="0" w:type="dxa"/>
              <w:right w:w="12" w:type="dxa"/>
            </w:tcMar>
            <w:vAlign w:val="center"/>
            <w:hideMark/>
          </w:tcPr>
          <w:p w14:paraId="0D48C0D8"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营养组份（</w:t>
            </w:r>
            <w:r w:rsidRPr="00AC0533">
              <w:rPr>
                <w:rFonts w:ascii="Times New Roman" w:eastAsia="宋体" w:hAnsi="Times New Roman" w:cstheme="majorBidi"/>
                <w:sz w:val="24"/>
                <w:szCs w:val="24"/>
              </w:rPr>
              <w:t>%</w:t>
            </w:r>
            <w:r w:rsidRPr="00AC0533">
              <w:rPr>
                <w:rFonts w:ascii="Times New Roman" w:eastAsia="宋体" w:hAnsi="Times New Roman" w:cstheme="majorBidi" w:hint="eastAsia"/>
                <w:sz w:val="24"/>
                <w:szCs w:val="24"/>
              </w:rPr>
              <w:t>）</w:t>
            </w:r>
          </w:p>
        </w:tc>
        <w:tc>
          <w:tcPr>
            <w:tcW w:w="672" w:type="pct"/>
            <w:tcBorders>
              <w:top w:val="single" w:sz="12" w:space="0" w:color="auto"/>
              <w:bottom w:val="single" w:sz="8" w:space="0" w:color="auto"/>
            </w:tcBorders>
            <w:shd w:val="clear" w:color="auto" w:fill="FFFFFF" w:themeFill="background1"/>
            <w:tcMar>
              <w:top w:w="12" w:type="dxa"/>
              <w:left w:w="12" w:type="dxa"/>
              <w:bottom w:w="0" w:type="dxa"/>
              <w:right w:w="12" w:type="dxa"/>
            </w:tcMar>
            <w:vAlign w:val="center"/>
            <w:hideMark/>
          </w:tcPr>
          <w:p w14:paraId="3B1ACB47"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粗蛋白</w:t>
            </w:r>
          </w:p>
        </w:tc>
        <w:tc>
          <w:tcPr>
            <w:tcW w:w="672" w:type="pct"/>
            <w:tcBorders>
              <w:top w:val="single" w:sz="12" w:space="0" w:color="auto"/>
              <w:bottom w:val="single" w:sz="8" w:space="0" w:color="auto"/>
            </w:tcBorders>
            <w:shd w:val="clear" w:color="auto" w:fill="FFFFFF" w:themeFill="background1"/>
            <w:tcMar>
              <w:top w:w="12" w:type="dxa"/>
              <w:left w:w="12" w:type="dxa"/>
              <w:bottom w:w="0" w:type="dxa"/>
              <w:right w:w="12" w:type="dxa"/>
            </w:tcMar>
            <w:vAlign w:val="center"/>
          </w:tcPr>
          <w:p w14:paraId="0DF52E19"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NDF</w:t>
            </w:r>
          </w:p>
        </w:tc>
        <w:tc>
          <w:tcPr>
            <w:tcW w:w="672" w:type="pct"/>
            <w:tcBorders>
              <w:top w:val="single" w:sz="12" w:space="0" w:color="auto"/>
              <w:bottom w:val="single" w:sz="8" w:space="0" w:color="auto"/>
            </w:tcBorders>
            <w:shd w:val="clear" w:color="auto" w:fill="FFFFFF" w:themeFill="background1"/>
            <w:tcMar>
              <w:top w:w="12" w:type="dxa"/>
              <w:left w:w="12" w:type="dxa"/>
              <w:bottom w:w="0" w:type="dxa"/>
              <w:right w:w="12" w:type="dxa"/>
            </w:tcMar>
            <w:vAlign w:val="center"/>
          </w:tcPr>
          <w:p w14:paraId="11F63D9E"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ADF</w:t>
            </w:r>
          </w:p>
        </w:tc>
        <w:tc>
          <w:tcPr>
            <w:tcW w:w="1104" w:type="pct"/>
            <w:tcBorders>
              <w:top w:val="single" w:sz="12" w:space="0" w:color="auto"/>
              <w:bottom w:val="single" w:sz="8" w:space="0" w:color="auto"/>
            </w:tcBorders>
            <w:shd w:val="clear" w:color="auto" w:fill="FFFFFF" w:themeFill="background1"/>
            <w:tcMar>
              <w:top w:w="12" w:type="dxa"/>
              <w:left w:w="12" w:type="dxa"/>
              <w:bottom w:w="0" w:type="dxa"/>
              <w:right w:w="12" w:type="dxa"/>
            </w:tcMar>
            <w:vAlign w:val="center"/>
          </w:tcPr>
          <w:p w14:paraId="2EA68348"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缩合单宁</w:t>
            </w:r>
          </w:p>
        </w:tc>
      </w:tr>
      <w:tr w:rsidR="00D9030E" w:rsidRPr="00AC0533" w14:paraId="14C22B8D" w14:textId="77777777" w:rsidTr="00A66165">
        <w:trPr>
          <w:trHeight w:val="274"/>
          <w:jc w:val="center"/>
        </w:trPr>
        <w:tc>
          <w:tcPr>
            <w:tcW w:w="1880" w:type="pct"/>
            <w:tcBorders>
              <w:top w:val="single" w:sz="8" w:space="0" w:color="auto"/>
              <w:bottom w:val="nil"/>
            </w:tcBorders>
            <w:shd w:val="clear" w:color="auto" w:fill="FFFFFF" w:themeFill="background1"/>
            <w:tcMar>
              <w:top w:w="12" w:type="dxa"/>
              <w:left w:w="12" w:type="dxa"/>
              <w:bottom w:w="0" w:type="dxa"/>
              <w:right w:w="12" w:type="dxa"/>
            </w:tcMar>
            <w:vAlign w:val="center"/>
            <w:hideMark/>
          </w:tcPr>
          <w:p w14:paraId="404CC75F" w14:textId="77777777" w:rsidR="00D9030E" w:rsidRPr="00AC0533" w:rsidRDefault="00D9030E" w:rsidP="00A66165">
            <w:pPr>
              <w:keepNext/>
              <w:spacing w:line="360" w:lineRule="auto"/>
              <w:jc w:val="center"/>
              <w:rPr>
                <w:rFonts w:ascii="Times New Roman" w:eastAsia="宋体" w:hAnsi="Times New Roman" w:cstheme="majorBidi"/>
                <w:sz w:val="24"/>
                <w:szCs w:val="24"/>
              </w:rPr>
            </w:pPr>
            <w:proofErr w:type="gramStart"/>
            <w:r w:rsidRPr="00AC0533">
              <w:rPr>
                <w:rFonts w:ascii="Times New Roman" w:eastAsia="宋体" w:hAnsi="Times New Roman" w:cstheme="majorBidi" w:hint="eastAsia"/>
                <w:sz w:val="24"/>
                <w:szCs w:val="24"/>
              </w:rPr>
              <w:t>柠</w:t>
            </w:r>
            <w:proofErr w:type="gramEnd"/>
            <w:r w:rsidRPr="00AC0533">
              <w:rPr>
                <w:rFonts w:ascii="Times New Roman" w:eastAsia="宋体" w:hAnsi="Times New Roman" w:cstheme="majorBidi" w:hint="eastAsia"/>
                <w:sz w:val="24"/>
                <w:szCs w:val="24"/>
              </w:rPr>
              <w:t>条锦鸡儿</w:t>
            </w:r>
          </w:p>
        </w:tc>
        <w:tc>
          <w:tcPr>
            <w:tcW w:w="672" w:type="pct"/>
            <w:tcBorders>
              <w:top w:val="single" w:sz="8" w:space="0" w:color="auto"/>
              <w:bottom w:val="nil"/>
            </w:tcBorders>
            <w:shd w:val="clear" w:color="auto" w:fill="FFFFFF" w:themeFill="background1"/>
            <w:tcMar>
              <w:top w:w="12" w:type="dxa"/>
              <w:left w:w="12" w:type="dxa"/>
              <w:bottom w:w="0" w:type="dxa"/>
              <w:right w:w="12" w:type="dxa"/>
            </w:tcMar>
            <w:vAlign w:val="center"/>
            <w:hideMark/>
          </w:tcPr>
          <w:p w14:paraId="5C895B21"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sz w:val="24"/>
                <w:szCs w:val="24"/>
              </w:rPr>
              <w:t>10.7</w:t>
            </w:r>
          </w:p>
        </w:tc>
        <w:tc>
          <w:tcPr>
            <w:tcW w:w="672" w:type="pct"/>
            <w:tcBorders>
              <w:top w:val="single" w:sz="8" w:space="0" w:color="auto"/>
              <w:bottom w:val="nil"/>
            </w:tcBorders>
            <w:shd w:val="clear" w:color="auto" w:fill="FFFFFF" w:themeFill="background1"/>
            <w:tcMar>
              <w:top w:w="12" w:type="dxa"/>
              <w:left w:w="12" w:type="dxa"/>
              <w:bottom w:w="0" w:type="dxa"/>
              <w:right w:w="12" w:type="dxa"/>
            </w:tcMar>
            <w:vAlign w:val="center"/>
          </w:tcPr>
          <w:p w14:paraId="1C79F61B"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49.29</w:t>
            </w:r>
          </w:p>
        </w:tc>
        <w:tc>
          <w:tcPr>
            <w:tcW w:w="672" w:type="pct"/>
            <w:tcBorders>
              <w:top w:val="single" w:sz="8" w:space="0" w:color="auto"/>
              <w:bottom w:val="nil"/>
            </w:tcBorders>
            <w:shd w:val="clear" w:color="auto" w:fill="FFFFFF" w:themeFill="background1"/>
            <w:tcMar>
              <w:top w:w="12" w:type="dxa"/>
              <w:left w:w="12" w:type="dxa"/>
              <w:bottom w:w="0" w:type="dxa"/>
              <w:right w:w="12" w:type="dxa"/>
            </w:tcMar>
            <w:vAlign w:val="center"/>
          </w:tcPr>
          <w:p w14:paraId="0DE3199E"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37.92</w:t>
            </w:r>
          </w:p>
        </w:tc>
        <w:tc>
          <w:tcPr>
            <w:tcW w:w="1104" w:type="pct"/>
            <w:tcBorders>
              <w:top w:val="single" w:sz="8" w:space="0" w:color="auto"/>
              <w:bottom w:val="nil"/>
            </w:tcBorders>
            <w:shd w:val="clear" w:color="auto" w:fill="FFFFFF" w:themeFill="background1"/>
            <w:tcMar>
              <w:top w:w="12" w:type="dxa"/>
              <w:left w:w="12" w:type="dxa"/>
              <w:bottom w:w="0" w:type="dxa"/>
              <w:right w:w="12" w:type="dxa"/>
            </w:tcMar>
            <w:vAlign w:val="center"/>
          </w:tcPr>
          <w:p w14:paraId="5C5A7187"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5.34</w:t>
            </w:r>
          </w:p>
        </w:tc>
      </w:tr>
      <w:tr w:rsidR="00D9030E" w:rsidRPr="00AC0533" w14:paraId="2CC76BA6" w14:textId="77777777" w:rsidTr="00A66165">
        <w:trPr>
          <w:trHeight w:val="413"/>
          <w:jc w:val="center"/>
        </w:trPr>
        <w:tc>
          <w:tcPr>
            <w:tcW w:w="1880" w:type="pct"/>
            <w:tcBorders>
              <w:top w:val="nil"/>
              <w:bottom w:val="single" w:sz="12" w:space="0" w:color="auto"/>
            </w:tcBorders>
            <w:shd w:val="clear" w:color="auto" w:fill="FFFFFF" w:themeFill="background1"/>
            <w:tcMar>
              <w:top w:w="12" w:type="dxa"/>
              <w:left w:w="12" w:type="dxa"/>
              <w:bottom w:w="0" w:type="dxa"/>
              <w:right w:w="12" w:type="dxa"/>
            </w:tcMar>
            <w:vAlign w:val="center"/>
          </w:tcPr>
          <w:p w14:paraId="780D7C16"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中间锦鸡儿</w:t>
            </w:r>
          </w:p>
        </w:tc>
        <w:tc>
          <w:tcPr>
            <w:tcW w:w="672" w:type="pct"/>
            <w:tcBorders>
              <w:top w:val="nil"/>
              <w:bottom w:val="single" w:sz="12" w:space="0" w:color="auto"/>
            </w:tcBorders>
            <w:shd w:val="clear" w:color="auto" w:fill="FFFFFF" w:themeFill="background1"/>
            <w:tcMar>
              <w:top w:w="12" w:type="dxa"/>
              <w:left w:w="12" w:type="dxa"/>
              <w:bottom w:w="0" w:type="dxa"/>
              <w:right w:w="12" w:type="dxa"/>
            </w:tcMar>
            <w:vAlign w:val="center"/>
          </w:tcPr>
          <w:p w14:paraId="385E5D37"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20.90</w:t>
            </w:r>
          </w:p>
        </w:tc>
        <w:tc>
          <w:tcPr>
            <w:tcW w:w="672" w:type="pct"/>
            <w:tcBorders>
              <w:top w:val="nil"/>
              <w:bottom w:val="single" w:sz="12" w:space="0" w:color="auto"/>
            </w:tcBorders>
            <w:shd w:val="clear" w:color="auto" w:fill="FFFFFF" w:themeFill="background1"/>
            <w:tcMar>
              <w:top w:w="12" w:type="dxa"/>
              <w:left w:w="12" w:type="dxa"/>
              <w:bottom w:w="0" w:type="dxa"/>
              <w:right w:w="12" w:type="dxa"/>
            </w:tcMar>
            <w:vAlign w:val="center"/>
          </w:tcPr>
          <w:p w14:paraId="172ADF53"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37.96</w:t>
            </w:r>
          </w:p>
        </w:tc>
        <w:tc>
          <w:tcPr>
            <w:tcW w:w="672" w:type="pct"/>
            <w:tcBorders>
              <w:top w:val="nil"/>
              <w:bottom w:val="single" w:sz="12" w:space="0" w:color="auto"/>
            </w:tcBorders>
            <w:shd w:val="clear" w:color="auto" w:fill="FFFFFF" w:themeFill="background1"/>
            <w:tcMar>
              <w:top w:w="12" w:type="dxa"/>
              <w:left w:w="12" w:type="dxa"/>
              <w:bottom w:w="0" w:type="dxa"/>
              <w:right w:w="12" w:type="dxa"/>
            </w:tcMar>
            <w:vAlign w:val="center"/>
          </w:tcPr>
          <w:p w14:paraId="62C62C8C"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25.56</w:t>
            </w:r>
          </w:p>
        </w:tc>
        <w:tc>
          <w:tcPr>
            <w:tcW w:w="1104" w:type="pct"/>
            <w:tcBorders>
              <w:top w:val="nil"/>
              <w:bottom w:val="single" w:sz="12" w:space="0" w:color="auto"/>
            </w:tcBorders>
            <w:shd w:val="clear" w:color="auto" w:fill="FFFFFF" w:themeFill="background1"/>
            <w:tcMar>
              <w:top w:w="12" w:type="dxa"/>
              <w:left w:w="12" w:type="dxa"/>
              <w:bottom w:w="0" w:type="dxa"/>
              <w:right w:w="12" w:type="dxa"/>
            </w:tcMar>
            <w:vAlign w:val="center"/>
          </w:tcPr>
          <w:p w14:paraId="67A7D5F1" w14:textId="77777777" w:rsidR="00D9030E" w:rsidRPr="00AC0533" w:rsidRDefault="00D9030E" w:rsidP="00A66165">
            <w:pPr>
              <w:keepNext/>
              <w:spacing w:line="360" w:lineRule="auto"/>
              <w:jc w:val="center"/>
              <w:rPr>
                <w:rFonts w:ascii="Times New Roman" w:eastAsia="宋体" w:hAnsi="Times New Roman" w:cstheme="majorBidi"/>
                <w:sz w:val="24"/>
                <w:szCs w:val="24"/>
              </w:rPr>
            </w:pPr>
            <w:r w:rsidRPr="00AC0533">
              <w:rPr>
                <w:rFonts w:ascii="Times New Roman" w:eastAsia="宋体" w:hAnsi="Times New Roman" w:cstheme="majorBidi" w:hint="eastAsia"/>
                <w:sz w:val="24"/>
                <w:szCs w:val="24"/>
              </w:rPr>
              <w:t>6.33</w:t>
            </w:r>
          </w:p>
        </w:tc>
      </w:tr>
    </w:tbl>
    <w:p w14:paraId="08496BBE" w14:textId="77777777" w:rsidR="00D9030E" w:rsidRDefault="00D9030E" w:rsidP="00D9030E">
      <w:pPr>
        <w:pStyle w:val="1"/>
        <w:numPr>
          <w:ilvl w:val="0"/>
          <w:numId w:val="7"/>
        </w:numPr>
        <w:tabs>
          <w:tab w:val="num" w:pos="720"/>
        </w:tabs>
        <w:ind w:left="567" w:hanging="567"/>
      </w:pPr>
      <w:bookmarkStart w:id="24" w:name="_Toc198040188"/>
      <w:r>
        <w:rPr>
          <w:rFonts w:hint="eastAsia"/>
        </w:rPr>
        <w:t>采用的国际标准</w:t>
      </w:r>
      <w:bookmarkEnd w:id="24"/>
    </w:p>
    <w:p w14:paraId="03B70DAD" w14:textId="77777777" w:rsidR="00D9030E" w:rsidRPr="00E93FB9" w:rsidRDefault="00D9030E" w:rsidP="00D9030E">
      <w:pPr>
        <w:ind w:firstLineChars="200" w:firstLine="480"/>
        <w:rPr>
          <w:rFonts w:ascii="宋体" w:eastAsia="宋体" w:hAnsi="宋体" w:hint="eastAsia"/>
          <w:sz w:val="24"/>
          <w:szCs w:val="24"/>
        </w:rPr>
      </w:pPr>
      <w:r w:rsidRPr="00E93FB9">
        <w:rPr>
          <w:rFonts w:ascii="宋体" w:eastAsia="宋体" w:hAnsi="宋体" w:hint="eastAsia"/>
          <w:sz w:val="24"/>
          <w:szCs w:val="24"/>
        </w:rPr>
        <w:t>无。</w:t>
      </w:r>
    </w:p>
    <w:p w14:paraId="20945B6C" w14:textId="77777777" w:rsidR="00D9030E" w:rsidRDefault="00D9030E" w:rsidP="00D9030E">
      <w:pPr>
        <w:pStyle w:val="1"/>
      </w:pPr>
      <w:bookmarkStart w:id="25" w:name="_Toc176453405"/>
      <w:bookmarkStart w:id="26" w:name="_Toc197503238"/>
      <w:bookmarkStart w:id="27" w:name="_Toc198040189"/>
      <w:r>
        <w:rPr>
          <w:rFonts w:hint="eastAsia"/>
        </w:rPr>
        <w:t>七</w:t>
      </w:r>
      <w:r>
        <w:t>、</w:t>
      </w:r>
      <w:r>
        <w:rPr>
          <w:rFonts w:hint="eastAsia"/>
        </w:rPr>
        <w:t>与现行法律法规和强制性标准的关系</w:t>
      </w:r>
      <w:bookmarkEnd w:id="25"/>
      <w:bookmarkEnd w:id="26"/>
      <w:bookmarkEnd w:id="27"/>
    </w:p>
    <w:p w14:paraId="76841333" w14:textId="77777777" w:rsidR="00D9030E" w:rsidRPr="00E93FB9" w:rsidRDefault="00D9030E" w:rsidP="00E93FB9">
      <w:pPr>
        <w:ind w:firstLineChars="200" w:firstLine="480"/>
        <w:rPr>
          <w:rFonts w:ascii="宋体" w:eastAsia="宋体" w:hAnsi="宋体" w:hint="eastAsia"/>
          <w:sz w:val="24"/>
          <w:szCs w:val="24"/>
        </w:rPr>
      </w:pPr>
      <w:r w:rsidRPr="00E93FB9">
        <w:rPr>
          <w:rFonts w:ascii="宋体" w:eastAsia="宋体" w:hAnsi="宋体"/>
          <w:sz w:val="24"/>
          <w:szCs w:val="24"/>
        </w:rPr>
        <w:t>本标准与现行法律法规和强制性标准没有冲突。</w:t>
      </w:r>
    </w:p>
    <w:p w14:paraId="43E18AFB" w14:textId="77777777" w:rsidR="00D9030E" w:rsidRDefault="00D9030E" w:rsidP="00D9030E">
      <w:pPr>
        <w:pStyle w:val="1"/>
      </w:pPr>
      <w:bookmarkStart w:id="28" w:name="_Toc176453406"/>
      <w:bookmarkStart w:id="29" w:name="_Toc197503239"/>
      <w:bookmarkStart w:id="30" w:name="_Toc198040190"/>
      <w:r>
        <w:rPr>
          <w:rFonts w:hint="eastAsia"/>
        </w:rPr>
        <w:t>八</w:t>
      </w:r>
      <w:r>
        <w:t>、</w:t>
      </w:r>
      <w:r>
        <w:rPr>
          <w:rFonts w:hint="eastAsia"/>
        </w:rPr>
        <w:t>重大分歧意见的处理经过和依据</w:t>
      </w:r>
      <w:bookmarkEnd w:id="28"/>
      <w:bookmarkEnd w:id="29"/>
      <w:bookmarkEnd w:id="30"/>
    </w:p>
    <w:p w14:paraId="3E9D97F9" w14:textId="7D28B921" w:rsidR="00D9030E" w:rsidRPr="00E93FB9" w:rsidRDefault="00D9030E" w:rsidP="00E93FB9">
      <w:pPr>
        <w:spacing w:line="360" w:lineRule="auto"/>
        <w:ind w:firstLineChars="200" w:firstLine="480"/>
        <w:rPr>
          <w:rFonts w:ascii="宋体" w:eastAsia="宋体" w:hAnsi="宋体" w:hint="eastAsia"/>
          <w:sz w:val="24"/>
          <w:szCs w:val="24"/>
        </w:rPr>
      </w:pPr>
      <w:r w:rsidRPr="00E93FB9">
        <w:rPr>
          <w:rFonts w:ascii="宋体" w:eastAsia="宋体" w:hAnsi="宋体" w:hint="eastAsia"/>
          <w:sz w:val="24"/>
          <w:szCs w:val="24"/>
        </w:rPr>
        <w:t>本标准在编制过程中广泛征求了相关专家和生产一线管理和技术人员的意见，不存在任何重大分歧意见。</w:t>
      </w:r>
    </w:p>
    <w:p w14:paraId="3EDC0EAA" w14:textId="77777777" w:rsidR="00D9030E" w:rsidRDefault="00D9030E" w:rsidP="00D9030E">
      <w:pPr>
        <w:pStyle w:val="1"/>
        <w:rPr>
          <w:rStyle w:val="10"/>
        </w:rPr>
      </w:pPr>
      <w:bookmarkStart w:id="31" w:name="_Toc197503240"/>
      <w:bookmarkStart w:id="32" w:name="_Toc176453407"/>
      <w:bookmarkStart w:id="33" w:name="_Toc198040191"/>
      <w:r>
        <w:rPr>
          <w:rFonts w:hint="eastAsia"/>
        </w:rPr>
        <w:t>九</w:t>
      </w:r>
      <w:r>
        <w:t>、标准作为强制性或推荐性标准的意见</w:t>
      </w:r>
      <w:bookmarkEnd w:id="31"/>
      <w:bookmarkEnd w:id="32"/>
      <w:bookmarkEnd w:id="33"/>
    </w:p>
    <w:p w14:paraId="1B2B561E" w14:textId="77777777" w:rsidR="00D9030E" w:rsidRPr="00E93FB9" w:rsidRDefault="00D9030E" w:rsidP="00E93FB9">
      <w:pPr>
        <w:ind w:firstLineChars="200" w:firstLine="480"/>
        <w:rPr>
          <w:rFonts w:ascii="宋体" w:eastAsia="宋体" w:hAnsi="宋体" w:hint="eastAsia"/>
          <w:sz w:val="24"/>
          <w:szCs w:val="24"/>
        </w:rPr>
      </w:pPr>
      <w:r w:rsidRPr="00E93FB9">
        <w:rPr>
          <w:rFonts w:ascii="宋体" w:eastAsia="宋体" w:hAnsi="宋体"/>
          <w:sz w:val="24"/>
          <w:szCs w:val="24"/>
        </w:rPr>
        <w:t>建议将本标准作为推荐性标准发布实施，并加强标准的宣贯。</w:t>
      </w:r>
    </w:p>
    <w:p w14:paraId="689385E0" w14:textId="77777777" w:rsidR="00D9030E" w:rsidRDefault="00D9030E" w:rsidP="00D9030E">
      <w:pPr>
        <w:pStyle w:val="1"/>
      </w:pPr>
      <w:bookmarkStart w:id="34" w:name="_Toc197503241"/>
      <w:bookmarkStart w:id="35" w:name="_Toc176453408"/>
      <w:bookmarkStart w:id="36" w:name="_Toc198040192"/>
      <w:r>
        <w:rPr>
          <w:rFonts w:hint="eastAsia"/>
        </w:rPr>
        <w:t>十</w:t>
      </w:r>
      <w:r>
        <w:t>、贯彻标准的要求和措施建议</w:t>
      </w:r>
      <w:bookmarkEnd w:id="34"/>
      <w:bookmarkEnd w:id="35"/>
      <w:bookmarkEnd w:id="36"/>
    </w:p>
    <w:p w14:paraId="0FF3DECA" w14:textId="77777777" w:rsidR="00D9030E" w:rsidRPr="00E93FB9" w:rsidRDefault="00D9030E" w:rsidP="00E93FB9">
      <w:pPr>
        <w:spacing w:line="360" w:lineRule="auto"/>
        <w:ind w:firstLineChars="200" w:firstLine="480"/>
        <w:rPr>
          <w:rFonts w:ascii="宋体" w:eastAsia="宋体" w:hAnsi="宋体" w:hint="eastAsia"/>
          <w:sz w:val="24"/>
          <w:szCs w:val="24"/>
        </w:rPr>
      </w:pPr>
      <w:r w:rsidRPr="00E93FB9">
        <w:rPr>
          <w:rFonts w:ascii="宋体" w:eastAsia="宋体" w:hAnsi="宋体" w:hint="eastAsia"/>
          <w:sz w:val="24"/>
          <w:szCs w:val="24"/>
        </w:rPr>
        <w:t>本标准可作为饲草饲料行业的推荐性标准。</w:t>
      </w:r>
    </w:p>
    <w:p w14:paraId="19B6A7B4" w14:textId="77777777" w:rsidR="00D9030E" w:rsidRPr="00E93FB9" w:rsidRDefault="00D9030E" w:rsidP="00E93FB9">
      <w:pPr>
        <w:spacing w:line="360" w:lineRule="auto"/>
        <w:ind w:firstLineChars="200" w:firstLine="480"/>
        <w:rPr>
          <w:rFonts w:ascii="宋体" w:eastAsia="宋体" w:hAnsi="宋体" w:hint="eastAsia"/>
          <w:sz w:val="24"/>
          <w:szCs w:val="24"/>
        </w:rPr>
      </w:pPr>
      <w:r w:rsidRPr="00E93FB9">
        <w:rPr>
          <w:rFonts w:ascii="宋体" w:eastAsia="宋体" w:hAnsi="宋体" w:hint="eastAsia"/>
          <w:sz w:val="24"/>
          <w:szCs w:val="24"/>
        </w:rPr>
        <w:t>推荐性标准在颁布和贯彻实施前应及时在公众媒体、行业内部的有关信息上公开宣传，引起有关部门、企业和农民的高度重视，使相关方能够积极主动的购买有关标准和资料。</w:t>
      </w:r>
    </w:p>
    <w:p w14:paraId="7E83DF6D" w14:textId="001882B6" w:rsidR="00D9030E" w:rsidRPr="00E93FB9" w:rsidRDefault="00D9030E" w:rsidP="00E93FB9">
      <w:pPr>
        <w:spacing w:line="360" w:lineRule="auto"/>
        <w:ind w:firstLineChars="200" w:firstLine="480"/>
        <w:rPr>
          <w:rFonts w:ascii="宋体" w:eastAsia="宋体" w:hAnsi="宋体" w:hint="eastAsia"/>
          <w:sz w:val="24"/>
          <w:szCs w:val="24"/>
        </w:rPr>
      </w:pPr>
      <w:r w:rsidRPr="00E93FB9">
        <w:rPr>
          <w:rFonts w:ascii="宋体" w:eastAsia="宋体" w:hAnsi="宋体" w:hint="eastAsia"/>
          <w:sz w:val="24"/>
          <w:szCs w:val="24"/>
        </w:rPr>
        <w:t>参加培训、结合实际学习研究标准并准备贯彻实施标准。标准归口单位进行贯标指导，组织标准宣贯培训班，由标准制定人员主讲。通过收集产业一线的意见和反馈，对标准进行不断完善和改进</w:t>
      </w:r>
      <w:r w:rsidRPr="00E93FB9">
        <w:rPr>
          <w:rFonts w:ascii="宋体" w:eastAsia="宋体" w:hAnsi="宋体"/>
          <w:sz w:val="24"/>
          <w:szCs w:val="24"/>
        </w:rPr>
        <w:t>。</w:t>
      </w:r>
    </w:p>
    <w:p w14:paraId="241F5EDF" w14:textId="77777777" w:rsidR="00D9030E" w:rsidRDefault="00D9030E" w:rsidP="00D9030E">
      <w:pPr>
        <w:pStyle w:val="1"/>
      </w:pPr>
      <w:bookmarkStart w:id="37" w:name="_Toc176453409"/>
      <w:bookmarkStart w:id="38" w:name="_Toc197503242"/>
      <w:bookmarkStart w:id="39" w:name="_Toc198040193"/>
      <w:r>
        <w:rPr>
          <w:rFonts w:hint="eastAsia"/>
        </w:rPr>
        <w:t>十一</w:t>
      </w:r>
      <w:r>
        <w:t>、废止现行有关标准的建议</w:t>
      </w:r>
      <w:bookmarkEnd w:id="37"/>
      <w:bookmarkEnd w:id="38"/>
      <w:bookmarkEnd w:id="39"/>
    </w:p>
    <w:p w14:paraId="628757AB" w14:textId="77777777" w:rsidR="00D9030E" w:rsidRPr="00E93FB9" w:rsidRDefault="00D9030E" w:rsidP="00E93FB9">
      <w:pPr>
        <w:ind w:firstLineChars="200" w:firstLine="480"/>
        <w:rPr>
          <w:rFonts w:ascii="宋体" w:eastAsia="宋体" w:hAnsi="宋体" w:hint="eastAsia"/>
          <w:sz w:val="24"/>
          <w:szCs w:val="24"/>
        </w:rPr>
      </w:pPr>
      <w:r w:rsidRPr="00E93FB9">
        <w:rPr>
          <w:rFonts w:ascii="宋体" w:eastAsia="宋体" w:hAnsi="宋体"/>
          <w:sz w:val="24"/>
          <w:szCs w:val="24"/>
        </w:rPr>
        <w:t>无。</w:t>
      </w:r>
    </w:p>
    <w:p w14:paraId="7D3B1FF9" w14:textId="77777777" w:rsidR="00D9030E" w:rsidRDefault="00D9030E" w:rsidP="00D9030E">
      <w:pPr>
        <w:pStyle w:val="1"/>
      </w:pPr>
      <w:bookmarkStart w:id="40" w:name="_Toc197503243"/>
      <w:bookmarkStart w:id="41" w:name="_Toc176453410"/>
      <w:bookmarkStart w:id="42" w:name="_Toc198040194"/>
      <w:r>
        <w:t>十</w:t>
      </w:r>
      <w:r>
        <w:rPr>
          <w:rFonts w:hint="eastAsia"/>
        </w:rPr>
        <w:t>二</w:t>
      </w:r>
      <w:r>
        <w:t>、其他应予说明的事项</w:t>
      </w:r>
      <w:bookmarkEnd w:id="40"/>
      <w:bookmarkEnd w:id="41"/>
      <w:bookmarkEnd w:id="42"/>
    </w:p>
    <w:p w14:paraId="60468007" w14:textId="77777777" w:rsidR="00D9030E" w:rsidRPr="00E93FB9" w:rsidRDefault="00D9030E" w:rsidP="00D9030E">
      <w:pPr>
        <w:spacing w:beforeLines="50" w:before="156"/>
        <w:ind w:firstLine="482"/>
        <w:rPr>
          <w:rFonts w:ascii="宋体" w:eastAsia="宋体" w:hAnsi="宋体" w:hint="eastAsia"/>
          <w:sz w:val="24"/>
          <w:szCs w:val="24"/>
        </w:rPr>
      </w:pPr>
      <w:r w:rsidRPr="00E93FB9">
        <w:rPr>
          <w:rFonts w:ascii="宋体" w:eastAsia="宋体" w:hAnsi="宋体"/>
          <w:color w:val="000000"/>
          <w:sz w:val="24"/>
          <w:szCs w:val="24"/>
        </w:rPr>
        <w:t>无。</w:t>
      </w:r>
      <w:r w:rsidRPr="00E93FB9">
        <w:rPr>
          <w:rFonts w:ascii="宋体" w:eastAsia="宋体" w:hAnsi="宋体"/>
          <w:sz w:val="24"/>
          <w:szCs w:val="24"/>
        </w:rPr>
        <w:fldChar w:fldCharType="begin"/>
      </w:r>
      <w:r w:rsidRPr="00E93FB9">
        <w:rPr>
          <w:rFonts w:ascii="宋体" w:eastAsia="宋体" w:hAnsi="宋体"/>
          <w:sz w:val="24"/>
          <w:szCs w:val="24"/>
        </w:rPr>
        <w:instrText xml:space="preserve"> ADDIN EN.REFLIST </w:instrText>
      </w:r>
      <w:r w:rsidRPr="00E93FB9">
        <w:rPr>
          <w:rFonts w:ascii="宋体" w:eastAsia="宋体" w:hAnsi="宋体" w:hint="eastAsia"/>
          <w:sz w:val="24"/>
          <w:szCs w:val="24"/>
        </w:rPr>
        <w:fldChar w:fldCharType="separate"/>
      </w:r>
      <w:r w:rsidRPr="00E93FB9">
        <w:rPr>
          <w:rFonts w:ascii="宋体" w:eastAsia="宋体" w:hAnsi="宋体"/>
          <w:sz w:val="24"/>
          <w:szCs w:val="24"/>
        </w:rPr>
        <w:fldChar w:fldCharType="end"/>
      </w:r>
    </w:p>
    <w:sectPr w:rsidR="00D9030E" w:rsidRPr="00E93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7A668" w14:textId="77777777" w:rsidR="00DF2DE4" w:rsidRDefault="00DF2DE4" w:rsidP="005860CD">
      <w:pPr>
        <w:rPr>
          <w:rFonts w:hint="eastAsia"/>
        </w:rPr>
      </w:pPr>
      <w:r>
        <w:separator/>
      </w:r>
    </w:p>
  </w:endnote>
  <w:endnote w:type="continuationSeparator" w:id="0">
    <w:p w14:paraId="21DD9E28" w14:textId="77777777" w:rsidR="00DF2DE4" w:rsidRDefault="00DF2DE4" w:rsidP="005860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7BC95" w14:textId="77777777" w:rsidR="00DF2DE4" w:rsidRDefault="00DF2DE4" w:rsidP="005860CD">
      <w:pPr>
        <w:rPr>
          <w:rFonts w:hint="eastAsia"/>
        </w:rPr>
      </w:pPr>
      <w:r>
        <w:separator/>
      </w:r>
    </w:p>
  </w:footnote>
  <w:footnote w:type="continuationSeparator" w:id="0">
    <w:p w14:paraId="729E3F82" w14:textId="77777777" w:rsidR="00DF2DE4" w:rsidRDefault="00DF2DE4" w:rsidP="005860C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BB303F"/>
    <w:multiLevelType w:val="singleLevel"/>
    <w:tmpl w:val="FBBB303F"/>
    <w:lvl w:ilvl="0">
      <w:start w:val="3"/>
      <w:numFmt w:val="chineseCounting"/>
      <w:suff w:val="nothing"/>
      <w:lvlText w:val="%1、"/>
      <w:lvlJc w:val="left"/>
      <w:rPr>
        <w:rFonts w:hint="eastAsia"/>
      </w:rPr>
    </w:lvl>
  </w:abstractNum>
  <w:abstractNum w:abstractNumId="1" w15:restartNumberingAfterBreak="0">
    <w:nsid w:val="1A281AEC"/>
    <w:multiLevelType w:val="hybridMultilevel"/>
    <w:tmpl w:val="80B296F8"/>
    <w:lvl w:ilvl="0" w:tplc="B5ECC2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F9A05C9"/>
    <w:multiLevelType w:val="multilevel"/>
    <w:tmpl w:val="2A60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B4546B"/>
    <w:multiLevelType w:val="multilevel"/>
    <w:tmpl w:val="2FB4546B"/>
    <w:lvl w:ilvl="0">
      <w:start w:val="6"/>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327F774B"/>
    <w:multiLevelType w:val="multilevel"/>
    <w:tmpl w:val="A7641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794572"/>
    <w:multiLevelType w:val="multilevel"/>
    <w:tmpl w:val="B2643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EF506E"/>
    <w:multiLevelType w:val="hybridMultilevel"/>
    <w:tmpl w:val="F61AD55E"/>
    <w:lvl w:ilvl="0" w:tplc="1686806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1BF0D62"/>
    <w:multiLevelType w:val="multilevel"/>
    <w:tmpl w:val="4BB8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9261992">
    <w:abstractNumId w:val="5"/>
  </w:num>
  <w:num w:numId="2" w16cid:durableId="1074353718">
    <w:abstractNumId w:val="4"/>
  </w:num>
  <w:num w:numId="3" w16cid:durableId="1162623729">
    <w:abstractNumId w:val="2"/>
  </w:num>
  <w:num w:numId="4" w16cid:durableId="1019166250">
    <w:abstractNumId w:val="7"/>
  </w:num>
  <w:num w:numId="5" w16cid:durableId="2060283544">
    <w:abstractNumId w:val="6"/>
  </w:num>
  <w:num w:numId="6" w16cid:durableId="1901789809">
    <w:abstractNumId w:val="0"/>
  </w:num>
  <w:num w:numId="7" w16cid:durableId="1629579942">
    <w:abstractNumId w:val="3"/>
  </w:num>
  <w:num w:numId="8" w16cid:durableId="1516505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proofState w:spelling="clean" w:grammar="clean"/>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CD"/>
    <w:rsid w:val="0000276B"/>
    <w:rsid w:val="00015715"/>
    <w:rsid w:val="00023FA3"/>
    <w:rsid w:val="00050677"/>
    <w:rsid w:val="00051BC2"/>
    <w:rsid w:val="000628CD"/>
    <w:rsid w:val="00083B47"/>
    <w:rsid w:val="000C3652"/>
    <w:rsid w:val="00105B33"/>
    <w:rsid w:val="00141F16"/>
    <w:rsid w:val="00151F15"/>
    <w:rsid w:val="0016090C"/>
    <w:rsid w:val="001822C3"/>
    <w:rsid w:val="001902BD"/>
    <w:rsid w:val="001C6AE4"/>
    <w:rsid w:val="00210890"/>
    <w:rsid w:val="00216DEC"/>
    <w:rsid w:val="00224217"/>
    <w:rsid w:val="00235E30"/>
    <w:rsid w:val="00250123"/>
    <w:rsid w:val="002516F3"/>
    <w:rsid w:val="002571FA"/>
    <w:rsid w:val="00260F7C"/>
    <w:rsid w:val="00262B48"/>
    <w:rsid w:val="002A18A7"/>
    <w:rsid w:val="002A6720"/>
    <w:rsid w:val="002F4010"/>
    <w:rsid w:val="0030491A"/>
    <w:rsid w:val="00341A5C"/>
    <w:rsid w:val="0038377B"/>
    <w:rsid w:val="00386C7F"/>
    <w:rsid w:val="003D57E4"/>
    <w:rsid w:val="003E375D"/>
    <w:rsid w:val="00454954"/>
    <w:rsid w:val="004670D6"/>
    <w:rsid w:val="0049483C"/>
    <w:rsid w:val="0049719B"/>
    <w:rsid w:val="004A468B"/>
    <w:rsid w:val="004A7AFA"/>
    <w:rsid w:val="004B60B4"/>
    <w:rsid w:val="004F6C62"/>
    <w:rsid w:val="00521356"/>
    <w:rsid w:val="005740C8"/>
    <w:rsid w:val="005860CD"/>
    <w:rsid w:val="005956CE"/>
    <w:rsid w:val="005A7FF3"/>
    <w:rsid w:val="00605E39"/>
    <w:rsid w:val="006102FF"/>
    <w:rsid w:val="006214A8"/>
    <w:rsid w:val="00642B34"/>
    <w:rsid w:val="00687F6A"/>
    <w:rsid w:val="006A02F2"/>
    <w:rsid w:val="006A6307"/>
    <w:rsid w:val="006C0E65"/>
    <w:rsid w:val="006D6817"/>
    <w:rsid w:val="006F414D"/>
    <w:rsid w:val="00702F48"/>
    <w:rsid w:val="00704AE1"/>
    <w:rsid w:val="007309EA"/>
    <w:rsid w:val="00742022"/>
    <w:rsid w:val="0076709C"/>
    <w:rsid w:val="00795A56"/>
    <w:rsid w:val="007B46D5"/>
    <w:rsid w:val="007C4097"/>
    <w:rsid w:val="007F24BF"/>
    <w:rsid w:val="007F6B70"/>
    <w:rsid w:val="00813B40"/>
    <w:rsid w:val="00816EED"/>
    <w:rsid w:val="0084163B"/>
    <w:rsid w:val="00861E4A"/>
    <w:rsid w:val="008653D1"/>
    <w:rsid w:val="00876BE8"/>
    <w:rsid w:val="00882A6C"/>
    <w:rsid w:val="00887A67"/>
    <w:rsid w:val="00887ABF"/>
    <w:rsid w:val="00892BC5"/>
    <w:rsid w:val="008B7195"/>
    <w:rsid w:val="008C1AC9"/>
    <w:rsid w:val="008E2CE0"/>
    <w:rsid w:val="00941D07"/>
    <w:rsid w:val="00953361"/>
    <w:rsid w:val="00975CB7"/>
    <w:rsid w:val="009944CB"/>
    <w:rsid w:val="009962C1"/>
    <w:rsid w:val="009B3D23"/>
    <w:rsid w:val="009F1B98"/>
    <w:rsid w:val="00A121DC"/>
    <w:rsid w:val="00A26E96"/>
    <w:rsid w:val="00A31BF1"/>
    <w:rsid w:val="00A40417"/>
    <w:rsid w:val="00A541F8"/>
    <w:rsid w:val="00AC0533"/>
    <w:rsid w:val="00AC0A95"/>
    <w:rsid w:val="00AD2973"/>
    <w:rsid w:val="00AF0FF0"/>
    <w:rsid w:val="00B10F1A"/>
    <w:rsid w:val="00B60ED8"/>
    <w:rsid w:val="00BC299F"/>
    <w:rsid w:val="00BE4505"/>
    <w:rsid w:val="00C16E3F"/>
    <w:rsid w:val="00C27176"/>
    <w:rsid w:val="00C326C3"/>
    <w:rsid w:val="00C814E0"/>
    <w:rsid w:val="00CD534B"/>
    <w:rsid w:val="00CF08BF"/>
    <w:rsid w:val="00D123F3"/>
    <w:rsid w:val="00D30028"/>
    <w:rsid w:val="00D34488"/>
    <w:rsid w:val="00D45D69"/>
    <w:rsid w:val="00D63622"/>
    <w:rsid w:val="00D9030E"/>
    <w:rsid w:val="00DA7C80"/>
    <w:rsid w:val="00DB3D03"/>
    <w:rsid w:val="00DC325A"/>
    <w:rsid w:val="00DD1BA0"/>
    <w:rsid w:val="00DE3125"/>
    <w:rsid w:val="00DF2DE4"/>
    <w:rsid w:val="00E0271A"/>
    <w:rsid w:val="00E1210E"/>
    <w:rsid w:val="00E35877"/>
    <w:rsid w:val="00E86651"/>
    <w:rsid w:val="00E93FB9"/>
    <w:rsid w:val="00EC3327"/>
    <w:rsid w:val="00ED4F26"/>
    <w:rsid w:val="00F24A54"/>
    <w:rsid w:val="00F60D99"/>
    <w:rsid w:val="00F62F0A"/>
    <w:rsid w:val="00FC1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EF915"/>
  <w15:chartTrackingRefBased/>
  <w15:docId w15:val="{57EE655F-E858-4732-9C4D-5379D18A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0CD"/>
    <w:pPr>
      <w:widowControl w:val="0"/>
      <w:jc w:val="both"/>
    </w:pPr>
  </w:style>
  <w:style w:type="paragraph" w:styleId="1">
    <w:name w:val="heading 1"/>
    <w:basedOn w:val="a"/>
    <w:next w:val="a"/>
    <w:link w:val="10"/>
    <w:uiPriority w:val="9"/>
    <w:qFormat/>
    <w:rsid w:val="006A02F2"/>
    <w:pPr>
      <w:keepNext/>
      <w:keepLines/>
      <w:spacing w:before="240" w:after="240" w:line="360" w:lineRule="auto"/>
      <w:outlineLvl w:val="0"/>
    </w:pPr>
    <w:rPr>
      <w:rFonts w:ascii="Times New Roman" w:eastAsia="宋体" w:hAnsi="Times New Roman" w:cs="Times New Roman"/>
      <w:b/>
      <w:kern w:val="44"/>
      <w:sz w:val="28"/>
      <w:szCs w:val="21"/>
      <w14:ligatures w14:val="none"/>
    </w:rPr>
  </w:style>
  <w:style w:type="paragraph" w:styleId="2">
    <w:name w:val="heading 2"/>
    <w:basedOn w:val="a"/>
    <w:next w:val="a"/>
    <w:link w:val="20"/>
    <w:unhideWhenUsed/>
    <w:qFormat/>
    <w:rsid w:val="00454954"/>
    <w:pPr>
      <w:keepNext/>
      <w:keepLines/>
      <w:spacing w:line="413" w:lineRule="auto"/>
      <w:outlineLvl w:val="1"/>
    </w:pPr>
    <w:rPr>
      <w:rFonts w:ascii="Arial" w:eastAsia="黑体" w:hAnsi="Arial" w:cs="仿宋_GB2312" w:hint="eastAsia"/>
      <w:b/>
      <w:spacing w:val="6"/>
      <w:sz w:val="32"/>
      <w:szCs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qFormat/>
    <w:rsid w:val="00BE4505"/>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rsid w:val="00BE4505"/>
    <w:rPr>
      <w:rFonts w:asciiTheme="majorHAnsi" w:eastAsiaTheme="majorEastAsia" w:hAnsiTheme="majorHAnsi" w:cstheme="majorBidi"/>
      <w:b/>
      <w:bCs/>
      <w:sz w:val="32"/>
      <w:szCs w:val="32"/>
    </w:rPr>
  </w:style>
  <w:style w:type="paragraph" w:styleId="a5">
    <w:name w:val="header"/>
    <w:basedOn w:val="a"/>
    <w:link w:val="a6"/>
    <w:uiPriority w:val="99"/>
    <w:unhideWhenUsed/>
    <w:rsid w:val="005860CD"/>
    <w:pPr>
      <w:tabs>
        <w:tab w:val="center" w:pos="4153"/>
        <w:tab w:val="right" w:pos="8306"/>
      </w:tabs>
      <w:snapToGrid w:val="0"/>
      <w:jc w:val="center"/>
    </w:pPr>
    <w:rPr>
      <w:sz w:val="18"/>
      <w:szCs w:val="18"/>
    </w:rPr>
  </w:style>
  <w:style w:type="character" w:customStyle="1" w:styleId="a6">
    <w:name w:val="页眉 字符"/>
    <w:basedOn w:val="a0"/>
    <w:link w:val="a5"/>
    <w:uiPriority w:val="99"/>
    <w:rsid w:val="005860CD"/>
    <w:rPr>
      <w:sz w:val="18"/>
      <w:szCs w:val="18"/>
    </w:rPr>
  </w:style>
  <w:style w:type="paragraph" w:styleId="a7">
    <w:name w:val="footer"/>
    <w:basedOn w:val="a"/>
    <w:link w:val="a8"/>
    <w:uiPriority w:val="99"/>
    <w:unhideWhenUsed/>
    <w:rsid w:val="005860CD"/>
    <w:pPr>
      <w:tabs>
        <w:tab w:val="center" w:pos="4153"/>
        <w:tab w:val="right" w:pos="8306"/>
      </w:tabs>
      <w:snapToGrid w:val="0"/>
      <w:jc w:val="left"/>
    </w:pPr>
    <w:rPr>
      <w:sz w:val="18"/>
      <w:szCs w:val="18"/>
    </w:rPr>
  </w:style>
  <w:style w:type="character" w:customStyle="1" w:styleId="a8">
    <w:name w:val="页脚 字符"/>
    <w:basedOn w:val="a0"/>
    <w:link w:val="a7"/>
    <w:uiPriority w:val="99"/>
    <w:rsid w:val="005860CD"/>
    <w:rPr>
      <w:sz w:val="18"/>
      <w:szCs w:val="18"/>
    </w:rPr>
  </w:style>
  <w:style w:type="paragraph" w:styleId="a9">
    <w:name w:val="List Paragraph"/>
    <w:basedOn w:val="a"/>
    <w:uiPriority w:val="34"/>
    <w:qFormat/>
    <w:rsid w:val="00141F16"/>
    <w:pPr>
      <w:ind w:firstLineChars="200" w:firstLine="420"/>
    </w:pPr>
  </w:style>
  <w:style w:type="character" w:styleId="aa">
    <w:name w:val="annotation reference"/>
    <w:basedOn w:val="a0"/>
    <w:uiPriority w:val="99"/>
    <w:semiHidden/>
    <w:unhideWhenUsed/>
    <w:rsid w:val="00FC1088"/>
    <w:rPr>
      <w:sz w:val="21"/>
      <w:szCs w:val="21"/>
    </w:rPr>
  </w:style>
  <w:style w:type="paragraph" w:styleId="ab">
    <w:name w:val="annotation text"/>
    <w:basedOn w:val="a"/>
    <w:link w:val="ac"/>
    <w:uiPriority w:val="99"/>
    <w:semiHidden/>
    <w:unhideWhenUsed/>
    <w:rsid w:val="00FC1088"/>
    <w:pPr>
      <w:jc w:val="left"/>
    </w:pPr>
  </w:style>
  <w:style w:type="character" w:customStyle="1" w:styleId="ac">
    <w:name w:val="批注文字 字符"/>
    <w:basedOn w:val="a0"/>
    <w:link w:val="ab"/>
    <w:uiPriority w:val="99"/>
    <w:semiHidden/>
    <w:rsid w:val="00FC1088"/>
  </w:style>
  <w:style w:type="paragraph" w:styleId="ad">
    <w:name w:val="annotation subject"/>
    <w:basedOn w:val="ab"/>
    <w:next w:val="ab"/>
    <w:link w:val="ae"/>
    <w:uiPriority w:val="99"/>
    <w:semiHidden/>
    <w:unhideWhenUsed/>
    <w:rsid w:val="00FC1088"/>
    <w:rPr>
      <w:b/>
      <w:bCs/>
    </w:rPr>
  </w:style>
  <w:style w:type="character" w:customStyle="1" w:styleId="ae">
    <w:name w:val="批注主题 字符"/>
    <w:basedOn w:val="ac"/>
    <w:link w:val="ad"/>
    <w:uiPriority w:val="99"/>
    <w:semiHidden/>
    <w:rsid w:val="00FC1088"/>
    <w:rPr>
      <w:b/>
      <w:bCs/>
    </w:rPr>
  </w:style>
  <w:style w:type="paragraph" w:styleId="af">
    <w:name w:val="Revision"/>
    <w:hidden/>
    <w:uiPriority w:val="99"/>
    <w:semiHidden/>
    <w:rsid w:val="00015715"/>
  </w:style>
  <w:style w:type="table" w:styleId="af0">
    <w:name w:val="Table Grid"/>
    <w:basedOn w:val="a1"/>
    <w:uiPriority w:val="39"/>
    <w:qFormat/>
    <w:rsid w:val="003E375D"/>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段"/>
    <w:link w:val="Char"/>
    <w:qFormat/>
    <w:rsid w:val="003E375D"/>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14:ligatures w14:val="none"/>
    </w:rPr>
  </w:style>
  <w:style w:type="character" w:customStyle="1" w:styleId="Char">
    <w:name w:val="段 Char"/>
    <w:link w:val="af1"/>
    <w:qFormat/>
    <w:rsid w:val="003E375D"/>
    <w:rPr>
      <w:rFonts w:ascii="宋体" w:eastAsia="宋体" w:hAnsi="Times New Roman" w:cs="Times New Roman"/>
      <w:kern w:val="0"/>
      <w:szCs w:val="20"/>
      <w14:ligatures w14:val="none"/>
    </w:rPr>
  </w:style>
  <w:style w:type="character" w:customStyle="1" w:styleId="20">
    <w:name w:val="标题 2 字符"/>
    <w:basedOn w:val="a0"/>
    <w:link w:val="2"/>
    <w:rsid w:val="00454954"/>
    <w:rPr>
      <w:rFonts w:ascii="Arial" w:eastAsia="黑体" w:hAnsi="Arial" w:cs="仿宋_GB2312"/>
      <w:b/>
      <w:spacing w:val="6"/>
      <w:sz w:val="32"/>
      <w:szCs w:val="32"/>
      <w14:ligatures w14:val="none"/>
    </w:rPr>
  </w:style>
  <w:style w:type="paragraph" w:styleId="af2">
    <w:name w:val="caption"/>
    <w:basedOn w:val="a"/>
    <w:next w:val="a"/>
    <w:unhideWhenUsed/>
    <w:qFormat/>
    <w:rsid w:val="00454954"/>
    <w:rPr>
      <w:rFonts w:asciiTheme="majorHAnsi" w:eastAsia="黑体" w:hAnsiTheme="majorHAnsi" w:cstheme="majorBidi"/>
      <w:spacing w:val="6"/>
      <w:sz w:val="20"/>
      <w:szCs w:val="20"/>
      <w14:ligatures w14:val="none"/>
    </w:rPr>
  </w:style>
  <w:style w:type="paragraph" w:styleId="af3">
    <w:name w:val="Date"/>
    <w:basedOn w:val="a"/>
    <w:next w:val="a"/>
    <w:link w:val="af4"/>
    <w:uiPriority w:val="99"/>
    <w:semiHidden/>
    <w:unhideWhenUsed/>
    <w:rsid w:val="006A02F2"/>
    <w:pPr>
      <w:ind w:leftChars="2500" w:left="100"/>
    </w:pPr>
  </w:style>
  <w:style w:type="character" w:customStyle="1" w:styleId="af4">
    <w:name w:val="日期 字符"/>
    <w:basedOn w:val="a0"/>
    <w:link w:val="af3"/>
    <w:uiPriority w:val="99"/>
    <w:semiHidden/>
    <w:rsid w:val="006A02F2"/>
  </w:style>
  <w:style w:type="character" w:customStyle="1" w:styleId="10">
    <w:name w:val="标题 1 字符"/>
    <w:basedOn w:val="a0"/>
    <w:link w:val="1"/>
    <w:uiPriority w:val="9"/>
    <w:qFormat/>
    <w:rsid w:val="006A02F2"/>
    <w:rPr>
      <w:rFonts w:ascii="Times New Roman" w:eastAsia="宋体" w:hAnsi="Times New Roman" w:cs="Times New Roman"/>
      <w:b/>
      <w:kern w:val="44"/>
      <w:sz w:val="28"/>
      <w:szCs w:val="21"/>
      <w14:ligatures w14:val="none"/>
    </w:rPr>
  </w:style>
  <w:style w:type="paragraph" w:styleId="TOC">
    <w:name w:val="TOC Heading"/>
    <w:basedOn w:val="1"/>
    <w:next w:val="a"/>
    <w:uiPriority w:val="39"/>
    <w:unhideWhenUsed/>
    <w:qFormat/>
    <w:rsid w:val="00AC0533"/>
    <w:pPr>
      <w:widowControl/>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TOC1">
    <w:name w:val="toc 1"/>
    <w:basedOn w:val="a"/>
    <w:next w:val="a"/>
    <w:autoRedefine/>
    <w:uiPriority w:val="39"/>
    <w:unhideWhenUsed/>
    <w:rsid w:val="00AC0533"/>
  </w:style>
  <w:style w:type="paragraph" w:styleId="TOC2">
    <w:name w:val="toc 2"/>
    <w:basedOn w:val="a"/>
    <w:next w:val="a"/>
    <w:autoRedefine/>
    <w:uiPriority w:val="39"/>
    <w:unhideWhenUsed/>
    <w:rsid w:val="00AC0533"/>
    <w:pPr>
      <w:ind w:leftChars="200" w:left="420"/>
    </w:pPr>
  </w:style>
  <w:style w:type="character" w:styleId="af5">
    <w:name w:val="Hyperlink"/>
    <w:basedOn w:val="a0"/>
    <w:uiPriority w:val="99"/>
    <w:unhideWhenUsed/>
    <w:rsid w:val="00AC05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0A6D0-CFE2-4EF3-B395-7FBAA2B9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2505</Words>
  <Characters>2732</Characters>
  <Application>Microsoft Office Word</Application>
  <DocSecurity>0</DocSecurity>
  <Lines>303</Lines>
  <Paragraphs>402</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yang</dc:creator>
  <cp:keywords/>
  <dc:description/>
  <cp:lastModifiedBy>ThinkPad</cp:lastModifiedBy>
  <cp:revision>5</cp:revision>
  <dcterms:created xsi:type="dcterms:W3CDTF">2025-05-13T06:54:00Z</dcterms:created>
  <dcterms:modified xsi:type="dcterms:W3CDTF">2025-05-13T09:14:00Z</dcterms:modified>
</cp:coreProperties>
</file>