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9EE9" w14:textId="77777777" w:rsidR="00B06E99" w:rsidRDefault="00B06E99">
      <w:pPr>
        <w:jc w:val="center"/>
        <w:rPr>
          <w:sz w:val="52"/>
          <w:szCs w:val="52"/>
        </w:rPr>
      </w:pPr>
    </w:p>
    <w:p w14:paraId="20BF1EA6" w14:textId="77777777" w:rsidR="00B06E99" w:rsidRDefault="00B06E99">
      <w:pPr>
        <w:jc w:val="center"/>
        <w:rPr>
          <w:sz w:val="52"/>
          <w:szCs w:val="52"/>
        </w:rPr>
      </w:pPr>
    </w:p>
    <w:p w14:paraId="5F077D27" w14:textId="77777777" w:rsidR="00B06E99" w:rsidRDefault="00B06E99">
      <w:pPr>
        <w:jc w:val="center"/>
        <w:rPr>
          <w:sz w:val="52"/>
          <w:szCs w:val="52"/>
        </w:rPr>
      </w:pPr>
    </w:p>
    <w:p w14:paraId="3D591982" w14:textId="77777777" w:rsidR="00B06E99" w:rsidRDefault="00B06E99">
      <w:pPr>
        <w:jc w:val="center"/>
        <w:rPr>
          <w:sz w:val="52"/>
          <w:szCs w:val="52"/>
        </w:rPr>
      </w:pPr>
    </w:p>
    <w:p w14:paraId="1E346FFD" w14:textId="77777777" w:rsidR="00B06E99" w:rsidRDefault="00000000">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5CB8F5A1" w14:textId="77777777" w:rsidR="00B06E99" w:rsidRDefault="00B06E99">
      <w:pPr>
        <w:jc w:val="center"/>
        <w:rPr>
          <w:sz w:val="48"/>
          <w:szCs w:val="48"/>
        </w:rPr>
      </w:pPr>
    </w:p>
    <w:p w14:paraId="3EB40E96" w14:textId="77777777" w:rsidR="00B06E99" w:rsidRDefault="00000000">
      <w:pPr>
        <w:jc w:val="center"/>
        <w:rPr>
          <w:b/>
          <w:bCs/>
          <w:sz w:val="40"/>
          <w:szCs w:val="40"/>
        </w:rPr>
      </w:pPr>
      <w:r>
        <w:rPr>
          <w:b/>
          <w:bCs/>
          <w:sz w:val="40"/>
          <w:szCs w:val="40"/>
        </w:rPr>
        <w:t>《</w:t>
      </w:r>
      <w:r>
        <w:rPr>
          <w:rFonts w:hint="eastAsia"/>
          <w:b/>
          <w:bCs/>
          <w:sz w:val="40"/>
          <w:szCs w:val="40"/>
        </w:rPr>
        <w:t>内蒙古中东部饲用燕麦良种繁育技术规程</w:t>
      </w:r>
      <w:r>
        <w:rPr>
          <w:b/>
          <w:bCs/>
          <w:sz w:val="40"/>
          <w:szCs w:val="40"/>
        </w:rPr>
        <w:t>》</w:t>
      </w:r>
    </w:p>
    <w:p w14:paraId="1CA055F4" w14:textId="77777777" w:rsidR="00B06E99" w:rsidRDefault="00000000">
      <w:pPr>
        <w:spacing w:beforeLines="100" w:before="312" w:afterLines="100" w:after="312" w:line="480" w:lineRule="auto"/>
        <w:ind w:left="-67"/>
        <w:jc w:val="center"/>
        <w:rPr>
          <w:b/>
          <w:bCs/>
          <w:sz w:val="44"/>
          <w:szCs w:val="44"/>
        </w:rPr>
      </w:pPr>
      <w:r>
        <w:rPr>
          <w:b/>
          <w:bCs/>
          <w:sz w:val="44"/>
          <w:szCs w:val="44"/>
        </w:rPr>
        <w:t>编制说明</w:t>
      </w:r>
    </w:p>
    <w:p w14:paraId="4E0E33BA" w14:textId="77777777" w:rsidR="00B06E99" w:rsidRDefault="00B06E99">
      <w:pPr>
        <w:jc w:val="center"/>
        <w:rPr>
          <w:bCs/>
          <w:sz w:val="36"/>
          <w:szCs w:val="36"/>
        </w:rPr>
      </w:pPr>
    </w:p>
    <w:p w14:paraId="11E3485B" w14:textId="77777777" w:rsidR="00B06E99" w:rsidRDefault="00B06E99">
      <w:pPr>
        <w:jc w:val="center"/>
        <w:rPr>
          <w:bCs/>
          <w:sz w:val="36"/>
          <w:szCs w:val="36"/>
        </w:rPr>
      </w:pPr>
    </w:p>
    <w:p w14:paraId="575B801B" w14:textId="77777777" w:rsidR="00B06E99" w:rsidRDefault="00B06E99">
      <w:pPr>
        <w:jc w:val="center"/>
        <w:rPr>
          <w:bCs/>
          <w:sz w:val="36"/>
          <w:szCs w:val="36"/>
        </w:rPr>
      </w:pPr>
    </w:p>
    <w:p w14:paraId="6C4E7CB9" w14:textId="77777777" w:rsidR="00B06E99" w:rsidRDefault="00B06E99">
      <w:pPr>
        <w:jc w:val="center"/>
        <w:rPr>
          <w:bCs/>
          <w:sz w:val="36"/>
          <w:szCs w:val="36"/>
        </w:rPr>
      </w:pPr>
    </w:p>
    <w:p w14:paraId="1A13BB26" w14:textId="77777777" w:rsidR="00B06E99" w:rsidRDefault="00B06E99">
      <w:pPr>
        <w:jc w:val="center"/>
        <w:rPr>
          <w:bCs/>
          <w:sz w:val="36"/>
          <w:szCs w:val="36"/>
        </w:rPr>
      </w:pPr>
    </w:p>
    <w:p w14:paraId="01FF50B0" w14:textId="77777777" w:rsidR="00B06E99" w:rsidRDefault="00B06E99">
      <w:pPr>
        <w:jc w:val="center"/>
        <w:rPr>
          <w:bCs/>
          <w:sz w:val="36"/>
          <w:szCs w:val="36"/>
        </w:rPr>
      </w:pPr>
    </w:p>
    <w:p w14:paraId="3AC72609" w14:textId="77777777" w:rsidR="00B06E99" w:rsidRDefault="00B06E99">
      <w:pPr>
        <w:jc w:val="center"/>
        <w:rPr>
          <w:bCs/>
          <w:sz w:val="36"/>
          <w:szCs w:val="36"/>
        </w:rPr>
      </w:pPr>
    </w:p>
    <w:p w14:paraId="050B06A9" w14:textId="77777777" w:rsidR="00B06E99" w:rsidRDefault="00B06E99">
      <w:pPr>
        <w:widowControl/>
        <w:jc w:val="center"/>
        <w:rPr>
          <w:bCs/>
          <w:sz w:val="44"/>
          <w:szCs w:val="44"/>
        </w:rPr>
      </w:pPr>
    </w:p>
    <w:p w14:paraId="130B2E48" w14:textId="77777777" w:rsidR="00B06E99" w:rsidRDefault="00B06E99">
      <w:pPr>
        <w:widowControl/>
        <w:jc w:val="center"/>
        <w:rPr>
          <w:bCs/>
          <w:sz w:val="44"/>
          <w:szCs w:val="44"/>
        </w:rPr>
      </w:pPr>
    </w:p>
    <w:p w14:paraId="2EFB2C11" w14:textId="77777777" w:rsidR="00B06E99" w:rsidRDefault="00B06E99">
      <w:pPr>
        <w:widowControl/>
        <w:jc w:val="center"/>
        <w:rPr>
          <w:b/>
          <w:sz w:val="44"/>
          <w:szCs w:val="44"/>
        </w:rPr>
      </w:pPr>
    </w:p>
    <w:p w14:paraId="74D64C95" w14:textId="77777777" w:rsidR="00B06E99" w:rsidRDefault="00000000">
      <w:pPr>
        <w:ind w:leftChars="-67" w:left="-71" w:rightChars="-182" w:right="-437" w:hangingChars="32" w:hanging="90"/>
        <w:jc w:val="center"/>
        <w:rPr>
          <w:b/>
          <w:sz w:val="28"/>
          <w:szCs w:val="28"/>
        </w:rPr>
      </w:pPr>
      <w:r>
        <w:rPr>
          <w:b/>
          <w:sz w:val="28"/>
          <w:szCs w:val="28"/>
        </w:rPr>
        <w:t>《</w:t>
      </w:r>
      <w:r>
        <w:rPr>
          <w:rFonts w:hint="eastAsia"/>
          <w:b/>
          <w:sz w:val="28"/>
          <w:szCs w:val="28"/>
        </w:rPr>
        <w:t>内蒙古中东部饲用燕麦良种繁育技术规程</w:t>
      </w:r>
      <w:r>
        <w:rPr>
          <w:b/>
          <w:sz w:val="28"/>
          <w:szCs w:val="28"/>
        </w:rPr>
        <w:t>》</w:t>
      </w:r>
      <w:r>
        <w:rPr>
          <w:rFonts w:hint="eastAsia"/>
          <w:b/>
          <w:sz w:val="28"/>
          <w:szCs w:val="28"/>
        </w:rPr>
        <w:t>团体</w:t>
      </w:r>
      <w:r>
        <w:rPr>
          <w:b/>
          <w:sz w:val="28"/>
          <w:szCs w:val="28"/>
        </w:rPr>
        <w:t>标准制定组</w:t>
      </w:r>
    </w:p>
    <w:p w14:paraId="5C44EA1C" w14:textId="77777777" w:rsidR="00B06E99" w:rsidRDefault="00000000">
      <w:pPr>
        <w:widowControl/>
        <w:jc w:val="center"/>
        <w:rPr>
          <w:b/>
          <w:sz w:val="28"/>
          <w:szCs w:val="28"/>
        </w:rPr>
      </w:pPr>
      <w:r>
        <w:rPr>
          <w:b/>
          <w:sz w:val="28"/>
          <w:szCs w:val="28"/>
        </w:rPr>
        <w:t>二〇二五年</w:t>
      </w:r>
      <w:r>
        <w:rPr>
          <w:rFonts w:hint="eastAsia"/>
          <w:b/>
          <w:sz w:val="28"/>
          <w:szCs w:val="28"/>
        </w:rPr>
        <w:t>四</w:t>
      </w:r>
      <w:r>
        <w:rPr>
          <w:b/>
          <w:sz w:val="28"/>
          <w:szCs w:val="28"/>
        </w:rPr>
        <w:t>月</w:t>
      </w:r>
    </w:p>
    <w:p w14:paraId="5AD62949" w14:textId="77777777" w:rsidR="00B06E99" w:rsidRDefault="00000000">
      <w:r>
        <w:br w:type="page"/>
      </w:r>
    </w:p>
    <w:p w14:paraId="64FAABAF" w14:textId="77777777" w:rsidR="00B06E99" w:rsidRDefault="00B06E99"/>
    <w:sdt>
      <w:sdtPr>
        <w:rPr>
          <w:rFonts w:ascii="宋体" w:hAnsi="宋体"/>
          <w:sz w:val="28"/>
          <w:szCs w:val="28"/>
        </w:rPr>
        <w:id w:val="147472960"/>
        <w15:color w:val="DBDBDB"/>
        <w:docPartObj>
          <w:docPartGallery w:val="Table of Contents"/>
          <w:docPartUnique/>
        </w:docPartObj>
      </w:sdtPr>
      <w:sdtEndPr>
        <w:rPr>
          <w:rFonts w:asciiTheme="minorEastAsia" w:eastAsiaTheme="minorEastAsia" w:hAnsiTheme="minorEastAsia"/>
          <w:sz w:val="24"/>
          <w:szCs w:val="21"/>
        </w:rPr>
      </w:sdtEndPr>
      <w:sdtContent>
        <w:p w14:paraId="7F99546D" w14:textId="77777777" w:rsidR="00B06E99" w:rsidRDefault="00000000">
          <w:pPr>
            <w:spacing w:line="240" w:lineRule="auto"/>
            <w:jc w:val="center"/>
            <w:rPr>
              <w:rFonts w:ascii="黑体" w:eastAsia="黑体" w:hAnsi="黑体" w:hint="eastAsia"/>
              <w:sz w:val="32"/>
              <w:szCs w:val="32"/>
            </w:rPr>
          </w:pPr>
          <w:r>
            <w:rPr>
              <w:rFonts w:ascii="黑体" w:eastAsia="黑体" w:hAnsi="黑体"/>
              <w:sz w:val="32"/>
              <w:szCs w:val="32"/>
            </w:rPr>
            <w:t>目</w:t>
          </w:r>
          <w:r>
            <w:rPr>
              <w:rFonts w:ascii="黑体" w:eastAsia="黑体" w:hAnsi="黑体" w:hint="eastAsia"/>
              <w:sz w:val="32"/>
              <w:szCs w:val="32"/>
            </w:rPr>
            <w:t xml:space="preserve">  次</w:t>
          </w:r>
        </w:p>
        <w:p w14:paraId="3848E377" w14:textId="77777777" w:rsidR="00B06E99" w:rsidRDefault="00000000">
          <w:pPr>
            <w:pStyle w:val="TOC1"/>
            <w:tabs>
              <w:tab w:val="right" w:leader="dot" w:pos="8296"/>
            </w:tabs>
            <w:rPr>
              <w:rFonts w:asciiTheme="minorEastAsia" w:eastAsiaTheme="minorEastAsia" w:hAnsiTheme="minorEastAsia" w:cstheme="minorBidi" w:hint="eastAsia"/>
              <w:szCs w:val="24"/>
              <w14:ligatures w14:val="standardContextual"/>
            </w:rPr>
          </w:pPr>
          <w:r>
            <w:rPr>
              <w:rFonts w:asciiTheme="minorEastAsia" w:eastAsiaTheme="minorEastAsia" w:hAnsiTheme="minorEastAsia"/>
              <w:kern w:val="0"/>
              <w:sz w:val="20"/>
              <w:szCs w:val="20"/>
            </w:rPr>
            <w:fldChar w:fldCharType="begin"/>
          </w:r>
          <w:r>
            <w:rPr>
              <w:rFonts w:asciiTheme="minorEastAsia" w:eastAsiaTheme="minorEastAsia" w:hAnsiTheme="minorEastAsia"/>
            </w:rPr>
            <w:instrText xml:space="preserve">TOC \o "1-2" \h \u </w:instrText>
          </w:r>
          <w:r>
            <w:rPr>
              <w:rFonts w:asciiTheme="minorEastAsia" w:eastAsiaTheme="minorEastAsia" w:hAnsiTheme="minorEastAsia"/>
              <w:kern w:val="0"/>
              <w:sz w:val="20"/>
              <w:szCs w:val="20"/>
            </w:rPr>
            <w:fldChar w:fldCharType="separate"/>
          </w:r>
          <w:hyperlink w:anchor="_Toc197503226" w:history="1">
            <w:r w:rsidR="00B06E99">
              <w:rPr>
                <w:rStyle w:val="a7"/>
                <w:rFonts w:asciiTheme="minorEastAsia" w:eastAsiaTheme="minorEastAsia" w:hAnsiTheme="minorEastAsia"/>
                <w:szCs w:val="24"/>
              </w:rPr>
              <w:t>一、任务来源</w:t>
            </w:r>
            <w:r w:rsidR="00B06E99">
              <w:rPr>
                <w:rFonts w:asciiTheme="minorEastAsia" w:eastAsiaTheme="minorEastAsia" w:hAnsiTheme="minorEastAsia"/>
                <w:szCs w:val="24"/>
              </w:rPr>
              <w:tab/>
            </w:r>
            <w:r w:rsidR="00B06E99">
              <w:rPr>
                <w:rFonts w:asciiTheme="minorEastAsia" w:eastAsiaTheme="minorEastAsia" w:hAnsiTheme="minorEastAsia"/>
                <w:szCs w:val="24"/>
              </w:rPr>
              <w:fldChar w:fldCharType="begin"/>
            </w:r>
            <w:r w:rsidR="00B06E99">
              <w:rPr>
                <w:rFonts w:asciiTheme="minorEastAsia" w:eastAsiaTheme="minorEastAsia" w:hAnsiTheme="minorEastAsia"/>
                <w:szCs w:val="24"/>
              </w:rPr>
              <w:instrText xml:space="preserve"> PAGEREF _Toc197503226 \h </w:instrText>
            </w:r>
            <w:r w:rsidR="00B06E99">
              <w:rPr>
                <w:rFonts w:asciiTheme="minorEastAsia" w:eastAsiaTheme="minorEastAsia" w:hAnsiTheme="minorEastAsia"/>
                <w:szCs w:val="24"/>
              </w:rPr>
            </w:r>
            <w:r w:rsidR="00B06E99">
              <w:rPr>
                <w:rFonts w:asciiTheme="minorEastAsia" w:eastAsiaTheme="minorEastAsia" w:hAnsiTheme="minorEastAsia"/>
                <w:szCs w:val="24"/>
              </w:rPr>
              <w:fldChar w:fldCharType="separate"/>
            </w:r>
            <w:r w:rsidR="00B06E99">
              <w:rPr>
                <w:rFonts w:asciiTheme="minorEastAsia" w:eastAsiaTheme="minorEastAsia" w:hAnsiTheme="minorEastAsia"/>
                <w:szCs w:val="24"/>
              </w:rPr>
              <w:t>3</w:t>
            </w:r>
            <w:r w:rsidR="00B06E99">
              <w:rPr>
                <w:rFonts w:asciiTheme="minorEastAsia" w:eastAsiaTheme="minorEastAsia" w:hAnsiTheme="minorEastAsia"/>
                <w:szCs w:val="24"/>
              </w:rPr>
              <w:fldChar w:fldCharType="end"/>
            </w:r>
          </w:hyperlink>
        </w:p>
        <w:p w14:paraId="5F4B2E76"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7" w:history="1">
            <w:r>
              <w:rPr>
                <w:rStyle w:val="a7"/>
                <w:rFonts w:asciiTheme="minorEastAsia" w:eastAsiaTheme="minorEastAsia" w:hAnsiTheme="minorEastAsia"/>
                <w:szCs w:val="24"/>
              </w:rPr>
              <w:t>二、编制目的和意义</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_Toc197503227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3</w:t>
            </w:r>
            <w:r>
              <w:rPr>
                <w:rFonts w:asciiTheme="minorEastAsia" w:eastAsiaTheme="minorEastAsia" w:hAnsiTheme="minorEastAsia"/>
                <w:szCs w:val="24"/>
              </w:rPr>
              <w:fldChar w:fldCharType="end"/>
            </w:r>
          </w:hyperlink>
        </w:p>
        <w:p w14:paraId="624243BA"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8" w:history="1">
            <w:r>
              <w:rPr>
                <w:rStyle w:val="a7"/>
                <w:rFonts w:asciiTheme="minorEastAsia" w:eastAsiaTheme="minorEastAsia" w:hAnsiTheme="minorEastAsia"/>
                <w:szCs w:val="24"/>
              </w:rPr>
              <w:t>三、编制原则和依据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232D0EC3"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9" w:history="1">
            <w:r>
              <w:rPr>
                <w:rStyle w:val="a7"/>
                <w:rFonts w:asciiTheme="minorEastAsia" w:eastAsiaTheme="minorEastAsia" w:hAnsiTheme="minorEastAsia"/>
                <w:szCs w:val="24"/>
              </w:rPr>
              <w:t>四、主要工作过程</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_Toc197503229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129C20AA"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0" w:history="1">
            <w:r>
              <w:rPr>
                <w:rStyle w:val="a7"/>
                <w:rFonts w:asciiTheme="minorEastAsia" w:eastAsiaTheme="minorEastAsia" w:hAnsiTheme="minorEastAsia"/>
                <w:szCs w:val="24"/>
              </w:rPr>
              <w:t>1. 成立标准起草工作组</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_Toc197503230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0A9DDAB9"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1" w:history="1">
            <w:r>
              <w:rPr>
                <w:rStyle w:val="a7"/>
                <w:rFonts w:asciiTheme="minorEastAsia" w:eastAsiaTheme="minorEastAsia" w:hAnsiTheme="minorEastAsia"/>
                <w:szCs w:val="24"/>
              </w:rPr>
              <w:t>2. 资料收集分析、技术准备</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_Toc197503231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64DCB130"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2" w:history="1">
            <w:r>
              <w:rPr>
                <w:rStyle w:val="a7"/>
                <w:rFonts w:asciiTheme="minorEastAsia" w:eastAsiaTheme="minorEastAsia" w:hAnsiTheme="minorEastAsia"/>
                <w:szCs w:val="24"/>
              </w:rPr>
              <w:t>3. 标准编写，形成技术规程草案</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_Toc197503232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0186714F"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3" w:history="1">
            <w:r w:rsidRPr="00437021">
              <w:rPr>
                <w:rStyle w:val="a7"/>
                <w:rFonts w:asciiTheme="minorEastAsia" w:eastAsiaTheme="minorEastAsia" w:hAnsiTheme="minorEastAsia"/>
                <w:szCs w:val="24"/>
              </w:rPr>
              <w:t>五、主要技术内容确定的依据</w:t>
            </w:r>
            <w:r w:rsidRPr="00437021">
              <w:rPr>
                <w:rFonts w:asciiTheme="minorEastAsia" w:eastAsiaTheme="minorEastAsia" w:hAnsiTheme="minorEastAsia"/>
                <w:szCs w:val="24"/>
              </w:rPr>
              <w:tab/>
            </w:r>
            <w:r w:rsidRPr="00437021">
              <w:rPr>
                <w:rFonts w:asciiTheme="minorEastAsia" w:eastAsiaTheme="minorEastAsia" w:hAnsiTheme="minorEastAsia"/>
                <w:szCs w:val="24"/>
              </w:rPr>
              <w:fldChar w:fldCharType="begin"/>
            </w:r>
            <w:r w:rsidRPr="00437021">
              <w:rPr>
                <w:rFonts w:asciiTheme="minorEastAsia" w:eastAsiaTheme="minorEastAsia" w:hAnsiTheme="minorEastAsia"/>
                <w:szCs w:val="24"/>
              </w:rPr>
              <w:instrText xml:space="preserve"> PAGEREF _Toc197503233 \h </w:instrText>
            </w:r>
            <w:r w:rsidRPr="00437021">
              <w:rPr>
                <w:rFonts w:asciiTheme="minorEastAsia" w:eastAsiaTheme="minorEastAsia" w:hAnsiTheme="minorEastAsia"/>
                <w:szCs w:val="24"/>
              </w:rPr>
            </w:r>
            <w:r w:rsidRPr="00437021">
              <w:rPr>
                <w:rFonts w:asciiTheme="minorEastAsia" w:eastAsiaTheme="minorEastAsia" w:hAnsiTheme="minorEastAsia"/>
                <w:szCs w:val="24"/>
              </w:rPr>
              <w:fldChar w:fldCharType="separate"/>
            </w:r>
            <w:r w:rsidRPr="00437021">
              <w:rPr>
                <w:rFonts w:asciiTheme="minorEastAsia" w:eastAsiaTheme="minorEastAsia" w:hAnsiTheme="minorEastAsia"/>
                <w:szCs w:val="24"/>
              </w:rPr>
              <w:t>5</w:t>
            </w:r>
            <w:r w:rsidRPr="00437021">
              <w:rPr>
                <w:rFonts w:asciiTheme="minorEastAsia" w:eastAsiaTheme="minorEastAsia" w:hAnsiTheme="minorEastAsia"/>
                <w:szCs w:val="24"/>
              </w:rPr>
              <w:fldChar w:fldCharType="end"/>
            </w:r>
          </w:hyperlink>
        </w:p>
        <w:p w14:paraId="1DB58246"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4" w:history="1">
            <w:r>
              <w:rPr>
                <w:rStyle w:val="a7"/>
                <w:rFonts w:asciiTheme="minorEastAsia" w:eastAsiaTheme="minorEastAsia" w:hAnsiTheme="minorEastAsia"/>
                <w:szCs w:val="24"/>
              </w:rPr>
              <w:t>1. 适用范围</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_Toc197503234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57536F1A"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5" w:history="1">
            <w:r>
              <w:rPr>
                <w:rStyle w:val="a7"/>
                <w:rFonts w:asciiTheme="minorEastAsia" w:eastAsiaTheme="minorEastAsia" w:hAnsiTheme="minorEastAsia"/>
                <w:szCs w:val="24"/>
              </w:rPr>
              <w:t>2. 规范性引用文件</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_Toc197503235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36DA1C37" w14:textId="77777777" w:rsidR="00B06E99" w:rsidRDefault="00B06E99">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6" w:history="1">
            <w:r>
              <w:rPr>
                <w:rStyle w:val="a7"/>
                <w:rFonts w:asciiTheme="minorEastAsia" w:eastAsiaTheme="minorEastAsia" w:hAnsiTheme="minorEastAsia"/>
                <w:szCs w:val="24"/>
              </w:rPr>
              <w:t>3. 主要技术指标确定的依据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_Toc197503236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68792B04" w14:textId="77777777" w:rsidR="00B06E99" w:rsidRDefault="00B06E99">
          <w:pPr>
            <w:pStyle w:val="TOC1"/>
            <w:tabs>
              <w:tab w:val="left" w:pos="880"/>
              <w:tab w:val="right" w:leader="dot" w:pos="8296"/>
            </w:tabs>
            <w:rPr>
              <w:rFonts w:asciiTheme="minorEastAsia" w:eastAsiaTheme="minorEastAsia" w:hAnsiTheme="minorEastAsia" w:cstheme="minorBidi" w:hint="eastAsia"/>
              <w:szCs w:val="24"/>
              <w14:ligatures w14:val="standardContextual"/>
            </w:rPr>
          </w:pPr>
          <w:hyperlink w:anchor="_Toc197503237" w:history="1">
            <w:r>
              <w:rPr>
                <w:rStyle w:val="a7"/>
                <w:rFonts w:asciiTheme="minorEastAsia" w:eastAsiaTheme="minorEastAsia" w:hAnsiTheme="minorEastAsia"/>
                <w:szCs w:val="24"/>
              </w:rPr>
              <w:t>六、采用的国际标准</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_Toc197503237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0B742BC5"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8" w:history="1">
            <w:r>
              <w:rPr>
                <w:rStyle w:val="a7"/>
                <w:rFonts w:asciiTheme="minorEastAsia" w:eastAsiaTheme="minorEastAsia" w:hAnsiTheme="minorEastAsia"/>
                <w:szCs w:val="24"/>
              </w:rPr>
              <w:t>七、与现行法律法规和强制性标准的关系</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02BFECF4"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9" w:history="1">
            <w:r>
              <w:rPr>
                <w:rStyle w:val="a7"/>
                <w:rFonts w:asciiTheme="minorEastAsia" w:eastAsiaTheme="minorEastAsia" w:hAnsiTheme="minorEastAsia"/>
                <w:szCs w:val="24"/>
              </w:rPr>
              <w:t>八、重大分歧意见的处理经过和依据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_Toc197503239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17F1EB97"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0" w:history="1">
            <w:r>
              <w:rPr>
                <w:rStyle w:val="a7"/>
                <w:rFonts w:asciiTheme="minorEastAsia" w:eastAsiaTheme="minorEastAsia" w:hAnsiTheme="minorEastAsia"/>
                <w:szCs w:val="24"/>
              </w:rPr>
              <w:t>九、标准作为强制性或推荐性标准的意见</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_Toc197503240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36E7B402"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1" w:history="1">
            <w:r>
              <w:rPr>
                <w:rStyle w:val="a7"/>
                <w:rFonts w:asciiTheme="minorEastAsia" w:eastAsiaTheme="minorEastAsia" w:hAnsiTheme="minorEastAsia"/>
                <w:szCs w:val="24"/>
              </w:rPr>
              <w:t>十、贯彻标准的要求和措施建议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_Toc197503241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71F18B63"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2" w:history="1">
            <w:r>
              <w:rPr>
                <w:rStyle w:val="a7"/>
                <w:rFonts w:asciiTheme="minorEastAsia" w:eastAsiaTheme="minorEastAsia" w:hAnsiTheme="minorEastAsia"/>
                <w:szCs w:val="24"/>
              </w:rPr>
              <w:t>十一、废止现行有关标准的建议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_Toc197503242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5A7D4CEC" w14:textId="77777777" w:rsidR="00B06E99" w:rsidRDefault="00B06E99">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3" w:history="1">
            <w:r>
              <w:rPr>
                <w:rStyle w:val="a7"/>
                <w:rFonts w:asciiTheme="minorEastAsia" w:eastAsiaTheme="minorEastAsia" w:hAnsiTheme="minorEastAsia"/>
                <w:szCs w:val="24"/>
              </w:rPr>
              <w:t>十二、其他应予说明的事项</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_Toc197503243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13FCF299" w14:textId="77777777" w:rsidR="00B06E99" w:rsidRDefault="00000000">
          <w:pPr>
            <w:rPr>
              <w:rFonts w:asciiTheme="minorEastAsia" w:eastAsiaTheme="minorEastAsia" w:hAnsiTheme="minorEastAsia" w:hint="eastAsia"/>
            </w:rPr>
          </w:pPr>
          <w:r>
            <w:rPr>
              <w:rFonts w:asciiTheme="minorEastAsia" w:eastAsiaTheme="minorEastAsia" w:hAnsiTheme="minorEastAsia"/>
            </w:rPr>
            <w:fldChar w:fldCharType="end"/>
          </w:r>
        </w:p>
      </w:sdtContent>
    </w:sdt>
    <w:p w14:paraId="69F38A88" w14:textId="77777777" w:rsidR="00B06E99" w:rsidRDefault="00B06E99">
      <w:pPr>
        <w:rPr>
          <w:b/>
        </w:rPr>
      </w:pPr>
    </w:p>
    <w:p w14:paraId="3F167107" w14:textId="77777777" w:rsidR="00B06E99" w:rsidRDefault="00000000">
      <w:bookmarkStart w:id="0" w:name="_Toc404077038"/>
      <w:bookmarkStart w:id="1" w:name="_Toc176456970"/>
      <w:bookmarkStart w:id="2" w:name="_Toc22674793"/>
      <w:bookmarkStart w:id="3" w:name="_Toc22682826"/>
      <w:r>
        <w:br w:type="page"/>
      </w:r>
    </w:p>
    <w:p w14:paraId="5AFAE96A" w14:textId="77777777" w:rsidR="00B06E99" w:rsidRDefault="00000000">
      <w:pPr>
        <w:pStyle w:val="1"/>
      </w:pPr>
      <w:bookmarkStart w:id="4" w:name="_Toc197503226"/>
      <w:r>
        <w:t>一、任</w:t>
      </w:r>
      <w:bookmarkStart w:id="5" w:name="OLE_LINK1"/>
      <w:r>
        <w:t>务</w:t>
      </w:r>
      <w:bookmarkEnd w:id="5"/>
      <w:r>
        <w:t>来源</w:t>
      </w:r>
      <w:bookmarkEnd w:id="0"/>
      <w:bookmarkEnd w:id="1"/>
      <w:bookmarkEnd w:id="2"/>
      <w:bookmarkEnd w:id="3"/>
      <w:bookmarkEnd w:id="4"/>
    </w:p>
    <w:p w14:paraId="66D97979" w14:textId="77777777" w:rsidR="00B06E99" w:rsidRDefault="00000000">
      <w:pPr>
        <w:ind w:firstLineChars="200" w:firstLine="480"/>
        <w:rPr>
          <w:szCs w:val="24"/>
        </w:rPr>
      </w:pPr>
      <w:r>
        <w:rPr>
          <w:szCs w:val="24"/>
        </w:rPr>
        <w:t>本技术规程由</w:t>
      </w:r>
      <w:r>
        <w:rPr>
          <w:rFonts w:hint="eastAsia"/>
          <w:szCs w:val="24"/>
        </w:rPr>
        <w:t>内蒙古国麦农业有限公司</w:t>
      </w:r>
      <w:r>
        <w:rPr>
          <w:szCs w:val="24"/>
        </w:rPr>
        <w:t>申报，</w:t>
      </w:r>
      <w:bookmarkStart w:id="6" w:name="_Hlk197417026"/>
      <w:r>
        <w:rPr>
          <w:szCs w:val="24"/>
        </w:rPr>
        <w:t>在</w:t>
      </w:r>
      <w:r>
        <w:rPr>
          <w:rFonts w:hint="eastAsia"/>
          <w:szCs w:val="24"/>
        </w:rPr>
        <w:t>农业农村部</w:t>
      </w:r>
      <w:r>
        <w:rPr>
          <w:szCs w:val="24"/>
        </w:rPr>
        <w:t xml:space="preserve"> “</w:t>
      </w:r>
      <w:r>
        <w:rPr>
          <w:rFonts w:hint="eastAsia"/>
          <w:szCs w:val="24"/>
        </w:rPr>
        <w:t>高产优质饲用燕麦新种源创制</w:t>
      </w:r>
      <w:r>
        <w:rPr>
          <w:szCs w:val="24"/>
        </w:rPr>
        <w:t>”</w:t>
      </w:r>
      <w:r>
        <w:rPr>
          <w:szCs w:val="24"/>
        </w:rPr>
        <w:t>项目支持下</w:t>
      </w:r>
      <w:bookmarkEnd w:id="6"/>
      <w:r>
        <w:rPr>
          <w:szCs w:val="24"/>
        </w:rPr>
        <w:t>完成。</w:t>
      </w:r>
    </w:p>
    <w:p w14:paraId="4015FB5C" w14:textId="77777777" w:rsidR="00B06E99" w:rsidRDefault="00000000">
      <w:pPr>
        <w:pStyle w:val="1"/>
      </w:pPr>
      <w:bookmarkStart w:id="7" w:name="_Toc176456971"/>
      <w:bookmarkStart w:id="8" w:name="_Toc197503227"/>
      <w:r>
        <w:t>二、编制目的和意义</w:t>
      </w:r>
      <w:bookmarkEnd w:id="7"/>
      <w:bookmarkEnd w:id="8"/>
    </w:p>
    <w:p w14:paraId="2658E18C" w14:textId="77777777" w:rsidR="00B06E99" w:rsidRDefault="00000000">
      <w:pPr>
        <w:ind w:firstLineChars="200" w:firstLine="480"/>
        <w:rPr>
          <w:szCs w:val="24"/>
        </w:rPr>
      </w:pPr>
      <w:r>
        <w:rPr>
          <w:rFonts w:hint="eastAsia"/>
          <w:szCs w:val="24"/>
        </w:rPr>
        <w:t>在“大食物观”和“大农业战略”背景下，燕麦作为一种重要的饲料作物，其产量的稳定和提高对于保障粮食安全具有重要的战略意义。“农以种为先”，选择优质的燕麦品种且高效生产燕麦种子，可以增加市场供应量，满足人们对燕麦及其相关产品的需求，增加种植面积和产量，提高粮食自给率，减少对外依赖，保障国家粮食安全。</w:t>
      </w:r>
      <w:r>
        <w:rPr>
          <w:rFonts w:hint="eastAsia"/>
          <w:szCs w:val="24"/>
        </w:rPr>
        <w:t xml:space="preserve"> </w:t>
      </w:r>
    </w:p>
    <w:p w14:paraId="3AD18BA1" w14:textId="77777777" w:rsidR="00B06E99" w:rsidRDefault="00000000">
      <w:pPr>
        <w:ind w:firstLineChars="200" w:firstLine="480"/>
        <w:rPr>
          <w:szCs w:val="24"/>
        </w:rPr>
      </w:pPr>
      <w:r>
        <w:rPr>
          <w:rFonts w:hint="eastAsia"/>
          <w:szCs w:val="24"/>
        </w:rPr>
        <w:t>近年来，随着畜牧业和养殖业的快速发展以及人们对饲草品质认知的提高，饲用燕麦的种植面积不断增加。饲用燕麦种植是内蒙古的重要特色产业，优质饲用燕麦品种高效繁种生产将为内蒙古带来良好的生态效益、经济效益和社会效益，对美丽农村和牧区建设具有积极的推动作用。高效生产往往与优良的品种和先进的栽培技术密切相关。良种繁育是饲用燕麦生产全产业链的第二个关键环节。有品种没有能提供生产需要的足量种子，不同新品种的良种繁育技术集成应用不完善，种植区域基础设施薄弱，种植、收获、打碾、运输、储藏等生产过程中管理不善等，造成生产用种子不饱满、整齐度不一致、混杂退化等一系列问题。因此，需要严控种子质量。通过研发“良种良法”配套种子繁育技术，提高新品种的种子产量和质量，实现快速供种，确保为我国优质饲用燕麦生产持续提供良种。</w:t>
      </w:r>
    </w:p>
    <w:p w14:paraId="13E67C2D" w14:textId="77777777" w:rsidR="00B06E99" w:rsidRDefault="00000000">
      <w:pPr>
        <w:ind w:firstLineChars="200" w:firstLine="480"/>
        <w:rPr>
          <w:szCs w:val="24"/>
        </w:rPr>
      </w:pPr>
      <w:r>
        <w:rPr>
          <w:rFonts w:hint="eastAsia"/>
          <w:szCs w:val="24"/>
        </w:rPr>
        <w:t>我国《“十四五”全国饲草产业开展规划》指出，加速推进饲草良种扩繁。在甘肃河西走廊支持建设温带暖温带饲草繁种核心区，辐射带动内蒙古、青海、宁夏、新疆等地区，突出苜蓿、全株青贮玉米、饲用燕麦等重点品种。支持各地因地制宜建设区域性饲草繁种基地，聚焦主导品种，加快良种扩繁，提升区域内饲草供种能力和种子质量。</w:t>
      </w:r>
    </w:p>
    <w:p w14:paraId="0C369847" w14:textId="77777777" w:rsidR="00B06E99" w:rsidRDefault="00000000">
      <w:pPr>
        <w:ind w:firstLineChars="200" w:firstLine="480"/>
        <w:rPr>
          <w:szCs w:val="24"/>
        </w:rPr>
      </w:pPr>
      <w:r>
        <w:rPr>
          <w:szCs w:val="24"/>
        </w:rPr>
        <w:t xml:space="preserve"> “</w:t>
      </w:r>
      <w:r>
        <w:rPr>
          <w:rFonts w:hint="eastAsia"/>
          <w:szCs w:val="24"/>
        </w:rPr>
        <w:t>内蒙古中东部饲用燕麦良种繁育技术规程</w:t>
      </w:r>
      <w:r>
        <w:rPr>
          <w:szCs w:val="24"/>
        </w:rPr>
        <w:t>”</w:t>
      </w:r>
      <w:r>
        <w:rPr>
          <w:szCs w:val="24"/>
        </w:rPr>
        <w:t>的制定不仅是农业技术标准化的体现，更是国家粮食安全战略、生态治理和产业升级的重要抓手。通</w:t>
      </w:r>
      <w:r>
        <w:rPr>
          <w:rFonts w:hint="eastAsia"/>
          <w:szCs w:val="24"/>
        </w:rPr>
        <w:t>过高效繁种技术，可以提高饲用燕麦的产量和品质，从而增加种植户的经济效益。因此，应该加强饲用燕麦品种种子生产技术研究和推广，提高燕麦种子的生产效率和品质，</w:t>
      </w:r>
      <w:r>
        <w:rPr>
          <w:szCs w:val="24"/>
        </w:rPr>
        <w:t>为我国畜牧业可持续发展的关键支撑。</w:t>
      </w:r>
    </w:p>
    <w:p w14:paraId="257C8BAD" w14:textId="77777777" w:rsidR="00B06E99" w:rsidRDefault="00000000">
      <w:pPr>
        <w:pStyle w:val="1"/>
        <w:numPr>
          <w:ilvl w:val="0"/>
          <w:numId w:val="1"/>
        </w:numPr>
      </w:pPr>
      <w:bookmarkStart w:id="9" w:name="_Toc22682828"/>
      <w:bookmarkStart w:id="10" w:name="_Toc22674795"/>
      <w:bookmarkStart w:id="11" w:name="_Toc176456972"/>
      <w:bookmarkStart w:id="12" w:name="_Toc404077040"/>
      <w:bookmarkStart w:id="13" w:name="_Toc197503228"/>
      <w:r>
        <w:t>编制原则和依据</w:t>
      </w:r>
      <w:bookmarkEnd w:id="9"/>
      <w:bookmarkEnd w:id="10"/>
      <w:bookmarkEnd w:id="11"/>
      <w:bookmarkEnd w:id="12"/>
      <w:bookmarkEnd w:id="13"/>
    </w:p>
    <w:p w14:paraId="360721F2" w14:textId="77777777" w:rsidR="00B06E99" w:rsidRDefault="00000000">
      <w:pPr>
        <w:ind w:firstLineChars="200" w:firstLine="480"/>
        <w:rPr>
          <w:szCs w:val="24"/>
        </w:rPr>
      </w:pPr>
      <w:r>
        <w:rPr>
          <w:szCs w:val="24"/>
        </w:rPr>
        <w:t>本标准的编制原则是在本团队</w:t>
      </w:r>
      <w:r>
        <w:rPr>
          <w:rFonts w:hint="eastAsia"/>
          <w:szCs w:val="24"/>
        </w:rPr>
        <w:t>在项目支持下，近三年的</w:t>
      </w:r>
      <w:r>
        <w:rPr>
          <w:szCs w:val="24"/>
        </w:rPr>
        <w:t>研究基础上，</w:t>
      </w:r>
      <w:r>
        <w:rPr>
          <w:rFonts w:hint="eastAsia"/>
          <w:szCs w:val="24"/>
        </w:rPr>
        <w:t>总结多年的饲用燕麦种子生产技术经验，</w:t>
      </w:r>
      <w:r>
        <w:rPr>
          <w:szCs w:val="24"/>
        </w:rPr>
        <w:t>查阅国内外关于</w:t>
      </w:r>
      <w:r>
        <w:rPr>
          <w:rFonts w:hint="eastAsia"/>
          <w:szCs w:val="24"/>
        </w:rPr>
        <w:t>饲用燕麦良种扩繁有关技术</w:t>
      </w:r>
      <w:r>
        <w:rPr>
          <w:szCs w:val="24"/>
        </w:rPr>
        <w:t>资料，同时在</w:t>
      </w:r>
      <w:r>
        <w:rPr>
          <w:rFonts w:hint="eastAsia"/>
          <w:szCs w:val="24"/>
        </w:rPr>
        <w:t>内蒙古锡林郭勒盟乌拉盖地区试验示范基地进行了多年的</w:t>
      </w:r>
      <w:r>
        <w:rPr>
          <w:szCs w:val="24"/>
        </w:rPr>
        <w:t>相关试验，涉及</w:t>
      </w:r>
      <w:r>
        <w:rPr>
          <w:rFonts w:hint="eastAsia"/>
          <w:szCs w:val="24"/>
        </w:rPr>
        <w:t>饲用燕麦生产环境、地块选择、施肥整地、备种播种、田间管理、病虫害防治、种子收获、种子清选与贮藏和档案管理等</w:t>
      </w:r>
      <w:r>
        <w:rPr>
          <w:szCs w:val="24"/>
        </w:rPr>
        <w:t>内容，确保技术规程的科学性、实用性和可操作性。在编制过程中，我们严格遵循国家相关法律法规和行业标准，确保标准的合法性和权威性。同时，我们充分考虑</w:t>
      </w:r>
      <w:r>
        <w:rPr>
          <w:rFonts w:hint="eastAsia"/>
          <w:szCs w:val="24"/>
        </w:rPr>
        <w:t>内蒙古中东部</w:t>
      </w:r>
      <w:r>
        <w:rPr>
          <w:szCs w:val="24"/>
        </w:rPr>
        <w:t>地区的自然环境、气候条件以及</w:t>
      </w:r>
      <w:r>
        <w:rPr>
          <w:rFonts w:hint="eastAsia"/>
          <w:szCs w:val="24"/>
        </w:rPr>
        <w:t>饲用燕麦</w:t>
      </w:r>
      <w:r>
        <w:rPr>
          <w:szCs w:val="24"/>
        </w:rPr>
        <w:t>的生长特性，力求使标准更加贴近</w:t>
      </w:r>
      <w:r>
        <w:rPr>
          <w:rFonts w:hint="eastAsia"/>
          <w:szCs w:val="24"/>
        </w:rPr>
        <w:t>生产实践</w:t>
      </w:r>
      <w:r>
        <w:rPr>
          <w:szCs w:val="24"/>
        </w:rPr>
        <w:t>，便于推广和应用。此外，我们还积极借鉴国内外先进的</w:t>
      </w:r>
      <w:r>
        <w:rPr>
          <w:rFonts w:hint="eastAsia"/>
          <w:szCs w:val="24"/>
        </w:rPr>
        <w:t>饲用燕麦良种扩繁的</w:t>
      </w:r>
      <w:r>
        <w:rPr>
          <w:szCs w:val="24"/>
        </w:rPr>
        <w:t>栽培技术和管理经验，进行创新和完善，以期形成具有</w:t>
      </w:r>
      <w:r>
        <w:rPr>
          <w:rFonts w:hint="eastAsia"/>
          <w:szCs w:val="24"/>
        </w:rPr>
        <w:t>权威性和生产实践指导价值的饲用燕麦良种扩繁</w:t>
      </w:r>
      <w:r>
        <w:rPr>
          <w:szCs w:val="24"/>
        </w:rPr>
        <w:t>技术规程。</w:t>
      </w:r>
    </w:p>
    <w:p w14:paraId="4AAE204C" w14:textId="77777777" w:rsidR="00B06E99" w:rsidRDefault="00000000">
      <w:pPr>
        <w:ind w:firstLineChars="202" w:firstLine="485"/>
        <w:rPr>
          <w:rFonts w:asciiTheme="minorEastAsia" w:eastAsiaTheme="minorEastAsia" w:hAnsiTheme="minorEastAsia" w:hint="eastAsia"/>
          <w:szCs w:val="24"/>
        </w:rPr>
      </w:pPr>
      <w:r>
        <w:rPr>
          <w:rFonts w:asciiTheme="minorEastAsia" w:eastAsiaTheme="minorEastAsia" w:hAnsiTheme="minorEastAsia"/>
          <w:szCs w:val="24"/>
        </w:rPr>
        <w:t>标准按照GB/T 1.1-2020《标准化工作导则 第1部分：标准化文件的结构和起草规则》的要求和规定编写内容。在编制时基于</w:t>
      </w:r>
      <w:r>
        <w:rPr>
          <w:rFonts w:asciiTheme="minorEastAsia" w:eastAsiaTheme="minorEastAsia" w:hAnsiTheme="minorEastAsia" w:hint="eastAsia"/>
          <w:szCs w:val="24"/>
        </w:rPr>
        <w:t>近几年项目研究的</w:t>
      </w:r>
      <w:r>
        <w:rPr>
          <w:rFonts w:asciiTheme="minorEastAsia" w:eastAsiaTheme="minorEastAsia" w:hAnsiTheme="minorEastAsia"/>
          <w:szCs w:val="24"/>
        </w:rPr>
        <w:t>试验验证数据</w:t>
      </w:r>
      <w:r>
        <w:rPr>
          <w:rFonts w:asciiTheme="minorEastAsia" w:eastAsiaTheme="minorEastAsia" w:hAnsiTheme="minorEastAsia" w:hint="eastAsia"/>
          <w:szCs w:val="24"/>
        </w:rPr>
        <w:t>和多年的生产实践经验，</w:t>
      </w:r>
      <w:r>
        <w:rPr>
          <w:rFonts w:asciiTheme="minorEastAsia" w:eastAsiaTheme="minorEastAsia" w:hAnsiTheme="minorEastAsia"/>
          <w:szCs w:val="24"/>
        </w:rPr>
        <w:t>同时，</w:t>
      </w:r>
      <w:r>
        <w:rPr>
          <w:rFonts w:asciiTheme="minorEastAsia" w:eastAsiaTheme="minorEastAsia" w:hAnsiTheme="minorEastAsia" w:hint="eastAsia"/>
          <w:szCs w:val="24"/>
        </w:rPr>
        <w:t>结合已有文献数据进行深入分析、归纳、总结。</w:t>
      </w:r>
      <w:r>
        <w:rPr>
          <w:rFonts w:asciiTheme="minorEastAsia" w:eastAsiaTheme="minorEastAsia" w:hAnsiTheme="minorEastAsia"/>
          <w:szCs w:val="24"/>
        </w:rPr>
        <w:t>主要参考了</w:t>
      </w:r>
      <w:r>
        <w:rPr>
          <w:rFonts w:asciiTheme="minorEastAsia" w:eastAsiaTheme="minorEastAsia" w:hAnsiTheme="minorEastAsia" w:hint="eastAsia"/>
          <w:szCs w:val="24"/>
        </w:rPr>
        <w:t>《</w:t>
      </w:r>
      <w:r>
        <w:rPr>
          <w:rFonts w:ascii="华文宋体" w:eastAsia="华文宋体" w:hAnsi="华文宋体" w:hint="eastAsia"/>
        </w:rPr>
        <w:t>GB 5084</w:t>
      </w:r>
      <w:r>
        <w:rPr>
          <w:rFonts w:ascii="华文宋体" w:eastAsia="华文宋体" w:hAnsi="华文宋体" w:hint="eastAsia"/>
        </w:rPr>
        <w:tab/>
        <w:t>农田灌溉水质标准》、《GB/T 7414主要农作物种子包装》、《GB/T 7415农作物种子贮藏》、《GB/T 8321.8农药合理使用准则（八）》、《GB 15618土壤环境质量 农用地土壤污染风险管控标准（试行）》、《NY/T 496肥料合理使用准则通则》、《NY/T 1276农药安全使用规范总则》、《DB15/T 892燕麦良种繁育技术规程》、《DB15/T 3343饲用燕麦种子生产技术规程》、《T/IMAS2024—075饲用燕麦种子质量评定规范》</w:t>
      </w:r>
      <w:r>
        <w:rPr>
          <w:rFonts w:asciiTheme="minorEastAsia" w:eastAsiaTheme="minorEastAsia" w:hAnsiTheme="minorEastAsia" w:hint="eastAsia"/>
          <w:szCs w:val="24"/>
        </w:rPr>
        <w:t>，以及最新发表的相关文献。</w:t>
      </w:r>
    </w:p>
    <w:p w14:paraId="1519E638" w14:textId="77777777" w:rsidR="00B06E99" w:rsidRDefault="00000000">
      <w:pPr>
        <w:pStyle w:val="1"/>
        <w:rPr>
          <w:szCs w:val="28"/>
        </w:rPr>
      </w:pPr>
      <w:bookmarkStart w:id="14" w:name="_Toc197503229"/>
      <w:bookmarkStart w:id="15" w:name="_Toc176453393"/>
      <w:r>
        <w:rPr>
          <w:rFonts w:hint="eastAsia"/>
          <w:szCs w:val="28"/>
        </w:rPr>
        <w:t>四、主要工作过程</w:t>
      </w:r>
      <w:bookmarkEnd w:id="14"/>
      <w:bookmarkEnd w:id="15"/>
    </w:p>
    <w:p w14:paraId="1DA1A752" w14:textId="77777777" w:rsidR="00B06E99" w:rsidRDefault="00000000">
      <w:pPr>
        <w:outlineLvl w:val="1"/>
        <w:rPr>
          <w:b/>
          <w:bCs/>
        </w:rPr>
      </w:pPr>
      <w:bookmarkStart w:id="16" w:name="_Toc197503230"/>
      <w:r>
        <w:rPr>
          <w:rFonts w:hint="eastAsia"/>
          <w:b/>
          <w:bCs/>
        </w:rPr>
        <w:t xml:space="preserve">1. </w:t>
      </w:r>
      <w:r>
        <w:rPr>
          <w:rFonts w:hint="eastAsia"/>
          <w:b/>
          <w:bCs/>
        </w:rPr>
        <w:t>成立标准起草工作组</w:t>
      </w:r>
      <w:bookmarkEnd w:id="16"/>
    </w:p>
    <w:p w14:paraId="5D9CB85F" w14:textId="77777777" w:rsidR="00B06E99" w:rsidRDefault="00000000">
      <w:pPr>
        <w:ind w:firstLineChars="200" w:firstLine="480"/>
      </w:pPr>
      <w:r>
        <w:rPr>
          <w:rFonts w:hint="eastAsia"/>
          <w:szCs w:val="24"/>
        </w:rPr>
        <w:t>在农业农村部</w:t>
      </w:r>
      <w:r>
        <w:rPr>
          <w:rFonts w:hint="eastAsia"/>
          <w:szCs w:val="24"/>
        </w:rPr>
        <w:t xml:space="preserve"> </w:t>
      </w:r>
      <w:r>
        <w:rPr>
          <w:rFonts w:hint="eastAsia"/>
          <w:szCs w:val="24"/>
        </w:rPr>
        <w:t>“高产优质饲用燕麦新种源创制”项目开始后</w:t>
      </w:r>
      <w:r>
        <w:rPr>
          <w:rFonts w:hint="eastAsia"/>
        </w:rPr>
        <w:t>，于</w:t>
      </w:r>
      <w:r>
        <w:rPr>
          <w:rFonts w:hint="eastAsia"/>
        </w:rPr>
        <w:t>2023</w:t>
      </w:r>
      <w:r>
        <w:rPr>
          <w:rFonts w:hint="eastAsia"/>
        </w:rPr>
        <w:t>年</w:t>
      </w:r>
      <w:r>
        <w:rPr>
          <w:rFonts w:hint="eastAsia"/>
        </w:rPr>
        <w:t>1</w:t>
      </w:r>
      <w:r>
        <w:rPr>
          <w:rFonts w:hint="eastAsia"/>
        </w:rPr>
        <w:t>月组建了标准起草工作组，组织标准编制和协调工作。标准起草组认真学习了</w:t>
      </w:r>
      <w:r>
        <w:rPr>
          <w:rFonts w:hint="eastAsia"/>
        </w:rPr>
        <w:t xml:space="preserve"> GB/T 1.1</w:t>
      </w:r>
      <w:r>
        <w:rPr>
          <w:rFonts w:hint="eastAsia"/>
        </w:rPr>
        <w:t>—</w:t>
      </w:r>
      <w:r>
        <w:rPr>
          <w:rFonts w:hint="eastAsia"/>
        </w:rPr>
        <w:t>2020</w:t>
      </w:r>
      <w:r>
        <w:rPr>
          <w:rFonts w:hint="eastAsia"/>
        </w:rPr>
        <w:t>《标准化工作导则第</w:t>
      </w:r>
      <w:r>
        <w:rPr>
          <w:rFonts w:hint="eastAsia"/>
        </w:rPr>
        <w:t xml:space="preserve"> 1 </w:t>
      </w:r>
      <w:r>
        <w:rPr>
          <w:rFonts w:hint="eastAsia"/>
        </w:rPr>
        <w:t>部分：标准化文件的结构和起草规则》，同时制定了标准编制工作计划、编写大纲，明确任务分工和各阶段时间进度。</w:t>
      </w:r>
    </w:p>
    <w:p w14:paraId="605A0E91" w14:textId="77777777" w:rsidR="00B06E99" w:rsidRDefault="00000000">
      <w:pPr>
        <w:numPr>
          <w:ilvl w:val="0"/>
          <w:numId w:val="2"/>
        </w:numPr>
        <w:outlineLvl w:val="1"/>
        <w:rPr>
          <w:b/>
          <w:bCs/>
        </w:rPr>
      </w:pPr>
      <w:bookmarkStart w:id="17" w:name="_Toc197503231"/>
      <w:r>
        <w:rPr>
          <w:rFonts w:hint="eastAsia"/>
          <w:b/>
          <w:bCs/>
        </w:rPr>
        <w:t>资料收集分析、技术准备</w:t>
      </w:r>
      <w:bookmarkEnd w:id="17"/>
    </w:p>
    <w:p w14:paraId="79EDCCC1" w14:textId="77777777" w:rsidR="00B06E99" w:rsidRDefault="00000000">
      <w:pPr>
        <w:widowControl/>
        <w:ind w:firstLineChars="200" w:firstLine="480"/>
        <w:jc w:val="left"/>
      </w:pPr>
      <w:r>
        <w:t>基本思路：根据内蒙古自治区</w:t>
      </w:r>
      <w:r>
        <w:rPr>
          <w:rFonts w:hint="eastAsia"/>
        </w:rPr>
        <w:t>中东部地区</w:t>
      </w:r>
      <w:r>
        <w:t>饲用燕麦良种</w:t>
      </w:r>
      <w:r>
        <w:rPr>
          <w:rFonts w:hint="eastAsia"/>
        </w:rPr>
        <w:t>繁育</w:t>
      </w:r>
      <w:r>
        <w:t>的现状，通过标准起草人员的严</w:t>
      </w:r>
      <w:r>
        <w:rPr>
          <w:rFonts w:hint="eastAsia"/>
        </w:rPr>
        <w:t>谨论证并广泛的征求科技工作者、基层生产者的需求与意见，制定出科学性强、技术可操作性好的技术规程。</w:t>
      </w:r>
    </w:p>
    <w:p w14:paraId="32D50086" w14:textId="77777777" w:rsidR="00B06E99" w:rsidRDefault="00000000">
      <w:pPr>
        <w:widowControl/>
        <w:ind w:firstLineChars="200" w:firstLine="480"/>
        <w:jc w:val="left"/>
      </w:pPr>
      <w:r>
        <w:t>保障措施：人员和技术保障，起草人员团队为国内从事燕麦育种栽培研究的一线</w:t>
      </w:r>
      <w:r>
        <w:rPr>
          <w:rFonts w:hint="eastAsia"/>
        </w:rPr>
        <w:t>团队，在人员数量和科技水平方面能够满足标准制定的要求。平台和经费保障，依托在研</w:t>
      </w:r>
      <w:r>
        <w:rPr>
          <w:rFonts w:hint="eastAsia"/>
          <w:szCs w:val="24"/>
        </w:rPr>
        <w:t>“高产优质饲用燕麦新种源创制项目”</w:t>
      </w:r>
      <w:r>
        <w:rPr>
          <w:rFonts w:hint="eastAsia"/>
        </w:rPr>
        <w:t>的研发平台，能够保障验证试验、征求意见以及经费需要。</w:t>
      </w:r>
    </w:p>
    <w:p w14:paraId="3081EAA0" w14:textId="77777777" w:rsidR="00B06E99" w:rsidRDefault="00000000">
      <w:pPr>
        <w:numPr>
          <w:ilvl w:val="0"/>
          <w:numId w:val="2"/>
        </w:numPr>
        <w:outlineLvl w:val="1"/>
        <w:rPr>
          <w:b/>
          <w:bCs/>
        </w:rPr>
      </w:pPr>
      <w:bookmarkStart w:id="18" w:name="_Toc197503232"/>
      <w:r>
        <w:rPr>
          <w:rFonts w:hint="eastAsia"/>
          <w:b/>
          <w:bCs/>
        </w:rPr>
        <w:t>标准编写，形成技术规程草案</w:t>
      </w:r>
      <w:bookmarkEnd w:id="18"/>
    </w:p>
    <w:p w14:paraId="0312BCB8" w14:textId="77777777" w:rsidR="00B06E99" w:rsidRDefault="00000000">
      <w:pPr>
        <w:ind w:firstLineChars="200" w:firstLine="480"/>
      </w:pPr>
      <w:r>
        <w:rPr>
          <w:rFonts w:hint="eastAsia"/>
        </w:rPr>
        <w:t xml:space="preserve"> 2023</w:t>
      </w:r>
      <w:r>
        <w:rPr>
          <w:rFonts w:hint="eastAsia"/>
        </w:rPr>
        <w:t>年</w:t>
      </w:r>
      <w:r>
        <w:rPr>
          <w:rFonts w:hint="eastAsia"/>
        </w:rPr>
        <w:t>5</w:t>
      </w:r>
      <w:r>
        <w:rPr>
          <w:rFonts w:hint="eastAsia"/>
        </w:rPr>
        <w:t>月至</w:t>
      </w:r>
      <w:r>
        <w:rPr>
          <w:rFonts w:hint="eastAsia"/>
        </w:rPr>
        <w:t xml:space="preserve"> 2024</w:t>
      </w:r>
      <w:r>
        <w:rPr>
          <w:rFonts w:hint="eastAsia"/>
        </w:rPr>
        <w:t>年</w:t>
      </w:r>
      <w:r>
        <w:rPr>
          <w:rFonts w:hint="eastAsia"/>
        </w:rPr>
        <w:t>11</w:t>
      </w:r>
      <w:r>
        <w:rPr>
          <w:rFonts w:hint="eastAsia"/>
        </w:rPr>
        <w:t>月，在公司多年的饲用燕麦良种生产实践经验和前期大量研究试验总结的基础上，经过广泛调研、咨询，收集和查阅有关资料，</w:t>
      </w:r>
      <w:r>
        <w:rPr>
          <w:rFonts w:hint="eastAsia"/>
        </w:rPr>
        <w:t xml:space="preserve"> </w:t>
      </w:r>
      <w:r>
        <w:rPr>
          <w:rFonts w:hint="eastAsia"/>
        </w:rPr>
        <w:t>确定了标准起草的总体框架和主要内容，并编写完成了《内蒙古中东部地区饲用燕麦良种扩繁技术规程》的标准草案。</w:t>
      </w:r>
    </w:p>
    <w:p w14:paraId="00DE81FD" w14:textId="77777777" w:rsidR="00B06E99" w:rsidRDefault="00000000">
      <w:pPr>
        <w:ind w:firstLineChars="200" w:firstLine="480"/>
      </w:pPr>
      <w:r>
        <w:rPr>
          <w:rFonts w:hint="eastAsia"/>
        </w:rPr>
        <w:t>2024</w:t>
      </w:r>
      <w:r>
        <w:rPr>
          <w:rFonts w:hint="eastAsia"/>
        </w:rPr>
        <w:t>年</w:t>
      </w:r>
      <w:r>
        <w:rPr>
          <w:rFonts w:hint="eastAsia"/>
        </w:rPr>
        <w:t>11</w:t>
      </w:r>
      <w:r>
        <w:rPr>
          <w:rFonts w:hint="eastAsia"/>
        </w:rPr>
        <w:t>至</w:t>
      </w:r>
      <w:r>
        <w:rPr>
          <w:rFonts w:hint="eastAsia"/>
        </w:rPr>
        <w:t>2025</w:t>
      </w:r>
      <w:r>
        <w:rPr>
          <w:rFonts w:hint="eastAsia"/>
        </w:rPr>
        <w:t>年</w:t>
      </w:r>
      <w:r>
        <w:rPr>
          <w:rFonts w:hint="eastAsia"/>
        </w:rPr>
        <w:t>4</w:t>
      </w:r>
      <w:r>
        <w:rPr>
          <w:rFonts w:hint="eastAsia"/>
        </w:rPr>
        <w:t>月，编写征求意见稿标准文本，编写《编制说明》。</w:t>
      </w:r>
    </w:p>
    <w:p w14:paraId="732D81A7" w14:textId="77777777" w:rsidR="00B06E99" w:rsidRDefault="00000000">
      <w:pPr>
        <w:pStyle w:val="1"/>
        <w:rPr>
          <w:szCs w:val="28"/>
        </w:rPr>
      </w:pPr>
      <w:bookmarkStart w:id="19" w:name="_Toc176453397"/>
      <w:bookmarkStart w:id="20" w:name="_Toc197503233"/>
      <w:r>
        <w:rPr>
          <w:rFonts w:hint="eastAsia"/>
          <w:szCs w:val="28"/>
        </w:rPr>
        <w:t>五、主</w:t>
      </w:r>
      <w:r>
        <w:rPr>
          <w:szCs w:val="28"/>
        </w:rPr>
        <w:t>要技术内容确定的依据</w:t>
      </w:r>
      <w:bookmarkEnd w:id="19"/>
      <w:bookmarkEnd w:id="20"/>
    </w:p>
    <w:p w14:paraId="33D3E417" w14:textId="77777777" w:rsidR="00B06E99" w:rsidRDefault="00000000">
      <w:pPr>
        <w:numPr>
          <w:ilvl w:val="0"/>
          <w:numId w:val="3"/>
        </w:numPr>
        <w:outlineLvl w:val="1"/>
        <w:rPr>
          <w:b/>
          <w:bCs/>
        </w:rPr>
      </w:pPr>
      <w:bookmarkStart w:id="21" w:name="_Toc197503234"/>
      <w:r>
        <w:rPr>
          <w:rFonts w:hint="eastAsia"/>
          <w:b/>
          <w:bCs/>
        </w:rPr>
        <w:t>适用范围</w:t>
      </w:r>
      <w:bookmarkEnd w:id="21"/>
    </w:p>
    <w:p w14:paraId="62E219E6" w14:textId="77777777" w:rsidR="00B06E99" w:rsidRDefault="00000000">
      <w:pPr>
        <w:ind w:firstLineChars="200" w:firstLine="480"/>
      </w:pPr>
      <w:r>
        <w:rPr>
          <w:rFonts w:hint="eastAsia"/>
        </w:rPr>
        <w:t>本标准规定了饲用燕麦良种繁育的</w:t>
      </w:r>
      <w:r>
        <w:rPr>
          <w:rFonts w:ascii="华文宋体" w:eastAsia="华文宋体" w:hAnsi="华文宋体" w:hint="eastAsia"/>
        </w:rPr>
        <w:t>地块选择、整地与隔离、播种准备、田间管理、收获、种子质量检验、包装、贮藏和档案管理</w:t>
      </w:r>
      <w:r>
        <w:rPr>
          <w:rFonts w:hint="eastAsia"/>
        </w:rPr>
        <w:t>等技术要求。该标准适用于内蒙古中东部地区饲用燕麦良种扩繁。为实现饲用燕麦种子良种扩繁生产企业技术管理工作规范化、程序化和标准化，制定本标准。本标准为内蒙古中东部地区饲用燕麦良种扩繁提供技术支持、生产管理依据和行业参考。旨在通过科学的管理措施，提高饲用燕麦种子的产量和质量，降低成本，促进草种业及畜牧业的发展。</w:t>
      </w:r>
    </w:p>
    <w:p w14:paraId="17087AB4" w14:textId="77777777" w:rsidR="00B06E99" w:rsidRDefault="00000000">
      <w:pPr>
        <w:numPr>
          <w:ilvl w:val="0"/>
          <w:numId w:val="3"/>
        </w:numPr>
        <w:outlineLvl w:val="1"/>
        <w:rPr>
          <w:b/>
          <w:bCs/>
        </w:rPr>
      </w:pPr>
      <w:bookmarkStart w:id="22" w:name="_Toc197503235"/>
      <w:r>
        <w:rPr>
          <w:b/>
          <w:bCs/>
        </w:rPr>
        <w:t>规范性引用文件</w:t>
      </w:r>
      <w:bookmarkEnd w:id="22"/>
    </w:p>
    <w:p w14:paraId="3B57FF51" w14:textId="77777777" w:rsidR="00B06E99" w:rsidRDefault="00000000">
      <w:pPr>
        <w:ind w:firstLineChars="200" w:firstLine="480"/>
      </w:pPr>
      <w:r>
        <w:rPr>
          <w:rFonts w:hint="eastAsia"/>
        </w:rPr>
        <w:t>本标准</w:t>
      </w:r>
      <w:r>
        <w:t>主要参考了</w:t>
      </w:r>
      <w:r>
        <w:rPr>
          <w:rFonts w:asciiTheme="minorEastAsia" w:eastAsiaTheme="minorEastAsia" w:hAnsiTheme="minorEastAsia" w:hint="eastAsia"/>
          <w:szCs w:val="24"/>
        </w:rPr>
        <w:t>《</w:t>
      </w:r>
      <w:r>
        <w:rPr>
          <w:rFonts w:ascii="华文宋体" w:eastAsia="华文宋体" w:hAnsi="华文宋体" w:hint="eastAsia"/>
        </w:rPr>
        <w:t>GB 5084农田灌溉水质标准》、《GB/T 7414</w:t>
      </w:r>
      <w:r>
        <w:rPr>
          <w:rFonts w:ascii="华文宋体" w:eastAsia="华文宋体" w:hAnsi="华文宋体" w:hint="eastAsia"/>
        </w:rPr>
        <w:tab/>
        <w:t>主要农作物种子包装》、《GB/T 7415农作物种子贮藏》、《GB/T 8321.8农药合理使用准则（八）》、《GB 15618土壤环境质量农用地土壤污染风险管控标准（试行）》、《NY/T 496肥料合理使用准则通则》、《NY/T 1276农药安全使用规范总则》、《DB15/T 892燕麦良种繁育技术规程》、《DB15/T 3343饲用燕麦种子生产技术规程》、《T/IMAS2024—075饲用燕麦种子质量评定规范》。</w:t>
      </w:r>
    </w:p>
    <w:p w14:paraId="39EA9B8C" w14:textId="77777777" w:rsidR="00B06E99" w:rsidRDefault="00000000">
      <w:pPr>
        <w:numPr>
          <w:ilvl w:val="0"/>
          <w:numId w:val="3"/>
        </w:numPr>
        <w:outlineLvl w:val="1"/>
        <w:rPr>
          <w:b/>
          <w:bCs/>
        </w:rPr>
      </w:pPr>
      <w:bookmarkStart w:id="23" w:name="_Toc197503236"/>
      <w:r>
        <w:rPr>
          <w:b/>
          <w:bCs/>
        </w:rPr>
        <w:t>主要技术指标确定的依据</w:t>
      </w:r>
      <w:bookmarkEnd w:id="23"/>
    </w:p>
    <w:p w14:paraId="785E0A85" w14:textId="77777777" w:rsidR="00B06E99" w:rsidRDefault="00000000">
      <w:pPr>
        <w:ind w:firstLine="480"/>
      </w:pPr>
      <w:r>
        <w:rPr>
          <w:rFonts w:hint="eastAsia"/>
        </w:rPr>
        <w:t>编写组致力于内蒙古中东部地区饲用燕麦良种繁育技术规程及示范推广工作。确定饲用燕麦良种扩繁技术规程。</w:t>
      </w:r>
    </w:p>
    <w:p w14:paraId="4AC68727" w14:textId="77777777" w:rsidR="00B06E99" w:rsidRDefault="00000000">
      <w:pPr>
        <w:ind w:firstLine="480"/>
      </w:pPr>
      <w:bookmarkStart w:id="24" w:name="_Toc197503237"/>
      <w:bookmarkStart w:id="25" w:name="_Toc176547937"/>
      <w:r>
        <w:rPr>
          <w:rFonts w:hint="eastAsia"/>
        </w:rPr>
        <w:t>为探索和研究更适宜内蒙古中东部地区气候的饲用燕麦栽培技术，国麦农业</w:t>
      </w:r>
      <w:r>
        <w:rPr>
          <w:rFonts w:hint="eastAsia"/>
        </w:rPr>
        <w:t>2022-2024</w:t>
      </w:r>
      <w:r>
        <w:rPr>
          <w:rFonts w:hint="eastAsia"/>
        </w:rPr>
        <w:t>年在内蒙古锡林郭勒盟乌拉盖地区开展“三因素三水平正交试验”。</w:t>
      </w:r>
      <w:r>
        <w:rPr>
          <w:rFonts w:hint="eastAsia"/>
        </w:rPr>
        <w:t xml:space="preserve"> </w:t>
      </w:r>
    </w:p>
    <w:p w14:paraId="3D3BC04E" w14:textId="77777777" w:rsidR="00B06E99" w:rsidRDefault="00000000">
      <w:pPr>
        <w:ind w:firstLine="480"/>
      </w:pPr>
      <w:r>
        <w:rPr>
          <w:rFonts w:hint="eastAsia"/>
        </w:rPr>
        <w:t>供试品种</w:t>
      </w:r>
      <w:r>
        <w:rPr>
          <w:rFonts w:hint="eastAsia"/>
        </w:rPr>
        <w:t>(</w:t>
      </w:r>
      <w:r>
        <w:rPr>
          <w:rFonts w:hint="eastAsia"/>
        </w:rPr>
        <w:t>系</w:t>
      </w:r>
      <w:r>
        <w:rPr>
          <w:rFonts w:hint="eastAsia"/>
        </w:rPr>
        <w:t xml:space="preserve">) </w:t>
      </w:r>
      <w:r>
        <w:rPr>
          <w:rFonts w:hint="eastAsia"/>
        </w:rPr>
        <w:t>：供试品种</w:t>
      </w:r>
      <w:r>
        <w:rPr>
          <w:rFonts w:hint="eastAsia"/>
        </w:rPr>
        <w:t xml:space="preserve"> </w:t>
      </w:r>
      <w:r>
        <w:rPr>
          <w:rFonts w:hint="eastAsia"/>
        </w:rPr>
        <w:t>为“蒙饲燕</w:t>
      </w:r>
      <w:r>
        <w:rPr>
          <w:rFonts w:hint="eastAsia"/>
        </w:rPr>
        <w:t xml:space="preserve"> 6 </w:t>
      </w:r>
      <w:r>
        <w:rPr>
          <w:rFonts w:hint="eastAsia"/>
        </w:rPr>
        <w:t>号”。</w:t>
      </w:r>
      <w:r>
        <w:rPr>
          <w:rFonts w:hint="eastAsia"/>
        </w:rPr>
        <w:t xml:space="preserve"> </w:t>
      </w:r>
    </w:p>
    <w:p w14:paraId="384D41B5" w14:textId="77777777" w:rsidR="00B06E99" w:rsidRDefault="00000000">
      <w:pPr>
        <w:ind w:firstLine="480"/>
      </w:pPr>
      <w:r>
        <w:rPr>
          <w:rFonts w:hint="eastAsia"/>
        </w:rPr>
        <w:t>试验设计：本试验采用随机区组排列，重复</w:t>
      </w:r>
      <w:r>
        <w:rPr>
          <w:rFonts w:hint="eastAsia"/>
        </w:rPr>
        <w:t>3</w:t>
      </w:r>
      <w:r>
        <w:rPr>
          <w:rFonts w:hint="eastAsia"/>
        </w:rPr>
        <w:t>次，小区面积</w:t>
      </w:r>
      <w:r>
        <w:rPr>
          <w:rFonts w:hint="eastAsia"/>
        </w:rPr>
        <w:t>12</w:t>
      </w:r>
      <w:r>
        <w:rPr>
          <w:rFonts w:hint="eastAsia"/>
        </w:rPr>
        <w:t>平方米，</w:t>
      </w:r>
      <w:r>
        <w:rPr>
          <w:rFonts w:hint="eastAsia"/>
        </w:rPr>
        <w:t>8</w:t>
      </w:r>
      <w:r>
        <w:rPr>
          <w:rFonts w:hint="eastAsia"/>
        </w:rPr>
        <w:t>行区，行长</w:t>
      </w:r>
      <w:r>
        <w:rPr>
          <w:rFonts w:hint="eastAsia"/>
        </w:rPr>
        <w:t>5</w:t>
      </w:r>
      <w:r>
        <w:rPr>
          <w:rFonts w:hint="eastAsia"/>
        </w:rPr>
        <w:t>米，行宽</w:t>
      </w:r>
      <w:r>
        <w:rPr>
          <w:rFonts w:hint="eastAsia"/>
        </w:rPr>
        <w:t>0.3</w:t>
      </w:r>
      <w:r>
        <w:rPr>
          <w:rFonts w:hint="eastAsia"/>
        </w:rPr>
        <w:t>米。试验因素设有播种期、播种量，施种肥量；播种量按千粒重，发芽率计算。其中播种期（</w:t>
      </w:r>
      <w:r>
        <w:rPr>
          <w:rFonts w:hint="eastAsia"/>
        </w:rPr>
        <w:t>A</w:t>
      </w:r>
      <w:r>
        <w:rPr>
          <w:rFonts w:hint="eastAsia"/>
        </w:rPr>
        <w:t>）分别为</w:t>
      </w:r>
      <w:r>
        <w:rPr>
          <w:rFonts w:hint="eastAsia"/>
        </w:rPr>
        <w:t>5</w:t>
      </w:r>
      <w:r>
        <w:rPr>
          <w:rFonts w:hint="eastAsia"/>
        </w:rPr>
        <w:t>月</w:t>
      </w:r>
      <w:r>
        <w:rPr>
          <w:rFonts w:hint="eastAsia"/>
        </w:rPr>
        <w:t>22</w:t>
      </w:r>
      <w:r>
        <w:rPr>
          <w:rFonts w:hint="eastAsia"/>
        </w:rPr>
        <w:t>日、</w:t>
      </w:r>
      <w:r>
        <w:rPr>
          <w:rFonts w:hint="eastAsia"/>
        </w:rPr>
        <w:t>5</w:t>
      </w:r>
      <w:r>
        <w:rPr>
          <w:rFonts w:hint="eastAsia"/>
        </w:rPr>
        <w:t>月</w:t>
      </w:r>
      <w:r>
        <w:rPr>
          <w:rFonts w:hint="eastAsia"/>
        </w:rPr>
        <w:t>29</w:t>
      </w:r>
      <w:r>
        <w:rPr>
          <w:rFonts w:hint="eastAsia"/>
        </w:rPr>
        <w:t>日和</w:t>
      </w:r>
      <w:r>
        <w:rPr>
          <w:rFonts w:hint="eastAsia"/>
        </w:rPr>
        <w:t>6</w:t>
      </w:r>
      <w:r>
        <w:rPr>
          <w:rFonts w:hint="eastAsia"/>
        </w:rPr>
        <w:t>月</w:t>
      </w:r>
      <w:r>
        <w:rPr>
          <w:rFonts w:hint="eastAsia"/>
        </w:rPr>
        <w:t>5</w:t>
      </w:r>
      <w:r>
        <w:rPr>
          <w:rFonts w:hint="eastAsia"/>
        </w:rPr>
        <w:t>日，分别记为</w:t>
      </w:r>
      <w:r>
        <w:rPr>
          <w:rFonts w:hint="eastAsia"/>
        </w:rPr>
        <w:t>A1</w:t>
      </w:r>
      <w:r>
        <w:rPr>
          <w:rFonts w:hint="eastAsia"/>
        </w:rPr>
        <w:t>、</w:t>
      </w:r>
      <w:r>
        <w:rPr>
          <w:rFonts w:hint="eastAsia"/>
        </w:rPr>
        <w:t>A2</w:t>
      </w:r>
      <w:r>
        <w:rPr>
          <w:rFonts w:hint="eastAsia"/>
        </w:rPr>
        <w:t>和</w:t>
      </w:r>
      <w:r>
        <w:rPr>
          <w:rFonts w:hint="eastAsia"/>
        </w:rPr>
        <w:t>A3</w:t>
      </w:r>
      <w:r>
        <w:rPr>
          <w:rFonts w:hint="eastAsia"/>
        </w:rPr>
        <w:t>；播种量（</w:t>
      </w:r>
      <w:r>
        <w:rPr>
          <w:rFonts w:hint="eastAsia"/>
        </w:rPr>
        <w:t>B</w:t>
      </w:r>
      <w:r>
        <w:rPr>
          <w:rFonts w:hint="eastAsia"/>
        </w:rPr>
        <w:t>）分别为亩播种子</w:t>
      </w:r>
      <w:r>
        <w:rPr>
          <w:rFonts w:hint="eastAsia"/>
        </w:rPr>
        <w:t>10kg</w:t>
      </w:r>
      <w:r>
        <w:rPr>
          <w:rFonts w:hint="eastAsia"/>
        </w:rPr>
        <w:t>、</w:t>
      </w:r>
      <w:r>
        <w:rPr>
          <w:rFonts w:hint="eastAsia"/>
        </w:rPr>
        <w:t xml:space="preserve">12.5kg </w:t>
      </w:r>
      <w:r>
        <w:rPr>
          <w:rFonts w:hint="eastAsia"/>
        </w:rPr>
        <w:t>和</w:t>
      </w:r>
      <w:r>
        <w:rPr>
          <w:rFonts w:hint="eastAsia"/>
        </w:rPr>
        <w:t xml:space="preserve"> 15kg</w:t>
      </w:r>
      <w:r>
        <w:rPr>
          <w:rFonts w:hint="eastAsia"/>
        </w:rPr>
        <w:t>，分别记为</w:t>
      </w:r>
      <w:r>
        <w:rPr>
          <w:rFonts w:hint="eastAsia"/>
        </w:rPr>
        <w:t>B1</w:t>
      </w:r>
      <w:r>
        <w:rPr>
          <w:rFonts w:hint="eastAsia"/>
        </w:rPr>
        <w:t>、</w:t>
      </w:r>
      <w:r>
        <w:rPr>
          <w:rFonts w:hint="eastAsia"/>
        </w:rPr>
        <w:t>B2</w:t>
      </w:r>
      <w:r>
        <w:rPr>
          <w:rFonts w:hint="eastAsia"/>
        </w:rPr>
        <w:t>和</w:t>
      </w:r>
      <w:r>
        <w:rPr>
          <w:rFonts w:hint="eastAsia"/>
        </w:rPr>
        <w:t>B3</w:t>
      </w:r>
      <w:r>
        <w:rPr>
          <w:rFonts w:hint="eastAsia"/>
        </w:rPr>
        <w:t>；施种肥量（</w:t>
      </w:r>
      <w:r>
        <w:rPr>
          <w:rFonts w:hint="eastAsia"/>
        </w:rPr>
        <w:t>C</w:t>
      </w:r>
      <w:r>
        <w:rPr>
          <w:rFonts w:hint="eastAsia"/>
        </w:rPr>
        <w:t>）分别为亩施肥磷酸二铵</w:t>
      </w:r>
      <w:r>
        <w:rPr>
          <w:rFonts w:hint="eastAsia"/>
        </w:rPr>
        <w:t>7.5kg</w:t>
      </w:r>
      <w:r>
        <w:rPr>
          <w:rFonts w:hint="eastAsia"/>
        </w:rPr>
        <w:t>、</w:t>
      </w:r>
      <w:r>
        <w:rPr>
          <w:rFonts w:hint="eastAsia"/>
        </w:rPr>
        <w:t>10kg</w:t>
      </w:r>
      <w:r>
        <w:rPr>
          <w:rFonts w:hint="eastAsia"/>
        </w:rPr>
        <w:t>和</w:t>
      </w:r>
      <w:r>
        <w:rPr>
          <w:rFonts w:hint="eastAsia"/>
        </w:rPr>
        <w:t>12.5kg</w:t>
      </w:r>
      <w:r>
        <w:rPr>
          <w:rFonts w:hint="eastAsia"/>
        </w:rPr>
        <w:t>，分别记为</w:t>
      </w:r>
      <w:r>
        <w:rPr>
          <w:rFonts w:hint="eastAsia"/>
        </w:rPr>
        <w:t>C1</w:t>
      </w:r>
      <w:r>
        <w:rPr>
          <w:rFonts w:hint="eastAsia"/>
        </w:rPr>
        <w:t>、</w:t>
      </w:r>
      <w:r>
        <w:rPr>
          <w:rFonts w:hint="eastAsia"/>
        </w:rPr>
        <w:t>C2</w:t>
      </w:r>
      <w:r>
        <w:rPr>
          <w:rFonts w:hint="eastAsia"/>
        </w:rPr>
        <w:t>和</w:t>
      </w:r>
      <w:r>
        <w:rPr>
          <w:rFonts w:hint="eastAsia"/>
        </w:rPr>
        <w:t>C3</w:t>
      </w:r>
      <w:r>
        <w:rPr>
          <w:rFonts w:hint="eastAsia"/>
        </w:rPr>
        <w:t>。</w:t>
      </w:r>
      <w:r>
        <w:rPr>
          <w:rFonts w:hint="eastAsia"/>
        </w:rPr>
        <w:t xml:space="preserve"> </w:t>
      </w:r>
    </w:p>
    <w:p w14:paraId="06DEA0A3" w14:textId="77777777" w:rsidR="00B06E99" w:rsidRDefault="00000000">
      <w:pPr>
        <w:ind w:firstLine="480"/>
      </w:pPr>
      <w:r>
        <w:rPr>
          <w:rFonts w:hint="eastAsia"/>
        </w:rPr>
        <w:t>试验设计如下：</w:t>
      </w:r>
      <w:r>
        <w:rPr>
          <w:rFonts w:hint="eastAsia"/>
        </w:rPr>
        <w:t xml:space="preserve"> </w:t>
      </w:r>
    </w:p>
    <w:p w14:paraId="25C54590" w14:textId="77777777" w:rsidR="00B06E99" w:rsidRDefault="00000000">
      <w:pPr>
        <w:jc w:val="center"/>
        <w:rPr>
          <w:rFonts w:ascii="仿宋" w:eastAsia="仿宋" w:hAnsi="仿宋" w:hint="eastAsia"/>
          <w:b/>
          <w:sz w:val="21"/>
        </w:rPr>
      </w:pPr>
      <w:r>
        <w:rPr>
          <w:rFonts w:ascii="仿宋" w:eastAsia="仿宋" w:hAnsi="仿宋" w:hint="eastAsia"/>
          <w:b/>
          <w:sz w:val="21"/>
        </w:rPr>
        <w:t>表1  三因素三水平正交试验表</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2112"/>
        <w:gridCol w:w="2207"/>
        <w:gridCol w:w="2330"/>
      </w:tblGrid>
      <w:tr w:rsidR="00B06E99" w14:paraId="7BBFD1C9" w14:textId="77777777">
        <w:trPr>
          <w:trHeight w:val="364"/>
          <w:jc w:val="center"/>
        </w:trPr>
        <w:tc>
          <w:tcPr>
            <w:tcW w:w="742" w:type="pct"/>
            <w:tcBorders>
              <w:top w:val="single" w:sz="4" w:space="0" w:color="000000"/>
              <w:left w:val="nil"/>
              <w:bottom w:val="single" w:sz="4" w:space="0" w:color="000000"/>
              <w:right w:val="nil"/>
            </w:tcBorders>
            <w:shd w:val="clear" w:color="auto" w:fill="auto"/>
          </w:tcPr>
          <w:p w14:paraId="1C0A6F92" w14:textId="77777777" w:rsidR="00B06E99" w:rsidRDefault="00000000">
            <w:pPr>
              <w:spacing w:line="240" w:lineRule="auto"/>
              <w:rPr>
                <w:rFonts w:ascii="仿宋" w:eastAsia="仿宋" w:hAnsi="仿宋" w:cs="宋体" w:hint="eastAsia"/>
                <w:b/>
                <w:bCs/>
                <w:szCs w:val="24"/>
              </w:rPr>
            </w:pPr>
            <w:r>
              <w:rPr>
                <w:rFonts w:ascii="仿宋" w:eastAsia="仿宋" w:hAnsi="仿宋" w:cs="宋体" w:hint="eastAsia"/>
                <w:b/>
                <w:bCs/>
                <w:szCs w:val="24"/>
              </w:rPr>
              <w:t>组号</w:t>
            </w:r>
          </w:p>
        </w:tc>
        <w:tc>
          <w:tcPr>
            <w:tcW w:w="1352" w:type="pct"/>
            <w:tcBorders>
              <w:top w:val="single" w:sz="4" w:space="0" w:color="000000"/>
              <w:left w:val="nil"/>
              <w:bottom w:val="single" w:sz="4" w:space="0" w:color="000000"/>
              <w:right w:val="nil"/>
            </w:tcBorders>
            <w:shd w:val="clear" w:color="auto" w:fill="auto"/>
          </w:tcPr>
          <w:p w14:paraId="5766E7BD" w14:textId="77777777" w:rsidR="00B06E99" w:rsidRDefault="00000000">
            <w:pPr>
              <w:spacing w:line="240" w:lineRule="auto"/>
              <w:rPr>
                <w:rFonts w:ascii="仿宋" w:eastAsia="仿宋" w:hAnsi="仿宋" w:cs="宋体" w:hint="eastAsia"/>
                <w:b/>
                <w:bCs/>
                <w:szCs w:val="24"/>
              </w:rPr>
            </w:pPr>
            <w:r>
              <w:rPr>
                <w:rFonts w:ascii="仿宋" w:eastAsia="仿宋" w:hAnsi="仿宋" w:cs="宋体" w:hint="eastAsia"/>
                <w:b/>
                <w:bCs/>
                <w:szCs w:val="24"/>
              </w:rPr>
              <w:t>播种期（A）</w:t>
            </w:r>
          </w:p>
        </w:tc>
        <w:tc>
          <w:tcPr>
            <w:tcW w:w="1413" w:type="pct"/>
            <w:tcBorders>
              <w:top w:val="single" w:sz="4" w:space="0" w:color="000000"/>
              <w:left w:val="nil"/>
              <w:bottom w:val="single" w:sz="4" w:space="0" w:color="000000"/>
              <w:right w:val="nil"/>
            </w:tcBorders>
            <w:shd w:val="clear" w:color="auto" w:fill="auto"/>
          </w:tcPr>
          <w:p w14:paraId="21D5243D" w14:textId="77777777" w:rsidR="00B06E99" w:rsidRDefault="00000000">
            <w:pPr>
              <w:spacing w:line="240" w:lineRule="auto"/>
              <w:rPr>
                <w:rFonts w:ascii="仿宋" w:eastAsia="仿宋" w:hAnsi="仿宋" w:cs="宋体" w:hint="eastAsia"/>
                <w:b/>
                <w:bCs/>
                <w:szCs w:val="24"/>
              </w:rPr>
            </w:pPr>
            <w:r>
              <w:rPr>
                <w:rFonts w:ascii="仿宋" w:eastAsia="仿宋" w:hAnsi="仿宋" w:cs="宋体" w:hint="eastAsia"/>
                <w:b/>
                <w:bCs/>
                <w:szCs w:val="24"/>
              </w:rPr>
              <w:t>播种量（B）</w:t>
            </w:r>
          </w:p>
        </w:tc>
        <w:tc>
          <w:tcPr>
            <w:tcW w:w="1492" w:type="pct"/>
            <w:tcBorders>
              <w:top w:val="single" w:sz="4" w:space="0" w:color="000000"/>
              <w:left w:val="nil"/>
              <w:bottom w:val="single" w:sz="4" w:space="0" w:color="000000"/>
              <w:right w:val="nil"/>
            </w:tcBorders>
            <w:shd w:val="clear" w:color="auto" w:fill="auto"/>
          </w:tcPr>
          <w:p w14:paraId="08DC0531" w14:textId="77777777" w:rsidR="00B06E99" w:rsidRDefault="00000000">
            <w:pPr>
              <w:spacing w:line="240" w:lineRule="auto"/>
              <w:rPr>
                <w:rFonts w:ascii="仿宋" w:eastAsia="仿宋" w:hAnsi="仿宋" w:cs="宋体" w:hint="eastAsia"/>
                <w:b/>
                <w:bCs/>
                <w:szCs w:val="24"/>
              </w:rPr>
            </w:pPr>
            <w:r>
              <w:rPr>
                <w:rFonts w:ascii="仿宋" w:eastAsia="仿宋" w:hAnsi="仿宋" w:cs="宋体" w:hint="eastAsia"/>
                <w:b/>
                <w:bCs/>
                <w:szCs w:val="24"/>
              </w:rPr>
              <w:t>施种肥量（C）</w:t>
            </w:r>
          </w:p>
        </w:tc>
      </w:tr>
      <w:tr w:rsidR="00B06E99" w14:paraId="01AD103E" w14:textId="77777777">
        <w:trPr>
          <w:trHeight w:val="88"/>
          <w:jc w:val="center"/>
        </w:trPr>
        <w:tc>
          <w:tcPr>
            <w:tcW w:w="742" w:type="pct"/>
            <w:tcBorders>
              <w:top w:val="single" w:sz="4" w:space="0" w:color="000000"/>
              <w:left w:val="nil"/>
              <w:bottom w:val="nil"/>
              <w:right w:val="nil"/>
            </w:tcBorders>
            <w:shd w:val="clear" w:color="auto" w:fill="auto"/>
          </w:tcPr>
          <w:p w14:paraId="08DFF393"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1</w:t>
            </w:r>
          </w:p>
        </w:tc>
        <w:tc>
          <w:tcPr>
            <w:tcW w:w="1352" w:type="pct"/>
            <w:tcBorders>
              <w:top w:val="single" w:sz="4" w:space="0" w:color="000000"/>
              <w:left w:val="nil"/>
              <w:bottom w:val="nil"/>
              <w:right w:val="nil"/>
            </w:tcBorders>
            <w:shd w:val="clear" w:color="auto" w:fill="auto"/>
          </w:tcPr>
          <w:p w14:paraId="12900314"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A1</w:t>
            </w:r>
          </w:p>
        </w:tc>
        <w:tc>
          <w:tcPr>
            <w:tcW w:w="1413" w:type="pct"/>
            <w:tcBorders>
              <w:top w:val="single" w:sz="4" w:space="0" w:color="000000"/>
              <w:left w:val="nil"/>
              <w:bottom w:val="nil"/>
              <w:right w:val="nil"/>
            </w:tcBorders>
            <w:shd w:val="clear" w:color="auto" w:fill="auto"/>
          </w:tcPr>
          <w:p w14:paraId="39D2E457"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B1</w:t>
            </w:r>
          </w:p>
        </w:tc>
        <w:tc>
          <w:tcPr>
            <w:tcW w:w="1492" w:type="pct"/>
            <w:tcBorders>
              <w:top w:val="single" w:sz="4" w:space="0" w:color="000000"/>
              <w:left w:val="nil"/>
              <w:bottom w:val="nil"/>
              <w:right w:val="nil"/>
            </w:tcBorders>
            <w:shd w:val="clear" w:color="auto" w:fill="auto"/>
          </w:tcPr>
          <w:p w14:paraId="6A8EC1C8"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C1</w:t>
            </w:r>
          </w:p>
        </w:tc>
      </w:tr>
      <w:tr w:rsidR="00B06E99" w14:paraId="46AA2434" w14:textId="77777777">
        <w:trPr>
          <w:trHeight w:val="271"/>
          <w:jc w:val="center"/>
        </w:trPr>
        <w:tc>
          <w:tcPr>
            <w:tcW w:w="742" w:type="pct"/>
            <w:tcBorders>
              <w:top w:val="nil"/>
              <w:left w:val="nil"/>
              <w:bottom w:val="nil"/>
              <w:right w:val="nil"/>
            </w:tcBorders>
            <w:shd w:val="clear" w:color="auto" w:fill="auto"/>
          </w:tcPr>
          <w:p w14:paraId="6754D44B"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2</w:t>
            </w:r>
          </w:p>
        </w:tc>
        <w:tc>
          <w:tcPr>
            <w:tcW w:w="1352" w:type="pct"/>
            <w:tcBorders>
              <w:top w:val="nil"/>
              <w:left w:val="nil"/>
              <w:bottom w:val="nil"/>
              <w:right w:val="nil"/>
            </w:tcBorders>
            <w:shd w:val="clear" w:color="auto" w:fill="auto"/>
          </w:tcPr>
          <w:p w14:paraId="3C611CD0"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A1</w:t>
            </w:r>
          </w:p>
        </w:tc>
        <w:tc>
          <w:tcPr>
            <w:tcW w:w="1413" w:type="pct"/>
            <w:tcBorders>
              <w:top w:val="nil"/>
              <w:left w:val="nil"/>
              <w:bottom w:val="nil"/>
              <w:right w:val="nil"/>
            </w:tcBorders>
            <w:shd w:val="clear" w:color="auto" w:fill="auto"/>
          </w:tcPr>
          <w:p w14:paraId="749B20B1"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B2</w:t>
            </w:r>
          </w:p>
        </w:tc>
        <w:tc>
          <w:tcPr>
            <w:tcW w:w="1492" w:type="pct"/>
            <w:tcBorders>
              <w:top w:val="nil"/>
              <w:left w:val="nil"/>
              <w:bottom w:val="nil"/>
              <w:right w:val="nil"/>
            </w:tcBorders>
            <w:shd w:val="clear" w:color="auto" w:fill="auto"/>
          </w:tcPr>
          <w:p w14:paraId="7E420AED"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C2</w:t>
            </w:r>
          </w:p>
        </w:tc>
      </w:tr>
      <w:tr w:rsidR="00B06E99" w14:paraId="6DCC5C26" w14:textId="77777777">
        <w:trPr>
          <w:trHeight w:val="260"/>
          <w:jc w:val="center"/>
        </w:trPr>
        <w:tc>
          <w:tcPr>
            <w:tcW w:w="742" w:type="pct"/>
            <w:tcBorders>
              <w:top w:val="nil"/>
              <w:left w:val="nil"/>
              <w:bottom w:val="nil"/>
              <w:right w:val="nil"/>
            </w:tcBorders>
            <w:shd w:val="clear" w:color="auto" w:fill="auto"/>
          </w:tcPr>
          <w:p w14:paraId="083BAD58"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3</w:t>
            </w:r>
          </w:p>
        </w:tc>
        <w:tc>
          <w:tcPr>
            <w:tcW w:w="1352" w:type="pct"/>
            <w:tcBorders>
              <w:top w:val="nil"/>
              <w:left w:val="nil"/>
              <w:bottom w:val="nil"/>
              <w:right w:val="nil"/>
            </w:tcBorders>
            <w:shd w:val="clear" w:color="auto" w:fill="auto"/>
          </w:tcPr>
          <w:p w14:paraId="7475C343"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A1</w:t>
            </w:r>
          </w:p>
        </w:tc>
        <w:tc>
          <w:tcPr>
            <w:tcW w:w="1413" w:type="pct"/>
            <w:tcBorders>
              <w:top w:val="nil"/>
              <w:left w:val="nil"/>
              <w:bottom w:val="nil"/>
              <w:right w:val="nil"/>
            </w:tcBorders>
            <w:shd w:val="clear" w:color="auto" w:fill="auto"/>
          </w:tcPr>
          <w:p w14:paraId="64D0C751"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B3</w:t>
            </w:r>
          </w:p>
        </w:tc>
        <w:tc>
          <w:tcPr>
            <w:tcW w:w="1492" w:type="pct"/>
            <w:tcBorders>
              <w:top w:val="nil"/>
              <w:left w:val="nil"/>
              <w:bottom w:val="nil"/>
              <w:right w:val="nil"/>
            </w:tcBorders>
            <w:shd w:val="clear" w:color="auto" w:fill="auto"/>
          </w:tcPr>
          <w:p w14:paraId="387B5082"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C3</w:t>
            </w:r>
          </w:p>
        </w:tc>
      </w:tr>
      <w:tr w:rsidR="00B06E99" w14:paraId="7C24F7D1" w14:textId="77777777">
        <w:trPr>
          <w:trHeight w:val="260"/>
          <w:jc w:val="center"/>
        </w:trPr>
        <w:tc>
          <w:tcPr>
            <w:tcW w:w="742" w:type="pct"/>
            <w:tcBorders>
              <w:top w:val="nil"/>
              <w:left w:val="nil"/>
              <w:bottom w:val="nil"/>
              <w:right w:val="nil"/>
            </w:tcBorders>
            <w:shd w:val="clear" w:color="auto" w:fill="auto"/>
          </w:tcPr>
          <w:p w14:paraId="53F7FE3D"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4</w:t>
            </w:r>
          </w:p>
        </w:tc>
        <w:tc>
          <w:tcPr>
            <w:tcW w:w="1352" w:type="pct"/>
            <w:tcBorders>
              <w:top w:val="nil"/>
              <w:left w:val="nil"/>
              <w:bottom w:val="nil"/>
              <w:right w:val="nil"/>
            </w:tcBorders>
            <w:shd w:val="clear" w:color="auto" w:fill="auto"/>
          </w:tcPr>
          <w:p w14:paraId="6BE13B4E"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A2</w:t>
            </w:r>
          </w:p>
        </w:tc>
        <w:tc>
          <w:tcPr>
            <w:tcW w:w="1413" w:type="pct"/>
            <w:tcBorders>
              <w:top w:val="nil"/>
              <w:left w:val="nil"/>
              <w:bottom w:val="nil"/>
              <w:right w:val="nil"/>
            </w:tcBorders>
            <w:shd w:val="clear" w:color="auto" w:fill="auto"/>
          </w:tcPr>
          <w:p w14:paraId="3AAD14AD"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B1</w:t>
            </w:r>
          </w:p>
        </w:tc>
        <w:tc>
          <w:tcPr>
            <w:tcW w:w="1492" w:type="pct"/>
            <w:tcBorders>
              <w:top w:val="nil"/>
              <w:left w:val="nil"/>
              <w:bottom w:val="nil"/>
              <w:right w:val="nil"/>
            </w:tcBorders>
            <w:shd w:val="clear" w:color="auto" w:fill="auto"/>
          </w:tcPr>
          <w:p w14:paraId="1CFEF5B6"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C2</w:t>
            </w:r>
          </w:p>
        </w:tc>
      </w:tr>
      <w:tr w:rsidR="00B06E99" w14:paraId="6B743863" w14:textId="77777777">
        <w:trPr>
          <w:trHeight w:val="282"/>
          <w:jc w:val="center"/>
        </w:trPr>
        <w:tc>
          <w:tcPr>
            <w:tcW w:w="742" w:type="pct"/>
            <w:tcBorders>
              <w:top w:val="nil"/>
              <w:left w:val="nil"/>
              <w:bottom w:val="nil"/>
              <w:right w:val="nil"/>
            </w:tcBorders>
            <w:shd w:val="clear" w:color="auto" w:fill="auto"/>
          </w:tcPr>
          <w:p w14:paraId="31440FAD"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5</w:t>
            </w:r>
          </w:p>
        </w:tc>
        <w:tc>
          <w:tcPr>
            <w:tcW w:w="1352" w:type="pct"/>
            <w:tcBorders>
              <w:top w:val="nil"/>
              <w:left w:val="nil"/>
              <w:bottom w:val="nil"/>
              <w:right w:val="nil"/>
            </w:tcBorders>
            <w:shd w:val="clear" w:color="auto" w:fill="auto"/>
          </w:tcPr>
          <w:p w14:paraId="1B1A3857"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A2</w:t>
            </w:r>
          </w:p>
        </w:tc>
        <w:tc>
          <w:tcPr>
            <w:tcW w:w="1413" w:type="pct"/>
            <w:tcBorders>
              <w:top w:val="nil"/>
              <w:left w:val="nil"/>
              <w:bottom w:val="nil"/>
              <w:right w:val="nil"/>
            </w:tcBorders>
            <w:shd w:val="clear" w:color="auto" w:fill="auto"/>
          </w:tcPr>
          <w:p w14:paraId="57F028F0"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B2</w:t>
            </w:r>
          </w:p>
        </w:tc>
        <w:tc>
          <w:tcPr>
            <w:tcW w:w="1492" w:type="pct"/>
            <w:tcBorders>
              <w:top w:val="nil"/>
              <w:left w:val="nil"/>
              <w:bottom w:val="nil"/>
              <w:right w:val="nil"/>
            </w:tcBorders>
            <w:shd w:val="clear" w:color="auto" w:fill="auto"/>
          </w:tcPr>
          <w:p w14:paraId="335F5608"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C3</w:t>
            </w:r>
          </w:p>
        </w:tc>
      </w:tr>
      <w:tr w:rsidR="00B06E99" w14:paraId="4529B3F4" w14:textId="77777777">
        <w:trPr>
          <w:trHeight w:val="283"/>
          <w:jc w:val="center"/>
        </w:trPr>
        <w:tc>
          <w:tcPr>
            <w:tcW w:w="742" w:type="pct"/>
            <w:tcBorders>
              <w:top w:val="nil"/>
              <w:left w:val="nil"/>
              <w:bottom w:val="nil"/>
              <w:right w:val="nil"/>
            </w:tcBorders>
            <w:shd w:val="clear" w:color="auto" w:fill="auto"/>
          </w:tcPr>
          <w:p w14:paraId="64A412BE"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6</w:t>
            </w:r>
          </w:p>
        </w:tc>
        <w:tc>
          <w:tcPr>
            <w:tcW w:w="1352" w:type="pct"/>
            <w:tcBorders>
              <w:top w:val="nil"/>
              <w:left w:val="nil"/>
              <w:bottom w:val="nil"/>
              <w:right w:val="nil"/>
            </w:tcBorders>
            <w:shd w:val="clear" w:color="auto" w:fill="auto"/>
          </w:tcPr>
          <w:p w14:paraId="056FE8B4"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A2</w:t>
            </w:r>
          </w:p>
        </w:tc>
        <w:tc>
          <w:tcPr>
            <w:tcW w:w="1413" w:type="pct"/>
            <w:tcBorders>
              <w:top w:val="nil"/>
              <w:left w:val="nil"/>
              <w:bottom w:val="nil"/>
              <w:right w:val="nil"/>
            </w:tcBorders>
            <w:shd w:val="clear" w:color="auto" w:fill="auto"/>
          </w:tcPr>
          <w:p w14:paraId="313F0786"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B3</w:t>
            </w:r>
          </w:p>
        </w:tc>
        <w:tc>
          <w:tcPr>
            <w:tcW w:w="1492" w:type="pct"/>
            <w:tcBorders>
              <w:top w:val="nil"/>
              <w:left w:val="nil"/>
              <w:bottom w:val="nil"/>
              <w:right w:val="nil"/>
            </w:tcBorders>
            <w:shd w:val="clear" w:color="auto" w:fill="auto"/>
          </w:tcPr>
          <w:p w14:paraId="5A107A1E"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C1</w:t>
            </w:r>
          </w:p>
        </w:tc>
      </w:tr>
      <w:tr w:rsidR="00B06E99" w14:paraId="50ECD757" w14:textId="77777777">
        <w:trPr>
          <w:trHeight w:val="272"/>
          <w:jc w:val="center"/>
        </w:trPr>
        <w:tc>
          <w:tcPr>
            <w:tcW w:w="742" w:type="pct"/>
            <w:tcBorders>
              <w:top w:val="nil"/>
              <w:left w:val="nil"/>
              <w:bottom w:val="nil"/>
              <w:right w:val="nil"/>
            </w:tcBorders>
            <w:shd w:val="clear" w:color="auto" w:fill="auto"/>
          </w:tcPr>
          <w:p w14:paraId="6BE9766C"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7</w:t>
            </w:r>
          </w:p>
        </w:tc>
        <w:tc>
          <w:tcPr>
            <w:tcW w:w="1352" w:type="pct"/>
            <w:tcBorders>
              <w:top w:val="nil"/>
              <w:left w:val="nil"/>
              <w:bottom w:val="nil"/>
              <w:right w:val="nil"/>
            </w:tcBorders>
            <w:shd w:val="clear" w:color="auto" w:fill="auto"/>
          </w:tcPr>
          <w:p w14:paraId="767104D1"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A3</w:t>
            </w:r>
          </w:p>
        </w:tc>
        <w:tc>
          <w:tcPr>
            <w:tcW w:w="1413" w:type="pct"/>
            <w:tcBorders>
              <w:top w:val="nil"/>
              <w:left w:val="nil"/>
              <w:bottom w:val="nil"/>
              <w:right w:val="nil"/>
            </w:tcBorders>
            <w:shd w:val="clear" w:color="auto" w:fill="auto"/>
          </w:tcPr>
          <w:p w14:paraId="68D2C23B"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B1</w:t>
            </w:r>
          </w:p>
        </w:tc>
        <w:tc>
          <w:tcPr>
            <w:tcW w:w="1492" w:type="pct"/>
            <w:tcBorders>
              <w:top w:val="nil"/>
              <w:left w:val="nil"/>
              <w:bottom w:val="nil"/>
              <w:right w:val="nil"/>
            </w:tcBorders>
            <w:shd w:val="clear" w:color="auto" w:fill="auto"/>
          </w:tcPr>
          <w:p w14:paraId="78723875"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C3</w:t>
            </w:r>
          </w:p>
        </w:tc>
      </w:tr>
      <w:tr w:rsidR="00B06E99" w14:paraId="2105EC02" w14:textId="77777777">
        <w:trPr>
          <w:trHeight w:val="282"/>
          <w:jc w:val="center"/>
        </w:trPr>
        <w:tc>
          <w:tcPr>
            <w:tcW w:w="742" w:type="pct"/>
            <w:tcBorders>
              <w:top w:val="nil"/>
              <w:left w:val="nil"/>
              <w:bottom w:val="nil"/>
              <w:right w:val="nil"/>
            </w:tcBorders>
            <w:shd w:val="clear" w:color="auto" w:fill="auto"/>
          </w:tcPr>
          <w:p w14:paraId="290E01BE"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8</w:t>
            </w:r>
          </w:p>
        </w:tc>
        <w:tc>
          <w:tcPr>
            <w:tcW w:w="1352" w:type="pct"/>
            <w:tcBorders>
              <w:top w:val="nil"/>
              <w:left w:val="nil"/>
              <w:bottom w:val="nil"/>
              <w:right w:val="nil"/>
            </w:tcBorders>
            <w:shd w:val="clear" w:color="auto" w:fill="auto"/>
          </w:tcPr>
          <w:p w14:paraId="1965A766"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A3</w:t>
            </w:r>
          </w:p>
        </w:tc>
        <w:tc>
          <w:tcPr>
            <w:tcW w:w="1413" w:type="pct"/>
            <w:tcBorders>
              <w:top w:val="nil"/>
              <w:left w:val="nil"/>
              <w:bottom w:val="nil"/>
              <w:right w:val="nil"/>
            </w:tcBorders>
            <w:shd w:val="clear" w:color="auto" w:fill="auto"/>
          </w:tcPr>
          <w:p w14:paraId="6BD3B192"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B2</w:t>
            </w:r>
          </w:p>
        </w:tc>
        <w:tc>
          <w:tcPr>
            <w:tcW w:w="1492" w:type="pct"/>
            <w:tcBorders>
              <w:top w:val="nil"/>
              <w:left w:val="nil"/>
              <w:bottom w:val="nil"/>
              <w:right w:val="nil"/>
            </w:tcBorders>
            <w:shd w:val="clear" w:color="auto" w:fill="auto"/>
          </w:tcPr>
          <w:p w14:paraId="33500CC0"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C1</w:t>
            </w:r>
          </w:p>
        </w:tc>
      </w:tr>
      <w:tr w:rsidR="00B06E99" w14:paraId="477AD126" w14:textId="77777777">
        <w:trPr>
          <w:trHeight w:val="236"/>
          <w:jc w:val="center"/>
        </w:trPr>
        <w:tc>
          <w:tcPr>
            <w:tcW w:w="742" w:type="pct"/>
            <w:tcBorders>
              <w:top w:val="nil"/>
              <w:left w:val="nil"/>
              <w:bottom w:val="single" w:sz="4" w:space="0" w:color="000000"/>
              <w:right w:val="nil"/>
            </w:tcBorders>
            <w:shd w:val="clear" w:color="auto" w:fill="auto"/>
          </w:tcPr>
          <w:p w14:paraId="7B3BBC6C"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9</w:t>
            </w:r>
          </w:p>
        </w:tc>
        <w:tc>
          <w:tcPr>
            <w:tcW w:w="1352" w:type="pct"/>
            <w:tcBorders>
              <w:top w:val="nil"/>
              <w:left w:val="nil"/>
              <w:bottom w:val="single" w:sz="4" w:space="0" w:color="000000"/>
              <w:right w:val="nil"/>
            </w:tcBorders>
            <w:shd w:val="clear" w:color="auto" w:fill="auto"/>
          </w:tcPr>
          <w:p w14:paraId="3DB8882D"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A3</w:t>
            </w:r>
          </w:p>
        </w:tc>
        <w:tc>
          <w:tcPr>
            <w:tcW w:w="1413" w:type="pct"/>
            <w:tcBorders>
              <w:top w:val="nil"/>
              <w:left w:val="nil"/>
              <w:bottom w:val="single" w:sz="4" w:space="0" w:color="000000"/>
              <w:right w:val="nil"/>
            </w:tcBorders>
            <w:shd w:val="clear" w:color="auto" w:fill="auto"/>
          </w:tcPr>
          <w:p w14:paraId="6B4CF372"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B3</w:t>
            </w:r>
          </w:p>
        </w:tc>
        <w:tc>
          <w:tcPr>
            <w:tcW w:w="1492" w:type="pct"/>
            <w:tcBorders>
              <w:top w:val="nil"/>
              <w:left w:val="nil"/>
              <w:bottom w:val="single" w:sz="4" w:space="0" w:color="000000"/>
              <w:right w:val="nil"/>
            </w:tcBorders>
            <w:shd w:val="clear" w:color="auto" w:fill="auto"/>
          </w:tcPr>
          <w:p w14:paraId="02245919" w14:textId="77777777" w:rsidR="00B06E99" w:rsidRDefault="00000000">
            <w:pPr>
              <w:spacing w:line="240" w:lineRule="auto"/>
              <w:rPr>
                <w:rFonts w:ascii="仿宋" w:eastAsia="仿宋" w:hAnsi="仿宋" w:cs="宋体" w:hint="eastAsia"/>
                <w:szCs w:val="24"/>
              </w:rPr>
            </w:pPr>
            <w:r>
              <w:rPr>
                <w:rFonts w:ascii="仿宋" w:eastAsia="仿宋" w:hAnsi="仿宋" w:cs="宋体" w:hint="eastAsia"/>
                <w:szCs w:val="24"/>
              </w:rPr>
              <w:t>C2</w:t>
            </w:r>
          </w:p>
        </w:tc>
      </w:tr>
    </w:tbl>
    <w:p w14:paraId="4DB67A12" w14:textId="77777777" w:rsidR="00B06E99" w:rsidRDefault="00B06E99">
      <w:pPr>
        <w:ind w:firstLine="480"/>
      </w:pPr>
    </w:p>
    <w:p w14:paraId="6C75D828" w14:textId="77777777" w:rsidR="00B06E99" w:rsidRDefault="00000000">
      <w:pPr>
        <w:ind w:firstLine="480"/>
      </w:pPr>
      <w:r>
        <w:rPr>
          <w:rFonts w:hint="eastAsia"/>
        </w:rPr>
        <w:t>栽培管理：①播前用千分之三的拌种霜拌种，防治燕麦坚黑穗病；②采用人工开沟播种，播后浇水</w:t>
      </w:r>
      <w:r>
        <w:rPr>
          <w:rFonts w:hint="eastAsia"/>
        </w:rPr>
        <w:t>1</w:t>
      </w:r>
      <w:r>
        <w:rPr>
          <w:rFonts w:hint="eastAsia"/>
        </w:rPr>
        <w:t>次；③生育期间中耕</w:t>
      </w:r>
      <w:r>
        <w:rPr>
          <w:rFonts w:hint="eastAsia"/>
        </w:rPr>
        <w:t>2</w:t>
      </w:r>
      <w:r>
        <w:rPr>
          <w:rFonts w:hint="eastAsia"/>
        </w:rPr>
        <w:t>次，走道喷除草剂</w:t>
      </w:r>
      <w:r>
        <w:rPr>
          <w:rFonts w:hint="eastAsia"/>
        </w:rPr>
        <w:t>1</w:t>
      </w:r>
      <w:r>
        <w:rPr>
          <w:rFonts w:hint="eastAsia"/>
        </w:rPr>
        <w:t>次，未追肥浇水；④生育期间未防治病虫害。</w:t>
      </w:r>
      <w:r>
        <w:rPr>
          <w:rFonts w:hint="eastAsia"/>
        </w:rPr>
        <w:t xml:space="preserve"> </w:t>
      </w:r>
    </w:p>
    <w:p w14:paraId="7FF26BA4" w14:textId="77777777" w:rsidR="00B06E99" w:rsidRDefault="00000000">
      <w:pPr>
        <w:ind w:firstLine="480"/>
      </w:pPr>
      <w:r>
        <w:rPr>
          <w:rFonts w:hint="eastAsia"/>
        </w:rPr>
        <w:t>结果与分析：所有参试组，株高在</w:t>
      </w:r>
      <w:r>
        <w:rPr>
          <w:rFonts w:hint="eastAsia"/>
        </w:rPr>
        <w:t>105-121</w:t>
      </w:r>
      <w:r>
        <w:rPr>
          <w:rFonts w:hint="eastAsia"/>
        </w:rPr>
        <w:t>厘米，株高随播期晚而变高，生育期在</w:t>
      </w:r>
      <w:r>
        <w:rPr>
          <w:rFonts w:hint="eastAsia"/>
        </w:rPr>
        <w:t>3</w:t>
      </w:r>
      <w:r>
        <w:rPr>
          <w:rFonts w:hint="eastAsia"/>
        </w:rPr>
        <w:t>个播期，</w:t>
      </w:r>
      <w:r>
        <w:rPr>
          <w:rFonts w:hint="eastAsia"/>
        </w:rPr>
        <w:t xml:space="preserve"> </w:t>
      </w:r>
      <w:r>
        <w:rPr>
          <w:rFonts w:hint="eastAsia"/>
        </w:rPr>
        <w:t>分别为</w:t>
      </w:r>
      <w:r>
        <w:rPr>
          <w:rFonts w:hint="eastAsia"/>
        </w:rPr>
        <w:t>5</w:t>
      </w:r>
      <w:r>
        <w:rPr>
          <w:rFonts w:hint="eastAsia"/>
        </w:rPr>
        <w:t>月</w:t>
      </w:r>
      <w:r>
        <w:rPr>
          <w:rFonts w:hint="eastAsia"/>
        </w:rPr>
        <w:t>22</w:t>
      </w:r>
      <w:r>
        <w:rPr>
          <w:rFonts w:hint="eastAsia"/>
        </w:rPr>
        <w:t>日播种生育期</w:t>
      </w:r>
      <w:r>
        <w:rPr>
          <w:rFonts w:hint="eastAsia"/>
        </w:rPr>
        <w:t>89</w:t>
      </w:r>
      <w:r>
        <w:rPr>
          <w:rFonts w:hint="eastAsia"/>
        </w:rPr>
        <w:t>天，</w:t>
      </w:r>
      <w:r>
        <w:rPr>
          <w:rFonts w:hint="eastAsia"/>
        </w:rPr>
        <w:t>5</w:t>
      </w:r>
      <w:r>
        <w:rPr>
          <w:rFonts w:hint="eastAsia"/>
        </w:rPr>
        <w:t>月</w:t>
      </w:r>
      <w:r>
        <w:rPr>
          <w:rFonts w:hint="eastAsia"/>
        </w:rPr>
        <w:t>29</w:t>
      </w:r>
      <w:r>
        <w:rPr>
          <w:rFonts w:hint="eastAsia"/>
        </w:rPr>
        <w:t>日播种生育期</w:t>
      </w:r>
      <w:r>
        <w:rPr>
          <w:rFonts w:hint="eastAsia"/>
        </w:rPr>
        <w:t>88</w:t>
      </w:r>
      <w:r>
        <w:rPr>
          <w:rFonts w:hint="eastAsia"/>
        </w:rPr>
        <w:t>天，</w:t>
      </w:r>
      <w:r>
        <w:rPr>
          <w:rFonts w:hint="eastAsia"/>
        </w:rPr>
        <w:t>6</w:t>
      </w:r>
      <w:r>
        <w:rPr>
          <w:rFonts w:hint="eastAsia"/>
        </w:rPr>
        <w:t>月</w:t>
      </w:r>
      <w:r>
        <w:rPr>
          <w:rFonts w:hint="eastAsia"/>
        </w:rPr>
        <w:t>5</w:t>
      </w:r>
      <w:r>
        <w:rPr>
          <w:rFonts w:hint="eastAsia"/>
        </w:rPr>
        <w:t>日播种生育期</w:t>
      </w:r>
      <w:r>
        <w:rPr>
          <w:rFonts w:hint="eastAsia"/>
        </w:rPr>
        <w:t>87</w:t>
      </w:r>
      <w:r>
        <w:rPr>
          <w:rFonts w:hint="eastAsia"/>
        </w:rPr>
        <w:t>天，相差并不大。千粒重</w:t>
      </w:r>
      <w:r>
        <w:rPr>
          <w:rFonts w:hint="eastAsia"/>
        </w:rPr>
        <w:t>35.72g-40.39g</w:t>
      </w:r>
      <w:r>
        <w:rPr>
          <w:rFonts w:hint="eastAsia"/>
        </w:rPr>
        <w:t>之间，其中</w:t>
      </w:r>
      <w:r>
        <w:rPr>
          <w:rFonts w:hint="eastAsia"/>
        </w:rPr>
        <w:t>6</w:t>
      </w:r>
      <w:r>
        <w:rPr>
          <w:rFonts w:hint="eastAsia"/>
        </w:rPr>
        <w:t>月</w:t>
      </w:r>
      <w:r>
        <w:rPr>
          <w:rFonts w:hint="eastAsia"/>
        </w:rPr>
        <w:t>5</w:t>
      </w:r>
      <w:r>
        <w:rPr>
          <w:rFonts w:hint="eastAsia"/>
        </w:rPr>
        <w:t>日、亩播种</w:t>
      </w:r>
      <w:r>
        <w:rPr>
          <w:rFonts w:hint="eastAsia"/>
        </w:rPr>
        <w:t>15kg</w:t>
      </w:r>
      <w:r>
        <w:rPr>
          <w:rFonts w:hint="eastAsia"/>
        </w:rPr>
        <w:t>种肥</w:t>
      </w:r>
      <w:r>
        <w:rPr>
          <w:rFonts w:hint="eastAsia"/>
        </w:rPr>
        <w:t>10kg</w:t>
      </w:r>
      <w:r>
        <w:rPr>
          <w:rFonts w:hint="eastAsia"/>
        </w:rPr>
        <w:t>千粒重最高，为</w:t>
      </w:r>
      <w:r>
        <w:rPr>
          <w:rFonts w:hint="eastAsia"/>
        </w:rPr>
        <w:t>40.39g</w:t>
      </w:r>
      <w:r>
        <w:rPr>
          <w:rFonts w:hint="eastAsia"/>
        </w:rPr>
        <w:t>。</w:t>
      </w:r>
      <w:r>
        <w:rPr>
          <w:rFonts w:hint="eastAsia"/>
        </w:rPr>
        <w:t>5</w:t>
      </w:r>
      <w:r>
        <w:rPr>
          <w:rFonts w:hint="eastAsia"/>
        </w:rPr>
        <w:t>月</w:t>
      </w:r>
      <w:r>
        <w:rPr>
          <w:rFonts w:hint="eastAsia"/>
        </w:rPr>
        <w:t>22</w:t>
      </w:r>
      <w:r>
        <w:rPr>
          <w:rFonts w:hint="eastAsia"/>
        </w:rPr>
        <w:t>日播种</w:t>
      </w:r>
      <w:r>
        <w:rPr>
          <w:rFonts w:hint="eastAsia"/>
        </w:rPr>
        <w:t>10kg</w:t>
      </w:r>
      <w:r>
        <w:rPr>
          <w:rFonts w:hint="eastAsia"/>
        </w:rPr>
        <w:t>种肥</w:t>
      </w:r>
      <w:r>
        <w:rPr>
          <w:rFonts w:hint="eastAsia"/>
        </w:rPr>
        <w:t>7.5kg</w:t>
      </w:r>
      <w:r>
        <w:rPr>
          <w:rFonts w:hint="eastAsia"/>
        </w:rPr>
        <w:t>，千粒重最低为</w:t>
      </w:r>
      <w:r>
        <w:rPr>
          <w:rFonts w:hint="eastAsia"/>
        </w:rPr>
        <w:t>35.72g</w:t>
      </w:r>
      <w:r>
        <w:rPr>
          <w:rFonts w:hint="eastAsia"/>
        </w:rPr>
        <w:t>。</w:t>
      </w:r>
      <w:r>
        <w:rPr>
          <w:rFonts w:hint="eastAsia"/>
        </w:rPr>
        <w:t xml:space="preserve"> </w:t>
      </w:r>
    </w:p>
    <w:p w14:paraId="12186F30" w14:textId="77777777" w:rsidR="00B06E99" w:rsidRDefault="00000000">
      <w:pPr>
        <w:ind w:firstLine="480"/>
      </w:pPr>
      <w:r>
        <w:rPr>
          <w:rFonts w:hint="eastAsia"/>
        </w:rPr>
        <w:t>结论：综上所述，下籽量与产量成正比，在</w:t>
      </w:r>
      <w:r>
        <w:rPr>
          <w:rFonts w:hint="eastAsia"/>
        </w:rPr>
        <w:t>10-15kg</w:t>
      </w:r>
      <w:r>
        <w:rPr>
          <w:rFonts w:hint="eastAsia"/>
        </w:rPr>
        <w:t>的下籽量范围内，下籽量越高，其产量越高。从产量看最佳组合为：</w:t>
      </w:r>
      <w:r>
        <w:rPr>
          <w:rFonts w:hint="eastAsia"/>
        </w:rPr>
        <w:t xml:space="preserve">6 </w:t>
      </w:r>
      <w:r>
        <w:rPr>
          <w:rFonts w:hint="eastAsia"/>
        </w:rPr>
        <w:t>月</w:t>
      </w:r>
      <w:r>
        <w:rPr>
          <w:rFonts w:hint="eastAsia"/>
        </w:rPr>
        <w:t xml:space="preserve"> 5 </w:t>
      </w:r>
      <w:r>
        <w:rPr>
          <w:rFonts w:hint="eastAsia"/>
        </w:rPr>
        <w:t>日播种下籽量</w:t>
      </w:r>
      <w:r>
        <w:rPr>
          <w:rFonts w:hint="eastAsia"/>
        </w:rPr>
        <w:t xml:space="preserve"> 15kg </w:t>
      </w:r>
      <w:r>
        <w:rPr>
          <w:rFonts w:hint="eastAsia"/>
        </w:rPr>
        <w:t>施种肥量</w:t>
      </w:r>
      <w:r>
        <w:rPr>
          <w:rFonts w:hint="eastAsia"/>
        </w:rPr>
        <w:t xml:space="preserve"> 10kg</w:t>
      </w:r>
      <w:r>
        <w:rPr>
          <w:rFonts w:hint="eastAsia"/>
        </w:rPr>
        <w:t>。从千粒重看最佳组合为：</w:t>
      </w:r>
      <w:r>
        <w:rPr>
          <w:rFonts w:hint="eastAsia"/>
        </w:rPr>
        <w:t>6</w:t>
      </w:r>
      <w:r>
        <w:rPr>
          <w:rFonts w:hint="eastAsia"/>
        </w:rPr>
        <w:t>月</w:t>
      </w:r>
      <w:r>
        <w:rPr>
          <w:rFonts w:hint="eastAsia"/>
        </w:rPr>
        <w:t>5</w:t>
      </w:r>
      <w:r>
        <w:rPr>
          <w:rFonts w:hint="eastAsia"/>
        </w:rPr>
        <w:t>日播种下籽量</w:t>
      </w:r>
      <w:r>
        <w:rPr>
          <w:rFonts w:hint="eastAsia"/>
        </w:rPr>
        <w:t xml:space="preserve">12.5kg </w:t>
      </w:r>
      <w:r>
        <w:rPr>
          <w:rFonts w:hint="eastAsia"/>
        </w:rPr>
        <w:t>施种肥量</w:t>
      </w:r>
      <w:r>
        <w:rPr>
          <w:rFonts w:hint="eastAsia"/>
        </w:rPr>
        <w:t>10kg</w:t>
      </w:r>
      <w:r>
        <w:rPr>
          <w:rFonts w:hint="eastAsia"/>
        </w:rPr>
        <w:t>。从株高看最佳组合为：</w:t>
      </w:r>
      <w:r>
        <w:rPr>
          <w:rFonts w:hint="eastAsia"/>
        </w:rPr>
        <w:t>6</w:t>
      </w:r>
      <w:r>
        <w:rPr>
          <w:rFonts w:hint="eastAsia"/>
        </w:rPr>
        <w:t>月</w:t>
      </w:r>
      <w:r>
        <w:rPr>
          <w:rFonts w:hint="eastAsia"/>
        </w:rPr>
        <w:t>5</w:t>
      </w:r>
      <w:r>
        <w:rPr>
          <w:rFonts w:hint="eastAsia"/>
        </w:rPr>
        <w:t>日播种下籽量</w:t>
      </w:r>
      <w:r>
        <w:rPr>
          <w:rFonts w:hint="eastAsia"/>
        </w:rPr>
        <w:t>10kg</w:t>
      </w:r>
      <w:r>
        <w:rPr>
          <w:rFonts w:hint="eastAsia"/>
        </w:rPr>
        <w:t>施种肥量</w:t>
      </w:r>
      <w:r>
        <w:rPr>
          <w:rFonts w:hint="eastAsia"/>
        </w:rPr>
        <w:t>10kg</w:t>
      </w:r>
      <w:r>
        <w:rPr>
          <w:rFonts w:hint="eastAsia"/>
        </w:rPr>
        <w:t>最佳。所以该品种在乌拉盖地区最佳播种时间为</w:t>
      </w:r>
      <w:r>
        <w:rPr>
          <w:rFonts w:hint="eastAsia"/>
        </w:rPr>
        <w:t>6</w:t>
      </w:r>
      <w:r>
        <w:rPr>
          <w:rFonts w:hint="eastAsia"/>
        </w:rPr>
        <w:t>月</w:t>
      </w:r>
      <w:r>
        <w:rPr>
          <w:rFonts w:hint="eastAsia"/>
        </w:rPr>
        <w:t>5</w:t>
      </w:r>
      <w:r>
        <w:rPr>
          <w:rFonts w:hint="eastAsia"/>
        </w:rPr>
        <w:t>日，最佳施种肥量为</w:t>
      </w:r>
      <w:r>
        <w:rPr>
          <w:rFonts w:hint="eastAsia"/>
        </w:rPr>
        <w:t>10kg</w:t>
      </w:r>
      <w:r>
        <w:rPr>
          <w:rFonts w:hint="eastAsia"/>
        </w:rPr>
        <w:t>磷酸二铵，如果侧重于产粮下籽量应多一点</w:t>
      </w:r>
      <w:r>
        <w:rPr>
          <w:rFonts w:hAnsi="仿宋" w:cs="仿宋" w:hint="eastAsia"/>
        </w:rPr>
        <w:t>，侧重于产草下籽量少一点</w:t>
      </w:r>
      <w:r>
        <w:rPr>
          <w:rFonts w:hint="eastAsia"/>
        </w:rPr>
        <w:t>。</w:t>
      </w:r>
    </w:p>
    <w:p w14:paraId="4E6E3A9C" w14:textId="6CE5F226" w:rsidR="00B06E99" w:rsidRDefault="00000000" w:rsidP="004F71B7">
      <w:pPr>
        <w:pStyle w:val="1"/>
        <w:numPr>
          <w:ilvl w:val="0"/>
          <w:numId w:val="6"/>
        </w:numPr>
        <w:ind w:left="567" w:hanging="567"/>
      </w:pPr>
      <w:r>
        <w:rPr>
          <w:rFonts w:hint="eastAsia"/>
        </w:rPr>
        <w:t>采用的国际标准</w:t>
      </w:r>
      <w:bookmarkEnd w:id="24"/>
      <w:bookmarkEnd w:id="25"/>
    </w:p>
    <w:p w14:paraId="75CB5905" w14:textId="77777777" w:rsidR="00B06E99" w:rsidRDefault="00000000">
      <w:pPr>
        <w:ind w:firstLineChars="200" w:firstLine="480"/>
      </w:pPr>
      <w:r>
        <w:rPr>
          <w:rFonts w:hint="eastAsia"/>
        </w:rPr>
        <w:t>无。</w:t>
      </w:r>
    </w:p>
    <w:p w14:paraId="152319AB" w14:textId="77777777" w:rsidR="00B06E99" w:rsidRDefault="00000000">
      <w:pPr>
        <w:pStyle w:val="1"/>
      </w:pPr>
      <w:bookmarkStart w:id="26" w:name="_Toc176453405"/>
      <w:bookmarkStart w:id="27" w:name="_Toc197503238"/>
      <w:r>
        <w:rPr>
          <w:rFonts w:hint="eastAsia"/>
        </w:rPr>
        <w:t>七</w:t>
      </w:r>
      <w:r>
        <w:t>、</w:t>
      </w:r>
      <w:r>
        <w:rPr>
          <w:rFonts w:hint="eastAsia"/>
        </w:rPr>
        <w:t>与现行法律法规和强制性标准的关系</w:t>
      </w:r>
      <w:bookmarkEnd w:id="26"/>
      <w:bookmarkEnd w:id="27"/>
    </w:p>
    <w:p w14:paraId="7E9C6A8B" w14:textId="77777777" w:rsidR="00B06E99" w:rsidRDefault="00000000">
      <w:pPr>
        <w:ind w:firstLineChars="200" w:firstLine="480"/>
        <w:rPr>
          <w:color w:val="000000"/>
          <w:szCs w:val="24"/>
        </w:rPr>
      </w:pPr>
      <w:r>
        <w:rPr>
          <w:color w:val="000000"/>
          <w:szCs w:val="24"/>
        </w:rPr>
        <w:t>本标准与现行法律法规和强制性标准没有冲突。</w:t>
      </w:r>
    </w:p>
    <w:p w14:paraId="51B043E4" w14:textId="77777777" w:rsidR="00B06E99" w:rsidRDefault="00000000">
      <w:pPr>
        <w:pStyle w:val="1"/>
      </w:pPr>
      <w:bookmarkStart w:id="28" w:name="_Toc176453406"/>
      <w:bookmarkStart w:id="29" w:name="_Toc197503239"/>
      <w:r>
        <w:rPr>
          <w:rFonts w:hint="eastAsia"/>
        </w:rPr>
        <w:t>八</w:t>
      </w:r>
      <w:r>
        <w:t>、</w:t>
      </w:r>
      <w:r>
        <w:rPr>
          <w:rFonts w:hint="eastAsia"/>
        </w:rPr>
        <w:t>重大分歧意见的处理经过和依据</w:t>
      </w:r>
      <w:bookmarkEnd w:id="28"/>
      <w:bookmarkEnd w:id="29"/>
    </w:p>
    <w:p w14:paraId="72296328" w14:textId="77777777" w:rsidR="00B06E99" w:rsidRDefault="00000000">
      <w:pPr>
        <w:spacing w:beforeLines="50" w:before="156"/>
        <w:ind w:firstLine="482"/>
        <w:rPr>
          <w:color w:val="000000"/>
          <w:szCs w:val="24"/>
        </w:rPr>
      </w:pPr>
      <w:r>
        <w:rPr>
          <w:color w:val="000000"/>
          <w:szCs w:val="24"/>
        </w:rPr>
        <w:t>无。</w:t>
      </w:r>
    </w:p>
    <w:p w14:paraId="38CDF3DC" w14:textId="77777777" w:rsidR="00B06E99" w:rsidRDefault="00000000">
      <w:pPr>
        <w:pStyle w:val="1"/>
        <w:rPr>
          <w:rStyle w:val="10"/>
        </w:rPr>
      </w:pPr>
      <w:bookmarkStart w:id="30" w:name="_Toc197503240"/>
      <w:bookmarkStart w:id="31" w:name="_Toc176453407"/>
      <w:r>
        <w:rPr>
          <w:rFonts w:hint="eastAsia"/>
        </w:rPr>
        <w:t>九</w:t>
      </w:r>
      <w:r>
        <w:t>、标准作为强制性或推荐性标准的意见</w:t>
      </w:r>
      <w:bookmarkEnd w:id="30"/>
      <w:bookmarkEnd w:id="31"/>
    </w:p>
    <w:p w14:paraId="5011225A" w14:textId="77777777" w:rsidR="00B06E99" w:rsidRDefault="00000000">
      <w:pPr>
        <w:spacing w:beforeLines="50" w:before="156"/>
        <w:ind w:firstLine="482"/>
        <w:rPr>
          <w:color w:val="000000"/>
          <w:szCs w:val="24"/>
        </w:rPr>
      </w:pPr>
      <w:r>
        <w:rPr>
          <w:color w:val="000000"/>
          <w:szCs w:val="24"/>
        </w:rPr>
        <w:t>建议将本标准作为推荐性标准发布实施，并加强标准的宣贯。</w:t>
      </w:r>
    </w:p>
    <w:p w14:paraId="3C5FB1F5" w14:textId="77777777" w:rsidR="00B06E99" w:rsidRDefault="00000000">
      <w:pPr>
        <w:pStyle w:val="1"/>
      </w:pPr>
      <w:bookmarkStart w:id="32" w:name="_Toc197503241"/>
      <w:bookmarkStart w:id="33" w:name="_Toc176453408"/>
      <w:r>
        <w:rPr>
          <w:rFonts w:hint="eastAsia"/>
        </w:rPr>
        <w:t>十</w:t>
      </w:r>
      <w:r>
        <w:t>、贯彻标准的要求和措施建议</w:t>
      </w:r>
      <w:bookmarkEnd w:id="32"/>
      <w:bookmarkEnd w:id="33"/>
    </w:p>
    <w:p w14:paraId="3E3AE6FC" w14:textId="77777777" w:rsidR="00B06E99" w:rsidRDefault="00000000">
      <w:pPr>
        <w:spacing w:beforeLines="50" w:before="156"/>
        <w:ind w:firstLine="482"/>
        <w:rPr>
          <w:color w:val="000000"/>
          <w:szCs w:val="24"/>
        </w:rPr>
      </w:pPr>
      <w:r>
        <w:rPr>
          <w:rFonts w:hint="eastAsia"/>
          <w:color w:val="000000"/>
          <w:szCs w:val="24"/>
        </w:rPr>
        <w:t>为实现饲用燕麦良种繁育技术的推广及应用，应</w:t>
      </w:r>
      <w:r>
        <w:rPr>
          <w:color w:val="000000"/>
          <w:szCs w:val="24"/>
        </w:rPr>
        <w:t>加强对标准的宣传、讲解</w:t>
      </w:r>
      <w:r>
        <w:rPr>
          <w:rFonts w:hint="eastAsia"/>
          <w:color w:val="000000"/>
          <w:szCs w:val="24"/>
        </w:rPr>
        <w:t>和技术指导，通过组织培训班、现场观摩会、技术讲座等形式，提高广大农户、农业企业及相关研究机构的重视程度。同时，应建立技术咨询和指导服务机制，为实施者提供及时、有效的技术支持，解决他们在生产实践应用中遇到的问题。此外，还可以通过媒体宣传、网络推广等方式，扩大饲用燕麦良种繁育技术规程的影响力和知晓度，共同推动饲用燕麦良种繁育和产业的快速健康发展</w:t>
      </w:r>
      <w:r>
        <w:rPr>
          <w:color w:val="000000"/>
          <w:szCs w:val="24"/>
        </w:rPr>
        <w:t>。</w:t>
      </w:r>
    </w:p>
    <w:p w14:paraId="74BC295C" w14:textId="77777777" w:rsidR="00B06E99" w:rsidRDefault="00000000">
      <w:pPr>
        <w:pStyle w:val="1"/>
      </w:pPr>
      <w:bookmarkStart w:id="34" w:name="_Toc176453409"/>
      <w:bookmarkStart w:id="35" w:name="_Toc197503242"/>
      <w:r>
        <w:rPr>
          <w:rFonts w:hint="eastAsia"/>
        </w:rPr>
        <w:t>十一</w:t>
      </w:r>
      <w:r>
        <w:t>、废止现行有关标准的建议</w:t>
      </w:r>
      <w:bookmarkEnd w:id="34"/>
      <w:bookmarkEnd w:id="35"/>
    </w:p>
    <w:p w14:paraId="718BAA20" w14:textId="77777777" w:rsidR="00B06E99" w:rsidRDefault="00000000">
      <w:pPr>
        <w:spacing w:beforeLines="50" w:before="156"/>
        <w:ind w:firstLine="482"/>
        <w:rPr>
          <w:color w:val="000000"/>
          <w:szCs w:val="24"/>
        </w:rPr>
      </w:pPr>
      <w:r>
        <w:rPr>
          <w:color w:val="000000"/>
          <w:szCs w:val="24"/>
        </w:rPr>
        <w:t>无。</w:t>
      </w:r>
    </w:p>
    <w:p w14:paraId="160A89A2" w14:textId="77777777" w:rsidR="00B06E99" w:rsidRDefault="00000000">
      <w:pPr>
        <w:pStyle w:val="1"/>
      </w:pPr>
      <w:bookmarkStart w:id="36" w:name="_Toc197503243"/>
      <w:bookmarkStart w:id="37" w:name="_Toc176453410"/>
      <w:r>
        <w:t>十</w:t>
      </w:r>
      <w:r>
        <w:rPr>
          <w:rFonts w:hint="eastAsia"/>
        </w:rPr>
        <w:t>二</w:t>
      </w:r>
      <w:r>
        <w:t>、其他应予说明的事项</w:t>
      </w:r>
      <w:bookmarkEnd w:id="36"/>
      <w:bookmarkEnd w:id="37"/>
    </w:p>
    <w:p w14:paraId="2D4ED702" w14:textId="77777777" w:rsidR="00B06E99"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449B2252" w14:textId="77777777" w:rsidR="00B06E99" w:rsidRDefault="00B06E99">
      <w:pPr>
        <w:ind w:firstLineChars="200" w:firstLine="480"/>
        <w:rPr>
          <w:color w:val="000000"/>
          <w:szCs w:val="24"/>
        </w:rPr>
      </w:pPr>
    </w:p>
    <w:p w14:paraId="0E807F48" w14:textId="77777777" w:rsidR="00B06E99" w:rsidRDefault="00B06E99">
      <w:pPr>
        <w:ind w:firstLineChars="200" w:firstLine="480"/>
        <w:rPr>
          <w:szCs w:val="24"/>
        </w:rPr>
      </w:pPr>
    </w:p>
    <w:p w14:paraId="729F9850" w14:textId="77777777" w:rsidR="00B06E99" w:rsidRDefault="00B06E99">
      <w:pPr>
        <w:ind w:firstLine="480"/>
      </w:pPr>
    </w:p>
    <w:sectPr w:rsidR="00B06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CD1E" w14:textId="77777777" w:rsidR="000E693E" w:rsidRDefault="000E693E">
      <w:pPr>
        <w:spacing w:line="240" w:lineRule="auto"/>
      </w:pPr>
      <w:r>
        <w:separator/>
      </w:r>
    </w:p>
  </w:endnote>
  <w:endnote w:type="continuationSeparator" w:id="0">
    <w:p w14:paraId="6CC30623" w14:textId="77777777" w:rsidR="000E693E" w:rsidRDefault="000E6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03F3" w14:textId="77777777" w:rsidR="000E693E" w:rsidRDefault="000E693E">
      <w:r>
        <w:separator/>
      </w:r>
    </w:p>
  </w:footnote>
  <w:footnote w:type="continuationSeparator" w:id="0">
    <w:p w14:paraId="3540393C" w14:textId="77777777" w:rsidR="000E693E" w:rsidRDefault="000E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1" w15:restartNumberingAfterBreak="0">
    <w:nsid w:val="0AAC23A0"/>
    <w:multiLevelType w:val="hybridMultilevel"/>
    <w:tmpl w:val="C13E0E58"/>
    <w:lvl w:ilvl="0" w:tplc="78F6FF40">
      <w:start w:val="6"/>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D776A71"/>
    <w:multiLevelType w:val="hybridMultilevel"/>
    <w:tmpl w:val="6C209704"/>
    <w:lvl w:ilvl="0" w:tplc="E08E377E">
      <w:start w:val="6"/>
      <w:numFmt w:val="japaneseCounting"/>
      <w:lvlText w:val="%1、"/>
      <w:lvlJc w:val="left"/>
      <w:pPr>
        <w:ind w:left="1430" w:hanging="720"/>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3"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82ACC36"/>
    <w:multiLevelType w:val="singleLevel"/>
    <w:tmpl w:val="482ACC36"/>
    <w:lvl w:ilvl="0">
      <w:start w:val="1"/>
      <w:numFmt w:val="decimal"/>
      <w:suff w:val="space"/>
      <w:lvlText w:val="%1."/>
      <w:lvlJc w:val="left"/>
    </w:lvl>
  </w:abstractNum>
  <w:abstractNum w:abstractNumId="5" w15:restartNumberingAfterBreak="0">
    <w:nsid w:val="6E980FFD"/>
    <w:multiLevelType w:val="singleLevel"/>
    <w:tmpl w:val="6E980FFD"/>
    <w:lvl w:ilvl="0">
      <w:start w:val="2"/>
      <w:numFmt w:val="decimal"/>
      <w:suff w:val="space"/>
      <w:lvlText w:val="%1."/>
      <w:lvlJc w:val="left"/>
    </w:lvl>
  </w:abstractNum>
  <w:num w:numId="1" w16cid:durableId="308753825">
    <w:abstractNumId w:val="0"/>
  </w:num>
  <w:num w:numId="2" w16cid:durableId="1179004584">
    <w:abstractNumId w:val="5"/>
  </w:num>
  <w:num w:numId="3" w16cid:durableId="1862433430">
    <w:abstractNumId w:val="4"/>
  </w:num>
  <w:num w:numId="4" w16cid:durableId="1571304274">
    <w:abstractNumId w:val="3"/>
  </w:num>
  <w:num w:numId="5" w16cid:durableId="946622325">
    <w:abstractNumId w:val="2"/>
  </w:num>
  <w:num w:numId="6" w16cid:durableId="40568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3YmFhNTA3NmI4NmUyMDNmNDE5YmVlMTRhMTI3MGMifQ=="/>
    <w:docVar w:name="KSO_WPS_MARK_KEY" w:val="145fc5d7-c568-4a10-b233-0146abe21350"/>
  </w:docVars>
  <w:rsids>
    <w:rsidRoot w:val="00172A27"/>
    <w:rsid w:val="00022FCB"/>
    <w:rsid w:val="000E693E"/>
    <w:rsid w:val="000F7498"/>
    <w:rsid w:val="00116DC9"/>
    <w:rsid w:val="00172A27"/>
    <w:rsid w:val="0017496D"/>
    <w:rsid w:val="00175AF4"/>
    <w:rsid w:val="0023025E"/>
    <w:rsid w:val="003E5618"/>
    <w:rsid w:val="00437021"/>
    <w:rsid w:val="00465378"/>
    <w:rsid w:val="00467591"/>
    <w:rsid w:val="004B0058"/>
    <w:rsid w:val="004F71B7"/>
    <w:rsid w:val="005057CB"/>
    <w:rsid w:val="00526511"/>
    <w:rsid w:val="005B42AE"/>
    <w:rsid w:val="006C5ADC"/>
    <w:rsid w:val="006D47C1"/>
    <w:rsid w:val="00766D5E"/>
    <w:rsid w:val="007761CA"/>
    <w:rsid w:val="00806202"/>
    <w:rsid w:val="009652AD"/>
    <w:rsid w:val="00967CEB"/>
    <w:rsid w:val="00991C40"/>
    <w:rsid w:val="009A48C2"/>
    <w:rsid w:val="009C51DF"/>
    <w:rsid w:val="009D1FDF"/>
    <w:rsid w:val="009D5992"/>
    <w:rsid w:val="00A44339"/>
    <w:rsid w:val="00B06E99"/>
    <w:rsid w:val="00B07781"/>
    <w:rsid w:val="00BA42D5"/>
    <w:rsid w:val="00BD7567"/>
    <w:rsid w:val="00C051F6"/>
    <w:rsid w:val="00C44CFF"/>
    <w:rsid w:val="00CC5905"/>
    <w:rsid w:val="00DA7DFA"/>
    <w:rsid w:val="00DE6355"/>
    <w:rsid w:val="00E16917"/>
    <w:rsid w:val="00E603DA"/>
    <w:rsid w:val="00E87445"/>
    <w:rsid w:val="00EC5E5F"/>
    <w:rsid w:val="00EE3AE6"/>
    <w:rsid w:val="00F34F50"/>
    <w:rsid w:val="00F91CE7"/>
    <w:rsid w:val="00FE036A"/>
    <w:rsid w:val="0E5C0B86"/>
    <w:rsid w:val="145F04F1"/>
    <w:rsid w:val="15762FB6"/>
    <w:rsid w:val="160C28FB"/>
    <w:rsid w:val="188350F6"/>
    <w:rsid w:val="1B1E70EC"/>
    <w:rsid w:val="1B55313C"/>
    <w:rsid w:val="1DC57394"/>
    <w:rsid w:val="21C81DCC"/>
    <w:rsid w:val="23196D3E"/>
    <w:rsid w:val="26151358"/>
    <w:rsid w:val="2725381D"/>
    <w:rsid w:val="28442F97"/>
    <w:rsid w:val="29E4351B"/>
    <w:rsid w:val="29F85218"/>
    <w:rsid w:val="2CE12CE0"/>
    <w:rsid w:val="2D0D2D89"/>
    <w:rsid w:val="2FBE7CB1"/>
    <w:rsid w:val="311D426F"/>
    <w:rsid w:val="334D0383"/>
    <w:rsid w:val="33B91574"/>
    <w:rsid w:val="3AA77E8B"/>
    <w:rsid w:val="3E9E7CE5"/>
    <w:rsid w:val="4776554D"/>
    <w:rsid w:val="485A1120"/>
    <w:rsid w:val="4AB04516"/>
    <w:rsid w:val="4D3D2E1D"/>
    <w:rsid w:val="50504BB7"/>
    <w:rsid w:val="511931FB"/>
    <w:rsid w:val="5697479B"/>
    <w:rsid w:val="599C3116"/>
    <w:rsid w:val="5AE40D1D"/>
    <w:rsid w:val="5B4F568F"/>
    <w:rsid w:val="5D1458EA"/>
    <w:rsid w:val="5D5E2D2E"/>
    <w:rsid w:val="5E2A16AF"/>
    <w:rsid w:val="5E5F4AA7"/>
    <w:rsid w:val="62570027"/>
    <w:rsid w:val="6C1C3133"/>
    <w:rsid w:val="6E1A53B2"/>
    <w:rsid w:val="6EB938F2"/>
    <w:rsid w:val="70383946"/>
    <w:rsid w:val="7145658E"/>
    <w:rsid w:val="71904AB9"/>
    <w:rsid w:val="719646C8"/>
    <w:rsid w:val="755B1084"/>
    <w:rsid w:val="7A492CF3"/>
    <w:rsid w:val="7B963516"/>
    <w:rsid w:val="7F70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A8119"/>
  <w15:docId w15:val="{44CD1F8F-E780-4194-934B-6D64E2B1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6">
    <w:name w:val="page number"/>
    <w:qFormat/>
  </w:style>
  <w:style w:type="character" w:styleId="a7">
    <w:name w:val="Hyperlink"/>
    <w:basedOn w:val="a0"/>
    <w:uiPriority w:val="99"/>
    <w:unhideWhenUsed/>
    <w:qFormat/>
    <w:rPr>
      <w:color w:val="0026E5" w:themeColor="hyperlink"/>
      <w:u w:val="single"/>
    </w:rPr>
  </w:style>
  <w:style w:type="paragraph" w:customStyle="1" w:styleId="a8">
    <w:name w:val="一级节标题"/>
    <w:basedOn w:val="a"/>
    <w:next w:val="a"/>
    <w:link w:val="Char"/>
    <w:qFormat/>
    <w:pPr>
      <w:snapToGrid w:val="0"/>
      <w:spacing w:before="120" w:after="120"/>
      <w:jc w:val="left"/>
      <w:outlineLvl w:val="1"/>
    </w:pPr>
    <w:rPr>
      <w:b/>
      <w:sz w:val="32"/>
      <w:szCs w:val="36"/>
    </w:rPr>
  </w:style>
  <w:style w:type="character" w:customStyle="1" w:styleId="Char">
    <w:name w:val="一级节标题 Char"/>
    <w:link w:val="a8"/>
    <w:qFormat/>
    <w:rPr>
      <w:rFonts w:ascii="Times New Roman" w:eastAsia="宋体" w:hAnsi="Times New Roman" w:cs="Times New Roman"/>
      <w:b/>
      <w:sz w:val="32"/>
      <w:szCs w:val="36"/>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font11">
    <w:name w:val="font11"/>
    <w:basedOn w:val="a0"/>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D9EB-20A6-4DD9-B0D7-67A0BA0A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2693</Words>
  <Characters>2909</Characters>
  <Application>Microsoft Office Word</Application>
  <DocSecurity>0</DocSecurity>
  <Lines>153</Lines>
  <Paragraphs>147</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ThinkPad</cp:lastModifiedBy>
  <cp:revision>20</cp:revision>
  <dcterms:created xsi:type="dcterms:W3CDTF">2025-05-06T01:00:00Z</dcterms:created>
  <dcterms:modified xsi:type="dcterms:W3CDTF">2025-05-13T03:33:00Z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A015ED9B32C8493E8DA1283249B19350_11</vt:lpwstr>
  </property>
  <property fmtid="{D5CDD505-2E9C-101B-9397-08002B2CF9AE}" pid="4" name="KSOTemplateDocerSaveRecord">
    <vt:lpwstr>eyJoZGlkIjoiNTllMGE4MTkwMTE0NGExZGNkZDczMWY0N2M4M2Q5YzQiLCJ1c2VySWQiOiIzODM3MTIyOTQifQ==</vt:lpwstr>
  </property>
</Properties>
</file>