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AB0F0D" w:rsidRDefault="00000000">
      <w:pPr>
        <w:tabs>
          <w:tab w:val="left" w:pos="7371"/>
        </w:tabs>
        <w:jc w:val="left"/>
      </w:pPr>
      <w:bookmarkStart w:id="0" w:name="_Hlk175905260"/>
      <w:r>
        <w:t>ICS 6</w:t>
      </w:r>
      <w:r>
        <w:rPr>
          <w:rFonts w:hint="eastAsia"/>
        </w:rPr>
        <w:t>5</w:t>
      </w:r>
      <w:r>
        <w:t>.120</w:t>
      </w:r>
    </w:p>
    <w:p w14:paraId="0C14694F" w14:textId="77777777" w:rsidR="00AB0F0D" w:rsidRDefault="00000000">
      <w:pPr>
        <w:jc w:val="left"/>
      </w:pPr>
      <w:r>
        <w:t xml:space="preserve">B </w:t>
      </w:r>
      <w:r>
        <w:rPr>
          <w:rFonts w:hint="eastAsia"/>
        </w:rPr>
        <w:t>20</w:t>
      </w:r>
    </w:p>
    <w:p w14:paraId="0618A763" w14:textId="77777777" w:rsidR="00AB0F0D" w:rsidRDefault="00AB0F0D">
      <w:pPr>
        <w:jc w:val="center"/>
      </w:pPr>
    </w:p>
    <w:p w14:paraId="7ADA3077" w14:textId="77777777" w:rsidR="00AB0F0D" w:rsidRDefault="00AB0F0D">
      <w:pPr>
        <w:jc w:val="center"/>
      </w:pPr>
    </w:p>
    <w:p w14:paraId="1F824B94" w14:textId="77777777" w:rsidR="00AB0F0D" w:rsidRDefault="00000000">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AB0F0D" w:rsidRDefault="00AB0F0D">
      <w:pPr>
        <w:jc w:val="center"/>
        <w:rPr>
          <w:sz w:val="84"/>
          <w:szCs w:val="84"/>
        </w:rPr>
      </w:pPr>
    </w:p>
    <w:p w14:paraId="0BC1CEEF" w14:textId="77777777" w:rsidR="00AB0F0D" w:rsidRDefault="00000000">
      <w:pPr>
        <w:jc w:val="right"/>
        <w:rPr>
          <w:b/>
          <w:bCs/>
        </w:rPr>
      </w:pPr>
      <w:r>
        <w:rPr>
          <w:b/>
          <w:bCs/>
        </w:rPr>
        <w:t>T/HXCY XXX-</w:t>
      </w:r>
      <w:r>
        <w:rPr>
          <w:rFonts w:hint="eastAsia"/>
          <w:b/>
          <w:bCs/>
        </w:rPr>
        <w:t>2025</w:t>
      </w:r>
    </w:p>
    <w:p w14:paraId="252C694A" w14:textId="77777777" w:rsidR="00AB0F0D" w:rsidRDefault="00000000">
      <w:pPr>
        <w:jc w:val="left"/>
        <w:rPr>
          <w:u w:val="single"/>
        </w:rPr>
      </w:pPr>
      <w:r>
        <w:rPr>
          <w:u w:val="single"/>
        </w:rPr>
        <w:t xml:space="preserve">                                                                               </w:t>
      </w:r>
    </w:p>
    <w:p w14:paraId="33CFF3C8" w14:textId="77777777" w:rsidR="00AB0F0D" w:rsidRDefault="00AB0F0D">
      <w:pPr>
        <w:jc w:val="right"/>
        <w:rPr>
          <w:b/>
          <w:bCs/>
        </w:rPr>
      </w:pPr>
    </w:p>
    <w:p w14:paraId="1D765873" w14:textId="77777777" w:rsidR="00AB0F0D" w:rsidRPr="00947E2B" w:rsidRDefault="00000000">
      <w:pPr>
        <w:jc w:val="center"/>
        <w:outlineLvl w:val="0"/>
        <w:rPr>
          <w:rFonts w:eastAsia="黑体"/>
          <w:b/>
          <w:bCs/>
          <w:sz w:val="44"/>
          <w:szCs w:val="44"/>
        </w:rPr>
      </w:pPr>
      <w:bookmarkStart w:id="1" w:name="_Toc2938"/>
      <w:r w:rsidRPr="00947E2B">
        <w:rPr>
          <w:rFonts w:ascii="黑体" w:eastAsia="黑体" w:hAnsi="黑体" w:cs="黑体" w:hint="eastAsia"/>
          <w:b/>
          <w:bCs/>
          <w:sz w:val="44"/>
          <w:szCs w:val="44"/>
        </w:rPr>
        <w:t>喀斯特山区水稻和饲用油菜轮作栽培技术规程</w:t>
      </w:r>
      <w:bookmarkEnd w:id="1"/>
    </w:p>
    <w:bookmarkEnd w:id="0"/>
    <w:p w14:paraId="0BA950EB" w14:textId="77777777" w:rsidR="00AB0F0D" w:rsidRDefault="00000000">
      <w:pPr>
        <w:jc w:val="center"/>
        <w:rPr>
          <w:rFonts w:eastAsia="黑体"/>
          <w:b/>
          <w:bCs/>
          <w:sz w:val="28"/>
          <w:szCs w:val="28"/>
        </w:rPr>
      </w:pPr>
      <w:r>
        <w:rPr>
          <w:rFonts w:eastAsia="黑体" w:hint="eastAsia"/>
          <w:b/>
          <w:bCs/>
          <w:sz w:val="28"/>
          <w:szCs w:val="28"/>
        </w:rPr>
        <w:t>Technical specification for rotation cultivation of rice and forage rape in karst mountainous area</w:t>
      </w:r>
    </w:p>
    <w:p w14:paraId="27A7445D" w14:textId="77777777" w:rsidR="00AB0F0D" w:rsidRDefault="00000000">
      <w:pPr>
        <w:jc w:val="center"/>
        <w:rPr>
          <w:rFonts w:eastAsia="黑体"/>
          <w:sz w:val="24"/>
          <w:szCs w:val="24"/>
        </w:rPr>
      </w:pPr>
      <w:r>
        <w:rPr>
          <w:rFonts w:eastAsia="黑体" w:hint="eastAsia"/>
          <w:sz w:val="24"/>
          <w:szCs w:val="24"/>
        </w:rPr>
        <w:t>（征求意见稿）</w:t>
      </w:r>
    </w:p>
    <w:p w14:paraId="4E2C00CE" w14:textId="77777777" w:rsidR="00947E2B" w:rsidRDefault="00947E2B">
      <w:pPr>
        <w:jc w:val="center"/>
        <w:rPr>
          <w:rFonts w:eastAsia="黑体"/>
          <w:sz w:val="24"/>
          <w:szCs w:val="24"/>
        </w:rPr>
      </w:pPr>
    </w:p>
    <w:p w14:paraId="56711929" w14:textId="77777777" w:rsidR="00947E2B" w:rsidRDefault="00947E2B">
      <w:pPr>
        <w:jc w:val="center"/>
        <w:rPr>
          <w:rFonts w:eastAsia="黑体" w:hint="eastAsia"/>
          <w:sz w:val="24"/>
          <w:szCs w:val="24"/>
        </w:rPr>
      </w:pPr>
    </w:p>
    <w:p w14:paraId="56F65F94" w14:textId="77777777" w:rsidR="00AB0F0D" w:rsidRDefault="00AB0F0D">
      <w:pPr>
        <w:jc w:val="center"/>
        <w:rPr>
          <w:rFonts w:eastAsia="黑体"/>
          <w:sz w:val="48"/>
          <w:szCs w:val="48"/>
        </w:rPr>
      </w:pPr>
    </w:p>
    <w:p w14:paraId="44BD88A8" w14:textId="77777777" w:rsidR="00AB0F0D" w:rsidRDefault="00AB0F0D">
      <w:pPr>
        <w:jc w:val="center"/>
        <w:rPr>
          <w:rFonts w:eastAsia="黑体"/>
          <w:sz w:val="48"/>
          <w:szCs w:val="48"/>
        </w:rPr>
      </w:pPr>
    </w:p>
    <w:p w14:paraId="36307158" w14:textId="77777777" w:rsidR="00AB0F0D" w:rsidRDefault="00AB0F0D">
      <w:pPr>
        <w:jc w:val="center"/>
        <w:rPr>
          <w:rFonts w:eastAsia="黑体"/>
          <w:sz w:val="48"/>
          <w:szCs w:val="48"/>
        </w:rPr>
      </w:pPr>
    </w:p>
    <w:p w14:paraId="7B790E6A" w14:textId="77777777" w:rsidR="00AB0F0D" w:rsidRDefault="00AB0F0D">
      <w:pPr>
        <w:jc w:val="center"/>
        <w:rPr>
          <w:rFonts w:eastAsia="黑体"/>
          <w:sz w:val="48"/>
          <w:szCs w:val="48"/>
        </w:rPr>
      </w:pPr>
    </w:p>
    <w:p w14:paraId="6E2AE35A" w14:textId="77777777" w:rsidR="00AB0F0D" w:rsidRDefault="00AB0F0D">
      <w:pPr>
        <w:jc w:val="center"/>
        <w:rPr>
          <w:rFonts w:eastAsia="黑体"/>
          <w:sz w:val="48"/>
          <w:szCs w:val="48"/>
        </w:rPr>
      </w:pPr>
    </w:p>
    <w:p w14:paraId="7E60F4CB" w14:textId="77777777" w:rsidR="00AB0F0D" w:rsidRDefault="00AB0F0D">
      <w:pPr>
        <w:jc w:val="center"/>
        <w:rPr>
          <w:rFonts w:eastAsia="黑体"/>
          <w:sz w:val="48"/>
          <w:szCs w:val="48"/>
        </w:rPr>
      </w:pPr>
    </w:p>
    <w:p w14:paraId="45EEB118" w14:textId="77777777" w:rsidR="00AB0F0D" w:rsidRDefault="00AB0F0D">
      <w:pPr>
        <w:spacing w:afterLines="100" w:after="312"/>
        <w:rPr>
          <w:rFonts w:ascii="黑体" w:eastAsia="黑体" w:hAnsi="黑体" w:hint="eastAsia"/>
          <w:sz w:val="48"/>
          <w:szCs w:val="48"/>
        </w:rPr>
      </w:pPr>
    </w:p>
    <w:p w14:paraId="710CBB49" w14:textId="77777777" w:rsidR="00AB0F0D" w:rsidRDefault="00000000">
      <w:pPr>
        <w:jc w:val="left"/>
        <w:rPr>
          <w:rFonts w:ascii="黑体" w:eastAsia="黑体" w:hAnsi="黑体" w:hint="eastAsia"/>
          <w:u w:val="single"/>
        </w:rPr>
      </w:pPr>
      <w:r>
        <w:rPr>
          <w:rFonts w:ascii="黑体" w:eastAsia="黑体" w:hAnsi="黑体" w:hint="eastAsia"/>
          <w:u w:val="single"/>
        </w:rPr>
        <w:t>2025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1079C9FF" w14:textId="77777777" w:rsidR="00AB0F0D" w:rsidRDefault="00000000">
      <w:pPr>
        <w:spacing w:beforeLines="100" w:before="312"/>
        <w:jc w:val="center"/>
        <w:sectPr w:rsidR="00AB0F0D">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bookmarkStart w:id="2" w:name="_Toc175908325"/>
      <w:bookmarkStart w:id="3" w:name="_Toc32084"/>
    </w:p>
    <w:p w14:paraId="2B46F376" w14:textId="77777777" w:rsidR="00AB0F0D" w:rsidRDefault="00000000">
      <w:pPr>
        <w:pStyle w:val="a7"/>
      </w:pPr>
      <w:bookmarkStart w:id="4" w:name="_Toc2166"/>
      <w:bookmarkStart w:id="5" w:name="_Toc10660"/>
      <w:bookmarkStart w:id="6" w:name="_Toc15356"/>
      <w:r>
        <w:lastRenderedPageBreak/>
        <w:t>目</w:t>
      </w:r>
      <w:r>
        <w:rPr>
          <w:rFonts w:hint="eastAsia"/>
        </w:rPr>
        <w:t xml:space="preserve">  </w:t>
      </w:r>
      <w:bookmarkEnd w:id="2"/>
      <w:r>
        <w:rPr>
          <w:rFonts w:hint="eastAsia"/>
        </w:rPr>
        <w:t>次</w:t>
      </w:r>
      <w:bookmarkEnd w:id="3"/>
      <w:bookmarkEnd w:id="4"/>
      <w:bookmarkEnd w:id="5"/>
      <w:bookmarkEnd w:id="6"/>
    </w:p>
    <w:sdt>
      <w:sdtPr>
        <w:rPr>
          <w:rFonts w:ascii="宋体" w:hAnsi="宋体"/>
        </w:rPr>
        <w:id w:val="147452723"/>
        <w15:color w:val="DBDBDB"/>
        <w:docPartObj>
          <w:docPartGallery w:val="Table of Contents"/>
          <w:docPartUnique/>
        </w:docPartObj>
      </w:sdtPr>
      <w:sdtEndPr>
        <w:rPr>
          <w:rFonts w:ascii="Times New Roman" w:hAnsi="Times New Roman"/>
        </w:rPr>
      </w:sdtEndPr>
      <w:sdtContent>
        <w:p w14:paraId="2142C2AE" w14:textId="77777777" w:rsidR="00AB0F0D" w:rsidRDefault="00000000">
          <w:pPr>
            <w:jc w:val="center"/>
          </w:pPr>
          <w:r>
            <w:fldChar w:fldCharType="begin"/>
          </w:r>
          <w:r>
            <w:instrText xml:space="preserve">TOC \o "1-1" \h \u </w:instrText>
          </w:r>
          <w:r>
            <w:fldChar w:fldCharType="separate"/>
          </w:r>
        </w:p>
        <w:p w14:paraId="14DA156F" w14:textId="77777777" w:rsidR="00AB0F0D" w:rsidRDefault="00AB0F0D" w:rsidP="002D416F">
          <w:pPr>
            <w:pStyle w:val="TOC1"/>
            <w:tabs>
              <w:tab w:val="right" w:leader="dot" w:pos="8306"/>
            </w:tabs>
            <w:spacing w:line="360" w:lineRule="auto"/>
            <w:rPr>
              <w:rFonts w:ascii="宋体" w:hAnsi="宋体" w:cs="宋体" w:hint="eastAsia"/>
            </w:rPr>
          </w:pPr>
          <w:hyperlink w:anchor="_Toc4500" w:history="1">
            <w:r>
              <w:rPr>
                <w:rFonts w:ascii="宋体" w:hAnsi="宋体" w:cs="宋体" w:hint="eastAsia"/>
              </w:rPr>
              <w:t>前  言</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_Toc4500 \h </w:instrText>
            </w:r>
            <w:r>
              <w:rPr>
                <w:rFonts w:ascii="宋体" w:hAnsi="宋体" w:cs="宋体" w:hint="eastAsia"/>
              </w:rPr>
            </w:r>
            <w:r>
              <w:rPr>
                <w:rFonts w:ascii="宋体" w:hAnsi="宋体" w:cs="宋体" w:hint="eastAsia"/>
              </w:rPr>
              <w:fldChar w:fldCharType="separate"/>
            </w:r>
            <w:r>
              <w:rPr>
                <w:rFonts w:ascii="宋体" w:hAnsi="宋体" w:cs="宋体" w:hint="eastAsia"/>
              </w:rPr>
              <w:t>II</w:t>
            </w:r>
            <w:r>
              <w:rPr>
                <w:rFonts w:ascii="宋体" w:hAnsi="宋体" w:cs="宋体" w:hint="eastAsia"/>
              </w:rPr>
              <w:fldChar w:fldCharType="end"/>
            </w:r>
          </w:hyperlink>
        </w:p>
        <w:p w14:paraId="1BDBAFB9" w14:textId="77777777" w:rsidR="00AB0F0D" w:rsidRDefault="00AB0F0D" w:rsidP="002D416F">
          <w:pPr>
            <w:pStyle w:val="TOC1"/>
            <w:tabs>
              <w:tab w:val="right" w:leader="dot" w:pos="8306"/>
            </w:tabs>
            <w:spacing w:line="360" w:lineRule="auto"/>
            <w:rPr>
              <w:rFonts w:ascii="宋体" w:hAnsi="宋体" w:cs="宋体" w:hint="eastAsia"/>
            </w:rPr>
          </w:pPr>
          <w:hyperlink w:anchor="_Toc17528" w:history="1">
            <w:r>
              <w:rPr>
                <w:rFonts w:ascii="宋体" w:hAnsi="宋体" w:cs="宋体" w:hint="eastAsia"/>
              </w:rPr>
              <w:t>1 范围</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_Toc17528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200B1C17" w14:textId="77777777" w:rsidR="00AB0F0D" w:rsidRDefault="00AB0F0D" w:rsidP="002D416F">
          <w:pPr>
            <w:pStyle w:val="TOC1"/>
            <w:tabs>
              <w:tab w:val="right" w:leader="dot" w:pos="8306"/>
            </w:tabs>
            <w:spacing w:line="360" w:lineRule="auto"/>
            <w:rPr>
              <w:rFonts w:ascii="宋体" w:hAnsi="宋体" w:cs="宋体" w:hint="eastAsia"/>
            </w:rPr>
          </w:pPr>
          <w:hyperlink w:anchor="_Toc2230" w:history="1">
            <w:r>
              <w:rPr>
                <w:rFonts w:ascii="宋体" w:hAnsi="宋体" w:cs="宋体" w:hint="eastAsia"/>
              </w:rPr>
              <w:t>2规范性引用文件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_Toc2230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7A7FCD3B" w14:textId="77777777" w:rsidR="00AB0F0D" w:rsidRDefault="00AB0F0D" w:rsidP="002D416F">
          <w:pPr>
            <w:pStyle w:val="TOC1"/>
            <w:tabs>
              <w:tab w:val="right" w:leader="dot" w:pos="8306"/>
            </w:tabs>
            <w:spacing w:line="360" w:lineRule="auto"/>
            <w:rPr>
              <w:rFonts w:ascii="宋体" w:hAnsi="宋体" w:cs="宋体" w:hint="eastAsia"/>
            </w:rPr>
          </w:pPr>
          <w:hyperlink w:anchor="_Toc1165" w:history="1">
            <w:r>
              <w:rPr>
                <w:rFonts w:ascii="宋体" w:hAnsi="宋体" w:cs="宋体" w:hint="eastAsia"/>
              </w:rPr>
              <w:t>3术语和定义</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_Toc1165 \h </w:instrText>
            </w:r>
            <w:r>
              <w:rPr>
                <w:rFonts w:ascii="宋体" w:hAnsi="宋体" w:cs="宋体" w:hint="eastAsia"/>
              </w:rPr>
            </w:r>
            <w:r>
              <w:rPr>
                <w:rFonts w:ascii="宋体" w:hAnsi="宋体" w:cs="宋体" w:hint="eastAsia"/>
              </w:rPr>
              <w:fldChar w:fldCharType="separate"/>
            </w:r>
            <w:r>
              <w:rPr>
                <w:rFonts w:ascii="宋体" w:hAnsi="宋体" w:cs="宋体" w:hint="eastAsia"/>
              </w:rPr>
              <w:t>1</w:t>
            </w:r>
            <w:r>
              <w:rPr>
                <w:rFonts w:ascii="宋体" w:hAnsi="宋体" w:cs="宋体" w:hint="eastAsia"/>
              </w:rPr>
              <w:fldChar w:fldCharType="end"/>
            </w:r>
          </w:hyperlink>
        </w:p>
        <w:p w14:paraId="54A1A8EF" w14:textId="77777777" w:rsidR="00AB0F0D" w:rsidRDefault="00AB0F0D" w:rsidP="002D416F">
          <w:pPr>
            <w:pStyle w:val="TOC1"/>
            <w:tabs>
              <w:tab w:val="right" w:leader="dot" w:pos="8306"/>
            </w:tabs>
            <w:spacing w:line="360" w:lineRule="auto"/>
            <w:rPr>
              <w:rFonts w:ascii="宋体" w:hAnsi="宋体" w:cs="宋体" w:hint="eastAsia"/>
            </w:rPr>
          </w:pPr>
          <w:hyperlink w:anchor="_Toc6528" w:history="1">
            <w:r>
              <w:rPr>
                <w:rFonts w:ascii="宋体" w:hAnsi="宋体" w:cs="宋体" w:hint="eastAsia"/>
              </w:rPr>
              <w:t>4 整地准备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_Toc6528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21DF78C9" w14:textId="77777777" w:rsidR="00AB0F0D" w:rsidRDefault="00AB0F0D" w:rsidP="002D416F">
          <w:pPr>
            <w:pStyle w:val="TOC1"/>
            <w:tabs>
              <w:tab w:val="right" w:leader="dot" w:pos="8306"/>
            </w:tabs>
            <w:spacing w:line="360" w:lineRule="auto"/>
            <w:rPr>
              <w:rFonts w:ascii="宋体" w:hAnsi="宋体" w:cs="宋体" w:hint="eastAsia"/>
            </w:rPr>
          </w:pPr>
          <w:hyperlink w:anchor="_Toc23218" w:history="1">
            <w:r>
              <w:rPr>
                <w:rFonts w:ascii="宋体" w:hAnsi="宋体" w:cs="宋体" w:hint="eastAsia"/>
              </w:rPr>
              <w:t>5 品种选择</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_Toc23218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0E9AFAAD" w14:textId="77777777" w:rsidR="00AB0F0D" w:rsidRDefault="00AB0F0D" w:rsidP="002D416F">
          <w:pPr>
            <w:pStyle w:val="TOC1"/>
            <w:tabs>
              <w:tab w:val="right" w:leader="dot" w:pos="8306"/>
            </w:tabs>
            <w:spacing w:line="360" w:lineRule="auto"/>
            <w:rPr>
              <w:rFonts w:ascii="宋体" w:hAnsi="宋体" w:cs="宋体" w:hint="eastAsia"/>
            </w:rPr>
          </w:pPr>
          <w:hyperlink w:anchor="_Toc2735" w:history="1">
            <w:r>
              <w:rPr>
                <w:rFonts w:ascii="宋体" w:hAnsi="宋体" w:cs="宋体" w:hint="eastAsia"/>
              </w:rPr>
              <w:t>6 育苗及移栽</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_Toc2735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17A2DAC6" w14:textId="77777777" w:rsidR="00AB0F0D" w:rsidRDefault="00AB0F0D" w:rsidP="002D416F">
          <w:pPr>
            <w:pStyle w:val="TOC1"/>
            <w:tabs>
              <w:tab w:val="right" w:leader="dot" w:pos="8306"/>
            </w:tabs>
            <w:spacing w:line="360" w:lineRule="auto"/>
            <w:rPr>
              <w:rFonts w:ascii="宋体" w:hAnsi="宋体" w:cs="宋体" w:hint="eastAsia"/>
            </w:rPr>
          </w:pPr>
          <w:hyperlink w:anchor="_Toc1259" w:history="1">
            <w:r>
              <w:rPr>
                <w:rFonts w:ascii="宋体" w:hAnsi="宋体" w:cs="宋体" w:hint="eastAsia"/>
              </w:rPr>
              <w:t>6.1 育苗</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_Toc1259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6B907B4A" w14:textId="77777777" w:rsidR="00AB0F0D" w:rsidRDefault="00AB0F0D" w:rsidP="002D416F">
          <w:pPr>
            <w:pStyle w:val="TOC1"/>
            <w:tabs>
              <w:tab w:val="right" w:leader="dot" w:pos="8306"/>
            </w:tabs>
            <w:spacing w:line="360" w:lineRule="auto"/>
            <w:rPr>
              <w:rFonts w:ascii="宋体" w:hAnsi="宋体" w:cs="宋体" w:hint="eastAsia"/>
            </w:rPr>
          </w:pPr>
          <w:hyperlink w:anchor="_Toc2256" w:history="1">
            <w:r>
              <w:rPr>
                <w:rFonts w:ascii="宋体" w:hAnsi="宋体" w:cs="宋体" w:hint="eastAsia"/>
              </w:rPr>
              <w:t>6.2 移栽和定植</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_Toc2256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4E85F94D" w14:textId="77777777" w:rsidR="00AB0F0D" w:rsidRDefault="00AB0F0D" w:rsidP="002D416F">
          <w:pPr>
            <w:pStyle w:val="TOC1"/>
            <w:tabs>
              <w:tab w:val="right" w:leader="dot" w:pos="8306"/>
            </w:tabs>
            <w:spacing w:line="360" w:lineRule="auto"/>
            <w:rPr>
              <w:rFonts w:ascii="宋体" w:hAnsi="宋体" w:cs="宋体" w:hint="eastAsia"/>
            </w:rPr>
          </w:pPr>
          <w:hyperlink w:anchor="_Toc12743" w:history="1">
            <w:r>
              <w:rPr>
                <w:rFonts w:ascii="宋体" w:hAnsi="宋体" w:cs="宋体" w:hint="eastAsia"/>
              </w:rPr>
              <w:t>7 栽培管理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_Toc12743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04921EFD" w14:textId="77777777" w:rsidR="00AB0F0D" w:rsidRDefault="00AB0F0D" w:rsidP="002D416F">
          <w:pPr>
            <w:pStyle w:val="TOC1"/>
            <w:tabs>
              <w:tab w:val="right" w:leader="dot" w:pos="8306"/>
            </w:tabs>
            <w:spacing w:line="360" w:lineRule="auto"/>
            <w:rPr>
              <w:rFonts w:ascii="宋体" w:hAnsi="宋体" w:cs="宋体" w:hint="eastAsia"/>
            </w:rPr>
          </w:pPr>
          <w:hyperlink w:anchor="_Toc13213" w:history="1">
            <w:r>
              <w:rPr>
                <w:rFonts w:ascii="宋体" w:hAnsi="宋体" w:cs="宋体" w:hint="eastAsia"/>
              </w:rPr>
              <w:t>7.1 灌溉</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_Toc13213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2B6BEB51" w14:textId="77777777" w:rsidR="00AB0F0D" w:rsidRDefault="00AB0F0D" w:rsidP="002D416F">
          <w:pPr>
            <w:pStyle w:val="TOC1"/>
            <w:tabs>
              <w:tab w:val="right" w:leader="dot" w:pos="8306"/>
            </w:tabs>
            <w:spacing w:line="360" w:lineRule="auto"/>
            <w:rPr>
              <w:rFonts w:ascii="宋体" w:hAnsi="宋体" w:cs="宋体" w:hint="eastAsia"/>
            </w:rPr>
          </w:pPr>
          <w:hyperlink w:anchor="_Toc10202" w:history="1">
            <w:r>
              <w:rPr>
                <w:rFonts w:ascii="宋体" w:hAnsi="宋体" w:cs="宋体" w:hint="eastAsia"/>
              </w:rPr>
              <w:t>7.2 施肥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_Toc10202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410BB6E7" w14:textId="77777777" w:rsidR="00AB0F0D" w:rsidRDefault="00AB0F0D" w:rsidP="002D416F">
          <w:pPr>
            <w:pStyle w:val="TOC1"/>
            <w:tabs>
              <w:tab w:val="right" w:leader="dot" w:pos="8306"/>
            </w:tabs>
            <w:spacing w:line="360" w:lineRule="auto"/>
            <w:rPr>
              <w:rFonts w:ascii="宋体" w:hAnsi="宋体" w:cs="宋体" w:hint="eastAsia"/>
            </w:rPr>
          </w:pPr>
          <w:hyperlink w:anchor="_Toc19993" w:history="1">
            <w:r>
              <w:rPr>
                <w:rFonts w:ascii="宋体" w:hAnsi="宋体" w:cs="宋体" w:hint="eastAsia"/>
              </w:rPr>
              <w:t>8 收获管理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_Toc19993 \h </w:instrText>
            </w:r>
            <w:r>
              <w:rPr>
                <w:rFonts w:ascii="宋体" w:hAnsi="宋体" w:cs="宋体" w:hint="eastAsia"/>
              </w:rPr>
            </w:r>
            <w:r>
              <w:rPr>
                <w:rFonts w:ascii="宋体" w:hAnsi="宋体" w:cs="宋体" w:hint="eastAsia"/>
              </w:rPr>
              <w:fldChar w:fldCharType="separate"/>
            </w:r>
            <w:r>
              <w:rPr>
                <w:rFonts w:ascii="宋体" w:hAnsi="宋体" w:cs="宋体" w:hint="eastAsia"/>
              </w:rPr>
              <w:t>2</w:t>
            </w:r>
            <w:r>
              <w:rPr>
                <w:rFonts w:ascii="宋体" w:hAnsi="宋体" w:cs="宋体" w:hint="eastAsia"/>
              </w:rPr>
              <w:fldChar w:fldCharType="end"/>
            </w:r>
          </w:hyperlink>
        </w:p>
        <w:p w14:paraId="2FA9F9CF" w14:textId="77777777" w:rsidR="00AB0F0D" w:rsidRDefault="00AB0F0D" w:rsidP="002D416F">
          <w:pPr>
            <w:pStyle w:val="TOC1"/>
            <w:tabs>
              <w:tab w:val="right" w:leader="dot" w:pos="8306"/>
            </w:tabs>
            <w:spacing w:line="360" w:lineRule="auto"/>
          </w:pPr>
          <w:hyperlink w:anchor="_Toc16876" w:history="1">
            <w:r>
              <w:rPr>
                <w:rFonts w:ascii="宋体" w:hAnsi="宋体" w:cs="宋体" w:hint="eastAsia"/>
              </w:rPr>
              <w:t>9 病虫草害防控</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_Toc16876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14:paraId="4B9D0759" w14:textId="77777777" w:rsidR="00AB0F0D" w:rsidRDefault="00000000">
          <w:pPr>
            <w:spacing w:line="360" w:lineRule="auto"/>
            <w:jc w:val="center"/>
          </w:pPr>
          <w:r>
            <w:fldChar w:fldCharType="end"/>
          </w:r>
        </w:p>
      </w:sdtContent>
    </w:sdt>
    <w:p w14:paraId="69452E48" w14:textId="77777777" w:rsidR="00AB0F0D" w:rsidRDefault="00AB0F0D">
      <w:pPr>
        <w:spacing w:line="360" w:lineRule="auto"/>
      </w:pPr>
    </w:p>
    <w:p w14:paraId="2E79CF1A" w14:textId="77777777" w:rsidR="00AB0F0D" w:rsidRDefault="00AB0F0D">
      <w:pPr>
        <w:pStyle w:val="a7"/>
        <w:jc w:val="right"/>
        <w:outlineLvl w:val="9"/>
      </w:pPr>
    </w:p>
    <w:p w14:paraId="622FB626" w14:textId="77777777" w:rsidR="00AB0F0D" w:rsidRDefault="00000000">
      <w:pPr>
        <w:pStyle w:val="a7"/>
        <w:rPr>
          <w:b w:val="0"/>
          <w:bCs w:val="0"/>
        </w:rPr>
      </w:pPr>
      <w:r>
        <w:br w:type="page"/>
      </w:r>
      <w:bookmarkStart w:id="7" w:name="_Toc175908326"/>
      <w:bookmarkStart w:id="8" w:name="_Toc8425"/>
      <w:bookmarkStart w:id="9" w:name="_Toc4500"/>
      <w:r>
        <w:rPr>
          <w:rFonts w:hint="eastAsia"/>
          <w:b w:val="0"/>
          <w:bCs w:val="0"/>
        </w:rPr>
        <w:t>前</w:t>
      </w:r>
      <w:r>
        <w:rPr>
          <w:rFonts w:hint="eastAsia"/>
          <w:b w:val="0"/>
          <w:bCs w:val="0"/>
        </w:rPr>
        <w:t xml:space="preserve">  </w:t>
      </w:r>
      <w:r>
        <w:rPr>
          <w:rFonts w:hint="eastAsia"/>
          <w:b w:val="0"/>
          <w:bCs w:val="0"/>
        </w:rPr>
        <w:t>言</w:t>
      </w:r>
      <w:bookmarkEnd w:id="7"/>
      <w:bookmarkEnd w:id="8"/>
      <w:bookmarkEnd w:id="9"/>
    </w:p>
    <w:p w14:paraId="21FDC532" w14:textId="77777777" w:rsidR="00AB0F0D" w:rsidRDefault="00AB0F0D">
      <w:pPr>
        <w:spacing w:line="360" w:lineRule="auto"/>
        <w:ind w:firstLineChars="200" w:firstLine="480"/>
        <w:jc w:val="left"/>
        <w:rPr>
          <w:sz w:val="24"/>
        </w:rPr>
      </w:pPr>
    </w:p>
    <w:p w14:paraId="785A4413" w14:textId="77777777" w:rsidR="00AB0F0D" w:rsidRDefault="00000000">
      <w:pPr>
        <w:pStyle w:val="aa"/>
        <w:spacing w:line="360" w:lineRule="auto"/>
        <w:ind w:firstLine="420"/>
      </w:pPr>
      <w:r>
        <w:rPr>
          <w:rFonts w:hint="eastAsia"/>
        </w:rPr>
        <w:t>本文件按照GB/T 1.1—2020《标准化工作导则  第1部分：标准化文件的结构和起草规则》的规定起草。</w:t>
      </w:r>
    </w:p>
    <w:p w14:paraId="70FA88B7" w14:textId="77777777" w:rsidR="00AB0F0D" w:rsidRDefault="00000000">
      <w:pPr>
        <w:spacing w:line="360" w:lineRule="auto"/>
        <w:ind w:firstLineChars="200" w:firstLine="420"/>
      </w:pPr>
      <w:r>
        <w:rPr>
          <w:rFonts w:hint="eastAsia"/>
        </w:rPr>
        <w:t>注：在不引起混淆的情况下，本文件中“标准化文件”简称为“文件”。</w:t>
      </w:r>
    </w:p>
    <w:p w14:paraId="66829F8C" w14:textId="77777777" w:rsidR="00AB0F0D" w:rsidRDefault="00000000">
      <w:pPr>
        <w:spacing w:line="360" w:lineRule="auto"/>
        <w:ind w:firstLineChars="200" w:firstLine="420"/>
        <w:rPr>
          <w:highlight w:val="yellow"/>
        </w:rPr>
      </w:pPr>
      <w:r>
        <w:rPr>
          <w:rFonts w:hint="eastAsia"/>
        </w:rPr>
        <w:t>本文件由北京华夏草业产业技术创新战略联盟提出并归口。</w:t>
      </w:r>
    </w:p>
    <w:p w14:paraId="35AF1DCA" w14:textId="3343FF98" w:rsidR="00AB0F0D" w:rsidRDefault="00000000">
      <w:pPr>
        <w:pStyle w:val="aa"/>
        <w:spacing w:line="360" w:lineRule="auto"/>
        <w:ind w:firstLine="420"/>
      </w:pPr>
      <w:r>
        <w:rPr>
          <w:rFonts w:hint="eastAsia"/>
        </w:rPr>
        <w:t>本文件起草单位：贵州大学</w:t>
      </w:r>
      <w:r w:rsidR="00FD60AD">
        <w:rPr>
          <w:rFonts w:hint="eastAsia"/>
        </w:rPr>
        <w:t>、贵州省草地技术试验推广站、思南县农业农村局</w:t>
      </w:r>
    </w:p>
    <w:p w14:paraId="670182D8" w14:textId="39242929" w:rsidR="00AB0F0D" w:rsidRDefault="00000000">
      <w:pPr>
        <w:pStyle w:val="aa"/>
        <w:spacing w:line="360" w:lineRule="auto"/>
        <w:ind w:firstLine="420"/>
        <w:rPr>
          <w:sz w:val="24"/>
          <w:highlight w:val="yellow"/>
        </w:rPr>
      </w:pPr>
      <w:r>
        <w:rPr>
          <w:rFonts w:hint="eastAsia"/>
        </w:rPr>
        <w:t>本文件主要起草人：程巍</w:t>
      </w:r>
      <w:r w:rsidR="00FD60AD">
        <w:rPr>
          <w:rFonts w:hint="eastAsia"/>
        </w:rPr>
        <w:t>、杨园园、龙忠顺、朱欣、席溢、张忠富</w:t>
      </w:r>
    </w:p>
    <w:p w14:paraId="6CCEA1AD" w14:textId="77777777" w:rsidR="00AB0F0D" w:rsidRDefault="00000000">
      <w:pPr>
        <w:spacing w:line="360" w:lineRule="auto"/>
        <w:ind w:firstLineChars="200" w:firstLine="420"/>
        <w:jc w:val="left"/>
      </w:pPr>
      <w:r>
        <w:rPr>
          <w:rFonts w:hint="eastAsia"/>
        </w:rPr>
        <w:t>本文件为首次发布。</w:t>
      </w:r>
    </w:p>
    <w:p w14:paraId="7935B33A" w14:textId="77777777" w:rsidR="00AB0F0D" w:rsidRDefault="00AB0F0D">
      <w:pPr>
        <w:spacing w:line="360" w:lineRule="auto"/>
        <w:ind w:firstLineChars="200" w:firstLine="480"/>
        <w:jc w:val="left"/>
        <w:rPr>
          <w:sz w:val="24"/>
        </w:rPr>
        <w:sectPr w:rsidR="00AB0F0D">
          <w:headerReference w:type="default" r:id="rId7"/>
          <w:footerReference w:type="default" r:id="rId8"/>
          <w:pgSz w:w="11906" w:h="16838"/>
          <w:pgMar w:top="1440" w:right="1800" w:bottom="1440" w:left="1800" w:header="851" w:footer="992" w:gutter="0"/>
          <w:pgNumType w:fmt="upperRoman" w:start="1"/>
          <w:cols w:space="720"/>
          <w:docGrid w:type="lines" w:linePitch="312"/>
        </w:sectPr>
      </w:pPr>
    </w:p>
    <w:p w14:paraId="1F82DA2B" w14:textId="77777777" w:rsidR="00AB0F0D" w:rsidRPr="002D416F" w:rsidRDefault="00000000">
      <w:pPr>
        <w:spacing w:afterLines="100" w:after="312" w:line="360" w:lineRule="auto"/>
        <w:jc w:val="center"/>
        <w:outlineLvl w:val="0"/>
        <w:rPr>
          <w:rFonts w:ascii="黑体" w:eastAsia="黑体" w:hAnsi="黑体" w:cs="黑体" w:hint="eastAsia"/>
          <w:sz w:val="32"/>
          <w:szCs w:val="32"/>
        </w:rPr>
      </w:pPr>
      <w:bookmarkStart w:id="10" w:name="_Toc16031"/>
      <w:r w:rsidRPr="002D416F">
        <w:rPr>
          <w:rFonts w:ascii="黑体" w:eastAsia="黑体" w:hAnsi="黑体" w:cs="宋体" w:hint="eastAsia"/>
          <w:sz w:val="32"/>
          <w:szCs w:val="32"/>
        </w:rPr>
        <w:t>喀斯特山区水稻和饲用油菜轮作栽培</w:t>
      </w:r>
      <w:r w:rsidRPr="002D416F">
        <w:rPr>
          <w:rFonts w:ascii="黑体" w:eastAsia="黑体" w:hAnsi="黑体" w:hint="eastAsia"/>
          <w:sz w:val="32"/>
          <w:szCs w:val="32"/>
        </w:rPr>
        <w:t>技术</w:t>
      </w:r>
      <w:bookmarkEnd w:id="10"/>
    </w:p>
    <w:p w14:paraId="79F876A3" w14:textId="77777777" w:rsidR="00AB0F0D" w:rsidRDefault="00000000">
      <w:pPr>
        <w:pStyle w:val="a7"/>
        <w:spacing w:before="60"/>
        <w:jc w:val="left"/>
        <w:rPr>
          <w:b w:val="0"/>
          <w:bCs w:val="0"/>
          <w:sz w:val="21"/>
          <w:szCs w:val="21"/>
        </w:rPr>
      </w:pPr>
      <w:bookmarkStart w:id="11" w:name="_Toc22273"/>
      <w:bookmarkStart w:id="12" w:name="_Toc175908327"/>
      <w:bookmarkStart w:id="13" w:name="_Toc17528"/>
      <w:r>
        <w:rPr>
          <w:rFonts w:hint="eastAsia"/>
          <w:b w:val="0"/>
          <w:bCs w:val="0"/>
          <w:sz w:val="21"/>
          <w:szCs w:val="21"/>
        </w:rPr>
        <w:t xml:space="preserve">1 </w:t>
      </w:r>
      <w:r>
        <w:rPr>
          <w:rFonts w:hint="eastAsia"/>
          <w:b w:val="0"/>
          <w:bCs w:val="0"/>
          <w:sz w:val="21"/>
          <w:szCs w:val="21"/>
        </w:rPr>
        <w:t>范围</w:t>
      </w:r>
      <w:bookmarkEnd w:id="11"/>
      <w:bookmarkEnd w:id="12"/>
      <w:bookmarkEnd w:id="13"/>
    </w:p>
    <w:p w14:paraId="6EB8E9D8" w14:textId="77777777" w:rsidR="00AB0F0D" w:rsidRDefault="00000000">
      <w:pPr>
        <w:pStyle w:val="aa"/>
        <w:spacing w:line="360" w:lineRule="auto"/>
        <w:ind w:firstLine="420"/>
      </w:pPr>
      <w:r>
        <w:rPr>
          <w:rFonts w:hint="eastAsia"/>
        </w:rPr>
        <w:t>本文件规定了</w:t>
      </w:r>
      <w:r>
        <w:rPr>
          <w:rFonts w:hAnsi="宋体" w:cs="宋体" w:hint="eastAsia"/>
          <w:szCs w:val="21"/>
        </w:rPr>
        <w:t>喀斯特山区水稻和饲用油菜轮作栽培</w:t>
      </w:r>
      <w:r>
        <w:rPr>
          <w:rFonts w:hint="eastAsia"/>
          <w:szCs w:val="21"/>
        </w:rPr>
        <w:t>技术</w:t>
      </w:r>
      <w:r>
        <w:rPr>
          <w:rFonts w:hint="eastAsia"/>
        </w:rPr>
        <w:t>，包括</w:t>
      </w:r>
      <w:r>
        <w:rPr>
          <w:rFonts w:hAnsi="宋体" w:cs="宋体"/>
          <w:szCs w:val="21"/>
        </w:rPr>
        <w:t>管理土壤水分</w:t>
      </w:r>
      <w:r>
        <w:rPr>
          <w:rFonts w:hint="eastAsia"/>
          <w:szCs w:val="21"/>
        </w:rPr>
        <w:t>、</w:t>
      </w:r>
      <w:r>
        <w:rPr>
          <w:rFonts w:hAnsi="宋体" w:cs="宋体"/>
          <w:szCs w:val="21"/>
        </w:rPr>
        <w:t>品种选择</w:t>
      </w:r>
      <w:r>
        <w:rPr>
          <w:rFonts w:hint="eastAsia"/>
        </w:rPr>
        <w:t>、育苗移栽、栽培管理、收获管理、病虫草害防控等技术要求，为贵州省</w:t>
      </w:r>
      <w:r>
        <w:rPr>
          <w:rFonts w:hAnsi="宋体" w:cs="宋体" w:hint="eastAsia"/>
          <w:szCs w:val="21"/>
        </w:rPr>
        <w:t>喀斯特山区水稻和饲用油菜轮作栽培</w:t>
      </w:r>
      <w:r>
        <w:rPr>
          <w:rFonts w:hint="eastAsia"/>
          <w:szCs w:val="21"/>
        </w:rPr>
        <w:t>技术</w:t>
      </w:r>
      <w:r>
        <w:rPr>
          <w:rFonts w:hint="eastAsia"/>
        </w:rPr>
        <w:t>提供更加规范的技术支持。</w:t>
      </w:r>
    </w:p>
    <w:p w14:paraId="21063658" w14:textId="77777777" w:rsidR="00AB0F0D" w:rsidRDefault="00000000">
      <w:pPr>
        <w:pStyle w:val="aa"/>
        <w:spacing w:before="40" w:after="40" w:line="360" w:lineRule="auto"/>
        <w:ind w:firstLine="420"/>
        <w:rPr>
          <w:szCs w:val="21"/>
        </w:rPr>
      </w:pPr>
      <w:r>
        <w:rPr>
          <w:rFonts w:hint="eastAsia"/>
        </w:rPr>
        <w:t>本文件适用于贵州省内从事水稻</w:t>
      </w:r>
      <w:r>
        <w:rPr>
          <w:rFonts w:hint="eastAsia"/>
          <w:szCs w:val="24"/>
        </w:rPr>
        <w:t>饲用</w:t>
      </w:r>
      <w:r>
        <w:rPr>
          <w:rFonts w:hint="eastAsia"/>
        </w:rPr>
        <w:t>油菜轮作种植、管理和收割的农户、农业企业及相关研究机构。旨在通过</w:t>
      </w:r>
      <w:r>
        <w:rPr>
          <w:rFonts w:hAnsi="宋体" w:cs="仿宋_GB2312" w:hint="eastAsia"/>
          <w:szCs w:val="21"/>
        </w:rPr>
        <w:t>设置不同的水肥耦合和轮作栽培处理，重点研究不同种植模式下主要营养元素在饲料饲草和土壤中的分布特征、转移规律及其机理，不同饲料-饲草轮作模式对饲料饲草产量和品质的影响与作用机制，以及不同生态区域种养循环模式下的饲料饲草提质增效关键技术，探明典型生态区域主要饲料饲草产量形成与植物和土壤中营养元素积累之间的关系，揭示增产营养调控机制，开发饲料饲草高效种植技术。</w:t>
      </w:r>
    </w:p>
    <w:p w14:paraId="2512DC03" w14:textId="77777777" w:rsidR="00AB0F0D" w:rsidRDefault="00000000">
      <w:pPr>
        <w:pStyle w:val="a7"/>
        <w:spacing w:before="40" w:after="40" w:line="360" w:lineRule="auto"/>
        <w:jc w:val="left"/>
        <w:rPr>
          <w:b w:val="0"/>
          <w:bCs w:val="0"/>
          <w:sz w:val="21"/>
          <w:szCs w:val="21"/>
        </w:rPr>
      </w:pPr>
      <w:bookmarkStart w:id="14" w:name="_Toc14962"/>
      <w:bookmarkStart w:id="15" w:name="_Toc2230"/>
      <w:r>
        <w:rPr>
          <w:rFonts w:hint="eastAsia"/>
          <w:b w:val="0"/>
          <w:bCs w:val="0"/>
          <w:sz w:val="21"/>
          <w:szCs w:val="21"/>
        </w:rPr>
        <w:t>2</w:t>
      </w:r>
      <w:r>
        <w:rPr>
          <w:rFonts w:hint="eastAsia"/>
          <w:b w:val="0"/>
          <w:bCs w:val="0"/>
          <w:sz w:val="21"/>
          <w:szCs w:val="21"/>
        </w:rPr>
        <w:t>规范性引用文件</w:t>
      </w:r>
      <w:bookmarkEnd w:id="14"/>
      <w:bookmarkEnd w:id="15"/>
    </w:p>
    <w:p w14:paraId="5F8F1590" w14:textId="77777777" w:rsidR="00AB0F0D" w:rsidRDefault="00000000">
      <w:pPr>
        <w:pStyle w:val="ab"/>
        <w:adjustRightInd w:val="0"/>
        <w:spacing w:before="40" w:after="40" w:line="360" w:lineRule="auto"/>
        <w:ind w:firstLine="420"/>
        <w:contextualSpacing/>
        <w:rPr>
          <w:kern w:val="2"/>
          <w:sz w:val="21"/>
          <w:szCs w:val="21"/>
        </w:rPr>
      </w:pPr>
      <w:r>
        <w:rPr>
          <w:kern w:val="2"/>
          <w:sz w:val="21"/>
          <w:szCs w:val="21"/>
        </w:rPr>
        <w:t>下列文件对于本文件的应用是必不可少的。凡是注日期的引用文件，仅注日期的版本适用于本文件。凡是不注日期的引用文件，其最新版本（包括所有的修改单）适用于本文件。</w:t>
      </w:r>
    </w:p>
    <w:p w14:paraId="599B4A57" w14:textId="77777777" w:rsidR="00AB0F0D" w:rsidRDefault="00000000">
      <w:pPr>
        <w:pStyle w:val="ab"/>
        <w:adjustRightInd w:val="0"/>
        <w:spacing w:line="360" w:lineRule="auto"/>
        <w:ind w:firstLine="420"/>
        <w:contextualSpacing/>
        <w:rPr>
          <w:kern w:val="2"/>
          <w:sz w:val="21"/>
          <w:szCs w:val="21"/>
        </w:rPr>
      </w:pPr>
      <w:r>
        <w:rPr>
          <w:rFonts w:hint="eastAsia"/>
          <w:kern w:val="2"/>
          <w:sz w:val="21"/>
          <w:szCs w:val="21"/>
        </w:rPr>
        <w:t xml:space="preserve">DB34/T 795 </w:t>
      </w:r>
      <w:r>
        <w:rPr>
          <w:rFonts w:hint="eastAsia"/>
          <w:kern w:val="2"/>
          <w:sz w:val="21"/>
          <w:szCs w:val="21"/>
        </w:rPr>
        <w:t>机插水稻大田耕整地作业技术规程</w:t>
      </w:r>
    </w:p>
    <w:p w14:paraId="59B2BD63" w14:textId="77777777" w:rsidR="00AB0F0D" w:rsidRDefault="00000000">
      <w:pPr>
        <w:pStyle w:val="ab"/>
        <w:adjustRightInd w:val="0"/>
        <w:spacing w:line="360" w:lineRule="auto"/>
        <w:ind w:firstLine="420"/>
        <w:contextualSpacing/>
        <w:rPr>
          <w:kern w:val="2"/>
          <w:sz w:val="21"/>
          <w:szCs w:val="21"/>
        </w:rPr>
      </w:pPr>
      <w:r>
        <w:rPr>
          <w:rFonts w:hint="eastAsia"/>
          <w:kern w:val="2"/>
          <w:sz w:val="21"/>
          <w:szCs w:val="21"/>
        </w:rPr>
        <w:t>DB36/T 1887-2023</w:t>
      </w:r>
      <w:r>
        <w:rPr>
          <w:rFonts w:hint="eastAsia"/>
          <w:kern w:val="2"/>
          <w:sz w:val="21"/>
          <w:szCs w:val="21"/>
        </w:rPr>
        <w:t>油菜</w:t>
      </w:r>
      <w:r>
        <w:rPr>
          <w:rFonts w:hint="eastAsia"/>
          <w:kern w:val="2"/>
          <w:sz w:val="21"/>
          <w:szCs w:val="21"/>
        </w:rPr>
        <w:t>-</w:t>
      </w:r>
      <w:r>
        <w:rPr>
          <w:rFonts w:hint="eastAsia"/>
          <w:kern w:val="2"/>
          <w:sz w:val="21"/>
          <w:szCs w:val="21"/>
        </w:rPr>
        <w:t>中稻生产技术规程</w:t>
      </w:r>
    </w:p>
    <w:p w14:paraId="0129EBB3" w14:textId="77777777" w:rsidR="00947E2B" w:rsidRDefault="00947E2B" w:rsidP="00947E2B">
      <w:pPr>
        <w:pStyle w:val="ab"/>
        <w:adjustRightInd w:val="0"/>
        <w:spacing w:line="360" w:lineRule="auto"/>
        <w:ind w:firstLine="420"/>
        <w:contextualSpacing/>
        <w:rPr>
          <w:kern w:val="2"/>
          <w:sz w:val="21"/>
          <w:szCs w:val="21"/>
        </w:rPr>
      </w:pPr>
      <w:r>
        <w:rPr>
          <w:rFonts w:hint="eastAsia"/>
          <w:kern w:val="2"/>
          <w:sz w:val="21"/>
          <w:szCs w:val="21"/>
        </w:rPr>
        <w:t xml:space="preserve">DB50_T 1253-2022 </w:t>
      </w:r>
      <w:r>
        <w:rPr>
          <w:rFonts w:hint="eastAsia"/>
          <w:kern w:val="2"/>
          <w:sz w:val="21"/>
          <w:szCs w:val="21"/>
        </w:rPr>
        <w:t>稻油轮作油菜全程机械化生产技术规程</w:t>
      </w:r>
    </w:p>
    <w:p w14:paraId="25906BB2" w14:textId="77777777" w:rsidR="00AB0F0D" w:rsidRDefault="00000000">
      <w:pPr>
        <w:pStyle w:val="ab"/>
        <w:adjustRightInd w:val="0"/>
        <w:spacing w:line="360" w:lineRule="auto"/>
        <w:ind w:firstLine="420"/>
        <w:contextualSpacing/>
        <w:rPr>
          <w:kern w:val="2"/>
          <w:sz w:val="21"/>
          <w:szCs w:val="21"/>
        </w:rPr>
      </w:pPr>
      <w:r>
        <w:rPr>
          <w:rFonts w:hint="eastAsia"/>
          <w:kern w:val="2"/>
          <w:sz w:val="21"/>
          <w:szCs w:val="21"/>
        </w:rPr>
        <w:t>DB3210</w:t>
      </w:r>
      <w:r>
        <w:rPr>
          <w:rFonts w:hint="eastAsia"/>
          <w:kern w:val="2"/>
          <w:sz w:val="21"/>
          <w:szCs w:val="21"/>
        </w:rPr>
        <w:t>∕</w:t>
      </w:r>
      <w:r>
        <w:rPr>
          <w:rFonts w:hint="eastAsia"/>
          <w:kern w:val="2"/>
          <w:sz w:val="21"/>
          <w:szCs w:val="21"/>
        </w:rPr>
        <w:t xml:space="preserve">T 1120-2022 </w:t>
      </w:r>
      <w:r>
        <w:rPr>
          <w:rFonts w:hint="eastAsia"/>
          <w:kern w:val="2"/>
          <w:sz w:val="21"/>
          <w:szCs w:val="21"/>
        </w:rPr>
        <w:t>水稻</w:t>
      </w:r>
      <w:r>
        <w:rPr>
          <w:rFonts w:hint="eastAsia"/>
          <w:kern w:val="2"/>
          <w:sz w:val="21"/>
          <w:szCs w:val="21"/>
        </w:rPr>
        <w:t>-</w:t>
      </w:r>
      <w:r>
        <w:rPr>
          <w:rFonts w:hint="eastAsia"/>
          <w:kern w:val="2"/>
          <w:sz w:val="21"/>
          <w:szCs w:val="21"/>
        </w:rPr>
        <w:t xml:space="preserve">油菜轮作休耕技术规程　</w:t>
      </w:r>
    </w:p>
    <w:p w14:paraId="0E7A077D" w14:textId="77777777" w:rsidR="00947E2B" w:rsidRDefault="00947E2B" w:rsidP="00947E2B">
      <w:pPr>
        <w:pStyle w:val="ab"/>
        <w:adjustRightInd w:val="0"/>
        <w:spacing w:line="360" w:lineRule="auto"/>
        <w:ind w:firstLine="420"/>
        <w:contextualSpacing/>
        <w:rPr>
          <w:kern w:val="2"/>
          <w:sz w:val="21"/>
          <w:szCs w:val="21"/>
        </w:rPr>
      </w:pPr>
      <w:r>
        <w:rPr>
          <w:rFonts w:hint="eastAsia"/>
          <w:sz w:val="21"/>
          <w:szCs w:val="21"/>
        </w:rPr>
        <w:t xml:space="preserve">DB3402-T 71-2024 </w:t>
      </w:r>
      <w:r>
        <w:rPr>
          <w:rFonts w:hint="eastAsia"/>
          <w:sz w:val="21"/>
          <w:szCs w:val="21"/>
        </w:rPr>
        <w:t>油菜水稻高效轮作生产技术规程</w:t>
      </w:r>
    </w:p>
    <w:p w14:paraId="45DB8C71" w14:textId="77777777" w:rsidR="00AB0F0D" w:rsidRDefault="00000000">
      <w:pPr>
        <w:pStyle w:val="ab"/>
        <w:adjustRightInd w:val="0"/>
        <w:spacing w:line="360" w:lineRule="auto"/>
        <w:ind w:firstLine="420"/>
        <w:contextualSpacing/>
        <w:rPr>
          <w:kern w:val="2"/>
          <w:sz w:val="21"/>
          <w:szCs w:val="21"/>
        </w:rPr>
      </w:pPr>
      <w:r>
        <w:rPr>
          <w:rFonts w:hint="eastAsia"/>
          <w:kern w:val="2"/>
          <w:sz w:val="21"/>
          <w:szCs w:val="21"/>
        </w:rPr>
        <w:t xml:space="preserve">NY /496 </w:t>
      </w:r>
      <w:r>
        <w:rPr>
          <w:rFonts w:hint="eastAsia"/>
          <w:kern w:val="2"/>
          <w:sz w:val="21"/>
          <w:szCs w:val="21"/>
        </w:rPr>
        <w:t>肥料合理使用准则</w:t>
      </w:r>
      <w:r>
        <w:rPr>
          <w:rFonts w:hint="eastAsia"/>
          <w:kern w:val="2"/>
          <w:sz w:val="21"/>
          <w:szCs w:val="21"/>
        </w:rPr>
        <w:t xml:space="preserve"> </w:t>
      </w:r>
      <w:r>
        <w:rPr>
          <w:rFonts w:hint="eastAsia"/>
          <w:kern w:val="2"/>
          <w:sz w:val="21"/>
          <w:szCs w:val="21"/>
        </w:rPr>
        <w:t>通则</w:t>
      </w:r>
    </w:p>
    <w:p w14:paraId="2C74AEBC" w14:textId="77777777" w:rsidR="00AB0F0D" w:rsidRDefault="00000000">
      <w:pPr>
        <w:pStyle w:val="a7"/>
        <w:spacing w:before="60" w:line="360" w:lineRule="auto"/>
        <w:jc w:val="left"/>
        <w:rPr>
          <w:b w:val="0"/>
          <w:bCs w:val="0"/>
          <w:sz w:val="21"/>
          <w:szCs w:val="21"/>
        </w:rPr>
      </w:pPr>
      <w:bookmarkStart w:id="16" w:name="_Toc12962"/>
      <w:bookmarkStart w:id="17" w:name="_Toc1165"/>
      <w:r>
        <w:rPr>
          <w:rFonts w:hint="eastAsia"/>
          <w:b w:val="0"/>
          <w:bCs w:val="0"/>
          <w:sz w:val="21"/>
          <w:szCs w:val="21"/>
        </w:rPr>
        <w:t>3</w:t>
      </w:r>
      <w:r>
        <w:rPr>
          <w:rFonts w:hint="eastAsia"/>
          <w:b w:val="0"/>
          <w:bCs w:val="0"/>
          <w:sz w:val="21"/>
          <w:szCs w:val="21"/>
        </w:rPr>
        <w:t>术语和定义</w:t>
      </w:r>
      <w:bookmarkEnd w:id="16"/>
      <w:bookmarkEnd w:id="17"/>
    </w:p>
    <w:p w14:paraId="136036F8" w14:textId="77777777" w:rsidR="00AB0F0D" w:rsidRDefault="00000000">
      <w:pPr>
        <w:pStyle w:val="ab"/>
        <w:adjustRightInd w:val="0"/>
        <w:spacing w:line="360" w:lineRule="auto"/>
        <w:ind w:firstLine="420"/>
        <w:contextualSpacing/>
        <w:rPr>
          <w:kern w:val="2"/>
          <w:sz w:val="21"/>
          <w:szCs w:val="21"/>
        </w:rPr>
      </w:pPr>
      <w:r>
        <w:rPr>
          <w:rFonts w:hint="eastAsia"/>
          <w:kern w:val="2"/>
          <w:sz w:val="21"/>
          <w:szCs w:val="21"/>
        </w:rPr>
        <w:t>下列术语和定义适用于本文件。</w:t>
      </w:r>
    </w:p>
    <w:p w14:paraId="6D29854F" w14:textId="77777777" w:rsidR="00AB0F0D" w:rsidRPr="002D416F" w:rsidRDefault="00000000">
      <w:pPr>
        <w:spacing w:line="360" w:lineRule="auto"/>
        <w:rPr>
          <w:b/>
          <w:bCs/>
        </w:rPr>
      </w:pPr>
      <w:bookmarkStart w:id="18" w:name="_Toc176548713"/>
      <w:bookmarkStart w:id="19" w:name="_Toc18715"/>
      <w:bookmarkStart w:id="20" w:name="_Toc1909"/>
      <w:r w:rsidRPr="002D416F">
        <w:rPr>
          <w:rFonts w:hint="eastAsia"/>
          <w:b/>
          <w:bCs/>
        </w:rPr>
        <w:t>3.1</w:t>
      </w:r>
      <w:bookmarkEnd w:id="18"/>
      <w:r w:rsidRPr="002D416F">
        <w:rPr>
          <w:rFonts w:hint="eastAsia"/>
          <w:b/>
          <w:bCs/>
        </w:rPr>
        <w:t>水稻饲用油菜</w:t>
      </w:r>
      <w:r w:rsidRPr="002D416F">
        <w:rPr>
          <w:rFonts w:hint="eastAsia"/>
          <w:b/>
          <w:bCs/>
        </w:rPr>
        <w:t xml:space="preserve"> </w:t>
      </w:r>
      <w:bookmarkEnd w:id="19"/>
      <w:bookmarkEnd w:id="20"/>
      <w:r w:rsidRPr="002D416F">
        <w:rPr>
          <w:rFonts w:hint="eastAsia"/>
          <w:b/>
          <w:bCs/>
        </w:rPr>
        <w:t>rice forage rape</w:t>
      </w:r>
    </w:p>
    <w:p w14:paraId="6CEC10E5" w14:textId="77777777" w:rsidR="00AB0F0D" w:rsidRDefault="00000000" w:rsidP="002D416F">
      <w:pPr>
        <w:spacing w:line="360" w:lineRule="auto"/>
        <w:ind w:firstLineChars="200" w:firstLine="420"/>
      </w:pPr>
      <w:r>
        <w:rPr>
          <w:rFonts w:hint="eastAsia"/>
        </w:rPr>
        <w:t>饲用作物。</w:t>
      </w:r>
    </w:p>
    <w:p w14:paraId="3751224B" w14:textId="77777777" w:rsidR="00AB0F0D" w:rsidRPr="002D416F" w:rsidRDefault="00000000">
      <w:pPr>
        <w:spacing w:line="360" w:lineRule="auto"/>
        <w:rPr>
          <w:b/>
          <w:bCs/>
        </w:rPr>
      </w:pPr>
      <w:bookmarkStart w:id="21" w:name="_Toc176548714"/>
      <w:bookmarkStart w:id="22" w:name="_Toc13916"/>
      <w:bookmarkStart w:id="23" w:name="_Toc8710"/>
      <w:r w:rsidRPr="002D416F">
        <w:rPr>
          <w:rFonts w:hint="eastAsia"/>
          <w:b/>
          <w:bCs/>
        </w:rPr>
        <w:t xml:space="preserve">3.2 </w:t>
      </w:r>
      <w:bookmarkEnd w:id="21"/>
      <w:r w:rsidRPr="002D416F">
        <w:rPr>
          <w:rFonts w:hint="eastAsia"/>
          <w:b/>
          <w:bCs/>
        </w:rPr>
        <w:t>机械化收割</w:t>
      </w:r>
      <w:r w:rsidRPr="002D416F">
        <w:rPr>
          <w:rFonts w:hint="eastAsia"/>
          <w:b/>
          <w:bCs/>
        </w:rPr>
        <w:t xml:space="preserve"> mechanical harvesting</w:t>
      </w:r>
      <w:bookmarkEnd w:id="22"/>
      <w:bookmarkEnd w:id="23"/>
      <w:r w:rsidRPr="002D416F">
        <w:rPr>
          <w:rFonts w:hint="eastAsia"/>
          <w:b/>
          <w:bCs/>
        </w:rPr>
        <w:t xml:space="preserve"> </w:t>
      </w:r>
    </w:p>
    <w:p w14:paraId="3E9D6FE3" w14:textId="77777777" w:rsidR="00AB0F0D" w:rsidRDefault="00000000" w:rsidP="002D416F">
      <w:pPr>
        <w:spacing w:line="360" w:lineRule="auto"/>
        <w:ind w:firstLineChars="200" w:firstLine="420"/>
      </w:pPr>
      <w:r>
        <w:rPr>
          <w:rFonts w:hint="eastAsia"/>
        </w:rPr>
        <w:t>指使用机械设备进行农作物收割的过程。</w:t>
      </w:r>
    </w:p>
    <w:p w14:paraId="38DA2CBC" w14:textId="77777777" w:rsidR="00AB0F0D" w:rsidRPr="002D416F" w:rsidRDefault="00000000">
      <w:pPr>
        <w:spacing w:line="360" w:lineRule="auto"/>
        <w:rPr>
          <w:b/>
          <w:bCs/>
        </w:rPr>
      </w:pPr>
      <w:bookmarkStart w:id="24" w:name="_Toc176548715"/>
      <w:bookmarkStart w:id="25" w:name="_Toc7630"/>
      <w:bookmarkStart w:id="26" w:name="_Toc21418"/>
      <w:r w:rsidRPr="002D416F">
        <w:rPr>
          <w:rFonts w:hint="eastAsia"/>
          <w:b/>
          <w:bCs/>
        </w:rPr>
        <w:t xml:space="preserve">3.3 </w:t>
      </w:r>
      <w:bookmarkEnd w:id="24"/>
      <w:r w:rsidRPr="002D416F">
        <w:rPr>
          <w:rFonts w:hint="eastAsia"/>
          <w:b/>
          <w:bCs/>
        </w:rPr>
        <w:t>水肥耦合</w:t>
      </w:r>
      <w:r w:rsidRPr="002D416F">
        <w:rPr>
          <w:rFonts w:hint="eastAsia"/>
          <w:b/>
          <w:bCs/>
        </w:rPr>
        <w:t xml:space="preserve"> water-fertilizer integration</w:t>
      </w:r>
      <w:bookmarkEnd w:id="25"/>
      <w:bookmarkEnd w:id="26"/>
    </w:p>
    <w:p w14:paraId="2D878CCE" w14:textId="77777777" w:rsidR="00AB0F0D" w:rsidRDefault="00000000" w:rsidP="002D416F">
      <w:pPr>
        <w:spacing w:line="360" w:lineRule="auto"/>
        <w:ind w:firstLineChars="200" w:firstLine="420"/>
      </w:pPr>
      <w:r>
        <w:rPr>
          <w:rFonts w:hint="eastAsia"/>
        </w:rPr>
        <w:t>将浇水和施肥融为一体的农业新技术，具有省肥节水、省工省力、省时省电、增产高效的特点。</w:t>
      </w:r>
    </w:p>
    <w:p w14:paraId="17F69DCA" w14:textId="77777777" w:rsidR="00AB0F0D" w:rsidRDefault="00000000">
      <w:pPr>
        <w:pStyle w:val="a7"/>
        <w:spacing w:before="60" w:line="360" w:lineRule="auto"/>
        <w:jc w:val="left"/>
        <w:rPr>
          <w:b w:val="0"/>
          <w:bCs w:val="0"/>
          <w:sz w:val="21"/>
          <w:szCs w:val="21"/>
        </w:rPr>
      </w:pPr>
      <w:bookmarkStart w:id="27" w:name="_Toc13799"/>
      <w:bookmarkStart w:id="28" w:name="_Toc6528"/>
      <w:r>
        <w:rPr>
          <w:rFonts w:hint="eastAsia"/>
          <w:b w:val="0"/>
          <w:bCs w:val="0"/>
          <w:sz w:val="21"/>
          <w:szCs w:val="21"/>
        </w:rPr>
        <w:t xml:space="preserve">4 </w:t>
      </w:r>
      <w:bookmarkEnd w:id="27"/>
      <w:r>
        <w:rPr>
          <w:rFonts w:ascii="黑体" w:hAnsi="黑体" w:cs="黑体" w:hint="eastAsia"/>
          <w:b w:val="0"/>
          <w:bCs w:val="0"/>
          <w:sz w:val="21"/>
          <w:szCs w:val="21"/>
        </w:rPr>
        <w:t>整地准备</w:t>
      </w:r>
      <w:bookmarkEnd w:id="28"/>
    </w:p>
    <w:p w14:paraId="60B99FDE" w14:textId="26140A80" w:rsidR="00AB0F0D" w:rsidRDefault="00000000">
      <w:pPr>
        <w:pStyle w:val="ab"/>
        <w:adjustRightInd w:val="0"/>
        <w:spacing w:line="360" w:lineRule="auto"/>
        <w:ind w:firstLine="420"/>
        <w:contextualSpacing/>
        <w:rPr>
          <w:rFonts w:ascii="宋体" w:hAnsi="宋体" w:cs="宋体" w:hint="eastAsia"/>
          <w:sz w:val="21"/>
          <w:szCs w:val="21"/>
        </w:rPr>
      </w:pPr>
      <w:r>
        <w:rPr>
          <w:rFonts w:ascii="宋体" w:hAnsi="宋体" w:cs="宋体" w:hint="eastAsia"/>
          <w:sz w:val="21"/>
          <w:szCs w:val="21"/>
        </w:rPr>
        <w:t>水稻移栽前及时整地，提倡旱耕或湿润旋耕，犁耕深度12</w:t>
      </w:r>
      <w:r w:rsidR="00947E2B" w:rsidRPr="00947E2B">
        <w:rPr>
          <w:rFonts w:ascii="宋体" w:hAnsi="宋体" w:cs="宋体" w:hint="eastAsia"/>
          <w:sz w:val="21"/>
          <w:szCs w:val="21"/>
        </w:rPr>
        <w:t xml:space="preserve"> </w:t>
      </w:r>
      <w:r w:rsidR="00947E2B" w:rsidRPr="00947E2B">
        <w:rPr>
          <w:rFonts w:ascii="宋体" w:hAnsi="宋体" w:cs="宋体" w:hint="eastAsia"/>
          <w:sz w:val="21"/>
          <w:szCs w:val="21"/>
        </w:rPr>
        <w:t>cm</w:t>
      </w:r>
      <w:r w:rsidR="00947E2B">
        <w:rPr>
          <w:rFonts w:ascii="宋体" w:hAnsi="宋体" w:cs="宋体" w:hint="eastAsia"/>
          <w:sz w:val="21"/>
          <w:szCs w:val="21"/>
        </w:rPr>
        <w:t>～</w:t>
      </w:r>
      <w:r>
        <w:rPr>
          <w:rFonts w:ascii="宋体" w:hAnsi="宋体" w:cs="宋体" w:hint="eastAsia"/>
          <w:sz w:val="21"/>
          <w:szCs w:val="21"/>
        </w:rPr>
        <w:t xml:space="preserve">18 </w:t>
      </w:r>
      <w:r w:rsidR="00947E2B" w:rsidRPr="00947E2B">
        <w:rPr>
          <w:rFonts w:ascii="宋体" w:hAnsi="宋体" w:cs="宋体" w:hint="eastAsia"/>
          <w:sz w:val="21"/>
          <w:szCs w:val="21"/>
        </w:rPr>
        <w:t>cm</w:t>
      </w:r>
      <w:r>
        <w:rPr>
          <w:rFonts w:ascii="宋体" w:hAnsi="宋体" w:cs="宋体" w:hint="eastAsia"/>
          <w:sz w:val="21"/>
          <w:szCs w:val="21"/>
        </w:rPr>
        <w:t>，旋耕深度10</w:t>
      </w:r>
      <w:r w:rsidR="00947E2B" w:rsidRPr="00947E2B">
        <w:rPr>
          <w:rFonts w:ascii="宋体" w:hAnsi="宋体" w:cs="宋体" w:hint="eastAsia"/>
          <w:sz w:val="21"/>
          <w:szCs w:val="21"/>
        </w:rPr>
        <w:t xml:space="preserve"> cm</w:t>
      </w:r>
      <w:r w:rsidR="00947E2B">
        <w:rPr>
          <w:rFonts w:ascii="宋体" w:hAnsi="宋体" w:cs="宋体" w:hint="eastAsia"/>
          <w:sz w:val="21"/>
          <w:szCs w:val="21"/>
        </w:rPr>
        <w:t xml:space="preserve"> ～</w:t>
      </w:r>
      <w:r>
        <w:rPr>
          <w:rFonts w:ascii="宋体" w:hAnsi="宋体" w:cs="宋体" w:hint="eastAsia"/>
          <w:sz w:val="21"/>
          <w:szCs w:val="21"/>
        </w:rPr>
        <w:t xml:space="preserve">15 </w:t>
      </w:r>
      <w:r w:rsidR="00947E2B" w:rsidRPr="00947E2B">
        <w:rPr>
          <w:rFonts w:ascii="宋体" w:hAnsi="宋体" w:cs="宋体" w:hint="eastAsia"/>
          <w:sz w:val="21"/>
          <w:szCs w:val="21"/>
        </w:rPr>
        <w:t>cm</w:t>
      </w:r>
      <w:r>
        <w:rPr>
          <w:rFonts w:ascii="宋体" w:hAnsi="宋体" w:cs="宋体" w:hint="eastAsia"/>
          <w:sz w:val="21"/>
          <w:szCs w:val="21"/>
        </w:rPr>
        <w:t>，达到秸秆还田、埋茬覆盖，采用水田耙或平地打浆机平整田面，沉田后达到机插前耕整地质量要求。</w:t>
      </w:r>
    </w:p>
    <w:p w14:paraId="257D2D84" w14:textId="77777777" w:rsidR="00AB0F0D" w:rsidRDefault="00000000">
      <w:pPr>
        <w:pStyle w:val="a7"/>
        <w:jc w:val="both"/>
        <w:rPr>
          <w:b w:val="0"/>
          <w:bCs w:val="0"/>
          <w:sz w:val="21"/>
          <w:szCs w:val="21"/>
        </w:rPr>
      </w:pPr>
      <w:bookmarkStart w:id="29" w:name="_Toc23218"/>
      <w:r>
        <w:rPr>
          <w:b w:val="0"/>
          <w:bCs w:val="0"/>
          <w:sz w:val="21"/>
          <w:szCs w:val="21"/>
        </w:rPr>
        <w:t>5</w:t>
      </w:r>
      <w:r>
        <w:rPr>
          <w:rFonts w:hint="eastAsia"/>
          <w:b w:val="0"/>
          <w:bCs w:val="0"/>
          <w:sz w:val="21"/>
          <w:szCs w:val="21"/>
        </w:rPr>
        <w:t xml:space="preserve"> </w:t>
      </w:r>
      <w:r>
        <w:rPr>
          <w:rFonts w:hint="eastAsia"/>
          <w:b w:val="0"/>
          <w:bCs w:val="0"/>
          <w:sz w:val="21"/>
          <w:szCs w:val="21"/>
        </w:rPr>
        <w:t>品种选择</w:t>
      </w:r>
      <w:bookmarkEnd w:id="29"/>
    </w:p>
    <w:p w14:paraId="11529FAA" w14:textId="77777777" w:rsidR="00AB0F0D" w:rsidRDefault="00000000">
      <w:pPr>
        <w:pStyle w:val="ab"/>
        <w:adjustRightInd w:val="0"/>
        <w:spacing w:line="360" w:lineRule="auto"/>
        <w:ind w:firstLineChars="0" w:firstLine="0"/>
        <w:contextualSpacing/>
        <w:rPr>
          <w:rFonts w:ascii="宋体" w:hAnsi="宋体" w:cs="宋体" w:hint="eastAsia"/>
          <w:sz w:val="21"/>
          <w:szCs w:val="21"/>
        </w:rPr>
      </w:pPr>
      <w:r>
        <w:rPr>
          <w:rFonts w:ascii="黑体" w:eastAsia="黑体" w:hAnsi="黑体" w:cs="黑体" w:hint="eastAsia"/>
          <w:sz w:val="21"/>
          <w:szCs w:val="21"/>
        </w:rPr>
        <w:t xml:space="preserve">    </w:t>
      </w:r>
      <w:r>
        <w:rPr>
          <w:rFonts w:ascii="宋体" w:hAnsi="宋体" w:cs="宋体" w:hint="eastAsia"/>
          <w:sz w:val="21"/>
          <w:szCs w:val="21"/>
        </w:rPr>
        <w:t>选用丰产、优质、耐高温、抗倒伏、抗裂角、抗病，适合机械化作求的水稻油菜品种。</w:t>
      </w:r>
    </w:p>
    <w:p w14:paraId="1A13DAC0" w14:textId="77777777" w:rsidR="00AB0F0D" w:rsidRDefault="00000000">
      <w:pPr>
        <w:pStyle w:val="a7"/>
        <w:spacing w:before="60" w:line="360" w:lineRule="auto"/>
        <w:jc w:val="left"/>
        <w:rPr>
          <w:b w:val="0"/>
          <w:bCs w:val="0"/>
          <w:sz w:val="21"/>
          <w:szCs w:val="21"/>
        </w:rPr>
      </w:pPr>
      <w:bookmarkStart w:id="30" w:name="_Toc7784"/>
      <w:bookmarkStart w:id="31" w:name="_Toc2735"/>
      <w:r>
        <w:rPr>
          <w:rFonts w:hint="eastAsia"/>
          <w:b w:val="0"/>
          <w:bCs w:val="0"/>
          <w:sz w:val="21"/>
          <w:szCs w:val="21"/>
        </w:rPr>
        <w:t xml:space="preserve">6 </w:t>
      </w:r>
      <w:r>
        <w:rPr>
          <w:rFonts w:hint="eastAsia"/>
          <w:b w:val="0"/>
          <w:bCs w:val="0"/>
          <w:sz w:val="21"/>
          <w:szCs w:val="21"/>
        </w:rPr>
        <w:t>育苗及</w:t>
      </w:r>
      <w:bookmarkEnd w:id="30"/>
      <w:r>
        <w:rPr>
          <w:rFonts w:hint="eastAsia"/>
          <w:b w:val="0"/>
          <w:bCs w:val="0"/>
          <w:sz w:val="21"/>
          <w:szCs w:val="21"/>
        </w:rPr>
        <w:t>移栽</w:t>
      </w:r>
      <w:bookmarkEnd w:id="31"/>
    </w:p>
    <w:p w14:paraId="08DB2E25" w14:textId="77777777" w:rsidR="00AB0F0D" w:rsidRDefault="00000000">
      <w:pPr>
        <w:pStyle w:val="a7"/>
        <w:spacing w:before="60"/>
        <w:jc w:val="left"/>
        <w:rPr>
          <w:b w:val="0"/>
          <w:bCs w:val="0"/>
          <w:sz w:val="21"/>
          <w:szCs w:val="21"/>
        </w:rPr>
      </w:pPr>
      <w:bookmarkStart w:id="32" w:name="_Toc10141"/>
      <w:bookmarkStart w:id="33" w:name="_Toc28105"/>
      <w:bookmarkStart w:id="34" w:name="_Toc1259"/>
      <w:r>
        <w:rPr>
          <w:rFonts w:hint="eastAsia"/>
          <w:b w:val="0"/>
          <w:bCs w:val="0"/>
          <w:sz w:val="21"/>
          <w:szCs w:val="21"/>
        </w:rPr>
        <w:t xml:space="preserve">6.1 </w:t>
      </w:r>
      <w:r>
        <w:rPr>
          <w:rFonts w:hint="eastAsia"/>
          <w:b w:val="0"/>
          <w:bCs w:val="0"/>
          <w:sz w:val="21"/>
          <w:szCs w:val="21"/>
        </w:rPr>
        <w:t>育苗</w:t>
      </w:r>
      <w:bookmarkEnd w:id="32"/>
      <w:bookmarkEnd w:id="33"/>
      <w:bookmarkEnd w:id="34"/>
    </w:p>
    <w:p w14:paraId="7A1099F9" w14:textId="77777777" w:rsidR="00AB0F0D" w:rsidRDefault="00000000">
      <w:pPr>
        <w:spacing w:line="360" w:lineRule="auto"/>
        <w:ind w:firstLineChars="200" w:firstLine="420"/>
      </w:pPr>
      <w:r>
        <w:t>选取适合贵州省</w:t>
      </w:r>
      <w:r>
        <w:rPr>
          <w:rFonts w:hint="eastAsia"/>
        </w:rPr>
        <w:t>思南地区</w:t>
      </w:r>
      <w:r>
        <w:t>气候条件的高产优质</w:t>
      </w:r>
      <w:r>
        <w:rPr>
          <w:rFonts w:hint="eastAsia"/>
        </w:rPr>
        <w:t>水稻油菜</w:t>
      </w:r>
      <w:r>
        <w:t>品种，选取种子应纯净度和发芽率高，保证育苗的成功率。</w:t>
      </w:r>
    </w:p>
    <w:p w14:paraId="665B2A51" w14:textId="77777777" w:rsidR="00AB0F0D" w:rsidRDefault="00000000">
      <w:pPr>
        <w:pStyle w:val="a7"/>
        <w:spacing w:before="60"/>
        <w:jc w:val="left"/>
        <w:rPr>
          <w:b w:val="0"/>
          <w:bCs w:val="0"/>
          <w:sz w:val="21"/>
          <w:szCs w:val="21"/>
        </w:rPr>
      </w:pPr>
      <w:bookmarkStart w:id="35" w:name="_Toc32692"/>
      <w:bookmarkStart w:id="36" w:name="_Toc9663"/>
      <w:bookmarkStart w:id="37" w:name="_Toc2256"/>
      <w:r>
        <w:rPr>
          <w:rFonts w:hint="eastAsia"/>
          <w:b w:val="0"/>
          <w:bCs w:val="0"/>
          <w:sz w:val="21"/>
          <w:szCs w:val="21"/>
        </w:rPr>
        <w:t xml:space="preserve">6.2 </w:t>
      </w:r>
      <w:r>
        <w:rPr>
          <w:rFonts w:hint="eastAsia"/>
          <w:b w:val="0"/>
          <w:bCs w:val="0"/>
          <w:sz w:val="21"/>
          <w:szCs w:val="21"/>
        </w:rPr>
        <w:t>移栽和定植</w:t>
      </w:r>
      <w:bookmarkEnd w:id="35"/>
      <w:bookmarkEnd w:id="36"/>
      <w:bookmarkEnd w:id="37"/>
    </w:p>
    <w:p w14:paraId="1417BC6F" w14:textId="663EF991" w:rsidR="00AB0F0D" w:rsidRDefault="00000000">
      <w:pPr>
        <w:spacing w:line="360" w:lineRule="auto"/>
        <w:ind w:firstLineChars="200" w:firstLine="420"/>
      </w:pPr>
      <w:r>
        <w:rPr>
          <w:rFonts w:hint="eastAsia"/>
        </w:rPr>
        <w:t>育苗</w:t>
      </w:r>
      <w:r>
        <w:rPr>
          <w:rFonts w:hint="eastAsia"/>
        </w:rPr>
        <w:t>30</w:t>
      </w:r>
      <w:r>
        <w:rPr>
          <w:rFonts w:hint="eastAsia"/>
        </w:rPr>
        <w:t>天左右</w:t>
      </w:r>
      <w:r>
        <w:t>，即可进行移栽，</w:t>
      </w:r>
      <w:r>
        <w:rPr>
          <w:rFonts w:hint="eastAsia"/>
        </w:rPr>
        <w:t>水稻</w:t>
      </w:r>
      <w:r>
        <w:t>一般选择在</w:t>
      </w:r>
      <w:r>
        <w:rPr>
          <w:rFonts w:hint="eastAsia"/>
        </w:rPr>
        <w:t>6</w:t>
      </w:r>
      <w:r>
        <w:rPr>
          <w:rFonts w:hint="eastAsia"/>
        </w:rPr>
        <w:t>月上旬</w:t>
      </w:r>
      <w:r>
        <w:t>进行</w:t>
      </w:r>
      <w:r>
        <w:rPr>
          <w:rFonts w:hint="eastAsia"/>
        </w:rPr>
        <w:t>移栽</w:t>
      </w:r>
      <w:r>
        <w:t>，</w:t>
      </w:r>
      <w:r>
        <w:rPr>
          <w:rFonts w:hint="eastAsia"/>
        </w:rPr>
        <w:t>饲用油菜在十月中旬移栽，移栽前</w:t>
      </w:r>
      <w:r>
        <w:t>并提前做好封闭除草，施有机肥</w:t>
      </w:r>
      <w:r>
        <w:rPr>
          <w:rFonts w:hint="eastAsia"/>
        </w:rPr>
        <w:t>和复合肥</w:t>
      </w:r>
      <w:r>
        <w:t>作为基肥。密度控制在株距</w:t>
      </w:r>
      <w:r>
        <w:rPr>
          <w:rFonts w:hint="eastAsia"/>
        </w:rPr>
        <w:t>2</w:t>
      </w:r>
      <w:r>
        <w:t>0</w:t>
      </w:r>
      <w:r w:rsidR="00FD60AD">
        <w:rPr>
          <w:rFonts w:hint="eastAsia"/>
        </w:rPr>
        <w:t xml:space="preserve"> </w:t>
      </w:r>
      <w:r>
        <w:t>cm</w:t>
      </w:r>
      <w:r>
        <w:t>左右，行距</w:t>
      </w:r>
      <w:r>
        <w:rPr>
          <w:rFonts w:hint="eastAsia"/>
        </w:rPr>
        <w:t>3</w:t>
      </w:r>
      <w:r>
        <w:t>0</w:t>
      </w:r>
      <w:r w:rsidR="00FD60AD">
        <w:rPr>
          <w:rFonts w:hint="eastAsia"/>
        </w:rPr>
        <w:t xml:space="preserve"> </w:t>
      </w:r>
      <w:r>
        <w:t>cm</w:t>
      </w:r>
      <w:r>
        <w:rPr>
          <w:rFonts w:hint="eastAsia"/>
        </w:rPr>
        <w:t>左右</w:t>
      </w:r>
      <w:r>
        <w:t>，苗期注意病虫害及杂草防止，若久旱无雨，需补水灌溉。</w:t>
      </w:r>
    </w:p>
    <w:p w14:paraId="4DDF3422" w14:textId="77777777" w:rsidR="00AB0F0D" w:rsidRDefault="00000000">
      <w:pPr>
        <w:pStyle w:val="a7"/>
        <w:spacing w:before="60" w:line="360" w:lineRule="auto"/>
        <w:jc w:val="left"/>
        <w:rPr>
          <w:b w:val="0"/>
          <w:bCs w:val="0"/>
          <w:sz w:val="21"/>
          <w:szCs w:val="21"/>
        </w:rPr>
      </w:pPr>
      <w:bookmarkStart w:id="38" w:name="_Toc24510"/>
      <w:bookmarkStart w:id="39" w:name="_Toc12743"/>
      <w:r>
        <w:rPr>
          <w:rFonts w:hint="eastAsia"/>
          <w:b w:val="0"/>
          <w:bCs w:val="0"/>
          <w:sz w:val="21"/>
          <w:szCs w:val="21"/>
        </w:rPr>
        <w:t xml:space="preserve">7 </w:t>
      </w:r>
      <w:r>
        <w:rPr>
          <w:rFonts w:hint="eastAsia"/>
          <w:b w:val="0"/>
          <w:bCs w:val="0"/>
          <w:sz w:val="21"/>
          <w:szCs w:val="21"/>
        </w:rPr>
        <w:t>栽培管理</w:t>
      </w:r>
      <w:bookmarkEnd w:id="38"/>
      <w:bookmarkEnd w:id="39"/>
    </w:p>
    <w:p w14:paraId="5DCE4126" w14:textId="77777777" w:rsidR="00AB0F0D" w:rsidRDefault="00000000">
      <w:pPr>
        <w:pStyle w:val="a7"/>
        <w:spacing w:before="60"/>
        <w:jc w:val="left"/>
        <w:rPr>
          <w:b w:val="0"/>
          <w:bCs w:val="0"/>
          <w:sz w:val="21"/>
          <w:szCs w:val="21"/>
        </w:rPr>
      </w:pPr>
      <w:bookmarkStart w:id="40" w:name="_Toc31857"/>
      <w:bookmarkStart w:id="41" w:name="_Toc20308"/>
      <w:bookmarkStart w:id="42" w:name="_Toc13213"/>
      <w:r>
        <w:rPr>
          <w:rFonts w:hint="eastAsia"/>
          <w:b w:val="0"/>
          <w:bCs w:val="0"/>
          <w:sz w:val="21"/>
          <w:szCs w:val="21"/>
        </w:rPr>
        <w:t xml:space="preserve">7.1 </w:t>
      </w:r>
      <w:r>
        <w:rPr>
          <w:rFonts w:hint="eastAsia"/>
          <w:b w:val="0"/>
          <w:bCs w:val="0"/>
          <w:sz w:val="21"/>
          <w:szCs w:val="21"/>
        </w:rPr>
        <w:t>灌溉</w:t>
      </w:r>
      <w:bookmarkEnd w:id="40"/>
      <w:bookmarkEnd w:id="41"/>
      <w:bookmarkEnd w:id="42"/>
    </w:p>
    <w:p w14:paraId="058D07D9" w14:textId="48080434" w:rsidR="00AB0F0D" w:rsidRDefault="00000000">
      <w:pPr>
        <w:spacing w:line="360" w:lineRule="auto"/>
        <w:ind w:firstLineChars="200" w:firstLine="420"/>
      </w:pPr>
      <w:bookmarkStart w:id="43" w:name="_Toc5747"/>
      <w:bookmarkStart w:id="44" w:name="_Toc13648"/>
      <w:r>
        <w:rPr>
          <w:rFonts w:hint="eastAsia"/>
        </w:rPr>
        <w:t>在幼苗栽种后需适时灌溉</w:t>
      </w:r>
      <w:r>
        <w:rPr>
          <w:rFonts w:hint="eastAsia"/>
        </w:rPr>
        <w:t>1</w:t>
      </w:r>
      <w:r w:rsidR="00947E2B">
        <w:rPr>
          <w:rFonts w:hint="eastAsia"/>
        </w:rPr>
        <w:t xml:space="preserve"> cm</w:t>
      </w:r>
      <w:r w:rsidR="00947E2B">
        <w:rPr>
          <w:rFonts w:ascii="宋体" w:hAnsi="宋体" w:hint="eastAsia"/>
        </w:rPr>
        <w:t>～</w:t>
      </w:r>
      <w:r>
        <w:rPr>
          <w:rFonts w:hint="eastAsia"/>
        </w:rPr>
        <w:t>3 cm</w:t>
      </w:r>
      <w:r>
        <w:rPr>
          <w:rFonts w:hint="eastAsia"/>
        </w:rPr>
        <w:t>浅水活苗促分蘖以确保幼苗成活和正常生长。灌浆结实期干湿交替灌溉，收获前</w:t>
      </w:r>
      <w:r>
        <w:rPr>
          <w:rFonts w:hint="eastAsia"/>
        </w:rPr>
        <w:t>10</w:t>
      </w:r>
      <w:r w:rsidR="00947E2B">
        <w:rPr>
          <w:rFonts w:hint="eastAsia"/>
        </w:rPr>
        <w:t>天</w:t>
      </w:r>
      <w:r>
        <w:rPr>
          <w:rFonts w:hint="eastAsia"/>
        </w:rPr>
        <w:t>～</w:t>
      </w:r>
      <w:r>
        <w:rPr>
          <w:rFonts w:hint="eastAsia"/>
        </w:rPr>
        <w:t>12</w:t>
      </w:r>
      <w:r>
        <w:rPr>
          <w:rFonts w:hint="eastAsia"/>
        </w:rPr>
        <w:t>天结合施保根肥留田面水深</w:t>
      </w:r>
      <w:r>
        <w:rPr>
          <w:rFonts w:hint="eastAsia"/>
        </w:rPr>
        <w:t>1</w:t>
      </w:r>
      <w:r w:rsidR="00FD60AD">
        <w:rPr>
          <w:rFonts w:hint="eastAsia"/>
        </w:rPr>
        <w:t xml:space="preserve"> cm</w:t>
      </w:r>
      <w:r>
        <w:rPr>
          <w:rFonts w:hint="eastAsia"/>
        </w:rPr>
        <w:t>左右，然后让水分自然落干，保证收割时稻田晒干至土壤相对含水量</w:t>
      </w:r>
      <w:r>
        <w:rPr>
          <w:rFonts w:hint="eastAsia"/>
        </w:rPr>
        <w:t>35%</w:t>
      </w:r>
      <w:r>
        <w:rPr>
          <w:rFonts w:hint="eastAsia"/>
        </w:rPr>
        <w:t>左右。</w:t>
      </w:r>
    </w:p>
    <w:p w14:paraId="656333C6" w14:textId="77777777" w:rsidR="00AB0F0D" w:rsidRDefault="00000000">
      <w:pPr>
        <w:pStyle w:val="a7"/>
        <w:spacing w:before="60"/>
        <w:jc w:val="left"/>
        <w:rPr>
          <w:b w:val="0"/>
          <w:bCs w:val="0"/>
          <w:sz w:val="21"/>
          <w:szCs w:val="21"/>
        </w:rPr>
      </w:pPr>
      <w:bookmarkStart w:id="45" w:name="_Toc10202"/>
      <w:r>
        <w:rPr>
          <w:rFonts w:hint="eastAsia"/>
          <w:b w:val="0"/>
          <w:bCs w:val="0"/>
          <w:sz w:val="21"/>
          <w:szCs w:val="21"/>
        </w:rPr>
        <w:t xml:space="preserve">7.2 </w:t>
      </w:r>
      <w:r>
        <w:rPr>
          <w:rFonts w:hint="eastAsia"/>
          <w:b w:val="0"/>
          <w:bCs w:val="0"/>
          <w:sz w:val="21"/>
          <w:szCs w:val="21"/>
        </w:rPr>
        <w:t>施肥</w:t>
      </w:r>
      <w:bookmarkEnd w:id="43"/>
      <w:bookmarkEnd w:id="44"/>
      <w:bookmarkEnd w:id="45"/>
    </w:p>
    <w:p w14:paraId="6BD5DDE9" w14:textId="77777777" w:rsidR="00AB0F0D" w:rsidRDefault="00000000">
      <w:pPr>
        <w:pStyle w:val="aa"/>
        <w:spacing w:line="360" w:lineRule="auto"/>
        <w:ind w:firstLine="420"/>
      </w:pPr>
      <w:r>
        <w:rPr>
          <w:rFonts w:hint="eastAsia"/>
        </w:rPr>
        <w:t>种植前适量施入有机肥料（纯牛粪）和复合肥，分蘖期追施N肥7.5 kg每亩。</w:t>
      </w:r>
    </w:p>
    <w:p w14:paraId="09C82D98" w14:textId="77777777" w:rsidR="00AB0F0D" w:rsidRDefault="00000000">
      <w:pPr>
        <w:pStyle w:val="a7"/>
        <w:spacing w:before="60" w:line="360" w:lineRule="auto"/>
        <w:jc w:val="left"/>
        <w:rPr>
          <w:b w:val="0"/>
          <w:bCs w:val="0"/>
          <w:sz w:val="21"/>
          <w:szCs w:val="21"/>
        </w:rPr>
      </w:pPr>
      <w:bookmarkStart w:id="46" w:name="_Toc19835"/>
      <w:bookmarkStart w:id="47" w:name="_Toc19993"/>
      <w:r>
        <w:rPr>
          <w:rFonts w:hint="eastAsia"/>
          <w:b w:val="0"/>
          <w:bCs w:val="0"/>
          <w:sz w:val="21"/>
          <w:szCs w:val="21"/>
        </w:rPr>
        <w:t xml:space="preserve">8 </w:t>
      </w:r>
      <w:bookmarkEnd w:id="46"/>
      <w:r>
        <w:rPr>
          <w:rFonts w:hint="eastAsia"/>
          <w:b w:val="0"/>
          <w:bCs w:val="0"/>
          <w:sz w:val="21"/>
          <w:szCs w:val="21"/>
        </w:rPr>
        <w:t>收获管理</w:t>
      </w:r>
      <w:bookmarkEnd w:id="47"/>
    </w:p>
    <w:p w14:paraId="27C0D820" w14:textId="77777777" w:rsidR="00AB0F0D" w:rsidRDefault="00000000">
      <w:pPr>
        <w:pStyle w:val="aa"/>
        <w:spacing w:line="360" w:lineRule="auto"/>
        <w:ind w:firstLineChars="0" w:firstLine="0"/>
      </w:pPr>
      <w:r>
        <w:rPr>
          <w:rFonts w:ascii="Times New Roman" w:hint="eastAsia"/>
        </w:rPr>
        <w:t>8</w:t>
      </w:r>
      <w:r>
        <w:rPr>
          <w:rFonts w:ascii="Times New Roman"/>
        </w:rPr>
        <w:t>.1</w:t>
      </w:r>
      <w:r>
        <w:rPr>
          <w:rFonts w:hint="eastAsia"/>
        </w:rPr>
        <w:t xml:space="preserve"> </w:t>
      </w:r>
      <w:r>
        <w:rPr>
          <w:rFonts w:ascii="黑体" w:eastAsia="黑体" w:hAnsi="黑体" w:cs="黑体" w:hint="eastAsia"/>
        </w:rPr>
        <w:t>收获时期、方式</w:t>
      </w:r>
    </w:p>
    <w:p w14:paraId="07EED7EF" w14:textId="459A9D03" w:rsidR="00AB0F0D" w:rsidRDefault="00000000">
      <w:pPr>
        <w:pStyle w:val="aa"/>
        <w:spacing w:line="360" w:lineRule="auto"/>
        <w:ind w:firstLine="420"/>
        <w:rPr>
          <w:rFonts w:ascii="Times New Roman"/>
        </w:rPr>
      </w:pPr>
      <w:r>
        <w:rPr>
          <w:rFonts w:ascii="Times New Roman"/>
        </w:rPr>
        <w:t>应</w:t>
      </w:r>
      <w:r>
        <w:rPr>
          <w:rFonts w:hint="eastAsia"/>
        </w:rPr>
        <w:t>季稻达九成到九五成熟时即可视天气情况抢晴收割，留桩高度以再生季安全齐穗为前提</w:t>
      </w:r>
      <w:r>
        <w:rPr>
          <w:rFonts w:ascii="Times New Roman"/>
        </w:rPr>
        <w:t>。</w:t>
      </w:r>
      <w:r>
        <w:rPr>
          <w:rFonts w:hint="eastAsia"/>
        </w:rPr>
        <w:t>油菜收获分为联合收获和分段收获两种方式。采用联合收获方式时，应在全田 90%以上油菜角果外观颜色全部变黄色或褐色，完熟度基本一致的条件下进行。采用分段收获方式时，应在全田油菜80％角果外观颜色呈黄绿或淡黄，种皮也由绿色转为红褐色，人工进行割晒作业；将割倒的油菜就地晾晒后熟 5</w:t>
      </w:r>
      <w:r w:rsidR="00947E2B">
        <w:rPr>
          <w:rFonts w:hint="eastAsia"/>
        </w:rPr>
        <w:t>天</w:t>
      </w:r>
      <w:r w:rsidR="00947E2B">
        <w:rPr>
          <w:rFonts w:hAnsi="宋体" w:hint="eastAsia"/>
        </w:rPr>
        <w:t>～</w:t>
      </w:r>
      <w:r>
        <w:rPr>
          <w:rFonts w:hint="eastAsia"/>
        </w:rPr>
        <w:t>7 天（根据天气，晾晒时间可以延长），成熟度达到 95%后，用捡拾收获机进行捡拾、脱粒及清选作业。</w:t>
      </w:r>
    </w:p>
    <w:p w14:paraId="3BFF6EA9" w14:textId="77777777" w:rsidR="00AB0F0D" w:rsidRDefault="00000000">
      <w:pPr>
        <w:pStyle w:val="aa"/>
        <w:spacing w:line="360" w:lineRule="auto"/>
        <w:ind w:firstLineChars="0" w:firstLine="0"/>
        <w:outlineLvl w:val="0"/>
        <w:rPr>
          <w:rFonts w:ascii="黑体" w:eastAsia="黑体" w:hAnsi="黑体" w:cs="黑体" w:hint="eastAsia"/>
        </w:rPr>
      </w:pPr>
      <w:bookmarkStart w:id="48" w:name="_Toc16876"/>
      <w:r>
        <w:rPr>
          <w:rFonts w:hAnsi="宋体" w:cs="宋体" w:hint="eastAsia"/>
        </w:rPr>
        <w:t xml:space="preserve">9 </w:t>
      </w:r>
      <w:r>
        <w:rPr>
          <w:rFonts w:ascii="黑体" w:eastAsia="黑体" w:hAnsi="黑体" w:cs="黑体" w:hint="eastAsia"/>
        </w:rPr>
        <w:t>病虫草害防控</w:t>
      </w:r>
      <w:bookmarkEnd w:id="48"/>
    </w:p>
    <w:p w14:paraId="57011CC3" w14:textId="77777777" w:rsidR="00AB0F0D" w:rsidRDefault="00000000" w:rsidP="002D416F">
      <w:pPr>
        <w:pStyle w:val="aa"/>
        <w:spacing w:line="360" w:lineRule="auto"/>
        <w:ind w:firstLine="420"/>
        <w:rPr>
          <w:rFonts w:hAnsi="宋体" w:cs="宋体" w:hint="eastAsia"/>
        </w:rPr>
      </w:pPr>
      <w:r>
        <w:rPr>
          <w:rFonts w:hAnsi="宋体" w:cs="宋体" w:hint="eastAsia"/>
        </w:rPr>
        <w:t>建立有效的病虫草害监测预警机制，推广生物防治与化学防治相结合的方法。</w:t>
      </w:r>
    </w:p>
    <w:p w14:paraId="54C4C570" w14:textId="50CE4F89" w:rsidR="00AB0F0D" w:rsidRDefault="00000000" w:rsidP="002D416F">
      <w:pPr>
        <w:pStyle w:val="aa"/>
        <w:spacing w:line="360" w:lineRule="auto"/>
        <w:ind w:firstLine="420"/>
        <w:rPr>
          <w:rFonts w:hAnsi="宋体" w:cs="宋体" w:hint="eastAsia"/>
        </w:rPr>
      </w:pPr>
      <w:r>
        <w:rPr>
          <w:rFonts w:hAnsi="宋体" w:cs="宋体" w:hint="eastAsia"/>
        </w:rPr>
        <w:t>菜青虫、蚜虫、菌核病等病虫害，按 GB/T 8321.3、GB/T 8321.4、GB/T 8321.9、GB/T 8321</w:t>
      </w:r>
      <w:r w:rsidR="002D416F">
        <w:rPr>
          <w:rFonts w:hAnsi="宋体" w:cs="宋体" w:hint="eastAsia"/>
        </w:rPr>
        <w:t>、</w:t>
      </w:r>
      <w:r>
        <w:rPr>
          <w:rFonts w:hAnsi="宋体" w:cs="宋体" w:hint="eastAsia"/>
        </w:rPr>
        <w:t>NY/T 1276、NY/T 794 执行。</w:t>
      </w:r>
    </w:p>
    <w:p w14:paraId="6D6BCD81" w14:textId="55909368" w:rsidR="00AB0F0D" w:rsidRPr="002D416F" w:rsidRDefault="002D416F">
      <w:pPr>
        <w:pStyle w:val="aa"/>
        <w:spacing w:line="360" w:lineRule="auto"/>
        <w:ind w:firstLine="420"/>
        <w:rPr>
          <w:rFonts w:hAnsi="宋体" w:cs="宋体" w:hint="eastAsia"/>
          <w:u w:val="single"/>
        </w:rPr>
      </w:pPr>
      <w:r>
        <w:rPr>
          <w:rFonts w:hAnsi="宋体" w:cs="宋体" w:hint="eastAsia"/>
          <w:noProof/>
          <w:u w:val="single"/>
        </w:rPr>
        <mc:AlternateContent>
          <mc:Choice Requires="wps">
            <w:drawing>
              <wp:anchor distT="0" distB="0" distL="114300" distR="114300" simplePos="0" relativeHeight="251659264" behindDoc="0" locked="0" layoutInCell="1" allowOverlap="1" wp14:anchorId="2673D533" wp14:editId="34C746D3">
                <wp:simplePos x="0" y="0"/>
                <wp:positionH relativeFrom="column">
                  <wp:posOffset>1231900</wp:posOffset>
                </wp:positionH>
                <wp:positionV relativeFrom="paragraph">
                  <wp:posOffset>229870</wp:posOffset>
                </wp:positionV>
                <wp:extent cx="2698750" cy="0"/>
                <wp:effectExtent l="0" t="0" r="0" b="0"/>
                <wp:wrapNone/>
                <wp:docPr id="1443470853" name="直接连接符 1"/>
                <wp:cNvGraphicFramePr/>
                <a:graphic xmlns:a="http://schemas.openxmlformats.org/drawingml/2006/main">
                  <a:graphicData uri="http://schemas.microsoft.com/office/word/2010/wordprocessingShape">
                    <wps:wsp>
                      <wps:cNvCnPr/>
                      <wps:spPr>
                        <a:xfrm>
                          <a:off x="0" y="0"/>
                          <a:ext cx="269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93DA8" id="直接连接符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8.1pt" to="30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nesgEAANQDAAAOAAAAZHJzL2Uyb0RvYy54bWysU8Fu2zAMvQ/YPwi6L3ICrO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N1cfrz+8J03V5U4swBBT/gToWDl03Bpf5pCtPHxOmYpR6iWlhK0vNqE1&#10;/b2xtjplA+DWRnaQ9HZ5Wpe3ItyzLPIKUiyt11M+WjixfgPNTE/Nrmv1ulULp1QKfL7wWk/ZBaap&#10;gxnY/Bt4zi9QqBv3P+AZUSujzzPYGY/xb9UXKfQp/6LAae4iwRP2x/qoVRpanarcec3Lbj73K3z5&#10;GXe/AAAA//8DAFBLAwQUAAYACAAAACEAoMzfnt4AAAAJAQAADwAAAGRycy9kb3ducmV2LnhtbEyP&#10;QUvDQBCF74L/YRnBi9hNWw1tzKZIoBcPgo2UHrfZaTaYnQ3ZbZP+e0c86PG9ebz5Xr6ZXCcuOITW&#10;k4L5LAGBVHvTUqPgs9o+rkCEqMnozhMquGKATXF7k+vM+JE+8LKLjeASCplWYGPsMylDbdHpMPM9&#10;Et9OfnA6shwaaQY9crnr5CJJUul0S/zB6h5Li/XX7uwUHJqH5XZfUTWW8f2U2um6f3sulbq/m15f&#10;QESc4l8YfvAZHQpmOvozmSA61usn3hIVLNMFCA6k8zUbx19DFrn8v6D4BgAA//8DAFBLAQItABQA&#10;BgAIAAAAIQC2gziS/gAAAOEBAAATAAAAAAAAAAAAAAAAAAAAAABbQ29udGVudF9UeXBlc10ueG1s&#10;UEsBAi0AFAAGAAgAAAAhADj9If/WAAAAlAEAAAsAAAAAAAAAAAAAAAAALwEAAF9yZWxzLy5yZWxz&#10;UEsBAi0AFAAGAAgAAAAhALLAOd6yAQAA1AMAAA4AAAAAAAAAAAAAAAAALgIAAGRycy9lMm9Eb2Mu&#10;eG1sUEsBAi0AFAAGAAgAAAAhAKDM357eAAAACQEAAA8AAAAAAAAAAAAAAAAADAQAAGRycy9kb3du&#10;cmV2LnhtbFBLBQYAAAAABAAEAPMAAAAXBQAAAAA=&#10;" strokecolor="black [3213]" strokeweight=".5pt">
                <v:stroke joinstyle="miter"/>
              </v:line>
            </w:pict>
          </mc:Fallback>
        </mc:AlternateContent>
      </w:r>
    </w:p>
    <w:p w14:paraId="2C25DBAA" w14:textId="77777777" w:rsidR="00AB0F0D" w:rsidRDefault="00AB0F0D">
      <w:pPr>
        <w:spacing w:line="360" w:lineRule="auto"/>
        <w:ind w:firstLineChars="200" w:firstLine="420"/>
      </w:pPr>
    </w:p>
    <w:p w14:paraId="67F9302C" w14:textId="77777777" w:rsidR="00AB0F0D" w:rsidRDefault="00AB0F0D">
      <w:pPr>
        <w:pStyle w:val="a7"/>
        <w:spacing w:before="60"/>
        <w:jc w:val="left"/>
        <w:outlineLvl w:val="9"/>
        <w:rPr>
          <w:b w:val="0"/>
          <w:bCs w:val="0"/>
          <w:sz w:val="21"/>
          <w:szCs w:val="21"/>
        </w:rPr>
      </w:pPr>
    </w:p>
    <w:sectPr w:rsidR="00AB0F0D">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EA2E" w14:textId="77777777" w:rsidR="00616C47" w:rsidRDefault="00616C47">
      <w:r>
        <w:separator/>
      </w:r>
    </w:p>
  </w:endnote>
  <w:endnote w:type="continuationSeparator" w:id="0">
    <w:p w14:paraId="162C5EDE" w14:textId="77777777" w:rsidR="00616C47" w:rsidRDefault="0061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3520" w14:textId="77777777" w:rsidR="00AB0F0D" w:rsidRDefault="00000000">
    <w:pPr>
      <w:pStyle w:val="a3"/>
      <w:jc w:val="right"/>
      <w:rPr>
        <w:rFonts w:hint="eastAsia"/>
      </w:rPr>
    </w:pPr>
    <w:r>
      <w:fldChar w:fldCharType="begin"/>
    </w:r>
    <w:r>
      <w:instrText>PAGE   \* MERGEFORMAT</w:instrText>
    </w:r>
    <w:r>
      <w:fldChar w:fldCharType="separate"/>
    </w:r>
    <w:r>
      <w:rPr>
        <w:lang w:val="zh-CN"/>
      </w:rPr>
      <w:t>2</w:t>
    </w:r>
    <w:r>
      <w:fldChar w:fldCharType="end"/>
    </w:r>
  </w:p>
  <w:p w14:paraId="443E11D7" w14:textId="77777777" w:rsidR="00AB0F0D" w:rsidRDefault="00AB0F0D">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AB0F0D" w:rsidRDefault="00000000">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AB0F0D" w:rsidRDefault="00AB0F0D">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2C77" w14:textId="77777777" w:rsidR="00616C47" w:rsidRDefault="00616C47">
      <w:r>
        <w:separator/>
      </w:r>
    </w:p>
  </w:footnote>
  <w:footnote w:type="continuationSeparator" w:id="0">
    <w:p w14:paraId="3A58C76C" w14:textId="77777777" w:rsidR="00616C47" w:rsidRDefault="0061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24AF7DDA" w:rsidR="00AB0F0D" w:rsidRDefault="00A51F6E">
    <w:pPr>
      <w:spacing w:before="18" w:line="177" w:lineRule="auto"/>
      <w:ind w:right="9"/>
      <w:jc w:val="right"/>
      <w:rPr>
        <w:rFonts w:ascii="黑体" w:eastAsia="黑体" w:hAnsi="黑体" w:cs="黑体" w:hint="eastAsia"/>
      </w:rPr>
    </w:pPr>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s>
  <w:rsids>
    <w:rsidRoot w:val="000E21A2"/>
    <w:rsid w:val="00090464"/>
    <w:rsid w:val="000B507C"/>
    <w:rsid w:val="000C0178"/>
    <w:rsid w:val="000D0210"/>
    <w:rsid w:val="000E21A2"/>
    <w:rsid w:val="001760B7"/>
    <w:rsid w:val="001A678E"/>
    <w:rsid w:val="001F2372"/>
    <w:rsid w:val="00214D52"/>
    <w:rsid w:val="00221E78"/>
    <w:rsid w:val="00235211"/>
    <w:rsid w:val="00240CC7"/>
    <w:rsid w:val="0026591D"/>
    <w:rsid w:val="002B1B5F"/>
    <w:rsid w:val="002C20A3"/>
    <w:rsid w:val="002D416F"/>
    <w:rsid w:val="002F7826"/>
    <w:rsid w:val="0036166E"/>
    <w:rsid w:val="003B591D"/>
    <w:rsid w:val="003E63C0"/>
    <w:rsid w:val="0048222D"/>
    <w:rsid w:val="00483A02"/>
    <w:rsid w:val="004A1BCC"/>
    <w:rsid w:val="00524CC6"/>
    <w:rsid w:val="005D71B4"/>
    <w:rsid w:val="00616C47"/>
    <w:rsid w:val="00642F4D"/>
    <w:rsid w:val="006603BF"/>
    <w:rsid w:val="006C6DB6"/>
    <w:rsid w:val="007016E5"/>
    <w:rsid w:val="0072339B"/>
    <w:rsid w:val="00766462"/>
    <w:rsid w:val="00796CFC"/>
    <w:rsid w:val="007B60E4"/>
    <w:rsid w:val="00800B21"/>
    <w:rsid w:val="0089788F"/>
    <w:rsid w:val="008A1E2C"/>
    <w:rsid w:val="008C06AD"/>
    <w:rsid w:val="009353F3"/>
    <w:rsid w:val="00947E2B"/>
    <w:rsid w:val="0098674A"/>
    <w:rsid w:val="00A20224"/>
    <w:rsid w:val="00A3136A"/>
    <w:rsid w:val="00A46C32"/>
    <w:rsid w:val="00A51F6E"/>
    <w:rsid w:val="00A57D88"/>
    <w:rsid w:val="00A8031A"/>
    <w:rsid w:val="00AB0F0D"/>
    <w:rsid w:val="00AE1D8B"/>
    <w:rsid w:val="00B260D1"/>
    <w:rsid w:val="00BB44E5"/>
    <w:rsid w:val="00C94D66"/>
    <w:rsid w:val="00D05E45"/>
    <w:rsid w:val="00D13638"/>
    <w:rsid w:val="00DC7CC1"/>
    <w:rsid w:val="00DE1F5B"/>
    <w:rsid w:val="00E0543C"/>
    <w:rsid w:val="00E86C0A"/>
    <w:rsid w:val="00EF65D7"/>
    <w:rsid w:val="00F32177"/>
    <w:rsid w:val="00FD60AD"/>
    <w:rsid w:val="00FD7B68"/>
    <w:rsid w:val="02B50491"/>
    <w:rsid w:val="09C3065B"/>
    <w:rsid w:val="1A745A40"/>
    <w:rsid w:val="21D87D59"/>
    <w:rsid w:val="232B0036"/>
    <w:rsid w:val="23FE79FB"/>
    <w:rsid w:val="34F07BA1"/>
    <w:rsid w:val="36D44B3E"/>
    <w:rsid w:val="39A05497"/>
    <w:rsid w:val="3A0045B7"/>
    <w:rsid w:val="46EA1FA3"/>
    <w:rsid w:val="53C2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85D66"/>
  <w15:docId w15:val="{839813D3-0F8B-4C73-B3B8-11651AAB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等线" w:eastAsia="等线" w:hAnsi="等线"/>
      <w:sz w:val="18"/>
      <w:szCs w:val="18"/>
    </w:rPr>
  </w:style>
  <w:style w:type="paragraph" w:styleId="TOC1">
    <w:name w:val="toc 1"/>
    <w:basedOn w:val="a"/>
    <w:next w:val="a"/>
    <w:uiPriority w:val="39"/>
    <w:unhideWhenUsed/>
    <w:qFormat/>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character" w:styleId="a9">
    <w:name w:val="Hyperlink"/>
    <w:uiPriority w:val="99"/>
    <w:unhideWhenUsed/>
    <w:qFormat/>
    <w:rPr>
      <w:color w:val="467886"/>
      <w:u w:val="single"/>
    </w:rPr>
  </w:style>
  <w:style w:type="character" w:customStyle="1" w:styleId="10">
    <w:name w:val="标题 1 字符"/>
    <w:link w:val="1"/>
    <w:uiPriority w:val="9"/>
    <w:qFormat/>
    <w:rPr>
      <w:rFonts w:ascii="Times New Roman" w:eastAsia="黑体" w:hAnsi="Times New Roman" w:cs="Times New Roman"/>
      <w:b/>
      <w:bCs/>
      <w:kern w:val="44"/>
      <w:sz w:val="32"/>
      <w:szCs w:val="44"/>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character" w:customStyle="1" w:styleId="a8">
    <w:name w:val="标题 字符"/>
    <w:link w:val="a7"/>
    <w:uiPriority w:val="10"/>
    <w:qFormat/>
    <w:rPr>
      <w:rFonts w:ascii="Times New Roman" w:eastAsia="黑体" w:hAnsi="Times New Roman" w:cs="Times New Roman"/>
      <w:b/>
      <w:bCs/>
      <w:sz w:val="32"/>
      <w:szCs w:val="32"/>
    </w:rPr>
  </w:style>
  <w:style w:type="paragraph" w:customStyle="1" w:styleId="11">
    <w:name w:val="样式1"/>
    <w:basedOn w:val="1"/>
    <w:link w:val="12"/>
    <w:qFormat/>
  </w:style>
  <w:style w:type="character" w:customStyle="1" w:styleId="12">
    <w:name w:val="样式1 字符"/>
    <w:link w:val="11"/>
    <w:qFormat/>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customStyle="1" w:styleId="13">
    <w:name w:val="修订1"/>
    <w:hidden/>
    <w:uiPriority w:val="99"/>
    <w:unhideWhenUsed/>
    <w:qFormat/>
    <w:rPr>
      <w:kern w:val="2"/>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Bodytext1">
    <w:name w:val="Body text|1"/>
    <w:basedOn w:val="a"/>
    <w:qFormat/>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pPr>
      <w:spacing w:after="200" w:line="620" w:lineRule="exact"/>
    </w:pPr>
    <w:rPr>
      <w:rFonts w:ascii="Calibri" w:hAnsi="Calibri"/>
      <w:sz w:val="42"/>
      <w:szCs w:val="42"/>
    </w:rPr>
  </w:style>
  <w:style w:type="paragraph" w:customStyle="1" w:styleId="aa">
    <w:name w:val="标准文件_段"/>
    <w:link w:val="Char"/>
    <w:autoRedefine/>
    <w:qFormat/>
    <w:pPr>
      <w:autoSpaceDE w:val="0"/>
      <w:autoSpaceDN w:val="0"/>
      <w:ind w:firstLineChars="200" w:firstLine="200"/>
      <w:jc w:val="both"/>
    </w:pPr>
    <w:rPr>
      <w:rFonts w:ascii="宋体"/>
      <w:sz w:val="21"/>
    </w:rPr>
  </w:style>
  <w:style w:type="paragraph" w:customStyle="1" w:styleId="ab">
    <w:name w:val="段"/>
    <w:link w:val="Char0"/>
    <w:autoRedefine/>
    <w:qFormat/>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b"/>
    <w:autoRedefine/>
    <w:qFormat/>
    <w:rPr>
      <w:sz w:val="28"/>
      <w:szCs w:val="28"/>
    </w:rPr>
  </w:style>
  <w:style w:type="paragraph" w:customStyle="1" w:styleId="ac">
    <w:name w:val="一级条标题"/>
    <w:next w:val="ab"/>
    <w:autoRedefine/>
    <w:qFormat/>
    <w:pPr>
      <w:ind w:firstLineChars="200" w:firstLine="560"/>
    </w:pPr>
    <w:rPr>
      <w:sz w:val="28"/>
      <w:szCs w:val="28"/>
    </w:rPr>
  </w:style>
  <w:style w:type="paragraph" w:customStyle="1" w:styleId="ad">
    <w:name w:val="标准文件_三级无标题"/>
    <w:basedOn w:val="a"/>
    <w:autoRedefine/>
    <w:qFormat/>
    <w:pPr>
      <w:widowControl/>
      <w:ind w:firstLineChars="200" w:firstLine="560"/>
    </w:pPr>
    <w:rPr>
      <w:kern w:val="0"/>
      <w:sz w:val="28"/>
      <w:szCs w:val="28"/>
    </w:rPr>
  </w:style>
  <w:style w:type="paragraph" w:customStyle="1" w:styleId="ae">
    <w:name w:val="二级条标题"/>
    <w:basedOn w:val="ac"/>
    <w:next w:val="ab"/>
    <w:autoRedefine/>
    <w:qFormat/>
    <w:pPr>
      <w:spacing w:beforeLines="50" w:before="50" w:afterLines="50" w:after="50"/>
      <w:outlineLvl w:val="3"/>
    </w:pPr>
    <w:rPr>
      <w:rFonts w:ascii="黑体" w:eastAsia="黑体"/>
      <w:sz w:val="21"/>
      <w:szCs w:val="21"/>
    </w:rPr>
  </w:style>
  <w:style w:type="paragraph" w:customStyle="1" w:styleId="af">
    <w:name w:val="标准文件_标准正文"/>
    <w:basedOn w:val="a"/>
    <w:next w:val="aa"/>
    <w:autoRedefine/>
    <w:qFormat/>
    <w:pPr>
      <w:adjustRightInd w:val="0"/>
      <w:snapToGrid w:val="0"/>
      <w:spacing w:line="400" w:lineRule="exact"/>
      <w:ind w:firstLineChars="200" w:firstLine="200"/>
    </w:pPr>
    <w:rPr>
      <w:rFonts w:ascii="Calibri" w:hAnsi="Calibri"/>
      <w:kern w:val="0"/>
    </w:rPr>
  </w:style>
  <w:style w:type="paragraph" w:customStyle="1" w:styleId="af0">
    <w:name w:val="标准文件_正文公式"/>
    <w:basedOn w:val="a"/>
    <w:next w:val="af"/>
    <w:autoRedefine/>
    <w:qFormat/>
    <w:pPr>
      <w:tabs>
        <w:tab w:val="center" w:pos="4678"/>
        <w:tab w:val="right" w:leader="middleDot" w:pos="9356"/>
      </w:tabs>
      <w:adjustRightInd w:val="0"/>
    </w:pPr>
    <w:rPr>
      <w:rFonts w:ascii="宋体" w:hAnsi="宋体"/>
    </w:rPr>
  </w:style>
  <w:style w:type="character" w:customStyle="1" w:styleId="Char">
    <w:name w:val="标准文件_段 Char"/>
    <w:link w:val="aa"/>
    <w:autoRedefine/>
    <w:qFormat/>
    <w:rPr>
      <w:rFonts w:ascii="宋体"/>
      <w:sz w:val="21"/>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1447</Words>
  <Characters>1722</Characters>
  <Application>Microsoft Office Word</Application>
  <DocSecurity>0</DocSecurity>
  <Lines>101</Lines>
  <Paragraphs>109</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ThinkPad</cp:lastModifiedBy>
  <cp:revision>9</cp:revision>
  <dcterms:created xsi:type="dcterms:W3CDTF">2024-09-06T12:59:00Z</dcterms:created>
  <dcterms:modified xsi:type="dcterms:W3CDTF">2025-05-12T08:40:00Z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3F7B7B7D2A6D4CB8846AAA5AB8749599_13</vt:lpwstr>
  </property>
  <property fmtid="{D5CDD505-2E9C-101B-9397-08002B2CF9AE}" pid="4" name="KSOTemplateDocerSaveRecord">
    <vt:lpwstr>eyJoZGlkIjoiMjc4OTJkNmE4MjZhMzNjN2E0NzY4M2IwOTQ0YWQzYTEiLCJ1c2VySWQiOiIzODM3MTIyOTQifQ==</vt:lpwstr>
  </property>
</Properties>
</file>