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DD02" w14:textId="77777777" w:rsidR="00E02544" w:rsidRDefault="00E02544">
      <w:pPr>
        <w:jc w:val="center"/>
        <w:rPr>
          <w:sz w:val="52"/>
          <w:szCs w:val="52"/>
        </w:rPr>
      </w:pPr>
    </w:p>
    <w:p w14:paraId="5CF86E71" w14:textId="77777777" w:rsidR="00E02544" w:rsidRDefault="00E02544">
      <w:pPr>
        <w:jc w:val="center"/>
        <w:rPr>
          <w:sz w:val="52"/>
          <w:szCs w:val="52"/>
        </w:rPr>
      </w:pPr>
    </w:p>
    <w:p w14:paraId="41B1C14A" w14:textId="77777777" w:rsidR="00E02544" w:rsidRDefault="00E02544">
      <w:pPr>
        <w:jc w:val="center"/>
        <w:rPr>
          <w:sz w:val="52"/>
          <w:szCs w:val="52"/>
        </w:rPr>
      </w:pPr>
    </w:p>
    <w:p w14:paraId="5B50FE5C" w14:textId="77777777" w:rsidR="00E02544" w:rsidRDefault="00E02544">
      <w:pPr>
        <w:jc w:val="center"/>
        <w:rPr>
          <w:sz w:val="52"/>
          <w:szCs w:val="52"/>
        </w:rPr>
      </w:pPr>
    </w:p>
    <w:p w14:paraId="4D3AFE64" w14:textId="77777777" w:rsidR="00E02544" w:rsidRDefault="00000000">
      <w:pPr>
        <w:jc w:val="center"/>
        <w:rPr>
          <w:sz w:val="52"/>
          <w:szCs w:val="52"/>
        </w:rPr>
      </w:pPr>
      <w:r>
        <w:rPr>
          <w:rFonts w:hint="eastAsia"/>
          <w:sz w:val="52"/>
          <w:szCs w:val="52"/>
        </w:rPr>
        <w:t>团</w:t>
      </w:r>
      <w:r>
        <w:rPr>
          <w:rFonts w:hint="eastAsia"/>
          <w:sz w:val="52"/>
          <w:szCs w:val="52"/>
        </w:rPr>
        <w:t xml:space="preserve"> </w:t>
      </w:r>
      <w:r>
        <w:rPr>
          <w:rFonts w:hint="eastAsia"/>
          <w:sz w:val="52"/>
          <w:szCs w:val="52"/>
        </w:rPr>
        <w:t>体</w:t>
      </w:r>
      <w:r>
        <w:rPr>
          <w:sz w:val="52"/>
          <w:szCs w:val="52"/>
        </w:rPr>
        <w:t xml:space="preserve"> </w:t>
      </w:r>
      <w:r>
        <w:rPr>
          <w:sz w:val="52"/>
          <w:szCs w:val="52"/>
        </w:rPr>
        <w:t>标</w:t>
      </w:r>
      <w:r>
        <w:rPr>
          <w:sz w:val="52"/>
          <w:szCs w:val="52"/>
        </w:rPr>
        <w:t xml:space="preserve"> </w:t>
      </w:r>
      <w:r>
        <w:rPr>
          <w:sz w:val="52"/>
          <w:szCs w:val="52"/>
        </w:rPr>
        <w:t>准</w:t>
      </w:r>
    </w:p>
    <w:p w14:paraId="6B3E1C8A" w14:textId="77777777" w:rsidR="00E02544" w:rsidRDefault="00E02544">
      <w:pPr>
        <w:jc w:val="center"/>
        <w:rPr>
          <w:sz w:val="48"/>
          <w:szCs w:val="48"/>
        </w:rPr>
      </w:pPr>
    </w:p>
    <w:p w14:paraId="66D97B29" w14:textId="68D48435" w:rsidR="00E02544" w:rsidRPr="000869B5" w:rsidRDefault="00000000" w:rsidP="000869B5">
      <w:pPr>
        <w:jc w:val="center"/>
        <w:rPr>
          <w:rFonts w:ascii="黑体" w:eastAsia="黑体" w:hAnsi="黑体"/>
          <w:sz w:val="44"/>
          <w:szCs w:val="44"/>
        </w:rPr>
      </w:pPr>
      <w:r w:rsidRPr="000869B5">
        <w:rPr>
          <w:rFonts w:ascii="黑体" w:eastAsia="黑体" w:hAnsi="黑体"/>
          <w:sz w:val="44"/>
          <w:szCs w:val="44"/>
        </w:rPr>
        <w:t>《</w:t>
      </w:r>
      <w:r w:rsidRPr="000869B5">
        <w:rPr>
          <w:rFonts w:ascii="黑体" w:eastAsia="黑体" w:hAnsi="黑体" w:cs="宋体" w:hint="eastAsia"/>
          <w:sz w:val="44"/>
          <w:szCs w:val="44"/>
        </w:rPr>
        <w:t>喀斯特山区水稻和饲用油菜轮作栽培技术规程</w:t>
      </w:r>
      <w:r w:rsidRPr="000869B5">
        <w:rPr>
          <w:rFonts w:ascii="黑体" w:eastAsia="黑体" w:hAnsi="黑体"/>
          <w:sz w:val="44"/>
          <w:szCs w:val="44"/>
        </w:rPr>
        <w:t>》编制说明</w:t>
      </w:r>
    </w:p>
    <w:p w14:paraId="4056D153" w14:textId="77777777" w:rsidR="00E02544" w:rsidRDefault="00E02544">
      <w:pPr>
        <w:jc w:val="center"/>
        <w:rPr>
          <w:bCs/>
          <w:sz w:val="36"/>
          <w:szCs w:val="36"/>
        </w:rPr>
      </w:pPr>
    </w:p>
    <w:p w14:paraId="5DA9398A" w14:textId="77777777" w:rsidR="00E02544" w:rsidRDefault="00E02544">
      <w:pPr>
        <w:jc w:val="center"/>
        <w:rPr>
          <w:bCs/>
          <w:sz w:val="36"/>
          <w:szCs w:val="36"/>
        </w:rPr>
      </w:pPr>
    </w:p>
    <w:p w14:paraId="40113B8C" w14:textId="77777777" w:rsidR="00E02544" w:rsidRDefault="00E02544">
      <w:pPr>
        <w:jc w:val="center"/>
        <w:rPr>
          <w:bCs/>
          <w:sz w:val="36"/>
          <w:szCs w:val="36"/>
        </w:rPr>
      </w:pPr>
    </w:p>
    <w:p w14:paraId="70265095" w14:textId="77777777" w:rsidR="00E02544" w:rsidRDefault="00E02544">
      <w:pPr>
        <w:jc w:val="center"/>
        <w:rPr>
          <w:bCs/>
          <w:sz w:val="36"/>
          <w:szCs w:val="36"/>
        </w:rPr>
      </w:pPr>
    </w:p>
    <w:p w14:paraId="08EE6575" w14:textId="77777777" w:rsidR="00E02544" w:rsidRDefault="00E02544">
      <w:pPr>
        <w:jc w:val="center"/>
        <w:rPr>
          <w:bCs/>
          <w:sz w:val="36"/>
          <w:szCs w:val="36"/>
        </w:rPr>
      </w:pPr>
    </w:p>
    <w:p w14:paraId="3CB700C3" w14:textId="77777777" w:rsidR="00E02544" w:rsidRDefault="00E02544">
      <w:pPr>
        <w:jc w:val="center"/>
        <w:rPr>
          <w:bCs/>
          <w:sz w:val="36"/>
          <w:szCs w:val="36"/>
        </w:rPr>
      </w:pPr>
    </w:p>
    <w:p w14:paraId="53A508B6" w14:textId="77777777" w:rsidR="00E02544" w:rsidRDefault="00E02544">
      <w:pPr>
        <w:jc w:val="center"/>
        <w:rPr>
          <w:bCs/>
          <w:sz w:val="36"/>
          <w:szCs w:val="36"/>
        </w:rPr>
      </w:pPr>
    </w:p>
    <w:p w14:paraId="7D4C2014" w14:textId="77777777" w:rsidR="00E02544" w:rsidRDefault="00E02544">
      <w:pPr>
        <w:widowControl/>
        <w:jc w:val="center"/>
        <w:rPr>
          <w:bCs/>
          <w:sz w:val="44"/>
          <w:szCs w:val="44"/>
        </w:rPr>
      </w:pPr>
    </w:p>
    <w:p w14:paraId="6C77AA08" w14:textId="77777777" w:rsidR="00E02544" w:rsidRDefault="00E02544">
      <w:pPr>
        <w:widowControl/>
        <w:jc w:val="center"/>
        <w:rPr>
          <w:rFonts w:ascii="黑体" w:eastAsia="黑体" w:hAnsi="黑体"/>
          <w:bCs/>
          <w:sz w:val="44"/>
          <w:szCs w:val="44"/>
        </w:rPr>
      </w:pPr>
    </w:p>
    <w:p w14:paraId="3AE9EC8B" w14:textId="77777777" w:rsidR="000869B5" w:rsidRDefault="000869B5">
      <w:pPr>
        <w:widowControl/>
        <w:jc w:val="center"/>
        <w:rPr>
          <w:rFonts w:ascii="黑体" w:eastAsia="黑体" w:hAnsi="黑体"/>
          <w:bCs/>
          <w:sz w:val="44"/>
          <w:szCs w:val="44"/>
        </w:rPr>
      </w:pPr>
    </w:p>
    <w:p w14:paraId="7D5B4A91" w14:textId="77777777" w:rsidR="000869B5" w:rsidRDefault="000869B5">
      <w:pPr>
        <w:widowControl/>
        <w:jc w:val="center"/>
        <w:rPr>
          <w:rFonts w:ascii="黑体" w:eastAsia="黑体" w:hAnsi="黑体"/>
          <w:bCs/>
          <w:sz w:val="44"/>
          <w:szCs w:val="44"/>
        </w:rPr>
      </w:pPr>
    </w:p>
    <w:p w14:paraId="45C2DE08" w14:textId="77777777" w:rsidR="00E02544" w:rsidRPr="000869B5" w:rsidRDefault="00000000">
      <w:pPr>
        <w:ind w:leftChars="-67" w:left="-71" w:rightChars="-182" w:right="-437" w:hangingChars="32" w:hanging="90"/>
        <w:jc w:val="center"/>
        <w:rPr>
          <w:rFonts w:ascii="黑体" w:eastAsia="黑体" w:hAnsi="黑体"/>
          <w:bCs/>
          <w:sz w:val="28"/>
          <w:szCs w:val="28"/>
        </w:rPr>
      </w:pPr>
      <w:r w:rsidRPr="000869B5">
        <w:rPr>
          <w:rFonts w:ascii="黑体" w:eastAsia="黑体" w:hAnsi="黑体"/>
          <w:bCs/>
          <w:sz w:val="28"/>
          <w:szCs w:val="28"/>
        </w:rPr>
        <w:t>《</w:t>
      </w:r>
      <w:r w:rsidRPr="000869B5">
        <w:rPr>
          <w:rFonts w:ascii="黑体" w:eastAsia="黑体" w:hAnsi="黑体" w:cs="宋体" w:hint="eastAsia"/>
          <w:sz w:val="28"/>
          <w:szCs w:val="28"/>
        </w:rPr>
        <w:t>喀斯特山区水稻和饲用油菜轮作栽培技术规程</w:t>
      </w:r>
      <w:r w:rsidRPr="000869B5">
        <w:rPr>
          <w:rFonts w:ascii="黑体" w:eastAsia="黑体" w:hAnsi="黑体"/>
          <w:bCs/>
          <w:sz w:val="28"/>
          <w:szCs w:val="28"/>
        </w:rPr>
        <w:t>》</w:t>
      </w:r>
      <w:r w:rsidRPr="000869B5">
        <w:rPr>
          <w:rFonts w:ascii="黑体" w:eastAsia="黑体" w:hAnsi="黑体" w:hint="eastAsia"/>
          <w:bCs/>
          <w:sz w:val="28"/>
          <w:szCs w:val="28"/>
        </w:rPr>
        <w:t>团体</w:t>
      </w:r>
      <w:r w:rsidRPr="000869B5">
        <w:rPr>
          <w:rFonts w:ascii="黑体" w:eastAsia="黑体" w:hAnsi="黑体"/>
          <w:bCs/>
          <w:sz w:val="28"/>
          <w:szCs w:val="28"/>
        </w:rPr>
        <w:t>标准制定组</w:t>
      </w:r>
    </w:p>
    <w:p w14:paraId="5FCCACC0" w14:textId="77777777" w:rsidR="00E02544" w:rsidRPr="000869B5" w:rsidRDefault="00000000">
      <w:pPr>
        <w:widowControl/>
        <w:jc w:val="center"/>
        <w:rPr>
          <w:rFonts w:ascii="黑体" w:eastAsia="黑体" w:hAnsi="黑体"/>
          <w:bCs/>
          <w:sz w:val="28"/>
          <w:szCs w:val="28"/>
        </w:rPr>
      </w:pPr>
      <w:r w:rsidRPr="000869B5">
        <w:rPr>
          <w:rFonts w:ascii="黑体" w:eastAsia="黑体" w:hAnsi="黑体"/>
          <w:bCs/>
          <w:sz w:val="28"/>
          <w:szCs w:val="28"/>
        </w:rPr>
        <w:t>二</w:t>
      </w:r>
      <w:r w:rsidRPr="000869B5">
        <w:rPr>
          <w:rFonts w:ascii="黑体" w:eastAsia="黑体" w:hAnsi="黑体"/>
          <w:sz w:val="28"/>
          <w:szCs w:val="28"/>
        </w:rPr>
        <w:t>〇</w:t>
      </w:r>
      <w:r w:rsidRPr="000869B5">
        <w:rPr>
          <w:rFonts w:ascii="黑体" w:eastAsia="黑体" w:hAnsi="黑体"/>
          <w:bCs/>
          <w:sz w:val="28"/>
          <w:szCs w:val="28"/>
        </w:rPr>
        <w:t>二五年</w:t>
      </w:r>
      <w:r w:rsidRPr="000869B5">
        <w:rPr>
          <w:rFonts w:ascii="黑体" w:eastAsia="黑体" w:hAnsi="黑体" w:hint="eastAsia"/>
          <w:bCs/>
          <w:sz w:val="28"/>
          <w:szCs w:val="28"/>
        </w:rPr>
        <w:t>四</w:t>
      </w:r>
      <w:r w:rsidRPr="000869B5">
        <w:rPr>
          <w:rFonts w:ascii="黑体" w:eastAsia="黑体" w:hAnsi="黑体"/>
          <w:bCs/>
          <w:sz w:val="28"/>
          <w:szCs w:val="28"/>
        </w:rPr>
        <w:t>月</w:t>
      </w:r>
    </w:p>
    <w:p w14:paraId="4F03D096" w14:textId="261AB8B2" w:rsidR="00E02544" w:rsidRDefault="00000000">
      <w:r>
        <w:br w:type="page"/>
      </w:r>
    </w:p>
    <w:sdt>
      <w:sdtPr>
        <w:rPr>
          <w:rFonts w:ascii="宋体" w:hAnsi="宋体"/>
          <w:sz w:val="28"/>
          <w:szCs w:val="28"/>
        </w:rPr>
        <w:id w:val="147472960"/>
        <w15:color w:val="DBDBDB"/>
        <w:docPartObj>
          <w:docPartGallery w:val="Table of Contents"/>
          <w:docPartUnique/>
        </w:docPartObj>
      </w:sdtPr>
      <w:sdtEndPr>
        <w:rPr>
          <w:rFonts w:ascii="Times New Roman" w:hAnsi="Times New Roman"/>
          <w:sz w:val="24"/>
          <w:szCs w:val="21"/>
        </w:rPr>
      </w:sdtEndPr>
      <w:sdtContent>
        <w:p w14:paraId="6065E11C" w14:textId="5E4569FE" w:rsidR="00E02544" w:rsidRPr="000869B5" w:rsidRDefault="00000000">
          <w:pPr>
            <w:spacing w:line="240" w:lineRule="auto"/>
            <w:jc w:val="center"/>
            <w:rPr>
              <w:rFonts w:ascii="黑体" w:eastAsia="黑体" w:hAnsi="黑体"/>
              <w:sz w:val="32"/>
              <w:szCs w:val="32"/>
            </w:rPr>
          </w:pPr>
          <w:r w:rsidRPr="000869B5">
            <w:rPr>
              <w:rFonts w:ascii="黑体" w:eastAsia="黑体" w:hAnsi="黑体"/>
              <w:sz w:val="32"/>
              <w:szCs w:val="32"/>
            </w:rPr>
            <w:t>目</w:t>
          </w:r>
          <w:r w:rsidR="000869B5" w:rsidRPr="000869B5">
            <w:rPr>
              <w:rFonts w:ascii="黑体" w:eastAsia="黑体" w:hAnsi="黑体" w:hint="eastAsia"/>
              <w:sz w:val="32"/>
              <w:szCs w:val="32"/>
            </w:rPr>
            <w:t xml:space="preserve">  </w:t>
          </w:r>
          <w:r w:rsidRPr="000869B5">
            <w:rPr>
              <w:rFonts w:ascii="黑体" w:eastAsia="黑体" w:hAnsi="黑体" w:hint="eastAsia"/>
              <w:sz w:val="32"/>
              <w:szCs w:val="32"/>
            </w:rPr>
            <w:t>次</w:t>
          </w:r>
        </w:p>
        <w:p w14:paraId="3F79C81D" w14:textId="77777777" w:rsidR="00E02544" w:rsidRDefault="00000000">
          <w:pPr>
            <w:pStyle w:val="WPSOffice1"/>
            <w:tabs>
              <w:tab w:val="right" w:leader="dot" w:pos="8306"/>
            </w:tabs>
            <w:spacing w:line="360" w:lineRule="auto"/>
          </w:pPr>
          <w:r>
            <w:fldChar w:fldCharType="begin"/>
          </w:r>
          <w:r>
            <w:instrText xml:space="preserve">TOC \o "1-2" \h \u </w:instrText>
          </w:r>
          <w:r>
            <w:fldChar w:fldCharType="separate"/>
          </w:r>
          <w:hyperlink w:anchor="_Toc2954" w:history="1">
            <w:r>
              <w:t>一、任务来源</w:t>
            </w:r>
            <w:r>
              <w:tab/>
            </w:r>
            <w:r>
              <w:fldChar w:fldCharType="begin"/>
            </w:r>
            <w:r>
              <w:instrText xml:space="preserve"> PAGEREF _Toc2954 \h </w:instrText>
            </w:r>
            <w:r>
              <w:fldChar w:fldCharType="separate"/>
            </w:r>
            <w:r>
              <w:t>3</w:t>
            </w:r>
            <w:r>
              <w:fldChar w:fldCharType="end"/>
            </w:r>
          </w:hyperlink>
        </w:p>
        <w:p w14:paraId="3DFECB50" w14:textId="77777777" w:rsidR="00E02544" w:rsidRDefault="00000000">
          <w:pPr>
            <w:pStyle w:val="WPSOffice1"/>
            <w:tabs>
              <w:tab w:val="right" w:leader="dot" w:pos="8306"/>
            </w:tabs>
            <w:spacing w:line="360" w:lineRule="auto"/>
          </w:pPr>
          <w:hyperlink w:anchor="_Toc8033" w:history="1">
            <w:r>
              <w:t>二、编制目的和意义</w:t>
            </w:r>
            <w:r>
              <w:tab/>
            </w:r>
            <w:r>
              <w:fldChar w:fldCharType="begin"/>
            </w:r>
            <w:r>
              <w:instrText xml:space="preserve"> PAGEREF _Toc8033 \h </w:instrText>
            </w:r>
            <w:r>
              <w:fldChar w:fldCharType="separate"/>
            </w:r>
            <w:r>
              <w:t>3</w:t>
            </w:r>
            <w:r>
              <w:fldChar w:fldCharType="end"/>
            </w:r>
          </w:hyperlink>
        </w:p>
        <w:p w14:paraId="72CAA08A" w14:textId="77777777" w:rsidR="00E02544" w:rsidRDefault="00000000">
          <w:pPr>
            <w:pStyle w:val="WPSOffice1"/>
            <w:tabs>
              <w:tab w:val="right" w:leader="dot" w:pos="8306"/>
            </w:tabs>
            <w:spacing w:line="360" w:lineRule="auto"/>
          </w:pPr>
          <w:hyperlink w:anchor="_Toc30022" w:history="1">
            <w:r>
              <w:rPr>
                <w:rFonts w:hint="eastAsia"/>
              </w:rPr>
              <w:t>三、</w:t>
            </w:r>
            <w:r>
              <w:rPr>
                <w:rFonts w:hint="eastAsia"/>
              </w:rPr>
              <w:t xml:space="preserve"> </w:t>
            </w:r>
            <w:r>
              <w:t>编制原则和依据</w:t>
            </w:r>
            <w:r>
              <w:tab/>
            </w:r>
            <w:r>
              <w:fldChar w:fldCharType="begin"/>
            </w:r>
            <w:r>
              <w:instrText xml:space="preserve"> PAGEREF _Toc30022 \h </w:instrText>
            </w:r>
            <w:r>
              <w:fldChar w:fldCharType="separate"/>
            </w:r>
            <w:r>
              <w:t>4</w:t>
            </w:r>
            <w:r>
              <w:fldChar w:fldCharType="end"/>
            </w:r>
          </w:hyperlink>
        </w:p>
        <w:p w14:paraId="627DBE39" w14:textId="77777777" w:rsidR="00E02544" w:rsidRDefault="00000000">
          <w:pPr>
            <w:pStyle w:val="WPSOffice1"/>
            <w:tabs>
              <w:tab w:val="right" w:leader="dot" w:pos="8306"/>
            </w:tabs>
            <w:spacing w:line="360" w:lineRule="auto"/>
          </w:pPr>
          <w:hyperlink w:anchor="_Toc16398" w:history="1">
            <w:r>
              <w:rPr>
                <w:rFonts w:hint="eastAsia"/>
                <w:szCs w:val="28"/>
              </w:rPr>
              <w:t>四、主要工作过程</w:t>
            </w:r>
            <w:r>
              <w:tab/>
            </w:r>
            <w:r>
              <w:fldChar w:fldCharType="begin"/>
            </w:r>
            <w:r>
              <w:instrText xml:space="preserve"> PAGEREF _Toc16398 \h </w:instrText>
            </w:r>
            <w:r>
              <w:fldChar w:fldCharType="separate"/>
            </w:r>
            <w:r>
              <w:t>5</w:t>
            </w:r>
            <w:r>
              <w:fldChar w:fldCharType="end"/>
            </w:r>
          </w:hyperlink>
        </w:p>
        <w:p w14:paraId="0CF786B9" w14:textId="77777777" w:rsidR="00E02544" w:rsidRDefault="00000000">
          <w:pPr>
            <w:pStyle w:val="WPSOffice2"/>
            <w:tabs>
              <w:tab w:val="right" w:leader="dot" w:pos="8306"/>
            </w:tabs>
            <w:spacing w:line="360" w:lineRule="auto"/>
            <w:ind w:left="480"/>
          </w:pPr>
          <w:hyperlink w:anchor="_Toc14401" w:history="1">
            <w:r>
              <w:rPr>
                <w:rFonts w:hint="eastAsia"/>
              </w:rPr>
              <w:t xml:space="preserve">1. </w:t>
            </w:r>
            <w:r>
              <w:rPr>
                <w:rFonts w:hint="eastAsia"/>
              </w:rPr>
              <w:t>成立标准起草工作组</w:t>
            </w:r>
            <w:r>
              <w:tab/>
            </w:r>
            <w:r>
              <w:fldChar w:fldCharType="begin"/>
            </w:r>
            <w:r>
              <w:instrText xml:space="preserve"> PAGEREF _Toc14401 \h </w:instrText>
            </w:r>
            <w:r>
              <w:fldChar w:fldCharType="separate"/>
            </w:r>
            <w:r>
              <w:t>5</w:t>
            </w:r>
            <w:r>
              <w:fldChar w:fldCharType="end"/>
            </w:r>
          </w:hyperlink>
        </w:p>
        <w:p w14:paraId="0EF81DE8" w14:textId="77777777" w:rsidR="00E02544" w:rsidRDefault="00000000">
          <w:pPr>
            <w:pStyle w:val="WPSOffice2"/>
            <w:tabs>
              <w:tab w:val="right" w:leader="dot" w:pos="8306"/>
            </w:tabs>
            <w:spacing w:line="360" w:lineRule="auto"/>
            <w:ind w:left="480"/>
          </w:pPr>
          <w:hyperlink w:anchor="_Toc19508" w:history="1">
            <w:r>
              <w:rPr>
                <w:rFonts w:hint="eastAsia"/>
              </w:rPr>
              <w:t xml:space="preserve">2. </w:t>
            </w:r>
            <w:r>
              <w:rPr>
                <w:rFonts w:hint="eastAsia"/>
              </w:rPr>
              <w:t>资料收集分析、技术准备</w:t>
            </w:r>
            <w:r>
              <w:tab/>
            </w:r>
            <w:r>
              <w:fldChar w:fldCharType="begin"/>
            </w:r>
            <w:r>
              <w:instrText xml:space="preserve"> PAGEREF _Toc19508 \h </w:instrText>
            </w:r>
            <w:r>
              <w:fldChar w:fldCharType="separate"/>
            </w:r>
            <w:r>
              <w:t>5</w:t>
            </w:r>
            <w:r>
              <w:fldChar w:fldCharType="end"/>
            </w:r>
          </w:hyperlink>
        </w:p>
        <w:p w14:paraId="5FA017AF" w14:textId="77777777" w:rsidR="00E02544" w:rsidRDefault="00000000">
          <w:pPr>
            <w:pStyle w:val="WPSOffice2"/>
            <w:tabs>
              <w:tab w:val="right" w:leader="dot" w:pos="8306"/>
            </w:tabs>
            <w:spacing w:line="360" w:lineRule="auto"/>
            <w:ind w:left="480"/>
          </w:pPr>
          <w:hyperlink w:anchor="_Toc18469" w:history="1">
            <w:r>
              <w:rPr>
                <w:rFonts w:hint="eastAsia"/>
              </w:rPr>
              <w:t xml:space="preserve">3. </w:t>
            </w:r>
            <w:r>
              <w:rPr>
                <w:rFonts w:hint="eastAsia"/>
              </w:rPr>
              <w:t>标准编写，形成技术规程草案</w:t>
            </w:r>
            <w:r>
              <w:tab/>
            </w:r>
            <w:r>
              <w:fldChar w:fldCharType="begin"/>
            </w:r>
            <w:r>
              <w:instrText xml:space="preserve"> PAGEREF _Toc18469 \h </w:instrText>
            </w:r>
            <w:r>
              <w:fldChar w:fldCharType="separate"/>
            </w:r>
            <w:r>
              <w:t>5</w:t>
            </w:r>
            <w:r>
              <w:fldChar w:fldCharType="end"/>
            </w:r>
          </w:hyperlink>
        </w:p>
        <w:p w14:paraId="1BB97C94" w14:textId="77777777" w:rsidR="00E02544" w:rsidRDefault="00000000">
          <w:pPr>
            <w:pStyle w:val="WPSOffice1"/>
            <w:tabs>
              <w:tab w:val="right" w:leader="dot" w:pos="8306"/>
            </w:tabs>
            <w:spacing w:line="360" w:lineRule="auto"/>
          </w:pPr>
          <w:hyperlink w:anchor="_Toc25765" w:history="1">
            <w:r>
              <w:rPr>
                <w:rFonts w:hint="eastAsia"/>
                <w:szCs w:val="28"/>
              </w:rPr>
              <w:t>四、</w:t>
            </w:r>
            <w:r>
              <w:rPr>
                <w:rFonts w:hint="eastAsia"/>
                <w:szCs w:val="28"/>
              </w:rPr>
              <w:t xml:space="preserve"> </w:t>
            </w:r>
            <w:r>
              <w:rPr>
                <w:szCs w:val="28"/>
              </w:rPr>
              <w:t>主要技术内容确定的依据</w:t>
            </w:r>
            <w:r>
              <w:tab/>
            </w:r>
            <w:r>
              <w:fldChar w:fldCharType="begin"/>
            </w:r>
            <w:r>
              <w:instrText xml:space="preserve"> PAGEREF _Toc25765 \h </w:instrText>
            </w:r>
            <w:r>
              <w:fldChar w:fldCharType="separate"/>
            </w:r>
            <w:r>
              <w:t>5</w:t>
            </w:r>
            <w:r>
              <w:fldChar w:fldCharType="end"/>
            </w:r>
          </w:hyperlink>
        </w:p>
        <w:p w14:paraId="35ECF1BD" w14:textId="77777777" w:rsidR="00E02544" w:rsidRDefault="00000000">
          <w:pPr>
            <w:pStyle w:val="WPSOffice2"/>
            <w:tabs>
              <w:tab w:val="right" w:leader="dot" w:pos="8306"/>
            </w:tabs>
            <w:spacing w:line="360" w:lineRule="auto"/>
            <w:ind w:left="480"/>
          </w:pPr>
          <w:hyperlink w:anchor="_Toc30497" w:history="1">
            <w:r>
              <w:t xml:space="preserve">1. </w:t>
            </w:r>
            <w:r>
              <w:rPr>
                <w:rFonts w:hint="eastAsia"/>
              </w:rPr>
              <w:t>适用范围</w:t>
            </w:r>
            <w:r>
              <w:tab/>
            </w:r>
            <w:r>
              <w:fldChar w:fldCharType="begin"/>
            </w:r>
            <w:r>
              <w:instrText xml:space="preserve"> PAGEREF _Toc30497 \h </w:instrText>
            </w:r>
            <w:r>
              <w:fldChar w:fldCharType="separate"/>
            </w:r>
            <w:r>
              <w:t>5</w:t>
            </w:r>
            <w:r>
              <w:fldChar w:fldCharType="end"/>
            </w:r>
          </w:hyperlink>
        </w:p>
        <w:p w14:paraId="5E02AD6F" w14:textId="77777777" w:rsidR="00E02544" w:rsidRDefault="00000000">
          <w:pPr>
            <w:pStyle w:val="WPSOffice2"/>
            <w:tabs>
              <w:tab w:val="right" w:leader="dot" w:pos="8306"/>
            </w:tabs>
            <w:spacing w:line="360" w:lineRule="auto"/>
            <w:ind w:left="480"/>
          </w:pPr>
          <w:hyperlink w:anchor="_Toc31978" w:history="1">
            <w:r>
              <w:t xml:space="preserve">2. </w:t>
            </w:r>
            <w:r>
              <w:t>规范性引用文件</w:t>
            </w:r>
            <w:r>
              <w:tab/>
            </w:r>
            <w:r>
              <w:fldChar w:fldCharType="begin"/>
            </w:r>
            <w:r>
              <w:instrText xml:space="preserve"> PAGEREF _Toc31978 \h </w:instrText>
            </w:r>
            <w:r>
              <w:fldChar w:fldCharType="separate"/>
            </w:r>
            <w:r>
              <w:t>6</w:t>
            </w:r>
            <w:r>
              <w:fldChar w:fldCharType="end"/>
            </w:r>
          </w:hyperlink>
        </w:p>
        <w:p w14:paraId="27C469FF" w14:textId="77777777" w:rsidR="00E02544" w:rsidRDefault="00000000">
          <w:pPr>
            <w:pStyle w:val="WPSOffice2"/>
            <w:tabs>
              <w:tab w:val="right" w:leader="dot" w:pos="8306"/>
            </w:tabs>
            <w:spacing w:line="360" w:lineRule="auto"/>
            <w:ind w:left="480"/>
          </w:pPr>
          <w:hyperlink w:anchor="_Toc5190" w:history="1">
            <w:r>
              <w:rPr>
                <w:rFonts w:hint="eastAsia"/>
              </w:rPr>
              <w:t xml:space="preserve">3. </w:t>
            </w:r>
            <w:r>
              <w:rPr>
                <w:rFonts w:hint="eastAsia"/>
              </w:rPr>
              <w:t>术语及定义</w:t>
            </w:r>
            <w:r>
              <w:tab/>
            </w:r>
            <w:r>
              <w:fldChar w:fldCharType="begin"/>
            </w:r>
            <w:r>
              <w:instrText xml:space="preserve"> PAGEREF _Toc5190 \h </w:instrText>
            </w:r>
            <w:r>
              <w:fldChar w:fldCharType="separate"/>
            </w:r>
            <w:r>
              <w:t>6</w:t>
            </w:r>
            <w:r>
              <w:fldChar w:fldCharType="end"/>
            </w:r>
          </w:hyperlink>
        </w:p>
        <w:p w14:paraId="352319FA" w14:textId="77777777" w:rsidR="00E02544" w:rsidRDefault="00000000">
          <w:pPr>
            <w:pStyle w:val="WPSOffice2"/>
            <w:tabs>
              <w:tab w:val="right" w:leader="dot" w:pos="8306"/>
            </w:tabs>
            <w:spacing w:line="360" w:lineRule="auto"/>
            <w:ind w:left="480"/>
          </w:pPr>
          <w:hyperlink w:anchor="_Toc29369" w:history="1">
            <w:r>
              <w:t xml:space="preserve">4. </w:t>
            </w:r>
            <w:r>
              <w:t>主要技术指标确定的依据</w:t>
            </w:r>
            <w:r>
              <w:tab/>
            </w:r>
            <w:r>
              <w:fldChar w:fldCharType="begin"/>
            </w:r>
            <w:r>
              <w:instrText xml:space="preserve"> PAGEREF _Toc29369 \h </w:instrText>
            </w:r>
            <w:r>
              <w:fldChar w:fldCharType="separate"/>
            </w:r>
            <w:r>
              <w:t>6</w:t>
            </w:r>
            <w:r>
              <w:fldChar w:fldCharType="end"/>
            </w:r>
          </w:hyperlink>
        </w:p>
        <w:p w14:paraId="1EA86A75" w14:textId="77777777" w:rsidR="00E02544" w:rsidRDefault="00000000">
          <w:pPr>
            <w:pStyle w:val="WPSOffice1"/>
            <w:tabs>
              <w:tab w:val="right" w:leader="dot" w:pos="8306"/>
            </w:tabs>
            <w:spacing w:line="360" w:lineRule="auto"/>
          </w:pPr>
          <w:hyperlink w:anchor="_Toc19897" w:history="1">
            <w:r>
              <w:rPr>
                <w:rFonts w:hint="eastAsia"/>
              </w:rPr>
              <w:t>五、</w:t>
            </w:r>
            <w:r>
              <w:rPr>
                <w:rFonts w:hint="eastAsia"/>
              </w:rPr>
              <w:t xml:space="preserve"> </w:t>
            </w:r>
            <w:r>
              <w:rPr>
                <w:rFonts w:hint="eastAsia"/>
              </w:rPr>
              <w:t>采用的国际标准</w:t>
            </w:r>
            <w:r>
              <w:tab/>
            </w:r>
            <w:r>
              <w:fldChar w:fldCharType="begin"/>
            </w:r>
            <w:r>
              <w:instrText xml:space="preserve"> PAGEREF _Toc19897 \h </w:instrText>
            </w:r>
            <w:r>
              <w:fldChar w:fldCharType="separate"/>
            </w:r>
            <w:r>
              <w:t>7</w:t>
            </w:r>
            <w:r>
              <w:fldChar w:fldCharType="end"/>
            </w:r>
          </w:hyperlink>
        </w:p>
        <w:p w14:paraId="3E08CDCA" w14:textId="77777777" w:rsidR="00E02544" w:rsidRDefault="00000000">
          <w:pPr>
            <w:pStyle w:val="WPSOffice1"/>
            <w:tabs>
              <w:tab w:val="right" w:leader="dot" w:pos="8306"/>
            </w:tabs>
            <w:spacing w:line="360" w:lineRule="auto"/>
          </w:pPr>
          <w:hyperlink w:anchor="_Toc28129" w:history="1">
            <w:r>
              <w:rPr>
                <w:rFonts w:hint="eastAsia"/>
              </w:rPr>
              <w:t>六</w:t>
            </w:r>
            <w:r>
              <w:t>、</w:t>
            </w:r>
            <w:r>
              <w:rPr>
                <w:rFonts w:hint="eastAsia"/>
              </w:rPr>
              <w:t>与现行法律法规和强制性标准的关系</w:t>
            </w:r>
            <w:r>
              <w:tab/>
            </w:r>
            <w:r>
              <w:fldChar w:fldCharType="begin"/>
            </w:r>
            <w:r>
              <w:instrText xml:space="preserve"> PAGEREF _Toc28129 \h </w:instrText>
            </w:r>
            <w:r>
              <w:fldChar w:fldCharType="separate"/>
            </w:r>
            <w:r>
              <w:t>7</w:t>
            </w:r>
            <w:r>
              <w:fldChar w:fldCharType="end"/>
            </w:r>
          </w:hyperlink>
        </w:p>
        <w:p w14:paraId="72CB9C91" w14:textId="77777777" w:rsidR="00E02544" w:rsidRDefault="00000000">
          <w:pPr>
            <w:pStyle w:val="WPSOffice1"/>
            <w:tabs>
              <w:tab w:val="right" w:leader="dot" w:pos="8306"/>
            </w:tabs>
            <w:spacing w:line="360" w:lineRule="auto"/>
          </w:pPr>
          <w:hyperlink w:anchor="_Toc32091" w:history="1">
            <w:r>
              <w:rPr>
                <w:rFonts w:hint="eastAsia"/>
              </w:rPr>
              <w:t>七</w:t>
            </w:r>
            <w:r>
              <w:t>、</w:t>
            </w:r>
            <w:r>
              <w:rPr>
                <w:rFonts w:hint="eastAsia"/>
              </w:rPr>
              <w:t>重大分歧意见的处理经过和依据</w:t>
            </w:r>
            <w:r>
              <w:tab/>
            </w:r>
            <w:r>
              <w:fldChar w:fldCharType="begin"/>
            </w:r>
            <w:r>
              <w:instrText xml:space="preserve"> PAGEREF _Toc32091 \h </w:instrText>
            </w:r>
            <w:r>
              <w:fldChar w:fldCharType="separate"/>
            </w:r>
            <w:r>
              <w:t>7</w:t>
            </w:r>
            <w:r>
              <w:fldChar w:fldCharType="end"/>
            </w:r>
          </w:hyperlink>
        </w:p>
        <w:p w14:paraId="08424CE2" w14:textId="77777777" w:rsidR="00E02544" w:rsidRDefault="00000000">
          <w:pPr>
            <w:pStyle w:val="WPSOffice1"/>
            <w:tabs>
              <w:tab w:val="right" w:leader="dot" w:pos="8306"/>
            </w:tabs>
            <w:spacing w:line="360" w:lineRule="auto"/>
          </w:pPr>
          <w:hyperlink w:anchor="_Toc13514" w:history="1">
            <w:r>
              <w:rPr>
                <w:rFonts w:hint="eastAsia"/>
              </w:rPr>
              <w:t>八</w:t>
            </w:r>
            <w:r>
              <w:t>、标准作为强制性或推荐性标准的意见</w:t>
            </w:r>
            <w:r>
              <w:tab/>
            </w:r>
            <w:r>
              <w:fldChar w:fldCharType="begin"/>
            </w:r>
            <w:r>
              <w:instrText xml:space="preserve"> PAGEREF _Toc13514 \h </w:instrText>
            </w:r>
            <w:r>
              <w:fldChar w:fldCharType="separate"/>
            </w:r>
            <w:r>
              <w:t>8</w:t>
            </w:r>
            <w:r>
              <w:fldChar w:fldCharType="end"/>
            </w:r>
          </w:hyperlink>
        </w:p>
        <w:p w14:paraId="728C2449" w14:textId="77777777" w:rsidR="00E02544" w:rsidRDefault="00000000">
          <w:pPr>
            <w:pStyle w:val="WPSOffice1"/>
            <w:tabs>
              <w:tab w:val="right" w:leader="dot" w:pos="8306"/>
            </w:tabs>
            <w:spacing w:line="360" w:lineRule="auto"/>
          </w:pPr>
          <w:hyperlink w:anchor="_Toc31708" w:history="1">
            <w:r>
              <w:rPr>
                <w:rFonts w:hint="eastAsia"/>
              </w:rPr>
              <w:t>九</w:t>
            </w:r>
            <w:r>
              <w:t>、贯彻标准的要求和措施建议</w:t>
            </w:r>
            <w:r>
              <w:tab/>
            </w:r>
            <w:r>
              <w:fldChar w:fldCharType="begin"/>
            </w:r>
            <w:r>
              <w:instrText xml:space="preserve"> PAGEREF _Toc31708 \h </w:instrText>
            </w:r>
            <w:r>
              <w:fldChar w:fldCharType="separate"/>
            </w:r>
            <w:r>
              <w:t>8</w:t>
            </w:r>
            <w:r>
              <w:fldChar w:fldCharType="end"/>
            </w:r>
          </w:hyperlink>
        </w:p>
        <w:p w14:paraId="0558E87A" w14:textId="77777777" w:rsidR="00E02544" w:rsidRDefault="00000000">
          <w:pPr>
            <w:pStyle w:val="WPSOffice1"/>
            <w:tabs>
              <w:tab w:val="right" w:leader="dot" w:pos="8306"/>
            </w:tabs>
            <w:spacing w:line="360" w:lineRule="auto"/>
          </w:pPr>
          <w:hyperlink w:anchor="_Toc16823" w:history="1">
            <w:r>
              <w:rPr>
                <w:rFonts w:hint="eastAsia"/>
              </w:rPr>
              <w:t>十</w:t>
            </w:r>
            <w:r>
              <w:t>、废止现行有关标准的建议</w:t>
            </w:r>
            <w:r>
              <w:tab/>
            </w:r>
            <w:r>
              <w:fldChar w:fldCharType="begin"/>
            </w:r>
            <w:r>
              <w:instrText xml:space="preserve"> PAGEREF _Toc16823 \h </w:instrText>
            </w:r>
            <w:r>
              <w:fldChar w:fldCharType="separate"/>
            </w:r>
            <w:r>
              <w:t>8</w:t>
            </w:r>
            <w:r>
              <w:fldChar w:fldCharType="end"/>
            </w:r>
          </w:hyperlink>
        </w:p>
        <w:p w14:paraId="3EDB4FC9" w14:textId="77777777" w:rsidR="00E02544" w:rsidRDefault="00000000">
          <w:pPr>
            <w:pStyle w:val="WPSOffice1"/>
            <w:tabs>
              <w:tab w:val="right" w:leader="dot" w:pos="8306"/>
            </w:tabs>
            <w:spacing w:line="360" w:lineRule="auto"/>
          </w:pPr>
          <w:hyperlink w:anchor="_Toc13661" w:history="1">
            <w:r>
              <w:t>十</w:t>
            </w:r>
            <w:r>
              <w:rPr>
                <w:rFonts w:hint="eastAsia"/>
              </w:rPr>
              <w:t>一</w:t>
            </w:r>
            <w:r>
              <w:t>、其他应予说明的事项</w:t>
            </w:r>
            <w:r>
              <w:tab/>
            </w:r>
            <w:r>
              <w:fldChar w:fldCharType="begin"/>
            </w:r>
            <w:r>
              <w:instrText xml:space="preserve"> PAGEREF _Toc13661 \h </w:instrText>
            </w:r>
            <w:r>
              <w:fldChar w:fldCharType="separate"/>
            </w:r>
            <w:r>
              <w:t>8</w:t>
            </w:r>
            <w:r>
              <w:fldChar w:fldCharType="end"/>
            </w:r>
          </w:hyperlink>
        </w:p>
        <w:p w14:paraId="7E90A616" w14:textId="77777777" w:rsidR="00E02544" w:rsidRDefault="00000000">
          <w:r>
            <w:fldChar w:fldCharType="end"/>
          </w:r>
        </w:p>
      </w:sdtContent>
    </w:sdt>
    <w:p w14:paraId="0E40928E" w14:textId="77777777" w:rsidR="00E02544" w:rsidRDefault="00E02544">
      <w:pPr>
        <w:rPr>
          <w:b/>
        </w:rPr>
      </w:pPr>
    </w:p>
    <w:p w14:paraId="5E430F1A" w14:textId="77777777" w:rsidR="00E02544" w:rsidRDefault="00000000">
      <w:bookmarkStart w:id="0" w:name="_Toc404077038"/>
      <w:bookmarkStart w:id="1" w:name="_Toc176456970"/>
      <w:bookmarkStart w:id="2" w:name="_Toc2954"/>
      <w:bookmarkStart w:id="3" w:name="_Toc22682826"/>
      <w:bookmarkStart w:id="4" w:name="_Toc22674793"/>
      <w:r>
        <w:br w:type="page"/>
      </w:r>
    </w:p>
    <w:p w14:paraId="4DA73727" w14:textId="77777777" w:rsidR="00E02544" w:rsidRDefault="00000000">
      <w:pPr>
        <w:pStyle w:val="1"/>
      </w:pPr>
      <w:r>
        <w:t>一、任</w:t>
      </w:r>
      <w:bookmarkStart w:id="5" w:name="OLE_LINK1"/>
      <w:r>
        <w:t>务</w:t>
      </w:r>
      <w:bookmarkEnd w:id="5"/>
      <w:r>
        <w:t>来源</w:t>
      </w:r>
      <w:bookmarkEnd w:id="0"/>
      <w:bookmarkEnd w:id="1"/>
      <w:bookmarkEnd w:id="2"/>
      <w:bookmarkEnd w:id="3"/>
      <w:bookmarkEnd w:id="4"/>
    </w:p>
    <w:p w14:paraId="22FBC3CA" w14:textId="77777777" w:rsidR="00E02544" w:rsidRDefault="00000000">
      <w:pPr>
        <w:ind w:firstLineChars="200" w:firstLine="480"/>
        <w:rPr>
          <w:szCs w:val="24"/>
        </w:rPr>
      </w:pPr>
      <w:r>
        <w:rPr>
          <w:szCs w:val="24"/>
        </w:rPr>
        <w:t>本技术规程由贵州大学申报，在国家重点研发计划</w:t>
      </w:r>
      <w:r>
        <w:rPr>
          <w:szCs w:val="24"/>
        </w:rPr>
        <w:t>“</w:t>
      </w:r>
      <w:r>
        <w:rPr>
          <w:szCs w:val="24"/>
        </w:rPr>
        <w:t>饲料饲草化学成分迁移与种养循环关键技术</w:t>
      </w:r>
      <w:r>
        <w:rPr>
          <w:szCs w:val="24"/>
        </w:rPr>
        <w:t>”</w:t>
      </w:r>
      <w:r>
        <w:rPr>
          <w:szCs w:val="24"/>
        </w:rPr>
        <w:t>项目支持下完成。</w:t>
      </w:r>
    </w:p>
    <w:p w14:paraId="2F92D016" w14:textId="77777777" w:rsidR="00E02544" w:rsidRDefault="00000000">
      <w:pPr>
        <w:pStyle w:val="1"/>
      </w:pPr>
      <w:bookmarkStart w:id="6" w:name="_Toc8033"/>
      <w:bookmarkStart w:id="7" w:name="_Toc176456971"/>
      <w:r>
        <w:t>二、编制目的和意义</w:t>
      </w:r>
      <w:bookmarkEnd w:id="6"/>
      <w:bookmarkEnd w:id="7"/>
    </w:p>
    <w:p w14:paraId="2E459C35" w14:textId="77777777" w:rsidR="00E02544" w:rsidRDefault="00000000">
      <w:pPr>
        <w:ind w:firstLineChars="200" w:firstLine="480"/>
        <w:rPr>
          <w:szCs w:val="24"/>
        </w:rPr>
      </w:pPr>
      <w:r>
        <w:rPr>
          <w:rFonts w:hint="eastAsia"/>
          <w:szCs w:val="24"/>
        </w:rPr>
        <w:t>水稻</w:t>
      </w:r>
      <w:r>
        <w:rPr>
          <w:rFonts w:hint="eastAsia"/>
          <w:szCs w:val="24"/>
        </w:rPr>
        <w:t>-</w:t>
      </w:r>
      <w:r>
        <w:rPr>
          <w:rFonts w:hint="eastAsia"/>
          <w:szCs w:val="24"/>
        </w:rPr>
        <w:t>饲用油菜轮作是我国南方湿润生态区的重要种植模式，具有改善土壤结构、提高资源利用效率、减少病虫害等优势。水稻与饲用油菜轮作的关键技术环节包括整地、播种、施肥管理、水肥耦合、病虫害防控及机械化收割等，此模式不仅能确保作为产量与</w:t>
      </w:r>
      <w:proofErr w:type="gramStart"/>
      <w:r>
        <w:rPr>
          <w:rFonts w:hint="eastAsia"/>
          <w:szCs w:val="24"/>
        </w:rPr>
        <w:t>品质双</w:t>
      </w:r>
      <w:proofErr w:type="gramEnd"/>
      <w:r>
        <w:rPr>
          <w:rFonts w:hint="eastAsia"/>
          <w:szCs w:val="24"/>
        </w:rPr>
        <w:t>提升，还能助力“增草节粮”国家战略实施，缓解优质蛋白饲料资源短缺问题。</w:t>
      </w:r>
    </w:p>
    <w:p w14:paraId="3F866A48" w14:textId="77777777" w:rsidR="00E02544" w:rsidRDefault="00000000">
      <w:pPr>
        <w:ind w:firstLineChars="200" w:firstLine="480"/>
        <w:rPr>
          <w:szCs w:val="24"/>
        </w:rPr>
      </w:pPr>
      <w:r>
        <w:rPr>
          <w:rFonts w:hint="eastAsia"/>
          <w:szCs w:val="24"/>
        </w:rPr>
        <w:t>2023</w:t>
      </w:r>
      <w:r>
        <w:rPr>
          <w:rFonts w:hint="eastAsia"/>
          <w:szCs w:val="24"/>
        </w:rPr>
        <w:t>年中央一号文件提出“实施耕地保护与质量提升行动”，强调通过轮作休耕、秸秆还田等措施改善土壤结构，水稻田淹水环境抑制旱地杂草和土传病害，饲用油菜根系疏松土壤并增加有机质，缓解连作障碍。贵州思南县试验显示，轮作</w:t>
      </w:r>
      <w:r>
        <w:rPr>
          <w:rFonts w:hint="eastAsia"/>
          <w:szCs w:val="24"/>
        </w:rPr>
        <w:t>3</w:t>
      </w:r>
      <w:r>
        <w:rPr>
          <w:rFonts w:hint="eastAsia"/>
          <w:szCs w:val="24"/>
        </w:rPr>
        <w:t>年后土壤有机质含量提升</w:t>
      </w:r>
      <w:r>
        <w:rPr>
          <w:rFonts w:hint="eastAsia"/>
          <w:szCs w:val="24"/>
        </w:rPr>
        <w:t>20%</w:t>
      </w:r>
      <w:r>
        <w:rPr>
          <w:rFonts w:hint="eastAsia"/>
          <w:szCs w:val="24"/>
        </w:rPr>
        <w:t>。农业农村部《到</w:t>
      </w:r>
      <w:r>
        <w:rPr>
          <w:rFonts w:hint="eastAsia"/>
          <w:szCs w:val="24"/>
        </w:rPr>
        <w:t>2025</w:t>
      </w:r>
      <w:r>
        <w:rPr>
          <w:rFonts w:hint="eastAsia"/>
          <w:szCs w:val="24"/>
        </w:rPr>
        <w:t>年化肥减量化行动方案》提出“推广有机肥替代化肥，提高养分利用率”。饲用</w:t>
      </w:r>
      <w:proofErr w:type="gramStart"/>
      <w:r>
        <w:rPr>
          <w:rFonts w:hint="eastAsia"/>
          <w:szCs w:val="24"/>
        </w:rPr>
        <w:t>油菜残茬还田</w:t>
      </w:r>
      <w:proofErr w:type="gramEnd"/>
      <w:r>
        <w:rPr>
          <w:rFonts w:hint="eastAsia"/>
          <w:szCs w:val="24"/>
        </w:rPr>
        <w:t>补充钾、硼等元素，减少化肥依赖。轮作模式下化肥用量</w:t>
      </w:r>
      <w:proofErr w:type="gramStart"/>
      <w:r>
        <w:rPr>
          <w:rFonts w:hint="eastAsia"/>
          <w:szCs w:val="24"/>
        </w:rPr>
        <w:t>课减少</w:t>
      </w:r>
      <w:proofErr w:type="gramEnd"/>
      <w:r>
        <w:rPr>
          <w:rFonts w:hint="eastAsia"/>
          <w:szCs w:val="24"/>
        </w:rPr>
        <w:t>20%</w:t>
      </w:r>
      <w:r>
        <w:rPr>
          <w:rFonts w:hint="eastAsia"/>
          <w:szCs w:val="24"/>
        </w:rPr>
        <w:t>左右，速效磷、钾含量分别提升</w:t>
      </w:r>
      <w:r>
        <w:rPr>
          <w:rFonts w:hint="eastAsia"/>
          <w:szCs w:val="24"/>
        </w:rPr>
        <w:t>18%</w:t>
      </w:r>
      <w:r>
        <w:rPr>
          <w:rFonts w:hint="eastAsia"/>
          <w:szCs w:val="24"/>
        </w:rPr>
        <w:t>和</w:t>
      </w:r>
      <w:r>
        <w:rPr>
          <w:rFonts w:hint="eastAsia"/>
          <w:szCs w:val="24"/>
        </w:rPr>
        <w:t>15%</w:t>
      </w:r>
      <w:r>
        <w:rPr>
          <w:rFonts w:hint="eastAsia"/>
          <w:szCs w:val="24"/>
        </w:rPr>
        <w:t>左右。水稻</w:t>
      </w:r>
      <w:r>
        <w:rPr>
          <w:rFonts w:hint="eastAsia"/>
          <w:szCs w:val="24"/>
        </w:rPr>
        <w:t>-</w:t>
      </w:r>
      <w:r>
        <w:rPr>
          <w:rFonts w:hint="eastAsia"/>
          <w:szCs w:val="24"/>
        </w:rPr>
        <w:t>饲用油菜轮作是国家“粮食安全”“生态农业”“乡村振兴”战略的重要实践载体。因此，在贵州</w:t>
      </w:r>
      <w:r>
        <w:rPr>
          <w:rFonts w:ascii="宋体" w:hAnsi="宋体" w:cs="宋体" w:hint="eastAsia"/>
          <w:szCs w:val="24"/>
        </w:rPr>
        <w:t>喀斯特山区水稻和饲用油菜轮作栽培技术规程</w:t>
      </w:r>
      <w:r>
        <w:rPr>
          <w:rFonts w:hint="eastAsia"/>
          <w:szCs w:val="24"/>
        </w:rPr>
        <w:t>的制定。该标准的制定目的不仅能实现“藏粮于地、藏粮于技”，还可为畜牧业提供优质蛋白饲料，助力农业绿色转型与高质量发展，</w:t>
      </w:r>
      <w:proofErr w:type="gramStart"/>
      <w:r>
        <w:rPr>
          <w:rFonts w:hint="eastAsia"/>
          <w:szCs w:val="24"/>
        </w:rPr>
        <w:t>全面响应</w:t>
      </w:r>
      <w:proofErr w:type="gramEnd"/>
      <w:r>
        <w:rPr>
          <w:rFonts w:hint="eastAsia"/>
          <w:szCs w:val="24"/>
        </w:rPr>
        <w:t>《“十四五”全国农业绿色发展规划》的核心目标。“</w:t>
      </w:r>
      <w:r>
        <w:rPr>
          <w:rFonts w:ascii="宋体" w:hAnsi="宋体" w:cs="宋体" w:hint="eastAsia"/>
          <w:szCs w:val="24"/>
        </w:rPr>
        <w:t>喀斯特山区水稻和饲用油菜轮作栽培技术规程</w:t>
      </w:r>
      <w:r>
        <w:rPr>
          <w:rFonts w:hint="eastAsia"/>
          <w:szCs w:val="24"/>
        </w:rPr>
        <w:t>”的制定不仅是农业技术标准化的体现，更是国家粮食安全战略、生态治理和产业升级的重要抓手。通过技术集成与创新，水稻饲用油菜轮作模式能为粮食安全、乡村振兴和</w:t>
      </w:r>
      <w:proofErr w:type="gramStart"/>
      <w:r>
        <w:rPr>
          <w:rFonts w:hint="eastAsia"/>
          <w:szCs w:val="24"/>
        </w:rPr>
        <w:t>碳中和</w:t>
      </w:r>
      <w:proofErr w:type="gramEnd"/>
      <w:r>
        <w:rPr>
          <w:rFonts w:hint="eastAsia"/>
          <w:szCs w:val="24"/>
        </w:rPr>
        <w:t>目标提供了切实可行的解决方案。</w:t>
      </w:r>
    </w:p>
    <w:p w14:paraId="22A81B82" w14:textId="77777777" w:rsidR="00E02544" w:rsidRDefault="00000000">
      <w:pPr>
        <w:pStyle w:val="1"/>
        <w:numPr>
          <w:ilvl w:val="0"/>
          <w:numId w:val="1"/>
        </w:numPr>
      </w:pPr>
      <w:bookmarkStart w:id="8" w:name="_Toc176456972"/>
      <w:bookmarkStart w:id="9" w:name="_Toc22674795"/>
      <w:bookmarkStart w:id="10" w:name="_Toc22682828"/>
      <w:bookmarkStart w:id="11" w:name="_Toc30022"/>
      <w:bookmarkStart w:id="12" w:name="_Toc404077040"/>
      <w:r>
        <w:t>编制原则和依据</w:t>
      </w:r>
      <w:bookmarkEnd w:id="8"/>
      <w:bookmarkEnd w:id="9"/>
      <w:bookmarkEnd w:id="10"/>
      <w:bookmarkEnd w:id="11"/>
      <w:bookmarkEnd w:id="12"/>
    </w:p>
    <w:p w14:paraId="26340B6B" w14:textId="77777777" w:rsidR="00E02544" w:rsidRDefault="00000000">
      <w:pPr>
        <w:ind w:firstLineChars="200" w:firstLine="480"/>
        <w:rPr>
          <w:szCs w:val="24"/>
        </w:rPr>
      </w:pPr>
      <w:r>
        <w:rPr>
          <w:szCs w:val="24"/>
        </w:rPr>
        <w:t>本标准的编制原则是在本团队现有研究基础上，查阅国内外关于</w:t>
      </w:r>
      <w:r>
        <w:rPr>
          <w:rFonts w:hint="eastAsia"/>
          <w:szCs w:val="24"/>
        </w:rPr>
        <w:t>水稻饲用油菜轮作模式下</w:t>
      </w:r>
      <w:r>
        <w:rPr>
          <w:rFonts w:ascii="宋体" w:hAnsi="宋体" w:cs="宋体" w:hint="eastAsia"/>
        </w:rPr>
        <w:t>种养循环、增草节粮、豆</w:t>
      </w:r>
      <w:proofErr w:type="gramStart"/>
      <w:r>
        <w:rPr>
          <w:rFonts w:ascii="宋体" w:hAnsi="宋体" w:cs="宋体" w:hint="eastAsia"/>
        </w:rPr>
        <w:t>粕</w:t>
      </w:r>
      <w:proofErr w:type="gramEnd"/>
      <w:r>
        <w:rPr>
          <w:rFonts w:ascii="宋体" w:hAnsi="宋体" w:cs="宋体" w:hint="eastAsia"/>
        </w:rPr>
        <w:t>减量替代、草畜（禽）平衡</w:t>
      </w:r>
      <w:r>
        <w:rPr>
          <w:szCs w:val="24"/>
        </w:rPr>
        <w:t>的资料，同时在贵州</w:t>
      </w:r>
      <w:r>
        <w:rPr>
          <w:rFonts w:hint="eastAsia"/>
          <w:szCs w:val="24"/>
        </w:rPr>
        <w:t>思南地区</w:t>
      </w:r>
      <w:r>
        <w:rPr>
          <w:szCs w:val="24"/>
        </w:rPr>
        <w:t>进行</w:t>
      </w:r>
      <w:r>
        <w:rPr>
          <w:rFonts w:hint="eastAsia"/>
          <w:szCs w:val="24"/>
        </w:rPr>
        <w:t>水稻饲用油菜轮作</w:t>
      </w:r>
      <w:r>
        <w:rPr>
          <w:szCs w:val="24"/>
        </w:rPr>
        <w:t>相关试验，涉及</w:t>
      </w:r>
      <w:r>
        <w:rPr>
          <w:rFonts w:hint="eastAsia"/>
          <w:szCs w:val="24"/>
        </w:rPr>
        <w:t>水稻饲用油菜</w:t>
      </w:r>
      <w:r>
        <w:rPr>
          <w:szCs w:val="24"/>
        </w:rPr>
        <w:t>种植</w:t>
      </w:r>
      <w:r>
        <w:rPr>
          <w:rFonts w:hint="eastAsia"/>
          <w:szCs w:val="24"/>
        </w:rPr>
        <w:t>的整地、播种、施肥管理、病虫害防控及机械化收割</w:t>
      </w:r>
      <w:r>
        <w:rPr>
          <w:szCs w:val="24"/>
        </w:rPr>
        <w:t>等多方内容，确保技术规程的科学性、实用性和可操作性。在编制过程中，我们严格遵循国家相关法律法规和行业标准，确保标准的合法性和权威性。同时，我们充分考虑贵州地区的自然环境、气候条件以及</w:t>
      </w:r>
      <w:r>
        <w:rPr>
          <w:rFonts w:hint="eastAsia"/>
          <w:szCs w:val="24"/>
        </w:rPr>
        <w:t>水稻、饲用油菜</w:t>
      </w:r>
      <w:r>
        <w:rPr>
          <w:szCs w:val="24"/>
        </w:rPr>
        <w:t>的生长特性，力求使标准更加贴近实际，便于推广和应用。此外，我们还积极借鉴国内外先进的</w:t>
      </w:r>
      <w:r>
        <w:rPr>
          <w:rFonts w:hint="eastAsia"/>
          <w:szCs w:val="24"/>
        </w:rPr>
        <w:t>轮作</w:t>
      </w:r>
      <w:r>
        <w:rPr>
          <w:szCs w:val="24"/>
        </w:rPr>
        <w:t>技术和管理经验，结合贵州地区的实际情况，进行创新和完善，以期形成具有贵州特色的</w:t>
      </w:r>
      <w:r>
        <w:rPr>
          <w:rFonts w:hint="eastAsia"/>
          <w:szCs w:val="24"/>
        </w:rPr>
        <w:t>水稻饲用油菜轮作栽培技术规程</w:t>
      </w:r>
      <w:r>
        <w:rPr>
          <w:szCs w:val="24"/>
        </w:rPr>
        <w:t>。</w:t>
      </w:r>
    </w:p>
    <w:p w14:paraId="35A6BC66" w14:textId="77777777" w:rsidR="00E02544" w:rsidRDefault="00000000">
      <w:pPr>
        <w:pStyle w:val="aa"/>
        <w:spacing w:line="360" w:lineRule="auto"/>
        <w:ind w:firstLine="480"/>
        <w:rPr>
          <w:rFonts w:ascii="Times New Roman"/>
          <w:kern w:val="2"/>
          <w:sz w:val="24"/>
          <w:szCs w:val="24"/>
        </w:rPr>
      </w:pPr>
      <w:r>
        <w:rPr>
          <w:rFonts w:ascii="Times New Roman"/>
          <w:kern w:val="2"/>
          <w:sz w:val="24"/>
          <w:szCs w:val="24"/>
        </w:rPr>
        <w:t>标准按照</w:t>
      </w:r>
      <w:r>
        <w:rPr>
          <w:rFonts w:ascii="Times New Roman"/>
          <w:kern w:val="2"/>
          <w:sz w:val="24"/>
          <w:szCs w:val="24"/>
        </w:rPr>
        <w:t>GB/T 1.1-2020</w:t>
      </w:r>
      <w:r>
        <w:rPr>
          <w:rFonts w:ascii="Times New Roman"/>
          <w:kern w:val="2"/>
          <w:sz w:val="24"/>
          <w:szCs w:val="24"/>
        </w:rPr>
        <w:t>《标准化工作导则</w:t>
      </w:r>
      <w:r>
        <w:rPr>
          <w:rFonts w:ascii="Times New Roman"/>
          <w:kern w:val="2"/>
          <w:sz w:val="24"/>
          <w:szCs w:val="24"/>
        </w:rPr>
        <w:t xml:space="preserve"> </w:t>
      </w:r>
      <w:r>
        <w:rPr>
          <w:rFonts w:ascii="Times New Roman"/>
          <w:kern w:val="2"/>
          <w:sz w:val="24"/>
          <w:szCs w:val="24"/>
        </w:rPr>
        <w:t>第</w:t>
      </w:r>
      <w:r>
        <w:rPr>
          <w:rFonts w:ascii="Times New Roman"/>
          <w:kern w:val="2"/>
          <w:sz w:val="24"/>
          <w:szCs w:val="24"/>
        </w:rPr>
        <w:t>1</w:t>
      </w:r>
      <w:r>
        <w:rPr>
          <w:rFonts w:ascii="Times New Roman"/>
          <w:kern w:val="2"/>
          <w:sz w:val="24"/>
          <w:szCs w:val="24"/>
        </w:rPr>
        <w:t>部分：标准化文件的结构和起草规则》的要求和规定编写内容。</w:t>
      </w:r>
      <w:r>
        <w:rPr>
          <w:rFonts w:ascii="Times New Roman" w:hint="eastAsia"/>
          <w:kern w:val="2"/>
          <w:sz w:val="24"/>
          <w:szCs w:val="24"/>
        </w:rPr>
        <w:t>坚持引用最新的国家标准。文件主要技术指标来源于生产实践，并经提炼论证，具有科学性、实用性和指导性。在制定过程中，广泛汲取了各编制单位从事相关研究的专家，基层植保工作人员、油菜种植者的经验，进行了认真总结和分析。在指标的选取上，参考了相关的国家标准和行业标准，做到了规范性技术要素和技术指标选取科学合理、有据可依。</w:t>
      </w:r>
    </w:p>
    <w:p w14:paraId="58965531" w14:textId="77777777" w:rsidR="00E02544" w:rsidRDefault="00000000">
      <w:pPr>
        <w:pStyle w:val="1"/>
        <w:rPr>
          <w:szCs w:val="28"/>
        </w:rPr>
      </w:pPr>
      <w:bookmarkStart w:id="13" w:name="_Toc176453393"/>
      <w:bookmarkStart w:id="14" w:name="_Toc16398"/>
      <w:r>
        <w:rPr>
          <w:rFonts w:hint="eastAsia"/>
          <w:szCs w:val="28"/>
        </w:rPr>
        <w:t>四、主要工作过程</w:t>
      </w:r>
      <w:bookmarkEnd w:id="13"/>
      <w:bookmarkEnd w:id="14"/>
    </w:p>
    <w:p w14:paraId="1A4F253A" w14:textId="77777777" w:rsidR="00E02544" w:rsidRDefault="00000000">
      <w:pPr>
        <w:outlineLvl w:val="1"/>
        <w:rPr>
          <w:b/>
          <w:bCs/>
        </w:rPr>
      </w:pPr>
      <w:bookmarkStart w:id="15" w:name="_Toc14401"/>
      <w:r>
        <w:rPr>
          <w:rFonts w:hint="eastAsia"/>
          <w:b/>
          <w:bCs/>
        </w:rPr>
        <w:t xml:space="preserve">1. </w:t>
      </w:r>
      <w:r>
        <w:rPr>
          <w:rFonts w:hint="eastAsia"/>
          <w:b/>
          <w:bCs/>
        </w:rPr>
        <w:t>成立标准起草工作组</w:t>
      </w:r>
      <w:bookmarkEnd w:id="15"/>
    </w:p>
    <w:p w14:paraId="6953CF2D" w14:textId="77777777" w:rsidR="00E02544" w:rsidRDefault="00000000">
      <w:pPr>
        <w:ind w:firstLineChars="200" w:firstLine="480"/>
      </w:pPr>
      <w:r>
        <w:rPr>
          <w:szCs w:val="24"/>
        </w:rPr>
        <w:t>国家重点研发计划</w:t>
      </w:r>
      <w:r>
        <w:rPr>
          <w:szCs w:val="24"/>
        </w:rPr>
        <w:t>“</w:t>
      </w:r>
      <w:r>
        <w:rPr>
          <w:szCs w:val="24"/>
        </w:rPr>
        <w:t>饲料饲草化学成分迁移与种养循环关键技术</w:t>
      </w:r>
      <w:r>
        <w:rPr>
          <w:szCs w:val="24"/>
        </w:rPr>
        <w:t>”</w:t>
      </w:r>
      <w:r>
        <w:rPr>
          <w:szCs w:val="24"/>
        </w:rPr>
        <w:t>项目</w:t>
      </w:r>
      <w:r>
        <w:rPr>
          <w:rFonts w:hint="eastAsia"/>
          <w:szCs w:val="24"/>
        </w:rPr>
        <w:t>开始后</w:t>
      </w:r>
      <w:r>
        <w:rPr>
          <w:rFonts w:hint="eastAsia"/>
        </w:rPr>
        <w:t>，于</w:t>
      </w:r>
      <w:r>
        <w:rPr>
          <w:rFonts w:hint="eastAsia"/>
        </w:rPr>
        <w:t>2023</w:t>
      </w:r>
      <w:r>
        <w:rPr>
          <w:rFonts w:hint="eastAsia"/>
        </w:rPr>
        <w:t>年</w:t>
      </w:r>
      <w:r>
        <w:rPr>
          <w:rFonts w:hint="eastAsia"/>
        </w:rPr>
        <w:t>11</w:t>
      </w:r>
      <w:r>
        <w:rPr>
          <w:rFonts w:hint="eastAsia"/>
        </w:rPr>
        <w:t>月组建了标准起草工作组，组织标准编制和协调工作。标准起草组认真学习了</w:t>
      </w:r>
      <w:r>
        <w:rPr>
          <w:rFonts w:hint="eastAsia"/>
        </w:rPr>
        <w:t xml:space="preserve"> GB/T 1.1</w:t>
      </w:r>
      <w:r>
        <w:rPr>
          <w:rFonts w:hint="eastAsia"/>
        </w:rPr>
        <w:t>—</w:t>
      </w:r>
      <w:r>
        <w:rPr>
          <w:rFonts w:hint="eastAsia"/>
        </w:rPr>
        <w:t>2020</w:t>
      </w:r>
      <w:r>
        <w:rPr>
          <w:rFonts w:hint="eastAsia"/>
        </w:rPr>
        <w:t>《标准化工作导则第</w:t>
      </w:r>
      <w:r>
        <w:rPr>
          <w:rFonts w:hint="eastAsia"/>
        </w:rPr>
        <w:t xml:space="preserve"> 1 </w:t>
      </w:r>
      <w:r>
        <w:rPr>
          <w:rFonts w:hint="eastAsia"/>
        </w:rPr>
        <w:t>部分：标准化文件的结构和起草规则》，同时制定了标准编制工作计划、编写大纲，明确任务分工和各阶段时间进度。</w:t>
      </w:r>
    </w:p>
    <w:p w14:paraId="4F3FD886" w14:textId="77777777" w:rsidR="00E02544" w:rsidRDefault="00000000">
      <w:pPr>
        <w:numPr>
          <w:ilvl w:val="0"/>
          <w:numId w:val="2"/>
        </w:numPr>
        <w:outlineLvl w:val="1"/>
        <w:rPr>
          <w:b/>
          <w:bCs/>
        </w:rPr>
      </w:pPr>
      <w:bookmarkStart w:id="16" w:name="_Toc19508"/>
      <w:r>
        <w:rPr>
          <w:rFonts w:hint="eastAsia"/>
          <w:b/>
          <w:bCs/>
        </w:rPr>
        <w:t>资料收集分析、技术准备</w:t>
      </w:r>
      <w:bookmarkEnd w:id="16"/>
    </w:p>
    <w:p w14:paraId="5F626B16" w14:textId="77777777" w:rsidR="00E02544" w:rsidRDefault="00000000">
      <w:pPr>
        <w:ind w:firstLineChars="200" w:firstLine="480"/>
      </w:pPr>
      <w:r>
        <w:t>标准起草工作组首先广泛汲取了其他相关标准的编写经验，组织成员深入分析、讨论并总结了与</w:t>
      </w:r>
      <w:r>
        <w:rPr>
          <w:rFonts w:ascii="宋体" w:hAnsi="宋体" w:cs="宋体" w:hint="eastAsia"/>
          <w:szCs w:val="24"/>
        </w:rPr>
        <w:t>喀斯特山区水稻和饲用油菜轮作栽培技术</w:t>
      </w:r>
      <w:r>
        <w:t>相关的标准、资料和政策，全面掌握了标准的内涵及其编制方法；随后，工作组结合生产实际，对收集的资料进行了细致的分析和整理，并对制定标准所涉及的内容、范围、适用性和科学性进行了深入研讨。</w:t>
      </w:r>
    </w:p>
    <w:p w14:paraId="5DB32619" w14:textId="77777777" w:rsidR="00E02544" w:rsidRDefault="00000000">
      <w:pPr>
        <w:numPr>
          <w:ilvl w:val="0"/>
          <w:numId w:val="2"/>
        </w:numPr>
        <w:outlineLvl w:val="1"/>
        <w:rPr>
          <w:b/>
          <w:bCs/>
        </w:rPr>
      </w:pPr>
      <w:bookmarkStart w:id="17" w:name="_Toc18469"/>
      <w:r>
        <w:rPr>
          <w:rFonts w:hint="eastAsia"/>
          <w:b/>
          <w:bCs/>
        </w:rPr>
        <w:t>标准编写，形成技术规程草案</w:t>
      </w:r>
      <w:bookmarkEnd w:id="17"/>
    </w:p>
    <w:p w14:paraId="3CC977A1" w14:textId="77777777" w:rsidR="00E02544" w:rsidRDefault="00000000">
      <w:pPr>
        <w:ind w:firstLineChars="200" w:firstLine="480"/>
      </w:pPr>
      <w:r>
        <w:rPr>
          <w:rFonts w:hint="eastAsia"/>
        </w:rPr>
        <w:t xml:space="preserve"> 2023</w:t>
      </w:r>
      <w:r>
        <w:rPr>
          <w:rFonts w:hint="eastAsia"/>
        </w:rPr>
        <w:t>年</w:t>
      </w:r>
      <w:r>
        <w:rPr>
          <w:rFonts w:hint="eastAsia"/>
        </w:rPr>
        <w:t>11</w:t>
      </w:r>
      <w:r>
        <w:rPr>
          <w:rFonts w:hint="eastAsia"/>
        </w:rPr>
        <w:t>月</w:t>
      </w:r>
      <w:r>
        <w:rPr>
          <w:rFonts w:hint="eastAsia"/>
        </w:rPr>
        <w:t xml:space="preserve"> - 2024</w:t>
      </w:r>
      <w:r>
        <w:rPr>
          <w:rFonts w:hint="eastAsia"/>
        </w:rPr>
        <w:t>年</w:t>
      </w:r>
      <w:r>
        <w:rPr>
          <w:rFonts w:hint="eastAsia"/>
        </w:rPr>
        <w:t>12</w:t>
      </w:r>
      <w:r>
        <w:rPr>
          <w:rFonts w:hint="eastAsia"/>
        </w:rPr>
        <w:t>月，在大量调研、咨询，收集和查阅水稻饲用油菜轮作技术研究有关资料和文献基础上，结合贵州思南地区气候、地形、土壤及大量水稻饲用油菜轮作实验研究和生产实际情况，以贵州</w:t>
      </w:r>
      <w:r>
        <w:rPr>
          <w:rFonts w:ascii="宋体" w:hAnsi="宋体" w:cs="宋体" w:hint="eastAsia"/>
          <w:szCs w:val="24"/>
        </w:rPr>
        <w:t>喀斯特山区</w:t>
      </w:r>
      <w:r>
        <w:rPr>
          <w:rFonts w:hint="eastAsia"/>
          <w:szCs w:val="24"/>
        </w:rPr>
        <w:t>水稻饲用油菜</w:t>
      </w:r>
      <w:r>
        <w:rPr>
          <w:rFonts w:hint="eastAsia"/>
        </w:rPr>
        <w:t>丰产及高效收获目标，确定了标准起草的总体框架和主要内容，并编写完成了《</w:t>
      </w:r>
      <w:r>
        <w:rPr>
          <w:rFonts w:ascii="宋体" w:hAnsi="宋体" w:cs="宋体" w:hint="eastAsia"/>
          <w:szCs w:val="24"/>
        </w:rPr>
        <w:t>喀斯特山区水稻和饲用油菜轮作栽培技术规程</w:t>
      </w:r>
      <w:r>
        <w:rPr>
          <w:rFonts w:hint="eastAsia"/>
        </w:rPr>
        <w:t>》的标准草案。</w:t>
      </w:r>
    </w:p>
    <w:p w14:paraId="17FF4092" w14:textId="77777777" w:rsidR="00E02544" w:rsidRDefault="00000000">
      <w:pPr>
        <w:ind w:firstLineChars="200" w:firstLine="480"/>
      </w:pPr>
      <w:r>
        <w:rPr>
          <w:rFonts w:hint="eastAsia"/>
        </w:rPr>
        <w:t>2023</w:t>
      </w:r>
      <w:r>
        <w:rPr>
          <w:rFonts w:hint="eastAsia"/>
        </w:rPr>
        <w:t>年</w:t>
      </w:r>
      <w:r>
        <w:rPr>
          <w:rFonts w:hint="eastAsia"/>
        </w:rPr>
        <w:t>11 - 2025</w:t>
      </w:r>
      <w:r>
        <w:rPr>
          <w:rFonts w:hint="eastAsia"/>
        </w:rPr>
        <w:t>年</w:t>
      </w:r>
      <w:r>
        <w:rPr>
          <w:rFonts w:hint="eastAsia"/>
        </w:rPr>
        <w:t>4</w:t>
      </w:r>
      <w:r>
        <w:rPr>
          <w:rFonts w:hint="eastAsia"/>
        </w:rPr>
        <w:t>月，编写征求意见</w:t>
      </w:r>
      <w:proofErr w:type="gramStart"/>
      <w:r>
        <w:rPr>
          <w:rFonts w:hint="eastAsia"/>
        </w:rPr>
        <w:t>稿标准</w:t>
      </w:r>
      <w:proofErr w:type="gramEnd"/>
      <w:r>
        <w:rPr>
          <w:rFonts w:hint="eastAsia"/>
        </w:rPr>
        <w:t>文本，编写《编制说明》。由北京华夏草业产业技术创新战略联盟组织国内相关专家对《</w:t>
      </w:r>
      <w:r>
        <w:rPr>
          <w:rFonts w:ascii="宋体" w:hAnsi="宋体" w:cs="宋体" w:hint="eastAsia"/>
          <w:szCs w:val="24"/>
        </w:rPr>
        <w:t>喀斯特山区水稻和饲用油菜轮作栽培技术规程</w:t>
      </w:r>
      <w:r>
        <w:rPr>
          <w:rFonts w:hint="eastAsia"/>
        </w:rPr>
        <w:t>》征求意见稿及编制说明进行会议评审。</w:t>
      </w:r>
    </w:p>
    <w:p w14:paraId="365CD5CA" w14:textId="77777777" w:rsidR="00E02544" w:rsidRDefault="00000000">
      <w:pPr>
        <w:pStyle w:val="1"/>
        <w:numPr>
          <w:ilvl w:val="0"/>
          <w:numId w:val="1"/>
        </w:numPr>
        <w:rPr>
          <w:szCs w:val="28"/>
        </w:rPr>
      </w:pPr>
      <w:bookmarkStart w:id="18" w:name="_Toc176453397"/>
      <w:bookmarkStart w:id="19" w:name="_Toc25765"/>
      <w:r>
        <w:rPr>
          <w:szCs w:val="28"/>
        </w:rPr>
        <w:t>主要技术内容确定的依据</w:t>
      </w:r>
      <w:bookmarkEnd w:id="18"/>
      <w:bookmarkEnd w:id="19"/>
    </w:p>
    <w:p w14:paraId="22827B6E" w14:textId="77777777" w:rsidR="00E02544" w:rsidRDefault="00000000">
      <w:pPr>
        <w:numPr>
          <w:ilvl w:val="0"/>
          <w:numId w:val="3"/>
        </w:numPr>
        <w:outlineLvl w:val="1"/>
        <w:rPr>
          <w:b/>
          <w:bCs/>
        </w:rPr>
      </w:pPr>
      <w:bookmarkStart w:id="20" w:name="_Toc30497"/>
      <w:r>
        <w:rPr>
          <w:rFonts w:hint="eastAsia"/>
          <w:b/>
          <w:bCs/>
        </w:rPr>
        <w:t>适用范围</w:t>
      </w:r>
      <w:bookmarkEnd w:id="20"/>
    </w:p>
    <w:p w14:paraId="02C5E4A9" w14:textId="77777777" w:rsidR="00E02544" w:rsidRDefault="00000000">
      <w:pPr>
        <w:ind w:firstLineChars="200" w:firstLine="480"/>
      </w:pPr>
      <w:r>
        <w:rPr>
          <w:rFonts w:hint="eastAsia"/>
        </w:rPr>
        <w:t>本标准规定了</w:t>
      </w:r>
      <w:r>
        <w:rPr>
          <w:rFonts w:ascii="宋体" w:hAnsi="宋体" w:cs="宋体" w:hint="eastAsia"/>
          <w:szCs w:val="24"/>
        </w:rPr>
        <w:t>喀斯特山区水稻和饲用油菜轮作栽培</w:t>
      </w:r>
      <w:r>
        <w:rPr>
          <w:rFonts w:hint="eastAsia"/>
          <w:szCs w:val="24"/>
        </w:rPr>
        <w:t>技术</w:t>
      </w:r>
      <w:r>
        <w:rPr>
          <w:rFonts w:hint="eastAsia"/>
        </w:rPr>
        <w:t>，包括</w:t>
      </w:r>
      <w:r>
        <w:rPr>
          <w:rFonts w:ascii="宋体" w:hAnsi="宋体" w:cs="宋体" w:hint="eastAsia"/>
          <w:szCs w:val="24"/>
        </w:rPr>
        <w:t>整地准备</w:t>
      </w:r>
      <w:r>
        <w:rPr>
          <w:rFonts w:hint="eastAsia"/>
        </w:rPr>
        <w:t>、</w:t>
      </w:r>
      <w:r>
        <w:rPr>
          <w:rFonts w:ascii="宋体" w:hAnsi="宋体" w:cs="宋体"/>
          <w:szCs w:val="24"/>
        </w:rPr>
        <w:t>品种选择</w:t>
      </w:r>
      <w:r>
        <w:rPr>
          <w:rFonts w:hint="eastAsia"/>
        </w:rPr>
        <w:t>、育苗移栽、栽培管理、收获管理、病虫草害防控等技术要求，为贵州省</w:t>
      </w:r>
      <w:r>
        <w:rPr>
          <w:rFonts w:ascii="宋体" w:hAnsi="宋体" w:cs="宋体" w:hint="eastAsia"/>
          <w:szCs w:val="24"/>
        </w:rPr>
        <w:t>喀斯特山区</w:t>
      </w:r>
      <w:r>
        <w:rPr>
          <w:rFonts w:hint="eastAsia"/>
        </w:rPr>
        <w:t>水稻</w:t>
      </w:r>
      <w:r>
        <w:rPr>
          <w:rFonts w:hint="eastAsia"/>
          <w:szCs w:val="24"/>
        </w:rPr>
        <w:t>饲用</w:t>
      </w:r>
      <w:r>
        <w:rPr>
          <w:rFonts w:hint="eastAsia"/>
        </w:rPr>
        <w:t>油菜的高效栽培及收获提供更加规范的技术支持。适用于贵州省内从事水稻</w:t>
      </w:r>
      <w:r>
        <w:rPr>
          <w:rFonts w:hint="eastAsia"/>
          <w:szCs w:val="24"/>
        </w:rPr>
        <w:t>饲用</w:t>
      </w:r>
      <w:r>
        <w:rPr>
          <w:rFonts w:hint="eastAsia"/>
        </w:rPr>
        <w:t>油菜轮作种植、管理和收割的农户、农业企业及相关研究机构。旨在通过</w:t>
      </w:r>
      <w:r>
        <w:rPr>
          <w:rFonts w:ascii="宋体" w:hAnsi="宋体" w:cs="仿宋_GB2312" w:hint="eastAsia"/>
        </w:rPr>
        <w:t>设置不同的水肥耦合和轮作栽培处理，重点研究不同种植模式下主要营养元素在饲料饲草和土壤中的分布特征、转移规律及其机理，不同饲料-饲草轮作模式对饲料饲草产量和品质的影响与作用机制，以及不同生态区域种养循环模式下的饲料饲草提质增效关键技术，探明典型生态区域主要饲料饲草产量形成与植物和土壤中营养元素积累之间的关系，揭示增产营养调控机制，开发饲料饲草高效种植技术。</w:t>
      </w:r>
    </w:p>
    <w:p w14:paraId="7CE1D59F" w14:textId="77777777" w:rsidR="00E02544" w:rsidRDefault="00000000">
      <w:pPr>
        <w:numPr>
          <w:ilvl w:val="0"/>
          <w:numId w:val="3"/>
        </w:numPr>
        <w:outlineLvl w:val="1"/>
        <w:rPr>
          <w:b/>
          <w:bCs/>
        </w:rPr>
      </w:pPr>
      <w:bookmarkStart w:id="21" w:name="_Toc31978"/>
      <w:r>
        <w:rPr>
          <w:b/>
          <w:bCs/>
        </w:rPr>
        <w:t>规范性引用文件</w:t>
      </w:r>
      <w:bookmarkEnd w:id="21"/>
    </w:p>
    <w:p w14:paraId="7ECD37BC" w14:textId="77777777" w:rsidR="00E02544" w:rsidRDefault="00000000">
      <w:pPr>
        <w:ind w:firstLineChars="200" w:firstLine="480"/>
      </w:pPr>
      <w:r>
        <w:rPr>
          <w:rFonts w:hint="eastAsia"/>
        </w:rPr>
        <w:t>本标准</w:t>
      </w:r>
      <w:r>
        <w:t>主要参考了《</w:t>
      </w:r>
      <w:r>
        <w:rPr>
          <w:rFonts w:hint="eastAsia"/>
        </w:rPr>
        <w:t xml:space="preserve">DB3402-T 71-2024 </w:t>
      </w:r>
      <w:r>
        <w:rPr>
          <w:rFonts w:hint="eastAsia"/>
        </w:rPr>
        <w:t>油菜水稻高效轮作生产技术规程</w:t>
      </w:r>
      <w:r>
        <w:t>》、《</w:t>
      </w:r>
      <w:r>
        <w:rPr>
          <w:rFonts w:hint="eastAsia"/>
        </w:rPr>
        <w:t xml:space="preserve">DB50_T 1253-2022 </w:t>
      </w:r>
      <w:r>
        <w:rPr>
          <w:rFonts w:hint="eastAsia"/>
        </w:rPr>
        <w:t>稻油轮作油菜全程机械化生产技术规程</w:t>
      </w:r>
      <w:r>
        <w:t>》、</w:t>
      </w:r>
      <w:proofErr w:type="gramStart"/>
      <w:r>
        <w:t>《</w:t>
      </w:r>
      <w:proofErr w:type="gramEnd"/>
      <w:r>
        <w:t>T</w:t>
      </w:r>
      <w:r>
        <w:rPr>
          <w:rFonts w:hint="eastAsia"/>
        </w:rPr>
        <w:t>DB34/T 795</w:t>
      </w:r>
    </w:p>
    <w:p w14:paraId="21E02BB3" w14:textId="77777777" w:rsidR="00E02544" w:rsidRDefault="00000000">
      <w:r>
        <w:rPr>
          <w:rFonts w:hint="eastAsia"/>
        </w:rPr>
        <w:t>机插水稻大田耕整地作业技术规程</w:t>
      </w:r>
      <w:proofErr w:type="gramStart"/>
      <w:r>
        <w:t>》</w:t>
      </w:r>
      <w:proofErr w:type="gramEnd"/>
      <w:r>
        <w:t>、《</w:t>
      </w:r>
      <w:r>
        <w:rPr>
          <w:rFonts w:hint="eastAsia"/>
        </w:rPr>
        <w:t xml:space="preserve">DB36/T 1887-2023 </w:t>
      </w:r>
      <w:r>
        <w:rPr>
          <w:rFonts w:hint="eastAsia"/>
        </w:rPr>
        <w:t>油菜</w:t>
      </w:r>
      <w:r>
        <w:rPr>
          <w:rFonts w:hint="eastAsia"/>
        </w:rPr>
        <w:t>-</w:t>
      </w:r>
      <w:r>
        <w:rPr>
          <w:rFonts w:hint="eastAsia"/>
        </w:rPr>
        <w:t>中稻生产技术规程</w:t>
      </w:r>
      <w:r>
        <w:t>》、《</w:t>
      </w:r>
      <w:r>
        <w:rPr>
          <w:rFonts w:hint="eastAsia"/>
        </w:rPr>
        <w:t>DB3210</w:t>
      </w:r>
      <w:r>
        <w:rPr>
          <w:rFonts w:hint="eastAsia"/>
        </w:rPr>
        <w:t>∕</w:t>
      </w:r>
      <w:r>
        <w:rPr>
          <w:rFonts w:hint="eastAsia"/>
        </w:rPr>
        <w:t xml:space="preserve">T 1120-2022 </w:t>
      </w:r>
      <w:r>
        <w:rPr>
          <w:rFonts w:hint="eastAsia"/>
        </w:rPr>
        <w:t>水稻</w:t>
      </w:r>
      <w:r>
        <w:rPr>
          <w:rFonts w:hint="eastAsia"/>
        </w:rPr>
        <w:t>-</w:t>
      </w:r>
      <w:r>
        <w:rPr>
          <w:rFonts w:hint="eastAsia"/>
        </w:rPr>
        <w:t>油菜轮作休耕技术规程</w:t>
      </w:r>
      <w:r>
        <w:t>》</w:t>
      </w:r>
      <w:r>
        <w:rPr>
          <w:rFonts w:hint="eastAsia"/>
        </w:rPr>
        <w:t>、《</w:t>
      </w:r>
      <w:r>
        <w:rPr>
          <w:rFonts w:hint="eastAsia"/>
        </w:rPr>
        <w:t>NY /496</w:t>
      </w:r>
    </w:p>
    <w:p w14:paraId="2FF92401" w14:textId="77777777" w:rsidR="00E02544" w:rsidRDefault="00000000">
      <w:r>
        <w:rPr>
          <w:rFonts w:hint="eastAsia"/>
        </w:rPr>
        <w:t>肥料合理使用准则</w:t>
      </w:r>
      <w:r>
        <w:rPr>
          <w:rFonts w:hint="eastAsia"/>
        </w:rPr>
        <w:t xml:space="preserve"> </w:t>
      </w:r>
      <w:r>
        <w:rPr>
          <w:rFonts w:hint="eastAsia"/>
        </w:rPr>
        <w:t>通则》</w:t>
      </w:r>
    </w:p>
    <w:p w14:paraId="03E71A20" w14:textId="77777777" w:rsidR="00E02544" w:rsidRDefault="00000000">
      <w:pPr>
        <w:numPr>
          <w:ilvl w:val="0"/>
          <w:numId w:val="3"/>
        </w:numPr>
        <w:outlineLvl w:val="1"/>
        <w:rPr>
          <w:b/>
          <w:bCs/>
        </w:rPr>
      </w:pPr>
      <w:bookmarkStart w:id="22" w:name="_Toc5190"/>
      <w:r>
        <w:rPr>
          <w:rFonts w:hint="eastAsia"/>
          <w:b/>
          <w:bCs/>
        </w:rPr>
        <w:t>术语及定义</w:t>
      </w:r>
      <w:bookmarkEnd w:id="22"/>
    </w:p>
    <w:p w14:paraId="53E1F658" w14:textId="77777777" w:rsidR="00E02544" w:rsidRDefault="00000000">
      <w:pPr>
        <w:ind w:firstLine="480"/>
      </w:pPr>
      <w:r>
        <w:rPr>
          <w:rFonts w:hint="eastAsia"/>
        </w:rPr>
        <w:t>结合标准起草组在轮作收获工作中的实践经验，经编写人员研究讨论</w:t>
      </w:r>
      <w:proofErr w:type="gramStart"/>
      <w:r>
        <w:rPr>
          <w:rFonts w:hint="eastAsia"/>
        </w:rPr>
        <w:t>凝炼</w:t>
      </w:r>
      <w:proofErr w:type="gramEnd"/>
      <w:r>
        <w:rPr>
          <w:rFonts w:hint="eastAsia"/>
        </w:rPr>
        <w:t>而成，讨论确定了本标准的术语为“水稻</w:t>
      </w:r>
      <w:r>
        <w:rPr>
          <w:rFonts w:hint="eastAsia"/>
          <w:szCs w:val="24"/>
        </w:rPr>
        <w:t>饲用</w:t>
      </w:r>
      <w:r>
        <w:rPr>
          <w:rFonts w:hint="eastAsia"/>
        </w:rPr>
        <w:t>油菜、机械化收割、水肥耦合”，并给出相应定义。</w:t>
      </w:r>
    </w:p>
    <w:p w14:paraId="1EB47B11" w14:textId="77777777" w:rsidR="00E02544" w:rsidRDefault="00000000">
      <w:pPr>
        <w:numPr>
          <w:ilvl w:val="0"/>
          <w:numId w:val="3"/>
        </w:numPr>
        <w:outlineLvl w:val="1"/>
        <w:rPr>
          <w:b/>
          <w:bCs/>
        </w:rPr>
      </w:pPr>
      <w:bookmarkStart w:id="23" w:name="_Toc29369"/>
      <w:r>
        <w:rPr>
          <w:b/>
          <w:bCs/>
        </w:rPr>
        <w:t>主要技术指标确定的依据</w:t>
      </w:r>
      <w:bookmarkEnd w:id="23"/>
    </w:p>
    <w:p w14:paraId="0CE200A3" w14:textId="77777777" w:rsidR="00E02544" w:rsidRDefault="00000000">
      <w:pPr>
        <w:ind w:firstLine="480"/>
      </w:pPr>
      <w:r>
        <w:rPr>
          <w:rFonts w:hint="eastAsia"/>
        </w:rPr>
        <w:t>编写组致力于贵州</w:t>
      </w:r>
      <w:r>
        <w:rPr>
          <w:rFonts w:ascii="宋体" w:hAnsi="宋体" w:cs="宋体" w:hint="eastAsia"/>
          <w:szCs w:val="24"/>
        </w:rPr>
        <w:t>喀斯特山区水稻和饲用油菜轮作栽培技术</w:t>
      </w:r>
      <w:r>
        <w:rPr>
          <w:rFonts w:hint="eastAsia"/>
        </w:rPr>
        <w:t>及示范推广工作。同时在贵州思南进行</w:t>
      </w:r>
      <w:r>
        <w:rPr>
          <w:rFonts w:hint="eastAsia"/>
          <w:szCs w:val="24"/>
        </w:rPr>
        <w:t>水稻饲用油菜轮作栽培技术</w:t>
      </w:r>
      <w:r>
        <w:rPr>
          <w:rFonts w:hint="eastAsia"/>
        </w:rPr>
        <w:t>相关试验。确定</w:t>
      </w:r>
      <w:r>
        <w:rPr>
          <w:rFonts w:hint="eastAsia"/>
          <w:szCs w:val="24"/>
        </w:rPr>
        <w:t>水稻饲用油菜轮作栽培技术</w:t>
      </w:r>
      <w:r>
        <w:rPr>
          <w:rFonts w:hint="eastAsia"/>
        </w:rPr>
        <w:t>全过程的技术标准。</w:t>
      </w:r>
    </w:p>
    <w:p w14:paraId="553F2F4D" w14:textId="77777777" w:rsidR="00E02544" w:rsidRDefault="00000000">
      <w:pPr>
        <w:numPr>
          <w:ilvl w:val="0"/>
          <w:numId w:val="4"/>
        </w:numPr>
        <w:ind w:firstLine="480"/>
      </w:pPr>
      <w:r>
        <w:rPr>
          <w:rFonts w:ascii="宋体" w:hAnsi="宋体" w:cs="宋体"/>
          <w:szCs w:val="24"/>
        </w:rPr>
        <w:t xml:space="preserve"> </w:t>
      </w:r>
      <w:r>
        <w:rPr>
          <w:rFonts w:ascii="宋体" w:hAnsi="宋体" w:cs="宋体" w:hint="eastAsia"/>
          <w:szCs w:val="24"/>
        </w:rPr>
        <w:t>整地准备 水稻移栽前及时整地，</w:t>
      </w:r>
      <w:proofErr w:type="gramStart"/>
      <w:r>
        <w:rPr>
          <w:rFonts w:ascii="宋体" w:hAnsi="宋体" w:cs="宋体" w:hint="eastAsia"/>
          <w:szCs w:val="24"/>
        </w:rPr>
        <w:t>提倡旱耕或</w:t>
      </w:r>
      <w:proofErr w:type="gramEnd"/>
      <w:r>
        <w:rPr>
          <w:rFonts w:ascii="宋体" w:hAnsi="宋体" w:cs="宋体" w:hint="eastAsia"/>
          <w:szCs w:val="24"/>
        </w:rPr>
        <w:t>湿润旋耕，犁耕深度12-18 厘米，旋耕深度 10-15 厘米，达到秸秆还田、</w:t>
      </w:r>
      <w:proofErr w:type="gramStart"/>
      <w:r>
        <w:rPr>
          <w:rFonts w:ascii="宋体" w:hAnsi="宋体" w:cs="宋体" w:hint="eastAsia"/>
          <w:szCs w:val="24"/>
        </w:rPr>
        <w:t>埋茬覆盖</w:t>
      </w:r>
      <w:proofErr w:type="gramEnd"/>
      <w:r>
        <w:rPr>
          <w:rFonts w:ascii="宋体" w:hAnsi="宋体" w:cs="宋体" w:hint="eastAsia"/>
          <w:szCs w:val="24"/>
        </w:rPr>
        <w:t>，采用水田耙或平地打浆机平整田面，</w:t>
      </w:r>
      <w:proofErr w:type="gramStart"/>
      <w:r>
        <w:rPr>
          <w:rFonts w:ascii="宋体" w:hAnsi="宋体" w:cs="宋体" w:hint="eastAsia"/>
          <w:szCs w:val="24"/>
        </w:rPr>
        <w:t>沉田后</w:t>
      </w:r>
      <w:proofErr w:type="gramEnd"/>
      <w:r>
        <w:rPr>
          <w:rFonts w:ascii="宋体" w:hAnsi="宋体" w:cs="宋体" w:hint="eastAsia"/>
          <w:szCs w:val="24"/>
        </w:rPr>
        <w:t>达到机插前耕整地质量要求。</w:t>
      </w:r>
    </w:p>
    <w:p w14:paraId="74067EC0" w14:textId="77777777" w:rsidR="00E02544" w:rsidRDefault="00000000">
      <w:pPr>
        <w:numPr>
          <w:ilvl w:val="0"/>
          <w:numId w:val="4"/>
        </w:numPr>
        <w:ind w:firstLine="480"/>
      </w:pPr>
      <w:r>
        <w:rPr>
          <w:rFonts w:ascii="宋体" w:hAnsi="宋体" w:cs="宋体"/>
          <w:szCs w:val="24"/>
        </w:rPr>
        <w:t>品种选择</w:t>
      </w:r>
      <w:r>
        <w:rPr>
          <w:rFonts w:ascii="宋体" w:hAnsi="宋体" w:cs="宋体" w:hint="eastAsia"/>
          <w:szCs w:val="24"/>
        </w:rPr>
        <w:t xml:space="preserve"> </w:t>
      </w:r>
      <w:r>
        <w:rPr>
          <w:rFonts w:ascii="宋体" w:hAnsi="宋体" w:cs="宋体"/>
          <w:szCs w:val="24"/>
        </w:rPr>
        <w:t>在现代农业的生产过程中，农作物种子扮演着至重要的角色，它是构成农业生产资料的基础，同时也是推动现代农业发展的关键因素。因此，选择与</w:t>
      </w:r>
      <w:r>
        <w:rPr>
          <w:rFonts w:ascii="宋体" w:hAnsi="宋体" w:cs="宋体" w:hint="eastAsia"/>
          <w:szCs w:val="24"/>
        </w:rPr>
        <w:t>思南地区</w:t>
      </w:r>
      <w:r>
        <w:rPr>
          <w:rFonts w:ascii="宋体" w:hAnsi="宋体" w:cs="宋体"/>
          <w:szCs w:val="24"/>
        </w:rPr>
        <w:t>土壤环境和气候条件相适应的品种对当季农作物的产量有直接影响。在稻油轮作模式中，将水稻的收获时间安排在9月下旬至10月上旬，而</w:t>
      </w:r>
      <w:r>
        <w:rPr>
          <w:rFonts w:hint="eastAsia"/>
          <w:szCs w:val="24"/>
        </w:rPr>
        <w:t>饲用</w:t>
      </w:r>
      <w:r>
        <w:rPr>
          <w:rFonts w:ascii="宋体" w:hAnsi="宋体" w:cs="宋体"/>
          <w:szCs w:val="24"/>
        </w:rPr>
        <w:t>油菜则应在</w:t>
      </w:r>
      <w:r>
        <w:rPr>
          <w:rFonts w:ascii="宋体" w:hAnsi="宋体" w:cs="宋体" w:hint="eastAsia"/>
          <w:szCs w:val="24"/>
        </w:rPr>
        <w:t>次年</w:t>
      </w:r>
      <w:r>
        <w:rPr>
          <w:rFonts w:ascii="宋体" w:hAnsi="宋体" w:cs="宋体"/>
          <w:szCs w:val="24"/>
        </w:rPr>
        <w:t>5月中旬之前完成收获。水稻与</w:t>
      </w:r>
      <w:r>
        <w:rPr>
          <w:rFonts w:hint="eastAsia"/>
          <w:szCs w:val="24"/>
        </w:rPr>
        <w:t>饲用</w:t>
      </w:r>
      <w:r>
        <w:rPr>
          <w:rFonts w:ascii="宋体" w:hAnsi="宋体" w:cs="宋体"/>
          <w:szCs w:val="24"/>
        </w:rPr>
        <w:t>油菜的生长发育周期总和应控制在一年以内，它们之间需呈现出长周期与短周期的科学配置，达成互相补充，以保障生产安全。在</w:t>
      </w:r>
      <w:r>
        <w:rPr>
          <w:rFonts w:ascii="宋体" w:hAnsi="宋体" w:cs="宋体" w:hint="eastAsia"/>
          <w:szCs w:val="24"/>
        </w:rPr>
        <w:t>思南塘</w:t>
      </w:r>
      <w:proofErr w:type="gramStart"/>
      <w:r>
        <w:rPr>
          <w:rFonts w:ascii="宋体" w:hAnsi="宋体" w:cs="宋体" w:hint="eastAsia"/>
          <w:szCs w:val="24"/>
        </w:rPr>
        <w:t>头县选取</w:t>
      </w:r>
      <w:proofErr w:type="gramEnd"/>
      <w:r>
        <w:rPr>
          <w:rFonts w:hint="eastAsia"/>
          <w:szCs w:val="24"/>
        </w:rPr>
        <w:t>饲用</w:t>
      </w:r>
      <w:r>
        <w:rPr>
          <w:rFonts w:ascii="宋体" w:hAnsi="宋体" w:cs="宋体" w:hint="eastAsia"/>
          <w:szCs w:val="24"/>
        </w:rPr>
        <w:t>油菜品种为：油</w:t>
      </w:r>
      <w:proofErr w:type="gramStart"/>
      <w:r>
        <w:rPr>
          <w:rFonts w:ascii="宋体" w:hAnsi="宋体" w:cs="宋体" w:hint="eastAsia"/>
          <w:szCs w:val="24"/>
        </w:rPr>
        <w:t>研</w:t>
      </w:r>
      <w:proofErr w:type="gramEnd"/>
      <w:r>
        <w:rPr>
          <w:rFonts w:ascii="宋体" w:hAnsi="宋体" w:cs="宋体" w:hint="eastAsia"/>
          <w:szCs w:val="24"/>
        </w:rPr>
        <w:t>2020，水稻品种为：</w:t>
      </w:r>
      <w:proofErr w:type="gramStart"/>
      <w:r>
        <w:t>泰优</w:t>
      </w:r>
      <w:proofErr w:type="gramEnd"/>
      <w:r>
        <w:t>808</w:t>
      </w:r>
      <w:r>
        <w:rPr>
          <w:rFonts w:hint="eastAsia"/>
        </w:rPr>
        <w:t>。</w:t>
      </w:r>
    </w:p>
    <w:p w14:paraId="38398D87" w14:textId="77777777" w:rsidR="00E02544" w:rsidRDefault="00000000">
      <w:pPr>
        <w:numPr>
          <w:ilvl w:val="0"/>
          <w:numId w:val="4"/>
        </w:numPr>
        <w:ind w:firstLine="480"/>
      </w:pPr>
      <w:r>
        <w:rPr>
          <w:rFonts w:hint="eastAsia"/>
        </w:rPr>
        <w:t>育苗移栽</w:t>
      </w:r>
      <w:r>
        <w:rPr>
          <w:rFonts w:ascii="宋体" w:hAnsi="宋体" w:cs="宋体"/>
          <w:szCs w:val="24"/>
        </w:rPr>
        <w:t xml:space="preserve"> 在种植时，考虑</w:t>
      </w:r>
      <w:r>
        <w:rPr>
          <w:rFonts w:ascii="宋体" w:hAnsi="宋体" w:cs="宋体" w:hint="eastAsia"/>
          <w:szCs w:val="24"/>
        </w:rPr>
        <w:t>思南地区</w:t>
      </w:r>
      <w:r>
        <w:rPr>
          <w:rFonts w:ascii="宋体" w:hAnsi="宋体" w:cs="宋体"/>
          <w:szCs w:val="24"/>
        </w:rPr>
        <w:t>气候特征及土壤性质，确定最适宜的播种时间区间，</w:t>
      </w:r>
      <w:r>
        <w:rPr>
          <w:rFonts w:ascii="宋体" w:hAnsi="宋体" w:cs="宋体" w:hint="eastAsia"/>
          <w:szCs w:val="24"/>
        </w:rPr>
        <w:t>思南</w:t>
      </w:r>
      <w:proofErr w:type="gramStart"/>
      <w:r>
        <w:rPr>
          <w:rFonts w:ascii="宋体" w:hAnsi="宋体" w:cs="宋体" w:hint="eastAsia"/>
          <w:szCs w:val="24"/>
        </w:rPr>
        <w:t>塘头县</w:t>
      </w:r>
      <w:r>
        <w:rPr>
          <w:rFonts w:ascii="宋体" w:hAnsi="宋体" w:cs="宋体"/>
          <w:szCs w:val="24"/>
        </w:rPr>
        <w:t>水稻</w:t>
      </w:r>
      <w:proofErr w:type="gramEnd"/>
      <w:r>
        <w:rPr>
          <w:rFonts w:ascii="宋体" w:hAnsi="宋体" w:cs="宋体"/>
          <w:szCs w:val="24"/>
        </w:rPr>
        <w:t>采取育秧移栽种植，</w:t>
      </w:r>
      <w:r>
        <w:rPr>
          <w:rFonts w:ascii="宋体" w:hAnsi="宋体" w:cs="宋体" w:hint="eastAsia"/>
          <w:szCs w:val="24"/>
        </w:rPr>
        <w:t>在</w:t>
      </w:r>
      <w:r>
        <w:rPr>
          <w:rFonts w:ascii="宋体" w:hAnsi="宋体" w:cs="宋体"/>
          <w:szCs w:val="24"/>
        </w:rPr>
        <w:t>6月上旬及时移栽水稻，夏、秋季节对水稻的生长显得尤为适宜</w:t>
      </w:r>
      <w:r>
        <w:rPr>
          <w:rFonts w:ascii="宋体" w:hAnsi="宋体" w:cs="宋体" w:hint="eastAsia"/>
          <w:szCs w:val="24"/>
        </w:rPr>
        <w:t>，种植密度</w:t>
      </w:r>
      <w:r>
        <w:t>株距</w:t>
      </w:r>
      <w:r>
        <w:t>×</w:t>
      </w:r>
      <w:r>
        <w:t>行距为</w:t>
      </w:r>
      <w:r>
        <w:t>22</w:t>
      </w:r>
      <w:r>
        <w:rPr>
          <w:rFonts w:hint="eastAsia"/>
        </w:rPr>
        <w:t xml:space="preserve"> </w:t>
      </w:r>
      <w:r>
        <w:t>cm×30 cm</w:t>
      </w:r>
      <w:r>
        <w:t>，每小区</w:t>
      </w:r>
      <w:r>
        <w:rPr>
          <w:rFonts w:hint="eastAsia"/>
        </w:rPr>
        <w:t>（</w:t>
      </w:r>
      <w:r>
        <w:rPr>
          <w:rFonts w:hint="eastAsia"/>
        </w:rPr>
        <w:t xml:space="preserve">12 </w:t>
      </w:r>
      <w:r>
        <w:t>m</w:t>
      </w:r>
      <w:r>
        <w:rPr>
          <w:vertAlign w:val="superscript"/>
        </w:rPr>
        <w:t>2</w:t>
      </w:r>
      <w:r>
        <w:rPr>
          <w:rFonts w:hint="eastAsia"/>
        </w:rPr>
        <w:t>）</w:t>
      </w:r>
      <w:r>
        <w:t>180</w:t>
      </w:r>
      <w:r>
        <w:t>株秧苗小区间隔</w:t>
      </w:r>
      <w:r>
        <w:t>1</w:t>
      </w:r>
      <w:r>
        <w:rPr>
          <w:rFonts w:hint="eastAsia"/>
        </w:rPr>
        <w:t xml:space="preserve"> </w:t>
      </w:r>
      <w:r>
        <w:t>m</w:t>
      </w:r>
      <w:r>
        <w:rPr>
          <w:rFonts w:ascii="宋体" w:hAnsi="宋体" w:cs="宋体"/>
          <w:szCs w:val="24"/>
        </w:rPr>
        <w:t>。秋季10月</w:t>
      </w:r>
      <w:r>
        <w:rPr>
          <w:rFonts w:ascii="宋体" w:hAnsi="宋体" w:cs="宋体" w:hint="eastAsia"/>
          <w:szCs w:val="24"/>
        </w:rPr>
        <w:t>中</w:t>
      </w:r>
      <w:r>
        <w:rPr>
          <w:rFonts w:ascii="宋体" w:hAnsi="宋体" w:cs="宋体"/>
          <w:szCs w:val="24"/>
        </w:rPr>
        <w:t>旬播种</w:t>
      </w:r>
      <w:r>
        <w:rPr>
          <w:rFonts w:hint="eastAsia"/>
          <w:szCs w:val="24"/>
        </w:rPr>
        <w:t>饲用</w:t>
      </w:r>
      <w:r>
        <w:rPr>
          <w:rFonts w:ascii="宋体" w:hAnsi="宋体" w:cs="宋体"/>
          <w:szCs w:val="24"/>
        </w:rPr>
        <w:t>油菜，这样的环境条件对</w:t>
      </w:r>
      <w:r>
        <w:rPr>
          <w:rFonts w:hint="eastAsia"/>
          <w:szCs w:val="24"/>
        </w:rPr>
        <w:t>饲用</w:t>
      </w:r>
      <w:r>
        <w:rPr>
          <w:rFonts w:ascii="宋体" w:hAnsi="宋体" w:cs="宋体"/>
          <w:szCs w:val="24"/>
        </w:rPr>
        <w:t>油菜的生长和病虫害防控极为有利</w:t>
      </w:r>
      <w:r>
        <w:rPr>
          <w:rFonts w:ascii="宋体" w:hAnsi="宋体" w:cs="宋体" w:hint="eastAsia"/>
          <w:szCs w:val="24"/>
        </w:rPr>
        <w:t>。</w:t>
      </w:r>
      <w:r>
        <w:rPr>
          <w:rFonts w:ascii="宋体" w:hAnsi="宋体" w:cs="宋体"/>
          <w:szCs w:val="24"/>
        </w:rPr>
        <w:t>合理安排水稻与</w:t>
      </w:r>
      <w:r>
        <w:rPr>
          <w:rFonts w:hint="eastAsia"/>
          <w:szCs w:val="24"/>
        </w:rPr>
        <w:t>饲用</w:t>
      </w:r>
      <w:r>
        <w:rPr>
          <w:rFonts w:ascii="宋体" w:hAnsi="宋体" w:cs="宋体"/>
          <w:szCs w:val="24"/>
        </w:rPr>
        <w:t>油菜的播种时间，能够充分把握季节气候变化带来的优势，从而降低气候波动对作物生长的负面影响，提升作物的抗</w:t>
      </w:r>
      <w:proofErr w:type="gramStart"/>
      <w:r>
        <w:rPr>
          <w:rFonts w:ascii="宋体" w:hAnsi="宋体" w:cs="宋体"/>
          <w:szCs w:val="24"/>
        </w:rPr>
        <w:t>逆能力</w:t>
      </w:r>
      <w:proofErr w:type="gramEnd"/>
      <w:r>
        <w:rPr>
          <w:rFonts w:ascii="宋体" w:hAnsi="宋体" w:cs="宋体"/>
          <w:szCs w:val="24"/>
        </w:rPr>
        <w:t>以及产量的稳定性。因此，在适宜的时间内进行播种，能够显著降低病虫害的发生概率，进而减少农药的使用量，这对维护农业生态系统的平衡与促进农业可持续发展具有重要意义。</w:t>
      </w:r>
    </w:p>
    <w:p w14:paraId="12F73E9A" w14:textId="77777777" w:rsidR="00E02544" w:rsidRDefault="00000000">
      <w:pPr>
        <w:numPr>
          <w:ilvl w:val="0"/>
          <w:numId w:val="4"/>
        </w:numPr>
        <w:ind w:firstLine="480"/>
      </w:pPr>
      <w:r>
        <w:rPr>
          <w:rFonts w:hint="eastAsia"/>
        </w:rPr>
        <w:t>栽培管理</w:t>
      </w:r>
      <w:r>
        <w:rPr>
          <w:rFonts w:hint="eastAsia"/>
        </w:rPr>
        <w:t xml:space="preserve"> </w:t>
      </w:r>
      <w:r>
        <w:rPr>
          <w:rFonts w:hint="eastAsia"/>
        </w:rPr>
        <w:t>种植前适量施入有机肥料（纯牛粪）和复合肥，分蘖期追施</w:t>
      </w:r>
      <w:r>
        <w:rPr>
          <w:rFonts w:hint="eastAsia"/>
        </w:rPr>
        <w:t>N</w:t>
      </w:r>
      <w:r>
        <w:rPr>
          <w:rFonts w:hint="eastAsia"/>
        </w:rPr>
        <w:t>肥</w:t>
      </w:r>
      <w:r>
        <w:rPr>
          <w:rFonts w:hint="eastAsia"/>
        </w:rPr>
        <w:t>7.5 kg</w:t>
      </w:r>
      <w:r>
        <w:rPr>
          <w:rFonts w:hint="eastAsia"/>
        </w:rPr>
        <w:t>每亩。在幼苗栽种后需适时灌溉</w:t>
      </w:r>
      <w:r>
        <w:rPr>
          <w:rFonts w:hint="eastAsia"/>
        </w:rPr>
        <w:t>1-3 cm</w:t>
      </w:r>
      <w:r>
        <w:rPr>
          <w:rFonts w:hint="eastAsia"/>
        </w:rPr>
        <w:t>浅水</w:t>
      </w:r>
      <w:proofErr w:type="gramStart"/>
      <w:r>
        <w:rPr>
          <w:rFonts w:hint="eastAsia"/>
        </w:rPr>
        <w:t>活苗促分蘖</w:t>
      </w:r>
      <w:proofErr w:type="gramEnd"/>
      <w:r>
        <w:rPr>
          <w:rFonts w:hint="eastAsia"/>
        </w:rPr>
        <w:t>以确保幼苗成活和正常生长。灌浆结实期干湿交替灌溉，收获前</w:t>
      </w:r>
      <w:r>
        <w:rPr>
          <w:rFonts w:hint="eastAsia"/>
        </w:rPr>
        <w:t>10</w:t>
      </w:r>
      <w:r>
        <w:rPr>
          <w:rFonts w:hint="eastAsia"/>
        </w:rPr>
        <w:t>～</w:t>
      </w:r>
      <w:r>
        <w:rPr>
          <w:rFonts w:hint="eastAsia"/>
        </w:rPr>
        <w:t>12</w:t>
      </w:r>
      <w:r>
        <w:rPr>
          <w:rFonts w:hint="eastAsia"/>
        </w:rPr>
        <w:t>天结合</w:t>
      </w:r>
      <w:proofErr w:type="gramStart"/>
      <w:r>
        <w:rPr>
          <w:rFonts w:hint="eastAsia"/>
        </w:rPr>
        <w:t>施保根肥留</w:t>
      </w:r>
      <w:proofErr w:type="gramEnd"/>
      <w:r>
        <w:rPr>
          <w:rFonts w:hint="eastAsia"/>
        </w:rPr>
        <w:t>田面水深</w:t>
      </w:r>
      <w:r>
        <w:rPr>
          <w:rFonts w:hint="eastAsia"/>
        </w:rPr>
        <w:t>1</w:t>
      </w:r>
      <w:r>
        <w:rPr>
          <w:rFonts w:hint="eastAsia"/>
        </w:rPr>
        <w:t>厘米左右，然后让水分自然落干，保证收割时稻田晒干至土壤相对含水量</w:t>
      </w:r>
      <w:r>
        <w:rPr>
          <w:rFonts w:hint="eastAsia"/>
        </w:rPr>
        <w:t>35%</w:t>
      </w:r>
      <w:r>
        <w:rPr>
          <w:rFonts w:hint="eastAsia"/>
        </w:rPr>
        <w:t>左右。</w:t>
      </w:r>
    </w:p>
    <w:p w14:paraId="32294328" w14:textId="77777777" w:rsidR="00E02544" w:rsidRDefault="00000000">
      <w:pPr>
        <w:numPr>
          <w:ilvl w:val="0"/>
          <w:numId w:val="4"/>
        </w:numPr>
        <w:ind w:firstLine="480"/>
      </w:pPr>
      <w:r>
        <w:rPr>
          <w:rFonts w:hint="eastAsia"/>
        </w:rPr>
        <w:t>收获管理</w:t>
      </w:r>
      <w:r>
        <w:rPr>
          <w:rFonts w:hint="eastAsia"/>
        </w:rPr>
        <w:t xml:space="preserve"> </w:t>
      </w:r>
      <w:proofErr w:type="gramStart"/>
      <w:r>
        <w:rPr>
          <w:rFonts w:hint="eastAsia"/>
        </w:rPr>
        <w:t>头季稻达九成</w:t>
      </w:r>
      <w:proofErr w:type="gramEnd"/>
      <w:r>
        <w:rPr>
          <w:rFonts w:hint="eastAsia"/>
        </w:rPr>
        <w:t>到九五成熟时即可视天气</w:t>
      </w:r>
      <w:proofErr w:type="gramStart"/>
      <w:r>
        <w:rPr>
          <w:rFonts w:hint="eastAsia"/>
        </w:rPr>
        <w:t>情况抢晴收割</w:t>
      </w:r>
      <w:proofErr w:type="gramEnd"/>
      <w:r>
        <w:rPr>
          <w:rFonts w:hint="eastAsia"/>
        </w:rPr>
        <w:t>，留</w:t>
      </w:r>
      <w:proofErr w:type="gramStart"/>
      <w:r>
        <w:rPr>
          <w:rFonts w:hint="eastAsia"/>
        </w:rPr>
        <w:t>桩高度</w:t>
      </w:r>
      <w:proofErr w:type="gramEnd"/>
      <w:r>
        <w:rPr>
          <w:rFonts w:hint="eastAsia"/>
        </w:rPr>
        <w:t>以再生</w:t>
      </w:r>
      <w:proofErr w:type="gramStart"/>
      <w:r>
        <w:rPr>
          <w:rFonts w:hint="eastAsia"/>
        </w:rPr>
        <w:t>季安全</w:t>
      </w:r>
      <w:proofErr w:type="gramEnd"/>
      <w:r>
        <w:rPr>
          <w:rFonts w:hint="eastAsia"/>
        </w:rPr>
        <w:t>齐穗为前提。从再生</w:t>
      </w:r>
      <w:proofErr w:type="gramStart"/>
      <w:r>
        <w:rPr>
          <w:rFonts w:hint="eastAsia"/>
        </w:rPr>
        <w:t>季安全</w:t>
      </w:r>
      <w:proofErr w:type="gramEnd"/>
      <w:r>
        <w:rPr>
          <w:rFonts w:hint="eastAsia"/>
        </w:rPr>
        <w:t>齐穗期、成熟整齐度及机</w:t>
      </w:r>
      <w:proofErr w:type="gramStart"/>
      <w:r>
        <w:rPr>
          <w:rFonts w:hint="eastAsia"/>
        </w:rPr>
        <w:t>收不同节</w:t>
      </w:r>
      <w:proofErr w:type="gramEnd"/>
      <w:r>
        <w:rPr>
          <w:rFonts w:hint="eastAsia"/>
        </w:rPr>
        <w:t>位再生力三个方面综合考虑，留桩</w:t>
      </w:r>
      <w:r>
        <w:rPr>
          <w:rFonts w:hint="eastAsia"/>
        </w:rPr>
        <w:t>25</w:t>
      </w:r>
      <w:r>
        <w:rPr>
          <w:rFonts w:hint="eastAsia"/>
        </w:rPr>
        <w:t>厘米左右（“保</w:t>
      </w:r>
      <w:r>
        <w:rPr>
          <w:rFonts w:hint="eastAsia"/>
        </w:rPr>
        <w:t>3</w:t>
      </w:r>
      <w:r>
        <w:rPr>
          <w:rFonts w:hint="eastAsia"/>
        </w:rPr>
        <w:t>留</w:t>
      </w:r>
      <w:r>
        <w:rPr>
          <w:rFonts w:hint="eastAsia"/>
        </w:rPr>
        <w:t>4</w:t>
      </w:r>
      <w:r>
        <w:rPr>
          <w:rFonts w:hint="eastAsia"/>
        </w:rPr>
        <w:t>”）。如遇基部腋芽死亡较多，要适当留高桩</w:t>
      </w:r>
      <w:r>
        <w:rPr>
          <w:rFonts w:hint="eastAsia"/>
        </w:rPr>
        <w:t>30</w:t>
      </w:r>
      <w:r>
        <w:rPr>
          <w:rFonts w:hint="eastAsia"/>
        </w:rPr>
        <w:t>厘米左右。为减少机收碾压损失及机收稻草覆盖影响腋芽萌发，应选择窄幅履带并带碎草抛洒装置的收割机；田间规划好收割路线，采用大“回”或“川”字型，</w:t>
      </w:r>
      <w:proofErr w:type="gramStart"/>
      <w:r>
        <w:rPr>
          <w:rFonts w:hint="eastAsia"/>
        </w:rPr>
        <w:t>延长单趟收割</w:t>
      </w:r>
      <w:proofErr w:type="gramEnd"/>
      <w:r>
        <w:rPr>
          <w:rFonts w:hint="eastAsia"/>
        </w:rPr>
        <w:t>距离，减少田间掉头转弯次数。</w:t>
      </w:r>
    </w:p>
    <w:p w14:paraId="74022B9F" w14:textId="77777777" w:rsidR="00E02544" w:rsidRDefault="00000000">
      <w:r>
        <w:rPr>
          <w:rFonts w:hint="eastAsia"/>
          <w:szCs w:val="24"/>
        </w:rPr>
        <w:t>饲用</w:t>
      </w:r>
      <w:r>
        <w:rPr>
          <w:rFonts w:hint="eastAsia"/>
        </w:rPr>
        <w:t>油菜机械收获。</w:t>
      </w:r>
      <w:r>
        <w:rPr>
          <w:rFonts w:hint="eastAsia"/>
          <w:szCs w:val="24"/>
        </w:rPr>
        <w:t>饲用</w:t>
      </w:r>
      <w:r>
        <w:rPr>
          <w:rFonts w:hint="eastAsia"/>
        </w:rPr>
        <w:t>油菜收获分为联合收获和分段收获两种方式。采用联合收获方式时，应在全田</w:t>
      </w:r>
      <w:r>
        <w:rPr>
          <w:rFonts w:hint="eastAsia"/>
        </w:rPr>
        <w:t xml:space="preserve"> 90%</w:t>
      </w:r>
      <w:r>
        <w:rPr>
          <w:rFonts w:hint="eastAsia"/>
        </w:rPr>
        <w:t>以上</w:t>
      </w:r>
      <w:r>
        <w:rPr>
          <w:rFonts w:hint="eastAsia"/>
          <w:szCs w:val="24"/>
        </w:rPr>
        <w:t>饲用</w:t>
      </w:r>
      <w:r>
        <w:rPr>
          <w:rFonts w:hint="eastAsia"/>
        </w:rPr>
        <w:t>油菜角果外观颜色全部变黄色或褐色，完熟度基本一致的条件下进行。采用分段收获方式时，应在全田</w:t>
      </w:r>
      <w:r>
        <w:rPr>
          <w:rFonts w:hint="eastAsia"/>
          <w:szCs w:val="24"/>
        </w:rPr>
        <w:t>饲用</w:t>
      </w:r>
      <w:r>
        <w:rPr>
          <w:rFonts w:hint="eastAsia"/>
        </w:rPr>
        <w:t>油菜</w:t>
      </w:r>
      <w:r>
        <w:rPr>
          <w:rFonts w:hint="eastAsia"/>
        </w:rPr>
        <w:t>80</w:t>
      </w:r>
      <w:r>
        <w:rPr>
          <w:rFonts w:hint="eastAsia"/>
        </w:rPr>
        <w:t>％角果外观颜色呈黄绿或淡黄，种皮也由绿色转为红褐色，人工</w:t>
      </w:r>
      <w:proofErr w:type="gramStart"/>
      <w:r>
        <w:rPr>
          <w:rFonts w:hint="eastAsia"/>
        </w:rPr>
        <w:t>进行割晒作业</w:t>
      </w:r>
      <w:proofErr w:type="gramEnd"/>
      <w:r>
        <w:rPr>
          <w:rFonts w:hint="eastAsia"/>
        </w:rPr>
        <w:t>；将割倒的</w:t>
      </w:r>
      <w:r>
        <w:rPr>
          <w:rFonts w:hint="eastAsia"/>
          <w:szCs w:val="24"/>
        </w:rPr>
        <w:t>饲用</w:t>
      </w:r>
      <w:r>
        <w:rPr>
          <w:rFonts w:hint="eastAsia"/>
        </w:rPr>
        <w:t>油菜就地晾晒后熟</w:t>
      </w:r>
      <w:r>
        <w:rPr>
          <w:rFonts w:hint="eastAsia"/>
        </w:rPr>
        <w:t xml:space="preserve"> 5-7 </w:t>
      </w:r>
      <w:r>
        <w:rPr>
          <w:rFonts w:hint="eastAsia"/>
        </w:rPr>
        <w:t>天（根据天气，晾晒时间可以延长），成熟度达到</w:t>
      </w:r>
      <w:r>
        <w:rPr>
          <w:rFonts w:hint="eastAsia"/>
        </w:rPr>
        <w:t xml:space="preserve"> 95%</w:t>
      </w:r>
      <w:r>
        <w:rPr>
          <w:rFonts w:hint="eastAsia"/>
        </w:rPr>
        <w:t>后，用捡拾收获机进行捡拾、脱粒及清选作业。联合收割作业质量应符合总损失率≤</w:t>
      </w:r>
      <w:r>
        <w:rPr>
          <w:rFonts w:hint="eastAsia"/>
        </w:rPr>
        <w:t>8%</w:t>
      </w:r>
      <w:r>
        <w:rPr>
          <w:rFonts w:hint="eastAsia"/>
        </w:rPr>
        <w:t>、含杂率≤</w:t>
      </w:r>
      <w:r>
        <w:rPr>
          <w:rFonts w:hint="eastAsia"/>
        </w:rPr>
        <w:t>6%</w:t>
      </w:r>
      <w:r>
        <w:rPr>
          <w:rFonts w:hint="eastAsia"/>
        </w:rPr>
        <w:t>的要求，割茬高度应不超过</w:t>
      </w:r>
      <w:r>
        <w:rPr>
          <w:rFonts w:hint="eastAsia"/>
        </w:rPr>
        <w:t xml:space="preserve"> 25 cm</w:t>
      </w:r>
      <w:r>
        <w:rPr>
          <w:rFonts w:hint="eastAsia"/>
        </w:rPr>
        <w:t>；分段收获作业质量</w:t>
      </w:r>
      <w:proofErr w:type="gramStart"/>
      <w:r>
        <w:rPr>
          <w:rFonts w:hint="eastAsia"/>
        </w:rPr>
        <w:t>应符总损失率</w:t>
      </w:r>
      <w:proofErr w:type="gramEnd"/>
      <w:r>
        <w:rPr>
          <w:rFonts w:hint="eastAsia"/>
        </w:rPr>
        <w:t>≤</w:t>
      </w:r>
      <w:r>
        <w:rPr>
          <w:rFonts w:hint="eastAsia"/>
        </w:rPr>
        <w:t>6.5%</w:t>
      </w:r>
      <w:r>
        <w:rPr>
          <w:rFonts w:hint="eastAsia"/>
        </w:rPr>
        <w:t>、含杂率≤</w:t>
      </w:r>
      <w:r>
        <w:rPr>
          <w:rFonts w:hint="eastAsia"/>
        </w:rPr>
        <w:t>5%</w:t>
      </w:r>
      <w:r>
        <w:rPr>
          <w:rFonts w:hint="eastAsia"/>
        </w:rPr>
        <w:t>、破碎率≤</w:t>
      </w:r>
      <w:r>
        <w:rPr>
          <w:rFonts w:hint="eastAsia"/>
        </w:rPr>
        <w:t>0.5%</w:t>
      </w:r>
      <w:r>
        <w:rPr>
          <w:rFonts w:hint="eastAsia"/>
        </w:rPr>
        <w:t>等要求。</w:t>
      </w:r>
    </w:p>
    <w:p w14:paraId="125067A7" w14:textId="77777777" w:rsidR="00E02544" w:rsidRDefault="00000000">
      <w:pPr>
        <w:numPr>
          <w:ilvl w:val="0"/>
          <w:numId w:val="4"/>
        </w:numPr>
        <w:ind w:firstLine="480"/>
      </w:pPr>
      <w:r>
        <w:t>病</w:t>
      </w:r>
      <w:proofErr w:type="gramStart"/>
      <w:r>
        <w:t>虫草害防</w:t>
      </w:r>
      <w:proofErr w:type="gramEnd"/>
      <w:r>
        <w:rPr>
          <w:rFonts w:hint="eastAsia"/>
        </w:rPr>
        <w:t xml:space="preserve"> </w:t>
      </w:r>
      <w:r>
        <w:rPr>
          <w:rFonts w:ascii="宋体" w:hAnsi="宋体" w:cs="宋体"/>
          <w:szCs w:val="24"/>
        </w:rPr>
        <w:t>在水稻</w:t>
      </w:r>
      <w:r>
        <w:rPr>
          <w:rFonts w:hint="eastAsia"/>
          <w:szCs w:val="24"/>
        </w:rPr>
        <w:t>饲用</w:t>
      </w:r>
      <w:r>
        <w:rPr>
          <w:rFonts w:ascii="宋体" w:hAnsi="宋体" w:cs="宋体"/>
          <w:szCs w:val="24"/>
        </w:rPr>
        <w:t>油菜轮作栽培中，合理地应对病害有助于提高作物的品质和产量。可以通过加强田间观察，及时发现并处理虫害问题，周期性地巡视农田，观察农作物的生长情况，了解是否有虫害发生的迹象。一旦发现异常，应及时采取措施，如喷洒生物农药、虫害防治剂等，控制虫害的发展，保障作物健康生长。</w:t>
      </w:r>
    </w:p>
    <w:p w14:paraId="31A532EF" w14:textId="77777777" w:rsidR="00E02544" w:rsidRDefault="00000000">
      <w:pPr>
        <w:pStyle w:val="1"/>
        <w:numPr>
          <w:ilvl w:val="0"/>
          <w:numId w:val="1"/>
        </w:numPr>
      </w:pPr>
      <w:bookmarkStart w:id="24" w:name="_Toc176547937"/>
      <w:bookmarkStart w:id="25" w:name="_Toc19897"/>
      <w:r>
        <w:rPr>
          <w:rFonts w:hint="eastAsia"/>
        </w:rPr>
        <w:t>采用的国际标准</w:t>
      </w:r>
      <w:bookmarkEnd w:id="24"/>
      <w:bookmarkEnd w:id="25"/>
    </w:p>
    <w:p w14:paraId="299FB652" w14:textId="77777777" w:rsidR="00E02544" w:rsidRDefault="00000000">
      <w:pPr>
        <w:ind w:firstLineChars="200" w:firstLine="480"/>
      </w:pPr>
      <w:r>
        <w:rPr>
          <w:rFonts w:hint="eastAsia"/>
        </w:rPr>
        <w:t>无。</w:t>
      </w:r>
    </w:p>
    <w:p w14:paraId="6F2223CE" w14:textId="77777777" w:rsidR="00E02544" w:rsidRDefault="00000000">
      <w:pPr>
        <w:pStyle w:val="1"/>
      </w:pPr>
      <w:bookmarkStart w:id="26" w:name="_Toc176453405"/>
      <w:bookmarkStart w:id="27" w:name="_Toc28129"/>
      <w:r>
        <w:rPr>
          <w:rFonts w:hint="eastAsia"/>
        </w:rPr>
        <w:t>六</w:t>
      </w:r>
      <w:r>
        <w:t>、</w:t>
      </w:r>
      <w:r>
        <w:rPr>
          <w:rFonts w:hint="eastAsia"/>
        </w:rPr>
        <w:t>与现行法律法规和强制性标准的关系</w:t>
      </w:r>
      <w:bookmarkEnd w:id="26"/>
      <w:bookmarkEnd w:id="27"/>
    </w:p>
    <w:p w14:paraId="0BC482A3" w14:textId="77777777" w:rsidR="00E02544" w:rsidRDefault="00000000">
      <w:pPr>
        <w:ind w:firstLineChars="200" w:firstLine="480"/>
        <w:rPr>
          <w:color w:val="000000"/>
          <w:szCs w:val="24"/>
        </w:rPr>
      </w:pPr>
      <w:r>
        <w:rPr>
          <w:color w:val="000000"/>
          <w:szCs w:val="24"/>
        </w:rPr>
        <w:t>本标准与现行法律法规和强制性标准没有冲突。</w:t>
      </w:r>
    </w:p>
    <w:p w14:paraId="0CD450CE" w14:textId="77777777" w:rsidR="00E02544" w:rsidRDefault="00000000">
      <w:pPr>
        <w:pStyle w:val="1"/>
      </w:pPr>
      <w:bookmarkStart w:id="28" w:name="_Toc176453406"/>
      <w:bookmarkStart w:id="29" w:name="_Toc32091"/>
      <w:r>
        <w:rPr>
          <w:rFonts w:hint="eastAsia"/>
        </w:rPr>
        <w:t>七</w:t>
      </w:r>
      <w:r>
        <w:t>、</w:t>
      </w:r>
      <w:r>
        <w:rPr>
          <w:rFonts w:hint="eastAsia"/>
        </w:rPr>
        <w:t>重大分歧意见的处理经过和依据</w:t>
      </w:r>
      <w:bookmarkEnd w:id="28"/>
      <w:bookmarkEnd w:id="29"/>
    </w:p>
    <w:p w14:paraId="482C9B0B" w14:textId="77777777" w:rsidR="00E02544" w:rsidRDefault="00000000">
      <w:pPr>
        <w:spacing w:beforeLines="50" w:before="156"/>
        <w:ind w:firstLine="482"/>
        <w:rPr>
          <w:color w:val="000000"/>
          <w:szCs w:val="24"/>
        </w:rPr>
      </w:pPr>
      <w:r>
        <w:rPr>
          <w:color w:val="000000"/>
          <w:szCs w:val="24"/>
        </w:rPr>
        <w:t>无。</w:t>
      </w:r>
    </w:p>
    <w:p w14:paraId="7244D547" w14:textId="77777777" w:rsidR="00E02544" w:rsidRDefault="00000000">
      <w:pPr>
        <w:pStyle w:val="1"/>
        <w:rPr>
          <w:rStyle w:val="10"/>
        </w:rPr>
      </w:pPr>
      <w:bookmarkStart w:id="30" w:name="_Toc13514"/>
      <w:bookmarkStart w:id="31" w:name="_Toc176453407"/>
      <w:r>
        <w:rPr>
          <w:rFonts w:hint="eastAsia"/>
        </w:rPr>
        <w:t>八</w:t>
      </w:r>
      <w:r>
        <w:t>、标准作为强制性或推荐性标准的意见</w:t>
      </w:r>
      <w:bookmarkEnd w:id="30"/>
      <w:bookmarkEnd w:id="31"/>
    </w:p>
    <w:p w14:paraId="55B6EE4A" w14:textId="77777777" w:rsidR="00E02544" w:rsidRDefault="00000000">
      <w:pPr>
        <w:spacing w:beforeLines="50" w:before="156"/>
        <w:ind w:firstLine="482"/>
        <w:rPr>
          <w:color w:val="000000"/>
          <w:szCs w:val="24"/>
        </w:rPr>
      </w:pPr>
      <w:r>
        <w:rPr>
          <w:color w:val="000000"/>
          <w:szCs w:val="24"/>
        </w:rPr>
        <w:t>建议将本标准作为推荐性标准发布实施，并加强标准的宣贯。</w:t>
      </w:r>
    </w:p>
    <w:p w14:paraId="65E0837E" w14:textId="77777777" w:rsidR="00E02544" w:rsidRDefault="00000000">
      <w:pPr>
        <w:pStyle w:val="1"/>
      </w:pPr>
      <w:bookmarkStart w:id="32" w:name="_Toc31708"/>
      <w:bookmarkStart w:id="33" w:name="_Toc176453408"/>
      <w:r>
        <w:rPr>
          <w:rFonts w:hint="eastAsia"/>
        </w:rPr>
        <w:t>九</w:t>
      </w:r>
      <w:r>
        <w:t>、贯彻标准的要求和措施建议</w:t>
      </w:r>
      <w:bookmarkEnd w:id="32"/>
      <w:bookmarkEnd w:id="33"/>
    </w:p>
    <w:p w14:paraId="71216737" w14:textId="77777777" w:rsidR="00E02544" w:rsidRDefault="00000000">
      <w:pPr>
        <w:adjustRightInd w:val="0"/>
        <w:snapToGrid w:val="0"/>
        <w:ind w:firstLineChars="200" w:firstLine="480"/>
        <w:jc w:val="left"/>
        <w:rPr>
          <w:rFonts w:ascii="宋体" w:hAnsi="宋体" w:cs="宋体" w:hint="eastAsia"/>
        </w:rPr>
      </w:pPr>
      <w:r>
        <w:rPr>
          <w:rFonts w:hint="eastAsia"/>
          <w:color w:val="000000"/>
          <w:szCs w:val="24"/>
        </w:rPr>
        <w:t>为实现</w:t>
      </w:r>
      <w:r>
        <w:rPr>
          <w:rFonts w:ascii="宋体" w:hAnsi="宋体" w:cs="宋体" w:hint="eastAsia"/>
          <w:szCs w:val="24"/>
        </w:rPr>
        <w:t>喀斯特山区水稻和饲用油菜轮作栽培技术</w:t>
      </w:r>
      <w:r>
        <w:rPr>
          <w:rFonts w:hint="eastAsia"/>
          <w:color w:val="000000"/>
          <w:szCs w:val="24"/>
        </w:rPr>
        <w:t>推广及应用，应</w:t>
      </w:r>
      <w:r>
        <w:rPr>
          <w:color w:val="000000"/>
          <w:szCs w:val="24"/>
        </w:rPr>
        <w:t>加强对标准的宣传、讲解</w:t>
      </w:r>
      <w:r>
        <w:rPr>
          <w:rFonts w:hint="eastAsia"/>
          <w:color w:val="000000"/>
          <w:szCs w:val="24"/>
        </w:rPr>
        <w:t>和技术指导，通过组织培训班、现场观摩会、技术讲座等形式，提高广大农户、农业企业及相关研究机构对水稻</w:t>
      </w:r>
      <w:r>
        <w:rPr>
          <w:rFonts w:hint="eastAsia"/>
          <w:szCs w:val="24"/>
        </w:rPr>
        <w:t>饲用</w:t>
      </w:r>
      <w:r>
        <w:rPr>
          <w:rFonts w:hint="eastAsia"/>
          <w:color w:val="000000"/>
          <w:szCs w:val="24"/>
        </w:rPr>
        <w:t>油菜轮作的认识和重视程度。同时，应建立技术咨询和指导服务机制，为实施者提供及时、有效的技术支持，解决他们在实际应用中遇到的问题。此外，还可以通过媒体宣传、网络推广等方式，扩大</w:t>
      </w:r>
      <w:r>
        <w:rPr>
          <w:rFonts w:hint="eastAsia"/>
          <w:szCs w:val="24"/>
        </w:rPr>
        <w:t>水稻饲用油菜轮作栽培技术</w:t>
      </w:r>
      <w:r>
        <w:rPr>
          <w:rFonts w:hint="eastAsia"/>
          <w:color w:val="000000"/>
          <w:szCs w:val="24"/>
        </w:rPr>
        <w:t>规程的影响力和知晓度，吸引更多的社会资源投入到水稻</w:t>
      </w:r>
      <w:r>
        <w:rPr>
          <w:rFonts w:hint="eastAsia"/>
          <w:szCs w:val="24"/>
        </w:rPr>
        <w:t>饲用</w:t>
      </w:r>
      <w:r>
        <w:rPr>
          <w:rFonts w:hint="eastAsia"/>
          <w:color w:val="000000"/>
          <w:szCs w:val="24"/>
        </w:rPr>
        <w:t>油菜轮作模式的发展中来，</w:t>
      </w:r>
      <w:r>
        <w:rPr>
          <w:rFonts w:ascii="宋体" w:hAnsi="宋体" w:cs="宋体" w:hint="eastAsia"/>
        </w:rPr>
        <w:t>为实现增草节粮和豆</w:t>
      </w:r>
      <w:proofErr w:type="gramStart"/>
      <w:r>
        <w:rPr>
          <w:rFonts w:ascii="宋体" w:hAnsi="宋体" w:cs="宋体" w:hint="eastAsia"/>
        </w:rPr>
        <w:t>粕</w:t>
      </w:r>
      <w:proofErr w:type="gramEnd"/>
      <w:r>
        <w:rPr>
          <w:rFonts w:ascii="宋体" w:hAnsi="宋体" w:cs="宋体" w:hint="eastAsia"/>
        </w:rPr>
        <w:t>减量替代养殖提供理论指导和技术支撑，解决国家重大需求。</w:t>
      </w:r>
    </w:p>
    <w:p w14:paraId="29819F25" w14:textId="77777777" w:rsidR="00E02544" w:rsidRDefault="00000000">
      <w:pPr>
        <w:pStyle w:val="1"/>
      </w:pPr>
      <w:bookmarkStart w:id="34" w:name="_Toc176453409"/>
      <w:bookmarkStart w:id="35" w:name="_Toc16823"/>
      <w:r>
        <w:rPr>
          <w:rFonts w:hint="eastAsia"/>
        </w:rPr>
        <w:t>十</w:t>
      </w:r>
      <w:r>
        <w:t>、废止现行有关标准的建议</w:t>
      </w:r>
      <w:bookmarkEnd w:id="34"/>
      <w:bookmarkEnd w:id="35"/>
    </w:p>
    <w:p w14:paraId="6CC31326" w14:textId="77777777" w:rsidR="00E02544" w:rsidRDefault="00000000">
      <w:pPr>
        <w:spacing w:beforeLines="50" w:before="156"/>
        <w:ind w:firstLine="482"/>
        <w:rPr>
          <w:color w:val="000000"/>
          <w:szCs w:val="24"/>
        </w:rPr>
      </w:pPr>
      <w:r>
        <w:rPr>
          <w:color w:val="000000"/>
          <w:szCs w:val="24"/>
        </w:rPr>
        <w:t>无。</w:t>
      </w:r>
    </w:p>
    <w:p w14:paraId="12C2884D" w14:textId="77777777" w:rsidR="00E02544" w:rsidRDefault="00000000">
      <w:pPr>
        <w:pStyle w:val="1"/>
      </w:pPr>
      <w:bookmarkStart w:id="36" w:name="_Toc13661"/>
      <w:bookmarkStart w:id="37" w:name="_Toc176453410"/>
      <w:r>
        <w:t>十</w:t>
      </w:r>
      <w:r>
        <w:rPr>
          <w:rFonts w:hint="eastAsia"/>
        </w:rPr>
        <w:t>一</w:t>
      </w:r>
      <w:r>
        <w:t>、其他应予说明的事项</w:t>
      </w:r>
      <w:bookmarkEnd w:id="36"/>
      <w:bookmarkEnd w:id="37"/>
    </w:p>
    <w:p w14:paraId="4BF3B03D" w14:textId="77777777" w:rsidR="00E02544" w:rsidRDefault="00000000">
      <w:pPr>
        <w:spacing w:beforeLines="50" w:before="156"/>
        <w:ind w:firstLine="482"/>
        <w:rPr>
          <w:color w:val="000000"/>
        </w:rPr>
      </w:pPr>
      <w:r>
        <w:rPr>
          <w:color w:val="000000"/>
          <w:szCs w:val="24"/>
        </w:rPr>
        <w:t>无。</w:t>
      </w:r>
      <w:r>
        <w:rPr>
          <w:color w:val="000000"/>
        </w:rPr>
        <w:fldChar w:fldCharType="begin"/>
      </w:r>
      <w:r>
        <w:rPr>
          <w:color w:val="000000"/>
        </w:rPr>
        <w:instrText xml:space="preserve"> ADDIN EN.REFLIST </w:instrText>
      </w:r>
      <w:r>
        <w:rPr>
          <w:color w:val="000000"/>
        </w:rPr>
        <w:fldChar w:fldCharType="separate"/>
      </w:r>
      <w:r>
        <w:rPr>
          <w:color w:val="000000"/>
        </w:rPr>
        <w:fldChar w:fldCharType="end"/>
      </w:r>
    </w:p>
    <w:p w14:paraId="5EBCEBD3" w14:textId="77777777" w:rsidR="00E02544" w:rsidRDefault="00E02544">
      <w:pPr>
        <w:ind w:firstLineChars="200" w:firstLine="480"/>
        <w:rPr>
          <w:color w:val="000000"/>
          <w:szCs w:val="24"/>
        </w:rPr>
      </w:pPr>
    </w:p>
    <w:p w14:paraId="10AFEB6D" w14:textId="77777777" w:rsidR="00E02544" w:rsidRDefault="00E02544">
      <w:pPr>
        <w:ind w:firstLineChars="200" w:firstLine="480"/>
        <w:rPr>
          <w:szCs w:val="24"/>
        </w:rPr>
      </w:pPr>
    </w:p>
    <w:p w14:paraId="47E76C0B" w14:textId="77777777" w:rsidR="00E02544" w:rsidRDefault="00E02544">
      <w:pPr>
        <w:ind w:firstLine="480"/>
      </w:pPr>
    </w:p>
    <w:sectPr w:rsidR="00E025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BF504" w14:textId="77777777" w:rsidR="00D95F2E" w:rsidRDefault="00D95F2E">
      <w:pPr>
        <w:spacing w:line="240" w:lineRule="auto"/>
      </w:pPr>
      <w:r>
        <w:separator/>
      </w:r>
    </w:p>
  </w:endnote>
  <w:endnote w:type="continuationSeparator" w:id="0">
    <w:p w14:paraId="6507EFBE" w14:textId="77777777" w:rsidR="00D95F2E" w:rsidRDefault="00D95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E0624" w14:textId="77777777" w:rsidR="00D95F2E" w:rsidRDefault="00D95F2E">
      <w:r>
        <w:separator/>
      </w:r>
    </w:p>
  </w:footnote>
  <w:footnote w:type="continuationSeparator" w:id="0">
    <w:p w14:paraId="20D3DA50" w14:textId="77777777" w:rsidR="00D95F2E" w:rsidRDefault="00D95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BEA454"/>
    <w:multiLevelType w:val="singleLevel"/>
    <w:tmpl w:val="F7BEA454"/>
    <w:lvl w:ilvl="0">
      <w:start w:val="1"/>
      <w:numFmt w:val="decimal"/>
      <w:suff w:val="nothing"/>
      <w:lvlText w:val="（%1）"/>
      <w:lvlJc w:val="left"/>
    </w:lvl>
  </w:abstractNum>
  <w:abstractNum w:abstractNumId="1" w15:restartNumberingAfterBreak="0">
    <w:nsid w:val="FBBB303F"/>
    <w:multiLevelType w:val="singleLevel"/>
    <w:tmpl w:val="FBBB303F"/>
    <w:lvl w:ilvl="0">
      <w:start w:val="3"/>
      <w:numFmt w:val="chineseCounting"/>
      <w:suff w:val="nothing"/>
      <w:lvlText w:val="%1、"/>
      <w:lvlJc w:val="left"/>
      <w:rPr>
        <w:rFonts w:hint="eastAsia"/>
      </w:rPr>
    </w:lvl>
  </w:abstractNum>
  <w:abstractNum w:abstractNumId="2" w15:restartNumberingAfterBreak="0">
    <w:nsid w:val="482ACC36"/>
    <w:multiLevelType w:val="singleLevel"/>
    <w:tmpl w:val="482ACC36"/>
    <w:lvl w:ilvl="0">
      <w:start w:val="1"/>
      <w:numFmt w:val="decimal"/>
      <w:suff w:val="space"/>
      <w:lvlText w:val="%1."/>
      <w:lvlJc w:val="left"/>
    </w:lvl>
  </w:abstractNum>
  <w:abstractNum w:abstractNumId="3" w15:restartNumberingAfterBreak="0">
    <w:nsid w:val="6E980FFD"/>
    <w:multiLevelType w:val="singleLevel"/>
    <w:tmpl w:val="6E980FFD"/>
    <w:lvl w:ilvl="0">
      <w:start w:val="2"/>
      <w:numFmt w:val="decimal"/>
      <w:suff w:val="space"/>
      <w:lvlText w:val="%1."/>
      <w:lvlJc w:val="left"/>
    </w:lvl>
  </w:abstractNum>
  <w:num w:numId="1" w16cid:durableId="1837917311">
    <w:abstractNumId w:val="1"/>
  </w:num>
  <w:num w:numId="2" w16cid:durableId="1070807100">
    <w:abstractNumId w:val="3"/>
  </w:num>
  <w:num w:numId="3" w16cid:durableId="1864129231">
    <w:abstractNumId w:val="2"/>
  </w:num>
  <w:num w:numId="4" w16cid:durableId="188783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869B5"/>
    <w:rsid w:val="00172A27"/>
    <w:rsid w:val="00373313"/>
    <w:rsid w:val="00467591"/>
    <w:rsid w:val="00991C40"/>
    <w:rsid w:val="009A48C2"/>
    <w:rsid w:val="00BD7567"/>
    <w:rsid w:val="00D95F2E"/>
    <w:rsid w:val="00E02544"/>
    <w:rsid w:val="14C72A25"/>
    <w:rsid w:val="21C81DCC"/>
    <w:rsid w:val="267326E9"/>
    <w:rsid w:val="28442F97"/>
    <w:rsid w:val="28B976AA"/>
    <w:rsid w:val="2CE12CE0"/>
    <w:rsid w:val="435272F0"/>
    <w:rsid w:val="4AB04516"/>
    <w:rsid w:val="4DD84517"/>
    <w:rsid w:val="5697479B"/>
    <w:rsid w:val="599C3116"/>
    <w:rsid w:val="5E2A16AF"/>
    <w:rsid w:val="6E1A53B2"/>
    <w:rsid w:val="70383946"/>
    <w:rsid w:val="71904AB9"/>
    <w:rsid w:val="74B06244"/>
    <w:rsid w:val="7B963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9C755"/>
  <w15:docId w15:val="{41D375D7-7203-42EF-8515-7EF5AED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4"/>
      <w:szCs w:val="21"/>
    </w:rPr>
  </w:style>
  <w:style w:type="paragraph" w:styleId="1">
    <w:name w:val="heading 1"/>
    <w:basedOn w:val="a"/>
    <w:next w:val="a"/>
    <w:link w:val="10"/>
    <w:uiPriority w:val="9"/>
    <w:qFormat/>
    <w:pPr>
      <w:keepNext/>
      <w:keepLines/>
      <w:spacing w:before="240" w:after="240"/>
      <w:outlineLvl w:val="0"/>
    </w:pPr>
    <w:rPr>
      <w:b/>
      <w:bCs/>
      <w:kern w:val="44"/>
      <w:sz w:val="28"/>
      <w:szCs w:val="44"/>
    </w:rPr>
  </w:style>
  <w:style w:type="paragraph" w:styleId="2">
    <w:name w:val="heading 2"/>
    <w:basedOn w:val="a"/>
    <w:next w:val="a"/>
    <w:semiHidden/>
    <w:unhideWhenUsed/>
    <w:qFormat/>
    <w:pPr>
      <w:keepNext/>
      <w:keepLines/>
      <w:spacing w:before="260" w:after="260" w:line="413" w:lineRule="auto"/>
      <w:outlineLvl w:val="1"/>
    </w:pPr>
    <w:rPr>
      <w:rFonts w:ascii="Arial" w:hAnsi="Arial"/>
      <w:b/>
      <w:sz w:val="28"/>
    </w:rPr>
  </w:style>
  <w:style w:type="paragraph" w:styleId="3">
    <w:name w:val="heading 3"/>
    <w:basedOn w:val="a"/>
    <w:next w:val="a"/>
    <w:semiHidden/>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pPr>
      <w:spacing w:after="120" w:line="480" w:lineRule="auto"/>
      <w:ind w:leftChars="200" w:left="420"/>
    </w:p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tabs>
        <w:tab w:val="center" w:pos="4153"/>
        <w:tab w:val="right" w:pos="8306"/>
      </w:tabs>
      <w:snapToGrid w:val="0"/>
      <w:spacing w:line="240" w:lineRule="auto"/>
      <w:jc w:val="center"/>
    </w:pPr>
    <w:rPr>
      <w:sz w:val="18"/>
      <w:szCs w:val="18"/>
    </w:rPr>
  </w:style>
  <w:style w:type="paragraph" w:styleId="a6">
    <w:name w:val="Normal (Web)"/>
    <w:basedOn w:val="a"/>
    <w:qFormat/>
    <w:pPr>
      <w:spacing w:beforeAutospacing="1" w:afterAutospacing="1"/>
      <w:jc w:val="left"/>
    </w:pPr>
    <w:rPr>
      <w:kern w:val="0"/>
    </w:rPr>
  </w:style>
  <w:style w:type="character" w:styleId="a7">
    <w:name w:val="Strong"/>
    <w:basedOn w:val="a0"/>
    <w:qFormat/>
    <w:rPr>
      <w:b/>
    </w:rPr>
  </w:style>
  <w:style w:type="character" w:styleId="a8">
    <w:name w:val="page number"/>
    <w:qFormat/>
  </w:style>
  <w:style w:type="paragraph" w:customStyle="1" w:styleId="a9">
    <w:name w:val="一级节标题"/>
    <w:basedOn w:val="a"/>
    <w:next w:val="a"/>
    <w:link w:val="Char"/>
    <w:autoRedefine/>
    <w:qFormat/>
    <w:pPr>
      <w:snapToGrid w:val="0"/>
      <w:spacing w:before="120" w:after="120"/>
      <w:jc w:val="left"/>
      <w:outlineLvl w:val="1"/>
    </w:pPr>
    <w:rPr>
      <w:b/>
      <w:sz w:val="32"/>
      <w:szCs w:val="36"/>
    </w:rPr>
  </w:style>
  <w:style w:type="character" w:customStyle="1" w:styleId="Char">
    <w:name w:val="一级节标题 Char"/>
    <w:link w:val="a9"/>
    <w:qFormat/>
    <w:rPr>
      <w:rFonts w:ascii="Times New Roman" w:eastAsia="宋体" w:hAnsi="Times New Roman" w:cs="Times New Roman"/>
      <w:b/>
      <w:sz w:val="32"/>
      <w:szCs w:val="36"/>
    </w:rPr>
  </w:style>
  <w:style w:type="paragraph" w:customStyle="1" w:styleId="aa">
    <w:name w:val="标准文件_段"/>
    <w:qFormat/>
    <w:pPr>
      <w:autoSpaceDE w:val="0"/>
      <w:autoSpaceDN w:val="0"/>
      <w:ind w:firstLineChars="200" w:firstLine="200"/>
      <w:jc w:val="both"/>
    </w:pPr>
    <w:rPr>
      <w:rFonts w:ascii="宋体"/>
      <w:sz w:val="21"/>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10">
    <w:name w:val="标题 1 字符"/>
    <w:link w:val="1"/>
    <w:uiPriority w:val="9"/>
    <w:qFormat/>
    <w:rPr>
      <w:b/>
      <w:bCs/>
      <w:kern w:val="44"/>
      <w:sz w:val="28"/>
      <w:szCs w:val="4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2942</Words>
  <Characters>3060</Characters>
  <Application>Microsoft Office Word</Application>
  <DocSecurity>0</DocSecurity>
  <Lines>133</Lines>
  <Paragraphs>90</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aLIEz</dc:creator>
  <cp:lastModifiedBy>ThinkPad</cp:lastModifiedBy>
  <cp:revision>4</cp:revision>
  <dcterms:created xsi:type="dcterms:W3CDTF">2025-02-26T08:58:00Z</dcterms:created>
  <dcterms:modified xsi:type="dcterms:W3CDTF">2025-05-13T02:59:00Z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370B8D1F718448D08076A19B35516766_13</vt:lpwstr>
  </property>
  <property fmtid="{D5CDD505-2E9C-101B-9397-08002B2CF9AE}" pid="4" name="KSOTemplateDocerSaveRecord">
    <vt:lpwstr>eyJoZGlkIjoiMjc4OTJkNmE4MjZhMzNjN2E0NzY4M2IwOTQ0YWQzYTEiLCJ1c2VySWQiOiIzODM3MTIyOTQifQ==</vt:lpwstr>
  </property>
</Properties>
</file>