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70F5" w14:textId="77777777" w:rsidR="0008095A" w:rsidRDefault="0008095A" w:rsidP="0008095A">
      <w:pPr>
        <w:tabs>
          <w:tab w:val="left" w:pos="7371"/>
        </w:tabs>
        <w:jc w:val="left"/>
        <w:rPr>
          <w:rFonts w:ascii="Times New Roman" w:hAnsi="Times New Roman" w:cs="Times New Roman"/>
          <w:color w:val="000000"/>
          <w:szCs w:val="21"/>
        </w:rPr>
      </w:pPr>
      <w:bookmarkStart w:id="0" w:name="OLE_LINK1"/>
      <w:r>
        <w:rPr>
          <w:rFonts w:ascii="Times New Roman" w:hAnsi="Times New Roman" w:cs="Times New Roman"/>
          <w:color w:val="000000"/>
          <w:szCs w:val="21"/>
        </w:rPr>
        <w:t>I</w:t>
      </w:r>
      <w:r>
        <w:rPr>
          <w:rFonts w:ascii="Times New Roman" w:hAnsi="Times New Roman" w:cs="Times New Roman" w:hint="eastAsia"/>
          <w:color w:val="000000"/>
          <w:szCs w:val="21"/>
        </w:rPr>
        <w:t>CS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65.020</w:t>
      </w:r>
    </w:p>
    <w:p w14:paraId="67081CBA" w14:textId="77777777" w:rsidR="0008095A" w:rsidRDefault="0008095A" w:rsidP="0008095A">
      <w:pPr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B 20</w:t>
      </w:r>
    </w:p>
    <w:p w14:paraId="3D42EE7A" w14:textId="77777777" w:rsidR="0008095A" w:rsidRDefault="0008095A" w:rsidP="0008095A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4BC38F2B" w14:textId="77777777" w:rsidR="0008095A" w:rsidRDefault="0008095A" w:rsidP="0008095A">
      <w:pPr>
        <w:jc w:val="center"/>
        <w:rPr>
          <w:rFonts w:ascii="Times New Roman" w:hAnsi="Times New Roman" w:cs="Times New Roman"/>
          <w:color w:val="000000"/>
          <w:szCs w:val="21"/>
        </w:rPr>
      </w:pPr>
    </w:p>
    <w:p w14:paraId="28583E16" w14:textId="77777777" w:rsidR="0008095A" w:rsidRDefault="0008095A" w:rsidP="0008095A">
      <w:pPr>
        <w:jc w:val="center"/>
        <w:rPr>
          <w:rFonts w:ascii="Times New Roman" w:eastAsia="黑体" w:hAnsi="Times New Roman" w:cs="Times New Roman"/>
          <w:color w:val="000000"/>
          <w:sz w:val="84"/>
          <w:szCs w:val="84"/>
        </w:rPr>
      </w:pPr>
      <w:r>
        <w:rPr>
          <w:rFonts w:ascii="Times New Roman" w:eastAsia="黑体" w:hAnsi="Times New Roman" w:cs="Times New Roman"/>
          <w:color w:val="000000"/>
          <w:sz w:val="84"/>
          <w:szCs w:val="84"/>
        </w:rPr>
        <w:t>团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体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标</w:t>
      </w:r>
      <w:r>
        <w:rPr>
          <w:rFonts w:ascii="Times New Roman" w:eastAsia="黑体" w:hAnsi="Times New Roman" w:cs="Times New Roman" w:hint="eastAsia"/>
          <w:color w:val="000000"/>
          <w:sz w:val="84"/>
          <w:szCs w:val="84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84"/>
          <w:szCs w:val="84"/>
        </w:rPr>
        <w:t>准</w:t>
      </w:r>
    </w:p>
    <w:p w14:paraId="5C52A72F" w14:textId="77777777" w:rsidR="0008095A" w:rsidRDefault="0008095A" w:rsidP="0008095A">
      <w:pPr>
        <w:jc w:val="center"/>
        <w:rPr>
          <w:rFonts w:ascii="Times New Roman" w:hAnsi="Times New Roman" w:cs="Times New Roman"/>
          <w:color w:val="000000"/>
          <w:sz w:val="84"/>
          <w:szCs w:val="84"/>
        </w:rPr>
      </w:pPr>
    </w:p>
    <w:p w14:paraId="69E4A411" w14:textId="77777777" w:rsidR="0008095A" w:rsidRDefault="0008095A" w:rsidP="0008095A">
      <w:pPr>
        <w:jc w:val="right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 xml:space="preserve">  T/HXCY </w:t>
      </w:r>
      <w:r w:rsidRPr="00771ED3">
        <w:rPr>
          <w:rFonts w:ascii="Times New Roman" w:hAnsi="Times New Roman" w:cs="Times New Roman"/>
          <w:b/>
          <w:szCs w:val="21"/>
        </w:rPr>
        <w:t>XXX—XXXX</w:t>
      </w:r>
    </w:p>
    <w:p w14:paraId="037712E5" w14:textId="77777777" w:rsidR="0008095A" w:rsidRDefault="0008095A" w:rsidP="0008095A">
      <w:pPr>
        <w:jc w:val="left"/>
        <w:rPr>
          <w:rFonts w:ascii="Times New Roman" w:hAnsi="Times New Roman" w:cs="Times New Roman"/>
          <w:color w:val="000000"/>
          <w:szCs w:val="21"/>
          <w:u w:val="single"/>
        </w:rPr>
      </w:pPr>
      <w:r>
        <w:rPr>
          <w:rFonts w:ascii="Times New Roman" w:hAnsi="Times New Roman" w:cs="Times New Roman"/>
          <w:color w:val="000000"/>
          <w:szCs w:val="21"/>
          <w:u w:val="single"/>
        </w:rPr>
        <w:t xml:space="preserve">                                                                               </w:t>
      </w:r>
    </w:p>
    <w:p w14:paraId="0A1C9231" w14:textId="77777777" w:rsidR="0008095A" w:rsidRDefault="0008095A" w:rsidP="0008095A">
      <w:pPr>
        <w:jc w:val="left"/>
        <w:rPr>
          <w:rFonts w:ascii="Times New Roman" w:hAnsi="Times New Roman" w:cs="Times New Roman"/>
          <w:color w:val="000000"/>
          <w:szCs w:val="21"/>
          <w:u w:val="single"/>
        </w:rPr>
      </w:pPr>
    </w:p>
    <w:p w14:paraId="6C0D8B82" w14:textId="1C0E8573" w:rsidR="0008095A" w:rsidRPr="0008095A" w:rsidRDefault="0008095A" w:rsidP="0008095A">
      <w:pPr>
        <w:jc w:val="center"/>
        <w:rPr>
          <w:rFonts w:ascii="黑体" w:eastAsia="黑体" w:hAnsi="黑体" w:cs="Arial" w:hint="eastAsia"/>
          <w:color w:val="000000"/>
          <w:sz w:val="44"/>
          <w:szCs w:val="44"/>
          <w:shd w:val="clear" w:color="auto" w:fill="FFFFFF"/>
        </w:rPr>
      </w:pPr>
      <w:r w:rsidRPr="0008095A">
        <w:rPr>
          <w:rFonts w:ascii="黑体" w:eastAsia="黑体" w:hAnsi="黑体" w:cs="Arial"/>
          <w:color w:val="000000"/>
          <w:sz w:val="44"/>
          <w:szCs w:val="44"/>
          <w:shd w:val="clear" w:color="auto" w:fill="FFFFFF"/>
        </w:rPr>
        <w:t>甘肃饲用燕麦良种繁育技术规程</w:t>
      </w:r>
    </w:p>
    <w:p w14:paraId="605693CD" w14:textId="77777777" w:rsidR="0008095A" w:rsidRPr="0008095A" w:rsidRDefault="0008095A" w:rsidP="0008095A">
      <w:pPr>
        <w:widowControl/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8095A">
        <w:rPr>
          <w:rFonts w:ascii="Times New Roman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Technical Standard for High-Quality Seed Breeding of Forage Oats in Gansu Region</w:t>
      </w:r>
    </w:p>
    <w:p w14:paraId="0E255679" w14:textId="77777777" w:rsidR="0008095A" w:rsidRPr="00B50F84" w:rsidRDefault="0008095A" w:rsidP="0008095A">
      <w:pPr>
        <w:widowControl/>
        <w:shd w:val="clear" w:color="auto" w:fill="FFFFFF"/>
        <w:spacing w:beforeLines="50" w:before="156" w:line="360" w:lineRule="auto"/>
        <w:jc w:val="center"/>
        <w:rPr>
          <w:rFonts w:ascii="Arial" w:eastAsia="宋体" w:hAnsi="Arial" w:cs="Arial"/>
          <w:b/>
          <w:bCs/>
          <w:color w:val="626675"/>
          <w:kern w:val="0"/>
          <w:sz w:val="24"/>
          <w:szCs w:val="24"/>
        </w:rPr>
      </w:pPr>
      <w:r w:rsidRPr="00B50F84">
        <w:rPr>
          <w:rFonts w:ascii="Arial" w:eastAsia="宋体" w:hAnsi="Arial" w:cs="Arial" w:hint="eastAsia"/>
          <w:b/>
          <w:bCs/>
          <w:color w:val="626675"/>
          <w:kern w:val="0"/>
          <w:sz w:val="24"/>
          <w:szCs w:val="24"/>
        </w:rPr>
        <w:t>（征求意见稿）</w:t>
      </w:r>
    </w:p>
    <w:p w14:paraId="49731FA5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6091E5EA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582E2E34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EAF65D1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9E1F678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5CB910AA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2C13701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0967F4C3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742596AE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61129A1A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21AED241" w14:textId="77777777" w:rsidR="0008095A" w:rsidRDefault="0008095A" w:rsidP="0008095A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4AC4D64A" w14:textId="77777777" w:rsidR="0008095A" w:rsidRDefault="0008095A" w:rsidP="0008095A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</w:p>
    <w:p w14:paraId="7C5DA414" w14:textId="77777777" w:rsidR="0008095A" w:rsidRDefault="0008095A" w:rsidP="0008095A">
      <w:pPr>
        <w:jc w:val="left"/>
        <w:rPr>
          <w:rFonts w:ascii="Times New Roman" w:eastAsia="黑体" w:hAnsi="Times New Roman" w:cs="Times New Roman"/>
          <w:color w:val="000000"/>
          <w:szCs w:val="21"/>
          <w:u w:val="single"/>
        </w:rPr>
      </w:pP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>发布</w:t>
      </w:r>
      <w:r>
        <w:rPr>
          <w:rFonts w:ascii="Times New Roman" w:eastAsia="黑体" w:hAnsi="Times New Roman" w:cs="Times New Roman" w:hint="eastAsia"/>
          <w:color w:val="000000"/>
          <w:szCs w:val="21"/>
          <w:u w:val="single"/>
        </w:rPr>
        <w:t xml:space="preserve">                                       </w:t>
      </w:r>
      <w:r>
        <w:rPr>
          <w:rFonts w:ascii="Times New Roman" w:eastAsia="黑体" w:hAnsi="Times New Roman" w:cs="Times New Roman"/>
          <w:color w:val="000000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771ED3">
        <w:rPr>
          <w:rFonts w:ascii="Times New Roman" w:eastAsia="黑体" w:hAnsi="Times New Roman" w:cs="Times New Roman"/>
          <w:szCs w:val="21"/>
          <w:u w:val="single"/>
        </w:rPr>
        <w:t xml:space="preserve"> XX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-</w:t>
      </w:r>
      <w:r w:rsidRPr="00314BF9">
        <w:rPr>
          <w:rFonts w:ascii="Times New Roman" w:eastAsia="黑体" w:hAnsi="Times New Roman" w:cs="Times New Roman"/>
          <w:szCs w:val="21"/>
          <w:u w:val="single"/>
        </w:rPr>
        <w:t xml:space="preserve"> </w:t>
      </w:r>
      <w:r w:rsidRPr="00771ED3">
        <w:rPr>
          <w:rFonts w:ascii="Times New Roman" w:eastAsia="黑体" w:hAnsi="Times New Roman" w:cs="Times New Roman"/>
          <w:szCs w:val="21"/>
          <w:u w:val="single"/>
        </w:rPr>
        <w:t>XX</w:t>
      </w:r>
      <w:r>
        <w:rPr>
          <w:rFonts w:ascii="Times New Roman" w:eastAsia="黑体" w:hAnsi="Times New Roman" w:cs="Times New Roman"/>
          <w:szCs w:val="21"/>
          <w:u w:val="single"/>
        </w:rPr>
        <w:t>实施</w:t>
      </w:r>
    </w:p>
    <w:p w14:paraId="2F6C933F" w14:textId="77777777" w:rsidR="0008095A" w:rsidRDefault="0008095A" w:rsidP="0008095A">
      <w:pPr>
        <w:jc w:val="center"/>
        <w:rPr>
          <w:rFonts w:ascii="Times New Roman" w:eastAsia="黑体" w:hAnsi="Times New Roman" w:cs="Times New Roman"/>
          <w:color w:val="000000"/>
          <w:szCs w:val="21"/>
          <w:u w:val="single"/>
        </w:rPr>
      </w:pPr>
    </w:p>
    <w:p w14:paraId="735994A7" w14:textId="77777777" w:rsidR="0008095A" w:rsidRDefault="0008095A" w:rsidP="0008095A">
      <w:pPr>
        <w:jc w:val="center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t>北京华夏草业产业技术创新战略联盟</w:t>
      </w:r>
      <w:r>
        <w:rPr>
          <w:rFonts w:ascii="Times New Roman" w:eastAsia="黑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 xml:space="preserve"> </w:t>
      </w:r>
      <w:r>
        <w:rPr>
          <w:rFonts w:ascii="Times New Roman" w:eastAsia="黑体" w:hAnsi="Times New Roman" w:cs="Times New Roman"/>
          <w:color w:val="000000"/>
          <w:szCs w:val="21"/>
        </w:rPr>
        <w:t>发布</w:t>
      </w:r>
    </w:p>
    <w:p w14:paraId="4EA8B06C" w14:textId="77777777" w:rsidR="0008095A" w:rsidRPr="00B50F84" w:rsidRDefault="0008095A" w:rsidP="0008095A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bookmarkEnd w:id="0"/>
    <w:p w14:paraId="78A62239" w14:textId="3E163B24" w:rsidR="00561B99" w:rsidRDefault="00561B99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  <w:sectPr w:rsidR="00561B99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3636295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7BEAFB" w14:textId="2148DD46" w:rsidR="00561B99" w:rsidRPr="0008095A" w:rsidRDefault="00000000" w:rsidP="0008095A">
          <w:pPr>
            <w:pStyle w:val="TOC10"/>
            <w:jc w:val="center"/>
            <w:rPr>
              <w:rFonts w:ascii="黑体" w:eastAsia="黑体" w:hAnsi="黑体" w:hint="eastAsia"/>
              <w:color w:val="auto"/>
            </w:rPr>
          </w:pPr>
          <w:r w:rsidRPr="0008095A">
            <w:rPr>
              <w:rFonts w:ascii="黑体" w:eastAsia="黑体" w:hAnsi="黑体"/>
              <w:color w:val="auto"/>
              <w:lang w:val="zh-CN"/>
            </w:rPr>
            <w:t>目</w:t>
          </w:r>
          <w:r w:rsidRPr="0008095A">
            <w:rPr>
              <w:rFonts w:ascii="黑体" w:eastAsia="黑体" w:hAnsi="黑体" w:hint="eastAsia"/>
              <w:color w:val="auto"/>
              <w:lang w:val="zh-CN"/>
            </w:rPr>
            <w:t xml:space="preserve"> </w:t>
          </w:r>
          <w:r w:rsidRPr="0008095A">
            <w:rPr>
              <w:rFonts w:ascii="黑体" w:eastAsia="黑体" w:hAnsi="黑体"/>
              <w:color w:val="auto"/>
              <w:lang w:val="zh-CN"/>
            </w:rPr>
            <w:t xml:space="preserve">  </w:t>
          </w:r>
          <w:r w:rsidR="0008095A">
            <w:rPr>
              <w:rFonts w:ascii="黑体" w:eastAsia="黑体" w:hAnsi="黑体" w:hint="eastAsia"/>
              <w:color w:val="auto"/>
              <w:lang w:val="zh-CN"/>
            </w:rPr>
            <w:t>次</w:t>
          </w:r>
        </w:p>
        <w:p w14:paraId="64F265D7" w14:textId="77777777" w:rsidR="00561B99" w:rsidRPr="0008095A" w:rsidRDefault="00000000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r w:rsidRPr="0008095A">
            <w:rPr>
              <w:rFonts w:ascii="宋体" w:eastAsia="宋体" w:hAnsi="宋体"/>
              <w:sz w:val="24"/>
              <w:szCs w:val="24"/>
            </w:rPr>
            <w:fldChar w:fldCharType="begin"/>
          </w:r>
          <w:r w:rsidRPr="0008095A">
            <w:rPr>
              <w:rFonts w:ascii="宋体" w:eastAsia="宋体" w:hAnsi="宋体"/>
              <w:sz w:val="24"/>
              <w:szCs w:val="24"/>
            </w:rPr>
            <w:instrText xml:space="preserve"> TOC \o "1-3" \h \z \u </w:instrText>
          </w:r>
          <w:r w:rsidRPr="0008095A">
            <w:rPr>
              <w:rFonts w:ascii="宋体" w:eastAsia="宋体" w:hAnsi="宋体"/>
              <w:sz w:val="24"/>
              <w:szCs w:val="24"/>
            </w:rPr>
            <w:fldChar w:fldCharType="separate"/>
          </w:r>
          <w:hyperlink w:anchor="_Toc197416770" w:history="1">
            <w:r w:rsidR="00561B99"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前   言</w:t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_Toc197416770 \h </w:instrText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t>3</w:t>
            </w:r>
            <w:r w:rsidR="00561B99"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4239CDF6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2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1　适用范围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_Toc197416772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1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3E9F1C93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3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2　引用文件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_Toc197416773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1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791814CE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4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3　生产环境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_Toc197416774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2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2BE32823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5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4　地块选择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_Toc197416775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2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44877F96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6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5　施肥整地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_Toc197416776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2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1D36722A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7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6　备种播种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_Toc197416777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2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4CC67279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8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7　田间管理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_Toc197416778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3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74227527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79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8　病虫害防治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_Toc197416779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4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68F55A44" w14:textId="035D9675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80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9　种子收获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_Toc197416780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4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2794E1B5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81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10  种子清选与贮藏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_Toc197416781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5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15A3B206" w14:textId="77777777" w:rsidR="00561B99" w:rsidRPr="0008095A" w:rsidRDefault="00561B99" w:rsidP="0008095A">
          <w:pPr>
            <w:pStyle w:val="TOC1"/>
            <w:rPr>
              <w:rFonts w:ascii="宋体" w:eastAsia="宋体" w:hAnsi="宋体" w:hint="eastAsia"/>
              <w:sz w:val="24"/>
              <w:szCs w:val="24"/>
              <w14:ligatures w14:val="standardContextual"/>
            </w:rPr>
          </w:pPr>
          <w:hyperlink w:anchor="_Toc197416782" w:history="1">
            <w:r w:rsidRPr="0008095A">
              <w:rPr>
                <w:rStyle w:val="aa"/>
                <w:rFonts w:ascii="宋体" w:eastAsia="宋体" w:hAnsi="宋体"/>
                <w:sz w:val="24"/>
                <w:szCs w:val="24"/>
              </w:rPr>
              <w:t>11　档案管理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tab/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08095A">
              <w:rPr>
                <w:rFonts w:ascii="宋体" w:eastAsia="宋体" w:hAnsi="宋体"/>
                <w:sz w:val="24"/>
                <w:szCs w:val="24"/>
              </w:rPr>
              <w:instrText xml:space="preserve"> PAGEREF _Toc197416782 \h </w:instrText>
            </w:r>
            <w:r w:rsidRPr="0008095A">
              <w:rPr>
                <w:rFonts w:ascii="宋体" w:eastAsia="宋体" w:hAnsi="宋体"/>
                <w:sz w:val="24"/>
                <w:szCs w:val="24"/>
              </w:rPr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08095A">
              <w:rPr>
                <w:rFonts w:ascii="宋体" w:eastAsia="宋体" w:hAnsi="宋体"/>
                <w:sz w:val="24"/>
                <w:szCs w:val="24"/>
              </w:rPr>
              <w:t>5</w:t>
            </w:r>
            <w:r w:rsidRPr="0008095A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hyperlink>
        </w:p>
        <w:p w14:paraId="43F15EC8" w14:textId="77777777" w:rsidR="00561B99" w:rsidRDefault="00000000" w:rsidP="0008095A">
          <w:pPr>
            <w:spacing w:line="360" w:lineRule="auto"/>
            <w:rPr>
              <w:rFonts w:hint="eastAsia"/>
            </w:rPr>
          </w:pPr>
          <w:r w:rsidRPr="0008095A">
            <w:rPr>
              <w:rFonts w:ascii="宋体" w:eastAsia="宋体" w:hAnsi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1DCDE6E4" w14:textId="77777777" w:rsidR="00561B99" w:rsidRDefault="00561B99">
      <w:pPr>
        <w:pStyle w:val="1"/>
        <w:rPr>
          <w:rFonts w:ascii="Arial" w:eastAsia="宋体" w:hAnsi="Arial" w:cs="Arial"/>
          <w:color w:val="333333"/>
          <w:kern w:val="0"/>
          <w:sz w:val="27"/>
          <w:szCs w:val="27"/>
        </w:rPr>
      </w:pPr>
    </w:p>
    <w:p w14:paraId="7F1F7032" w14:textId="77777777" w:rsidR="00561B99" w:rsidRPr="0008095A" w:rsidRDefault="00000000">
      <w:pPr>
        <w:pStyle w:val="1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27"/>
          <w:szCs w:val="27"/>
        </w:rPr>
        <w:br w:type="page"/>
      </w:r>
      <w:bookmarkStart w:id="1" w:name="_Toc197416770"/>
      <w:r w:rsidRPr="0008095A">
        <w:rPr>
          <w:rFonts w:ascii="黑体" w:eastAsia="黑体" w:hAnsi="黑体" w:hint="eastAsia"/>
          <w:sz w:val="32"/>
          <w:szCs w:val="32"/>
        </w:rPr>
        <w:t xml:space="preserve">前 </w:t>
      </w:r>
      <w:r w:rsidRPr="0008095A">
        <w:rPr>
          <w:rFonts w:ascii="黑体" w:eastAsia="黑体" w:hAnsi="黑体"/>
          <w:sz w:val="32"/>
          <w:szCs w:val="32"/>
        </w:rPr>
        <w:t xml:space="preserve">  </w:t>
      </w:r>
      <w:r w:rsidRPr="0008095A">
        <w:rPr>
          <w:rFonts w:ascii="黑体" w:eastAsia="黑体" w:hAnsi="黑体" w:hint="eastAsia"/>
          <w:sz w:val="32"/>
          <w:szCs w:val="32"/>
        </w:rPr>
        <w:t>言</w:t>
      </w:r>
      <w:bookmarkEnd w:id="1"/>
    </w:p>
    <w:p w14:paraId="74203748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本文件按照</w:t>
      </w:r>
      <w:r w:rsidRPr="00E706FF">
        <w:rPr>
          <w:rFonts w:ascii="Times New Roman" w:eastAsia="宋体" w:hAnsi="Times New Roman" w:cs="Times New Roman"/>
          <w:kern w:val="0"/>
          <w:sz w:val="24"/>
          <w:szCs w:val="24"/>
        </w:rPr>
        <w:t>GB/T 1.1-2020</w:t>
      </w:r>
      <w:r>
        <w:rPr>
          <w:rFonts w:ascii="Arial" w:eastAsia="宋体" w:hAnsi="Arial" w:cs="Arial" w:hint="eastAsia"/>
          <w:kern w:val="0"/>
          <w:sz w:val="24"/>
          <w:szCs w:val="24"/>
        </w:rPr>
        <w:t>《标准化工作导则第</w:t>
      </w:r>
      <w:r>
        <w:rPr>
          <w:rFonts w:ascii="Arial" w:eastAsia="宋体" w:hAnsi="Arial" w:cs="Arial" w:hint="eastAsia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kern w:val="0"/>
          <w:sz w:val="24"/>
          <w:szCs w:val="24"/>
        </w:rPr>
        <w:t>部分：标准化文件的结构和起草规则》的规定起草。</w:t>
      </w:r>
    </w:p>
    <w:p w14:paraId="12F5AE95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本文件由北京华夏草业产业技术创新战略联盟提出并归口。</w:t>
      </w:r>
    </w:p>
    <w:p w14:paraId="7637537B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本文件起草单位：</w:t>
      </w:r>
      <w:r w:rsidR="00B57A26">
        <w:rPr>
          <w:rFonts w:ascii="Arial" w:eastAsia="宋体" w:hAnsi="Arial" w:cs="Arial" w:hint="eastAsia"/>
          <w:kern w:val="0"/>
          <w:sz w:val="24"/>
          <w:szCs w:val="24"/>
        </w:rPr>
        <w:t>甘肃普瑞拓生态农业科技有限公司</w:t>
      </w:r>
    </w:p>
    <w:p w14:paraId="438A8F38" w14:textId="77777777" w:rsidR="00B57A2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本文件主要起草人：</w:t>
      </w:r>
      <w:r w:rsidR="00B57A26">
        <w:rPr>
          <w:rFonts w:ascii="Arial" w:eastAsia="宋体" w:hAnsi="Arial" w:cs="Arial" w:hint="eastAsia"/>
          <w:kern w:val="0"/>
          <w:sz w:val="24"/>
          <w:szCs w:val="24"/>
        </w:rPr>
        <w:t>何如</w:t>
      </w:r>
      <w:proofErr w:type="gramStart"/>
      <w:r w:rsidR="00B57A26">
        <w:rPr>
          <w:rFonts w:ascii="Arial" w:eastAsia="宋体" w:hAnsi="Arial" w:cs="Arial" w:hint="eastAsia"/>
          <w:kern w:val="0"/>
          <w:sz w:val="24"/>
          <w:szCs w:val="24"/>
        </w:rPr>
        <w:t>帜</w:t>
      </w:r>
      <w:proofErr w:type="gramEnd"/>
      <w:r w:rsidR="003A7C44">
        <w:rPr>
          <w:rFonts w:ascii="Arial" w:eastAsia="宋体" w:hAnsi="Arial" w:cs="Arial" w:hint="eastAsia"/>
          <w:kern w:val="0"/>
          <w:sz w:val="24"/>
          <w:szCs w:val="24"/>
        </w:rPr>
        <w:t>、</w:t>
      </w:r>
      <w:r w:rsidR="00D2644F">
        <w:rPr>
          <w:rFonts w:ascii="Arial" w:eastAsia="宋体" w:hAnsi="Arial" w:cs="Arial" w:hint="eastAsia"/>
          <w:kern w:val="0"/>
          <w:sz w:val="24"/>
          <w:szCs w:val="24"/>
        </w:rPr>
        <w:t>陈有军、吴彪、闫秋洁、周丽萍、汪辉</w:t>
      </w:r>
      <w:r w:rsidR="00FD6360">
        <w:rPr>
          <w:rFonts w:ascii="Arial" w:eastAsia="宋体" w:hAnsi="Arial" w:cs="Arial" w:hint="eastAsia"/>
          <w:kern w:val="0"/>
          <w:sz w:val="24"/>
          <w:szCs w:val="24"/>
        </w:rPr>
        <w:t>、雷映霞、袁玉涛、吴莉、庄瑛、王芳、</w:t>
      </w:r>
      <w:proofErr w:type="gramStart"/>
      <w:r w:rsidR="00FD6360">
        <w:rPr>
          <w:rFonts w:ascii="Arial" w:eastAsia="宋体" w:hAnsi="Arial" w:cs="Arial" w:hint="eastAsia"/>
          <w:kern w:val="0"/>
          <w:sz w:val="24"/>
          <w:szCs w:val="24"/>
        </w:rPr>
        <w:t>马述鹏</w:t>
      </w:r>
      <w:proofErr w:type="gramEnd"/>
    </w:p>
    <w:p w14:paraId="35A522CC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本文件为首次发布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1B34C294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本文件的某些内容可能涉及专利</w:t>
      </w:r>
      <w:r>
        <w:rPr>
          <w:rFonts w:ascii="Arial" w:eastAsia="宋体" w:hAnsi="Arial" w:cs="Arial" w:hint="eastAsia"/>
          <w:kern w:val="0"/>
          <w:sz w:val="24"/>
          <w:szCs w:val="24"/>
        </w:rPr>
        <w:t>。</w:t>
      </w:r>
    </w:p>
    <w:p w14:paraId="521972C5" w14:textId="77777777" w:rsidR="00561B99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本文件的发布机构不承担识别这些专利的责任。</w:t>
      </w:r>
    </w:p>
    <w:p w14:paraId="3554C297" w14:textId="77777777" w:rsidR="00561B99" w:rsidRDefault="00561B99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</w:p>
    <w:p w14:paraId="0FB9D83A" w14:textId="77777777" w:rsidR="00561B99" w:rsidRDefault="00000000">
      <w:pPr>
        <w:widowControl/>
        <w:jc w:val="left"/>
        <w:rPr>
          <w:rFonts w:ascii="Arial" w:eastAsia="宋体" w:hAnsi="Arial" w:cs="Arial"/>
          <w:color w:val="626675"/>
          <w:kern w:val="0"/>
          <w:sz w:val="24"/>
          <w:szCs w:val="24"/>
        </w:rPr>
      </w:pPr>
      <w:r>
        <w:rPr>
          <w:rFonts w:ascii="Arial" w:eastAsia="宋体" w:hAnsi="Arial" w:cs="Arial"/>
          <w:color w:val="626675"/>
          <w:kern w:val="0"/>
          <w:sz w:val="24"/>
          <w:szCs w:val="24"/>
        </w:rPr>
        <w:br w:type="page"/>
      </w:r>
    </w:p>
    <w:p w14:paraId="67A8D37A" w14:textId="77777777" w:rsidR="00561B99" w:rsidRDefault="00561B99">
      <w:pPr>
        <w:widowControl/>
        <w:spacing w:before="330" w:line="720" w:lineRule="atLeast"/>
        <w:ind w:left="300"/>
        <w:jc w:val="center"/>
        <w:outlineLvl w:val="1"/>
        <w:rPr>
          <w:rFonts w:ascii="Arial" w:eastAsia="宋体" w:hAnsi="Arial" w:cs="Arial"/>
          <w:color w:val="333333"/>
          <w:kern w:val="0"/>
          <w:sz w:val="32"/>
          <w:szCs w:val="32"/>
        </w:rPr>
        <w:sectPr w:rsidR="00561B99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C5E82E" w14:textId="77777777" w:rsidR="00561B99" w:rsidRPr="0008095A" w:rsidRDefault="00000000" w:rsidP="0008095A">
      <w:pPr>
        <w:pStyle w:val="1"/>
        <w:jc w:val="center"/>
        <w:rPr>
          <w:rFonts w:ascii="黑体" w:eastAsia="黑体" w:hAnsi="黑体" w:hint="eastAsia"/>
          <w:sz w:val="32"/>
          <w:szCs w:val="32"/>
        </w:rPr>
      </w:pPr>
      <w:bookmarkStart w:id="2" w:name="_Toc197416771"/>
      <w:r w:rsidRPr="0008095A">
        <w:rPr>
          <w:rFonts w:ascii="黑体" w:eastAsia="黑体" w:hAnsi="黑体" w:hint="eastAsia"/>
          <w:sz w:val="32"/>
          <w:szCs w:val="32"/>
        </w:rPr>
        <w:t>甘肃饲用燕麦良种繁育技术规程</w:t>
      </w:r>
      <w:bookmarkEnd w:id="2"/>
    </w:p>
    <w:p w14:paraId="0D690607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3" w:name="_Toc197416772"/>
      <w:r w:rsidRPr="0008095A">
        <w:rPr>
          <w:rFonts w:ascii="黑体" w:eastAsia="黑体" w:hAnsi="黑体"/>
          <w:b w:val="0"/>
          <w:bCs w:val="0"/>
          <w:sz w:val="21"/>
          <w:szCs w:val="21"/>
        </w:rPr>
        <w:t xml:space="preserve">1　</w:t>
      </w:r>
      <w:r w:rsidRPr="0008095A">
        <w:rPr>
          <w:rFonts w:ascii="黑体" w:eastAsia="黑体" w:hAnsi="黑体" w:hint="eastAsia"/>
          <w:b w:val="0"/>
          <w:bCs w:val="0"/>
          <w:sz w:val="21"/>
          <w:szCs w:val="21"/>
        </w:rPr>
        <w:t>适用</w:t>
      </w:r>
      <w:r w:rsidRPr="0008095A">
        <w:rPr>
          <w:rFonts w:ascii="黑体" w:eastAsia="黑体" w:hAnsi="黑体"/>
          <w:b w:val="0"/>
          <w:bCs w:val="0"/>
          <w:sz w:val="21"/>
          <w:szCs w:val="21"/>
        </w:rPr>
        <w:t>范围</w:t>
      </w:r>
      <w:bookmarkEnd w:id="3"/>
    </w:p>
    <w:p w14:paraId="6EC4D671" w14:textId="77777777" w:rsid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本文件规定了饲用燕麦良种扩繁的产地环境、</w:t>
      </w:r>
      <w:r w:rsidRPr="0008095A">
        <w:rPr>
          <w:rFonts w:ascii="宋体" w:eastAsia="宋体" w:hAnsi="宋体" w:cs="Helvetica"/>
          <w:szCs w:val="21"/>
        </w:rPr>
        <w:t>、品种及种子选择</w:t>
      </w:r>
      <w:r w:rsidRPr="0008095A">
        <w:rPr>
          <w:rFonts w:ascii="宋体" w:eastAsia="宋体" w:hAnsi="宋体" w:cs="Helvetica" w:hint="eastAsia"/>
          <w:szCs w:val="21"/>
        </w:rPr>
        <w:t>、</w:t>
      </w:r>
      <w:r w:rsidRPr="0008095A">
        <w:rPr>
          <w:rFonts w:ascii="宋体" w:eastAsia="宋体" w:hAnsi="宋体" w:hint="eastAsia"/>
          <w:szCs w:val="21"/>
        </w:rPr>
        <w:t>地块选择、施肥整地、备种播种、田间管理、种子收获、</w:t>
      </w:r>
      <w:r w:rsidRPr="0008095A">
        <w:rPr>
          <w:rFonts w:ascii="宋体" w:eastAsia="宋体" w:hAnsi="宋体" w:cs="Helvetica"/>
          <w:szCs w:val="21"/>
        </w:rPr>
        <w:t>清选与贮藏</w:t>
      </w:r>
      <w:r w:rsidRPr="0008095A">
        <w:rPr>
          <w:rFonts w:ascii="宋体" w:eastAsia="宋体" w:hAnsi="宋体" w:cs="Helvetica" w:hint="eastAsia"/>
          <w:szCs w:val="21"/>
        </w:rPr>
        <w:t>、</w:t>
      </w:r>
      <w:r w:rsidRPr="0008095A">
        <w:rPr>
          <w:rFonts w:ascii="宋体" w:eastAsia="宋体" w:hAnsi="宋体" w:hint="eastAsia"/>
          <w:szCs w:val="21"/>
        </w:rPr>
        <w:t>档案管理等管理技术。</w:t>
      </w:r>
    </w:p>
    <w:p w14:paraId="111901CE" w14:textId="71CA08E9" w:rsidR="00561B99" w:rsidRPr="0008095A" w:rsidRDefault="0008095A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Helvetica" w:hint="eastAsia"/>
          <w:szCs w:val="21"/>
        </w:rPr>
        <w:t>本</w:t>
      </w:r>
      <w:r w:rsidRPr="0008095A">
        <w:rPr>
          <w:rFonts w:ascii="宋体" w:eastAsia="宋体" w:hAnsi="宋体" w:cs="Helvetica" w:hint="eastAsia"/>
          <w:szCs w:val="21"/>
        </w:rPr>
        <w:t>文件</w:t>
      </w:r>
      <w:r w:rsidRPr="0008095A">
        <w:rPr>
          <w:rFonts w:ascii="宋体" w:eastAsia="宋体" w:hAnsi="宋体" w:cs="Helvetica"/>
          <w:szCs w:val="21"/>
        </w:rPr>
        <w:t>适用于西北地区饲用燕麦</w:t>
      </w:r>
      <w:r w:rsidRPr="0008095A">
        <w:rPr>
          <w:rFonts w:ascii="宋体" w:eastAsia="宋体" w:hAnsi="宋体" w:cs="Helvetica" w:hint="eastAsia"/>
          <w:szCs w:val="21"/>
        </w:rPr>
        <w:t>良种扩繁</w:t>
      </w:r>
      <w:r w:rsidRPr="0008095A">
        <w:rPr>
          <w:rFonts w:ascii="宋体" w:eastAsia="宋体" w:hAnsi="宋体" w:cs="Helvetica"/>
          <w:szCs w:val="21"/>
        </w:rPr>
        <w:t>。</w:t>
      </w:r>
      <w:r w:rsidRPr="0008095A">
        <w:rPr>
          <w:rFonts w:ascii="宋体" w:eastAsia="宋体" w:hAnsi="宋体" w:cs="Helvetica"/>
          <w:color w:val="3366CC"/>
          <w:szCs w:val="21"/>
          <w:vertAlign w:val="superscript"/>
        </w:rPr>
        <w:t> </w:t>
      </w:r>
    </w:p>
    <w:p w14:paraId="0766E55A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4" w:name="_Toc197416773"/>
      <w:r w:rsidRPr="0008095A">
        <w:rPr>
          <w:rFonts w:ascii="黑体" w:eastAsia="黑体" w:hAnsi="黑体"/>
          <w:b w:val="0"/>
          <w:bCs w:val="0"/>
          <w:sz w:val="21"/>
          <w:szCs w:val="21"/>
        </w:rPr>
        <w:t>2　引用文件</w:t>
      </w:r>
      <w:bookmarkEnd w:id="4"/>
    </w:p>
    <w:p w14:paraId="117952F0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66F7F3A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GB 3095 环境空气质量标准</w:t>
      </w:r>
    </w:p>
    <w:p w14:paraId="3616FB02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GB 4285 农药安全使用标准</w:t>
      </w:r>
    </w:p>
    <w:p w14:paraId="5B15D4CE" w14:textId="77777777" w:rsid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GB 4404.4 粮食作物种子 燕麦</w:t>
      </w:r>
    </w:p>
    <w:p w14:paraId="69F99FD3" w14:textId="77777777" w:rsidR="0008095A" w:rsidRDefault="0008095A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GB 6142 禾本科草种子质量分级</w:t>
      </w:r>
    </w:p>
    <w:p w14:paraId="789A8F65" w14:textId="77777777" w:rsidR="007E089C" w:rsidRPr="0008095A" w:rsidRDefault="007E089C" w:rsidP="007E089C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GB/T 8321  农药合理使用准则（所有部分）</w:t>
      </w:r>
    </w:p>
    <w:p w14:paraId="5C80881A" w14:textId="6D80318B" w:rsidR="0008095A" w:rsidRPr="0008095A" w:rsidRDefault="0008095A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GB 15618 土壤环境质量 农用地土壤污染风险管控标准（试行）</w:t>
      </w:r>
    </w:p>
    <w:p w14:paraId="3562F866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NY/T 496 肥料合理使用准则 通则</w:t>
      </w:r>
    </w:p>
    <w:p w14:paraId="30E039FF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NY/T 1276  农药安全使用规范  总则</w:t>
      </w:r>
    </w:p>
    <w:p w14:paraId="51091A74" w14:textId="77777777" w:rsidR="0008095A" w:rsidRPr="0008095A" w:rsidRDefault="0008095A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bookmarkStart w:id="5" w:name="_Hlk156291256"/>
      <w:r w:rsidRPr="0008095A">
        <w:rPr>
          <w:rFonts w:ascii="宋体" w:eastAsia="宋体" w:hAnsi="宋体"/>
          <w:szCs w:val="21"/>
        </w:rPr>
        <w:t>NY/T 1577 草籽包装与标识</w:t>
      </w:r>
      <w:bookmarkEnd w:id="5"/>
    </w:p>
    <w:p w14:paraId="251DB66B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NY/T 1868 肥料合理使用准则 有机肥料</w:t>
      </w:r>
    </w:p>
    <w:p w14:paraId="7FEBE4FC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NY 5332 无公害食品 大田作物产地环境条件</w:t>
      </w:r>
    </w:p>
    <w:p w14:paraId="36AC6E3A" w14:textId="6548AEA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DB</w:t>
      </w:r>
      <w:r w:rsidR="0008095A">
        <w:rPr>
          <w:rFonts w:ascii="宋体" w:eastAsia="宋体" w:hAnsi="宋体" w:hint="eastAsia"/>
          <w:szCs w:val="21"/>
        </w:rPr>
        <w:t xml:space="preserve"> </w:t>
      </w:r>
      <w:r w:rsidRPr="0008095A">
        <w:rPr>
          <w:rFonts w:ascii="宋体" w:eastAsia="宋体" w:hAnsi="宋体" w:hint="eastAsia"/>
          <w:szCs w:val="21"/>
        </w:rPr>
        <w:t>62/T 2957 燕麦干草捆质量</w:t>
      </w:r>
    </w:p>
    <w:p w14:paraId="7192D6C1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6" w:name="_Toc197416774"/>
      <w:r w:rsidRPr="0008095A">
        <w:rPr>
          <w:rFonts w:ascii="黑体" w:eastAsia="黑体" w:hAnsi="黑体"/>
          <w:b w:val="0"/>
          <w:bCs w:val="0"/>
          <w:sz w:val="21"/>
          <w:szCs w:val="21"/>
        </w:rPr>
        <w:t xml:space="preserve">3　</w:t>
      </w:r>
      <w:r w:rsidRPr="0008095A">
        <w:rPr>
          <w:rFonts w:ascii="黑体" w:eastAsia="黑体" w:hAnsi="黑体" w:hint="eastAsia"/>
          <w:b w:val="0"/>
          <w:bCs w:val="0"/>
          <w:sz w:val="21"/>
          <w:szCs w:val="21"/>
        </w:rPr>
        <w:t>生产</w:t>
      </w:r>
      <w:r w:rsidRPr="0008095A">
        <w:rPr>
          <w:rFonts w:ascii="黑体" w:eastAsia="黑体" w:hAnsi="黑体"/>
          <w:b w:val="0"/>
          <w:bCs w:val="0"/>
          <w:sz w:val="21"/>
          <w:szCs w:val="21"/>
        </w:rPr>
        <w:t>环境</w:t>
      </w:r>
      <w:bookmarkEnd w:id="6"/>
    </w:p>
    <w:p w14:paraId="2945921E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宜选择地势平坦、土质疏松、耕层深厚、集中连片的地块。土壤环境质量应符合GB 15618-2018的规定，环境空气质量应符合GB 3095的规定</w:t>
      </w:r>
      <w:r w:rsidRPr="0008095A">
        <w:rPr>
          <w:rFonts w:ascii="宋体" w:eastAsia="宋体" w:hAnsi="宋体"/>
          <w:szCs w:val="21"/>
        </w:rPr>
        <w:t>。</w:t>
      </w:r>
    </w:p>
    <w:p w14:paraId="6D0340DE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3.1 土壤条件</w:t>
      </w:r>
    </w:p>
    <w:p w14:paraId="30DC78CA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饲用燕麦种植选应择土壤肥力中等，土质轻粘土地为宜。</w:t>
      </w:r>
    </w:p>
    <w:p w14:paraId="1512A5D7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3.2水质条件</w:t>
      </w:r>
    </w:p>
    <w:p w14:paraId="0770F563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有满足燕麦生产的灌溉水源。</w:t>
      </w:r>
    </w:p>
    <w:p w14:paraId="138286FF" w14:textId="77777777" w:rsidR="00561B99" w:rsidRPr="0008095A" w:rsidRDefault="00000000" w:rsidP="0008095A">
      <w:pPr>
        <w:pStyle w:val="1"/>
        <w:spacing w:before="0" w:after="0" w:line="360" w:lineRule="auto"/>
        <w:rPr>
          <w:rFonts w:ascii="宋体" w:eastAsia="宋体" w:hAnsi="宋体" w:hint="eastAsia"/>
          <w:sz w:val="21"/>
          <w:szCs w:val="21"/>
        </w:rPr>
      </w:pPr>
      <w:bookmarkStart w:id="7" w:name="_Toc197416775"/>
      <w:r w:rsidRPr="0008095A">
        <w:rPr>
          <w:rFonts w:ascii="黑体" w:eastAsia="黑体" w:hAnsi="黑体"/>
          <w:b w:val="0"/>
          <w:bCs w:val="0"/>
          <w:sz w:val="21"/>
          <w:szCs w:val="21"/>
        </w:rPr>
        <w:t>4　地块选择</w:t>
      </w:r>
      <w:bookmarkEnd w:id="7"/>
    </w:p>
    <w:p w14:paraId="1181A8AD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燕麦对土壤要求不严格，但以有机质含量高的粘壤土种植最好。燕麦忌重茬，苜蓿、豆类作物、中药材、马铃薯、胡麻、十字花科作物、玉米等都可作为燕麦的前茬，以豆类、马铃薯和十字花科作物前茬为最好。</w:t>
      </w:r>
    </w:p>
    <w:p w14:paraId="3630A5A0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8" w:name="_Toc197416776"/>
      <w:r w:rsidRPr="0008095A">
        <w:rPr>
          <w:rFonts w:ascii="黑体" w:eastAsia="黑体" w:hAnsi="黑体"/>
          <w:b w:val="0"/>
          <w:bCs w:val="0"/>
          <w:sz w:val="21"/>
          <w:szCs w:val="21"/>
        </w:rPr>
        <w:t>5　施肥整地</w:t>
      </w:r>
      <w:bookmarkEnd w:id="8"/>
    </w:p>
    <w:p w14:paraId="034ECE7C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5.1　整地</w:t>
      </w:r>
    </w:p>
    <w:p w14:paraId="015418FB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秋季整地，早春播种。如果</w:t>
      </w:r>
      <w:proofErr w:type="gramStart"/>
      <w:r w:rsidRPr="0008095A">
        <w:rPr>
          <w:rFonts w:ascii="宋体" w:eastAsia="宋体" w:hAnsi="宋体"/>
          <w:szCs w:val="21"/>
        </w:rPr>
        <w:t>春翻春</w:t>
      </w:r>
      <w:proofErr w:type="gramEnd"/>
      <w:r w:rsidRPr="0008095A">
        <w:rPr>
          <w:rFonts w:ascii="宋体" w:eastAsia="宋体" w:hAnsi="宋体"/>
          <w:szCs w:val="21"/>
        </w:rPr>
        <w:t>整地则时间要尽量提前，以保证不误农时。</w:t>
      </w:r>
      <w:proofErr w:type="gramStart"/>
      <w:r w:rsidRPr="0008095A">
        <w:rPr>
          <w:rFonts w:ascii="宋体" w:eastAsia="宋体" w:hAnsi="宋体"/>
          <w:szCs w:val="21"/>
        </w:rPr>
        <w:t>耕深应</w:t>
      </w:r>
      <w:proofErr w:type="gramEnd"/>
      <w:r w:rsidRPr="0008095A">
        <w:rPr>
          <w:rFonts w:ascii="宋体" w:eastAsia="宋体" w:hAnsi="宋体"/>
          <w:szCs w:val="21"/>
        </w:rPr>
        <w:t>达到20cm以上，深耕比浅耕可显著增产。播前应深耕翻(20cm 以上)、整细、耙平，要求做到地平土碎，足</w:t>
      </w:r>
      <w:proofErr w:type="gramStart"/>
      <w:r w:rsidRPr="0008095A">
        <w:rPr>
          <w:rFonts w:ascii="宋体" w:eastAsia="宋体" w:hAnsi="宋体"/>
          <w:szCs w:val="21"/>
        </w:rPr>
        <w:t>墒</w:t>
      </w:r>
      <w:proofErr w:type="gramEnd"/>
      <w:r w:rsidRPr="0008095A">
        <w:rPr>
          <w:rFonts w:ascii="宋体" w:eastAsia="宋体" w:hAnsi="宋体"/>
          <w:szCs w:val="21"/>
        </w:rPr>
        <w:t>下种，确保根系发育良好。</w:t>
      </w:r>
    </w:p>
    <w:p w14:paraId="124F15ED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5.2　施肥</w:t>
      </w:r>
    </w:p>
    <w:p w14:paraId="7F08ED2B" w14:textId="2977FDE8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结合秋耕翻，每666.7m²施腐熟有机肥1500kg～2000kg,</w:t>
      </w:r>
      <w:r w:rsidRPr="0008095A">
        <w:rPr>
          <w:rFonts w:ascii="宋体" w:eastAsia="宋体" w:hAnsi="宋体" w:hint="eastAsia"/>
          <w:szCs w:val="21"/>
        </w:rPr>
        <w:t>，</w:t>
      </w:r>
      <w:r w:rsidRPr="0008095A">
        <w:rPr>
          <w:rFonts w:ascii="宋体" w:eastAsia="宋体" w:hAnsi="宋体"/>
          <w:szCs w:val="21"/>
        </w:rPr>
        <w:t>春季播种前每666.7 m²施</w:t>
      </w:r>
      <w:r w:rsidR="003A7C44" w:rsidRPr="0008095A">
        <w:rPr>
          <w:rFonts w:ascii="宋体" w:eastAsia="宋体" w:hAnsi="宋体" w:hint="eastAsia"/>
          <w:szCs w:val="21"/>
        </w:rPr>
        <w:t>底肥尿素</w:t>
      </w: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>5kg～</w:t>
      </w:r>
      <w:r w:rsidRPr="0008095A">
        <w:rPr>
          <w:rFonts w:ascii="宋体" w:eastAsia="宋体" w:hAnsi="宋体" w:hint="eastAsia"/>
          <w:szCs w:val="21"/>
        </w:rPr>
        <w:t>20</w:t>
      </w:r>
      <w:r w:rsidRPr="0008095A">
        <w:rPr>
          <w:rFonts w:ascii="宋体" w:eastAsia="宋体" w:hAnsi="宋体"/>
          <w:szCs w:val="21"/>
        </w:rPr>
        <w:t>kg</w:t>
      </w:r>
      <w:r w:rsidRPr="0008095A">
        <w:rPr>
          <w:rFonts w:ascii="宋体" w:eastAsia="宋体" w:hAnsi="宋体" w:hint="eastAsia"/>
          <w:szCs w:val="21"/>
        </w:rPr>
        <w:t>，</w:t>
      </w:r>
      <w:r w:rsidR="003A7C44" w:rsidRPr="0008095A">
        <w:rPr>
          <w:rFonts w:ascii="宋体" w:eastAsia="宋体" w:hAnsi="宋体" w:hint="eastAsia"/>
          <w:szCs w:val="21"/>
        </w:rPr>
        <w:t>磷酸二铵</w:t>
      </w:r>
      <w:r w:rsidRPr="0008095A">
        <w:rPr>
          <w:rFonts w:ascii="宋体" w:eastAsia="宋体" w:hAnsi="宋体"/>
          <w:szCs w:val="21"/>
        </w:rPr>
        <w:t xml:space="preserve"> (P</w:t>
      </w:r>
      <w:r w:rsidRPr="0008095A">
        <w:rPr>
          <w:rFonts w:ascii="Cambria Math" w:eastAsia="宋体" w:hAnsi="Cambria Math" w:cs="Cambria Math"/>
          <w:szCs w:val="21"/>
        </w:rPr>
        <w:t>₂</w:t>
      </w:r>
      <w:r w:rsidRPr="0008095A">
        <w:rPr>
          <w:rFonts w:ascii="宋体" w:eastAsia="宋体" w:hAnsi="宋体"/>
          <w:szCs w:val="21"/>
        </w:rPr>
        <w:t>O</w:t>
      </w:r>
      <w:r w:rsidRPr="0008095A">
        <w:rPr>
          <w:rFonts w:ascii="Cambria Math" w:eastAsia="宋体" w:hAnsi="Cambria Math" w:cs="Cambria Math"/>
          <w:szCs w:val="21"/>
        </w:rPr>
        <w:t>₅</w:t>
      </w:r>
      <w:r w:rsidRPr="0008095A">
        <w:rPr>
          <w:rFonts w:ascii="宋体" w:eastAsia="宋体" w:hAnsi="宋体"/>
          <w:szCs w:val="21"/>
        </w:rPr>
        <w:t>)</w:t>
      </w: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>5kg</w:t>
      </w:r>
      <w:r w:rsidR="00E706FF">
        <w:rPr>
          <w:rFonts w:ascii="宋体" w:eastAsia="宋体" w:hAnsi="宋体"/>
          <w:szCs w:val="21"/>
        </w:rPr>
        <w:t>～</w:t>
      </w:r>
      <w:r w:rsidRPr="0008095A">
        <w:rPr>
          <w:rFonts w:ascii="宋体" w:eastAsia="宋体" w:hAnsi="宋体" w:hint="eastAsia"/>
          <w:szCs w:val="21"/>
        </w:rPr>
        <w:t>20</w:t>
      </w:r>
      <w:r w:rsidRPr="0008095A">
        <w:rPr>
          <w:rFonts w:ascii="宋体" w:eastAsia="宋体" w:hAnsi="宋体"/>
          <w:szCs w:val="21"/>
        </w:rPr>
        <w:t>kg 种肥后旋耕，使表土平整，上虚下实。肥料使用符合NY/T 496的有关规定。</w:t>
      </w:r>
    </w:p>
    <w:p w14:paraId="147F9406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5.</w:t>
      </w:r>
      <w:r w:rsidRPr="0008095A">
        <w:rPr>
          <w:rFonts w:ascii="宋体" w:eastAsia="宋体" w:hAnsi="宋体" w:hint="eastAsia"/>
          <w:b/>
          <w:bCs/>
          <w:szCs w:val="21"/>
        </w:rPr>
        <w:t>3</w:t>
      </w:r>
      <w:r w:rsidRPr="0008095A">
        <w:rPr>
          <w:rFonts w:ascii="宋体" w:eastAsia="宋体" w:hAnsi="宋体"/>
          <w:b/>
          <w:bCs/>
          <w:szCs w:val="21"/>
        </w:rPr>
        <w:t xml:space="preserve"> 机具准备</w:t>
      </w:r>
    </w:p>
    <w:p w14:paraId="7D5E6A8A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播种前一定将播种机具清理干净，严禁携带有其它品种和作物的种子。</w:t>
      </w:r>
    </w:p>
    <w:p w14:paraId="2A2A3176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9" w:name="_Toc197416777"/>
      <w:r w:rsidRPr="0008095A">
        <w:rPr>
          <w:rFonts w:ascii="黑体" w:eastAsia="黑体" w:hAnsi="黑体"/>
          <w:b w:val="0"/>
          <w:bCs w:val="0"/>
          <w:sz w:val="21"/>
          <w:szCs w:val="21"/>
        </w:rPr>
        <w:t>6　备种播种</w:t>
      </w:r>
      <w:bookmarkEnd w:id="9"/>
    </w:p>
    <w:p w14:paraId="2FB84320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6.1　品种选择</w:t>
      </w:r>
    </w:p>
    <w:p w14:paraId="4AF3F280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选用国家或省级认定、适宜当地生产条件和需求的优质、高产品种。</w:t>
      </w:r>
    </w:p>
    <w:p w14:paraId="0BAAE41B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6.2　种子</w:t>
      </w:r>
      <w:r w:rsidRPr="0008095A">
        <w:rPr>
          <w:rFonts w:ascii="宋体" w:eastAsia="宋体" w:hAnsi="宋体" w:hint="eastAsia"/>
          <w:b/>
          <w:bCs/>
          <w:szCs w:val="21"/>
        </w:rPr>
        <w:t>质量检测</w:t>
      </w:r>
    </w:p>
    <w:p w14:paraId="35FD9DDA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选用品种的种子质量应符合GB 4404.4的规定。</w:t>
      </w:r>
    </w:p>
    <w:p w14:paraId="5D9D76F4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6.3　播种</w:t>
      </w:r>
    </w:p>
    <w:p w14:paraId="7CE968C5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6.3.1　播期</w:t>
      </w:r>
    </w:p>
    <w:p w14:paraId="2165509E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4月中下旬墒情好时播种</w:t>
      </w:r>
      <w:r w:rsidRPr="0008095A">
        <w:rPr>
          <w:rFonts w:ascii="宋体" w:eastAsia="宋体" w:hAnsi="宋体"/>
          <w:szCs w:val="21"/>
        </w:rPr>
        <w:t>。</w:t>
      </w:r>
    </w:p>
    <w:p w14:paraId="46D28B66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6.3.2　播量</w:t>
      </w:r>
    </w:p>
    <w:p w14:paraId="163AA545" w14:textId="4E1EF834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每666.7 m²播量11kg</w:t>
      </w:r>
      <w:r w:rsidR="00E706FF">
        <w:rPr>
          <w:rFonts w:ascii="宋体" w:eastAsia="宋体" w:hAnsi="宋体" w:hint="eastAsia"/>
          <w:szCs w:val="21"/>
        </w:rPr>
        <w:t>～</w:t>
      </w:r>
      <w:r w:rsidRPr="0008095A">
        <w:rPr>
          <w:rFonts w:ascii="宋体" w:eastAsia="宋体" w:hAnsi="宋体" w:hint="eastAsia"/>
          <w:szCs w:val="21"/>
        </w:rPr>
        <w:t>13kg，播后及时镇压。</w:t>
      </w:r>
    </w:p>
    <w:p w14:paraId="62E2FA0B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6.3.3　播深</w:t>
      </w:r>
    </w:p>
    <w:p w14:paraId="389F57C1" w14:textId="03BEFA5A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播种深度一般以3cm</w:t>
      </w:r>
      <w:r w:rsidR="00E706FF">
        <w:rPr>
          <w:rFonts w:ascii="宋体" w:eastAsia="宋体" w:hAnsi="宋体"/>
          <w:szCs w:val="21"/>
        </w:rPr>
        <w:t>～</w:t>
      </w:r>
      <w:r w:rsidRPr="0008095A">
        <w:rPr>
          <w:rFonts w:ascii="宋体" w:eastAsia="宋体" w:hAnsi="宋体" w:hint="eastAsia"/>
          <w:szCs w:val="21"/>
        </w:rPr>
        <w:t>5</w:t>
      </w:r>
      <w:r w:rsidRPr="0008095A">
        <w:rPr>
          <w:rFonts w:ascii="宋体" w:eastAsia="宋体" w:hAnsi="宋体"/>
          <w:szCs w:val="21"/>
        </w:rPr>
        <w:t>cm为宜。土壤墒情差时可适当播深至</w:t>
      </w:r>
      <w:r w:rsidRPr="0008095A">
        <w:rPr>
          <w:rFonts w:ascii="宋体" w:eastAsia="宋体" w:hAnsi="宋体" w:hint="eastAsia"/>
          <w:szCs w:val="21"/>
        </w:rPr>
        <w:t>4cm</w:t>
      </w:r>
      <w:r w:rsidR="00E706FF">
        <w:rPr>
          <w:rFonts w:ascii="宋体" w:eastAsia="宋体" w:hAnsi="宋体"/>
          <w:szCs w:val="21"/>
        </w:rPr>
        <w:t>～</w:t>
      </w:r>
      <w:r w:rsidRPr="0008095A">
        <w:rPr>
          <w:rFonts w:ascii="宋体" w:eastAsia="宋体" w:hAnsi="宋体" w:hint="eastAsia"/>
          <w:szCs w:val="21"/>
        </w:rPr>
        <w:t>6</w:t>
      </w:r>
      <w:r w:rsidRPr="0008095A">
        <w:rPr>
          <w:rFonts w:ascii="宋体" w:eastAsia="宋体" w:hAnsi="宋体"/>
          <w:szCs w:val="21"/>
        </w:rPr>
        <w:t>cm，播后镇压。</w:t>
      </w:r>
    </w:p>
    <w:p w14:paraId="53F66632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6.3.4　播</w:t>
      </w:r>
      <w:r w:rsidRPr="0008095A">
        <w:rPr>
          <w:rFonts w:ascii="宋体" w:eastAsia="宋体" w:hAnsi="宋体" w:hint="eastAsia"/>
          <w:b/>
          <w:bCs/>
          <w:szCs w:val="21"/>
        </w:rPr>
        <w:t>种方式</w:t>
      </w:r>
    </w:p>
    <w:p w14:paraId="2EBB7943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采用机械条播，根据不同生产地的土壤和气候地理条件，行距25cm 左右，株距15cm左右。</w:t>
      </w:r>
    </w:p>
    <w:p w14:paraId="6927C4CC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6.3.5  留苗密度</w:t>
      </w:r>
    </w:p>
    <w:p w14:paraId="35B5AE8F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cs="黑体" w:hint="eastAsia"/>
          <w:b/>
          <w:bCs/>
          <w:spacing w:val="-5"/>
          <w:szCs w:val="21"/>
        </w:rPr>
      </w:pPr>
      <w:r w:rsidRPr="0008095A">
        <w:rPr>
          <w:rFonts w:ascii="宋体" w:eastAsia="宋体" w:hAnsi="宋体" w:hint="eastAsia"/>
          <w:szCs w:val="21"/>
        </w:rPr>
        <w:t>每666.7 m²保苗250000～320000株。</w:t>
      </w:r>
    </w:p>
    <w:p w14:paraId="15F685BC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10" w:name="_Toc197416778"/>
      <w:r w:rsidRPr="0008095A">
        <w:rPr>
          <w:rFonts w:ascii="黑体" w:eastAsia="黑体" w:hAnsi="黑体"/>
          <w:b w:val="0"/>
          <w:bCs w:val="0"/>
          <w:sz w:val="21"/>
          <w:szCs w:val="21"/>
        </w:rPr>
        <w:t>7　田间管理</w:t>
      </w:r>
      <w:bookmarkEnd w:id="10"/>
    </w:p>
    <w:p w14:paraId="2D753259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7.1　中耕</w:t>
      </w:r>
    </w:p>
    <w:p w14:paraId="04194AE4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出苗后及早中耕，深度据土壤墒情而定，一般为干锄浅、湿锄深。拔节前再中耕两遍，在分蘖阶段为宜，</w:t>
      </w:r>
      <w:proofErr w:type="gramStart"/>
      <w:r w:rsidRPr="0008095A">
        <w:rPr>
          <w:rFonts w:ascii="宋体" w:eastAsia="宋体" w:hAnsi="宋体" w:hint="eastAsia"/>
          <w:szCs w:val="21"/>
        </w:rPr>
        <w:t>需深中耕</w:t>
      </w:r>
      <w:proofErr w:type="gramEnd"/>
      <w:r w:rsidRPr="0008095A">
        <w:rPr>
          <w:rFonts w:ascii="宋体" w:eastAsia="宋体" w:hAnsi="宋体" w:hint="eastAsia"/>
          <w:szCs w:val="21"/>
        </w:rPr>
        <w:t>。</w:t>
      </w:r>
    </w:p>
    <w:p w14:paraId="595AB60A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7.2　追肥</w:t>
      </w:r>
    </w:p>
    <w:p w14:paraId="080673BB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分蘖拔节期，每</w:t>
      </w:r>
      <w:r w:rsidRPr="0008095A">
        <w:rPr>
          <w:rFonts w:ascii="宋体" w:eastAsia="宋体" w:hAnsi="宋体"/>
          <w:szCs w:val="21"/>
        </w:rPr>
        <w:t>667㎡追施氮</w:t>
      </w:r>
      <w:r w:rsidR="002A4555" w:rsidRPr="0008095A">
        <w:rPr>
          <w:rFonts w:ascii="宋体" w:eastAsia="宋体" w:hAnsi="宋体" w:hint="eastAsia"/>
          <w:szCs w:val="21"/>
        </w:rPr>
        <w:t>肥</w:t>
      </w:r>
      <w:r w:rsidRPr="0008095A">
        <w:rPr>
          <w:rFonts w:ascii="宋体" w:eastAsia="宋体" w:hAnsi="宋体"/>
          <w:szCs w:val="21"/>
        </w:rPr>
        <w:t>（N）</w:t>
      </w:r>
      <w:r w:rsidR="002A4555" w:rsidRPr="0008095A">
        <w:rPr>
          <w:rFonts w:ascii="宋体" w:eastAsia="宋体" w:hAnsi="宋体" w:hint="eastAsia"/>
          <w:szCs w:val="21"/>
        </w:rPr>
        <w:t>3</w:t>
      </w:r>
      <w:r w:rsidRPr="0008095A">
        <w:rPr>
          <w:rFonts w:ascii="宋体" w:eastAsia="宋体" w:hAnsi="宋体"/>
          <w:szCs w:val="21"/>
        </w:rPr>
        <w:t>㎏～</w:t>
      </w:r>
      <w:r w:rsidR="002A4555" w:rsidRPr="0008095A">
        <w:rPr>
          <w:rFonts w:ascii="宋体" w:eastAsia="宋体" w:hAnsi="宋体" w:hint="eastAsia"/>
          <w:szCs w:val="21"/>
        </w:rPr>
        <w:t>5</w:t>
      </w:r>
      <w:r w:rsidRPr="0008095A">
        <w:rPr>
          <w:rFonts w:ascii="宋体" w:eastAsia="宋体" w:hAnsi="宋体"/>
          <w:szCs w:val="21"/>
        </w:rPr>
        <w:t>㎏，旱地应在降雨前后结合深中耕施入，水地应结合灌水。抽穗前或开花后每667㎡用</w:t>
      </w:r>
      <w:r w:rsidR="002A4555" w:rsidRPr="0008095A">
        <w:rPr>
          <w:rFonts w:ascii="宋体" w:eastAsia="宋体" w:hAnsi="宋体" w:hint="eastAsia"/>
          <w:szCs w:val="21"/>
        </w:rPr>
        <w:t>51</w:t>
      </w:r>
      <w:r w:rsidRPr="0008095A">
        <w:rPr>
          <w:rFonts w:ascii="宋体" w:eastAsia="宋体" w:hAnsi="宋体"/>
          <w:szCs w:val="21"/>
        </w:rPr>
        <w:t>%的</w:t>
      </w:r>
      <w:r w:rsidRPr="0008095A">
        <w:rPr>
          <w:rFonts w:ascii="宋体" w:eastAsia="宋体" w:hAnsi="宋体" w:hint="eastAsia"/>
          <w:szCs w:val="21"/>
        </w:rPr>
        <w:t>磷</w:t>
      </w:r>
      <w:r w:rsidRPr="0008095A">
        <w:rPr>
          <w:rFonts w:ascii="宋体" w:eastAsia="宋体" w:hAnsi="宋体"/>
          <w:szCs w:val="21"/>
        </w:rPr>
        <w:t>酸二氢钾水溶液</w:t>
      </w:r>
      <w:r w:rsidR="002A4555" w:rsidRPr="0008095A">
        <w:rPr>
          <w:rFonts w:ascii="宋体" w:eastAsia="宋体" w:hAnsi="宋体" w:hint="eastAsia"/>
          <w:szCs w:val="21"/>
        </w:rPr>
        <w:t>叶面喷施</w:t>
      </w:r>
      <w:r w:rsidRPr="0008095A">
        <w:rPr>
          <w:rFonts w:ascii="宋体" w:eastAsia="宋体" w:hAnsi="宋体"/>
          <w:szCs w:val="21"/>
        </w:rPr>
        <w:t>，如在抽穗期出现明显缺氮，叶片呈淡黄色时，可在根外喷磷钾肥的同时加入适量尿素同喷。</w:t>
      </w:r>
    </w:p>
    <w:p w14:paraId="7A927518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 xml:space="preserve">7.3　</w:t>
      </w:r>
      <w:r w:rsidRPr="0008095A">
        <w:rPr>
          <w:rFonts w:ascii="宋体" w:eastAsia="宋体" w:hAnsi="宋体" w:hint="eastAsia"/>
          <w:b/>
          <w:bCs/>
          <w:szCs w:val="21"/>
        </w:rPr>
        <w:t>灌溉</w:t>
      </w:r>
    </w:p>
    <w:p w14:paraId="5FA30158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保证生产优质种子，需要灌溉分蘖水、拔节水、孕穗水、灌浆水。</w:t>
      </w:r>
    </w:p>
    <w:p w14:paraId="0B776EE7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7.4  人工去杂</w:t>
      </w:r>
    </w:p>
    <w:p w14:paraId="7FE656E6" w14:textId="44FBDFCD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保证种子纯度，在抽穗后进行人工去杂1</w:t>
      </w:r>
      <w:r w:rsidR="00E706FF">
        <w:rPr>
          <w:rFonts w:ascii="宋体" w:eastAsia="宋体" w:hAnsi="宋体" w:hint="eastAsia"/>
          <w:szCs w:val="21"/>
        </w:rPr>
        <w:t>次～</w:t>
      </w:r>
      <w:r w:rsidRPr="0008095A">
        <w:rPr>
          <w:rFonts w:ascii="宋体" w:eastAsia="宋体" w:hAnsi="宋体" w:hint="eastAsia"/>
          <w:szCs w:val="21"/>
        </w:rPr>
        <w:t>2次。</w:t>
      </w:r>
    </w:p>
    <w:p w14:paraId="42A0C498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7.5  中耕除草</w:t>
      </w:r>
    </w:p>
    <w:p w14:paraId="2CA2CB9E" w14:textId="0DC5963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燕麦4</w:t>
      </w:r>
      <w:r w:rsidR="00E706FF">
        <w:rPr>
          <w:rFonts w:ascii="宋体" w:eastAsia="宋体" w:hAnsi="宋体" w:hint="eastAsia"/>
          <w:szCs w:val="21"/>
        </w:rPr>
        <w:t>叶</w:t>
      </w:r>
      <w:r w:rsidRPr="0008095A">
        <w:rPr>
          <w:rFonts w:ascii="宋体" w:eastAsia="宋体" w:hAnsi="宋体" w:hint="eastAsia"/>
          <w:szCs w:val="21"/>
        </w:rPr>
        <w:t>～5叶期进行浅中耕除草，拔节期根据燕麦长势深耕除草(3cm～5cm)，同时采用化学除草。</w:t>
      </w:r>
    </w:p>
    <w:p w14:paraId="7C6A426A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11" w:name="_Toc197416779"/>
      <w:r w:rsidRPr="0008095A">
        <w:rPr>
          <w:rFonts w:ascii="黑体" w:eastAsia="黑体" w:hAnsi="黑体"/>
          <w:b w:val="0"/>
          <w:bCs w:val="0"/>
          <w:sz w:val="21"/>
          <w:szCs w:val="21"/>
        </w:rPr>
        <w:t>8　病虫害防治</w:t>
      </w:r>
      <w:bookmarkEnd w:id="11"/>
    </w:p>
    <w:p w14:paraId="1382CA6E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8.1　农业防治</w:t>
      </w:r>
    </w:p>
    <w:p w14:paraId="1B9CA36C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合理布局、轮作倒茬，加强中耕除草，增施充分腐熟的有机肥，及时拔除病株、摘除病叶，保持田园清洁，降低病虫源数量。</w:t>
      </w:r>
    </w:p>
    <w:p w14:paraId="63362852" w14:textId="3F81F912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 xml:space="preserve">8.2 </w:t>
      </w:r>
      <w:r w:rsidR="0008095A">
        <w:rPr>
          <w:rFonts w:ascii="宋体" w:eastAsia="宋体" w:hAnsi="宋体" w:hint="eastAsia"/>
          <w:b/>
          <w:bCs/>
          <w:szCs w:val="21"/>
        </w:rPr>
        <w:t xml:space="preserve"> </w:t>
      </w:r>
      <w:r w:rsidRPr="0008095A">
        <w:rPr>
          <w:rFonts w:ascii="宋体" w:eastAsia="宋体" w:hAnsi="宋体"/>
          <w:b/>
          <w:bCs/>
          <w:szCs w:val="21"/>
        </w:rPr>
        <w:t>物理防治</w:t>
      </w:r>
    </w:p>
    <w:p w14:paraId="2FB5B392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8.2.1 铺银灰地膜或悬挂银条避</w:t>
      </w:r>
      <w:proofErr w:type="gramStart"/>
      <w:r w:rsidRPr="0008095A">
        <w:rPr>
          <w:rFonts w:ascii="宋体" w:eastAsia="宋体" w:hAnsi="宋体"/>
          <w:szCs w:val="21"/>
        </w:rPr>
        <w:t>蚜</w:t>
      </w:r>
      <w:proofErr w:type="gramEnd"/>
      <w:r w:rsidRPr="0008095A">
        <w:rPr>
          <w:rFonts w:ascii="宋体" w:eastAsia="宋体" w:hAnsi="宋体"/>
          <w:szCs w:val="21"/>
        </w:rPr>
        <w:t>；</w:t>
      </w:r>
    </w:p>
    <w:p w14:paraId="68B6C373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8.2.2 悬挂黄板(25cm×40cm)诱杀蚜虫，每667㎡悬挂30块～40 块；</w:t>
      </w:r>
    </w:p>
    <w:p w14:paraId="467503B2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/>
          <w:szCs w:val="21"/>
        </w:rPr>
        <w:t>8.2.3 露地设置</w:t>
      </w:r>
      <w:proofErr w:type="gramStart"/>
      <w:r w:rsidRPr="0008095A">
        <w:rPr>
          <w:rFonts w:ascii="宋体" w:eastAsia="宋体" w:hAnsi="宋体"/>
          <w:szCs w:val="21"/>
        </w:rPr>
        <w:t>频振式</w:t>
      </w:r>
      <w:proofErr w:type="gramEnd"/>
      <w:r w:rsidRPr="0008095A">
        <w:rPr>
          <w:rFonts w:ascii="宋体" w:eastAsia="宋体" w:hAnsi="宋体"/>
          <w:szCs w:val="21"/>
        </w:rPr>
        <w:t>杀虫灯诱杀金龟子(蛴螬成虫)等害虫，单灯可控面积40×667㎡。</w:t>
      </w:r>
    </w:p>
    <w:p w14:paraId="121B933E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>8.3　药剂防治</w:t>
      </w:r>
    </w:p>
    <w:p w14:paraId="46EC6141" w14:textId="70206E2E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bookmarkStart w:id="12" w:name="_Toc197416780"/>
      <w:r w:rsidRPr="0008095A">
        <w:rPr>
          <w:rFonts w:ascii="宋体" w:eastAsia="宋体" w:hAnsi="宋体"/>
          <w:szCs w:val="21"/>
        </w:rPr>
        <w:t>可采用生物、化学、物理等措施防治。如红叶病、黑穗病可使用药剂拌种处理，锈病可 使用20%</w:t>
      </w:r>
      <w:r w:rsidR="00E706FF">
        <w:rPr>
          <w:rFonts w:ascii="宋体" w:eastAsia="宋体" w:hAnsi="宋体" w:hint="eastAsia"/>
          <w:szCs w:val="21"/>
        </w:rPr>
        <w:t xml:space="preserve"> </w:t>
      </w:r>
      <w:proofErr w:type="gramStart"/>
      <w:r w:rsidRPr="0008095A">
        <w:rPr>
          <w:rFonts w:ascii="宋体" w:eastAsia="宋体" w:hAnsi="宋体"/>
          <w:szCs w:val="21"/>
        </w:rPr>
        <w:t>粉绣宁乳油</w:t>
      </w:r>
      <w:proofErr w:type="gramEnd"/>
      <w:r w:rsidRPr="0008095A">
        <w:rPr>
          <w:rFonts w:ascii="宋体" w:eastAsia="宋体" w:hAnsi="宋体"/>
          <w:szCs w:val="21"/>
        </w:rPr>
        <w:t>1500倍～2000倍液喷雾处理；蚜虫可使用90%灭多威可溶性粉剂 112.5g/hm²</w:t>
      </w:r>
      <w:r w:rsidR="00E706FF">
        <w:rPr>
          <w:rFonts w:ascii="宋体" w:eastAsia="宋体" w:hAnsi="宋体"/>
          <w:szCs w:val="21"/>
        </w:rPr>
        <w:t>～</w:t>
      </w:r>
      <w:r w:rsidRPr="0008095A">
        <w:rPr>
          <w:rFonts w:ascii="宋体" w:eastAsia="宋体" w:hAnsi="宋体"/>
          <w:szCs w:val="21"/>
        </w:rPr>
        <w:t>225g/hm² 喷雾处理，草地螟可使用4.5%高效氯氰菊酯乳油1000倍液喷雾处理。 农药使用应符合NY/T1276 和GB/T8321的规定。</w:t>
      </w:r>
    </w:p>
    <w:p w14:paraId="755BC923" w14:textId="4104884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r w:rsidRPr="0008095A">
        <w:rPr>
          <w:rFonts w:ascii="黑体" w:eastAsia="黑体" w:hAnsi="黑体"/>
          <w:b w:val="0"/>
          <w:bCs w:val="0"/>
          <w:sz w:val="21"/>
          <w:szCs w:val="21"/>
        </w:rPr>
        <w:t xml:space="preserve">9　</w:t>
      </w:r>
      <w:r w:rsidRPr="0008095A">
        <w:rPr>
          <w:rFonts w:ascii="黑体" w:eastAsia="黑体" w:hAnsi="黑体" w:hint="eastAsia"/>
          <w:b w:val="0"/>
          <w:bCs w:val="0"/>
          <w:sz w:val="21"/>
          <w:szCs w:val="21"/>
        </w:rPr>
        <w:t>种子收获</w:t>
      </w:r>
      <w:bookmarkEnd w:id="12"/>
    </w:p>
    <w:p w14:paraId="5D402B57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 xml:space="preserve">9.1 </w:t>
      </w:r>
      <w:r w:rsidRPr="0008095A">
        <w:rPr>
          <w:rFonts w:ascii="宋体" w:eastAsia="宋体" w:hAnsi="宋体" w:hint="eastAsia"/>
          <w:b/>
          <w:bCs/>
          <w:szCs w:val="21"/>
        </w:rPr>
        <w:t>收获时间</w:t>
      </w:r>
    </w:p>
    <w:p w14:paraId="01CB8A8A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燕麦进入完熟期，茎秆变黄发脆，穗部籽粒变硬、表现出品种籽粒正常的大小和色泽、含水量在15%以下时进行机械化收获。</w:t>
      </w:r>
    </w:p>
    <w:p w14:paraId="788E931E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/>
          <w:b/>
          <w:bCs/>
          <w:szCs w:val="21"/>
        </w:rPr>
        <w:t xml:space="preserve">9.2 </w:t>
      </w:r>
      <w:r w:rsidRPr="0008095A">
        <w:rPr>
          <w:rFonts w:ascii="宋体" w:eastAsia="宋体" w:hAnsi="宋体" w:hint="eastAsia"/>
          <w:b/>
          <w:bCs/>
          <w:szCs w:val="21"/>
        </w:rPr>
        <w:t>收获方法</w:t>
      </w:r>
    </w:p>
    <w:p w14:paraId="10AECE94" w14:textId="77777777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用联合收割机一次性完成收获、脱粒和分离作业。</w:t>
      </w:r>
    </w:p>
    <w:p w14:paraId="1D37C4BB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9.3 种子晾晒</w:t>
      </w:r>
    </w:p>
    <w:p w14:paraId="7F82FFEA" w14:textId="272FCF60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保证种子质量，需在收获后进行自然晾晒或机械烘干，水分低于13%</w:t>
      </w:r>
      <w:r w:rsidR="00E706FF">
        <w:rPr>
          <w:rFonts w:ascii="宋体" w:eastAsia="宋体" w:hAnsi="宋体" w:hint="eastAsia"/>
          <w:szCs w:val="21"/>
        </w:rPr>
        <w:t xml:space="preserve"> </w:t>
      </w:r>
      <w:r w:rsidRPr="0008095A">
        <w:rPr>
          <w:rFonts w:ascii="宋体" w:eastAsia="宋体" w:hAnsi="宋体" w:hint="eastAsia"/>
          <w:szCs w:val="21"/>
        </w:rPr>
        <w:t>后入库堆放。</w:t>
      </w:r>
    </w:p>
    <w:p w14:paraId="5FA0A6DF" w14:textId="77777777" w:rsidR="00561B99" w:rsidRPr="0008095A" w:rsidRDefault="00000000" w:rsidP="0008095A">
      <w:pPr>
        <w:pStyle w:val="1"/>
        <w:spacing w:before="0" w:after="0" w:line="360" w:lineRule="auto"/>
        <w:rPr>
          <w:rFonts w:ascii="宋体" w:eastAsia="宋体" w:hAnsi="宋体" w:hint="eastAsia"/>
          <w:b w:val="0"/>
          <w:bCs w:val="0"/>
          <w:sz w:val="21"/>
          <w:szCs w:val="21"/>
        </w:rPr>
      </w:pPr>
      <w:bookmarkStart w:id="13" w:name="_Toc197416781"/>
      <w:r w:rsidRPr="0008095A">
        <w:rPr>
          <w:rFonts w:ascii="黑体" w:eastAsia="黑体" w:hAnsi="黑体" w:hint="eastAsia"/>
          <w:b w:val="0"/>
          <w:bCs w:val="0"/>
          <w:sz w:val="21"/>
          <w:szCs w:val="21"/>
        </w:rPr>
        <w:t>1</w:t>
      </w:r>
      <w:r w:rsidRPr="0008095A">
        <w:rPr>
          <w:rFonts w:ascii="黑体" w:eastAsia="黑体" w:hAnsi="黑体"/>
          <w:b w:val="0"/>
          <w:bCs w:val="0"/>
          <w:sz w:val="21"/>
          <w:szCs w:val="21"/>
        </w:rPr>
        <w:t xml:space="preserve">0  </w:t>
      </w:r>
      <w:r w:rsidRPr="0008095A">
        <w:rPr>
          <w:rFonts w:ascii="黑体" w:eastAsia="黑体" w:hAnsi="黑体" w:hint="eastAsia"/>
          <w:b w:val="0"/>
          <w:bCs w:val="0"/>
          <w:sz w:val="21"/>
          <w:szCs w:val="21"/>
        </w:rPr>
        <w:t>种子清选与</w:t>
      </w:r>
      <w:r w:rsidRPr="0008095A">
        <w:rPr>
          <w:rFonts w:ascii="黑体" w:eastAsia="黑体" w:hAnsi="黑体"/>
          <w:b w:val="0"/>
          <w:bCs w:val="0"/>
          <w:sz w:val="21"/>
          <w:szCs w:val="21"/>
        </w:rPr>
        <w:t>贮藏</w:t>
      </w:r>
      <w:bookmarkEnd w:id="13"/>
    </w:p>
    <w:p w14:paraId="312EA463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1</w:t>
      </w:r>
      <w:r w:rsidRPr="0008095A">
        <w:rPr>
          <w:rFonts w:ascii="宋体" w:eastAsia="宋体" w:hAnsi="宋体"/>
          <w:b/>
          <w:bCs/>
          <w:szCs w:val="21"/>
        </w:rPr>
        <w:t xml:space="preserve">0.1 </w:t>
      </w:r>
      <w:r w:rsidRPr="0008095A">
        <w:rPr>
          <w:rFonts w:ascii="宋体" w:eastAsia="宋体" w:hAnsi="宋体" w:hint="eastAsia"/>
          <w:b/>
          <w:bCs/>
          <w:szCs w:val="21"/>
        </w:rPr>
        <w:t>清选</w:t>
      </w:r>
    </w:p>
    <w:p w14:paraId="6565289A" w14:textId="77777777" w:rsidR="00561B99" w:rsidRPr="0008095A" w:rsidRDefault="00000000" w:rsidP="00E706FF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使用燕麦种子专用清洗机和</w:t>
      </w:r>
      <w:proofErr w:type="gramStart"/>
      <w:r w:rsidRPr="0008095A">
        <w:rPr>
          <w:rFonts w:ascii="宋体" w:eastAsia="宋体" w:hAnsi="宋体" w:hint="eastAsia"/>
          <w:szCs w:val="21"/>
        </w:rPr>
        <w:t>除芒机</w:t>
      </w:r>
      <w:proofErr w:type="gramEnd"/>
      <w:r w:rsidRPr="0008095A">
        <w:rPr>
          <w:rFonts w:ascii="宋体" w:eastAsia="宋体" w:hAnsi="宋体" w:hint="eastAsia"/>
          <w:szCs w:val="21"/>
        </w:rPr>
        <w:t>、色选机等设备进行。</w:t>
      </w:r>
    </w:p>
    <w:p w14:paraId="74D39673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1</w:t>
      </w:r>
      <w:r w:rsidRPr="0008095A">
        <w:rPr>
          <w:rFonts w:ascii="宋体" w:eastAsia="宋体" w:hAnsi="宋体"/>
          <w:b/>
          <w:bCs/>
          <w:szCs w:val="21"/>
        </w:rPr>
        <w:t xml:space="preserve">0.2 </w:t>
      </w:r>
      <w:r w:rsidRPr="0008095A">
        <w:rPr>
          <w:rFonts w:ascii="宋体" w:eastAsia="宋体" w:hAnsi="宋体" w:hint="eastAsia"/>
          <w:b/>
          <w:bCs/>
          <w:szCs w:val="21"/>
        </w:rPr>
        <w:t>包装</w:t>
      </w:r>
    </w:p>
    <w:p w14:paraId="743FB94D" w14:textId="77777777" w:rsidR="00561B99" w:rsidRPr="0008095A" w:rsidRDefault="00000000" w:rsidP="00E706FF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生产的燕麦种子包装应符合</w:t>
      </w:r>
      <w:r w:rsidRPr="0008095A">
        <w:rPr>
          <w:rFonts w:ascii="宋体" w:eastAsia="宋体" w:hAnsi="宋体"/>
          <w:szCs w:val="21"/>
        </w:rPr>
        <w:t xml:space="preserve">NY/T 1577 </w:t>
      </w:r>
      <w:r w:rsidRPr="0008095A">
        <w:rPr>
          <w:rFonts w:ascii="宋体" w:eastAsia="宋体" w:hAnsi="宋体" w:hint="eastAsia"/>
          <w:szCs w:val="21"/>
        </w:rPr>
        <w:t>标准的要求。</w:t>
      </w:r>
    </w:p>
    <w:p w14:paraId="4BB4C52B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b/>
          <w:bCs/>
          <w:szCs w:val="21"/>
        </w:rPr>
      </w:pPr>
      <w:r w:rsidRPr="0008095A">
        <w:rPr>
          <w:rFonts w:ascii="宋体" w:eastAsia="宋体" w:hAnsi="宋体" w:hint="eastAsia"/>
          <w:b/>
          <w:bCs/>
          <w:szCs w:val="21"/>
        </w:rPr>
        <w:t>1</w:t>
      </w:r>
      <w:r w:rsidRPr="0008095A">
        <w:rPr>
          <w:rFonts w:ascii="宋体" w:eastAsia="宋体" w:hAnsi="宋体"/>
          <w:b/>
          <w:bCs/>
          <w:szCs w:val="21"/>
        </w:rPr>
        <w:t xml:space="preserve">0.3 </w:t>
      </w:r>
      <w:r w:rsidRPr="0008095A">
        <w:rPr>
          <w:rFonts w:ascii="宋体" w:eastAsia="宋体" w:hAnsi="宋体" w:hint="eastAsia"/>
          <w:b/>
          <w:bCs/>
          <w:szCs w:val="21"/>
        </w:rPr>
        <w:t>贮藏</w:t>
      </w:r>
    </w:p>
    <w:p w14:paraId="70FCE8BF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 xml:space="preserve">0.3.1 </w:t>
      </w:r>
      <w:r w:rsidRPr="0008095A">
        <w:rPr>
          <w:rFonts w:ascii="宋体" w:eastAsia="宋体" w:hAnsi="宋体" w:hint="eastAsia"/>
          <w:szCs w:val="21"/>
        </w:rPr>
        <w:t>种子包装后，保证含水量低于1</w:t>
      </w:r>
      <w:r w:rsidRPr="0008095A">
        <w:rPr>
          <w:rFonts w:ascii="宋体" w:eastAsia="宋体" w:hAnsi="宋体"/>
          <w:szCs w:val="21"/>
        </w:rPr>
        <w:t>2%</w:t>
      </w:r>
      <w:r w:rsidRPr="0008095A">
        <w:rPr>
          <w:rFonts w:ascii="宋体" w:eastAsia="宋体" w:hAnsi="宋体" w:hint="eastAsia"/>
          <w:szCs w:val="21"/>
        </w:rPr>
        <w:t>以下，才能入库。</w:t>
      </w:r>
    </w:p>
    <w:p w14:paraId="3179D755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 xml:space="preserve">0.3.2 </w:t>
      </w:r>
      <w:r w:rsidRPr="0008095A">
        <w:rPr>
          <w:rFonts w:ascii="宋体" w:eastAsia="宋体" w:hAnsi="宋体" w:hint="eastAsia"/>
          <w:szCs w:val="21"/>
        </w:rPr>
        <w:t>仓储需要通风、干燥、阴凉。</w:t>
      </w:r>
    </w:p>
    <w:p w14:paraId="2A4699BE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 xml:space="preserve">0.3.3 </w:t>
      </w:r>
      <w:r w:rsidRPr="0008095A">
        <w:rPr>
          <w:rFonts w:ascii="宋体" w:eastAsia="宋体" w:hAnsi="宋体" w:hint="eastAsia"/>
          <w:szCs w:val="21"/>
        </w:rPr>
        <w:t>仓储内有防鼠虫和防火等设施。</w:t>
      </w:r>
    </w:p>
    <w:p w14:paraId="7184DAE6" w14:textId="77777777" w:rsidR="00561B99" w:rsidRPr="0008095A" w:rsidRDefault="00000000" w:rsidP="0008095A">
      <w:pPr>
        <w:spacing w:line="360" w:lineRule="auto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1</w:t>
      </w:r>
      <w:r w:rsidRPr="0008095A">
        <w:rPr>
          <w:rFonts w:ascii="宋体" w:eastAsia="宋体" w:hAnsi="宋体"/>
          <w:szCs w:val="21"/>
        </w:rPr>
        <w:t xml:space="preserve">0.3.4 </w:t>
      </w:r>
      <w:r w:rsidRPr="0008095A">
        <w:rPr>
          <w:rFonts w:ascii="宋体" w:eastAsia="宋体" w:hAnsi="宋体" w:hint="eastAsia"/>
          <w:szCs w:val="21"/>
        </w:rPr>
        <w:t>种子包装袋需要码放在离地面一定距离的货架上。</w:t>
      </w:r>
    </w:p>
    <w:p w14:paraId="10CE9155" w14:textId="77777777" w:rsidR="00561B99" w:rsidRPr="0008095A" w:rsidRDefault="00000000" w:rsidP="0008095A">
      <w:pPr>
        <w:pStyle w:val="1"/>
        <w:spacing w:before="0" w:after="0" w:line="360" w:lineRule="auto"/>
        <w:rPr>
          <w:rFonts w:ascii="黑体" w:eastAsia="黑体" w:hAnsi="黑体" w:hint="eastAsia"/>
          <w:b w:val="0"/>
          <w:bCs w:val="0"/>
          <w:sz w:val="21"/>
          <w:szCs w:val="21"/>
        </w:rPr>
      </w:pPr>
      <w:bookmarkStart w:id="14" w:name="_Toc197416782"/>
      <w:r w:rsidRPr="0008095A">
        <w:rPr>
          <w:rFonts w:ascii="黑体" w:eastAsia="黑体" w:hAnsi="黑体"/>
          <w:b w:val="0"/>
          <w:bCs w:val="0"/>
          <w:sz w:val="21"/>
          <w:szCs w:val="21"/>
        </w:rPr>
        <w:t>11　档案管理</w:t>
      </w:r>
      <w:bookmarkEnd w:id="14"/>
    </w:p>
    <w:p w14:paraId="5FAA3362" w14:textId="703368AB" w:rsidR="00561B99" w:rsidRPr="0008095A" w:rsidRDefault="00000000" w:rsidP="0008095A">
      <w:pPr>
        <w:spacing w:line="360" w:lineRule="auto"/>
        <w:ind w:firstLineChars="201" w:firstLine="422"/>
        <w:rPr>
          <w:rFonts w:ascii="宋体" w:eastAsia="宋体" w:hAnsi="宋体" w:hint="eastAsia"/>
          <w:szCs w:val="21"/>
        </w:rPr>
      </w:pPr>
      <w:r w:rsidRPr="0008095A">
        <w:rPr>
          <w:rFonts w:ascii="宋体" w:eastAsia="宋体" w:hAnsi="宋体" w:hint="eastAsia"/>
          <w:szCs w:val="21"/>
        </w:rPr>
        <w:t>建立无公害饲用燕麦良种生产档案。</w:t>
      </w:r>
      <w:r w:rsidRPr="0008095A">
        <w:rPr>
          <w:rFonts w:ascii="宋体" w:eastAsia="宋体" w:hAnsi="宋体"/>
          <w:szCs w:val="21"/>
        </w:rPr>
        <w:t>应详细记录产地环境条件、生产技术管理和收获等各环节所采取的具体措施</w:t>
      </w:r>
      <w:r w:rsidRPr="0008095A">
        <w:rPr>
          <w:rFonts w:ascii="宋体" w:eastAsia="宋体" w:hAnsi="宋体" w:hint="eastAsia"/>
          <w:szCs w:val="21"/>
        </w:rPr>
        <w:t>。</w:t>
      </w:r>
    </w:p>
    <w:p w14:paraId="1F8217B6" w14:textId="77777777" w:rsidR="00561B99" w:rsidRDefault="00000000">
      <w:pPr>
        <w:jc w:val="center"/>
        <w:rPr>
          <w:rFonts w:ascii="华文宋体" w:eastAsia="华文宋体" w:hAnsi="华文宋体" w:cs="Arial" w:hint="eastAsia"/>
          <w:color w:val="333333"/>
          <w:kern w:val="0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____________________________</w:t>
      </w:r>
    </w:p>
    <w:sectPr w:rsidR="00561B99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0EEE" w14:textId="77777777" w:rsidR="00701D43" w:rsidRDefault="00701D43">
      <w:pPr>
        <w:rPr>
          <w:rFonts w:hint="eastAsia"/>
        </w:rPr>
      </w:pPr>
      <w:r>
        <w:separator/>
      </w:r>
    </w:p>
  </w:endnote>
  <w:endnote w:type="continuationSeparator" w:id="0">
    <w:p w14:paraId="11B34EA0" w14:textId="77777777" w:rsidR="00701D43" w:rsidRDefault="00701D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703950"/>
      <w:docPartObj>
        <w:docPartGallery w:val="AutoText"/>
      </w:docPartObj>
    </w:sdtPr>
    <w:sdtContent>
      <w:p w14:paraId="4E5CB59D" w14:textId="77777777" w:rsidR="00561B99" w:rsidRDefault="00000000">
        <w:pPr>
          <w:pStyle w:val="a4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B021CC" w14:textId="77777777" w:rsidR="00561B99" w:rsidRDefault="00561B99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3F35" w14:textId="77777777" w:rsidR="00561B99" w:rsidRDefault="00000000">
    <w:pPr>
      <w:pStyle w:val="a4"/>
      <w:jc w:val="right"/>
      <w:rPr>
        <w:rFonts w:hint="eastAsia"/>
      </w:rPr>
    </w:pPr>
    <w:r>
      <w:rPr>
        <w:rFonts w:hint="eastAsia"/>
      </w:rPr>
      <w:t>III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457129"/>
      <w:docPartObj>
        <w:docPartGallery w:val="AutoText"/>
      </w:docPartObj>
    </w:sdtPr>
    <w:sdtContent>
      <w:p w14:paraId="43D796F7" w14:textId="77777777" w:rsidR="00561B99" w:rsidRDefault="00000000">
        <w:pPr>
          <w:pStyle w:val="a4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767DC" w14:textId="77777777" w:rsidR="00561B99" w:rsidRDefault="00561B99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0231" w14:textId="77777777" w:rsidR="00701D43" w:rsidRDefault="00701D43">
      <w:pPr>
        <w:rPr>
          <w:rFonts w:hint="eastAsia"/>
        </w:rPr>
      </w:pPr>
      <w:r>
        <w:separator/>
      </w:r>
    </w:p>
  </w:footnote>
  <w:footnote w:type="continuationSeparator" w:id="0">
    <w:p w14:paraId="3CAD1E6E" w14:textId="77777777" w:rsidR="00701D43" w:rsidRDefault="00701D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9675" w14:textId="77777777" w:rsidR="00561B99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D576B5" wp14:editId="6337C7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990"/>
              <wp:effectExtent l="0" t="0" r="0" b="635"/>
              <wp:wrapNone/>
              <wp:docPr id="220" name="文本框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785D8" w14:textId="77777777" w:rsidR="00561B99" w:rsidRDefault="00561B99">
                          <w:pPr>
                            <w:jc w:val="righ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576B5"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26" type="#_x0000_t202" style="position:absolute;left:0;text-align:left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709785D8" w14:textId="77777777" w:rsidR="00561B99" w:rsidRDefault="00561B99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1BDB" w14:textId="77777777" w:rsidR="00561B99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E9CFD3" wp14:editId="3DD6B2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990"/>
              <wp:effectExtent l="0" t="0" r="0" b="635"/>
              <wp:wrapNone/>
              <wp:docPr id="1361971027" name="文本框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022D3" w14:textId="77777777" w:rsidR="00561B99" w:rsidRPr="00E706FF" w:rsidRDefault="00000000">
                          <w:pPr>
                            <w:jc w:val="right"/>
                            <w:rPr>
                              <w:rFonts w:ascii="黑体" w:eastAsia="黑体" w:hAnsi="黑体" w:hint="eastAsia"/>
                            </w:rPr>
                          </w:pPr>
                          <w:r w:rsidRPr="00E706FF">
                            <w:rPr>
                              <w:rFonts w:ascii="黑体" w:eastAsia="黑体" w:hAnsi="黑体"/>
                            </w:rPr>
                            <w:t>T/HXCY xxx-2025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9CF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33B022D3" w14:textId="77777777" w:rsidR="00561B99" w:rsidRPr="00E706FF" w:rsidRDefault="00000000">
                    <w:pPr>
                      <w:jc w:val="right"/>
                      <w:rPr>
                        <w:rFonts w:ascii="黑体" w:eastAsia="黑体" w:hAnsi="黑体" w:hint="eastAsia"/>
                      </w:rPr>
                    </w:pPr>
                    <w:r w:rsidRPr="00E706FF">
                      <w:rPr>
                        <w:rFonts w:ascii="黑体" w:eastAsia="黑体" w:hAnsi="黑体"/>
                      </w:rPr>
                      <w:t>T/HXCY xxx-2025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EA454"/>
    <w:multiLevelType w:val="singleLevel"/>
    <w:tmpl w:val="F7BEA45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BBB303F"/>
    <w:multiLevelType w:val="singleLevel"/>
    <w:tmpl w:val="FBBB30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B4546B"/>
    <w:multiLevelType w:val="hybridMultilevel"/>
    <w:tmpl w:val="0E5E8918"/>
    <w:lvl w:ilvl="0" w:tplc="220EE55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2ACC36"/>
    <w:multiLevelType w:val="singleLevel"/>
    <w:tmpl w:val="482ACC3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E980FFD"/>
    <w:multiLevelType w:val="singleLevel"/>
    <w:tmpl w:val="6E980FFD"/>
    <w:lvl w:ilvl="0">
      <w:start w:val="2"/>
      <w:numFmt w:val="decimal"/>
      <w:suff w:val="space"/>
      <w:lvlText w:val="%1."/>
      <w:lvlJc w:val="left"/>
    </w:lvl>
  </w:abstractNum>
  <w:num w:numId="1" w16cid:durableId="548153486">
    <w:abstractNumId w:val="1"/>
  </w:num>
  <w:num w:numId="2" w16cid:durableId="1070075025">
    <w:abstractNumId w:val="4"/>
  </w:num>
  <w:num w:numId="3" w16cid:durableId="1268541366">
    <w:abstractNumId w:val="3"/>
  </w:num>
  <w:num w:numId="4" w16cid:durableId="1428575849">
    <w:abstractNumId w:val="0"/>
  </w:num>
  <w:num w:numId="5" w16cid:durableId="131163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95"/>
    <w:rsid w:val="00053761"/>
    <w:rsid w:val="0008095A"/>
    <w:rsid w:val="000924D1"/>
    <w:rsid w:val="000D6F34"/>
    <w:rsid w:val="000E0B5C"/>
    <w:rsid w:val="000E187E"/>
    <w:rsid w:val="000E2E1F"/>
    <w:rsid w:val="00112A10"/>
    <w:rsid w:val="001368C2"/>
    <w:rsid w:val="001816D9"/>
    <w:rsid w:val="00222AB3"/>
    <w:rsid w:val="002721CA"/>
    <w:rsid w:val="00293C71"/>
    <w:rsid w:val="002A08BE"/>
    <w:rsid w:val="002A4555"/>
    <w:rsid w:val="002C394F"/>
    <w:rsid w:val="002E6844"/>
    <w:rsid w:val="003160D5"/>
    <w:rsid w:val="003A6413"/>
    <w:rsid w:val="003A7C44"/>
    <w:rsid w:val="00401F13"/>
    <w:rsid w:val="004034D1"/>
    <w:rsid w:val="00416459"/>
    <w:rsid w:val="00425669"/>
    <w:rsid w:val="00426990"/>
    <w:rsid w:val="004439D8"/>
    <w:rsid w:val="004904D7"/>
    <w:rsid w:val="004E3CCB"/>
    <w:rsid w:val="004E3ECF"/>
    <w:rsid w:val="004E439B"/>
    <w:rsid w:val="0051415D"/>
    <w:rsid w:val="00517872"/>
    <w:rsid w:val="00524785"/>
    <w:rsid w:val="00561B99"/>
    <w:rsid w:val="005D3336"/>
    <w:rsid w:val="005F0629"/>
    <w:rsid w:val="006006EC"/>
    <w:rsid w:val="0062340F"/>
    <w:rsid w:val="006B731D"/>
    <w:rsid w:val="006C0C99"/>
    <w:rsid w:val="00701D43"/>
    <w:rsid w:val="007025E9"/>
    <w:rsid w:val="00713111"/>
    <w:rsid w:val="00745795"/>
    <w:rsid w:val="00764D15"/>
    <w:rsid w:val="007E089C"/>
    <w:rsid w:val="00841024"/>
    <w:rsid w:val="00872FB1"/>
    <w:rsid w:val="008859C1"/>
    <w:rsid w:val="008E0AAB"/>
    <w:rsid w:val="009109B7"/>
    <w:rsid w:val="00933DFE"/>
    <w:rsid w:val="00986C5B"/>
    <w:rsid w:val="009A0BDF"/>
    <w:rsid w:val="009B0C7E"/>
    <w:rsid w:val="009E669E"/>
    <w:rsid w:val="00A24250"/>
    <w:rsid w:val="00A27D69"/>
    <w:rsid w:val="00AF2D22"/>
    <w:rsid w:val="00B10877"/>
    <w:rsid w:val="00B5356D"/>
    <w:rsid w:val="00B57A26"/>
    <w:rsid w:val="00B602D3"/>
    <w:rsid w:val="00B65D5D"/>
    <w:rsid w:val="00BA4A3D"/>
    <w:rsid w:val="00BB4BDE"/>
    <w:rsid w:val="00C051F6"/>
    <w:rsid w:val="00C1705C"/>
    <w:rsid w:val="00C17F1B"/>
    <w:rsid w:val="00C32C00"/>
    <w:rsid w:val="00C46EAA"/>
    <w:rsid w:val="00C51A2C"/>
    <w:rsid w:val="00C74390"/>
    <w:rsid w:val="00CB58A8"/>
    <w:rsid w:val="00CC5905"/>
    <w:rsid w:val="00CE67B4"/>
    <w:rsid w:val="00D2644F"/>
    <w:rsid w:val="00D26F17"/>
    <w:rsid w:val="00D3693E"/>
    <w:rsid w:val="00D90196"/>
    <w:rsid w:val="00DA5312"/>
    <w:rsid w:val="00DA7EB4"/>
    <w:rsid w:val="00DC5E07"/>
    <w:rsid w:val="00DD409F"/>
    <w:rsid w:val="00E06921"/>
    <w:rsid w:val="00E06EC8"/>
    <w:rsid w:val="00E24024"/>
    <w:rsid w:val="00E706FF"/>
    <w:rsid w:val="00EB7CCB"/>
    <w:rsid w:val="00EE3F73"/>
    <w:rsid w:val="00F13BBE"/>
    <w:rsid w:val="00F15255"/>
    <w:rsid w:val="00F26337"/>
    <w:rsid w:val="00FD6360"/>
    <w:rsid w:val="00FE3825"/>
    <w:rsid w:val="00FF18D3"/>
    <w:rsid w:val="00FF6466"/>
    <w:rsid w:val="411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4507E"/>
  <w15:docId w15:val="{B5ADCE6E-6829-48CA-98D9-CAE60752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level1">
    <w:name w:val="level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dex">
    <w:name w:val="index"/>
    <w:basedOn w:val="a0"/>
  </w:style>
  <w:style w:type="character" w:customStyle="1" w:styleId="text">
    <w:name w:val="text"/>
    <w:basedOn w:val="a0"/>
  </w:style>
  <w:style w:type="paragraph" w:customStyle="1" w:styleId="level2">
    <w:name w:val="level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paragraph" w:customStyle="1" w:styleId="list-dot">
    <w:name w:val="list-do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-part-audio-text">
    <w:name w:val="j-part-audio-text"/>
    <w:basedOn w:val="a0"/>
  </w:style>
  <w:style w:type="paragraph" w:customStyle="1" w:styleId="reference-item">
    <w:name w:val="reference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te">
    <w:name w:val="site"/>
    <w:basedOn w:val="a0"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b">
    <w:name w:val="标准文件_段"/>
    <w:qFormat/>
    <w:rsid w:val="00EE3F73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F0EC0-9840-452D-B612-DA5C4170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1740</Words>
  <Characters>2125</Characters>
  <Application>Microsoft Office Word</Application>
  <DocSecurity>0</DocSecurity>
  <Lines>141</Lines>
  <Paragraphs>168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Quanzhen Wang</dc:creator>
  <cp:lastModifiedBy>ThinkPad</cp:lastModifiedBy>
  <cp:revision>5</cp:revision>
  <cp:lastPrinted>2024-01-17T08:12:00Z</cp:lastPrinted>
  <dcterms:created xsi:type="dcterms:W3CDTF">2025-05-08T08:14:00Z</dcterms:created>
  <dcterms:modified xsi:type="dcterms:W3CDTF">2025-05-09T00:35:00Z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eyJoZGlkIjoiNDdhZmZmYjc4ZjJjOWIyMTM0MDZjYmQzMWU4MzI3NzQiLCJ1c2VySWQiOiIxNjc0MzAxMTI5In0=</vt:lpwstr>
  </property>
  <property fmtid="{D5CDD505-2E9C-101B-9397-08002B2CF9AE}" pid="3" name="KSOProductBuildVer">
    <vt:lpwstr>2052-12.1.0.20784</vt:lpwstr>
  </property>
  <property fmtid="{D5CDD505-2E9C-101B-9397-08002B2CF9AE}" pid="4" name="ICV">
    <vt:lpwstr>659D454D60E7403DA578BFAB7EBDE78C_13</vt:lpwstr>
  </property>
</Properties>
</file>