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2AE89" w14:textId="77777777" w:rsidR="009E3DB9" w:rsidRDefault="009E3DB9">
      <w:pPr>
        <w:jc w:val="center"/>
        <w:rPr>
          <w:rFonts w:hint="eastAsia"/>
        </w:rPr>
      </w:pPr>
    </w:p>
    <w:p w14:paraId="0E9E6FD3" w14:textId="77777777" w:rsidR="009E3DB9" w:rsidRDefault="009E3DB9">
      <w:pPr>
        <w:jc w:val="center"/>
        <w:rPr>
          <w:rFonts w:hint="eastAsia"/>
        </w:rPr>
      </w:pPr>
    </w:p>
    <w:p w14:paraId="6F34B203" w14:textId="77777777" w:rsidR="009E3DB9" w:rsidRDefault="009E3DB9">
      <w:pPr>
        <w:jc w:val="center"/>
        <w:rPr>
          <w:rFonts w:hint="eastAsia"/>
        </w:rPr>
      </w:pPr>
    </w:p>
    <w:p w14:paraId="539E1E6A" w14:textId="77777777" w:rsidR="009E3DB9" w:rsidRDefault="009E3DB9">
      <w:pPr>
        <w:jc w:val="center"/>
        <w:rPr>
          <w:rFonts w:hint="eastAsia"/>
        </w:rPr>
      </w:pPr>
    </w:p>
    <w:p w14:paraId="7401B620" w14:textId="77777777" w:rsidR="009E3DB9" w:rsidRDefault="009E3DB9">
      <w:pPr>
        <w:jc w:val="center"/>
        <w:rPr>
          <w:rFonts w:hint="eastAsia"/>
        </w:rPr>
      </w:pPr>
    </w:p>
    <w:p w14:paraId="00B4DFDE" w14:textId="77777777" w:rsidR="009E3DB9" w:rsidRDefault="009E3DB9">
      <w:pPr>
        <w:jc w:val="center"/>
        <w:rPr>
          <w:rFonts w:hint="eastAsia"/>
        </w:rPr>
      </w:pPr>
    </w:p>
    <w:p w14:paraId="35FCED0A" w14:textId="77777777" w:rsidR="009E3DB9" w:rsidRDefault="009E3DB9">
      <w:pPr>
        <w:jc w:val="center"/>
        <w:rPr>
          <w:rFonts w:hint="eastAsia"/>
        </w:rPr>
      </w:pPr>
    </w:p>
    <w:p w14:paraId="431E649D" w14:textId="77777777" w:rsidR="009E3DB9" w:rsidRDefault="009E3DB9">
      <w:pPr>
        <w:jc w:val="center"/>
        <w:rPr>
          <w:rFonts w:hint="eastAsia"/>
        </w:rPr>
      </w:pPr>
    </w:p>
    <w:p w14:paraId="0006A106" w14:textId="77777777" w:rsidR="009E3DB9" w:rsidRDefault="009E3DB9">
      <w:pPr>
        <w:jc w:val="center"/>
        <w:rPr>
          <w:rFonts w:hint="eastAsia"/>
        </w:rPr>
      </w:pPr>
    </w:p>
    <w:p w14:paraId="195C0952" w14:textId="77777777" w:rsidR="009E3DB9" w:rsidRDefault="009E3DB9">
      <w:pPr>
        <w:jc w:val="center"/>
        <w:rPr>
          <w:rFonts w:hint="eastAsia"/>
        </w:rPr>
      </w:pPr>
    </w:p>
    <w:p w14:paraId="7ADE53B9" w14:textId="77777777" w:rsidR="009E3DB9" w:rsidRDefault="009E3DB9">
      <w:pPr>
        <w:jc w:val="center"/>
        <w:rPr>
          <w:rFonts w:hint="eastAsia"/>
        </w:rPr>
      </w:pPr>
    </w:p>
    <w:p w14:paraId="758F5710" w14:textId="77777777" w:rsidR="009E3DB9" w:rsidRDefault="00000000">
      <w:pPr>
        <w:jc w:val="center"/>
        <w:rPr>
          <w:rFonts w:ascii="黑体" w:eastAsia="黑体" w:hAnsi="黑体" w:cs="黑体" w:hint="eastAsia"/>
          <w:sz w:val="44"/>
          <w:szCs w:val="44"/>
        </w:rPr>
      </w:pPr>
      <w:r>
        <w:rPr>
          <w:rFonts w:ascii="黑体" w:eastAsia="黑体" w:hAnsi="黑体" w:cs="黑体" w:hint="eastAsia"/>
          <w:sz w:val="44"/>
          <w:szCs w:val="44"/>
        </w:rPr>
        <w:t>中国中小企业协会团体标准</w:t>
      </w:r>
    </w:p>
    <w:p w14:paraId="0A21095B" w14:textId="77777777" w:rsidR="009E3DB9" w:rsidRDefault="009E3DB9">
      <w:pPr>
        <w:jc w:val="center"/>
        <w:rPr>
          <w:rFonts w:hint="eastAsia"/>
        </w:rPr>
      </w:pPr>
    </w:p>
    <w:p w14:paraId="30709085" w14:textId="77777777" w:rsidR="009E3DB9" w:rsidRDefault="00000000">
      <w:pPr>
        <w:jc w:val="center"/>
        <w:rPr>
          <w:rFonts w:ascii="迷你简小标宋" w:eastAsia="迷你简小标宋" w:hAnsi="宋体" w:hint="eastAsia"/>
          <w:sz w:val="44"/>
          <w:szCs w:val="44"/>
        </w:rPr>
      </w:pPr>
      <w:r>
        <w:rPr>
          <w:rFonts w:ascii="迷你简小标宋" w:eastAsia="迷你简小标宋" w:hAnsi="宋体" w:hint="eastAsia"/>
          <w:sz w:val="44"/>
          <w:szCs w:val="44"/>
        </w:rPr>
        <w:t>《市政桥梁结构监测技术规范》</w:t>
      </w:r>
    </w:p>
    <w:p w14:paraId="69651B73" w14:textId="77777777" w:rsidR="009E3DB9" w:rsidRDefault="009E3DB9">
      <w:pPr>
        <w:jc w:val="center"/>
        <w:rPr>
          <w:rFonts w:ascii="迷你简小标宋" w:eastAsia="迷你简小标宋" w:hAnsi="宋体" w:hint="eastAsia"/>
          <w:sz w:val="44"/>
          <w:szCs w:val="44"/>
        </w:rPr>
      </w:pPr>
    </w:p>
    <w:p w14:paraId="66DB0283" w14:textId="77777777" w:rsidR="009E3DB9" w:rsidRDefault="00000000">
      <w:pPr>
        <w:jc w:val="center"/>
        <w:rPr>
          <w:rFonts w:ascii="迷你简小标宋" w:eastAsia="迷你简小标宋" w:hAnsi="宋体" w:hint="eastAsia"/>
          <w:sz w:val="44"/>
          <w:szCs w:val="44"/>
        </w:rPr>
      </w:pPr>
      <w:r>
        <w:rPr>
          <w:rFonts w:ascii="迷你简小标宋" w:eastAsia="迷你简小标宋" w:hAnsi="宋体" w:hint="eastAsia"/>
          <w:sz w:val="44"/>
          <w:szCs w:val="44"/>
        </w:rPr>
        <w:t>编制说明</w:t>
      </w:r>
    </w:p>
    <w:p w14:paraId="7AFC3F77" w14:textId="77777777" w:rsidR="009E3DB9" w:rsidRDefault="009E3DB9">
      <w:pPr>
        <w:jc w:val="center"/>
        <w:rPr>
          <w:rFonts w:hint="eastAsia"/>
        </w:rPr>
      </w:pPr>
    </w:p>
    <w:p w14:paraId="3A1BBD4E" w14:textId="77777777" w:rsidR="009E3DB9" w:rsidRDefault="009E3DB9">
      <w:pPr>
        <w:jc w:val="center"/>
        <w:rPr>
          <w:rFonts w:hint="eastAsia"/>
        </w:rPr>
      </w:pPr>
    </w:p>
    <w:p w14:paraId="553A2397" w14:textId="77777777" w:rsidR="009E3DB9" w:rsidRDefault="009E3DB9">
      <w:pPr>
        <w:jc w:val="center"/>
        <w:rPr>
          <w:rFonts w:hint="eastAsia"/>
        </w:rPr>
      </w:pPr>
    </w:p>
    <w:p w14:paraId="327431EC" w14:textId="77777777" w:rsidR="009E3DB9" w:rsidRDefault="009E3DB9">
      <w:pPr>
        <w:jc w:val="center"/>
        <w:rPr>
          <w:rFonts w:hint="eastAsia"/>
        </w:rPr>
      </w:pPr>
    </w:p>
    <w:p w14:paraId="2EABEAF3" w14:textId="77777777" w:rsidR="009E3DB9" w:rsidRDefault="009E3DB9">
      <w:pPr>
        <w:jc w:val="center"/>
        <w:rPr>
          <w:rFonts w:hint="eastAsia"/>
        </w:rPr>
      </w:pPr>
    </w:p>
    <w:p w14:paraId="1461394E" w14:textId="77777777" w:rsidR="009E3DB9" w:rsidRDefault="009E3DB9">
      <w:pPr>
        <w:jc w:val="center"/>
        <w:rPr>
          <w:rFonts w:hint="eastAsia"/>
        </w:rPr>
      </w:pPr>
    </w:p>
    <w:p w14:paraId="70E034AF" w14:textId="77777777" w:rsidR="009E3DB9" w:rsidRDefault="009E3DB9">
      <w:pPr>
        <w:jc w:val="center"/>
        <w:rPr>
          <w:rFonts w:hint="eastAsia"/>
        </w:rPr>
      </w:pPr>
    </w:p>
    <w:p w14:paraId="64520520" w14:textId="77777777" w:rsidR="009E3DB9" w:rsidRDefault="009E3DB9">
      <w:pPr>
        <w:jc w:val="center"/>
        <w:rPr>
          <w:rFonts w:hint="eastAsia"/>
        </w:rPr>
      </w:pPr>
    </w:p>
    <w:p w14:paraId="399B77AA" w14:textId="77777777" w:rsidR="009E3DB9" w:rsidRDefault="009E3DB9">
      <w:pPr>
        <w:jc w:val="center"/>
        <w:rPr>
          <w:rFonts w:hint="eastAsia"/>
        </w:rPr>
      </w:pPr>
    </w:p>
    <w:p w14:paraId="1C4A82D6" w14:textId="77777777" w:rsidR="009E3DB9" w:rsidRDefault="009E3DB9">
      <w:pPr>
        <w:jc w:val="center"/>
        <w:rPr>
          <w:rFonts w:hint="eastAsia"/>
        </w:rPr>
      </w:pPr>
    </w:p>
    <w:p w14:paraId="718A098E" w14:textId="77777777" w:rsidR="009E3DB9" w:rsidRDefault="009E3DB9">
      <w:pPr>
        <w:jc w:val="center"/>
        <w:rPr>
          <w:rFonts w:hint="eastAsia"/>
        </w:rPr>
      </w:pPr>
    </w:p>
    <w:p w14:paraId="579D872B" w14:textId="77777777" w:rsidR="009E3DB9" w:rsidRDefault="009E3DB9">
      <w:pPr>
        <w:jc w:val="center"/>
        <w:rPr>
          <w:rFonts w:hint="eastAsia"/>
        </w:rPr>
      </w:pPr>
    </w:p>
    <w:p w14:paraId="51575CC1" w14:textId="77777777" w:rsidR="009E3DB9" w:rsidRDefault="009E3DB9">
      <w:pPr>
        <w:jc w:val="center"/>
        <w:rPr>
          <w:rFonts w:hint="eastAsia"/>
        </w:rPr>
      </w:pPr>
    </w:p>
    <w:p w14:paraId="1F8E33AE" w14:textId="77777777" w:rsidR="009E3DB9" w:rsidRDefault="009E3DB9">
      <w:pPr>
        <w:jc w:val="center"/>
        <w:rPr>
          <w:rFonts w:hint="eastAsia"/>
        </w:rPr>
      </w:pPr>
    </w:p>
    <w:p w14:paraId="2D614C57" w14:textId="77777777" w:rsidR="009E3DB9" w:rsidRDefault="009E3DB9">
      <w:pPr>
        <w:jc w:val="center"/>
        <w:rPr>
          <w:rFonts w:hint="eastAsia"/>
        </w:rPr>
      </w:pPr>
    </w:p>
    <w:p w14:paraId="08BA6CF1" w14:textId="77777777" w:rsidR="009E3DB9" w:rsidRDefault="009E3DB9">
      <w:pPr>
        <w:jc w:val="center"/>
        <w:rPr>
          <w:rFonts w:hint="eastAsia"/>
        </w:rPr>
      </w:pPr>
    </w:p>
    <w:p w14:paraId="72F20A07" w14:textId="77777777" w:rsidR="009E3DB9" w:rsidRDefault="00000000">
      <w:pPr>
        <w:jc w:val="center"/>
        <w:rPr>
          <w:rFonts w:ascii="宋体" w:eastAsia="宋体" w:hAnsi="宋体" w:hint="eastAsia"/>
          <w:sz w:val="28"/>
          <w:szCs w:val="28"/>
        </w:rPr>
      </w:pPr>
      <w:r>
        <w:rPr>
          <w:rFonts w:ascii="宋体" w:eastAsia="宋体" w:hAnsi="宋体" w:hint="eastAsia"/>
          <w:sz w:val="28"/>
          <w:szCs w:val="28"/>
        </w:rPr>
        <w:t xml:space="preserve">团标制定工作组 </w:t>
      </w:r>
    </w:p>
    <w:p w14:paraId="4A779C63" w14:textId="77777777" w:rsidR="009E3DB9" w:rsidRDefault="009E3DB9">
      <w:pPr>
        <w:jc w:val="center"/>
        <w:rPr>
          <w:rFonts w:ascii="宋体" w:eastAsia="宋体" w:hAnsi="宋体" w:hint="eastAsia"/>
          <w:sz w:val="28"/>
          <w:szCs w:val="28"/>
        </w:rPr>
      </w:pPr>
    </w:p>
    <w:p w14:paraId="69B766E4" w14:textId="77777777" w:rsidR="009E3DB9" w:rsidRDefault="00000000">
      <w:pPr>
        <w:jc w:val="center"/>
        <w:rPr>
          <w:rFonts w:ascii="宋体" w:eastAsia="宋体" w:hAnsi="宋体" w:hint="eastAsia"/>
          <w:sz w:val="28"/>
          <w:szCs w:val="28"/>
        </w:rPr>
      </w:pPr>
      <w:r>
        <w:rPr>
          <w:rFonts w:ascii="宋体" w:eastAsia="宋体" w:hAnsi="宋体" w:hint="eastAsia"/>
          <w:sz w:val="28"/>
          <w:szCs w:val="28"/>
        </w:rPr>
        <w:t>二零二五年四月</w:t>
      </w:r>
    </w:p>
    <w:p w14:paraId="3BF32C5E" w14:textId="77777777" w:rsidR="009E3DB9" w:rsidRDefault="009E3DB9">
      <w:pPr>
        <w:jc w:val="center"/>
        <w:rPr>
          <w:rFonts w:ascii="宋体" w:eastAsia="宋体" w:hAnsi="宋体" w:hint="eastAsia"/>
          <w:sz w:val="28"/>
          <w:szCs w:val="28"/>
        </w:rPr>
      </w:pPr>
    </w:p>
    <w:p w14:paraId="7AF9EF6E" w14:textId="77777777" w:rsidR="009E3DB9" w:rsidRDefault="009E3DB9">
      <w:pPr>
        <w:jc w:val="center"/>
        <w:rPr>
          <w:rFonts w:ascii="宋体" w:eastAsia="宋体" w:hAnsi="宋体" w:hint="eastAsia"/>
          <w:sz w:val="28"/>
          <w:szCs w:val="28"/>
        </w:rPr>
      </w:pPr>
    </w:p>
    <w:p w14:paraId="616354A2" w14:textId="77777777" w:rsidR="009E3DB9" w:rsidRDefault="009E3DB9">
      <w:pPr>
        <w:jc w:val="center"/>
        <w:rPr>
          <w:rFonts w:ascii="宋体" w:eastAsia="宋体" w:hAnsi="宋体" w:hint="eastAsia"/>
          <w:sz w:val="28"/>
          <w:szCs w:val="28"/>
        </w:rPr>
      </w:pPr>
    </w:p>
    <w:p w14:paraId="3AB2A67D" w14:textId="77777777" w:rsidR="009E3DB9" w:rsidRDefault="009E3DB9">
      <w:pPr>
        <w:jc w:val="center"/>
        <w:rPr>
          <w:rFonts w:ascii="宋体" w:eastAsia="宋体" w:hAnsi="宋体" w:hint="eastAsia"/>
          <w:sz w:val="28"/>
          <w:szCs w:val="28"/>
        </w:rPr>
      </w:pPr>
    </w:p>
    <w:p w14:paraId="048016BA" w14:textId="77777777" w:rsidR="009E3DB9" w:rsidRDefault="009E3DB9">
      <w:pPr>
        <w:jc w:val="center"/>
        <w:rPr>
          <w:rFonts w:ascii="宋体" w:eastAsia="宋体" w:hAnsi="宋体" w:hint="eastAsia"/>
          <w:sz w:val="28"/>
          <w:szCs w:val="28"/>
        </w:rPr>
      </w:pPr>
    </w:p>
    <w:p w14:paraId="12270B02" w14:textId="77777777" w:rsidR="009E3DB9"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lastRenderedPageBreak/>
        <w:t>一、工作简况</w:t>
      </w:r>
    </w:p>
    <w:p w14:paraId="13E7C6FB" w14:textId="77777777" w:rsidR="009E3DB9"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（一）任务来源</w:t>
      </w:r>
    </w:p>
    <w:p w14:paraId="5A94A32B" w14:textId="77777777" w:rsidR="009E3DB9" w:rsidRDefault="00000000">
      <w:pPr>
        <w:tabs>
          <w:tab w:val="left" w:pos="4875"/>
        </w:tabs>
        <w:spacing w:line="360" w:lineRule="auto"/>
        <w:ind w:firstLineChars="200" w:firstLine="560"/>
        <w:rPr>
          <w:rFonts w:ascii="宋体" w:eastAsia="宋体" w:hAnsi="宋体" w:hint="eastAsia"/>
          <w:sz w:val="28"/>
          <w:szCs w:val="28"/>
        </w:rPr>
      </w:pPr>
      <w:r>
        <w:rPr>
          <w:rFonts w:ascii="宋体" w:eastAsia="宋体" w:hAnsi="宋体"/>
          <w:sz w:val="28"/>
          <w:szCs w:val="28"/>
        </w:rPr>
        <w:t>为响应市场需求</w:t>
      </w:r>
      <w:r>
        <w:rPr>
          <w:rFonts w:ascii="宋体" w:eastAsia="宋体" w:hAnsi="宋体" w:hint="eastAsia"/>
          <w:sz w:val="28"/>
          <w:szCs w:val="28"/>
        </w:rPr>
        <w:t>和</w:t>
      </w:r>
      <w:r>
        <w:rPr>
          <w:rFonts w:ascii="宋体" w:eastAsia="宋体" w:hAnsi="宋体"/>
          <w:sz w:val="28"/>
          <w:szCs w:val="28"/>
        </w:rPr>
        <w:t>满足市场产品质量提升需要。</w:t>
      </w:r>
      <w:r>
        <w:rPr>
          <w:rFonts w:ascii="宋体" w:eastAsia="宋体" w:hAnsi="宋体" w:hint="eastAsia"/>
          <w:sz w:val="28"/>
          <w:szCs w:val="28"/>
        </w:rPr>
        <w:t>根据《中华人民标准化法》，</w:t>
      </w:r>
      <w:r>
        <w:rPr>
          <w:rFonts w:ascii="宋体" w:eastAsia="宋体" w:hAnsi="宋体"/>
          <w:sz w:val="28"/>
          <w:szCs w:val="28"/>
        </w:rPr>
        <w:t>以及《团体标准管理规定（试行）》相关规定，</w:t>
      </w:r>
      <w:r>
        <w:rPr>
          <w:rFonts w:ascii="宋体" w:eastAsia="宋体" w:hAnsi="宋体" w:hint="eastAsia"/>
          <w:sz w:val="28"/>
          <w:szCs w:val="28"/>
        </w:rPr>
        <w:t>浙江中浩应用工程技术研究院有限公司联合相关单位共同制定</w:t>
      </w:r>
      <w:r>
        <w:rPr>
          <w:rFonts w:ascii="宋体" w:eastAsia="宋体" w:hAnsi="宋体"/>
          <w:sz w:val="28"/>
          <w:szCs w:val="28"/>
        </w:rPr>
        <w:t>《</w:t>
      </w:r>
      <w:r>
        <w:rPr>
          <w:rFonts w:ascii="宋体" w:eastAsia="宋体" w:hAnsi="宋体" w:hint="eastAsia"/>
          <w:sz w:val="28"/>
          <w:szCs w:val="28"/>
        </w:rPr>
        <w:t>市政桥梁结构监测技术规范</w:t>
      </w:r>
      <w:r>
        <w:rPr>
          <w:rFonts w:ascii="宋体" w:eastAsia="宋体" w:hAnsi="宋体"/>
          <w:sz w:val="28"/>
          <w:szCs w:val="28"/>
        </w:rPr>
        <w:t>》</w:t>
      </w:r>
      <w:r>
        <w:rPr>
          <w:rFonts w:ascii="宋体" w:eastAsia="宋体" w:hAnsi="宋体" w:hint="eastAsia"/>
          <w:sz w:val="28"/>
          <w:szCs w:val="28"/>
        </w:rPr>
        <w:t>团体标准。</w:t>
      </w:r>
    </w:p>
    <w:p w14:paraId="42F5D486" w14:textId="77777777" w:rsidR="009E3DB9"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（二）编制</w:t>
      </w:r>
      <w:r>
        <w:rPr>
          <w:rFonts w:ascii="宋体" w:eastAsia="宋体" w:hAnsi="宋体"/>
          <w:b/>
          <w:bCs/>
          <w:sz w:val="28"/>
          <w:szCs w:val="28"/>
        </w:rPr>
        <w:t xml:space="preserve">背景及目的 </w:t>
      </w:r>
    </w:p>
    <w:p w14:paraId="5C7C382D" w14:textId="77777777"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市政桥梁结构监测是指通过一系列技术手段和方法，对市政桥梁的结构状况进行全面监测和分析，以识别、评估桥梁的性能表现和可能存在的风险。随着我国城市化进程的加快和基础设施建设的不断完善，市政桥梁不仅是城市基础设施的重要组成部分，更是城市经济、社会和文化活动的重要支撑。然而桥梁结构在长期服役过程中，受环境侵蚀、材料老化和荷载长期效应、疲劳效应与突变效应等因素的耦合作用下,将不可避免的导致结构和系统的损伤累积和抗力衰减，极端情况下引发灾难性的突发事故，将造成重大的人员伤亡和巨大的经济损失，以及带来恶劣的社会危害。为了及时掌握桥梁的性能表现，防止突发性坍塌事故发生，本起草单位提出《市政桥梁结构监测技术规范》团体标准制订计划，采取科学的方法对大桥进行运行安全监测。</w:t>
      </w:r>
    </w:p>
    <w:p w14:paraId="0A335CE9" w14:textId="24586D00"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综上所述，通过制定《市政桥梁结构监测技术规范》团体标准，不仅为范和有效地监测市政桥梁结构的健康提供了科学的指导依据，确保桥梁的安全运营、消除安全隐患和减少资源浪费，还可以满足城市管理有关部门对桥梁的维护决策与支持的需要，提升对其市政桥梁的管养技术。对促进市政工程建设的快速发展和助力新旧动能转换具有巨大的社会经济效益。</w:t>
      </w:r>
    </w:p>
    <w:p w14:paraId="3F8BEF70" w14:textId="77777777" w:rsidR="009E3DB9"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（三）编制依据</w:t>
      </w:r>
    </w:p>
    <w:p w14:paraId="1F638C77" w14:textId="77777777"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lastRenderedPageBreak/>
        <w:t>本标准立足于国家出台的有关市政桥梁结构、市政桥梁结构监测技术的法律法规、政策文件、相关标准，结合起草单位的实际作业和经验，旨在提供一项具有科学导向的市政桥梁结构监测技术规范文件，按GB/T 1.1-2020《标准化工作导则 第1部分：标准化文件的结构和起草规则》的规定而制定。</w:t>
      </w:r>
    </w:p>
    <w:p w14:paraId="7457BA58" w14:textId="77777777"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本标准主要参考了以下标准：</w:t>
      </w:r>
    </w:p>
    <w:p w14:paraId="38E6F5FF" w14:textId="77777777" w:rsidR="009E3DB9" w:rsidRDefault="00000000">
      <w:pPr>
        <w:pStyle w:val="ab"/>
        <w:widowControl/>
        <w:autoSpaceDE w:val="0"/>
        <w:autoSpaceDN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GB 50311 综合布线系统工程设计规范</w:t>
      </w:r>
    </w:p>
    <w:p w14:paraId="18EBC952" w14:textId="77777777" w:rsidR="009E3DB9" w:rsidRDefault="00000000">
      <w:pPr>
        <w:pStyle w:val="ab"/>
        <w:widowControl/>
        <w:autoSpaceDE w:val="0"/>
        <w:autoSpaceDN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GB 50982-2014 建筑与桥梁结构监测技术规范</w:t>
      </w:r>
    </w:p>
    <w:p w14:paraId="0732BDA8" w14:textId="77777777" w:rsidR="009E3DB9" w:rsidRDefault="00000000">
      <w:pPr>
        <w:pStyle w:val="ab"/>
        <w:widowControl/>
        <w:autoSpaceDE w:val="0"/>
        <w:autoSpaceDN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CJJ 99 城市桥梁养护技术标准</w:t>
      </w:r>
    </w:p>
    <w:p w14:paraId="6E34CEBA" w14:textId="77777777" w:rsidR="009E3DB9" w:rsidRDefault="00000000">
      <w:pPr>
        <w:spacing w:line="360" w:lineRule="auto"/>
        <w:jc w:val="left"/>
        <w:rPr>
          <w:rFonts w:ascii="宋体" w:eastAsia="宋体" w:hAnsi="宋体" w:hint="eastAsia"/>
          <w:sz w:val="28"/>
          <w:szCs w:val="28"/>
        </w:rPr>
      </w:pPr>
      <w:r>
        <w:rPr>
          <w:rFonts w:ascii="宋体" w:eastAsia="宋体" w:hAnsi="宋体" w:hint="eastAsia"/>
          <w:b/>
          <w:bCs/>
          <w:sz w:val="28"/>
          <w:szCs w:val="28"/>
        </w:rPr>
        <w:t>（四）</w:t>
      </w:r>
      <w:r>
        <w:rPr>
          <w:rFonts w:ascii="宋体" w:eastAsia="宋体" w:hAnsi="宋体"/>
          <w:b/>
          <w:bCs/>
          <w:sz w:val="28"/>
          <w:szCs w:val="28"/>
        </w:rPr>
        <w:t>编制过程</w:t>
      </w:r>
      <w:r>
        <w:rPr>
          <w:rFonts w:ascii="宋体" w:eastAsia="宋体" w:hAnsi="宋体"/>
          <w:sz w:val="28"/>
          <w:szCs w:val="28"/>
        </w:rPr>
        <w:t xml:space="preserve"> </w:t>
      </w:r>
    </w:p>
    <w:p w14:paraId="3B19D753" w14:textId="77777777" w:rsidR="009E3DB9"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1、项目立项阶段</w:t>
      </w:r>
    </w:p>
    <w:p w14:paraId="6966504F" w14:textId="77777777"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由浙江中浩应用工程技术研究院有限公司等相关单位的技术人员共同成立了标准起草组，制定了详细的工作方案和实施计划，研究分析市政桥梁结构及施工、市政桥梁结构监测技术实施领域标准制修订情况和行业发展现状，在此基础上结合起草单位的实际作业情况，多次召开内部研讨会议，确定了标准名称。并向中国中小企业协会提交了《市政桥梁结构监测技术规范》团体标准制订申请，完成该项团体标准的立项工作。</w:t>
      </w:r>
    </w:p>
    <w:p w14:paraId="1523D9A4" w14:textId="77777777" w:rsidR="009E3DB9" w:rsidRDefault="00000000">
      <w:pPr>
        <w:numPr>
          <w:ilvl w:val="0"/>
          <w:numId w:val="1"/>
        </w:num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理论研究阶段</w:t>
      </w:r>
    </w:p>
    <w:p w14:paraId="1B61347C" w14:textId="77777777"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标准起草组广泛搜集相关标准和国外技术资料，进行了大量的研究分析、资料查证工作，确定了标准的制定原则，结合企业对现有的市政桥梁结构监测技术施工工作的实际，为标准的起草奠定了基础。</w:t>
      </w:r>
    </w:p>
    <w:p w14:paraId="7B272C98" w14:textId="77777777"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标准起草组进一步研讨市政桥梁结构监测技术的特点，明确了要求，为标准的具体起草指明方向。</w:t>
      </w:r>
    </w:p>
    <w:p w14:paraId="28E6C239" w14:textId="77777777" w:rsidR="009E3DB9"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3、标准起草阶段</w:t>
      </w:r>
    </w:p>
    <w:p w14:paraId="23ED8252" w14:textId="77777777"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lastRenderedPageBreak/>
        <w:t>标准起草组系统梳理国内外市政桥梁结构监测技术规范及工程案例，结合行业实际需求确定标准框架（涵盖基本规定、施工期监测、运营期监测、运行管理与设备维护等核心内容）；组织专家团队研讨监测系统和监测设备的要求、监测重点要求，通过实验室试验和现场工程来模拟监测系统和设备正常运行监测后，验证优化传感器精度、数据采样频率、预警阈值等参数，检验施工期监测和运营期监测是否正常合理运行监测，并做记录；在研讨和试验的基础，标准起草组编写了标准草案条文，明确监测设备和监测系统、监测阶段（如施工期监测、运营期监测）、监测重点内容（如监测内容、监测方法、监测点布置、监测频次、监测数据分析等内容）；同步征求施工单位、监理单位意见，反复修订完善文本，确保标准的科学性、可操作性和行业适用性，形成了《市政桥梁结构监测技术规范》（标准草案稿）</w:t>
      </w:r>
    </w:p>
    <w:p w14:paraId="567AFA4A" w14:textId="77777777" w:rsidR="009E3DB9"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4、标准征求意见阶段</w:t>
      </w:r>
    </w:p>
    <w:p w14:paraId="46E0D35B" w14:textId="77777777"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形成标准草案稿之后，标准起草组召开了多次专家研讨会，从标准框架、标准具体内容等角度广泛征求多方意见，形成《市政桥梁结构监测技术规范》（征求意见稿）及编制说明，并通过线上、线下等渠道，面向工程建设单位、施工企业、监理机构、科研院所等相关方进行广泛征求意见；同时组织专家论证会，重点就监测系统和监测设备的实用性和安全性，施工期监测和运营期监测的合理性、可操作性、科学性等核心内容进行深入研讨；对收集的书面意见进行系统汇总、分类整理和逐条分析，由标准起草组研究采纳或回复，对存在争议的条款组织专题论证，形成意见处理汇总表；根据反馈意见对标准内容进行多轮修改完善，确保各方关切得到合理回应，最终形成标准《市政桥梁结构监测技术规范》（送审稿）。</w:t>
      </w:r>
    </w:p>
    <w:p w14:paraId="3A19282B" w14:textId="77777777" w:rsidR="009E3DB9"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5、专家审核</w:t>
      </w:r>
    </w:p>
    <w:p w14:paraId="7226D8DA" w14:textId="77777777"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lastRenderedPageBreak/>
        <w:t>本标准拟定于2025年6月进行专家审核。</w:t>
      </w:r>
    </w:p>
    <w:p w14:paraId="575A1E3A" w14:textId="77777777" w:rsidR="009E3DB9"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6、发布</w:t>
      </w:r>
    </w:p>
    <w:p w14:paraId="43591D5C" w14:textId="1BA2E395"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本标准拟定于2025年</w:t>
      </w:r>
      <w:r w:rsidR="00E25044">
        <w:rPr>
          <w:rFonts w:ascii="宋体" w:eastAsia="宋体" w:hAnsi="宋体" w:hint="eastAsia"/>
          <w:sz w:val="28"/>
          <w:szCs w:val="28"/>
        </w:rPr>
        <w:t>7</w:t>
      </w:r>
      <w:r>
        <w:rPr>
          <w:rFonts w:ascii="宋体" w:eastAsia="宋体" w:hAnsi="宋体" w:hint="eastAsia"/>
          <w:sz w:val="28"/>
          <w:szCs w:val="28"/>
        </w:rPr>
        <w:t>月发布并实施。</w:t>
      </w:r>
    </w:p>
    <w:p w14:paraId="2FEF9597" w14:textId="77777777" w:rsidR="009E3DB9" w:rsidRDefault="00000000">
      <w:pPr>
        <w:spacing w:line="360" w:lineRule="auto"/>
        <w:jc w:val="left"/>
        <w:rPr>
          <w:rFonts w:ascii="宋体" w:eastAsia="宋体" w:hAnsi="宋体" w:hint="eastAsia"/>
          <w:sz w:val="28"/>
          <w:szCs w:val="28"/>
        </w:rPr>
      </w:pPr>
      <w:r>
        <w:rPr>
          <w:rFonts w:ascii="宋体" w:eastAsia="宋体" w:hAnsi="宋体" w:hint="eastAsia"/>
          <w:b/>
          <w:bCs/>
          <w:sz w:val="28"/>
          <w:szCs w:val="28"/>
        </w:rPr>
        <w:t>（四）、主要起草单位所做的工作</w:t>
      </w:r>
      <w:r>
        <w:rPr>
          <w:rFonts w:ascii="宋体" w:eastAsia="宋体" w:hAnsi="宋体"/>
          <w:sz w:val="28"/>
          <w:szCs w:val="28"/>
        </w:rPr>
        <w:t xml:space="preserve">  </w:t>
      </w:r>
    </w:p>
    <w:p w14:paraId="47391F22" w14:textId="77777777" w:rsidR="009E3DB9"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（一）主要起草单位</w:t>
      </w:r>
    </w:p>
    <w:p w14:paraId="286EA836" w14:textId="77777777"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浙江中浩应用工程技术研究院有限公司、</w:t>
      </w:r>
      <w:r>
        <w:rPr>
          <w:rFonts w:ascii="宋体" w:eastAsia="宋体" w:hAnsi="宋体" w:hint="eastAsia"/>
          <w:color w:val="000000"/>
          <w:sz w:val="28"/>
          <w:szCs w:val="28"/>
        </w:rPr>
        <w:t>扬州弘思百佳科技有限公司、纵坐标（江苏）标准技术服务有限公司</w:t>
      </w:r>
      <w:r>
        <w:rPr>
          <w:rFonts w:ascii="宋体" w:eastAsia="宋体" w:hAnsi="宋体" w:hint="eastAsia"/>
          <w:sz w:val="28"/>
          <w:szCs w:val="28"/>
        </w:rPr>
        <w:t>。</w:t>
      </w:r>
    </w:p>
    <w:p w14:paraId="5A4F5E2D" w14:textId="77777777" w:rsidR="009E3DB9" w:rsidRDefault="00000000">
      <w:pPr>
        <w:spacing w:line="360" w:lineRule="auto"/>
        <w:ind w:firstLineChars="200" w:firstLine="562"/>
        <w:rPr>
          <w:rFonts w:ascii="宋体" w:eastAsia="宋体" w:hAnsi="宋体" w:hint="eastAsia"/>
          <w:b/>
          <w:bCs/>
          <w:sz w:val="28"/>
          <w:szCs w:val="28"/>
        </w:rPr>
      </w:pPr>
      <w:r>
        <w:rPr>
          <w:rFonts w:ascii="宋体" w:eastAsia="宋体" w:hAnsi="宋体" w:hint="eastAsia"/>
          <w:b/>
          <w:bCs/>
          <w:sz w:val="28"/>
          <w:szCs w:val="28"/>
        </w:rPr>
        <w:t>（二）工作内容</w:t>
      </w:r>
    </w:p>
    <w:p w14:paraId="46B968C5" w14:textId="77777777"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（1）浙江中浩应用工程技术研究院有限公司主要负责标准制定过程的协调工作；负责标准制定工作，资料查询、标准正文及编制说明、标准草案起草、方法验证等工作。</w:t>
      </w:r>
    </w:p>
    <w:p w14:paraId="10011B3C" w14:textId="77777777"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（2）</w:t>
      </w:r>
      <w:r>
        <w:rPr>
          <w:rFonts w:ascii="宋体" w:eastAsia="宋体" w:hAnsi="宋体" w:hint="eastAsia"/>
          <w:color w:val="000000"/>
          <w:sz w:val="28"/>
          <w:szCs w:val="28"/>
        </w:rPr>
        <w:t>扬州弘思百佳科技有限公司、纵坐标（江苏）标准技术服务有限公司</w:t>
      </w:r>
      <w:r>
        <w:rPr>
          <w:rFonts w:ascii="宋体" w:eastAsia="宋体" w:hAnsi="宋体" w:hint="eastAsia"/>
          <w:sz w:val="28"/>
          <w:szCs w:val="28"/>
        </w:rPr>
        <w:t>主要参与资料查询、标准正文草案修改、方法验证等。</w:t>
      </w:r>
    </w:p>
    <w:p w14:paraId="764BEDB7" w14:textId="77777777" w:rsidR="009E3DB9"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标准编制原则及主要内容</w:t>
      </w:r>
    </w:p>
    <w:p w14:paraId="273625C0" w14:textId="77777777" w:rsidR="009E3DB9"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（一）、标准编制原则</w:t>
      </w:r>
    </w:p>
    <w:p w14:paraId="3721EE72" w14:textId="77777777"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本标准按照 GB/T 1.1《标准化工作导则 第1部分：标准化文件的结构和起草规则》的规定编写，紧密结合市政桥梁结构监测技术的实用性和安全要求。为使本标准具有先进性、适时性和实用性，且同时满足公开、透明、公平和公正要求，起草小组严格按照以下原则进行工作：</w:t>
      </w:r>
    </w:p>
    <w:p w14:paraId="2D516308" w14:textId="77777777"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1、标准的科学性、协调性和一致性；</w:t>
      </w:r>
    </w:p>
    <w:p w14:paraId="6AA24ECA" w14:textId="77777777"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2、标准实施中的适用性、规范性和可操作性。</w:t>
      </w:r>
    </w:p>
    <w:p w14:paraId="5A1C2797" w14:textId="77777777" w:rsidR="009E3DB9"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 xml:space="preserve">（二）、标准主要技术内容 </w:t>
      </w:r>
    </w:p>
    <w:p w14:paraId="31295735" w14:textId="77777777" w:rsidR="009E3DB9"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 xml:space="preserve">本标准征求意见稿包括7个章节，主要内容如下： </w:t>
      </w:r>
    </w:p>
    <w:p w14:paraId="1A034C8C" w14:textId="77777777" w:rsidR="009E3DB9"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 xml:space="preserve">1、范围 </w:t>
      </w:r>
    </w:p>
    <w:p w14:paraId="2C1F09B4" w14:textId="77777777" w:rsidR="009E3DB9" w:rsidRDefault="00000000">
      <w:pPr>
        <w:pStyle w:val="ab"/>
        <w:widowControl/>
        <w:autoSpaceDE w:val="0"/>
        <w:autoSpaceDN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lastRenderedPageBreak/>
        <w:t>本文件规定了市政桥梁结构监测的基本规定、施工期监测、运营期监测、运行管理和设备维护。</w:t>
      </w:r>
    </w:p>
    <w:p w14:paraId="1D33C536" w14:textId="77777777" w:rsidR="009E3DB9" w:rsidRDefault="00000000">
      <w:pPr>
        <w:pStyle w:val="ab"/>
        <w:widowControl/>
        <w:autoSpaceDE w:val="0"/>
        <w:autoSpaceDN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本文件适用于市政桥梁结构的监测。</w:t>
      </w:r>
    </w:p>
    <w:p w14:paraId="04FC6101" w14:textId="77777777" w:rsidR="009E3DB9"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 xml:space="preserve">2、规范性引用文件 </w:t>
      </w:r>
    </w:p>
    <w:p w14:paraId="6361352B" w14:textId="77777777" w:rsidR="009E3DB9" w:rsidRDefault="00000000">
      <w:pPr>
        <w:pStyle w:val="ab"/>
        <w:widowControl/>
        <w:autoSpaceDE w:val="0"/>
        <w:autoSpaceDN w:val="0"/>
        <w:spacing w:line="360" w:lineRule="auto"/>
        <w:ind w:firstLineChars="200" w:firstLine="560"/>
        <w:rPr>
          <w:rFonts w:ascii="宋体" w:eastAsia="宋体" w:hAnsi="宋体" w:hint="eastAsia"/>
          <w:sz w:val="28"/>
          <w:szCs w:val="28"/>
        </w:rPr>
      </w:pPr>
      <w:bookmarkStart w:id="0" w:name="OLE_LINK18"/>
      <w:r>
        <w:rPr>
          <w:rFonts w:ascii="宋体" w:eastAsia="宋体" w:hAnsi="宋体" w:hint="eastAsia"/>
          <w:sz w:val="28"/>
          <w:szCs w:val="28"/>
        </w:rPr>
        <w:t>GB 50311 综合布线系统工程设计规范</w:t>
      </w:r>
    </w:p>
    <w:p w14:paraId="752532CC" w14:textId="77777777" w:rsidR="009E3DB9" w:rsidRDefault="00000000">
      <w:pPr>
        <w:pStyle w:val="ab"/>
        <w:widowControl/>
        <w:autoSpaceDE w:val="0"/>
        <w:autoSpaceDN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GB 50982-2014 建筑与桥梁结构监测技术规范</w:t>
      </w:r>
    </w:p>
    <w:p w14:paraId="26FE947F" w14:textId="77777777" w:rsidR="009E3DB9" w:rsidRDefault="00000000">
      <w:pPr>
        <w:pStyle w:val="ab"/>
        <w:widowControl/>
        <w:autoSpaceDE w:val="0"/>
        <w:autoSpaceDN w:val="0"/>
        <w:spacing w:line="360" w:lineRule="auto"/>
        <w:ind w:firstLineChars="200" w:firstLine="560"/>
        <w:rPr>
          <w:rFonts w:ascii="宋体" w:eastAsia="宋体" w:hAnsi="宋体" w:hint="eastAsia"/>
          <w:sz w:val="28"/>
          <w:szCs w:val="28"/>
        </w:rPr>
      </w:pPr>
      <w:r>
        <w:rPr>
          <w:rFonts w:ascii="宋体" w:eastAsia="宋体" w:hAnsi="宋体" w:hint="eastAsia"/>
          <w:sz w:val="28"/>
          <w:szCs w:val="28"/>
        </w:rPr>
        <w:t>CJJ 99 城市桥梁养护技术标准</w:t>
      </w:r>
    </w:p>
    <w:bookmarkEnd w:id="0"/>
    <w:p w14:paraId="75EF6F76" w14:textId="77777777" w:rsidR="009E3DB9"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 xml:space="preserve">3、术语和定义 </w:t>
      </w:r>
    </w:p>
    <w:p w14:paraId="7D93FA20" w14:textId="77777777" w:rsidR="009E3DB9"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 xml:space="preserve">对“市政桥梁”、“结构监测”、“施工期监测”、“运营期监测”等术语进行了界定。 </w:t>
      </w:r>
    </w:p>
    <w:p w14:paraId="30EF8BFF" w14:textId="77777777" w:rsidR="009E3DB9"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4、基本规定</w:t>
      </w:r>
    </w:p>
    <w:p w14:paraId="70DA7E8A" w14:textId="77777777" w:rsidR="009E3DB9"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本章节主要对市政桥梁结构监测的基本规定进行了规定。</w:t>
      </w:r>
    </w:p>
    <w:p w14:paraId="09356A39" w14:textId="77777777" w:rsidR="009E3DB9"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5、施工期监测</w:t>
      </w:r>
    </w:p>
    <w:p w14:paraId="6138CA5F" w14:textId="77777777" w:rsidR="009E3DB9"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本章节主要对市政桥梁结构监测的施工期监测进行了规定，包括一般规定、监测内容、监测方法、监测点布置、监测频次、监测数据分析、监测报告等 。</w:t>
      </w:r>
    </w:p>
    <w:p w14:paraId="5AB88B28" w14:textId="77777777" w:rsidR="009E3DB9"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6、运营期监测</w:t>
      </w:r>
    </w:p>
    <w:p w14:paraId="74BF65E7" w14:textId="77777777" w:rsidR="009E3DB9"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 xml:space="preserve">本章节主要对市政桥梁结构监测的运营期监测进行了规定，包括一般规定、监测内容、监测方法、监测点布置、监测频次、监测数据分析、结构状态评估、监测报告等。 </w:t>
      </w:r>
    </w:p>
    <w:p w14:paraId="6DB55018" w14:textId="77777777" w:rsidR="009E3DB9" w:rsidRDefault="00000000">
      <w:pPr>
        <w:spacing w:line="360" w:lineRule="auto"/>
        <w:ind w:firstLineChars="200" w:firstLine="562"/>
        <w:jc w:val="left"/>
        <w:rPr>
          <w:rFonts w:ascii="宋体" w:eastAsia="宋体" w:hAnsi="宋体" w:hint="eastAsia"/>
          <w:b/>
          <w:bCs/>
          <w:sz w:val="28"/>
          <w:szCs w:val="28"/>
        </w:rPr>
      </w:pPr>
      <w:r>
        <w:rPr>
          <w:rFonts w:ascii="宋体" w:eastAsia="宋体" w:hAnsi="宋体" w:hint="eastAsia"/>
          <w:b/>
          <w:bCs/>
          <w:sz w:val="28"/>
          <w:szCs w:val="28"/>
        </w:rPr>
        <w:t>7、运行管理与设备维护</w:t>
      </w:r>
    </w:p>
    <w:p w14:paraId="5FCE8840" w14:textId="77777777" w:rsidR="009E3DB9"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 xml:space="preserve">本章节主要对市政桥梁结构监测的运行管理与设备维护进行了规定，包括运行管理、设备维护等。 </w:t>
      </w:r>
    </w:p>
    <w:p w14:paraId="28DD3A46" w14:textId="77777777" w:rsidR="009E3DB9" w:rsidRDefault="00000000">
      <w:pPr>
        <w:spacing w:line="360" w:lineRule="auto"/>
        <w:jc w:val="left"/>
        <w:rPr>
          <w:rFonts w:ascii="宋体" w:eastAsia="宋体" w:hAnsi="宋体" w:hint="eastAsia"/>
          <w:sz w:val="28"/>
          <w:szCs w:val="28"/>
        </w:rPr>
      </w:pPr>
      <w:r>
        <w:rPr>
          <w:rFonts w:ascii="宋体" w:eastAsia="宋体" w:hAnsi="宋体" w:hint="eastAsia"/>
          <w:b/>
          <w:bCs/>
          <w:sz w:val="28"/>
          <w:szCs w:val="28"/>
        </w:rPr>
        <w:t>三、主要试验（或验证）情况分析</w:t>
      </w:r>
      <w:r>
        <w:rPr>
          <w:rFonts w:ascii="宋体" w:eastAsia="宋体" w:hAnsi="宋体"/>
          <w:b/>
          <w:bCs/>
          <w:sz w:val="28"/>
          <w:szCs w:val="28"/>
        </w:rPr>
        <w:t xml:space="preserve"> </w:t>
      </w:r>
      <w:r>
        <w:rPr>
          <w:rFonts w:ascii="宋体" w:eastAsia="宋体" w:hAnsi="宋体"/>
          <w:sz w:val="28"/>
          <w:szCs w:val="28"/>
        </w:rPr>
        <w:t xml:space="preserve"> </w:t>
      </w:r>
    </w:p>
    <w:p w14:paraId="7BFF8E76" w14:textId="77777777" w:rsidR="009E3DB9"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在标准制定过程中，为确保市政桥梁结构监测技术的可靠性和适</w:t>
      </w:r>
      <w:r>
        <w:rPr>
          <w:rFonts w:ascii="宋体" w:eastAsia="宋体" w:hAnsi="宋体" w:hint="eastAsia"/>
          <w:sz w:val="28"/>
          <w:szCs w:val="28"/>
        </w:rPr>
        <w:lastRenderedPageBreak/>
        <w:t>用性，开展了系统的试验验证工作：通过实验室和工程现场试验，重点验证了市政桥梁结构监测技术的监测数据及分析的准确度和可靠性（检验不同桥梁结构的监测数据及分析是否符合实际），为规范中监测内容、监测点布置、监测频次的确定提供了充分依据。</w:t>
      </w:r>
    </w:p>
    <w:p w14:paraId="0C794921" w14:textId="77777777" w:rsidR="009E3DB9" w:rsidRDefault="00000000">
      <w:pPr>
        <w:spacing w:line="360" w:lineRule="auto"/>
        <w:jc w:val="left"/>
        <w:rPr>
          <w:rFonts w:ascii="宋体" w:eastAsia="宋体" w:hAnsi="宋体" w:hint="eastAsia"/>
          <w:sz w:val="28"/>
          <w:szCs w:val="28"/>
        </w:rPr>
      </w:pPr>
      <w:r>
        <w:rPr>
          <w:rFonts w:ascii="宋体" w:eastAsia="宋体" w:hAnsi="宋体" w:hint="eastAsia"/>
          <w:b/>
          <w:bCs/>
          <w:sz w:val="28"/>
          <w:szCs w:val="28"/>
        </w:rPr>
        <w:t>四、标准中涉及专利的情况</w:t>
      </w:r>
      <w:r>
        <w:rPr>
          <w:rFonts w:ascii="宋体" w:eastAsia="宋体" w:hAnsi="宋体"/>
          <w:b/>
          <w:bCs/>
          <w:sz w:val="28"/>
          <w:szCs w:val="28"/>
        </w:rPr>
        <w:t xml:space="preserve"> </w:t>
      </w:r>
      <w:r>
        <w:rPr>
          <w:rFonts w:ascii="宋体" w:eastAsia="宋体" w:hAnsi="宋体"/>
          <w:sz w:val="28"/>
          <w:szCs w:val="28"/>
        </w:rPr>
        <w:t xml:space="preserve"> </w:t>
      </w:r>
    </w:p>
    <w:p w14:paraId="7A76EFD0" w14:textId="77777777" w:rsidR="009E3DB9"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本标准不涉及专利。</w:t>
      </w:r>
    </w:p>
    <w:p w14:paraId="5F160704" w14:textId="77777777" w:rsidR="009E3DB9" w:rsidRDefault="00000000">
      <w:pPr>
        <w:spacing w:line="360" w:lineRule="auto"/>
        <w:jc w:val="left"/>
        <w:rPr>
          <w:rFonts w:ascii="宋体" w:eastAsia="宋体" w:hAnsi="宋体" w:hint="eastAsia"/>
          <w:sz w:val="28"/>
          <w:szCs w:val="28"/>
        </w:rPr>
      </w:pPr>
      <w:r>
        <w:rPr>
          <w:rFonts w:ascii="宋体" w:eastAsia="宋体" w:hAnsi="宋体" w:hint="eastAsia"/>
          <w:b/>
          <w:bCs/>
          <w:sz w:val="28"/>
          <w:szCs w:val="28"/>
        </w:rPr>
        <w:t>五、预期达到的效益（经济、效益、生态等），</w:t>
      </w:r>
      <w:r>
        <w:rPr>
          <w:rFonts w:ascii="宋体" w:eastAsia="宋体" w:hAnsi="宋体"/>
          <w:b/>
          <w:bCs/>
          <w:sz w:val="28"/>
          <w:szCs w:val="28"/>
        </w:rPr>
        <w:t>对产业发展的作用</w:t>
      </w:r>
      <w:r>
        <w:rPr>
          <w:rFonts w:ascii="宋体" w:eastAsia="宋体" w:hAnsi="宋体" w:hint="eastAsia"/>
          <w:b/>
          <w:bCs/>
          <w:sz w:val="28"/>
          <w:szCs w:val="28"/>
        </w:rPr>
        <w:t>的情况</w:t>
      </w:r>
      <w:r>
        <w:rPr>
          <w:rFonts w:ascii="宋体" w:eastAsia="宋体" w:hAnsi="宋体"/>
          <w:sz w:val="28"/>
          <w:szCs w:val="28"/>
        </w:rPr>
        <w:t xml:space="preserve">  </w:t>
      </w:r>
    </w:p>
    <w:p w14:paraId="3E840393" w14:textId="77777777" w:rsidR="009E3DB9" w:rsidRDefault="00000000">
      <w:pPr>
        <w:widowControl/>
        <w:spacing w:line="360" w:lineRule="auto"/>
        <w:ind w:leftChars="-39" w:left="-82" w:firstLineChars="200" w:firstLine="560"/>
        <w:jc w:val="left"/>
        <w:textAlignment w:val="baseline"/>
        <w:rPr>
          <w:rFonts w:ascii="宋体" w:eastAsia="宋体" w:hAnsi="宋体" w:hint="eastAsia"/>
          <w:b/>
          <w:bCs/>
          <w:sz w:val="28"/>
          <w:szCs w:val="28"/>
        </w:rPr>
      </w:pPr>
      <w:r>
        <w:rPr>
          <w:rFonts w:ascii="宋体" w:eastAsia="宋体" w:hAnsi="宋体" w:hint="eastAsia"/>
          <w:color w:val="000000" w:themeColor="text1"/>
          <w:sz w:val="28"/>
          <w:szCs w:val="28"/>
        </w:rPr>
        <w:t>通过本项标准的制定和发布实施，将标准起草单位在该领域的核心技术以标准形式固化并加以实施，市政桥梁结构监测技术不仅通过实时监测桥梁结构状态，能够提前发现潜在问题，避免因突发故障导致的大规模维修或重建，从而显著降低维护成本，保障社会公共安全；还能利用</w:t>
      </w:r>
      <w:r>
        <w:rPr>
          <w:rFonts w:ascii="宋体" w:eastAsia="宋体" w:hAnsi="宋体"/>
          <w:color w:val="000000" w:themeColor="text1"/>
          <w:sz w:val="28"/>
          <w:szCs w:val="28"/>
        </w:rPr>
        <w:t>精准的监测数据为桥梁的维护和加固提供科学依据，确保桥梁在设计寿命内安全运行，甚至延长其使用寿命，减少因桥梁损坏导致的交通中断和经济损失</w:t>
      </w:r>
      <w:r>
        <w:rPr>
          <w:rFonts w:ascii="宋体" w:eastAsia="宋体" w:hAnsi="宋体" w:hint="eastAsia"/>
          <w:color w:val="000000" w:themeColor="text1"/>
          <w:sz w:val="28"/>
          <w:szCs w:val="28"/>
        </w:rPr>
        <w:t>，也进一步避免了不必要的维修和更换，减少因施工导致的环境污染，减少了建筑材料和能源的浪费，符合可持续发展的要求。</w:t>
      </w:r>
    </w:p>
    <w:p w14:paraId="58EDE266" w14:textId="77777777" w:rsidR="009E3DB9"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六、在标准体系中的位置，与现行相关法律、法规、规章及相关标准，特别是强制性标准的协调性</w:t>
      </w:r>
    </w:p>
    <w:p w14:paraId="0842F461" w14:textId="77777777" w:rsidR="009E3DB9"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符合现行相关法律、法规、规章及相关标准，与强制性标准协调一致。</w:t>
      </w:r>
    </w:p>
    <w:p w14:paraId="29536E99" w14:textId="77777777" w:rsidR="009E3DB9"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七、重大分歧意见的处理经过和依据</w:t>
      </w:r>
    </w:p>
    <w:p w14:paraId="5E9CEEA3" w14:textId="77777777" w:rsidR="009E3DB9"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无。</w:t>
      </w:r>
    </w:p>
    <w:p w14:paraId="5FF6B117" w14:textId="77777777" w:rsidR="009E3DB9"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八、标准性质的建议说明</w:t>
      </w:r>
    </w:p>
    <w:p w14:paraId="7BA45656" w14:textId="77777777" w:rsidR="009E3DB9" w:rsidRDefault="00000000">
      <w:pPr>
        <w:spacing w:line="360" w:lineRule="auto"/>
        <w:ind w:firstLineChars="200" w:firstLine="560"/>
        <w:jc w:val="left"/>
        <w:rPr>
          <w:rFonts w:ascii="宋体" w:eastAsia="宋体" w:hAnsi="宋体" w:hint="eastAsia"/>
          <w:b/>
          <w:bCs/>
          <w:sz w:val="28"/>
          <w:szCs w:val="28"/>
        </w:rPr>
      </w:pPr>
      <w:r>
        <w:rPr>
          <w:rFonts w:ascii="宋体" w:eastAsia="宋体" w:hAnsi="宋体" w:hint="eastAsia"/>
          <w:sz w:val="28"/>
          <w:szCs w:val="28"/>
        </w:rPr>
        <w:t>本标准为团体标准，供社会各界自愿使用。</w:t>
      </w:r>
    </w:p>
    <w:p w14:paraId="66BC6CBC" w14:textId="77777777" w:rsidR="009E3DB9"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lastRenderedPageBreak/>
        <w:t>九、贯彻标准的要求和措施建议</w:t>
      </w:r>
    </w:p>
    <w:p w14:paraId="4670C11E" w14:textId="77777777" w:rsidR="009E3DB9"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标准发布后，应向相关企业进行宣传、贯彻，推荐此标准。</w:t>
      </w:r>
      <w:r>
        <w:rPr>
          <w:rFonts w:ascii="宋体" w:eastAsia="宋体" w:hAnsi="宋体"/>
          <w:sz w:val="28"/>
          <w:szCs w:val="28"/>
        </w:rPr>
        <w:t>标准编制小组定期</w:t>
      </w:r>
      <w:r>
        <w:rPr>
          <w:rFonts w:ascii="宋体" w:eastAsia="宋体" w:hAnsi="宋体" w:hint="eastAsia"/>
          <w:sz w:val="28"/>
          <w:szCs w:val="28"/>
        </w:rPr>
        <w:t>与相关企业</w:t>
      </w:r>
      <w:r>
        <w:rPr>
          <w:rFonts w:ascii="宋体" w:eastAsia="宋体" w:hAnsi="宋体"/>
          <w:sz w:val="28"/>
          <w:szCs w:val="28"/>
        </w:rPr>
        <w:t>进行交流和征求意见，关注标准的实施效果，注重实施信息和反馈意见的收集、梳理、研究，</w:t>
      </w:r>
      <w:r>
        <w:rPr>
          <w:rFonts w:ascii="宋体" w:eastAsia="宋体" w:hAnsi="宋体" w:hint="eastAsia"/>
          <w:sz w:val="28"/>
          <w:szCs w:val="28"/>
        </w:rPr>
        <w:t>以此促进标准的有效实施</w:t>
      </w:r>
      <w:r>
        <w:rPr>
          <w:rFonts w:ascii="宋体" w:eastAsia="宋体" w:hAnsi="宋体"/>
          <w:sz w:val="28"/>
          <w:szCs w:val="28"/>
        </w:rPr>
        <w:t>，确保标准的适宜性和有效性。</w:t>
      </w:r>
    </w:p>
    <w:p w14:paraId="6AE8BA9B" w14:textId="77777777" w:rsidR="009E3DB9"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十、废止现行相关标准的建议</w:t>
      </w:r>
    </w:p>
    <w:p w14:paraId="02EE84A3" w14:textId="77777777" w:rsidR="009E3DB9"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本标准首次发布。</w:t>
      </w:r>
    </w:p>
    <w:p w14:paraId="5F451718" w14:textId="77777777" w:rsidR="009E3DB9"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十一、其他应予说明的事项</w:t>
      </w:r>
    </w:p>
    <w:p w14:paraId="590FA12E" w14:textId="77777777" w:rsidR="009E3DB9"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无。</w:t>
      </w:r>
    </w:p>
    <w:p w14:paraId="5CCE0FC1" w14:textId="77777777" w:rsidR="009E3DB9" w:rsidRDefault="00000000">
      <w:pPr>
        <w:topLinePunct/>
        <w:spacing w:line="360" w:lineRule="auto"/>
        <w:ind w:firstLineChars="200" w:firstLine="560"/>
        <w:jc w:val="right"/>
        <w:rPr>
          <w:rFonts w:ascii="宋体" w:eastAsia="宋体" w:hAnsi="宋体" w:hint="eastAsia"/>
          <w:sz w:val="28"/>
          <w:szCs w:val="28"/>
        </w:rPr>
      </w:pPr>
      <w:r>
        <w:rPr>
          <w:rFonts w:ascii="宋体" w:eastAsia="宋体" w:hAnsi="宋体"/>
          <w:sz w:val="28"/>
          <w:szCs w:val="28"/>
        </w:rPr>
        <w:t xml:space="preserve">  </w:t>
      </w:r>
    </w:p>
    <w:p w14:paraId="683F3AC0" w14:textId="77777777" w:rsidR="009E3DB9" w:rsidRDefault="00000000">
      <w:pPr>
        <w:topLinePunct/>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《市政桥梁结构监测技术规范》起草组</w:t>
      </w:r>
      <w:r>
        <w:rPr>
          <w:rFonts w:ascii="宋体" w:eastAsia="宋体" w:hAnsi="宋体"/>
          <w:sz w:val="28"/>
          <w:szCs w:val="28"/>
        </w:rPr>
        <w:t xml:space="preserve"> </w:t>
      </w:r>
    </w:p>
    <w:p w14:paraId="5488F83D" w14:textId="77777777" w:rsidR="009E3DB9" w:rsidRDefault="00000000">
      <w:pPr>
        <w:topLinePunct/>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二零二五</w:t>
      </w:r>
      <w:r>
        <w:rPr>
          <w:rFonts w:ascii="宋体" w:eastAsia="宋体" w:hAnsi="宋体"/>
          <w:sz w:val="28"/>
          <w:szCs w:val="28"/>
        </w:rPr>
        <w:t>年</w:t>
      </w:r>
      <w:r>
        <w:rPr>
          <w:rFonts w:ascii="宋体" w:eastAsia="宋体" w:hAnsi="宋体" w:hint="eastAsia"/>
          <w:sz w:val="28"/>
          <w:szCs w:val="28"/>
        </w:rPr>
        <w:t>四</w:t>
      </w:r>
      <w:r>
        <w:rPr>
          <w:rFonts w:ascii="宋体" w:eastAsia="宋体" w:hAnsi="宋体"/>
          <w:sz w:val="28"/>
          <w:szCs w:val="28"/>
        </w:rPr>
        <w:t>月</w:t>
      </w:r>
    </w:p>
    <w:p w14:paraId="6BD57F06" w14:textId="77777777" w:rsidR="009E3DB9" w:rsidRDefault="009E3DB9">
      <w:pPr>
        <w:topLinePunct/>
        <w:spacing w:line="360" w:lineRule="auto"/>
        <w:ind w:firstLineChars="200" w:firstLine="560"/>
        <w:jc w:val="right"/>
        <w:rPr>
          <w:rFonts w:ascii="宋体" w:eastAsia="宋体" w:hAnsi="宋体" w:hint="eastAsia"/>
          <w:sz w:val="28"/>
          <w:szCs w:val="28"/>
        </w:rPr>
      </w:pPr>
    </w:p>
    <w:sectPr w:rsidR="009E3DB9">
      <w:type w:val="continuous"/>
      <w:pgSz w:w="11906" w:h="16841"/>
      <w:pgMar w:top="1440" w:right="1800" w:bottom="1440" w:left="1800" w:header="720" w:footer="720" w:gutter="0"/>
      <w:cols w:space="42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迷你简小标宋">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3C16E5"/>
    <w:multiLevelType w:val="singleLevel"/>
    <w:tmpl w:val="C33C16E5"/>
    <w:lvl w:ilvl="0">
      <w:start w:val="2"/>
      <w:numFmt w:val="decimal"/>
      <w:suff w:val="nothing"/>
      <w:lvlText w:val="%1、"/>
      <w:lvlJc w:val="left"/>
    </w:lvl>
  </w:abstractNum>
  <w:num w:numId="1" w16cid:durableId="124579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10"/>
  <w:drawingGridVerticalSpacing w:val="29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CE"/>
    <w:rsid w:val="00013CD7"/>
    <w:rsid w:val="0002152D"/>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25719"/>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299"/>
    <w:rsid w:val="00253FA1"/>
    <w:rsid w:val="00276C1B"/>
    <w:rsid w:val="0029410D"/>
    <w:rsid w:val="002A116B"/>
    <w:rsid w:val="002A16BD"/>
    <w:rsid w:val="002C7C84"/>
    <w:rsid w:val="002E34E6"/>
    <w:rsid w:val="002F3F4D"/>
    <w:rsid w:val="00301337"/>
    <w:rsid w:val="003073A8"/>
    <w:rsid w:val="00374298"/>
    <w:rsid w:val="003C4C2B"/>
    <w:rsid w:val="003D6656"/>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053A1"/>
    <w:rsid w:val="00612447"/>
    <w:rsid w:val="00613F73"/>
    <w:rsid w:val="006379F1"/>
    <w:rsid w:val="00647F5C"/>
    <w:rsid w:val="006770FA"/>
    <w:rsid w:val="006771DA"/>
    <w:rsid w:val="0068107B"/>
    <w:rsid w:val="00683BC8"/>
    <w:rsid w:val="00693278"/>
    <w:rsid w:val="00696DC6"/>
    <w:rsid w:val="006A2989"/>
    <w:rsid w:val="006A7619"/>
    <w:rsid w:val="007236F7"/>
    <w:rsid w:val="00743DCC"/>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3C9E"/>
    <w:rsid w:val="00855EF3"/>
    <w:rsid w:val="008639DD"/>
    <w:rsid w:val="00867203"/>
    <w:rsid w:val="00873DB6"/>
    <w:rsid w:val="00874A20"/>
    <w:rsid w:val="00895E54"/>
    <w:rsid w:val="008F2746"/>
    <w:rsid w:val="00901136"/>
    <w:rsid w:val="00905D53"/>
    <w:rsid w:val="00921AEC"/>
    <w:rsid w:val="0092468D"/>
    <w:rsid w:val="00925E06"/>
    <w:rsid w:val="009349E7"/>
    <w:rsid w:val="009468CF"/>
    <w:rsid w:val="009513AC"/>
    <w:rsid w:val="00954D9A"/>
    <w:rsid w:val="009603D3"/>
    <w:rsid w:val="00975BD6"/>
    <w:rsid w:val="009D3675"/>
    <w:rsid w:val="009D498C"/>
    <w:rsid w:val="009D796E"/>
    <w:rsid w:val="009E3DB9"/>
    <w:rsid w:val="009E7AA9"/>
    <w:rsid w:val="009F62D0"/>
    <w:rsid w:val="00A32DBC"/>
    <w:rsid w:val="00A3749C"/>
    <w:rsid w:val="00A45126"/>
    <w:rsid w:val="00A76277"/>
    <w:rsid w:val="00A824EF"/>
    <w:rsid w:val="00A869F3"/>
    <w:rsid w:val="00A86B89"/>
    <w:rsid w:val="00AF493D"/>
    <w:rsid w:val="00B36263"/>
    <w:rsid w:val="00B379B8"/>
    <w:rsid w:val="00B4306A"/>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4EBC"/>
    <w:rsid w:val="00D06A12"/>
    <w:rsid w:val="00D24B3F"/>
    <w:rsid w:val="00D2603E"/>
    <w:rsid w:val="00D31123"/>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160A"/>
    <w:rsid w:val="00E12A88"/>
    <w:rsid w:val="00E25044"/>
    <w:rsid w:val="00E50746"/>
    <w:rsid w:val="00E650FA"/>
    <w:rsid w:val="00EA1735"/>
    <w:rsid w:val="00EC3FE9"/>
    <w:rsid w:val="00ED4E5B"/>
    <w:rsid w:val="00F30933"/>
    <w:rsid w:val="00F3637F"/>
    <w:rsid w:val="00F7230A"/>
    <w:rsid w:val="00F724A6"/>
    <w:rsid w:val="00F829FC"/>
    <w:rsid w:val="00F92024"/>
    <w:rsid w:val="00FA1182"/>
    <w:rsid w:val="00FC34D9"/>
    <w:rsid w:val="00FE27EF"/>
    <w:rsid w:val="00FF28A7"/>
    <w:rsid w:val="02D63388"/>
    <w:rsid w:val="036C34DA"/>
    <w:rsid w:val="04536448"/>
    <w:rsid w:val="091B505B"/>
    <w:rsid w:val="09FC30DE"/>
    <w:rsid w:val="0A256191"/>
    <w:rsid w:val="13CE5AEB"/>
    <w:rsid w:val="14EA0703"/>
    <w:rsid w:val="181F6915"/>
    <w:rsid w:val="18954E2A"/>
    <w:rsid w:val="19C37774"/>
    <w:rsid w:val="1B49146C"/>
    <w:rsid w:val="1BD96DDB"/>
    <w:rsid w:val="1BF27E9D"/>
    <w:rsid w:val="1D33076D"/>
    <w:rsid w:val="1DF63C75"/>
    <w:rsid w:val="1E4D585F"/>
    <w:rsid w:val="229121BE"/>
    <w:rsid w:val="237044C9"/>
    <w:rsid w:val="275F0ADD"/>
    <w:rsid w:val="28A864B3"/>
    <w:rsid w:val="29980305"/>
    <w:rsid w:val="29BB5EBE"/>
    <w:rsid w:val="2A1536D4"/>
    <w:rsid w:val="2A1D07DB"/>
    <w:rsid w:val="2D850B71"/>
    <w:rsid w:val="31603DCF"/>
    <w:rsid w:val="36B204FD"/>
    <w:rsid w:val="3902576C"/>
    <w:rsid w:val="3E5527E2"/>
    <w:rsid w:val="3E78202C"/>
    <w:rsid w:val="441F7749"/>
    <w:rsid w:val="44DD0E3B"/>
    <w:rsid w:val="47E26E94"/>
    <w:rsid w:val="4C383886"/>
    <w:rsid w:val="4D381304"/>
    <w:rsid w:val="4F0C13AF"/>
    <w:rsid w:val="4FAA2095"/>
    <w:rsid w:val="52E9027E"/>
    <w:rsid w:val="5402441A"/>
    <w:rsid w:val="554967A4"/>
    <w:rsid w:val="59162E41"/>
    <w:rsid w:val="5A2D2A84"/>
    <w:rsid w:val="60805044"/>
    <w:rsid w:val="63220635"/>
    <w:rsid w:val="65BE0868"/>
    <w:rsid w:val="66DD5E3A"/>
    <w:rsid w:val="68B7181F"/>
    <w:rsid w:val="6B0C5E52"/>
    <w:rsid w:val="6B9B71D6"/>
    <w:rsid w:val="6D7D3037"/>
    <w:rsid w:val="6F40431D"/>
    <w:rsid w:val="6FCD36D6"/>
    <w:rsid w:val="70B825D8"/>
    <w:rsid w:val="70DA254F"/>
    <w:rsid w:val="74E66627"/>
    <w:rsid w:val="78E026CC"/>
    <w:rsid w:val="7A04063C"/>
    <w:rsid w:val="7A453794"/>
    <w:rsid w:val="7BF85F7F"/>
    <w:rsid w:val="7C7E0232"/>
    <w:rsid w:val="7D2C41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24E3B"/>
  <w15:docId w15:val="{43C4700C-0248-47B2-8D9D-46C0E0A3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Pr>
      <w:sz w:val="24"/>
    </w:rPr>
  </w:style>
  <w:style w:type="character" w:styleId="ac">
    <w:name w:val="Hyperlink"/>
    <w:basedOn w:val="a0"/>
    <w:uiPriority w:val="99"/>
    <w:unhideWhenUsed/>
    <w:qFormat/>
    <w:rPr>
      <w:color w:val="0563C1" w:themeColor="hyperlink"/>
      <w:u w:val="single"/>
    </w:rPr>
  </w:style>
  <w:style w:type="character" w:customStyle="1" w:styleId="a4">
    <w:name w:val="日期 字符"/>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ad">
    <w:name w:val="标准文件_段"/>
    <w:basedOn w:val="a"/>
    <w:link w:val="Char"/>
    <w:qFormat/>
    <w:pPr>
      <w:widowControl/>
      <w:autoSpaceDE w:val="0"/>
      <w:autoSpaceDN w:val="0"/>
      <w:ind w:firstLineChars="200" w:firstLine="200"/>
    </w:pPr>
    <w:rPr>
      <w:rFonts w:ascii="宋体" w:eastAsia="宋体" w:hAnsi="Times New Roman" w:cs="Times New Roman" w:hint="eastAsia"/>
      <w:kern w:val="0"/>
      <w:szCs w:val="20"/>
    </w:rPr>
  </w:style>
  <w:style w:type="character" w:customStyle="1" w:styleId="Char">
    <w:name w:val="标准文件_段 Char"/>
    <w:basedOn w:val="a0"/>
    <w:link w:val="ad"/>
    <w:qFormat/>
    <w:rPr>
      <w:rFonts w:ascii="宋体" w:eastAsia="宋体" w:hAnsi="Times New Roman" w:cs="宋体" w:hint="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1847</Words>
  <Characters>1866</Characters>
  <Application>Microsoft Office Word</Application>
  <DocSecurity>0</DocSecurity>
  <Lines>109</Lines>
  <Paragraphs>84</Paragraphs>
  <ScaleCrop>false</ScaleCrop>
  <Company>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jie wu</cp:lastModifiedBy>
  <cp:revision>2</cp:revision>
  <cp:lastPrinted>2022-05-11T05:51:00Z</cp:lastPrinted>
  <dcterms:created xsi:type="dcterms:W3CDTF">2025-04-30T01:08:00Z</dcterms:created>
  <dcterms:modified xsi:type="dcterms:W3CDTF">2025-04-30T01:08:00Z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eyJoZGlkIjoiODk4MzM4ZWM2YWJkMjFhM2M1YmVmNzk0ZDM4M2ExMWQiLCJ1c2VySWQiOiI0NDY1NjM4NjAifQ==</vt:lpwstr>
  </property>
  <property fmtid="{D5CDD505-2E9C-101B-9397-08002B2CF9AE}" pid="3" name="KSOProductBuildVer">
    <vt:lpwstr>2052-12.1.0.20784</vt:lpwstr>
  </property>
  <property fmtid="{D5CDD505-2E9C-101B-9397-08002B2CF9AE}" pid="4" name="ICV">
    <vt:lpwstr>33602F42881A432C96F4A361206C3585_12</vt:lpwstr>
  </property>
</Properties>
</file>