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57AB">
      <w:pPr>
        <w:jc w:val="center"/>
      </w:pPr>
    </w:p>
    <w:p w14:paraId="53201091">
      <w:pPr>
        <w:jc w:val="center"/>
      </w:pPr>
    </w:p>
    <w:p w14:paraId="7EF30941">
      <w:pPr>
        <w:jc w:val="center"/>
      </w:pPr>
    </w:p>
    <w:p w14:paraId="56740232">
      <w:pPr>
        <w:jc w:val="center"/>
      </w:pPr>
    </w:p>
    <w:p w14:paraId="57CC5265">
      <w:pPr>
        <w:jc w:val="center"/>
      </w:pPr>
    </w:p>
    <w:p w14:paraId="61940F80">
      <w:pPr>
        <w:jc w:val="center"/>
      </w:pPr>
    </w:p>
    <w:p w14:paraId="1FDEB161">
      <w:pPr>
        <w:jc w:val="center"/>
      </w:pPr>
    </w:p>
    <w:p w14:paraId="22C4E4CC">
      <w:pPr>
        <w:jc w:val="center"/>
      </w:pPr>
    </w:p>
    <w:p w14:paraId="744DBB54">
      <w:pPr>
        <w:jc w:val="center"/>
      </w:pPr>
    </w:p>
    <w:p w14:paraId="306AB0F1">
      <w:pPr>
        <w:jc w:val="center"/>
      </w:pPr>
    </w:p>
    <w:p w14:paraId="40CEDBDD">
      <w:pPr>
        <w:jc w:val="both"/>
      </w:pPr>
    </w:p>
    <w:p w14:paraId="2877045D">
      <w:pPr>
        <w:jc w:val="both"/>
      </w:pPr>
    </w:p>
    <w:p w14:paraId="229155D4">
      <w:pPr>
        <w:jc w:val="center"/>
        <w:rPr>
          <w:rFonts w:hint="eastAsia" w:ascii="迷你简小标宋" w:hAnsi="宋体" w:eastAsia="迷你简小标宋"/>
          <w:w w:val="90"/>
          <w:sz w:val="36"/>
          <w:szCs w:val="36"/>
        </w:rPr>
      </w:pPr>
      <w:r>
        <w:rPr>
          <w:rFonts w:hint="eastAsia" w:ascii="迷你简小标宋" w:hAnsi="宋体" w:eastAsia="迷你简小标宋"/>
          <w:w w:val="90"/>
          <w:sz w:val="36"/>
          <w:szCs w:val="36"/>
        </w:rPr>
        <w:t>《中小企业服务机构通用能力建设第1部分：评价体系》</w:t>
      </w:r>
    </w:p>
    <w:p w14:paraId="21DAAEA0">
      <w:pPr>
        <w:jc w:val="center"/>
        <w:rPr>
          <w:rFonts w:hint="eastAsia" w:ascii="迷你简小标宋" w:hAnsi="宋体" w:eastAsia="迷你简小标宋"/>
          <w:w w:val="90"/>
          <w:sz w:val="36"/>
          <w:szCs w:val="36"/>
        </w:rPr>
      </w:pPr>
    </w:p>
    <w:p w14:paraId="29761171">
      <w:pPr>
        <w:jc w:val="center"/>
        <w:rPr>
          <w:rFonts w:hint="eastAsia" w:ascii="迷你简小标宋" w:hAnsi="宋体" w:eastAsia="迷你简小标宋"/>
          <w:w w:val="90"/>
          <w:sz w:val="36"/>
          <w:szCs w:val="36"/>
        </w:rPr>
      </w:pPr>
    </w:p>
    <w:p w14:paraId="65D6AA9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B7EF01C">
      <w:pPr>
        <w:jc w:val="center"/>
      </w:pPr>
    </w:p>
    <w:p w14:paraId="77372143">
      <w:pPr>
        <w:jc w:val="center"/>
      </w:pPr>
    </w:p>
    <w:p w14:paraId="68AB594A">
      <w:pPr>
        <w:jc w:val="center"/>
      </w:pPr>
    </w:p>
    <w:p w14:paraId="343C6F53">
      <w:pPr>
        <w:jc w:val="center"/>
      </w:pPr>
    </w:p>
    <w:p w14:paraId="2FAEA20B">
      <w:pPr>
        <w:jc w:val="center"/>
      </w:pPr>
    </w:p>
    <w:p w14:paraId="6E7E3D05">
      <w:pPr>
        <w:jc w:val="center"/>
      </w:pPr>
    </w:p>
    <w:p w14:paraId="7D8827AC">
      <w:pPr>
        <w:jc w:val="center"/>
      </w:pPr>
    </w:p>
    <w:p w14:paraId="16B885F3">
      <w:pPr>
        <w:jc w:val="center"/>
      </w:pPr>
    </w:p>
    <w:p w14:paraId="431D5E8D">
      <w:pPr>
        <w:jc w:val="center"/>
      </w:pPr>
    </w:p>
    <w:p w14:paraId="0114992A">
      <w:pPr>
        <w:jc w:val="center"/>
      </w:pPr>
    </w:p>
    <w:p w14:paraId="58241285">
      <w:pPr>
        <w:jc w:val="center"/>
      </w:pPr>
    </w:p>
    <w:p w14:paraId="061457F5">
      <w:pPr>
        <w:jc w:val="center"/>
      </w:pPr>
    </w:p>
    <w:p w14:paraId="66A6C3E8">
      <w:pPr>
        <w:jc w:val="center"/>
      </w:pPr>
    </w:p>
    <w:p w14:paraId="312762B4">
      <w:pPr>
        <w:jc w:val="center"/>
      </w:pPr>
    </w:p>
    <w:p w14:paraId="04A95265">
      <w:pPr>
        <w:jc w:val="center"/>
      </w:pPr>
    </w:p>
    <w:p w14:paraId="690C48DA">
      <w:pPr>
        <w:jc w:val="center"/>
      </w:pPr>
    </w:p>
    <w:p w14:paraId="74657280">
      <w:pPr>
        <w:jc w:val="center"/>
        <w:rPr>
          <w:rFonts w:ascii="宋体" w:hAnsi="宋体" w:eastAsia="宋体"/>
          <w:sz w:val="28"/>
          <w:szCs w:val="28"/>
        </w:rPr>
      </w:pPr>
      <w:r>
        <w:rPr>
          <w:rFonts w:hint="eastAsia" w:ascii="宋体" w:hAnsi="宋体" w:eastAsia="宋体"/>
          <w:sz w:val="28"/>
          <w:szCs w:val="28"/>
        </w:rPr>
        <w:t xml:space="preserve">团标制定工作组 </w:t>
      </w:r>
    </w:p>
    <w:p w14:paraId="430673A8">
      <w:pPr>
        <w:jc w:val="center"/>
        <w:rPr>
          <w:rFonts w:ascii="宋体" w:hAnsi="宋体" w:eastAsia="宋体"/>
          <w:sz w:val="28"/>
          <w:szCs w:val="28"/>
        </w:rPr>
      </w:pPr>
    </w:p>
    <w:p w14:paraId="446269F0">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2DB754E1">
      <w:pPr>
        <w:jc w:val="center"/>
        <w:rPr>
          <w:rFonts w:ascii="宋体" w:hAnsi="宋体" w:eastAsia="宋体"/>
          <w:sz w:val="28"/>
          <w:szCs w:val="28"/>
        </w:rPr>
      </w:pPr>
    </w:p>
    <w:p w14:paraId="30527866">
      <w:pPr>
        <w:jc w:val="center"/>
        <w:rPr>
          <w:rFonts w:ascii="宋体" w:hAnsi="宋体" w:eastAsia="宋体"/>
          <w:sz w:val="28"/>
          <w:szCs w:val="28"/>
        </w:rPr>
      </w:pPr>
    </w:p>
    <w:p w14:paraId="423CD12E">
      <w:pPr>
        <w:jc w:val="center"/>
        <w:rPr>
          <w:rFonts w:ascii="宋体" w:hAnsi="宋体" w:eastAsia="宋体"/>
          <w:sz w:val="28"/>
          <w:szCs w:val="28"/>
        </w:rPr>
      </w:pPr>
    </w:p>
    <w:p w14:paraId="012CB75D">
      <w:pPr>
        <w:jc w:val="center"/>
        <w:rPr>
          <w:rFonts w:ascii="宋体" w:hAnsi="宋体" w:eastAsia="宋体"/>
          <w:sz w:val="28"/>
          <w:szCs w:val="28"/>
        </w:rPr>
      </w:pPr>
    </w:p>
    <w:p w14:paraId="230ECB09">
      <w:pPr>
        <w:jc w:val="center"/>
        <w:rPr>
          <w:rFonts w:ascii="宋体" w:hAnsi="宋体" w:eastAsia="宋体"/>
          <w:sz w:val="28"/>
          <w:szCs w:val="28"/>
        </w:rPr>
      </w:pPr>
    </w:p>
    <w:p w14:paraId="10E30FB7">
      <w:pPr>
        <w:spacing w:line="360" w:lineRule="auto"/>
        <w:jc w:val="left"/>
        <w:rPr>
          <w:rFonts w:hint="eastAsia" w:ascii="宋体" w:hAnsi="宋体" w:eastAsia="宋体"/>
          <w:b/>
          <w:bCs/>
          <w:sz w:val="28"/>
          <w:szCs w:val="28"/>
        </w:rPr>
      </w:pPr>
    </w:p>
    <w:p w14:paraId="2E69FA10">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一、工作简况</w:t>
      </w:r>
    </w:p>
    <w:p w14:paraId="58D00FEF">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（一）任务来源</w:t>
      </w:r>
    </w:p>
    <w:p w14:paraId="5D3812D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党的二十届三中全会提出“完善发展服务业体制机制”，我国服务业发展将迎来重要发展机遇。中国中小企业协会</w:t>
      </w:r>
      <w:r>
        <w:rPr>
          <w:rFonts w:hint="eastAsia" w:ascii="仿宋" w:hAnsi="仿宋" w:eastAsia="仿宋" w:cs="仿宋"/>
          <w:sz w:val="30"/>
          <w:szCs w:val="30"/>
          <w:lang w:val="en-US" w:eastAsia="zh-CN"/>
        </w:rPr>
        <w:t>将</w:t>
      </w:r>
      <w:r>
        <w:rPr>
          <w:rFonts w:hint="eastAsia" w:ascii="仿宋" w:hAnsi="仿宋" w:eastAsia="仿宋" w:cs="仿宋"/>
          <w:sz w:val="30"/>
          <w:szCs w:val="30"/>
          <w:lang w:eastAsia="zh-CN"/>
        </w:rPr>
        <w:t>《中小企业服务机构通用能力建设第1部分：评价体系》</w:t>
      </w:r>
      <w:r>
        <w:rPr>
          <w:rFonts w:hint="eastAsia" w:ascii="仿宋" w:hAnsi="仿宋" w:eastAsia="仿宋" w:cs="仿宋"/>
          <w:sz w:val="30"/>
          <w:szCs w:val="30"/>
        </w:rPr>
        <w:t>列为标准编制项目，并于2024年</w:t>
      </w:r>
      <w:r>
        <w:rPr>
          <w:rFonts w:hint="eastAsia" w:ascii="仿宋" w:hAnsi="仿宋" w:eastAsia="仿宋" w:cs="仿宋"/>
          <w:sz w:val="30"/>
          <w:szCs w:val="30"/>
          <w:lang w:val="en-US" w:eastAsia="zh-CN"/>
        </w:rPr>
        <w:t>7</w:t>
      </w:r>
      <w:r>
        <w:rPr>
          <w:rFonts w:hint="eastAsia" w:ascii="仿宋" w:hAnsi="仿宋" w:eastAsia="仿宋" w:cs="仿宋"/>
          <w:sz w:val="30"/>
          <w:szCs w:val="30"/>
        </w:rPr>
        <w:t>月在全国团体标准信息平台上进行了立项公告。</w:t>
      </w:r>
    </w:p>
    <w:p w14:paraId="473D4970">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（二）编制背景及目的</w:t>
      </w:r>
      <w:r>
        <w:rPr>
          <w:rFonts w:hint="eastAsia" w:ascii="仿宋" w:hAnsi="仿宋" w:eastAsia="仿宋" w:cs="仿宋"/>
          <w:b/>
          <w:bCs/>
          <w:sz w:val="30"/>
          <w:szCs w:val="30"/>
        </w:rPr>
        <w:t xml:space="preserve"> </w:t>
      </w:r>
    </w:p>
    <w:p w14:paraId="154D1CC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深入贯彻落实《“十四五”促进中小企业发展规划》及国家发展改革委发布的《服务业创新发展大纲（2017—2025年）》要求，提高服务业市场化、社会化、国际化水平，有力支撑经济发展、民生改善、社会进步、竞争力的功能显著提升，提高企业获得感和人民满意度，逐步使我国由服务业大国向服务业强国迈进，促进服务业体系更加完备、产品更加丰富，供需协调性显著增强，进一步提升中小企业服务供给能力，提高企业服务质量和标准化、规范化水平。</w:t>
      </w:r>
    </w:p>
    <w:p w14:paraId="658151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制定“中小企业服务机构通用能力建设”评价体系可以帮助企业在选择服务机构的过程中，更加有效的遴选优质社会化服务机构</w:t>
      </w:r>
      <w:r>
        <w:rPr>
          <w:rFonts w:hint="eastAsia" w:ascii="仿宋" w:hAnsi="仿宋" w:eastAsia="仿宋" w:cs="仿宋"/>
          <w:sz w:val="30"/>
          <w:szCs w:val="30"/>
          <w:lang w:eastAsia="zh-CN"/>
        </w:rPr>
        <w:t>，</w:t>
      </w:r>
      <w:r>
        <w:rPr>
          <w:rFonts w:hint="eastAsia" w:ascii="仿宋" w:hAnsi="仿宋" w:eastAsia="仿宋" w:cs="仿宋"/>
          <w:sz w:val="30"/>
          <w:szCs w:val="30"/>
        </w:rPr>
        <w:t>减少企业的服务成本和时间。同时也可以帮助服务机构及时发现问题、改进工作，进一步提高服务水平和质量，促进中小企业高质量发展。</w:t>
      </w:r>
    </w:p>
    <w:p w14:paraId="7FF3839F">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（三）编制过程</w:t>
      </w:r>
      <w:r>
        <w:rPr>
          <w:rFonts w:hint="eastAsia" w:ascii="仿宋" w:hAnsi="仿宋" w:eastAsia="仿宋" w:cs="仿宋"/>
          <w:sz w:val="30"/>
          <w:szCs w:val="30"/>
        </w:rPr>
        <w:t xml:space="preserve"> </w:t>
      </w:r>
    </w:p>
    <w:p w14:paraId="42E5DA1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2024年7月，完成《中小企业服务机构通用能力建设第1部分：评价体系》的立项。标准立项计划下达后，根据相关文件的要求，明确小组成员工作任务并制定了详细的工作计划。</w:t>
      </w:r>
    </w:p>
    <w:p w14:paraId="7456D45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7月至2025年6月，标准编制组对国内外的相关行业、标准、科研成果、专著等开展广泛、深入的调研，在此基础上完成《中小企业服务机构通用能力建设第1部分：评价体系》的草案。随后标准制定小组与相关专家经多次研究、讨论对草案进行数次修改，拟于2025年7月提交《中小企业服务机构通用能力建设第1部分：评价体系》标准征求意见稿及征求意见稿编制说明，拟定于2025年7月下旬在网上公示征求意见稿，广泛征求各方意见和建议。</w:t>
      </w:r>
    </w:p>
    <w:p w14:paraId="3EF3E20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制定小组将根据各方意见和建议对标准进行修改后形成送审稿。</w:t>
      </w:r>
    </w:p>
    <w:p w14:paraId="01B132E8">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楷体" w:hAnsi="楷体" w:eastAsia="楷体" w:cs="楷体"/>
          <w:b w:val="0"/>
          <w:bCs w:val="0"/>
          <w:sz w:val="30"/>
          <w:szCs w:val="30"/>
        </w:rPr>
        <w:t>（四）</w:t>
      </w:r>
      <w:r>
        <w:rPr>
          <w:rFonts w:hint="eastAsia" w:ascii="楷体" w:hAnsi="楷体" w:eastAsia="楷体" w:cs="楷体"/>
          <w:b w:val="0"/>
          <w:bCs w:val="0"/>
          <w:color w:val="auto"/>
          <w:sz w:val="30"/>
          <w:szCs w:val="30"/>
        </w:rPr>
        <w:t>主要起草单位及</w:t>
      </w:r>
      <w:r>
        <w:rPr>
          <w:rFonts w:hint="eastAsia" w:ascii="楷体" w:hAnsi="楷体" w:eastAsia="楷体" w:cs="楷体"/>
          <w:b w:val="0"/>
          <w:bCs w:val="0"/>
          <w:sz w:val="30"/>
          <w:szCs w:val="30"/>
        </w:rPr>
        <w:t>起草人所做的工作</w:t>
      </w:r>
    </w:p>
    <w:p w14:paraId="7A34E713">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由广东博纳德控股集团有限公司、金蝶国际软件集团有限公司、联想控股股份有限公司、用友网络科技股份有限公司等相关单位的专家成立的标准制定小组，在广泛调研、查阅和研究国际、国内的现行标准，结合行业现行技术痛点和空白，组织、协调和策划了标准征求意见稿的草拟和修改过程。</w:t>
      </w:r>
    </w:p>
    <w:p w14:paraId="02F885C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二、标准编制原则和主要内容</w:t>
      </w:r>
    </w:p>
    <w:p w14:paraId="211E8556">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（一）标准制定原则</w:t>
      </w:r>
    </w:p>
    <w:p w14:paraId="09C00994">
      <w:pPr>
        <w:keepNext w:val="0"/>
        <w:keepLines w:val="0"/>
        <w:pageBreakBefore w:val="0"/>
        <w:widowControl w:val="0"/>
        <w:kinsoku/>
        <w:wordWrap/>
        <w:overflowPunct/>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sz w:val="30"/>
          <w:szCs w:val="30"/>
          <w:lang w:val="en-US" w:eastAsia="zh-CN"/>
        </w:rPr>
        <w:t>本标准依据相关行业标准，标准编制遵循“前瞻性、实用性、统一性、规范性”的原则，注重标准的可操作性，严格按照GB/T1.1-2020《标准化工作导则第1部分：标准化文件的结构和起草规则》的要求进行编写</w:t>
      </w:r>
      <w:r>
        <w:rPr>
          <w:rFonts w:hint="eastAsia" w:ascii="仿宋" w:hAnsi="仿宋" w:eastAsia="仿宋" w:cs="仿宋"/>
          <w:b w:val="0"/>
          <w:bCs w:val="0"/>
          <w:sz w:val="30"/>
          <w:szCs w:val="30"/>
          <w:lang w:eastAsia="zh-CN"/>
        </w:rPr>
        <w:t>。</w:t>
      </w:r>
    </w:p>
    <w:p w14:paraId="751B3BA3">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（二）标准主要技术内容</w:t>
      </w:r>
    </w:p>
    <w:p w14:paraId="4EAF299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规范性引用文件：列出了本文件引用的其他规范性文件。</w:t>
      </w:r>
    </w:p>
    <w:p w14:paraId="6561A4D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评价原则：评价应遵循</w:t>
      </w:r>
      <w:r>
        <w:rPr>
          <w:rFonts w:hint="eastAsia" w:ascii="仿宋" w:hAnsi="仿宋" w:eastAsia="仿宋" w:cs="仿宋"/>
          <w:sz w:val="30"/>
          <w:szCs w:val="30"/>
          <w:lang w:eastAsia="zh-CN"/>
        </w:rPr>
        <w:t>的</w:t>
      </w:r>
      <w:r>
        <w:rPr>
          <w:rFonts w:hint="eastAsia" w:ascii="仿宋" w:hAnsi="仿宋" w:eastAsia="仿宋" w:cs="仿宋"/>
          <w:sz w:val="30"/>
          <w:szCs w:val="30"/>
        </w:rPr>
        <w:t>基本原则，包括</w:t>
      </w:r>
      <w:r>
        <w:rPr>
          <w:rFonts w:hint="eastAsia" w:ascii="仿宋" w:hAnsi="仿宋" w:eastAsia="仿宋" w:cs="仿宋"/>
          <w:sz w:val="30"/>
          <w:szCs w:val="30"/>
          <w:lang w:val="en-US" w:eastAsia="zh-CN"/>
        </w:rPr>
        <w:t>科学性、实用性、动态性</w:t>
      </w:r>
      <w:r>
        <w:rPr>
          <w:rFonts w:hint="eastAsia" w:ascii="仿宋" w:hAnsi="仿宋" w:eastAsia="仿宋" w:cs="仿宋"/>
          <w:sz w:val="30"/>
          <w:szCs w:val="30"/>
        </w:rPr>
        <w:t>。</w:t>
      </w:r>
    </w:p>
    <w:p w14:paraId="177A253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评价</w:t>
      </w:r>
      <w:r>
        <w:rPr>
          <w:rFonts w:hint="eastAsia" w:ascii="仿宋" w:hAnsi="仿宋" w:eastAsia="仿宋" w:cs="仿宋"/>
          <w:sz w:val="30"/>
          <w:szCs w:val="30"/>
          <w:lang w:val="en-US" w:eastAsia="zh-CN"/>
        </w:rPr>
        <w:t>内容</w:t>
      </w:r>
      <w:r>
        <w:rPr>
          <w:rFonts w:hint="eastAsia" w:ascii="仿宋" w:hAnsi="仿宋" w:eastAsia="仿宋" w:cs="仿宋"/>
          <w:sz w:val="30"/>
          <w:szCs w:val="30"/>
        </w:rPr>
        <w:t>：</w:t>
      </w:r>
      <w:r>
        <w:rPr>
          <w:rFonts w:hint="eastAsia" w:ascii="仿宋" w:hAnsi="仿宋" w:eastAsia="仿宋" w:cs="仿宋"/>
          <w:sz w:val="30"/>
          <w:szCs w:val="30"/>
          <w:lang w:val="en-US" w:eastAsia="zh-CN"/>
        </w:rPr>
        <w:t>包括服务机构分类和服务机构能力划分。</w:t>
      </w:r>
    </w:p>
    <w:p w14:paraId="481351F4">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（三）主要试验（或验证）情况分析</w:t>
      </w:r>
    </w:p>
    <w:p w14:paraId="3D770D6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结合国内外行业情况及公司的实践进行验证。</w:t>
      </w:r>
    </w:p>
    <w:p w14:paraId="1DB64584">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（四）标准中涉及专利的情况</w:t>
      </w:r>
      <w:r>
        <w:rPr>
          <w:rFonts w:hint="eastAsia" w:ascii="仿宋" w:hAnsi="仿宋" w:eastAsia="仿宋" w:cs="仿宋"/>
          <w:b/>
          <w:bCs/>
          <w:sz w:val="30"/>
          <w:szCs w:val="30"/>
        </w:rPr>
        <w:t xml:space="preserve"> </w:t>
      </w:r>
      <w:r>
        <w:rPr>
          <w:rFonts w:hint="eastAsia" w:ascii="仿宋" w:hAnsi="仿宋" w:eastAsia="仿宋" w:cs="仿宋"/>
          <w:sz w:val="30"/>
          <w:szCs w:val="30"/>
        </w:rPr>
        <w:t xml:space="preserve"> </w:t>
      </w:r>
    </w:p>
    <w:p w14:paraId="5C5554F6">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无。</w:t>
      </w:r>
    </w:p>
    <w:p w14:paraId="68383A0D">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sz w:val="30"/>
          <w:szCs w:val="30"/>
        </w:rPr>
      </w:pPr>
      <w:r>
        <w:rPr>
          <w:rFonts w:hint="eastAsia" w:ascii="楷体" w:hAnsi="楷体" w:eastAsia="楷体" w:cs="楷体"/>
          <w:b w:val="0"/>
          <w:bCs w:val="0"/>
          <w:sz w:val="30"/>
          <w:szCs w:val="30"/>
        </w:rPr>
        <w:t>（五）预期达到的效益（经济、效益、生态等），对产业发展的作用的情况</w:t>
      </w:r>
    </w:p>
    <w:p w14:paraId="00354E7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随着国家对中小企业的重视程度的不断拓展，中小企业服务机构通用能力建设评价体系的应用前景十分广阔。一方面，该标准可以广泛应用于中小企业服务机构的内部管理、能力建设和服务质量提升等方面；另一方面，该标准也可以作为政府部门监管和评估服务机构发展的重要依据。同时，广大中小企业在市场的不断开放和合作交流的过程中，该标准还可以为我国中小企业的日常服务和能力建设上提供有力支持。</w:t>
      </w:r>
    </w:p>
    <w:p w14:paraId="0181EC35">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（六）在标准体系中的位置，与现行相关法律、法规、规章及相关标准，特别是强制性标准的协调性</w:t>
      </w:r>
    </w:p>
    <w:p w14:paraId="2DD20F0E">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符合现行相关法律、法规、规章及相关标准，与强制性标准协调一致。</w:t>
      </w:r>
    </w:p>
    <w:p w14:paraId="46CBA1CA">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（七）重大分歧意见的处理经过和依据</w:t>
      </w:r>
    </w:p>
    <w:p w14:paraId="68804262">
      <w:pPr>
        <w:keepNext w:val="0"/>
        <w:keepLines w:val="0"/>
        <w:pageBreakBefore w:val="0"/>
        <w:widowControl w:val="0"/>
        <w:kinsoku/>
        <w:wordWrap/>
        <w:overflowPunct/>
        <w:autoSpaceDE/>
        <w:autoSpaceDN/>
        <w:bidi w:val="0"/>
        <w:adjustRightInd/>
        <w:snapToGrid/>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13BE70A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（八）标准性质的建议说明</w:t>
      </w:r>
    </w:p>
    <w:p w14:paraId="06F21E23">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本标准为团体标准，供社会各界自愿使用。</w:t>
      </w:r>
    </w:p>
    <w:p w14:paraId="5E23FED9">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（九）贯彻标准的要求和措施建议</w:t>
      </w:r>
    </w:p>
    <w:p w14:paraId="49821F6F">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1、组织线下宣传活动、线上渠道推广，进行标准的内容宣传。</w:t>
      </w:r>
    </w:p>
    <w:p w14:paraId="54FCCAB9">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2、组织相关专家进行培训和讲座，介绍本标准并进行答疑。</w:t>
      </w:r>
    </w:p>
    <w:p w14:paraId="6C41A02C">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3、与相关协会、机构、企业等合作伙伴共通普及和推广。</w:t>
      </w:r>
    </w:p>
    <w:p w14:paraId="5B532F3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楷体" w:hAnsi="楷体" w:eastAsia="楷体" w:cs="楷体"/>
          <w:b w:val="0"/>
          <w:bCs w:val="0"/>
          <w:sz w:val="30"/>
          <w:szCs w:val="30"/>
        </w:rPr>
        <w:t>（十）废止现行相关标准的建议</w:t>
      </w:r>
    </w:p>
    <w:p w14:paraId="1D639792">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无。</w:t>
      </w:r>
    </w:p>
    <w:p w14:paraId="5F64C37B">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rPr>
        <w:t>（十一）其他应予说明的事项</w:t>
      </w:r>
    </w:p>
    <w:p w14:paraId="7FA569F7">
      <w:pPr>
        <w:keepNext w:val="0"/>
        <w:keepLines w:val="0"/>
        <w:pageBreakBefore w:val="0"/>
        <w:widowControl w:val="0"/>
        <w:kinsoku/>
        <w:wordWrap/>
        <w:overflowPunct/>
        <w:autoSpaceDE/>
        <w:autoSpaceDN/>
        <w:bidi w:val="0"/>
        <w:adjustRightInd/>
        <w:snapToGrid/>
        <w:spacing w:line="360" w:lineRule="auto"/>
        <w:ind w:firstLine="562"/>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14:paraId="05E0B401">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p>
    <w:p w14:paraId="1AA04555">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p>
    <w:p w14:paraId="13DE78C3">
      <w:pPr>
        <w:keepNext w:val="0"/>
        <w:keepLines w:val="0"/>
        <w:pageBreakBefore w:val="0"/>
        <w:widowControl w:val="0"/>
        <w:kinsoku/>
        <w:wordWrap/>
        <w:overflowPunct/>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bookmarkStart w:id="0" w:name="_GoBack"/>
      <w:bookmarkEnd w:id="0"/>
    </w:p>
    <w:p w14:paraId="7AD1CA65">
      <w:pPr>
        <w:keepNext w:val="0"/>
        <w:keepLines w:val="0"/>
        <w:pageBreakBefore w:val="0"/>
        <w:widowControl w:val="0"/>
        <w:kinsoku/>
        <w:wordWrap/>
        <w:overflowPunct/>
        <w:topLinePunct/>
        <w:autoSpaceDE/>
        <w:autoSpaceDN/>
        <w:bidi w:val="0"/>
        <w:adjustRightInd/>
        <w:snapToGrid/>
        <w:spacing w:line="360" w:lineRule="auto"/>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6A7364C0">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《中小企业服务机构通用能力建设第1部分：评价体系》</w:t>
      </w:r>
      <w:r>
        <w:rPr>
          <w:rFonts w:hint="eastAsia" w:ascii="仿宋" w:hAnsi="仿宋" w:eastAsia="仿宋" w:cs="仿宋"/>
          <w:sz w:val="30"/>
          <w:szCs w:val="30"/>
        </w:rPr>
        <w:t xml:space="preserve">起草组 </w:t>
      </w:r>
    </w:p>
    <w:p w14:paraId="674566BC">
      <w:pPr>
        <w:keepNext w:val="0"/>
        <w:keepLines w:val="0"/>
        <w:pageBreakBefore w:val="0"/>
        <w:widowControl w:val="0"/>
        <w:kinsoku/>
        <w:wordWrap/>
        <w:overflowPunct/>
        <w:topLinePunct/>
        <w:autoSpaceDE/>
        <w:autoSpaceDN/>
        <w:bidi w:val="0"/>
        <w:adjustRightInd/>
        <w:snapToGrid/>
        <w:spacing w:line="360" w:lineRule="auto"/>
        <w:ind w:firstLine="600" w:firstLineChars="200"/>
        <w:jc w:val="right"/>
        <w:textAlignment w:val="auto"/>
        <w:rPr>
          <w:rFonts w:ascii="宋体" w:hAnsi="宋体" w:eastAsia="宋体"/>
          <w:sz w:val="28"/>
          <w:szCs w:val="28"/>
        </w:rPr>
      </w:pP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07</w:t>
      </w:r>
      <w:r>
        <w:rPr>
          <w:rFonts w:hint="eastAsia" w:ascii="仿宋" w:hAnsi="仿宋" w:eastAsia="仿宋" w:cs="仿宋"/>
          <w:sz w:val="30"/>
          <w:szCs w:val="30"/>
        </w:rPr>
        <w:t>月</w:t>
      </w:r>
      <w:r>
        <w:rPr>
          <w:rFonts w:hint="eastAsia" w:ascii="仿宋" w:hAnsi="仿宋" w:eastAsia="仿宋" w:cs="仿宋"/>
          <w:sz w:val="30"/>
          <w:szCs w:val="30"/>
          <w:lang w:val="en-US" w:eastAsia="zh-CN"/>
        </w:rPr>
        <w:t>01</w:t>
      </w:r>
      <w:r>
        <w:rPr>
          <w:rFonts w:hint="eastAsia" w:ascii="仿宋" w:hAnsi="仿宋" w:eastAsia="仿宋" w:cs="仿宋"/>
          <w:sz w:val="30"/>
          <w:szCs w:val="30"/>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C17B8"/>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357BB"/>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5500"/>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30933"/>
    <w:rsid w:val="00F7230A"/>
    <w:rsid w:val="00F724A6"/>
    <w:rsid w:val="00F829FC"/>
    <w:rsid w:val="00F92024"/>
    <w:rsid w:val="00FA1182"/>
    <w:rsid w:val="00FC34D9"/>
    <w:rsid w:val="00FE27EF"/>
    <w:rsid w:val="00FF28A7"/>
    <w:rsid w:val="01863ADA"/>
    <w:rsid w:val="024A6EF3"/>
    <w:rsid w:val="069E5D02"/>
    <w:rsid w:val="077633E2"/>
    <w:rsid w:val="0A315EF5"/>
    <w:rsid w:val="0D9633F1"/>
    <w:rsid w:val="0F913D0D"/>
    <w:rsid w:val="11C2064E"/>
    <w:rsid w:val="12D82EF3"/>
    <w:rsid w:val="15493D25"/>
    <w:rsid w:val="15F1786F"/>
    <w:rsid w:val="1A0152BD"/>
    <w:rsid w:val="1BF34DB3"/>
    <w:rsid w:val="1D9236E6"/>
    <w:rsid w:val="1E8E65A3"/>
    <w:rsid w:val="1EAC5B66"/>
    <w:rsid w:val="208337BA"/>
    <w:rsid w:val="20A57BD4"/>
    <w:rsid w:val="20B971DB"/>
    <w:rsid w:val="21AA4B7F"/>
    <w:rsid w:val="21B77BBF"/>
    <w:rsid w:val="233E073A"/>
    <w:rsid w:val="24101808"/>
    <w:rsid w:val="24123642"/>
    <w:rsid w:val="26D372BA"/>
    <w:rsid w:val="28BA4FCC"/>
    <w:rsid w:val="29177872"/>
    <w:rsid w:val="292F6A67"/>
    <w:rsid w:val="2DD80E6F"/>
    <w:rsid w:val="3227704B"/>
    <w:rsid w:val="35365A59"/>
    <w:rsid w:val="35E6686D"/>
    <w:rsid w:val="37450848"/>
    <w:rsid w:val="375B3531"/>
    <w:rsid w:val="39096AFA"/>
    <w:rsid w:val="3DDF587B"/>
    <w:rsid w:val="3DEA3F0F"/>
    <w:rsid w:val="42CD08D3"/>
    <w:rsid w:val="459A64D3"/>
    <w:rsid w:val="46EA14CF"/>
    <w:rsid w:val="4A72275A"/>
    <w:rsid w:val="4C070C02"/>
    <w:rsid w:val="4C324162"/>
    <w:rsid w:val="5200731B"/>
    <w:rsid w:val="525B34C1"/>
    <w:rsid w:val="525E7A5F"/>
    <w:rsid w:val="52833022"/>
    <w:rsid w:val="53334A48"/>
    <w:rsid w:val="53AF7E46"/>
    <w:rsid w:val="53BA2BF6"/>
    <w:rsid w:val="5AE40D1D"/>
    <w:rsid w:val="5CA72002"/>
    <w:rsid w:val="5F994A9B"/>
    <w:rsid w:val="62202F5C"/>
    <w:rsid w:val="63C10C42"/>
    <w:rsid w:val="67357D92"/>
    <w:rsid w:val="68AE1786"/>
    <w:rsid w:val="68EA193E"/>
    <w:rsid w:val="6A6D6639"/>
    <w:rsid w:val="6BD60DE0"/>
    <w:rsid w:val="6E052929"/>
    <w:rsid w:val="709410AA"/>
    <w:rsid w:val="76056BC9"/>
    <w:rsid w:val="76E01F41"/>
    <w:rsid w:val="78C06E32"/>
    <w:rsid w:val="7EAB737C"/>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日期 Char"/>
    <w:basedOn w:val="7"/>
    <w:link w:val="2"/>
    <w:semiHidden/>
    <w:qFormat/>
    <w:uiPriority w:val="99"/>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56AD-C754-4E52-9192-3347A4B90E2A}">
  <ds:schemaRefs/>
</ds:datastoreItem>
</file>

<file path=docProps/app.xml><?xml version="1.0" encoding="utf-8"?>
<Properties xmlns="http://schemas.openxmlformats.org/officeDocument/2006/extended-properties" xmlns:vt="http://schemas.openxmlformats.org/officeDocument/2006/docPropsVTypes">
  <Template>Normal</Template>
  <Pages>5</Pages>
  <Words>1714</Words>
  <Characters>1754</Characters>
  <Lines>3</Lines>
  <Paragraphs>1</Paragraphs>
  <TotalTime>230</TotalTime>
  <ScaleCrop>false</ScaleCrop>
  <LinksUpToDate>false</LinksUpToDate>
  <CharactersWithSpaces>1766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秦珂</cp:lastModifiedBy>
  <cp:lastPrinted>2022-05-11T05:51:00Z</cp:lastPrinted>
  <dcterms:modified xsi:type="dcterms:W3CDTF">2025-04-30T03:24:08Z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363D128E8E8C4C2EBD8506CCEEF208AF_12</vt:lpwstr>
  </property>
  <property fmtid="{D5CDD505-2E9C-101B-9397-08002B2CF9AE}" pid="4" name="KSOTemplateDocerSaveRecord">
    <vt:lpwstr>eyJoZGlkIjoiMDA1OGI0MmJhMDVlMjlkZTZmOTIwOGMxNjliMzNiZGQiLCJ1c2VySWQiOiI4NjIyODg5MjIifQ==</vt:lpwstr>
  </property>
</Properties>
</file>