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05242">
      <w:pPr>
        <w:keepNext w:val="0"/>
        <w:keepLines w:val="0"/>
        <w:pageBreakBefore w:val="0"/>
        <w:kinsoku/>
        <w:wordWrap/>
        <w:overflowPunct/>
        <w:topLinePunct/>
        <w:autoSpaceDE/>
        <w:autoSpaceDN/>
        <w:bidi w:val="0"/>
        <w:adjustRightInd/>
        <w:snapToGrid/>
        <w:spacing w:line="360" w:lineRule="auto"/>
        <w:ind w:firstLine="0" w:firstLineChars="0"/>
        <w:jc w:val="center"/>
        <w:textAlignment w:val="auto"/>
        <w:rPr>
          <w:rFonts w:hint="default" w:ascii="Times New Roman" w:hAnsi="Times New Roman" w:cs="Times New Roman"/>
          <w:sz w:val="44"/>
          <w:szCs w:val="44"/>
        </w:rPr>
      </w:pPr>
    </w:p>
    <w:p w14:paraId="7197FF57">
      <w:pPr>
        <w:keepNext w:val="0"/>
        <w:keepLines w:val="0"/>
        <w:pageBreakBefore w:val="0"/>
        <w:widowControl/>
        <w:kinsoku/>
        <w:wordWrap/>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bCs/>
          <w:color w:val="000000"/>
          <w:kern w:val="0"/>
          <w:sz w:val="36"/>
          <w:szCs w:val="36"/>
          <w:highlight w:val="none"/>
        </w:rPr>
      </w:pPr>
      <w:r>
        <w:rPr>
          <w:rFonts w:hint="default" w:ascii="Times New Roman" w:hAnsi="Times New Roman" w:eastAsia="黑体" w:cs="Times New Roman"/>
          <w:bCs/>
          <w:color w:val="000000"/>
          <w:kern w:val="0"/>
          <w:sz w:val="36"/>
          <w:szCs w:val="36"/>
          <w:highlight w:val="none"/>
        </w:rPr>
        <w:t xml:space="preserve">《土壤  </w:t>
      </w:r>
      <w:r>
        <w:rPr>
          <w:rFonts w:hint="default" w:ascii="Times New Roman" w:hAnsi="Times New Roman" w:eastAsia="黑体" w:cs="Times New Roman"/>
          <w:bCs/>
          <w:color w:val="000000"/>
          <w:kern w:val="0"/>
          <w:sz w:val="36"/>
          <w:szCs w:val="36"/>
          <w:highlight w:val="none"/>
          <w:lang w:eastAsia="zh-CN"/>
        </w:rPr>
        <w:t>三氯杀螨醇</w:t>
      </w:r>
      <w:r>
        <w:rPr>
          <w:rFonts w:hint="default" w:ascii="Times New Roman" w:hAnsi="Times New Roman" w:eastAsia="黑体" w:cs="Times New Roman"/>
          <w:bCs/>
          <w:color w:val="000000"/>
          <w:kern w:val="0"/>
          <w:sz w:val="36"/>
          <w:szCs w:val="36"/>
          <w:highlight w:val="none"/>
        </w:rPr>
        <w:t>的测定  气相色谱</w:t>
      </w:r>
      <w:r>
        <w:rPr>
          <w:rFonts w:hint="default" w:ascii="Times New Roman" w:hAnsi="Times New Roman" w:eastAsia="黑体" w:cs="Times New Roman"/>
          <w:bCs/>
          <w:color w:val="000000"/>
          <w:kern w:val="0"/>
          <w:sz w:val="36"/>
          <w:szCs w:val="36"/>
          <w:highlight w:val="none"/>
          <w:lang w:val="en-US" w:eastAsia="zh-CN"/>
        </w:rPr>
        <w:t>-</w:t>
      </w:r>
      <w:r>
        <w:rPr>
          <w:rFonts w:hint="default" w:ascii="Times New Roman" w:hAnsi="Times New Roman" w:eastAsia="黑体" w:cs="Times New Roman"/>
          <w:bCs/>
          <w:color w:val="000000"/>
          <w:kern w:val="0"/>
          <w:sz w:val="36"/>
          <w:szCs w:val="36"/>
          <w:highlight w:val="none"/>
        </w:rPr>
        <w:t>质谱法》</w:t>
      </w:r>
    </w:p>
    <w:p w14:paraId="1FD99A63">
      <w:pPr>
        <w:keepNext w:val="0"/>
        <w:keepLines w:val="0"/>
        <w:pageBreakBefore w:val="0"/>
        <w:widowControl/>
        <w:kinsoku/>
        <w:wordWrap/>
        <w:overflowPunct/>
        <w:topLinePunct/>
        <w:autoSpaceDE/>
        <w:autoSpaceDN/>
        <w:bidi w:val="0"/>
        <w:adjustRightInd/>
        <w:snapToGrid/>
        <w:spacing w:line="360" w:lineRule="auto"/>
        <w:ind w:firstLine="0" w:firstLineChars="0"/>
        <w:jc w:val="center"/>
        <w:textAlignment w:val="auto"/>
        <w:outlineLvl w:val="0"/>
        <w:rPr>
          <w:rFonts w:hint="default" w:ascii="Times New Roman" w:hAnsi="Times New Roman" w:eastAsia="黑体" w:cs="Times New Roman"/>
          <w:bCs/>
          <w:color w:val="000000"/>
          <w:kern w:val="0"/>
          <w:sz w:val="36"/>
          <w:szCs w:val="36"/>
          <w:highlight w:val="none"/>
        </w:rPr>
      </w:pPr>
      <w:bookmarkStart w:id="0" w:name="_Toc9378"/>
      <w:bookmarkStart w:id="1" w:name="_Toc5249"/>
      <w:bookmarkStart w:id="2" w:name="_Toc20766"/>
      <w:bookmarkStart w:id="3" w:name="_Toc13078"/>
      <w:bookmarkStart w:id="4" w:name="_Toc7771"/>
      <w:bookmarkStart w:id="5" w:name="_Toc28140"/>
      <w:bookmarkStart w:id="6" w:name="_Toc32492"/>
      <w:r>
        <w:rPr>
          <w:rFonts w:hint="default" w:ascii="Times New Roman" w:hAnsi="Times New Roman" w:eastAsia="黑体" w:cs="Times New Roman"/>
          <w:bCs/>
          <w:color w:val="000000"/>
          <w:kern w:val="0"/>
          <w:sz w:val="36"/>
          <w:szCs w:val="36"/>
          <w:highlight w:val="none"/>
        </w:rPr>
        <w:t>（征求意见稿）</w:t>
      </w:r>
      <w:bookmarkEnd w:id="0"/>
      <w:bookmarkEnd w:id="1"/>
      <w:bookmarkEnd w:id="2"/>
      <w:bookmarkEnd w:id="3"/>
      <w:bookmarkEnd w:id="4"/>
      <w:bookmarkEnd w:id="5"/>
      <w:bookmarkEnd w:id="6"/>
    </w:p>
    <w:p w14:paraId="13CD92CF">
      <w:pPr>
        <w:keepNext w:val="0"/>
        <w:keepLines w:val="0"/>
        <w:pageBreakBefore w:val="0"/>
        <w:widowControl/>
        <w:kinsoku/>
        <w:wordWrap/>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bCs/>
          <w:color w:val="000000"/>
          <w:kern w:val="0"/>
          <w:sz w:val="36"/>
          <w:szCs w:val="36"/>
          <w:highlight w:val="none"/>
        </w:rPr>
      </w:pPr>
      <w:r>
        <w:rPr>
          <w:rFonts w:hint="default" w:ascii="Times New Roman" w:hAnsi="Times New Roman" w:eastAsia="黑体" w:cs="Times New Roman"/>
          <w:bCs/>
          <w:color w:val="000000"/>
          <w:kern w:val="0"/>
          <w:sz w:val="36"/>
          <w:szCs w:val="36"/>
          <w:highlight w:val="none"/>
        </w:rPr>
        <w:t>编制说明</w:t>
      </w:r>
    </w:p>
    <w:p w14:paraId="307BAF3F">
      <w:pPr>
        <w:jc w:val="center"/>
        <w:rPr>
          <w:rFonts w:hint="default" w:ascii="Times New Roman" w:hAnsi="Times New Roman" w:eastAsia="宋体" w:cs="Times New Roman"/>
          <w:sz w:val="44"/>
          <w:szCs w:val="44"/>
          <w:lang w:val="en-US" w:eastAsia="zh-CN"/>
        </w:rPr>
      </w:pPr>
    </w:p>
    <w:p w14:paraId="71F9C7F9">
      <w:pPr>
        <w:jc w:val="center"/>
        <w:rPr>
          <w:rFonts w:hint="default" w:ascii="Times New Roman" w:hAnsi="Times New Roman" w:cs="Times New Roman"/>
          <w:sz w:val="44"/>
          <w:szCs w:val="44"/>
        </w:rPr>
      </w:pPr>
    </w:p>
    <w:p w14:paraId="429CFDD1">
      <w:pPr>
        <w:jc w:val="center"/>
        <w:rPr>
          <w:rFonts w:hint="default" w:ascii="Times New Roman" w:hAnsi="Times New Roman" w:cs="Times New Roman"/>
          <w:sz w:val="44"/>
          <w:szCs w:val="44"/>
        </w:rPr>
      </w:pPr>
    </w:p>
    <w:p w14:paraId="1BFF6A0D">
      <w:pPr>
        <w:jc w:val="center"/>
        <w:rPr>
          <w:rFonts w:hint="default" w:ascii="Times New Roman" w:hAnsi="Times New Roman" w:cs="Times New Roman"/>
          <w:sz w:val="44"/>
          <w:szCs w:val="44"/>
        </w:rPr>
      </w:pPr>
    </w:p>
    <w:p w14:paraId="286180F3">
      <w:pPr>
        <w:jc w:val="center"/>
        <w:rPr>
          <w:rFonts w:hint="default" w:ascii="Times New Roman" w:hAnsi="Times New Roman" w:cs="Times New Roman"/>
          <w:sz w:val="44"/>
          <w:szCs w:val="44"/>
        </w:rPr>
      </w:pPr>
    </w:p>
    <w:p w14:paraId="20DB717A">
      <w:pPr>
        <w:jc w:val="center"/>
        <w:rPr>
          <w:rFonts w:hint="default" w:ascii="Times New Roman" w:hAnsi="Times New Roman" w:cs="Times New Roman"/>
          <w:sz w:val="44"/>
          <w:szCs w:val="44"/>
        </w:rPr>
      </w:pPr>
    </w:p>
    <w:p w14:paraId="09C9E295">
      <w:pPr>
        <w:jc w:val="center"/>
        <w:rPr>
          <w:rFonts w:hint="default" w:ascii="Times New Roman" w:hAnsi="Times New Roman" w:cs="Times New Roman"/>
          <w:sz w:val="44"/>
          <w:szCs w:val="44"/>
        </w:rPr>
      </w:pPr>
    </w:p>
    <w:p w14:paraId="5A99BF6A">
      <w:pPr>
        <w:jc w:val="center"/>
        <w:rPr>
          <w:rFonts w:hint="default" w:ascii="Times New Roman" w:hAnsi="Times New Roman" w:cs="Times New Roman"/>
          <w:sz w:val="44"/>
          <w:szCs w:val="44"/>
        </w:rPr>
      </w:pPr>
    </w:p>
    <w:p w14:paraId="5EBE7758">
      <w:pPr>
        <w:jc w:val="center"/>
        <w:rPr>
          <w:rFonts w:hint="default" w:ascii="Times New Roman" w:hAnsi="Times New Roman" w:cs="Times New Roman"/>
          <w:sz w:val="44"/>
          <w:szCs w:val="44"/>
        </w:rPr>
      </w:pPr>
    </w:p>
    <w:p w14:paraId="1CF1AA77">
      <w:pPr>
        <w:jc w:val="center"/>
        <w:rPr>
          <w:rFonts w:hint="default" w:ascii="Times New Roman" w:hAnsi="Times New Roman" w:cs="Times New Roman"/>
          <w:sz w:val="44"/>
          <w:szCs w:val="44"/>
        </w:rPr>
      </w:pPr>
    </w:p>
    <w:p w14:paraId="3AC424E8">
      <w:pPr>
        <w:jc w:val="center"/>
        <w:rPr>
          <w:rFonts w:hint="default" w:ascii="Times New Roman" w:hAnsi="Times New Roman" w:cs="Times New Roman"/>
          <w:sz w:val="44"/>
          <w:szCs w:val="44"/>
        </w:rPr>
      </w:pPr>
    </w:p>
    <w:p w14:paraId="07E7D0C1">
      <w:pPr>
        <w:jc w:val="center"/>
        <w:rPr>
          <w:rFonts w:hint="default" w:ascii="Times New Roman" w:hAnsi="Times New Roman" w:cs="Times New Roman"/>
          <w:sz w:val="44"/>
          <w:szCs w:val="44"/>
        </w:rPr>
      </w:pPr>
    </w:p>
    <w:p w14:paraId="655652A4">
      <w:pPr>
        <w:jc w:val="center"/>
        <w:rPr>
          <w:rFonts w:hint="default" w:ascii="Times New Roman" w:hAnsi="Times New Roman" w:cs="Times New Roman"/>
          <w:sz w:val="44"/>
          <w:szCs w:val="44"/>
        </w:rPr>
      </w:pPr>
    </w:p>
    <w:p w14:paraId="35BDE748">
      <w:pPr>
        <w:jc w:val="center"/>
        <w:rPr>
          <w:rFonts w:hint="default" w:ascii="Times New Roman" w:hAnsi="Times New Roman" w:cs="Times New Roman"/>
          <w:sz w:val="44"/>
          <w:szCs w:val="44"/>
        </w:rPr>
      </w:pPr>
    </w:p>
    <w:p w14:paraId="26989E7D">
      <w:pPr>
        <w:jc w:val="center"/>
        <w:rPr>
          <w:rFonts w:hint="default" w:ascii="Times New Roman" w:hAnsi="Times New Roman" w:cs="Times New Roman"/>
          <w:sz w:val="44"/>
          <w:szCs w:val="44"/>
        </w:rPr>
      </w:pPr>
    </w:p>
    <w:p w14:paraId="0725DA5B">
      <w:pPr>
        <w:jc w:val="center"/>
        <w:rPr>
          <w:rFonts w:hint="default" w:ascii="Times New Roman" w:hAnsi="Times New Roman" w:cs="Times New Roman"/>
          <w:sz w:val="44"/>
          <w:szCs w:val="44"/>
        </w:rPr>
      </w:pPr>
    </w:p>
    <w:p w14:paraId="4F3CC546">
      <w:pPr>
        <w:jc w:val="center"/>
        <w:rPr>
          <w:rFonts w:hint="default" w:ascii="Times New Roman" w:hAnsi="Times New Roman" w:cs="Times New Roman"/>
          <w:sz w:val="44"/>
          <w:szCs w:val="44"/>
        </w:rPr>
      </w:pPr>
    </w:p>
    <w:p w14:paraId="177DDDFB">
      <w:pPr>
        <w:jc w:val="center"/>
        <w:rPr>
          <w:rFonts w:hint="default" w:ascii="Times New Roman" w:hAnsi="Times New Roman" w:cs="Times New Roman"/>
          <w:sz w:val="44"/>
          <w:szCs w:val="44"/>
        </w:rPr>
      </w:pPr>
    </w:p>
    <w:p w14:paraId="5AEC5EC2">
      <w:pPr>
        <w:jc w:val="center"/>
        <w:rPr>
          <w:rFonts w:hint="default" w:ascii="Times New Roman" w:hAnsi="Times New Roman" w:cs="Times New Roman"/>
          <w:sz w:val="44"/>
          <w:szCs w:val="44"/>
        </w:rPr>
      </w:pPr>
    </w:p>
    <w:p w14:paraId="070F3B10">
      <w:pPr>
        <w:jc w:val="center"/>
        <w:rPr>
          <w:rFonts w:hint="default" w:ascii="Times New Roman" w:hAnsi="Times New Roman" w:cs="Times New Roman"/>
          <w:sz w:val="44"/>
          <w:szCs w:val="44"/>
        </w:rPr>
      </w:pPr>
    </w:p>
    <w:p w14:paraId="3DBD6B86">
      <w:pPr>
        <w:jc w:val="center"/>
        <w:rPr>
          <w:rFonts w:hint="default" w:ascii="Times New Roman" w:hAnsi="Times New Roman" w:cs="Times New Roman"/>
          <w:sz w:val="44"/>
          <w:szCs w:val="44"/>
        </w:rPr>
      </w:pPr>
    </w:p>
    <w:p w14:paraId="3E847F52">
      <w:pPr>
        <w:jc w:val="center"/>
        <w:rPr>
          <w:rFonts w:hint="default" w:ascii="Times New Roman" w:hAnsi="Times New Roman" w:cs="Times New Roman"/>
          <w:sz w:val="44"/>
          <w:szCs w:val="44"/>
        </w:rPr>
      </w:pPr>
    </w:p>
    <w:p w14:paraId="0E4F6F88">
      <w:pPr>
        <w:jc w:val="center"/>
        <w:rPr>
          <w:rFonts w:hint="default" w:ascii="Times New Roman" w:hAnsi="Times New Roman" w:cs="Times New Roman"/>
          <w:sz w:val="44"/>
          <w:szCs w:val="44"/>
        </w:rPr>
      </w:pPr>
    </w:p>
    <w:p w14:paraId="1755CA27">
      <w:pPr>
        <w:jc w:val="center"/>
        <w:rPr>
          <w:rFonts w:hint="default" w:ascii="Times New Roman" w:hAnsi="Times New Roman" w:cs="Times New Roman"/>
          <w:sz w:val="44"/>
          <w:szCs w:val="44"/>
        </w:rPr>
      </w:pPr>
    </w:p>
    <w:p w14:paraId="08AD97C6">
      <w:pPr>
        <w:jc w:val="center"/>
        <w:rPr>
          <w:rFonts w:hint="default" w:ascii="Times New Roman" w:hAnsi="Times New Roman" w:cs="Times New Roman"/>
          <w:sz w:val="44"/>
          <w:szCs w:val="44"/>
        </w:rPr>
      </w:pPr>
    </w:p>
    <w:p w14:paraId="36ADF2B8">
      <w:pPr>
        <w:widowControl/>
        <w:spacing w:line="360" w:lineRule="auto"/>
        <w:jc w:val="center"/>
        <w:rPr>
          <w:rFonts w:hint="default" w:ascii="Times New Roman" w:hAnsi="Times New Roman" w:eastAsia="黑体" w:cs="Times New Roman"/>
          <w:bCs/>
          <w:color w:val="000000"/>
          <w:sz w:val="28"/>
          <w:szCs w:val="28"/>
          <w:highlight w:val="none"/>
        </w:rPr>
      </w:pPr>
      <w:r>
        <w:rPr>
          <w:rFonts w:hint="default" w:ascii="Times New Roman" w:hAnsi="Times New Roman" w:eastAsia="黑体" w:cs="Times New Roman"/>
          <w:bCs/>
          <w:color w:val="000000"/>
          <w:sz w:val="28"/>
          <w:szCs w:val="28"/>
          <w:highlight w:val="none"/>
        </w:rPr>
        <w:t xml:space="preserve">《土壤  </w:t>
      </w:r>
      <w:r>
        <w:rPr>
          <w:rFonts w:hint="default" w:ascii="Times New Roman" w:hAnsi="Times New Roman" w:eastAsia="黑体" w:cs="Times New Roman"/>
          <w:bCs/>
          <w:color w:val="000000"/>
          <w:sz w:val="28"/>
          <w:szCs w:val="28"/>
          <w:highlight w:val="none"/>
          <w:lang w:eastAsia="zh-CN"/>
        </w:rPr>
        <w:t>三氯杀螨醇</w:t>
      </w:r>
      <w:r>
        <w:rPr>
          <w:rFonts w:hint="default" w:ascii="Times New Roman" w:hAnsi="Times New Roman" w:eastAsia="黑体" w:cs="Times New Roman"/>
          <w:bCs/>
          <w:color w:val="000000"/>
          <w:sz w:val="28"/>
          <w:szCs w:val="28"/>
          <w:highlight w:val="none"/>
        </w:rPr>
        <w:t>的测定  气相色谱</w:t>
      </w:r>
      <w:r>
        <w:rPr>
          <w:rFonts w:hint="default" w:ascii="Times New Roman" w:hAnsi="Times New Roman" w:eastAsia="黑体" w:cs="Times New Roman"/>
          <w:bCs/>
          <w:color w:val="000000"/>
          <w:sz w:val="28"/>
          <w:szCs w:val="28"/>
          <w:highlight w:val="none"/>
          <w:lang w:val="en-US" w:eastAsia="zh-CN"/>
        </w:rPr>
        <w:t>-</w:t>
      </w:r>
      <w:r>
        <w:rPr>
          <w:rFonts w:hint="default" w:ascii="Times New Roman" w:hAnsi="Times New Roman" w:eastAsia="黑体" w:cs="Times New Roman"/>
          <w:bCs/>
          <w:color w:val="000000"/>
          <w:sz w:val="28"/>
          <w:szCs w:val="28"/>
          <w:highlight w:val="none"/>
        </w:rPr>
        <w:t>质谱法》</w:t>
      </w:r>
    </w:p>
    <w:p w14:paraId="1DD15CBF">
      <w:pPr>
        <w:widowControl/>
        <w:spacing w:line="360" w:lineRule="auto"/>
        <w:jc w:val="center"/>
        <w:rPr>
          <w:rFonts w:hint="default" w:ascii="Times New Roman" w:hAnsi="Times New Roman" w:eastAsia="黑体" w:cs="Times New Roman"/>
          <w:bCs/>
          <w:color w:val="000000"/>
          <w:sz w:val="28"/>
          <w:szCs w:val="28"/>
          <w:highlight w:val="none"/>
        </w:rPr>
      </w:pPr>
      <w:r>
        <w:rPr>
          <w:rFonts w:hint="default" w:ascii="Times New Roman" w:hAnsi="Times New Roman" w:eastAsia="黑体" w:cs="Times New Roman"/>
          <w:bCs/>
          <w:color w:val="000000"/>
          <w:sz w:val="28"/>
          <w:szCs w:val="28"/>
          <w:highlight w:val="none"/>
        </w:rPr>
        <w:t>标准编制组</w:t>
      </w:r>
    </w:p>
    <w:p w14:paraId="4B3790C2">
      <w:pPr>
        <w:pStyle w:val="6"/>
        <w:spacing w:line="360" w:lineRule="auto"/>
        <w:rPr>
          <w:rFonts w:hint="default" w:ascii="Times New Roman" w:hAnsi="Times New Roman" w:eastAsia="黑体" w:cs="Times New Roman"/>
          <w:bCs/>
          <w:color w:val="000000"/>
          <w:highlight w:val="none"/>
        </w:rPr>
      </w:pPr>
      <w:r>
        <w:rPr>
          <w:rFonts w:hint="default" w:ascii="Times New Roman" w:hAnsi="Times New Roman" w:eastAsia="黑体" w:cs="Times New Roman"/>
          <w:bCs/>
          <w:color w:val="000000"/>
          <w:highlight w:val="none"/>
        </w:rPr>
        <w:t>二〇二</w:t>
      </w:r>
      <w:r>
        <w:rPr>
          <w:rFonts w:hint="default" w:ascii="Times New Roman" w:hAnsi="Times New Roman" w:eastAsia="黑体" w:cs="Times New Roman"/>
          <w:bCs/>
          <w:color w:val="000000"/>
          <w:highlight w:val="none"/>
          <w:lang w:eastAsia="zh-CN"/>
        </w:rPr>
        <w:t>五</w:t>
      </w:r>
      <w:r>
        <w:rPr>
          <w:rFonts w:hint="default" w:ascii="Times New Roman" w:hAnsi="Times New Roman" w:eastAsia="黑体" w:cs="Times New Roman"/>
          <w:bCs/>
          <w:color w:val="000000"/>
          <w:highlight w:val="none"/>
        </w:rPr>
        <w:t>年</w:t>
      </w:r>
      <w:r>
        <w:rPr>
          <w:rFonts w:hint="eastAsia" w:ascii="Times New Roman" w:hAnsi="Times New Roman" w:eastAsia="黑体" w:cs="Times New Roman"/>
          <w:bCs/>
          <w:color w:val="000000"/>
          <w:highlight w:val="none"/>
          <w:lang w:val="en-US" w:eastAsia="zh-CN"/>
        </w:rPr>
        <w:t>五</w:t>
      </w:r>
      <w:r>
        <w:rPr>
          <w:rFonts w:hint="default" w:ascii="Times New Roman" w:hAnsi="Times New Roman" w:eastAsia="黑体" w:cs="Times New Roman"/>
          <w:bCs/>
          <w:color w:val="000000"/>
          <w:highlight w:val="none"/>
        </w:rPr>
        <w:t>月</w:t>
      </w:r>
    </w:p>
    <w:p w14:paraId="68A1624C">
      <w:pPr>
        <w:rPr>
          <w:rFonts w:hint="default" w:ascii="Times New Roman" w:hAnsi="Times New Roman" w:eastAsia="黑体" w:cs="Times New Roman"/>
          <w:bCs/>
          <w:color w:val="000000"/>
          <w:highlight w:val="none"/>
        </w:rPr>
        <w:sectPr>
          <w:pgSz w:w="11906" w:h="16838"/>
          <w:pgMar w:top="1701" w:right="1701" w:bottom="1701"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黑体" w:cs="Times New Roman"/>
          <w:bCs/>
          <w:color w:val="000000"/>
          <w:highlight w:val="none"/>
        </w:rPr>
        <w:br w:type="page"/>
      </w:r>
    </w:p>
    <w:p w14:paraId="5A24A65E">
      <w:pPr>
        <w:pStyle w:val="6"/>
        <w:keepNext w:val="0"/>
        <w:keepLines w:val="0"/>
        <w:pageBreakBefore w:val="0"/>
        <w:widowControl w:val="0"/>
        <w:kinsoku/>
        <w:wordWrap/>
        <w:overflowPunct/>
        <w:topLinePunct/>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color w:val="000000"/>
          <w:kern w:val="0"/>
          <w:sz w:val="32"/>
          <w:szCs w:val="32"/>
          <w:highlight w:val="none"/>
        </w:rPr>
      </w:pPr>
      <w:r>
        <w:rPr>
          <w:rFonts w:hint="default" w:ascii="Times New Roman" w:hAnsi="Times New Roman" w:eastAsia="黑体" w:cs="Times New Roman"/>
          <w:color w:val="000000"/>
          <w:kern w:val="0"/>
          <w:sz w:val="32"/>
          <w:szCs w:val="32"/>
          <w:highlight w:val="none"/>
        </w:rPr>
        <w:t>目    录</w:t>
      </w:r>
    </w:p>
    <w:sdt>
      <w:sdtPr>
        <w:rPr>
          <w:rFonts w:ascii="宋体" w:hAnsi="宋体" w:eastAsia="宋体" w:cs="Times New Roman"/>
          <w:kern w:val="2"/>
          <w:sz w:val="21"/>
          <w:szCs w:val="24"/>
          <w:lang w:val="en-US" w:eastAsia="zh-CN" w:bidi="ar-SA"/>
        </w:rPr>
        <w:id w:val="147453672"/>
        <w15:color w:val="DBDBDB"/>
        <w:docPartObj>
          <w:docPartGallery w:val="Table of Contents"/>
          <w:docPartUnique/>
        </w:docPartObj>
      </w:sdtPr>
      <w:sdtEndPr>
        <w:rPr>
          <w:rFonts w:hint="default" w:ascii="Times New Roman" w:hAnsi="Times New Roman" w:eastAsia="黑体" w:cs="Times New Roman"/>
          <w:b/>
          <w:color w:val="000000"/>
          <w:kern w:val="0"/>
          <w:sz w:val="21"/>
          <w:szCs w:val="32"/>
          <w:highlight w:val="none"/>
          <w:lang w:val="en-US" w:eastAsia="zh-CN" w:bidi="ar-SA"/>
        </w:rPr>
      </w:sdtEndPr>
      <w:sdtContent>
        <w:p w14:paraId="299B1CC7">
          <w:pPr>
            <w:tabs>
              <w:tab w:val="right" w:leader="dot" w:pos="8504"/>
            </w:tabs>
            <w:spacing w:before="0" w:beforeLines="0" w:after="0" w:afterLines="0" w:line="240" w:lineRule="auto"/>
            <w:ind w:left="0" w:leftChars="0" w:right="0" w:rightChars="0" w:firstLine="0" w:firstLineChars="0"/>
            <w:jc w:val="center"/>
            <w:rPr>
              <w:rFonts w:hint="default" w:ascii="Times New Roman" w:hAnsi="Times New Roman" w:eastAsia="黑体" w:cs="Times New Roman"/>
              <w:b/>
              <w:color w:val="000000"/>
              <w:kern w:val="0"/>
              <w:sz w:val="21"/>
              <w:szCs w:val="32"/>
              <w:highlight w:val="none"/>
              <w:lang w:val="en-US" w:eastAsia="zh-CN" w:bidi="ar-SA"/>
            </w:rPr>
          </w:pPr>
          <w:r>
            <w:rPr>
              <w:rFonts w:hint="default" w:ascii="Times New Roman" w:hAnsi="Times New Roman" w:eastAsia="黑体" w:cs="Times New Roman"/>
              <w:b/>
              <w:color w:val="000000"/>
              <w:kern w:val="0"/>
              <w:sz w:val="28"/>
              <w:szCs w:val="32"/>
              <w:highlight w:val="none"/>
              <w:lang w:val="en-US" w:eastAsia="zh-CN" w:bidi="ar-SA"/>
            </w:rPr>
            <w:fldChar w:fldCharType="begin"/>
          </w:r>
          <w:r>
            <w:rPr>
              <w:rFonts w:hint="default" w:ascii="Times New Roman" w:hAnsi="Times New Roman" w:eastAsia="黑体" w:cs="Times New Roman"/>
              <w:b/>
              <w:color w:val="000000"/>
              <w:kern w:val="0"/>
              <w:sz w:val="28"/>
              <w:szCs w:val="32"/>
              <w:highlight w:val="none"/>
              <w:lang w:val="en-US" w:eastAsia="zh-CN" w:bidi="ar-SA"/>
            </w:rPr>
            <w:instrText xml:space="preserve">TOC \o "1-2" \h \u </w:instrText>
          </w:r>
          <w:r>
            <w:rPr>
              <w:rFonts w:hint="default" w:ascii="Times New Roman" w:hAnsi="Times New Roman" w:eastAsia="黑体" w:cs="Times New Roman"/>
              <w:b/>
              <w:color w:val="000000"/>
              <w:kern w:val="0"/>
              <w:sz w:val="28"/>
              <w:szCs w:val="32"/>
              <w:highlight w:val="none"/>
              <w:lang w:val="en-US" w:eastAsia="zh-CN" w:bidi="ar-SA"/>
            </w:rPr>
            <w:fldChar w:fldCharType="separate"/>
          </w:r>
        </w:p>
        <w:p w14:paraId="73B49D48">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_Toc29856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1  工作概况</w:t>
          </w:r>
          <w:r>
            <w:tab/>
          </w:r>
          <w:r>
            <w:fldChar w:fldCharType="begin"/>
          </w:r>
          <w:r>
            <w:instrText xml:space="preserve"> PAGEREF _Toc29856 \h </w:instrText>
          </w:r>
          <w:r>
            <w:fldChar w:fldCharType="separate"/>
          </w:r>
          <w:r>
            <w:t>1</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34DBDC40">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_Toc18871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1.1  任务来源</w:t>
          </w:r>
          <w:r>
            <w:tab/>
          </w:r>
          <w:r>
            <w:fldChar w:fldCharType="begin"/>
          </w:r>
          <w:r>
            <w:instrText xml:space="preserve"> PAGEREF _Toc18871 \h </w:instrText>
          </w:r>
          <w:r>
            <w:fldChar w:fldCharType="separate"/>
          </w:r>
          <w:r>
            <w:t>1</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650BA28A">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_Toc29645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1.2  工作过程</w:t>
          </w:r>
          <w:r>
            <w:tab/>
          </w:r>
          <w:r>
            <w:fldChar w:fldCharType="begin"/>
          </w:r>
          <w:r>
            <w:instrText xml:space="preserve"> PAGEREF _Toc29645 \h </w:instrText>
          </w:r>
          <w:r>
            <w:fldChar w:fldCharType="separate"/>
          </w:r>
          <w:r>
            <w:t>1</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029A769F">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_Toc234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1.3  主要起草人及所做的工作</w:t>
          </w:r>
          <w:r>
            <w:tab/>
          </w:r>
          <w:r>
            <w:fldChar w:fldCharType="begin"/>
          </w:r>
          <w:r>
            <w:instrText xml:space="preserve"> PAGEREF _Toc234 \h </w:instrText>
          </w:r>
          <w:r>
            <w:fldChar w:fldCharType="separate"/>
          </w:r>
          <w:r>
            <w:t>2</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00D17806">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_Toc24872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1.4  目标物研究的背景和意义</w:t>
          </w:r>
          <w:r>
            <w:tab/>
          </w:r>
          <w:r>
            <w:fldChar w:fldCharType="begin"/>
          </w:r>
          <w:r>
            <w:instrText xml:space="preserve"> PAGEREF _Toc24872 \h </w:instrText>
          </w:r>
          <w:r>
            <w:fldChar w:fldCharType="separate"/>
          </w:r>
          <w:r>
            <w:t>2</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D238297">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_Toc27809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1.5  目标物的理化性质和危害</w:t>
          </w:r>
          <w:r>
            <w:tab/>
          </w:r>
          <w:r>
            <w:fldChar w:fldCharType="begin"/>
          </w:r>
          <w:r>
            <w:instrText xml:space="preserve"> PAGEREF _Toc27809 \h </w:instrText>
          </w:r>
          <w:r>
            <w:fldChar w:fldCharType="separate"/>
          </w:r>
          <w:r>
            <w:t>3</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0E6EEEA8">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_Toc15563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2  与相关标准的关系分析</w:t>
          </w:r>
          <w:r>
            <w:tab/>
          </w:r>
          <w:r>
            <w:fldChar w:fldCharType="begin"/>
          </w:r>
          <w:r>
            <w:instrText xml:space="preserve"> PAGEREF _Toc15563 \h </w:instrText>
          </w:r>
          <w:r>
            <w:fldChar w:fldCharType="separate"/>
          </w:r>
          <w:r>
            <w:t>4</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3293F8BC">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_Toc20224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2.1  国外相关管控要求</w:t>
          </w:r>
          <w:r>
            <w:tab/>
          </w:r>
          <w:r>
            <w:fldChar w:fldCharType="begin"/>
          </w:r>
          <w:r>
            <w:instrText xml:space="preserve"> PAGEREF _Toc20224 \h </w:instrText>
          </w:r>
          <w:r>
            <w:fldChar w:fldCharType="separate"/>
          </w:r>
          <w:r>
            <w:t>4</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0635159A">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_Toc16627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2.2  国内相关管控要求</w:t>
          </w:r>
          <w:r>
            <w:tab/>
          </w:r>
          <w:r>
            <w:fldChar w:fldCharType="begin"/>
          </w:r>
          <w:r>
            <w:instrText xml:space="preserve"> PAGEREF _Toc16627 \h </w:instrText>
          </w:r>
          <w:r>
            <w:fldChar w:fldCharType="separate"/>
          </w:r>
          <w:r>
            <w:t>5</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11AE0872">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_Toc8018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2.3  国内外相关标准方法</w:t>
          </w:r>
          <w:r>
            <w:tab/>
          </w:r>
          <w:r>
            <w:fldChar w:fldCharType="begin"/>
          </w:r>
          <w:r>
            <w:instrText xml:space="preserve"> PAGEREF _Toc8018 \h </w:instrText>
          </w:r>
          <w:r>
            <w:fldChar w:fldCharType="separate"/>
          </w:r>
          <w:r>
            <w:t>5</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FC4B6D5">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_Toc7616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3  采用国际标准的程度及水平说明</w:t>
          </w:r>
          <w:r>
            <w:tab/>
          </w:r>
          <w:r>
            <w:fldChar w:fldCharType="begin"/>
          </w:r>
          <w:r>
            <w:instrText xml:space="preserve"> PAGEREF _Toc7616 \h </w:instrText>
          </w:r>
          <w:r>
            <w:fldChar w:fldCharType="separate"/>
          </w:r>
          <w:r>
            <w:t>6</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22895676">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_Toc29516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4  标准制定的基本原则和技术路线</w:t>
          </w:r>
          <w:r>
            <w:tab/>
          </w:r>
          <w:r>
            <w:fldChar w:fldCharType="begin"/>
          </w:r>
          <w:r>
            <w:instrText xml:space="preserve"> PAGEREF _Toc29516 \h </w:instrText>
          </w:r>
          <w:r>
            <w:fldChar w:fldCharType="separate"/>
          </w:r>
          <w:r>
            <w:t>7</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11D9E33F">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_Toc26581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4.1  标准制定的基本原则</w:t>
          </w:r>
          <w:r>
            <w:tab/>
          </w:r>
          <w:r>
            <w:fldChar w:fldCharType="begin"/>
          </w:r>
          <w:r>
            <w:instrText xml:space="preserve"> PAGEREF _Toc26581 \h </w:instrText>
          </w:r>
          <w:r>
            <w:fldChar w:fldCharType="separate"/>
          </w:r>
          <w:r>
            <w:t>7</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3BF5237F">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_Toc13217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4.2  标准制定的技术路线</w:t>
          </w:r>
          <w:r>
            <w:tab/>
          </w:r>
          <w:r>
            <w:fldChar w:fldCharType="begin"/>
          </w:r>
          <w:r>
            <w:instrText xml:space="preserve"> PAGEREF _Toc13217 \h </w:instrText>
          </w:r>
          <w:r>
            <w:fldChar w:fldCharType="separate"/>
          </w:r>
          <w:r>
            <w:t>7</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4EB0ABE2">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_Toc31031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5  标准主要条文或技术内容的依据</w:t>
          </w:r>
          <w:r>
            <w:tab/>
          </w:r>
          <w:r>
            <w:fldChar w:fldCharType="begin"/>
          </w:r>
          <w:r>
            <w:instrText xml:space="preserve"> PAGEREF _Toc31031 \h </w:instrText>
          </w:r>
          <w:r>
            <w:fldChar w:fldCharType="separate"/>
          </w:r>
          <w:r>
            <w:t>8</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03387896">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_Toc32249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5.1  主要技术内容</w:t>
          </w:r>
          <w:r>
            <w:tab/>
          </w:r>
          <w:r>
            <w:fldChar w:fldCharType="begin"/>
          </w:r>
          <w:r>
            <w:instrText xml:space="preserve"> PAGEREF _Toc32249 \h </w:instrText>
          </w:r>
          <w:r>
            <w:fldChar w:fldCharType="separate"/>
          </w:r>
          <w:r>
            <w:t>8</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3046E261">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_Toc15830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5.2  使用范围</w:t>
          </w:r>
          <w:r>
            <w:tab/>
          </w:r>
          <w:r>
            <w:fldChar w:fldCharType="begin"/>
          </w:r>
          <w:r>
            <w:instrText xml:space="preserve"> PAGEREF _Toc15830 \h </w:instrText>
          </w:r>
          <w:r>
            <w:fldChar w:fldCharType="separate"/>
          </w:r>
          <w:r>
            <w:t>8</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29688C70">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_Toc26562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5.3  方法原理</w:t>
          </w:r>
          <w:r>
            <w:tab/>
          </w:r>
          <w:r>
            <w:fldChar w:fldCharType="begin"/>
          </w:r>
          <w:r>
            <w:instrText xml:space="preserve"> PAGEREF _Toc26562 \h </w:instrText>
          </w:r>
          <w:r>
            <w:fldChar w:fldCharType="separate"/>
          </w:r>
          <w:r>
            <w:t>9</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1A9DAF5E">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_Toc29092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  主要试验、验证及试行结果</w:t>
          </w:r>
          <w:r>
            <w:tab/>
          </w:r>
          <w:r>
            <w:fldChar w:fldCharType="begin"/>
          </w:r>
          <w:r>
            <w:instrText xml:space="preserve"> PAGEREF _Toc29092 \h </w:instrText>
          </w:r>
          <w:r>
            <w:fldChar w:fldCharType="separate"/>
          </w:r>
          <w:r>
            <w:t>9</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150D2560">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_Toc12412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6.1  目标物确定依据</w:t>
          </w:r>
          <w:r>
            <w:tab/>
          </w:r>
          <w:r>
            <w:fldChar w:fldCharType="begin"/>
          </w:r>
          <w:r>
            <w:instrText xml:space="preserve"> PAGEREF _Toc12412 \h </w:instrText>
          </w:r>
          <w:r>
            <w:fldChar w:fldCharType="separate"/>
          </w:r>
          <w:r>
            <w:t>9</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34FFF0D">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_Toc17450 </w:instrText>
          </w:r>
          <w:r>
            <w:rPr>
              <w:rFonts w:hint="default" w:ascii="Times New Roman" w:hAnsi="Times New Roman" w:eastAsia="黑体" w:cs="Times New Roman"/>
              <w:kern w:val="0"/>
              <w:szCs w:val="32"/>
              <w:highlight w:val="none"/>
              <w:lang w:val="en-US" w:eastAsia="zh-CN" w:bidi="ar-SA"/>
            </w:rPr>
            <w:fldChar w:fldCharType="separate"/>
          </w:r>
          <w:r>
            <w:rPr>
              <w:rFonts w:hint="eastAsia" w:ascii="Times New Roman" w:hAnsi="Times New Roman" w:cs="Times New Roman"/>
              <w:highlight w:val="none"/>
              <w:lang w:val="en-US" w:eastAsia="zh-CN"/>
            </w:rPr>
            <w:t>6.2  标准适用范围研究</w:t>
          </w:r>
          <w:r>
            <w:tab/>
          </w:r>
          <w:r>
            <w:fldChar w:fldCharType="begin"/>
          </w:r>
          <w:r>
            <w:instrText xml:space="preserve"> PAGEREF _Toc17450 \h </w:instrText>
          </w:r>
          <w:r>
            <w:fldChar w:fldCharType="separate"/>
          </w:r>
          <w:r>
            <w:t>11</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65B64501">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_Toc10091 </w:instrText>
          </w:r>
          <w:r>
            <w:rPr>
              <w:rFonts w:hint="default" w:ascii="Times New Roman" w:hAnsi="Times New Roman" w:eastAsia="黑体" w:cs="Times New Roman"/>
              <w:kern w:val="0"/>
              <w:szCs w:val="32"/>
              <w:highlight w:val="none"/>
              <w:lang w:val="en-US" w:eastAsia="zh-CN" w:bidi="ar-SA"/>
            </w:rPr>
            <w:fldChar w:fldCharType="separate"/>
          </w:r>
          <w:r>
            <w:rPr>
              <w:rFonts w:hint="eastAsia"/>
              <w:lang w:val="en-US" w:eastAsia="zh-CN"/>
            </w:rPr>
            <w:t xml:space="preserve">6.3  </w:t>
          </w:r>
          <w:r>
            <w:rPr>
              <w:rFonts w:hint="default"/>
              <w:lang w:val="en-US" w:eastAsia="zh-CN"/>
            </w:rPr>
            <w:t>内标</w:t>
          </w:r>
          <w:r>
            <w:rPr>
              <w:rFonts w:hint="eastAsia"/>
              <w:lang w:val="en-US" w:eastAsia="zh-CN"/>
            </w:rPr>
            <w:t>和</w:t>
          </w:r>
          <w:r>
            <w:rPr>
              <w:rFonts w:hint="default"/>
              <w:lang w:val="en-US" w:eastAsia="zh-CN"/>
            </w:rPr>
            <w:t>替代物</w:t>
          </w:r>
          <w:r>
            <w:rPr>
              <w:rFonts w:hint="eastAsia"/>
              <w:lang w:val="en-US" w:eastAsia="zh-CN"/>
            </w:rPr>
            <w:t>确定依据</w:t>
          </w:r>
          <w:r>
            <w:tab/>
          </w:r>
          <w:r>
            <w:fldChar w:fldCharType="begin"/>
          </w:r>
          <w:r>
            <w:instrText xml:space="preserve"> PAGEREF _Toc10091 \h </w:instrText>
          </w:r>
          <w:r>
            <w:fldChar w:fldCharType="separate"/>
          </w:r>
          <w:r>
            <w:t>12</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7402684C">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_Toc13816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highlight w:val="none"/>
              <w:lang w:val="en-US" w:eastAsia="zh-CN"/>
            </w:rPr>
            <w:t>6.</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 xml:space="preserve">  </w:t>
          </w:r>
          <w:r>
            <w:rPr>
              <w:rFonts w:hint="default" w:ascii="Times New Roman" w:hAnsi="Times New Roman" w:cs="Times New Roman"/>
              <w:lang w:val="en-US" w:eastAsia="zh-CN"/>
            </w:rPr>
            <w:t>试剂和材料</w:t>
          </w:r>
          <w:r>
            <w:tab/>
          </w:r>
          <w:r>
            <w:fldChar w:fldCharType="begin"/>
          </w:r>
          <w:r>
            <w:instrText xml:space="preserve"> PAGEREF _Toc13816 \h </w:instrText>
          </w:r>
          <w:r>
            <w:fldChar w:fldCharType="separate"/>
          </w:r>
          <w:r>
            <w:t>13</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7FEAD102">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_Toc26212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w:t>
          </w: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仪器和设备</w:t>
          </w:r>
          <w:r>
            <w:tab/>
          </w:r>
          <w:r>
            <w:fldChar w:fldCharType="begin"/>
          </w:r>
          <w:r>
            <w:instrText xml:space="preserve"> PAGEREF _Toc26212 \h </w:instrText>
          </w:r>
          <w:r>
            <w:fldChar w:fldCharType="separate"/>
          </w:r>
          <w:r>
            <w:t>14</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25ED17C8">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_Toc26678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 xml:space="preserve">  样品</w:t>
          </w:r>
          <w:r>
            <w:tab/>
          </w:r>
          <w:r>
            <w:fldChar w:fldCharType="begin"/>
          </w:r>
          <w:r>
            <w:instrText xml:space="preserve"> PAGEREF _Toc26678 \h </w:instrText>
          </w:r>
          <w:r>
            <w:fldChar w:fldCharType="separate"/>
          </w:r>
          <w:r>
            <w:t>15</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19B90EAF">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_Toc31859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 xml:space="preserve">  样品的前处理</w:t>
          </w:r>
          <w:r>
            <w:tab/>
          </w:r>
          <w:r>
            <w:fldChar w:fldCharType="begin"/>
          </w:r>
          <w:r>
            <w:instrText xml:space="preserve"> PAGEREF _Toc31859 \h </w:instrText>
          </w:r>
          <w:r>
            <w:fldChar w:fldCharType="separate"/>
          </w:r>
          <w:r>
            <w:t>16</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3E833642">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_Toc31761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w:t>
          </w:r>
          <w:r>
            <w:rPr>
              <w:rFonts w:hint="eastAsia" w:ascii="Times New Roman" w:hAnsi="Times New Roman" w:cs="Times New Roman"/>
              <w:lang w:val="en-US" w:eastAsia="zh-CN"/>
            </w:rPr>
            <w:t>8</w:t>
          </w:r>
          <w:r>
            <w:rPr>
              <w:rFonts w:hint="default" w:ascii="Times New Roman" w:hAnsi="Times New Roman" w:cs="Times New Roman"/>
              <w:lang w:val="en-US" w:eastAsia="zh-CN"/>
            </w:rPr>
            <w:t xml:space="preserve">  分析步骤</w:t>
          </w:r>
          <w:r>
            <w:tab/>
          </w:r>
          <w:r>
            <w:fldChar w:fldCharType="begin"/>
          </w:r>
          <w:r>
            <w:instrText xml:space="preserve"> PAGEREF _Toc31761 \h </w:instrText>
          </w:r>
          <w:r>
            <w:fldChar w:fldCharType="separate"/>
          </w:r>
          <w:r>
            <w:t>22</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211FD51A">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_Toc27622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w:t>
          </w:r>
          <w:r>
            <w:rPr>
              <w:rFonts w:hint="eastAsia" w:ascii="Times New Roman" w:hAnsi="Times New Roman" w:cs="Times New Roman"/>
              <w:lang w:val="en-US" w:eastAsia="zh-CN"/>
            </w:rPr>
            <w:t>9</w:t>
          </w:r>
          <w:r>
            <w:rPr>
              <w:rFonts w:hint="default" w:ascii="Times New Roman" w:hAnsi="Times New Roman" w:cs="Times New Roman"/>
              <w:lang w:val="en-US" w:eastAsia="zh-CN"/>
            </w:rPr>
            <w:t xml:space="preserve">  标准曲线及谱图</w:t>
          </w:r>
          <w:r>
            <w:tab/>
          </w:r>
          <w:r>
            <w:fldChar w:fldCharType="begin"/>
          </w:r>
          <w:r>
            <w:instrText xml:space="preserve"> PAGEREF _Toc27622 \h </w:instrText>
          </w:r>
          <w:r>
            <w:fldChar w:fldCharType="separate"/>
          </w:r>
          <w:r>
            <w:t>22</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3C0FE8A">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_Toc9543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 xml:space="preserve">  结果计算与表示</w:t>
          </w:r>
          <w:r>
            <w:tab/>
          </w:r>
          <w:r>
            <w:fldChar w:fldCharType="begin"/>
          </w:r>
          <w:r>
            <w:instrText xml:space="preserve"> PAGEREF _Toc9543 \h </w:instrText>
          </w:r>
          <w:r>
            <w:fldChar w:fldCharType="separate"/>
          </w:r>
          <w:r>
            <w:t>23</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0BA39DA">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_Toc8121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w:t>
          </w:r>
          <w:r>
            <w:rPr>
              <w:rFonts w:hint="eastAsia" w:ascii="Times New Roman" w:hAnsi="Times New Roman" w:cs="Times New Roman"/>
              <w:lang w:val="en-US" w:eastAsia="zh-CN"/>
            </w:rPr>
            <w:t>11</w:t>
          </w:r>
          <w:r>
            <w:rPr>
              <w:rFonts w:hint="default" w:ascii="Times New Roman" w:hAnsi="Times New Roman" w:cs="Times New Roman"/>
              <w:lang w:val="en-US" w:eastAsia="zh-CN"/>
            </w:rPr>
            <w:t xml:space="preserve">  实验室内检出限及测定下限</w:t>
          </w:r>
          <w:r>
            <w:tab/>
          </w:r>
          <w:r>
            <w:fldChar w:fldCharType="begin"/>
          </w:r>
          <w:r>
            <w:instrText xml:space="preserve"> PAGEREF _Toc8121 \h </w:instrText>
          </w:r>
          <w:r>
            <w:fldChar w:fldCharType="separate"/>
          </w:r>
          <w:r>
            <w:t>26</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65F04943">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_Toc14612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6.1</w:t>
          </w:r>
          <w:r>
            <w:rPr>
              <w:rFonts w:hint="eastAsia" w:ascii="Times New Roman" w:hAnsi="Times New Roman" w:cs="Times New Roman"/>
              <w:lang w:val="en-US" w:eastAsia="zh-CN"/>
            </w:rPr>
            <w:t xml:space="preserve">2  </w:t>
          </w:r>
          <w:r>
            <w:rPr>
              <w:rFonts w:hint="default" w:ascii="Times New Roman" w:hAnsi="Times New Roman" w:cs="Times New Roman"/>
              <w:lang w:val="en-US" w:eastAsia="zh-CN"/>
            </w:rPr>
            <w:t>实验室内精密度和正确度</w:t>
          </w:r>
          <w:r>
            <w:tab/>
          </w:r>
          <w:r>
            <w:fldChar w:fldCharType="begin"/>
          </w:r>
          <w:r>
            <w:instrText xml:space="preserve"> PAGEREF _Toc14612 \h </w:instrText>
          </w:r>
          <w:r>
            <w:fldChar w:fldCharType="separate"/>
          </w:r>
          <w:r>
            <w:t>28</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758EA786">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_Toc7580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质量保证和质量控制</w:t>
          </w:r>
          <w:r>
            <w:tab/>
          </w:r>
          <w:r>
            <w:fldChar w:fldCharType="begin"/>
          </w:r>
          <w:r>
            <w:instrText xml:space="preserve"> PAGEREF _Toc7580 \h </w:instrText>
          </w:r>
          <w:r>
            <w:fldChar w:fldCharType="separate"/>
          </w:r>
          <w:r>
            <w:t>29</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640973E7">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_Toc15918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7  方法验证</w:t>
          </w:r>
          <w:r>
            <w:tab/>
          </w:r>
          <w:r>
            <w:fldChar w:fldCharType="begin"/>
          </w:r>
          <w:r>
            <w:instrText xml:space="preserve"> PAGEREF _Toc15918 \h </w:instrText>
          </w:r>
          <w:r>
            <w:fldChar w:fldCharType="separate"/>
          </w:r>
          <w:r>
            <w:t>30</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8004AE7">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_Toc4649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7.1  方法验证方案</w:t>
          </w:r>
          <w:r>
            <w:tab/>
          </w:r>
          <w:r>
            <w:fldChar w:fldCharType="begin"/>
          </w:r>
          <w:r>
            <w:instrText xml:space="preserve"> PAGEREF _Toc4649 \h </w:instrText>
          </w:r>
          <w:r>
            <w:fldChar w:fldCharType="separate"/>
          </w:r>
          <w:r>
            <w:t>30</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2DFDAA5D">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_Toc21653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7.2  方法验证过程</w:t>
          </w:r>
          <w:r>
            <w:tab/>
          </w:r>
          <w:r>
            <w:fldChar w:fldCharType="begin"/>
          </w:r>
          <w:r>
            <w:instrText xml:space="preserve"> PAGEREF _Toc21653 \h </w:instrText>
          </w:r>
          <w:r>
            <w:fldChar w:fldCharType="separate"/>
          </w:r>
          <w:r>
            <w:t>33</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166524D7">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_Toc29674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7.3  方法验证结论</w:t>
          </w:r>
          <w:r>
            <w:tab/>
          </w:r>
          <w:r>
            <w:fldChar w:fldCharType="begin"/>
          </w:r>
          <w:r>
            <w:instrText xml:space="preserve"> PAGEREF _Toc29674 \h </w:instrText>
          </w:r>
          <w:r>
            <w:fldChar w:fldCharType="separate"/>
          </w:r>
          <w:r>
            <w:t>33</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C32E40F">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_Toc15630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8  贯彻措施及预期结果</w:t>
          </w:r>
          <w:r>
            <w:tab/>
          </w:r>
          <w:r>
            <w:fldChar w:fldCharType="begin"/>
          </w:r>
          <w:r>
            <w:instrText xml:space="preserve"> PAGEREF _Toc15630 \h </w:instrText>
          </w:r>
          <w:r>
            <w:fldChar w:fldCharType="separate"/>
          </w:r>
          <w:r>
            <w:t>34</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1E124547">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_Toc7018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8.1  推广应用</w:t>
          </w:r>
          <w:r>
            <w:tab/>
          </w:r>
          <w:r>
            <w:fldChar w:fldCharType="begin"/>
          </w:r>
          <w:r>
            <w:instrText xml:space="preserve"> PAGEREF _Toc7018 \h </w:instrText>
          </w:r>
          <w:r>
            <w:fldChar w:fldCharType="separate"/>
          </w:r>
          <w:r>
            <w:t>34</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68068C1D">
          <w:pPr>
            <w:pStyle w:val="14"/>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_Toc1386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8.2  预期效果</w:t>
          </w:r>
          <w:r>
            <w:tab/>
          </w:r>
          <w:r>
            <w:fldChar w:fldCharType="begin"/>
          </w:r>
          <w:r>
            <w:instrText xml:space="preserve"> PAGEREF _Toc1386 \h </w:instrText>
          </w:r>
          <w:r>
            <w:fldChar w:fldCharType="separate"/>
          </w:r>
          <w:r>
            <w:t>34</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39089CA3">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_Toc24802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lang w:val="en-US" w:eastAsia="zh-CN"/>
            </w:rPr>
            <w:t>9  其他应说明事项</w:t>
          </w:r>
          <w:r>
            <w:tab/>
          </w:r>
          <w:r>
            <w:fldChar w:fldCharType="begin"/>
          </w:r>
          <w:r>
            <w:instrText xml:space="preserve"> PAGEREF _Toc24802 \h </w:instrText>
          </w:r>
          <w:r>
            <w:fldChar w:fldCharType="separate"/>
          </w:r>
          <w:r>
            <w:t>34</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0429AF43">
          <w:pPr>
            <w:pStyle w:val="12"/>
            <w:tabs>
              <w:tab w:val="right" w:leader="dot" w:pos="8504"/>
            </w:tabs>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_Toc18431 </w:instrText>
          </w:r>
          <w:r>
            <w:rPr>
              <w:rFonts w:hint="default" w:ascii="Times New Roman" w:hAnsi="Times New Roman" w:eastAsia="黑体" w:cs="Times New Roman"/>
              <w:kern w:val="0"/>
              <w:szCs w:val="32"/>
              <w:highlight w:val="none"/>
              <w:lang w:val="en-US" w:eastAsia="zh-CN" w:bidi="ar-SA"/>
            </w:rPr>
            <w:fldChar w:fldCharType="separate"/>
          </w:r>
          <w:r>
            <w:rPr>
              <w:rFonts w:hint="eastAsia"/>
              <w:lang w:val="en-US" w:eastAsia="zh-CN"/>
            </w:rPr>
            <w:t>参考文献</w:t>
          </w:r>
          <w:r>
            <w:tab/>
          </w:r>
          <w:r>
            <w:fldChar w:fldCharType="begin"/>
          </w:r>
          <w:r>
            <w:instrText xml:space="preserve"> PAGEREF _Toc18431 \h </w:instrText>
          </w:r>
          <w:r>
            <w:fldChar w:fldCharType="separate"/>
          </w:r>
          <w:r>
            <w:t>35</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4E4AE37E">
          <w:pPr>
            <w:pStyle w:val="14"/>
            <w:tabs>
              <w:tab w:val="right" w:leader="dot" w:pos="8504"/>
            </w:tabs>
            <w:ind w:left="0" w:leftChars="0" w:firstLine="420"/>
          </w:pPr>
          <w:r>
            <w:rPr>
              <w:rFonts w:hint="default" w:ascii="Times New Roman" w:hAnsi="Times New Roman" w:eastAsia="黑体" w:cs="Times New Roman"/>
              <w:color w:val="000000"/>
              <w:kern w:val="0"/>
              <w:szCs w:val="32"/>
              <w:highlight w:val="none"/>
              <w:lang w:val="en-US" w:eastAsia="zh-CN" w:bidi="ar-SA"/>
            </w:rPr>
            <w:fldChar w:fldCharType="begin"/>
          </w:r>
          <w:r>
            <w:rPr>
              <w:rFonts w:hint="default" w:ascii="Times New Roman" w:hAnsi="Times New Roman" w:eastAsia="黑体" w:cs="Times New Roman"/>
              <w:kern w:val="0"/>
              <w:szCs w:val="32"/>
              <w:highlight w:val="none"/>
              <w:lang w:val="en-US" w:eastAsia="zh-CN" w:bidi="ar-SA"/>
            </w:rPr>
            <w:instrText xml:space="preserve"> HYPERLINK \l _Toc5190 </w:instrText>
          </w:r>
          <w:r>
            <w:rPr>
              <w:rFonts w:hint="default" w:ascii="Times New Roman" w:hAnsi="Times New Roman" w:eastAsia="黑体" w:cs="Times New Roman"/>
              <w:kern w:val="0"/>
              <w:szCs w:val="32"/>
              <w:highlight w:val="none"/>
              <w:lang w:val="en-US" w:eastAsia="zh-CN" w:bidi="ar-SA"/>
            </w:rPr>
            <w:fldChar w:fldCharType="separate"/>
          </w:r>
          <w:r>
            <w:rPr>
              <w:rFonts w:hint="default" w:ascii="Times New Roman" w:hAnsi="Times New Roman" w:cs="Times New Roman"/>
              <w:szCs w:val="28"/>
              <w:lang w:val="en-US" w:eastAsia="zh-CN"/>
            </w:rPr>
            <w:t>附件一</w:t>
          </w:r>
          <w:r>
            <w:tab/>
          </w:r>
          <w:r>
            <w:fldChar w:fldCharType="begin"/>
          </w:r>
          <w:r>
            <w:instrText xml:space="preserve"> PAGEREF _Toc5190 \h </w:instrText>
          </w:r>
          <w:r>
            <w:fldChar w:fldCharType="separate"/>
          </w:r>
          <w:r>
            <w:t>36</w:t>
          </w:r>
          <w:r>
            <w:fldChar w:fldCharType="end"/>
          </w:r>
          <w:r>
            <w:rPr>
              <w:rFonts w:hint="default" w:ascii="Times New Roman" w:hAnsi="Times New Roman" w:eastAsia="黑体" w:cs="Times New Roman"/>
              <w:color w:val="000000"/>
              <w:kern w:val="0"/>
              <w:szCs w:val="32"/>
              <w:highlight w:val="none"/>
              <w:lang w:val="en-US" w:eastAsia="zh-CN" w:bidi="ar-SA"/>
            </w:rPr>
            <w:fldChar w:fldCharType="end"/>
          </w:r>
        </w:p>
        <w:p w14:paraId="54A6E91F">
          <w:pPr>
            <w:pStyle w:val="12"/>
            <w:tabs>
              <w:tab w:val="right" w:leader="dot" w:pos="8504"/>
            </w:tabs>
            <w:spacing w:before="0" w:beforeLines="0" w:after="0" w:afterLines="0" w:line="240" w:lineRule="auto"/>
            <w:ind w:left="0" w:leftChars="0" w:right="0" w:rightChars="0" w:firstLine="0" w:firstLineChars="0"/>
            <w:jc w:val="center"/>
            <w:rPr>
              <w:rFonts w:hint="default" w:ascii="Times New Roman" w:hAnsi="Times New Roman" w:eastAsia="黑体" w:cs="Times New Roman"/>
              <w:color w:val="000000"/>
              <w:kern w:val="0"/>
              <w:sz w:val="32"/>
              <w:szCs w:val="32"/>
              <w:highlight w:val="none"/>
            </w:rPr>
            <w:sectPr>
              <w:footerReference r:id="rId5" w:type="default"/>
              <w:pgSz w:w="11906" w:h="16838"/>
              <w:pgMar w:top="1701" w:right="1701" w:bottom="1701"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黑体" w:cs="Times New Roman"/>
              <w:b/>
              <w:color w:val="000000"/>
              <w:kern w:val="0"/>
              <w:szCs w:val="32"/>
              <w:highlight w:val="none"/>
              <w:lang w:val="en-US" w:eastAsia="zh-CN" w:bidi="ar-SA"/>
            </w:rPr>
            <w:fldChar w:fldCharType="end"/>
          </w:r>
        </w:p>
      </w:sdtContent>
    </w:sdt>
    <w:p w14:paraId="54E29DCD">
      <w:pPr>
        <w:keepNext w:val="0"/>
        <w:keepLines w:val="0"/>
        <w:pageBreakBefore w:val="0"/>
        <w:widowControl/>
        <w:kinsoku/>
        <w:wordWrap/>
        <w:overflowPunct/>
        <w:topLinePunct/>
        <w:autoSpaceDE/>
        <w:autoSpaceDN/>
        <w:bidi w:val="0"/>
        <w:adjustRightInd/>
        <w:snapToGrid/>
        <w:spacing w:before="319" w:beforeLines="100" w:after="319" w:afterLines="100" w:line="360" w:lineRule="auto"/>
        <w:ind w:firstLine="0" w:firstLineChars="0"/>
        <w:jc w:val="center"/>
        <w:textAlignment w:val="auto"/>
        <w:rPr>
          <w:rFonts w:hint="default" w:ascii="Times New Roman" w:hAnsi="Times New Roman" w:eastAsia="黑体" w:cs="Times New Roman"/>
          <w:bCs/>
          <w:color w:val="000000"/>
          <w:sz w:val="32"/>
          <w:szCs w:val="32"/>
          <w:highlight w:val="none"/>
        </w:rPr>
      </w:pPr>
      <w:r>
        <w:rPr>
          <w:rFonts w:hint="default" w:ascii="Times New Roman" w:hAnsi="Times New Roman" w:eastAsia="黑体" w:cs="Times New Roman"/>
          <w:bCs/>
          <w:color w:val="000000"/>
          <w:sz w:val="32"/>
          <w:szCs w:val="32"/>
          <w:highlight w:val="none"/>
        </w:rPr>
        <w:t xml:space="preserve">《土壤  </w:t>
      </w:r>
      <w:r>
        <w:rPr>
          <w:rFonts w:hint="default" w:ascii="Times New Roman" w:hAnsi="Times New Roman" w:eastAsia="黑体" w:cs="Times New Roman"/>
          <w:bCs/>
          <w:color w:val="000000"/>
          <w:sz w:val="32"/>
          <w:szCs w:val="32"/>
          <w:highlight w:val="none"/>
          <w:lang w:eastAsia="zh-CN"/>
        </w:rPr>
        <w:t>三氯杀螨醇</w:t>
      </w:r>
      <w:r>
        <w:rPr>
          <w:rFonts w:hint="default" w:ascii="Times New Roman" w:hAnsi="Times New Roman" w:eastAsia="黑体" w:cs="Times New Roman"/>
          <w:bCs/>
          <w:color w:val="000000"/>
          <w:sz w:val="32"/>
          <w:szCs w:val="32"/>
          <w:highlight w:val="none"/>
        </w:rPr>
        <w:t>的测定  气相色谱-质谱法》（征求意见稿）编制说明</w:t>
      </w:r>
    </w:p>
    <w:p w14:paraId="69B8C7DB">
      <w:pPr>
        <w:pStyle w:val="2"/>
        <w:bidi w:val="0"/>
        <w:rPr>
          <w:rFonts w:hint="default" w:ascii="Times New Roman" w:hAnsi="Times New Roman" w:cs="Times New Roman"/>
          <w:lang w:val="en-US" w:eastAsia="zh-CN"/>
        </w:rPr>
      </w:pPr>
      <w:bookmarkStart w:id="7" w:name="_Toc29856"/>
      <w:bookmarkStart w:id="8" w:name="_Toc15875"/>
      <w:bookmarkStart w:id="9" w:name="_Toc17416"/>
      <w:r>
        <w:rPr>
          <w:rFonts w:hint="default" w:ascii="Times New Roman" w:hAnsi="Times New Roman" w:cs="Times New Roman"/>
          <w:lang w:val="en-US" w:eastAsia="zh-CN"/>
        </w:rPr>
        <w:t>1  工作概况</w:t>
      </w:r>
      <w:bookmarkEnd w:id="7"/>
      <w:bookmarkEnd w:id="8"/>
      <w:bookmarkEnd w:id="9"/>
    </w:p>
    <w:p w14:paraId="21EE12DA">
      <w:pPr>
        <w:pStyle w:val="3"/>
        <w:bidi w:val="0"/>
        <w:rPr>
          <w:rFonts w:hint="default" w:ascii="Times New Roman" w:hAnsi="Times New Roman" w:cs="Times New Roman"/>
          <w:lang w:val="en-US" w:eastAsia="zh-CN"/>
        </w:rPr>
      </w:pPr>
      <w:bookmarkStart w:id="10" w:name="_Toc18871"/>
      <w:bookmarkStart w:id="11" w:name="_Toc24336"/>
      <w:bookmarkStart w:id="12" w:name="_Toc7825"/>
      <w:r>
        <w:rPr>
          <w:rFonts w:hint="default" w:ascii="Times New Roman" w:hAnsi="Times New Roman" w:cs="Times New Roman"/>
          <w:lang w:val="en-US" w:eastAsia="zh-CN"/>
        </w:rPr>
        <w:t>1.1  任务来源</w:t>
      </w:r>
      <w:bookmarkEnd w:id="10"/>
      <w:bookmarkEnd w:id="11"/>
      <w:bookmarkEnd w:id="12"/>
    </w:p>
    <w:p w14:paraId="40E3F1A7">
      <w:pPr>
        <w:bidi w:val="0"/>
        <w:rPr>
          <w:rFonts w:hint="default" w:ascii="Times New Roman" w:hAnsi="Times New Roman" w:cs="Times New Roman"/>
          <w:lang w:val="en-US" w:eastAsia="zh-CN"/>
        </w:rPr>
      </w:pPr>
      <w:r>
        <w:rPr>
          <w:rFonts w:hint="default" w:ascii="Times New Roman" w:hAnsi="Times New Roman" w:cs="Times New Roman"/>
          <w:lang w:val="en-US" w:eastAsia="zh-CN"/>
        </w:rPr>
        <w:t>2022年12月，由重庆市生态环境监测中心承担的重庆市技术创新与应用发展专项重点项目《土壤中新污染物监测技术体系研究》（立项编号：CSTB2022TIAD-KPX0115）获批立项，该项目任务之一就是选取我国土壤环境中具有典型性的且危害较大的内分泌干扰物开展技术研究工作，建立土壤新污染物监测分析方法及标准。依托《土壤中新污染物监测技术体系研究》重点项目，调研了我国土壤中新污染物的存在情况，并结合相关管控需求，明确了土壤中三氯杀螨醇监测的目的和意义。在此基础上，编制组实践了土壤中三氯杀螨醇监测工作的全流程技术方案，依托2024年重庆市新污染物试点监测工作进行了实际样品分析，最终确定了构建土壤中三氯杀螨醇的监测标准，并于202</w:t>
      </w:r>
      <w:r>
        <w:rPr>
          <w:rFonts w:hint="eastAsia" w:cs="Times New Roman"/>
          <w:lang w:val="en-US" w:eastAsia="zh-CN"/>
        </w:rPr>
        <w:t>5</w:t>
      </w:r>
      <w:r>
        <w:rPr>
          <w:rFonts w:hint="default" w:ascii="Times New Roman" w:hAnsi="Times New Roman" w:cs="Times New Roman"/>
          <w:lang w:val="en-US" w:eastAsia="zh-CN"/>
        </w:rPr>
        <w:t>年</w:t>
      </w:r>
      <w:r>
        <w:rPr>
          <w:rFonts w:hint="eastAsia" w:cs="Times New Roman"/>
          <w:lang w:val="en-US" w:eastAsia="zh-CN"/>
        </w:rPr>
        <w:t>3</w:t>
      </w:r>
      <w:r>
        <w:rPr>
          <w:rFonts w:hint="default" w:ascii="Times New Roman" w:hAnsi="Times New Roman" w:cs="Times New Roman"/>
          <w:lang w:val="en-US" w:eastAsia="zh-CN"/>
        </w:rPr>
        <w:t>月向重庆市生态环境监测协会申报《土壤 三氯杀螨醇的测定 气相色谱-质谱法》团体标准。</w:t>
      </w:r>
    </w:p>
    <w:p w14:paraId="6B964083">
      <w:pPr>
        <w:pStyle w:val="3"/>
        <w:bidi w:val="0"/>
        <w:rPr>
          <w:rFonts w:hint="default" w:ascii="Times New Roman" w:hAnsi="Times New Roman" w:cs="Times New Roman"/>
          <w:lang w:val="en-US" w:eastAsia="zh-CN"/>
        </w:rPr>
      </w:pPr>
      <w:bookmarkStart w:id="13" w:name="_Toc12985"/>
      <w:bookmarkStart w:id="14" w:name="_Toc26443"/>
      <w:bookmarkStart w:id="15" w:name="_Toc29645"/>
      <w:r>
        <w:rPr>
          <w:rFonts w:hint="default" w:ascii="Times New Roman" w:hAnsi="Times New Roman" w:cs="Times New Roman"/>
          <w:lang w:val="en-US" w:eastAsia="zh-CN"/>
        </w:rPr>
        <w:t>1.2  工作过程</w:t>
      </w:r>
      <w:bookmarkEnd w:id="13"/>
      <w:bookmarkEnd w:id="14"/>
      <w:bookmarkEnd w:id="15"/>
    </w:p>
    <w:p w14:paraId="2B3A1EC3">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1.2.1  成立工作小组</w:t>
      </w:r>
    </w:p>
    <w:p w14:paraId="04AF18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rPr>
        <w:t>20</w:t>
      </w:r>
      <w:r>
        <w:rPr>
          <w:rFonts w:hint="default" w:ascii="Times New Roman" w:hAnsi="Times New Roman" w:cs="Times New Roman"/>
          <w:lang w:val="en-US" w:eastAsia="zh-CN"/>
        </w:rPr>
        <w:t>22</w:t>
      </w:r>
      <w:r>
        <w:rPr>
          <w:rFonts w:hint="default" w:ascii="Times New Roman" w:hAnsi="Times New Roman" w:cs="Times New Roman"/>
        </w:rPr>
        <w:t>年</w:t>
      </w:r>
      <w:r>
        <w:rPr>
          <w:rFonts w:hint="default" w:ascii="Times New Roman" w:hAnsi="Times New Roman" w:cs="Times New Roman"/>
          <w:lang w:val="en-US" w:eastAsia="zh-CN"/>
        </w:rPr>
        <w:t>12</w:t>
      </w:r>
      <w:r>
        <w:rPr>
          <w:rFonts w:hint="default" w:ascii="Times New Roman" w:hAnsi="Times New Roman" w:cs="Times New Roman"/>
        </w:rPr>
        <w:t>月，</w:t>
      </w:r>
      <w:r>
        <w:rPr>
          <w:rFonts w:hint="default" w:ascii="Times New Roman" w:hAnsi="Times New Roman" w:cs="Times New Roman"/>
          <w:lang w:val="en-US" w:eastAsia="zh-CN"/>
        </w:rPr>
        <w:t>《土壤中新污染物监测技术体系研究》立项成功后</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在</w:t>
      </w:r>
      <w:r>
        <w:rPr>
          <w:rFonts w:hint="default" w:ascii="Times New Roman" w:hAnsi="Times New Roman" w:cs="Times New Roman"/>
          <w:sz w:val="21"/>
          <w:szCs w:val="21"/>
        </w:rPr>
        <w:t>项目负责人</w:t>
      </w:r>
      <w:r>
        <w:rPr>
          <w:rFonts w:hint="default" w:ascii="Times New Roman" w:hAnsi="Times New Roman" w:cs="Times New Roman"/>
          <w:sz w:val="21"/>
          <w:szCs w:val="21"/>
          <w:lang w:val="en-US" w:eastAsia="zh-CN"/>
        </w:rPr>
        <w:t>的带领下，成立了以</w:t>
      </w:r>
      <w:r>
        <w:rPr>
          <w:rFonts w:hint="default" w:ascii="Times New Roman" w:hAnsi="Times New Roman" w:cs="Times New Roman"/>
          <w:sz w:val="21"/>
          <w:szCs w:val="21"/>
        </w:rPr>
        <w:t xml:space="preserve">有机污染物研究人员和分析测试人员作为技术骨干的工作团队。根据项目研究内容和要求，拟构建《土壤 </w:t>
      </w:r>
      <w:r>
        <w:rPr>
          <w:rFonts w:hint="default" w:ascii="Times New Roman" w:hAnsi="Times New Roman" w:cs="Times New Roman"/>
          <w:sz w:val="21"/>
          <w:szCs w:val="21"/>
          <w:lang w:val="en-US" w:eastAsia="zh-CN"/>
        </w:rPr>
        <w:t>三氯杀螨醇</w:t>
      </w:r>
      <w:r>
        <w:rPr>
          <w:rFonts w:hint="default" w:ascii="Times New Roman" w:hAnsi="Times New Roman" w:cs="Times New Roman"/>
          <w:sz w:val="21"/>
          <w:szCs w:val="21"/>
        </w:rPr>
        <w:t>的测定 气相色谱</w:t>
      </w:r>
      <w:r>
        <w:rPr>
          <w:rFonts w:hint="default" w:ascii="Times New Roman" w:hAnsi="Times New Roman" w:cs="Times New Roman"/>
          <w:sz w:val="21"/>
          <w:szCs w:val="21"/>
          <w:lang w:val="en-US" w:eastAsia="zh-CN"/>
        </w:rPr>
        <w:t>-质谱法</w:t>
      </w:r>
      <w:r>
        <w:rPr>
          <w:rFonts w:hint="default" w:ascii="Times New Roman" w:hAnsi="Times New Roman" w:cs="Times New Roman"/>
          <w:sz w:val="21"/>
          <w:szCs w:val="21"/>
        </w:rPr>
        <w:t>》监测标准，并于20</w:t>
      </w:r>
      <w:r>
        <w:rPr>
          <w:rFonts w:hint="default" w:ascii="Times New Roman" w:hAnsi="Times New Roman" w:cs="Times New Roman"/>
          <w:sz w:val="21"/>
          <w:szCs w:val="21"/>
          <w:lang w:val="en-US" w:eastAsia="zh-CN"/>
        </w:rPr>
        <w:t>23</w:t>
      </w:r>
      <w:r>
        <w:rPr>
          <w:rFonts w:hint="default" w:ascii="Times New Roman" w:hAnsi="Times New Roman" w:cs="Times New Roman"/>
          <w:sz w:val="21"/>
          <w:szCs w:val="21"/>
        </w:rPr>
        <w:t>年</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月成立了</w:t>
      </w:r>
      <w:r>
        <w:rPr>
          <w:rFonts w:hint="default" w:ascii="Times New Roman" w:hAnsi="Times New Roman" w:cs="Times New Roman"/>
          <w:sz w:val="21"/>
          <w:szCs w:val="21"/>
          <w:lang w:val="en-US" w:eastAsia="zh-CN"/>
        </w:rPr>
        <w:t>三氯杀螨醇标准编制组</w:t>
      </w:r>
      <w:r>
        <w:rPr>
          <w:rFonts w:hint="default" w:ascii="Times New Roman" w:hAnsi="Times New Roman" w:cs="Times New Roman"/>
          <w:sz w:val="21"/>
          <w:szCs w:val="21"/>
        </w:rPr>
        <w:t>。</w:t>
      </w:r>
    </w:p>
    <w:p w14:paraId="126B58E4">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1.2.2  查询国内外相关标准和文献资料</w:t>
      </w:r>
    </w:p>
    <w:p w14:paraId="40C7B914">
      <w:pPr>
        <w:bidi w:val="0"/>
        <w:rPr>
          <w:rFonts w:hint="default" w:ascii="Times New Roman" w:hAnsi="Times New Roman" w:cs="Times New Roman"/>
          <w:color w:val="auto"/>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rPr>
        <w:t>02</w:t>
      </w:r>
      <w:r>
        <w:rPr>
          <w:rFonts w:hint="default" w:ascii="Times New Roman" w:hAnsi="Times New Roman" w:cs="Times New Roman"/>
          <w:color w:val="auto"/>
          <w:lang w:val="en-US" w:eastAsia="zh-CN"/>
        </w:rPr>
        <w:t>3</w:t>
      </w:r>
      <w:r>
        <w:rPr>
          <w:rFonts w:hint="default" w:ascii="Times New Roman" w:hAnsi="Times New Roman" w:cs="Times New Roman"/>
          <w:color w:val="auto"/>
        </w:rPr>
        <w:t>年1月</w:t>
      </w:r>
      <w:r>
        <w:rPr>
          <w:rFonts w:hint="default" w:ascii="Times New Roman" w:hAnsi="Times New Roman" w:cs="Times New Roman"/>
          <w:color w:val="auto"/>
          <w:lang w:val="en-US" w:eastAsia="zh-CN"/>
        </w:rPr>
        <w:t>~</w:t>
      </w:r>
      <w:r>
        <w:rPr>
          <w:rFonts w:hint="default" w:ascii="Times New Roman" w:hAnsi="Times New Roman" w:cs="Times New Roman"/>
          <w:color w:val="auto"/>
        </w:rPr>
        <w:t>4月，</w:t>
      </w:r>
      <w:r>
        <w:rPr>
          <w:rFonts w:hint="default" w:ascii="Times New Roman" w:hAnsi="Times New Roman" w:cs="Times New Roman"/>
          <w:sz w:val="21"/>
          <w:szCs w:val="21"/>
          <w:lang w:val="en-US" w:eastAsia="zh-CN"/>
        </w:rPr>
        <w:t>编制组</w:t>
      </w:r>
      <w:r>
        <w:rPr>
          <w:rFonts w:hint="default" w:ascii="Times New Roman" w:hAnsi="Times New Roman" w:cs="Times New Roman"/>
          <w:color w:val="auto"/>
        </w:rPr>
        <w:t>广泛检索和收集了世界卫生组织（WHO）、国际标准化组织（ISO）、美国环境保护局（EPA）、日本标准化组织（JIS）以及欧盟等其他国家或地区的相关标准；并对国内卫生、地质、水利、环境等相关行业的控制标准、检测标准和方法等进行了全面深入研读；此外还检索和收集了国内外大量相关的文献材料。</w:t>
      </w:r>
    </w:p>
    <w:p w14:paraId="4C6CDCDA">
      <w:pPr>
        <w:bidi w:val="0"/>
        <w:rPr>
          <w:rFonts w:hint="default" w:ascii="Times New Roman" w:hAnsi="Times New Roman" w:cs="Times New Roman"/>
          <w:lang w:val="en-US" w:eastAsia="zh-CN"/>
        </w:rPr>
      </w:pPr>
      <w:r>
        <w:rPr>
          <w:rFonts w:hint="default" w:ascii="Times New Roman" w:hAnsi="Times New Roman" w:cs="Times New Roman"/>
          <w:color w:val="auto"/>
        </w:rPr>
        <w:t>通过资料收集整理和文献调研工作，</w:t>
      </w:r>
      <w:r>
        <w:rPr>
          <w:rFonts w:hint="default" w:ascii="Times New Roman" w:hAnsi="Times New Roman" w:cs="Times New Roman"/>
          <w:sz w:val="21"/>
          <w:szCs w:val="21"/>
          <w:lang w:val="en-US" w:eastAsia="zh-CN"/>
        </w:rPr>
        <w:t>编制组</w:t>
      </w:r>
      <w:r>
        <w:rPr>
          <w:rFonts w:hint="default" w:ascii="Times New Roman" w:hAnsi="Times New Roman" w:cs="Times New Roman"/>
          <w:color w:val="auto"/>
        </w:rPr>
        <w:t>对国内外土壤中</w:t>
      </w:r>
      <w:r>
        <w:rPr>
          <w:rFonts w:hint="default" w:ascii="Times New Roman" w:hAnsi="Times New Roman" w:cs="Times New Roman"/>
          <w:color w:val="auto"/>
          <w:lang w:val="en-US" w:eastAsia="zh-CN"/>
        </w:rPr>
        <w:t>三氯杀螨醇</w:t>
      </w:r>
      <w:r>
        <w:rPr>
          <w:rFonts w:hint="default" w:ascii="Times New Roman" w:hAnsi="Times New Roman" w:cs="Times New Roman"/>
          <w:color w:val="auto"/>
        </w:rPr>
        <w:t>的各种检测方法、环境质量标准等多个方面有了较全面的了解，</w:t>
      </w:r>
      <w:r>
        <w:rPr>
          <w:rFonts w:hint="default" w:ascii="Times New Roman" w:hAnsi="Times New Roman" w:cs="Times New Roman"/>
          <w:sz w:val="21"/>
          <w:szCs w:val="21"/>
          <w:lang w:val="en-US" w:eastAsia="zh-CN"/>
        </w:rPr>
        <w:t>编制组</w:t>
      </w:r>
      <w:r>
        <w:rPr>
          <w:rFonts w:hint="default" w:ascii="Times New Roman" w:hAnsi="Times New Roman" w:cs="Times New Roman"/>
          <w:color w:val="auto"/>
        </w:rPr>
        <w:t>结合检索和收集的文献资料确定了</w:t>
      </w:r>
      <w:r>
        <w:rPr>
          <w:rFonts w:hint="default" w:ascii="Times New Roman" w:hAnsi="Times New Roman" w:cs="Times New Roman"/>
          <w:color w:val="auto"/>
          <w:lang w:eastAsia="zh-CN"/>
        </w:rPr>
        <w:t>标准</w:t>
      </w:r>
      <w:r>
        <w:rPr>
          <w:rFonts w:hint="default" w:ascii="Times New Roman" w:hAnsi="Times New Roman" w:cs="Times New Roman"/>
          <w:color w:val="auto"/>
        </w:rPr>
        <w:t>制订的方向和技术路线，进行试验方案设计。</w:t>
      </w:r>
      <w:r>
        <w:rPr>
          <w:rFonts w:hint="default" w:ascii="Times New Roman" w:hAnsi="Times New Roman" w:cs="Times New Roman"/>
          <w:color w:val="auto"/>
          <w:lang w:eastAsia="zh-CN"/>
        </w:rPr>
        <w:t>主要</w:t>
      </w:r>
      <w:r>
        <w:rPr>
          <w:rFonts w:hint="default" w:ascii="Times New Roman" w:hAnsi="Times New Roman" w:cs="Times New Roman"/>
          <w:color w:val="auto"/>
          <w:lang w:val="en-US" w:eastAsia="zh-CN"/>
        </w:rPr>
        <w:t>针对《土壤 三氯杀螨醇的测定 气相色谱-质谱法》的适用范围、方法原理、编制思路、各环节的技术需求等问题讨论，明确了技术路线、拟开展的主要工作和需要解决的重大问题，并开展研究。</w:t>
      </w:r>
    </w:p>
    <w:p w14:paraId="061A7CC5">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1.2.3  研究建立标准方法</w:t>
      </w:r>
    </w:p>
    <w:p w14:paraId="66F313C4">
      <w:pPr>
        <w:bidi w:val="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02</w:t>
      </w:r>
      <w:r>
        <w:rPr>
          <w:rFonts w:hint="default" w:ascii="Times New Roman" w:hAnsi="Times New Roman" w:cs="Times New Roman"/>
          <w:lang w:val="en-US" w:eastAsia="zh-CN"/>
        </w:rPr>
        <w:t>3</w:t>
      </w:r>
      <w:r>
        <w:rPr>
          <w:rFonts w:hint="default" w:ascii="Times New Roman" w:hAnsi="Times New Roman" w:cs="Times New Roman"/>
        </w:rPr>
        <w:t>年5月~202</w:t>
      </w:r>
      <w:r>
        <w:rPr>
          <w:rFonts w:hint="default"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9</w:t>
      </w:r>
      <w:r>
        <w:rPr>
          <w:rFonts w:hint="default" w:ascii="Times New Roman" w:hAnsi="Times New Roman" w:cs="Times New Roman"/>
        </w:rPr>
        <w:t>月，</w:t>
      </w:r>
      <w:r>
        <w:rPr>
          <w:rFonts w:hint="default" w:ascii="Times New Roman" w:hAnsi="Times New Roman" w:cs="Times New Roman"/>
          <w:sz w:val="21"/>
          <w:szCs w:val="21"/>
          <w:lang w:val="en-US" w:eastAsia="zh-CN"/>
        </w:rPr>
        <w:t>编制组</w:t>
      </w:r>
      <w:r>
        <w:rPr>
          <w:rFonts w:hint="default" w:ascii="Times New Roman" w:hAnsi="Times New Roman" w:cs="Times New Roman"/>
        </w:rPr>
        <w:t>结合课题意见及其他标准制定的要求，</w:t>
      </w:r>
      <w:r>
        <w:rPr>
          <w:rFonts w:hint="default" w:ascii="Times New Roman" w:hAnsi="Times New Roman" w:cs="Times New Roman"/>
          <w:lang w:val="en-US" w:eastAsia="zh-CN"/>
        </w:rPr>
        <w:t>主要</w:t>
      </w:r>
      <w:r>
        <w:rPr>
          <w:rFonts w:hint="default" w:ascii="Times New Roman" w:hAnsi="Times New Roman" w:cs="Times New Roman"/>
        </w:rPr>
        <w:t>参照</w:t>
      </w:r>
      <w:r>
        <w:rPr>
          <w:rFonts w:hint="default" w:ascii="Times New Roman" w:hAnsi="Times New Roman" w:cs="Times New Roman"/>
          <w:color w:val="auto"/>
          <w:lang w:eastAsia="zh-CN"/>
        </w:rPr>
        <w:t>《土壤和沉积物 有机氯农药的测定 气相色谱-质谱法》（</w:t>
      </w:r>
      <w:r>
        <w:rPr>
          <w:rFonts w:hint="default" w:ascii="Times New Roman" w:hAnsi="Times New Roman" w:cs="Times New Roman"/>
          <w:color w:val="auto"/>
          <w:lang w:val="en-US" w:eastAsia="zh-CN"/>
        </w:rPr>
        <w:t>HJ 835-2017</w:t>
      </w:r>
      <w:r>
        <w:rPr>
          <w:rFonts w:hint="default" w:ascii="Times New Roman" w:hAnsi="Times New Roman" w:cs="Times New Roman"/>
          <w:color w:val="auto"/>
          <w:lang w:eastAsia="zh-CN"/>
        </w:rPr>
        <w:t>）和</w:t>
      </w:r>
      <w:r>
        <w:rPr>
          <w:rFonts w:hint="default" w:ascii="Times New Roman" w:hAnsi="Times New Roman" w:cs="Times New Roman"/>
          <w:color w:val="auto"/>
        </w:rPr>
        <w:t>《</w:t>
      </w:r>
      <w:r>
        <w:rPr>
          <w:rFonts w:hint="default" w:ascii="Times New Roman" w:hAnsi="Times New Roman" w:cs="Times New Roman"/>
          <w:color w:val="auto"/>
          <w:lang w:val="en-US" w:eastAsia="zh-CN"/>
        </w:rPr>
        <w:t>进出口茶叶中三氯杀螨醇残留量检测</w:t>
      </w:r>
      <w:r>
        <w:rPr>
          <w:rFonts w:hint="default" w:ascii="Times New Roman" w:hAnsi="Times New Roman" w:cs="Times New Roman"/>
          <w:color w:val="auto"/>
        </w:rPr>
        <w:t>》（</w:t>
      </w:r>
      <w:r>
        <w:rPr>
          <w:rFonts w:hint="default" w:ascii="Times New Roman" w:hAnsi="Times New Roman" w:cs="Times New Roman"/>
          <w:color w:val="auto"/>
          <w:lang w:val="en-US" w:eastAsia="zh-CN"/>
        </w:rPr>
        <w:t>SN/T 0348.1-2010</w:t>
      </w:r>
      <w:r>
        <w:rPr>
          <w:rFonts w:hint="default" w:ascii="Times New Roman" w:hAnsi="Times New Roman" w:cs="Times New Roman"/>
          <w:color w:val="auto"/>
        </w:rPr>
        <w:t>）</w:t>
      </w:r>
      <w:r>
        <w:rPr>
          <w:rFonts w:hint="default" w:ascii="Times New Roman" w:hAnsi="Times New Roman" w:cs="Times New Roman"/>
          <w:lang w:val="en-US" w:eastAsia="zh-CN"/>
        </w:rPr>
        <w:t>等标准方法</w:t>
      </w:r>
      <w:r>
        <w:rPr>
          <w:rFonts w:hint="default" w:ascii="Times New Roman" w:hAnsi="Times New Roman" w:cs="Times New Roman"/>
        </w:rPr>
        <w:t>确定了实验方法，并进行方法前处理条件的选择、仪器分析条件的优化，确定最佳实验条件</w:t>
      </w:r>
      <w:r>
        <w:rPr>
          <w:rFonts w:hint="default" w:ascii="Times New Roman" w:hAnsi="Times New Roman" w:cs="Times New Roman"/>
          <w:lang w:eastAsia="zh-CN"/>
        </w:rPr>
        <w:t>，开展</w:t>
      </w:r>
      <w:r>
        <w:rPr>
          <w:rFonts w:hint="default" w:ascii="Times New Roman" w:hAnsi="Times New Roman" w:cs="Times New Roman"/>
        </w:rPr>
        <w:t>方法检出限</w:t>
      </w:r>
      <w:r>
        <w:rPr>
          <w:rFonts w:hint="default" w:ascii="Times New Roman" w:hAnsi="Times New Roman" w:cs="Times New Roman"/>
          <w:lang w:eastAsia="zh-CN"/>
        </w:rPr>
        <w:t>、</w:t>
      </w:r>
      <w:r>
        <w:rPr>
          <w:rFonts w:hint="default" w:ascii="Times New Roman" w:hAnsi="Times New Roman" w:cs="Times New Roman"/>
        </w:rPr>
        <w:t>精密度及正确度等</w:t>
      </w:r>
      <w:r>
        <w:rPr>
          <w:rFonts w:hint="default" w:ascii="Times New Roman" w:hAnsi="Times New Roman" w:cs="Times New Roman"/>
          <w:lang w:eastAsia="zh-CN"/>
        </w:rPr>
        <w:t>方法性能指标的</w:t>
      </w:r>
      <w:r>
        <w:rPr>
          <w:rFonts w:hint="default" w:ascii="Times New Roman" w:hAnsi="Times New Roman" w:cs="Times New Roman"/>
        </w:rPr>
        <w:t>研究。</w:t>
      </w:r>
    </w:p>
    <w:p w14:paraId="70EFB89C">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1.2.</w:t>
      </w:r>
      <w:r>
        <w:rPr>
          <w:rFonts w:hint="eastAsia" w:cs="Times New Roman"/>
          <w:lang w:val="en-US" w:eastAsia="zh-CN"/>
        </w:rPr>
        <w:t>4</w:t>
      </w:r>
      <w:r>
        <w:rPr>
          <w:rFonts w:hint="default" w:ascii="Times New Roman" w:hAnsi="Times New Roman" w:cs="Times New Roman"/>
          <w:lang w:val="en-US" w:eastAsia="zh-CN"/>
        </w:rPr>
        <w:t xml:space="preserve">  编写标准方法验证方案</w:t>
      </w:r>
    </w:p>
    <w:p w14:paraId="7D3536B0">
      <w:pPr>
        <w:bidi w:val="0"/>
        <w:rPr>
          <w:rFonts w:hint="default" w:ascii="Times New Roman" w:hAnsi="Times New Roman" w:cs="Times New Roman"/>
          <w:lang w:val="en-US" w:eastAsia="zh-CN"/>
        </w:rPr>
      </w:pPr>
      <w:r>
        <w:rPr>
          <w:rFonts w:hint="default" w:ascii="Times New Roman" w:hAnsi="Times New Roman" w:cs="Times New Roman"/>
        </w:rPr>
        <w:t>202</w:t>
      </w:r>
      <w:r>
        <w:rPr>
          <w:rFonts w:hint="default" w:ascii="Times New Roman" w:hAnsi="Times New Roman" w:cs="Times New Roman"/>
          <w:lang w:val="en-US" w:eastAsia="zh-CN"/>
        </w:rPr>
        <w:t>4</w:t>
      </w:r>
      <w:r>
        <w:rPr>
          <w:rFonts w:hint="default" w:ascii="Times New Roman" w:hAnsi="Times New Roman" w:cs="Times New Roman"/>
        </w:rPr>
        <w:t>年1</w:t>
      </w:r>
      <w:r>
        <w:rPr>
          <w:rFonts w:hint="default" w:ascii="Times New Roman" w:hAnsi="Times New Roman" w:cs="Times New Roman"/>
          <w:lang w:val="en-US" w:eastAsia="zh-CN"/>
        </w:rPr>
        <w:t>0</w:t>
      </w:r>
      <w:r>
        <w:rPr>
          <w:rFonts w:hint="default" w:ascii="Times New Roman" w:hAnsi="Times New Roman" w:cs="Times New Roman"/>
        </w:rPr>
        <w:t>月~</w:t>
      </w:r>
      <w:r>
        <w:rPr>
          <w:rFonts w:hint="default" w:ascii="Times New Roman" w:hAnsi="Times New Roman" w:cs="Times New Roman"/>
          <w:lang w:val="en-US" w:eastAsia="zh-CN"/>
        </w:rPr>
        <w:t>11</w:t>
      </w:r>
      <w:r>
        <w:rPr>
          <w:rFonts w:hint="default" w:ascii="Times New Roman" w:hAnsi="Times New Roman" w:cs="Times New Roman"/>
        </w:rPr>
        <w:t>月，根据已经建立的</w:t>
      </w:r>
      <w:r>
        <w:rPr>
          <w:rFonts w:hint="default" w:ascii="Times New Roman" w:hAnsi="Times New Roman" w:cs="Times New Roman"/>
          <w:lang w:eastAsia="zh-CN"/>
        </w:rPr>
        <w:t>标准</w:t>
      </w:r>
      <w:r>
        <w:rPr>
          <w:rFonts w:hint="default" w:ascii="Times New Roman" w:hAnsi="Times New Roman" w:cs="Times New Roman"/>
        </w:rPr>
        <w:t xml:space="preserve">方法，编写了《土壤 </w:t>
      </w:r>
      <w:r>
        <w:rPr>
          <w:rFonts w:hint="default" w:ascii="Times New Roman" w:hAnsi="Times New Roman" w:cs="Times New Roman"/>
          <w:lang w:val="en-US" w:eastAsia="zh-CN"/>
        </w:rPr>
        <w:t>三氯杀螨醇</w:t>
      </w:r>
      <w:r>
        <w:rPr>
          <w:rFonts w:hint="default" w:ascii="Times New Roman" w:hAnsi="Times New Roman" w:cs="Times New Roman"/>
        </w:rPr>
        <w:t>的测定 气相色谱</w:t>
      </w:r>
      <w:r>
        <w:rPr>
          <w:rFonts w:hint="default" w:ascii="Times New Roman" w:hAnsi="Times New Roman" w:cs="Times New Roman"/>
          <w:lang w:val="en-US" w:eastAsia="zh-CN"/>
        </w:rPr>
        <w:t>-质谱法</w:t>
      </w:r>
      <w:r>
        <w:rPr>
          <w:rFonts w:hint="default" w:ascii="Times New Roman" w:hAnsi="Times New Roman" w:cs="Times New Roman"/>
        </w:rPr>
        <w:t>》方法验证方案，并</w:t>
      </w:r>
      <w:r>
        <w:rPr>
          <w:rFonts w:hint="default" w:ascii="Times New Roman" w:hAnsi="Times New Roman" w:cs="Times New Roman"/>
          <w:lang w:eastAsia="zh-CN"/>
        </w:rPr>
        <w:t>开展</w:t>
      </w:r>
      <w:r>
        <w:rPr>
          <w:rFonts w:hint="default" w:ascii="Times New Roman" w:hAnsi="Times New Roman" w:cs="Times New Roman"/>
        </w:rPr>
        <w:t>方法验证样品</w:t>
      </w:r>
      <w:r>
        <w:rPr>
          <w:rFonts w:hint="default" w:ascii="Times New Roman" w:hAnsi="Times New Roman" w:cs="Times New Roman"/>
          <w:lang w:eastAsia="zh-CN"/>
        </w:rPr>
        <w:t>的准备</w:t>
      </w:r>
      <w:r>
        <w:rPr>
          <w:rFonts w:hint="default" w:ascii="Times New Roman" w:hAnsi="Times New Roman" w:cs="Times New Roman"/>
        </w:rPr>
        <w:t>。</w:t>
      </w:r>
    </w:p>
    <w:p w14:paraId="53F3B1A7">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1.2.</w:t>
      </w:r>
      <w:r>
        <w:rPr>
          <w:rFonts w:hint="eastAsia" w:cs="Times New Roman"/>
          <w:lang w:val="en-US" w:eastAsia="zh-CN"/>
        </w:rPr>
        <w:t>5</w:t>
      </w:r>
      <w:r>
        <w:rPr>
          <w:rFonts w:hint="default" w:ascii="Times New Roman" w:hAnsi="Times New Roman" w:cs="Times New Roman"/>
          <w:lang w:val="en-US" w:eastAsia="zh-CN"/>
        </w:rPr>
        <w:t xml:space="preserve">  方法验证工作</w:t>
      </w:r>
    </w:p>
    <w:p w14:paraId="5AA5B30E">
      <w:pPr>
        <w:bidi w:val="0"/>
        <w:rPr>
          <w:rFonts w:hint="default" w:ascii="Times New Roman" w:hAnsi="Times New Roman" w:cs="Times New Roman"/>
          <w:lang w:val="en-US" w:eastAsia="zh-CN"/>
        </w:rPr>
      </w:pPr>
      <w:r>
        <w:rPr>
          <w:rFonts w:hint="default" w:ascii="Times New Roman" w:hAnsi="Times New Roman" w:cs="Times New Roman"/>
        </w:rPr>
        <w:t>202</w:t>
      </w:r>
      <w:r>
        <w:rPr>
          <w:rFonts w:hint="default"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12</w:t>
      </w:r>
      <w:r>
        <w:rPr>
          <w:rFonts w:hint="default" w:ascii="Times New Roman" w:hAnsi="Times New Roman" w:cs="Times New Roman"/>
        </w:rPr>
        <w:t>月，根据《环境监测分析方法标准制订技术导则》（HJ 168-2020）的要求，组织了</w:t>
      </w:r>
      <w:r>
        <w:rPr>
          <w:rFonts w:hint="default" w:ascii="Times New Roman" w:hAnsi="Times New Roman" w:cs="Times New Roman"/>
          <w:lang w:val="en-US" w:eastAsia="zh-CN"/>
        </w:rPr>
        <w:t>6</w:t>
      </w:r>
      <w:r>
        <w:rPr>
          <w:rFonts w:hint="default" w:ascii="Times New Roman" w:hAnsi="Times New Roman" w:cs="Times New Roman"/>
        </w:rPr>
        <w:t>家有资质的实验室进行方法验证，于202</w:t>
      </w:r>
      <w:r>
        <w:rPr>
          <w:rFonts w:hint="default" w:ascii="Times New Roman" w:hAnsi="Times New Roman" w:cs="Times New Roman"/>
          <w:lang w:val="en-US" w:eastAsia="zh-CN"/>
        </w:rPr>
        <w:t>5</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 xml:space="preserve">月初收回了全部验证报告，在此基础上进行了数据汇总和分析整理工作，并编写完成了《土壤 </w:t>
      </w:r>
      <w:r>
        <w:rPr>
          <w:rFonts w:hint="default" w:ascii="Times New Roman" w:hAnsi="Times New Roman" w:cs="Times New Roman"/>
          <w:lang w:val="en-US" w:eastAsia="zh-CN"/>
        </w:rPr>
        <w:t>三氯杀螨醇</w:t>
      </w:r>
      <w:r>
        <w:rPr>
          <w:rFonts w:hint="default" w:ascii="Times New Roman" w:hAnsi="Times New Roman" w:cs="Times New Roman"/>
        </w:rPr>
        <w:t>的测定 气相色谱</w:t>
      </w:r>
      <w:r>
        <w:rPr>
          <w:rFonts w:hint="default" w:ascii="Times New Roman" w:hAnsi="Times New Roman" w:cs="Times New Roman"/>
          <w:lang w:val="en-US" w:eastAsia="zh-CN"/>
        </w:rPr>
        <w:t>-质谱法</w:t>
      </w:r>
      <w:r>
        <w:rPr>
          <w:rFonts w:hint="default" w:ascii="Times New Roman" w:hAnsi="Times New Roman" w:cs="Times New Roman"/>
        </w:rPr>
        <w:t>》验证报告。</w:t>
      </w:r>
    </w:p>
    <w:p w14:paraId="17370BB7">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1.2.</w:t>
      </w:r>
      <w:r>
        <w:rPr>
          <w:rFonts w:hint="eastAsia" w:cs="Times New Roman"/>
          <w:lang w:val="en-US" w:eastAsia="zh-CN"/>
        </w:rPr>
        <w:t>6</w:t>
      </w:r>
      <w:r>
        <w:rPr>
          <w:rFonts w:hint="default" w:ascii="Times New Roman" w:hAnsi="Times New Roman" w:cs="Times New Roman"/>
          <w:lang w:val="en-US" w:eastAsia="zh-CN"/>
        </w:rPr>
        <w:t xml:space="preserve">  编写标准征求意见稿和编制说明</w:t>
      </w:r>
    </w:p>
    <w:p w14:paraId="73F1D835">
      <w:pPr>
        <w:rPr>
          <w:rFonts w:hint="default" w:ascii="Times New Roman" w:hAnsi="Times New Roman" w:cs="Times New Roman"/>
          <w:lang w:val="en-US" w:eastAsia="zh-CN"/>
        </w:rPr>
      </w:pPr>
      <w:r>
        <w:rPr>
          <w:rFonts w:hint="default" w:ascii="Times New Roman" w:hAnsi="Times New Roman" w:cs="Times New Roman"/>
        </w:rPr>
        <w:t>202</w:t>
      </w:r>
      <w:r>
        <w:rPr>
          <w:rFonts w:hint="default" w:ascii="Times New Roman" w:hAnsi="Times New Roman" w:cs="Times New Roman"/>
          <w:lang w:val="en-US" w:eastAsia="zh-CN"/>
        </w:rPr>
        <w:t>5</w:t>
      </w:r>
      <w:r>
        <w:rPr>
          <w:rFonts w:hint="default" w:ascii="Times New Roman" w:hAnsi="Times New Roman" w:cs="Times New Roman"/>
        </w:rPr>
        <w:t>年</w:t>
      </w:r>
      <w:r>
        <w:rPr>
          <w:rFonts w:hint="eastAsia" w:cs="Times New Roman"/>
          <w:lang w:val="en-US" w:eastAsia="zh-CN"/>
        </w:rPr>
        <w:t>1</w:t>
      </w:r>
      <w:r>
        <w:rPr>
          <w:rFonts w:hint="default" w:ascii="Times New Roman" w:hAnsi="Times New Roman" w:cs="Times New Roman"/>
        </w:rPr>
        <w:t>月</w:t>
      </w:r>
      <w:r>
        <w:rPr>
          <w:rFonts w:hint="default" w:ascii="Times New Roman" w:hAnsi="Times New Roman" w:eastAsia="等线" w:cs="Times New Roman"/>
        </w:rPr>
        <w:t>~</w:t>
      </w:r>
      <w:r>
        <w:rPr>
          <w:rFonts w:hint="eastAsia" w:eastAsia="等线" w:cs="Times New Roman"/>
          <w:lang w:val="en-US" w:eastAsia="zh-CN"/>
        </w:rPr>
        <w:t>2</w:t>
      </w:r>
      <w:r>
        <w:rPr>
          <w:rFonts w:hint="default" w:ascii="Times New Roman" w:hAnsi="Times New Roman" w:cs="Times New Roman"/>
        </w:rPr>
        <w:t>月，编写</w:t>
      </w:r>
      <w:r>
        <w:rPr>
          <w:rFonts w:hint="default" w:ascii="Times New Roman" w:hAnsi="Times New Roman" w:cs="Times New Roman"/>
          <w:sz w:val="21"/>
          <w:szCs w:val="21"/>
        </w:rPr>
        <w:t xml:space="preserve">《土壤 </w:t>
      </w:r>
      <w:r>
        <w:rPr>
          <w:rFonts w:hint="default" w:ascii="Times New Roman" w:hAnsi="Times New Roman" w:cs="Times New Roman"/>
          <w:lang w:val="en-US" w:eastAsia="zh-CN"/>
        </w:rPr>
        <w:t>三氯杀螨醇</w:t>
      </w:r>
      <w:r>
        <w:rPr>
          <w:rFonts w:hint="default" w:ascii="Times New Roman" w:hAnsi="Times New Roman" w:cs="Times New Roman"/>
          <w:sz w:val="21"/>
          <w:szCs w:val="21"/>
        </w:rPr>
        <w:t>的测定 气相色谱</w:t>
      </w:r>
      <w:r>
        <w:rPr>
          <w:rFonts w:hint="default" w:ascii="Times New Roman" w:hAnsi="Times New Roman" w:cs="Times New Roman"/>
          <w:sz w:val="21"/>
          <w:szCs w:val="21"/>
          <w:lang w:val="en-US" w:eastAsia="zh-CN"/>
        </w:rPr>
        <w:t>-质谱法</w:t>
      </w:r>
      <w:r>
        <w:rPr>
          <w:rFonts w:hint="default" w:ascii="Times New Roman" w:hAnsi="Times New Roman" w:cs="Times New Roman"/>
          <w:sz w:val="21"/>
          <w:szCs w:val="21"/>
        </w:rPr>
        <w:t>》的标准</w:t>
      </w:r>
      <w:r>
        <w:rPr>
          <w:rFonts w:hint="default" w:ascii="Times New Roman" w:hAnsi="Times New Roman" w:cs="Times New Roman"/>
          <w:sz w:val="21"/>
          <w:szCs w:val="21"/>
          <w:lang w:eastAsia="zh-CN"/>
        </w:rPr>
        <w:t>文本</w:t>
      </w:r>
      <w:r>
        <w:rPr>
          <w:rFonts w:hint="eastAsia" w:cs="Times New Roman"/>
          <w:sz w:val="21"/>
          <w:szCs w:val="21"/>
          <w:lang w:val="en-US" w:eastAsia="zh-CN"/>
        </w:rPr>
        <w:t>草案</w:t>
      </w:r>
      <w:r>
        <w:rPr>
          <w:rFonts w:hint="default" w:ascii="Times New Roman" w:hAnsi="Times New Roman" w:cs="Times New Roman"/>
          <w:sz w:val="21"/>
          <w:szCs w:val="21"/>
        </w:rPr>
        <w:t>和编制说明。</w:t>
      </w:r>
    </w:p>
    <w:p w14:paraId="70041ECA">
      <w:pPr>
        <w:pStyle w:val="4"/>
        <w:bidi w:val="0"/>
        <w:rPr>
          <w:rFonts w:hint="default" w:ascii="Times New Roman" w:hAnsi="Times New Roman" w:cs="Times New Roman"/>
          <w:lang w:val="en-US" w:eastAsia="zh-CN"/>
        </w:rPr>
      </w:pPr>
      <w:bookmarkStart w:id="16" w:name="_Toc14248"/>
      <w:bookmarkStart w:id="17" w:name="_Toc13226"/>
      <w:bookmarkStart w:id="18" w:name="_Toc234"/>
      <w:r>
        <w:rPr>
          <w:rFonts w:hint="default" w:ascii="Times New Roman" w:hAnsi="Times New Roman" w:cs="Times New Roman"/>
          <w:lang w:val="en-US" w:eastAsia="zh-CN"/>
        </w:rPr>
        <w:t>1.2.</w:t>
      </w:r>
      <w:r>
        <w:rPr>
          <w:rFonts w:hint="eastAsia" w:cs="Times New Roman"/>
          <w:lang w:val="en-US" w:eastAsia="zh-CN"/>
        </w:rPr>
        <w:t>7</w:t>
      </w:r>
      <w:r>
        <w:rPr>
          <w:rFonts w:hint="default" w:ascii="Times New Roman" w:hAnsi="Times New Roman" w:cs="Times New Roman"/>
          <w:lang w:val="en-US" w:eastAsia="zh-CN"/>
        </w:rPr>
        <w:t xml:space="preserve">  申报重庆市环境科学学会团体标准</w:t>
      </w:r>
    </w:p>
    <w:p w14:paraId="3AFF47B3">
      <w:pPr>
        <w:bidi w:val="0"/>
        <w:rPr>
          <w:rFonts w:hint="default" w:ascii="Times New Roman" w:hAnsi="Times New Roman" w:cs="Times New Roman"/>
          <w:lang w:val="en-US" w:eastAsia="zh-CN"/>
        </w:rPr>
      </w:pPr>
      <w:r>
        <w:rPr>
          <w:rFonts w:hint="default" w:ascii="Times New Roman" w:hAnsi="Times New Roman" w:cs="Times New Roman"/>
        </w:rPr>
        <w:t>根据已有方法研究成果及项目组的意见，</w:t>
      </w:r>
      <w:r>
        <w:rPr>
          <w:rFonts w:hint="default" w:ascii="Times New Roman" w:hAnsi="Times New Roman" w:cs="Times New Roman"/>
          <w:lang w:val="en-US" w:eastAsia="zh-CN"/>
        </w:rPr>
        <w:t>编制组形成《土壤 三氯杀螨醇的测定 气相色谱-质谱法》方法文本（草案），并</w:t>
      </w:r>
      <w:r>
        <w:rPr>
          <w:rFonts w:hint="default" w:ascii="Times New Roman" w:hAnsi="Times New Roman" w:cs="Times New Roman"/>
        </w:rPr>
        <w:t>于202</w:t>
      </w:r>
      <w:r>
        <w:rPr>
          <w:rFonts w:hint="eastAsia" w:cs="Times New Roman"/>
          <w:lang w:val="en-US" w:eastAsia="zh-CN"/>
        </w:rPr>
        <w:t>5</w:t>
      </w:r>
      <w:r>
        <w:rPr>
          <w:rFonts w:hint="default" w:ascii="Times New Roman" w:hAnsi="Times New Roman" w:cs="Times New Roman"/>
        </w:rPr>
        <w:t>年</w:t>
      </w:r>
      <w:r>
        <w:rPr>
          <w:rFonts w:hint="eastAsia" w:cs="Times New Roman"/>
          <w:lang w:val="en-US" w:eastAsia="zh-CN"/>
        </w:rPr>
        <w:t>3</w:t>
      </w:r>
      <w:r>
        <w:rPr>
          <w:rFonts w:hint="default" w:ascii="Times New Roman" w:hAnsi="Times New Roman" w:cs="Times New Roman"/>
        </w:rPr>
        <w:t>月向</w:t>
      </w:r>
      <w:r>
        <w:rPr>
          <w:rFonts w:hint="eastAsia" w:cs="Times New Roman"/>
          <w:lang w:val="en-US" w:eastAsia="zh-CN"/>
        </w:rPr>
        <w:t>重庆市</w:t>
      </w:r>
      <w:r>
        <w:rPr>
          <w:rFonts w:hint="default" w:ascii="Times New Roman" w:hAnsi="Times New Roman" w:cs="Times New Roman"/>
        </w:rPr>
        <w:t>环境科学学会申报了《土壤</w:t>
      </w:r>
      <w:r>
        <w:rPr>
          <w:rFonts w:hint="default" w:ascii="Times New Roman" w:hAnsi="Times New Roman" w:cs="Times New Roman"/>
          <w:lang w:val="en-US" w:eastAsia="zh-CN"/>
        </w:rPr>
        <w:t xml:space="preserve"> 三氯杀螨醇</w:t>
      </w:r>
      <w:r>
        <w:rPr>
          <w:rFonts w:hint="default" w:ascii="Times New Roman" w:hAnsi="Times New Roman" w:cs="Times New Roman"/>
        </w:rPr>
        <w:t>的测定 气相色谱</w:t>
      </w:r>
      <w:r>
        <w:rPr>
          <w:rFonts w:hint="default" w:ascii="Times New Roman" w:hAnsi="Times New Roman" w:cs="Times New Roman"/>
          <w:lang w:val="en-US" w:eastAsia="zh-CN"/>
        </w:rPr>
        <w:t>-质谱法</w:t>
      </w:r>
      <w:r>
        <w:rPr>
          <w:rFonts w:hint="default" w:ascii="Times New Roman" w:hAnsi="Times New Roman" w:cs="Times New Roman"/>
        </w:rPr>
        <w:t>》团体标准。</w:t>
      </w:r>
    </w:p>
    <w:p w14:paraId="2C56EA2A">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1.3  主要起草人及所做的工作</w:t>
      </w:r>
      <w:bookmarkEnd w:id="16"/>
      <w:bookmarkEnd w:id="17"/>
      <w:bookmarkEnd w:id="18"/>
    </w:p>
    <w:p w14:paraId="3F4F877A">
      <w:pPr>
        <w:bidi w:val="0"/>
        <w:rPr>
          <w:rFonts w:hint="default" w:ascii="Times New Roman" w:hAnsi="Times New Roman" w:cs="Times New Roman"/>
          <w:lang w:val="en-US" w:eastAsia="zh-CN"/>
        </w:rPr>
      </w:pPr>
      <w:r>
        <w:rPr>
          <w:rFonts w:hint="default" w:ascii="Times New Roman" w:hAnsi="Times New Roman" w:cs="Times New Roman"/>
          <w:lang w:val="en-US" w:eastAsia="zh-CN"/>
        </w:rPr>
        <w:t>本标准编制定任务由重庆市生态环境监测中心承担，方法验证单位包括湖北省生态环境监测中心站、</w:t>
      </w:r>
      <w:r>
        <w:rPr>
          <w:rFonts w:hint="eastAsia" w:cs="Times New Roman"/>
          <w:lang w:val="en-US" w:eastAsia="zh-CN"/>
        </w:rPr>
        <w:t>四川省生态环境监测总站</w:t>
      </w:r>
      <w:r>
        <w:rPr>
          <w:rFonts w:hint="default" w:ascii="Times New Roman" w:hAnsi="Times New Roman" w:cs="Times New Roman"/>
          <w:lang w:val="en-US" w:eastAsia="zh-CN"/>
        </w:rPr>
        <w:t>、辽宁省生态环境监测中心、海南省生态环境监测中心</w:t>
      </w:r>
      <w:r>
        <w:rPr>
          <w:rFonts w:hint="eastAsia" w:cs="Times New Roman"/>
          <w:lang w:val="en-US" w:eastAsia="zh-CN"/>
        </w:rPr>
        <w:t>、四川省宜宾生态环境监测中心站</w:t>
      </w:r>
      <w:r>
        <w:rPr>
          <w:rFonts w:hint="default" w:ascii="Times New Roman" w:hAnsi="Times New Roman" w:cs="Times New Roman"/>
          <w:lang w:val="en-US" w:eastAsia="zh-CN"/>
        </w:rPr>
        <w:t>和</w:t>
      </w:r>
      <w:r>
        <w:rPr>
          <w:rFonts w:hint="eastAsia" w:cs="Times New Roman"/>
          <w:lang w:val="en-US" w:eastAsia="zh-CN"/>
        </w:rPr>
        <w:t>江苏省徐州生态环境监测中心</w:t>
      </w:r>
      <w:r>
        <w:rPr>
          <w:rFonts w:hint="default" w:ascii="Times New Roman" w:hAnsi="Times New Roman" w:cs="Times New Roman"/>
          <w:lang w:val="en-US" w:eastAsia="zh-CN"/>
        </w:rPr>
        <w:t>6</w:t>
      </w:r>
      <w:r>
        <w:rPr>
          <w:rFonts w:hint="default" w:ascii="Times New Roman" w:hAnsi="Times New Roman" w:cs="Times New Roman"/>
          <w:lang w:eastAsia="zh-CN"/>
        </w:rPr>
        <w:t>家实验室。</w:t>
      </w:r>
    </w:p>
    <w:p w14:paraId="0F283147">
      <w:pPr>
        <w:pStyle w:val="3"/>
        <w:bidi w:val="0"/>
        <w:rPr>
          <w:rFonts w:hint="default" w:ascii="Times New Roman" w:hAnsi="Times New Roman" w:cs="Times New Roman"/>
          <w:lang w:val="en-US" w:eastAsia="zh-CN"/>
        </w:rPr>
      </w:pPr>
      <w:bookmarkStart w:id="19" w:name="_Toc27085"/>
      <w:bookmarkStart w:id="20" w:name="_Toc7832"/>
      <w:bookmarkStart w:id="21" w:name="_Toc24872"/>
      <w:r>
        <w:rPr>
          <w:rFonts w:hint="default" w:ascii="Times New Roman" w:hAnsi="Times New Roman" w:cs="Times New Roman"/>
          <w:lang w:val="en-US" w:eastAsia="zh-CN"/>
        </w:rPr>
        <w:t>1.4  目标物研究的背景和意义</w:t>
      </w:r>
      <w:bookmarkEnd w:id="19"/>
      <w:bookmarkEnd w:id="20"/>
      <w:bookmarkEnd w:id="21"/>
    </w:p>
    <w:p w14:paraId="2BDAE6BA">
      <w:pPr>
        <w:bidi w:val="0"/>
        <w:rPr>
          <w:rFonts w:hint="default" w:ascii="Times New Roman" w:hAnsi="Times New Roman" w:cs="Times New Roman"/>
          <w:lang w:val="en-US" w:eastAsia="zh-CN"/>
        </w:rPr>
      </w:pPr>
      <w:r>
        <w:rPr>
          <w:rFonts w:hint="default" w:ascii="Times New Roman" w:hAnsi="Times New Roman" w:cs="Times New Roman"/>
          <w:lang w:val="en-US" w:eastAsia="zh-CN"/>
        </w:rPr>
        <w:t>三氯杀螨醇因其持久性和内分泌干扰效应，国内外已出台一系列相关措施对三氯杀螨醇实施管控和治理。2002年，美国Our Stolen Future《具有内分泌干扰效应的普遍污染物清单》列出86种内分泌干扰物，三氯杀螨醇被列其中，是明确的具有内分泌效应的高关注度物质；2016年原农业部（现农业农村部）发布公告，自2018年10月1日起，全面禁止三氯杀螨醇销售和使用；2019年，三氯杀螨醇被列入《斯德哥尔摩公约》管控的的持久性有机污染物；2020年，三氯杀螨醇被列入重点管控新污染物清单。围绕《重点管控新污染物清单》，新污染物试点监测、川渝新污染物联合调查等专项工作均需要对三氯杀螨醇进行调查，摸底其环境赋存和污染状况。</w:t>
      </w:r>
    </w:p>
    <w:p w14:paraId="16F34035">
      <w:pPr>
        <w:pStyle w:val="2"/>
        <w:bidi w:val="0"/>
        <w:outlineLvl w:val="1"/>
        <w:rPr>
          <w:rFonts w:hint="default" w:ascii="Times New Roman" w:hAnsi="Times New Roman" w:cs="Times New Roman"/>
          <w:lang w:val="en-US" w:eastAsia="zh-CN"/>
        </w:rPr>
      </w:pPr>
      <w:bookmarkStart w:id="22" w:name="_Toc27809"/>
      <w:bookmarkStart w:id="23" w:name="_Toc22098"/>
      <w:bookmarkStart w:id="24" w:name="_Toc6846"/>
      <w:r>
        <w:rPr>
          <w:rFonts w:hint="default" w:ascii="Times New Roman" w:hAnsi="Times New Roman" w:cs="Times New Roman"/>
          <w:lang w:val="en-US" w:eastAsia="zh-CN"/>
        </w:rPr>
        <w:t>1.5  目标物的理化性质和危害</w:t>
      </w:r>
      <w:bookmarkEnd w:id="22"/>
      <w:bookmarkEnd w:id="23"/>
      <w:bookmarkEnd w:id="24"/>
    </w:p>
    <w:p w14:paraId="3DD2C56B">
      <w:pPr>
        <w:bidi w:val="0"/>
        <w:rPr>
          <w:rFonts w:hint="default" w:ascii="Times New Roman" w:hAnsi="Times New Roman" w:cs="Times New Roman"/>
          <w:lang w:val="en-US" w:eastAsia="zh-CN"/>
        </w:rPr>
      </w:pPr>
      <w:r>
        <w:rPr>
          <w:rFonts w:hint="default" w:ascii="Times New Roman" w:hAnsi="Times New Roman" w:cs="Times New Roman"/>
          <w:lang w:val="en-US" w:eastAsia="zh-CN"/>
        </w:rPr>
        <w:t>三氯杀螨醇，化学名1,1-二（对氯苯基）-2,2,2-三氯乙醇，C14H9Cl5O是一种有机氯类杀虫剂杀螨剂，由4,4</w:t>
      </w:r>
      <w:r>
        <w:rPr>
          <w:rFonts w:hint="default" w:cs="Times New Roman"/>
          <w:lang w:val="en-US" w:eastAsia="zh-CN"/>
        </w:rPr>
        <w:t>’</w:t>
      </w:r>
      <w:r>
        <w:rPr>
          <w:rFonts w:hint="default" w:ascii="Times New Roman" w:hAnsi="Times New Roman" w:cs="Times New Roman"/>
          <w:lang w:val="en-US" w:eastAsia="zh-CN"/>
        </w:rPr>
        <w:t>-三氯杀螨醇（80%）与其异构体2,4’-三氯杀螨醇（20%）组成（化学结构式见图1），于20世纪70年代开始作为滴滴涕替代品被广泛用于防治果树、蔬菜等作物的螨害。</w:t>
      </w:r>
    </w:p>
    <w:p w14:paraId="203A1EC2">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drawing>
          <wp:anchor distT="0" distB="0" distL="114300" distR="114300" simplePos="0" relativeHeight="251662336" behindDoc="0" locked="0" layoutInCell="1" allowOverlap="1">
            <wp:simplePos x="0" y="0"/>
            <wp:positionH relativeFrom="column">
              <wp:posOffset>2766695</wp:posOffset>
            </wp:positionH>
            <wp:positionV relativeFrom="paragraph">
              <wp:posOffset>102235</wp:posOffset>
            </wp:positionV>
            <wp:extent cx="1893570" cy="1117600"/>
            <wp:effectExtent l="0" t="0" r="11430" b="0"/>
            <wp:wrapTopAndBottom/>
            <wp:docPr id="21" name="图片 21" descr="173621795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6217950623"/>
                    <pic:cNvPicPr>
                      <a:picLocks noChangeAspect="1"/>
                    </pic:cNvPicPr>
                  </pic:nvPicPr>
                  <pic:blipFill>
                    <a:blip r:embed="rId8"/>
                    <a:stretch>
                      <a:fillRect/>
                    </a:stretch>
                  </pic:blipFill>
                  <pic:spPr>
                    <a:xfrm>
                      <a:off x="0" y="0"/>
                      <a:ext cx="1893570" cy="1117600"/>
                    </a:xfrm>
                    <a:prstGeom prst="rect">
                      <a:avLst/>
                    </a:prstGeom>
                  </pic:spPr>
                </pic:pic>
              </a:graphicData>
            </a:graphic>
          </wp:anchor>
        </w:drawing>
      </w:r>
      <w:r>
        <w:rPr>
          <w:rFonts w:hint="default" w:ascii="Times New Roman" w:hAnsi="Times New Roman" w:eastAsia="黑体" w:cs="Times New Roman"/>
          <w:color w:val="000000"/>
          <w:szCs w:val="21"/>
          <w:highlight w:val="none"/>
          <w:lang w:val="en-US" w:eastAsia="zh-CN"/>
        </w:rPr>
        <w:drawing>
          <wp:anchor distT="0" distB="0" distL="114300" distR="114300" simplePos="0" relativeHeight="251661312" behindDoc="0" locked="0" layoutInCell="1" allowOverlap="1">
            <wp:simplePos x="0" y="0"/>
            <wp:positionH relativeFrom="column">
              <wp:posOffset>774700</wp:posOffset>
            </wp:positionH>
            <wp:positionV relativeFrom="paragraph">
              <wp:posOffset>98425</wp:posOffset>
            </wp:positionV>
            <wp:extent cx="1990090" cy="1116330"/>
            <wp:effectExtent l="0" t="0" r="0" b="0"/>
            <wp:wrapTopAndBottom/>
            <wp:docPr id="19" name="图片 19" descr="173621788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6217885395"/>
                    <pic:cNvPicPr>
                      <a:picLocks noChangeAspect="1"/>
                    </pic:cNvPicPr>
                  </pic:nvPicPr>
                  <pic:blipFill>
                    <a:blip r:embed="rId9"/>
                    <a:srcRect t="4569" b="5185"/>
                    <a:stretch>
                      <a:fillRect/>
                    </a:stretch>
                  </pic:blipFill>
                  <pic:spPr>
                    <a:xfrm>
                      <a:off x="0" y="0"/>
                      <a:ext cx="1990090" cy="1116330"/>
                    </a:xfrm>
                    <a:prstGeom prst="rect">
                      <a:avLst/>
                    </a:prstGeom>
                  </pic:spPr>
                </pic:pic>
              </a:graphicData>
            </a:graphic>
          </wp:anchor>
        </w:drawing>
      </w:r>
      <w:r>
        <w:rPr>
          <w:rFonts w:hint="default" w:ascii="Times New Roman" w:hAnsi="Times New Roman" w:eastAsia="黑体" w:cs="Times New Roman"/>
          <w:color w:val="000000"/>
          <w:szCs w:val="21"/>
          <w:highlight w:val="none"/>
          <w:lang w:val="en-US" w:eastAsia="zh-CN"/>
        </w:rPr>
        <w:t xml:space="preserve">图1 </w:t>
      </w:r>
      <w:r>
        <w:rPr>
          <w:rFonts w:hint="eastAsia" w:eastAsia="黑体" w:cs="Times New Roman"/>
          <w:color w:val="000000"/>
          <w:szCs w:val="21"/>
          <w:highlight w:val="none"/>
          <w:lang w:val="en-US" w:eastAsia="zh-CN"/>
        </w:rPr>
        <w:t xml:space="preserve"> </w:t>
      </w:r>
      <w:r>
        <w:rPr>
          <w:rFonts w:hint="default" w:ascii="Times New Roman" w:hAnsi="Times New Roman" w:eastAsia="黑体" w:cs="Times New Roman"/>
          <w:color w:val="000000"/>
          <w:szCs w:val="21"/>
          <w:highlight w:val="none"/>
          <w:lang w:val="en-US" w:eastAsia="zh-CN"/>
        </w:rPr>
        <w:t>（A）4,4</w:t>
      </w:r>
      <w:r>
        <w:rPr>
          <w:rFonts w:hint="default" w:eastAsia="黑体" w:cs="Times New Roman"/>
          <w:color w:val="000000"/>
          <w:szCs w:val="21"/>
          <w:highlight w:val="none"/>
          <w:lang w:val="en-US" w:eastAsia="zh-CN"/>
        </w:rPr>
        <w:t>’</w:t>
      </w:r>
      <w:r>
        <w:rPr>
          <w:rFonts w:hint="default" w:ascii="Times New Roman" w:hAnsi="Times New Roman" w:eastAsia="黑体" w:cs="Times New Roman"/>
          <w:color w:val="000000"/>
          <w:szCs w:val="21"/>
          <w:highlight w:val="none"/>
          <w:lang w:val="en-US" w:eastAsia="zh-CN"/>
        </w:rPr>
        <w:t>-三氯杀螨醇（B）2,4’-三氯杀螨醇</w:t>
      </w:r>
    </w:p>
    <w:p w14:paraId="4F65916B">
      <w:pPr>
        <w:bidi w:val="0"/>
        <w:rPr>
          <w:rFonts w:hint="default" w:ascii="Times New Roman" w:hAnsi="Times New Roman" w:cs="Times New Roman"/>
          <w:lang w:val="en-US" w:eastAsia="zh-CN"/>
        </w:rPr>
      </w:pPr>
      <w:r>
        <w:rPr>
          <w:rFonts w:hint="default" w:ascii="Times New Roman" w:hAnsi="Times New Roman" w:cs="Times New Roman"/>
          <w:lang w:val="en-US" w:eastAsia="zh-CN"/>
        </w:rPr>
        <w:t>三氯杀螨醇纯品为白色固体（工业品为棕色粘稠油状物），熔点78.5℃~79.5℃，蒸汽压180℃（13.3 Pa），沸点225℃。水中溶解度（25℃）0.8 mg/L，溶于苯、丙酮、醚、醇等多数有机溶剂。三氯杀螨醇在酸性介质中稳定，遇碱则容易分解为三氯甲烷和</w:t>
      </w:r>
      <w:r>
        <w:rPr>
          <w:rFonts w:hint="eastAsia" w:cs="Times New Roman"/>
          <w:lang w:val="en-US" w:eastAsia="zh-CN"/>
        </w:rPr>
        <w:t>二氯二</w:t>
      </w:r>
      <w:r>
        <w:rPr>
          <w:rFonts w:hint="default" w:ascii="Times New Roman" w:hAnsi="Times New Roman" w:cs="Times New Roman"/>
          <w:lang w:val="en-US" w:eastAsia="zh-CN"/>
        </w:rPr>
        <w:t>苯</w:t>
      </w:r>
      <w:r>
        <w:rPr>
          <w:rFonts w:hint="eastAsia" w:cs="Times New Roman"/>
          <w:lang w:val="en-US" w:eastAsia="zh-CN"/>
        </w:rPr>
        <w:t>甲</w:t>
      </w:r>
      <w:r>
        <w:rPr>
          <w:rFonts w:hint="default" w:ascii="Times New Roman" w:hAnsi="Times New Roman" w:cs="Times New Roman"/>
          <w:lang w:val="en-US" w:eastAsia="zh-CN"/>
        </w:rPr>
        <w:t>酮（见图2）。其异构体2,4’-三氯杀螨醇更不稳定，光照下即降解为二氯二苯甲酮。</w:t>
      </w:r>
    </w:p>
    <w:p w14:paraId="58F2B22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drawing>
          <wp:anchor distT="0" distB="0" distL="114300" distR="114300" simplePos="0" relativeHeight="251663360" behindDoc="0" locked="0" layoutInCell="1" allowOverlap="1">
            <wp:simplePos x="0" y="0"/>
            <wp:positionH relativeFrom="column">
              <wp:posOffset>549910</wp:posOffset>
            </wp:positionH>
            <wp:positionV relativeFrom="paragraph">
              <wp:posOffset>109855</wp:posOffset>
            </wp:positionV>
            <wp:extent cx="4378960" cy="824865"/>
            <wp:effectExtent l="0" t="0" r="2540" b="635"/>
            <wp:wrapTopAndBottom/>
            <wp:docPr id="29" name="图片 29" descr="173621963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36219632740"/>
                    <pic:cNvPicPr>
                      <a:picLocks noChangeAspect="1"/>
                    </pic:cNvPicPr>
                  </pic:nvPicPr>
                  <pic:blipFill>
                    <a:blip r:embed="rId10"/>
                    <a:stretch>
                      <a:fillRect/>
                    </a:stretch>
                  </pic:blipFill>
                  <pic:spPr>
                    <a:xfrm>
                      <a:off x="0" y="0"/>
                      <a:ext cx="4378960" cy="824865"/>
                    </a:xfrm>
                    <a:prstGeom prst="rect">
                      <a:avLst/>
                    </a:prstGeom>
                  </pic:spPr>
                </pic:pic>
              </a:graphicData>
            </a:graphic>
          </wp:anchor>
        </w:drawing>
      </w:r>
      <w:r>
        <w:rPr>
          <w:rFonts w:hint="default" w:ascii="Times New Roman" w:hAnsi="Times New Roman" w:eastAsia="黑体" w:cs="Times New Roman"/>
          <w:color w:val="000000"/>
          <w:szCs w:val="21"/>
          <w:highlight w:val="none"/>
          <w:lang w:val="en-US" w:eastAsia="zh-CN"/>
        </w:rPr>
        <w:t xml:space="preserve">图2 </w:t>
      </w:r>
      <w:r>
        <w:rPr>
          <w:rFonts w:hint="eastAsia" w:eastAsia="黑体" w:cs="Times New Roman"/>
          <w:color w:val="000000"/>
          <w:szCs w:val="21"/>
          <w:highlight w:val="none"/>
          <w:lang w:val="en-US" w:eastAsia="zh-CN"/>
        </w:rPr>
        <w:t xml:space="preserve"> </w:t>
      </w:r>
      <w:r>
        <w:rPr>
          <w:rFonts w:hint="default" w:ascii="Times New Roman" w:hAnsi="Times New Roman" w:eastAsia="黑体" w:cs="Times New Roman"/>
          <w:color w:val="000000"/>
          <w:szCs w:val="21"/>
          <w:highlight w:val="none"/>
          <w:lang w:val="en-US" w:eastAsia="zh-CN"/>
        </w:rPr>
        <w:t>三氯杀螨醇在碱性条件下分解为苯酮和三氯甲烷</w:t>
      </w:r>
    </w:p>
    <w:p w14:paraId="04CE3A47">
      <w:pPr>
        <w:bidi w:val="0"/>
        <w:rPr>
          <w:rFonts w:hint="default" w:ascii="Times New Roman" w:hAnsi="Times New Roman" w:cs="Times New Roman"/>
          <w:lang w:val="en-US" w:eastAsia="zh-CN"/>
        </w:rPr>
      </w:pPr>
      <w:r>
        <w:rPr>
          <w:rFonts w:hint="default" w:cs="Times New Roman"/>
          <w:lang w:val="en-US" w:eastAsia="zh-CN"/>
        </w:rPr>
        <w:t>在特定环境条件下，三氯杀螨醇可能经代谢或降解过程，转化为滴滴涕</w:t>
      </w:r>
      <w:r>
        <w:rPr>
          <w:rFonts w:hint="eastAsia" w:ascii="Times New Roman" w:hAnsi="Times New Roman" w:eastAsia="宋体" w:cs="Times New Roman"/>
          <w:kern w:val="2"/>
          <w:sz w:val="21"/>
          <w:szCs w:val="24"/>
          <w:lang w:eastAsia="zh-CN" w:bidi="ar-SA"/>
        </w:rPr>
        <w:t>（</w:t>
      </w:r>
      <w:r>
        <w:rPr>
          <w:rFonts w:hint="default" w:cs="Times New Roman"/>
          <w:lang w:val="en-US" w:eastAsia="zh-CN"/>
        </w:rPr>
        <w:t>其急性毒性显著，达到百菌清的30倍，且能在环境中持久存在</w:t>
      </w:r>
      <w:r>
        <w:rPr>
          <w:rFonts w:hint="eastAsia" w:ascii="Times New Roman" w:hAnsi="Times New Roman" w:eastAsia="宋体" w:cs="Times New Roman"/>
          <w:kern w:val="2"/>
          <w:sz w:val="21"/>
          <w:szCs w:val="24"/>
          <w:lang w:eastAsia="zh-CN" w:bidi="ar-SA"/>
        </w:rPr>
        <w:t>）</w:t>
      </w:r>
      <w:r>
        <w:rPr>
          <w:rFonts w:hint="default" w:cs="Times New Roman"/>
          <w:lang w:val="en-US" w:eastAsia="zh-CN"/>
        </w:rPr>
        <w:t>。三氯杀螨醇具有难以分解、高残留量以及对动物和人类产生雌激素效应等特性，</w:t>
      </w:r>
      <w:r>
        <w:rPr>
          <w:rFonts w:hint="eastAsia" w:ascii="Times New Roman" w:hAnsi="Times New Roman" w:eastAsia="宋体" w:cs="Times New Roman"/>
          <w:kern w:val="2"/>
          <w:sz w:val="21"/>
          <w:szCs w:val="24"/>
          <w:lang w:val="en-US" w:eastAsia="zh-CN" w:bidi="ar-SA"/>
        </w:rPr>
        <w:t>且</w:t>
      </w:r>
      <w:r>
        <w:rPr>
          <w:rFonts w:hint="default" w:ascii="Times New Roman" w:hAnsi="Times New Roman" w:cs="Times New Roman"/>
          <w:lang w:val="en-US" w:eastAsia="zh-CN"/>
        </w:rPr>
        <w:t>被认为是潜在的“内分泌干扰化合物”，可产生致癌、致畸、致突变等问题，不仅对鱼类、鸟类、大鼠和狗等动物的生殖功能有影响，还会增加儿童患霍奇金病、自闭症和白血病的风险。</w:t>
      </w:r>
    </w:p>
    <w:p w14:paraId="26D10E84">
      <w:pPr>
        <w:bidi w:val="0"/>
        <w:rPr>
          <w:rFonts w:hint="default" w:ascii="Times New Roman" w:hAnsi="Times New Roman" w:cs="Times New Roman"/>
          <w:lang w:val="en-US" w:eastAsia="zh-CN"/>
        </w:rPr>
      </w:pPr>
      <w:r>
        <w:rPr>
          <w:rFonts w:hint="default" w:ascii="Times New Roman" w:hAnsi="Times New Roman" w:cs="Times New Roman"/>
          <w:lang w:val="en-US" w:eastAsia="zh-CN"/>
        </w:rPr>
        <w:t>三氯杀螨醇在土壤中的污染问题不容忽视，有研究表明，福建省武夷山福州、宁德等地6个茶园土壤中三氯杀螨醇含量为ND~0.277 mg/kg</w:t>
      </w:r>
      <w:r>
        <w:rPr>
          <w:rFonts w:hint="default" w:ascii="Times New Roman" w:hAnsi="Times New Roman" w:cs="Times New Roman"/>
          <w:vertAlign w:val="superscript"/>
          <w:lang w:val="en-US" w:eastAsia="zh-CN"/>
        </w:rPr>
        <w:fldChar w:fldCharType="begin"/>
      </w:r>
      <w:r>
        <w:rPr>
          <w:rFonts w:hint="default" w:ascii="Times New Roman" w:hAnsi="Times New Roman" w:cs="Times New Roman"/>
          <w:vertAlign w:val="superscript"/>
          <w:lang w:val="en-US" w:eastAsia="zh-CN"/>
        </w:rPr>
        <w:instrText xml:space="preserve"> REF _Ref13800 \r \h </w:instrText>
      </w:r>
      <w:r>
        <w:rPr>
          <w:rFonts w:hint="default" w:ascii="Times New Roman" w:hAnsi="Times New Roman" w:cs="Times New Roman"/>
          <w:vertAlign w:val="superscript"/>
          <w:lang w:val="en-US" w:eastAsia="zh-CN"/>
        </w:rPr>
        <w:fldChar w:fldCharType="separate"/>
      </w:r>
      <w:r>
        <w:rPr>
          <w:rFonts w:hint="default" w:ascii="Times New Roman" w:hAnsi="Times New Roman" w:cs="Times New Roman"/>
          <w:vertAlign w:val="superscript"/>
          <w:lang w:val="en-US" w:eastAsia="zh-CN"/>
        </w:rPr>
        <w:t>[1]</w:t>
      </w:r>
      <w:r>
        <w:rPr>
          <w:rFonts w:hint="default" w:ascii="Times New Roman" w:hAnsi="Times New Roman" w:cs="Times New Roman"/>
          <w:vertAlign w:val="superscript"/>
          <w:lang w:val="en-US" w:eastAsia="zh-CN"/>
        </w:rPr>
        <w:fldChar w:fldCharType="end"/>
      </w:r>
      <w:r>
        <w:rPr>
          <w:rFonts w:hint="default" w:ascii="Times New Roman" w:hAnsi="Times New Roman" w:cs="Times New Roman"/>
          <w:lang w:val="en-US" w:eastAsia="zh-CN"/>
        </w:rPr>
        <w:t>。土壤是三氯杀螨醇污染的主要场所，这主要源于其很长一段时间在农业生产中的广泛应用以及农药残留的长期累积。土壤中的三氯杀螨醇残留可能破坏土壤结构，降低土壤肥力，影响农作物的生长和产量，更为严重的是可通过食物链进入人体，产生雌激素效应，影响人类生殖功能、中枢神经系统、肝功能等。因此，开展三氯杀螨醇在土壤中的环境残留风险监测很有必要，对控制、削减污染，保护人类健康具有重要意义。</w:t>
      </w:r>
    </w:p>
    <w:p w14:paraId="1CEE8AFA">
      <w:pPr>
        <w:pStyle w:val="2"/>
        <w:bidi w:val="0"/>
        <w:rPr>
          <w:rFonts w:hint="default" w:ascii="Times New Roman" w:hAnsi="Times New Roman" w:cs="Times New Roman"/>
          <w:lang w:val="en-US" w:eastAsia="zh-CN"/>
        </w:rPr>
      </w:pPr>
      <w:bookmarkStart w:id="25" w:name="_Toc15563"/>
      <w:bookmarkStart w:id="26" w:name="_Toc486"/>
      <w:bookmarkStart w:id="27" w:name="_Toc7392"/>
      <w:r>
        <w:rPr>
          <w:rFonts w:hint="default" w:ascii="Times New Roman" w:hAnsi="Times New Roman" w:cs="Times New Roman"/>
          <w:lang w:val="en-US" w:eastAsia="zh-CN"/>
        </w:rPr>
        <w:t>2  与相关标准的关系分析</w:t>
      </w:r>
      <w:bookmarkEnd w:id="25"/>
      <w:bookmarkEnd w:id="26"/>
      <w:bookmarkEnd w:id="27"/>
    </w:p>
    <w:p w14:paraId="55DD7A32">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color w:val="000000"/>
          <w:szCs w:val="21"/>
          <w:highlight w:val="none"/>
          <w:lang w:val="en-US" w:eastAsia="zh-CN"/>
        </w:rPr>
        <w:t>《中共中央国务院关于深入打好污染防治攻坚战的意见》（2021年11月2日）对新污染治理做出明确部署，高度重视新污染治理工作。2022年《新污染物治理行动方案》印发，提出“筛、评、控”全生命周期治理思路，在能力建设方面提出加快提升国家和地方新污染物监测能力，加强科学技术支撑等要求。为满足新污染监测能力提升要求，有必要对排放到环境中的具有生物毒性、环境持久性、生物累积性，对生态环境和人体健康存在较大风险，但尚未纳入管理或现有管理措施不足的有毒有害化学物质进行监测技术研究。</w:t>
      </w:r>
    </w:p>
    <w:p w14:paraId="73EEAB13">
      <w:pPr>
        <w:pStyle w:val="3"/>
        <w:tabs>
          <w:tab w:val="left" w:pos="6841"/>
        </w:tabs>
        <w:bidi w:val="0"/>
        <w:rPr>
          <w:rFonts w:hint="default" w:ascii="Times New Roman" w:hAnsi="Times New Roman" w:cs="Times New Roman"/>
          <w:lang w:val="en-US" w:eastAsia="zh-CN"/>
        </w:rPr>
      </w:pPr>
      <w:bookmarkStart w:id="28" w:name="_Toc22123"/>
      <w:bookmarkStart w:id="29" w:name="_Toc20224"/>
      <w:bookmarkStart w:id="30" w:name="_Toc4592"/>
      <w:r>
        <w:rPr>
          <w:rFonts w:hint="default" w:ascii="Times New Roman" w:hAnsi="Times New Roman" w:cs="Times New Roman"/>
          <w:lang w:val="en-US" w:eastAsia="zh-CN"/>
        </w:rPr>
        <w:t>2.1  国外相关管控要求</w:t>
      </w:r>
      <w:bookmarkEnd w:id="28"/>
      <w:bookmarkEnd w:id="29"/>
      <w:bookmarkEnd w:id="30"/>
      <w:r>
        <w:rPr>
          <w:rFonts w:hint="default" w:ascii="Times New Roman" w:hAnsi="Times New Roman" w:cs="Times New Roman"/>
          <w:lang w:val="en-US" w:eastAsia="zh-CN"/>
        </w:rPr>
        <w:tab/>
      </w:r>
    </w:p>
    <w:p w14:paraId="6AC2AAD8">
      <w:pPr>
        <w:bidi w:val="0"/>
        <w:rPr>
          <w:rFonts w:hint="default" w:ascii="Times New Roman" w:hAnsi="Times New Roman" w:eastAsia="方正黑体_GBK" w:cs="Times New Roman"/>
          <w:lang w:val="en-US" w:eastAsia="zh-CN"/>
        </w:rPr>
      </w:pPr>
      <w:r>
        <w:rPr>
          <w:rFonts w:hint="default" w:ascii="Times New Roman" w:hAnsi="Times New Roman" w:cs="Times New Roman"/>
          <w:lang w:val="en-US" w:eastAsia="zh-CN"/>
        </w:rPr>
        <w:t>鉴于</w:t>
      </w:r>
      <w:r>
        <w:rPr>
          <w:rFonts w:hint="default" w:ascii="Times New Roman" w:hAnsi="Times New Roman" w:cs="Times New Roman"/>
        </w:rPr>
        <w:t>三氯杀螨醇</w:t>
      </w:r>
      <w:r>
        <w:rPr>
          <w:rFonts w:hint="default" w:ascii="Times New Roman" w:hAnsi="Times New Roman" w:cs="Times New Roman"/>
          <w:lang w:val="en-US" w:eastAsia="zh-CN"/>
        </w:rPr>
        <w:t>对动物和人体的潜在危害，且主要用途是农药杀虫剂，因此它的日容许摄入量（ADI）和在食品中的最大残留量（MRL）首先被关注。世界卫生组织（WHO）和联合国粮食与农业组织（FAO）在1992年的农药残留联席会议上建议，</w:t>
      </w:r>
      <w:r>
        <w:rPr>
          <w:rFonts w:hint="default" w:ascii="Times New Roman" w:hAnsi="Times New Roman" w:cs="Times New Roman"/>
        </w:rPr>
        <w:t>三氯杀螨醇</w:t>
      </w:r>
      <w:r>
        <w:rPr>
          <w:rFonts w:hint="default" w:ascii="Times New Roman" w:hAnsi="Times New Roman" w:cs="Times New Roman"/>
          <w:lang w:val="en-US" w:eastAsia="zh-CN"/>
        </w:rPr>
        <w:t>的每日容许摄入量（ADI）是0.025 mg/kg体重。国际食品法典（CAC）、欧盟（EC）No396/2005、日本肯定列表等都对茶叶中三氯杀螨醇的限量有规定（见表1）。除了茶叶外，国外对水果等食品中三氯杀螨醇的限量也有相关的规定。如欧盟制订的宽皮柑橘中的农药最高残留限量标准中规定三氯杀螨醇的限量为2 mg/kg。埃及政府根据美国环境保护局（EPA）的资料，提出禁用可能致畸的农药三氯杀螨醇。</w:t>
      </w:r>
    </w:p>
    <w:p w14:paraId="69B9ADA3">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表1</w:t>
      </w:r>
      <w:r>
        <w:rPr>
          <w:rFonts w:hint="eastAsia" w:eastAsia="黑体" w:cs="Times New Roman"/>
          <w:color w:val="000000"/>
          <w:szCs w:val="21"/>
          <w:highlight w:val="none"/>
          <w:lang w:val="en-US" w:eastAsia="zh-CN"/>
        </w:rPr>
        <w:t xml:space="preserve"> </w:t>
      </w:r>
      <w:r>
        <w:rPr>
          <w:rFonts w:hint="default" w:ascii="Times New Roman" w:hAnsi="Times New Roman" w:eastAsia="黑体" w:cs="Times New Roman"/>
          <w:color w:val="000000"/>
          <w:szCs w:val="21"/>
          <w:highlight w:val="none"/>
          <w:lang w:val="en-US" w:eastAsia="zh-CN"/>
        </w:rPr>
        <w:t xml:space="preserve"> 茶叶中三氯杀螨醇的限量</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3893"/>
        <w:gridCol w:w="2371"/>
      </w:tblGrid>
      <w:tr w14:paraId="04D7A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tcBorders>
              <w:tl2br w:val="nil"/>
              <w:tr2bl w:val="nil"/>
            </w:tcBorders>
            <w:vAlign w:val="center"/>
          </w:tcPr>
          <w:p w14:paraId="5B5FF8F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国家（地区）/国际组织</w:t>
            </w:r>
          </w:p>
        </w:tc>
        <w:tc>
          <w:tcPr>
            <w:tcW w:w="3893" w:type="dxa"/>
            <w:tcBorders>
              <w:tl2br w:val="nil"/>
              <w:tr2bl w:val="nil"/>
            </w:tcBorders>
            <w:vAlign w:val="center"/>
          </w:tcPr>
          <w:p w14:paraId="2DA998F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标准/法规</w:t>
            </w:r>
          </w:p>
        </w:tc>
        <w:tc>
          <w:tcPr>
            <w:tcW w:w="2371" w:type="dxa"/>
            <w:tcBorders>
              <w:tl2br w:val="nil"/>
              <w:tr2bl w:val="nil"/>
            </w:tcBorders>
            <w:vAlign w:val="center"/>
          </w:tcPr>
          <w:p w14:paraId="071D042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MRL（mg/kg）</w:t>
            </w:r>
          </w:p>
        </w:tc>
      </w:tr>
      <w:tr w14:paraId="29528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tcBorders>
              <w:tl2br w:val="nil"/>
              <w:tr2bl w:val="nil"/>
            </w:tcBorders>
            <w:vAlign w:val="center"/>
          </w:tcPr>
          <w:p w14:paraId="1655AAD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中国</w:t>
            </w:r>
          </w:p>
        </w:tc>
        <w:tc>
          <w:tcPr>
            <w:tcW w:w="3893" w:type="dxa"/>
            <w:tcBorders>
              <w:tl2br w:val="nil"/>
              <w:tr2bl w:val="nil"/>
            </w:tcBorders>
            <w:vAlign w:val="center"/>
          </w:tcPr>
          <w:p w14:paraId="30E3812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GB 2763-2021</w:t>
            </w:r>
          </w:p>
        </w:tc>
        <w:tc>
          <w:tcPr>
            <w:tcW w:w="2371" w:type="dxa"/>
            <w:tcBorders>
              <w:tl2br w:val="nil"/>
              <w:tr2bl w:val="nil"/>
            </w:tcBorders>
            <w:vAlign w:val="center"/>
          </w:tcPr>
          <w:p w14:paraId="6452A3D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0.01</w:t>
            </w:r>
          </w:p>
        </w:tc>
      </w:tr>
      <w:tr w14:paraId="4A622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tcBorders>
              <w:tl2br w:val="nil"/>
              <w:tr2bl w:val="nil"/>
            </w:tcBorders>
            <w:vAlign w:val="center"/>
          </w:tcPr>
          <w:p w14:paraId="22CC546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国际食品法典委员会（CAC）</w:t>
            </w:r>
          </w:p>
        </w:tc>
        <w:tc>
          <w:tcPr>
            <w:tcW w:w="3893" w:type="dxa"/>
            <w:tcBorders>
              <w:tl2br w:val="nil"/>
              <w:tr2bl w:val="nil"/>
            </w:tcBorders>
            <w:vAlign w:val="center"/>
          </w:tcPr>
          <w:p w14:paraId="77890A5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国际食品法典</w:t>
            </w:r>
          </w:p>
        </w:tc>
        <w:tc>
          <w:tcPr>
            <w:tcW w:w="2371" w:type="dxa"/>
            <w:tcBorders>
              <w:tl2br w:val="nil"/>
              <w:tr2bl w:val="nil"/>
            </w:tcBorders>
            <w:vAlign w:val="center"/>
          </w:tcPr>
          <w:p w14:paraId="72846C8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40</w:t>
            </w:r>
          </w:p>
        </w:tc>
      </w:tr>
      <w:tr w14:paraId="7E38D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tcBorders>
              <w:tl2br w:val="nil"/>
              <w:tr2bl w:val="nil"/>
            </w:tcBorders>
            <w:vAlign w:val="center"/>
          </w:tcPr>
          <w:p w14:paraId="0F8F052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欧盟</w:t>
            </w:r>
            <w:r>
              <w:rPr>
                <w:rFonts w:hint="eastAsia" w:cs="Times New Roman"/>
                <w:sz w:val="18"/>
                <w:szCs w:val="21"/>
                <w:vertAlign w:val="superscript"/>
                <w:lang w:val="en-US" w:eastAsia="zh-CN"/>
              </w:rPr>
              <w:t>（1）</w:t>
            </w:r>
          </w:p>
        </w:tc>
        <w:tc>
          <w:tcPr>
            <w:tcW w:w="3893" w:type="dxa"/>
            <w:tcBorders>
              <w:tl2br w:val="nil"/>
              <w:tr2bl w:val="nil"/>
            </w:tcBorders>
            <w:vAlign w:val="center"/>
          </w:tcPr>
          <w:p w14:paraId="74E7F11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（EC）No396/2005</w:t>
            </w:r>
          </w:p>
        </w:tc>
        <w:tc>
          <w:tcPr>
            <w:tcW w:w="2371" w:type="dxa"/>
            <w:tcBorders>
              <w:tl2br w:val="nil"/>
              <w:tr2bl w:val="nil"/>
            </w:tcBorders>
            <w:vAlign w:val="center"/>
          </w:tcPr>
          <w:p w14:paraId="5B7DB50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20（0.01）</w:t>
            </w:r>
          </w:p>
        </w:tc>
      </w:tr>
      <w:tr w14:paraId="38409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tcBorders>
              <w:tl2br w:val="nil"/>
              <w:tr2bl w:val="nil"/>
            </w:tcBorders>
            <w:vAlign w:val="center"/>
          </w:tcPr>
          <w:p w14:paraId="1A86783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美国</w:t>
            </w:r>
            <w:r>
              <w:rPr>
                <w:rFonts w:hint="eastAsia" w:cs="Times New Roman"/>
                <w:sz w:val="18"/>
                <w:szCs w:val="21"/>
                <w:vertAlign w:val="superscript"/>
                <w:lang w:val="en-US" w:eastAsia="zh-CN"/>
              </w:rPr>
              <w:t>（2）</w:t>
            </w:r>
          </w:p>
        </w:tc>
        <w:tc>
          <w:tcPr>
            <w:tcW w:w="3893" w:type="dxa"/>
            <w:tcBorders>
              <w:tl2br w:val="nil"/>
              <w:tr2bl w:val="nil"/>
            </w:tcBorders>
            <w:vAlign w:val="center"/>
          </w:tcPr>
          <w:p w14:paraId="7DC9051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美国联邦法规汇编（CFR）第40篇第180节</w:t>
            </w:r>
          </w:p>
        </w:tc>
        <w:tc>
          <w:tcPr>
            <w:tcW w:w="2371" w:type="dxa"/>
            <w:tcBorders>
              <w:tl2br w:val="nil"/>
              <w:tr2bl w:val="nil"/>
            </w:tcBorders>
            <w:vAlign w:val="center"/>
          </w:tcPr>
          <w:p w14:paraId="0ABCD60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50（0.01）</w:t>
            </w:r>
          </w:p>
        </w:tc>
      </w:tr>
      <w:tr w14:paraId="436E5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tcBorders>
              <w:tl2br w:val="nil"/>
              <w:tr2bl w:val="nil"/>
            </w:tcBorders>
            <w:vAlign w:val="center"/>
          </w:tcPr>
          <w:p w14:paraId="733E042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日本</w:t>
            </w:r>
          </w:p>
        </w:tc>
        <w:tc>
          <w:tcPr>
            <w:tcW w:w="3893" w:type="dxa"/>
            <w:tcBorders>
              <w:tl2br w:val="nil"/>
              <w:tr2bl w:val="nil"/>
            </w:tcBorders>
            <w:vAlign w:val="center"/>
          </w:tcPr>
          <w:p w14:paraId="5682910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日本肯定列表</w:t>
            </w:r>
          </w:p>
        </w:tc>
        <w:tc>
          <w:tcPr>
            <w:tcW w:w="2371" w:type="dxa"/>
            <w:tcBorders>
              <w:tl2br w:val="nil"/>
              <w:tr2bl w:val="nil"/>
            </w:tcBorders>
            <w:vAlign w:val="center"/>
          </w:tcPr>
          <w:p w14:paraId="589A5FC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3</w:t>
            </w:r>
          </w:p>
        </w:tc>
      </w:tr>
      <w:tr w14:paraId="5DD12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56" w:type="dxa"/>
            <w:tcBorders>
              <w:tl2br w:val="nil"/>
              <w:tr2bl w:val="nil"/>
            </w:tcBorders>
            <w:vAlign w:val="center"/>
          </w:tcPr>
          <w:p w14:paraId="33E9C5E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摩洛哥</w:t>
            </w:r>
          </w:p>
        </w:tc>
        <w:tc>
          <w:tcPr>
            <w:tcW w:w="3893" w:type="dxa"/>
            <w:tcBorders>
              <w:tl2br w:val="nil"/>
              <w:tr2bl w:val="nil"/>
            </w:tcBorders>
            <w:vAlign w:val="center"/>
          </w:tcPr>
          <w:p w14:paraId="3B0E75C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第156-14号令</w:t>
            </w:r>
          </w:p>
        </w:tc>
        <w:tc>
          <w:tcPr>
            <w:tcW w:w="2371" w:type="dxa"/>
            <w:tcBorders>
              <w:tl2br w:val="nil"/>
              <w:tr2bl w:val="nil"/>
            </w:tcBorders>
            <w:vAlign w:val="center"/>
          </w:tcPr>
          <w:p w14:paraId="1CEB432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8"/>
                <w:szCs w:val="21"/>
                <w:vertAlign w:val="baseline"/>
                <w:lang w:val="en-US" w:eastAsia="zh-CN"/>
              </w:rPr>
              <w:t>40</w:t>
            </w:r>
          </w:p>
        </w:tc>
      </w:tr>
      <w:tr w14:paraId="4360C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20" w:type="dxa"/>
            <w:gridSpan w:val="3"/>
            <w:tcBorders>
              <w:tl2br w:val="nil"/>
              <w:tr2bl w:val="nil"/>
            </w:tcBorders>
            <w:vAlign w:val="center"/>
          </w:tcPr>
          <w:p w14:paraId="56BDFD1A">
            <w:pPr>
              <w:keepNext w:val="0"/>
              <w:keepLines w:val="0"/>
              <w:pageBreakBefore w:val="0"/>
              <w:widowControl w:val="0"/>
              <w:kinsoku/>
              <w:wordWrap/>
              <w:overflowPunct/>
              <w:topLinePunct/>
              <w:autoSpaceDE/>
              <w:autoSpaceDN/>
              <w:bidi w:val="0"/>
              <w:adjustRightInd/>
              <w:snapToGrid/>
              <w:spacing w:line="240" w:lineRule="auto"/>
              <w:ind w:firstLine="0" w:firstLineChars="0"/>
              <w:jc w:val="left"/>
              <w:textAlignment w:val="auto"/>
              <w:rPr>
                <w:rFonts w:hint="default" w:ascii="Times New Roman" w:hAnsi="Times New Roman" w:cs="Times New Roman"/>
                <w:sz w:val="18"/>
                <w:szCs w:val="21"/>
                <w:vertAlign w:val="baseline"/>
                <w:lang w:val="en-US" w:eastAsia="zh-CN"/>
              </w:rPr>
            </w:pPr>
            <w:r>
              <w:rPr>
                <w:rFonts w:hint="default" w:ascii="Times New Roman" w:hAnsi="Times New Roman" w:cs="Times New Roman"/>
                <w:sz w:val="15"/>
                <w:szCs w:val="18"/>
                <w:vertAlign w:val="baseline"/>
                <w:lang w:val="en-US" w:eastAsia="zh-CN"/>
              </w:rPr>
              <w:t>注：（1）欧盟*2023年11月22日欧洲食品安全局（EFSA）建议将欧盟所有现有的三氯杀螨醇最大限量降低到可定量的限度。（2）美国*2023年10月17日美国环保署（EPA）发布2023-22906号公告，取消茶叶中三氯杀螨醇的最大残留限量，即不得检出。</w:t>
            </w:r>
          </w:p>
        </w:tc>
      </w:tr>
    </w:tbl>
    <w:p w14:paraId="4DB8D6C6">
      <w:pPr>
        <w:bidi w:val="0"/>
        <w:rPr>
          <w:rFonts w:hint="default" w:ascii="Times New Roman" w:hAnsi="Times New Roman" w:cs="Times New Roman"/>
          <w:lang w:val="en-US" w:eastAsia="zh-CN"/>
        </w:rPr>
      </w:pPr>
      <w:r>
        <w:rPr>
          <w:rFonts w:hint="default" w:ascii="Times New Roman" w:hAnsi="Times New Roman" w:cs="Times New Roman"/>
        </w:rPr>
        <w:t>2019年，三氯杀螨醇被提议作为斯德哥尔摩公约的持久性有机污染物。2020年8月18日，欧盟委员会发布了授权法规(EU) 2020/1203和(EU) 2020/1204，修订持久性有机污染物</w:t>
      </w:r>
      <w:r>
        <w:rPr>
          <w:rFonts w:hint="eastAsia" w:cs="Times New Roman"/>
          <w:lang w:eastAsia="zh-CN"/>
        </w:rPr>
        <w:t>（</w:t>
      </w:r>
      <w:r>
        <w:rPr>
          <w:rFonts w:hint="default" w:ascii="Times New Roman" w:hAnsi="Times New Roman" w:cs="Times New Roman"/>
        </w:rPr>
        <w:t>POPs</w:t>
      </w:r>
      <w:r>
        <w:rPr>
          <w:rFonts w:hint="eastAsia" w:cs="Times New Roman"/>
          <w:lang w:eastAsia="zh-CN"/>
        </w:rPr>
        <w:t>）</w:t>
      </w:r>
      <w:r>
        <w:rPr>
          <w:rFonts w:hint="default" w:ascii="Times New Roman" w:hAnsi="Times New Roman" w:cs="Times New Roman"/>
        </w:rPr>
        <w:t>法规(EU) 2019/1021附录I第A部分中有关全氟辛基磺酸及其衍生物</w:t>
      </w:r>
      <w:r>
        <w:rPr>
          <w:rFonts w:hint="eastAsia" w:cs="Times New Roman"/>
          <w:lang w:eastAsia="zh-CN"/>
        </w:rPr>
        <w:t>（</w:t>
      </w:r>
      <w:r>
        <w:rPr>
          <w:rFonts w:hint="default" w:ascii="Times New Roman" w:hAnsi="Times New Roman" w:cs="Times New Roman"/>
        </w:rPr>
        <w:t>PFOS</w:t>
      </w:r>
      <w:r>
        <w:rPr>
          <w:rFonts w:hint="eastAsia" w:cs="Times New Roman"/>
          <w:lang w:eastAsia="zh-CN"/>
        </w:rPr>
        <w:t>）</w:t>
      </w:r>
      <w:r>
        <w:rPr>
          <w:rFonts w:hint="default" w:ascii="Times New Roman" w:hAnsi="Times New Roman" w:cs="Times New Roman"/>
        </w:rPr>
        <w:t>的限制项，以及增加了有关三氯杀螨醇的限制项。</w:t>
      </w:r>
    </w:p>
    <w:p w14:paraId="3471D249">
      <w:pPr>
        <w:pStyle w:val="3"/>
        <w:bidi w:val="0"/>
        <w:rPr>
          <w:rFonts w:hint="default" w:ascii="Times New Roman" w:hAnsi="Times New Roman" w:cs="Times New Roman"/>
          <w:lang w:val="en-US" w:eastAsia="zh-CN"/>
        </w:rPr>
      </w:pPr>
      <w:bookmarkStart w:id="31" w:name="_Toc14066"/>
      <w:bookmarkStart w:id="32" w:name="_Toc16105"/>
      <w:bookmarkStart w:id="33" w:name="_Toc16627"/>
      <w:r>
        <w:rPr>
          <w:rFonts w:hint="default" w:ascii="Times New Roman" w:hAnsi="Times New Roman" w:cs="Times New Roman"/>
          <w:lang w:val="en-US" w:eastAsia="zh-CN"/>
        </w:rPr>
        <w:t>2.2  国内相关管控要求</w:t>
      </w:r>
      <w:bookmarkEnd w:id="31"/>
      <w:bookmarkEnd w:id="32"/>
      <w:bookmarkEnd w:id="33"/>
    </w:p>
    <w:p w14:paraId="58D67996">
      <w:pPr>
        <w:bidi w:val="0"/>
        <w:ind w:firstLine="420"/>
        <w:rPr>
          <w:rFonts w:hint="default" w:ascii="Times New Roman" w:hAnsi="Times New Roman" w:cs="Times New Roman"/>
          <w:lang w:val="en-US" w:eastAsia="zh-CN"/>
        </w:rPr>
      </w:pPr>
      <w:r>
        <w:rPr>
          <w:rFonts w:hint="default" w:ascii="Times New Roman" w:hAnsi="Times New Roman" w:cs="Times New Roman"/>
          <w:lang w:val="en-US" w:eastAsia="zh-CN"/>
        </w:rPr>
        <w:t>早在1997年，我国农业部</w:t>
      </w:r>
      <w:r>
        <w:rPr>
          <w:rFonts w:hint="default" w:ascii="Times New Roman" w:hAnsi="Times New Roman" w:cs="Times New Roman"/>
        </w:rPr>
        <w:t>（现农业农村部）</w:t>
      </w:r>
      <w:r>
        <w:rPr>
          <w:rFonts w:hint="default" w:ascii="Times New Roman" w:hAnsi="Times New Roman" w:cs="Times New Roman"/>
          <w:lang w:val="en-US" w:eastAsia="zh-CN"/>
        </w:rPr>
        <w:t>就已禁止在茶树上使用三氯杀螨醇，</w:t>
      </w:r>
      <w:r>
        <w:rPr>
          <w:rFonts w:hint="default" w:ascii="Times New Roman" w:hAnsi="Times New Roman" w:cs="Times New Roman"/>
        </w:rPr>
        <w:t>2016年农业部（现农业农村部）</w:t>
      </w:r>
      <w:r>
        <w:rPr>
          <w:rFonts w:hint="default" w:ascii="Times New Roman" w:hAnsi="Times New Roman" w:cs="Times New Roman"/>
          <w:lang w:val="en-US" w:eastAsia="zh-CN"/>
        </w:rPr>
        <w:t>撤销三氯杀螨醇的农药登记，</w:t>
      </w:r>
      <w:r>
        <w:rPr>
          <w:rFonts w:hint="default" w:ascii="Times New Roman" w:hAnsi="Times New Roman" w:cs="Times New Roman"/>
        </w:rPr>
        <w:t>自2018年10月1日起全面禁止三氯杀螨醇销售和使用</w:t>
      </w:r>
      <w:r>
        <w:rPr>
          <w:rFonts w:hint="default" w:ascii="Times New Roman" w:hAnsi="Times New Roman" w:cs="Times New Roman"/>
          <w:lang w:eastAsia="zh-CN"/>
        </w:rPr>
        <w:t>。</w:t>
      </w:r>
      <w:r>
        <w:rPr>
          <w:rFonts w:hint="default" w:ascii="Times New Roman" w:hAnsi="Times New Roman" w:cs="Times New Roman"/>
        </w:rPr>
        <w:t>2017年，世界卫生组织国际癌症研究机构公布的致癌物清单初步整理参考</w:t>
      </w:r>
      <w:r>
        <w:rPr>
          <w:rFonts w:hint="default" w:ascii="Times New Roman" w:hAnsi="Times New Roman" w:cs="Times New Roman"/>
          <w:lang w:val="en-US" w:eastAsia="zh-CN"/>
        </w:rPr>
        <w:t>中</w:t>
      </w:r>
      <w:r>
        <w:rPr>
          <w:rFonts w:hint="default" w:ascii="Times New Roman" w:hAnsi="Times New Roman" w:cs="Times New Roman"/>
        </w:rPr>
        <w:t>，三氯杀螨醇</w:t>
      </w:r>
      <w:r>
        <w:rPr>
          <w:rFonts w:hint="default" w:ascii="Times New Roman" w:hAnsi="Times New Roman" w:cs="Times New Roman"/>
          <w:lang w:val="en-US" w:eastAsia="zh-CN"/>
        </w:rPr>
        <w:t>位列</w:t>
      </w:r>
      <w:r>
        <w:rPr>
          <w:rFonts w:hint="default" w:ascii="Times New Roman" w:hAnsi="Times New Roman" w:cs="Times New Roman"/>
        </w:rPr>
        <w:t>3类致癌物清单中</w:t>
      </w:r>
      <w:r>
        <w:rPr>
          <w:rFonts w:hint="default" w:ascii="Times New Roman" w:hAnsi="Times New Roman" w:cs="Times New Roman"/>
          <w:lang w:eastAsia="zh-CN"/>
        </w:rPr>
        <w:t>。</w:t>
      </w:r>
      <w:r>
        <w:rPr>
          <w:rFonts w:hint="default" w:ascii="Times New Roman" w:hAnsi="Times New Roman" w:cs="Times New Roman"/>
          <w:lang w:val="en-US" w:eastAsia="zh-CN"/>
        </w:rPr>
        <w:t>2022年12月29日，生态环境部、工业和信息化部、农业农村部、商务部、海关总署、国家市场监督管理总局联合发布《</w:t>
      </w:r>
      <w:r>
        <w:rPr>
          <w:rFonts w:hint="default" w:ascii="Times New Roman" w:hAnsi="Times New Roman" w:cs="Times New Roman"/>
        </w:rPr>
        <w:t>重点管控新污染物清单</w:t>
      </w:r>
      <w:r>
        <w:rPr>
          <w:rFonts w:hint="default" w:ascii="Times New Roman" w:hAnsi="Times New Roman" w:cs="Times New Roman"/>
          <w:lang w:eastAsia="zh-CN"/>
        </w:rPr>
        <w:t>（</w:t>
      </w:r>
      <w:r>
        <w:rPr>
          <w:rFonts w:hint="default" w:ascii="Times New Roman" w:hAnsi="Times New Roman" w:cs="Times New Roman"/>
          <w:lang w:val="en-US" w:eastAsia="zh-CN"/>
        </w:rPr>
        <w:t>2023年版</w:t>
      </w:r>
      <w:r>
        <w:rPr>
          <w:rFonts w:hint="default" w:ascii="Times New Roman" w:hAnsi="Times New Roman" w:cs="Times New Roman"/>
          <w:lang w:eastAsia="zh-CN"/>
        </w:rPr>
        <w:t>）</w:t>
      </w:r>
      <w:r>
        <w:rPr>
          <w:rFonts w:hint="default" w:ascii="Times New Roman" w:hAnsi="Times New Roman" w:cs="Times New Roman"/>
          <w:lang w:val="en-US" w:eastAsia="zh-CN"/>
        </w:rPr>
        <w:t>》，自2023年3月1日起施行，三氯杀螨醇等多个农药产品被列入重点管控新污染物清单。2023年6月，商务部、海关总署、生态环境部联合发布了《禁止进口货物目录（第八批）》和《禁止出口货物目录（第七批）》</w:t>
      </w:r>
      <w:r>
        <w:rPr>
          <w:rFonts w:hint="eastAsia" w:cs="Times New Roman"/>
          <w:lang w:val="en-US" w:eastAsia="zh-CN"/>
        </w:rPr>
        <w:t>，</w:t>
      </w:r>
      <w:r>
        <w:rPr>
          <w:rFonts w:hint="eastAsia"/>
        </w:rPr>
        <w:t>明确将三氯杀螨醇及其制剂列入禁止进</w:t>
      </w:r>
      <w:r>
        <w:rPr>
          <w:rFonts w:hint="eastAsia"/>
          <w:lang w:val="en-US" w:eastAsia="zh-CN"/>
        </w:rPr>
        <w:t>出</w:t>
      </w:r>
      <w:r>
        <w:rPr>
          <w:rFonts w:hint="eastAsia"/>
        </w:rPr>
        <w:t>口货物清单</w:t>
      </w:r>
      <w:r>
        <w:rPr>
          <w:rFonts w:hint="eastAsia" w:cs="Times New Roman"/>
          <w:lang w:val="en-US" w:eastAsia="zh-CN"/>
        </w:rPr>
        <w:t>，进一步强化</w:t>
      </w:r>
      <w:r>
        <w:rPr>
          <w:rFonts w:hint="eastAsia"/>
        </w:rPr>
        <w:t>对三氯杀螨醇等有毒有害化学品的管理</w:t>
      </w:r>
      <w:r>
        <w:rPr>
          <w:rFonts w:hint="eastAsia" w:cs="Times New Roman"/>
          <w:lang w:val="en-US" w:eastAsia="zh-CN"/>
        </w:rPr>
        <w:t>。</w:t>
      </w:r>
    </w:p>
    <w:p w14:paraId="66DF1248">
      <w:pPr>
        <w:pStyle w:val="3"/>
        <w:bidi w:val="0"/>
        <w:rPr>
          <w:rFonts w:hint="default" w:ascii="Times New Roman" w:hAnsi="Times New Roman" w:cs="Times New Roman"/>
          <w:lang w:val="en-US" w:eastAsia="zh-CN"/>
        </w:rPr>
      </w:pPr>
      <w:bookmarkStart w:id="34" w:name="_Toc8018"/>
      <w:bookmarkStart w:id="35" w:name="_Toc24629"/>
      <w:bookmarkStart w:id="36" w:name="_Toc1858"/>
      <w:r>
        <w:rPr>
          <w:rFonts w:hint="default" w:ascii="Times New Roman" w:hAnsi="Times New Roman" w:cs="Times New Roman"/>
          <w:lang w:val="en-US" w:eastAsia="zh-CN"/>
        </w:rPr>
        <w:t>2.3  国内外相关标准方法</w:t>
      </w:r>
      <w:bookmarkEnd w:id="34"/>
      <w:bookmarkEnd w:id="35"/>
      <w:bookmarkEnd w:id="36"/>
    </w:p>
    <w:p w14:paraId="71B1FC46">
      <w:pPr>
        <w:bidi w:val="0"/>
        <w:rPr>
          <w:rFonts w:hint="default" w:ascii="Times New Roman" w:hAnsi="Times New Roman" w:cs="Times New Roman"/>
          <w:lang w:val="en-US" w:eastAsia="zh-CN"/>
        </w:rPr>
      </w:pPr>
      <w:r>
        <w:rPr>
          <w:rFonts w:hint="default" w:ascii="Times New Roman" w:hAnsi="Times New Roman" w:cs="Times New Roman"/>
          <w:lang w:val="en-US" w:eastAsia="zh-CN"/>
        </w:rPr>
        <w:t>目前国内外</w:t>
      </w:r>
      <w:r>
        <w:rPr>
          <w:rFonts w:hint="default" w:ascii="Times New Roman" w:hAnsi="Times New Roman" w:cs="Times New Roman"/>
        </w:rPr>
        <w:t>关于三氯杀螨醇的标准检测方法</w:t>
      </w:r>
      <w:r>
        <w:rPr>
          <w:rFonts w:hint="default" w:ascii="Times New Roman" w:hAnsi="Times New Roman" w:cs="Times New Roman"/>
          <w:lang w:val="en-US" w:eastAsia="zh-CN"/>
        </w:rPr>
        <w:t>有两个共同点：一是多集中于食品或纺织品行业；二是多采用电子捕获检测器-气相色谱法检测</w:t>
      </w:r>
      <w:r>
        <w:rPr>
          <w:rFonts w:hint="eastAsia" w:cs="Times New Roman"/>
          <w:lang w:val="en-US" w:eastAsia="zh-CN"/>
        </w:rPr>
        <w:t>和气相色谱质谱法</w:t>
      </w:r>
      <w:r>
        <w:rPr>
          <w:rFonts w:hint="default" w:ascii="Times New Roman" w:hAnsi="Times New Roman" w:cs="Times New Roman"/>
          <w:lang w:val="en-US" w:eastAsia="zh-CN"/>
        </w:rPr>
        <w:t>（详见表2）。</w:t>
      </w:r>
    </w:p>
    <w:p w14:paraId="6D540C7E">
      <w:pPr>
        <w:bidi w:val="0"/>
        <w:rPr>
          <w:rFonts w:hint="default" w:ascii="Times New Roman" w:hAnsi="Times New Roman" w:cs="Times New Roman"/>
        </w:rPr>
      </w:pPr>
      <w:r>
        <w:rPr>
          <w:rFonts w:hint="default" w:ascii="Times New Roman" w:hAnsi="Times New Roman" w:cs="Times New Roman"/>
        </w:rPr>
        <w:t>目前我国关于三氯杀螨醇的标准检测方法</w:t>
      </w:r>
      <w:r>
        <w:rPr>
          <w:rFonts w:hint="default" w:ascii="Times New Roman" w:hAnsi="Times New Roman" w:cs="Times New Roman"/>
          <w:lang w:val="en-US" w:eastAsia="zh-CN"/>
        </w:rPr>
        <w:t>多存在于食品行业，包括</w:t>
      </w:r>
      <w:r>
        <w:rPr>
          <w:rFonts w:hint="default" w:ascii="Times New Roman" w:hAnsi="Times New Roman" w:cs="Times New Roman"/>
        </w:rPr>
        <w:t>《茶叶、水果、食用植物油中三氯杀螨醇残留量的测定》（GB/T 5009.176-2003）</w:t>
      </w:r>
      <w:r>
        <w:rPr>
          <w:rFonts w:hint="default" w:ascii="Times New Roman" w:hAnsi="Times New Roman" w:cs="Times New Roman"/>
          <w:lang w:eastAsia="zh-CN"/>
        </w:rPr>
        <w:t>、</w:t>
      </w:r>
      <w:r>
        <w:rPr>
          <w:rFonts w:hint="default" w:ascii="Times New Roman" w:hAnsi="Times New Roman" w:cs="Times New Roman"/>
          <w:lang w:val="en-US" w:eastAsia="zh-CN"/>
        </w:rPr>
        <w:t>《进出口茶叶中三氯杀螨醇残留量检测》（SN/T 0348.1-2010）、</w:t>
      </w:r>
      <w:r>
        <w:rPr>
          <w:rFonts w:hint="default" w:ascii="Times New Roman" w:hAnsi="Times New Roman" w:cs="Times New Roman"/>
        </w:rPr>
        <w:t>《水产品中三氯杀螨醇残留量测定 气相色谱法》（SC/T 3040-2008）</w:t>
      </w:r>
      <w:r>
        <w:rPr>
          <w:rFonts w:hint="default" w:ascii="Times New Roman" w:hAnsi="Times New Roman" w:cs="Times New Roman"/>
          <w:lang w:val="en-US" w:eastAsia="zh-CN"/>
        </w:rPr>
        <w:t>和</w:t>
      </w:r>
      <w:r>
        <w:rPr>
          <w:rFonts w:hint="default" w:ascii="Times New Roman" w:hAnsi="Times New Roman" w:cs="Times New Roman"/>
        </w:rPr>
        <w:t>《蜂产品中三氯杀螨醇残留量检验方法》（DB32/T 680-2004）</w:t>
      </w:r>
      <w:r>
        <w:rPr>
          <w:rFonts w:hint="default" w:ascii="Times New Roman" w:hAnsi="Times New Roman" w:cs="Times New Roman"/>
          <w:lang w:val="en-US" w:eastAsia="zh-CN"/>
        </w:rPr>
        <w:t>等</w:t>
      </w:r>
      <w:r>
        <w:rPr>
          <w:rFonts w:hint="default" w:ascii="Times New Roman" w:hAnsi="Times New Roman" w:cs="Times New Roman"/>
          <w:lang w:eastAsia="zh-CN"/>
        </w:rPr>
        <w:t>。</w:t>
      </w:r>
      <w:r>
        <w:rPr>
          <w:rFonts w:hint="default" w:ascii="Times New Roman" w:hAnsi="Times New Roman" w:cs="Times New Roman"/>
          <w:lang w:val="en-US" w:eastAsia="zh-CN"/>
        </w:rPr>
        <w:t>环境行业中</w:t>
      </w:r>
      <w:r>
        <w:rPr>
          <w:rFonts w:hint="default" w:ascii="Times New Roman" w:hAnsi="Times New Roman" w:cs="Times New Roman"/>
          <w:lang w:eastAsia="zh-CN"/>
        </w:rPr>
        <w:t>《水质 有机氯农药和氯苯类化合物的测定 气相色谱-质谱法》（HJ 699-2014）</w:t>
      </w:r>
      <w:r>
        <w:rPr>
          <w:rFonts w:hint="default" w:ascii="Times New Roman" w:hAnsi="Times New Roman" w:cs="Times New Roman"/>
          <w:lang w:val="en-US" w:eastAsia="zh-CN"/>
        </w:rPr>
        <w:t>包含三氯杀螨醇</w:t>
      </w:r>
      <w:r>
        <w:rPr>
          <w:rFonts w:hint="default" w:ascii="Times New Roman" w:hAnsi="Times New Roman" w:cs="Times New Roman"/>
          <w:lang w:eastAsia="zh-CN"/>
        </w:rPr>
        <w:t>。</w:t>
      </w:r>
      <w:r>
        <w:rPr>
          <w:rFonts w:hint="default" w:ascii="Times New Roman" w:hAnsi="Times New Roman" w:cs="Times New Roman"/>
          <w:lang w:val="en-US" w:eastAsia="zh-CN"/>
        </w:rPr>
        <w:t>但这些方法</w:t>
      </w:r>
      <w:r>
        <w:rPr>
          <w:rFonts w:hint="default" w:ascii="Times New Roman" w:hAnsi="Times New Roman" w:cs="Times New Roman"/>
        </w:rPr>
        <w:t>存在</w:t>
      </w:r>
      <w:r>
        <w:rPr>
          <w:rFonts w:hint="default" w:ascii="Times New Roman" w:hAnsi="Times New Roman" w:cs="Times New Roman"/>
          <w:lang w:val="en-US" w:eastAsia="zh-CN"/>
        </w:rPr>
        <w:t>以下</w:t>
      </w:r>
      <w:r>
        <w:rPr>
          <w:rFonts w:hint="default" w:ascii="Times New Roman" w:hAnsi="Times New Roman" w:cs="Times New Roman"/>
        </w:rPr>
        <w:t>局限性：一是检测介质局限，我国关于三氯杀螨醇的标准检测方法主要集中在食品和水质等介质中，缺乏土壤中三氯杀螨醇的标准检测方法；二是异构体检测缺失，现有的检测方法主要是针对4,4’-三氯杀螨醇，而忽略了其异构体2,4</w:t>
      </w:r>
      <w:r>
        <w:rPr>
          <w:rFonts w:hint="default" w:ascii="Times New Roman" w:hAnsi="Times New Roman" w:cs="Times New Roman"/>
          <w:lang w:val="en-US" w:eastAsia="zh-CN"/>
        </w:rPr>
        <w:t>’</w:t>
      </w:r>
      <w:r>
        <w:rPr>
          <w:rFonts w:hint="default" w:ascii="Times New Roman" w:hAnsi="Times New Roman" w:cs="Times New Roman"/>
        </w:rPr>
        <w:t>-三氯杀螨醇的存在。两种化合物都被列入重点管控新污染物清单，具有相似的毒性和环境行为，需要单独进行检测，若忽略异构体的检测，可能导致对三氯杀螨醇浓度的低估，进而影响环境风险评估和污染治理措施的有效性；三是降解影响未考虑，采用气相色谱系统直接检测三氯杀螨醇，其在进样口容易降解产生新的化合物，导致检测结果的准确性受到影响。</w:t>
      </w:r>
    </w:p>
    <w:p w14:paraId="4B8891BC">
      <w:pPr>
        <w:bidi w:val="0"/>
        <w:rPr>
          <w:rFonts w:hint="default" w:ascii="Times New Roman" w:hAnsi="Times New Roman" w:cs="Times New Roman"/>
          <w:lang w:val="en-US" w:eastAsia="zh-CN"/>
        </w:rPr>
      </w:pPr>
      <w:r>
        <w:rPr>
          <w:rFonts w:hint="default" w:ascii="Times New Roman" w:hAnsi="Times New Roman" w:cs="Times New Roman"/>
          <w:lang w:val="en-US" w:eastAsia="zh-CN"/>
        </w:rPr>
        <w:t>由于没有土壤中三氯杀螨醇的标准分析方法。编制组参考了以上其他介质中三氯杀螨醇检测的仪器分析参数，而对于土壤中有机污染的</w:t>
      </w:r>
      <w:r>
        <w:rPr>
          <w:rFonts w:hint="eastAsia" w:cs="Times New Roman"/>
          <w:lang w:val="en-US" w:eastAsia="zh-CN"/>
        </w:rPr>
        <w:t>前处理</w:t>
      </w:r>
      <w:r>
        <w:rPr>
          <w:rFonts w:hint="default" w:ascii="Times New Roman" w:hAnsi="Times New Roman" w:cs="Times New Roman"/>
          <w:lang w:val="en-US" w:eastAsia="zh-CN"/>
        </w:rPr>
        <w:t>，参考了国内已发布的标准分析方法《土壤和沉积物 有机氯农药的测定 气相色谱-质谱法》（HJ 835-2017）中的前处理技术。</w:t>
      </w:r>
    </w:p>
    <w:p w14:paraId="784895A2">
      <w:pPr>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br w:type="page"/>
      </w:r>
    </w:p>
    <w:p w14:paraId="4E284485">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表2</w:t>
      </w:r>
      <w:r>
        <w:rPr>
          <w:rFonts w:hint="eastAsia" w:eastAsia="黑体" w:cs="Times New Roman"/>
          <w:color w:val="000000"/>
          <w:szCs w:val="21"/>
          <w:highlight w:val="none"/>
          <w:lang w:val="en-US" w:eastAsia="zh-CN"/>
        </w:rPr>
        <w:t xml:space="preserve"> </w:t>
      </w:r>
      <w:r>
        <w:rPr>
          <w:rFonts w:hint="default" w:ascii="Times New Roman" w:hAnsi="Times New Roman" w:eastAsia="黑体" w:cs="Times New Roman"/>
          <w:color w:val="000000"/>
          <w:szCs w:val="21"/>
          <w:highlight w:val="none"/>
          <w:lang w:val="en-US" w:eastAsia="zh-CN"/>
        </w:rPr>
        <w:t xml:space="preserve"> 国内外现行分析方法一览表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250"/>
        <w:gridCol w:w="2028"/>
        <w:gridCol w:w="2165"/>
        <w:gridCol w:w="1571"/>
      </w:tblGrid>
      <w:tr w14:paraId="23B03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78" w:type="dxa"/>
            <w:tcBorders>
              <w:tl2br w:val="nil"/>
              <w:tr2bl w:val="nil"/>
            </w:tcBorders>
            <w:vAlign w:val="center"/>
          </w:tcPr>
          <w:p w14:paraId="6A62B91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序号</w:t>
            </w:r>
          </w:p>
        </w:tc>
        <w:tc>
          <w:tcPr>
            <w:tcW w:w="2250" w:type="dxa"/>
            <w:tcBorders>
              <w:tl2br w:val="nil"/>
              <w:tr2bl w:val="nil"/>
            </w:tcBorders>
            <w:vAlign w:val="center"/>
          </w:tcPr>
          <w:p w14:paraId="08A0C2A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标准编号及名称</w:t>
            </w:r>
          </w:p>
        </w:tc>
        <w:tc>
          <w:tcPr>
            <w:tcW w:w="2028" w:type="dxa"/>
            <w:tcBorders>
              <w:tl2br w:val="nil"/>
              <w:tr2bl w:val="nil"/>
            </w:tcBorders>
            <w:vAlign w:val="center"/>
          </w:tcPr>
          <w:p w14:paraId="373E00C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目标化合物</w:t>
            </w:r>
          </w:p>
        </w:tc>
        <w:tc>
          <w:tcPr>
            <w:tcW w:w="2165" w:type="dxa"/>
            <w:tcBorders>
              <w:tl2br w:val="nil"/>
              <w:tr2bl w:val="nil"/>
            </w:tcBorders>
            <w:vAlign w:val="center"/>
          </w:tcPr>
          <w:p w14:paraId="4A00ABE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适用范围</w:t>
            </w:r>
          </w:p>
        </w:tc>
        <w:tc>
          <w:tcPr>
            <w:tcW w:w="1571" w:type="dxa"/>
            <w:tcBorders>
              <w:tl2br w:val="nil"/>
              <w:tr2bl w:val="nil"/>
            </w:tcBorders>
            <w:vAlign w:val="center"/>
          </w:tcPr>
          <w:p w14:paraId="255B5EC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仪器方法</w:t>
            </w:r>
          </w:p>
        </w:tc>
      </w:tr>
      <w:tr w14:paraId="4152E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6CBC9E4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2250" w:type="dxa"/>
            <w:tcBorders>
              <w:tl2br w:val="nil"/>
              <w:tr2bl w:val="nil"/>
            </w:tcBorders>
            <w:vAlign w:val="center"/>
          </w:tcPr>
          <w:p w14:paraId="6868543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Environmental Chemistry Methods for Dicofol in Soil - MRID 41381801</w:t>
            </w:r>
          </w:p>
        </w:tc>
        <w:tc>
          <w:tcPr>
            <w:tcW w:w="2028" w:type="dxa"/>
            <w:tcBorders>
              <w:tl2br w:val="nil"/>
              <w:tr2bl w:val="nil"/>
            </w:tcBorders>
            <w:vAlign w:val="center"/>
          </w:tcPr>
          <w:p w14:paraId="49EAC96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三氯杀螨醇</w:t>
            </w:r>
          </w:p>
        </w:tc>
        <w:tc>
          <w:tcPr>
            <w:tcW w:w="2165" w:type="dxa"/>
            <w:tcBorders>
              <w:tl2br w:val="nil"/>
              <w:tr2bl w:val="nil"/>
            </w:tcBorders>
            <w:vAlign w:val="center"/>
          </w:tcPr>
          <w:p w14:paraId="59B0094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土壤中</w:t>
            </w:r>
            <w:r>
              <w:rPr>
                <w:rFonts w:hint="default" w:ascii="Times New Roman" w:hAnsi="Times New Roman" w:eastAsia="宋体" w:cs="Times New Roman"/>
                <w:sz w:val="18"/>
                <w:szCs w:val="18"/>
              </w:rPr>
              <w:t>三氯杀螨醇的测定</w:t>
            </w:r>
          </w:p>
        </w:tc>
        <w:tc>
          <w:tcPr>
            <w:tcW w:w="1571" w:type="dxa"/>
            <w:tcBorders>
              <w:tl2br w:val="nil"/>
              <w:tr2bl w:val="nil"/>
            </w:tcBorders>
            <w:vAlign w:val="center"/>
          </w:tcPr>
          <w:p w14:paraId="3E2FDAB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电子捕获检测器-气相色谱法</w:t>
            </w:r>
          </w:p>
        </w:tc>
      </w:tr>
      <w:tr w14:paraId="6D1C2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5D70369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2250" w:type="dxa"/>
            <w:tcBorders>
              <w:tl2br w:val="nil"/>
              <w:tr2bl w:val="nil"/>
            </w:tcBorders>
            <w:vAlign w:val="center"/>
          </w:tcPr>
          <w:p w14:paraId="38B0499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USEPA 8081</w:t>
            </w:r>
          </w:p>
        </w:tc>
        <w:tc>
          <w:tcPr>
            <w:tcW w:w="2028" w:type="dxa"/>
            <w:tcBorders>
              <w:tl2br w:val="nil"/>
              <w:tr2bl w:val="nil"/>
            </w:tcBorders>
            <w:vAlign w:val="center"/>
          </w:tcPr>
          <w:p w14:paraId="75CB8FA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滴滴涕</w:t>
            </w:r>
            <w:r>
              <w:rPr>
                <w:rFonts w:hint="default" w:ascii="Times New Roman" w:hAnsi="Times New Roman" w:eastAsia="宋体" w:cs="Times New Roman"/>
                <w:sz w:val="18"/>
                <w:szCs w:val="18"/>
              </w:rPr>
              <w:t>、三氯杀螨醇、</w:t>
            </w:r>
            <w:r>
              <w:rPr>
                <w:rFonts w:hint="default" w:ascii="Times New Roman" w:hAnsi="Times New Roman" w:eastAsia="宋体" w:cs="Times New Roman"/>
                <w:sz w:val="18"/>
                <w:szCs w:val="18"/>
                <w:lang w:val="en-US" w:eastAsia="zh-CN"/>
              </w:rPr>
              <w:t>六六六</w:t>
            </w:r>
            <w:r>
              <w:rPr>
                <w:rFonts w:hint="default" w:ascii="Times New Roman" w:hAnsi="Times New Roman" w:eastAsia="宋体" w:cs="Times New Roman"/>
                <w:sz w:val="18"/>
                <w:szCs w:val="18"/>
              </w:rPr>
              <w:t>等有机氯农药</w:t>
            </w:r>
          </w:p>
        </w:tc>
        <w:tc>
          <w:tcPr>
            <w:tcW w:w="2165" w:type="dxa"/>
            <w:tcBorders>
              <w:tl2br w:val="nil"/>
              <w:tr2bl w:val="nil"/>
            </w:tcBorders>
            <w:vAlign w:val="center"/>
          </w:tcPr>
          <w:p w14:paraId="0610D11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纺织品中农药的检测</w:t>
            </w:r>
          </w:p>
        </w:tc>
        <w:tc>
          <w:tcPr>
            <w:tcW w:w="1571" w:type="dxa"/>
            <w:tcBorders>
              <w:tl2br w:val="nil"/>
              <w:tr2bl w:val="nil"/>
            </w:tcBorders>
            <w:vAlign w:val="center"/>
          </w:tcPr>
          <w:p w14:paraId="12E7848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气相色谱</w:t>
            </w:r>
            <w:r>
              <w:rPr>
                <w:rFonts w:hint="default" w:ascii="Times New Roman" w:hAnsi="Times New Roman" w:eastAsia="宋体" w:cs="Times New Roman"/>
                <w:sz w:val="18"/>
                <w:szCs w:val="18"/>
                <w:lang w:val="en-US" w:eastAsia="zh-CN"/>
              </w:rPr>
              <w:t>法</w:t>
            </w:r>
          </w:p>
        </w:tc>
      </w:tr>
      <w:tr w14:paraId="4E519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45E543F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c>
          <w:tcPr>
            <w:tcW w:w="2250" w:type="dxa"/>
            <w:tcBorders>
              <w:tl2br w:val="nil"/>
              <w:tr2bl w:val="nil"/>
            </w:tcBorders>
            <w:vAlign w:val="center"/>
          </w:tcPr>
          <w:p w14:paraId="229B924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SN/T 0348.1-2010</w:t>
            </w:r>
          </w:p>
        </w:tc>
        <w:tc>
          <w:tcPr>
            <w:tcW w:w="2028" w:type="dxa"/>
            <w:tcBorders>
              <w:tl2br w:val="nil"/>
              <w:tr2bl w:val="nil"/>
            </w:tcBorders>
            <w:shd w:val="clear" w:color="auto" w:fill="auto"/>
            <w:vAlign w:val="center"/>
          </w:tcPr>
          <w:p w14:paraId="72CB01A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三氯杀螨醇（检测三氯杀螨醇的碱解产物4,4</w:t>
            </w:r>
            <w:r>
              <w:rPr>
                <w:rFonts w:hint="default" w:cs="Times New Roman"/>
                <w:sz w:val="18"/>
                <w:szCs w:val="18"/>
                <w:lang w:val="en-US" w:eastAsia="zh-CN"/>
              </w:rPr>
              <w:t>’</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rPr>
              <w:t>二氯二苯甲酮DBP）</w:t>
            </w:r>
          </w:p>
        </w:tc>
        <w:tc>
          <w:tcPr>
            <w:tcW w:w="2165" w:type="dxa"/>
            <w:tcBorders>
              <w:tl2br w:val="nil"/>
              <w:tr2bl w:val="nil"/>
            </w:tcBorders>
            <w:shd w:val="clear" w:color="auto" w:fill="auto"/>
            <w:vAlign w:val="center"/>
          </w:tcPr>
          <w:p w14:paraId="3BD4BF8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进出口茶叶中三氯杀螨醇残留量检测方法</w:t>
            </w:r>
          </w:p>
        </w:tc>
        <w:tc>
          <w:tcPr>
            <w:tcW w:w="1571" w:type="dxa"/>
            <w:tcBorders>
              <w:tl2br w:val="nil"/>
              <w:tr2bl w:val="nil"/>
            </w:tcBorders>
            <w:vAlign w:val="center"/>
          </w:tcPr>
          <w:p w14:paraId="4E3BAC9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气相色谱测定、气相色谱-质谱确</w:t>
            </w:r>
            <w:r>
              <w:rPr>
                <w:rFonts w:hint="eastAsia" w:cs="Times New Roman"/>
                <w:sz w:val="18"/>
                <w:szCs w:val="18"/>
                <w:lang w:val="en-US" w:eastAsia="zh-CN"/>
              </w:rPr>
              <w:t>认</w:t>
            </w:r>
          </w:p>
        </w:tc>
      </w:tr>
      <w:tr w14:paraId="06973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5EE151E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c>
          <w:tcPr>
            <w:tcW w:w="2250" w:type="dxa"/>
            <w:tcBorders>
              <w:tl2br w:val="nil"/>
              <w:tr2bl w:val="nil"/>
            </w:tcBorders>
            <w:shd w:val="clear" w:color="auto" w:fill="auto"/>
            <w:vAlign w:val="center"/>
          </w:tcPr>
          <w:p w14:paraId="072EE346">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GB/T 5009.176-2003</w:t>
            </w:r>
          </w:p>
        </w:tc>
        <w:tc>
          <w:tcPr>
            <w:tcW w:w="2028" w:type="dxa"/>
            <w:tcBorders>
              <w:tl2br w:val="nil"/>
              <w:tr2bl w:val="nil"/>
            </w:tcBorders>
            <w:shd w:val="clear" w:color="auto" w:fill="auto"/>
            <w:vAlign w:val="center"/>
          </w:tcPr>
          <w:p w14:paraId="69FBC234">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三氯杀螨醇</w:t>
            </w:r>
          </w:p>
        </w:tc>
        <w:tc>
          <w:tcPr>
            <w:tcW w:w="2165" w:type="dxa"/>
            <w:tcBorders>
              <w:tl2br w:val="nil"/>
              <w:tr2bl w:val="nil"/>
            </w:tcBorders>
            <w:shd w:val="clear" w:color="auto" w:fill="auto"/>
            <w:vAlign w:val="center"/>
          </w:tcPr>
          <w:p w14:paraId="6A40F6C9">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茶叶、水果、食用植物油中三氯杀螨醇残留量的测定</w:t>
            </w:r>
          </w:p>
        </w:tc>
        <w:tc>
          <w:tcPr>
            <w:tcW w:w="1571" w:type="dxa"/>
            <w:tcBorders>
              <w:tl2br w:val="nil"/>
              <w:tr2bl w:val="nil"/>
            </w:tcBorders>
            <w:vAlign w:val="center"/>
          </w:tcPr>
          <w:p w14:paraId="73EE62C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气相色谱</w:t>
            </w:r>
            <w:r>
              <w:rPr>
                <w:rFonts w:hint="default" w:ascii="Times New Roman" w:hAnsi="Times New Roman" w:eastAsia="宋体" w:cs="Times New Roman"/>
                <w:sz w:val="18"/>
                <w:szCs w:val="18"/>
                <w:lang w:val="en-US" w:eastAsia="zh-CN"/>
              </w:rPr>
              <w:t>法</w:t>
            </w:r>
          </w:p>
        </w:tc>
      </w:tr>
      <w:tr w14:paraId="3295E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71CE0BC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w:t>
            </w:r>
          </w:p>
        </w:tc>
        <w:tc>
          <w:tcPr>
            <w:tcW w:w="2250" w:type="dxa"/>
            <w:tcBorders>
              <w:tl2br w:val="nil"/>
              <w:tr2bl w:val="nil"/>
            </w:tcBorders>
            <w:vAlign w:val="center"/>
          </w:tcPr>
          <w:p w14:paraId="22496B2C">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SC/T 3040-2008</w:t>
            </w:r>
          </w:p>
        </w:tc>
        <w:tc>
          <w:tcPr>
            <w:tcW w:w="2028" w:type="dxa"/>
            <w:tcBorders>
              <w:tl2br w:val="nil"/>
              <w:tr2bl w:val="nil"/>
            </w:tcBorders>
            <w:shd w:val="clear" w:color="auto" w:fill="auto"/>
            <w:vAlign w:val="center"/>
          </w:tcPr>
          <w:p w14:paraId="4E96B280">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三氯杀螨醇</w:t>
            </w:r>
          </w:p>
        </w:tc>
        <w:tc>
          <w:tcPr>
            <w:tcW w:w="2165" w:type="dxa"/>
            <w:tcBorders>
              <w:tl2br w:val="nil"/>
              <w:tr2bl w:val="nil"/>
            </w:tcBorders>
            <w:shd w:val="clear" w:color="auto" w:fill="auto"/>
            <w:vAlign w:val="center"/>
          </w:tcPr>
          <w:p w14:paraId="4729956F">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水产品中三氯杀螨醇残留量的测定</w:t>
            </w:r>
          </w:p>
        </w:tc>
        <w:tc>
          <w:tcPr>
            <w:tcW w:w="1571" w:type="dxa"/>
            <w:tcBorders>
              <w:tl2br w:val="nil"/>
              <w:tr2bl w:val="nil"/>
            </w:tcBorders>
            <w:vAlign w:val="center"/>
          </w:tcPr>
          <w:p w14:paraId="2F7CED12">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电子捕获检测器-气相色谱法</w:t>
            </w:r>
          </w:p>
        </w:tc>
      </w:tr>
      <w:tr w14:paraId="65367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552C649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w:t>
            </w:r>
          </w:p>
        </w:tc>
        <w:tc>
          <w:tcPr>
            <w:tcW w:w="2250" w:type="dxa"/>
            <w:tcBorders>
              <w:tl2br w:val="nil"/>
              <w:tr2bl w:val="nil"/>
            </w:tcBorders>
            <w:vAlign w:val="center"/>
          </w:tcPr>
          <w:p w14:paraId="1BD28DFA">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DB</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32/T680-2004</w:t>
            </w:r>
          </w:p>
        </w:tc>
        <w:tc>
          <w:tcPr>
            <w:tcW w:w="2028" w:type="dxa"/>
            <w:tcBorders>
              <w:tl2br w:val="nil"/>
              <w:tr2bl w:val="nil"/>
            </w:tcBorders>
            <w:vAlign w:val="center"/>
          </w:tcPr>
          <w:p w14:paraId="71D25CED">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三氯杀螨醇</w:t>
            </w:r>
          </w:p>
        </w:tc>
        <w:tc>
          <w:tcPr>
            <w:tcW w:w="2165" w:type="dxa"/>
            <w:tcBorders>
              <w:tl2br w:val="nil"/>
              <w:tr2bl w:val="nil"/>
            </w:tcBorders>
            <w:vAlign w:val="center"/>
          </w:tcPr>
          <w:p w14:paraId="390A8A57">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蜂蜜、蜂王浆中三氯杀螨醇残留量的检验，其他蜂产品中三氯杀螨醇残留量的检验也可参照使用</w:t>
            </w:r>
          </w:p>
        </w:tc>
        <w:tc>
          <w:tcPr>
            <w:tcW w:w="1571" w:type="dxa"/>
            <w:tcBorders>
              <w:tl2br w:val="nil"/>
              <w:tr2bl w:val="nil"/>
            </w:tcBorders>
            <w:vAlign w:val="center"/>
          </w:tcPr>
          <w:p w14:paraId="7767B39D">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电子捕获检测器-气相色谱法</w:t>
            </w:r>
          </w:p>
        </w:tc>
      </w:tr>
      <w:tr w14:paraId="23248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05E4E66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w:t>
            </w:r>
          </w:p>
        </w:tc>
        <w:tc>
          <w:tcPr>
            <w:tcW w:w="2250" w:type="dxa"/>
            <w:tcBorders>
              <w:tl2br w:val="nil"/>
              <w:tr2bl w:val="nil"/>
            </w:tcBorders>
            <w:vAlign w:val="center"/>
          </w:tcPr>
          <w:p w14:paraId="3164EC37">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NY/T 761-2008 第2部分</w:t>
            </w:r>
          </w:p>
        </w:tc>
        <w:tc>
          <w:tcPr>
            <w:tcW w:w="2028" w:type="dxa"/>
            <w:tcBorders>
              <w:tl2br w:val="nil"/>
              <w:tr2bl w:val="nil"/>
            </w:tcBorders>
            <w:vAlign w:val="center"/>
          </w:tcPr>
          <w:p w14:paraId="2EDA6163">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cs="Times New Roman"/>
                <w:sz w:val="18"/>
                <w:szCs w:val="18"/>
              </w:rPr>
              <w:t>有机氯类（三氯杀螨醇）、拟除虫菊酯农药</w:t>
            </w:r>
          </w:p>
        </w:tc>
        <w:tc>
          <w:tcPr>
            <w:tcW w:w="2165" w:type="dxa"/>
            <w:tcBorders>
              <w:tl2br w:val="nil"/>
              <w:tr2bl w:val="nil"/>
            </w:tcBorders>
            <w:vAlign w:val="center"/>
          </w:tcPr>
          <w:p w14:paraId="5C11889C">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蔬菜和水果</w:t>
            </w:r>
          </w:p>
        </w:tc>
        <w:tc>
          <w:tcPr>
            <w:tcW w:w="1571" w:type="dxa"/>
            <w:tcBorders>
              <w:tl2br w:val="nil"/>
              <w:tr2bl w:val="nil"/>
            </w:tcBorders>
            <w:vAlign w:val="center"/>
          </w:tcPr>
          <w:p w14:paraId="1D40B4F7">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电子捕获检测器-气相色谱法</w:t>
            </w:r>
          </w:p>
        </w:tc>
      </w:tr>
      <w:tr w14:paraId="1E7B2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71A6E8A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8</w:t>
            </w:r>
          </w:p>
        </w:tc>
        <w:tc>
          <w:tcPr>
            <w:tcW w:w="2250" w:type="dxa"/>
            <w:tcBorders>
              <w:tl2br w:val="nil"/>
              <w:tr2bl w:val="nil"/>
            </w:tcBorders>
            <w:vAlign w:val="center"/>
          </w:tcPr>
          <w:p w14:paraId="13F14F47">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GB 23204-2008</w:t>
            </w:r>
          </w:p>
        </w:tc>
        <w:tc>
          <w:tcPr>
            <w:tcW w:w="2028" w:type="dxa"/>
            <w:tcBorders>
              <w:tl2br w:val="nil"/>
              <w:tr2bl w:val="nil"/>
            </w:tcBorders>
            <w:vAlign w:val="center"/>
          </w:tcPr>
          <w:p w14:paraId="65C92087">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sz w:val="18"/>
                <w:szCs w:val="18"/>
              </w:rPr>
            </w:pPr>
            <w:r>
              <w:rPr>
                <w:rFonts w:hint="default" w:ascii="Times New Roman" w:hAnsi="Times New Roman" w:eastAsia="宋体" w:cs="Times New Roman"/>
                <w:sz w:val="18"/>
                <w:szCs w:val="18"/>
              </w:rPr>
              <w:t>三氯杀螨醇</w:t>
            </w:r>
          </w:p>
        </w:tc>
        <w:tc>
          <w:tcPr>
            <w:tcW w:w="2165" w:type="dxa"/>
            <w:tcBorders>
              <w:tl2br w:val="nil"/>
              <w:tr2bl w:val="nil"/>
            </w:tcBorders>
            <w:vAlign w:val="center"/>
          </w:tcPr>
          <w:p w14:paraId="30FE1470">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茶叶中519种农药及相关化学品残留量的测定</w:t>
            </w:r>
          </w:p>
        </w:tc>
        <w:tc>
          <w:tcPr>
            <w:tcW w:w="1571" w:type="dxa"/>
            <w:tcBorders>
              <w:tl2br w:val="nil"/>
              <w:tr2bl w:val="nil"/>
            </w:tcBorders>
            <w:vAlign w:val="center"/>
          </w:tcPr>
          <w:p w14:paraId="4A99EAEE">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气相色谱质谱法</w:t>
            </w:r>
          </w:p>
        </w:tc>
      </w:tr>
      <w:tr w14:paraId="19547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35D875E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9</w:t>
            </w:r>
          </w:p>
        </w:tc>
        <w:tc>
          <w:tcPr>
            <w:tcW w:w="2250" w:type="dxa"/>
            <w:tcBorders>
              <w:tl2br w:val="nil"/>
              <w:tr2bl w:val="nil"/>
            </w:tcBorders>
            <w:vAlign w:val="center"/>
          </w:tcPr>
          <w:p w14:paraId="5E80A7AF">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cs="Times New Roman"/>
                <w:sz w:val="18"/>
                <w:szCs w:val="18"/>
                <w:lang w:val="en-US" w:eastAsia="zh-CN"/>
              </w:rPr>
            </w:pPr>
            <w:r>
              <w:rPr>
                <w:rFonts w:hint="eastAsia" w:cs="Times New Roman"/>
                <w:sz w:val="18"/>
                <w:szCs w:val="18"/>
                <w:lang w:val="en-US" w:eastAsia="zh-CN"/>
              </w:rPr>
              <w:t>GB 23376-2009</w:t>
            </w:r>
          </w:p>
        </w:tc>
        <w:tc>
          <w:tcPr>
            <w:tcW w:w="2028" w:type="dxa"/>
            <w:tcBorders>
              <w:tl2br w:val="nil"/>
              <w:tr2bl w:val="nil"/>
            </w:tcBorders>
            <w:vAlign w:val="center"/>
          </w:tcPr>
          <w:p w14:paraId="47A67EB2">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三氯杀螨醇</w:t>
            </w:r>
          </w:p>
        </w:tc>
        <w:tc>
          <w:tcPr>
            <w:tcW w:w="2165" w:type="dxa"/>
            <w:tcBorders>
              <w:tl2br w:val="nil"/>
              <w:tr2bl w:val="nil"/>
            </w:tcBorders>
            <w:vAlign w:val="center"/>
          </w:tcPr>
          <w:p w14:paraId="58F28861">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cs="Times New Roman"/>
                <w:sz w:val="18"/>
                <w:szCs w:val="18"/>
                <w:lang w:val="en-US" w:eastAsia="zh-CN"/>
              </w:rPr>
            </w:pPr>
            <w:r>
              <w:rPr>
                <w:rFonts w:hint="eastAsia" w:cs="Times New Roman"/>
                <w:color w:val="auto"/>
                <w:sz w:val="18"/>
                <w:szCs w:val="18"/>
                <w:lang w:val="en-US" w:eastAsia="zh-CN"/>
              </w:rPr>
              <w:t>茶叶中农药多残留测定</w:t>
            </w:r>
          </w:p>
        </w:tc>
        <w:tc>
          <w:tcPr>
            <w:tcW w:w="1571" w:type="dxa"/>
            <w:tcBorders>
              <w:tl2br w:val="nil"/>
              <w:tr2bl w:val="nil"/>
            </w:tcBorders>
            <w:vAlign w:val="center"/>
          </w:tcPr>
          <w:p w14:paraId="595414C2">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气相色谱质谱法</w:t>
            </w:r>
          </w:p>
        </w:tc>
      </w:tr>
      <w:tr w14:paraId="1827C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14:paraId="378222A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 xml:space="preserve">10 </w:t>
            </w:r>
          </w:p>
        </w:tc>
        <w:tc>
          <w:tcPr>
            <w:tcW w:w="2250" w:type="dxa"/>
            <w:tcBorders>
              <w:tl2br w:val="nil"/>
              <w:tr2bl w:val="nil"/>
            </w:tcBorders>
            <w:vAlign w:val="center"/>
          </w:tcPr>
          <w:p w14:paraId="73E26A15">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HJ 699-2014</w:t>
            </w:r>
          </w:p>
        </w:tc>
        <w:tc>
          <w:tcPr>
            <w:tcW w:w="2028" w:type="dxa"/>
            <w:tcBorders>
              <w:tl2br w:val="nil"/>
              <w:tr2bl w:val="nil"/>
            </w:tcBorders>
            <w:vAlign w:val="center"/>
          </w:tcPr>
          <w:p w14:paraId="6461F6DA">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有机氯农药和氯苯类化合物</w:t>
            </w:r>
          </w:p>
        </w:tc>
        <w:tc>
          <w:tcPr>
            <w:tcW w:w="2165" w:type="dxa"/>
            <w:tcBorders>
              <w:tl2br w:val="nil"/>
              <w:tr2bl w:val="nil"/>
            </w:tcBorders>
            <w:vAlign w:val="center"/>
          </w:tcPr>
          <w:p w14:paraId="03303AFC">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水质</w:t>
            </w:r>
          </w:p>
        </w:tc>
        <w:tc>
          <w:tcPr>
            <w:tcW w:w="1571" w:type="dxa"/>
            <w:tcBorders>
              <w:tl2br w:val="nil"/>
              <w:tr2bl w:val="nil"/>
            </w:tcBorders>
            <w:vAlign w:val="center"/>
          </w:tcPr>
          <w:p w14:paraId="147AC68B">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气相色谱质谱法</w:t>
            </w:r>
          </w:p>
        </w:tc>
      </w:tr>
    </w:tbl>
    <w:p w14:paraId="1702C58B">
      <w:pPr>
        <w:pStyle w:val="2"/>
        <w:bidi w:val="0"/>
        <w:rPr>
          <w:rFonts w:hint="default" w:ascii="Times New Roman" w:hAnsi="Times New Roman" w:cs="Times New Roman"/>
          <w:lang w:val="en-US" w:eastAsia="zh-CN"/>
        </w:rPr>
      </w:pPr>
      <w:bookmarkStart w:id="37" w:name="_Toc9513"/>
      <w:bookmarkStart w:id="38" w:name="_Toc7616"/>
      <w:bookmarkStart w:id="39" w:name="_Toc5248"/>
      <w:r>
        <w:rPr>
          <w:rFonts w:hint="default" w:ascii="Times New Roman" w:hAnsi="Times New Roman" w:cs="Times New Roman"/>
          <w:lang w:val="en-US" w:eastAsia="zh-CN"/>
        </w:rPr>
        <w:t>3  采用国际标准的程度及水平说明</w:t>
      </w:r>
      <w:bookmarkEnd w:id="37"/>
      <w:bookmarkEnd w:id="38"/>
      <w:bookmarkEnd w:id="39"/>
    </w:p>
    <w:p w14:paraId="43A91382">
      <w:pPr>
        <w:bidi w:val="0"/>
        <w:rPr>
          <w:rFonts w:hint="default" w:ascii="Times New Roman" w:hAnsi="Times New Roman" w:cs="Times New Roman"/>
          <w:lang w:val="en-US" w:eastAsia="zh-CN"/>
        </w:rPr>
      </w:pPr>
      <w:r>
        <w:rPr>
          <w:rFonts w:hint="default" w:ascii="Times New Roman" w:hAnsi="Times New Roman" w:cs="Times New Roman"/>
          <w:lang w:val="en-US" w:eastAsia="zh-CN"/>
        </w:rPr>
        <w:t>国际上暂无土壤中三氯杀螨醇的监测分析标准，但已有纺织品、油品中三氯杀螨醇的监测标准方法，具体情况如下。</w:t>
      </w:r>
    </w:p>
    <w:p w14:paraId="2E1DD8F6">
      <w:pPr>
        <w:bidi w:val="0"/>
        <w:rPr>
          <w:rFonts w:hint="default" w:ascii="Times New Roman" w:hAnsi="Times New Roman" w:cs="Times New Roman"/>
          <w:color w:val="000000"/>
          <w:szCs w:val="21"/>
          <w:highlight w:val="none"/>
          <w:lang w:val="en-US" w:eastAsia="zh-CN"/>
        </w:rPr>
      </w:pPr>
      <w:r>
        <w:rPr>
          <w:rFonts w:hint="default" w:ascii="Times New Roman" w:hAnsi="Times New Roman" w:cs="Times New Roman"/>
          <w:lang w:val="en-US" w:eastAsia="zh-CN"/>
        </w:rPr>
        <w:t>Environmental Chemistry Methods for Dicofol in Soil - MRID 41381801采用电子捕获检测器-气相色谱法测定油中三氯杀螨醇的含量，外标法；USEPA 8081采用气相色谱法测定纺织品中农药的残留。以上方法</w:t>
      </w:r>
      <w:r>
        <w:rPr>
          <w:rFonts w:hint="default" w:ascii="Times New Roman" w:hAnsi="Times New Roman" w:cs="Times New Roman"/>
          <w:color w:val="000000"/>
          <w:szCs w:val="21"/>
          <w:highlight w:val="none"/>
          <w:lang w:val="en-US" w:eastAsia="zh-CN"/>
        </w:rPr>
        <w:t>与本标准均暂无相关性。</w:t>
      </w:r>
    </w:p>
    <w:p w14:paraId="3B14DEF7">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color w:val="000000"/>
          <w:szCs w:val="21"/>
          <w:highlight w:val="none"/>
          <w:lang w:val="en-US" w:eastAsia="zh-CN"/>
        </w:rPr>
        <w:t>综上，三氯杀螨醇的检测方法，国际上多数为气相色谱法，国内的方法中有部分是气相色谱质谱法（GC-MS）。GC-MS法作为一种通用的色谱检测方法，相比于其他色谱法，不仅能通过保留时间定性，还能通过质谱图，根据分子离子峰的准确质量、碎片离子峰强度比等定性，可降低化学噪声和干扰影响，具有定性可靠、定量准确的优势。本研究采用优势明显的GC-MS法进行分析。</w:t>
      </w:r>
    </w:p>
    <w:p w14:paraId="74FFC866">
      <w:pPr>
        <w:pStyle w:val="2"/>
        <w:bidi w:val="0"/>
        <w:rPr>
          <w:rFonts w:hint="default" w:ascii="Times New Roman" w:hAnsi="Times New Roman" w:cs="Times New Roman"/>
          <w:lang w:val="en-US" w:eastAsia="zh-CN"/>
        </w:rPr>
      </w:pPr>
      <w:bookmarkStart w:id="40" w:name="_Toc12620"/>
      <w:bookmarkStart w:id="41" w:name="_Toc15510"/>
      <w:bookmarkStart w:id="42" w:name="_Toc29516"/>
      <w:r>
        <w:rPr>
          <w:rFonts w:hint="default" w:ascii="Times New Roman" w:hAnsi="Times New Roman" w:cs="Times New Roman"/>
          <w:lang w:val="en-US" w:eastAsia="zh-CN"/>
        </w:rPr>
        <w:t>4  标准制定的基本原则和技术路线</w:t>
      </w:r>
      <w:bookmarkEnd w:id="40"/>
      <w:bookmarkEnd w:id="41"/>
      <w:bookmarkEnd w:id="42"/>
    </w:p>
    <w:p w14:paraId="7259D5E2">
      <w:pPr>
        <w:pStyle w:val="3"/>
        <w:bidi w:val="0"/>
        <w:rPr>
          <w:rFonts w:hint="default" w:ascii="Times New Roman" w:hAnsi="Times New Roman" w:cs="Times New Roman"/>
          <w:lang w:val="en-US" w:eastAsia="zh-CN"/>
        </w:rPr>
      </w:pPr>
      <w:bookmarkStart w:id="43" w:name="_Toc26581"/>
      <w:bookmarkStart w:id="44" w:name="_Toc13797"/>
      <w:bookmarkStart w:id="45" w:name="_Toc15181"/>
      <w:r>
        <w:rPr>
          <w:rFonts w:hint="default" w:ascii="Times New Roman" w:hAnsi="Times New Roman" w:cs="Times New Roman"/>
          <w:lang w:val="en-US" w:eastAsia="zh-CN"/>
        </w:rPr>
        <w:t>4.1  标准制定的基本原则</w:t>
      </w:r>
      <w:bookmarkEnd w:id="43"/>
      <w:bookmarkEnd w:id="44"/>
      <w:bookmarkEnd w:id="45"/>
    </w:p>
    <w:p w14:paraId="2E59F58C">
      <w:pPr>
        <w:bidi w:val="0"/>
        <w:rPr>
          <w:rFonts w:hint="default" w:ascii="Times New Roman" w:hAnsi="Times New Roman" w:cs="Times New Roman"/>
        </w:rPr>
      </w:pPr>
      <w:r>
        <w:rPr>
          <w:rFonts w:hint="default" w:ascii="Times New Roman" w:hAnsi="Times New Roman" w:cs="Times New Roman"/>
        </w:rPr>
        <w:t>按照《环境监测分析方法标准制订技术导则》（HJ 168-2020）的要求，在参考国内外标准方法和技术研究的同时，结合我国监测工作实际情况和发展需求，在制订过程中，对优选技术开展研究与验证，以确保方法标准的科学性、先进性、普适性和可操作性，并满足以下条件：</w:t>
      </w:r>
    </w:p>
    <w:p w14:paraId="105FF2F9">
      <w:pPr>
        <w:bidi w:val="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）方法准确可靠，满足各项方法特性指标的要求</w:t>
      </w:r>
    </w:p>
    <w:p w14:paraId="792E5B64">
      <w:pPr>
        <w:bidi w:val="0"/>
        <w:rPr>
          <w:rFonts w:hint="default" w:ascii="Times New Roman" w:hAnsi="Times New Roman" w:cs="Times New Roman"/>
        </w:rPr>
      </w:pPr>
      <w:r>
        <w:rPr>
          <w:rFonts w:hint="default" w:ascii="Times New Roman" w:hAnsi="Times New Roman" w:cs="Times New Roman"/>
        </w:rPr>
        <w:t>通过实验室内及6家实验室间实际样品及加标回收测定的分析比对，确保本方法准确可靠，精密度和正确度能够满足各项方法特性指标的要求。</w:t>
      </w:r>
    </w:p>
    <w:p w14:paraId="740A67B8">
      <w:pPr>
        <w:bidi w:val="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）方法具有普遍适用性，易于推广使用</w:t>
      </w:r>
    </w:p>
    <w:p w14:paraId="44B311A7">
      <w:pPr>
        <w:bidi w:val="0"/>
        <w:rPr>
          <w:rFonts w:hint="default" w:ascii="Times New Roman" w:hAnsi="Times New Roman" w:cs="Times New Roman"/>
          <w:lang w:val="en-US" w:eastAsia="zh-CN"/>
        </w:rPr>
      </w:pPr>
      <w:r>
        <w:rPr>
          <w:rFonts w:hint="default" w:ascii="Times New Roman" w:hAnsi="Times New Roman" w:cs="Times New Roman"/>
        </w:rPr>
        <w:t>本标准结合了国内监测机构能力现状，所制</w:t>
      </w:r>
      <w:r>
        <w:rPr>
          <w:rFonts w:hint="eastAsia" w:cs="Times New Roman"/>
          <w:lang w:val="en-US" w:eastAsia="zh-CN"/>
        </w:rPr>
        <w:t>定</w:t>
      </w:r>
      <w:r>
        <w:rPr>
          <w:rFonts w:hint="default" w:ascii="Times New Roman" w:hAnsi="Times New Roman" w:cs="Times New Roman"/>
        </w:rPr>
        <w:t>的</w:t>
      </w:r>
      <w:r>
        <w:rPr>
          <w:rFonts w:hint="default" w:ascii="Times New Roman" w:hAnsi="Times New Roman" w:cs="Times New Roman"/>
          <w:lang w:eastAsia="zh-CN"/>
        </w:rPr>
        <w:t>土壤中</w:t>
      </w:r>
      <w:r>
        <w:rPr>
          <w:rFonts w:hint="default" w:ascii="Times New Roman" w:hAnsi="Times New Roman" w:cs="Times New Roman"/>
          <w:lang w:val="en-US" w:eastAsia="zh-CN"/>
        </w:rPr>
        <w:t>三氯杀螨醇</w:t>
      </w:r>
      <w:r>
        <w:rPr>
          <w:rFonts w:hint="default" w:ascii="Times New Roman" w:hAnsi="Times New Roman" w:cs="Times New Roman"/>
        </w:rPr>
        <w:t>的测定方法操作简单易行，能适应我国环境监测机构及相关实验室的仪器设备条件及技术能力。</w:t>
      </w:r>
    </w:p>
    <w:p w14:paraId="64CAAD69">
      <w:pPr>
        <w:pStyle w:val="3"/>
        <w:bidi w:val="0"/>
        <w:rPr>
          <w:rFonts w:hint="default" w:ascii="Times New Roman" w:hAnsi="Times New Roman" w:cs="Times New Roman"/>
          <w:lang w:val="en-US" w:eastAsia="zh-CN"/>
        </w:rPr>
      </w:pPr>
      <w:bookmarkStart w:id="46" w:name="_Toc29686"/>
      <w:bookmarkStart w:id="47" w:name="_Toc13217"/>
      <w:bookmarkStart w:id="48" w:name="_Toc12859"/>
      <w:r>
        <w:rPr>
          <w:rFonts w:hint="default" w:ascii="Times New Roman" w:hAnsi="Times New Roman" w:cs="Times New Roman"/>
          <w:lang w:val="en-US" w:eastAsia="zh-CN"/>
        </w:rPr>
        <w:t>4.2  标准制定的技术路线</w:t>
      </w:r>
      <w:bookmarkEnd w:id="46"/>
      <w:bookmarkEnd w:id="47"/>
      <w:bookmarkEnd w:id="48"/>
    </w:p>
    <w:p w14:paraId="3C3D1889">
      <w:pPr>
        <w:bidi w:val="0"/>
        <w:rPr>
          <w:rFonts w:hint="default" w:ascii="Times New Roman" w:hAnsi="Times New Roman" w:cs="Times New Roman"/>
          <w:lang w:val="en-US" w:eastAsia="zh-CN"/>
        </w:rPr>
      </w:pPr>
      <w:r>
        <w:rPr>
          <w:rFonts w:hint="default" w:ascii="Times New Roman" w:hAnsi="Times New Roman" w:cs="Times New Roman"/>
        </w:rPr>
        <w:t>编制组参照国内外已发布的关于测定</w:t>
      </w:r>
      <w:r>
        <w:rPr>
          <w:rFonts w:hint="default" w:ascii="Times New Roman" w:hAnsi="Times New Roman" w:cs="Times New Roman"/>
          <w:lang w:val="en-US" w:eastAsia="zh-CN"/>
        </w:rPr>
        <w:t>三氯杀螨醇</w:t>
      </w:r>
      <w:r>
        <w:rPr>
          <w:rFonts w:hint="default" w:ascii="Times New Roman" w:hAnsi="Times New Roman" w:cs="Times New Roman"/>
        </w:rPr>
        <w:t>的标准方法，结合</w:t>
      </w:r>
      <w:r>
        <w:rPr>
          <w:rFonts w:hint="default" w:ascii="Times New Roman" w:hAnsi="Times New Roman" w:cs="Times New Roman"/>
          <w:lang w:eastAsia="zh-CN"/>
        </w:rPr>
        <w:t>目标化合物</w:t>
      </w:r>
      <w:r>
        <w:rPr>
          <w:rFonts w:hint="default" w:ascii="Times New Roman" w:hAnsi="Times New Roman" w:cs="Times New Roman"/>
        </w:rPr>
        <w:t>的特点以及</w:t>
      </w:r>
      <w:r>
        <w:rPr>
          <w:rFonts w:hint="default" w:ascii="Times New Roman" w:hAnsi="Times New Roman" w:cs="Times New Roman"/>
          <w:lang w:eastAsia="zh-CN"/>
        </w:rPr>
        <w:t>气</w:t>
      </w:r>
      <w:r>
        <w:rPr>
          <w:rFonts w:hint="default" w:ascii="Times New Roman" w:hAnsi="Times New Roman" w:cs="Times New Roman"/>
        </w:rPr>
        <w:t>相色谱-质谱法的检测范围，从中优选出适合该标准方法，并适应我国现有监测设备状况的目标化合物；探讨了样品采集、运输保存、样品前处理条件、仪器分析方法、质量控制与质量保证技术研究等内容，通过6家实验室间的方法验证，给出该方法的精密度、正确度、检出限及测定范围等技术特性指标及质量控制内容。本标准制订技术路线见图</w:t>
      </w:r>
      <w:r>
        <w:rPr>
          <w:rFonts w:hint="eastAsia" w:cs="Times New Roman"/>
          <w:lang w:val="en-US" w:eastAsia="zh-CN"/>
        </w:rPr>
        <w:t>3</w:t>
      </w:r>
      <w:r>
        <w:rPr>
          <w:rFonts w:hint="default" w:ascii="Times New Roman" w:hAnsi="Times New Roman" w:cs="Times New Roman"/>
          <w:lang w:val="en-US" w:eastAsia="zh-CN"/>
        </w:rPr>
        <w:t>。</w:t>
      </w:r>
    </w:p>
    <w:p w14:paraId="71397978">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27B777B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cs="Times New Roman"/>
          <w:lang w:val="en-US" w:eastAsia="zh-CN"/>
        </w:rPr>
      </w:pPr>
      <w:r>
        <w:rPr>
          <w:rFonts w:hint="default" w:ascii="Times New Roman" w:hAnsi="Times New Roman" w:eastAsia="黑体" w:cs="Times New Roman"/>
          <w:color w:val="000000"/>
          <w:szCs w:val="21"/>
          <w:highlight w:val="none"/>
          <w:lang w:val="en-US" w:eastAsia="zh-CN"/>
        </w:rPr>
        <w:drawing>
          <wp:anchor distT="0" distB="0" distL="114300" distR="114300" simplePos="0" relativeHeight="251664384" behindDoc="0" locked="0" layoutInCell="1" allowOverlap="1">
            <wp:simplePos x="0" y="0"/>
            <wp:positionH relativeFrom="column">
              <wp:posOffset>52705</wp:posOffset>
            </wp:positionH>
            <wp:positionV relativeFrom="paragraph">
              <wp:posOffset>41910</wp:posOffset>
            </wp:positionV>
            <wp:extent cx="5274310" cy="4392295"/>
            <wp:effectExtent l="0" t="0" r="8890" b="1905"/>
            <wp:wrapTopAndBottom/>
            <wp:docPr id="11" name="图片 11" descr="三氯杀螨醇技术路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氯杀螨醇技术路线"/>
                    <pic:cNvPicPr>
                      <a:picLocks noChangeAspect="1"/>
                    </pic:cNvPicPr>
                  </pic:nvPicPr>
                  <pic:blipFill>
                    <a:blip r:embed="rId11"/>
                    <a:stretch>
                      <a:fillRect/>
                    </a:stretch>
                  </pic:blipFill>
                  <pic:spPr>
                    <a:xfrm>
                      <a:off x="0" y="0"/>
                      <a:ext cx="5274310" cy="4392295"/>
                    </a:xfrm>
                    <a:prstGeom prst="rect">
                      <a:avLst/>
                    </a:prstGeom>
                  </pic:spPr>
                </pic:pic>
              </a:graphicData>
            </a:graphic>
          </wp:anchor>
        </w:drawing>
      </w:r>
      <w:r>
        <w:rPr>
          <w:rFonts w:hint="default" w:ascii="Times New Roman" w:hAnsi="Times New Roman" w:eastAsia="黑体" w:cs="Times New Roman"/>
          <w:color w:val="000000"/>
          <w:szCs w:val="21"/>
          <w:highlight w:val="none"/>
          <w:lang w:val="en-US" w:eastAsia="zh-CN"/>
        </w:rPr>
        <w:t>图</w:t>
      </w:r>
      <w:r>
        <w:rPr>
          <w:rFonts w:hint="eastAsia" w:ascii="Times New Roman" w:hAnsi="Times New Roman" w:eastAsia="黑体" w:cs="Times New Roman"/>
          <w:color w:val="000000"/>
          <w:szCs w:val="21"/>
          <w:highlight w:val="none"/>
          <w:lang w:val="en-US" w:eastAsia="zh-CN"/>
        </w:rPr>
        <w:t>3</w:t>
      </w:r>
      <w:r>
        <w:rPr>
          <w:rFonts w:hint="eastAsia" w:eastAsia="黑体" w:cs="Times New Roman"/>
          <w:color w:val="000000"/>
          <w:szCs w:val="21"/>
          <w:highlight w:val="none"/>
          <w:lang w:val="en-US" w:eastAsia="zh-CN"/>
        </w:rPr>
        <w:t xml:space="preserve"> </w:t>
      </w:r>
      <w:r>
        <w:rPr>
          <w:rFonts w:hint="eastAsia" w:ascii="Times New Roman" w:hAnsi="Times New Roman" w:eastAsia="黑体" w:cs="Times New Roman"/>
          <w:color w:val="000000"/>
          <w:szCs w:val="21"/>
          <w:highlight w:val="none"/>
          <w:lang w:val="en-US" w:eastAsia="zh-CN"/>
        </w:rPr>
        <w:t xml:space="preserve"> 标准制订的技术路线图</w:t>
      </w:r>
    </w:p>
    <w:p w14:paraId="453D4E3A">
      <w:pPr>
        <w:pStyle w:val="2"/>
        <w:bidi w:val="0"/>
        <w:rPr>
          <w:rFonts w:hint="default"/>
          <w:lang w:val="en-US" w:eastAsia="zh-CN"/>
        </w:rPr>
      </w:pPr>
      <w:bookmarkStart w:id="49" w:name="_Toc31031"/>
      <w:bookmarkStart w:id="50" w:name="_Toc32690"/>
      <w:bookmarkStart w:id="51" w:name="_Toc28173"/>
      <w:r>
        <w:rPr>
          <w:rFonts w:hint="default" w:ascii="Times New Roman" w:hAnsi="Times New Roman" w:cs="Times New Roman"/>
          <w:lang w:val="en-US" w:eastAsia="zh-CN"/>
        </w:rPr>
        <w:t>5  标准主要条文或技术内容的依据</w:t>
      </w:r>
      <w:bookmarkEnd w:id="49"/>
      <w:bookmarkEnd w:id="50"/>
      <w:bookmarkEnd w:id="51"/>
    </w:p>
    <w:p w14:paraId="7054D4A4">
      <w:pPr>
        <w:pStyle w:val="3"/>
        <w:bidi w:val="0"/>
        <w:rPr>
          <w:rFonts w:hint="default" w:ascii="Times New Roman" w:hAnsi="Times New Roman" w:cs="Times New Roman"/>
          <w:lang w:val="en-US" w:eastAsia="zh-CN"/>
        </w:rPr>
      </w:pPr>
      <w:bookmarkStart w:id="52" w:name="_Toc32249"/>
      <w:bookmarkStart w:id="53" w:name="_Toc32481"/>
      <w:bookmarkStart w:id="54" w:name="_Toc31346"/>
      <w:r>
        <w:rPr>
          <w:rFonts w:hint="default" w:ascii="Times New Roman" w:hAnsi="Times New Roman" w:cs="Times New Roman"/>
          <w:lang w:val="en-US" w:eastAsia="zh-CN"/>
        </w:rPr>
        <w:t>5.1  主要技术内容</w:t>
      </w:r>
      <w:bookmarkEnd w:id="52"/>
      <w:bookmarkEnd w:id="53"/>
      <w:bookmarkEnd w:id="54"/>
    </w:p>
    <w:p w14:paraId="2208884E">
      <w:pPr>
        <w:bidi w:val="0"/>
      </w:pPr>
      <w:r>
        <w:t>主要技术内容有以下几方面：</w:t>
      </w:r>
    </w:p>
    <w:p w14:paraId="618D1782">
      <w:pPr>
        <w:bidi w:val="0"/>
      </w:pPr>
      <w:r>
        <w:t>（1）明确方法的适用范围，确定目标化合物的种类；</w:t>
      </w:r>
    </w:p>
    <w:p w14:paraId="1C00C557">
      <w:pPr>
        <w:bidi w:val="0"/>
      </w:pPr>
      <w:r>
        <w:t>（2）研究</w:t>
      </w:r>
      <w:r>
        <w:rPr>
          <w:rFonts w:hint="eastAsia"/>
          <w:lang w:val="en-US" w:eastAsia="zh-CN"/>
        </w:rPr>
        <w:t>三氯杀螨醇</w:t>
      </w:r>
      <w:r>
        <w:t>采样方法，包括</w:t>
      </w:r>
      <w:r>
        <w:rPr>
          <w:rFonts w:hint="eastAsia"/>
          <w:lang w:eastAsia="zh-CN"/>
        </w:rPr>
        <w:t>采样参考条件</w:t>
      </w:r>
      <w:r>
        <w:t>、样品保存条件等；</w:t>
      </w:r>
    </w:p>
    <w:p w14:paraId="14D38779">
      <w:pPr>
        <w:bidi w:val="0"/>
        <w:rPr>
          <w:rFonts w:hint="default" w:eastAsia="宋体"/>
          <w:lang w:val="en-US" w:eastAsia="zh-CN"/>
        </w:rPr>
      </w:pPr>
      <w:r>
        <w:t>（3）</w:t>
      </w:r>
      <w:r>
        <w:rPr>
          <w:rFonts w:hint="eastAsia"/>
          <w:lang w:val="en-US" w:eastAsia="zh-CN"/>
        </w:rPr>
        <w:t>选择合适的检测目标（是直接检测三氯杀螨醇还是间接测定其转化产物）；</w:t>
      </w:r>
    </w:p>
    <w:p w14:paraId="790AA870">
      <w:pPr>
        <w:bidi w:val="0"/>
      </w:pPr>
      <w:r>
        <w:rPr>
          <w:rFonts w:hint="eastAsia"/>
          <w:lang w:eastAsia="zh-CN"/>
        </w:rPr>
        <w:t>（</w:t>
      </w:r>
      <w:r>
        <w:rPr>
          <w:rFonts w:hint="eastAsia"/>
          <w:lang w:val="en-US" w:eastAsia="zh-CN"/>
        </w:rPr>
        <w:t>4</w:t>
      </w:r>
      <w:r>
        <w:rPr>
          <w:rFonts w:hint="eastAsia"/>
          <w:lang w:eastAsia="zh-CN"/>
        </w:rPr>
        <w:t>）</w:t>
      </w:r>
      <w:r>
        <w:t>优化</w:t>
      </w:r>
      <w:r>
        <w:rPr>
          <w:rFonts w:hint="eastAsia"/>
        </w:rPr>
        <w:t>样品</w:t>
      </w:r>
      <w:r>
        <w:t>提取、</w:t>
      </w:r>
      <w:r>
        <w:rPr>
          <w:rFonts w:hint="eastAsia"/>
          <w:lang w:val="en-US" w:eastAsia="zh-CN"/>
        </w:rPr>
        <w:t>碱解、</w:t>
      </w:r>
      <w:r>
        <w:t>净化</w:t>
      </w:r>
      <w:r>
        <w:rPr>
          <w:rFonts w:hint="eastAsia"/>
          <w:lang w:eastAsia="zh-CN"/>
        </w:rPr>
        <w:t>、</w:t>
      </w:r>
      <w:r>
        <w:t>浓缩</w:t>
      </w:r>
      <w:r>
        <w:rPr>
          <w:rFonts w:hint="eastAsia"/>
        </w:rPr>
        <w:t>等前处理</w:t>
      </w:r>
      <w:r>
        <w:t>条件；</w:t>
      </w:r>
    </w:p>
    <w:p w14:paraId="799BCB4D">
      <w:pPr>
        <w:bidi w:val="0"/>
      </w:pPr>
      <w:r>
        <w:t>（</w:t>
      </w:r>
      <w:r>
        <w:rPr>
          <w:rFonts w:hint="eastAsia"/>
          <w:lang w:val="en-US" w:eastAsia="zh-CN"/>
        </w:rPr>
        <w:t>5</w:t>
      </w:r>
      <w:r>
        <w:t>）选择合适的色谱柱、</w:t>
      </w:r>
      <w:r>
        <w:rPr>
          <w:rFonts w:hint="eastAsia"/>
          <w:lang w:eastAsia="zh-CN"/>
        </w:rPr>
        <w:t>升温程序</w:t>
      </w:r>
      <w:r>
        <w:t>、</w:t>
      </w:r>
      <w:r>
        <w:rPr>
          <w:rFonts w:hint="eastAsia"/>
          <w:lang w:eastAsia="zh-CN"/>
        </w:rPr>
        <w:t>进样口温度、扫描模式</w:t>
      </w:r>
      <w:r>
        <w:t>等</w:t>
      </w:r>
      <w:r>
        <w:rPr>
          <w:rFonts w:hint="eastAsia"/>
          <w:lang w:eastAsia="zh-CN"/>
        </w:rPr>
        <w:t>气</w:t>
      </w:r>
      <w:r>
        <w:t>相</w:t>
      </w:r>
      <w:r>
        <w:rPr>
          <w:rFonts w:hint="eastAsia"/>
          <w:lang w:eastAsia="zh-CN"/>
        </w:rPr>
        <w:t>色谱</w:t>
      </w:r>
      <w:r>
        <w:t>和质谱条件，优化出最佳的仪器参数；</w:t>
      </w:r>
    </w:p>
    <w:p w14:paraId="09D6FB84">
      <w:pPr>
        <w:bidi w:val="0"/>
        <w:rPr>
          <w:rFonts w:hint="default"/>
          <w:lang w:val="en-US" w:eastAsia="zh-CN"/>
        </w:rPr>
      </w:pPr>
      <w:r>
        <w:t>（</w:t>
      </w:r>
      <w:r>
        <w:rPr>
          <w:rFonts w:hint="eastAsia"/>
          <w:lang w:val="en-US" w:eastAsia="zh-CN"/>
        </w:rPr>
        <w:t>6</w:t>
      </w:r>
      <w:r>
        <w:t>）确定方法检出限、精密度、正确度等方法特性指标。</w:t>
      </w:r>
    </w:p>
    <w:p w14:paraId="1D866FEF">
      <w:pPr>
        <w:pStyle w:val="3"/>
        <w:bidi w:val="0"/>
        <w:rPr>
          <w:rFonts w:hint="default" w:ascii="Times New Roman" w:hAnsi="Times New Roman" w:cs="Times New Roman"/>
          <w:lang w:val="en-US" w:eastAsia="zh-CN"/>
        </w:rPr>
      </w:pPr>
      <w:bookmarkStart w:id="55" w:name="_Toc15830"/>
      <w:bookmarkStart w:id="56" w:name="_Toc32157"/>
      <w:bookmarkStart w:id="57" w:name="_Toc28838"/>
      <w:r>
        <w:rPr>
          <w:rFonts w:hint="default" w:ascii="Times New Roman" w:hAnsi="Times New Roman" w:cs="Times New Roman"/>
          <w:lang w:val="en-US" w:eastAsia="zh-CN"/>
        </w:rPr>
        <w:t>5.2  使用范围</w:t>
      </w:r>
      <w:bookmarkEnd w:id="55"/>
      <w:bookmarkEnd w:id="56"/>
      <w:bookmarkEnd w:id="57"/>
    </w:p>
    <w:p w14:paraId="090DE74F">
      <w:pPr>
        <w:bidi w:val="0"/>
        <w:rPr>
          <w:rFonts w:hint="eastAsia"/>
          <w:highlight w:val="none"/>
          <w:lang w:val="en-US" w:eastAsia="zh-CN"/>
        </w:rPr>
      </w:pPr>
      <w:r>
        <w:rPr>
          <w:rFonts w:hint="eastAsia"/>
          <w:highlight w:val="none"/>
          <w:lang w:val="en-US" w:eastAsia="zh-CN"/>
        </w:rPr>
        <w:t>本标准规定了测定土壤中2,4</w:t>
      </w:r>
      <w:r>
        <w:rPr>
          <w:rFonts w:hint="default"/>
          <w:highlight w:val="none"/>
          <w:lang w:val="en-US" w:eastAsia="zh-CN"/>
        </w:rPr>
        <w:t>’</w:t>
      </w:r>
      <w:r>
        <w:rPr>
          <w:rFonts w:hint="eastAsia"/>
          <w:highlight w:val="none"/>
          <w:lang w:val="en-US" w:eastAsia="zh-CN"/>
        </w:rPr>
        <w:t>-三氯杀螨醇和4,4</w:t>
      </w:r>
      <w:r>
        <w:rPr>
          <w:rFonts w:hint="default"/>
          <w:highlight w:val="none"/>
          <w:lang w:val="en-US" w:eastAsia="zh-CN"/>
        </w:rPr>
        <w:t>’</w:t>
      </w:r>
      <w:r>
        <w:rPr>
          <w:rFonts w:hint="eastAsia"/>
          <w:highlight w:val="none"/>
          <w:lang w:val="en-US" w:eastAsia="zh-CN"/>
        </w:rPr>
        <w:t>-三氯杀螨醇2种三氯杀螨醇的气相色谱-质谱法。当通过前期环境信息调查，生产或使用过2,4</w:t>
      </w:r>
      <w:r>
        <w:rPr>
          <w:rFonts w:hint="default"/>
          <w:highlight w:val="none"/>
          <w:lang w:val="en-US" w:eastAsia="zh-CN"/>
        </w:rPr>
        <w:t>’</w:t>
      </w:r>
      <w:r>
        <w:rPr>
          <w:rFonts w:hint="eastAsia"/>
          <w:highlight w:val="none"/>
          <w:lang w:val="en-US" w:eastAsia="zh-CN"/>
        </w:rPr>
        <w:t>-二氯二苯甲酮和4,4</w:t>
      </w:r>
      <w:r>
        <w:rPr>
          <w:rFonts w:hint="default"/>
          <w:highlight w:val="none"/>
          <w:lang w:val="en-US" w:eastAsia="zh-CN"/>
        </w:rPr>
        <w:t>’</w:t>
      </w:r>
      <w:r>
        <w:rPr>
          <w:rFonts w:hint="eastAsia"/>
          <w:highlight w:val="none"/>
          <w:lang w:val="en-US" w:eastAsia="zh-CN"/>
        </w:rPr>
        <w:t>-二氯二苯甲酮的污染土壤地块不适用于本标准。</w:t>
      </w:r>
    </w:p>
    <w:p w14:paraId="613717E1">
      <w:pPr>
        <w:bidi w:val="0"/>
        <w:rPr>
          <w:rFonts w:hint="eastAsia"/>
          <w:lang w:val="en-US" w:eastAsia="zh-CN"/>
        </w:rPr>
      </w:pPr>
      <w:r>
        <w:rPr>
          <w:rFonts w:hint="eastAsia"/>
          <w:lang w:val="en-US" w:eastAsia="zh-CN"/>
        </w:rPr>
        <w:t>本标准从满足相关环保工作的需要（2种三氯杀螨醇被列入</w:t>
      </w:r>
      <w:r>
        <w:rPr>
          <w:rFonts w:hint="default" w:ascii="Times New Roman" w:hAnsi="Times New Roman" w:cs="Times New Roman"/>
          <w:lang w:val="en-US" w:eastAsia="zh-CN"/>
        </w:rPr>
        <w:t>《</w:t>
      </w:r>
      <w:r>
        <w:rPr>
          <w:rFonts w:hint="default" w:ascii="Times New Roman" w:hAnsi="Times New Roman" w:cs="Times New Roman"/>
        </w:rPr>
        <w:t>重点管控新污染物清单</w:t>
      </w:r>
      <w:r>
        <w:rPr>
          <w:rFonts w:hint="default" w:ascii="Times New Roman" w:hAnsi="Times New Roman" w:cs="Times New Roman"/>
          <w:lang w:eastAsia="zh-CN"/>
        </w:rPr>
        <w:t>（</w:t>
      </w:r>
      <w:r>
        <w:rPr>
          <w:rFonts w:hint="default" w:ascii="Times New Roman" w:hAnsi="Times New Roman" w:cs="Times New Roman"/>
          <w:lang w:val="en-US" w:eastAsia="zh-CN"/>
        </w:rPr>
        <w:t>2023年版</w:t>
      </w:r>
      <w:r>
        <w:rPr>
          <w:rFonts w:hint="default" w:ascii="Times New Roman" w:hAnsi="Times New Roman" w:cs="Times New Roman"/>
          <w:lang w:eastAsia="zh-CN"/>
        </w:rPr>
        <w:t>）</w:t>
      </w:r>
      <w:r>
        <w:rPr>
          <w:rFonts w:hint="default" w:ascii="Times New Roman" w:hAnsi="Times New Roman" w:cs="Times New Roman"/>
          <w:lang w:val="en-US" w:eastAsia="zh-CN"/>
        </w:rPr>
        <w:t>》</w:t>
      </w:r>
      <w:r>
        <w:rPr>
          <w:rFonts w:hint="eastAsia"/>
          <w:lang w:val="en-US" w:eastAsia="zh-CN"/>
        </w:rPr>
        <w:t>），确定了检测土壤中2种三氯杀螨醇的检测分析方法。目标化合物名称见表3。</w:t>
      </w:r>
    </w:p>
    <w:p w14:paraId="0CCC970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ascii="Times New Roman" w:hAnsi="Times New Roman" w:eastAsia="黑体" w:cs="Times New Roman"/>
          <w:color w:val="000000"/>
          <w:szCs w:val="21"/>
          <w:highlight w:val="none"/>
          <w:lang w:val="en-US" w:eastAsia="zh-CN"/>
        </w:rPr>
      </w:pPr>
      <w:r>
        <w:rPr>
          <w:rFonts w:hint="eastAsia" w:ascii="Times New Roman" w:hAnsi="Times New Roman" w:eastAsia="黑体" w:cs="Times New Roman"/>
          <w:color w:val="000000"/>
          <w:szCs w:val="21"/>
          <w:highlight w:val="none"/>
          <w:lang w:val="en-US" w:eastAsia="zh-CN"/>
        </w:rPr>
        <w:t xml:space="preserve">表3 </w:t>
      </w:r>
      <w:r>
        <w:rPr>
          <w:rFonts w:hint="eastAsia" w:eastAsia="黑体" w:cs="Times New Roman"/>
          <w:color w:val="000000"/>
          <w:szCs w:val="21"/>
          <w:highlight w:val="none"/>
          <w:lang w:val="en-US" w:eastAsia="zh-CN"/>
        </w:rPr>
        <w:t xml:space="preserve"> </w:t>
      </w:r>
      <w:r>
        <w:rPr>
          <w:rFonts w:hint="eastAsia" w:ascii="Times New Roman" w:hAnsi="Times New Roman" w:eastAsia="黑体" w:cs="Times New Roman"/>
          <w:color w:val="000000"/>
          <w:szCs w:val="21"/>
          <w:highlight w:val="none"/>
          <w:lang w:val="en-US" w:eastAsia="zh-CN"/>
        </w:rPr>
        <w:t>目标化合物清单</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645"/>
        <w:gridCol w:w="2645"/>
        <w:gridCol w:w="2646"/>
      </w:tblGrid>
      <w:tr w14:paraId="3BDC3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4" w:type="dxa"/>
            <w:tcBorders>
              <w:tl2br w:val="nil"/>
              <w:tr2bl w:val="nil"/>
            </w:tcBorders>
            <w:vAlign w:val="center"/>
          </w:tcPr>
          <w:p w14:paraId="7D77214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序号</w:t>
            </w:r>
          </w:p>
        </w:tc>
        <w:tc>
          <w:tcPr>
            <w:tcW w:w="2645" w:type="dxa"/>
            <w:tcBorders>
              <w:tl2br w:val="nil"/>
              <w:tr2bl w:val="nil"/>
            </w:tcBorders>
            <w:vAlign w:val="center"/>
          </w:tcPr>
          <w:p w14:paraId="263F364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中文名</w:t>
            </w:r>
          </w:p>
        </w:tc>
        <w:tc>
          <w:tcPr>
            <w:tcW w:w="2645" w:type="dxa"/>
            <w:tcBorders>
              <w:tl2br w:val="nil"/>
              <w:tr2bl w:val="nil"/>
            </w:tcBorders>
            <w:vAlign w:val="center"/>
          </w:tcPr>
          <w:p w14:paraId="57E45D8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英文名</w:t>
            </w:r>
          </w:p>
        </w:tc>
        <w:tc>
          <w:tcPr>
            <w:tcW w:w="2646" w:type="dxa"/>
            <w:tcBorders>
              <w:tl2br w:val="nil"/>
              <w:tr2bl w:val="nil"/>
            </w:tcBorders>
            <w:vAlign w:val="center"/>
          </w:tcPr>
          <w:p w14:paraId="7894CA7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CAS号</w:t>
            </w:r>
          </w:p>
        </w:tc>
      </w:tr>
      <w:tr w14:paraId="19409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4" w:type="dxa"/>
            <w:tcBorders>
              <w:tl2br w:val="nil"/>
              <w:tr2bl w:val="nil"/>
            </w:tcBorders>
            <w:vAlign w:val="center"/>
          </w:tcPr>
          <w:p w14:paraId="4ED9877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2645" w:type="dxa"/>
            <w:tcBorders>
              <w:tl2br w:val="nil"/>
              <w:tr2bl w:val="nil"/>
            </w:tcBorders>
            <w:shd w:val="clear" w:color="auto" w:fill="auto"/>
            <w:vAlign w:val="center"/>
          </w:tcPr>
          <w:p w14:paraId="37D0541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2,4’-三氯杀螨醇</w:t>
            </w:r>
          </w:p>
        </w:tc>
        <w:tc>
          <w:tcPr>
            <w:tcW w:w="2645" w:type="dxa"/>
            <w:tcBorders>
              <w:tl2br w:val="nil"/>
              <w:tr2bl w:val="nil"/>
            </w:tcBorders>
            <w:shd w:val="clear" w:color="auto" w:fill="auto"/>
            <w:vAlign w:val="center"/>
          </w:tcPr>
          <w:p w14:paraId="65CC4DF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2,4</w:t>
            </w:r>
            <w:r>
              <w:rPr>
                <w:rFonts w:hint="default" w:ascii="Times New Roman" w:hAnsi="Times New Roman" w:cs="Times New Roman"/>
                <w:sz w:val="18"/>
                <w:szCs w:val="18"/>
                <w:lang w:val="en-US" w:eastAsia="zh-CN"/>
              </w:rPr>
              <w:t>’</w:t>
            </w:r>
            <w:r>
              <w:rPr>
                <w:rFonts w:hint="eastAsia" w:ascii="Times New Roman" w:hAnsi="Times New Roman" w:cs="Times New Roman"/>
                <w:sz w:val="18"/>
                <w:szCs w:val="18"/>
                <w:lang w:val="en-US" w:eastAsia="zh-CN"/>
              </w:rPr>
              <w:t>-dicofol</w:t>
            </w:r>
          </w:p>
        </w:tc>
        <w:tc>
          <w:tcPr>
            <w:tcW w:w="2646" w:type="dxa"/>
            <w:tcBorders>
              <w:tl2br w:val="nil"/>
              <w:tr2bl w:val="nil"/>
            </w:tcBorders>
            <w:shd w:val="clear" w:color="auto" w:fill="auto"/>
            <w:vAlign w:val="center"/>
          </w:tcPr>
          <w:p w14:paraId="47C0348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10606-46-9</w:t>
            </w:r>
          </w:p>
        </w:tc>
      </w:tr>
      <w:tr w14:paraId="305F4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4" w:type="dxa"/>
            <w:tcBorders>
              <w:tl2br w:val="nil"/>
              <w:tr2bl w:val="nil"/>
            </w:tcBorders>
            <w:vAlign w:val="center"/>
          </w:tcPr>
          <w:p w14:paraId="7610E8F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2645" w:type="dxa"/>
            <w:tcBorders>
              <w:tl2br w:val="nil"/>
              <w:tr2bl w:val="nil"/>
            </w:tcBorders>
            <w:shd w:val="clear" w:color="auto" w:fill="auto"/>
            <w:vAlign w:val="center"/>
          </w:tcPr>
          <w:p w14:paraId="39CE86B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4,4</w:t>
            </w:r>
            <w:r>
              <w:rPr>
                <w:rFonts w:hint="default" w:cs="Times New Roman"/>
                <w:sz w:val="18"/>
                <w:szCs w:val="18"/>
                <w:lang w:val="en-US" w:eastAsia="zh-CN"/>
              </w:rPr>
              <w:t>’</w:t>
            </w:r>
            <w:r>
              <w:rPr>
                <w:rFonts w:hint="default" w:ascii="Times New Roman" w:hAnsi="Times New Roman" w:eastAsia="宋体" w:cs="Times New Roman"/>
                <w:sz w:val="18"/>
                <w:szCs w:val="18"/>
                <w:lang w:val="en-US" w:eastAsia="zh-CN"/>
              </w:rPr>
              <w:t>-三氯杀螨醇</w:t>
            </w:r>
          </w:p>
        </w:tc>
        <w:tc>
          <w:tcPr>
            <w:tcW w:w="2645" w:type="dxa"/>
            <w:tcBorders>
              <w:tl2br w:val="nil"/>
              <w:tr2bl w:val="nil"/>
            </w:tcBorders>
            <w:shd w:val="clear" w:color="auto" w:fill="auto"/>
            <w:vAlign w:val="center"/>
          </w:tcPr>
          <w:p w14:paraId="300C86D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4,4</w:t>
            </w:r>
            <w:r>
              <w:rPr>
                <w:rFonts w:hint="default" w:cs="Times New Roman"/>
                <w:sz w:val="18"/>
                <w:szCs w:val="18"/>
                <w:lang w:val="en-US" w:eastAsia="zh-CN"/>
              </w:rPr>
              <w:t>’</w:t>
            </w:r>
            <w:r>
              <w:rPr>
                <w:rFonts w:hint="eastAsia" w:ascii="Times New Roman" w:hAnsi="Times New Roman" w:cs="Times New Roman"/>
                <w:sz w:val="18"/>
                <w:szCs w:val="18"/>
                <w:lang w:val="en-US" w:eastAsia="zh-CN"/>
              </w:rPr>
              <w:t>-dicofol</w:t>
            </w:r>
          </w:p>
        </w:tc>
        <w:tc>
          <w:tcPr>
            <w:tcW w:w="2646" w:type="dxa"/>
            <w:tcBorders>
              <w:tl2br w:val="nil"/>
              <w:tr2bl w:val="nil"/>
            </w:tcBorders>
            <w:shd w:val="clear" w:color="auto" w:fill="auto"/>
            <w:vAlign w:val="center"/>
          </w:tcPr>
          <w:p w14:paraId="1AF36DD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lang w:val="en-US" w:eastAsia="zh-CN"/>
              </w:rPr>
              <w:t>115-32-2</w:t>
            </w:r>
          </w:p>
        </w:tc>
      </w:tr>
    </w:tbl>
    <w:p w14:paraId="4822254F">
      <w:pPr>
        <w:pStyle w:val="3"/>
        <w:bidi w:val="0"/>
        <w:rPr>
          <w:rFonts w:hint="default" w:ascii="Times New Roman" w:hAnsi="Times New Roman" w:cs="Times New Roman"/>
          <w:lang w:val="en-US" w:eastAsia="zh-CN"/>
        </w:rPr>
      </w:pPr>
      <w:bookmarkStart w:id="58" w:name="_Toc26562"/>
      <w:bookmarkStart w:id="59" w:name="_Toc27410"/>
      <w:bookmarkStart w:id="60" w:name="_Toc8765"/>
      <w:r>
        <w:rPr>
          <w:rFonts w:hint="default" w:ascii="Times New Roman" w:hAnsi="Times New Roman" w:cs="Times New Roman"/>
          <w:lang w:val="en-US" w:eastAsia="zh-CN"/>
        </w:rPr>
        <w:t>5.3  方法原理</w:t>
      </w:r>
      <w:bookmarkEnd w:id="58"/>
      <w:bookmarkEnd w:id="59"/>
      <w:bookmarkEnd w:id="60"/>
    </w:p>
    <w:p w14:paraId="12C35BDF">
      <w:pPr>
        <w:rPr>
          <w:rFonts w:hint="default"/>
          <w:lang w:val="en-US" w:eastAsia="zh-CN"/>
        </w:rPr>
      </w:pPr>
      <w:r>
        <w:rPr>
          <w:rFonts w:hint="default"/>
          <w:lang w:val="en-US" w:eastAsia="zh-CN"/>
        </w:rPr>
        <w:t>土壤中的三氯杀螨醇采用加压流体萃取方式提取，浓缩后提取液经氢氧化钾溶液碱解将三氯杀螨醇转化为二氯二苯甲酮，再净化、浓缩、定容后经气相色谱分离、质谱检测。根据标准物质质谱图、保留时间、碎片离子质荷比及其丰度定性。内标法定量。</w:t>
      </w:r>
    </w:p>
    <w:p w14:paraId="030FB4AB">
      <w:pPr>
        <w:pStyle w:val="2"/>
        <w:bidi w:val="0"/>
        <w:rPr>
          <w:rFonts w:hint="default"/>
          <w:lang w:val="en-US" w:eastAsia="zh-CN"/>
        </w:rPr>
      </w:pPr>
      <w:bookmarkStart w:id="61" w:name="_Toc20693"/>
      <w:bookmarkStart w:id="62" w:name="_Toc5921"/>
      <w:bookmarkStart w:id="63" w:name="_Toc29092"/>
      <w:r>
        <w:rPr>
          <w:rFonts w:hint="default" w:ascii="Times New Roman" w:hAnsi="Times New Roman" w:cs="Times New Roman"/>
          <w:lang w:val="en-US" w:eastAsia="zh-CN"/>
        </w:rPr>
        <w:t>6  主要试验、验证及试行结果</w:t>
      </w:r>
      <w:bookmarkEnd w:id="61"/>
      <w:bookmarkEnd w:id="62"/>
      <w:bookmarkEnd w:id="63"/>
    </w:p>
    <w:p w14:paraId="04F7DDE0">
      <w:pPr>
        <w:pStyle w:val="3"/>
        <w:bidi w:val="0"/>
        <w:rPr>
          <w:rFonts w:hint="default" w:ascii="Times New Roman" w:hAnsi="Times New Roman" w:cs="Times New Roman"/>
          <w:lang w:val="en-US" w:eastAsia="zh-CN"/>
        </w:rPr>
      </w:pPr>
      <w:bookmarkStart w:id="64" w:name="_Toc13016"/>
      <w:bookmarkStart w:id="65" w:name="_Toc27054"/>
      <w:bookmarkStart w:id="66" w:name="_Toc12412"/>
      <w:r>
        <w:rPr>
          <w:rFonts w:hint="default" w:ascii="Times New Roman" w:hAnsi="Times New Roman" w:cs="Times New Roman"/>
          <w:lang w:val="en-US" w:eastAsia="zh-CN"/>
        </w:rPr>
        <w:t>6.1  目标物确定依据</w:t>
      </w:r>
      <w:bookmarkEnd w:id="64"/>
      <w:bookmarkEnd w:id="65"/>
      <w:bookmarkEnd w:id="66"/>
    </w:p>
    <w:p w14:paraId="59063498">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6.1.1  目标化合物确定的依据和理由</w:t>
      </w:r>
    </w:p>
    <w:p w14:paraId="6C99E807">
      <w:pPr>
        <w:bidi w:val="0"/>
        <w:rPr>
          <w:rFonts w:ascii="Times New Roman" w:hAnsi="Times New Roman"/>
          <w:color w:val="000000"/>
          <w:szCs w:val="21"/>
          <w:highlight w:val="none"/>
        </w:rPr>
      </w:pPr>
      <w:r>
        <w:rPr>
          <w:rFonts w:ascii="Times New Roman" w:hAnsi="Times New Roman"/>
          <w:color w:val="000000"/>
          <w:szCs w:val="21"/>
          <w:highlight w:val="none"/>
        </w:rPr>
        <w:t>编制组主要从污染物排放限值和环境质量标准限值要求</w:t>
      </w:r>
      <w:r>
        <w:rPr>
          <w:rFonts w:hint="eastAsia" w:ascii="Times New Roman" w:hAnsi="Times New Roman"/>
          <w:color w:val="000000"/>
          <w:szCs w:val="21"/>
          <w:highlight w:val="none"/>
        </w:rPr>
        <w:t>、</w:t>
      </w:r>
      <w:r>
        <w:rPr>
          <w:rFonts w:hint="eastAsia" w:ascii="Times New Roman" w:hAnsi="Times New Roman"/>
          <w:color w:val="000000"/>
          <w:szCs w:val="21"/>
          <w:highlight w:val="none"/>
          <w:lang w:val="en-US" w:eastAsia="zh-CN"/>
        </w:rPr>
        <w:t>国内外相关管控要求、</w:t>
      </w:r>
      <w:r>
        <w:rPr>
          <w:rFonts w:ascii="Times New Roman" w:hAnsi="Times New Roman"/>
          <w:color w:val="000000"/>
          <w:szCs w:val="21"/>
          <w:highlight w:val="none"/>
        </w:rPr>
        <w:t>国内外标准方法和相关文献研究现状</w:t>
      </w:r>
      <w:r>
        <w:rPr>
          <w:rFonts w:hint="eastAsia" w:ascii="Times New Roman" w:hAnsi="Times New Roman"/>
          <w:color w:val="000000"/>
          <w:szCs w:val="21"/>
          <w:highlight w:val="none"/>
        </w:rPr>
        <w:t>、</w:t>
      </w:r>
      <w:r>
        <w:rPr>
          <w:rFonts w:ascii="Times New Roman" w:hAnsi="Times New Roman"/>
          <w:color w:val="000000"/>
          <w:szCs w:val="21"/>
          <w:highlight w:val="none"/>
        </w:rPr>
        <w:t>目标化合物的性质</w:t>
      </w:r>
      <w:r>
        <w:rPr>
          <w:rFonts w:hint="eastAsia" w:ascii="Times New Roman" w:hAnsi="Times New Roman"/>
          <w:color w:val="000000"/>
          <w:szCs w:val="21"/>
          <w:highlight w:val="none"/>
        </w:rPr>
        <w:t>和</w:t>
      </w:r>
      <w:r>
        <w:rPr>
          <w:rFonts w:ascii="Times New Roman" w:hAnsi="Times New Roman"/>
          <w:color w:val="000000"/>
          <w:szCs w:val="21"/>
          <w:highlight w:val="none"/>
        </w:rPr>
        <w:t>环境危害等</w:t>
      </w:r>
      <w:r>
        <w:rPr>
          <w:rFonts w:hint="eastAsia" w:ascii="Times New Roman" w:hAnsi="Times New Roman"/>
          <w:color w:val="000000"/>
          <w:szCs w:val="21"/>
          <w:highlight w:val="none"/>
        </w:rPr>
        <w:t>方面</w:t>
      </w:r>
      <w:r>
        <w:rPr>
          <w:rFonts w:ascii="Times New Roman" w:hAnsi="Times New Roman"/>
          <w:color w:val="000000"/>
          <w:szCs w:val="21"/>
          <w:highlight w:val="none"/>
        </w:rPr>
        <w:t>出发，确定本标准的目标化合物。具体情况如下：</w:t>
      </w:r>
    </w:p>
    <w:p w14:paraId="13171AFF">
      <w:pPr>
        <w:numPr>
          <w:ilvl w:val="0"/>
          <w:numId w:val="0"/>
        </w:numPr>
        <w:bidi w:val="0"/>
        <w:ind w:firstLine="420" w:firstLineChars="200"/>
        <w:rPr>
          <w:rFonts w:hint="eastAsia" w:ascii="Times New Roman" w:hAnsi="Times New Roman"/>
          <w:color w:val="000000"/>
          <w:szCs w:val="21"/>
          <w:highlight w:val="none"/>
        </w:rPr>
      </w:pPr>
      <w:r>
        <w:rPr>
          <w:rFonts w:hint="eastAsia" w:ascii="Times New Roman" w:hAnsi="Times New Roman" w:eastAsia="宋体" w:cs="Times New Roman"/>
          <w:color w:val="000000"/>
          <w:kern w:val="2"/>
          <w:sz w:val="21"/>
          <w:szCs w:val="21"/>
          <w:lang w:val="en-US" w:eastAsia="zh-CN" w:bidi="ar-SA"/>
        </w:rPr>
        <w:t>1、</w:t>
      </w:r>
      <w:r>
        <w:rPr>
          <w:rFonts w:ascii="Times New Roman" w:hAnsi="Times New Roman"/>
          <w:color w:val="000000"/>
          <w:szCs w:val="21"/>
          <w:highlight w:val="none"/>
        </w:rPr>
        <w:t>相关污染物排放限值和环境质量标准限值要求。国内外污染物排放标准</w:t>
      </w:r>
      <w:r>
        <w:rPr>
          <w:rFonts w:hint="eastAsia" w:ascii="Times New Roman" w:hAnsi="Times New Roman"/>
          <w:color w:val="000000"/>
          <w:szCs w:val="21"/>
          <w:highlight w:val="none"/>
          <w:lang w:eastAsia="zh-CN"/>
        </w:rPr>
        <w:t>和环境质量标准</w:t>
      </w:r>
      <w:r>
        <w:rPr>
          <w:rFonts w:ascii="Times New Roman" w:hAnsi="Times New Roman"/>
          <w:color w:val="000000"/>
          <w:szCs w:val="21"/>
          <w:highlight w:val="none"/>
        </w:rPr>
        <w:t>中均无</w:t>
      </w:r>
      <w:r>
        <w:rPr>
          <w:rFonts w:hint="eastAsia"/>
          <w:color w:val="000000"/>
          <w:szCs w:val="21"/>
          <w:highlight w:val="none"/>
          <w:lang w:val="en-US" w:eastAsia="zh-CN"/>
        </w:rPr>
        <w:t>土壤中</w:t>
      </w:r>
      <w:r>
        <w:rPr>
          <w:rFonts w:hint="eastAsia" w:ascii="Times New Roman" w:hAnsi="Times New Roman"/>
          <w:color w:val="000000"/>
          <w:szCs w:val="21"/>
          <w:highlight w:val="none"/>
          <w:lang w:val="en-US" w:eastAsia="zh-CN"/>
        </w:rPr>
        <w:t>三氯杀螨醇</w:t>
      </w:r>
      <w:r>
        <w:rPr>
          <w:rFonts w:ascii="Times New Roman" w:hAnsi="Times New Roman"/>
          <w:color w:val="000000"/>
          <w:szCs w:val="21"/>
          <w:highlight w:val="none"/>
        </w:rPr>
        <w:t>的排放限值要求</w:t>
      </w:r>
      <w:r>
        <w:rPr>
          <w:rFonts w:hint="eastAsia" w:ascii="Times New Roman" w:hAnsi="Times New Roman"/>
          <w:color w:val="000000"/>
          <w:szCs w:val="21"/>
          <w:highlight w:val="none"/>
        </w:rPr>
        <w:t>。</w:t>
      </w:r>
    </w:p>
    <w:p w14:paraId="391F0317">
      <w:pPr>
        <w:bidi w:val="0"/>
        <w:rPr>
          <w:rFonts w:hint="default" w:ascii="Times New Roman" w:hAnsi="Times New Roman" w:cs="Times New Roman"/>
          <w:lang w:val="en-US" w:eastAsia="zh-CN"/>
        </w:rPr>
      </w:pPr>
      <w:r>
        <w:rPr>
          <w:rFonts w:hint="eastAsia"/>
          <w:lang w:val="en-US" w:eastAsia="zh-CN"/>
        </w:rPr>
        <w:t>2、</w:t>
      </w:r>
      <w:r>
        <w:rPr>
          <w:rFonts w:hint="eastAsia" w:ascii="Times New Roman" w:hAnsi="Times New Roman"/>
          <w:color w:val="000000"/>
          <w:szCs w:val="21"/>
          <w:highlight w:val="none"/>
          <w:lang w:val="en-US" w:eastAsia="zh-CN"/>
        </w:rPr>
        <w:t>国内外相关管控要求。（1）</w:t>
      </w:r>
      <w:r>
        <w:rPr>
          <w:rFonts w:hint="default" w:ascii="Times New Roman" w:hAnsi="Times New Roman" w:cs="Times New Roman"/>
        </w:rPr>
        <w:t>三氯杀螨醇</w:t>
      </w:r>
      <w:r>
        <w:rPr>
          <w:rFonts w:hint="eastAsia" w:ascii="Times New Roman" w:hAnsi="Times New Roman" w:cs="Times New Roman"/>
          <w:lang w:eastAsia="zh-CN"/>
        </w:rPr>
        <w:t>已明确被列入了《斯德哥尔摩公约》禁用的黑名单</w:t>
      </w:r>
      <w:r>
        <w:rPr>
          <w:rFonts w:hint="eastAsia" w:ascii="Times New Roman" w:hAnsi="Times New Roman"/>
          <w:color w:val="000000"/>
          <w:szCs w:val="21"/>
          <w:highlight w:val="none"/>
          <w:lang w:val="en-US" w:eastAsia="zh-CN"/>
        </w:rPr>
        <w:t>：</w:t>
      </w:r>
      <w:r>
        <w:rPr>
          <w:rFonts w:hint="default" w:ascii="Times New Roman" w:hAnsi="Times New Roman" w:cs="Times New Roman"/>
        </w:rPr>
        <w:t>2019年，三氯杀螨醇被提议作为斯德哥尔摩公约的持久性有机污染物。2020年8月18日，欧盟委员会发布了授权法规(EU) 2020/1203和(EU) 2020/1204，增加了有关三氯杀螨醇的限制项</w:t>
      </w: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三氯杀螨醇</w:t>
      </w:r>
      <w:r>
        <w:rPr>
          <w:rFonts w:hint="eastAsia" w:ascii="Times New Roman" w:hAnsi="Times New Roman" w:cs="Times New Roman"/>
          <w:lang w:val="en-US" w:eastAsia="zh-CN"/>
        </w:rPr>
        <w:t>是明确的内分泌干扰物：2002年，美国Our Stolen Future《具有内分泌干扰效应的普遍污染物清单》列出86种内分泌干扰物，三氯杀螨醇被列其中，是明确的具有内分泌效应的高关注度物质。（3）属于14类重点管控新污染物之一：</w:t>
      </w:r>
      <w:r>
        <w:rPr>
          <w:rFonts w:hint="default" w:ascii="Times New Roman" w:hAnsi="Times New Roman" w:cs="Times New Roman"/>
          <w:lang w:val="en-US" w:eastAsia="zh-CN"/>
        </w:rPr>
        <w:t>2022年12月29日，发布</w:t>
      </w:r>
      <w:r>
        <w:rPr>
          <w:rFonts w:hint="eastAsia" w:ascii="Times New Roman" w:hAnsi="Times New Roman" w:cs="Times New Roman"/>
          <w:lang w:val="en-US" w:eastAsia="zh-CN"/>
        </w:rPr>
        <w:t>的</w:t>
      </w:r>
      <w:r>
        <w:rPr>
          <w:rFonts w:hint="default" w:ascii="Times New Roman" w:hAnsi="Times New Roman" w:cs="Times New Roman"/>
          <w:lang w:val="en-US" w:eastAsia="zh-CN"/>
        </w:rPr>
        <w:t>《</w:t>
      </w:r>
      <w:r>
        <w:rPr>
          <w:rFonts w:hint="default" w:ascii="Times New Roman" w:hAnsi="Times New Roman" w:cs="Times New Roman"/>
        </w:rPr>
        <w:t>重点管控新污染物清单</w:t>
      </w:r>
      <w:r>
        <w:rPr>
          <w:rFonts w:hint="default" w:ascii="Times New Roman" w:hAnsi="Times New Roman" w:cs="Times New Roman"/>
          <w:lang w:eastAsia="zh-CN"/>
        </w:rPr>
        <w:t>（</w:t>
      </w:r>
      <w:r>
        <w:rPr>
          <w:rFonts w:hint="default" w:ascii="Times New Roman" w:hAnsi="Times New Roman" w:cs="Times New Roman"/>
          <w:lang w:val="en-US" w:eastAsia="zh-CN"/>
        </w:rPr>
        <w:t>2023年版</w:t>
      </w:r>
      <w:r>
        <w:rPr>
          <w:rFonts w:hint="default" w:ascii="Times New Roman" w:hAnsi="Times New Roman" w:cs="Times New Roman"/>
          <w:lang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中</w:t>
      </w:r>
      <w:r>
        <w:rPr>
          <w:rFonts w:hint="default" w:ascii="Times New Roman" w:hAnsi="Times New Roman" w:cs="Times New Roman"/>
          <w:lang w:val="en-US" w:eastAsia="zh-CN"/>
        </w:rPr>
        <w:t>三氯杀螨醇等多个农药产品被列入重点管控新污染物清单</w:t>
      </w:r>
      <w:r>
        <w:rPr>
          <w:rFonts w:hint="eastAsia" w:ascii="Times New Roman" w:hAnsi="Times New Roman" w:cs="Times New Roman"/>
          <w:lang w:val="en-US" w:eastAsia="zh-CN"/>
        </w:rPr>
        <w:t>，实施禁止生产、加工使用、进出口等环境风险管控措施</w:t>
      </w:r>
      <w:r>
        <w:rPr>
          <w:rFonts w:hint="default" w:ascii="Times New Roman" w:hAnsi="Times New Roman" w:cs="Times New Roman"/>
          <w:lang w:val="en-US" w:eastAsia="zh-CN"/>
        </w:rPr>
        <w:t>。</w:t>
      </w:r>
    </w:p>
    <w:p w14:paraId="5C96F985">
      <w:pPr>
        <w:bidi w:val="0"/>
        <w:rPr>
          <w:rFonts w:hint="eastAsia"/>
          <w:color w:val="000000"/>
          <w:szCs w:val="21"/>
          <w:highlight w:val="none"/>
          <w:lang w:val="en-US" w:eastAsia="zh-CN"/>
        </w:rPr>
      </w:pPr>
      <w:r>
        <w:rPr>
          <w:rFonts w:hint="eastAsia" w:ascii="Times New Roman" w:hAnsi="Times New Roman" w:cs="Times New Roman"/>
          <w:lang w:val="en-US" w:eastAsia="zh-CN"/>
        </w:rPr>
        <w:t>3、</w:t>
      </w:r>
      <w:r>
        <w:rPr>
          <w:rFonts w:ascii="Times New Roman" w:hAnsi="Times New Roman"/>
          <w:color w:val="000000"/>
          <w:szCs w:val="21"/>
          <w:highlight w:val="none"/>
        </w:rPr>
        <w:t>国内外标准方法和相关文献研究现状</w:t>
      </w:r>
      <w:r>
        <w:rPr>
          <w:rFonts w:hint="eastAsia" w:ascii="Times New Roman" w:hAnsi="Times New Roman"/>
          <w:color w:val="000000"/>
          <w:szCs w:val="21"/>
          <w:highlight w:val="none"/>
          <w:lang w:eastAsia="zh-CN"/>
        </w:rPr>
        <w:t>：</w:t>
      </w:r>
      <w:r>
        <w:rPr>
          <w:rFonts w:hint="eastAsia"/>
          <w:color w:val="000000"/>
          <w:szCs w:val="21"/>
          <w:highlight w:val="none"/>
          <w:lang w:val="en-US" w:eastAsia="zh-CN"/>
        </w:rPr>
        <w:t>国内外已有的标准方法多适用于</w:t>
      </w:r>
      <w:r>
        <w:rPr>
          <w:rFonts w:hint="default" w:ascii="Times New Roman" w:hAnsi="Times New Roman" w:cs="Times New Roman"/>
          <w:lang w:val="en-US" w:eastAsia="zh-CN"/>
        </w:rPr>
        <w:t>食品</w:t>
      </w:r>
      <w:r>
        <w:rPr>
          <w:rFonts w:hint="eastAsia" w:cs="Times New Roman"/>
          <w:lang w:val="en-US" w:eastAsia="zh-CN"/>
        </w:rPr>
        <w:t>和</w:t>
      </w:r>
      <w:r>
        <w:rPr>
          <w:rFonts w:hint="default" w:ascii="Times New Roman" w:hAnsi="Times New Roman" w:cs="Times New Roman"/>
          <w:lang w:val="en-US" w:eastAsia="zh-CN"/>
        </w:rPr>
        <w:t>纺织品行业</w:t>
      </w:r>
      <w:r>
        <w:rPr>
          <w:rFonts w:hint="eastAsia" w:cs="Times New Roman"/>
          <w:lang w:val="en-US" w:eastAsia="zh-CN"/>
        </w:rPr>
        <w:t>，无土壤中三氯杀螨醇的检测标准方法。</w:t>
      </w:r>
      <w:r>
        <w:rPr>
          <w:rFonts w:ascii="Times New Roman" w:hAnsi="Times New Roman"/>
          <w:color w:val="000000"/>
          <w:szCs w:val="21"/>
          <w:highlight w:val="none"/>
        </w:rPr>
        <w:t>相关文献研究</w:t>
      </w:r>
      <w:r>
        <w:rPr>
          <w:rFonts w:hint="eastAsia"/>
          <w:color w:val="000000"/>
          <w:szCs w:val="21"/>
          <w:highlight w:val="none"/>
          <w:lang w:val="en-US" w:eastAsia="zh-CN"/>
        </w:rPr>
        <w:t>多集中于气相色谱法和气相色谱质谱法，但检测方式有各种报道。有报道进样后直接测定三氯杀螨醇的</w:t>
      </w:r>
      <w:r>
        <w:rPr>
          <w:rFonts w:hint="eastAsia"/>
          <w:color w:val="000000"/>
          <w:szCs w:val="21"/>
          <w:highlight w:val="none"/>
          <w:vertAlign w:val="superscript"/>
          <w:lang w:val="en-US" w:eastAsia="zh-CN"/>
        </w:rPr>
        <w:fldChar w:fldCharType="begin"/>
      </w:r>
      <w:r>
        <w:rPr>
          <w:rFonts w:hint="eastAsia"/>
          <w:color w:val="000000"/>
          <w:szCs w:val="21"/>
          <w:highlight w:val="none"/>
          <w:vertAlign w:val="superscript"/>
          <w:lang w:val="en-US" w:eastAsia="zh-CN"/>
        </w:rPr>
        <w:instrText xml:space="preserve"> REF _Ref13940 \r \h </w:instrText>
      </w:r>
      <w:r>
        <w:rPr>
          <w:rFonts w:hint="eastAsia"/>
          <w:color w:val="000000"/>
          <w:szCs w:val="21"/>
          <w:highlight w:val="none"/>
          <w:vertAlign w:val="superscript"/>
          <w:lang w:val="en-US" w:eastAsia="zh-CN"/>
        </w:rPr>
        <w:fldChar w:fldCharType="separate"/>
      </w:r>
      <w:r>
        <w:rPr>
          <w:rFonts w:hint="eastAsia"/>
          <w:color w:val="000000"/>
          <w:szCs w:val="21"/>
          <w:highlight w:val="none"/>
          <w:vertAlign w:val="superscript"/>
          <w:lang w:val="en-US" w:eastAsia="zh-CN"/>
        </w:rPr>
        <w:t>[2]</w:t>
      </w:r>
      <w:r>
        <w:rPr>
          <w:rFonts w:hint="eastAsia"/>
          <w:color w:val="000000"/>
          <w:szCs w:val="21"/>
          <w:highlight w:val="none"/>
          <w:vertAlign w:val="superscript"/>
          <w:lang w:val="en-US" w:eastAsia="zh-CN"/>
        </w:rPr>
        <w:fldChar w:fldCharType="end"/>
      </w:r>
      <w:r>
        <w:rPr>
          <w:rFonts w:hint="eastAsia"/>
          <w:color w:val="000000"/>
          <w:szCs w:val="21"/>
          <w:highlight w:val="none"/>
          <w:lang w:val="en-US" w:eastAsia="zh-CN"/>
        </w:rPr>
        <w:t>，有质疑进样后直接测定三氯杀螨醇的（如：研究进样口温度对三氯杀螨醇响应影响</w:t>
      </w:r>
      <w:r>
        <w:rPr>
          <w:rFonts w:hint="eastAsia"/>
          <w:color w:val="000000"/>
          <w:szCs w:val="21"/>
          <w:highlight w:val="none"/>
          <w:vertAlign w:val="superscript"/>
          <w:lang w:val="en-US" w:eastAsia="zh-CN"/>
        </w:rPr>
        <w:fldChar w:fldCharType="begin"/>
      </w:r>
      <w:r>
        <w:rPr>
          <w:rFonts w:hint="eastAsia"/>
          <w:color w:val="000000"/>
          <w:szCs w:val="21"/>
          <w:highlight w:val="none"/>
          <w:vertAlign w:val="superscript"/>
          <w:lang w:val="en-US" w:eastAsia="zh-CN"/>
        </w:rPr>
        <w:instrText xml:space="preserve"> REF _Ref14006 \r \h </w:instrText>
      </w:r>
      <w:r>
        <w:rPr>
          <w:rFonts w:hint="eastAsia"/>
          <w:color w:val="000000"/>
          <w:szCs w:val="21"/>
          <w:highlight w:val="none"/>
          <w:vertAlign w:val="superscript"/>
          <w:lang w:val="en-US" w:eastAsia="zh-CN"/>
        </w:rPr>
        <w:fldChar w:fldCharType="separate"/>
      </w:r>
      <w:r>
        <w:rPr>
          <w:rFonts w:hint="eastAsia"/>
          <w:color w:val="000000"/>
          <w:szCs w:val="21"/>
          <w:highlight w:val="none"/>
          <w:vertAlign w:val="superscript"/>
          <w:lang w:val="en-US" w:eastAsia="zh-CN"/>
        </w:rPr>
        <w:t>[3]</w:t>
      </w:r>
      <w:r>
        <w:rPr>
          <w:rFonts w:hint="eastAsia"/>
          <w:color w:val="000000"/>
          <w:szCs w:val="21"/>
          <w:highlight w:val="none"/>
          <w:vertAlign w:val="superscript"/>
          <w:lang w:val="en-US" w:eastAsia="zh-CN"/>
        </w:rPr>
        <w:fldChar w:fldCharType="end"/>
      </w:r>
      <w:r>
        <w:rPr>
          <w:rFonts w:hint="eastAsia"/>
          <w:color w:val="000000"/>
          <w:szCs w:val="21"/>
          <w:highlight w:val="none"/>
          <w:lang w:val="en-US" w:eastAsia="zh-CN"/>
        </w:rPr>
        <w:t>、气相色谱中三氯杀螨醇降解研究</w:t>
      </w:r>
      <w:r>
        <w:rPr>
          <w:rFonts w:hint="eastAsia"/>
          <w:color w:val="000000"/>
          <w:szCs w:val="21"/>
          <w:highlight w:val="none"/>
          <w:vertAlign w:val="superscript"/>
          <w:lang w:val="en-US" w:eastAsia="zh-CN"/>
        </w:rPr>
        <w:fldChar w:fldCharType="begin"/>
      </w:r>
      <w:r>
        <w:rPr>
          <w:rFonts w:hint="eastAsia"/>
          <w:color w:val="000000"/>
          <w:szCs w:val="21"/>
          <w:highlight w:val="none"/>
          <w:vertAlign w:val="superscript"/>
          <w:lang w:val="en-US" w:eastAsia="zh-CN"/>
        </w:rPr>
        <w:instrText xml:space="preserve"> REF _Ref14055 \r \h </w:instrText>
      </w:r>
      <w:r>
        <w:rPr>
          <w:rFonts w:hint="eastAsia"/>
          <w:color w:val="000000"/>
          <w:szCs w:val="21"/>
          <w:highlight w:val="none"/>
          <w:vertAlign w:val="superscript"/>
          <w:lang w:val="en-US" w:eastAsia="zh-CN"/>
        </w:rPr>
        <w:fldChar w:fldCharType="separate"/>
      </w:r>
      <w:r>
        <w:rPr>
          <w:rFonts w:hint="eastAsia"/>
          <w:color w:val="000000"/>
          <w:szCs w:val="21"/>
          <w:highlight w:val="none"/>
          <w:vertAlign w:val="superscript"/>
          <w:lang w:val="en-US" w:eastAsia="zh-CN"/>
        </w:rPr>
        <w:t>[4]</w:t>
      </w:r>
      <w:r>
        <w:rPr>
          <w:rFonts w:hint="eastAsia"/>
          <w:color w:val="000000"/>
          <w:szCs w:val="21"/>
          <w:highlight w:val="none"/>
          <w:vertAlign w:val="superscript"/>
          <w:lang w:val="en-US" w:eastAsia="zh-CN"/>
        </w:rPr>
        <w:fldChar w:fldCharType="end"/>
      </w:r>
      <w:r>
        <w:rPr>
          <w:rFonts w:hint="eastAsia"/>
          <w:color w:val="000000"/>
          <w:szCs w:val="21"/>
          <w:highlight w:val="none"/>
          <w:lang w:val="en-US" w:eastAsia="zh-CN"/>
        </w:rPr>
        <w:t>），也有通过碱解反应处理后再进样测定碱解产物的</w:t>
      </w:r>
      <w:r>
        <w:rPr>
          <w:rFonts w:hint="eastAsia"/>
          <w:color w:val="000000"/>
          <w:szCs w:val="21"/>
          <w:highlight w:val="none"/>
          <w:vertAlign w:val="superscript"/>
          <w:lang w:val="en-US" w:eastAsia="zh-CN"/>
        </w:rPr>
        <w:fldChar w:fldCharType="begin"/>
      </w:r>
      <w:r>
        <w:rPr>
          <w:rFonts w:hint="eastAsia"/>
          <w:color w:val="000000"/>
          <w:szCs w:val="21"/>
          <w:highlight w:val="none"/>
          <w:vertAlign w:val="superscript"/>
          <w:lang w:val="en-US" w:eastAsia="zh-CN"/>
        </w:rPr>
        <w:instrText xml:space="preserve"> REF _Ref14169 \r \h </w:instrText>
      </w:r>
      <w:r>
        <w:rPr>
          <w:rFonts w:hint="eastAsia"/>
          <w:color w:val="000000"/>
          <w:szCs w:val="21"/>
          <w:highlight w:val="none"/>
          <w:vertAlign w:val="superscript"/>
          <w:lang w:val="en-US" w:eastAsia="zh-CN"/>
        </w:rPr>
        <w:fldChar w:fldCharType="separate"/>
      </w:r>
      <w:r>
        <w:rPr>
          <w:rFonts w:hint="eastAsia"/>
          <w:color w:val="000000"/>
          <w:szCs w:val="21"/>
          <w:highlight w:val="none"/>
          <w:vertAlign w:val="superscript"/>
          <w:lang w:val="en-US" w:eastAsia="zh-CN"/>
        </w:rPr>
        <w:t>[5]</w:t>
      </w:r>
      <w:r>
        <w:rPr>
          <w:rFonts w:hint="eastAsia"/>
          <w:color w:val="000000"/>
          <w:szCs w:val="21"/>
          <w:highlight w:val="none"/>
          <w:vertAlign w:val="superscript"/>
          <w:lang w:val="en-US" w:eastAsia="zh-CN"/>
        </w:rPr>
        <w:fldChar w:fldCharType="end"/>
      </w:r>
      <w:r>
        <w:rPr>
          <w:rFonts w:hint="eastAsia"/>
          <w:color w:val="000000"/>
          <w:szCs w:val="21"/>
          <w:highlight w:val="none"/>
          <w:lang w:val="en-US" w:eastAsia="zh-CN"/>
        </w:rPr>
        <w:t>。编制组在进行对比研究后，采用碱解反应后再进样测定碱解产物的方式间接检测三氯杀螨醇。</w:t>
      </w:r>
    </w:p>
    <w:p w14:paraId="24330B2B">
      <w:pPr>
        <w:pStyle w:val="4"/>
        <w:bidi w:val="0"/>
        <w:rPr>
          <w:rFonts w:hint="eastAsia"/>
          <w:color w:val="auto"/>
          <w:highlight w:val="none"/>
          <w:lang w:val="en-US" w:eastAsia="zh-CN"/>
        </w:rPr>
      </w:pPr>
      <w:r>
        <w:rPr>
          <w:rFonts w:hint="default" w:ascii="Times New Roman" w:hAnsi="Times New Roman" w:cs="Times New Roman"/>
          <w:color w:val="auto"/>
          <w:highlight w:val="none"/>
          <w:lang w:val="en-US" w:eastAsia="zh-CN"/>
        </w:rPr>
        <w:t>6.1.</w:t>
      </w:r>
      <w:r>
        <w:rPr>
          <w:rFonts w:hint="eastAsia" w:ascii="Times New Roman" w:hAnsi="Times New Roman" w:cs="Times New Roman"/>
          <w:color w:val="auto"/>
          <w:highlight w:val="none"/>
          <w:lang w:val="en-US" w:eastAsia="zh-CN"/>
        </w:rPr>
        <w:t>2</w:t>
      </w:r>
      <w:r>
        <w:rPr>
          <w:rFonts w:hint="eastAsia"/>
          <w:color w:val="auto"/>
          <w:highlight w:val="none"/>
          <w:lang w:val="en-US" w:eastAsia="zh-CN"/>
        </w:rPr>
        <w:t xml:space="preserve">  检测目标物确定的依据和理由</w:t>
      </w:r>
    </w:p>
    <w:p w14:paraId="5D3F33C9">
      <w:pPr>
        <w:rPr>
          <w:rFonts w:hint="eastAsia"/>
          <w:color w:val="auto"/>
          <w:highlight w:val="none"/>
          <w:lang w:val="en-US" w:eastAsia="zh-CN"/>
        </w:rPr>
      </w:pPr>
      <w:r>
        <w:rPr>
          <w:rFonts w:hint="eastAsia"/>
          <w:color w:val="auto"/>
          <w:highlight w:val="none"/>
          <w:lang w:val="en-US" w:eastAsia="zh-CN"/>
        </w:rPr>
        <w:t>三氯杀螨醇因其分子结构拥挤，空间位阻较大，易受溶剂、光照、酸碱性和温度影响发生降解，回收率较低，直接进样检测三氯杀螨醇难度较大。</w:t>
      </w:r>
    </w:p>
    <w:p w14:paraId="1ED2DC19">
      <w:pPr>
        <w:rPr>
          <w:rFonts w:hint="eastAsia"/>
          <w:color w:val="auto"/>
          <w:highlight w:val="none"/>
          <w:lang w:val="en-US" w:eastAsia="zh-CN"/>
        </w:rPr>
      </w:pPr>
      <w:r>
        <w:rPr>
          <w:rFonts w:hint="eastAsia"/>
          <w:color w:val="auto"/>
          <w:highlight w:val="none"/>
          <w:lang w:val="en-US" w:eastAsia="zh-CN"/>
        </w:rPr>
        <w:t>编制组配制了4,4</w:t>
      </w:r>
      <w:r>
        <w:rPr>
          <w:rFonts w:hint="default"/>
          <w:color w:val="auto"/>
          <w:highlight w:val="none"/>
          <w:lang w:val="en-US" w:eastAsia="zh-CN"/>
        </w:rPr>
        <w:t>’</w:t>
      </w:r>
      <w:r>
        <w:rPr>
          <w:rFonts w:hint="eastAsia"/>
          <w:color w:val="auto"/>
          <w:highlight w:val="none"/>
          <w:lang w:val="en-US" w:eastAsia="zh-CN"/>
        </w:rPr>
        <w:t>-三氯杀螨醇标液直接通过进样口进入气相色谱系统分离，质谱检测，发现三氯杀螨醇受进样口温度影响受热降解且降解的产率不确定。</w:t>
      </w:r>
    </w:p>
    <w:p w14:paraId="5EC16FD9">
      <w:pPr>
        <w:pStyle w:val="4"/>
        <w:bidi w:val="0"/>
        <w:rPr>
          <w:rFonts w:hint="default"/>
          <w:color w:val="auto"/>
          <w:highlight w:val="none"/>
          <w:lang w:val="en-US" w:eastAsia="zh-CN"/>
        </w:rPr>
      </w:pPr>
      <w:r>
        <w:rPr>
          <w:rFonts w:hint="eastAsia"/>
          <w:color w:val="auto"/>
          <w:highlight w:val="none"/>
          <w:lang w:val="en-US" w:eastAsia="zh-CN"/>
        </w:rPr>
        <w:t>6.1.2.1 三氯杀螨醇在进样口受高温降解</w:t>
      </w:r>
    </w:p>
    <w:p w14:paraId="29AA46C8">
      <w:pPr>
        <w:rPr>
          <w:rFonts w:hint="eastAsia"/>
          <w:color w:val="auto"/>
          <w:highlight w:val="none"/>
          <w:lang w:val="en-US" w:eastAsia="zh-CN"/>
        </w:rPr>
      </w:pPr>
      <w:r>
        <w:rPr>
          <w:rFonts w:hint="eastAsia"/>
          <w:color w:val="auto"/>
          <w:highlight w:val="none"/>
          <w:lang w:val="en-US" w:eastAsia="zh-CN"/>
        </w:rPr>
        <w:t>编制组经查阅资料和实验研究发现，三氯杀螨醇在高温下不稳定，易发生降解。</w:t>
      </w:r>
    </w:p>
    <w:p w14:paraId="75A98B38">
      <w:pPr>
        <w:widowControl w:val="0"/>
        <w:topLinePunct/>
        <w:spacing w:line="360" w:lineRule="exact"/>
        <w:ind w:firstLine="420" w:firstLineChars="200"/>
        <w:jc w:val="both"/>
        <w:rPr>
          <w:rFonts w:hint="eastAsia"/>
          <w:color w:val="auto"/>
          <w:highlight w:val="none"/>
          <w:lang w:val="en-US" w:eastAsia="zh-CN"/>
        </w:rPr>
      </w:pPr>
      <w:r>
        <w:rPr>
          <w:rFonts w:hint="eastAsia" w:ascii="Times New Roman" w:hAnsi="Times New Roman" w:eastAsia="宋体" w:cs="Times New Roman"/>
          <w:color w:val="auto"/>
          <w:kern w:val="2"/>
          <w:sz w:val="21"/>
          <w:szCs w:val="24"/>
          <w:highlight w:val="none"/>
          <w:lang w:val="en-US" w:eastAsia="zh-CN" w:bidi="ar-SA"/>
        </w:rPr>
        <w:t>编制</w:t>
      </w:r>
      <w:r>
        <w:rPr>
          <w:rFonts w:ascii="Times New Roman" w:hAnsi="Times New Roman" w:eastAsia="宋体" w:cs="Times New Roman"/>
          <w:color w:val="auto"/>
          <w:kern w:val="2"/>
          <w:sz w:val="21"/>
          <w:szCs w:val="24"/>
          <w:highlight w:val="none"/>
          <w:lang w:bidi="ar-SA"/>
        </w:rPr>
        <w:t>组采用三氯杀螨醇标准溶液直接经由进样口（温度设定为260℃）进入气相色谱分离</w:t>
      </w:r>
      <w:r>
        <w:rPr>
          <w:rFonts w:hint="eastAsia" w:ascii="Times New Roman" w:hAnsi="Times New Roman" w:eastAsia="宋体" w:cs="Times New Roman"/>
          <w:color w:val="auto"/>
          <w:kern w:val="2"/>
          <w:sz w:val="21"/>
          <w:szCs w:val="24"/>
          <w:highlight w:val="none"/>
          <w:lang w:val="en-US" w:eastAsia="zh-CN" w:bidi="ar-SA"/>
        </w:rPr>
        <w:t>质谱</w:t>
      </w:r>
      <w:r>
        <w:rPr>
          <w:rFonts w:ascii="Times New Roman" w:hAnsi="Times New Roman" w:eastAsia="宋体" w:cs="Times New Roman"/>
          <w:color w:val="auto"/>
          <w:kern w:val="2"/>
          <w:sz w:val="21"/>
          <w:szCs w:val="24"/>
          <w:highlight w:val="none"/>
          <w:lang w:bidi="ar-SA"/>
        </w:rPr>
        <w:t>检测的方法</w:t>
      </w:r>
      <w:r>
        <w:rPr>
          <w:rFonts w:hint="eastAsia" w:ascii="Times New Roman" w:hAnsi="Times New Roman" w:eastAsia="宋体" w:cs="Times New Roman"/>
          <w:color w:val="auto"/>
          <w:kern w:val="2"/>
          <w:sz w:val="21"/>
          <w:szCs w:val="24"/>
          <w:highlight w:val="none"/>
          <w:lang w:val="en-US" w:eastAsia="zh-CN" w:bidi="ar-SA"/>
        </w:rPr>
        <w:t>进行研究发现</w:t>
      </w:r>
      <w:r>
        <w:rPr>
          <w:rFonts w:hint="eastAsia"/>
          <w:color w:val="auto"/>
          <w:highlight w:val="none"/>
          <w:lang w:val="en-US" w:eastAsia="zh-CN"/>
        </w:rPr>
        <w:t>，除检测到三氯杀螨醇本体峰（5号）和内标峰（1号）外，还检测到3种降解产物，分别是二氯二苯甲酮（2号）、1,2-双（4-氯苯基）乙酮（3号）和未知峰（4号）（见图4）。降低进样口温度，主要降解物的峰面积出现下降趋势，但进样口温度降至临界值225</w:t>
      </w:r>
      <w:r>
        <w:rPr>
          <w:rFonts w:hint="default"/>
          <w:color w:val="auto"/>
          <w:highlight w:val="none"/>
          <w:lang w:val="en-US" w:eastAsia="zh-CN"/>
        </w:rPr>
        <w:t>℃</w:t>
      </w:r>
      <w:r>
        <w:rPr>
          <w:rFonts w:hint="eastAsia"/>
          <w:color w:val="auto"/>
          <w:highlight w:val="none"/>
          <w:lang w:val="en-US" w:eastAsia="zh-CN"/>
        </w:rPr>
        <w:t>（三氯杀螨醇沸点）仍无法避免三氯杀螨醇降解。因此，编制组认为直接进样检测三氯杀螨醇本体峰的分析方式无法实现三氯杀螨醇的准确定量。</w:t>
      </w:r>
    </w:p>
    <w:p w14:paraId="2FAD6473">
      <w:pPr>
        <w:keepNext w:val="0"/>
        <w:keepLines w:val="0"/>
        <w:pageBreakBefore w:val="0"/>
        <w:widowControl w:val="0"/>
        <w:kinsoku/>
        <w:wordWrap/>
        <w:overflowPunct/>
        <w:topLinePunct/>
        <w:autoSpaceDE w:val="0"/>
        <w:autoSpaceDN w:val="0"/>
        <w:bidi w:val="0"/>
        <w:adjustRightInd/>
        <w:snapToGrid/>
        <w:spacing w:before="157" w:beforeLines="50" w:line="360" w:lineRule="exact"/>
        <w:ind w:left="0" w:leftChars="0" w:firstLine="0" w:firstLineChars="0"/>
        <w:jc w:val="center"/>
        <w:textAlignment w:val="auto"/>
        <w:rPr>
          <w:rFonts w:hint="eastAsia" w:ascii="Times New Roman" w:hAnsi="Times New Roman" w:eastAsia="黑体" w:cs="Times New Roman"/>
          <w:color w:val="auto"/>
          <w:szCs w:val="21"/>
          <w:highlight w:val="none"/>
          <w:lang w:val="en-US" w:eastAsia="zh-CN"/>
        </w:rPr>
      </w:pPr>
      <w:r>
        <w:rPr>
          <w:color w:val="auto"/>
          <w:highlight w:val="none"/>
        </w:rPr>
        <w:drawing>
          <wp:anchor distT="0" distB="0" distL="114300" distR="114300" simplePos="0" relativeHeight="251667456" behindDoc="0" locked="0" layoutInCell="1" allowOverlap="1">
            <wp:simplePos x="0" y="0"/>
            <wp:positionH relativeFrom="column">
              <wp:posOffset>480060</wp:posOffset>
            </wp:positionH>
            <wp:positionV relativeFrom="paragraph">
              <wp:posOffset>89535</wp:posOffset>
            </wp:positionV>
            <wp:extent cx="4551680" cy="2219325"/>
            <wp:effectExtent l="0" t="0" r="7620" b="3175"/>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2"/>
                    <a:srcRect/>
                    <a:stretch>
                      <a:fillRect/>
                    </a:stretch>
                  </pic:blipFill>
                  <pic:spPr>
                    <a:xfrm>
                      <a:off x="0" y="0"/>
                      <a:ext cx="4551680" cy="2219325"/>
                    </a:xfrm>
                    <a:prstGeom prst="rect">
                      <a:avLst/>
                    </a:prstGeom>
                    <a:noFill/>
                    <a:ln w="9525">
                      <a:noFill/>
                      <a:miter lim="800000"/>
                      <a:headEnd/>
                      <a:tailEnd/>
                    </a:ln>
                  </pic:spPr>
                </pic:pic>
              </a:graphicData>
            </a:graphic>
          </wp:anchor>
        </w:drawing>
      </w:r>
      <w:r>
        <w:rPr>
          <w:rFonts w:hint="eastAsia" w:ascii="Times New Roman" w:hAnsi="Times New Roman" w:eastAsia="黑体" w:cs="Times New Roman"/>
          <w:color w:val="auto"/>
          <w:szCs w:val="21"/>
          <w:highlight w:val="none"/>
          <w:lang w:val="en-US" w:eastAsia="zh-CN"/>
        </w:rPr>
        <w:t>图4</w:t>
      </w:r>
      <w:r>
        <w:rPr>
          <w:rFonts w:hint="eastAsia" w:eastAsia="黑体" w:cs="Times New Roman"/>
          <w:color w:val="auto"/>
          <w:szCs w:val="21"/>
          <w:highlight w:val="none"/>
          <w:lang w:val="en-US" w:eastAsia="zh-CN"/>
        </w:rPr>
        <w:t xml:space="preserve"> </w:t>
      </w:r>
      <w:r>
        <w:rPr>
          <w:rFonts w:hint="eastAsia" w:ascii="Times New Roman" w:hAnsi="Times New Roman" w:eastAsia="黑体" w:cs="Times New Roman"/>
          <w:color w:val="auto"/>
          <w:szCs w:val="21"/>
          <w:highlight w:val="none"/>
          <w:lang w:val="en-US" w:eastAsia="zh-CN"/>
        </w:rPr>
        <w:t xml:space="preserve"> 三氯杀螨醇直接进样降解情况</w:t>
      </w:r>
    </w:p>
    <w:p w14:paraId="702103C3">
      <w:pPr>
        <w:keepNext w:val="0"/>
        <w:keepLines w:val="0"/>
        <w:pageBreakBefore w:val="0"/>
        <w:widowControl w:val="0"/>
        <w:numPr>
          <w:ilvl w:val="0"/>
          <w:numId w:val="0"/>
        </w:numPr>
        <w:kinsoku/>
        <w:wordWrap/>
        <w:overflowPunct/>
        <w:topLinePunct/>
        <w:autoSpaceDE w:val="0"/>
        <w:autoSpaceDN w:val="0"/>
        <w:bidi w:val="0"/>
        <w:adjustRightInd/>
        <w:snapToGrid/>
        <w:spacing w:after="157" w:afterLines="50" w:line="360" w:lineRule="exact"/>
        <w:ind w:left="0" w:leftChars="0" w:firstLine="0" w:firstLine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kern w:val="2"/>
          <w:sz w:val="18"/>
          <w:szCs w:val="18"/>
          <w:highlight w:val="none"/>
          <w:lang w:val="en-US" w:eastAsia="zh-CN" w:bidi="ar-SA"/>
        </w:rPr>
        <w:t>（</w:t>
      </w:r>
      <w:r>
        <w:rPr>
          <w:rFonts w:hint="eastAsia" w:eastAsia="黑体" w:cs="Times New Roman"/>
          <w:color w:val="auto"/>
          <w:sz w:val="18"/>
          <w:szCs w:val="18"/>
          <w:highlight w:val="none"/>
          <w:lang w:val="en-US" w:eastAsia="zh-CN"/>
        </w:rPr>
        <w:t xml:space="preserve">1. </w:t>
      </w:r>
      <w:r>
        <w:rPr>
          <w:rFonts w:hint="default" w:ascii="Times New Roman" w:hAnsi="Times New Roman" w:eastAsia="黑体" w:cs="Times New Roman"/>
          <w:color w:val="auto"/>
          <w:sz w:val="18"/>
          <w:szCs w:val="18"/>
          <w:highlight w:val="none"/>
          <w:lang w:val="en-US" w:eastAsia="zh-CN"/>
        </w:rPr>
        <w:t>五氯硝基苯（IS）；</w:t>
      </w:r>
      <w:r>
        <w:rPr>
          <w:rFonts w:hint="eastAsia" w:eastAsia="黑体" w:cs="Times New Roman"/>
          <w:color w:val="auto"/>
          <w:sz w:val="18"/>
          <w:szCs w:val="18"/>
          <w:highlight w:val="none"/>
          <w:lang w:val="en-US" w:eastAsia="zh-CN"/>
        </w:rPr>
        <w:t xml:space="preserve">2. </w:t>
      </w:r>
      <w:r>
        <w:rPr>
          <w:rFonts w:hint="default" w:ascii="Times New Roman" w:hAnsi="Times New Roman" w:eastAsia="黑体" w:cs="Times New Roman"/>
          <w:color w:val="auto"/>
          <w:sz w:val="18"/>
          <w:szCs w:val="18"/>
          <w:highlight w:val="none"/>
          <w:lang w:val="en-US" w:eastAsia="zh-CN"/>
        </w:rPr>
        <w:t>4,4</w:t>
      </w:r>
      <w:r>
        <w:rPr>
          <w:rFonts w:hint="default" w:eastAsia="黑体" w:cs="Times New Roman"/>
          <w:color w:val="auto"/>
          <w:sz w:val="18"/>
          <w:szCs w:val="18"/>
          <w:highlight w:val="none"/>
          <w:lang w:val="en-US" w:eastAsia="zh-CN"/>
        </w:rPr>
        <w:t>’</w:t>
      </w:r>
      <w:r>
        <w:rPr>
          <w:rFonts w:hint="default" w:ascii="Times New Roman" w:hAnsi="Times New Roman" w:eastAsia="黑体" w:cs="Times New Roman"/>
          <w:color w:val="auto"/>
          <w:sz w:val="18"/>
          <w:szCs w:val="18"/>
          <w:highlight w:val="none"/>
          <w:lang w:val="en-US" w:eastAsia="zh-CN"/>
        </w:rPr>
        <w:t>-二氯二苯甲酮；</w:t>
      </w:r>
      <w:r>
        <w:rPr>
          <w:rFonts w:hint="eastAsia" w:eastAsia="黑体" w:cs="Times New Roman"/>
          <w:color w:val="auto"/>
          <w:sz w:val="18"/>
          <w:szCs w:val="18"/>
          <w:highlight w:val="none"/>
          <w:lang w:val="en-US" w:eastAsia="zh-CN"/>
        </w:rPr>
        <w:t>3. 1,2-双(4-氯苯基)乙酮；4. 未知峰</w:t>
      </w:r>
      <w:r>
        <w:rPr>
          <w:rFonts w:hint="default" w:ascii="Times New Roman" w:hAnsi="Times New Roman" w:eastAsia="黑体" w:cs="Times New Roman"/>
          <w:color w:val="auto"/>
          <w:sz w:val="18"/>
          <w:szCs w:val="18"/>
          <w:highlight w:val="none"/>
          <w:lang w:val="en-US" w:eastAsia="zh-CN"/>
        </w:rPr>
        <w:t>；5</w:t>
      </w:r>
      <w:r>
        <w:rPr>
          <w:rFonts w:hint="eastAsia" w:eastAsia="黑体" w:cs="Times New Roman"/>
          <w:color w:val="auto"/>
          <w:sz w:val="18"/>
          <w:szCs w:val="18"/>
          <w:highlight w:val="none"/>
          <w:lang w:val="en-US" w:eastAsia="zh-CN"/>
        </w:rPr>
        <w:t>. 三氯杀螨醇本体峰</w:t>
      </w:r>
      <w:r>
        <w:rPr>
          <w:rFonts w:hint="default" w:ascii="Times New Roman" w:hAnsi="Times New Roman" w:eastAsia="黑体" w:cs="Times New Roman"/>
          <w:color w:val="auto"/>
          <w:sz w:val="18"/>
          <w:szCs w:val="18"/>
          <w:highlight w:val="none"/>
          <w:lang w:val="en-US" w:eastAsia="zh-CN"/>
        </w:rPr>
        <w:t>）</w:t>
      </w:r>
    </w:p>
    <w:p w14:paraId="20D9EB28">
      <w:pPr>
        <w:pStyle w:val="4"/>
        <w:bidi w:val="0"/>
        <w:rPr>
          <w:rFonts w:hint="default"/>
          <w:color w:val="auto"/>
          <w:highlight w:val="none"/>
          <w:lang w:val="en-US" w:eastAsia="zh-CN"/>
        </w:rPr>
      </w:pPr>
      <w:r>
        <w:rPr>
          <w:rFonts w:hint="eastAsia"/>
          <w:color w:val="auto"/>
          <w:highlight w:val="none"/>
          <w:lang w:val="en-US" w:eastAsia="zh-CN"/>
        </w:rPr>
        <w:t>6.1.2.2 三氯杀螨醇降解率不稳定</w:t>
      </w:r>
    </w:p>
    <w:p w14:paraId="1A06AC60">
      <w:pPr>
        <w:rPr>
          <w:rFonts w:hint="eastAsia"/>
          <w:color w:val="auto"/>
          <w:highlight w:val="none"/>
          <w:lang w:val="en-US" w:eastAsia="zh-CN"/>
        </w:rPr>
      </w:pPr>
      <w:r>
        <w:rPr>
          <w:rFonts w:hint="eastAsia"/>
          <w:color w:val="auto"/>
          <w:highlight w:val="none"/>
          <w:lang w:val="en-US" w:eastAsia="zh-CN"/>
        </w:rPr>
        <w:t>研究发现，不同浓度的三氯杀螨醇降解率不同。</w:t>
      </w:r>
    </w:p>
    <w:p w14:paraId="4CB97883">
      <w:pPr>
        <w:rPr>
          <w:rFonts w:hint="default"/>
          <w:color w:val="auto"/>
          <w:highlight w:val="none"/>
          <w:lang w:val="en-US" w:eastAsia="zh-CN"/>
        </w:rPr>
      </w:pPr>
      <w:r>
        <w:rPr>
          <w:rFonts w:hint="eastAsia"/>
          <w:color w:val="auto"/>
          <w:highlight w:val="none"/>
          <w:lang w:val="en-US" w:eastAsia="zh-CN"/>
        </w:rPr>
        <w:t>编制组配置6个不同浓度系列三氯杀螨醇标液（1.0 mg/L、2.0 mg/L、4.0 mg/L、6.0 mg/L、8.0 mg/L、10.0 mg/L），</w:t>
      </w:r>
      <w:r>
        <w:rPr>
          <w:rFonts w:ascii="Times New Roman" w:hAnsi="Times New Roman" w:eastAsia="宋体" w:cs="Times New Roman"/>
          <w:color w:val="auto"/>
          <w:kern w:val="2"/>
          <w:sz w:val="21"/>
          <w:szCs w:val="24"/>
          <w:highlight w:val="none"/>
          <w:lang w:bidi="ar-SA"/>
        </w:rPr>
        <w:t>直接经由进样口（温度设定为260℃）进入气相色谱分离</w:t>
      </w:r>
      <w:r>
        <w:rPr>
          <w:rFonts w:hint="eastAsia" w:ascii="Times New Roman" w:hAnsi="Times New Roman" w:eastAsia="宋体" w:cs="Times New Roman"/>
          <w:color w:val="auto"/>
          <w:kern w:val="2"/>
          <w:sz w:val="21"/>
          <w:szCs w:val="24"/>
          <w:highlight w:val="none"/>
          <w:lang w:val="en-US" w:eastAsia="zh-CN" w:bidi="ar-SA"/>
        </w:rPr>
        <w:t>质谱</w:t>
      </w:r>
      <w:r>
        <w:rPr>
          <w:rFonts w:ascii="Times New Roman" w:hAnsi="Times New Roman" w:eastAsia="宋体" w:cs="Times New Roman"/>
          <w:color w:val="auto"/>
          <w:kern w:val="2"/>
          <w:sz w:val="21"/>
          <w:szCs w:val="24"/>
          <w:highlight w:val="none"/>
          <w:lang w:bidi="ar-SA"/>
        </w:rPr>
        <w:t>检测的方法</w:t>
      </w:r>
      <w:r>
        <w:rPr>
          <w:rFonts w:hint="eastAsia" w:ascii="Times New Roman" w:hAnsi="Times New Roman" w:eastAsia="宋体" w:cs="Times New Roman"/>
          <w:color w:val="auto"/>
          <w:kern w:val="2"/>
          <w:sz w:val="21"/>
          <w:szCs w:val="24"/>
          <w:highlight w:val="none"/>
          <w:lang w:val="en-US" w:eastAsia="zh-CN" w:bidi="ar-SA"/>
        </w:rPr>
        <w:t>进行研究发现</w:t>
      </w:r>
      <w:r>
        <w:rPr>
          <w:rFonts w:hint="eastAsia"/>
          <w:color w:val="auto"/>
          <w:highlight w:val="none"/>
          <w:lang w:val="en-US" w:eastAsia="zh-CN"/>
        </w:rPr>
        <w:t>，约60%~80%三氯杀螨醇降解为二氯二苯甲酮，且不同浓度的三氯杀螨醇降解率不同。三氯杀螨醇标液浓度越小，三氯杀螨醇降解率越大；三氯杀螨醇标液浓度越大，三氯杀螨醇降解率越小。三氯杀螨醇标液浓度不同，降解为三种降解产物的比例也不尽相同。三氯杀螨醇及其降解产物占峰面积总和的比例变化趋势详见图5。因此，编制组认为直接进样检测三氯杀螨醇降解产物的分析方式也无法实现三氯杀螨醇的准确定量。</w:t>
      </w:r>
    </w:p>
    <w:p w14:paraId="6BB5C9CC">
      <w:pPr>
        <w:ind w:left="0" w:leftChars="0" w:firstLine="0" w:firstLineChars="0"/>
        <w:jc w:val="cente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8480" behindDoc="0" locked="0" layoutInCell="1" allowOverlap="1">
            <wp:simplePos x="0" y="0"/>
            <wp:positionH relativeFrom="column">
              <wp:posOffset>861060</wp:posOffset>
            </wp:positionH>
            <wp:positionV relativeFrom="paragraph">
              <wp:posOffset>74930</wp:posOffset>
            </wp:positionV>
            <wp:extent cx="3792220" cy="2160270"/>
            <wp:effectExtent l="0" t="0" r="5080" b="11430"/>
            <wp:wrapTopAndBottom/>
            <wp:docPr id="18" name="图片 18" descr="降解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降解率"/>
                    <pic:cNvPicPr>
                      <a:picLocks noChangeAspect="1"/>
                    </pic:cNvPicPr>
                  </pic:nvPicPr>
                  <pic:blipFill>
                    <a:blip r:embed="rId13"/>
                    <a:stretch>
                      <a:fillRect/>
                    </a:stretch>
                  </pic:blipFill>
                  <pic:spPr>
                    <a:xfrm>
                      <a:off x="0" y="0"/>
                      <a:ext cx="3792220" cy="2160270"/>
                    </a:xfrm>
                    <a:prstGeom prst="rect">
                      <a:avLst/>
                    </a:prstGeom>
                  </pic:spPr>
                </pic:pic>
              </a:graphicData>
            </a:graphic>
          </wp:anchor>
        </w:drawing>
      </w:r>
      <w:r>
        <w:rPr>
          <w:rFonts w:hint="eastAsia" w:ascii="Times New Roman" w:hAnsi="Times New Roman" w:eastAsia="黑体" w:cs="Times New Roman"/>
          <w:color w:val="auto"/>
          <w:szCs w:val="21"/>
          <w:highlight w:val="none"/>
          <w:lang w:val="en-US" w:eastAsia="zh-CN"/>
        </w:rPr>
        <w:t>图</w:t>
      </w:r>
      <w:r>
        <w:rPr>
          <w:rFonts w:hint="eastAsia" w:eastAsia="黑体" w:cs="Times New Roman"/>
          <w:color w:val="auto"/>
          <w:szCs w:val="21"/>
          <w:highlight w:val="none"/>
          <w:lang w:val="en-US" w:eastAsia="zh-CN"/>
        </w:rPr>
        <w:t>5</w:t>
      </w:r>
      <w:r>
        <w:rPr>
          <w:rFonts w:hint="eastAsia" w:ascii="Times New Roman" w:hAnsi="Times New Roman" w:eastAsia="黑体" w:cs="Times New Roman"/>
          <w:color w:val="auto"/>
          <w:szCs w:val="21"/>
          <w:highlight w:val="none"/>
          <w:lang w:val="en-US" w:eastAsia="zh-CN"/>
        </w:rPr>
        <w:t xml:space="preserve"> </w:t>
      </w:r>
      <w:r>
        <w:rPr>
          <w:rFonts w:hint="eastAsia" w:eastAsia="黑体" w:cs="Times New Roman"/>
          <w:color w:val="auto"/>
          <w:szCs w:val="21"/>
          <w:highlight w:val="none"/>
          <w:lang w:val="en-US" w:eastAsia="zh-CN"/>
        </w:rPr>
        <w:t xml:space="preserve"> 不同浓度</w:t>
      </w:r>
      <w:r>
        <w:rPr>
          <w:rFonts w:hint="eastAsia" w:ascii="Times New Roman" w:hAnsi="Times New Roman" w:eastAsia="黑体" w:cs="Times New Roman"/>
          <w:color w:val="auto"/>
          <w:szCs w:val="21"/>
          <w:highlight w:val="none"/>
          <w:lang w:val="en-US" w:eastAsia="zh-CN"/>
        </w:rPr>
        <w:t>三氯杀螨醇直接进样降解</w:t>
      </w:r>
      <w:r>
        <w:rPr>
          <w:rFonts w:hint="eastAsia" w:eastAsia="黑体" w:cs="Times New Roman"/>
          <w:color w:val="auto"/>
          <w:szCs w:val="21"/>
          <w:highlight w:val="none"/>
          <w:lang w:val="en-US" w:eastAsia="zh-CN"/>
        </w:rPr>
        <w:t>率情况</w:t>
      </w:r>
    </w:p>
    <w:p w14:paraId="4EA0BDC0">
      <w:pPr>
        <w:rPr>
          <w:rFonts w:hint="eastAsia"/>
          <w:color w:val="auto"/>
          <w:highlight w:val="none"/>
          <w:lang w:val="en-US" w:eastAsia="zh-CN"/>
        </w:rPr>
      </w:pPr>
      <w:r>
        <w:rPr>
          <w:rFonts w:hint="eastAsia"/>
          <w:color w:val="auto"/>
          <w:highlight w:val="none"/>
          <w:lang w:val="en-US" w:eastAsia="zh-CN"/>
        </w:rPr>
        <w:t>综上所</w:t>
      </w:r>
      <w:r>
        <w:rPr>
          <w:rFonts w:ascii="Times New Roman" w:hAnsi="Times New Roman" w:eastAsia="宋体" w:cs="Times New Roman"/>
          <w:color w:val="auto"/>
          <w:kern w:val="2"/>
          <w:sz w:val="21"/>
          <w:szCs w:val="24"/>
          <w:highlight w:val="none"/>
          <w:lang w:bidi="ar-SA"/>
        </w:rPr>
        <w:t>述</w:t>
      </w:r>
      <w:r>
        <w:rPr>
          <w:rFonts w:hint="eastAsia"/>
          <w:color w:val="auto"/>
          <w:highlight w:val="none"/>
          <w:lang w:val="en-US" w:eastAsia="zh-CN"/>
        </w:rPr>
        <w:t>，三氯杀螨醇易在进样口受热降解且降解的产率不确定，这导致将三氯杀螨醇直接进样检测的方式不可行。于是，编制组转换分析思路，通过文献调研，应用碱解反应将三氯杀螨醇完全转化为二氯二苯甲酮后，检测二氯二苯甲酮的方式间接检测三氯杀螨醇。编制组后续研究证明了该方法的可操作性和可行性。</w:t>
      </w:r>
    </w:p>
    <w:p w14:paraId="4F42C372">
      <w:pPr>
        <w:pStyle w:val="3"/>
        <w:bidi w:val="0"/>
        <w:rPr>
          <w:rFonts w:hint="eastAsia" w:ascii="Times New Roman" w:hAnsi="Times New Roman" w:cs="Times New Roman"/>
          <w:color w:val="auto"/>
          <w:highlight w:val="none"/>
          <w:lang w:val="en-US" w:eastAsia="zh-CN"/>
        </w:rPr>
      </w:pPr>
      <w:bookmarkStart w:id="67" w:name="_Toc14814"/>
      <w:bookmarkStart w:id="68" w:name="_Toc17450"/>
      <w:r>
        <w:rPr>
          <w:rFonts w:hint="eastAsia" w:ascii="Times New Roman" w:hAnsi="Times New Roman" w:cs="Times New Roman"/>
          <w:color w:val="auto"/>
          <w:highlight w:val="none"/>
          <w:lang w:val="en-US" w:eastAsia="zh-CN"/>
        </w:rPr>
        <w:t>6.2  标准适用范围研究</w:t>
      </w:r>
      <w:bookmarkEnd w:id="67"/>
      <w:bookmarkEnd w:id="68"/>
    </w:p>
    <w:p w14:paraId="3AB4FC28">
      <w:pPr>
        <w:bidi w:val="0"/>
        <w:rPr>
          <w:rFonts w:hint="eastAsia"/>
          <w:color w:val="auto"/>
          <w:highlight w:val="none"/>
          <w:lang w:val="en-US" w:eastAsia="zh-CN"/>
        </w:rPr>
      </w:pPr>
      <w:r>
        <w:rPr>
          <w:rFonts w:hint="eastAsia"/>
          <w:color w:val="auto"/>
          <w:highlight w:val="none"/>
          <w:lang w:val="en-US" w:eastAsia="zh-CN"/>
        </w:rPr>
        <w:t>通过碱解反应将三氯杀螨醇完全转化为二氯二苯甲酮后，检测二氯二苯甲酮的方式间接检测三氯杀螨醇，这种定量方式检测三氯杀螨醇的前提是需确定三氯杀螨醇碱解转化前土壤样品中是否含有二氯二苯甲酮。但土壤样品中是否含有二氯二苯甲酮无法简单地通过不碱解样品直接进样检测获得，因为此时检测到的二氯二苯甲酮峰可能来自于样品本身，也可能来自于样品中的三氯杀螨醇在进样口受热降解转化而来。土壤样品中二氯二苯甲酮的检测还需进一步研究。</w:t>
      </w:r>
    </w:p>
    <w:p w14:paraId="37E79A25">
      <w:pPr>
        <w:widowControl w:val="0"/>
        <w:topLinePunct/>
        <w:bidi w:val="0"/>
        <w:spacing w:line="360" w:lineRule="exact"/>
        <w:ind w:firstLine="420" w:firstLineChars="200"/>
        <w:jc w:val="both"/>
        <w:rPr>
          <w:rFonts w:hint="default"/>
          <w:color w:val="auto"/>
          <w:highlight w:val="none"/>
          <w:lang w:val="en-US" w:eastAsia="zh-CN"/>
        </w:rPr>
      </w:pPr>
      <w:r>
        <w:rPr>
          <w:rFonts w:ascii="Times New Roman" w:hAnsi="Times New Roman" w:eastAsia="宋体" w:cs="Times New Roman"/>
          <w:color w:val="auto"/>
          <w:kern w:val="2"/>
          <w:sz w:val="21"/>
          <w:szCs w:val="24"/>
          <w:highlight w:val="none"/>
          <w:lang w:bidi="ar-SA"/>
        </w:rPr>
        <w:t>综上所述，本</w:t>
      </w:r>
      <w:r>
        <w:rPr>
          <w:rFonts w:hint="eastAsia" w:ascii="Times New Roman" w:hAnsi="Times New Roman" w:eastAsia="宋体" w:cs="Times New Roman"/>
          <w:color w:val="auto"/>
          <w:kern w:val="2"/>
          <w:sz w:val="21"/>
          <w:szCs w:val="24"/>
          <w:highlight w:val="none"/>
          <w:lang w:val="en-US" w:eastAsia="zh-CN" w:bidi="ar-SA"/>
        </w:rPr>
        <w:t>标准</w:t>
      </w:r>
      <w:r>
        <w:rPr>
          <w:rFonts w:ascii="Times New Roman" w:hAnsi="Times New Roman" w:eastAsia="宋体" w:cs="Times New Roman"/>
          <w:color w:val="auto"/>
          <w:kern w:val="2"/>
          <w:sz w:val="21"/>
          <w:szCs w:val="24"/>
          <w:highlight w:val="none"/>
          <w:lang w:bidi="ar-SA"/>
        </w:rPr>
        <w:t>致力于土壤中三氯杀螨醇检测方法的制定，</w:t>
      </w:r>
      <w:r>
        <w:rPr>
          <w:rFonts w:hint="eastAsia" w:ascii="Times New Roman" w:hAnsi="Times New Roman" w:eastAsia="宋体" w:cs="Times New Roman"/>
          <w:color w:val="auto"/>
          <w:kern w:val="2"/>
          <w:sz w:val="21"/>
          <w:szCs w:val="24"/>
          <w:highlight w:val="none"/>
          <w:lang w:val="en-US" w:eastAsia="zh-CN" w:bidi="ar-SA"/>
        </w:rPr>
        <w:t>这里</w:t>
      </w:r>
      <w:r>
        <w:rPr>
          <w:rFonts w:ascii="Times New Roman" w:hAnsi="Times New Roman" w:eastAsia="宋体" w:cs="Times New Roman"/>
          <w:color w:val="auto"/>
          <w:kern w:val="2"/>
          <w:sz w:val="21"/>
          <w:szCs w:val="24"/>
          <w:highlight w:val="none"/>
          <w:lang w:bidi="ar-SA"/>
        </w:rPr>
        <w:t>所指土壤为经过环境信息调</w:t>
      </w:r>
      <w:r>
        <w:rPr>
          <w:rFonts w:hint="eastAsia" w:ascii="Times New Roman" w:hAnsi="Times New Roman" w:eastAsia="宋体" w:cs="Times New Roman"/>
          <w:color w:val="auto"/>
          <w:kern w:val="2"/>
          <w:sz w:val="21"/>
          <w:szCs w:val="24"/>
          <w:highlight w:val="none"/>
          <w:lang w:val="en-US" w:eastAsia="zh-CN" w:bidi="ar-SA"/>
        </w:rPr>
        <w:t>查</w:t>
      </w:r>
      <w:r>
        <w:rPr>
          <w:rFonts w:ascii="Times New Roman" w:hAnsi="Times New Roman" w:eastAsia="宋体" w:cs="Times New Roman"/>
          <w:color w:val="auto"/>
          <w:kern w:val="2"/>
          <w:sz w:val="21"/>
          <w:szCs w:val="24"/>
          <w:highlight w:val="none"/>
          <w:lang w:bidi="ar-SA"/>
        </w:rPr>
        <w:t>确认，未有二氯二苯甲酮生产或使用历史的污染</w:t>
      </w:r>
      <w:r>
        <w:rPr>
          <w:rFonts w:hint="eastAsia" w:ascii="Times New Roman" w:hAnsi="Times New Roman" w:eastAsia="宋体" w:cs="Times New Roman"/>
          <w:color w:val="auto"/>
          <w:kern w:val="2"/>
          <w:sz w:val="21"/>
          <w:szCs w:val="24"/>
          <w:highlight w:val="none"/>
          <w:lang w:val="en-US" w:eastAsia="zh-CN" w:bidi="ar-SA"/>
        </w:rPr>
        <w:t>情况</w:t>
      </w:r>
      <w:r>
        <w:rPr>
          <w:rFonts w:ascii="Times New Roman" w:hAnsi="Times New Roman" w:eastAsia="宋体" w:cs="Times New Roman"/>
          <w:color w:val="auto"/>
          <w:kern w:val="2"/>
          <w:sz w:val="21"/>
          <w:szCs w:val="24"/>
          <w:highlight w:val="none"/>
          <w:lang w:bidi="ar-SA"/>
        </w:rPr>
        <w:t>。</w:t>
      </w:r>
    </w:p>
    <w:p w14:paraId="641B9D4C">
      <w:pPr>
        <w:pStyle w:val="4"/>
        <w:bidi w:val="0"/>
        <w:rPr>
          <w:rFonts w:hint="default"/>
          <w:color w:val="auto"/>
          <w:highlight w:val="none"/>
          <w:lang w:val="en-US" w:eastAsia="zh-CN"/>
        </w:rPr>
      </w:pPr>
      <w:r>
        <w:rPr>
          <w:rFonts w:hint="eastAsia"/>
          <w:color w:val="auto"/>
          <w:highlight w:val="none"/>
          <w:lang w:val="en-US" w:eastAsia="zh-CN"/>
        </w:rPr>
        <w:t>6.2.1  二氯二苯甲酮性质及应用领域介绍</w:t>
      </w:r>
    </w:p>
    <w:p w14:paraId="6B64E30E">
      <w:pPr>
        <w:bidi w:val="0"/>
        <w:rPr>
          <w:color w:val="auto"/>
          <w:highlight w:val="none"/>
        </w:rPr>
      </w:pPr>
      <w:r>
        <w:rPr>
          <w:color w:val="auto"/>
          <w:highlight w:val="none"/>
        </w:rPr>
        <w:t>二氯二苯甲酮是一种稳定的有机化合物，常温下为白色或浅黄色结晶固体，沸点约330°C</w:t>
      </w:r>
      <w:r>
        <w:rPr>
          <w:rFonts w:hint="eastAsia"/>
          <w:color w:val="auto"/>
          <w:highlight w:val="none"/>
          <w:lang w:eastAsia="zh-CN"/>
        </w:rPr>
        <w:t>，</w:t>
      </w:r>
      <w:r>
        <w:rPr>
          <w:color w:val="auto"/>
          <w:highlight w:val="none"/>
        </w:rPr>
        <w:t>易溶于有机溶剂但难溶于水，化学性质稳定，羰基和苯环上的氯原子使其可参与多种有机反应。二氯二苯甲酮</w:t>
      </w:r>
      <w:r>
        <w:rPr>
          <w:rFonts w:hint="eastAsia"/>
          <w:color w:val="auto"/>
          <w:highlight w:val="none"/>
        </w:rPr>
        <w:t>主要用于合成一些特种工程材料、医药中间体和苯酮类紫外光吸收剂的单体</w:t>
      </w:r>
      <w:r>
        <w:rPr>
          <w:color w:val="auto"/>
          <w:highlight w:val="none"/>
        </w:rPr>
        <w:t>，广泛应用于</w:t>
      </w:r>
      <w:r>
        <w:rPr>
          <w:rFonts w:hint="eastAsia"/>
          <w:color w:val="auto"/>
          <w:highlight w:val="none"/>
          <w:lang w:val="en-US" w:eastAsia="zh-CN"/>
        </w:rPr>
        <w:t>材料、</w:t>
      </w:r>
      <w:r>
        <w:rPr>
          <w:color w:val="auto"/>
          <w:highlight w:val="none"/>
        </w:rPr>
        <w:t>医药等领域。</w:t>
      </w:r>
    </w:p>
    <w:p w14:paraId="05718DA5">
      <w:pPr>
        <w:bidi w:val="0"/>
        <w:rPr>
          <w:rFonts w:hint="eastAsia"/>
          <w:color w:val="auto"/>
          <w:highlight w:val="none"/>
          <w:lang w:val="en-US" w:eastAsia="zh-CN"/>
        </w:rPr>
      </w:pPr>
      <w:r>
        <w:rPr>
          <w:rFonts w:hint="eastAsia"/>
          <w:color w:val="auto"/>
          <w:highlight w:val="none"/>
          <w:lang w:val="en-US" w:eastAsia="zh-CN"/>
        </w:rPr>
        <w:t>材料领域：二氯二苯甲酮是一种重要的有机化工产品，是制备新型高分子材料聚苯硫醚酮（PTEK）和聚芳醚酮砜（PPBESK）的关键单体。这些高分子材料通常具有良好的力学性能、电绝缘性、热塑性等一系列优点。</w:t>
      </w:r>
    </w:p>
    <w:p w14:paraId="61FC162F">
      <w:pPr>
        <w:bidi w:val="0"/>
        <w:rPr>
          <w:rFonts w:hint="eastAsia"/>
          <w:color w:val="auto"/>
          <w:highlight w:val="none"/>
          <w:lang w:val="en-US" w:eastAsia="zh-CN"/>
        </w:rPr>
      </w:pPr>
      <w:r>
        <w:rPr>
          <w:rFonts w:hint="eastAsia"/>
          <w:color w:val="auto"/>
          <w:highlight w:val="none"/>
          <w:lang w:val="en-US" w:eastAsia="zh-CN"/>
        </w:rPr>
        <w:t>医学领域：二氯二苯甲酮可用作医药中间体生产药物“氟苯桂嗪”和“都可喜”，用于老年痴呆症治疗。</w:t>
      </w:r>
    </w:p>
    <w:p w14:paraId="1A7758A6">
      <w:pPr>
        <w:bidi w:val="0"/>
        <w:rPr>
          <w:rFonts w:hint="default"/>
          <w:color w:val="auto"/>
          <w:highlight w:val="none"/>
          <w:lang w:val="en-US" w:eastAsia="zh-CN"/>
        </w:rPr>
      </w:pPr>
      <w:r>
        <w:rPr>
          <w:rFonts w:hint="eastAsia"/>
          <w:color w:val="auto"/>
          <w:highlight w:val="none"/>
          <w:lang w:val="en-US" w:eastAsia="zh-CN"/>
        </w:rPr>
        <w:t>其他领域：二氯二苯甲酮可以用于制备苯酮类紫外光吸收剂，用于皮肤保护用品等日用品中；也可作为UV类涂料的助剂，UV涂料用于涂布玻璃、塑料、木材、铝制饮料瓶等。</w:t>
      </w:r>
    </w:p>
    <w:p w14:paraId="65C680BC">
      <w:pPr>
        <w:pStyle w:val="4"/>
        <w:bidi w:val="0"/>
        <w:rPr>
          <w:rFonts w:hint="eastAsia"/>
          <w:color w:val="auto"/>
          <w:highlight w:val="none"/>
          <w:lang w:val="en-US" w:eastAsia="zh-CN"/>
        </w:rPr>
      </w:pPr>
      <w:r>
        <w:rPr>
          <w:rFonts w:hint="eastAsia"/>
          <w:color w:val="auto"/>
          <w:highlight w:val="none"/>
          <w:lang w:val="en-US" w:eastAsia="zh-CN"/>
        </w:rPr>
        <w:t>6.2.2  二氯二苯甲酮的主要来源</w:t>
      </w:r>
    </w:p>
    <w:p w14:paraId="6C7FBAF3">
      <w:pPr>
        <w:rPr>
          <w:rFonts w:hint="default"/>
          <w:color w:val="auto"/>
          <w:highlight w:val="none"/>
          <w:lang w:val="en-US" w:eastAsia="zh-CN"/>
        </w:rPr>
      </w:pPr>
      <w:r>
        <w:rPr>
          <w:rFonts w:hint="eastAsia"/>
          <w:color w:val="auto"/>
          <w:highlight w:val="none"/>
          <w:lang w:val="en-US" w:eastAsia="zh-CN"/>
        </w:rPr>
        <w:t>二氯二苯甲酮主要是人工合成的，自然生成的可能性极低。主要原因：一是大多数氯代芳香化合物在自然界中并不常见，而二氯二苯甲酮分子结构中包含两个氯原子取代的芳香酮基团，这种复杂的氯代反应在自然环境中难以自发完成，通常需要特定的催化条件或高温高压环境，这在自然生态系统中极为罕见。二是目前尚无任何科学证据表明植物、微生物或地质过程能够合成该物质，相关研究文献中也未记录其天然存在的实例。三是其高度稳定的芳香环和氯取代基的组合在生物体内缺乏对应的天然合成路径或酶促机制支持。因此，可以认为二氯二苯甲酮在自然界中没有天然来源。环境中若检测到二氯二苯甲酮，几乎完全归因于人类工业活动造成的环境污染残留。</w:t>
      </w:r>
    </w:p>
    <w:p w14:paraId="5E6A2462">
      <w:pPr>
        <w:pStyle w:val="4"/>
        <w:bidi w:val="0"/>
        <w:rPr>
          <w:rFonts w:hint="eastAsia"/>
          <w:color w:val="auto"/>
          <w:highlight w:val="none"/>
          <w:lang w:val="en-US" w:eastAsia="zh-CN"/>
        </w:rPr>
      </w:pPr>
      <w:r>
        <w:rPr>
          <w:rFonts w:hint="eastAsia"/>
          <w:color w:val="auto"/>
          <w:highlight w:val="none"/>
          <w:lang w:val="en-US" w:eastAsia="zh-CN"/>
        </w:rPr>
        <w:t>6.2.3  我国二氯二苯甲酮的生产和使用情况</w:t>
      </w:r>
    </w:p>
    <w:p w14:paraId="44DDC449">
      <w:pPr>
        <w:widowControl w:val="0"/>
        <w:topLinePunct/>
        <w:spacing w:line="360" w:lineRule="exact"/>
        <w:ind w:firstLine="420" w:firstLineChars="200"/>
        <w:jc w:val="both"/>
        <w:rPr>
          <w:rFonts w:ascii="Times New Roman" w:hAnsi="Times New Roman" w:eastAsia="宋体" w:cs="Times New Roman"/>
          <w:color w:val="auto"/>
          <w:kern w:val="2"/>
          <w:sz w:val="21"/>
          <w:szCs w:val="24"/>
          <w:highlight w:val="none"/>
          <w:lang w:bidi="ar-SA"/>
        </w:rPr>
      </w:pPr>
      <w:r>
        <w:rPr>
          <w:rFonts w:hint="eastAsia"/>
          <w:color w:val="auto"/>
          <w:highlight w:val="none"/>
          <w:lang w:val="en-US" w:eastAsia="zh-CN"/>
        </w:rPr>
        <w:t>2023年，我国二氯二苯甲酮的总产量约为3.2万吨。主要生产企业包括江苏华昌化工股份有限公司、浙江龙盛集团股份有限公司、山东鲁西化工集团股份有限公司、湖北宜化集团有限责任公司、连云港德洋化工有限公司等。从区域分布来看，江苏省和浙江省是我国二氯二苯甲酮的主要生产基地，两地合计产量占全国总产量的60%以上。</w:t>
      </w:r>
      <w:r>
        <w:rPr>
          <w:rFonts w:ascii="Times New Roman" w:hAnsi="Times New Roman" w:eastAsia="宋体" w:cs="Times New Roman"/>
          <w:color w:val="auto"/>
          <w:kern w:val="2"/>
          <w:sz w:val="21"/>
          <w:szCs w:val="24"/>
          <w:highlight w:val="none"/>
          <w:lang w:bidi="ar-SA"/>
        </w:rPr>
        <w:t>此外，我国二氯二苯甲酮的主要</w:t>
      </w:r>
      <w:r>
        <w:rPr>
          <w:rFonts w:hint="eastAsia" w:ascii="Times New Roman" w:hAnsi="Times New Roman" w:eastAsia="宋体" w:cs="Times New Roman"/>
          <w:color w:val="auto"/>
          <w:kern w:val="2"/>
          <w:sz w:val="21"/>
          <w:szCs w:val="24"/>
          <w:highlight w:val="none"/>
          <w:lang w:val="en-US" w:eastAsia="zh-CN" w:bidi="ar-SA"/>
        </w:rPr>
        <w:t>下游</w:t>
      </w:r>
      <w:r>
        <w:rPr>
          <w:rFonts w:ascii="Times New Roman" w:hAnsi="Times New Roman" w:eastAsia="宋体" w:cs="Times New Roman"/>
          <w:color w:val="auto"/>
          <w:kern w:val="2"/>
          <w:sz w:val="21"/>
          <w:szCs w:val="24"/>
          <w:highlight w:val="none"/>
          <w:lang w:bidi="ar-SA"/>
        </w:rPr>
        <w:t>应用为医药中间体，</w:t>
      </w:r>
      <w:r>
        <w:rPr>
          <w:rFonts w:hint="eastAsia" w:ascii="Times New Roman" w:hAnsi="Times New Roman" w:eastAsia="宋体" w:cs="Times New Roman"/>
          <w:color w:val="auto"/>
          <w:kern w:val="2"/>
          <w:sz w:val="21"/>
          <w:szCs w:val="24"/>
          <w:highlight w:val="none"/>
          <w:lang w:val="en-US" w:eastAsia="zh-CN" w:bidi="ar-SA"/>
        </w:rPr>
        <w:t>其在医药</w:t>
      </w:r>
      <w:r>
        <w:rPr>
          <w:rFonts w:ascii="Times New Roman" w:hAnsi="Times New Roman" w:eastAsia="宋体" w:cs="Times New Roman"/>
          <w:color w:val="auto"/>
          <w:kern w:val="2"/>
          <w:sz w:val="21"/>
          <w:szCs w:val="24"/>
          <w:highlight w:val="none"/>
          <w:lang w:bidi="ar-SA"/>
        </w:rPr>
        <w:t>领域</w:t>
      </w:r>
      <w:r>
        <w:rPr>
          <w:rFonts w:hint="eastAsia" w:ascii="Times New Roman" w:hAnsi="Times New Roman" w:eastAsia="宋体" w:cs="Times New Roman"/>
          <w:color w:val="auto"/>
          <w:kern w:val="2"/>
          <w:sz w:val="21"/>
          <w:szCs w:val="24"/>
          <w:highlight w:val="none"/>
          <w:lang w:val="en-US" w:eastAsia="zh-CN" w:bidi="ar-SA"/>
        </w:rPr>
        <w:t>的应用</w:t>
      </w:r>
      <w:r>
        <w:rPr>
          <w:rFonts w:ascii="Times New Roman" w:hAnsi="Times New Roman" w:eastAsia="宋体" w:cs="Times New Roman"/>
          <w:color w:val="auto"/>
          <w:kern w:val="2"/>
          <w:sz w:val="21"/>
          <w:szCs w:val="24"/>
          <w:highlight w:val="none"/>
          <w:lang w:bidi="ar-SA"/>
        </w:rPr>
        <w:t>占据了约45%的市场份额</w:t>
      </w:r>
      <w:r>
        <w:rPr>
          <w:rFonts w:hint="eastAsia" w:ascii="Times New Roman" w:hAnsi="Times New Roman" w:eastAsia="宋体" w:cs="Times New Roman"/>
          <w:color w:val="auto"/>
          <w:kern w:val="2"/>
          <w:sz w:val="21"/>
          <w:szCs w:val="24"/>
          <w:highlight w:val="none"/>
          <w:lang w:eastAsia="zh-CN" w:bidi="ar-SA"/>
        </w:rPr>
        <w:t>。</w:t>
      </w:r>
    </w:p>
    <w:p w14:paraId="7548E302">
      <w:pPr>
        <w:pStyle w:val="3"/>
        <w:bidi w:val="0"/>
        <w:rPr>
          <w:rFonts w:hint="default"/>
          <w:lang w:val="en-US" w:eastAsia="zh-CN"/>
        </w:rPr>
      </w:pPr>
      <w:bookmarkStart w:id="69" w:name="_Toc10091"/>
      <w:bookmarkStart w:id="70" w:name="_Toc31310"/>
      <w:r>
        <w:rPr>
          <w:rFonts w:hint="eastAsia"/>
          <w:lang w:val="en-US" w:eastAsia="zh-CN"/>
        </w:rPr>
        <w:t xml:space="preserve">6.3  </w:t>
      </w:r>
      <w:r>
        <w:rPr>
          <w:rFonts w:hint="default"/>
          <w:lang w:val="en-US" w:eastAsia="zh-CN"/>
        </w:rPr>
        <w:t>内标</w:t>
      </w:r>
      <w:r>
        <w:rPr>
          <w:rFonts w:hint="eastAsia"/>
          <w:lang w:val="en-US" w:eastAsia="zh-CN"/>
        </w:rPr>
        <w:t>和</w:t>
      </w:r>
      <w:r>
        <w:rPr>
          <w:rFonts w:hint="default"/>
          <w:lang w:val="en-US" w:eastAsia="zh-CN"/>
        </w:rPr>
        <w:t>替代物</w:t>
      </w:r>
      <w:r>
        <w:rPr>
          <w:rFonts w:hint="eastAsia"/>
          <w:lang w:val="en-US" w:eastAsia="zh-CN"/>
        </w:rPr>
        <w:t>确定依据</w:t>
      </w:r>
      <w:bookmarkEnd w:id="69"/>
      <w:bookmarkEnd w:id="70"/>
    </w:p>
    <w:p w14:paraId="48C87A8D">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3.1</w:t>
      </w:r>
      <w:r>
        <w:rPr>
          <w:rFonts w:hint="default" w:ascii="Times New Roman" w:hAnsi="Times New Roman" w:cs="Times New Roman"/>
          <w:lang w:val="en-US" w:eastAsia="zh-CN"/>
        </w:rPr>
        <w:t xml:space="preserve">  内标确定的依据和理由</w:t>
      </w:r>
    </w:p>
    <w:p w14:paraId="7F9D52E3">
      <w:pPr>
        <w:autoSpaceDE w:val="0"/>
        <w:autoSpaceDN w:val="0"/>
        <w:spacing w:line="360" w:lineRule="exact"/>
        <w:ind w:firstLine="420" w:firstLineChars="200"/>
        <w:rPr>
          <w:rFonts w:hint="eastAsia"/>
          <w:color w:val="000000"/>
          <w:szCs w:val="21"/>
          <w:highlight w:val="none"/>
          <w:lang w:val="en-US" w:eastAsia="zh-CN"/>
        </w:rPr>
      </w:pPr>
      <w:r>
        <w:rPr>
          <w:rFonts w:hint="eastAsia"/>
          <w:color w:val="000000"/>
          <w:szCs w:val="21"/>
          <w:highlight w:val="none"/>
          <w:lang w:eastAsia="zh-CN"/>
        </w:rPr>
        <w:t>目前</w:t>
      </w:r>
      <w:r>
        <w:rPr>
          <w:rFonts w:hint="eastAsia"/>
          <w:color w:val="000000"/>
          <w:szCs w:val="21"/>
          <w:highlight w:val="none"/>
          <w:lang w:val="en-US" w:eastAsia="zh-CN"/>
        </w:rPr>
        <w:t>三氯杀螨醇</w:t>
      </w:r>
      <w:r>
        <w:rPr>
          <w:rFonts w:hint="eastAsia"/>
          <w:color w:val="000000"/>
          <w:szCs w:val="21"/>
          <w:highlight w:val="none"/>
          <w:lang w:eastAsia="zh-CN"/>
        </w:rPr>
        <w:t>的测定</w:t>
      </w:r>
      <w:r>
        <w:rPr>
          <w:color w:val="000000"/>
          <w:szCs w:val="21"/>
          <w:highlight w:val="none"/>
        </w:rPr>
        <w:t>基本上采用外标法定量</w:t>
      </w:r>
      <w:r>
        <w:rPr>
          <w:rFonts w:hint="eastAsia"/>
          <w:color w:val="000000"/>
          <w:szCs w:val="21"/>
          <w:highlight w:val="none"/>
        </w:rPr>
        <w:t>，外标法</w:t>
      </w:r>
      <w:r>
        <w:rPr>
          <w:color w:val="000000"/>
          <w:szCs w:val="21"/>
          <w:highlight w:val="none"/>
        </w:rPr>
        <w:t>无法消除实验间的偶然误差，且不同基质会对</w:t>
      </w:r>
      <w:r>
        <w:rPr>
          <w:rFonts w:hint="eastAsia"/>
          <w:color w:val="000000"/>
          <w:szCs w:val="21"/>
          <w:highlight w:val="none"/>
        </w:rPr>
        <w:t>试</w:t>
      </w:r>
      <w:r>
        <w:rPr>
          <w:color w:val="000000"/>
          <w:szCs w:val="21"/>
          <w:highlight w:val="none"/>
        </w:rPr>
        <w:t>验结果产生一定的误差</w:t>
      </w:r>
      <w:r>
        <w:rPr>
          <w:rFonts w:hint="eastAsia"/>
          <w:color w:val="000000"/>
          <w:szCs w:val="21"/>
          <w:highlight w:val="none"/>
        </w:rPr>
        <w:t>，内标法可以</w:t>
      </w:r>
      <w:r>
        <w:rPr>
          <w:color w:val="000000"/>
          <w:szCs w:val="21"/>
          <w:highlight w:val="none"/>
        </w:rPr>
        <w:t>减少基质所带来的影响。</w:t>
      </w:r>
      <w:r>
        <w:rPr>
          <w:rFonts w:hint="eastAsia"/>
          <w:color w:val="000000"/>
          <w:szCs w:val="21"/>
          <w:highlight w:val="none"/>
          <w:lang w:eastAsia="zh-CN"/>
        </w:rPr>
        <w:t>由于</w:t>
      </w:r>
      <w:r>
        <w:rPr>
          <w:rFonts w:hint="eastAsia"/>
          <w:color w:val="000000"/>
          <w:szCs w:val="21"/>
          <w:highlight w:val="none"/>
          <w:lang w:val="en-US" w:eastAsia="zh-CN"/>
        </w:rPr>
        <w:t>三氯杀螨醇是农药类</w:t>
      </w:r>
      <w:r>
        <w:rPr>
          <w:rFonts w:hint="eastAsia"/>
          <w:color w:val="000000"/>
          <w:szCs w:val="21"/>
          <w:highlight w:val="none"/>
          <w:lang w:eastAsia="zh-CN"/>
        </w:rPr>
        <w:t>有机物</w:t>
      </w:r>
      <w:r>
        <w:rPr>
          <w:rFonts w:hint="eastAsia"/>
          <w:color w:val="000000"/>
          <w:szCs w:val="21"/>
          <w:highlight w:val="none"/>
          <w:lang w:val="en-US" w:eastAsia="zh-CN"/>
        </w:rPr>
        <w:t>污染物</w:t>
      </w:r>
      <w:r>
        <w:rPr>
          <w:rFonts w:hint="eastAsia"/>
          <w:color w:val="000000"/>
          <w:szCs w:val="21"/>
          <w:highlight w:val="none"/>
          <w:lang w:eastAsia="zh-CN"/>
        </w:rPr>
        <w:t>，编制组参照《</w:t>
      </w:r>
      <w:r>
        <w:rPr>
          <w:rFonts w:hint="default" w:ascii="Times New Roman" w:hAnsi="Times New Roman" w:cs="Times New Roman"/>
          <w:lang w:val="en-US" w:eastAsia="zh-CN"/>
        </w:rPr>
        <w:t>土壤和沉积物 有机氯农药的测定 气相色谱-质谱法》</w:t>
      </w:r>
      <w:r>
        <w:rPr>
          <w:rFonts w:hint="eastAsia"/>
          <w:color w:val="000000"/>
          <w:szCs w:val="21"/>
          <w:highlight w:val="none"/>
          <w:lang w:eastAsia="zh-CN"/>
        </w:rPr>
        <w:t>（</w:t>
      </w:r>
      <w:r>
        <w:rPr>
          <w:rFonts w:hint="eastAsia"/>
          <w:color w:val="000000"/>
          <w:szCs w:val="21"/>
          <w:highlight w:val="none"/>
          <w:lang w:val="en-US" w:eastAsia="zh-CN"/>
        </w:rPr>
        <w:t>HJ 835-2017</w:t>
      </w:r>
      <w:r>
        <w:rPr>
          <w:rFonts w:hint="eastAsia"/>
          <w:color w:val="000000"/>
          <w:szCs w:val="21"/>
          <w:highlight w:val="none"/>
          <w:lang w:eastAsia="zh-CN"/>
        </w:rPr>
        <w:t>）</w:t>
      </w:r>
      <w:r>
        <w:rPr>
          <w:rFonts w:hint="eastAsia"/>
          <w:color w:val="000000"/>
          <w:szCs w:val="21"/>
          <w:highlight w:val="none"/>
          <w:lang w:val="en-US" w:eastAsia="zh-CN"/>
        </w:rPr>
        <w:t>选用了常用的3种内标（五氯硝基苯、菲-d</w:t>
      </w:r>
      <w:r>
        <w:rPr>
          <w:rFonts w:hint="eastAsia"/>
          <w:color w:val="000000"/>
          <w:szCs w:val="21"/>
          <w:highlight w:val="none"/>
          <w:vertAlign w:val="subscript"/>
          <w:lang w:val="en-US" w:eastAsia="zh-CN"/>
        </w:rPr>
        <w:t>10</w:t>
      </w:r>
      <w:r>
        <w:rPr>
          <w:rFonts w:hint="eastAsia"/>
          <w:color w:val="000000"/>
          <w:szCs w:val="21"/>
          <w:highlight w:val="none"/>
          <w:lang w:val="en-US" w:eastAsia="zh-CN"/>
        </w:rPr>
        <w:t>、䓛-d</w:t>
      </w:r>
      <w:r>
        <w:rPr>
          <w:rFonts w:hint="eastAsia"/>
          <w:color w:val="000000"/>
          <w:szCs w:val="21"/>
          <w:highlight w:val="none"/>
          <w:vertAlign w:val="subscript"/>
          <w:lang w:val="en-US" w:eastAsia="zh-CN"/>
        </w:rPr>
        <w:t>12</w:t>
      </w:r>
      <w:r>
        <w:rPr>
          <w:rFonts w:hint="eastAsia"/>
          <w:color w:val="000000"/>
          <w:szCs w:val="21"/>
          <w:highlight w:val="none"/>
          <w:lang w:val="en-US" w:eastAsia="zh-CN"/>
        </w:rPr>
        <w:t>）进行测试，根据出峰时间和响应与目标化合物相近的原则，确定内标。</w:t>
      </w:r>
    </w:p>
    <w:p w14:paraId="63E82AC7">
      <w:pPr>
        <w:autoSpaceDE w:val="0"/>
        <w:autoSpaceDN w:val="0"/>
        <w:spacing w:line="360" w:lineRule="exact"/>
        <w:ind w:firstLine="420" w:firstLineChars="200"/>
        <w:rPr>
          <w:rFonts w:hint="eastAsia"/>
          <w:color w:val="000000"/>
          <w:szCs w:val="21"/>
          <w:highlight w:val="none"/>
          <w:vertAlign w:val="baseline"/>
          <w:lang w:val="en-US" w:eastAsia="zh-CN"/>
        </w:rPr>
      </w:pPr>
      <w:r>
        <w:rPr>
          <w:rFonts w:hint="eastAsia"/>
          <w:color w:val="000000"/>
          <w:szCs w:val="21"/>
          <w:highlight w:val="none"/>
          <w:lang w:val="en-US" w:eastAsia="zh-CN"/>
        </w:rPr>
        <w:t>结果表明，与三氯杀螨醇更相似的五氯硝基苯</w:t>
      </w:r>
      <w:r>
        <w:rPr>
          <w:rFonts w:hint="eastAsia"/>
          <w:color w:val="000000"/>
          <w:szCs w:val="21"/>
          <w:highlight w:val="none"/>
          <w:vertAlign w:val="baseline"/>
          <w:lang w:val="en-US" w:eastAsia="zh-CN"/>
        </w:rPr>
        <w:t>的响应及出峰时间与</w:t>
      </w:r>
      <w:r>
        <w:rPr>
          <w:rFonts w:hint="eastAsia"/>
          <w:color w:val="000000"/>
          <w:szCs w:val="21"/>
          <w:highlight w:val="none"/>
          <w:lang w:val="en-US" w:eastAsia="zh-CN"/>
        </w:rPr>
        <w:t>三氯杀螨醇更</w:t>
      </w:r>
      <w:r>
        <w:rPr>
          <w:rFonts w:hint="eastAsia"/>
          <w:color w:val="000000"/>
          <w:szCs w:val="21"/>
          <w:highlight w:val="none"/>
          <w:vertAlign w:val="baseline"/>
          <w:lang w:val="en-US" w:eastAsia="zh-CN"/>
        </w:rPr>
        <w:t>相近，可有效补偿基质效应，故本标准确定</w:t>
      </w:r>
      <w:r>
        <w:rPr>
          <w:rFonts w:hint="eastAsia"/>
          <w:color w:val="000000"/>
          <w:szCs w:val="21"/>
          <w:highlight w:val="none"/>
          <w:lang w:val="en-US" w:eastAsia="zh-CN"/>
        </w:rPr>
        <w:t>五氯硝基苯为内标，五氯硝基苯结构见图6</w:t>
      </w:r>
      <w:r>
        <w:rPr>
          <w:rFonts w:hint="eastAsia"/>
          <w:color w:val="000000"/>
          <w:szCs w:val="21"/>
          <w:highlight w:val="none"/>
          <w:vertAlign w:val="baseline"/>
          <w:lang w:val="en-US" w:eastAsia="zh-CN"/>
        </w:rPr>
        <w:t>。</w:t>
      </w:r>
    </w:p>
    <w:p w14:paraId="663B0698">
      <w:pPr>
        <w:keepNext w:val="0"/>
        <w:keepLines w:val="0"/>
        <w:pageBreakBefore w:val="0"/>
        <w:widowControl w:val="0"/>
        <w:kinsoku/>
        <w:wordWrap/>
        <w:overflowPunct/>
        <w:topLinePunct/>
        <w:autoSpaceDE w:val="0"/>
        <w:autoSpaceDN w:val="0"/>
        <w:bidi w:val="0"/>
        <w:adjustRightInd/>
        <w:snapToGrid/>
        <w:spacing w:before="157" w:beforeLines="50" w:after="157" w:afterLines="50" w:line="360" w:lineRule="exact"/>
        <w:ind w:left="0" w:leftChars="0" w:firstLine="0" w:firstLineChars="0"/>
        <w:jc w:val="center"/>
        <w:textAlignment w:val="auto"/>
        <w:rPr>
          <w:rFonts w:hint="default"/>
          <w:color w:val="000000"/>
          <w:szCs w:val="21"/>
          <w:highlight w:val="none"/>
          <w:vertAlign w:val="baseline"/>
          <w:lang w:val="en-US" w:eastAsia="zh-CN"/>
        </w:rPr>
      </w:pPr>
      <w:r>
        <w:rPr>
          <w:rFonts w:hint="eastAsia" w:ascii="Times New Roman" w:hAnsi="Times New Roman" w:eastAsia="黑体" w:cs="Times New Roman"/>
          <w:color w:val="000000"/>
          <w:szCs w:val="21"/>
          <w:highlight w:val="none"/>
          <w:lang w:val="en-US" w:eastAsia="zh-CN"/>
        </w:rPr>
        <w:t>图</w:t>
      </w:r>
      <w:r>
        <w:rPr>
          <w:rFonts w:hint="eastAsia" w:eastAsia="黑体" w:cs="Times New Roman"/>
          <w:color w:val="000000"/>
          <w:szCs w:val="21"/>
          <w:highlight w:val="none"/>
          <w:lang w:val="en-US" w:eastAsia="zh-CN"/>
        </w:rPr>
        <w:t>6</w:t>
      </w:r>
      <w:r>
        <w:rPr>
          <w:rFonts w:hint="eastAsia" w:ascii="Times New Roman" w:hAnsi="Times New Roman" w:eastAsia="黑体" w:cs="Times New Roman"/>
          <w:color w:val="000000"/>
          <w:szCs w:val="21"/>
          <w:highlight w:val="none"/>
          <w:lang w:val="en-US" w:eastAsia="zh-CN"/>
        </w:rPr>
        <w:t xml:space="preserve"> </w:t>
      </w:r>
      <w:r>
        <w:rPr>
          <w:rFonts w:hint="eastAsia" w:eastAsia="黑体" w:cs="Times New Roman"/>
          <w:color w:val="000000"/>
          <w:szCs w:val="21"/>
          <w:highlight w:val="none"/>
          <w:lang w:val="en-US" w:eastAsia="zh-CN"/>
        </w:rPr>
        <w:t xml:space="preserve"> </w:t>
      </w:r>
      <w:r>
        <w:rPr>
          <w:rFonts w:hint="eastAsia" w:ascii="Times New Roman" w:hAnsi="Times New Roman" w:eastAsia="黑体" w:cs="Times New Roman"/>
          <w:color w:val="000000"/>
          <w:szCs w:val="21"/>
          <w:highlight w:val="none"/>
          <w:lang w:val="en-US" w:eastAsia="zh-CN"/>
        </w:rPr>
        <w:t>五氯硝基苯结构示意图</w:t>
      </w:r>
      <w:r>
        <w:rPr>
          <w:rFonts w:hint="default"/>
          <w:color w:val="000000"/>
          <w:szCs w:val="21"/>
          <w:highlight w:val="none"/>
          <w:vertAlign w:val="baseline"/>
          <w:lang w:val="en-US" w:eastAsia="zh-CN"/>
        </w:rPr>
        <w:drawing>
          <wp:anchor distT="0" distB="0" distL="114300" distR="114300" simplePos="0" relativeHeight="251665408" behindDoc="0" locked="0" layoutInCell="1" allowOverlap="1">
            <wp:simplePos x="0" y="0"/>
            <wp:positionH relativeFrom="column">
              <wp:posOffset>2184400</wp:posOffset>
            </wp:positionH>
            <wp:positionV relativeFrom="paragraph">
              <wp:posOffset>86360</wp:posOffset>
            </wp:positionV>
            <wp:extent cx="1056640" cy="1144905"/>
            <wp:effectExtent l="0" t="0" r="10160" b="10795"/>
            <wp:wrapTopAndBottom/>
            <wp:docPr id="13" name="图片 13" descr="173710017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7100172686"/>
                    <pic:cNvPicPr>
                      <a:picLocks noChangeAspect="1"/>
                    </pic:cNvPicPr>
                  </pic:nvPicPr>
                  <pic:blipFill>
                    <a:blip r:embed="rId14"/>
                    <a:stretch>
                      <a:fillRect/>
                    </a:stretch>
                  </pic:blipFill>
                  <pic:spPr>
                    <a:xfrm>
                      <a:off x="0" y="0"/>
                      <a:ext cx="1056640" cy="1144905"/>
                    </a:xfrm>
                    <a:prstGeom prst="rect">
                      <a:avLst/>
                    </a:prstGeom>
                  </pic:spPr>
                </pic:pic>
              </a:graphicData>
            </a:graphic>
          </wp:anchor>
        </w:drawing>
      </w:r>
    </w:p>
    <w:p w14:paraId="15DB4D0E">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.3.2</w:t>
      </w:r>
      <w:r>
        <w:rPr>
          <w:rFonts w:hint="default" w:ascii="Times New Roman" w:hAnsi="Times New Roman" w:cs="Times New Roman"/>
          <w:lang w:val="en-US" w:eastAsia="zh-CN"/>
        </w:rPr>
        <w:t xml:space="preserve">  替代物确定的依据和理由</w:t>
      </w:r>
    </w:p>
    <w:p w14:paraId="07F7FBF0">
      <w:pPr>
        <w:autoSpaceDE w:val="0"/>
        <w:autoSpaceDN w:val="0"/>
        <w:spacing w:line="360" w:lineRule="exact"/>
        <w:ind w:firstLine="420" w:firstLineChars="200"/>
        <w:rPr>
          <w:rFonts w:hint="eastAsia"/>
          <w:color w:val="000000"/>
          <w:szCs w:val="21"/>
          <w:highlight w:val="none"/>
          <w:lang w:val="en-US" w:eastAsia="zh-CN"/>
        </w:rPr>
      </w:pPr>
      <w:r>
        <w:rPr>
          <w:rFonts w:hint="eastAsia"/>
          <w:color w:val="000000"/>
          <w:szCs w:val="21"/>
          <w:highlight w:val="none"/>
          <w:lang w:eastAsia="zh-CN"/>
        </w:rPr>
        <w:t>编制组参照</w:t>
      </w:r>
      <w:r>
        <w:rPr>
          <w:rFonts w:hint="default" w:ascii="Times New Roman" w:hAnsi="Times New Roman" w:cs="Times New Roman"/>
          <w:lang w:eastAsia="zh-CN"/>
        </w:rPr>
        <w:t>《水质 有机氯农药和氯苯类化合物的测定 气相色谱-质谱法》</w:t>
      </w:r>
      <w:r>
        <w:rPr>
          <w:rFonts w:hint="eastAsia" w:cs="Times New Roman"/>
          <w:lang w:eastAsia="zh-CN"/>
        </w:rPr>
        <w:t>（</w:t>
      </w:r>
      <w:r>
        <w:rPr>
          <w:rFonts w:hint="eastAsia"/>
          <w:color w:val="000000"/>
          <w:szCs w:val="21"/>
          <w:highlight w:val="none"/>
          <w:lang w:val="en-US" w:eastAsia="zh-CN"/>
        </w:rPr>
        <w:t>HJ 699-2014</w:t>
      </w:r>
      <w:r>
        <w:rPr>
          <w:rFonts w:hint="eastAsia"/>
          <w:color w:val="000000"/>
          <w:szCs w:val="21"/>
          <w:highlight w:val="none"/>
          <w:lang w:eastAsia="zh-CN"/>
        </w:rPr>
        <w:t>）</w:t>
      </w:r>
      <w:r>
        <w:rPr>
          <w:rFonts w:hint="eastAsia"/>
          <w:color w:val="000000"/>
          <w:szCs w:val="21"/>
          <w:highlight w:val="none"/>
          <w:lang w:val="en-US" w:eastAsia="zh-CN"/>
        </w:rPr>
        <w:t>选用了常用的2种替代物（</w:t>
      </w:r>
      <w:r>
        <w:rPr>
          <w:rFonts w:hint="default" w:ascii="Times New Roman" w:hAnsi="Times New Roman" w:eastAsia="宋体" w:cs="Times New Roman"/>
          <w:snapToGrid w:val="0"/>
          <w:color w:val="000000"/>
          <w:spacing w:val="7"/>
          <w:sz w:val="21"/>
          <w:szCs w:val="21"/>
          <w:lang w:val="en-US" w:eastAsia="zh-CN" w:bidi="ar-SA"/>
        </w:rPr>
        <w:t>2,4,5,6-</w:t>
      </w:r>
      <w:r>
        <w:rPr>
          <w:rFonts w:hint="eastAsia"/>
          <w:color w:val="000000"/>
          <w:szCs w:val="21"/>
          <w:highlight w:val="none"/>
          <w:lang w:val="en-US" w:eastAsia="zh-CN"/>
        </w:rPr>
        <w:t>四氯间二甲苯、十氯联苯）进行测试，根据出峰时间和响应与目标化合物相近的原则，确定替代物。</w:t>
      </w:r>
    </w:p>
    <w:p w14:paraId="15031C58">
      <w:pPr>
        <w:rPr>
          <w:rFonts w:hint="default"/>
          <w:color w:val="000000"/>
          <w:szCs w:val="21"/>
          <w:highlight w:val="none"/>
          <w:lang w:val="en-US" w:eastAsia="zh-CN"/>
        </w:rPr>
      </w:pPr>
      <w:r>
        <w:rPr>
          <w:rFonts w:hint="eastAsia"/>
          <w:color w:val="000000"/>
          <w:szCs w:val="21"/>
          <w:highlight w:val="none"/>
          <w:lang w:val="en-US" w:eastAsia="zh-CN"/>
        </w:rPr>
        <w:t>结果表明，</w:t>
      </w:r>
      <w:r>
        <w:rPr>
          <w:rFonts w:hint="default" w:ascii="Times New Roman" w:hAnsi="Times New Roman" w:eastAsia="宋体" w:cs="Times New Roman"/>
          <w:snapToGrid w:val="0"/>
          <w:color w:val="000000"/>
          <w:spacing w:val="7"/>
          <w:sz w:val="21"/>
          <w:szCs w:val="21"/>
          <w:lang w:val="en-US" w:eastAsia="zh-CN" w:bidi="ar-SA"/>
        </w:rPr>
        <w:t>2,4,5,6-</w:t>
      </w:r>
      <w:r>
        <w:rPr>
          <w:rFonts w:hint="eastAsia"/>
          <w:color w:val="000000"/>
          <w:szCs w:val="21"/>
          <w:highlight w:val="none"/>
          <w:lang w:val="en-US" w:eastAsia="zh-CN"/>
        </w:rPr>
        <w:t>四氯间二甲苯与检测目标物的保留时间和响应值更接近，故</w:t>
      </w:r>
      <w:r>
        <w:rPr>
          <w:rFonts w:hint="eastAsia"/>
          <w:color w:val="000000"/>
          <w:szCs w:val="21"/>
          <w:highlight w:val="none"/>
          <w:vertAlign w:val="baseline"/>
          <w:lang w:val="en-US" w:eastAsia="zh-CN"/>
        </w:rPr>
        <w:t>本标准确定</w:t>
      </w:r>
      <w:r>
        <w:rPr>
          <w:rFonts w:hint="default" w:ascii="Times New Roman" w:hAnsi="Times New Roman" w:eastAsia="宋体" w:cs="Times New Roman"/>
          <w:snapToGrid w:val="0"/>
          <w:color w:val="000000"/>
          <w:spacing w:val="7"/>
          <w:sz w:val="21"/>
          <w:szCs w:val="21"/>
          <w:lang w:val="en-US" w:eastAsia="zh-CN" w:bidi="ar-SA"/>
        </w:rPr>
        <w:t>2,4,5,6-</w:t>
      </w:r>
      <w:r>
        <w:rPr>
          <w:rFonts w:hint="eastAsia"/>
          <w:color w:val="000000"/>
          <w:szCs w:val="21"/>
          <w:highlight w:val="none"/>
          <w:lang w:val="en-US" w:eastAsia="zh-CN"/>
        </w:rPr>
        <w:t>四氯间二甲苯为替代物，总检测目标物、内标及替代物的总离子流图见图7。</w:t>
      </w:r>
    </w:p>
    <w:p w14:paraId="1A1870E0">
      <w:pPr>
        <w:keepNext w:val="0"/>
        <w:keepLines w:val="0"/>
        <w:pageBreakBefore w:val="0"/>
        <w:widowControl w:val="0"/>
        <w:kinsoku/>
        <w:wordWrap/>
        <w:overflowPunct/>
        <w:topLinePunct/>
        <w:autoSpaceDE w:val="0"/>
        <w:autoSpaceDN w:val="0"/>
        <w:bidi w:val="0"/>
        <w:adjustRightInd/>
        <w:snapToGrid/>
        <w:spacing w:before="157" w:beforeLines="50" w:line="360" w:lineRule="exact"/>
        <w:ind w:left="0" w:leftChars="0" w:firstLine="0" w:firstLineChars="0"/>
        <w:jc w:val="center"/>
        <w:textAlignment w:val="auto"/>
        <w:rPr>
          <w:rFonts w:hint="eastAsia" w:ascii="Times New Roman" w:hAnsi="Times New Roman" w:eastAsia="黑体" w:cs="Times New Roman"/>
          <w:color w:val="000000"/>
          <w:szCs w:val="21"/>
          <w:highlight w:val="none"/>
          <w:lang w:val="en-US" w:eastAsia="zh-CN"/>
        </w:rPr>
      </w:pPr>
      <w:r>
        <w:rPr>
          <w:rFonts w:hint="eastAsia" w:ascii="Times New Roman" w:hAnsi="Times New Roman" w:eastAsia="黑体" w:cs="Times New Roman"/>
          <w:color w:val="000000"/>
          <w:szCs w:val="21"/>
          <w:highlight w:val="none"/>
          <w:lang w:val="en-US" w:eastAsia="zh-CN"/>
        </w:rPr>
        <w:drawing>
          <wp:anchor distT="0" distB="0" distL="114300" distR="114300" simplePos="0" relativeHeight="251666432" behindDoc="0" locked="0" layoutInCell="1" allowOverlap="1">
            <wp:simplePos x="0" y="0"/>
            <wp:positionH relativeFrom="column">
              <wp:posOffset>701675</wp:posOffset>
            </wp:positionH>
            <wp:positionV relativeFrom="paragraph">
              <wp:posOffset>42545</wp:posOffset>
            </wp:positionV>
            <wp:extent cx="4120515" cy="2643505"/>
            <wp:effectExtent l="0" t="0" r="6985" b="1079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5"/>
                    <a:srcRect/>
                    <a:stretch>
                      <a:fillRect/>
                    </a:stretch>
                  </pic:blipFill>
                  <pic:spPr>
                    <a:xfrm>
                      <a:off x="0" y="0"/>
                      <a:ext cx="4120515" cy="2643505"/>
                    </a:xfrm>
                    <a:prstGeom prst="rect">
                      <a:avLst/>
                    </a:prstGeom>
                    <a:noFill/>
                    <a:ln w="9525">
                      <a:noFill/>
                      <a:miter lim="800000"/>
                      <a:headEnd/>
                      <a:tailEnd/>
                    </a:ln>
                  </pic:spPr>
                </pic:pic>
              </a:graphicData>
            </a:graphic>
          </wp:anchor>
        </w:drawing>
      </w:r>
      <w:r>
        <w:rPr>
          <w:rFonts w:hint="eastAsia" w:ascii="Times New Roman" w:hAnsi="Times New Roman" w:eastAsia="黑体" w:cs="Times New Roman"/>
          <w:color w:val="000000"/>
          <w:szCs w:val="21"/>
          <w:highlight w:val="none"/>
          <w:lang w:val="en-US" w:eastAsia="zh-CN"/>
        </w:rPr>
        <w:t>图</w:t>
      </w:r>
      <w:r>
        <w:rPr>
          <w:rFonts w:hint="eastAsia" w:eastAsia="黑体" w:cs="Times New Roman"/>
          <w:color w:val="000000"/>
          <w:szCs w:val="21"/>
          <w:highlight w:val="none"/>
          <w:lang w:val="en-US" w:eastAsia="zh-CN"/>
        </w:rPr>
        <w:t>7</w:t>
      </w:r>
      <w:r>
        <w:rPr>
          <w:rFonts w:hint="eastAsia" w:ascii="Times New Roman" w:hAnsi="Times New Roman" w:eastAsia="黑体" w:cs="Times New Roman"/>
          <w:color w:val="000000"/>
          <w:szCs w:val="21"/>
          <w:highlight w:val="none"/>
          <w:lang w:val="en-US" w:eastAsia="zh-CN"/>
        </w:rPr>
        <w:t xml:space="preserve"> </w:t>
      </w:r>
      <w:r>
        <w:rPr>
          <w:rFonts w:hint="eastAsia" w:eastAsia="黑体" w:cs="Times New Roman"/>
          <w:color w:val="000000"/>
          <w:szCs w:val="21"/>
          <w:highlight w:val="none"/>
          <w:lang w:val="en-US" w:eastAsia="zh-CN"/>
        </w:rPr>
        <w:t xml:space="preserve"> </w:t>
      </w:r>
      <w:r>
        <w:rPr>
          <w:rFonts w:hint="eastAsia" w:ascii="Times New Roman" w:hAnsi="Times New Roman" w:eastAsia="黑体" w:cs="Times New Roman"/>
          <w:color w:val="000000"/>
          <w:szCs w:val="21"/>
          <w:highlight w:val="none"/>
          <w:lang w:val="en-US" w:eastAsia="zh-CN"/>
        </w:rPr>
        <w:t>三氯杀螨醇及其碱解产物的总离子流图</w:t>
      </w:r>
    </w:p>
    <w:p w14:paraId="49941CFD">
      <w:pPr>
        <w:keepNext w:val="0"/>
        <w:keepLines w:val="0"/>
        <w:pageBreakBefore w:val="0"/>
        <w:widowControl w:val="0"/>
        <w:numPr>
          <w:ilvl w:val="0"/>
          <w:numId w:val="0"/>
        </w:numPr>
        <w:kinsoku/>
        <w:wordWrap/>
        <w:overflowPunct/>
        <w:topLinePunct/>
        <w:autoSpaceDE w:val="0"/>
        <w:autoSpaceDN w:val="0"/>
        <w:bidi w:val="0"/>
        <w:adjustRightInd/>
        <w:snapToGrid/>
        <w:spacing w:after="157" w:afterLines="50" w:line="360" w:lineRule="exact"/>
        <w:ind w:left="0" w:leftChars="0" w:firstLine="0" w:firstLineChars="0"/>
        <w:jc w:val="center"/>
        <w:textAlignment w:val="auto"/>
        <w:rPr>
          <w:rFonts w:hint="default" w:ascii="Times New Roman" w:hAnsi="Times New Roman" w:eastAsia="黑体" w:cs="Times New Roman"/>
          <w:color w:val="000000"/>
          <w:sz w:val="18"/>
          <w:szCs w:val="18"/>
          <w:highlight w:val="none"/>
          <w:lang w:val="en-US" w:eastAsia="zh-CN"/>
        </w:rPr>
      </w:pPr>
      <w:r>
        <w:rPr>
          <w:rFonts w:hint="default" w:ascii="Times New Roman" w:hAnsi="Times New Roman" w:eastAsia="黑体" w:cs="Times New Roman"/>
          <w:color w:val="000000"/>
          <w:kern w:val="2"/>
          <w:sz w:val="18"/>
          <w:szCs w:val="18"/>
          <w:lang w:val="en-US" w:eastAsia="zh-CN" w:bidi="ar-SA"/>
        </w:rPr>
        <w:t>（1.</w:t>
      </w:r>
      <w:r>
        <w:rPr>
          <w:rFonts w:hint="eastAsia" w:eastAsia="黑体" w:cs="Times New Roman"/>
          <w:color w:val="000000"/>
          <w:sz w:val="18"/>
          <w:szCs w:val="18"/>
          <w:highlight w:val="none"/>
          <w:lang w:val="en-US" w:eastAsia="zh-CN"/>
        </w:rPr>
        <w:t xml:space="preserve"> 2,4,5,6-</w:t>
      </w:r>
      <w:r>
        <w:rPr>
          <w:rFonts w:hint="default" w:ascii="Times New Roman" w:hAnsi="Times New Roman" w:eastAsia="黑体" w:cs="Times New Roman"/>
          <w:color w:val="000000"/>
          <w:sz w:val="18"/>
          <w:szCs w:val="18"/>
          <w:highlight w:val="none"/>
          <w:lang w:val="en-US" w:eastAsia="zh-CN"/>
        </w:rPr>
        <w:t>四氯间二甲苯；2</w:t>
      </w:r>
      <w:r>
        <w:rPr>
          <w:rFonts w:hint="eastAsia" w:eastAsia="黑体" w:cs="Times New Roman"/>
          <w:color w:val="000000"/>
          <w:sz w:val="18"/>
          <w:szCs w:val="18"/>
          <w:highlight w:val="none"/>
          <w:lang w:val="en-US" w:eastAsia="zh-CN"/>
        </w:rPr>
        <w:t xml:space="preserve">. </w:t>
      </w:r>
      <w:r>
        <w:rPr>
          <w:rFonts w:hint="default" w:ascii="Times New Roman" w:hAnsi="Times New Roman" w:eastAsia="黑体" w:cs="Times New Roman"/>
          <w:color w:val="000000"/>
          <w:sz w:val="18"/>
          <w:szCs w:val="18"/>
          <w:highlight w:val="none"/>
          <w:lang w:val="en-US" w:eastAsia="zh-CN"/>
        </w:rPr>
        <w:t>五氯硝基苯（IS）；3</w:t>
      </w:r>
      <w:r>
        <w:rPr>
          <w:rFonts w:hint="eastAsia" w:eastAsia="黑体" w:cs="Times New Roman"/>
          <w:color w:val="000000"/>
          <w:sz w:val="18"/>
          <w:szCs w:val="18"/>
          <w:highlight w:val="none"/>
          <w:lang w:val="en-US" w:eastAsia="zh-CN"/>
        </w:rPr>
        <w:t xml:space="preserve">. </w:t>
      </w:r>
      <w:r>
        <w:rPr>
          <w:rFonts w:hint="default" w:ascii="Times New Roman" w:hAnsi="Times New Roman" w:eastAsia="黑体" w:cs="Times New Roman"/>
          <w:color w:val="000000"/>
          <w:sz w:val="18"/>
          <w:szCs w:val="18"/>
          <w:highlight w:val="none"/>
          <w:lang w:val="en-US" w:eastAsia="zh-CN"/>
        </w:rPr>
        <w:t>2,4</w:t>
      </w:r>
      <w:r>
        <w:rPr>
          <w:rFonts w:hint="default" w:eastAsia="黑体" w:cs="Times New Roman"/>
          <w:color w:val="000000"/>
          <w:sz w:val="18"/>
          <w:szCs w:val="18"/>
          <w:highlight w:val="none"/>
          <w:lang w:val="en-US" w:eastAsia="zh-CN"/>
        </w:rPr>
        <w:t>’</w:t>
      </w:r>
      <w:r>
        <w:rPr>
          <w:rFonts w:hint="default" w:ascii="Times New Roman" w:hAnsi="Times New Roman" w:eastAsia="黑体" w:cs="Times New Roman"/>
          <w:color w:val="000000"/>
          <w:sz w:val="18"/>
          <w:szCs w:val="18"/>
          <w:highlight w:val="none"/>
          <w:lang w:val="en-US" w:eastAsia="zh-CN"/>
        </w:rPr>
        <w:t>-二氯二苯甲酮；4</w:t>
      </w:r>
      <w:r>
        <w:rPr>
          <w:rFonts w:hint="eastAsia" w:eastAsia="黑体" w:cs="Times New Roman"/>
          <w:color w:val="000000"/>
          <w:sz w:val="18"/>
          <w:szCs w:val="18"/>
          <w:highlight w:val="none"/>
          <w:lang w:val="en-US" w:eastAsia="zh-CN"/>
        </w:rPr>
        <w:t xml:space="preserve">. </w:t>
      </w:r>
      <w:r>
        <w:rPr>
          <w:rFonts w:hint="default" w:ascii="Times New Roman" w:hAnsi="Times New Roman" w:eastAsia="黑体" w:cs="Times New Roman"/>
          <w:color w:val="000000"/>
          <w:sz w:val="18"/>
          <w:szCs w:val="18"/>
          <w:highlight w:val="none"/>
          <w:lang w:val="en-US" w:eastAsia="zh-CN"/>
        </w:rPr>
        <w:t>4,4</w:t>
      </w:r>
      <w:r>
        <w:rPr>
          <w:rFonts w:hint="default" w:eastAsia="黑体" w:cs="Times New Roman"/>
          <w:color w:val="000000"/>
          <w:sz w:val="18"/>
          <w:szCs w:val="18"/>
          <w:highlight w:val="none"/>
          <w:lang w:val="en-US" w:eastAsia="zh-CN"/>
        </w:rPr>
        <w:t>’</w:t>
      </w:r>
      <w:r>
        <w:rPr>
          <w:rFonts w:hint="default" w:ascii="Times New Roman" w:hAnsi="Times New Roman" w:eastAsia="黑体" w:cs="Times New Roman"/>
          <w:color w:val="000000"/>
          <w:sz w:val="18"/>
          <w:szCs w:val="18"/>
          <w:highlight w:val="none"/>
          <w:lang w:val="en-US" w:eastAsia="zh-CN"/>
        </w:rPr>
        <w:t>-二氯二苯甲酮；5</w:t>
      </w:r>
      <w:r>
        <w:rPr>
          <w:rFonts w:hint="eastAsia" w:eastAsia="黑体" w:cs="Times New Roman"/>
          <w:color w:val="000000"/>
          <w:sz w:val="18"/>
          <w:szCs w:val="18"/>
          <w:highlight w:val="none"/>
          <w:lang w:val="en-US" w:eastAsia="zh-CN"/>
        </w:rPr>
        <w:t xml:space="preserve">. </w:t>
      </w:r>
      <w:r>
        <w:rPr>
          <w:rFonts w:hint="default" w:ascii="Times New Roman" w:hAnsi="Times New Roman" w:eastAsia="黑体" w:cs="Times New Roman"/>
          <w:color w:val="000000"/>
          <w:sz w:val="18"/>
          <w:szCs w:val="18"/>
          <w:highlight w:val="none"/>
          <w:lang w:val="en-US" w:eastAsia="zh-CN"/>
        </w:rPr>
        <w:t>十氯联苯）</w:t>
      </w:r>
    </w:p>
    <w:p w14:paraId="468244F7">
      <w:pPr>
        <w:pStyle w:val="3"/>
        <w:bidi w:val="0"/>
        <w:rPr>
          <w:rFonts w:hint="default" w:ascii="Times New Roman" w:hAnsi="Times New Roman" w:cs="Times New Roman"/>
          <w:lang w:val="en-US" w:eastAsia="zh-CN"/>
        </w:rPr>
      </w:pPr>
      <w:bookmarkStart w:id="71" w:name="_Toc13260"/>
      <w:bookmarkStart w:id="72" w:name="_Toc13816"/>
      <w:bookmarkStart w:id="73" w:name="_Toc25191"/>
      <w:r>
        <w:rPr>
          <w:rFonts w:hint="default" w:ascii="Times New Roman" w:hAnsi="Times New Roman" w:cs="Times New Roman"/>
          <w:highlight w:val="none"/>
          <w:lang w:val="en-US" w:eastAsia="zh-CN"/>
        </w:rPr>
        <w:t>6.</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 xml:space="preserve">  </w:t>
      </w:r>
      <w:r>
        <w:rPr>
          <w:rFonts w:hint="default" w:ascii="Times New Roman" w:hAnsi="Times New Roman" w:cs="Times New Roman"/>
          <w:lang w:val="en-US" w:eastAsia="zh-CN"/>
        </w:rPr>
        <w:t>试剂和材料</w:t>
      </w:r>
      <w:bookmarkEnd w:id="71"/>
      <w:bookmarkEnd w:id="72"/>
      <w:bookmarkEnd w:id="73"/>
    </w:p>
    <w:p w14:paraId="364197F7">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4</w:t>
      </w:r>
      <w:r>
        <w:rPr>
          <w:rFonts w:hint="default" w:ascii="Times New Roman" w:hAnsi="Times New Roman" w:cs="Times New Roman"/>
          <w:lang w:val="en-US" w:eastAsia="zh-CN"/>
        </w:rPr>
        <w:t>.1  标准物质</w:t>
      </w:r>
    </w:p>
    <w:p w14:paraId="28FAF96B">
      <w:pPr>
        <w:bidi w:val="0"/>
        <w:rPr>
          <w:rFonts w:hint="eastAsia"/>
          <w:lang w:val="en-US" w:eastAsia="zh-CN"/>
        </w:rPr>
      </w:pPr>
      <w:r>
        <w:rPr>
          <w:rFonts w:hint="eastAsia"/>
          <w:lang w:val="en-US" w:eastAsia="zh-CN"/>
        </w:rPr>
        <w:t>（1）2,4</w:t>
      </w:r>
      <w:r>
        <w:rPr>
          <w:rFonts w:hint="default"/>
          <w:lang w:val="en-US" w:eastAsia="zh-CN"/>
        </w:rPr>
        <w:t>’</w:t>
      </w:r>
      <w:r>
        <w:rPr>
          <w:rFonts w:hint="eastAsia"/>
          <w:lang w:val="en-US" w:eastAsia="zh-CN"/>
        </w:rPr>
        <w:t>-三氯杀螨醇和4,4</w:t>
      </w:r>
      <w:r>
        <w:rPr>
          <w:rFonts w:hint="default"/>
          <w:lang w:val="en-US" w:eastAsia="zh-CN"/>
        </w:rPr>
        <w:t>’</w:t>
      </w:r>
      <w:r>
        <w:rPr>
          <w:rFonts w:hint="eastAsia"/>
          <w:lang w:val="en-US" w:eastAsia="zh-CN"/>
        </w:rPr>
        <w:t>-三氯杀螨醇标准贮备液：</w:t>
      </w:r>
      <w:r>
        <w:t>ρ</w:t>
      </w:r>
      <w:r>
        <w:rPr>
          <w:rFonts w:hint="eastAsia"/>
          <w:lang w:val="en-US" w:eastAsia="zh-CN"/>
        </w:rPr>
        <w:t>=1000 mg/L~5000 mg/L。</w:t>
      </w:r>
    </w:p>
    <w:p w14:paraId="6240B36C">
      <w:pPr>
        <w:bidi w:val="0"/>
      </w:pPr>
      <w:r>
        <w:t>可购买有证标准溶液，溶剂为</w:t>
      </w:r>
      <w:r>
        <w:rPr>
          <w:rFonts w:hint="eastAsia"/>
        </w:rPr>
        <w:t>正己烷。标准</w:t>
      </w:r>
      <w:r>
        <w:rPr>
          <w:rFonts w:hint="eastAsia"/>
          <w:lang w:eastAsia="zh-CN"/>
        </w:rPr>
        <w:t>物质</w:t>
      </w:r>
      <w:r>
        <w:rPr>
          <w:rFonts w:hint="eastAsia"/>
        </w:rPr>
        <w:t>或</w:t>
      </w:r>
      <w:r>
        <w:t>有证标准溶液</w:t>
      </w:r>
      <w:r>
        <w:rPr>
          <w:rFonts w:hint="eastAsia"/>
        </w:rPr>
        <w:t>的保存</w:t>
      </w:r>
      <w:r>
        <w:rPr>
          <w:rFonts w:hint="eastAsia"/>
          <w:lang w:val="en-US" w:eastAsia="zh-CN"/>
        </w:rPr>
        <w:t>条件和保存时间</w:t>
      </w:r>
      <w:r>
        <w:rPr>
          <w:rFonts w:hint="eastAsia"/>
        </w:rPr>
        <w:t>均参照标准证书</w:t>
      </w:r>
      <w:r>
        <w:t>。</w:t>
      </w:r>
    </w:p>
    <w:p w14:paraId="0C8941FA">
      <w:pPr>
        <w:bidi w:val="0"/>
        <w:rPr>
          <w:rFonts w:hint="eastAsia"/>
          <w:lang w:val="en-US" w:eastAsia="zh-CN"/>
        </w:rPr>
      </w:pPr>
      <w:r>
        <w:rPr>
          <w:rFonts w:hint="eastAsia"/>
          <w:lang w:val="en-US" w:eastAsia="zh-CN"/>
        </w:rPr>
        <w:t>（2）2,4</w:t>
      </w:r>
      <w:r>
        <w:rPr>
          <w:rFonts w:hint="default"/>
          <w:lang w:val="en-US" w:eastAsia="zh-CN"/>
        </w:rPr>
        <w:t>’</w:t>
      </w:r>
      <w:r>
        <w:rPr>
          <w:rFonts w:hint="eastAsia"/>
          <w:lang w:val="en-US" w:eastAsia="zh-CN"/>
        </w:rPr>
        <w:t>-三氯杀螨醇和4,4</w:t>
      </w:r>
      <w:r>
        <w:rPr>
          <w:rFonts w:hint="default"/>
          <w:lang w:val="en-US" w:eastAsia="zh-CN"/>
        </w:rPr>
        <w:t>’</w:t>
      </w:r>
      <w:r>
        <w:rPr>
          <w:rFonts w:hint="eastAsia"/>
          <w:lang w:val="en-US" w:eastAsia="zh-CN"/>
        </w:rPr>
        <w:t>-三氯杀螨醇</w:t>
      </w:r>
      <w:r>
        <w:rPr>
          <w:rFonts w:hint="default"/>
          <w:lang w:val="en-US" w:eastAsia="zh-CN"/>
        </w:rPr>
        <w:t>标准</w:t>
      </w:r>
      <w:r>
        <w:rPr>
          <w:rFonts w:hint="eastAsia"/>
          <w:lang w:val="en-US" w:eastAsia="zh-CN"/>
        </w:rPr>
        <w:t>使用</w:t>
      </w:r>
      <w:r>
        <w:rPr>
          <w:rFonts w:hint="default"/>
          <w:lang w:val="en-US" w:eastAsia="zh-CN"/>
        </w:rPr>
        <w:t>液：ρ=</w:t>
      </w:r>
      <w:r>
        <w:rPr>
          <w:rFonts w:hint="eastAsia"/>
          <w:lang w:val="en-US" w:eastAsia="zh-CN"/>
        </w:rPr>
        <w:t>5</w:t>
      </w:r>
      <w:r>
        <w:rPr>
          <w:rFonts w:hint="default"/>
          <w:lang w:val="en-US" w:eastAsia="zh-CN"/>
        </w:rPr>
        <w:t>0 mg/L</w:t>
      </w:r>
      <w:r>
        <w:rPr>
          <w:rFonts w:hint="eastAsia"/>
          <w:lang w:val="en-US" w:eastAsia="zh-CN"/>
        </w:rPr>
        <w:t>。</w:t>
      </w:r>
    </w:p>
    <w:p w14:paraId="2B52BA21">
      <w:pPr>
        <w:bidi w:val="0"/>
      </w:pPr>
      <w:r>
        <w:t>移取适量</w:t>
      </w:r>
      <w:r>
        <w:rPr>
          <w:rFonts w:hint="eastAsia"/>
          <w:lang w:val="en-US" w:eastAsia="zh-CN"/>
        </w:rPr>
        <w:t>三氯杀螨醇标准贮备液</w:t>
      </w:r>
      <w:r>
        <w:t>，用</w:t>
      </w:r>
      <w:r>
        <w:rPr>
          <w:rFonts w:hint="default" w:ascii="Times New Roman" w:hAnsi="Times New Roman" w:eastAsia="宋体" w:cs="Arial"/>
          <w:snapToGrid w:val="0"/>
          <w:color w:val="auto"/>
          <w:sz w:val="21"/>
          <w:szCs w:val="21"/>
          <w:lang w:val="en-US" w:eastAsia="zh-CN" w:bidi="ar-SA"/>
        </w:rPr>
        <w:t>正己烷-丙酮混合溶剂</w:t>
      </w:r>
      <w:r>
        <w:rPr>
          <w:rFonts w:hint="eastAsia" w:cs="Arial"/>
          <w:snapToGrid w:val="0"/>
          <w:color w:val="auto"/>
          <w:sz w:val="21"/>
          <w:szCs w:val="21"/>
          <w:lang w:val="en-US" w:eastAsia="zh-CN" w:bidi="ar-SA"/>
        </w:rPr>
        <w:t>（1:1）</w:t>
      </w:r>
      <w:r>
        <w:t>配制成目标物浓度为</w:t>
      </w:r>
      <w:r>
        <w:rPr>
          <w:rFonts w:hint="eastAsia"/>
          <w:lang w:val="en-US" w:eastAsia="zh-CN"/>
        </w:rPr>
        <w:t>50</w:t>
      </w:r>
      <w:r>
        <w:t xml:space="preserve"> mg/L的标准溶液，该溶液于</w:t>
      </w:r>
      <w:r>
        <w:rPr>
          <w:rFonts w:hint="eastAsia"/>
          <w:lang w:val="en-US" w:eastAsia="zh-CN"/>
        </w:rPr>
        <w:t>4</w:t>
      </w:r>
      <w:r>
        <w:t>℃</w:t>
      </w:r>
      <w:r>
        <w:rPr>
          <w:rFonts w:hint="eastAsia"/>
          <w:lang w:val="en-US" w:eastAsia="zh-CN"/>
        </w:rPr>
        <w:t>冷藏，</w:t>
      </w:r>
      <w:r>
        <w:t>避光保存。</w:t>
      </w:r>
    </w:p>
    <w:p w14:paraId="27F798F1">
      <w:pPr>
        <w:bidi w:val="0"/>
        <w:rPr>
          <w:rFonts w:hint="eastAsia"/>
          <w:lang w:val="en-US" w:eastAsia="zh-CN"/>
        </w:rPr>
      </w:pPr>
      <w:r>
        <w:rPr>
          <w:rFonts w:hint="eastAsia"/>
          <w:lang w:val="en-US" w:eastAsia="zh-CN"/>
        </w:rPr>
        <w:t>（3）</w:t>
      </w:r>
      <w:r>
        <w:rPr>
          <w:rFonts w:hint="default"/>
          <w:lang w:val="en-US" w:eastAsia="zh-CN"/>
        </w:rPr>
        <w:t>内标贮备液：ρ=1000 mg/L</w:t>
      </w:r>
      <w:r>
        <w:rPr>
          <w:rFonts w:hint="eastAsia"/>
          <w:lang w:val="en-US" w:eastAsia="zh-CN"/>
        </w:rPr>
        <w:t>。</w:t>
      </w:r>
    </w:p>
    <w:p w14:paraId="42B1ADDB">
      <w:pPr>
        <w:bidi w:val="0"/>
      </w:pPr>
      <w:r>
        <w:rPr>
          <w:rFonts w:hint="eastAsia"/>
          <w:lang w:val="en-US" w:eastAsia="zh-CN"/>
        </w:rPr>
        <w:t>推荐内标物为五氯硝基苯。</w:t>
      </w:r>
      <w:r>
        <w:t>可购买有证标准溶液，溶剂为</w:t>
      </w:r>
      <w:r>
        <w:rPr>
          <w:rFonts w:hint="eastAsia"/>
        </w:rPr>
        <w:t>正己烷。标准</w:t>
      </w:r>
      <w:r>
        <w:rPr>
          <w:rFonts w:hint="eastAsia"/>
          <w:lang w:eastAsia="zh-CN"/>
        </w:rPr>
        <w:t>物质</w:t>
      </w:r>
      <w:r>
        <w:rPr>
          <w:rFonts w:hint="eastAsia"/>
        </w:rPr>
        <w:t>或</w:t>
      </w:r>
      <w:r>
        <w:t>有证标准溶液</w:t>
      </w:r>
      <w:r>
        <w:rPr>
          <w:rFonts w:hint="eastAsia"/>
        </w:rPr>
        <w:t>的</w:t>
      </w:r>
      <w:r>
        <w:rPr>
          <w:rFonts w:hint="eastAsia"/>
          <w:lang w:val="en-US" w:eastAsia="zh-CN"/>
        </w:rPr>
        <w:t>保存条件和</w:t>
      </w:r>
      <w:r>
        <w:rPr>
          <w:rFonts w:hint="eastAsia"/>
        </w:rPr>
        <w:t>保存时间均参照标准证书</w:t>
      </w:r>
      <w:r>
        <w:t>。</w:t>
      </w:r>
    </w:p>
    <w:p w14:paraId="3925AC6D">
      <w:pPr>
        <w:bidi w:val="0"/>
        <w:rPr>
          <w:rFonts w:hint="eastAsia"/>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内标使用</w:t>
      </w:r>
      <w:r>
        <w:rPr>
          <w:rFonts w:hint="default"/>
          <w:lang w:val="en-US" w:eastAsia="zh-CN"/>
        </w:rPr>
        <w:t>液：ρ=</w:t>
      </w:r>
      <w:r>
        <w:rPr>
          <w:rFonts w:hint="eastAsia"/>
          <w:lang w:val="en-US" w:eastAsia="zh-CN"/>
        </w:rPr>
        <w:t>5</w:t>
      </w:r>
      <w:r>
        <w:rPr>
          <w:rFonts w:hint="default"/>
          <w:lang w:val="en-US" w:eastAsia="zh-CN"/>
        </w:rPr>
        <w:t>0 mg/L</w:t>
      </w:r>
      <w:r>
        <w:rPr>
          <w:rFonts w:hint="eastAsia"/>
          <w:lang w:val="en-US" w:eastAsia="zh-CN"/>
        </w:rPr>
        <w:t>。</w:t>
      </w:r>
    </w:p>
    <w:p w14:paraId="77098F6A">
      <w:pPr>
        <w:bidi w:val="0"/>
      </w:pPr>
      <w:r>
        <w:t>移取适量</w:t>
      </w:r>
      <w:r>
        <w:rPr>
          <w:rFonts w:hint="eastAsia"/>
          <w:lang w:val="en-US" w:eastAsia="zh-CN"/>
        </w:rPr>
        <w:t>内标贮备液</w:t>
      </w:r>
      <w:r>
        <w:t>，用</w:t>
      </w:r>
      <w:r>
        <w:rPr>
          <w:rFonts w:hint="default" w:ascii="Times New Roman" w:hAnsi="Times New Roman" w:eastAsia="宋体" w:cs="Arial"/>
          <w:snapToGrid w:val="0"/>
          <w:color w:val="auto"/>
          <w:sz w:val="21"/>
          <w:szCs w:val="21"/>
          <w:lang w:val="en-US" w:eastAsia="zh-CN" w:bidi="ar-SA"/>
        </w:rPr>
        <w:t>正己烷-丙酮混合溶剂</w:t>
      </w:r>
      <w:r>
        <w:rPr>
          <w:rFonts w:hint="eastAsia" w:cs="Arial"/>
          <w:snapToGrid w:val="0"/>
          <w:color w:val="auto"/>
          <w:sz w:val="21"/>
          <w:szCs w:val="21"/>
          <w:lang w:val="en-US" w:eastAsia="zh-CN" w:bidi="ar-SA"/>
        </w:rPr>
        <w:t>（1:1）</w:t>
      </w:r>
      <w:r>
        <w:t>配制成</w:t>
      </w:r>
      <w:r>
        <w:rPr>
          <w:rFonts w:hint="eastAsia"/>
          <w:lang w:val="en-US" w:eastAsia="zh-CN"/>
        </w:rPr>
        <w:t>内标</w:t>
      </w:r>
      <w:r>
        <w:t>浓度为</w:t>
      </w:r>
      <w:r>
        <w:rPr>
          <w:rFonts w:hint="eastAsia"/>
          <w:lang w:val="en-US" w:eastAsia="zh-CN"/>
        </w:rPr>
        <w:t>50</w:t>
      </w:r>
      <w:r>
        <w:t xml:space="preserve"> mg/L的标准溶液，该溶液于</w:t>
      </w:r>
      <w:r>
        <w:rPr>
          <w:rFonts w:hint="eastAsia"/>
          <w:lang w:val="en-US" w:eastAsia="zh-CN"/>
        </w:rPr>
        <w:t>4</w:t>
      </w:r>
      <w:r>
        <w:t>℃</w:t>
      </w:r>
      <w:r>
        <w:rPr>
          <w:rFonts w:hint="eastAsia"/>
          <w:lang w:val="en-US" w:eastAsia="zh-CN"/>
        </w:rPr>
        <w:t>冷藏，</w:t>
      </w:r>
      <w:r>
        <w:t>避光保存。</w:t>
      </w:r>
    </w:p>
    <w:p w14:paraId="350EEA92">
      <w:pPr>
        <w:numPr>
          <w:ilvl w:val="0"/>
          <w:numId w:val="0"/>
        </w:numPr>
        <w:bidi w:val="0"/>
        <w:ind w:firstLine="420" w:firstLineChars="200"/>
        <w:rPr>
          <w:rFonts w:hint="eastAsia"/>
          <w:color w:val="000000"/>
          <w:szCs w:val="21"/>
          <w:highlight w:val="none"/>
          <w:lang w:eastAsia="zh-CN"/>
        </w:rPr>
      </w:pPr>
      <w:r>
        <w:rPr>
          <w:rFonts w:hint="eastAsia" w:ascii="Times New Roman" w:hAnsi="Times New Roman" w:eastAsia="宋体" w:cs="Times New Roman"/>
          <w:color w:val="000000"/>
          <w:kern w:val="2"/>
          <w:sz w:val="21"/>
          <w:szCs w:val="21"/>
          <w:lang w:val="en-US" w:eastAsia="zh-CN" w:bidi="ar-SA"/>
        </w:rPr>
        <w:t>（5）</w:t>
      </w:r>
      <w:r>
        <w:rPr>
          <w:color w:val="000000"/>
          <w:highlight w:val="none"/>
        </w:rPr>
        <w:t>替代物贮备液</w:t>
      </w:r>
      <w:r>
        <w:rPr>
          <w:color w:val="000000"/>
          <w:szCs w:val="21"/>
          <w:highlight w:val="none"/>
        </w:rPr>
        <w:t>：</w:t>
      </w:r>
      <w:r>
        <w:rPr>
          <w:i/>
          <w:color w:val="000000"/>
          <w:highlight w:val="none"/>
        </w:rPr>
        <w:t>ρ</w:t>
      </w:r>
      <w:r>
        <w:rPr>
          <w:color w:val="000000"/>
          <w:highlight w:val="none"/>
        </w:rPr>
        <w:t>=</w:t>
      </w:r>
      <w:r>
        <w:rPr>
          <w:color w:val="000000"/>
          <w:szCs w:val="21"/>
          <w:highlight w:val="none"/>
        </w:rPr>
        <w:t>1000 mg/L</w:t>
      </w:r>
      <w:r>
        <w:rPr>
          <w:rFonts w:hint="eastAsia"/>
          <w:color w:val="000000"/>
          <w:szCs w:val="21"/>
          <w:highlight w:val="none"/>
          <w:lang w:eastAsia="zh-CN"/>
        </w:rPr>
        <w:t>。</w:t>
      </w:r>
    </w:p>
    <w:p w14:paraId="6B67581A">
      <w:pPr>
        <w:bidi w:val="0"/>
      </w:pPr>
      <w:r>
        <w:rPr>
          <w:rFonts w:hint="eastAsia" w:cs="Times New Roman"/>
          <w:snapToGrid w:val="0"/>
          <w:color w:val="000000"/>
          <w:spacing w:val="7"/>
          <w:sz w:val="21"/>
          <w:szCs w:val="21"/>
          <w:lang w:val="en-US" w:eastAsia="zh-CN" w:bidi="ar-SA"/>
        </w:rPr>
        <w:t>推荐替代物为</w:t>
      </w:r>
      <w:r>
        <w:rPr>
          <w:rFonts w:hint="default" w:ascii="Times New Roman" w:hAnsi="Times New Roman" w:eastAsia="宋体" w:cs="Times New Roman"/>
          <w:snapToGrid w:val="0"/>
          <w:color w:val="000000"/>
          <w:spacing w:val="7"/>
          <w:sz w:val="21"/>
          <w:szCs w:val="21"/>
          <w:lang w:val="en-US" w:eastAsia="zh-CN" w:bidi="ar-SA"/>
        </w:rPr>
        <w:t>2,4,5,6-四氯间二甲苯</w:t>
      </w:r>
      <w:r>
        <w:rPr>
          <w:rFonts w:hint="eastAsia" w:cs="Times New Roman"/>
          <w:snapToGrid w:val="0"/>
          <w:color w:val="000000"/>
          <w:spacing w:val="7"/>
          <w:sz w:val="21"/>
          <w:szCs w:val="21"/>
          <w:lang w:val="en-US" w:eastAsia="zh-CN" w:bidi="ar-SA"/>
        </w:rPr>
        <w:t>。</w:t>
      </w:r>
      <w:r>
        <w:t>可购买有证标准溶液，溶剂为</w:t>
      </w:r>
      <w:r>
        <w:rPr>
          <w:rFonts w:hint="eastAsia"/>
        </w:rPr>
        <w:t>正己烷。标准</w:t>
      </w:r>
      <w:r>
        <w:rPr>
          <w:rFonts w:hint="eastAsia"/>
          <w:lang w:eastAsia="zh-CN"/>
        </w:rPr>
        <w:t>物质</w:t>
      </w:r>
      <w:r>
        <w:rPr>
          <w:rFonts w:hint="eastAsia"/>
        </w:rPr>
        <w:t>或</w:t>
      </w:r>
      <w:r>
        <w:t>有证标准溶液</w:t>
      </w:r>
      <w:r>
        <w:rPr>
          <w:rFonts w:hint="eastAsia"/>
        </w:rPr>
        <w:t>的</w:t>
      </w:r>
      <w:r>
        <w:rPr>
          <w:rFonts w:hint="eastAsia"/>
          <w:lang w:val="en-US" w:eastAsia="zh-CN"/>
        </w:rPr>
        <w:t>保存条件和</w:t>
      </w:r>
      <w:r>
        <w:rPr>
          <w:rFonts w:hint="eastAsia"/>
        </w:rPr>
        <w:t>保存时间均参照标准证书</w:t>
      </w:r>
      <w:r>
        <w:t>。</w:t>
      </w:r>
    </w:p>
    <w:p w14:paraId="5C2E00B6">
      <w:pPr>
        <w:bidi w:val="0"/>
        <w:rPr>
          <w:rFonts w:hint="eastAsia"/>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替代物使用液：</w:t>
      </w:r>
      <w:r>
        <w:rPr>
          <w:rFonts w:hint="default"/>
          <w:lang w:val="en-US" w:eastAsia="zh-CN"/>
        </w:rPr>
        <w:t>ρ=</w:t>
      </w:r>
      <w:r>
        <w:rPr>
          <w:rFonts w:hint="eastAsia"/>
          <w:lang w:val="en-US" w:eastAsia="zh-CN"/>
        </w:rPr>
        <w:t>5</w:t>
      </w:r>
      <w:r>
        <w:rPr>
          <w:rFonts w:hint="default"/>
          <w:lang w:val="en-US" w:eastAsia="zh-CN"/>
        </w:rPr>
        <w:t>0 mg/L</w:t>
      </w:r>
      <w:r>
        <w:rPr>
          <w:rFonts w:hint="eastAsia"/>
          <w:lang w:val="en-US" w:eastAsia="zh-CN"/>
        </w:rPr>
        <w:t>。</w:t>
      </w:r>
    </w:p>
    <w:p w14:paraId="385DF9EB">
      <w:pPr>
        <w:bidi w:val="0"/>
      </w:pPr>
      <w:r>
        <w:t>移取适量</w:t>
      </w:r>
      <w:r>
        <w:rPr>
          <w:rFonts w:hint="eastAsia"/>
          <w:lang w:val="en-US" w:eastAsia="zh-CN"/>
        </w:rPr>
        <w:t>替代物贮备液</w:t>
      </w:r>
      <w:r>
        <w:t>，用</w:t>
      </w:r>
      <w:r>
        <w:rPr>
          <w:rFonts w:hint="default" w:ascii="Times New Roman" w:hAnsi="Times New Roman" w:eastAsia="宋体" w:cs="Arial"/>
          <w:snapToGrid w:val="0"/>
          <w:color w:val="auto"/>
          <w:sz w:val="21"/>
          <w:szCs w:val="21"/>
          <w:lang w:val="en-US" w:eastAsia="zh-CN" w:bidi="ar-SA"/>
        </w:rPr>
        <w:t>正己烷-丙酮混合溶剂</w:t>
      </w:r>
      <w:r>
        <w:rPr>
          <w:rFonts w:hint="eastAsia" w:cs="Arial"/>
          <w:snapToGrid w:val="0"/>
          <w:color w:val="auto"/>
          <w:sz w:val="21"/>
          <w:szCs w:val="21"/>
          <w:lang w:val="en-US" w:eastAsia="zh-CN" w:bidi="ar-SA"/>
        </w:rPr>
        <w:t>（1:1）</w:t>
      </w:r>
      <w:r>
        <w:t>配制成</w:t>
      </w:r>
      <w:r>
        <w:rPr>
          <w:rFonts w:hint="eastAsia"/>
          <w:lang w:val="en-US" w:eastAsia="zh-CN"/>
        </w:rPr>
        <w:t>替代物</w:t>
      </w:r>
      <w:r>
        <w:t>浓度为</w:t>
      </w:r>
      <w:r>
        <w:rPr>
          <w:rFonts w:hint="eastAsia"/>
          <w:lang w:val="en-US" w:eastAsia="zh-CN"/>
        </w:rPr>
        <w:t>50</w:t>
      </w:r>
      <w:r>
        <w:t xml:space="preserve"> mg/L的标准溶液，该溶液于</w:t>
      </w:r>
      <w:r>
        <w:rPr>
          <w:rFonts w:hint="eastAsia"/>
          <w:lang w:val="en-US" w:eastAsia="zh-CN"/>
        </w:rPr>
        <w:t>4</w:t>
      </w:r>
      <w:r>
        <w:t>℃</w:t>
      </w:r>
      <w:r>
        <w:rPr>
          <w:rFonts w:hint="eastAsia"/>
          <w:lang w:val="en-US" w:eastAsia="zh-CN"/>
        </w:rPr>
        <w:t>冷藏，</w:t>
      </w:r>
      <w:r>
        <w:t>避光保存。</w:t>
      </w:r>
    </w:p>
    <w:p w14:paraId="0DE15937">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4</w:t>
      </w:r>
      <w:r>
        <w:rPr>
          <w:rFonts w:hint="default" w:ascii="Times New Roman" w:hAnsi="Times New Roman" w:cs="Times New Roman"/>
          <w:lang w:val="en-US" w:eastAsia="zh-CN"/>
        </w:rPr>
        <w:t>.2  试剂</w:t>
      </w:r>
    </w:p>
    <w:p w14:paraId="143B2DCD">
      <w:pPr>
        <w:bidi w:val="0"/>
        <w:rPr>
          <w:rFonts w:hint="default"/>
          <w:lang w:val="en-US" w:eastAsia="zh-CN"/>
        </w:rPr>
      </w:pPr>
      <w:r>
        <w:rPr>
          <w:rFonts w:hint="eastAsia"/>
        </w:rPr>
        <w:t>标准研究过程中主要试剂有</w:t>
      </w:r>
      <w:r>
        <w:rPr>
          <w:rFonts w:hint="eastAsia"/>
          <w:lang w:val="en-US" w:eastAsia="zh-CN"/>
        </w:rPr>
        <w:t>无水乙醇、氢氧化钾、无水硫酸钠（用于三氯杀螨醇的碱解反应）及</w:t>
      </w:r>
      <w:r>
        <w:rPr>
          <w:rFonts w:hint="eastAsia"/>
        </w:rPr>
        <w:t>正己烷、二氯甲烷</w:t>
      </w:r>
      <w:r>
        <w:rPr>
          <w:rFonts w:hint="eastAsia"/>
          <w:lang w:eastAsia="zh-CN"/>
        </w:rPr>
        <w:t>和</w:t>
      </w:r>
      <w:r>
        <w:rPr>
          <w:rFonts w:hint="eastAsia"/>
        </w:rPr>
        <w:t>丙酮等，比较了不同</w:t>
      </w:r>
      <w:r>
        <w:rPr>
          <w:rFonts w:hint="eastAsia"/>
          <w:lang w:eastAsia="zh-CN"/>
        </w:rPr>
        <w:t>溶剂及不同</w:t>
      </w:r>
      <w:r>
        <w:rPr>
          <w:rFonts w:hint="eastAsia"/>
        </w:rPr>
        <w:t>比例的</w:t>
      </w:r>
      <w:r>
        <w:rPr>
          <w:rFonts w:hint="eastAsia"/>
          <w:lang w:eastAsia="zh-CN"/>
        </w:rPr>
        <w:t>混合</w:t>
      </w:r>
      <w:r>
        <w:rPr>
          <w:rFonts w:hint="eastAsia"/>
        </w:rPr>
        <w:t>溶剂对目标物的</w:t>
      </w:r>
      <w:r>
        <w:rPr>
          <w:rFonts w:hint="eastAsia"/>
          <w:lang w:val="en-US" w:eastAsia="zh-CN"/>
        </w:rPr>
        <w:t>净化洗脱</w:t>
      </w:r>
      <w:r>
        <w:rPr>
          <w:rFonts w:hint="eastAsia"/>
        </w:rPr>
        <w:t>效率。</w:t>
      </w:r>
    </w:p>
    <w:p w14:paraId="751C420E">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4</w:t>
      </w:r>
      <w:r>
        <w:rPr>
          <w:rFonts w:hint="default" w:ascii="Times New Roman" w:hAnsi="Times New Roman" w:cs="Times New Roman"/>
          <w:lang w:val="en-US" w:eastAsia="zh-CN"/>
        </w:rPr>
        <w:t>.3  石英砂</w:t>
      </w:r>
    </w:p>
    <w:p w14:paraId="1A789871">
      <w:pPr>
        <w:bidi w:val="0"/>
        <w:rPr>
          <w:rFonts w:hint="default" w:ascii="Times New Roman" w:hAnsi="Times New Roman" w:cs="Times New Roman"/>
        </w:rPr>
      </w:pPr>
      <w:r>
        <w:rPr>
          <w:rFonts w:hint="default" w:ascii="Times New Roman" w:hAnsi="Times New Roman" w:cs="Times New Roman"/>
        </w:rPr>
        <w:t>石英砂用于空白试样的制备，粒径在150 μm</w:t>
      </w:r>
      <w:r>
        <w:rPr>
          <w:rFonts w:hint="default" w:ascii="Times New Roman" w:hAnsi="Times New Roman" w:cs="Times New Roman"/>
          <w:lang w:val="en-US" w:eastAsia="zh-CN"/>
        </w:rPr>
        <w:t>~</w:t>
      </w:r>
      <w:r>
        <w:rPr>
          <w:rFonts w:hint="default" w:ascii="Times New Roman" w:hAnsi="Times New Roman" w:cs="Times New Roman"/>
        </w:rPr>
        <w:t>830 μm（20目</w:t>
      </w:r>
      <w:r>
        <w:rPr>
          <w:rFonts w:hint="default" w:ascii="Times New Roman" w:hAnsi="Times New Roman" w:cs="Times New Roman"/>
          <w:lang w:val="en-US" w:eastAsia="zh-CN"/>
        </w:rPr>
        <w:t>~</w:t>
      </w:r>
      <w:r>
        <w:rPr>
          <w:rFonts w:hint="default" w:ascii="Times New Roman" w:hAnsi="Times New Roman" w:cs="Times New Roman"/>
        </w:rPr>
        <w:t>100目）之间，要求不含影响目标物测定的干扰物，同时目标物含量低于方法检出限，使用前应在马弗炉中400℃灼烧</w:t>
      </w:r>
      <w:r>
        <w:rPr>
          <w:rFonts w:hint="default" w:ascii="Times New Roman" w:hAnsi="Times New Roman" w:cs="Times New Roman"/>
          <w:lang w:val="en-US" w:eastAsia="zh-CN"/>
        </w:rPr>
        <w:t>4</w:t>
      </w:r>
      <w:r>
        <w:rPr>
          <w:rFonts w:hint="default" w:ascii="Times New Roman" w:hAnsi="Times New Roman" w:cs="Times New Roman"/>
        </w:rPr>
        <w:t xml:space="preserve"> h，检验确认无干扰。</w:t>
      </w:r>
    </w:p>
    <w:p w14:paraId="1E2A169F">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4</w:t>
      </w:r>
      <w:r>
        <w:rPr>
          <w:rFonts w:hint="default" w:ascii="Times New Roman" w:hAnsi="Times New Roman" w:cs="Times New Roman"/>
          <w:lang w:val="en-US" w:eastAsia="zh-CN"/>
        </w:rPr>
        <w:t>.4  干燥剂</w:t>
      </w:r>
    </w:p>
    <w:p w14:paraId="5F0A2328">
      <w:pPr>
        <w:bidi w:val="0"/>
        <w:rPr>
          <w:rFonts w:hint="default" w:ascii="Times New Roman" w:hAnsi="Times New Roman" w:cs="Times New Roman"/>
          <w:lang w:val="en-US" w:eastAsia="zh-CN"/>
        </w:rPr>
      </w:pPr>
      <w:r>
        <w:rPr>
          <w:rFonts w:hint="default" w:ascii="Times New Roman" w:hAnsi="Times New Roman" w:cs="Times New Roman"/>
          <w:lang w:val="en-US" w:eastAsia="zh-CN"/>
        </w:rPr>
        <w:t>优级纯的无水硫酸钠（Na</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）和粒径在150 μm~250 μm（20目~100目）之间的粒状硅藻土，使用前应在马弗炉中400℃灼烧4 h，以除去水分和干扰物，冷却后置于具塞磨口玻璃瓶中密封，于干燥器内保存。</w:t>
      </w:r>
    </w:p>
    <w:p w14:paraId="7363323F">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4</w:t>
      </w:r>
      <w:r>
        <w:rPr>
          <w:rFonts w:hint="default" w:ascii="Times New Roman" w:hAnsi="Times New Roman" w:cs="Times New Roman"/>
          <w:lang w:val="en-US" w:eastAsia="zh-CN"/>
        </w:rPr>
        <w:t>.5  固相萃取小柱</w:t>
      </w:r>
    </w:p>
    <w:p w14:paraId="6461FA72">
      <w:pPr>
        <w:bidi w:val="0"/>
        <w:rPr>
          <w:rFonts w:hint="default" w:ascii="Times New Roman" w:hAnsi="Times New Roman" w:cs="Times New Roman"/>
        </w:rPr>
      </w:pPr>
      <w:r>
        <w:rPr>
          <w:rFonts w:hint="default" w:ascii="Times New Roman" w:hAnsi="Times New Roman" w:cs="Times New Roman"/>
        </w:rPr>
        <w:t>土壤的基质复杂，干扰较多，</w:t>
      </w:r>
      <w:r>
        <w:rPr>
          <w:rFonts w:hint="default" w:ascii="Times New Roman" w:hAnsi="Times New Roman" w:cs="Times New Roman"/>
          <w:lang w:val="en-US" w:eastAsia="zh-CN"/>
        </w:rPr>
        <w:t>结合被测目标物理化性质和</w:t>
      </w:r>
      <w:r>
        <w:rPr>
          <w:rFonts w:hint="default" w:ascii="Times New Roman" w:hAnsi="Times New Roman" w:cs="Times New Roman"/>
        </w:rPr>
        <w:t>标准文献资料</w:t>
      </w:r>
      <w:r>
        <w:rPr>
          <w:rFonts w:hint="default" w:ascii="Times New Roman" w:hAnsi="Times New Roman" w:cs="Times New Roman"/>
          <w:lang w:val="en-US" w:eastAsia="zh-CN"/>
        </w:rPr>
        <w:t>调研</w:t>
      </w:r>
      <w:r>
        <w:rPr>
          <w:rFonts w:hint="default" w:ascii="Times New Roman" w:hAnsi="Times New Roman" w:cs="Times New Roman"/>
        </w:rPr>
        <w:t>，编制组选择了硅酸镁柱、硅胶柱</w:t>
      </w:r>
      <w:r>
        <w:rPr>
          <w:rFonts w:hint="default" w:ascii="Times New Roman" w:hAnsi="Times New Roman" w:cs="Times New Roman"/>
          <w:lang w:val="en-US" w:eastAsia="zh-CN"/>
        </w:rPr>
        <w:t>2</w:t>
      </w:r>
      <w:r>
        <w:rPr>
          <w:rFonts w:hint="default" w:ascii="Times New Roman" w:hAnsi="Times New Roman" w:cs="Times New Roman"/>
        </w:rPr>
        <w:t>类固相萃取柱，比较同一浓度下，各固相萃取柱对目标物的净化效果。</w:t>
      </w:r>
    </w:p>
    <w:p w14:paraId="48CE10A0">
      <w:pPr>
        <w:pStyle w:val="3"/>
        <w:bidi w:val="0"/>
        <w:rPr>
          <w:rFonts w:hint="default" w:ascii="Times New Roman" w:hAnsi="Times New Roman" w:cs="Times New Roman"/>
          <w:lang w:val="en-US" w:eastAsia="zh-CN"/>
        </w:rPr>
      </w:pPr>
      <w:bookmarkStart w:id="74" w:name="_Toc28686"/>
      <w:bookmarkStart w:id="75" w:name="_Toc32337"/>
      <w:bookmarkStart w:id="76" w:name="_Toc26212"/>
      <w:r>
        <w:rPr>
          <w:rFonts w:hint="default" w:ascii="Times New Roman" w:hAnsi="Times New Roman" w:cs="Times New Roman"/>
          <w:lang w:val="en-US" w:eastAsia="zh-CN"/>
        </w:rPr>
        <w:t>6.</w:t>
      </w: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仪器和设备</w:t>
      </w:r>
      <w:bookmarkEnd w:id="74"/>
      <w:bookmarkEnd w:id="75"/>
      <w:bookmarkEnd w:id="76"/>
    </w:p>
    <w:p w14:paraId="7B90B86E">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5</w:t>
      </w:r>
      <w:r>
        <w:rPr>
          <w:rFonts w:hint="default" w:ascii="Times New Roman" w:hAnsi="Times New Roman" w:cs="Times New Roman"/>
          <w:lang w:val="en-US" w:eastAsia="zh-CN"/>
        </w:rPr>
        <w:t>.1  气相色谱质谱仪的选择</w:t>
      </w:r>
    </w:p>
    <w:p w14:paraId="71BE7C63">
      <w:pPr>
        <w:bidi w:val="0"/>
        <w:rPr>
          <w:rFonts w:hint="default" w:ascii="Times New Roman" w:hAnsi="Times New Roman" w:cs="Times New Roman"/>
        </w:rPr>
      </w:pPr>
      <w:r>
        <w:rPr>
          <w:rFonts w:hint="default" w:ascii="Times New Roman" w:hAnsi="Times New Roman" w:cs="Times New Roman"/>
        </w:rPr>
        <w:t>近年来，随着仪器的快速发展，气相色谱质谱仪广泛应用于有机样品分析中。气相色谱中的色谱柱对各组分的吸附力不同，吸附力弱的组分易被解吸下来，最先从色谱柱离开进入检测器，吸附力最强的组分最不易被解吸下来，最后从色谱柱中离开，以此分离各组分；而质谱仪可根据不同离子荷质比准确定性，质谱对化合物的鉴定能力强，并且具有非常高的灵敏度。气相色谱质谱仪分离能力强大，能够准确定性、定量，是分离和检测复杂化合物的有力工具之一，适合于基质复杂的土壤样品分析，且全国环境监测行业市级及以上监测单位绝大多数单位均配备气相色谱质谱仪。</w:t>
      </w:r>
      <w:r>
        <w:rPr>
          <w:rFonts w:hint="default" w:ascii="Times New Roman" w:hAnsi="Times New Roman" w:cs="Times New Roman"/>
          <w:lang w:val="en-US" w:eastAsia="zh-CN"/>
        </w:rPr>
        <w:t>三氯杀螨醇虽然受热易分解，但其碱解产物二氯二苯甲酮容易气化且具有良好的热稳定性。</w:t>
      </w:r>
      <w:r>
        <w:rPr>
          <w:rFonts w:hint="default" w:ascii="Times New Roman" w:hAnsi="Times New Roman" w:cs="Times New Roman"/>
        </w:rPr>
        <w:t>综上，本标准选用气相色谱质谱仪进行样品分析。</w:t>
      </w:r>
    </w:p>
    <w:p w14:paraId="695AEAA3">
      <w:pPr>
        <w:pStyle w:val="3"/>
        <w:bidi w:val="0"/>
        <w:rPr>
          <w:rFonts w:hint="default" w:ascii="Times New Roman" w:hAnsi="Times New Roman" w:cs="Times New Roman"/>
          <w:lang w:val="en-US" w:eastAsia="zh-CN"/>
        </w:rPr>
      </w:pPr>
      <w:bookmarkStart w:id="77" w:name="_Toc28345"/>
      <w:bookmarkStart w:id="78" w:name="_Toc6551"/>
      <w:bookmarkStart w:id="79" w:name="_Toc26678"/>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 xml:space="preserve">  样品</w:t>
      </w:r>
      <w:bookmarkEnd w:id="77"/>
      <w:bookmarkEnd w:id="78"/>
      <w:bookmarkEnd w:id="79"/>
    </w:p>
    <w:p w14:paraId="12C13D22">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.1  样品的采集</w:t>
      </w:r>
    </w:p>
    <w:p w14:paraId="6C3F8A1D">
      <w:pPr>
        <w:spacing w:line="36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土壤样品按照HJ/T 166的相关要求采集和保存。样品应于洁净的具塞磨口棕色玻璃瓶中保存。运输过程中应密封、避光、4℃以下冷藏</w:t>
      </w:r>
      <w:r>
        <w:rPr>
          <w:rFonts w:hint="eastAsia" w:cs="Times New Roman"/>
          <w:lang w:val="en-US" w:eastAsia="zh-CN"/>
        </w:rPr>
        <w:t>，</w:t>
      </w:r>
      <w:r>
        <w:rPr>
          <w:rFonts w:hint="default" w:ascii="Times New Roman" w:hAnsi="Times New Roman" w:cs="Times New Roman"/>
          <w:lang w:val="en-US" w:eastAsia="zh-CN"/>
        </w:rPr>
        <w:t>避免干扰引入或样品的破坏，尽快运回实验室进行分析。</w:t>
      </w:r>
    </w:p>
    <w:p w14:paraId="745A41E9">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.2  样品的保存</w:t>
      </w:r>
    </w:p>
    <w:p w14:paraId="2757A745">
      <w:pPr>
        <w:pStyle w:val="5"/>
        <w:bidi w:val="0"/>
        <w:rPr>
          <w:rFonts w:hint="default" w:ascii="Times New Roman" w:hAnsi="Times New Roman" w:cs="Times New Roman"/>
          <w:highlight w:val="red"/>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 xml:space="preserve">.2.1  </w:t>
      </w:r>
      <w:r>
        <w:rPr>
          <w:rFonts w:hint="default" w:ascii="Times New Roman" w:hAnsi="Times New Roman" w:cs="Times New Roman"/>
          <w:highlight w:val="none"/>
          <w:lang w:val="en-US" w:eastAsia="zh-CN"/>
        </w:rPr>
        <w:t>采集样品的保存时间研究</w:t>
      </w:r>
    </w:p>
    <w:p w14:paraId="754E1084">
      <w:pPr>
        <w:bidi w:val="0"/>
        <w:rPr>
          <w:rFonts w:hint="default" w:ascii="Times New Roman" w:hAnsi="Times New Roman" w:cs="Times New Roman"/>
          <w:highlight w:val="red"/>
          <w:lang w:val="en-US" w:eastAsia="zh-CN"/>
        </w:rPr>
      </w:pPr>
      <w:r>
        <w:rPr>
          <w:rFonts w:hint="eastAsia" w:cs="Times New Roman"/>
          <w:lang w:val="en-US" w:eastAsia="zh-CN"/>
        </w:rPr>
        <w:t>样品</w:t>
      </w:r>
      <w:r>
        <w:rPr>
          <w:rFonts w:hint="default" w:ascii="Times New Roman" w:hAnsi="Times New Roman" w:cs="Times New Roman"/>
          <w:lang w:val="en-US" w:eastAsia="zh-CN"/>
        </w:rPr>
        <w:t>运至实验室后，若不能及时分析，应于4℃以下冷藏、避光、密封保存，</w:t>
      </w:r>
      <w:r>
        <w:rPr>
          <w:rFonts w:hint="eastAsia" w:cs="Times New Roman"/>
          <w:lang w:val="en-US" w:eastAsia="zh-CN"/>
        </w:rPr>
        <w:t>三氯杀螨醇</w:t>
      </w:r>
      <w:r>
        <w:rPr>
          <w:rFonts w:hint="default" w:ascii="Times New Roman" w:hAnsi="Times New Roman" w:cs="Times New Roman"/>
          <w:lang w:val="en-US" w:eastAsia="zh-CN"/>
        </w:rPr>
        <w:t>归为半挥发性有机物，故参照HJ/T</w:t>
      </w:r>
      <w:r>
        <w:rPr>
          <w:rFonts w:hint="eastAsia" w:cs="Times New Roman"/>
          <w:lang w:val="en-US" w:eastAsia="zh-CN"/>
        </w:rPr>
        <w:t xml:space="preserve"> </w:t>
      </w:r>
      <w:r>
        <w:rPr>
          <w:rFonts w:hint="default" w:ascii="Times New Roman" w:hAnsi="Times New Roman" w:cs="Times New Roman"/>
          <w:lang w:val="en-US" w:eastAsia="zh-CN"/>
        </w:rPr>
        <w:t>166，样品保存时间定为10</w:t>
      </w:r>
      <w:r>
        <w:rPr>
          <w:rFonts w:hint="eastAsia" w:cs="Times New Roman"/>
          <w:lang w:val="en-US" w:eastAsia="zh-CN"/>
        </w:rPr>
        <w:t xml:space="preserve"> d</w:t>
      </w:r>
      <w:r>
        <w:rPr>
          <w:rFonts w:hint="default" w:ascii="Times New Roman" w:hAnsi="Times New Roman" w:cs="Times New Roman"/>
          <w:lang w:val="en-US" w:eastAsia="zh-CN"/>
        </w:rPr>
        <w:t>。</w:t>
      </w:r>
      <w:r>
        <w:rPr>
          <w:rFonts w:hint="default" w:ascii="Times New Roman" w:hAnsi="Times New Roman" w:cs="Times New Roman"/>
          <w:highlight w:val="none"/>
          <w:lang w:val="en-US" w:eastAsia="zh-CN"/>
        </w:rPr>
        <w:t>10</w:t>
      </w:r>
      <w:r>
        <w:rPr>
          <w:rFonts w:hint="eastAsia" w:cs="Times New Roman"/>
          <w:highlight w:val="none"/>
          <w:lang w:val="en-US" w:eastAsia="zh-CN"/>
        </w:rPr>
        <w:t xml:space="preserve"> d</w:t>
      </w:r>
      <w:r>
        <w:rPr>
          <w:rFonts w:hint="default" w:ascii="Times New Roman" w:hAnsi="Times New Roman" w:cs="Times New Roman"/>
          <w:highlight w:val="none"/>
          <w:lang w:val="en-US" w:eastAsia="zh-CN"/>
        </w:rPr>
        <w:t>内完成</w:t>
      </w:r>
      <w:r>
        <w:rPr>
          <w:rFonts w:hint="eastAsia" w:cs="Times New Roman"/>
          <w:highlight w:val="none"/>
          <w:lang w:val="en-US" w:eastAsia="zh-CN"/>
        </w:rPr>
        <w:t>提取</w:t>
      </w:r>
      <w:r>
        <w:rPr>
          <w:rFonts w:hint="default" w:ascii="Times New Roman" w:hAnsi="Times New Roman" w:cs="Times New Roman"/>
          <w:highlight w:val="none"/>
          <w:lang w:val="en-US" w:eastAsia="zh-CN"/>
        </w:rPr>
        <w:t>，提取后立即碱解</w:t>
      </w:r>
      <w:r>
        <w:rPr>
          <w:rFonts w:hint="default" w:ascii="Times New Roman" w:hAnsi="Times New Roman" w:cs="Times New Roman"/>
          <w:lang w:val="en-US" w:eastAsia="zh-CN"/>
        </w:rPr>
        <w:t>。碱解后</w:t>
      </w:r>
      <w:r>
        <w:rPr>
          <w:rFonts w:hint="default" w:ascii="Times New Roman" w:hAnsi="Times New Roman" w:cs="Times New Roman"/>
          <w:color w:val="000000"/>
          <w:szCs w:val="21"/>
          <w:highlight w:val="none"/>
        </w:rPr>
        <w:t>提取液4℃以下密封、避光保存。</w:t>
      </w:r>
    </w:p>
    <w:p w14:paraId="4C914D2B">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.2.2  碱解后提取液的保存时间研究</w:t>
      </w:r>
    </w:p>
    <w:p w14:paraId="2BC9EF24">
      <w:pPr>
        <w:bidi w:val="0"/>
        <w:rPr>
          <w:rFonts w:hint="default" w:ascii="Times New Roman" w:hAnsi="Times New Roman" w:cs="Times New Roman"/>
          <w:highlight w:val="yellow"/>
        </w:rPr>
      </w:pPr>
      <w:r>
        <w:rPr>
          <w:rFonts w:hint="default" w:ascii="Times New Roman" w:hAnsi="Times New Roman" w:cs="Times New Roman"/>
        </w:rPr>
        <w:t>为确定碱解后提取液的保存时限，编制组将加标样品进行快速溶剂萃取，碱解处理后，分别于0 d、7 d、15d、30 d、</w:t>
      </w:r>
      <w:r>
        <w:rPr>
          <w:rFonts w:hint="eastAsia" w:cs="Times New Roman"/>
          <w:lang w:val="en-US" w:eastAsia="zh-CN"/>
        </w:rPr>
        <w:t>40 d、</w:t>
      </w:r>
      <w:r>
        <w:rPr>
          <w:rFonts w:hint="default" w:ascii="Times New Roman" w:hAnsi="Times New Roman" w:cs="Times New Roman"/>
        </w:rPr>
        <w:t>60 d对碱解后提取液进行跟踪测试，以考查碱解后提取液中目标化合物的浓度随时间的变化情况。结果如图</w:t>
      </w:r>
      <w:r>
        <w:rPr>
          <w:rFonts w:hint="eastAsia" w:cs="Times New Roman"/>
          <w:lang w:val="en-US" w:eastAsia="zh-CN"/>
        </w:rPr>
        <w:t>8</w:t>
      </w:r>
      <w:r>
        <w:rPr>
          <w:rFonts w:hint="default" w:ascii="Times New Roman" w:hAnsi="Times New Roman" w:cs="Times New Roman"/>
        </w:rPr>
        <w:t>所示：</w:t>
      </w:r>
      <w:r>
        <w:rPr>
          <w:rFonts w:hint="eastAsia" w:cs="Times New Roman"/>
          <w:lang w:val="en-US" w:eastAsia="zh-CN"/>
        </w:rPr>
        <w:t>随着时间的推移，回收率整体呈上升趋势，这可能是三氯杀螨醇本身比较稳定，但溶剂挥发导致回收率提高。</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种目标化合物的浓度在0 d</w:t>
      </w:r>
      <w:r>
        <w:rPr>
          <w:rFonts w:hint="default" w:ascii="Times New Roman" w:hAnsi="Times New Roman" w:cs="Times New Roman"/>
          <w:highlight w:val="none"/>
          <w:lang w:eastAsia="zh-CN"/>
        </w:rPr>
        <w:t>~</w:t>
      </w:r>
      <w:r>
        <w:rPr>
          <w:rFonts w:hint="eastAsia" w:cs="Times New Roman"/>
          <w:highlight w:val="none"/>
          <w:lang w:val="en-US" w:eastAsia="zh-CN"/>
        </w:rPr>
        <w:t>4</w:t>
      </w:r>
      <w:r>
        <w:rPr>
          <w:rFonts w:hint="default" w:ascii="Times New Roman" w:hAnsi="Times New Roman" w:cs="Times New Roman"/>
          <w:highlight w:val="none"/>
        </w:rPr>
        <w:t>0</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d内平均回收率均在</w:t>
      </w:r>
      <w:r>
        <w:rPr>
          <w:rFonts w:hint="eastAsia" w:cs="Times New Roman"/>
          <w:highlight w:val="none"/>
          <w:lang w:val="en-US" w:eastAsia="zh-CN"/>
        </w:rPr>
        <w:t>110</w:t>
      </w:r>
      <w:r>
        <w:rPr>
          <w:rFonts w:hint="default" w:ascii="Times New Roman" w:hAnsi="Times New Roman" w:cs="Times New Roman"/>
          <w:highlight w:val="none"/>
        </w:rPr>
        <w:t>%以</w:t>
      </w:r>
      <w:r>
        <w:rPr>
          <w:rFonts w:hint="eastAsia" w:cs="Times New Roman"/>
          <w:highlight w:val="none"/>
          <w:lang w:val="en-US" w:eastAsia="zh-CN"/>
        </w:rPr>
        <w:t>内</w:t>
      </w:r>
      <w:r>
        <w:rPr>
          <w:rFonts w:hint="default" w:ascii="Times New Roman" w:hAnsi="Times New Roman" w:cs="Times New Roman"/>
          <w:highlight w:val="none"/>
        </w:rPr>
        <w:t>，60 d时</w:t>
      </w:r>
      <w:r>
        <w:rPr>
          <w:rFonts w:hint="eastAsia" w:cs="Times New Roman"/>
          <w:highlight w:val="none"/>
          <w:lang w:val="en-US" w:eastAsia="zh-CN"/>
        </w:rPr>
        <w:t>2种目</w:t>
      </w:r>
      <w:r>
        <w:rPr>
          <w:rFonts w:hint="default" w:ascii="Times New Roman" w:hAnsi="Times New Roman" w:cs="Times New Roman"/>
          <w:highlight w:val="none"/>
        </w:rPr>
        <w:t>标化合物的平均回收率</w:t>
      </w:r>
      <w:r>
        <w:rPr>
          <w:rFonts w:hint="eastAsia" w:cs="Times New Roman"/>
          <w:highlight w:val="none"/>
          <w:lang w:val="en-US" w:eastAsia="zh-CN"/>
        </w:rPr>
        <w:t>均超过110</w:t>
      </w:r>
      <w:r>
        <w:rPr>
          <w:rFonts w:hint="default" w:ascii="Times New Roman" w:hAnsi="Times New Roman" w:cs="Times New Roman"/>
          <w:highlight w:val="none"/>
        </w:rPr>
        <w:t>%。考虑所有目标化合物的响应大小，</w:t>
      </w:r>
      <w:r>
        <w:rPr>
          <w:rFonts w:hint="default" w:ascii="Times New Roman" w:hAnsi="Times New Roman" w:cs="Times New Roman"/>
          <w:highlight w:val="none"/>
          <w:lang w:val="en-US" w:eastAsia="zh-CN"/>
        </w:rPr>
        <w:t>碱解后</w:t>
      </w:r>
      <w:r>
        <w:rPr>
          <w:rFonts w:hint="default" w:ascii="Times New Roman" w:hAnsi="Times New Roman" w:cs="Times New Roman"/>
          <w:highlight w:val="none"/>
        </w:rPr>
        <w:t>提取液</w:t>
      </w:r>
      <w:r>
        <w:rPr>
          <w:rFonts w:hint="eastAsia" w:cs="Times New Roman"/>
          <w:highlight w:val="none"/>
          <w:lang w:val="en-US" w:eastAsia="zh-CN"/>
        </w:rPr>
        <w:t>建议</w:t>
      </w:r>
      <w:r>
        <w:rPr>
          <w:rFonts w:hint="default" w:ascii="Times New Roman" w:hAnsi="Times New Roman" w:cs="Times New Roman"/>
          <w:highlight w:val="none"/>
        </w:rPr>
        <w:t>在</w:t>
      </w:r>
      <w:r>
        <w:rPr>
          <w:rFonts w:hint="eastAsia" w:cs="Times New Roman"/>
          <w:highlight w:val="none"/>
          <w:lang w:val="en-US" w:eastAsia="zh-CN"/>
        </w:rPr>
        <w:t>4</w:t>
      </w:r>
      <w:r>
        <w:rPr>
          <w:rFonts w:hint="default" w:ascii="Times New Roman" w:hAnsi="Times New Roman" w:cs="Times New Roman"/>
          <w:highlight w:val="none"/>
        </w:rPr>
        <w:t>0 d内完成分析。</w:t>
      </w:r>
    </w:p>
    <w:p w14:paraId="79D5B641">
      <w:pPr>
        <w:bidi w:val="0"/>
        <w:rPr>
          <w:rFonts w:hint="default" w:ascii="Times New Roman" w:hAnsi="Times New Roman" w:cs="Times New Roman"/>
          <w:highlight w:val="none"/>
        </w:rPr>
      </w:pPr>
      <w:r>
        <w:rPr>
          <w:rFonts w:hint="default" w:ascii="Times New Roman" w:hAnsi="Times New Roman" w:cs="Times New Roman"/>
          <w:highlight w:val="none"/>
        </w:rPr>
        <w:t>综合上述样品及</w:t>
      </w:r>
      <w:r>
        <w:rPr>
          <w:rFonts w:hint="default" w:ascii="Times New Roman" w:hAnsi="Times New Roman" w:cs="Times New Roman"/>
          <w:highlight w:val="none"/>
          <w:lang w:val="en-US" w:eastAsia="zh-CN"/>
        </w:rPr>
        <w:t>碱解后</w:t>
      </w:r>
      <w:r>
        <w:rPr>
          <w:rFonts w:hint="default" w:ascii="Times New Roman" w:hAnsi="Times New Roman" w:cs="Times New Roman"/>
          <w:highlight w:val="none"/>
        </w:rPr>
        <w:t>提取液保存试验结果，编制组最终确定按照如下方式保存样品及萃取液：4℃冷藏、避光运输及保存，</w:t>
      </w:r>
      <w:r>
        <w:rPr>
          <w:rFonts w:hint="default" w:ascii="Times New Roman" w:hAnsi="Times New Roman" w:cs="Times New Roman"/>
          <w:highlight w:val="none"/>
          <w:lang w:val="en-US" w:eastAsia="zh-CN"/>
        </w:rPr>
        <w:t xml:space="preserve">10 </w:t>
      </w:r>
      <w:r>
        <w:rPr>
          <w:rFonts w:hint="default" w:ascii="Times New Roman" w:hAnsi="Times New Roman" w:cs="Times New Roman"/>
          <w:highlight w:val="none"/>
        </w:rPr>
        <w:t>d内完成</w:t>
      </w:r>
      <w:r>
        <w:rPr>
          <w:rFonts w:hint="eastAsia" w:cs="Times New Roman"/>
          <w:highlight w:val="none"/>
          <w:lang w:val="en-US" w:eastAsia="zh-CN"/>
        </w:rPr>
        <w:t>提</w:t>
      </w:r>
      <w:r>
        <w:rPr>
          <w:rFonts w:hint="default" w:ascii="Times New Roman" w:hAnsi="Times New Roman" w:cs="Times New Roman"/>
          <w:highlight w:val="none"/>
        </w:rPr>
        <w:t>取，若</w:t>
      </w:r>
      <w:r>
        <w:rPr>
          <w:rFonts w:hint="default" w:ascii="Times New Roman" w:hAnsi="Times New Roman" w:cs="Times New Roman"/>
          <w:highlight w:val="none"/>
          <w:lang w:val="en-US" w:eastAsia="zh-CN"/>
        </w:rPr>
        <w:t>碱解后</w:t>
      </w:r>
      <w:r>
        <w:rPr>
          <w:rFonts w:hint="default" w:ascii="Times New Roman" w:hAnsi="Times New Roman" w:cs="Times New Roman"/>
          <w:highlight w:val="none"/>
        </w:rPr>
        <w:t>提取液不能及时分析，可在4℃以下避光保存</w:t>
      </w:r>
      <w:r>
        <w:rPr>
          <w:rFonts w:hint="eastAsia" w:cs="Times New Roman"/>
          <w:highlight w:val="none"/>
          <w:lang w:val="en-US" w:eastAsia="zh-CN"/>
        </w:rPr>
        <w:t>4</w:t>
      </w:r>
      <w:r>
        <w:rPr>
          <w:rFonts w:hint="default" w:ascii="Times New Roman" w:hAnsi="Times New Roman" w:cs="Times New Roman"/>
          <w:highlight w:val="none"/>
        </w:rPr>
        <w:t>0</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d。</w:t>
      </w:r>
    </w:p>
    <w:p w14:paraId="558EF614">
      <w:pPr>
        <w:keepNext w:val="0"/>
        <w:keepLines w:val="0"/>
        <w:pageBreakBefore w:val="0"/>
        <w:widowControl w:val="0"/>
        <w:kinsoku/>
        <w:wordWrap/>
        <w:overflowPunct/>
        <w:topLinePunct/>
        <w:autoSpaceDE w:val="0"/>
        <w:autoSpaceDN w:val="0"/>
        <w:bidi w:val="0"/>
        <w:adjustRightInd/>
        <w:snapToGrid/>
        <w:spacing w:before="157" w:beforeLines="50" w:line="360" w:lineRule="exact"/>
        <w:ind w:left="0" w:leftChars="0" w:firstLine="0" w:firstLineChars="0"/>
        <w:jc w:val="center"/>
        <w:textAlignment w:val="auto"/>
        <w:rPr>
          <w:rFonts w:hint="eastAsia" w:ascii="Times New Roman" w:hAnsi="Times New Roman" w:eastAsia="黑体" w:cs="Times New Roman"/>
          <w:color w:val="000000"/>
          <w:szCs w:val="21"/>
          <w:highlight w:val="none"/>
          <w:lang w:val="en-US" w:eastAsia="zh-CN"/>
        </w:rPr>
      </w:pPr>
      <w:r>
        <w:rPr>
          <w:rFonts w:hint="eastAsia" w:ascii="Times New Roman" w:hAnsi="Times New Roman" w:eastAsia="黑体" w:cs="Times New Roman"/>
          <w:color w:val="000000"/>
          <w:szCs w:val="21"/>
          <w:highlight w:val="none"/>
          <w:lang w:val="en-US" w:eastAsia="zh-CN"/>
        </w:rPr>
        <w:drawing>
          <wp:anchor distT="0" distB="0" distL="114300" distR="114300" simplePos="0" relativeHeight="251670528" behindDoc="0" locked="0" layoutInCell="1" allowOverlap="1">
            <wp:simplePos x="0" y="0"/>
            <wp:positionH relativeFrom="column">
              <wp:posOffset>901065</wp:posOffset>
            </wp:positionH>
            <wp:positionV relativeFrom="paragraph">
              <wp:posOffset>98425</wp:posOffset>
            </wp:positionV>
            <wp:extent cx="3794760" cy="2160270"/>
            <wp:effectExtent l="0" t="0" r="2540" b="11430"/>
            <wp:wrapTopAndBottom/>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pic:cNvPicPr>
                  </pic:nvPicPr>
                  <pic:blipFill>
                    <a:blip r:embed="rId16"/>
                    <a:stretch>
                      <a:fillRect/>
                    </a:stretch>
                  </pic:blipFill>
                  <pic:spPr>
                    <a:xfrm>
                      <a:off x="0" y="0"/>
                      <a:ext cx="3794760" cy="2160270"/>
                    </a:xfrm>
                    <a:prstGeom prst="rect">
                      <a:avLst/>
                    </a:prstGeom>
                  </pic:spPr>
                </pic:pic>
              </a:graphicData>
            </a:graphic>
          </wp:anchor>
        </w:drawing>
      </w:r>
      <w:r>
        <w:rPr>
          <w:rFonts w:hint="eastAsia" w:ascii="Times New Roman" w:hAnsi="Times New Roman" w:eastAsia="黑体" w:cs="Times New Roman"/>
          <w:color w:val="000000"/>
          <w:szCs w:val="21"/>
          <w:highlight w:val="none"/>
          <w:lang w:val="en-US" w:eastAsia="zh-CN"/>
        </w:rPr>
        <w:t>图</w:t>
      </w:r>
      <w:r>
        <w:rPr>
          <w:rFonts w:hint="eastAsia" w:eastAsia="黑体" w:cs="Times New Roman"/>
          <w:color w:val="000000"/>
          <w:szCs w:val="21"/>
          <w:highlight w:val="none"/>
          <w:lang w:val="en-US" w:eastAsia="zh-CN"/>
        </w:rPr>
        <w:t xml:space="preserve">8 </w:t>
      </w:r>
      <w:r>
        <w:rPr>
          <w:rFonts w:hint="eastAsia" w:ascii="Times New Roman" w:hAnsi="Times New Roman" w:eastAsia="黑体" w:cs="Times New Roman"/>
          <w:color w:val="000000"/>
          <w:szCs w:val="21"/>
          <w:highlight w:val="none"/>
          <w:lang w:val="en-US" w:eastAsia="zh-CN"/>
        </w:rPr>
        <w:t xml:space="preserve"> </w:t>
      </w:r>
      <w:r>
        <w:rPr>
          <w:rFonts w:hint="eastAsia" w:eastAsia="黑体" w:cs="Times New Roman"/>
          <w:color w:val="000000"/>
          <w:szCs w:val="21"/>
          <w:highlight w:val="none"/>
          <w:lang w:val="en-US" w:eastAsia="zh-CN"/>
        </w:rPr>
        <w:t>碱解后</w:t>
      </w:r>
      <w:r>
        <w:rPr>
          <w:rFonts w:hint="eastAsia" w:ascii="Times New Roman" w:hAnsi="Times New Roman" w:eastAsia="黑体" w:cs="Times New Roman"/>
          <w:color w:val="000000"/>
          <w:szCs w:val="21"/>
          <w:highlight w:val="none"/>
          <w:lang w:val="en-US" w:eastAsia="zh-CN"/>
        </w:rPr>
        <w:t>不同保存时间下</w:t>
      </w:r>
      <w:r>
        <w:rPr>
          <w:rFonts w:hint="eastAsia" w:eastAsia="黑体" w:cs="Times New Roman"/>
          <w:color w:val="000000"/>
          <w:szCs w:val="21"/>
          <w:highlight w:val="none"/>
          <w:lang w:val="en-US" w:eastAsia="zh-CN"/>
        </w:rPr>
        <w:t>三氯杀螨醇</w:t>
      </w:r>
      <w:r>
        <w:rPr>
          <w:rFonts w:hint="eastAsia" w:ascii="Times New Roman" w:hAnsi="Times New Roman" w:eastAsia="黑体" w:cs="Times New Roman"/>
          <w:color w:val="000000"/>
          <w:szCs w:val="21"/>
          <w:highlight w:val="none"/>
          <w:lang w:val="en-US" w:eastAsia="zh-CN"/>
        </w:rPr>
        <w:t>的回收率</w:t>
      </w:r>
    </w:p>
    <w:p w14:paraId="10C59902">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.3  样品的制备</w:t>
      </w:r>
    </w:p>
    <w:p w14:paraId="1AD17983">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.3.1  样品制备</w:t>
      </w:r>
    </w:p>
    <w:p w14:paraId="093C2424">
      <w:pPr>
        <w:bidi w:val="0"/>
        <w:rPr>
          <w:rFonts w:hint="default" w:ascii="Times New Roman" w:hAnsi="Times New Roman" w:cs="Times New Roman"/>
          <w:lang w:val="en-US" w:eastAsia="zh-CN"/>
        </w:rPr>
      </w:pPr>
      <w:r>
        <w:rPr>
          <w:rFonts w:hint="default" w:ascii="Times New Roman" w:hAnsi="Times New Roman" w:cs="Times New Roman"/>
          <w:lang w:val="en-US" w:eastAsia="zh-CN"/>
        </w:rPr>
        <w:t>将样品放在搪瓷盘或不锈钢盘上，混匀，除去枝棒、叶片、石子等异物，按照HJ/T 166进行四分法粗分。一般情况下应对新鲜样品进行处理。新鲜土壤样品可采用冷冻干燥和干燥剂脱水干燥。如果土壤样品中水分含量较高（大于30%），应先进行离心分离出水相，再进行干燥处理。</w:t>
      </w:r>
    </w:p>
    <w:p w14:paraId="023488FE">
      <w:pPr>
        <w:bidi w:val="0"/>
        <w:rPr>
          <w:rFonts w:hint="default" w:ascii="Times New Roman" w:hAnsi="Times New Roman" w:cs="Times New Roman"/>
          <w:lang w:val="en-US" w:eastAsia="zh-CN"/>
        </w:rPr>
      </w:pPr>
      <w:r>
        <w:rPr>
          <w:rFonts w:hint="default" w:ascii="Times New Roman" w:hAnsi="Times New Roman" w:cs="Times New Roman"/>
          <w:lang w:val="en-US" w:eastAsia="zh-CN"/>
        </w:rPr>
        <w:t>方法一：冻干法。取适量混匀后样品，放入真空冷冻干燥仪（5.4）中干燥脱水。干燥后的样品需研磨、过250 µm（60目）孔径的筛子，均化处理成250 µm（60目）左右的颗粒。然后称取20 g（精确到0.01 g）样品进行提取。</w:t>
      </w:r>
    </w:p>
    <w:p w14:paraId="4840DD4A">
      <w:pPr>
        <w:bidi w:val="0"/>
        <w:rPr>
          <w:rFonts w:hint="default" w:ascii="Times New Roman" w:hAnsi="Times New Roman" w:cs="Times New Roman"/>
          <w:lang w:val="en-US" w:eastAsia="zh-CN"/>
        </w:rPr>
      </w:pPr>
      <w:r>
        <w:rPr>
          <w:rFonts w:hint="default" w:ascii="Times New Roman" w:hAnsi="Times New Roman" w:cs="Times New Roman"/>
          <w:lang w:val="en-US" w:eastAsia="zh-CN"/>
        </w:rPr>
        <w:t>方法二：干燥剂法。称取20 g（精确到0.01 g）的新鲜样品，加入一定量的干燥剂（4.23）混匀、脱水并研磨成细小颗粒，充分拌匀直到散粒状，全部转移至提取容器中待用。</w:t>
      </w:r>
    </w:p>
    <w:p w14:paraId="0D06B432">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6</w:t>
      </w:r>
      <w:r>
        <w:rPr>
          <w:rFonts w:hint="default" w:ascii="Times New Roman" w:hAnsi="Times New Roman" w:cs="Times New Roman"/>
          <w:lang w:val="en-US" w:eastAsia="zh-CN"/>
        </w:rPr>
        <w:t>.3.2  干物质含量的测定</w:t>
      </w:r>
    </w:p>
    <w:p w14:paraId="467A83AC">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按照HJ 613进行土壤样品干物质含量的测定。</w:t>
      </w:r>
    </w:p>
    <w:p w14:paraId="2EB3FA75">
      <w:pPr>
        <w:pStyle w:val="3"/>
        <w:bidi w:val="0"/>
        <w:rPr>
          <w:rFonts w:hint="default" w:ascii="Times New Roman" w:hAnsi="Times New Roman" w:cs="Times New Roman"/>
          <w:lang w:val="en-US" w:eastAsia="zh-CN"/>
        </w:rPr>
      </w:pPr>
      <w:bookmarkStart w:id="80" w:name="_Toc20355"/>
      <w:bookmarkStart w:id="81" w:name="_Toc31859"/>
      <w:bookmarkStart w:id="82" w:name="_Toc14070"/>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 xml:space="preserve">  样品的前处理</w:t>
      </w:r>
      <w:bookmarkEnd w:id="80"/>
      <w:bookmarkEnd w:id="81"/>
      <w:bookmarkEnd w:id="82"/>
    </w:p>
    <w:p w14:paraId="74FDF757">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 xml:space="preserve">.1  </w:t>
      </w:r>
      <w:r>
        <w:rPr>
          <w:rFonts w:hint="eastAsia" w:ascii="Times New Roman" w:hAnsi="Times New Roman" w:cs="Times New Roman"/>
          <w:lang w:val="en-US" w:eastAsia="zh-CN"/>
        </w:rPr>
        <w:t>样品的</w:t>
      </w:r>
      <w:r>
        <w:rPr>
          <w:rFonts w:hint="default" w:ascii="Times New Roman" w:hAnsi="Times New Roman" w:cs="Times New Roman"/>
          <w:lang w:val="en-US" w:eastAsia="zh-CN"/>
        </w:rPr>
        <w:t>提取</w:t>
      </w:r>
    </w:p>
    <w:p w14:paraId="6925425E">
      <w:pPr>
        <w:bidi w:val="0"/>
        <w:rPr>
          <w:rFonts w:hint="default"/>
        </w:rPr>
      </w:pPr>
      <w:r>
        <w:rPr>
          <w:rFonts w:hint="default"/>
        </w:rPr>
        <w:t>将制备好的样品使用索氏提取、自动索氏提取、加压流体萃取和超声等适合的方法进行提取。</w:t>
      </w:r>
      <w:r>
        <w:rPr>
          <w:rFonts w:hint="eastAsia"/>
          <w:lang w:val="en-US" w:eastAsia="zh-CN"/>
        </w:rPr>
        <w:t>三氯杀螨醇</w:t>
      </w:r>
      <w:r>
        <w:rPr>
          <w:rFonts w:hint="default"/>
        </w:rPr>
        <w:t>提取选择正己烷-丙酮（1:1）做为</w:t>
      </w:r>
      <w:r>
        <w:rPr>
          <w:rFonts w:hint="eastAsia"/>
          <w:lang w:val="en-US" w:eastAsia="zh-CN"/>
        </w:rPr>
        <w:t>提取</w:t>
      </w:r>
      <w:r>
        <w:rPr>
          <w:rFonts w:hint="default"/>
        </w:rPr>
        <w:t>溶剂。</w:t>
      </w:r>
    </w:p>
    <w:p w14:paraId="230A8605">
      <w:pPr>
        <w:bidi w:val="0"/>
        <w:rPr>
          <w:rFonts w:hint="default"/>
        </w:rPr>
      </w:pPr>
      <w:r>
        <w:rPr>
          <w:rFonts w:hint="default"/>
        </w:rPr>
        <w:t>制备的样品量视分析方法及样品的情况而定，土壤一般需要</w:t>
      </w:r>
      <w:r>
        <w:rPr>
          <w:rFonts w:hint="eastAsia"/>
          <w:lang w:val="en-US" w:eastAsia="zh-CN"/>
        </w:rPr>
        <w:t>称量1</w:t>
      </w:r>
      <w:r>
        <w:rPr>
          <w:rFonts w:hint="default"/>
        </w:rPr>
        <w:t>0</w:t>
      </w:r>
      <w:r>
        <w:rPr>
          <w:rFonts w:hint="eastAsia"/>
          <w:lang w:val="en-US" w:eastAsia="zh-CN"/>
        </w:rPr>
        <w:t xml:space="preserve"> g</w:t>
      </w:r>
      <w:r>
        <w:rPr>
          <w:rFonts w:hint="default"/>
        </w:rPr>
        <w:t>左右的样品。</w:t>
      </w:r>
    </w:p>
    <w:p w14:paraId="7ECE0FCC">
      <w:pPr>
        <w:bidi w:val="0"/>
        <w:rPr>
          <w:rFonts w:hint="default"/>
          <w:lang w:val="en-US" w:eastAsia="zh-CN"/>
        </w:rPr>
      </w:pPr>
      <w:r>
        <w:rPr>
          <w:rFonts w:hint="default"/>
        </w:rPr>
        <w:t>做为一个完整的有机物方法，不能没有提取步骤，提取方法已经做为独立方法</w:t>
      </w:r>
      <w:r>
        <w:rPr>
          <w:rFonts w:hint="eastAsia"/>
          <w:lang w:val="en-US" w:eastAsia="zh-CN"/>
        </w:rPr>
        <w:t>研究并发布</w:t>
      </w:r>
      <w:r>
        <w:rPr>
          <w:rFonts w:hint="default"/>
        </w:rPr>
        <w:t>，本标准在此仅提出几种供选择的提取技术，并对样品量有一个建议，但不排斥根据具体情况选择适当的样品量。这里不再列出不同提取技术效果比较结论。</w:t>
      </w:r>
    </w:p>
    <w:p w14:paraId="61C31369">
      <w:pPr>
        <w:bidi w:val="0"/>
        <w:rPr>
          <w:rFonts w:hint="default"/>
        </w:rPr>
      </w:pPr>
      <w:r>
        <w:rPr>
          <w:rFonts w:hint="default"/>
        </w:rPr>
        <w:t>关于提取溶剂的选择，美国环保标准方法EPA</w:t>
      </w:r>
      <w:r>
        <w:rPr>
          <w:rFonts w:hint="eastAsia"/>
          <w:lang w:val="en-US" w:eastAsia="zh-CN"/>
        </w:rPr>
        <w:t xml:space="preserve"> </w:t>
      </w:r>
      <w:r>
        <w:rPr>
          <w:rFonts w:hint="default"/>
        </w:rPr>
        <w:t>8081中提取溶剂为正己烷</w:t>
      </w:r>
      <w:r>
        <w:rPr>
          <w:rFonts w:hint="eastAsia"/>
          <w:lang w:val="en-US" w:eastAsia="zh-CN"/>
        </w:rPr>
        <w:t>-</w:t>
      </w:r>
      <w:r>
        <w:rPr>
          <w:rFonts w:hint="default"/>
        </w:rPr>
        <w:t>丙酮（1:1）或二氯甲烷</w:t>
      </w:r>
      <w:r>
        <w:rPr>
          <w:rFonts w:hint="eastAsia"/>
          <w:lang w:val="en-US" w:eastAsia="zh-CN"/>
        </w:rPr>
        <w:t>-</w:t>
      </w:r>
      <w:r>
        <w:rPr>
          <w:rFonts w:hint="default"/>
        </w:rPr>
        <w:t>丙酮（1:1）</w:t>
      </w:r>
      <w:r>
        <w:rPr>
          <w:rFonts w:hint="eastAsia"/>
          <w:lang w:eastAsia="zh-CN"/>
        </w:rPr>
        <w:t>，</w:t>
      </w:r>
      <w:r>
        <w:rPr>
          <w:rFonts w:hint="default"/>
        </w:rPr>
        <w:t>EPA</w:t>
      </w:r>
      <w:r>
        <w:rPr>
          <w:rFonts w:hint="eastAsia"/>
          <w:lang w:val="en-US" w:eastAsia="zh-CN"/>
        </w:rPr>
        <w:t xml:space="preserve"> </w:t>
      </w:r>
      <w:r>
        <w:rPr>
          <w:rFonts w:hint="default"/>
        </w:rPr>
        <w:t>3545加压流体萃取法中有机氯取溶剂也为正己烷</w:t>
      </w:r>
      <w:r>
        <w:rPr>
          <w:rFonts w:hint="eastAsia"/>
          <w:lang w:val="en-US" w:eastAsia="zh-CN"/>
        </w:rPr>
        <w:t>-</w:t>
      </w:r>
      <w:r>
        <w:rPr>
          <w:rFonts w:hint="default"/>
        </w:rPr>
        <w:t>丙酮（1:1）或二氯甲烷</w:t>
      </w:r>
      <w:r>
        <w:rPr>
          <w:rFonts w:hint="eastAsia"/>
          <w:lang w:val="en-US" w:eastAsia="zh-CN"/>
        </w:rPr>
        <w:t>-</w:t>
      </w:r>
      <w:r>
        <w:rPr>
          <w:rFonts w:hint="default"/>
        </w:rPr>
        <w:t>丙酮（1:1），我国标准GB/T</w:t>
      </w:r>
      <w:r>
        <w:rPr>
          <w:rFonts w:hint="eastAsia"/>
          <w:lang w:val="en-US" w:eastAsia="zh-CN"/>
        </w:rPr>
        <w:t xml:space="preserve"> </w:t>
      </w:r>
      <w:r>
        <w:rPr>
          <w:rFonts w:hint="default"/>
        </w:rPr>
        <w:t>14550-93中使用的萃取溶剂为石油醚</w:t>
      </w:r>
      <w:r>
        <w:rPr>
          <w:rFonts w:hint="eastAsia"/>
          <w:lang w:val="en-US" w:eastAsia="zh-CN"/>
        </w:rPr>
        <w:t>-</w:t>
      </w:r>
      <w:r>
        <w:rPr>
          <w:rFonts w:hint="default"/>
        </w:rPr>
        <w:t>丙酮（1:1），综合文献，本标准方法推荐使用</w:t>
      </w:r>
      <w:r>
        <w:rPr>
          <w:rFonts w:hint="eastAsia"/>
          <w:lang w:val="en-US" w:eastAsia="zh-CN"/>
        </w:rPr>
        <w:t>提取</w:t>
      </w:r>
      <w:r>
        <w:rPr>
          <w:rFonts w:hint="default"/>
        </w:rPr>
        <w:t>溶剂为正己烷</w:t>
      </w:r>
      <w:r>
        <w:rPr>
          <w:rFonts w:hint="eastAsia"/>
          <w:lang w:val="en-US" w:eastAsia="zh-CN"/>
        </w:rPr>
        <w:t>-</w:t>
      </w:r>
      <w:r>
        <w:rPr>
          <w:rFonts w:hint="default"/>
        </w:rPr>
        <w:t>丙酮（1:1），其他</w:t>
      </w:r>
      <w:r>
        <w:rPr>
          <w:rFonts w:hint="eastAsia"/>
          <w:lang w:val="en-US" w:eastAsia="zh-CN"/>
        </w:rPr>
        <w:t>提取</w:t>
      </w:r>
      <w:r>
        <w:rPr>
          <w:rFonts w:hint="default"/>
        </w:rPr>
        <w:t>溶剂经验证也可使用。</w:t>
      </w:r>
    </w:p>
    <w:p w14:paraId="5D2FEA3D">
      <w:pPr>
        <w:widowControl/>
        <w:ind w:firstLine="420" w:firstLineChars="200"/>
        <w:jc w:val="left"/>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编制组推荐参照《土壤和沉积物 有机物的提取 加压流体萃取法》（HJ 783-2016）使用加压流体萃取法进行样品的提取。</w:t>
      </w:r>
      <w:r>
        <w:rPr>
          <w:rFonts w:hint="default" w:ascii="Times New Roman" w:hAnsi="Times New Roman" w:cs="Times New Roman"/>
          <w:color w:val="000000"/>
          <w:szCs w:val="21"/>
          <w:highlight w:val="none"/>
        </w:rPr>
        <w:t>以正己烷-丙酮混合溶剂（1:1）为提取溶剂，提取温度为100℃。</w:t>
      </w:r>
      <w:r>
        <w:rPr>
          <w:rFonts w:hint="default" w:ascii="Times New Roman" w:hAnsi="Times New Roman" w:cs="Times New Roman"/>
          <w:color w:val="000000"/>
          <w:szCs w:val="21"/>
          <w:highlight w:val="none"/>
          <w:lang w:val="en-US" w:eastAsia="zh-CN"/>
        </w:rPr>
        <w:t>循环次数、</w:t>
      </w:r>
      <w:r>
        <w:rPr>
          <w:rFonts w:hint="default" w:ascii="Times New Roman" w:hAnsi="Times New Roman" w:cs="Times New Roman"/>
          <w:color w:val="000000"/>
          <w:szCs w:val="21"/>
          <w:highlight w:val="none"/>
        </w:rPr>
        <w:t>提取压力、静态提取时间、池体积以及氮气吹扫时间均参照</w:t>
      </w:r>
      <w:r>
        <w:rPr>
          <w:rFonts w:hint="default" w:ascii="Times New Roman" w:hAnsi="Times New Roman" w:cs="Times New Roman"/>
          <w:color w:val="000000"/>
          <w:kern w:val="0"/>
          <w:szCs w:val="21"/>
          <w:highlight w:val="none"/>
          <w:lang w:bidi="ar"/>
        </w:rPr>
        <w:t>加压流体萃取</w:t>
      </w:r>
      <w:r>
        <w:rPr>
          <w:rFonts w:hint="default" w:ascii="Times New Roman" w:hAnsi="Times New Roman" w:cs="Times New Roman"/>
          <w:color w:val="000000"/>
          <w:szCs w:val="21"/>
          <w:highlight w:val="none"/>
        </w:rPr>
        <w:t>提取一般方法，分别为</w:t>
      </w:r>
      <w:r>
        <w:rPr>
          <w:rFonts w:hint="default" w:ascii="Times New Roman" w:hAnsi="Times New Roman" w:cs="Times New Roman"/>
          <w:color w:val="000000"/>
          <w:szCs w:val="21"/>
          <w:highlight w:val="none"/>
          <w:lang w:val="en-US" w:eastAsia="zh-CN"/>
        </w:rPr>
        <w:t>2次、</w:t>
      </w:r>
      <w:r>
        <w:rPr>
          <w:rFonts w:hint="default" w:ascii="Times New Roman" w:hAnsi="Times New Roman" w:cs="Times New Roman"/>
          <w:color w:val="000000"/>
          <w:szCs w:val="21"/>
          <w:highlight w:val="none"/>
        </w:rPr>
        <w:t>1500 psi、5 min、</w:t>
      </w:r>
      <w:r>
        <w:rPr>
          <w:rFonts w:hint="eastAsia" w:cs="Times New Roman"/>
          <w:color w:val="000000"/>
          <w:szCs w:val="21"/>
          <w:highlight w:val="none"/>
          <w:lang w:val="en-US" w:eastAsia="zh-CN"/>
        </w:rPr>
        <w:t>6</w:t>
      </w:r>
      <w:r>
        <w:rPr>
          <w:rFonts w:hint="default" w:ascii="Times New Roman" w:hAnsi="Times New Roman" w:cs="Times New Roman"/>
          <w:color w:val="000000"/>
          <w:szCs w:val="21"/>
          <w:highlight w:val="none"/>
        </w:rPr>
        <w:t>0%池体积以及60 s。</w:t>
      </w:r>
    </w:p>
    <w:p w14:paraId="21F3AE7C">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 xml:space="preserve">  样品的碱解</w:t>
      </w:r>
    </w:p>
    <w:p w14:paraId="04917A26">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.1  碱解反应</w:t>
      </w:r>
    </w:p>
    <w:p w14:paraId="4EEDBB8D">
      <w:pPr>
        <w:bidi w:val="0"/>
        <w:rPr>
          <w:rFonts w:hint="default" w:ascii="Times New Roman" w:hAnsi="Times New Roman" w:cs="Times New Roman"/>
          <w:lang w:val="en-US" w:eastAsia="zh-CN"/>
        </w:rPr>
      </w:pPr>
      <w:r>
        <w:rPr>
          <w:rFonts w:hint="default" w:ascii="Times New Roman" w:hAnsi="Times New Roman" w:cs="Times New Roman"/>
          <w:lang w:val="en-US" w:eastAsia="zh-CN"/>
        </w:rPr>
        <w:t>在上述试管中依次加入0.5 ml无水乙醇和1 ml的氢氧化钾溶液（10 mol/L），涡旋混匀5 min，在3000 r/min下离心5 min。移取正己烷相于试管中，用1 ml硫酸钠溶液（20 g/L）洗涤两次，弃去水相。在正己烷相中加入约0.5 g无水硫酸钠脱水，取上层清液，备用。</w:t>
      </w:r>
    </w:p>
    <w:p w14:paraId="008A6B68">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.2  样品的碱解转化率</w:t>
      </w:r>
    </w:p>
    <w:p w14:paraId="4FD2CA50">
      <w:pP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配置</w:t>
      </w:r>
      <w:r>
        <w:rPr>
          <w:rFonts w:hint="default" w:ascii="Times New Roman" w:hAnsi="Times New Roman" w:eastAsia="宋体" w:cs="Times New Roman"/>
          <w:lang w:val="en-US" w:eastAsia="zh-CN"/>
        </w:rPr>
        <w:t xml:space="preserve">1.0 </w:t>
      </w:r>
      <w:r>
        <w:rPr>
          <w:rFonts w:hint="default" w:ascii="Times New Roman" w:hAnsi="Times New Roman" w:cs="Times New Roman"/>
          <w:lang w:eastAsia="zh-CN"/>
        </w:rPr>
        <w:t>µg/ml</w:t>
      </w:r>
      <w:r>
        <w:rPr>
          <w:rFonts w:hint="default" w:ascii="Times New Roman" w:hAnsi="Times New Roman" w:cs="Times New Roman"/>
          <w:lang w:val="en-US" w:eastAsia="zh-CN"/>
        </w:rPr>
        <w:t>三氯杀螨醇标准溶液（A）和</w:t>
      </w:r>
      <w:r>
        <w:rPr>
          <w:rFonts w:hint="default" w:ascii="Times New Roman" w:hAnsi="Times New Roman" w:eastAsia="宋体" w:cs="Times New Roman"/>
          <w:lang w:val="en-US" w:eastAsia="zh-CN"/>
        </w:rPr>
        <w:t xml:space="preserve">1.0 </w:t>
      </w:r>
      <w:r>
        <w:rPr>
          <w:rFonts w:hint="default" w:ascii="Times New Roman" w:hAnsi="Times New Roman" w:cs="Times New Roman"/>
          <w:lang w:eastAsia="zh-CN"/>
        </w:rPr>
        <w:t>µg/ml</w:t>
      </w:r>
      <w:r>
        <w:rPr>
          <w:rFonts w:hint="default" w:ascii="Times New Roman" w:hAnsi="Times New Roman" w:cs="Times New Roman"/>
          <w:lang w:val="en-US" w:eastAsia="zh-CN"/>
        </w:rPr>
        <w:t>二氯二苯甲酮标准溶液（B）。</w:t>
      </w:r>
      <w:r>
        <w:rPr>
          <w:rFonts w:hint="default" w:ascii="Times New Roman" w:hAnsi="Times New Roman" w:eastAsia="宋体" w:cs="Times New Roman"/>
          <w:lang w:val="en-US" w:eastAsia="zh-CN"/>
        </w:rPr>
        <w:t xml:space="preserve">1.0 </w:t>
      </w:r>
      <w:r>
        <w:rPr>
          <w:rFonts w:hint="default" w:ascii="Times New Roman" w:hAnsi="Times New Roman" w:cs="Times New Roman"/>
          <w:lang w:eastAsia="zh-CN"/>
        </w:rPr>
        <w:t>µg/ml</w:t>
      </w:r>
      <w:r>
        <w:rPr>
          <w:rFonts w:hint="default" w:ascii="Times New Roman" w:hAnsi="Times New Roman" w:cs="Times New Roman"/>
          <w:lang w:val="en-US" w:eastAsia="zh-CN"/>
        </w:rPr>
        <w:t>三氯杀螨醇标准溶液按照碱解反应步骤处理得到碱解产物A’试剂。以五氯硝基苯为内标物在相同色谱条件下测定上述两种试剂（A’和B）对内标物的相对应答值S</w:t>
      </w:r>
      <w:r>
        <w:rPr>
          <w:rFonts w:hint="default" w:ascii="Times New Roman" w:hAnsi="Times New Roman" w:cs="Times New Roman"/>
          <w:vertAlign w:val="subscript"/>
          <w:lang w:val="en-US" w:eastAsia="zh-CN"/>
        </w:rPr>
        <w:t>A’</w:t>
      </w:r>
      <w:r>
        <w:rPr>
          <w:rFonts w:hint="default" w:ascii="Times New Roman" w:hAnsi="Times New Roman" w:cs="Times New Roman"/>
          <w:lang w:val="en-US" w:eastAsia="zh-CN"/>
        </w:rPr>
        <w:t>和S</w:t>
      </w:r>
      <w:r>
        <w:rPr>
          <w:rFonts w:hint="default" w:ascii="Times New Roman" w:hAnsi="Times New Roman" w:cs="Times New Roman"/>
          <w:vertAlign w:val="subscript"/>
          <w:lang w:val="en-US" w:eastAsia="zh-CN"/>
        </w:rPr>
        <w:t>B</w:t>
      </w:r>
      <w:r>
        <w:rPr>
          <w:rFonts w:hint="default" w:ascii="Times New Roman" w:hAnsi="Times New Roman" w:cs="Times New Roman"/>
          <w:vertAlign w:val="baseline"/>
          <w:lang w:val="en-US" w:eastAsia="zh-CN"/>
        </w:rPr>
        <w:t>（见下式（1）和（2））。由于</w:t>
      </w:r>
      <w:r>
        <w:rPr>
          <w:rFonts w:hint="default" w:ascii="Times New Roman" w:hAnsi="Times New Roman" w:cs="Times New Roman"/>
          <w:lang w:val="en-US" w:eastAsia="zh-CN"/>
        </w:rPr>
        <w:t>三氯杀螨醇在碱解反正中定量转化为二氯二苯甲酮（4,4</w:t>
      </w:r>
      <w:r>
        <w:rPr>
          <w:rFonts w:hint="default" w:cs="Times New Roman"/>
          <w:lang w:val="en-US" w:eastAsia="zh-CN"/>
        </w:rPr>
        <w:t>’</w:t>
      </w:r>
      <w:r>
        <w:rPr>
          <w:rFonts w:hint="default" w:ascii="Times New Roman" w:hAnsi="Times New Roman" w:cs="Times New Roman"/>
          <w:lang w:val="en-US" w:eastAsia="zh-CN"/>
        </w:rPr>
        <w:t>-三氯杀螨醇转化为4,4</w:t>
      </w:r>
      <w:r>
        <w:rPr>
          <w:rFonts w:hint="default" w:cs="Times New Roman"/>
          <w:lang w:val="en-US" w:eastAsia="zh-CN"/>
        </w:rPr>
        <w:t>’</w:t>
      </w:r>
      <w:r>
        <w:rPr>
          <w:rFonts w:hint="default" w:ascii="Times New Roman" w:hAnsi="Times New Roman" w:cs="Times New Roman"/>
          <w:lang w:val="en-US" w:eastAsia="zh-CN"/>
        </w:rPr>
        <w:t>-二氯二苯甲酮；2,4</w:t>
      </w:r>
      <w:r>
        <w:rPr>
          <w:rFonts w:hint="default" w:cs="Times New Roman"/>
          <w:lang w:val="en-US" w:eastAsia="zh-CN"/>
        </w:rPr>
        <w:t>’</w:t>
      </w:r>
      <w:r>
        <w:rPr>
          <w:rFonts w:hint="default" w:ascii="Times New Roman" w:hAnsi="Times New Roman" w:cs="Times New Roman"/>
          <w:lang w:val="en-US" w:eastAsia="zh-CN"/>
        </w:rPr>
        <w:t>-三氯杀螨醇转化为2,4</w:t>
      </w:r>
      <w:r>
        <w:rPr>
          <w:rFonts w:hint="default" w:cs="Times New Roman"/>
          <w:lang w:val="en-US" w:eastAsia="zh-CN"/>
        </w:rPr>
        <w:t>’</w:t>
      </w:r>
      <w:r>
        <w:rPr>
          <w:rFonts w:hint="eastAsia" w:cs="Times New Roman"/>
          <w:lang w:val="en-US" w:eastAsia="zh-CN"/>
        </w:rPr>
        <w:t>-</w:t>
      </w:r>
      <w:r>
        <w:rPr>
          <w:rFonts w:hint="default" w:ascii="Times New Roman" w:hAnsi="Times New Roman" w:cs="Times New Roman"/>
          <w:lang w:val="en-US" w:eastAsia="zh-CN"/>
        </w:rPr>
        <w:t>二氯二苯甲酮）。因此，可以用二氯二苯甲酮的峰面积来代表三氯杀螨醇，即S</w:t>
      </w:r>
      <w:r>
        <w:rPr>
          <w:rFonts w:hint="default" w:ascii="Times New Roman" w:hAnsi="Times New Roman" w:cs="Times New Roman"/>
          <w:vertAlign w:val="subscript"/>
          <w:lang w:val="en-US" w:eastAsia="zh-CN"/>
        </w:rPr>
        <w:t>B</w:t>
      </w:r>
      <w:r>
        <w:rPr>
          <w:rFonts w:hint="default" w:ascii="Times New Roman" w:hAnsi="Times New Roman" w:cs="Times New Roman"/>
          <w:vertAlign w:val="baseline"/>
          <w:lang w:val="en-US" w:eastAsia="zh-CN"/>
        </w:rPr>
        <w:t>（计算值）可以由</w:t>
      </w:r>
      <w:r>
        <w:rPr>
          <w:rFonts w:hint="default" w:ascii="Times New Roman" w:hAnsi="Times New Roman" w:cs="Times New Roman"/>
          <w:lang w:val="en-US" w:eastAsia="zh-CN"/>
        </w:rPr>
        <w:t>S</w:t>
      </w:r>
      <w:r>
        <w:rPr>
          <w:rFonts w:hint="default" w:ascii="Times New Roman" w:hAnsi="Times New Roman" w:cs="Times New Roman"/>
          <w:vertAlign w:val="subscript"/>
          <w:lang w:val="en-US" w:eastAsia="zh-CN"/>
        </w:rPr>
        <w:t>A’</w:t>
      </w:r>
      <w:r>
        <w:rPr>
          <w:rFonts w:hint="default" w:ascii="Times New Roman" w:hAnsi="Times New Roman" w:cs="Times New Roman"/>
          <w:vertAlign w:val="baseline"/>
          <w:lang w:val="en-US" w:eastAsia="zh-CN"/>
        </w:rPr>
        <w:t>按下式（3）计算得出。三氯杀螨醇的碱解转化率（T）即为</w:t>
      </w:r>
      <w:r>
        <w:rPr>
          <w:rFonts w:hint="default" w:ascii="Times New Roman" w:hAnsi="Times New Roman" w:cs="Times New Roman"/>
          <w:lang w:val="en-US" w:eastAsia="zh-CN"/>
        </w:rPr>
        <w:t>S</w:t>
      </w:r>
      <w:r>
        <w:rPr>
          <w:rFonts w:hint="default" w:ascii="Times New Roman" w:hAnsi="Times New Roman" w:cs="Times New Roman"/>
          <w:vertAlign w:val="subscript"/>
          <w:lang w:val="en-US" w:eastAsia="zh-CN"/>
        </w:rPr>
        <w:t>B（计算值）</w:t>
      </w:r>
      <w:r>
        <w:rPr>
          <w:rFonts w:hint="default" w:ascii="Times New Roman" w:hAnsi="Times New Roman" w:cs="Times New Roman"/>
          <w:vertAlign w:val="baseline"/>
          <w:lang w:val="en-US" w:eastAsia="zh-CN"/>
        </w:rPr>
        <w:t>和</w:t>
      </w:r>
      <w:r>
        <w:rPr>
          <w:rFonts w:hint="default" w:ascii="Times New Roman" w:hAnsi="Times New Roman" w:cs="Times New Roman"/>
          <w:lang w:val="en-US" w:eastAsia="zh-CN"/>
        </w:rPr>
        <w:t>S</w:t>
      </w:r>
      <w:r>
        <w:rPr>
          <w:rFonts w:hint="default" w:ascii="Times New Roman" w:hAnsi="Times New Roman" w:cs="Times New Roman"/>
          <w:vertAlign w:val="subscript"/>
          <w:lang w:val="en-US" w:eastAsia="zh-CN"/>
        </w:rPr>
        <w:t>B</w:t>
      </w:r>
      <w:r>
        <w:rPr>
          <w:rFonts w:hint="default" w:ascii="Times New Roman" w:hAnsi="Times New Roman" w:cs="Times New Roman"/>
          <w:vertAlign w:val="baseline"/>
          <w:lang w:val="en-US" w:eastAsia="zh-CN"/>
        </w:rPr>
        <w:t>的比值，见下式（4）。</w:t>
      </w:r>
      <w:r>
        <w:rPr>
          <w:rFonts w:hint="eastAsia" w:cs="Times New Roman"/>
          <w:vertAlign w:val="baseline"/>
          <w:lang w:val="en-US" w:eastAsia="zh-CN"/>
        </w:rPr>
        <w:t>具体碱解转化率数据见表4。</w:t>
      </w:r>
    </w:p>
    <w:p w14:paraId="12E11426">
      <w:pPr>
        <w:keepNext w:val="0"/>
        <w:keepLines w:val="0"/>
        <w:pageBreakBefore w:val="0"/>
        <w:widowControl w:val="0"/>
        <w:tabs>
          <w:tab w:val="left" w:pos="7140"/>
        </w:tabs>
        <w:kinsoku/>
        <w:wordWrap/>
        <w:overflowPunct/>
        <w:topLinePunct/>
        <w:autoSpaceDE/>
        <w:autoSpaceDN/>
        <w:bidi w:val="0"/>
        <w:adjustRightInd/>
        <w:snapToGrid/>
        <w:spacing w:line="360" w:lineRule="auto"/>
        <w:ind w:left="840" w:leftChars="0" w:firstLine="2940" w:firstLineChars="0"/>
        <w:jc w:val="left"/>
        <w:textAlignment w:val="auto"/>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S</w:t>
      </w:r>
      <w:r>
        <w:rPr>
          <w:rFonts w:hint="default" w:ascii="Times New Roman" w:hAnsi="Times New Roman" w:cs="Times New Roman"/>
          <w:vertAlign w:val="subscript"/>
          <w:lang w:val="en-US" w:eastAsia="zh-CN"/>
        </w:rPr>
        <w:t>A’</w:t>
      </w:r>
      <w:r>
        <w:rPr>
          <w:rFonts w:hint="default" w:ascii="Times New Roman" w:hAnsi="Times New Roman" w:cs="Times New Roman"/>
          <w:vertAlign w:val="baseline"/>
          <w:lang w:val="en-US" w:eastAsia="zh-CN"/>
        </w:rPr>
        <w:t>=</w:t>
      </w:r>
      <m:oMath>
        <m:f>
          <m:fPr>
            <m:ctrlPr>
              <w:rPr>
                <w:rFonts w:hint="default" w:ascii="Cambria Math" w:hAnsi="Cambria Math" w:cs="Times New Roman"/>
                <w:kern w:val="2"/>
                <w:sz w:val="21"/>
                <w:szCs w:val="24"/>
                <w:vertAlign w:val="baseline"/>
                <w:lang w:val="en-US" w:eastAsia="zh-CN" w:bidi="ar-SA"/>
              </w:rPr>
            </m:ctrlPr>
          </m:fPr>
          <m:num>
            <m:sSub>
              <m:sSubPr>
                <m:ctrlPr>
                  <w:rPr>
                    <w:rFonts w:hint="default" w:ascii="Cambria Math" w:hAnsi="Cambria Math" w:cs="Times New Roman"/>
                    <w:b w:val="0"/>
                    <w:i w:val="0"/>
                    <w:kern w:val="2"/>
                    <w:sz w:val="21"/>
                    <w:szCs w:val="24"/>
                    <w:vertAlign w:val="baseline"/>
                    <w:lang w:val="en-US" w:eastAsia="zh-CN" w:bidi="ar-SA"/>
                  </w:rPr>
                </m:ctrlPr>
              </m:sSubPr>
              <m:e>
                <m:r>
                  <m:rPr>
                    <m:sty m:val="p"/>
                  </m:rPr>
                  <w:rPr>
                    <w:rFonts w:hint="default" w:ascii="Cambria Math" w:hAnsi="Cambria Math" w:cs="Times New Roman"/>
                    <w:kern w:val="2"/>
                    <w:sz w:val="21"/>
                    <w:szCs w:val="24"/>
                    <w:vertAlign w:val="baseline"/>
                    <w:lang w:val="en-US" w:eastAsia="zh-CN" w:bidi="ar-SA"/>
                  </w:rPr>
                  <m:t>W</m:t>
                </m:r>
                <m:ctrlPr>
                  <w:rPr>
                    <w:rFonts w:hint="default" w:ascii="Cambria Math" w:hAnsi="Cambria Math" w:cs="Times New Roman"/>
                    <w:b w:val="0"/>
                    <w:i w:val="0"/>
                    <w:kern w:val="2"/>
                    <w:sz w:val="21"/>
                    <w:szCs w:val="24"/>
                    <w:vertAlign w:val="baseline"/>
                    <w:lang w:val="en-US" w:eastAsia="zh-CN" w:bidi="ar-SA"/>
                  </w:rPr>
                </m:ctrlPr>
              </m:e>
              <m:sub>
                <m:r>
                  <m:rPr>
                    <m:sty m:val="p"/>
                  </m:rPr>
                  <w:rPr>
                    <w:rFonts w:hint="default" w:ascii="Cambria Math" w:hAnsi="Cambria Math" w:cs="Times New Roman"/>
                    <w:kern w:val="2"/>
                    <w:sz w:val="21"/>
                    <w:szCs w:val="24"/>
                    <w:vertAlign w:val="baseline"/>
                    <w:lang w:val="en-US" w:eastAsia="zh-CN" w:bidi="ar-SA"/>
                  </w:rPr>
                  <m:t>A'</m:t>
                </m:r>
                <m:ctrlPr>
                  <w:rPr>
                    <w:rFonts w:hint="default" w:ascii="Cambria Math" w:hAnsi="Cambria Math" w:cs="Times New Roman"/>
                    <w:b w:val="0"/>
                    <w:i w:val="0"/>
                    <w:kern w:val="2"/>
                    <w:sz w:val="21"/>
                    <w:szCs w:val="24"/>
                    <w:vertAlign w:val="baseline"/>
                    <w:lang w:val="en-US" w:eastAsia="zh-CN" w:bidi="ar-SA"/>
                  </w:rPr>
                </m:ctrlPr>
              </m:sub>
            </m:sSub>
            <m:ctrlPr>
              <w:rPr>
                <w:rFonts w:hint="default" w:ascii="Cambria Math" w:hAnsi="Cambria Math" w:cs="Times New Roman"/>
                <w:kern w:val="2"/>
                <w:sz w:val="21"/>
                <w:szCs w:val="24"/>
                <w:vertAlign w:val="baseline"/>
                <w:lang w:val="en-US" w:eastAsia="zh-CN" w:bidi="ar-SA"/>
              </w:rPr>
            </m:ctrlPr>
          </m:num>
          <m:den>
            <m:sSub>
              <m:sSubPr>
                <m:ctrlPr>
                  <w:rPr>
                    <w:rFonts w:hint="default" w:ascii="Cambria Math" w:hAnsi="Cambria Math" w:cs="Times New Roman"/>
                    <w:kern w:val="2"/>
                    <w:sz w:val="21"/>
                    <w:szCs w:val="24"/>
                    <w:vertAlign w:val="baseline"/>
                    <w:lang w:val="en-US" w:eastAsia="zh-CN" w:bidi="ar-SA"/>
                  </w:rPr>
                </m:ctrlPr>
              </m:sSubPr>
              <m:e>
                <m:r>
                  <m:rPr>
                    <m:sty m:val="p"/>
                  </m:rPr>
                  <w:rPr>
                    <w:rFonts w:hint="default" w:ascii="Cambria Math" w:hAnsi="Cambria Math" w:cs="Times New Roman"/>
                    <w:kern w:val="2"/>
                    <w:sz w:val="21"/>
                    <w:szCs w:val="24"/>
                    <w:vertAlign w:val="baseline"/>
                    <w:lang w:val="en-US" w:eastAsia="zh-CN" w:bidi="ar-SA"/>
                  </w:rPr>
                  <m:t>W</m:t>
                </m:r>
                <m:ctrlPr>
                  <w:rPr>
                    <w:rFonts w:hint="default" w:ascii="Cambria Math" w:hAnsi="Cambria Math" w:cs="Times New Roman"/>
                    <w:kern w:val="2"/>
                    <w:sz w:val="21"/>
                    <w:szCs w:val="24"/>
                    <w:vertAlign w:val="baseline"/>
                    <w:lang w:val="en-US" w:eastAsia="zh-CN" w:bidi="ar-SA"/>
                  </w:rPr>
                </m:ctrlPr>
              </m:e>
              <m:sub>
                <m:r>
                  <m:rPr>
                    <m:sty m:val="p"/>
                  </m:rPr>
                  <w:rPr>
                    <w:rFonts w:hint="default" w:ascii="Cambria Math" w:hAnsi="Cambria Math" w:cs="Times New Roman"/>
                    <w:kern w:val="2"/>
                    <w:sz w:val="21"/>
                    <w:szCs w:val="24"/>
                    <w:vertAlign w:val="baseline"/>
                    <w:lang w:val="en-US" w:eastAsia="zh-CN" w:bidi="ar-SA"/>
                  </w:rPr>
                  <m:t>IS</m:t>
                </m:r>
                <m:ctrlPr>
                  <w:rPr>
                    <w:rFonts w:hint="default" w:ascii="Cambria Math" w:hAnsi="Cambria Math" w:cs="Times New Roman"/>
                    <w:kern w:val="2"/>
                    <w:sz w:val="21"/>
                    <w:szCs w:val="24"/>
                    <w:vertAlign w:val="baseline"/>
                    <w:lang w:val="en-US" w:eastAsia="zh-CN" w:bidi="ar-SA"/>
                  </w:rPr>
                </m:ctrlPr>
              </m:sub>
            </m:sSub>
            <m:ctrlPr>
              <w:rPr>
                <w:rFonts w:hint="default" w:ascii="Cambria Math" w:hAnsi="Cambria Math" w:cs="Times New Roman"/>
                <w:kern w:val="2"/>
                <w:sz w:val="21"/>
                <w:szCs w:val="24"/>
                <w:vertAlign w:val="baseline"/>
                <w:lang w:val="en-US" w:eastAsia="zh-CN" w:bidi="ar-SA"/>
              </w:rPr>
            </m:ctrlPr>
          </m:den>
        </m:f>
      </m:oMath>
      <w:r>
        <w:rPr>
          <w:rFonts w:hint="default" w:ascii="Times New Roman" w:hAnsi="Times New Roman" w:cs="Times New Roman"/>
          <w:i w:val="0"/>
          <w:kern w:val="2"/>
          <w:sz w:val="21"/>
          <w:szCs w:val="24"/>
          <w:vertAlign w:val="baseline"/>
          <w:lang w:val="en-US" w:eastAsia="zh-CN" w:bidi="ar-SA"/>
        </w:rPr>
        <w:tab/>
      </w:r>
      <w:r>
        <w:rPr>
          <w:rFonts w:hint="default" w:ascii="Times New Roman" w:hAnsi="Times New Roman" w:cs="Times New Roman"/>
          <w:i w:val="0"/>
          <w:kern w:val="2"/>
          <w:sz w:val="21"/>
          <w:szCs w:val="24"/>
          <w:vertAlign w:val="baseline"/>
          <w:lang w:val="en-US" w:eastAsia="zh-CN" w:bidi="ar-SA"/>
        </w:rPr>
        <w:tab/>
      </w:r>
      <w:r>
        <w:rPr>
          <w:rFonts w:hint="default" w:ascii="Times New Roman" w:hAnsi="Times New Roman" w:cs="Times New Roman"/>
          <w:i w:val="0"/>
          <w:kern w:val="2"/>
          <w:sz w:val="21"/>
          <w:szCs w:val="24"/>
          <w:vertAlign w:val="baseline"/>
          <w:lang w:val="en-US" w:eastAsia="zh-CN" w:bidi="ar-SA"/>
        </w:rPr>
        <w:t>（1）</w:t>
      </w:r>
    </w:p>
    <w:p w14:paraId="6B4B9A66">
      <w:pPr>
        <w:keepNext w:val="0"/>
        <w:keepLines w:val="0"/>
        <w:pageBreakBefore w:val="0"/>
        <w:widowControl w:val="0"/>
        <w:tabs>
          <w:tab w:val="left" w:pos="7140"/>
          <w:tab w:val="left" w:pos="7560"/>
        </w:tabs>
        <w:kinsoku/>
        <w:wordWrap/>
        <w:overflowPunct/>
        <w:topLinePunct/>
        <w:autoSpaceDE/>
        <w:autoSpaceDN/>
        <w:bidi w:val="0"/>
        <w:adjustRightInd/>
        <w:snapToGrid/>
        <w:spacing w:line="360" w:lineRule="auto"/>
        <w:ind w:left="840" w:leftChars="0" w:firstLine="2940" w:firstLineChars="0"/>
        <w:jc w:val="left"/>
        <w:textAlignment w:val="auto"/>
        <w:rPr>
          <w:rFonts w:hint="default" w:ascii="Times New Roman" w:hAnsi="Times New Roman" w:eastAsia="宋体" w:cs="Times New Roman"/>
          <w:i w:val="0"/>
          <w:iCs/>
          <w:vertAlign w:val="baseline"/>
          <w:lang w:val="en-US" w:eastAsia="zh-CN"/>
        </w:rPr>
      </w:pPr>
      <w:r>
        <w:rPr>
          <w:rFonts w:hint="default" w:ascii="Times New Roman" w:hAnsi="Times New Roman" w:cs="Times New Roman"/>
          <w:lang w:val="en-US" w:eastAsia="zh-CN"/>
        </w:rPr>
        <w:t>S</w:t>
      </w:r>
      <w:r>
        <w:rPr>
          <w:rFonts w:hint="default" w:ascii="Times New Roman" w:hAnsi="Times New Roman" w:cs="Times New Roman"/>
          <w:vertAlign w:val="subscript"/>
          <w:lang w:val="en-US" w:eastAsia="zh-CN"/>
        </w:rPr>
        <w:t>B</w:t>
      </w:r>
      <w:r>
        <w:rPr>
          <w:rFonts w:hint="default" w:ascii="Times New Roman" w:hAnsi="Times New Roman" w:cs="Times New Roman"/>
          <w:vertAlign w:val="baseline"/>
          <w:lang w:val="en-US" w:eastAsia="zh-CN"/>
        </w:rPr>
        <w:t>=</w:t>
      </w:r>
      <m:oMath>
        <m:f>
          <m:fPr>
            <m:ctrlPr>
              <w:rPr>
                <w:rFonts w:hint="default" w:ascii="Cambria Math" w:hAnsi="Cambria Math" w:cs="Times New Roman"/>
                <w:i w:val="0"/>
                <w:iCs/>
                <w:vertAlign w:val="baseline"/>
                <w:lang w:val="en-US"/>
              </w:rPr>
            </m:ctrlPr>
          </m:fPr>
          <m:num>
            <m:sSub>
              <m:sSubPr>
                <m:ctrlPr>
                  <w:rPr>
                    <w:rFonts w:hint="default" w:ascii="Cambria Math" w:hAnsi="Cambria Math" w:cs="Times New Roman"/>
                    <w:i w:val="0"/>
                    <w:iCs/>
                    <w:vertAlign w:val="baseline"/>
                    <w:lang w:val="en-US"/>
                  </w:rPr>
                </m:ctrlPr>
              </m:sSubPr>
              <m:e>
                <m:r>
                  <m:rPr>
                    <m:sty m:val="p"/>
                  </m:rPr>
                  <w:rPr>
                    <w:rFonts w:hint="default" w:ascii="Cambria Math" w:hAnsi="Cambria Math" w:cs="Times New Roman"/>
                    <w:vertAlign w:val="baseline"/>
                    <w:lang w:val="en-US" w:eastAsia="zh-CN"/>
                  </w:rPr>
                  <m:t>W</m:t>
                </m:r>
                <m:ctrlPr>
                  <w:rPr>
                    <w:rFonts w:hint="default" w:ascii="Cambria Math" w:hAnsi="Cambria Math" w:cs="Times New Roman"/>
                    <w:i w:val="0"/>
                    <w:iCs/>
                    <w:vertAlign w:val="baseline"/>
                    <w:lang w:val="en-US"/>
                  </w:rPr>
                </m:ctrlPr>
              </m:e>
              <m:sub>
                <m:r>
                  <m:rPr>
                    <m:sty m:val="p"/>
                  </m:rPr>
                  <w:rPr>
                    <w:rFonts w:hint="default" w:ascii="Cambria Math" w:hAnsi="Cambria Math" w:cs="Times New Roman"/>
                    <w:vertAlign w:val="baseline"/>
                    <w:lang w:val="en-US" w:eastAsia="zh-CN"/>
                  </w:rPr>
                  <m:t>B</m:t>
                </m:r>
                <m:ctrlPr>
                  <w:rPr>
                    <w:rFonts w:hint="default" w:ascii="Cambria Math" w:hAnsi="Cambria Math" w:cs="Times New Roman"/>
                    <w:i w:val="0"/>
                    <w:iCs/>
                    <w:vertAlign w:val="baseline"/>
                    <w:lang w:val="en-US"/>
                  </w:rPr>
                </m:ctrlPr>
              </m:sub>
            </m:sSub>
            <m:ctrlPr>
              <w:rPr>
                <w:rFonts w:hint="default" w:ascii="Cambria Math" w:hAnsi="Cambria Math" w:cs="Times New Roman"/>
                <w:i w:val="0"/>
                <w:iCs/>
                <w:vertAlign w:val="baseline"/>
                <w:lang w:val="en-US"/>
              </w:rPr>
            </m:ctrlPr>
          </m:num>
          <m:den>
            <m:sSub>
              <m:sSubPr>
                <m:ctrlPr>
                  <w:rPr>
                    <w:rFonts w:hint="default" w:ascii="Cambria Math" w:hAnsi="Cambria Math" w:cs="Times New Roman"/>
                    <w:i w:val="0"/>
                    <w:iCs/>
                    <w:vertAlign w:val="baseline"/>
                    <w:lang w:val="en-US"/>
                  </w:rPr>
                </m:ctrlPr>
              </m:sSubPr>
              <m:e>
                <m:r>
                  <m:rPr>
                    <m:sty m:val="p"/>
                  </m:rPr>
                  <w:rPr>
                    <w:rFonts w:hint="default" w:ascii="Cambria Math" w:hAnsi="Cambria Math" w:cs="Times New Roman"/>
                    <w:vertAlign w:val="baseline"/>
                    <w:lang w:val="en-US" w:eastAsia="zh-CN"/>
                  </w:rPr>
                  <m:t>W</m:t>
                </m:r>
                <m:ctrlPr>
                  <w:rPr>
                    <w:rFonts w:hint="default" w:ascii="Cambria Math" w:hAnsi="Cambria Math" w:cs="Times New Roman"/>
                    <w:i w:val="0"/>
                    <w:iCs/>
                    <w:vertAlign w:val="baseline"/>
                    <w:lang w:val="en-US"/>
                  </w:rPr>
                </m:ctrlPr>
              </m:e>
              <m:sub>
                <m:r>
                  <m:rPr>
                    <m:sty m:val="p"/>
                  </m:rPr>
                  <w:rPr>
                    <w:rFonts w:hint="default" w:ascii="Cambria Math" w:hAnsi="Cambria Math" w:cs="Times New Roman"/>
                    <w:vertAlign w:val="baseline"/>
                    <w:lang w:val="en-US" w:eastAsia="zh-CN"/>
                  </w:rPr>
                  <m:t>IS</m:t>
                </m:r>
                <m:ctrlPr>
                  <w:rPr>
                    <w:rFonts w:hint="default" w:ascii="Cambria Math" w:hAnsi="Cambria Math" w:cs="Times New Roman"/>
                    <w:i w:val="0"/>
                    <w:iCs/>
                    <w:vertAlign w:val="baseline"/>
                    <w:lang w:val="en-US"/>
                  </w:rPr>
                </m:ctrlPr>
              </m:sub>
            </m:sSub>
            <m:ctrlPr>
              <w:rPr>
                <w:rFonts w:hint="default" w:ascii="Cambria Math" w:hAnsi="Cambria Math" w:cs="Times New Roman"/>
                <w:i w:val="0"/>
                <w:iCs/>
                <w:vertAlign w:val="baseline"/>
                <w:lang w:val="en-US"/>
              </w:rPr>
            </m:ctrlPr>
          </m:den>
        </m:f>
      </m:oMath>
      <w:r>
        <w:rPr>
          <w:rFonts w:hint="default" w:ascii="Times New Roman" w:hAnsi="Times New Roman" w:cs="Times New Roman"/>
          <w:i w:val="0"/>
          <w:iCs/>
          <w:vertAlign w:val="baseline"/>
          <w:lang w:val="en-US" w:eastAsia="zh-CN"/>
        </w:rPr>
        <w:tab/>
      </w:r>
      <w:r>
        <w:rPr>
          <w:rFonts w:hint="default" w:ascii="Times New Roman" w:hAnsi="Times New Roman" w:cs="Times New Roman"/>
          <w:i w:val="0"/>
          <w:iCs/>
          <w:vertAlign w:val="baseline"/>
          <w:lang w:val="en-US" w:eastAsia="zh-CN"/>
        </w:rPr>
        <w:tab/>
      </w:r>
      <w:r>
        <w:rPr>
          <w:rFonts w:hint="default" w:ascii="Times New Roman" w:hAnsi="Times New Roman" w:cs="Times New Roman"/>
          <w:i w:val="0"/>
          <w:iCs/>
          <w:vertAlign w:val="baseline"/>
          <w:lang w:val="en-US" w:eastAsia="zh-CN"/>
        </w:rPr>
        <w:t>（2）</w:t>
      </w:r>
    </w:p>
    <w:p w14:paraId="272F32E6">
      <w:pPr>
        <w:keepNext w:val="0"/>
        <w:keepLines w:val="0"/>
        <w:pageBreakBefore w:val="0"/>
        <w:widowControl w:val="0"/>
        <w:tabs>
          <w:tab w:val="left" w:pos="7140"/>
          <w:tab w:val="left" w:pos="7560"/>
          <w:tab w:val="left" w:pos="7980"/>
        </w:tabs>
        <w:kinsoku/>
        <w:wordWrap/>
        <w:overflowPunct/>
        <w:topLinePunct/>
        <w:autoSpaceDE/>
        <w:autoSpaceDN/>
        <w:bidi w:val="0"/>
        <w:adjustRightInd/>
        <w:snapToGrid/>
        <w:spacing w:line="360" w:lineRule="auto"/>
        <w:ind w:left="840" w:leftChars="0" w:firstLine="1480" w:firstLineChars="0"/>
        <w:jc w:val="left"/>
        <w:textAlignment w:val="auto"/>
        <w:rPr>
          <w:rFonts w:hint="default" w:ascii="Times New Roman" w:hAnsi="Times New Roman" w:eastAsia="宋体" w:cs="Times New Roman"/>
          <w:i w:val="0"/>
          <w:iCs w:val="0"/>
          <w:vertAlign w:val="baseline"/>
          <w:lang w:val="en-US" w:eastAsia="zh-CN"/>
        </w:rPr>
      </w:pPr>
      <w:r>
        <w:rPr>
          <w:rFonts w:hint="default" w:ascii="Times New Roman" w:hAnsi="Times New Roman" w:cs="Times New Roman"/>
          <w:i w:val="0"/>
          <w:iCs/>
          <w:vertAlign w:val="baseline"/>
          <w:lang w:val="en-US" w:eastAsia="zh-CN"/>
        </w:rPr>
        <w:t>S</w:t>
      </w:r>
      <w:r>
        <w:rPr>
          <w:rFonts w:hint="default" w:ascii="Times New Roman" w:hAnsi="Times New Roman" w:cs="Times New Roman"/>
          <w:i w:val="0"/>
          <w:iCs/>
          <w:vertAlign w:val="subscript"/>
          <w:lang w:val="en-US" w:eastAsia="zh-CN"/>
        </w:rPr>
        <w:t>B（计算值）</w:t>
      </w:r>
      <w:r>
        <w:rPr>
          <w:rFonts w:hint="default" w:ascii="Times New Roman" w:hAnsi="Times New Roman" w:cs="Times New Roman"/>
          <w:i w:val="0"/>
          <w:iCs/>
          <w:vertAlign w:val="baseline"/>
          <w:lang w:val="en-US" w:eastAsia="zh-CN"/>
        </w:rPr>
        <w:t>=S</w:t>
      </w:r>
      <w:r>
        <w:rPr>
          <w:rFonts w:hint="default" w:ascii="Times New Roman" w:hAnsi="Times New Roman" w:cs="Times New Roman"/>
          <w:i w:val="0"/>
          <w:iCs/>
          <w:vertAlign w:val="subscript"/>
          <w:lang w:val="en-US" w:eastAsia="zh-CN"/>
        </w:rPr>
        <w:t>A’</w:t>
      </w:r>
      <w:r>
        <w:rPr>
          <w:rFonts w:hint="default" w:ascii="Times New Roman" w:hAnsi="Times New Roman" w:cs="Times New Roman"/>
          <w:i w:val="0"/>
          <w:iCs/>
          <w:vertAlign w:val="baseline"/>
          <w:lang w:val="en-US" w:eastAsia="zh-CN"/>
        </w:rPr>
        <w:t>×</w:t>
      </w:r>
      <m:oMath>
        <m:f>
          <m:fPr>
            <m:ctrlPr>
              <w:rPr>
                <w:rFonts w:hint="default" w:ascii="Cambria Math" w:hAnsi="Cambria Math" w:cs="Times New Roman"/>
                <w:i w:val="0"/>
                <w:iCs w:val="0"/>
                <w:vertAlign w:val="baseline"/>
                <w:lang w:val="en-US"/>
              </w:rPr>
            </m:ctrlPr>
          </m:fPr>
          <m:num>
            <m:sSub>
              <m:sSubPr>
                <m:ctrlPr>
                  <w:rPr>
                    <w:rFonts w:hint="default" w:ascii="Cambria Math" w:hAnsi="Cambria Math" w:cs="Times New Roman"/>
                    <w:i w:val="0"/>
                    <w:iCs w:val="0"/>
                    <w:vertAlign w:val="baseline"/>
                    <w:lang w:val="en-US"/>
                  </w:rPr>
                </m:ctrlPr>
              </m:sSubPr>
              <m:e>
                <m:r>
                  <m:rPr>
                    <m:sty m:val="p"/>
                  </m:rPr>
                  <w:rPr>
                    <w:rFonts w:hint="default" w:ascii="Cambria Math" w:hAnsi="Cambria Math" w:cs="Times New Roman"/>
                    <w:vertAlign w:val="baseline"/>
                    <w:lang w:val="en-US" w:eastAsia="zh-CN"/>
                  </w:rPr>
                  <m:t>M</m:t>
                </m:r>
                <m:ctrlPr>
                  <w:rPr>
                    <w:rFonts w:hint="default" w:ascii="Cambria Math" w:hAnsi="Cambria Math" w:cs="Times New Roman"/>
                    <w:i w:val="0"/>
                    <w:iCs w:val="0"/>
                    <w:vertAlign w:val="baseline"/>
                    <w:lang w:val="en-US"/>
                  </w:rPr>
                </m:ctrlPr>
              </m:e>
              <m:sub>
                <m:r>
                  <m:rPr>
                    <m:sty m:val="p"/>
                  </m:rPr>
                  <w:rPr>
                    <w:rFonts w:hint="default" w:ascii="Cambria Math" w:hAnsi="Cambria Math" w:cs="Times New Roman"/>
                    <w:vertAlign w:val="baseline"/>
                    <w:lang w:val="en-US" w:eastAsia="zh-CN"/>
                  </w:rPr>
                  <m:t>三氯杀螨醇</m:t>
                </m:r>
                <m:ctrlPr>
                  <w:rPr>
                    <w:rFonts w:hint="default" w:ascii="Cambria Math" w:hAnsi="Cambria Math" w:cs="Times New Roman"/>
                    <w:i w:val="0"/>
                    <w:iCs w:val="0"/>
                    <w:vertAlign w:val="baseline"/>
                    <w:lang w:val="en-US"/>
                  </w:rPr>
                </m:ctrlPr>
              </m:sub>
            </m:sSub>
            <m:ctrlPr>
              <w:rPr>
                <w:rFonts w:hint="default" w:ascii="Cambria Math" w:hAnsi="Cambria Math" w:cs="Times New Roman"/>
                <w:i w:val="0"/>
                <w:iCs w:val="0"/>
                <w:vertAlign w:val="baseline"/>
                <w:lang w:val="en-US"/>
              </w:rPr>
            </m:ctrlPr>
          </m:num>
          <m:den>
            <m:sSub>
              <m:sSubPr>
                <m:ctrlPr>
                  <w:rPr>
                    <w:rFonts w:hint="default" w:ascii="Cambria Math" w:hAnsi="Cambria Math" w:cs="Times New Roman"/>
                    <w:i w:val="0"/>
                    <w:iCs w:val="0"/>
                    <w:vertAlign w:val="baseline"/>
                    <w:lang w:val="en-US"/>
                  </w:rPr>
                </m:ctrlPr>
              </m:sSubPr>
              <m:e>
                <m:r>
                  <m:rPr>
                    <m:sty m:val="p"/>
                  </m:rPr>
                  <w:rPr>
                    <w:rFonts w:hint="default" w:ascii="Cambria Math" w:hAnsi="Cambria Math" w:cs="Times New Roman"/>
                    <w:vertAlign w:val="baseline"/>
                    <w:lang w:val="en-US" w:eastAsia="zh-CN"/>
                  </w:rPr>
                  <m:t>M</m:t>
                </m:r>
                <m:ctrlPr>
                  <w:rPr>
                    <w:rFonts w:hint="default" w:ascii="Cambria Math" w:hAnsi="Cambria Math" w:cs="Times New Roman"/>
                    <w:i w:val="0"/>
                    <w:iCs w:val="0"/>
                    <w:vertAlign w:val="baseline"/>
                    <w:lang w:val="en-US"/>
                  </w:rPr>
                </m:ctrlPr>
              </m:e>
              <m:sub>
                <m:r>
                  <m:rPr>
                    <m:sty m:val="p"/>
                  </m:rPr>
                  <w:rPr>
                    <w:rFonts w:hint="default" w:ascii="Cambria Math" w:hAnsi="Cambria Math" w:cs="Times New Roman"/>
                    <w:vertAlign w:val="baseline"/>
                    <w:lang w:val="en-US" w:eastAsia="zh-CN"/>
                  </w:rPr>
                  <m:t>二氯二苯甲酮</m:t>
                </m:r>
                <m:ctrlPr>
                  <w:rPr>
                    <w:rFonts w:hint="default" w:ascii="Cambria Math" w:hAnsi="Cambria Math" w:cs="Times New Roman"/>
                    <w:i w:val="0"/>
                    <w:iCs w:val="0"/>
                    <w:vertAlign w:val="baseline"/>
                    <w:lang w:val="en-US"/>
                  </w:rPr>
                </m:ctrlPr>
              </m:sub>
            </m:sSub>
            <m:ctrlPr>
              <w:rPr>
                <w:rFonts w:hint="default" w:ascii="Cambria Math" w:hAnsi="Cambria Math" w:cs="Times New Roman"/>
                <w:i w:val="0"/>
                <w:iCs w:val="0"/>
                <w:vertAlign w:val="baseline"/>
                <w:lang w:val="en-US"/>
              </w:rPr>
            </m:ctrlPr>
          </m:den>
        </m:f>
      </m:oMath>
      <w:r>
        <w:rPr>
          <w:rFonts w:hint="default" w:ascii="Times New Roman" w:hAnsi="Times New Roman" w:cs="Times New Roman"/>
          <w:i w:val="0"/>
          <w:iCs w:val="0"/>
          <w:vertAlign w:val="baseline"/>
          <w:lang w:val="en-US" w:eastAsia="zh-CN"/>
        </w:rPr>
        <w:t>（M表示分子量）</w:t>
      </w:r>
      <w:r>
        <w:rPr>
          <w:rFonts w:hint="default" w:ascii="Times New Roman" w:hAnsi="Times New Roman" w:cs="Times New Roman"/>
          <w:i w:val="0"/>
          <w:iCs w:val="0"/>
          <w:vertAlign w:val="baseline"/>
          <w:lang w:val="en-US" w:eastAsia="zh-CN"/>
        </w:rPr>
        <w:tab/>
      </w:r>
      <w:r>
        <w:rPr>
          <w:rFonts w:hint="default" w:ascii="Times New Roman" w:hAnsi="Times New Roman" w:cs="Times New Roman"/>
          <w:i w:val="0"/>
          <w:iCs w:val="0"/>
          <w:vertAlign w:val="baseline"/>
          <w:lang w:val="en-US" w:eastAsia="zh-CN"/>
        </w:rPr>
        <w:tab/>
      </w:r>
      <w:r>
        <w:rPr>
          <w:rFonts w:hint="default" w:ascii="Times New Roman" w:hAnsi="Times New Roman" w:cs="Times New Roman"/>
          <w:i w:val="0"/>
          <w:iCs w:val="0"/>
          <w:vertAlign w:val="baseline"/>
          <w:lang w:val="en-US" w:eastAsia="zh-CN"/>
        </w:rPr>
        <w:t>（3）</w:t>
      </w:r>
    </w:p>
    <w:p w14:paraId="433FBAE5">
      <w:pPr>
        <w:keepNext w:val="0"/>
        <w:keepLines w:val="0"/>
        <w:pageBreakBefore w:val="0"/>
        <w:widowControl w:val="0"/>
        <w:tabs>
          <w:tab w:val="left" w:pos="7140"/>
        </w:tabs>
        <w:kinsoku/>
        <w:wordWrap/>
        <w:overflowPunct/>
        <w:topLinePunct/>
        <w:autoSpaceDE/>
        <w:autoSpaceDN/>
        <w:bidi w:val="0"/>
        <w:adjustRightInd/>
        <w:snapToGrid/>
        <w:spacing w:line="360" w:lineRule="auto"/>
        <w:ind w:left="840" w:leftChars="0" w:firstLine="2940" w:firstLineChars="0"/>
        <w:jc w:val="left"/>
        <w:textAlignment w:val="auto"/>
        <w:rPr>
          <w:rFonts w:hint="default" w:ascii="Times New Roman" w:hAnsi="Times New Roman" w:eastAsia="宋体" w:cs="Times New Roman"/>
          <w:i w:val="0"/>
          <w:iCs/>
          <w:vertAlign w:val="baseline"/>
          <w:lang w:val="en-US" w:eastAsia="zh-CN"/>
        </w:rPr>
      </w:pPr>
      <w:r>
        <w:rPr>
          <w:rFonts w:hint="default" w:ascii="Times New Roman" w:hAnsi="Times New Roman" w:cs="Times New Roman"/>
          <w:i w:val="0"/>
          <w:iCs w:val="0"/>
          <w:vertAlign w:val="baseline"/>
          <w:lang w:val="en-US" w:eastAsia="zh-CN"/>
        </w:rPr>
        <w:t>T=</w:t>
      </w:r>
      <m:oMath>
        <m:f>
          <m:fPr>
            <m:ctrlPr>
              <w:rPr>
                <w:rFonts w:hint="default" w:ascii="Cambria Math" w:hAnsi="Cambria Math" w:cs="Times New Roman"/>
                <w:i w:val="0"/>
                <w:iCs/>
                <w:vertAlign w:val="baseline"/>
                <w:lang w:val="en-US"/>
              </w:rPr>
            </m:ctrlPr>
          </m:fPr>
          <m:num>
            <m:sSub>
              <m:sSubPr>
                <m:ctrlPr>
                  <w:rPr>
                    <w:rFonts w:hint="default" w:ascii="Cambria Math" w:hAnsi="Cambria Math" w:cs="Times New Roman"/>
                    <w:i w:val="0"/>
                    <w:iCs/>
                    <w:vertAlign w:val="baseline"/>
                    <w:lang w:val="en-US" w:eastAsia="zh-CN"/>
                  </w:rPr>
                </m:ctrlPr>
              </m:sSubPr>
              <m:e>
                <m:r>
                  <m:rPr>
                    <m:sty m:val="p"/>
                  </m:rPr>
                  <w:rPr>
                    <w:rFonts w:hint="default" w:ascii="Cambria Math" w:hAnsi="Cambria Math" w:cs="Times New Roman"/>
                    <w:vertAlign w:val="baseline"/>
                    <w:lang w:val="en-US" w:eastAsia="zh-CN"/>
                  </w:rPr>
                  <m:t>S</m:t>
                </m:r>
                <m:ctrlPr>
                  <w:rPr>
                    <w:rFonts w:hint="default" w:ascii="Cambria Math" w:hAnsi="Cambria Math" w:cs="Times New Roman"/>
                    <w:i w:val="0"/>
                    <w:iCs/>
                    <w:vertAlign w:val="baseline"/>
                    <w:lang w:val="en-US" w:eastAsia="zh-CN"/>
                  </w:rPr>
                </m:ctrlPr>
              </m:e>
              <m:sub>
                <m:r>
                  <m:rPr>
                    <m:sty m:val="p"/>
                  </m:rPr>
                  <w:rPr>
                    <w:rFonts w:hint="default" w:ascii="Cambria Math" w:hAnsi="Cambria Math" w:cs="Times New Roman"/>
                    <w:vertAlign w:val="baseline"/>
                    <w:lang w:val="en-US" w:eastAsia="zh-CN"/>
                  </w:rPr>
                  <m:t>B（计算值）</m:t>
                </m:r>
                <m:ctrlPr>
                  <w:rPr>
                    <w:rFonts w:hint="default" w:ascii="Cambria Math" w:hAnsi="Cambria Math" w:cs="Times New Roman"/>
                    <w:i w:val="0"/>
                    <w:iCs/>
                    <w:vertAlign w:val="baseline"/>
                    <w:lang w:val="en-US" w:eastAsia="zh-CN"/>
                  </w:rPr>
                </m:ctrlPr>
              </m:sub>
            </m:sSub>
            <m:ctrlPr>
              <w:rPr>
                <w:rFonts w:hint="default" w:ascii="Cambria Math" w:hAnsi="Cambria Math" w:cs="Times New Roman"/>
                <w:i w:val="0"/>
                <w:iCs/>
                <w:vertAlign w:val="baseline"/>
                <w:lang w:val="en-US"/>
              </w:rPr>
            </m:ctrlPr>
          </m:num>
          <m:den>
            <m:sSub>
              <m:sSubPr>
                <m:ctrlPr>
                  <w:rPr>
                    <w:rFonts w:hint="default" w:ascii="Cambria Math" w:hAnsi="Cambria Math" w:cs="Times New Roman"/>
                    <w:i w:val="0"/>
                    <w:iCs/>
                    <w:vertAlign w:val="baseline"/>
                    <w:lang w:val="en-US"/>
                  </w:rPr>
                </m:ctrlPr>
              </m:sSubPr>
              <m:e>
                <m:r>
                  <m:rPr>
                    <m:sty m:val="p"/>
                  </m:rPr>
                  <w:rPr>
                    <w:rFonts w:hint="default" w:ascii="Cambria Math" w:hAnsi="Cambria Math" w:cs="Times New Roman"/>
                    <w:vertAlign w:val="baseline"/>
                    <w:lang w:val="en-US" w:eastAsia="zh-CN"/>
                  </w:rPr>
                  <m:t>S</m:t>
                </m:r>
                <m:ctrlPr>
                  <w:rPr>
                    <w:rFonts w:hint="default" w:ascii="Cambria Math" w:hAnsi="Cambria Math" w:cs="Times New Roman"/>
                    <w:i w:val="0"/>
                    <w:iCs/>
                    <w:vertAlign w:val="baseline"/>
                    <w:lang w:val="en-US"/>
                  </w:rPr>
                </m:ctrlPr>
              </m:e>
              <m:sub>
                <m:r>
                  <m:rPr>
                    <m:sty m:val="p"/>
                  </m:rPr>
                  <w:rPr>
                    <w:rFonts w:hint="default" w:ascii="Cambria Math" w:hAnsi="Cambria Math" w:cs="Times New Roman"/>
                    <w:vertAlign w:val="baseline"/>
                    <w:lang w:val="en-US" w:eastAsia="zh-CN"/>
                  </w:rPr>
                  <m:t>B</m:t>
                </m:r>
                <m:ctrlPr>
                  <w:rPr>
                    <w:rFonts w:hint="default" w:ascii="Cambria Math" w:hAnsi="Cambria Math" w:cs="Times New Roman"/>
                    <w:i w:val="0"/>
                    <w:iCs/>
                    <w:vertAlign w:val="baseline"/>
                    <w:lang w:val="en-US"/>
                  </w:rPr>
                </m:ctrlPr>
              </m:sub>
            </m:sSub>
            <m:ctrlPr>
              <w:rPr>
                <w:rFonts w:hint="default" w:ascii="Cambria Math" w:hAnsi="Cambria Math" w:cs="Times New Roman"/>
                <w:i w:val="0"/>
                <w:iCs/>
                <w:vertAlign w:val="baseline"/>
                <w:lang w:val="en-US"/>
              </w:rPr>
            </m:ctrlPr>
          </m:den>
        </m:f>
      </m:oMath>
      <w:r>
        <w:rPr>
          <w:rFonts w:hint="default" w:ascii="Times New Roman" w:hAnsi="Times New Roman" w:cs="Times New Roman"/>
          <w:i w:val="0"/>
          <w:iCs/>
          <w:vertAlign w:val="baseline"/>
          <w:lang w:val="en-US" w:eastAsia="zh-CN"/>
        </w:rPr>
        <w:tab/>
      </w:r>
      <w:r>
        <w:rPr>
          <w:rFonts w:hint="default" w:ascii="Times New Roman" w:hAnsi="Times New Roman" w:cs="Times New Roman"/>
          <w:i w:val="0"/>
          <w:iCs/>
          <w:vertAlign w:val="baseline"/>
          <w:lang w:val="en-US" w:eastAsia="zh-CN"/>
        </w:rPr>
        <w:tab/>
      </w:r>
      <w:r>
        <w:rPr>
          <w:rFonts w:hint="default" w:ascii="Times New Roman" w:hAnsi="Times New Roman" w:cs="Times New Roman"/>
          <w:i w:val="0"/>
          <w:iCs/>
          <w:vertAlign w:val="baseline"/>
          <w:lang w:val="en-US" w:eastAsia="zh-CN"/>
        </w:rPr>
        <w:t>（4）</w:t>
      </w:r>
    </w:p>
    <w:p w14:paraId="2AE7C28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eastAsia="黑体" w:cs="Times New Roman"/>
          <w:color w:val="000000"/>
          <w:szCs w:val="21"/>
          <w:highlight w:val="none"/>
          <w:lang w:val="en-US" w:eastAsia="zh-CN"/>
        </w:rPr>
        <w:t>4</w:t>
      </w:r>
      <w:r>
        <w:rPr>
          <w:rFonts w:hint="default" w:ascii="Times New Roman" w:hAnsi="Times New Roman" w:eastAsia="黑体" w:cs="Times New Roman"/>
          <w:color w:val="000000"/>
          <w:szCs w:val="21"/>
          <w:highlight w:val="none"/>
          <w:lang w:val="en-US" w:eastAsia="zh-CN"/>
        </w:rPr>
        <w:t xml:space="preserve">  三氯杀螨醇碱解转化率</w:t>
      </w:r>
    </w:p>
    <w:tbl>
      <w:tblPr>
        <w:tblStyle w:val="16"/>
        <w:tblW w:w="88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1416"/>
        <w:gridCol w:w="1416"/>
        <w:gridCol w:w="1417"/>
        <w:gridCol w:w="1417"/>
      </w:tblGrid>
      <w:tr w14:paraId="69C2D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170"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4386D799">
            <w:pPr>
              <w:keepNext w:val="0"/>
              <w:keepLines w:val="0"/>
              <w:pageBreakBefore w:val="0"/>
              <w:widowControl w:val="0"/>
              <w:kinsoku/>
              <w:wordWrap/>
              <w:overflowPunct/>
              <w:topLinePunct/>
              <w:autoSpaceDE/>
              <w:autoSpaceDN/>
              <w:bidi w:val="0"/>
              <w:adjustRightInd/>
              <w:snapToGrid w:val="0"/>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p>
          <w:p w14:paraId="7B6BDF14">
            <w:pPr>
              <w:keepNext w:val="0"/>
              <w:keepLines w:val="0"/>
              <w:pageBreakBefore w:val="0"/>
              <w:widowControl w:val="0"/>
              <w:kinsoku/>
              <w:wordWrap/>
              <w:overflowPunct/>
              <w:topLinePunct/>
              <w:autoSpaceDE/>
              <w:autoSpaceDN/>
              <w:bidi w:val="0"/>
              <w:adjustRightInd/>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项目</w:t>
            </w:r>
          </w:p>
          <w:p w14:paraId="0404796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目标物</w:t>
            </w:r>
          </w:p>
        </w:tc>
        <w:tc>
          <w:tcPr>
            <w:tcW w:w="1417" w:type="dxa"/>
            <w:tcBorders>
              <w:tl2br w:val="nil"/>
              <w:tr2bl w:val="nil"/>
            </w:tcBorders>
            <w:vAlign w:val="center"/>
          </w:tcPr>
          <w:p w14:paraId="74D443A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2,4</w:t>
            </w:r>
            <w:r>
              <w:rPr>
                <w:rFonts w:hint="default"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-三氯杀螨醇碱解产物（A1）</w:t>
            </w:r>
          </w:p>
        </w:tc>
        <w:tc>
          <w:tcPr>
            <w:tcW w:w="1417" w:type="dxa"/>
            <w:tcBorders>
              <w:tl2br w:val="nil"/>
              <w:tr2bl w:val="nil"/>
            </w:tcBorders>
            <w:vAlign w:val="center"/>
          </w:tcPr>
          <w:p w14:paraId="3412149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4,4</w:t>
            </w:r>
            <w:r>
              <w:rPr>
                <w:rFonts w:hint="default"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-三氯杀螨醇碱解产物（A2</w:t>
            </w:r>
            <w:r>
              <w:rPr>
                <w:rFonts w:hint="eastAsia" w:cs="Times New Roman"/>
                <w:sz w:val="18"/>
                <w:szCs w:val="18"/>
                <w:vertAlign w:val="baseline"/>
                <w:lang w:val="en-US" w:eastAsia="zh-CN"/>
              </w:rPr>
              <w:t>）</w:t>
            </w:r>
          </w:p>
        </w:tc>
        <w:tc>
          <w:tcPr>
            <w:tcW w:w="1417" w:type="dxa"/>
            <w:tcBorders>
              <w:tl2br w:val="nil"/>
              <w:tr2bl w:val="nil"/>
            </w:tcBorders>
            <w:shd w:val="clear" w:color="auto" w:fill="auto"/>
            <w:vAlign w:val="center"/>
          </w:tcPr>
          <w:p w14:paraId="1B31BAF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2,4</w:t>
            </w:r>
            <w:r>
              <w:rPr>
                <w:rFonts w:hint="default"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-二氯二苯甲酮（B1）</w:t>
            </w:r>
          </w:p>
        </w:tc>
        <w:tc>
          <w:tcPr>
            <w:tcW w:w="1417" w:type="dxa"/>
            <w:tcBorders>
              <w:tl2br w:val="nil"/>
              <w:tr2bl w:val="nil"/>
            </w:tcBorders>
            <w:shd w:val="clear" w:color="auto" w:fill="auto"/>
            <w:vAlign w:val="center"/>
          </w:tcPr>
          <w:p w14:paraId="0724C3D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4,4</w:t>
            </w:r>
            <w:r>
              <w:rPr>
                <w:rFonts w:hint="default"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-二氯二苯甲酮（B2</w:t>
            </w:r>
            <w:r>
              <w:rPr>
                <w:rFonts w:hint="eastAsia" w:cs="Times New Roman"/>
                <w:sz w:val="18"/>
                <w:szCs w:val="18"/>
                <w:vertAlign w:val="baseline"/>
                <w:lang w:val="en-US" w:eastAsia="zh-CN"/>
              </w:rPr>
              <w:t>）</w:t>
            </w:r>
          </w:p>
        </w:tc>
      </w:tr>
      <w:tr w14:paraId="7BE08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vAlign w:val="center"/>
          </w:tcPr>
          <w:p w14:paraId="1E153B8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内标峰面积（W</w:t>
            </w:r>
            <w:r>
              <w:rPr>
                <w:rFonts w:hint="default" w:ascii="Times New Roman" w:hAnsi="Times New Roman" w:cs="Times New Roman"/>
                <w:sz w:val="18"/>
                <w:szCs w:val="18"/>
                <w:vertAlign w:val="subscript"/>
                <w:lang w:val="en-US" w:eastAsia="zh-CN"/>
              </w:rPr>
              <w:t>IS</w:t>
            </w:r>
            <w:r>
              <w:rPr>
                <w:rFonts w:hint="default" w:ascii="Times New Roman" w:hAnsi="Times New Roman" w:cs="Times New Roman"/>
                <w:sz w:val="18"/>
                <w:szCs w:val="18"/>
                <w:vertAlign w:val="baseline"/>
                <w:lang w:val="en-US" w:eastAsia="zh-CN"/>
              </w:rPr>
              <w:t>）</w:t>
            </w:r>
          </w:p>
        </w:tc>
        <w:tc>
          <w:tcPr>
            <w:tcW w:w="1417" w:type="dxa"/>
            <w:gridSpan w:val="2"/>
            <w:tcBorders>
              <w:tl2br w:val="nil"/>
              <w:tr2bl w:val="nil"/>
            </w:tcBorders>
            <w:vAlign w:val="center"/>
          </w:tcPr>
          <w:p w14:paraId="374038B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sz w:val="18"/>
                <w:szCs w:val="18"/>
              </w:rPr>
              <w:t>12401982</w:t>
            </w:r>
          </w:p>
        </w:tc>
        <w:tc>
          <w:tcPr>
            <w:tcW w:w="1417" w:type="dxa"/>
            <w:gridSpan w:val="2"/>
            <w:tcBorders>
              <w:tl2br w:val="nil"/>
              <w:tr2bl w:val="nil"/>
            </w:tcBorders>
            <w:vAlign w:val="center"/>
          </w:tcPr>
          <w:p w14:paraId="6E5DE84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sz w:val="18"/>
                <w:szCs w:val="18"/>
              </w:rPr>
              <w:t>12104589</w:t>
            </w:r>
          </w:p>
        </w:tc>
      </w:tr>
      <w:tr w14:paraId="4D18F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vAlign w:val="center"/>
          </w:tcPr>
          <w:p w14:paraId="67745CB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三氯杀螨醇碱解产物峰面积（W</w:t>
            </w:r>
            <w:r>
              <w:rPr>
                <w:rFonts w:hint="default" w:ascii="Times New Roman" w:hAnsi="Times New Roman" w:cs="Times New Roman"/>
                <w:sz w:val="18"/>
                <w:szCs w:val="18"/>
                <w:vertAlign w:val="subscript"/>
                <w:lang w:val="en-US" w:eastAsia="zh-CN"/>
              </w:rPr>
              <w:t>A’</w:t>
            </w:r>
            <w:r>
              <w:rPr>
                <w:rFonts w:hint="default" w:ascii="Times New Roman" w:hAnsi="Times New Roman" w:cs="Times New Roman"/>
                <w:sz w:val="18"/>
                <w:szCs w:val="18"/>
                <w:vertAlign w:val="baseline"/>
                <w:lang w:val="en-US" w:eastAsia="zh-CN"/>
              </w:rPr>
              <w:t>）</w:t>
            </w:r>
          </w:p>
        </w:tc>
        <w:tc>
          <w:tcPr>
            <w:tcW w:w="1417" w:type="dxa"/>
            <w:tcBorders>
              <w:tl2br w:val="nil"/>
              <w:tr2bl w:val="nil"/>
            </w:tcBorders>
            <w:vAlign w:val="center"/>
          </w:tcPr>
          <w:p w14:paraId="529281B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sz w:val="18"/>
                <w:szCs w:val="18"/>
              </w:rPr>
              <w:t>24948042</w:t>
            </w:r>
          </w:p>
        </w:tc>
        <w:tc>
          <w:tcPr>
            <w:tcW w:w="1417" w:type="dxa"/>
            <w:tcBorders>
              <w:tl2br w:val="nil"/>
              <w:tr2bl w:val="nil"/>
            </w:tcBorders>
            <w:vAlign w:val="center"/>
          </w:tcPr>
          <w:p w14:paraId="276480B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sz w:val="18"/>
                <w:szCs w:val="18"/>
              </w:rPr>
              <w:t>19622939</w:t>
            </w:r>
          </w:p>
        </w:tc>
        <w:tc>
          <w:tcPr>
            <w:tcW w:w="1417" w:type="dxa"/>
            <w:tcBorders>
              <w:tl2br w:val="nil"/>
              <w:tr2bl w:val="nil"/>
            </w:tcBorders>
            <w:vAlign w:val="center"/>
          </w:tcPr>
          <w:p w14:paraId="45C2775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c>
          <w:tcPr>
            <w:tcW w:w="1417" w:type="dxa"/>
            <w:tcBorders>
              <w:tl2br w:val="nil"/>
              <w:tr2bl w:val="nil"/>
            </w:tcBorders>
            <w:vAlign w:val="center"/>
          </w:tcPr>
          <w:p w14:paraId="3A42C89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r>
      <w:tr w14:paraId="43C7B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vAlign w:val="center"/>
          </w:tcPr>
          <w:p w14:paraId="17CEAA9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二氯二苯甲酮峰面积（W</w:t>
            </w:r>
            <w:r>
              <w:rPr>
                <w:rFonts w:hint="default" w:ascii="Times New Roman" w:hAnsi="Times New Roman" w:cs="Times New Roman"/>
                <w:sz w:val="18"/>
                <w:szCs w:val="18"/>
                <w:vertAlign w:val="subscript"/>
                <w:lang w:val="en-US" w:eastAsia="zh-CN"/>
              </w:rPr>
              <w:t>B</w:t>
            </w:r>
            <w:r>
              <w:rPr>
                <w:rFonts w:hint="default" w:ascii="Times New Roman" w:hAnsi="Times New Roman" w:cs="Times New Roman"/>
                <w:sz w:val="18"/>
                <w:szCs w:val="18"/>
                <w:vertAlign w:val="baseline"/>
                <w:lang w:val="en-US" w:eastAsia="zh-CN"/>
              </w:rPr>
              <w:t>）</w:t>
            </w:r>
          </w:p>
        </w:tc>
        <w:tc>
          <w:tcPr>
            <w:tcW w:w="1417" w:type="dxa"/>
            <w:tcBorders>
              <w:tl2br w:val="nil"/>
              <w:tr2bl w:val="nil"/>
            </w:tcBorders>
            <w:vAlign w:val="center"/>
          </w:tcPr>
          <w:p w14:paraId="58A12C2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c>
          <w:tcPr>
            <w:tcW w:w="1417" w:type="dxa"/>
            <w:tcBorders>
              <w:tl2br w:val="nil"/>
              <w:tr2bl w:val="nil"/>
            </w:tcBorders>
            <w:vAlign w:val="center"/>
          </w:tcPr>
          <w:p w14:paraId="1B1F75E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c>
          <w:tcPr>
            <w:tcW w:w="1417" w:type="dxa"/>
            <w:tcBorders>
              <w:tl2br w:val="nil"/>
              <w:tr2bl w:val="nil"/>
            </w:tcBorders>
            <w:vAlign w:val="center"/>
          </w:tcPr>
          <w:p w14:paraId="013E082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sz w:val="18"/>
                <w:szCs w:val="18"/>
              </w:rPr>
              <w:t>28531169</w:t>
            </w:r>
          </w:p>
        </w:tc>
        <w:tc>
          <w:tcPr>
            <w:tcW w:w="1417" w:type="dxa"/>
            <w:tcBorders>
              <w:tl2br w:val="nil"/>
              <w:tr2bl w:val="nil"/>
            </w:tcBorders>
            <w:vAlign w:val="center"/>
          </w:tcPr>
          <w:p w14:paraId="141FE55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sz w:val="18"/>
                <w:szCs w:val="18"/>
              </w:rPr>
              <w:t>21999863</w:t>
            </w:r>
          </w:p>
        </w:tc>
      </w:tr>
      <w:tr w14:paraId="7937E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shd w:val="clear" w:color="auto" w:fill="auto"/>
            <w:vAlign w:val="center"/>
          </w:tcPr>
          <w:p w14:paraId="195101B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三氯杀螨醇碱解产物对内标物的应答值(S</w:t>
            </w:r>
            <w:r>
              <w:rPr>
                <w:rFonts w:hint="default" w:ascii="Times New Roman" w:hAnsi="Times New Roman" w:cs="Times New Roman"/>
                <w:sz w:val="18"/>
                <w:szCs w:val="18"/>
                <w:vertAlign w:val="subscript"/>
                <w:lang w:val="en-US" w:eastAsia="zh-CN"/>
              </w:rPr>
              <w:t>A’</w:t>
            </w:r>
            <w:r>
              <w:rPr>
                <w:rFonts w:hint="default" w:ascii="Times New Roman" w:hAnsi="Times New Roman" w:cs="Times New Roman"/>
                <w:sz w:val="18"/>
                <w:szCs w:val="18"/>
                <w:vertAlign w:val="baseline"/>
                <w:lang w:val="en-US" w:eastAsia="zh-CN"/>
              </w:rPr>
              <w:t>)</w:t>
            </w:r>
          </w:p>
        </w:tc>
        <w:tc>
          <w:tcPr>
            <w:tcW w:w="1417" w:type="dxa"/>
            <w:tcBorders>
              <w:tl2br w:val="nil"/>
              <w:tr2bl w:val="nil"/>
            </w:tcBorders>
            <w:shd w:val="clear" w:color="auto" w:fill="auto"/>
            <w:vAlign w:val="center"/>
          </w:tcPr>
          <w:p w14:paraId="049F23F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2.0116</w:t>
            </w:r>
          </w:p>
        </w:tc>
        <w:tc>
          <w:tcPr>
            <w:tcW w:w="1417" w:type="dxa"/>
            <w:tcBorders>
              <w:tl2br w:val="nil"/>
              <w:tr2bl w:val="nil"/>
            </w:tcBorders>
            <w:shd w:val="clear" w:color="auto" w:fill="auto"/>
            <w:vAlign w:val="center"/>
          </w:tcPr>
          <w:p w14:paraId="1F5D8C6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1.5822</w:t>
            </w:r>
          </w:p>
        </w:tc>
        <w:tc>
          <w:tcPr>
            <w:tcW w:w="1417" w:type="dxa"/>
            <w:tcBorders>
              <w:tl2br w:val="nil"/>
              <w:tr2bl w:val="nil"/>
            </w:tcBorders>
            <w:shd w:val="clear" w:color="auto" w:fill="auto"/>
            <w:vAlign w:val="center"/>
          </w:tcPr>
          <w:p w14:paraId="62C30C6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kern w:val="2"/>
                <w:sz w:val="18"/>
                <w:szCs w:val="18"/>
                <w:vertAlign w:val="baseline"/>
                <w:lang w:val="en-US" w:eastAsia="zh-CN" w:bidi="ar-SA"/>
              </w:rPr>
              <w:t>/</w:t>
            </w:r>
          </w:p>
        </w:tc>
        <w:tc>
          <w:tcPr>
            <w:tcW w:w="1417" w:type="dxa"/>
            <w:tcBorders>
              <w:tl2br w:val="nil"/>
              <w:tr2bl w:val="nil"/>
            </w:tcBorders>
            <w:shd w:val="clear" w:color="auto" w:fill="auto"/>
            <w:vAlign w:val="center"/>
          </w:tcPr>
          <w:p w14:paraId="77A69FA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kern w:val="2"/>
                <w:sz w:val="18"/>
                <w:szCs w:val="18"/>
                <w:vertAlign w:val="baseline"/>
                <w:lang w:val="en-US" w:eastAsia="zh-CN" w:bidi="ar-SA"/>
              </w:rPr>
              <w:t>/</w:t>
            </w:r>
          </w:p>
        </w:tc>
      </w:tr>
      <w:tr w14:paraId="698B7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shd w:val="clear" w:color="auto" w:fill="auto"/>
            <w:vAlign w:val="center"/>
          </w:tcPr>
          <w:p w14:paraId="1D14D0E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二氯二苯甲酮对内标物的应答值（S</w:t>
            </w:r>
            <w:r>
              <w:rPr>
                <w:rFonts w:hint="default" w:ascii="Times New Roman" w:hAnsi="Times New Roman" w:cs="Times New Roman"/>
                <w:sz w:val="18"/>
                <w:szCs w:val="18"/>
                <w:vertAlign w:val="subscript"/>
                <w:lang w:val="en-US" w:eastAsia="zh-CN"/>
              </w:rPr>
              <w:t>B</w:t>
            </w:r>
            <w:r>
              <w:rPr>
                <w:rFonts w:hint="default" w:ascii="Times New Roman" w:hAnsi="Times New Roman" w:cs="Times New Roman"/>
                <w:sz w:val="18"/>
                <w:szCs w:val="18"/>
                <w:vertAlign w:val="baseline"/>
                <w:lang w:val="en-US" w:eastAsia="zh-CN"/>
              </w:rPr>
              <w:t>）</w:t>
            </w:r>
          </w:p>
        </w:tc>
        <w:tc>
          <w:tcPr>
            <w:tcW w:w="1417" w:type="dxa"/>
            <w:tcBorders>
              <w:tl2br w:val="nil"/>
              <w:tr2bl w:val="nil"/>
            </w:tcBorders>
            <w:shd w:val="clear" w:color="auto" w:fill="auto"/>
            <w:vAlign w:val="center"/>
          </w:tcPr>
          <w:p w14:paraId="02B989B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kern w:val="2"/>
                <w:sz w:val="18"/>
                <w:szCs w:val="18"/>
                <w:vertAlign w:val="baseline"/>
                <w:lang w:val="en-US" w:eastAsia="zh-CN" w:bidi="ar-SA"/>
              </w:rPr>
              <w:t>/</w:t>
            </w:r>
          </w:p>
        </w:tc>
        <w:tc>
          <w:tcPr>
            <w:tcW w:w="1417" w:type="dxa"/>
            <w:tcBorders>
              <w:tl2br w:val="nil"/>
              <w:tr2bl w:val="nil"/>
            </w:tcBorders>
            <w:shd w:val="clear" w:color="auto" w:fill="auto"/>
            <w:vAlign w:val="center"/>
          </w:tcPr>
          <w:p w14:paraId="496E37C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kern w:val="2"/>
                <w:sz w:val="18"/>
                <w:szCs w:val="18"/>
                <w:vertAlign w:val="baseline"/>
                <w:lang w:val="en-US" w:eastAsia="zh-CN" w:bidi="ar-SA"/>
              </w:rPr>
              <w:t>/</w:t>
            </w:r>
          </w:p>
        </w:tc>
        <w:tc>
          <w:tcPr>
            <w:tcW w:w="1417" w:type="dxa"/>
            <w:tcBorders>
              <w:tl2br w:val="nil"/>
              <w:tr2bl w:val="nil"/>
            </w:tcBorders>
            <w:shd w:val="clear" w:color="auto" w:fill="auto"/>
            <w:vAlign w:val="center"/>
          </w:tcPr>
          <w:p w14:paraId="6BD761F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2.3571</w:t>
            </w:r>
          </w:p>
        </w:tc>
        <w:tc>
          <w:tcPr>
            <w:tcW w:w="1417" w:type="dxa"/>
            <w:tcBorders>
              <w:tl2br w:val="nil"/>
              <w:tr2bl w:val="nil"/>
            </w:tcBorders>
            <w:shd w:val="clear" w:color="auto" w:fill="auto"/>
            <w:vAlign w:val="center"/>
          </w:tcPr>
          <w:p w14:paraId="20FF988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1.8175</w:t>
            </w:r>
          </w:p>
        </w:tc>
      </w:tr>
      <w:tr w14:paraId="0F3D0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shd w:val="clear" w:color="auto" w:fill="auto"/>
            <w:vAlign w:val="center"/>
          </w:tcPr>
          <w:p w14:paraId="06020BA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二氯二苯甲酮对内标物的应答计算值（S</w:t>
            </w:r>
            <w:r>
              <w:rPr>
                <w:rFonts w:hint="default" w:ascii="Times New Roman" w:hAnsi="Times New Roman" w:cs="Times New Roman"/>
                <w:sz w:val="18"/>
                <w:szCs w:val="18"/>
                <w:vertAlign w:val="subscript"/>
                <w:lang w:val="en-US" w:eastAsia="zh-CN"/>
              </w:rPr>
              <w:t>B（计算值）</w:t>
            </w:r>
            <w:r>
              <w:rPr>
                <w:rFonts w:hint="default" w:ascii="Times New Roman" w:hAnsi="Times New Roman" w:cs="Times New Roman"/>
                <w:sz w:val="18"/>
                <w:szCs w:val="18"/>
                <w:vertAlign w:val="baseline"/>
                <w:lang w:val="en-US" w:eastAsia="zh-CN"/>
              </w:rPr>
              <w:t>）</w:t>
            </w:r>
          </w:p>
        </w:tc>
        <w:tc>
          <w:tcPr>
            <w:tcW w:w="1417" w:type="dxa"/>
            <w:tcBorders>
              <w:tl2br w:val="nil"/>
              <w:tr2bl w:val="nil"/>
            </w:tcBorders>
            <w:shd w:val="clear" w:color="auto" w:fill="auto"/>
            <w:vAlign w:val="center"/>
          </w:tcPr>
          <w:p w14:paraId="6325421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kern w:val="2"/>
                <w:sz w:val="18"/>
                <w:szCs w:val="18"/>
                <w:vertAlign w:val="baseline"/>
                <w:lang w:val="en-US" w:eastAsia="zh-CN" w:bidi="ar-SA"/>
              </w:rPr>
              <w:t>/</w:t>
            </w:r>
          </w:p>
        </w:tc>
        <w:tc>
          <w:tcPr>
            <w:tcW w:w="1417" w:type="dxa"/>
            <w:tcBorders>
              <w:tl2br w:val="nil"/>
              <w:tr2bl w:val="nil"/>
            </w:tcBorders>
            <w:shd w:val="clear" w:color="auto" w:fill="auto"/>
            <w:vAlign w:val="center"/>
          </w:tcPr>
          <w:p w14:paraId="76F68FE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kern w:val="2"/>
                <w:sz w:val="18"/>
                <w:szCs w:val="18"/>
                <w:vertAlign w:val="baseline"/>
                <w:lang w:val="en-US" w:eastAsia="zh-CN" w:bidi="ar-SA"/>
              </w:rPr>
              <w:t>/</w:t>
            </w:r>
          </w:p>
        </w:tc>
        <w:tc>
          <w:tcPr>
            <w:tcW w:w="1417" w:type="dxa"/>
            <w:tcBorders>
              <w:tl2br w:val="nil"/>
              <w:tr2bl w:val="nil"/>
            </w:tcBorders>
            <w:shd w:val="clear" w:color="auto" w:fill="auto"/>
            <w:vAlign w:val="center"/>
          </w:tcPr>
          <w:p w14:paraId="406C62C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2.9693</w:t>
            </w:r>
          </w:p>
        </w:tc>
        <w:tc>
          <w:tcPr>
            <w:tcW w:w="1417" w:type="dxa"/>
            <w:tcBorders>
              <w:tl2br w:val="nil"/>
              <w:tr2bl w:val="nil"/>
            </w:tcBorders>
            <w:shd w:val="clear" w:color="auto" w:fill="auto"/>
            <w:vAlign w:val="center"/>
          </w:tcPr>
          <w:p w14:paraId="1CC95FB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2.3355</w:t>
            </w:r>
          </w:p>
        </w:tc>
      </w:tr>
      <w:tr w14:paraId="1EFAB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shd w:val="clear" w:color="auto" w:fill="auto"/>
            <w:vAlign w:val="center"/>
          </w:tcPr>
          <w:p w14:paraId="4FAEC13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三氯杀螨醇分子量（M</w:t>
            </w:r>
            <w:r>
              <w:rPr>
                <w:rFonts w:hint="default" w:ascii="Times New Roman" w:hAnsi="Times New Roman" w:cs="Times New Roman"/>
                <w:sz w:val="18"/>
                <w:szCs w:val="18"/>
                <w:vertAlign w:val="subscript"/>
                <w:lang w:val="en-US" w:eastAsia="zh-CN"/>
              </w:rPr>
              <w:t>三氯杀螨醇</w:t>
            </w:r>
            <w:r>
              <w:rPr>
                <w:rFonts w:hint="default" w:ascii="Times New Roman" w:hAnsi="Times New Roman" w:cs="Times New Roman"/>
                <w:sz w:val="18"/>
                <w:szCs w:val="18"/>
                <w:vertAlign w:val="baseline"/>
                <w:lang w:val="en-US" w:eastAsia="zh-CN"/>
              </w:rPr>
              <w:t>）</w:t>
            </w:r>
          </w:p>
        </w:tc>
        <w:tc>
          <w:tcPr>
            <w:tcW w:w="1417" w:type="dxa"/>
            <w:gridSpan w:val="4"/>
            <w:tcBorders>
              <w:tl2br w:val="nil"/>
              <w:tr2bl w:val="nil"/>
            </w:tcBorders>
            <w:shd w:val="clear" w:color="auto" w:fill="auto"/>
            <w:vAlign w:val="center"/>
          </w:tcPr>
          <w:p w14:paraId="7EEA29F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370.5</w:t>
            </w:r>
          </w:p>
        </w:tc>
      </w:tr>
      <w:tr w14:paraId="609EC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shd w:val="clear" w:color="auto" w:fill="auto"/>
            <w:vAlign w:val="center"/>
          </w:tcPr>
          <w:p w14:paraId="2720FCD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二氯二苯甲酮分子量（M</w:t>
            </w:r>
            <w:r>
              <w:rPr>
                <w:rFonts w:hint="default" w:ascii="Times New Roman" w:hAnsi="Times New Roman" w:cs="Times New Roman"/>
                <w:sz w:val="18"/>
                <w:szCs w:val="18"/>
                <w:vertAlign w:val="subscript"/>
                <w:lang w:val="en-US" w:eastAsia="zh-CN"/>
              </w:rPr>
              <w:t>二氯二苯甲酮</w:t>
            </w:r>
            <w:r>
              <w:rPr>
                <w:rFonts w:hint="default" w:ascii="Times New Roman" w:hAnsi="Times New Roman" w:cs="Times New Roman"/>
                <w:sz w:val="18"/>
                <w:szCs w:val="18"/>
                <w:vertAlign w:val="baseline"/>
                <w:lang w:val="en-US" w:eastAsia="zh-CN"/>
              </w:rPr>
              <w:t>）</w:t>
            </w:r>
          </w:p>
        </w:tc>
        <w:tc>
          <w:tcPr>
            <w:tcW w:w="1417" w:type="dxa"/>
            <w:gridSpan w:val="4"/>
            <w:tcBorders>
              <w:tl2br w:val="nil"/>
              <w:tr2bl w:val="nil"/>
            </w:tcBorders>
            <w:shd w:val="clear" w:color="auto" w:fill="auto"/>
            <w:vAlign w:val="center"/>
          </w:tcPr>
          <w:p w14:paraId="1895508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251</w:t>
            </w:r>
          </w:p>
        </w:tc>
      </w:tr>
      <w:tr w14:paraId="1F5DB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shd w:val="clear" w:color="auto" w:fill="auto"/>
            <w:vAlign w:val="center"/>
          </w:tcPr>
          <w:p w14:paraId="6F5150B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cs="Times New Roman"/>
                <w:sz w:val="18"/>
                <w:szCs w:val="18"/>
                <w:vertAlign w:val="baseline"/>
                <w:lang w:val="en-US" w:eastAsia="zh-CN"/>
              </w:rPr>
              <w:t>2,4</w:t>
            </w:r>
            <w:r>
              <w:rPr>
                <w:rFonts w:hint="default"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-三氯杀螨醇碱解转化率</w:t>
            </w:r>
            <w:r>
              <w:rPr>
                <w:rFonts w:hint="default" w:ascii="Times New Roman" w:hAnsi="Times New Roman" w:cs="Times New Roman"/>
                <w:kern w:val="2"/>
                <w:sz w:val="18"/>
                <w:szCs w:val="18"/>
                <w:vertAlign w:val="baseline"/>
                <w:lang w:val="en-US" w:eastAsia="zh-CN" w:bidi="ar-SA"/>
              </w:rPr>
              <w:t>（T）</w:t>
            </w:r>
          </w:p>
        </w:tc>
        <w:tc>
          <w:tcPr>
            <w:tcW w:w="1417" w:type="dxa"/>
            <w:gridSpan w:val="4"/>
            <w:tcBorders>
              <w:tl2br w:val="nil"/>
              <w:tr2bl w:val="nil"/>
            </w:tcBorders>
            <w:shd w:val="clear" w:color="auto" w:fill="auto"/>
            <w:vAlign w:val="center"/>
          </w:tcPr>
          <w:p w14:paraId="5F242B8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126%</w:t>
            </w:r>
          </w:p>
        </w:tc>
      </w:tr>
      <w:tr w14:paraId="15ACB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70" w:type="dxa"/>
            <w:tcBorders>
              <w:tl2br w:val="nil"/>
              <w:tr2bl w:val="nil"/>
            </w:tcBorders>
            <w:shd w:val="clear" w:color="auto" w:fill="auto"/>
            <w:vAlign w:val="center"/>
          </w:tcPr>
          <w:p w14:paraId="758FF4D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sz w:val="18"/>
                <w:szCs w:val="18"/>
                <w:vertAlign w:val="baseline"/>
                <w:lang w:val="en-US" w:eastAsia="zh-CN"/>
              </w:rPr>
              <w:t>4</w:t>
            </w:r>
            <w:r>
              <w:rPr>
                <w:rFonts w:hint="default" w:ascii="Times New Roman" w:hAnsi="Times New Roman" w:cs="Times New Roman"/>
                <w:sz w:val="18"/>
                <w:szCs w:val="18"/>
                <w:vertAlign w:val="baseline"/>
                <w:lang w:val="en-US" w:eastAsia="zh-CN"/>
              </w:rPr>
              <w:t>,4</w:t>
            </w:r>
            <w:r>
              <w:rPr>
                <w:rFonts w:hint="default" w:cs="Times New Roman"/>
                <w:sz w:val="18"/>
                <w:szCs w:val="18"/>
                <w:vertAlign w:val="baseline"/>
                <w:lang w:val="en-US" w:eastAsia="zh-CN"/>
              </w:rPr>
              <w:t>’</w:t>
            </w:r>
            <w:r>
              <w:rPr>
                <w:rFonts w:hint="default" w:ascii="Times New Roman" w:hAnsi="Times New Roman" w:cs="Times New Roman"/>
                <w:sz w:val="18"/>
                <w:szCs w:val="18"/>
                <w:vertAlign w:val="baseline"/>
                <w:lang w:val="en-US" w:eastAsia="zh-CN"/>
              </w:rPr>
              <w:t>-三氯杀螨醇碱解转化率</w:t>
            </w:r>
            <w:r>
              <w:rPr>
                <w:rFonts w:hint="default" w:ascii="Times New Roman" w:hAnsi="Times New Roman" w:cs="Times New Roman"/>
                <w:kern w:val="2"/>
                <w:sz w:val="18"/>
                <w:szCs w:val="18"/>
                <w:vertAlign w:val="baseline"/>
                <w:lang w:val="en-US" w:eastAsia="zh-CN" w:bidi="ar-SA"/>
              </w:rPr>
              <w:t>（T）</w:t>
            </w:r>
          </w:p>
        </w:tc>
        <w:tc>
          <w:tcPr>
            <w:tcW w:w="1417" w:type="dxa"/>
            <w:gridSpan w:val="4"/>
            <w:tcBorders>
              <w:tl2br w:val="nil"/>
              <w:tr2bl w:val="nil"/>
            </w:tcBorders>
            <w:shd w:val="clear" w:color="auto" w:fill="auto"/>
            <w:vAlign w:val="center"/>
          </w:tcPr>
          <w:p w14:paraId="6298837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18"/>
                <w:szCs w:val="18"/>
                <w:vertAlign w:val="baseline"/>
                <w:lang w:val="en-US" w:eastAsia="zh-CN" w:bidi="ar-SA"/>
              </w:rPr>
            </w:pPr>
            <w:r>
              <w:rPr>
                <w:rFonts w:hint="eastAsia" w:cs="Times New Roman"/>
                <w:kern w:val="2"/>
                <w:sz w:val="18"/>
                <w:szCs w:val="18"/>
                <w:vertAlign w:val="baseline"/>
                <w:lang w:val="en-US" w:eastAsia="zh-CN" w:bidi="ar-SA"/>
              </w:rPr>
              <w:t>129%</w:t>
            </w:r>
          </w:p>
        </w:tc>
      </w:tr>
    </w:tbl>
    <w:p w14:paraId="4624EAF3">
      <w:pPr>
        <w:bidi w:val="0"/>
        <w:rPr>
          <w:rFonts w:hint="default" w:ascii="Times New Roman" w:hAnsi="Times New Roman" w:cs="Times New Roman"/>
          <w:lang w:val="en-US" w:eastAsia="zh-CN"/>
        </w:rPr>
      </w:pPr>
      <w:r>
        <w:rPr>
          <w:rFonts w:hint="default" w:ascii="Times New Roman" w:hAnsi="Times New Roman" w:cs="Times New Roman"/>
          <w:lang w:val="en-US" w:eastAsia="zh-CN"/>
        </w:rPr>
        <w:t>结果表明，三氯杀螨醇在碱解反应中基本上达到定量转化。同时，理论上也证明：三氯杀螨醇在上述碱解反应中的生成物确实为二氯二苯甲酮。由此可见，碱解转化三氯杀螨醇，间接测定其碱解产物二氯二苯甲酮的方式来定量分析三氯杀螨醇切实可行。</w:t>
      </w:r>
    </w:p>
    <w:p w14:paraId="13207CC9">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样品的净化</w:t>
      </w:r>
    </w:p>
    <w:p w14:paraId="32D0D2B5">
      <w:pPr>
        <w:spacing w:line="360" w:lineRule="exact"/>
        <w:ind w:firstLine="420"/>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对于</w:t>
      </w:r>
      <w:r>
        <w:rPr>
          <w:rFonts w:hint="default" w:ascii="Times New Roman" w:hAnsi="Times New Roman" w:cs="Times New Roman"/>
          <w:color w:val="000000"/>
          <w:szCs w:val="21"/>
          <w:highlight w:val="none"/>
        </w:rPr>
        <w:t>土壤等复杂环境样品中有机项目的分析，由于存在多种高浓度的干扰物</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使得有机目标化合的测定难以准确定量。因此分析时除了使用高灵敏度和选择性的分析仪器外还需要使用复杂的前处理技术，</w:t>
      </w:r>
      <w:r>
        <w:rPr>
          <w:rFonts w:hint="default" w:ascii="Times New Roman" w:hAnsi="Times New Roman" w:cs="Times New Roman"/>
          <w:color w:val="000000"/>
          <w:szCs w:val="21"/>
          <w:highlight w:val="none"/>
          <w:lang w:val="en-US" w:eastAsia="zh-CN"/>
        </w:rPr>
        <w:t>而样品净化在此至关重要。</w:t>
      </w:r>
    </w:p>
    <w:p w14:paraId="7E4AF1C7">
      <w:pPr>
        <w:rPr>
          <w:rFonts w:hint="default" w:ascii="Times New Roman" w:hAnsi="Times New Roman" w:cs="Times New Roman"/>
          <w:lang w:val="en-US" w:eastAsia="zh-CN"/>
        </w:rPr>
      </w:pPr>
      <w:r>
        <w:rPr>
          <w:rFonts w:hint="default" w:ascii="Times New Roman" w:hAnsi="Times New Roman" w:cs="Times New Roman"/>
          <w:lang w:val="en-US" w:eastAsia="zh-CN"/>
        </w:rPr>
        <w:t>柱色谱法是分离净化有机目标化合物最常用的一种方法。它主要是根据目标组分与干扰组分的性质，选择固体吸附剂将液体样品中的化合物吸附，然后再用合适的</w:t>
      </w:r>
      <w:r>
        <w:rPr>
          <w:rFonts w:hint="eastAsia" w:cs="Times New Roman"/>
          <w:lang w:val="en-US" w:eastAsia="zh-CN"/>
        </w:rPr>
        <w:t>洗脱溶剂</w:t>
      </w:r>
      <w:r>
        <w:rPr>
          <w:rFonts w:hint="default" w:ascii="Times New Roman" w:hAnsi="Times New Roman" w:cs="Times New Roman"/>
          <w:lang w:val="en-US" w:eastAsia="zh-CN"/>
        </w:rPr>
        <w:t>洗脱，达到分离净化的目的。在使用柱色谱法时，不仅要选择合适的固定相和</w:t>
      </w:r>
      <w:r>
        <w:rPr>
          <w:rFonts w:hint="eastAsia" w:cs="Times New Roman"/>
          <w:lang w:val="en-US" w:eastAsia="zh-CN"/>
        </w:rPr>
        <w:t>洗脱溶剂</w:t>
      </w:r>
      <w:r>
        <w:rPr>
          <w:rFonts w:hint="default" w:ascii="Times New Roman" w:hAnsi="Times New Roman" w:cs="Times New Roman"/>
          <w:lang w:val="en-US" w:eastAsia="zh-CN"/>
        </w:rPr>
        <w:t>，还要确定</w:t>
      </w:r>
      <w:r>
        <w:rPr>
          <w:rFonts w:hint="eastAsia" w:cs="Times New Roman"/>
          <w:lang w:val="en-US" w:eastAsia="zh-CN"/>
        </w:rPr>
        <w:t>洗脱溶剂</w:t>
      </w:r>
      <w:r>
        <w:rPr>
          <w:rFonts w:hint="default" w:ascii="Times New Roman" w:hAnsi="Times New Roman" w:cs="Times New Roman"/>
          <w:lang w:val="en-US" w:eastAsia="zh-CN"/>
        </w:rPr>
        <w:t>体积，绘制洗脱曲线以达到最佳净化分离效果。</w:t>
      </w:r>
    </w:p>
    <w:p w14:paraId="2B9128E9">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.1  净化柱的选择</w:t>
      </w:r>
    </w:p>
    <w:p w14:paraId="03272A07">
      <w:pP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lang w:val="en-US" w:eastAsia="zh-CN"/>
        </w:rPr>
        <w:t>常用的色谱填料主要有弗</w:t>
      </w:r>
      <w:r>
        <w:rPr>
          <w:rFonts w:hint="default" w:ascii="Times New Roman" w:hAnsi="Times New Roman" w:cs="Times New Roman"/>
          <w:color w:val="000000"/>
          <w:szCs w:val="21"/>
          <w:highlight w:val="none"/>
          <w:lang w:val="en-US" w:eastAsia="zh-CN"/>
        </w:rPr>
        <w:t>罗里硅土</w:t>
      </w:r>
      <w:r>
        <w:rPr>
          <w:rFonts w:hint="default" w:ascii="Times New Roman" w:hAnsi="Times New Roman" w:cs="Times New Roman"/>
          <w:color w:val="000000"/>
          <w:szCs w:val="21"/>
          <w:highlight w:val="none"/>
          <w:lang w:eastAsia="zh-CN"/>
        </w:rPr>
        <w:t>柱</w:t>
      </w:r>
      <w:r>
        <w:rPr>
          <w:rFonts w:hint="default" w:ascii="Times New Roman" w:hAnsi="Times New Roman" w:cs="Times New Roman"/>
          <w:color w:val="000000"/>
          <w:szCs w:val="21"/>
          <w:highlight w:val="none"/>
        </w:rPr>
        <w:t>（Florisil）</w:t>
      </w:r>
      <w:r>
        <w:rPr>
          <w:rFonts w:hint="default" w:ascii="Times New Roman" w:hAnsi="Times New Roman" w:cs="Times New Roman"/>
          <w:lang w:val="en-US" w:eastAsia="zh-CN"/>
        </w:rPr>
        <w:t>、硅胶</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Si）</w:t>
      </w:r>
      <w:r>
        <w:rPr>
          <w:rFonts w:hint="default" w:ascii="Times New Roman" w:hAnsi="Times New Roman" w:cs="Times New Roman"/>
          <w:lang w:val="en-US" w:eastAsia="zh-CN"/>
        </w:rPr>
        <w:t>、氧化铝、C18</w:t>
      </w:r>
      <w:r>
        <w:rPr>
          <w:rFonts w:hint="default" w:ascii="Times New Roman" w:hAnsi="Times New Roman" w:cs="Times New Roman"/>
          <w:color w:val="000000"/>
          <w:szCs w:val="21"/>
          <w:highlight w:val="none"/>
          <w:vertAlign w:val="baseline"/>
          <w:lang w:eastAsia="zh-CN"/>
        </w:rPr>
        <w:t>柱</w:t>
      </w:r>
      <w:r>
        <w:rPr>
          <w:rFonts w:hint="default" w:ascii="Times New Roman" w:hAnsi="Times New Roman" w:cs="Times New Roman"/>
          <w:lang w:val="en-US" w:eastAsia="zh-CN"/>
        </w:rPr>
        <w:t>、凝胶等。三氯杀螨醇是有机氯类农药，具有一定的极性，溶于的正己烷溶剂是非极性，宜采用正相萃取柱净化。参考《土壤和沉积物 有机氯农药的测定 气相色谱-质谱法》（HJ 835-2017）和《水质 有机氯农药和氯苯类化合物的测定 气相色谱-质谱法》（HJ 699-2014），编制组选择常用的正相萃取柱（弗</w:t>
      </w:r>
      <w:r>
        <w:rPr>
          <w:rFonts w:hint="default" w:ascii="Times New Roman" w:hAnsi="Times New Roman" w:cs="Times New Roman"/>
          <w:color w:val="000000"/>
          <w:szCs w:val="21"/>
          <w:highlight w:val="none"/>
          <w:lang w:val="en-US" w:eastAsia="zh-CN"/>
        </w:rPr>
        <w:t>罗里硅土</w:t>
      </w:r>
      <w:r>
        <w:rPr>
          <w:rFonts w:hint="default" w:ascii="Times New Roman" w:hAnsi="Times New Roman" w:cs="Times New Roman"/>
          <w:color w:val="000000"/>
          <w:szCs w:val="21"/>
          <w:highlight w:val="none"/>
          <w:lang w:eastAsia="zh-CN"/>
        </w:rPr>
        <w:t>柱</w:t>
      </w:r>
      <w:r>
        <w:rPr>
          <w:rFonts w:hint="default" w:ascii="Times New Roman" w:hAnsi="Times New Roman" w:cs="Times New Roman"/>
          <w:color w:val="000000"/>
          <w:szCs w:val="21"/>
          <w:highlight w:val="none"/>
          <w:lang w:val="en-US" w:eastAsia="zh-CN"/>
        </w:rPr>
        <w:t>和</w:t>
      </w:r>
      <w:r>
        <w:rPr>
          <w:rFonts w:hint="default" w:ascii="Times New Roman" w:hAnsi="Times New Roman" w:cs="Times New Roman"/>
          <w:lang w:val="en-US" w:eastAsia="zh-CN"/>
        </w:rPr>
        <w:t>硅胶柱）对</w:t>
      </w:r>
      <w:r>
        <w:rPr>
          <w:rFonts w:hint="default" w:ascii="Times New Roman" w:hAnsi="Times New Roman" w:cs="Times New Roman"/>
          <w:color w:val="000000"/>
          <w:szCs w:val="21"/>
          <w:highlight w:val="none"/>
        </w:rPr>
        <w:t>土壤样品加标回收</w:t>
      </w:r>
      <w:r>
        <w:rPr>
          <w:rFonts w:hint="default" w:ascii="Times New Roman" w:hAnsi="Times New Roman" w:cs="Times New Roman"/>
          <w:color w:val="000000"/>
          <w:szCs w:val="21"/>
          <w:highlight w:val="none"/>
          <w:lang w:val="en-US" w:eastAsia="zh-CN"/>
        </w:rPr>
        <w:t>进行研究。所采用的2种净化柱</w:t>
      </w:r>
      <w:r>
        <w:rPr>
          <w:rFonts w:hint="default" w:ascii="Times New Roman" w:hAnsi="Times New Roman" w:cs="Times New Roman"/>
          <w:color w:val="000000"/>
          <w:szCs w:val="21"/>
          <w:highlight w:val="none"/>
        </w:rPr>
        <w:t>填料均为1 g/6</w:t>
      </w:r>
      <w:r>
        <w:rPr>
          <w:rFonts w:hint="default" w:ascii="Times New Roman" w:hAnsi="Times New Roman" w:cs="Times New Roman"/>
          <w:color w:val="000000"/>
          <w:szCs w:val="21"/>
          <w:highlight w:val="none"/>
          <w:lang w:val="en-US" w:eastAsia="zh-CN"/>
        </w:rPr>
        <w:t xml:space="preserve"> </w:t>
      </w:r>
      <w:r>
        <w:rPr>
          <w:rFonts w:hint="default" w:ascii="Times New Roman" w:hAnsi="Times New Roman" w:cs="Times New Roman"/>
          <w:color w:val="000000"/>
          <w:szCs w:val="21"/>
          <w:highlight w:val="none"/>
        </w:rPr>
        <w:t>ml，加标浓度为0.5 mg/kg，结果见表</w:t>
      </w:r>
      <w:r>
        <w:rPr>
          <w:rFonts w:hint="eastAsia" w:cs="Times New Roman"/>
          <w:color w:val="000000"/>
          <w:szCs w:val="21"/>
          <w:highlight w:val="none"/>
          <w:lang w:val="en-US" w:eastAsia="zh-CN"/>
        </w:rPr>
        <w:t>5和图9</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结果表明，</w:t>
      </w:r>
      <w:r>
        <w:rPr>
          <w:rFonts w:hint="default" w:ascii="Times New Roman" w:hAnsi="Times New Roman" w:cs="Times New Roman"/>
          <w:lang w:val="en-US" w:eastAsia="zh-CN"/>
        </w:rPr>
        <w:t>弗</w:t>
      </w:r>
      <w:r>
        <w:rPr>
          <w:rFonts w:hint="default" w:ascii="Times New Roman" w:hAnsi="Times New Roman" w:cs="Times New Roman"/>
          <w:color w:val="000000"/>
          <w:szCs w:val="21"/>
          <w:highlight w:val="none"/>
          <w:lang w:val="en-US" w:eastAsia="zh-CN"/>
        </w:rPr>
        <w:t>罗里硅土</w:t>
      </w:r>
      <w:r>
        <w:rPr>
          <w:rFonts w:hint="default" w:ascii="Times New Roman" w:hAnsi="Times New Roman" w:cs="Times New Roman"/>
          <w:color w:val="000000"/>
          <w:szCs w:val="21"/>
          <w:highlight w:val="none"/>
          <w:lang w:eastAsia="zh-CN"/>
        </w:rPr>
        <w:t>柱</w:t>
      </w:r>
      <w:r>
        <w:rPr>
          <w:rFonts w:hint="default" w:ascii="Times New Roman" w:hAnsi="Times New Roman" w:cs="Times New Roman"/>
          <w:color w:val="000000"/>
          <w:szCs w:val="21"/>
          <w:highlight w:val="none"/>
          <w:lang w:val="en-US" w:eastAsia="zh-CN"/>
        </w:rPr>
        <w:t>和</w:t>
      </w:r>
      <w:r>
        <w:rPr>
          <w:rFonts w:hint="default" w:ascii="Times New Roman" w:hAnsi="Times New Roman" w:cs="Times New Roman"/>
          <w:lang w:val="en-US" w:eastAsia="zh-CN"/>
        </w:rPr>
        <w:t>硅胶柱</w:t>
      </w:r>
      <w:r>
        <w:rPr>
          <w:rFonts w:hint="eastAsia" w:cs="Times New Roman"/>
          <w:lang w:val="en-US" w:eastAsia="zh-CN"/>
        </w:rPr>
        <w:t>对三氯杀螨醇净化后回收率相当，2种净化柱均可选用。</w:t>
      </w:r>
    </w:p>
    <w:p w14:paraId="7FDC6E82">
      <w:pPr>
        <w:spacing w:line="360" w:lineRule="exact"/>
        <w:ind w:firstLine="420"/>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净化过程：</w:t>
      </w:r>
      <w:r>
        <w:rPr>
          <w:rFonts w:hint="default" w:ascii="Times New Roman" w:hAnsi="Times New Roman" w:cs="Times New Roman"/>
          <w:color w:val="000000"/>
          <w:szCs w:val="21"/>
          <w:highlight w:val="none"/>
        </w:rPr>
        <w:t>将净化柱固定在固相萃取装置上，依次用5 ml二氯甲烷、10 ml正己烷活化净化柱，保持柱吸附剂表面浸润。用巴氏</w:t>
      </w:r>
      <w:r>
        <w:rPr>
          <w:rFonts w:hint="default" w:ascii="Times New Roman" w:hAnsi="Times New Roman" w:cs="Times New Roman"/>
          <w:bCs/>
          <w:color w:val="000000"/>
          <w:szCs w:val="32"/>
          <w:highlight w:val="none"/>
        </w:rPr>
        <w:t>玻璃吸液管</w:t>
      </w:r>
      <w:r>
        <w:rPr>
          <w:rFonts w:hint="default" w:ascii="Times New Roman" w:hAnsi="Times New Roman" w:cs="Times New Roman"/>
          <w:color w:val="000000"/>
          <w:szCs w:val="21"/>
          <w:highlight w:val="none"/>
        </w:rPr>
        <w:t>将浓缩后的提取液转移至净化柱，用约2 ml正己烷洗涤浓缩液收集瓶，转移至净化柱，停留1 min后，开始收集流出液。用10 ml正己烷-丙酮混合溶剂</w:t>
      </w:r>
      <w:r>
        <w:rPr>
          <w:rFonts w:hint="default" w:ascii="Times New Roman" w:hAnsi="Times New Roman" w:eastAsia="宋体" w:cs="Times New Roman"/>
          <w:color w:val="000000"/>
          <w:kern w:val="0"/>
          <w:szCs w:val="21"/>
          <w:highlight w:val="none"/>
        </w:rPr>
        <w:t>（</w:t>
      </w:r>
      <w:r>
        <w:rPr>
          <w:rFonts w:hint="default" w:ascii="Times New Roman" w:hAnsi="Times New Roman" w:eastAsia="宋体" w:cs="Times New Roman"/>
          <w:color w:val="000000"/>
          <w:kern w:val="0"/>
          <w:sz w:val="21"/>
          <w:szCs w:val="21"/>
          <w:highlight w:val="none"/>
        </w:rPr>
        <w:t>1</w:t>
      </w:r>
      <w:r>
        <w:rPr>
          <w:rFonts w:hint="eastAsia" w:cs="Times New Roman"/>
          <w:color w:val="000000"/>
          <w:kern w:val="0"/>
          <w:sz w:val="21"/>
          <w:szCs w:val="21"/>
          <w:highlight w:val="none"/>
          <w:lang w:val="en-US" w:eastAsia="zh-CN"/>
        </w:rPr>
        <w:t>:</w:t>
      </w:r>
      <w:r>
        <w:rPr>
          <w:rFonts w:hint="default" w:ascii="Times New Roman" w:hAnsi="Times New Roman" w:eastAsia="宋体" w:cs="Times New Roman"/>
          <w:color w:val="000000"/>
          <w:kern w:val="0"/>
          <w:sz w:val="21"/>
          <w:szCs w:val="21"/>
          <w:highlight w:val="none"/>
        </w:rPr>
        <w:t>1</w:t>
      </w:r>
      <w:r>
        <w:rPr>
          <w:rFonts w:hint="default" w:ascii="Times New Roman" w:hAnsi="Times New Roman" w:eastAsia="宋体" w:cs="Times New Roman"/>
          <w:color w:val="000000"/>
          <w:kern w:val="0"/>
          <w:szCs w:val="21"/>
          <w:highlight w:val="none"/>
        </w:rPr>
        <w:t>）</w:t>
      </w:r>
      <w:r>
        <w:rPr>
          <w:rFonts w:hint="default" w:ascii="Times New Roman" w:hAnsi="Times New Roman" w:cs="Times New Roman"/>
          <w:color w:val="000000"/>
          <w:szCs w:val="21"/>
          <w:highlight w:val="none"/>
        </w:rPr>
        <w:t>洗脱净化柱，</w:t>
      </w:r>
      <w:r>
        <w:rPr>
          <w:rFonts w:hint="default" w:ascii="Times New Roman" w:hAnsi="Times New Roman" w:cs="Times New Roman"/>
          <w:color w:val="000000"/>
          <w:kern w:val="0"/>
          <w:szCs w:val="21"/>
          <w:highlight w:val="none"/>
        </w:rPr>
        <w:t>收集</w:t>
      </w:r>
      <w:r>
        <w:rPr>
          <w:rFonts w:hint="default" w:ascii="Times New Roman" w:hAnsi="Times New Roman" w:cs="Times New Roman"/>
          <w:color w:val="000000"/>
          <w:szCs w:val="21"/>
          <w:highlight w:val="none"/>
        </w:rPr>
        <w:t>流出液</w:t>
      </w:r>
      <w:r>
        <w:rPr>
          <w:rFonts w:hint="default" w:ascii="Times New Roman" w:hAnsi="Times New Roman" w:cs="Times New Roman"/>
          <w:color w:val="000000"/>
          <w:kern w:val="0"/>
          <w:szCs w:val="21"/>
          <w:highlight w:val="none"/>
        </w:rPr>
        <w:t>并浓缩至1 ml，加入内标混匀待分析。</w:t>
      </w:r>
    </w:p>
    <w:p w14:paraId="664F1760">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eastAsia="黑体" w:cs="Times New Roman"/>
          <w:color w:val="000000"/>
          <w:szCs w:val="21"/>
          <w:highlight w:val="none"/>
          <w:lang w:val="en-US" w:eastAsia="zh-CN"/>
        </w:rPr>
        <w:t>5</w:t>
      </w:r>
      <w:r>
        <w:rPr>
          <w:rFonts w:hint="default" w:ascii="Times New Roman" w:hAnsi="Times New Roman" w:eastAsia="黑体" w:cs="Times New Roman"/>
          <w:color w:val="000000"/>
          <w:szCs w:val="21"/>
          <w:highlight w:val="none"/>
          <w:lang w:val="en-US" w:eastAsia="zh-CN"/>
        </w:rPr>
        <w:t xml:space="preserve">  不同净化柱对三氯杀螨醇净化效果的影响</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1701"/>
        <w:gridCol w:w="1701"/>
      </w:tblGrid>
      <w:tr w14:paraId="59383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3046" w:type="dxa"/>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4AA118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p>
          <w:p w14:paraId="6E7CCB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目标化合物</w:t>
            </w:r>
          </w:p>
          <w:p w14:paraId="55E9FC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平均回收率（%）</w:t>
            </w:r>
          </w:p>
        </w:tc>
        <w:tc>
          <w:tcPr>
            <w:tcW w:w="3402" w:type="dxa"/>
            <w:gridSpan w:val="2"/>
            <w:tcBorders>
              <w:tl2br w:val="nil"/>
              <w:tr2bl w:val="nil"/>
            </w:tcBorders>
            <w:vAlign w:val="center"/>
          </w:tcPr>
          <w:p w14:paraId="2591D5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不同净化柱</w:t>
            </w:r>
          </w:p>
        </w:tc>
      </w:tr>
      <w:tr w14:paraId="66EFA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6" w:type="dxa"/>
            <w:vMerge w:val="continue"/>
            <w:tcBorders>
              <w:tl2br w:val="nil"/>
              <w:tr2bl w:val="nil"/>
            </w:tcBorders>
            <w:vAlign w:val="center"/>
          </w:tcPr>
          <w:p w14:paraId="767BB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p>
        </w:tc>
        <w:tc>
          <w:tcPr>
            <w:tcW w:w="1701" w:type="dxa"/>
            <w:tcBorders>
              <w:tl2br w:val="nil"/>
              <w:tr2bl w:val="nil"/>
            </w:tcBorders>
            <w:vAlign w:val="center"/>
          </w:tcPr>
          <w:p w14:paraId="009037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弗罗里硅土柱</w:t>
            </w:r>
          </w:p>
        </w:tc>
        <w:tc>
          <w:tcPr>
            <w:tcW w:w="1701" w:type="dxa"/>
            <w:tcBorders>
              <w:tl2br w:val="nil"/>
              <w:tr2bl w:val="nil"/>
            </w:tcBorders>
            <w:vAlign w:val="center"/>
          </w:tcPr>
          <w:p w14:paraId="2DAE5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硅胶柱</w:t>
            </w:r>
          </w:p>
        </w:tc>
      </w:tr>
      <w:tr w14:paraId="165DB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6" w:type="dxa"/>
            <w:tcBorders>
              <w:tl2br w:val="nil"/>
              <w:tr2bl w:val="nil"/>
            </w:tcBorders>
            <w:shd w:val="clear" w:color="auto" w:fill="auto"/>
            <w:vAlign w:val="center"/>
          </w:tcPr>
          <w:p w14:paraId="014FC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701" w:type="dxa"/>
            <w:tcBorders>
              <w:tl2br w:val="nil"/>
              <w:tr2bl w:val="nil"/>
            </w:tcBorders>
            <w:vAlign w:val="center"/>
          </w:tcPr>
          <w:p w14:paraId="74C40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81.8</w:t>
            </w:r>
          </w:p>
        </w:tc>
        <w:tc>
          <w:tcPr>
            <w:tcW w:w="1701" w:type="dxa"/>
            <w:tcBorders>
              <w:tl2br w:val="nil"/>
              <w:tr2bl w:val="nil"/>
            </w:tcBorders>
            <w:vAlign w:val="center"/>
          </w:tcPr>
          <w:p w14:paraId="730C9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80.9</w:t>
            </w:r>
          </w:p>
        </w:tc>
      </w:tr>
      <w:tr w14:paraId="367F4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6" w:type="dxa"/>
            <w:tcBorders>
              <w:tl2br w:val="nil"/>
              <w:tr2bl w:val="nil"/>
            </w:tcBorders>
            <w:shd w:val="clear" w:color="auto" w:fill="auto"/>
            <w:vAlign w:val="center"/>
          </w:tcPr>
          <w:p w14:paraId="45A64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701" w:type="dxa"/>
            <w:tcBorders>
              <w:tl2br w:val="nil"/>
              <w:tr2bl w:val="nil"/>
            </w:tcBorders>
            <w:vAlign w:val="center"/>
          </w:tcPr>
          <w:p w14:paraId="24892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92.5</w:t>
            </w:r>
          </w:p>
        </w:tc>
        <w:tc>
          <w:tcPr>
            <w:tcW w:w="1701" w:type="dxa"/>
            <w:tcBorders>
              <w:tl2br w:val="nil"/>
              <w:tr2bl w:val="nil"/>
            </w:tcBorders>
            <w:vAlign w:val="center"/>
          </w:tcPr>
          <w:p w14:paraId="0892D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93.7</w:t>
            </w:r>
          </w:p>
        </w:tc>
      </w:tr>
    </w:tbl>
    <w:p w14:paraId="19E78002">
      <w:pPr>
        <w:rPr>
          <w:rFonts w:hint="eastAsia" w:eastAsia="黑体" w:cs="Times New Roman"/>
          <w:color w:val="000000"/>
          <w:szCs w:val="21"/>
          <w:highlight w:val="none"/>
          <w:lang w:val="en-US" w:eastAsia="zh-CN"/>
        </w:rPr>
      </w:pPr>
      <w:r>
        <w:rPr>
          <w:rFonts w:hint="eastAsia" w:eastAsia="黑体" w:cs="Times New Roman"/>
          <w:color w:val="000000"/>
          <w:szCs w:val="21"/>
          <w:highlight w:val="none"/>
          <w:lang w:val="en-US" w:eastAsia="zh-CN"/>
        </w:rPr>
        <w:br w:type="page"/>
      </w:r>
    </w:p>
    <w:p w14:paraId="2A6846EC">
      <w:pPr>
        <w:keepNext w:val="0"/>
        <w:keepLines w:val="0"/>
        <w:pageBreakBefore w:val="0"/>
        <w:widowControl w:val="0"/>
        <w:kinsoku/>
        <w:wordWrap/>
        <w:overflowPunct/>
        <w:topLinePunct/>
        <w:autoSpaceDE w:val="0"/>
        <w:autoSpaceDN w:val="0"/>
        <w:bidi w:val="0"/>
        <w:adjustRightInd/>
        <w:snapToGrid/>
        <w:spacing w:before="157" w:beforeLines="50" w:line="360" w:lineRule="exact"/>
        <w:ind w:left="0" w:leftChars="0" w:firstLine="0" w:firstLineChars="0"/>
        <w:jc w:val="center"/>
        <w:textAlignment w:val="auto"/>
        <w:rPr>
          <w:rFonts w:hint="default" w:eastAsia="黑体" w:cs="Times New Roman"/>
          <w:color w:val="000000"/>
          <w:szCs w:val="21"/>
          <w:highlight w:val="none"/>
          <w:lang w:val="en-US" w:eastAsia="zh-CN"/>
        </w:rPr>
      </w:pPr>
      <w:r>
        <w:rPr>
          <w:rFonts w:hint="default" w:eastAsia="黑体" w:cs="Times New Roman"/>
          <w:color w:val="000000"/>
          <w:szCs w:val="21"/>
          <w:highlight w:val="none"/>
          <w:lang w:val="en-US" w:eastAsia="zh-CN"/>
        </w:rPr>
        <w:drawing>
          <wp:anchor distT="0" distB="0" distL="114300" distR="114300" simplePos="0" relativeHeight="251669504" behindDoc="0" locked="0" layoutInCell="1" allowOverlap="1">
            <wp:simplePos x="0" y="0"/>
            <wp:positionH relativeFrom="column">
              <wp:posOffset>1141730</wp:posOffset>
            </wp:positionH>
            <wp:positionV relativeFrom="page">
              <wp:posOffset>1175385</wp:posOffset>
            </wp:positionV>
            <wp:extent cx="3261360" cy="2160270"/>
            <wp:effectExtent l="0" t="0" r="2540" b="0"/>
            <wp:wrapTopAndBottom/>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7"/>
                    <a:stretch>
                      <a:fillRect/>
                    </a:stretch>
                  </pic:blipFill>
                  <pic:spPr>
                    <a:xfrm>
                      <a:off x="0" y="0"/>
                      <a:ext cx="3261360" cy="2160270"/>
                    </a:xfrm>
                    <a:prstGeom prst="rect">
                      <a:avLst/>
                    </a:prstGeom>
                  </pic:spPr>
                </pic:pic>
              </a:graphicData>
            </a:graphic>
          </wp:anchor>
        </w:drawing>
      </w:r>
      <w:r>
        <w:rPr>
          <w:rFonts w:hint="eastAsia" w:eastAsia="黑体" w:cs="Times New Roman"/>
          <w:color w:val="000000"/>
          <w:szCs w:val="21"/>
          <w:highlight w:val="none"/>
          <w:lang w:val="en-US" w:eastAsia="zh-CN"/>
        </w:rPr>
        <w:t xml:space="preserve">图9  </w:t>
      </w:r>
      <w:r>
        <w:rPr>
          <w:rFonts w:hint="default" w:eastAsia="黑体" w:cs="Times New Roman"/>
          <w:color w:val="000000"/>
          <w:szCs w:val="21"/>
          <w:highlight w:val="none"/>
          <w:lang w:val="en-US" w:eastAsia="zh-CN"/>
        </w:rPr>
        <w:t>不同净化柱对三氯杀螨醇净化效果的影响</w:t>
      </w:r>
      <w:r>
        <w:rPr>
          <w:rFonts w:hint="eastAsia" w:eastAsia="黑体" w:cs="Times New Roman"/>
          <w:color w:val="000000"/>
          <w:szCs w:val="21"/>
          <w:highlight w:val="none"/>
          <w:lang w:val="en-US" w:eastAsia="zh-CN"/>
        </w:rPr>
        <w:t>图</w:t>
      </w:r>
    </w:p>
    <w:p w14:paraId="0FF564B9">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.2  洗脱溶剂种类的确定</w:t>
      </w:r>
    </w:p>
    <w:p w14:paraId="56F6D786">
      <w:pPr>
        <w:bidi w:val="0"/>
        <w:rPr>
          <w:rFonts w:hint="eastAsia"/>
          <w:color w:val="000000"/>
          <w:kern w:val="0"/>
          <w:szCs w:val="21"/>
          <w:highlight w:val="none"/>
          <w:lang w:val="en-US" w:eastAsia="zh-CN" w:bidi="ar"/>
        </w:rPr>
      </w:pPr>
      <w:r>
        <w:rPr>
          <w:rFonts w:hint="eastAsia"/>
          <w:color w:val="000000"/>
          <w:szCs w:val="21"/>
          <w:highlight w:val="none"/>
          <w:lang w:eastAsia="zh-CN"/>
        </w:rPr>
        <w:t>洗脱溶剂</w:t>
      </w:r>
      <w:r>
        <w:rPr>
          <w:color w:val="000000"/>
          <w:szCs w:val="21"/>
          <w:highlight w:val="none"/>
        </w:rPr>
        <w:t>的作用是为了尽可能将目标化合物从固相</w:t>
      </w:r>
      <w:r>
        <w:rPr>
          <w:rFonts w:hint="eastAsia"/>
          <w:color w:val="000000"/>
          <w:szCs w:val="21"/>
          <w:highlight w:val="none"/>
        </w:rPr>
        <w:t>萃取</w:t>
      </w:r>
      <w:r>
        <w:rPr>
          <w:color w:val="000000"/>
          <w:szCs w:val="21"/>
          <w:highlight w:val="none"/>
        </w:rPr>
        <w:t>柱中洗脱下来</w:t>
      </w:r>
      <w:r>
        <w:rPr>
          <w:rFonts w:hint="eastAsia"/>
          <w:color w:val="000000"/>
          <w:kern w:val="0"/>
          <w:szCs w:val="21"/>
          <w:highlight w:val="none"/>
        </w:rPr>
        <w:t>，</w:t>
      </w:r>
      <w:r>
        <w:rPr>
          <w:rFonts w:hint="eastAsia"/>
          <w:color w:val="000000"/>
          <w:szCs w:val="22"/>
          <w:highlight w:val="none"/>
        </w:rPr>
        <w:t>为了达到较好的洗脱效果，通过加标回收率实验研究不同</w:t>
      </w:r>
      <w:r>
        <w:rPr>
          <w:rFonts w:hint="eastAsia"/>
          <w:color w:val="000000"/>
          <w:szCs w:val="22"/>
          <w:highlight w:val="none"/>
          <w:lang w:eastAsia="zh-CN"/>
        </w:rPr>
        <w:t>洗脱溶剂</w:t>
      </w:r>
      <w:r>
        <w:rPr>
          <w:rFonts w:hint="eastAsia"/>
          <w:color w:val="000000"/>
          <w:szCs w:val="22"/>
          <w:highlight w:val="none"/>
        </w:rPr>
        <w:t>对目标物加标回收率的影响，加标浓度为0</w:t>
      </w:r>
      <w:r>
        <w:rPr>
          <w:color w:val="000000"/>
          <w:szCs w:val="22"/>
          <w:highlight w:val="none"/>
        </w:rPr>
        <w:t xml:space="preserve">.5 </w:t>
      </w:r>
      <w:r>
        <w:rPr>
          <w:rFonts w:hint="eastAsia"/>
          <w:color w:val="000000"/>
          <w:szCs w:val="22"/>
          <w:highlight w:val="none"/>
        </w:rPr>
        <w:t>mg/kg。编制组</w:t>
      </w:r>
      <w:r>
        <w:rPr>
          <w:rFonts w:hint="eastAsia"/>
          <w:color w:val="000000"/>
          <w:szCs w:val="22"/>
          <w:highlight w:val="none"/>
          <w:lang w:val="en-US" w:eastAsia="zh-CN"/>
        </w:rPr>
        <w:t>参照已有标准和文献调研</w:t>
      </w:r>
      <w:r>
        <w:rPr>
          <w:rFonts w:hint="eastAsia"/>
          <w:color w:val="000000"/>
          <w:szCs w:val="22"/>
          <w:highlight w:val="none"/>
        </w:rPr>
        <w:t>主要对比了</w:t>
      </w:r>
      <w:r>
        <w:rPr>
          <w:rFonts w:hint="eastAsia"/>
          <w:color w:val="000000"/>
          <w:kern w:val="0"/>
          <w:szCs w:val="21"/>
          <w:highlight w:val="none"/>
          <w:lang w:bidi="ar"/>
        </w:rPr>
        <w:t>正己烷、正己烷</w:t>
      </w:r>
      <w:r>
        <w:rPr>
          <w:rFonts w:hint="eastAsia"/>
          <w:color w:val="000000"/>
          <w:kern w:val="0"/>
          <w:szCs w:val="21"/>
          <w:highlight w:val="none"/>
          <w:lang w:val="en-US" w:eastAsia="zh-CN" w:bidi="ar"/>
        </w:rPr>
        <w:t>-</w:t>
      </w:r>
      <w:r>
        <w:rPr>
          <w:rFonts w:hint="eastAsia"/>
          <w:color w:val="000000"/>
          <w:kern w:val="0"/>
          <w:szCs w:val="21"/>
          <w:highlight w:val="none"/>
          <w:lang w:bidi="ar"/>
        </w:rPr>
        <w:t>丙酮（1</w:t>
      </w:r>
      <w:r>
        <w:rPr>
          <w:rFonts w:hint="eastAsia"/>
          <w:color w:val="000000"/>
          <w:kern w:val="0"/>
          <w:szCs w:val="21"/>
          <w:highlight w:val="none"/>
          <w:lang w:val="en-US" w:eastAsia="zh-CN" w:bidi="ar"/>
        </w:rPr>
        <w:t>:</w:t>
      </w:r>
      <w:r>
        <w:rPr>
          <w:color w:val="000000"/>
          <w:kern w:val="0"/>
          <w:szCs w:val="21"/>
          <w:highlight w:val="none"/>
          <w:lang w:bidi="ar"/>
        </w:rPr>
        <w:t>9</w:t>
      </w:r>
      <w:r>
        <w:rPr>
          <w:rFonts w:hint="eastAsia"/>
          <w:color w:val="000000"/>
          <w:kern w:val="0"/>
          <w:szCs w:val="21"/>
          <w:highlight w:val="none"/>
          <w:lang w:bidi="ar"/>
        </w:rPr>
        <w:t>）、</w:t>
      </w:r>
      <w:r>
        <w:rPr>
          <w:rFonts w:hint="eastAsia"/>
          <w:color w:val="000000"/>
          <w:kern w:val="0"/>
          <w:szCs w:val="21"/>
          <w:highlight w:val="none"/>
          <w:lang w:val="en-US" w:eastAsia="zh-CN" w:bidi="ar"/>
        </w:rPr>
        <w:t>二氯甲烷-</w:t>
      </w:r>
      <w:r>
        <w:rPr>
          <w:rFonts w:hint="eastAsia"/>
          <w:color w:val="000000"/>
          <w:kern w:val="0"/>
          <w:szCs w:val="21"/>
          <w:highlight w:val="none"/>
          <w:lang w:bidi="ar"/>
        </w:rPr>
        <w:t>正己烷（1</w:t>
      </w:r>
      <w:r>
        <w:rPr>
          <w:rFonts w:hint="eastAsia"/>
          <w:color w:val="000000"/>
          <w:kern w:val="0"/>
          <w:szCs w:val="21"/>
          <w:highlight w:val="none"/>
          <w:lang w:val="en-US" w:eastAsia="zh-CN" w:bidi="ar"/>
        </w:rPr>
        <w:t>:</w:t>
      </w:r>
      <w:r>
        <w:rPr>
          <w:rFonts w:hint="eastAsia"/>
          <w:color w:val="000000"/>
          <w:kern w:val="0"/>
          <w:szCs w:val="21"/>
          <w:highlight w:val="none"/>
          <w:lang w:bidi="ar"/>
        </w:rPr>
        <w:t>1）这</w:t>
      </w:r>
      <w:r>
        <w:rPr>
          <w:rFonts w:hint="eastAsia"/>
          <w:color w:val="000000"/>
          <w:kern w:val="0"/>
          <w:szCs w:val="21"/>
          <w:highlight w:val="none"/>
          <w:lang w:val="en-US" w:eastAsia="zh-CN" w:bidi="ar"/>
        </w:rPr>
        <w:t>3</w:t>
      </w:r>
      <w:r>
        <w:rPr>
          <w:rFonts w:hint="eastAsia"/>
          <w:color w:val="000000"/>
          <w:kern w:val="0"/>
          <w:szCs w:val="21"/>
          <w:highlight w:val="none"/>
          <w:lang w:bidi="ar"/>
        </w:rPr>
        <w:t>种混合溶剂的洗脱效果，结果见表</w:t>
      </w:r>
      <w:r>
        <w:rPr>
          <w:rFonts w:hint="eastAsia"/>
          <w:color w:val="000000"/>
          <w:kern w:val="0"/>
          <w:szCs w:val="21"/>
          <w:highlight w:val="none"/>
          <w:lang w:val="en-US" w:eastAsia="zh-CN" w:bidi="ar"/>
        </w:rPr>
        <w:t>6和图10</w:t>
      </w:r>
      <w:r>
        <w:rPr>
          <w:rFonts w:hint="eastAsia"/>
          <w:color w:val="000000"/>
          <w:kern w:val="0"/>
          <w:szCs w:val="21"/>
          <w:highlight w:val="none"/>
          <w:lang w:bidi="ar"/>
        </w:rPr>
        <w:t>。</w:t>
      </w:r>
      <w:r>
        <w:rPr>
          <w:rFonts w:hint="eastAsia"/>
          <w:color w:val="000000"/>
          <w:kern w:val="0"/>
          <w:szCs w:val="21"/>
          <w:highlight w:val="none"/>
          <w:lang w:val="en-US" w:eastAsia="zh-CN" w:bidi="ar"/>
        </w:rPr>
        <w:t>当</w:t>
      </w:r>
      <w:r>
        <w:rPr>
          <w:rFonts w:hint="eastAsia"/>
          <w:color w:val="000000"/>
          <w:szCs w:val="21"/>
          <w:highlight w:val="none"/>
          <w:lang w:eastAsia="zh-CN"/>
        </w:rPr>
        <w:t>洗脱溶剂</w:t>
      </w:r>
      <w:r>
        <w:rPr>
          <w:rFonts w:hint="eastAsia"/>
          <w:color w:val="000000"/>
          <w:kern w:val="0"/>
          <w:szCs w:val="21"/>
          <w:highlight w:val="none"/>
          <w:lang w:val="en-US" w:eastAsia="zh-CN" w:bidi="ar"/>
        </w:rPr>
        <w:t>为正己烷时，三氯杀螨醇几乎未从净化上洗脱下来，回收率仅为1.7%~2.6%；当</w:t>
      </w:r>
      <w:r>
        <w:rPr>
          <w:rFonts w:hint="eastAsia"/>
          <w:color w:val="000000"/>
          <w:szCs w:val="21"/>
          <w:highlight w:val="none"/>
          <w:lang w:eastAsia="zh-CN"/>
        </w:rPr>
        <w:t>洗脱溶剂</w:t>
      </w:r>
      <w:r>
        <w:rPr>
          <w:rFonts w:hint="eastAsia"/>
          <w:color w:val="000000"/>
          <w:kern w:val="0"/>
          <w:szCs w:val="21"/>
          <w:highlight w:val="none"/>
          <w:lang w:val="en-US" w:eastAsia="zh-CN" w:bidi="ar"/>
        </w:rPr>
        <w:t>为丙酮-正己烷（1:9）和二氯甲烷-正己烷（1:9）时，对三氯杀螨醇均有一定的洗脱效果，但丙酮-正己烷（1:9）的回收率（81.8%~92.5%）明显优于二氯甲烷-正己烷（1:9）的回收率（56.0%~69.5%）。所以，编制组选择丙酮-正己烷（1:9）为洗脱溶剂。</w:t>
      </w:r>
    </w:p>
    <w:p w14:paraId="1562B760">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eastAsia="黑体" w:cs="Times New Roman"/>
          <w:color w:val="000000"/>
          <w:szCs w:val="21"/>
          <w:highlight w:val="none"/>
          <w:lang w:val="en-US" w:eastAsia="zh-CN"/>
        </w:rPr>
        <w:t>6</w:t>
      </w:r>
      <w:r>
        <w:rPr>
          <w:rFonts w:hint="default" w:ascii="Times New Roman" w:hAnsi="Times New Roman" w:eastAsia="黑体" w:cs="Times New Roman"/>
          <w:color w:val="000000"/>
          <w:szCs w:val="21"/>
          <w:highlight w:val="none"/>
          <w:lang w:val="en-US" w:eastAsia="zh-CN"/>
        </w:rPr>
        <w:t xml:space="preserve">  不同洗脱溶剂对三氯杀螨醇净化效果的影响</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96"/>
        <w:gridCol w:w="1876"/>
        <w:gridCol w:w="1942"/>
        <w:gridCol w:w="2006"/>
      </w:tblGrid>
      <w:tr w14:paraId="2E20F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896" w:type="dxa"/>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322CCB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p>
          <w:p w14:paraId="1F20E6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目标化合物</w:t>
            </w:r>
          </w:p>
          <w:p w14:paraId="66796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平均回收率（%）</w:t>
            </w:r>
          </w:p>
        </w:tc>
        <w:tc>
          <w:tcPr>
            <w:tcW w:w="5824" w:type="dxa"/>
            <w:gridSpan w:val="3"/>
            <w:tcBorders>
              <w:tl2br w:val="nil"/>
              <w:tr2bl w:val="nil"/>
            </w:tcBorders>
            <w:vAlign w:val="center"/>
          </w:tcPr>
          <w:p w14:paraId="75C50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不同洗脱溶剂</w:t>
            </w:r>
          </w:p>
        </w:tc>
      </w:tr>
      <w:tr w14:paraId="36517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96" w:type="dxa"/>
            <w:vMerge w:val="continue"/>
            <w:tcBorders>
              <w:tl2br w:val="nil"/>
              <w:tr2bl w:val="nil"/>
            </w:tcBorders>
            <w:vAlign w:val="center"/>
          </w:tcPr>
          <w:p w14:paraId="327436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p>
        </w:tc>
        <w:tc>
          <w:tcPr>
            <w:tcW w:w="1876" w:type="dxa"/>
            <w:tcBorders>
              <w:tl2br w:val="nil"/>
              <w:tr2bl w:val="nil"/>
            </w:tcBorders>
            <w:vAlign w:val="center"/>
          </w:tcPr>
          <w:p w14:paraId="07D83F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正己烷</w:t>
            </w:r>
          </w:p>
        </w:tc>
        <w:tc>
          <w:tcPr>
            <w:tcW w:w="1942" w:type="dxa"/>
            <w:tcBorders>
              <w:tl2br w:val="nil"/>
              <w:tr2bl w:val="nil"/>
            </w:tcBorders>
            <w:vAlign w:val="center"/>
          </w:tcPr>
          <w:p w14:paraId="6C9C5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丙酮</w:t>
            </w:r>
            <w:r>
              <w:rPr>
                <w:rFonts w:hint="eastAsia" w:eastAsia="Songti SC" w:cs="Times New Roman"/>
                <w:color w:val="000000"/>
                <w:kern w:val="0"/>
                <w:sz w:val="18"/>
                <w:szCs w:val="21"/>
                <w:highlight w:val="none"/>
                <w:vertAlign w:val="baseline"/>
                <w:lang w:val="en-US" w:eastAsia="zh-CN" w:bidi="ar"/>
              </w:rPr>
              <w:t>-</w:t>
            </w:r>
            <w:r>
              <w:rPr>
                <w:rFonts w:hint="default" w:ascii="Times New Roman" w:hAnsi="Times New Roman" w:eastAsia="Songti SC" w:cs="Times New Roman"/>
                <w:color w:val="000000"/>
                <w:kern w:val="0"/>
                <w:sz w:val="18"/>
                <w:szCs w:val="21"/>
                <w:highlight w:val="none"/>
                <w:vertAlign w:val="baseline"/>
                <w:lang w:val="en-US" w:eastAsia="zh-CN" w:bidi="ar"/>
              </w:rPr>
              <w:t>正己烷（1:9）</w:t>
            </w:r>
          </w:p>
        </w:tc>
        <w:tc>
          <w:tcPr>
            <w:tcW w:w="2006" w:type="dxa"/>
            <w:tcBorders>
              <w:tl2br w:val="nil"/>
              <w:tr2bl w:val="nil"/>
            </w:tcBorders>
            <w:vAlign w:val="center"/>
          </w:tcPr>
          <w:p w14:paraId="11B03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二氯甲烷</w:t>
            </w:r>
            <w:r>
              <w:rPr>
                <w:rFonts w:hint="eastAsia" w:eastAsia="Songti SC" w:cs="Times New Roman"/>
                <w:color w:val="000000"/>
                <w:kern w:val="0"/>
                <w:sz w:val="18"/>
                <w:szCs w:val="21"/>
                <w:highlight w:val="none"/>
                <w:vertAlign w:val="baseline"/>
                <w:lang w:val="en-US" w:eastAsia="zh-CN" w:bidi="ar"/>
              </w:rPr>
              <w:t>-</w:t>
            </w:r>
            <w:r>
              <w:rPr>
                <w:rFonts w:hint="default" w:ascii="Times New Roman" w:hAnsi="Times New Roman" w:eastAsia="Songti SC" w:cs="Times New Roman"/>
                <w:color w:val="000000"/>
                <w:kern w:val="0"/>
                <w:sz w:val="18"/>
                <w:szCs w:val="21"/>
                <w:highlight w:val="none"/>
                <w:vertAlign w:val="baseline"/>
                <w:lang w:val="en-US" w:eastAsia="zh-CN" w:bidi="ar"/>
              </w:rPr>
              <w:t>正己烷（1:9）</w:t>
            </w:r>
          </w:p>
        </w:tc>
      </w:tr>
      <w:tr w14:paraId="738C1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6" w:type="dxa"/>
            <w:tcBorders>
              <w:tl2br w:val="nil"/>
              <w:tr2bl w:val="nil"/>
            </w:tcBorders>
            <w:shd w:val="clear" w:color="auto" w:fill="auto"/>
            <w:vAlign w:val="center"/>
          </w:tcPr>
          <w:p w14:paraId="5266CC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876" w:type="dxa"/>
            <w:tcBorders>
              <w:tl2br w:val="nil"/>
              <w:tr2bl w:val="nil"/>
            </w:tcBorders>
            <w:vAlign w:val="center"/>
          </w:tcPr>
          <w:p w14:paraId="574E4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1.7</w:t>
            </w:r>
          </w:p>
        </w:tc>
        <w:tc>
          <w:tcPr>
            <w:tcW w:w="1942" w:type="dxa"/>
            <w:tcBorders>
              <w:tl2br w:val="nil"/>
              <w:tr2bl w:val="nil"/>
            </w:tcBorders>
            <w:vAlign w:val="center"/>
          </w:tcPr>
          <w:p w14:paraId="1D7B2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81.8</w:t>
            </w:r>
          </w:p>
        </w:tc>
        <w:tc>
          <w:tcPr>
            <w:tcW w:w="2006" w:type="dxa"/>
            <w:tcBorders>
              <w:tl2br w:val="nil"/>
              <w:tr2bl w:val="nil"/>
            </w:tcBorders>
            <w:vAlign w:val="center"/>
          </w:tcPr>
          <w:p w14:paraId="3AD2E2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56.0</w:t>
            </w:r>
          </w:p>
        </w:tc>
      </w:tr>
      <w:tr w14:paraId="6CF8B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96" w:type="dxa"/>
            <w:tcBorders>
              <w:tl2br w:val="nil"/>
              <w:tr2bl w:val="nil"/>
            </w:tcBorders>
            <w:shd w:val="clear" w:color="auto" w:fill="auto"/>
            <w:vAlign w:val="center"/>
          </w:tcPr>
          <w:p w14:paraId="4577B2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876" w:type="dxa"/>
            <w:tcBorders>
              <w:tl2br w:val="nil"/>
              <w:tr2bl w:val="nil"/>
            </w:tcBorders>
            <w:vAlign w:val="center"/>
          </w:tcPr>
          <w:p w14:paraId="4F5AA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2.</w:t>
            </w:r>
            <w:r>
              <w:rPr>
                <w:rFonts w:hint="eastAsia" w:eastAsia="Songti SC" w:cs="Times New Roman"/>
                <w:color w:val="000000"/>
                <w:kern w:val="0"/>
                <w:sz w:val="18"/>
                <w:szCs w:val="21"/>
                <w:highlight w:val="none"/>
                <w:vertAlign w:val="baseline"/>
                <w:lang w:val="en-US" w:eastAsia="zh-CN" w:bidi="ar"/>
              </w:rPr>
              <w:t>6</w:t>
            </w:r>
          </w:p>
        </w:tc>
        <w:tc>
          <w:tcPr>
            <w:tcW w:w="1942" w:type="dxa"/>
            <w:tcBorders>
              <w:tl2br w:val="nil"/>
              <w:tr2bl w:val="nil"/>
            </w:tcBorders>
            <w:vAlign w:val="center"/>
          </w:tcPr>
          <w:p w14:paraId="31A2B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92.5</w:t>
            </w:r>
          </w:p>
        </w:tc>
        <w:tc>
          <w:tcPr>
            <w:tcW w:w="2006" w:type="dxa"/>
            <w:tcBorders>
              <w:tl2br w:val="nil"/>
              <w:tr2bl w:val="nil"/>
            </w:tcBorders>
            <w:vAlign w:val="center"/>
          </w:tcPr>
          <w:p w14:paraId="09195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69.5</w:t>
            </w:r>
          </w:p>
        </w:tc>
      </w:tr>
    </w:tbl>
    <w:p w14:paraId="3BE8787E">
      <w:pPr>
        <w:rPr>
          <w:rFonts w:hint="eastAsia" w:ascii="Times New Roman" w:hAnsi="Times New Roman" w:eastAsia="黑体" w:cs="Times New Roman"/>
          <w:color w:val="000000"/>
          <w:szCs w:val="21"/>
          <w:highlight w:val="none"/>
          <w:lang w:val="en-US" w:eastAsia="zh-CN"/>
        </w:rPr>
      </w:pPr>
      <w:r>
        <w:rPr>
          <w:rFonts w:hint="eastAsia" w:ascii="Times New Roman" w:hAnsi="Times New Roman" w:eastAsia="黑体" w:cs="Times New Roman"/>
          <w:color w:val="000000"/>
          <w:szCs w:val="21"/>
          <w:highlight w:val="none"/>
          <w:lang w:val="en-US" w:eastAsia="zh-CN"/>
        </w:rPr>
        <w:br w:type="page"/>
      </w:r>
    </w:p>
    <w:p w14:paraId="4BEEBDA0">
      <w:pPr>
        <w:jc w:val="center"/>
        <w:rPr>
          <w:rFonts w:hint="default"/>
          <w:lang w:val="en-US" w:eastAsia="zh-CN"/>
        </w:rPr>
      </w:pPr>
      <w:r>
        <w:rPr>
          <w:rFonts w:hint="default"/>
          <w:lang w:val="en-US" w:eastAsia="zh-CN"/>
        </w:rPr>
        <w:drawing>
          <wp:anchor distT="0" distB="0" distL="114300" distR="114300" simplePos="0" relativeHeight="251671552" behindDoc="0" locked="0" layoutInCell="1" allowOverlap="1">
            <wp:simplePos x="0" y="0"/>
            <wp:positionH relativeFrom="column">
              <wp:posOffset>1039495</wp:posOffset>
            </wp:positionH>
            <wp:positionV relativeFrom="paragraph">
              <wp:posOffset>-36830</wp:posOffset>
            </wp:positionV>
            <wp:extent cx="3609340" cy="2160270"/>
            <wp:effectExtent l="0" t="0" r="10160" b="0"/>
            <wp:wrapTopAndBottom/>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18"/>
                    <a:stretch>
                      <a:fillRect/>
                    </a:stretch>
                  </pic:blipFill>
                  <pic:spPr>
                    <a:xfrm>
                      <a:off x="0" y="0"/>
                      <a:ext cx="3609340" cy="2160270"/>
                    </a:xfrm>
                    <a:prstGeom prst="rect">
                      <a:avLst/>
                    </a:prstGeom>
                  </pic:spPr>
                </pic:pic>
              </a:graphicData>
            </a:graphic>
          </wp:anchor>
        </w:drawing>
      </w:r>
      <w:r>
        <w:rPr>
          <w:rFonts w:hint="eastAsia" w:ascii="Times New Roman" w:hAnsi="Times New Roman" w:eastAsia="黑体" w:cs="Times New Roman"/>
          <w:color w:val="000000"/>
          <w:szCs w:val="21"/>
          <w:highlight w:val="none"/>
          <w:lang w:val="en-US" w:eastAsia="zh-CN"/>
        </w:rPr>
        <w:t>图</w:t>
      </w:r>
      <w:r>
        <w:rPr>
          <w:rFonts w:hint="eastAsia" w:eastAsia="黑体" w:cs="Times New Roman"/>
          <w:color w:val="000000"/>
          <w:szCs w:val="21"/>
          <w:highlight w:val="none"/>
          <w:lang w:val="en-US" w:eastAsia="zh-CN"/>
        </w:rPr>
        <w:t>10  不同洗脱溶剂溶剂对目标化合物的洗脱效果图</w:t>
      </w:r>
    </w:p>
    <w:p w14:paraId="228B2E6B">
      <w:pPr>
        <w:pStyle w:val="5"/>
        <w:bidi w:val="0"/>
        <w:rPr>
          <w:rFonts w:hint="default"/>
          <w:lang w:val="en-US" w:eastAsia="zh-CN"/>
        </w:rPr>
      </w:pPr>
      <w:r>
        <w:rPr>
          <w:rFonts w:hint="default"/>
          <w:lang w:val="en-US" w:eastAsia="zh-CN"/>
        </w:rPr>
        <w:t>6.</w:t>
      </w:r>
      <w:r>
        <w:rPr>
          <w:rFonts w:hint="eastAsia"/>
          <w:lang w:val="en-US" w:eastAsia="zh-CN"/>
        </w:rPr>
        <w:t>7</w:t>
      </w:r>
      <w:r>
        <w:rPr>
          <w:rFonts w:hint="default"/>
          <w:lang w:val="en-US" w:eastAsia="zh-CN"/>
        </w:rPr>
        <w:t>.</w:t>
      </w:r>
      <w:r>
        <w:rPr>
          <w:rFonts w:hint="eastAsia"/>
          <w:lang w:val="en-US" w:eastAsia="zh-CN"/>
        </w:rPr>
        <w:t>3</w:t>
      </w:r>
      <w:r>
        <w:rPr>
          <w:rFonts w:hint="default"/>
          <w:lang w:val="en-US" w:eastAsia="zh-CN"/>
        </w:rPr>
        <w:t xml:space="preserve">.3  </w:t>
      </w:r>
      <w:r>
        <w:rPr>
          <w:rFonts w:hint="eastAsia"/>
          <w:lang w:val="en-US" w:eastAsia="zh-CN"/>
        </w:rPr>
        <w:t>洗脱溶剂</w:t>
      </w:r>
      <w:r>
        <w:rPr>
          <w:rFonts w:hint="default"/>
          <w:lang w:val="en-US" w:eastAsia="zh-CN"/>
        </w:rPr>
        <w:t>体积的确定</w:t>
      </w:r>
    </w:p>
    <w:p w14:paraId="64E6C3F8">
      <w:pPr>
        <w:widowControl/>
        <w:tabs>
          <w:tab w:val="left" w:pos="454"/>
        </w:tabs>
        <w:spacing w:line="360" w:lineRule="exact"/>
        <w:ind w:firstLine="420" w:firstLineChars="200"/>
        <w:rPr>
          <w:color w:val="000000"/>
          <w:szCs w:val="21"/>
          <w:highlight w:val="none"/>
        </w:rPr>
      </w:pPr>
      <w:r>
        <w:rPr>
          <w:color w:val="000000"/>
          <w:szCs w:val="21"/>
          <w:highlight w:val="none"/>
        </w:rPr>
        <w:t>为</w:t>
      </w:r>
      <w:r>
        <w:rPr>
          <w:rFonts w:hint="eastAsia"/>
          <w:color w:val="000000"/>
          <w:szCs w:val="21"/>
          <w:highlight w:val="none"/>
        </w:rPr>
        <w:t>考查</w:t>
      </w:r>
      <w:r>
        <w:rPr>
          <w:color w:val="000000"/>
          <w:szCs w:val="21"/>
          <w:highlight w:val="none"/>
        </w:rPr>
        <w:t>不同洗脱</w:t>
      </w:r>
      <w:r>
        <w:rPr>
          <w:rFonts w:hint="eastAsia"/>
          <w:color w:val="000000"/>
          <w:szCs w:val="21"/>
          <w:highlight w:val="none"/>
          <w:lang w:val="en-US" w:eastAsia="zh-CN"/>
        </w:rPr>
        <w:t>溶剂</w:t>
      </w:r>
      <w:r>
        <w:rPr>
          <w:color w:val="000000"/>
          <w:szCs w:val="21"/>
          <w:highlight w:val="none"/>
        </w:rPr>
        <w:t>体积对目标化合物的洗脱效果，编制组用8 ml洗脱</w:t>
      </w:r>
      <w:r>
        <w:rPr>
          <w:rFonts w:hint="eastAsia"/>
          <w:color w:val="000000"/>
          <w:szCs w:val="21"/>
          <w:highlight w:val="none"/>
          <w:lang w:val="en-US" w:eastAsia="zh-CN"/>
        </w:rPr>
        <w:t>溶剂</w:t>
      </w:r>
      <w:r>
        <w:rPr>
          <w:color w:val="000000"/>
          <w:szCs w:val="21"/>
          <w:highlight w:val="none"/>
        </w:rPr>
        <w:t>对</w:t>
      </w:r>
      <w:r>
        <w:rPr>
          <w:rFonts w:hint="eastAsia"/>
          <w:color w:val="000000"/>
          <w:szCs w:val="22"/>
          <w:highlight w:val="none"/>
        </w:rPr>
        <w:t>0</w:t>
      </w:r>
      <w:r>
        <w:rPr>
          <w:color w:val="000000"/>
          <w:szCs w:val="22"/>
          <w:highlight w:val="none"/>
        </w:rPr>
        <w:t xml:space="preserve">.5 </w:t>
      </w:r>
      <w:r>
        <w:rPr>
          <w:rFonts w:hint="eastAsia"/>
          <w:color w:val="000000"/>
          <w:szCs w:val="22"/>
          <w:highlight w:val="none"/>
        </w:rPr>
        <w:t>mg/kg</w:t>
      </w:r>
      <w:r>
        <w:rPr>
          <w:color w:val="000000"/>
          <w:szCs w:val="21"/>
          <w:highlight w:val="none"/>
        </w:rPr>
        <w:t>的</w:t>
      </w:r>
      <w:r>
        <w:rPr>
          <w:color w:val="000000"/>
          <w:kern w:val="1"/>
          <w:szCs w:val="21"/>
          <w:highlight w:val="none"/>
        </w:rPr>
        <w:t>空白加标样品</w:t>
      </w:r>
      <w:r>
        <w:rPr>
          <w:color w:val="000000"/>
          <w:szCs w:val="21"/>
          <w:highlight w:val="none"/>
        </w:rPr>
        <w:t>进行洗脱，</w:t>
      </w:r>
      <w:r>
        <w:rPr>
          <w:rFonts w:hint="eastAsia"/>
          <w:color w:val="000000"/>
          <w:szCs w:val="21"/>
          <w:highlight w:val="none"/>
          <w:lang w:val="en-US" w:eastAsia="zh-CN"/>
        </w:rPr>
        <w:t>收集每1 ml流出液测试不同体积的洗脱溶剂对三氯杀螨醇净化效果的影响</w:t>
      </w:r>
      <w:r>
        <w:rPr>
          <w:rFonts w:hint="eastAsia"/>
          <w:color w:val="000000"/>
          <w:szCs w:val="21"/>
          <w:highlight w:val="none"/>
        </w:rPr>
        <w:t>。</w:t>
      </w:r>
      <w:r>
        <w:rPr>
          <w:color w:val="000000"/>
          <w:szCs w:val="21"/>
          <w:highlight w:val="none"/>
        </w:rPr>
        <w:t>结果</w:t>
      </w:r>
      <w:r>
        <w:rPr>
          <w:rFonts w:hint="eastAsia"/>
          <w:color w:val="000000"/>
          <w:szCs w:val="21"/>
          <w:highlight w:val="none"/>
        </w:rPr>
        <w:t>如表</w:t>
      </w:r>
      <w:r>
        <w:rPr>
          <w:rFonts w:hint="eastAsia"/>
          <w:color w:val="000000"/>
          <w:szCs w:val="21"/>
          <w:highlight w:val="none"/>
          <w:lang w:val="en-US" w:eastAsia="zh-CN"/>
        </w:rPr>
        <w:t>7和图11</w:t>
      </w:r>
      <w:r>
        <w:rPr>
          <w:rFonts w:hint="eastAsia"/>
          <w:color w:val="000000"/>
          <w:szCs w:val="21"/>
          <w:highlight w:val="none"/>
        </w:rPr>
        <w:t>所示</w:t>
      </w:r>
      <w:r>
        <w:rPr>
          <w:color w:val="000000"/>
          <w:szCs w:val="21"/>
          <w:highlight w:val="none"/>
        </w:rPr>
        <w:t>：</w:t>
      </w:r>
      <w:r>
        <w:rPr>
          <w:rFonts w:hint="eastAsia"/>
          <w:color w:val="000000"/>
          <w:szCs w:val="21"/>
          <w:highlight w:val="none"/>
          <w:lang w:val="en-US" w:eastAsia="zh-CN"/>
        </w:rPr>
        <w:t>0 ml~3 ml流出液中三氯杀螨醇含量较低，回收率仅为4.6%~7.0%；3 ml~6 ml流出液是三氯杀螨醇集中被洗脱出的部分，回收率为80.5%~88.3%；6 ml~8 ml流出液中三氯杀螨醇含量较低。</w:t>
      </w:r>
      <w:r>
        <w:rPr>
          <w:rFonts w:hint="eastAsia" w:hAnsi="宋体"/>
          <w:color w:val="000000"/>
          <w:kern w:val="0"/>
          <w:szCs w:val="21"/>
          <w:highlight w:val="none"/>
        </w:rPr>
        <w:t>由此可知当洗脱</w:t>
      </w:r>
      <w:r>
        <w:rPr>
          <w:rFonts w:hint="eastAsia" w:hAnsi="宋体"/>
          <w:color w:val="000000"/>
          <w:kern w:val="0"/>
          <w:szCs w:val="21"/>
          <w:highlight w:val="none"/>
          <w:lang w:val="en-US" w:eastAsia="zh-CN"/>
        </w:rPr>
        <w:t>溶剂</w:t>
      </w:r>
      <w:r>
        <w:rPr>
          <w:rFonts w:hint="eastAsia" w:hAnsi="宋体"/>
          <w:color w:val="000000"/>
          <w:kern w:val="0"/>
          <w:szCs w:val="21"/>
          <w:highlight w:val="none"/>
        </w:rPr>
        <w:t>达到</w:t>
      </w:r>
      <w:r>
        <w:rPr>
          <w:rFonts w:hint="eastAsia" w:hAnsi="宋体"/>
          <w:color w:val="000000"/>
          <w:kern w:val="0"/>
          <w:szCs w:val="21"/>
          <w:highlight w:val="none"/>
          <w:lang w:val="en-US" w:eastAsia="zh-CN"/>
        </w:rPr>
        <w:t>6</w:t>
      </w:r>
      <w:r>
        <w:rPr>
          <w:rFonts w:hAnsi="宋体"/>
          <w:color w:val="000000"/>
          <w:kern w:val="0"/>
          <w:szCs w:val="21"/>
          <w:highlight w:val="none"/>
        </w:rPr>
        <w:t xml:space="preserve"> </w:t>
      </w:r>
      <w:r>
        <w:rPr>
          <w:rFonts w:hint="eastAsia" w:hAnsi="宋体"/>
          <w:color w:val="000000"/>
          <w:kern w:val="0"/>
          <w:szCs w:val="21"/>
          <w:highlight w:val="none"/>
        </w:rPr>
        <w:t>ml时，继续增大洗脱液体积，回收率没有明显提高，这可能是因为</w:t>
      </w:r>
      <w:r>
        <w:rPr>
          <w:rFonts w:hint="eastAsia" w:hAnsi="宋体"/>
          <w:color w:val="000000"/>
          <w:kern w:val="0"/>
          <w:szCs w:val="21"/>
          <w:highlight w:val="none"/>
          <w:lang w:val="en-US" w:eastAsia="zh-CN"/>
        </w:rPr>
        <w:t>6</w:t>
      </w:r>
      <w:r>
        <w:rPr>
          <w:rFonts w:hAnsi="宋体"/>
          <w:color w:val="000000"/>
          <w:kern w:val="0"/>
          <w:szCs w:val="21"/>
          <w:highlight w:val="none"/>
        </w:rPr>
        <w:t xml:space="preserve"> </w:t>
      </w:r>
      <w:r>
        <w:rPr>
          <w:rFonts w:hint="eastAsia" w:hAnsi="宋体"/>
          <w:color w:val="000000"/>
          <w:kern w:val="0"/>
          <w:szCs w:val="21"/>
          <w:highlight w:val="none"/>
        </w:rPr>
        <w:t>ml已将目标物全部洗脱下来。</w:t>
      </w:r>
      <w:r>
        <w:rPr>
          <w:color w:val="000000"/>
          <w:szCs w:val="21"/>
          <w:highlight w:val="none"/>
        </w:rPr>
        <w:t>为了确保所有目标化合物都被洗脱，本标准最终</w:t>
      </w:r>
      <w:r>
        <w:rPr>
          <w:rFonts w:hint="eastAsia"/>
          <w:color w:val="000000"/>
          <w:szCs w:val="21"/>
          <w:highlight w:val="none"/>
          <w:lang w:val="en-US" w:eastAsia="zh-CN"/>
        </w:rPr>
        <w:t>确定</w:t>
      </w:r>
      <w:r>
        <w:rPr>
          <w:color w:val="000000"/>
          <w:szCs w:val="21"/>
          <w:highlight w:val="none"/>
        </w:rPr>
        <w:t>洗脱</w:t>
      </w:r>
      <w:r>
        <w:rPr>
          <w:rFonts w:hint="eastAsia"/>
          <w:color w:val="000000"/>
          <w:szCs w:val="21"/>
          <w:highlight w:val="none"/>
          <w:lang w:val="en-US" w:eastAsia="zh-CN"/>
        </w:rPr>
        <w:t>溶剂</w:t>
      </w:r>
      <w:r>
        <w:rPr>
          <w:color w:val="000000"/>
          <w:szCs w:val="21"/>
          <w:highlight w:val="none"/>
        </w:rPr>
        <w:t>体积为</w:t>
      </w:r>
      <w:r>
        <w:rPr>
          <w:rFonts w:hint="eastAsia"/>
          <w:color w:val="000000"/>
          <w:szCs w:val="21"/>
          <w:highlight w:val="none"/>
          <w:lang w:val="en-US" w:eastAsia="zh-CN"/>
        </w:rPr>
        <w:t>6</w:t>
      </w:r>
      <w:r>
        <w:rPr>
          <w:color w:val="000000"/>
          <w:szCs w:val="21"/>
          <w:highlight w:val="none"/>
        </w:rPr>
        <w:t xml:space="preserve"> ml。</w:t>
      </w:r>
    </w:p>
    <w:p w14:paraId="1BA8F35C">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eastAsia="黑体" w:cs="Times New Roman"/>
          <w:color w:val="000000"/>
          <w:szCs w:val="21"/>
          <w:highlight w:val="none"/>
          <w:lang w:val="en-US" w:eastAsia="zh-CN"/>
        </w:rPr>
        <w:t>7</w:t>
      </w:r>
      <w:r>
        <w:rPr>
          <w:rFonts w:hint="default" w:ascii="Times New Roman" w:hAnsi="Times New Roman" w:eastAsia="黑体" w:cs="Times New Roman"/>
          <w:color w:val="000000"/>
          <w:szCs w:val="21"/>
          <w:highlight w:val="none"/>
          <w:lang w:val="en-US" w:eastAsia="zh-CN"/>
        </w:rPr>
        <w:t xml:space="preserve">  不同体积的洗脱溶剂对三氯杀螨醇净化效果的影响</w:t>
      </w:r>
    </w:p>
    <w:tbl>
      <w:tblPr>
        <w:tblStyle w:val="16"/>
        <w:tblW w:w="4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23"/>
        <w:gridCol w:w="1876"/>
        <w:gridCol w:w="1877"/>
      </w:tblGrid>
      <w:tr w14:paraId="180D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922" w:type="dxa"/>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5EEED8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Songti SC" w:cs="Times New Roman"/>
                <w:color w:val="000000"/>
                <w:kern w:val="0"/>
                <w:sz w:val="18"/>
                <w:szCs w:val="21"/>
                <w:highlight w:val="none"/>
                <w:vertAlign w:val="baseline"/>
                <w:lang w:val="en-US" w:eastAsia="zh-CN" w:bidi="ar"/>
              </w:rPr>
            </w:pPr>
          </w:p>
          <w:p w14:paraId="471105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洗脱体积</w:t>
            </w:r>
          </w:p>
          <w:p w14:paraId="5DE43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平均回收率（%）</w:t>
            </w:r>
          </w:p>
        </w:tc>
        <w:tc>
          <w:tcPr>
            <w:tcW w:w="1701" w:type="dxa"/>
            <w:gridSpan w:val="2"/>
            <w:tcBorders>
              <w:tl2br w:val="nil"/>
              <w:tr2bl w:val="nil"/>
            </w:tcBorders>
            <w:vAlign w:val="center"/>
          </w:tcPr>
          <w:p w14:paraId="103D8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目标化合物</w:t>
            </w:r>
          </w:p>
        </w:tc>
      </w:tr>
      <w:tr w14:paraId="67EA1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922" w:type="dxa"/>
            <w:vMerge w:val="continue"/>
            <w:tcBorders>
              <w:tl2br w:val="nil"/>
              <w:tr2bl w:val="nil"/>
            </w:tcBorders>
            <w:vAlign w:val="center"/>
          </w:tcPr>
          <w:p w14:paraId="7872F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p>
        </w:tc>
        <w:tc>
          <w:tcPr>
            <w:tcW w:w="1701" w:type="dxa"/>
            <w:tcBorders>
              <w:tl2br w:val="nil"/>
              <w:tr2bl w:val="nil"/>
            </w:tcBorders>
            <w:shd w:val="clear" w:color="auto" w:fill="auto"/>
            <w:vAlign w:val="center"/>
          </w:tcPr>
          <w:p w14:paraId="09056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701" w:type="dxa"/>
            <w:tcBorders>
              <w:tl2br w:val="nil"/>
              <w:tr2bl w:val="nil"/>
            </w:tcBorders>
            <w:shd w:val="clear" w:color="auto" w:fill="auto"/>
            <w:vAlign w:val="center"/>
          </w:tcPr>
          <w:p w14:paraId="4C0946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r>
      <w:tr w14:paraId="04E51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162FE5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0~1 ml</w:t>
            </w:r>
          </w:p>
        </w:tc>
        <w:tc>
          <w:tcPr>
            <w:tcW w:w="1701" w:type="dxa"/>
            <w:tcBorders>
              <w:tl2br w:val="nil"/>
              <w:tr2bl w:val="nil"/>
            </w:tcBorders>
            <w:vAlign w:val="center"/>
          </w:tcPr>
          <w:p w14:paraId="3FE7C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0.05</w:t>
            </w:r>
          </w:p>
        </w:tc>
        <w:tc>
          <w:tcPr>
            <w:tcW w:w="1701" w:type="dxa"/>
            <w:tcBorders>
              <w:tl2br w:val="nil"/>
              <w:tr2bl w:val="nil"/>
            </w:tcBorders>
            <w:vAlign w:val="center"/>
          </w:tcPr>
          <w:p w14:paraId="225CB0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0.1</w:t>
            </w:r>
          </w:p>
        </w:tc>
      </w:tr>
      <w:tr w14:paraId="7EED7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4B888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1~2 ml</w:t>
            </w:r>
          </w:p>
        </w:tc>
        <w:tc>
          <w:tcPr>
            <w:tcW w:w="1701" w:type="dxa"/>
            <w:tcBorders>
              <w:tl2br w:val="nil"/>
              <w:tr2bl w:val="nil"/>
            </w:tcBorders>
            <w:vAlign w:val="center"/>
          </w:tcPr>
          <w:p w14:paraId="3E886C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0.05</w:t>
            </w:r>
          </w:p>
        </w:tc>
        <w:tc>
          <w:tcPr>
            <w:tcW w:w="1701" w:type="dxa"/>
            <w:tcBorders>
              <w:tl2br w:val="nil"/>
              <w:tr2bl w:val="nil"/>
            </w:tcBorders>
            <w:vAlign w:val="center"/>
          </w:tcPr>
          <w:p w14:paraId="3E99C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0.07</w:t>
            </w:r>
          </w:p>
        </w:tc>
      </w:tr>
      <w:tr w14:paraId="1949F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41A49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kern w:val="0"/>
                <w:sz w:val="18"/>
                <w:szCs w:val="18"/>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2~3 ml</w:t>
            </w:r>
          </w:p>
        </w:tc>
        <w:tc>
          <w:tcPr>
            <w:tcW w:w="1701" w:type="dxa"/>
            <w:tcBorders>
              <w:tl2br w:val="nil"/>
              <w:tr2bl w:val="nil"/>
            </w:tcBorders>
            <w:vAlign w:val="center"/>
          </w:tcPr>
          <w:p w14:paraId="6EEA3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4.5</w:t>
            </w:r>
          </w:p>
        </w:tc>
        <w:tc>
          <w:tcPr>
            <w:tcW w:w="1701" w:type="dxa"/>
            <w:tcBorders>
              <w:tl2br w:val="nil"/>
              <w:tr2bl w:val="nil"/>
            </w:tcBorders>
            <w:vAlign w:val="center"/>
          </w:tcPr>
          <w:p w14:paraId="77605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6.8</w:t>
            </w:r>
          </w:p>
        </w:tc>
      </w:tr>
      <w:tr w14:paraId="777FC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04514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kern w:val="0"/>
                <w:sz w:val="18"/>
                <w:szCs w:val="18"/>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3~4 ml</w:t>
            </w:r>
          </w:p>
        </w:tc>
        <w:tc>
          <w:tcPr>
            <w:tcW w:w="1701" w:type="dxa"/>
            <w:tcBorders>
              <w:tl2br w:val="nil"/>
              <w:tr2bl w:val="nil"/>
            </w:tcBorders>
            <w:vAlign w:val="center"/>
          </w:tcPr>
          <w:p w14:paraId="0DE90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40.4</w:t>
            </w:r>
          </w:p>
        </w:tc>
        <w:tc>
          <w:tcPr>
            <w:tcW w:w="1701" w:type="dxa"/>
            <w:tcBorders>
              <w:tl2br w:val="nil"/>
              <w:tr2bl w:val="nil"/>
            </w:tcBorders>
            <w:vAlign w:val="center"/>
          </w:tcPr>
          <w:p w14:paraId="1712B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51.4</w:t>
            </w:r>
          </w:p>
        </w:tc>
      </w:tr>
      <w:tr w14:paraId="23AE1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36DBC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kern w:val="0"/>
                <w:sz w:val="18"/>
                <w:szCs w:val="18"/>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4~5 ml</w:t>
            </w:r>
          </w:p>
        </w:tc>
        <w:tc>
          <w:tcPr>
            <w:tcW w:w="1701" w:type="dxa"/>
            <w:tcBorders>
              <w:tl2br w:val="nil"/>
              <w:tr2bl w:val="nil"/>
            </w:tcBorders>
            <w:vAlign w:val="center"/>
          </w:tcPr>
          <w:p w14:paraId="319A1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31.5</w:t>
            </w:r>
          </w:p>
        </w:tc>
        <w:tc>
          <w:tcPr>
            <w:tcW w:w="1701" w:type="dxa"/>
            <w:tcBorders>
              <w:tl2br w:val="nil"/>
              <w:tr2bl w:val="nil"/>
            </w:tcBorders>
            <w:vAlign w:val="center"/>
          </w:tcPr>
          <w:p w14:paraId="1A0D1C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31.0</w:t>
            </w:r>
          </w:p>
        </w:tc>
      </w:tr>
      <w:tr w14:paraId="03776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08131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kern w:val="0"/>
                <w:sz w:val="18"/>
                <w:szCs w:val="18"/>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5~6 ml</w:t>
            </w:r>
          </w:p>
        </w:tc>
        <w:tc>
          <w:tcPr>
            <w:tcW w:w="1701" w:type="dxa"/>
            <w:tcBorders>
              <w:tl2br w:val="nil"/>
              <w:tr2bl w:val="nil"/>
            </w:tcBorders>
            <w:vAlign w:val="center"/>
          </w:tcPr>
          <w:p w14:paraId="04A98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8.6</w:t>
            </w:r>
          </w:p>
        </w:tc>
        <w:tc>
          <w:tcPr>
            <w:tcW w:w="1701" w:type="dxa"/>
            <w:tcBorders>
              <w:tl2br w:val="nil"/>
              <w:tr2bl w:val="nil"/>
            </w:tcBorders>
            <w:vAlign w:val="center"/>
          </w:tcPr>
          <w:p w14:paraId="143A9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5.9</w:t>
            </w:r>
          </w:p>
        </w:tc>
      </w:tr>
      <w:tr w14:paraId="02FBD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76839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kern w:val="0"/>
                <w:sz w:val="18"/>
                <w:szCs w:val="18"/>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6~7 ml</w:t>
            </w:r>
          </w:p>
        </w:tc>
        <w:tc>
          <w:tcPr>
            <w:tcW w:w="1701" w:type="dxa"/>
            <w:tcBorders>
              <w:tl2br w:val="nil"/>
              <w:tr2bl w:val="nil"/>
            </w:tcBorders>
            <w:vAlign w:val="center"/>
          </w:tcPr>
          <w:p w14:paraId="0437F0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2.4</w:t>
            </w:r>
          </w:p>
        </w:tc>
        <w:tc>
          <w:tcPr>
            <w:tcW w:w="1701" w:type="dxa"/>
            <w:tcBorders>
              <w:tl2br w:val="nil"/>
              <w:tr2bl w:val="nil"/>
            </w:tcBorders>
            <w:vAlign w:val="center"/>
          </w:tcPr>
          <w:p w14:paraId="1B0D4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1.1</w:t>
            </w:r>
          </w:p>
        </w:tc>
      </w:tr>
      <w:tr w14:paraId="78DF2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22" w:type="dxa"/>
            <w:tcBorders>
              <w:tl2br w:val="nil"/>
              <w:tr2bl w:val="nil"/>
            </w:tcBorders>
            <w:shd w:val="clear" w:color="auto" w:fill="auto"/>
            <w:vAlign w:val="center"/>
          </w:tcPr>
          <w:p w14:paraId="52399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kern w:val="0"/>
                <w:sz w:val="18"/>
                <w:szCs w:val="18"/>
                <w:highlight w:val="none"/>
                <w:vertAlign w:val="baseline"/>
                <w:lang w:val="en-US" w:eastAsia="zh-CN" w:bidi="ar"/>
              </w:rPr>
            </w:pPr>
            <w:r>
              <w:rPr>
                <w:rFonts w:hint="default" w:ascii="Times New Roman" w:hAnsi="Times New Roman" w:cs="Times New Roman" w:eastAsiaTheme="minorEastAsia"/>
                <w:color w:val="000000"/>
                <w:kern w:val="0"/>
                <w:sz w:val="18"/>
                <w:szCs w:val="18"/>
                <w:highlight w:val="none"/>
                <w:vertAlign w:val="baseline"/>
                <w:lang w:val="en-US" w:eastAsia="zh-CN" w:bidi="ar"/>
              </w:rPr>
              <w:t>7~8 ml</w:t>
            </w:r>
          </w:p>
        </w:tc>
        <w:tc>
          <w:tcPr>
            <w:tcW w:w="1701" w:type="dxa"/>
            <w:tcBorders>
              <w:tl2br w:val="nil"/>
              <w:tr2bl w:val="nil"/>
            </w:tcBorders>
            <w:vAlign w:val="center"/>
          </w:tcPr>
          <w:p w14:paraId="38E65A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0.3</w:t>
            </w:r>
          </w:p>
        </w:tc>
        <w:tc>
          <w:tcPr>
            <w:tcW w:w="1701" w:type="dxa"/>
            <w:tcBorders>
              <w:tl2br w:val="nil"/>
              <w:tr2bl w:val="nil"/>
            </w:tcBorders>
            <w:vAlign w:val="center"/>
          </w:tcPr>
          <w:p w14:paraId="688B7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0.3</w:t>
            </w:r>
          </w:p>
        </w:tc>
      </w:tr>
    </w:tbl>
    <w:p w14:paraId="74814A3C">
      <w:pPr>
        <w:rPr>
          <w:rFonts w:hint="eastAsia" w:ascii="Times New Roman" w:hAnsi="Times New Roman" w:eastAsia="黑体" w:cs="Times New Roman"/>
          <w:color w:val="000000"/>
          <w:szCs w:val="21"/>
          <w:highlight w:val="none"/>
          <w:lang w:val="en-US" w:eastAsia="zh-CN"/>
        </w:rPr>
      </w:pPr>
      <w:r>
        <w:rPr>
          <w:rFonts w:hint="eastAsia" w:ascii="Times New Roman" w:hAnsi="Times New Roman" w:eastAsia="黑体" w:cs="Times New Roman"/>
          <w:color w:val="000000"/>
          <w:szCs w:val="21"/>
          <w:highlight w:val="none"/>
          <w:lang w:val="en-US" w:eastAsia="zh-CN"/>
        </w:rPr>
        <w:br w:type="page"/>
      </w:r>
    </w:p>
    <w:p w14:paraId="29833925">
      <w:pPr>
        <w:jc w:val="center"/>
        <w:rPr>
          <w:rFonts w:hint="default" w:ascii="Times New Roman" w:hAnsi="Times New Roman" w:eastAsia="黑体" w:cs="Times New Roman"/>
          <w:color w:val="000000"/>
          <w:szCs w:val="21"/>
          <w:highlight w:val="none"/>
          <w:lang w:val="en-US" w:eastAsia="zh-CN"/>
        </w:rPr>
      </w:pPr>
      <w:r>
        <w:rPr>
          <w:rFonts w:hint="eastAsia" w:ascii="Times New Roman" w:hAnsi="Times New Roman" w:eastAsia="黑体" w:cs="Times New Roman"/>
          <w:color w:val="000000"/>
          <w:szCs w:val="21"/>
          <w:highlight w:val="none"/>
          <w:lang w:val="en-US" w:eastAsia="zh-CN"/>
        </w:rPr>
        <w:drawing>
          <wp:anchor distT="0" distB="0" distL="114300" distR="114300" simplePos="0" relativeHeight="251672576" behindDoc="0" locked="0" layoutInCell="1" allowOverlap="1">
            <wp:simplePos x="0" y="0"/>
            <wp:positionH relativeFrom="column">
              <wp:posOffset>935990</wp:posOffset>
            </wp:positionH>
            <wp:positionV relativeFrom="paragraph">
              <wp:posOffset>94615</wp:posOffset>
            </wp:positionV>
            <wp:extent cx="3817620" cy="2160270"/>
            <wp:effectExtent l="0" t="0" r="5080" b="11430"/>
            <wp:wrapTopAndBottom/>
            <wp:docPr id="26" name="图片 2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4"/>
                    <pic:cNvPicPr>
                      <a:picLocks noChangeAspect="1"/>
                    </pic:cNvPicPr>
                  </pic:nvPicPr>
                  <pic:blipFill>
                    <a:blip r:embed="rId19"/>
                    <a:stretch>
                      <a:fillRect/>
                    </a:stretch>
                  </pic:blipFill>
                  <pic:spPr>
                    <a:xfrm>
                      <a:off x="0" y="0"/>
                      <a:ext cx="3817620" cy="2160270"/>
                    </a:xfrm>
                    <a:prstGeom prst="rect">
                      <a:avLst/>
                    </a:prstGeom>
                  </pic:spPr>
                </pic:pic>
              </a:graphicData>
            </a:graphic>
          </wp:anchor>
        </w:drawing>
      </w:r>
      <w:r>
        <w:rPr>
          <w:rFonts w:hint="eastAsia" w:ascii="Times New Roman" w:hAnsi="Times New Roman" w:eastAsia="黑体" w:cs="Times New Roman"/>
          <w:color w:val="000000"/>
          <w:szCs w:val="21"/>
          <w:highlight w:val="none"/>
          <w:lang w:val="en-US" w:eastAsia="zh-CN"/>
        </w:rPr>
        <w:t>图</w:t>
      </w:r>
      <w:r>
        <w:rPr>
          <w:rFonts w:hint="eastAsia" w:eastAsia="黑体" w:cs="Times New Roman"/>
          <w:color w:val="000000"/>
          <w:szCs w:val="21"/>
          <w:highlight w:val="none"/>
          <w:lang w:val="en-US" w:eastAsia="zh-CN"/>
        </w:rPr>
        <w:t>11  不</w:t>
      </w:r>
      <w:r>
        <w:rPr>
          <w:rFonts w:hint="default" w:ascii="Times New Roman" w:hAnsi="Times New Roman" w:eastAsia="黑体" w:cs="Times New Roman"/>
          <w:color w:val="000000"/>
          <w:szCs w:val="21"/>
          <w:highlight w:val="none"/>
          <w:lang w:val="en-US" w:eastAsia="zh-CN"/>
        </w:rPr>
        <w:t>同体积的洗脱溶剂对三氯杀螨醇净化效果的影响</w:t>
      </w:r>
    </w:p>
    <w:p w14:paraId="0C27AA66">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 xml:space="preserve">  样品的浓缩</w:t>
      </w:r>
    </w:p>
    <w:p w14:paraId="277F38CB">
      <w:pPr>
        <w:widowControl/>
        <w:ind w:firstLine="420" w:firstLineChars="200"/>
        <w:jc w:val="left"/>
        <w:rPr>
          <w:rFonts w:hint="default" w:ascii="Times New Roman" w:hAnsi="Times New Roman" w:cs="Times New Roman"/>
          <w:color w:val="000000"/>
          <w:highlight w:val="none"/>
        </w:rPr>
      </w:pPr>
      <w:r>
        <w:rPr>
          <w:rFonts w:hint="default" w:ascii="Times New Roman" w:hAnsi="Times New Roman" w:cs="Times New Roman"/>
          <w:color w:val="000000"/>
          <w:highlight w:val="none"/>
        </w:rPr>
        <w:t>参照HJ</w:t>
      </w:r>
      <w:r>
        <w:rPr>
          <w:rFonts w:hint="default" w:ascii="Times New Roman" w:hAnsi="Times New Roman" w:cs="Times New Roman"/>
          <w:color w:val="000000"/>
          <w:highlight w:val="none"/>
          <w:lang w:val="en-US" w:eastAsia="zh-CN"/>
        </w:rPr>
        <w:t xml:space="preserve"> </w:t>
      </w:r>
      <w:r>
        <w:rPr>
          <w:rFonts w:hint="default" w:ascii="Times New Roman" w:hAnsi="Times New Roman" w:cs="Times New Roman"/>
          <w:color w:val="000000"/>
          <w:highlight w:val="none"/>
        </w:rPr>
        <w:t>834-2017使用氮吹仪浓缩时，浓缩至1.0 ml。亦可使用K-D浓缩、旋转蒸发浓缩等其他合适的浓缩方法，具体参数应根据实际情况进行调整。</w:t>
      </w:r>
    </w:p>
    <w:p w14:paraId="64621C3F">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前处理条件综述</w:t>
      </w:r>
    </w:p>
    <w:p w14:paraId="6EE34098">
      <w:pPr>
        <w:bidi w:val="0"/>
        <w:rPr>
          <w:rFonts w:hint="default" w:ascii="Times New Roman" w:hAnsi="Times New Roman" w:cs="Times New Roman"/>
        </w:rPr>
      </w:pPr>
      <w:r>
        <w:rPr>
          <w:rFonts w:hint="default" w:ascii="Times New Roman" w:hAnsi="Times New Roman" w:cs="Times New Roman"/>
        </w:rPr>
        <w:t>取约10.</w:t>
      </w:r>
      <w:r>
        <w:rPr>
          <w:rFonts w:hint="default" w:ascii="Times New Roman" w:hAnsi="Times New Roman" w:cs="Times New Roman"/>
          <w:lang w:val="en-US" w:eastAsia="zh-CN"/>
        </w:rPr>
        <w:t xml:space="preserve">0 </w:t>
      </w:r>
      <w:r>
        <w:rPr>
          <w:rFonts w:hint="default" w:ascii="Times New Roman" w:hAnsi="Times New Roman" w:cs="Times New Roman"/>
        </w:rPr>
        <w:t>g样品，加入一定量的替代物使用液，以加压流体萃取方式提取。提取液经浓缩后</w:t>
      </w:r>
      <w:r>
        <w:rPr>
          <w:rFonts w:hint="default" w:ascii="Times New Roman" w:hAnsi="Times New Roman" w:cs="Times New Roman"/>
          <w:lang w:val="en-US" w:eastAsia="zh-CN"/>
        </w:rPr>
        <w:t>碱解，碱解具体方法为：依次加入0.5 ml无水乙醇和1 ml的氢氧化钾溶液（10 mol/L），涡旋混匀5 min，在3000 r/min下离心5 min。移取正己烷相于试管中，用1 ml硫酸钠溶液（20 g/L）洗涤两次，弃去水相。在正己烷相中加入约0.5 g无水硫酸钠脱水，取上层清液净化。</w:t>
      </w:r>
      <w:r>
        <w:rPr>
          <w:rFonts w:hint="default" w:ascii="Times New Roman" w:hAnsi="Times New Roman" w:cs="Times New Roman"/>
        </w:rPr>
        <w:t>净化具体方法为：</w:t>
      </w:r>
      <w:r>
        <w:rPr>
          <w:rFonts w:hint="default" w:ascii="Times New Roman" w:hAnsi="Times New Roman" w:cs="Times New Roman"/>
          <w:lang w:val="en-US" w:eastAsia="zh-CN"/>
        </w:rPr>
        <w:t>在弗罗里硅土净化小柱上添加适量无水硫酸钠，用4 ml正己烷淋洗净化小柱，再加入5 ml正己烷，待柱充满后关闭流速控制阀浸润5 min，缓慢打开控制阀，弃去流出液。将浓缩液转移至小柱中，用2 ml正己烷-丙酮混合溶剂（</w:t>
      </w:r>
      <w:r>
        <w:rPr>
          <w:rFonts w:hint="default" w:ascii="Times New Roman" w:hAnsi="Times New Roman" w:eastAsia="宋体" w:cs="Times New Roman"/>
          <w:snapToGrid w:val="0"/>
          <w:color w:val="000000"/>
          <w:sz w:val="21"/>
          <w:szCs w:val="21"/>
          <w:highlight w:val="none"/>
          <w:lang w:val="en-US" w:eastAsia="zh-CN" w:bidi="ar-SA"/>
        </w:rPr>
        <w:t>9+1</w:t>
      </w:r>
      <w:r>
        <w:rPr>
          <w:rFonts w:hint="default" w:ascii="Times New Roman" w:hAnsi="Times New Roman" w:cs="Times New Roman"/>
          <w:lang w:val="en-US" w:eastAsia="zh-CN"/>
        </w:rPr>
        <w:t>）分次洗涤浓缩器皿，洗液全部转入小柱中，收集淋洗液至接收试管中。</w:t>
      </w:r>
      <w:r>
        <w:rPr>
          <w:rFonts w:hint="default" w:ascii="Times New Roman" w:hAnsi="Times New Roman" w:cs="Times New Roman"/>
        </w:rPr>
        <w:t>将合并</w:t>
      </w:r>
      <w:r>
        <w:rPr>
          <w:rFonts w:hint="default" w:ascii="Times New Roman" w:hAnsi="Times New Roman" w:cs="Times New Roman"/>
          <w:lang w:eastAsia="zh-CN"/>
        </w:rPr>
        <w:t>的</w:t>
      </w:r>
      <w:r>
        <w:rPr>
          <w:rFonts w:hint="default" w:ascii="Times New Roman" w:hAnsi="Times New Roman" w:cs="Times New Roman"/>
          <w:lang w:val="en-US" w:eastAsia="zh-CN"/>
        </w:rPr>
        <w:t>淋洗</w:t>
      </w:r>
      <w:r>
        <w:rPr>
          <w:rFonts w:hint="default" w:ascii="Times New Roman" w:hAnsi="Times New Roman" w:cs="Times New Roman"/>
        </w:rPr>
        <w:t>液浓缩至约0.5 ml后，转入2 ml棕色样品瓶中，加入</w:t>
      </w:r>
      <w:r>
        <w:rPr>
          <w:rFonts w:hint="default" w:ascii="Times New Roman" w:hAnsi="Times New Roman" w:cs="Times New Roman"/>
          <w:lang w:val="en-US" w:eastAsia="zh-CN"/>
        </w:rPr>
        <w:t>适量</w:t>
      </w:r>
      <w:r>
        <w:rPr>
          <w:rFonts w:hint="default" w:ascii="Times New Roman" w:hAnsi="Times New Roman" w:cs="Times New Roman"/>
        </w:rPr>
        <w:t>内标使用液混匀，</w:t>
      </w:r>
      <w:r>
        <w:rPr>
          <w:rFonts w:hint="default" w:ascii="Times New Roman" w:hAnsi="Times New Roman" w:cs="Times New Roman"/>
          <w:lang w:val="en-US" w:eastAsia="zh-CN"/>
        </w:rPr>
        <w:t>并</w:t>
      </w:r>
      <w:r>
        <w:rPr>
          <w:rFonts w:hint="default" w:ascii="Times New Roman" w:hAnsi="Times New Roman" w:cs="Times New Roman"/>
        </w:rPr>
        <w:t>定容至1.0 ml，待分析。</w:t>
      </w:r>
    </w:p>
    <w:p w14:paraId="2DEB4297">
      <w:pPr>
        <w:pStyle w:val="3"/>
        <w:bidi w:val="0"/>
        <w:rPr>
          <w:rFonts w:hint="default" w:ascii="Times New Roman" w:hAnsi="Times New Roman" w:cs="Times New Roman"/>
          <w:lang w:val="en-US" w:eastAsia="zh-CN"/>
        </w:rPr>
      </w:pPr>
      <w:bookmarkStart w:id="83" w:name="_Toc23471"/>
      <w:bookmarkStart w:id="84" w:name="_Toc12847"/>
      <w:bookmarkStart w:id="85" w:name="_Toc31761"/>
      <w:r>
        <w:rPr>
          <w:rFonts w:hint="default" w:ascii="Times New Roman" w:hAnsi="Times New Roman" w:cs="Times New Roman"/>
          <w:lang w:val="en-US" w:eastAsia="zh-CN"/>
        </w:rPr>
        <w:t>6.</w:t>
      </w:r>
      <w:r>
        <w:rPr>
          <w:rFonts w:hint="eastAsia" w:ascii="Times New Roman" w:hAnsi="Times New Roman" w:cs="Times New Roman"/>
          <w:lang w:val="en-US" w:eastAsia="zh-CN"/>
        </w:rPr>
        <w:t>8</w:t>
      </w:r>
      <w:r>
        <w:rPr>
          <w:rFonts w:hint="default" w:ascii="Times New Roman" w:hAnsi="Times New Roman" w:cs="Times New Roman"/>
          <w:lang w:val="en-US" w:eastAsia="zh-CN"/>
        </w:rPr>
        <w:t xml:space="preserve">  分析步骤</w:t>
      </w:r>
      <w:bookmarkEnd w:id="83"/>
      <w:bookmarkEnd w:id="84"/>
      <w:bookmarkEnd w:id="85"/>
    </w:p>
    <w:p w14:paraId="7FE08CB3">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8</w:t>
      </w:r>
      <w:r>
        <w:rPr>
          <w:rFonts w:hint="default" w:ascii="Times New Roman" w:hAnsi="Times New Roman" w:cs="Times New Roman"/>
          <w:lang w:val="en-US" w:eastAsia="zh-CN"/>
        </w:rPr>
        <w:t>.1  气相色谱条件</w:t>
      </w:r>
    </w:p>
    <w:p w14:paraId="16E14C47">
      <w:pPr>
        <w:bidi w:val="0"/>
        <w:rPr>
          <w:rFonts w:hint="default"/>
          <w:lang w:eastAsia="zh-CN"/>
        </w:rPr>
      </w:pPr>
      <w:r>
        <w:rPr>
          <w:rFonts w:hint="default"/>
          <w:lang w:eastAsia="zh-CN"/>
        </w:rPr>
        <w:t>进样口温度：280℃，不分流。</w:t>
      </w:r>
    </w:p>
    <w:p w14:paraId="3A631660">
      <w:pPr>
        <w:bidi w:val="0"/>
        <w:rPr>
          <w:rFonts w:hint="default"/>
          <w:lang w:eastAsia="zh-CN"/>
        </w:rPr>
      </w:pPr>
      <w:r>
        <w:rPr>
          <w:rFonts w:hint="default"/>
          <w:lang w:eastAsia="zh-CN"/>
        </w:rPr>
        <w:t xml:space="preserve">进样量：1.0 </w:t>
      </w:r>
      <w:r>
        <w:rPr>
          <w:rFonts w:hint="default"/>
        </w:rPr>
        <w:t>μ</w:t>
      </w:r>
      <w:r>
        <w:rPr>
          <w:rFonts w:hint="default"/>
          <w:lang w:eastAsia="zh-CN"/>
        </w:rPr>
        <w:t>l，柱流量：1.0 ml/min（恒流）。</w:t>
      </w:r>
    </w:p>
    <w:p w14:paraId="6CE4EFAE">
      <w:pPr>
        <w:bidi w:val="0"/>
        <w:rPr>
          <w:rFonts w:hint="default"/>
          <w:lang w:val="en-US" w:eastAsia="zh-CN"/>
        </w:rPr>
      </w:pPr>
      <w:r>
        <w:rPr>
          <w:rFonts w:hint="default"/>
        </w:rPr>
        <w:t>柱温：初始温度40℃，保持2</w:t>
      </w:r>
      <w:r>
        <w:rPr>
          <w:rFonts w:hint="default"/>
          <w:lang w:val="en-US" w:eastAsia="zh-CN"/>
        </w:rPr>
        <w:t xml:space="preserve"> </w:t>
      </w:r>
      <w:r>
        <w:rPr>
          <w:rFonts w:hint="default"/>
        </w:rPr>
        <w:t>min；以10℃/min速率升至90℃，保持2</w:t>
      </w:r>
      <w:r>
        <w:rPr>
          <w:rFonts w:hint="default"/>
          <w:lang w:val="en-US" w:eastAsia="zh-CN"/>
        </w:rPr>
        <w:t xml:space="preserve"> </w:t>
      </w:r>
      <w:r>
        <w:rPr>
          <w:rFonts w:hint="default"/>
        </w:rPr>
        <w:t>min；以25℃/min速率升至180℃；以5℃/min速率升至280℃，保持5</w:t>
      </w:r>
      <w:r>
        <w:rPr>
          <w:rFonts w:hint="default"/>
          <w:lang w:val="en-US" w:eastAsia="zh-CN"/>
        </w:rPr>
        <w:t xml:space="preserve"> </w:t>
      </w:r>
      <w:r>
        <w:rPr>
          <w:rFonts w:hint="default"/>
        </w:rPr>
        <w:t>min；以5℃/min速率升至290℃，保持5</w:t>
      </w:r>
      <w:r>
        <w:rPr>
          <w:rFonts w:hint="default"/>
          <w:lang w:val="en-US" w:eastAsia="zh-CN"/>
        </w:rPr>
        <w:t xml:space="preserve"> </w:t>
      </w:r>
      <w:r>
        <w:rPr>
          <w:rFonts w:hint="default"/>
        </w:rPr>
        <w:t>min。</w:t>
      </w:r>
    </w:p>
    <w:p w14:paraId="4BC9BD92">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8</w:t>
      </w:r>
      <w:r>
        <w:rPr>
          <w:rFonts w:hint="default" w:ascii="Times New Roman" w:hAnsi="Times New Roman" w:cs="Times New Roman"/>
          <w:lang w:val="en-US" w:eastAsia="zh-CN"/>
        </w:rPr>
        <w:t>.2  质谱条件</w:t>
      </w:r>
    </w:p>
    <w:p w14:paraId="17813C5F">
      <w:pPr>
        <w:bidi w:val="0"/>
        <w:rPr>
          <w:rFonts w:hint="default"/>
          <w:lang w:eastAsia="zh-CN"/>
        </w:rPr>
      </w:pPr>
      <w:r>
        <w:rPr>
          <w:rFonts w:hint="default"/>
          <w:lang w:eastAsia="zh-CN"/>
        </w:rPr>
        <w:t>电子轰击源：EI。</w:t>
      </w:r>
    </w:p>
    <w:p w14:paraId="4FE14860">
      <w:pPr>
        <w:bidi w:val="0"/>
        <w:rPr>
          <w:rFonts w:hint="default"/>
          <w:lang w:eastAsia="zh-CN"/>
        </w:rPr>
      </w:pPr>
      <w:r>
        <w:rPr>
          <w:rFonts w:hint="default"/>
          <w:lang w:eastAsia="zh-CN"/>
        </w:rPr>
        <w:t>离子源温度：300℃。离子化能量：70 eV。传输线温度：280℃。</w:t>
      </w:r>
    </w:p>
    <w:p w14:paraId="02E071C6">
      <w:pPr>
        <w:bidi w:val="0"/>
        <w:rPr>
          <w:rFonts w:hint="default"/>
          <w:lang w:eastAsia="zh-CN"/>
        </w:rPr>
      </w:pPr>
      <w:r>
        <w:rPr>
          <w:rFonts w:hint="default"/>
          <w:lang w:eastAsia="zh-CN"/>
        </w:rPr>
        <w:t>四级杆温度：150℃。</w:t>
      </w:r>
    </w:p>
    <w:p w14:paraId="403F47D8">
      <w:pPr>
        <w:rPr>
          <w:rFonts w:hint="default"/>
          <w:lang w:val="en-US" w:eastAsia="zh-CN"/>
        </w:rPr>
      </w:pPr>
      <w:r>
        <w:rPr>
          <w:rFonts w:hint="default"/>
          <w:lang w:eastAsia="zh-CN"/>
        </w:rPr>
        <w:t>扫描模式：选择离子模式（</w:t>
      </w:r>
      <w:r>
        <w:rPr>
          <w:rFonts w:hint="default"/>
          <w:lang w:val="en-US" w:eastAsia="zh-CN"/>
        </w:rPr>
        <w:t>SIM</w:t>
      </w:r>
      <w:r>
        <w:rPr>
          <w:rFonts w:hint="default"/>
          <w:lang w:eastAsia="zh-CN"/>
        </w:rPr>
        <w:t>）。</w:t>
      </w:r>
    </w:p>
    <w:p w14:paraId="076A93FF">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8</w:t>
      </w:r>
      <w:r>
        <w:rPr>
          <w:rFonts w:hint="default" w:ascii="Times New Roman" w:hAnsi="Times New Roman" w:cs="Times New Roman"/>
          <w:lang w:val="en-US" w:eastAsia="zh-CN"/>
        </w:rPr>
        <w:t>.3  质谱仪性能检查</w:t>
      </w:r>
    </w:p>
    <w:p w14:paraId="39FEDDC8">
      <w:pPr>
        <w:bidi w:val="0"/>
        <w:rPr>
          <w:rFonts w:hint="default" w:ascii="Times New Roman" w:hAnsi="Times New Roman" w:cs="Times New Roman"/>
          <w:lang w:val="en-US" w:eastAsia="zh-CN"/>
        </w:rPr>
      </w:pPr>
      <w:r>
        <w:rPr>
          <w:rFonts w:hint="default" w:ascii="Times New Roman" w:hAnsi="Times New Roman" w:cs="Times New Roman"/>
          <w:lang w:val="en-US" w:eastAsia="zh-CN"/>
        </w:rPr>
        <w:t>每次分析前，应进行质谱自动调谐，再将气相色谱和质谱仪设定至分析方法要求的仪器条件，并处于待机状态，通过气相色谱进样口直接注入1.0 μl十氟三苯基膦（DFTPP），得到十氟三苯基膦质谱图，其质量碎片的离子丰度应全部符合表</w:t>
      </w:r>
      <w:r>
        <w:rPr>
          <w:rFonts w:hint="eastAsia" w:cs="Times New Roman"/>
          <w:lang w:val="en-US" w:eastAsia="zh-CN"/>
        </w:rPr>
        <w:t>8</w:t>
      </w:r>
      <w:r>
        <w:rPr>
          <w:rFonts w:hint="default" w:ascii="Times New Roman" w:hAnsi="Times New Roman" w:cs="Times New Roman"/>
          <w:lang w:val="en-US" w:eastAsia="zh-CN"/>
        </w:rPr>
        <w:t>中的要求。否则须清洗质谱仪离子源。</w:t>
      </w:r>
    </w:p>
    <w:p w14:paraId="33D3A52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8</w:t>
      </w:r>
      <w:r>
        <w:rPr>
          <w:rFonts w:hint="default" w:ascii="Times New Roman" w:hAnsi="Times New Roman" w:eastAsia="黑体" w:cs="Times New Roman"/>
          <w:color w:val="000000"/>
          <w:szCs w:val="21"/>
          <w:highlight w:val="none"/>
          <w:lang w:val="en-US" w:eastAsia="zh-CN"/>
        </w:rPr>
        <w:t xml:space="preserve">  十氟三苯基膦（DFTPP）关键离子及离子丰度评价</w:t>
      </w:r>
    </w:p>
    <w:tbl>
      <w:tblPr>
        <w:tblStyle w:val="21"/>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21"/>
        <w:gridCol w:w="2518"/>
        <w:gridCol w:w="1439"/>
        <w:gridCol w:w="2701"/>
      </w:tblGrid>
      <w:tr w14:paraId="29EC5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621" w:type="dxa"/>
            <w:tcBorders>
              <w:tl2br w:val="nil"/>
              <w:tr2bl w:val="nil"/>
            </w:tcBorders>
            <w:vAlign w:val="center"/>
          </w:tcPr>
          <w:p w14:paraId="3A8EA6A0">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rPr>
            </w:pPr>
            <w:r>
              <w:rPr>
                <w:rFonts w:hint="default" w:ascii="Times New Roman" w:hAnsi="Times New Roman" w:eastAsia="宋体" w:cs="Times New Roman"/>
                <w:spacing w:val="-2"/>
              </w:rPr>
              <w:t>质荷比（</w:t>
            </w:r>
            <w:r>
              <w:rPr>
                <w:rFonts w:hint="default" w:ascii="Times New Roman" w:hAnsi="Times New Roman" w:cs="Times New Roman"/>
                <w:spacing w:val="-2"/>
              </w:rPr>
              <w:t>m/z</w:t>
            </w:r>
            <w:r>
              <w:rPr>
                <w:rFonts w:hint="default" w:ascii="Times New Roman" w:hAnsi="Times New Roman" w:eastAsia="宋体" w:cs="Times New Roman"/>
                <w:spacing w:val="-2"/>
              </w:rPr>
              <w:t>）</w:t>
            </w:r>
          </w:p>
        </w:tc>
        <w:tc>
          <w:tcPr>
            <w:tcW w:w="2518" w:type="dxa"/>
            <w:tcBorders>
              <w:tl2br w:val="nil"/>
              <w:tr2bl w:val="nil"/>
            </w:tcBorders>
            <w:vAlign w:val="center"/>
          </w:tcPr>
          <w:p w14:paraId="58CA64E7">
            <w:pPr>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相对丰度规范</w:t>
            </w:r>
          </w:p>
        </w:tc>
        <w:tc>
          <w:tcPr>
            <w:tcW w:w="1439" w:type="dxa"/>
            <w:tcBorders>
              <w:tl2br w:val="nil"/>
              <w:tr2bl w:val="nil"/>
            </w:tcBorders>
            <w:vAlign w:val="center"/>
          </w:tcPr>
          <w:p w14:paraId="6282CB2D">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rPr>
            </w:pPr>
            <w:r>
              <w:rPr>
                <w:rFonts w:hint="default" w:ascii="Times New Roman" w:hAnsi="Times New Roman" w:eastAsia="宋体" w:cs="Times New Roman"/>
                <w:spacing w:val="-2"/>
              </w:rPr>
              <w:t>质荷比（</w:t>
            </w:r>
            <w:r>
              <w:rPr>
                <w:rFonts w:hint="default" w:ascii="Times New Roman" w:hAnsi="Times New Roman" w:cs="Times New Roman"/>
                <w:spacing w:val="-2"/>
              </w:rPr>
              <w:t>m/z</w:t>
            </w:r>
            <w:r>
              <w:rPr>
                <w:rFonts w:hint="default" w:ascii="Times New Roman" w:hAnsi="Times New Roman" w:eastAsia="宋体" w:cs="Times New Roman"/>
                <w:spacing w:val="-2"/>
              </w:rPr>
              <w:t>）</w:t>
            </w:r>
          </w:p>
        </w:tc>
        <w:tc>
          <w:tcPr>
            <w:tcW w:w="2701" w:type="dxa"/>
            <w:tcBorders>
              <w:tl2br w:val="nil"/>
              <w:tr2bl w:val="nil"/>
            </w:tcBorders>
            <w:vAlign w:val="center"/>
          </w:tcPr>
          <w:p w14:paraId="481A34B9">
            <w:pPr>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相对丰度规范</w:t>
            </w:r>
          </w:p>
        </w:tc>
      </w:tr>
      <w:tr w14:paraId="15A4ED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21" w:type="dxa"/>
            <w:tcBorders>
              <w:tl2br w:val="nil"/>
              <w:tr2bl w:val="nil"/>
            </w:tcBorders>
            <w:vAlign w:val="center"/>
          </w:tcPr>
          <w:p w14:paraId="6CAEA9E2">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rPr>
            </w:pPr>
            <w:r>
              <w:rPr>
                <w:rFonts w:hint="default" w:ascii="Times New Roman" w:hAnsi="Times New Roman" w:cs="Times New Roman"/>
                <w:spacing w:val="-4"/>
              </w:rPr>
              <w:t>51</w:t>
            </w:r>
          </w:p>
        </w:tc>
        <w:tc>
          <w:tcPr>
            <w:tcW w:w="2518" w:type="dxa"/>
            <w:tcBorders>
              <w:tl2br w:val="nil"/>
              <w:tr2bl w:val="nil"/>
            </w:tcBorders>
            <w:vAlign w:val="center"/>
          </w:tcPr>
          <w:p w14:paraId="601C680F">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3"/>
                <w:highlight w:val="none"/>
              </w:rPr>
              <w:t>198</w:t>
            </w:r>
            <w:r>
              <w:rPr>
                <w:rFonts w:hint="default" w:ascii="Times New Roman" w:hAnsi="Times New Roman" w:eastAsia="宋体" w:cs="Times New Roman"/>
                <w:spacing w:val="-3"/>
                <w:highlight w:val="none"/>
              </w:rPr>
              <w:t>峰（基峰）的</w:t>
            </w:r>
            <w:r>
              <w:rPr>
                <w:rFonts w:hint="eastAsia" w:eastAsia="宋体" w:cs="Times New Roman"/>
                <w:spacing w:val="-3"/>
                <w:highlight w:val="none"/>
                <w:lang w:val="en-US" w:eastAsia="zh-CN"/>
              </w:rPr>
              <w:t>1</w:t>
            </w:r>
            <w:r>
              <w:rPr>
                <w:rFonts w:hint="default" w:ascii="Times New Roman" w:hAnsi="Times New Roman" w:cs="Times New Roman"/>
                <w:spacing w:val="-3"/>
                <w:highlight w:val="none"/>
              </w:rPr>
              <w:t>0</w:t>
            </w:r>
            <w:r>
              <w:rPr>
                <w:rFonts w:hint="eastAsia" w:eastAsia="宋体" w:cs="Times New Roman"/>
                <w:spacing w:val="-3"/>
                <w:highlight w:val="none"/>
                <w:lang w:val="en-US" w:eastAsia="zh-CN"/>
              </w:rPr>
              <w:t>%~8</w:t>
            </w:r>
            <w:r>
              <w:rPr>
                <w:rFonts w:hint="default" w:ascii="Times New Roman" w:hAnsi="Times New Roman" w:cs="Times New Roman"/>
                <w:spacing w:val="-3"/>
                <w:highlight w:val="none"/>
              </w:rPr>
              <w:t>0%</w:t>
            </w:r>
          </w:p>
        </w:tc>
        <w:tc>
          <w:tcPr>
            <w:tcW w:w="1439" w:type="dxa"/>
            <w:tcBorders>
              <w:tl2br w:val="nil"/>
              <w:tr2bl w:val="nil"/>
            </w:tcBorders>
            <w:vAlign w:val="center"/>
          </w:tcPr>
          <w:p w14:paraId="004E1BA2">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7"/>
                <w:highlight w:val="none"/>
              </w:rPr>
              <w:t>199</w:t>
            </w:r>
          </w:p>
        </w:tc>
        <w:tc>
          <w:tcPr>
            <w:tcW w:w="2701" w:type="dxa"/>
            <w:tcBorders>
              <w:tl2br w:val="nil"/>
              <w:tr2bl w:val="nil"/>
            </w:tcBorders>
            <w:vAlign w:val="center"/>
          </w:tcPr>
          <w:p w14:paraId="02828E65">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5"/>
                <w:highlight w:val="none"/>
              </w:rPr>
              <w:t>198</w:t>
            </w:r>
            <w:r>
              <w:rPr>
                <w:rFonts w:hint="default" w:ascii="Times New Roman" w:hAnsi="Times New Roman" w:eastAsia="宋体" w:cs="Times New Roman"/>
                <w:spacing w:val="-5"/>
                <w:highlight w:val="none"/>
              </w:rPr>
              <w:t>峰的</w:t>
            </w:r>
            <w:r>
              <w:rPr>
                <w:rFonts w:hint="default" w:ascii="Times New Roman" w:hAnsi="Times New Roman" w:cs="Times New Roman"/>
                <w:spacing w:val="-5"/>
                <w:highlight w:val="none"/>
              </w:rPr>
              <w:t>5</w:t>
            </w:r>
            <w:r>
              <w:rPr>
                <w:rFonts w:hint="eastAsia" w:eastAsia="宋体" w:cs="Times New Roman"/>
                <w:spacing w:val="-5"/>
                <w:highlight w:val="none"/>
                <w:lang w:val="en-US" w:eastAsia="zh-CN"/>
              </w:rPr>
              <w:t>%~</w:t>
            </w:r>
            <w:r>
              <w:rPr>
                <w:rFonts w:hint="default" w:ascii="Times New Roman" w:hAnsi="Times New Roman" w:cs="Times New Roman"/>
                <w:spacing w:val="-5"/>
                <w:highlight w:val="none"/>
              </w:rPr>
              <w:t>9%</w:t>
            </w:r>
          </w:p>
        </w:tc>
      </w:tr>
      <w:tr w14:paraId="20BA6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621" w:type="dxa"/>
            <w:tcBorders>
              <w:tl2br w:val="nil"/>
              <w:tr2bl w:val="nil"/>
            </w:tcBorders>
            <w:vAlign w:val="center"/>
          </w:tcPr>
          <w:p w14:paraId="562ECA8F">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rPr>
            </w:pPr>
            <w:r>
              <w:rPr>
                <w:rFonts w:hint="default" w:ascii="Times New Roman" w:hAnsi="Times New Roman" w:cs="Times New Roman"/>
                <w:spacing w:val="-4"/>
              </w:rPr>
              <w:t>68</w:t>
            </w:r>
          </w:p>
        </w:tc>
        <w:tc>
          <w:tcPr>
            <w:tcW w:w="2518" w:type="dxa"/>
            <w:tcBorders>
              <w:tl2br w:val="nil"/>
              <w:tr2bl w:val="nil"/>
            </w:tcBorders>
            <w:vAlign w:val="center"/>
          </w:tcPr>
          <w:p w14:paraId="54C2ED54">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5"/>
                <w:highlight w:val="none"/>
              </w:rPr>
              <w:t>小于</w:t>
            </w:r>
            <w:r>
              <w:rPr>
                <w:rFonts w:hint="default" w:ascii="Times New Roman" w:hAnsi="Times New Roman" w:cs="Times New Roman"/>
                <w:spacing w:val="-5"/>
                <w:highlight w:val="none"/>
              </w:rPr>
              <w:t>69</w:t>
            </w:r>
            <w:r>
              <w:rPr>
                <w:rFonts w:hint="default" w:ascii="Times New Roman" w:hAnsi="Times New Roman" w:eastAsia="宋体" w:cs="Times New Roman"/>
                <w:spacing w:val="-5"/>
                <w:highlight w:val="none"/>
              </w:rPr>
              <w:t>峰的</w:t>
            </w:r>
            <w:r>
              <w:rPr>
                <w:rFonts w:hint="default" w:ascii="Times New Roman" w:hAnsi="Times New Roman" w:cs="Times New Roman"/>
                <w:spacing w:val="-5"/>
                <w:highlight w:val="none"/>
              </w:rPr>
              <w:t>2%</w:t>
            </w:r>
          </w:p>
        </w:tc>
        <w:tc>
          <w:tcPr>
            <w:tcW w:w="1439" w:type="dxa"/>
            <w:tcBorders>
              <w:tl2br w:val="nil"/>
              <w:tr2bl w:val="nil"/>
            </w:tcBorders>
            <w:vAlign w:val="center"/>
          </w:tcPr>
          <w:p w14:paraId="7DAA7459">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1"/>
                <w:highlight w:val="none"/>
              </w:rPr>
              <w:t>275</w:t>
            </w:r>
          </w:p>
        </w:tc>
        <w:tc>
          <w:tcPr>
            <w:tcW w:w="2701" w:type="dxa"/>
            <w:tcBorders>
              <w:tl2br w:val="nil"/>
              <w:tr2bl w:val="nil"/>
            </w:tcBorders>
            <w:vAlign w:val="center"/>
          </w:tcPr>
          <w:p w14:paraId="58668894">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3"/>
                <w:highlight w:val="none"/>
              </w:rPr>
              <w:t>基峰的</w:t>
            </w:r>
            <w:r>
              <w:rPr>
                <w:rFonts w:hint="default" w:ascii="Times New Roman" w:hAnsi="Times New Roman" w:cs="Times New Roman"/>
                <w:spacing w:val="-3"/>
                <w:highlight w:val="none"/>
              </w:rPr>
              <w:t>10</w:t>
            </w:r>
            <w:r>
              <w:rPr>
                <w:rFonts w:hint="eastAsia" w:eastAsia="宋体" w:cs="Times New Roman"/>
                <w:spacing w:val="-3"/>
                <w:highlight w:val="none"/>
                <w:lang w:val="en-US" w:eastAsia="zh-CN"/>
              </w:rPr>
              <w:t>%~6</w:t>
            </w:r>
            <w:r>
              <w:rPr>
                <w:rFonts w:hint="default" w:ascii="Times New Roman" w:hAnsi="Times New Roman" w:cs="Times New Roman"/>
                <w:spacing w:val="-3"/>
                <w:highlight w:val="none"/>
              </w:rPr>
              <w:t>0%</w:t>
            </w:r>
          </w:p>
        </w:tc>
      </w:tr>
      <w:tr w14:paraId="308700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621" w:type="dxa"/>
            <w:tcBorders>
              <w:tl2br w:val="nil"/>
              <w:tr2bl w:val="nil"/>
            </w:tcBorders>
            <w:vAlign w:val="center"/>
          </w:tcPr>
          <w:p w14:paraId="1F6F67DE">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rPr>
            </w:pPr>
            <w:r>
              <w:rPr>
                <w:rFonts w:hint="default" w:ascii="Times New Roman" w:hAnsi="Times New Roman" w:cs="Times New Roman"/>
                <w:spacing w:val="-3"/>
              </w:rPr>
              <w:t>70</w:t>
            </w:r>
          </w:p>
        </w:tc>
        <w:tc>
          <w:tcPr>
            <w:tcW w:w="2518" w:type="dxa"/>
            <w:tcBorders>
              <w:tl2br w:val="nil"/>
              <w:tr2bl w:val="nil"/>
            </w:tcBorders>
            <w:vAlign w:val="center"/>
          </w:tcPr>
          <w:p w14:paraId="4F9C2B8A">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5"/>
                <w:highlight w:val="none"/>
              </w:rPr>
              <w:t>小于</w:t>
            </w:r>
            <w:r>
              <w:rPr>
                <w:rFonts w:hint="default" w:ascii="Times New Roman" w:hAnsi="Times New Roman" w:cs="Times New Roman"/>
                <w:spacing w:val="-5"/>
                <w:highlight w:val="none"/>
              </w:rPr>
              <w:t>69</w:t>
            </w:r>
            <w:r>
              <w:rPr>
                <w:rFonts w:hint="default" w:ascii="Times New Roman" w:hAnsi="Times New Roman" w:eastAsia="宋体" w:cs="Times New Roman"/>
                <w:spacing w:val="-5"/>
                <w:highlight w:val="none"/>
              </w:rPr>
              <w:t>峰的</w:t>
            </w:r>
            <w:r>
              <w:rPr>
                <w:rFonts w:hint="default" w:ascii="Times New Roman" w:hAnsi="Times New Roman" w:cs="Times New Roman"/>
                <w:spacing w:val="-5"/>
                <w:highlight w:val="none"/>
              </w:rPr>
              <w:t>2%</w:t>
            </w:r>
          </w:p>
        </w:tc>
        <w:tc>
          <w:tcPr>
            <w:tcW w:w="1439" w:type="dxa"/>
            <w:tcBorders>
              <w:tl2br w:val="nil"/>
              <w:tr2bl w:val="nil"/>
            </w:tcBorders>
            <w:vAlign w:val="center"/>
          </w:tcPr>
          <w:p w14:paraId="444F3EAD">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3"/>
                <w:highlight w:val="none"/>
              </w:rPr>
              <w:t>365</w:t>
            </w:r>
          </w:p>
        </w:tc>
        <w:tc>
          <w:tcPr>
            <w:tcW w:w="2701" w:type="dxa"/>
            <w:tcBorders>
              <w:tl2br w:val="nil"/>
              <w:tr2bl w:val="nil"/>
            </w:tcBorders>
            <w:vAlign w:val="center"/>
          </w:tcPr>
          <w:p w14:paraId="073E7D3F">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5"/>
                <w:highlight w:val="none"/>
              </w:rPr>
              <w:t>大于</w:t>
            </w:r>
            <w:r>
              <w:rPr>
                <w:rFonts w:hint="eastAsia" w:eastAsia="宋体" w:cs="Times New Roman"/>
                <w:spacing w:val="-5"/>
                <w:highlight w:val="none"/>
                <w:lang w:val="en-US" w:eastAsia="zh-CN"/>
              </w:rPr>
              <w:t>198</w:t>
            </w:r>
            <w:r>
              <w:rPr>
                <w:rFonts w:hint="default" w:ascii="Times New Roman" w:hAnsi="Times New Roman" w:eastAsia="宋体" w:cs="Times New Roman"/>
                <w:spacing w:val="-5"/>
                <w:highlight w:val="none"/>
              </w:rPr>
              <w:t>峰的</w:t>
            </w:r>
            <w:r>
              <w:rPr>
                <w:rFonts w:hint="default" w:ascii="Times New Roman" w:hAnsi="Times New Roman" w:cs="Times New Roman"/>
                <w:spacing w:val="-5"/>
                <w:highlight w:val="none"/>
              </w:rPr>
              <w:t>1%</w:t>
            </w:r>
          </w:p>
        </w:tc>
      </w:tr>
      <w:tr w14:paraId="164062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621" w:type="dxa"/>
            <w:tcBorders>
              <w:tl2br w:val="nil"/>
              <w:tr2bl w:val="nil"/>
            </w:tcBorders>
            <w:vAlign w:val="center"/>
          </w:tcPr>
          <w:p w14:paraId="16127003">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rPr>
            </w:pPr>
            <w:r>
              <w:rPr>
                <w:rFonts w:hint="default" w:ascii="Times New Roman" w:hAnsi="Times New Roman" w:cs="Times New Roman"/>
                <w:spacing w:val="-7"/>
              </w:rPr>
              <w:t>127</w:t>
            </w:r>
          </w:p>
        </w:tc>
        <w:tc>
          <w:tcPr>
            <w:tcW w:w="2518" w:type="dxa"/>
            <w:tcBorders>
              <w:tl2br w:val="nil"/>
              <w:tr2bl w:val="nil"/>
            </w:tcBorders>
            <w:vAlign w:val="center"/>
          </w:tcPr>
          <w:p w14:paraId="4707ACF5">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1"/>
                <w:highlight w:val="none"/>
              </w:rPr>
              <w:t>基峰的</w:t>
            </w:r>
            <w:r>
              <w:rPr>
                <w:rFonts w:hint="eastAsia" w:eastAsia="宋体" w:cs="Times New Roman"/>
                <w:spacing w:val="-1"/>
                <w:highlight w:val="none"/>
                <w:lang w:val="en-US" w:eastAsia="zh-CN"/>
              </w:rPr>
              <w:t>1</w:t>
            </w:r>
            <w:r>
              <w:rPr>
                <w:rFonts w:hint="default" w:ascii="Times New Roman" w:hAnsi="Times New Roman" w:cs="Times New Roman"/>
                <w:spacing w:val="-1"/>
                <w:highlight w:val="none"/>
              </w:rPr>
              <w:t>0</w:t>
            </w:r>
            <w:r>
              <w:rPr>
                <w:rFonts w:hint="eastAsia" w:eastAsia="宋体" w:cs="Times New Roman"/>
                <w:spacing w:val="-1"/>
                <w:highlight w:val="none"/>
                <w:lang w:val="en-US" w:eastAsia="zh-CN"/>
              </w:rPr>
              <w:t>%~8</w:t>
            </w:r>
            <w:r>
              <w:rPr>
                <w:rFonts w:hint="default" w:ascii="Times New Roman" w:hAnsi="Times New Roman" w:cs="Times New Roman"/>
                <w:spacing w:val="-1"/>
                <w:highlight w:val="none"/>
              </w:rPr>
              <w:t>0%</w:t>
            </w:r>
          </w:p>
        </w:tc>
        <w:tc>
          <w:tcPr>
            <w:tcW w:w="1439" w:type="dxa"/>
            <w:tcBorders>
              <w:tl2br w:val="nil"/>
              <w:tr2bl w:val="nil"/>
            </w:tcBorders>
            <w:vAlign w:val="center"/>
          </w:tcPr>
          <w:p w14:paraId="42BE2C41">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1"/>
                <w:highlight w:val="none"/>
              </w:rPr>
              <w:t>441</w:t>
            </w:r>
          </w:p>
        </w:tc>
        <w:tc>
          <w:tcPr>
            <w:tcW w:w="2701" w:type="dxa"/>
            <w:tcBorders>
              <w:tl2br w:val="nil"/>
              <w:tr2bl w:val="nil"/>
            </w:tcBorders>
            <w:vAlign w:val="center"/>
          </w:tcPr>
          <w:p w14:paraId="27CD5457">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rPr>
            </w:pPr>
            <w:r>
              <w:rPr>
                <w:rFonts w:hint="default" w:ascii="Times New Roman" w:hAnsi="Times New Roman" w:eastAsia="宋体" w:cs="Times New Roman"/>
                <w:spacing w:val="-2"/>
                <w:highlight w:val="none"/>
              </w:rPr>
              <w:t>存在且小于</w:t>
            </w:r>
            <w:r>
              <w:rPr>
                <w:rFonts w:hint="default" w:ascii="Times New Roman" w:hAnsi="Times New Roman" w:cs="Times New Roman"/>
                <w:spacing w:val="-2"/>
                <w:highlight w:val="none"/>
              </w:rPr>
              <w:t>44</w:t>
            </w:r>
            <w:r>
              <w:rPr>
                <w:rFonts w:hint="eastAsia" w:eastAsia="宋体" w:cs="Times New Roman"/>
                <w:spacing w:val="-2"/>
                <w:highlight w:val="none"/>
                <w:lang w:val="en-US" w:eastAsia="zh-CN"/>
              </w:rPr>
              <w:t>2</w:t>
            </w:r>
            <w:r>
              <w:rPr>
                <w:rFonts w:hint="default" w:ascii="Times New Roman" w:hAnsi="Times New Roman" w:eastAsia="宋体" w:cs="Times New Roman"/>
                <w:spacing w:val="-2"/>
                <w:highlight w:val="none"/>
              </w:rPr>
              <w:t>峰</w:t>
            </w:r>
            <w:r>
              <w:rPr>
                <w:rFonts w:hint="eastAsia" w:eastAsia="宋体" w:cs="Times New Roman"/>
                <w:spacing w:val="-2"/>
                <w:highlight w:val="none"/>
                <w:lang w:val="en-US" w:eastAsia="zh-CN"/>
              </w:rPr>
              <w:t>的24%</w:t>
            </w:r>
          </w:p>
        </w:tc>
      </w:tr>
      <w:tr w14:paraId="586297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621" w:type="dxa"/>
            <w:tcBorders>
              <w:tl2br w:val="nil"/>
              <w:tr2bl w:val="nil"/>
            </w:tcBorders>
            <w:vAlign w:val="center"/>
          </w:tcPr>
          <w:p w14:paraId="074B422F">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rPr>
            </w:pPr>
            <w:r>
              <w:rPr>
                <w:rFonts w:hint="default" w:ascii="Times New Roman" w:hAnsi="Times New Roman" w:cs="Times New Roman"/>
                <w:spacing w:val="-7"/>
              </w:rPr>
              <w:t>197</w:t>
            </w:r>
          </w:p>
        </w:tc>
        <w:tc>
          <w:tcPr>
            <w:tcW w:w="2518" w:type="dxa"/>
            <w:tcBorders>
              <w:tl2br w:val="nil"/>
              <w:tr2bl w:val="nil"/>
            </w:tcBorders>
            <w:vAlign w:val="center"/>
          </w:tcPr>
          <w:p w14:paraId="565C4196">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8"/>
                <w:highlight w:val="none"/>
              </w:rPr>
              <w:t>小于</w:t>
            </w:r>
            <w:r>
              <w:rPr>
                <w:rFonts w:hint="default" w:ascii="Times New Roman" w:hAnsi="Times New Roman" w:cs="Times New Roman"/>
                <w:spacing w:val="-8"/>
                <w:highlight w:val="none"/>
              </w:rPr>
              <w:t>198</w:t>
            </w:r>
            <w:r>
              <w:rPr>
                <w:rFonts w:hint="default" w:ascii="Times New Roman" w:hAnsi="Times New Roman" w:eastAsia="宋体" w:cs="Times New Roman"/>
                <w:spacing w:val="-8"/>
                <w:highlight w:val="none"/>
              </w:rPr>
              <w:t>峰的</w:t>
            </w:r>
            <w:r>
              <w:rPr>
                <w:rFonts w:hint="eastAsia" w:eastAsia="宋体" w:cs="Times New Roman"/>
                <w:spacing w:val="-8"/>
                <w:highlight w:val="none"/>
                <w:lang w:val="en-US" w:eastAsia="zh-CN"/>
              </w:rPr>
              <w:t>2</w:t>
            </w:r>
            <w:r>
              <w:rPr>
                <w:rFonts w:hint="default" w:ascii="Times New Roman" w:hAnsi="Times New Roman" w:cs="Times New Roman"/>
                <w:spacing w:val="-8"/>
                <w:highlight w:val="none"/>
              </w:rPr>
              <w:t>%</w:t>
            </w:r>
          </w:p>
        </w:tc>
        <w:tc>
          <w:tcPr>
            <w:tcW w:w="1439" w:type="dxa"/>
            <w:tcBorders>
              <w:tl2br w:val="nil"/>
              <w:tr2bl w:val="nil"/>
            </w:tcBorders>
            <w:vAlign w:val="center"/>
          </w:tcPr>
          <w:p w14:paraId="7F35E1C7">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1"/>
                <w:highlight w:val="none"/>
              </w:rPr>
              <w:t>442</w:t>
            </w:r>
          </w:p>
        </w:tc>
        <w:tc>
          <w:tcPr>
            <w:tcW w:w="2701" w:type="dxa"/>
            <w:tcBorders>
              <w:tl2br w:val="nil"/>
              <w:tr2bl w:val="nil"/>
            </w:tcBorders>
            <w:vAlign w:val="center"/>
          </w:tcPr>
          <w:p w14:paraId="57C970C0">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4"/>
                <w:highlight w:val="none"/>
              </w:rPr>
              <w:t>基峰</w:t>
            </w:r>
            <w:r>
              <w:rPr>
                <w:rFonts w:hint="eastAsia" w:eastAsia="宋体" w:cs="Times New Roman"/>
                <w:spacing w:val="-4"/>
                <w:highlight w:val="none"/>
                <w:lang w:eastAsia="zh-CN"/>
              </w:rPr>
              <w:t>，</w:t>
            </w:r>
            <w:r>
              <w:rPr>
                <w:rFonts w:hint="default" w:ascii="Times New Roman" w:hAnsi="Times New Roman" w:eastAsia="宋体" w:cs="Times New Roman"/>
                <w:spacing w:val="-4"/>
                <w:highlight w:val="none"/>
              </w:rPr>
              <w:t>或大于</w:t>
            </w:r>
            <w:r>
              <w:rPr>
                <w:rFonts w:hint="default" w:ascii="Times New Roman" w:hAnsi="Times New Roman" w:cs="Times New Roman"/>
                <w:spacing w:val="-4"/>
                <w:highlight w:val="none"/>
              </w:rPr>
              <w:t>198</w:t>
            </w:r>
            <w:r>
              <w:rPr>
                <w:rFonts w:hint="default" w:ascii="Times New Roman" w:hAnsi="Times New Roman" w:eastAsia="宋体" w:cs="Times New Roman"/>
                <w:spacing w:val="-4"/>
                <w:highlight w:val="none"/>
              </w:rPr>
              <w:t>峰的</w:t>
            </w:r>
            <w:r>
              <w:rPr>
                <w:rFonts w:hint="eastAsia" w:eastAsia="宋体" w:cs="Times New Roman"/>
                <w:spacing w:val="-4"/>
                <w:highlight w:val="none"/>
                <w:lang w:val="en-US" w:eastAsia="zh-CN"/>
              </w:rPr>
              <w:t>5</w:t>
            </w:r>
            <w:r>
              <w:rPr>
                <w:rFonts w:hint="default" w:ascii="Times New Roman" w:hAnsi="Times New Roman" w:cs="Times New Roman"/>
                <w:spacing w:val="-4"/>
                <w:highlight w:val="none"/>
              </w:rPr>
              <w:t>0%</w:t>
            </w:r>
          </w:p>
        </w:tc>
      </w:tr>
      <w:tr w14:paraId="4AABCA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21" w:type="dxa"/>
            <w:tcBorders>
              <w:tl2br w:val="nil"/>
              <w:tr2bl w:val="nil"/>
            </w:tcBorders>
            <w:vAlign w:val="center"/>
          </w:tcPr>
          <w:p w14:paraId="2AF7195E">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rPr>
            </w:pPr>
            <w:r>
              <w:rPr>
                <w:rFonts w:hint="default" w:ascii="Times New Roman" w:hAnsi="Times New Roman" w:cs="Times New Roman"/>
                <w:spacing w:val="-7"/>
              </w:rPr>
              <w:t>198</w:t>
            </w:r>
          </w:p>
        </w:tc>
        <w:tc>
          <w:tcPr>
            <w:tcW w:w="2518" w:type="dxa"/>
            <w:tcBorders>
              <w:tl2br w:val="nil"/>
              <w:tr2bl w:val="nil"/>
            </w:tcBorders>
            <w:vAlign w:val="center"/>
          </w:tcPr>
          <w:p w14:paraId="3B1D60F2">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eastAsia="宋体" w:cs="Times New Roman"/>
                <w:spacing w:val="-3"/>
                <w:highlight w:val="none"/>
              </w:rPr>
              <w:t>基峰，</w:t>
            </w:r>
            <w:r>
              <w:rPr>
                <w:rFonts w:hint="eastAsia" w:eastAsia="宋体" w:cs="Times New Roman"/>
                <w:spacing w:val="-3"/>
                <w:highlight w:val="none"/>
                <w:lang w:val="en-US" w:eastAsia="zh-CN"/>
              </w:rPr>
              <w:t>或大于442峰的50%</w:t>
            </w:r>
          </w:p>
        </w:tc>
        <w:tc>
          <w:tcPr>
            <w:tcW w:w="1439" w:type="dxa"/>
            <w:tcBorders>
              <w:tl2br w:val="nil"/>
              <w:tr2bl w:val="nil"/>
            </w:tcBorders>
            <w:vAlign w:val="center"/>
          </w:tcPr>
          <w:p w14:paraId="7A60D38F">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1"/>
                <w:highlight w:val="none"/>
              </w:rPr>
              <w:t>443</w:t>
            </w:r>
          </w:p>
        </w:tc>
        <w:tc>
          <w:tcPr>
            <w:tcW w:w="2701" w:type="dxa"/>
            <w:tcBorders>
              <w:tl2br w:val="nil"/>
              <w:tr2bl w:val="nil"/>
            </w:tcBorders>
            <w:vAlign w:val="center"/>
          </w:tcPr>
          <w:p w14:paraId="4DE8D6EF">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rPr>
            </w:pPr>
            <w:r>
              <w:rPr>
                <w:rFonts w:hint="default" w:ascii="Times New Roman" w:hAnsi="Times New Roman" w:cs="Times New Roman"/>
                <w:spacing w:val="-4"/>
                <w:highlight w:val="none"/>
              </w:rPr>
              <w:t>442</w:t>
            </w:r>
            <w:r>
              <w:rPr>
                <w:rFonts w:hint="default" w:ascii="Times New Roman" w:hAnsi="Times New Roman" w:eastAsia="宋体" w:cs="Times New Roman"/>
                <w:spacing w:val="-4"/>
                <w:highlight w:val="none"/>
              </w:rPr>
              <w:t>峰的</w:t>
            </w:r>
            <w:r>
              <w:rPr>
                <w:rFonts w:hint="default" w:ascii="Times New Roman" w:hAnsi="Times New Roman" w:cs="Times New Roman"/>
                <w:spacing w:val="-4"/>
                <w:highlight w:val="none"/>
              </w:rPr>
              <w:t>1</w:t>
            </w:r>
            <w:r>
              <w:rPr>
                <w:rFonts w:hint="eastAsia" w:eastAsia="宋体" w:cs="Times New Roman"/>
                <w:spacing w:val="-4"/>
                <w:highlight w:val="none"/>
                <w:lang w:val="en-US" w:eastAsia="zh-CN"/>
              </w:rPr>
              <w:t>5%~</w:t>
            </w:r>
            <w:r>
              <w:rPr>
                <w:rFonts w:hint="default" w:ascii="Times New Roman" w:hAnsi="Times New Roman" w:cs="Times New Roman"/>
                <w:spacing w:val="-4"/>
                <w:highlight w:val="none"/>
              </w:rPr>
              <w:t>2</w:t>
            </w:r>
            <w:r>
              <w:rPr>
                <w:rFonts w:hint="eastAsia" w:eastAsia="宋体" w:cs="Times New Roman"/>
                <w:spacing w:val="-4"/>
                <w:highlight w:val="none"/>
                <w:lang w:val="en-US" w:eastAsia="zh-CN"/>
              </w:rPr>
              <w:t>4</w:t>
            </w:r>
            <w:r>
              <w:rPr>
                <w:rFonts w:hint="default" w:ascii="Times New Roman" w:hAnsi="Times New Roman" w:cs="Times New Roman"/>
                <w:spacing w:val="-4"/>
                <w:highlight w:val="none"/>
              </w:rPr>
              <w:t>%</w:t>
            </w:r>
          </w:p>
        </w:tc>
      </w:tr>
    </w:tbl>
    <w:p w14:paraId="38CE7145">
      <w:pPr>
        <w:pStyle w:val="3"/>
        <w:bidi w:val="0"/>
        <w:rPr>
          <w:rFonts w:hint="default" w:ascii="Times New Roman" w:hAnsi="Times New Roman" w:cs="Times New Roman"/>
          <w:lang w:val="en-US" w:eastAsia="zh-CN"/>
        </w:rPr>
      </w:pPr>
      <w:bookmarkStart w:id="86" w:name="_Toc9140"/>
      <w:bookmarkStart w:id="87" w:name="_Toc7356"/>
      <w:bookmarkStart w:id="88" w:name="_Toc27622"/>
      <w:r>
        <w:rPr>
          <w:rFonts w:hint="default" w:ascii="Times New Roman" w:hAnsi="Times New Roman" w:cs="Times New Roman"/>
          <w:lang w:val="en-US" w:eastAsia="zh-CN"/>
        </w:rPr>
        <w:t>6.</w:t>
      </w:r>
      <w:r>
        <w:rPr>
          <w:rFonts w:hint="eastAsia" w:ascii="Times New Roman" w:hAnsi="Times New Roman" w:cs="Times New Roman"/>
          <w:lang w:val="en-US" w:eastAsia="zh-CN"/>
        </w:rPr>
        <w:t>9</w:t>
      </w:r>
      <w:r>
        <w:rPr>
          <w:rFonts w:hint="default" w:ascii="Times New Roman" w:hAnsi="Times New Roman" w:cs="Times New Roman"/>
          <w:lang w:val="en-US" w:eastAsia="zh-CN"/>
        </w:rPr>
        <w:t xml:space="preserve">  标准曲线及谱图</w:t>
      </w:r>
      <w:bookmarkEnd w:id="86"/>
      <w:bookmarkEnd w:id="87"/>
      <w:bookmarkEnd w:id="88"/>
    </w:p>
    <w:p w14:paraId="71CA06DB">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9</w:t>
      </w:r>
      <w:r>
        <w:rPr>
          <w:rFonts w:hint="default" w:ascii="Times New Roman" w:hAnsi="Times New Roman" w:cs="Times New Roman"/>
          <w:lang w:val="en-US" w:eastAsia="zh-CN"/>
        </w:rPr>
        <w:t>.1  标准系列的配制</w:t>
      </w:r>
    </w:p>
    <w:p w14:paraId="43A5B8B0">
      <w:pPr>
        <w:bidi w:val="0"/>
        <w:rPr>
          <w:rFonts w:hint="default" w:ascii="Times New Roman" w:hAnsi="Times New Roman" w:cs="Times New Roman"/>
          <w:lang w:eastAsia="zh-CN"/>
        </w:rPr>
      </w:pPr>
      <w:r>
        <w:rPr>
          <w:rFonts w:hint="default" w:ascii="Times New Roman" w:hAnsi="Times New Roman" w:cs="Times New Roman"/>
          <w:lang w:eastAsia="zh-CN"/>
        </w:rPr>
        <w:t>取</w:t>
      </w:r>
      <w:r>
        <w:rPr>
          <w:rFonts w:hint="default" w:ascii="Times New Roman" w:hAnsi="Times New Roman" w:cs="Times New Roman"/>
          <w:lang w:val="en-US" w:eastAsia="zh-CN"/>
        </w:rPr>
        <w:t>6</w:t>
      </w:r>
      <w:r>
        <w:rPr>
          <w:rFonts w:hint="default" w:ascii="Times New Roman" w:hAnsi="Times New Roman" w:cs="Times New Roman"/>
          <w:lang w:eastAsia="zh-CN"/>
        </w:rPr>
        <w:t>个10</w:t>
      </w:r>
      <w:r>
        <w:rPr>
          <w:rFonts w:hint="default" w:ascii="Times New Roman" w:hAnsi="Times New Roman" w:cs="Times New Roman"/>
          <w:lang w:val="en-US" w:eastAsia="zh-CN"/>
        </w:rPr>
        <w:t xml:space="preserve"> </w:t>
      </w:r>
      <w:r>
        <w:rPr>
          <w:rFonts w:hint="default" w:ascii="Times New Roman" w:hAnsi="Times New Roman" w:cs="Times New Roman"/>
          <w:lang w:eastAsia="zh-CN"/>
        </w:rPr>
        <w:t>ml试管，预先加入1.0</w:t>
      </w:r>
      <w:r>
        <w:rPr>
          <w:rFonts w:hint="default" w:ascii="Times New Roman" w:hAnsi="Times New Roman" w:cs="Times New Roman"/>
          <w:lang w:val="en-US" w:eastAsia="zh-CN"/>
        </w:rPr>
        <w:t xml:space="preserve"> </w:t>
      </w:r>
      <w:r>
        <w:rPr>
          <w:rFonts w:hint="default" w:ascii="Times New Roman" w:hAnsi="Times New Roman" w:cs="Times New Roman"/>
          <w:lang w:eastAsia="zh-CN"/>
        </w:rPr>
        <w:t>ml正己烷溶剂，分别量取适量的三氯杀螨醇标准中间液、替代物中间液，配制成至少</w:t>
      </w:r>
      <w:r>
        <w:rPr>
          <w:rFonts w:hint="default" w:ascii="Times New Roman" w:hAnsi="Times New Roman" w:cs="Times New Roman"/>
          <w:lang w:val="en-US" w:eastAsia="zh-CN"/>
        </w:rPr>
        <w:t>6</w:t>
      </w:r>
      <w:r>
        <w:rPr>
          <w:rFonts w:hint="default" w:ascii="Times New Roman" w:hAnsi="Times New Roman" w:cs="Times New Roman"/>
          <w:lang w:eastAsia="zh-CN"/>
        </w:rPr>
        <w:t>个浓度点的标准系列，三氯杀螨醇和替代物的质量浓度均分别为0.</w:t>
      </w:r>
      <w:r>
        <w:rPr>
          <w:rFonts w:hint="default" w:ascii="Times New Roman" w:hAnsi="Times New Roman" w:cs="Times New Roman"/>
          <w:lang w:val="en-US" w:eastAsia="zh-CN"/>
        </w:rPr>
        <w:t xml:space="preserve">25 </w:t>
      </w:r>
      <w:r>
        <w:rPr>
          <w:rFonts w:hint="default" w:ascii="Times New Roman" w:hAnsi="Times New Roman" w:cs="Times New Roman"/>
          <w:lang w:eastAsia="zh-CN"/>
        </w:rPr>
        <w:t>µg/ml、0.</w:t>
      </w:r>
      <w:r>
        <w:rPr>
          <w:rFonts w:hint="default" w:ascii="Times New Roman" w:hAnsi="Times New Roman" w:cs="Times New Roman"/>
          <w:lang w:val="en-US" w:eastAsia="zh-CN"/>
        </w:rPr>
        <w:t xml:space="preserve">5 </w:t>
      </w:r>
      <w:r>
        <w:rPr>
          <w:rFonts w:hint="default" w:ascii="Times New Roman" w:hAnsi="Times New Roman" w:cs="Times New Roman"/>
          <w:lang w:eastAsia="zh-CN"/>
        </w:rPr>
        <w:t>µg/ml、</w:t>
      </w:r>
      <w:r>
        <w:rPr>
          <w:rFonts w:hint="default" w:ascii="Times New Roman" w:hAnsi="Times New Roman" w:cs="Times New Roman"/>
          <w:lang w:val="en-US" w:eastAsia="zh-CN"/>
        </w:rPr>
        <w:t xml:space="preserve">1.0 </w:t>
      </w:r>
      <w:r>
        <w:rPr>
          <w:rFonts w:hint="default" w:ascii="Times New Roman" w:hAnsi="Times New Roman" w:cs="Times New Roman"/>
          <w:lang w:eastAsia="zh-CN"/>
        </w:rPr>
        <w:t>µg/ml、2.0</w:t>
      </w:r>
      <w:r>
        <w:rPr>
          <w:rFonts w:hint="default" w:ascii="Times New Roman" w:hAnsi="Times New Roman" w:cs="Times New Roman"/>
          <w:lang w:val="en-US" w:eastAsia="zh-CN"/>
        </w:rPr>
        <w:t xml:space="preserve"> </w:t>
      </w:r>
      <w:r>
        <w:rPr>
          <w:rFonts w:hint="default" w:ascii="Times New Roman" w:hAnsi="Times New Roman" w:cs="Times New Roman"/>
          <w:lang w:eastAsia="zh-CN"/>
        </w:rPr>
        <w:t>µg/ml、4.0</w:t>
      </w:r>
      <w:r>
        <w:rPr>
          <w:rFonts w:hint="default" w:ascii="Times New Roman" w:hAnsi="Times New Roman" w:cs="Times New Roman"/>
          <w:lang w:val="en-US" w:eastAsia="zh-CN"/>
        </w:rPr>
        <w:t xml:space="preserve"> </w:t>
      </w:r>
      <w:r>
        <w:rPr>
          <w:rFonts w:hint="default" w:ascii="Times New Roman" w:hAnsi="Times New Roman" w:cs="Times New Roman"/>
          <w:lang w:eastAsia="zh-CN"/>
        </w:rPr>
        <w:t>µg/ml、8.0</w:t>
      </w:r>
      <w:r>
        <w:rPr>
          <w:rFonts w:hint="default" w:ascii="Times New Roman" w:hAnsi="Times New Roman" w:cs="Times New Roman"/>
          <w:lang w:val="en-US" w:eastAsia="zh-CN"/>
        </w:rPr>
        <w:t xml:space="preserve"> </w:t>
      </w:r>
      <w:r>
        <w:rPr>
          <w:rFonts w:hint="default" w:ascii="Times New Roman" w:hAnsi="Times New Roman" w:cs="Times New Roman"/>
          <w:lang w:eastAsia="zh-CN"/>
        </w:rPr>
        <w:t>µg/ml，按照6.</w:t>
      </w:r>
      <w:r>
        <w:rPr>
          <w:rFonts w:hint="default" w:ascii="Times New Roman" w:hAnsi="Times New Roman" w:cs="Times New Roman"/>
          <w:lang w:val="en-US" w:eastAsia="zh-CN"/>
        </w:rPr>
        <w:t>5.3.1</w:t>
      </w:r>
      <w:r>
        <w:rPr>
          <w:rFonts w:hint="default" w:ascii="Times New Roman" w:hAnsi="Times New Roman" w:cs="Times New Roman"/>
          <w:lang w:eastAsia="zh-CN"/>
        </w:rPr>
        <w:t>的步骤进行碱解，添加的内标质量浓度均为2.0 µg/ml。</w:t>
      </w:r>
    </w:p>
    <w:p w14:paraId="743EE56F">
      <w:pPr>
        <w:bidi w:val="0"/>
        <w:rPr>
          <w:rFonts w:hint="default" w:ascii="Times New Roman" w:hAnsi="Times New Roman" w:cs="Times New Roman"/>
          <w:lang w:eastAsia="zh-CN"/>
        </w:rPr>
      </w:pPr>
      <w:r>
        <w:rPr>
          <w:rFonts w:hint="default" w:ascii="Times New Roman" w:hAnsi="Times New Roman" w:cs="Times New Roman"/>
          <w:lang w:eastAsia="zh-CN"/>
        </w:rPr>
        <w:t>也可根据仪器灵敏度或样品中目标物浓度配制成其他气相色谱-质谱仪适合浓度水平的标准系列。</w:t>
      </w:r>
    </w:p>
    <w:p w14:paraId="15F8D56B">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9</w:t>
      </w:r>
      <w:r>
        <w:rPr>
          <w:rFonts w:hint="default" w:ascii="Times New Roman" w:hAnsi="Times New Roman" w:cs="Times New Roman"/>
          <w:lang w:val="en-US" w:eastAsia="zh-CN"/>
        </w:rPr>
        <w:t>.2  标准曲线的建立</w:t>
      </w:r>
    </w:p>
    <w:p w14:paraId="1C1F953E">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按照仪器参考条件，由低浓度到高浓度依次对标准系列溶液进样分析，</w:t>
      </w:r>
      <w:r>
        <w:rPr>
          <w:rFonts w:hint="default" w:ascii="Times New Roman" w:hAnsi="Times New Roman" w:cs="Times New Roman"/>
          <w:lang w:eastAsia="zh-CN"/>
        </w:rPr>
        <w:t>以目标化合物浓度为横坐标；以目标化合物碱解产物与内标化合物定量离子响应值的比值和内标化合物质量浓度的乘积为纵坐标，绘制校准曲线</w:t>
      </w:r>
      <w:r>
        <w:rPr>
          <w:rFonts w:hint="default" w:ascii="Times New Roman" w:hAnsi="Times New Roman" w:cs="Times New Roman"/>
          <w:color w:val="000000"/>
          <w:szCs w:val="21"/>
          <w:highlight w:val="none"/>
        </w:rPr>
        <w:t>。标准曲线的平均相对响应因子的相对标准偏差、相关系数及中间点偏差详见表</w:t>
      </w:r>
      <w:r>
        <w:rPr>
          <w:rFonts w:hint="eastAsia" w:cs="Times New Roman"/>
          <w:color w:val="000000"/>
          <w:szCs w:val="21"/>
          <w:highlight w:val="none"/>
          <w:lang w:val="en-US" w:eastAsia="zh-CN"/>
        </w:rPr>
        <w:t>9</w:t>
      </w:r>
      <w:r>
        <w:rPr>
          <w:rFonts w:hint="default" w:ascii="Times New Roman" w:hAnsi="Times New Roman" w:cs="Times New Roman"/>
          <w:color w:val="000000"/>
          <w:szCs w:val="21"/>
          <w:highlight w:val="none"/>
        </w:rPr>
        <w:t>。</w:t>
      </w:r>
    </w:p>
    <w:p w14:paraId="08D9B96B">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br w:type="page"/>
      </w:r>
    </w:p>
    <w:p w14:paraId="69CB6A13">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9</w:t>
      </w:r>
      <w:r>
        <w:rPr>
          <w:rFonts w:hint="default" w:ascii="Times New Roman" w:hAnsi="Times New Roman" w:eastAsia="黑体" w:cs="Times New Roman"/>
          <w:color w:val="000000"/>
          <w:szCs w:val="21"/>
          <w:highlight w:val="none"/>
          <w:lang w:val="en-US" w:eastAsia="zh-CN"/>
        </w:rPr>
        <w:t xml:space="preserve">  三氯杀螨醇标准系列</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028"/>
        <w:gridCol w:w="2038"/>
        <w:gridCol w:w="2038"/>
        <w:gridCol w:w="2038"/>
      </w:tblGrid>
      <w:tr w14:paraId="47FC9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23" w:type="dxa"/>
            <w:tcBorders>
              <w:tl2br w:val="nil"/>
              <w:tr2bl w:val="nil"/>
            </w:tcBorders>
            <w:vAlign w:val="center"/>
          </w:tcPr>
          <w:p w14:paraId="0A730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序号</w:t>
            </w:r>
          </w:p>
        </w:tc>
        <w:tc>
          <w:tcPr>
            <w:tcW w:w="2256" w:type="dxa"/>
            <w:tcBorders>
              <w:tl2br w:val="nil"/>
              <w:tr2bl w:val="nil"/>
            </w:tcBorders>
            <w:vAlign w:val="center"/>
          </w:tcPr>
          <w:p w14:paraId="42BD4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目标化合物</w:t>
            </w:r>
          </w:p>
        </w:tc>
        <w:tc>
          <w:tcPr>
            <w:tcW w:w="2268" w:type="dxa"/>
            <w:tcBorders>
              <w:tl2br w:val="nil"/>
              <w:tr2bl w:val="nil"/>
            </w:tcBorders>
            <w:vAlign w:val="center"/>
          </w:tcPr>
          <w:p w14:paraId="50F20D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平均相对响应因子的相对标准偏差RSD（%）</w:t>
            </w:r>
          </w:p>
        </w:tc>
        <w:tc>
          <w:tcPr>
            <w:tcW w:w="2268" w:type="dxa"/>
            <w:tcBorders>
              <w:tl2br w:val="nil"/>
              <w:tr2bl w:val="nil"/>
            </w:tcBorders>
            <w:vAlign w:val="center"/>
          </w:tcPr>
          <w:p w14:paraId="729B0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cs="Times New Roman"/>
                <w:color w:val="000000"/>
                <w:sz w:val="18"/>
                <w:szCs w:val="18"/>
                <w:highlight w:val="none"/>
              </w:rPr>
              <w:t>相关系数</w:t>
            </w:r>
          </w:p>
        </w:tc>
        <w:tc>
          <w:tcPr>
            <w:tcW w:w="2268" w:type="dxa"/>
            <w:tcBorders>
              <w:tl2br w:val="nil"/>
              <w:tr2bl w:val="nil"/>
            </w:tcBorders>
            <w:vAlign w:val="center"/>
          </w:tcPr>
          <w:p w14:paraId="4E1EA4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cs="Times New Roman"/>
                <w:color w:val="000000"/>
                <w:sz w:val="18"/>
                <w:szCs w:val="18"/>
                <w:highlight w:val="none"/>
              </w:rPr>
              <w:t>中间浓度点偏差（%）</w:t>
            </w:r>
          </w:p>
        </w:tc>
      </w:tr>
      <w:tr w14:paraId="2D77F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tcBorders>
              <w:tl2br w:val="nil"/>
              <w:tr2bl w:val="nil"/>
            </w:tcBorders>
            <w:vAlign w:val="center"/>
          </w:tcPr>
          <w:p w14:paraId="289A6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default" w:ascii="Times New Roman" w:hAnsi="Times New Roman" w:eastAsia="Songti SC" w:cs="Times New Roman"/>
                <w:color w:val="000000"/>
                <w:kern w:val="0"/>
                <w:sz w:val="18"/>
                <w:szCs w:val="21"/>
                <w:highlight w:val="none"/>
                <w:vertAlign w:val="baseline"/>
                <w:lang w:val="en-US" w:eastAsia="zh-CN" w:bidi="ar"/>
              </w:rPr>
              <w:t>1</w:t>
            </w:r>
          </w:p>
        </w:tc>
        <w:tc>
          <w:tcPr>
            <w:tcW w:w="2256" w:type="dxa"/>
            <w:tcBorders>
              <w:tl2br w:val="nil"/>
              <w:tr2bl w:val="nil"/>
            </w:tcBorders>
            <w:shd w:val="clear" w:color="auto" w:fill="auto"/>
            <w:vAlign w:val="center"/>
          </w:tcPr>
          <w:p w14:paraId="2387F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2268" w:type="dxa"/>
            <w:tcBorders>
              <w:tl2br w:val="nil"/>
              <w:tr2bl w:val="nil"/>
            </w:tcBorders>
            <w:vAlign w:val="center"/>
          </w:tcPr>
          <w:p w14:paraId="1D5D8C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eastAsia" w:eastAsia="Songti SC" w:cs="Times New Roman"/>
                <w:color w:val="000000"/>
                <w:kern w:val="0"/>
                <w:sz w:val="18"/>
                <w:szCs w:val="21"/>
                <w:highlight w:val="none"/>
                <w:vertAlign w:val="baseline"/>
                <w:lang w:val="en-US" w:eastAsia="zh-CN" w:bidi="ar"/>
              </w:rPr>
              <w:t>4.4</w:t>
            </w:r>
          </w:p>
        </w:tc>
        <w:tc>
          <w:tcPr>
            <w:tcW w:w="2268" w:type="dxa"/>
            <w:tcBorders>
              <w:tl2br w:val="nil"/>
              <w:tr2bl w:val="nil"/>
            </w:tcBorders>
            <w:vAlign w:val="center"/>
          </w:tcPr>
          <w:p w14:paraId="23CCFC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eastAsia" w:eastAsia="Songti SC" w:cs="Times New Roman"/>
                <w:color w:val="000000"/>
                <w:kern w:val="0"/>
                <w:sz w:val="18"/>
                <w:szCs w:val="21"/>
                <w:highlight w:val="none"/>
                <w:vertAlign w:val="baseline"/>
                <w:lang w:val="en-US" w:eastAsia="zh-CN" w:bidi="ar"/>
              </w:rPr>
              <w:t>0.9994</w:t>
            </w:r>
          </w:p>
        </w:tc>
        <w:tc>
          <w:tcPr>
            <w:tcW w:w="2268" w:type="dxa"/>
            <w:tcBorders>
              <w:tl2br w:val="nil"/>
              <w:tr2bl w:val="nil"/>
            </w:tcBorders>
            <w:vAlign w:val="center"/>
          </w:tcPr>
          <w:p w14:paraId="1FD0D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eastAsia" w:eastAsia="Songti SC" w:cs="Times New Roman"/>
                <w:color w:val="000000"/>
                <w:kern w:val="0"/>
                <w:sz w:val="18"/>
                <w:szCs w:val="21"/>
                <w:highlight w:val="none"/>
                <w:vertAlign w:val="baseline"/>
                <w:lang w:val="en-US" w:eastAsia="zh-CN" w:bidi="ar"/>
              </w:rPr>
              <w:t>2.1</w:t>
            </w:r>
          </w:p>
        </w:tc>
      </w:tr>
      <w:tr w14:paraId="42971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tcBorders>
              <w:tl2br w:val="nil"/>
              <w:tr2bl w:val="nil"/>
            </w:tcBorders>
            <w:shd w:val="clear" w:color="auto" w:fill="auto"/>
            <w:vAlign w:val="center"/>
          </w:tcPr>
          <w:p w14:paraId="640882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eastAsia="Songti SC" w:cs="Times New Roman"/>
                <w:kern w:val="2"/>
                <w:sz w:val="18"/>
                <w:szCs w:val="24"/>
                <w:vertAlign w:val="baseline"/>
                <w:lang w:val="en-US" w:eastAsia="zh-CN" w:bidi="ar-SA"/>
              </w:rPr>
              <w:t>2</w:t>
            </w:r>
          </w:p>
        </w:tc>
        <w:tc>
          <w:tcPr>
            <w:tcW w:w="2256" w:type="dxa"/>
            <w:tcBorders>
              <w:tl2br w:val="nil"/>
              <w:tr2bl w:val="nil"/>
            </w:tcBorders>
            <w:shd w:val="clear" w:color="auto" w:fill="auto"/>
            <w:vAlign w:val="center"/>
          </w:tcPr>
          <w:p w14:paraId="4C84C4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2268" w:type="dxa"/>
            <w:tcBorders>
              <w:tl2br w:val="nil"/>
              <w:tr2bl w:val="nil"/>
            </w:tcBorders>
            <w:vAlign w:val="center"/>
          </w:tcPr>
          <w:p w14:paraId="411A1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eastAsia" w:eastAsia="Songti SC" w:cs="Times New Roman"/>
                <w:color w:val="000000"/>
                <w:kern w:val="0"/>
                <w:sz w:val="18"/>
                <w:szCs w:val="21"/>
                <w:highlight w:val="none"/>
                <w:vertAlign w:val="baseline"/>
                <w:lang w:val="en-US" w:eastAsia="zh-CN" w:bidi="ar"/>
              </w:rPr>
              <w:t>4.8</w:t>
            </w:r>
          </w:p>
        </w:tc>
        <w:tc>
          <w:tcPr>
            <w:tcW w:w="2268" w:type="dxa"/>
            <w:tcBorders>
              <w:tl2br w:val="nil"/>
              <w:tr2bl w:val="nil"/>
            </w:tcBorders>
            <w:vAlign w:val="center"/>
          </w:tcPr>
          <w:p w14:paraId="23B43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eastAsia" w:eastAsia="Songti SC" w:cs="Times New Roman"/>
                <w:color w:val="000000"/>
                <w:kern w:val="0"/>
                <w:sz w:val="18"/>
                <w:szCs w:val="21"/>
                <w:highlight w:val="none"/>
                <w:vertAlign w:val="baseline"/>
                <w:lang w:val="en-US" w:eastAsia="zh-CN" w:bidi="ar"/>
              </w:rPr>
              <w:t>0.9997</w:t>
            </w:r>
          </w:p>
        </w:tc>
        <w:tc>
          <w:tcPr>
            <w:tcW w:w="2268" w:type="dxa"/>
            <w:tcBorders>
              <w:tl2br w:val="nil"/>
              <w:tr2bl w:val="nil"/>
            </w:tcBorders>
            <w:vAlign w:val="center"/>
          </w:tcPr>
          <w:p w14:paraId="22B09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color w:val="000000"/>
                <w:kern w:val="0"/>
                <w:sz w:val="18"/>
                <w:szCs w:val="21"/>
                <w:highlight w:val="none"/>
                <w:vertAlign w:val="baseline"/>
                <w:lang w:val="en-US" w:eastAsia="zh-CN" w:bidi="ar"/>
              </w:rPr>
            </w:pPr>
            <w:r>
              <w:rPr>
                <w:rFonts w:hint="eastAsia" w:eastAsia="Songti SC" w:cs="Times New Roman"/>
                <w:color w:val="000000"/>
                <w:kern w:val="0"/>
                <w:sz w:val="18"/>
                <w:szCs w:val="21"/>
                <w:highlight w:val="none"/>
                <w:vertAlign w:val="baseline"/>
                <w:lang w:val="en-US" w:eastAsia="zh-CN" w:bidi="ar"/>
              </w:rPr>
              <w:t>1.4</w:t>
            </w:r>
          </w:p>
        </w:tc>
      </w:tr>
    </w:tbl>
    <w:p w14:paraId="4714DD1B">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9</w:t>
      </w:r>
      <w:r>
        <w:rPr>
          <w:rFonts w:hint="default" w:ascii="Times New Roman" w:hAnsi="Times New Roman" w:cs="Times New Roman"/>
          <w:lang w:val="en-US" w:eastAsia="zh-CN"/>
        </w:rPr>
        <w:t>.3  标准样品谱图</w:t>
      </w:r>
    </w:p>
    <w:p w14:paraId="53823D7D">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在本标准推荐的仪器参考条件下，目标化合物的</w:t>
      </w:r>
      <w:r>
        <w:rPr>
          <w:rFonts w:hint="default" w:ascii="Times New Roman" w:hAnsi="Times New Roman" w:cs="Times New Roman"/>
          <w:color w:val="000000"/>
          <w:kern w:val="0"/>
          <w:szCs w:val="21"/>
          <w:highlight w:val="none"/>
        </w:rPr>
        <w:t>总离子流图</w:t>
      </w:r>
      <w:r>
        <w:rPr>
          <w:rFonts w:hint="default" w:ascii="Times New Roman" w:hAnsi="Times New Roman" w:cs="Times New Roman"/>
          <w:color w:val="000000"/>
          <w:szCs w:val="21"/>
          <w:highlight w:val="none"/>
        </w:rPr>
        <w:t>见图</w:t>
      </w:r>
      <w:r>
        <w:rPr>
          <w:rFonts w:hint="eastAsia" w:cs="Times New Roman"/>
          <w:color w:val="000000"/>
          <w:szCs w:val="21"/>
          <w:highlight w:val="none"/>
          <w:lang w:val="en-US" w:eastAsia="zh-CN"/>
        </w:rPr>
        <w:t>12</w:t>
      </w:r>
      <w:r>
        <w:rPr>
          <w:rFonts w:hint="default" w:ascii="Times New Roman" w:hAnsi="Times New Roman" w:cs="Times New Roman"/>
          <w:color w:val="000000"/>
          <w:szCs w:val="21"/>
          <w:highlight w:val="none"/>
        </w:rPr>
        <w:t>。</w:t>
      </w:r>
    </w:p>
    <w:p w14:paraId="6869D721">
      <w:pPr>
        <w:keepNext w:val="0"/>
        <w:keepLines w:val="0"/>
        <w:pageBreakBefore w:val="0"/>
        <w:widowControl w:val="0"/>
        <w:kinsoku/>
        <w:wordWrap/>
        <w:overflowPunct/>
        <w:topLinePunct/>
        <w:autoSpaceDE w:val="0"/>
        <w:autoSpaceDN w:val="0"/>
        <w:bidi w:val="0"/>
        <w:adjustRightInd/>
        <w:snapToGrid/>
        <w:spacing w:before="157" w:beforeLines="50" w:line="360" w:lineRule="exact"/>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drawing>
          <wp:anchor distT="0" distB="0" distL="0" distR="0" simplePos="0" relativeHeight="251660288" behindDoc="0" locked="0" layoutInCell="1" allowOverlap="1">
            <wp:simplePos x="0" y="0"/>
            <wp:positionH relativeFrom="column">
              <wp:posOffset>421640</wp:posOffset>
            </wp:positionH>
            <wp:positionV relativeFrom="paragraph">
              <wp:posOffset>53975</wp:posOffset>
            </wp:positionV>
            <wp:extent cx="4646295" cy="2788920"/>
            <wp:effectExtent l="0" t="0" r="1905" b="508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5"/>
                    <a:srcRect r="2887" b="-61"/>
                    <a:stretch>
                      <a:fillRect/>
                    </a:stretch>
                  </pic:blipFill>
                  <pic:spPr>
                    <a:xfrm>
                      <a:off x="0" y="0"/>
                      <a:ext cx="4646295" cy="2788920"/>
                    </a:xfrm>
                    <a:prstGeom prst="rect">
                      <a:avLst/>
                    </a:prstGeom>
                    <a:noFill/>
                    <a:ln w="9525">
                      <a:noFill/>
                      <a:miter lim="800000"/>
                      <a:headEnd/>
                      <a:tailEnd/>
                    </a:ln>
                  </pic:spPr>
                </pic:pic>
              </a:graphicData>
            </a:graphic>
          </wp:anchor>
        </w:drawing>
      </w:r>
      <w:r>
        <w:rPr>
          <w:rFonts w:hint="default" w:ascii="Times New Roman" w:hAnsi="Times New Roman" w:eastAsia="黑体" w:cs="Times New Roman"/>
          <w:color w:val="000000"/>
          <w:szCs w:val="21"/>
          <w:highlight w:val="none"/>
          <w:lang w:val="en-US" w:eastAsia="zh-CN"/>
        </w:rPr>
        <w:t>图</w:t>
      </w:r>
      <w:r>
        <w:rPr>
          <w:rFonts w:hint="eastAsia" w:ascii="Times New Roman" w:hAnsi="Times New Roman" w:eastAsia="黑体" w:cs="Times New Roman"/>
          <w:color w:val="000000"/>
          <w:szCs w:val="21"/>
          <w:highlight w:val="none"/>
          <w:lang w:val="en-US" w:eastAsia="zh-CN"/>
        </w:rPr>
        <w:t>1</w:t>
      </w:r>
      <w:r>
        <w:rPr>
          <w:rFonts w:hint="eastAsia" w:eastAsia="黑体" w:cs="Times New Roman"/>
          <w:color w:val="000000"/>
          <w:szCs w:val="21"/>
          <w:highlight w:val="none"/>
          <w:lang w:val="en-US" w:eastAsia="zh-CN"/>
        </w:rPr>
        <w:t>2</w:t>
      </w:r>
      <w:r>
        <w:rPr>
          <w:rFonts w:hint="default" w:ascii="Times New Roman" w:hAnsi="Times New Roman" w:eastAsia="黑体" w:cs="Times New Roman"/>
          <w:color w:val="000000"/>
          <w:szCs w:val="21"/>
          <w:highlight w:val="none"/>
          <w:lang w:val="en-US" w:eastAsia="zh-CN"/>
        </w:rPr>
        <w:t xml:space="preserve"> </w:t>
      </w:r>
      <w:r>
        <w:rPr>
          <w:rFonts w:hint="eastAsia" w:eastAsia="黑体" w:cs="Times New Roman"/>
          <w:color w:val="000000"/>
          <w:szCs w:val="21"/>
          <w:highlight w:val="none"/>
          <w:lang w:val="en-US" w:eastAsia="zh-CN"/>
        </w:rPr>
        <w:t xml:space="preserve"> </w:t>
      </w:r>
      <w:r>
        <w:rPr>
          <w:rFonts w:hint="default" w:ascii="Times New Roman" w:hAnsi="Times New Roman" w:eastAsia="黑体" w:cs="Times New Roman"/>
          <w:color w:val="000000"/>
          <w:szCs w:val="21"/>
          <w:highlight w:val="none"/>
          <w:lang w:val="en-US" w:eastAsia="zh-CN"/>
        </w:rPr>
        <w:t>三氯杀螨醇标准样品碱解物的总离子流图</w:t>
      </w:r>
    </w:p>
    <w:p w14:paraId="37C8B3A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color w:val="000000"/>
          <w:szCs w:val="21"/>
          <w:highlight w:val="none"/>
          <w:lang w:val="en-US" w:eastAsia="zh-CN"/>
        </w:rPr>
      </w:pPr>
      <w:r>
        <w:rPr>
          <w:rFonts w:hint="default" w:ascii="Times New Roman" w:hAnsi="Times New Roman" w:eastAsia="宋体" w:cs="Times New Roman"/>
          <w:kern w:val="2"/>
          <w:sz w:val="18"/>
          <w:szCs w:val="18"/>
          <w:lang w:val="en-US" w:eastAsia="zh-CN" w:bidi="ar-SA"/>
        </w:rPr>
        <w:t>1.</w:t>
      </w:r>
      <w:r>
        <w:rPr>
          <w:rFonts w:hint="default" w:ascii="Times New Roman" w:hAnsi="Times New Roman" w:cs="Times New Roman"/>
          <w:kern w:val="2"/>
          <w:sz w:val="18"/>
          <w:szCs w:val="18"/>
          <w:lang w:val="en-US" w:eastAsia="zh-CN" w:bidi="ar-SA"/>
        </w:rPr>
        <w:t xml:space="preserve"> </w:t>
      </w:r>
      <w:r>
        <w:rPr>
          <w:rFonts w:hint="default" w:ascii="Times New Roman" w:hAnsi="Times New Roman" w:cs="Times New Roman"/>
          <w:sz w:val="18"/>
          <w:szCs w:val="18"/>
        </w:rPr>
        <w:t>2,4,5,6-四氯间二甲苯</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替代物</w:t>
      </w:r>
      <w:r>
        <w:rPr>
          <w:rFonts w:hint="default" w:ascii="Times New Roman" w:hAnsi="Times New Roman" w:cs="Times New Roman"/>
          <w:sz w:val="18"/>
          <w:szCs w:val="18"/>
          <w:lang w:eastAsia="zh-CN"/>
        </w:rPr>
        <w:t>）</w:t>
      </w:r>
      <w:r>
        <w:rPr>
          <w:rFonts w:hint="default" w:ascii="Times New Roman" w:hAnsi="Times New Roman" w:cs="Times New Roman"/>
          <w:sz w:val="18"/>
          <w:szCs w:val="18"/>
        </w:rPr>
        <w:t>；2</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五氯硝基苯</w:t>
      </w:r>
      <w:r>
        <w:rPr>
          <w:rFonts w:hint="default" w:ascii="Times New Roman" w:hAnsi="Times New Roman" w:cs="Times New Roman"/>
          <w:sz w:val="18"/>
          <w:szCs w:val="18"/>
          <w:lang w:eastAsia="zh-CN"/>
        </w:rPr>
        <w:t>（</w:t>
      </w:r>
      <w:r>
        <w:rPr>
          <w:rFonts w:hint="default" w:ascii="Times New Roman" w:hAnsi="Times New Roman" w:cs="Times New Roman"/>
          <w:sz w:val="18"/>
          <w:szCs w:val="18"/>
        </w:rPr>
        <w:t>内标</w:t>
      </w:r>
      <w:r>
        <w:rPr>
          <w:rFonts w:hint="default" w:ascii="Times New Roman" w:hAnsi="Times New Roman" w:cs="Times New Roman"/>
          <w:sz w:val="18"/>
          <w:szCs w:val="18"/>
          <w:lang w:eastAsia="zh-CN"/>
        </w:rPr>
        <w:t>）</w:t>
      </w:r>
      <w:r>
        <w:rPr>
          <w:rFonts w:hint="default" w:ascii="Times New Roman" w:hAnsi="Times New Roman" w:cs="Times New Roman"/>
          <w:sz w:val="18"/>
          <w:szCs w:val="18"/>
        </w:rPr>
        <w:t>；3</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2,4</w:t>
      </w: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-二氯二苯甲酮；</w:t>
      </w:r>
      <w:r>
        <w:rPr>
          <w:rFonts w:hint="default" w:ascii="Times New Roman" w:hAnsi="Times New Roman" w:cs="Times New Roman"/>
          <w:sz w:val="18"/>
          <w:szCs w:val="18"/>
          <w:lang w:eastAsia="zh-CN"/>
        </w:rPr>
        <w:t>4</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4,4</w:t>
      </w:r>
      <w:r>
        <w:rPr>
          <w:rFonts w:hint="default" w:cs="Times New Roman"/>
          <w:sz w:val="18"/>
          <w:szCs w:val="18"/>
          <w:lang w:val="en-US" w:eastAsia="zh-CN"/>
        </w:rPr>
        <w:t>’</w:t>
      </w:r>
      <w:r>
        <w:rPr>
          <w:rFonts w:hint="default" w:ascii="Times New Roman" w:hAnsi="Times New Roman" w:cs="Times New Roman"/>
          <w:sz w:val="18"/>
          <w:szCs w:val="18"/>
        </w:rPr>
        <w:t>-二氯二苯甲酮</w:t>
      </w:r>
    </w:p>
    <w:p w14:paraId="3B145388">
      <w:pPr>
        <w:pStyle w:val="3"/>
        <w:bidi w:val="0"/>
        <w:rPr>
          <w:rFonts w:hint="default" w:ascii="Times New Roman" w:hAnsi="Times New Roman" w:eastAsia="黑体" w:cs="Times New Roman"/>
          <w:lang w:val="en-US" w:eastAsia="zh-CN"/>
        </w:rPr>
      </w:pPr>
      <w:bookmarkStart w:id="89" w:name="_Toc19976"/>
      <w:bookmarkStart w:id="90" w:name="_Toc9543"/>
      <w:bookmarkStart w:id="91" w:name="_Toc5462"/>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 xml:space="preserve">  结果计算与表示</w:t>
      </w:r>
      <w:bookmarkEnd w:id="89"/>
      <w:bookmarkEnd w:id="90"/>
      <w:bookmarkEnd w:id="91"/>
    </w:p>
    <w:p w14:paraId="1DA8F4F3">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.1  定性分析</w:t>
      </w:r>
    </w:p>
    <w:p w14:paraId="0E8F2971">
      <w:pPr>
        <w:spacing w:line="360" w:lineRule="exact"/>
        <w:ind w:firstLine="420" w:firstLineChars="200"/>
        <w:rPr>
          <w:rFonts w:hint="default" w:ascii="Times New Roman" w:hAnsi="Times New Roman" w:cs="Times New Roman"/>
          <w:color w:val="000000"/>
          <w:highlight w:val="none"/>
        </w:rPr>
      </w:pPr>
      <w:r>
        <w:rPr>
          <w:rFonts w:hint="default" w:ascii="Times New Roman" w:hAnsi="Times New Roman" w:cs="Times New Roman"/>
          <w:color w:val="000000"/>
          <w:highlight w:val="none"/>
        </w:rPr>
        <w:t>以样品的保留时间和定性离子/定量离子的相对丰度定性。</w:t>
      </w:r>
    </w:p>
    <w:p w14:paraId="1D00179F">
      <w:pPr>
        <w:rPr>
          <w:rFonts w:hint="default" w:ascii="Times New Roman" w:hAnsi="Times New Roman" w:cs="Times New Roman"/>
          <w:color w:val="000000"/>
          <w:highlight w:val="none"/>
        </w:rPr>
      </w:pPr>
      <w:r>
        <w:rPr>
          <w:rFonts w:hint="default" w:ascii="Times New Roman" w:hAnsi="Times New Roman" w:cs="Times New Roman"/>
          <w:color w:val="000000"/>
          <w:highlight w:val="none"/>
        </w:rPr>
        <w:t>选择1个定量离子和2个定性离子对目标化合物进行定性分析。在相同的实验条件下，试样中目标化合物的保留时间与标准样品中该目标化合物的保留时间比较，相对偏差的绝对值小于2.5%；对试样中目标化合物定性离子的相对丰度（</w:t>
      </w:r>
      <w:r>
        <w:rPr>
          <w:rFonts w:hint="default" w:ascii="Times New Roman" w:hAnsi="Times New Roman" w:cs="Times New Roman"/>
          <w:color w:val="000000"/>
          <w:position w:val="-10"/>
          <w:szCs w:val="20"/>
          <w:highlight w:val="none"/>
        </w:rPr>
        <w:object>
          <v:shape id="_x0000_i1025" o:spt="75" type="#_x0000_t75" style="height:15.05pt;width:22pt;" o:ole="t" filled="f" o:preferrelative="t" stroked="f" coordsize="21600,21600">
            <v:path/>
            <v:fill on="f" alignshape="1" focussize="0,0"/>
            <v:stroke on="f"/>
            <v:imagedata r:id="rId21" o:title=""/>
            <o:lock v:ext="edit" aspectratio="t"/>
            <w10:wrap type="none"/>
            <w10:anchorlock/>
          </v:shape>
          <o:OLEObject Type="Embed" ProgID="Equation.KSEE3" ShapeID="_x0000_i1025" DrawAspect="Content" ObjectID="_1468075725" r:id="rId20">
            <o:LockedField>false</o:LockedField>
          </o:OLEObject>
        </w:object>
      </w:r>
      <w:r>
        <w:rPr>
          <w:rFonts w:hint="default" w:ascii="Times New Roman" w:hAnsi="Times New Roman" w:cs="Times New Roman"/>
          <w:color w:val="000000"/>
          <w:highlight w:val="none"/>
        </w:rPr>
        <w:t>）与浓度接近的标准溶液中对应的定性离子相对丰度（</w:t>
      </w:r>
      <w:r>
        <w:rPr>
          <w:rFonts w:hint="default" w:ascii="Times New Roman" w:hAnsi="Times New Roman" w:cs="Times New Roman"/>
          <w:color w:val="000000"/>
          <w:position w:val="-10"/>
          <w:szCs w:val="20"/>
          <w:highlight w:val="none"/>
        </w:rPr>
        <w:object>
          <v:shape id="_x0000_i1026"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26" DrawAspect="Content" ObjectID="_1468075726" r:id="rId22">
            <o:LockedField>false</o:LockedField>
          </o:OLEObject>
        </w:object>
      </w:r>
      <w:r>
        <w:rPr>
          <w:rFonts w:hint="default" w:ascii="Times New Roman" w:hAnsi="Times New Roman" w:cs="Times New Roman"/>
          <w:color w:val="000000"/>
          <w:highlight w:val="none"/>
        </w:rPr>
        <w:t>）进行比较，偏差不超过表</w:t>
      </w:r>
      <w:r>
        <w:rPr>
          <w:rFonts w:hint="default" w:ascii="Times New Roman" w:hAnsi="Times New Roman" w:cs="Times New Roman"/>
          <w:color w:val="000000"/>
          <w:highlight w:val="none"/>
          <w:lang w:val="en-US" w:eastAsia="zh-CN"/>
        </w:rPr>
        <w:t>x</w:t>
      </w:r>
      <w:r>
        <w:rPr>
          <w:rFonts w:hint="default" w:ascii="Times New Roman" w:hAnsi="Times New Roman" w:cs="Times New Roman"/>
          <w:color w:val="000000"/>
          <w:highlight w:val="none"/>
        </w:rPr>
        <w:t>规定的范围，则可判定样品中存在对应的目标化合物。</w:t>
      </w:r>
      <w:r>
        <w:rPr>
          <w:rFonts w:hint="default" w:ascii="Times New Roman" w:hAnsi="Times New Roman" w:cs="Times New Roman"/>
          <w:color w:val="000000"/>
          <w:position w:val="-10"/>
          <w:szCs w:val="20"/>
          <w:highlight w:val="none"/>
        </w:rPr>
        <w:object>
          <v:shape id="_x0000_i1027" o:spt="75" type="#_x0000_t75" style="height:15.05pt;width:22pt;" o:ole="t" filled="f" o:preferrelative="t" stroked="f" coordsize="21600,21600">
            <v:path/>
            <v:fill on="f" alignshape="1" focussize="0,0"/>
            <v:stroke on="f"/>
            <v:imagedata r:id="rId21" o:title=""/>
            <o:lock v:ext="edit" aspectratio="t"/>
            <w10:wrap type="none"/>
            <w10:anchorlock/>
          </v:shape>
          <o:OLEObject Type="Embed" ProgID="Equation.KSEE3" ShapeID="_x0000_i1027" DrawAspect="Content" ObjectID="_1468075727" r:id="rId24">
            <o:LockedField>false</o:LockedField>
          </o:OLEObject>
        </w:object>
      </w:r>
      <w:r>
        <w:rPr>
          <w:rFonts w:hint="default" w:ascii="Times New Roman" w:hAnsi="Times New Roman" w:cs="Times New Roman"/>
          <w:color w:val="000000"/>
          <w:highlight w:val="none"/>
        </w:rPr>
        <w:t>和</w:t>
      </w:r>
      <w:r>
        <w:rPr>
          <w:rFonts w:hint="default" w:ascii="Times New Roman" w:hAnsi="Times New Roman" w:cs="Times New Roman"/>
          <w:color w:val="000000"/>
          <w:position w:val="-10"/>
          <w:szCs w:val="20"/>
          <w:highlight w:val="none"/>
        </w:rPr>
        <w:object>
          <v:shape id="_x0000_i1028"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28" DrawAspect="Content" ObjectID="_1468075728" r:id="rId25">
            <o:LockedField>false</o:LockedField>
          </o:OLEObject>
        </w:object>
      </w:r>
      <w:r>
        <w:rPr>
          <w:rFonts w:hint="default" w:ascii="Times New Roman" w:hAnsi="Times New Roman" w:cs="Times New Roman"/>
          <w:iCs/>
          <w:color w:val="000000"/>
          <w:highlight w:val="none"/>
        </w:rPr>
        <w:t>分别按照</w:t>
      </w:r>
      <w:r>
        <w:rPr>
          <w:rFonts w:hint="default" w:ascii="Times New Roman" w:hAnsi="Times New Roman" w:cs="Times New Roman"/>
          <w:color w:val="000000"/>
          <w:highlight w:val="none"/>
        </w:rPr>
        <w:t>式（1）和式（2）计算。</w:t>
      </w:r>
    </w:p>
    <w:p w14:paraId="21F84CCA">
      <w:pPr>
        <w:keepNext w:val="0"/>
        <w:keepLines w:val="0"/>
        <w:pageBreakBefore w:val="0"/>
        <w:widowControl w:val="0"/>
        <w:tabs>
          <w:tab w:val="left" w:pos="2730"/>
        </w:tabs>
        <w:kinsoku/>
        <w:wordWrap/>
        <w:overflowPunct/>
        <w:topLinePunct/>
        <w:autoSpaceDE/>
        <w:autoSpaceDN/>
        <w:bidi w:val="0"/>
        <w:adjustRightInd/>
        <w:snapToGrid/>
        <w:spacing w:line="360" w:lineRule="auto"/>
        <w:ind w:left="0" w:leftChars="0" w:firstLine="0" w:firstLineChars="0"/>
        <w:jc w:val="both"/>
        <w:textAlignment w:val="auto"/>
        <w:rPr>
          <w:rFonts w:hint="default" w:ascii="Times New Roman" w:hAnsi="Times New Roman" w:eastAsia="黑体" w:cs="Times New Roman"/>
          <w:color w:val="000000"/>
          <w:highlight w:val="none"/>
          <w:vertAlign w:val="subscript"/>
        </w:rPr>
      </w:pPr>
      <w:r>
        <w:rPr>
          <w:rFonts w:hint="default" w:ascii="Times New Roman" w:hAnsi="Times New Roman" w:cs="Times New Roman"/>
          <w:color w:val="000000"/>
          <w:position w:val="-30"/>
          <w:szCs w:val="20"/>
          <w:highlight w:val="none"/>
          <w:lang w:val="en-US" w:eastAsia="zh-CN"/>
        </w:rPr>
        <w:tab/>
      </w:r>
      <w:r>
        <w:rPr>
          <w:rFonts w:hint="default" w:ascii="Times New Roman" w:hAnsi="Times New Roman" w:cs="Times New Roman"/>
          <w:color w:val="000000"/>
          <w:position w:val="-26"/>
          <w:szCs w:val="20"/>
          <w:highlight w:val="none"/>
        </w:rPr>
        <w:object>
          <v:shape id="_x0000_i1029" o:spt="75" type="#_x0000_t75" style="height:29.05pt;width:87pt;" o:ole="t" filled="f" o:preferrelative="t" stroked="f" coordsize="21600,21600">
            <v:path/>
            <v:fill on="f" alignshape="1" focussize="0,0"/>
            <v:stroke on="f"/>
            <v:imagedata r:id="rId27" o:title=""/>
            <o:lock v:ext="edit" aspectratio="t"/>
            <w10:wrap type="none"/>
            <w10:anchorlock/>
          </v:shape>
          <o:OLEObject Type="Embed" ProgID="Equation.KSEE3" ShapeID="_x0000_i1029" DrawAspect="Content" ObjectID="_1468075729" r:id="rId26">
            <o:LockedField>false</o:LockedField>
          </o:OLEObject>
        </w:object>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7"/>
          <w:highlight w:val="none"/>
        </w:rPr>
        <w:pict>
          <v:shape id="_x0000_i1030" o:spt="75" type="#_x0000_t75" style="height:32pt;width:9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5224&quot;/&gt;&lt;w:defaultTabStop w:val=&quot;420&quot;/&gt;&lt;w:evenAndOddHeaders/&gt;&lt;w:drawingGridHorizontalSpacing w:val=&quot;213&quot;/&gt;&lt;w:drawingGridVerticalSpacing w:val=&quot;319&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57F&quot;/&gt;&lt;wsp:rsid wsp:val=&quot;00001213&quot;/&gt;&lt;wsp:rsid wsp:val=&quot;00005497&quot;/&gt;&lt;wsp:rsid wsp:val=&quot;00006864&quot;/&gt;&lt;wsp:rsid wsp:val=&quot;0000702D&quot;/&gt;&lt;wsp:rsid wsp:val=&quot;000070A6&quot;/&gt;&lt;wsp:rsid wsp:val=&quot;00012275&quot;/&gt;&lt;wsp:rsid wsp:val=&quot;00013C24&quot;/&gt;&lt;wsp:rsid wsp:val=&quot;0001536A&quot;/&gt;&lt;wsp:rsid wsp:val=&quot;0002040C&quot;/&gt;&lt;wsp:rsid wsp:val=&quot;000212B4&quot;/&gt;&lt;wsp:rsid wsp:val=&quot;00021C6D&quot;/&gt;&lt;wsp:rsid wsp:val=&quot;00022FB6&quot;/&gt;&lt;wsp:rsid wsp:val=&quot;00023F61&quot;/&gt;&lt;wsp:rsid wsp:val=&quot;00024390&quot;/&gt;&lt;wsp:rsid wsp:val=&quot;00030C7E&quot;/&gt;&lt;wsp:rsid wsp:val=&quot;00031ADA&quot;/&gt;&lt;wsp:rsid wsp:val=&quot;000345F3&quot;/&gt;&lt;wsp:rsid wsp:val=&quot;00035EFA&quot;/&gt;&lt;wsp:rsid wsp:val=&quot;0003744E&quot;/&gt;&lt;wsp:rsid wsp:val=&quot;000374E6&quot;/&gt;&lt;wsp:rsid wsp:val=&quot;00040207&quot;/&gt;&lt;wsp:rsid wsp:val=&quot;00041895&quot;/&gt;&lt;wsp:rsid wsp:val=&quot;000419E4&quot;/&gt;&lt;wsp:rsid wsp:val=&quot;000422C3&quot;/&gt;&lt;wsp:rsid wsp:val=&quot;000443D8&quot;/&gt;&lt;wsp:rsid wsp:val=&quot;000446DE&quot;/&gt;&lt;wsp:rsid wsp:val=&quot;000471B9&quot;/&gt;&lt;wsp:rsid wsp:val=&quot;0004796F&quot;/&gt;&lt;wsp:rsid wsp:val=&quot;00047E46&quot;/&gt;&lt;wsp:rsid wsp:val=&quot;000529B0&quot;/&gt;&lt;wsp:rsid wsp:val=&quot;00056CC2&quot;/&gt;&lt;wsp:rsid wsp:val=&quot;00057616&quot;/&gt;&lt;wsp:rsid wsp:val=&quot;00061A1F&quot;/&gt;&lt;wsp:rsid wsp:val=&quot;00062120&quot;/&gt;&lt;wsp:rsid wsp:val=&quot;00065DE8&quot;/&gt;&lt;wsp:rsid wsp:val=&quot;00066B84&quot;/&gt;&lt;wsp:rsid wsp:val=&quot;00066EC9&quot;/&gt;&lt;wsp:rsid wsp:val=&quot;00070202&quot;/&gt;&lt;wsp:rsid wsp:val=&quot;000704DA&quot;/&gt;&lt;wsp:rsid wsp:val=&quot;000707CE&quot;/&gt;&lt;wsp:rsid wsp:val=&quot;00071118&quot;/&gt;&lt;wsp:rsid wsp:val=&quot;000713F8&quot;/&gt;&lt;wsp:rsid wsp:val=&quot;00071F4A&quot;/&gt;&lt;wsp:rsid wsp:val=&quot;00072990&quot;/&gt;&lt;wsp:rsid wsp:val=&quot;00072AC3&quot;/&gt;&lt;wsp:rsid wsp:val=&quot;00073C35&quot;/&gt;&lt;wsp:rsid wsp:val=&quot;00074533&quot;/&gt;&lt;wsp:rsid wsp:val=&quot;00077045&quot;/&gt;&lt;wsp:rsid wsp:val=&quot;00077EEC&quot;/&gt;&lt;wsp:rsid wsp:val=&quot;0008014E&quot;/&gt;&lt;wsp:rsid wsp:val=&quot;000823DD&quot;/&gt;&lt;wsp:rsid wsp:val=&quot;000830B3&quot;/&gt;&lt;wsp:rsid wsp:val=&quot;000852C0&quot;/&gt;&lt;wsp:rsid wsp:val=&quot;00087486&quot;/&gt;&lt;wsp:rsid wsp:val=&quot;00090446&quot;/&gt;&lt;wsp:rsid wsp:val=&quot;00093CE4&quot;/&gt;&lt;wsp:rsid wsp:val=&quot;0009433B&quot;/&gt;&lt;wsp:rsid wsp:val=&quot;00096CDE&quot;/&gt;&lt;wsp:rsid wsp:val=&quot;000973CF&quot;/&gt;&lt;wsp:rsid wsp:val=&quot;0009771A&quot;/&gt;&lt;wsp:rsid wsp:val=&quot;000A0785&quot;/&gt;&lt;wsp:rsid wsp:val=&quot;000A2A3B&quot;/&gt;&lt;wsp:rsid wsp:val=&quot;000A2E81&quot;/&gt;&lt;wsp:rsid wsp:val=&quot;000A6AC0&quot;/&gt;&lt;wsp:rsid wsp:val=&quot;000A6BB5&quot;/&gt;&lt;wsp:rsid wsp:val=&quot;000A75DC&quot;/&gt;&lt;wsp:rsid wsp:val=&quot;000B1B79&quot;/&gt;&lt;wsp:rsid wsp:val=&quot;000B1BBC&quot;/&gt;&lt;wsp:rsid wsp:val=&quot;000B3112&quot;/&gt;&lt;wsp:rsid wsp:val=&quot;000B32FE&quot;/&gt;&lt;wsp:rsid wsp:val=&quot;000B3547&quot;/&gt;&lt;wsp:rsid wsp:val=&quot;000B4C68&quot;/&gt;&lt;wsp:rsid wsp:val=&quot;000B4E45&quot;/&gt;&lt;wsp:rsid wsp:val=&quot;000B4F53&quot;/&gt;&lt;wsp:rsid wsp:val=&quot;000B5437&quot;/&gt;&lt;wsp:rsid wsp:val=&quot;000B69A1&quot;/&gt;&lt;wsp:rsid wsp:val=&quot;000C035A&quot;/&gt;&lt;wsp:rsid wsp:val=&quot;000C223B&quot;/&gt;&lt;wsp:rsid wsp:val=&quot;000C3A0D&quot;/&gt;&lt;wsp:rsid wsp:val=&quot;000C5044&quot;/&gt;&lt;wsp:rsid wsp:val=&quot;000C5620&quot;/&gt;&lt;wsp:rsid wsp:val=&quot;000D343D&quot;/&gt;&lt;wsp:rsid wsp:val=&quot;000D3573&quot;/&gt;&lt;wsp:rsid wsp:val=&quot;000D6F92&quot;/&gt;&lt;wsp:rsid wsp:val=&quot;000E0A96&quot;/&gt;&lt;wsp:rsid wsp:val=&quot;000E588F&quot;/&gt;&lt;wsp:rsid wsp:val=&quot;000E620A&quot;/&gt;&lt;wsp:rsid wsp:val=&quot;000E668F&quot;/&gt;&lt;wsp:rsid wsp:val=&quot;000E68D7&quot;/&gt;&lt;wsp:rsid wsp:val=&quot;000E6B79&quot;/&gt;&lt;wsp:rsid wsp:val=&quot;000E6C08&quot;/&gt;&lt;wsp:rsid wsp:val=&quot;000E71D6&quot;/&gt;&lt;wsp:rsid wsp:val=&quot;000F1BBF&quot;/&gt;&lt;wsp:rsid wsp:val=&quot;000F497F&quot;/&gt;&lt;wsp:rsid wsp:val=&quot;000F5D64&quot;/&gt;&lt;wsp:rsid wsp:val=&quot;0010226A&quot;/&gt;&lt;wsp:rsid wsp:val=&quot;001025BB&quot;/&gt;&lt;wsp:rsid wsp:val=&quot;00105058&quot;/&gt;&lt;wsp:rsid wsp:val=&quot;0010579E&quot;/&gt;&lt;wsp:rsid wsp:val=&quot;00105F4A&quot;/&gt;&lt;wsp:rsid wsp:val=&quot;001070A7&quot;/&gt;&lt;wsp:rsid wsp:val=&quot;00107188&quot;/&gt;&lt;wsp:rsid wsp:val=&quot;001104A2&quot;/&gt;&lt;wsp:rsid wsp:val=&quot;00111C70&quot;/&gt;&lt;wsp:rsid wsp:val=&quot;00114208&quot;/&gt;&lt;wsp:rsid wsp:val=&quot;0012257D&quot;/&gt;&lt;wsp:rsid wsp:val=&quot;00123DC3&quot;/&gt;&lt;wsp:rsid wsp:val=&quot;00124389&quot;/&gt;&lt;wsp:rsid wsp:val=&quot;001266A3&quot;/&gt;&lt;wsp:rsid wsp:val=&quot;00127239&quot;/&gt;&lt;wsp:rsid wsp:val=&quot;00127D45&quot;/&gt;&lt;wsp:rsid wsp:val=&quot;00132672&quot;/&gt;&lt;wsp:rsid wsp:val=&quot;00132EF9&quot;/&gt;&lt;wsp:rsid wsp:val=&quot;00133027&quot;/&gt;&lt;wsp:rsid wsp:val=&quot;00134A88&quot;/&gt;&lt;wsp:rsid wsp:val=&quot;001371A8&quot;/&gt;&lt;wsp:rsid wsp:val=&quot;001378B7&quot;/&gt;&lt;wsp:rsid wsp:val=&quot;00140A70&quot;/&gt;&lt;wsp:rsid wsp:val=&quot;001415EF&quot;/&gt;&lt;wsp:rsid wsp:val=&quot;00143B37&quot;/&gt;&lt;wsp:rsid wsp:val=&quot;00144183&quot;/&gt;&lt;wsp:rsid wsp:val=&quot;001507A3&quot;/&gt;&lt;wsp:rsid wsp:val=&quot;001514F2&quot;/&gt;&lt;wsp:rsid wsp:val=&quot;001545B3&quot;/&gt;&lt;wsp:rsid wsp:val=&quot;00154B19&quot;/&gt;&lt;wsp:rsid wsp:val=&quot;001554C0&quot;/&gt;&lt;wsp:rsid wsp:val=&quot;00156AC8&quot;/&gt;&lt;wsp:rsid wsp:val=&quot;00157CF6&quot;/&gt;&lt;wsp:rsid wsp:val=&quot;00160C33&quot;/&gt;&lt;wsp:rsid wsp:val=&quot;00160F3E&quot;/&gt;&lt;wsp:rsid wsp:val=&quot;00164825&quot;/&gt;&lt;wsp:rsid wsp:val=&quot;00165BFB&quot;/&gt;&lt;wsp:rsid wsp:val=&quot;00166AEA&quot;/&gt;&lt;wsp:rsid wsp:val=&quot;00167121&quot;/&gt;&lt;wsp:rsid wsp:val=&quot;0017030D&quot;/&gt;&lt;wsp:rsid wsp:val=&quot;00171581&quot;/&gt;&lt;wsp:rsid wsp:val=&quot;0017170D&quot;/&gt;&lt;wsp:rsid wsp:val=&quot;001727BD&quot;/&gt;&lt;wsp:rsid wsp:val=&quot;0017761B&quot;/&gt;&lt;wsp:rsid wsp:val=&quot;001777BF&quot;/&gt;&lt;wsp:rsid wsp:val=&quot;00185379&quot;/&gt;&lt;wsp:rsid wsp:val=&quot;001860F0&quot;/&gt;&lt;wsp:rsid wsp:val=&quot;00187565&quot;/&gt;&lt;wsp:rsid wsp:val=&quot;00187A97&quot;/&gt;&lt;wsp:rsid wsp:val=&quot;00190698&quot;/&gt;&lt;wsp:rsid wsp:val=&quot;00190CAD&quot;/&gt;&lt;wsp:rsid wsp:val=&quot;00191201&quot;/&gt;&lt;wsp:rsid wsp:val=&quot;001920F1&quot;/&gt;&lt;wsp:rsid wsp:val=&quot;001957EC&quot;/&gt;&lt;wsp:rsid wsp:val=&quot;00197001&quot;/&gt;&lt;wsp:rsid wsp:val=&quot;00197339&quot;/&gt;&lt;wsp:rsid wsp:val=&quot;001A2766&quot;/&gt;&lt;wsp:rsid wsp:val=&quot;001A2D45&quot;/&gt;&lt;wsp:rsid wsp:val=&quot;001A4772&quot;/&gt;&lt;wsp:rsid wsp:val=&quot;001A4AE2&quot;/&gt;&lt;wsp:rsid wsp:val=&quot;001A4E02&quot;/&gt;&lt;wsp:rsid wsp:val=&quot;001A6993&quot;/&gt;&lt;wsp:rsid wsp:val=&quot;001B0550&quot;/&gt;&lt;wsp:rsid wsp:val=&quot;001B0932&quot;/&gt;&lt;wsp:rsid wsp:val=&quot;001B324D&quot;/&gt;&lt;wsp:rsid wsp:val=&quot;001B40FE&quot;/&gt;&lt;wsp:rsid wsp:val=&quot;001B455A&quot;/&gt;&lt;wsp:rsid wsp:val=&quot;001B4644&quot;/&gt;&lt;wsp:rsid wsp:val=&quot;001B4EFA&quot;/&gt;&lt;wsp:rsid wsp:val=&quot;001B7266&quot;/&gt;&lt;wsp:rsid wsp:val=&quot;001C04D2&quot;/&gt;&lt;wsp:rsid wsp:val=&quot;001C1ED8&quot;/&gt;&lt;wsp:rsid wsp:val=&quot;001C4A15&quot;/&gt;&lt;wsp:rsid wsp:val=&quot;001C5CC1&quot;/&gt;&lt;wsp:rsid wsp:val=&quot;001C6273&quot;/&gt;&lt;wsp:rsid wsp:val=&quot;001C64C3&quot;/&gt;&lt;wsp:rsid wsp:val=&quot;001D07A7&quot;/&gt;&lt;wsp:rsid wsp:val=&quot;001D0E00&quot;/&gt;&lt;wsp:rsid wsp:val=&quot;001D13DF&quot;/&gt;&lt;wsp:rsid wsp:val=&quot;001D24F7&quot;/&gt;&lt;wsp:rsid wsp:val=&quot;001D364B&quot;/&gt;&lt;wsp:rsid wsp:val=&quot;001D3FE4&quot;/&gt;&lt;wsp:rsid wsp:val=&quot;001D4577&quot;/&gt;&lt;wsp:rsid wsp:val=&quot;001D58FC&quot;/&gt;&lt;wsp:rsid wsp:val=&quot;001D5ED0&quot;/&gt;&lt;wsp:rsid wsp:val=&quot;001D6D31&quot;/&gt;&lt;wsp:rsid wsp:val=&quot;001E026B&quot;/&gt;&lt;wsp:rsid wsp:val=&quot;001E11D0&quot;/&gt;&lt;wsp:rsid wsp:val=&quot;001E176F&quot;/&gt;&lt;wsp:rsid wsp:val=&quot;001E3BF7&quot;/&gt;&lt;wsp:rsid wsp:val=&quot;001E41A9&quot;/&gt;&lt;wsp:rsid wsp:val=&quot;001E6E48&quot;/&gt;&lt;wsp:rsid wsp:val=&quot;001E6EBB&quot;/&gt;&lt;wsp:rsid wsp:val=&quot;001E76AC&quot;/&gt;&lt;wsp:rsid wsp:val=&quot;001F39A1&quot;/&gt;&lt;wsp:rsid wsp:val=&quot;001F3A1C&quot;/&gt;&lt;wsp:rsid wsp:val=&quot;001F4003&quot;/&gt;&lt;wsp:rsid wsp:val=&quot;001F6F86&quot;/&gt;&lt;wsp:rsid wsp:val=&quot;00200039&quot;/&gt;&lt;wsp:rsid wsp:val=&quot;0020113B&quot;/&gt;&lt;wsp:rsid wsp:val=&quot;00203D7F&quot;/&gt;&lt;wsp:rsid wsp:val=&quot;0020459A&quot;/&gt;&lt;wsp:rsid wsp:val=&quot;00204CF9&quot;/&gt;&lt;wsp:rsid wsp:val=&quot;00205DB5&quot;/&gt;&lt;wsp:rsid wsp:val=&quot;00206C1E&quot;/&gt;&lt;wsp:rsid wsp:val=&quot;00207933&quot;/&gt;&lt;wsp:rsid wsp:val=&quot;00207F2E&quot;/&gt;&lt;wsp:rsid wsp:val=&quot;002105D9&quot;/&gt;&lt;wsp:rsid wsp:val=&quot;0021268B&quot;/&gt;&lt;wsp:rsid wsp:val=&quot;0021295D&quot;/&gt;&lt;wsp:rsid wsp:val=&quot;002142D3&quot;/&gt;&lt;wsp:rsid wsp:val=&quot;00216161&quot;/&gt;&lt;wsp:rsid wsp:val=&quot;002164D1&quot;/&gt;&lt;wsp:rsid wsp:val=&quot;0021779F&quot;/&gt;&lt;wsp:rsid wsp:val=&quot;00221110&quot;/&gt;&lt;wsp:rsid wsp:val=&quot;0022272A&quot;/&gt;&lt;wsp:rsid wsp:val=&quot;00223473&quot;/&gt;&lt;wsp:rsid wsp:val=&quot;00224108&quot;/&gt;&lt;wsp:rsid wsp:val=&quot;002265D8&quot;/&gt;&lt;wsp:rsid wsp:val=&quot;002309FD&quot;/&gt;&lt;wsp:rsid wsp:val=&quot;00230CCD&quot;/&gt;&lt;wsp:rsid wsp:val=&quot;0023141F&quot;/&gt;&lt;wsp:rsid wsp:val=&quot;0023144D&quot;/&gt;&lt;wsp:rsid wsp:val=&quot;00232881&quot;/&gt;&lt;wsp:rsid wsp:val=&quot;002340BD&quot;/&gt;&lt;wsp:rsid wsp:val=&quot;00234D88&quot;/&gt;&lt;wsp:rsid wsp:val=&quot;00235B95&quot;/&gt;&lt;wsp:rsid wsp:val=&quot;002371DC&quot;/&gt;&lt;wsp:rsid wsp:val=&quot;00240732&quot;/&gt;&lt;wsp:rsid wsp:val=&quot;00241295&quot;/&gt;&lt;wsp:rsid wsp:val=&quot;002422E0&quot;/&gt;&lt;wsp:rsid wsp:val=&quot;002429BE&quot;/&gt;&lt;wsp:rsid wsp:val=&quot;0024321E&quot;/&gt;&lt;wsp:rsid wsp:val=&quot;00243A8B&quot;/&gt;&lt;wsp:rsid wsp:val=&quot;002443A5&quot;/&gt;&lt;wsp:rsid wsp:val=&quot;002460D9&quot;/&gt;&lt;wsp:rsid wsp:val=&quot;00250155&quot;/&gt;&lt;wsp:rsid wsp:val=&quot;0025055E&quot;/&gt;&lt;wsp:rsid wsp:val=&quot;00252003&quot;/&gt;&lt;wsp:rsid wsp:val=&quot;0025261F&quot;/&gt;&lt;wsp:rsid wsp:val=&quot;002528EA&quot;/&gt;&lt;wsp:rsid wsp:val=&quot;002546D5&quot;/&gt;&lt;wsp:rsid wsp:val=&quot;00255455&quot;/&gt;&lt;wsp:rsid wsp:val=&quot;00255EBD&quot;/&gt;&lt;wsp:rsid wsp:val=&quot;0025711C&quot;/&gt;&lt;wsp:rsid wsp:val=&quot;00260968&quot;/&gt;&lt;wsp:rsid wsp:val=&quot;00262ABD&quot;/&gt;&lt;wsp:rsid wsp:val=&quot;00263108&quot;/&gt;&lt;wsp:rsid wsp:val=&quot;002643EC&quot;/&gt;&lt;wsp:rsid wsp:val=&quot;00266B83&quot;/&gt;&lt;wsp:rsid wsp:val=&quot;00266CDF&quot;/&gt;&lt;wsp:rsid wsp:val=&quot;0026774E&quot;/&gt;&lt;wsp:rsid wsp:val=&quot;00271828&quot;/&gt;&lt;wsp:rsid wsp:val=&quot;002729AA&quot;/&gt;&lt;wsp:rsid wsp:val=&quot;00272A15&quot;/&gt;&lt;wsp:rsid wsp:val=&quot;002744A7&quot;/&gt;&lt;wsp:rsid wsp:val=&quot;00280E83&quot;/&gt;&lt;wsp:rsid wsp:val=&quot;00282EE9&quot;/&gt;&lt;wsp:rsid wsp:val=&quot;002831CB&quot;/&gt;&lt;wsp:rsid wsp:val=&quot;0028662E&quot;/&gt;&lt;wsp:rsid wsp:val=&quot;002875DE&quot;/&gt;&lt;wsp:rsid wsp:val=&quot;00290129&quot;/&gt;&lt;wsp:rsid wsp:val=&quot;00290391&quot;/&gt;&lt;wsp:rsid wsp:val=&quot;00291106&quot;/&gt;&lt;wsp:rsid wsp:val=&quot;002913C4&quot;/&gt;&lt;wsp:rsid wsp:val=&quot;00291AE8&quot;/&gt;&lt;wsp:rsid wsp:val=&quot;00293119&quot;/&gt;&lt;wsp:rsid wsp:val=&quot;002939EC&quot;/&gt;&lt;wsp:rsid wsp:val=&quot;00294716&quot;/&gt;&lt;wsp:rsid wsp:val=&quot;00295007&quot;/&gt;&lt;wsp:rsid wsp:val=&quot;00296211&quot;/&gt;&lt;wsp:rsid wsp:val=&quot;00297524&quot;/&gt;&lt;wsp:rsid wsp:val=&quot;002A0812&quot;/&gt;&lt;wsp:rsid wsp:val=&quot;002A18CE&quot;/&gt;&lt;wsp:rsid wsp:val=&quot;002A1C5E&quot;/&gt;&lt;wsp:rsid wsp:val=&quot;002A2836&quot;/&gt;&lt;wsp:rsid wsp:val=&quot;002A2A85&quot;/&gt;&lt;wsp:rsid wsp:val=&quot;002A30AF&quot;/&gt;&lt;wsp:rsid wsp:val=&quot;002A55AD&quot;/&gt;&lt;wsp:rsid wsp:val=&quot;002A7FCB&quot;/&gt;&lt;wsp:rsid wsp:val=&quot;002B075B&quot;/&gt;&lt;wsp:rsid wsp:val=&quot;002B0DD1&quot;/&gt;&lt;wsp:rsid wsp:val=&quot;002B14D6&quot;/&gt;&lt;wsp:rsid wsp:val=&quot;002B21F7&quot;/&gt;&lt;wsp:rsid wsp:val=&quot;002B2E0E&quot;/&gt;&lt;wsp:rsid wsp:val=&quot;002B30ED&quot;/&gt;&lt;wsp:rsid wsp:val=&quot;002B366E&quot;/&gt;&lt;wsp:rsid wsp:val=&quot;002B3982&quot;/&gt;&lt;wsp:rsid wsp:val=&quot;002B497C&quot;/&gt;&lt;wsp:rsid wsp:val=&quot;002B71C7&quot;/&gt;&lt;wsp:rsid wsp:val=&quot;002C0598&quot;/&gt;&lt;wsp:rsid wsp:val=&quot;002C090E&quot;/&gt;&lt;wsp:rsid wsp:val=&quot;002C29BF&quot;/&gt;&lt;wsp:rsid wsp:val=&quot;002C3612&quot;/&gt;&lt;wsp:rsid wsp:val=&quot;002C3DA7&quot;/&gt;&lt;wsp:rsid wsp:val=&quot;002C6926&quot;/&gt;&lt;wsp:rsid wsp:val=&quot;002C7C22&quot;/&gt;&lt;wsp:rsid wsp:val=&quot;002D6FD2&quot;/&gt;&lt;wsp:rsid wsp:val=&quot;002D7226&quot;/&gt;&lt;wsp:rsid wsp:val=&quot;002E245A&quot;/&gt;&lt;wsp:rsid wsp:val=&quot;002E320F&quot;/&gt;&lt;wsp:rsid wsp:val=&quot;002E3889&quot;/&gt;&lt;wsp:rsid wsp:val=&quot;002E4EF9&quot;/&gt;&lt;wsp:rsid wsp:val=&quot;002E7BED&quot;/&gt;&lt;wsp:rsid wsp:val=&quot;002F350E&quot;/&gt;&lt;wsp:rsid wsp:val=&quot;002F3555&quot;/&gt;&lt;wsp:rsid wsp:val=&quot;002F6552&quot;/&gt;&lt;wsp:rsid wsp:val=&quot;002F6769&quot;/&gt;&lt;wsp:rsid wsp:val=&quot;003008FC&quot;/&gt;&lt;wsp:rsid wsp:val=&quot;00300B36&quot;/&gt;&lt;wsp:rsid wsp:val=&quot;00301DA8&quot;/&gt;&lt;wsp:rsid wsp:val=&quot;003042B6&quot;/&gt;&lt;wsp:rsid wsp:val=&quot;003050B5&quot;/&gt;&lt;wsp:rsid wsp:val=&quot;00305D8A&quot;/&gt;&lt;wsp:rsid wsp:val=&quot;0030601F&quot;/&gt;&lt;wsp:rsid wsp:val=&quot;003070EF&quot;/&gt;&lt;wsp:rsid wsp:val=&quot;003077BF&quot;/&gt;&lt;wsp:rsid wsp:val=&quot;003078D5&quot;/&gt;&lt;wsp:rsid wsp:val=&quot;00307EC1&quot;/&gt;&lt;wsp:rsid wsp:val=&quot;00313106&quot;/&gt;&lt;wsp:rsid wsp:val=&quot;003132FC&quot;/&gt;&lt;wsp:rsid wsp:val=&quot;00313341&quot;/&gt;&lt;wsp:rsid wsp:val=&quot;003144AB&quot;/&gt;&lt;wsp:rsid wsp:val=&quot;003167B4&quot;/&gt;&lt;wsp:rsid wsp:val=&quot;0032197C&quot;/&gt;&lt;wsp:rsid wsp:val=&quot;00321BEE&quot;/&gt;&lt;wsp:rsid wsp:val=&quot;00322C35&quot;/&gt;&lt;wsp:rsid wsp:val=&quot;00323478&quot;/&gt;&lt;wsp:rsid wsp:val=&quot;0032466E&quot;/&gt;&lt;wsp:rsid wsp:val=&quot;003251E7&quot;/&gt;&lt;wsp:rsid wsp:val=&quot;003258DD&quot;/&gt;&lt;wsp:rsid wsp:val=&quot;00331507&quot;/&gt;&lt;wsp:rsid wsp:val=&quot;00331596&quot;/&gt;&lt;wsp:rsid wsp:val=&quot;00335689&quot;/&gt;&lt;wsp:rsid wsp:val=&quot;00336DF7&quot;/&gt;&lt;wsp:rsid wsp:val=&quot;00337B27&quot;/&gt;&lt;wsp:rsid wsp:val=&quot;00340082&quot;/&gt;&lt;wsp:rsid wsp:val=&quot;00341BE0&quot;/&gt;&lt;wsp:rsid wsp:val=&quot;00343197&quot;/&gt;&lt;wsp:rsid wsp:val=&quot;003440A4&quot;/&gt;&lt;wsp:rsid wsp:val=&quot;00345430&quot;/&gt;&lt;wsp:rsid wsp:val=&quot;00345DA0&quot;/&gt;&lt;wsp:rsid wsp:val=&quot;003469BD&quot;/&gt;&lt;wsp:rsid wsp:val=&quot;0035126E&quot;/&gt;&lt;wsp:rsid wsp:val=&quot;00352099&quot;/&gt;&lt;wsp:rsid wsp:val=&quot;00354943&quot;/&gt;&lt;wsp:rsid wsp:val=&quot;00356DD2&quot;/&gt;&lt;wsp:rsid wsp:val=&quot;0035771B&quot;/&gt;&lt;wsp:rsid wsp:val=&quot;003612F7&quot;/&gt;&lt;wsp:rsid wsp:val=&quot;0036504A&quot;/&gt;&lt;wsp:rsid wsp:val=&quot;00365628&quot;/&gt;&lt;wsp:rsid wsp:val=&quot;00366F3B&quot;/&gt;&lt;wsp:rsid wsp:val=&quot;00370D98&quot;/&gt;&lt;wsp:rsid wsp:val=&quot;00370F80&quot;/&gt;&lt;wsp:rsid wsp:val=&quot;00371C00&quot;/&gt;&lt;wsp:rsid wsp:val=&quot;003725E8&quot;/&gt;&lt;wsp:rsid wsp:val=&quot;00372814&quot;/&gt;&lt;wsp:rsid wsp:val=&quot;00373427&quot;/&gt;&lt;wsp:rsid wsp:val=&quot;0037385B&quot;/&gt;&lt;wsp:rsid wsp:val=&quot;0037392D&quot;/&gt;&lt;wsp:rsid wsp:val=&quot;0037564B&quot;/&gt;&lt;wsp:rsid wsp:val=&quot;00375B77&quot;/&gt;&lt;wsp:rsid wsp:val=&quot;00376054&quot;/&gt;&lt;wsp:rsid wsp:val=&quot;003801BF&quot;/&gt;&lt;wsp:rsid wsp:val=&quot;00380AD0&quot;/&gt;&lt;wsp:rsid wsp:val=&quot;003815A6&quot;/&gt;&lt;wsp:rsid wsp:val=&quot;00381CA6&quot;/&gt;&lt;wsp:rsid wsp:val=&quot;00381ECF&quot;/&gt;&lt;wsp:rsid wsp:val=&quot;00384EFE&quot;/&gt;&lt;wsp:rsid wsp:val=&quot;00386578&quot;/&gt;&lt;wsp:rsid wsp:val=&quot;00387D43&quot;/&gt;&lt;wsp:rsid wsp:val=&quot;003905F6&quot;/&gt;&lt;wsp:rsid wsp:val=&quot;00391031&quot;/&gt;&lt;wsp:rsid wsp:val=&quot;00392872&quot;/&gt;&lt;wsp:rsid wsp:val=&quot;0039538F&quot;/&gt;&lt;wsp:rsid wsp:val=&quot;0039632D&quot;/&gt;&lt;wsp:rsid wsp:val=&quot;0039733A&quot;/&gt;&lt;wsp:rsid wsp:val=&quot;0039740E&quot;/&gt;&lt;wsp:rsid wsp:val=&quot;003A016A&quot;/&gt;&lt;wsp:rsid wsp:val=&quot;003A06E4&quot;/&gt;&lt;wsp:rsid wsp:val=&quot;003A206A&quot;/&gt;&lt;wsp:rsid wsp:val=&quot;003A24FB&quot;/&gt;&lt;wsp:rsid wsp:val=&quot;003A2EBF&quot;/&gt;&lt;wsp:rsid wsp:val=&quot;003A37D1&quot;/&gt;&lt;wsp:rsid wsp:val=&quot;003A5D3B&quot;/&gt;&lt;wsp:rsid wsp:val=&quot;003B0A6B&quot;/&gt;&lt;wsp:rsid wsp:val=&quot;003B0D81&quot;/&gt;&lt;wsp:rsid wsp:val=&quot;003B1AE9&quot;/&gt;&lt;wsp:rsid wsp:val=&quot;003B1F1D&quot;/&gt;&lt;wsp:rsid wsp:val=&quot;003B2B80&quot;/&gt;&lt;wsp:rsid wsp:val=&quot;003B3CB4&quot;/&gt;&lt;wsp:rsid wsp:val=&quot;003B5A26&quot;/&gt;&lt;wsp:rsid wsp:val=&quot;003B606F&quot;/&gt;&lt;wsp:rsid wsp:val=&quot;003B6FD2&quot;/&gt;&lt;wsp:rsid wsp:val=&quot;003B736C&quot;/&gt;&lt;wsp:rsid wsp:val=&quot;003C14E0&quot;/&gt;&lt;wsp:rsid wsp:val=&quot;003C17F6&quot;/&gt;&lt;wsp:rsid wsp:val=&quot;003C1CFE&quot;/&gt;&lt;wsp:rsid wsp:val=&quot;003C4B3A&quot;/&gt;&lt;wsp:rsid wsp:val=&quot;003C6325&quot;/&gt;&lt;wsp:rsid wsp:val=&quot;003C64FF&quot;/&gt;&lt;wsp:rsid wsp:val=&quot;003C698C&quot;/&gt;&lt;wsp:rsid wsp:val=&quot;003C6D85&quot;/&gt;&lt;wsp:rsid wsp:val=&quot;003C757A&quot;/&gt;&lt;wsp:rsid wsp:val=&quot;003C7BBC&quot;/&gt;&lt;wsp:rsid wsp:val=&quot;003D0EAC&quot;/&gt;&lt;wsp:rsid wsp:val=&quot;003D0F47&quot;/&gt;&lt;wsp:rsid wsp:val=&quot;003D2AB7&quot;/&gt;&lt;wsp:rsid wsp:val=&quot;003D6D63&quot;/&gt;&lt;wsp:rsid wsp:val=&quot;003D715B&quot;/&gt;&lt;wsp:rsid wsp:val=&quot;003D79EA&quot;/&gt;&lt;wsp:rsid wsp:val=&quot;003D7F57&quot;/&gt;&lt;wsp:rsid wsp:val=&quot;003E0BD5&quot;/&gt;&lt;wsp:rsid wsp:val=&quot;003E0CB0&quot;/&gt;&lt;wsp:rsid wsp:val=&quot;003E19CF&quot;/&gt;&lt;wsp:rsid wsp:val=&quot;003E377E&quot;/&gt;&lt;wsp:rsid wsp:val=&quot;003E3911&quot;/&gt;&lt;wsp:rsid wsp:val=&quot;003E5C2F&quot;/&gt;&lt;wsp:rsid wsp:val=&quot;003E6085&quot;/&gt;&lt;wsp:rsid wsp:val=&quot;003E6C8D&quot;/&gt;&lt;wsp:rsid wsp:val=&quot;003F1213&quot;/&gt;&lt;wsp:rsid wsp:val=&quot;003F1A43&quot;/&gt;&lt;wsp:rsid wsp:val=&quot;003F2100&quot;/&gt;&lt;wsp:rsid wsp:val=&quot;003F385A&quot;/&gt;&lt;wsp:rsid wsp:val=&quot;003F4F9C&quot;/&gt;&lt;wsp:rsid wsp:val=&quot;003F5468&quot;/&gt;&lt;wsp:rsid wsp:val=&quot;003F5A9F&quot;/&gt;&lt;wsp:rsid wsp:val=&quot;00401359&quot;/&gt;&lt;wsp:rsid wsp:val=&quot;0040339D&quot;/&gt;&lt;wsp:rsid wsp:val=&quot;0040385B&quot;/&gt;&lt;wsp:rsid wsp:val=&quot;004040F2&quot;/&gt;&lt;wsp:rsid wsp:val=&quot;004050EE&quot;/&gt;&lt;wsp:rsid wsp:val=&quot;00405311&quot;/&gt;&lt;wsp:rsid wsp:val=&quot;0040622A&quot;/&gt;&lt;wsp:rsid wsp:val=&quot;004074FF&quot;/&gt;&lt;wsp:rsid wsp:val=&quot;004078B3&quot;/&gt;&lt;wsp:rsid wsp:val=&quot;00407EA8&quot;/&gt;&lt;wsp:rsid wsp:val=&quot;0041094D&quot;/&gt;&lt;wsp:rsid wsp:val=&quot;00411E9B&quot;/&gt;&lt;wsp:rsid wsp:val=&quot;00411F91&quot;/&gt;&lt;wsp:rsid wsp:val=&quot;004128FE&quot;/&gt;&lt;wsp:rsid wsp:val=&quot;004138D6&quot;/&gt;&lt;wsp:rsid wsp:val=&quot;0041470D&quot;/&gt;&lt;wsp:rsid wsp:val=&quot;00414FBA&quot;/&gt;&lt;wsp:rsid wsp:val=&quot;004152D0&quot;/&gt;&lt;wsp:rsid wsp:val=&quot;00415435&quot;/&gt;&lt;wsp:rsid wsp:val=&quot;00416177&quot;/&gt;&lt;wsp:rsid wsp:val=&quot;00416FF6&quot;/&gt;&lt;wsp:rsid wsp:val=&quot;00417188&quot;/&gt;&lt;wsp:rsid wsp:val=&quot;00417493&quot;/&gt;&lt;wsp:rsid wsp:val=&quot;0042031E&quot;/&gt;&lt;wsp:rsid wsp:val=&quot;004215DF&quot;/&gt;&lt;wsp:rsid wsp:val=&quot;00421DE5&quot;/&gt;&lt;wsp:rsid wsp:val=&quot;00422A73&quot;/&gt;&lt;wsp:rsid wsp:val=&quot;004244E4&quot;/&gt;&lt;wsp:rsid wsp:val=&quot;00424B8F&quot;/&gt;&lt;wsp:rsid wsp:val=&quot;0042683D&quot;/&gt;&lt;wsp:rsid wsp:val=&quot;00426843&quot;/&gt;&lt;wsp:rsid wsp:val=&quot;004279BB&quot;/&gt;&lt;wsp:rsid wsp:val=&quot;0043032A&quot;/&gt;&lt;wsp:rsid wsp:val=&quot;004320FB&quot;/&gt;&lt;wsp:rsid wsp:val=&quot;0043246A&quot;/&gt;&lt;wsp:rsid wsp:val=&quot;0043389D&quot;/&gt;&lt;wsp:rsid wsp:val=&quot;004342C3&quot;/&gt;&lt;wsp:rsid wsp:val=&quot;00437AE4&quot;/&gt;&lt;wsp:rsid wsp:val=&quot;0044110E&quot;/&gt;&lt;wsp:rsid wsp:val=&quot;00441D71&quot;/&gt;&lt;wsp:rsid wsp:val=&quot;004442E8&quot;/&gt;&lt;wsp:rsid wsp:val=&quot;0044443D&quot;/&gt;&lt;wsp:rsid wsp:val=&quot;00444702&quot;/&gt;&lt;wsp:rsid wsp:val=&quot;0044511F&quot;/&gt;&lt;wsp:rsid wsp:val=&quot;00446977&quot;/&gt;&lt;wsp:rsid wsp:val=&quot;004479B9&quot;/&gt;&lt;wsp:rsid wsp:val=&quot;004507EC&quot;/&gt;&lt;wsp:rsid wsp:val=&quot;004520DF&quot;/&gt;&lt;wsp:rsid wsp:val=&quot;0045306D&quot;/&gt;&lt;wsp:rsid wsp:val=&quot;00456441&quot;/&gt;&lt;wsp:rsid wsp:val=&quot;0046027B&quot;/&gt;&lt;wsp:rsid wsp:val=&quot;00462610&quot;/&gt;&lt;wsp:rsid wsp:val=&quot;00462A31&quot;/&gt;&lt;wsp:rsid wsp:val=&quot;00462CD4&quot;/&gt;&lt;wsp:rsid wsp:val=&quot;0046548C&quot;/&gt;&lt;wsp:rsid wsp:val=&quot;004678ED&quot;/&gt;&lt;wsp:rsid wsp:val=&quot;00471C07&quot;/&gt;&lt;wsp:rsid wsp:val=&quot;00471FBB&quot;/&gt;&lt;wsp:rsid wsp:val=&quot;0047444A&quot;/&gt;&lt;wsp:rsid wsp:val=&quot;00475412&quot;/&gt;&lt;wsp:rsid wsp:val=&quot;00475C49&quot;/&gt;&lt;wsp:rsid wsp:val=&quot;00475E99&quot;/&gt;&lt;wsp:rsid wsp:val=&quot;00476197&quot;/&gt;&lt;wsp:rsid wsp:val=&quot;00476699&quot;/&gt;&lt;wsp:rsid wsp:val=&quot;00476BC0&quot;/&gt;&lt;wsp:rsid wsp:val=&quot;0047745E&quot;/&gt;&lt;wsp:rsid wsp:val=&quot;00480E6E&quot;/&gt;&lt;wsp:rsid wsp:val=&quot;004820FC&quot;/&gt;&lt;wsp:rsid wsp:val=&quot;00483528&quot;/&gt;&lt;wsp:rsid wsp:val=&quot;00485F51&quot;/&gt;&lt;wsp:rsid wsp:val=&quot;00486C16&quot;/&gt;&lt;wsp:rsid wsp:val=&quot;0048776B&quot;/&gt;&lt;wsp:rsid wsp:val=&quot;00490D41&quot;/&gt;&lt;wsp:rsid wsp:val=&quot;00492DCF&quot;/&gt;&lt;wsp:rsid wsp:val=&quot;00493316&quot;/&gt;&lt;wsp:rsid wsp:val=&quot;004936CE&quot;/&gt;&lt;wsp:rsid wsp:val=&quot;00493E3A&quot;/&gt;&lt;wsp:rsid wsp:val=&quot;00493F14&quot;/&gt;&lt;wsp:rsid wsp:val=&quot;00493F50&quot;/&gt;&lt;wsp:rsid wsp:val=&quot;00494387&quot;/&gt;&lt;wsp:rsid wsp:val=&quot;00495341&quot;/&gt;&lt;wsp:rsid wsp:val=&quot;004956C8&quot;/&gt;&lt;wsp:rsid wsp:val=&quot;00495722&quot;/&gt;&lt;wsp:rsid wsp:val=&quot;0049664E&quot;/&gt;&lt;wsp:rsid wsp:val=&quot;004A0A13&quot;/&gt;&lt;wsp:rsid wsp:val=&quot;004A0D4A&quot;/&gt;&lt;wsp:rsid wsp:val=&quot;004A17D4&quot;/&gt;&lt;wsp:rsid wsp:val=&quot;004A2472&quot;/&gt;&lt;wsp:rsid wsp:val=&quot;004A24C1&quot;/&gt;&lt;wsp:rsid wsp:val=&quot;004A4496&quot;/&gt;&lt;wsp:rsid wsp:val=&quot;004A482E&quot;/&gt;&lt;wsp:rsid wsp:val=&quot;004A5CA7&quot;/&gt;&lt;wsp:rsid wsp:val=&quot;004A6080&quot;/&gt;&lt;wsp:rsid wsp:val=&quot;004A7C06&quot;/&gt;&lt;wsp:rsid wsp:val=&quot;004A7C2F&quot;/&gt;&lt;wsp:rsid wsp:val=&quot;004B23A8&quot;/&gt;&lt;wsp:rsid wsp:val=&quot;004B3575&quot;/&gt;&lt;wsp:rsid wsp:val=&quot;004B3D6A&quot;/&gt;&lt;wsp:rsid wsp:val=&quot;004C091E&quot;/&gt;&lt;wsp:rsid wsp:val=&quot;004C15AF&quot;/&gt;&lt;wsp:rsid wsp:val=&quot;004C2F40&quot;/&gt;&lt;wsp:rsid wsp:val=&quot;004C5178&quot;/&gt;&lt;wsp:rsid wsp:val=&quot;004C644B&quot;/&gt;&lt;wsp:rsid wsp:val=&quot;004C6FCD&quot;/&gt;&lt;wsp:rsid wsp:val=&quot;004C71BE&quot;/&gt;&lt;wsp:rsid wsp:val=&quot;004C73FD&quot;/&gt;&lt;wsp:rsid wsp:val=&quot;004C7D52&quot;/&gt;&lt;wsp:rsid wsp:val=&quot;004D1850&quot;/&gt;&lt;wsp:rsid wsp:val=&quot;004D1B28&quot;/&gt;&lt;wsp:rsid wsp:val=&quot;004D46D4&quot;/&gt;&lt;wsp:rsid wsp:val=&quot;004D6C51&quot;/&gt;&lt;wsp:rsid wsp:val=&quot;004D7BC7&quot;/&gt;&lt;wsp:rsid wsp:val=&quot;004D7DD8&quot;/&gt;&lt;wsp:rsid wsp:val=&quot;004E0C65&quot;/&gt;&lt;wsp:rsid wsp:val=&quot;004E17F3&quot;/&gt;&lt;wsp:rsid wsp:val=&quot;004E1C46&quot;/&gt;&lt;wsp:rsid wsp:val=&quot;004E2D07&quot;/&gt;&lt;wsp:rsid wsp:val=&quot;004E2DF6&quot;/&gt;&lt;wsp:rsid wsp:val=&quot;004E49C5&quot;/&gt;&lt;wsp:rsid wsp:val=&quot;004E6769&quot;/&gt;&lt;wsp:rsid wsp:val=&quot;004E6A20&quot;/&gt;&lt;wsp:rsid wsp:val=&quot;004E6E7F&quot;/&gt;&lt;wsp:rsid wsp:val=&quot;004E727D&quot;/&gt;&lt;wsp:rsid wsp:val=&quot;004F1E32&quot;/&gt;&lt;wsp:rsid wsp:val=&quot;004F22D0&quot;/&gt;&lt;wsp:rsid wsp:val=&quot;004F2BCB&quot;/&gt;&lt;wsp:rsid wsp:val=&quot;004F7EE5&quot;/&gt;&lt;wsp:rsid wsp:val=&quot;00502019&quot;/&gt;&lt;wsp:rsid wsp:val=&quot;00504BCD&quot;/&gt;&lt;wsp:rsid wsp:val=&quot;00505D54&quot;/&gt;&lt;wsp:rsid wsp:val=&quot;0051084E&quot;/&gt;&lt;wsp:rsid wsp:val=&quot;005111CB&quot;/&gt;&lt;wsp:rsid wsp:val=&quot;00512C31&quot;/&gt;&lt;wsp:rsid wsp:val=&quot;00516574&quot;/&gt;&lt;wsp:rsid wsp:val=&quot;00521EB2&quot;/&gt;&lt;wsp:rsid wsp:val=&quot;0052211D&quot;/&gt;&lt;wsp:rsid wsp:val=&quot;00522700&quot;/&gt;&lt;wsp:rsid wsp:val=&quot;00523015&quot;/&gt;&lt;wsp:rsid wsp:val=&quot;005246CE&quot;/&gt;&lt;wsp:rsid wsp:val=&quot;0052704A&quot;/&gt;&lt;wsp:rsid wsp:val=&quot;005271DC&quot;/&gt;&lt;wsp:rsid wsp:val=&quot;005271E4&quot;/&gt;&lt;wsp:rsid wsp:val=&quot;005273DE&quot;/&gt;&lt;wsp:rsid wsp:val=&quot;0053290C&quot;/&gt;&lt;wsp:rsid wsp:val=&quot;00532D02&quot;/&gt;&lt;wsp:rsid wsp:val=&quot;00533957&quot;/&gt;&lt;wsp:rsid wsp:val=&quot;005362C8&quot;/&gt;&lt;wsp:rsid wsp:val=&quot;00536436&quot;/&gt;&lt;wsp:rsid wsp:val=&quot;0053663C&quot;/&gt;&lt;wsp:rsid wsp:val=&quot;005376C7&quot;/&gt;&lt;wsp:rsid wsp:val=&quot;00537AD6&quot;/&gt;&lt;wsp:rsid wsp:val=&quot;00542051&quot;/&gt;&lt;wsp:rsid wsp:val=&quot;0054324E&quot;/&gt;&lt;wsp:rsid wsp:val=&quot;0054441A&quot;/&gt;&lt;wsp:rsid wsp:val=&quot;00545157&quot;/&gt;&lt;wsp:rsid wsp:val=&quot;00545F85&quot;/&gt;&lt;wsp:rsid wsp:val=&quot;00546D51&quot;/&gt;&lt;wsp:rsid wsp:val=&quot;00546F09&quot;/&gt;&lt;wsp:rsid wsp:val=&quot;0054746B&quot;/&gt;&lt;wsp:rsid wsp:val=&quot;00547F09&quot;/&gt;&lt;wsp:rsid wsp:val=&quot;00550614&quot;/&gt;&lt;wsp:rsid wsp:val=&quot;00550EB1&quot;/&gt;&lt;wsp:rsid wsp:val=&quot;00553CD6&quot;/&gt;&lt;wsp:rsid wsp:val=&quot;00553FD7&quot;/&gt;&lt;wsp:rsid wsp:val=&quot;005577D1&quot;/&gt;&lt;wsp:rsid wsp:val=&quot;0056002D&quot;/&gt;&lt;wsp:rsid wsp:val=&quot;00560034&quot;/&gt;&lt;wsp:rsid wsp:val=&quot;0056089D&quot;/&gt;&lt;wsp:rsid wsp:val=&quot;0056091E&quot;/&gt;&lt;wsp:rsid wsp:val=&quot;00560B13&quot;/&gt;&lt;wsp:rsid wsp:val=&quot;00564F65&quot;/&gt;&lt;wsp:rsid wsp:val=&quot;0056594B&quot;/&gt;&lt;wsp:rsid wsp:val=&quot;005662DA&quot;/&gt;&lt;wsp:rsid wsp:val=&quot;00566EE2&quot;/&gt;&lt;wsp:rsid wsp:val=&quot;0056753A&quot;/&gt;&lt;wsp:rsid wsp:val=&quot;00570515&quot;/&gt;&lt;wsp:rsid wsp:val=&quot;005706B4&quot;/&gt;&lt;wsp:rsid wsp:val=&quot;0057128B&quot;/&gt;&lt;wsp:rsid wsp:val=&quot;005715A6&quot;/&gt;&lt;wsp:rsid wsp:val=&quot;0057591C&quot;/&gt;&lt;wsp:rsid wsp:val=&quot;00577149&quot;/&gt;&lt;wsp:rsid wsp:val=&quot;0058002B&quot;/&gt;&lt;wsp:rsid wsp:val=&quot;00580FE2&quot;/&gt;&lt;wsp:rsid wsp:val=&quot;005830C2&quot;/&gt;&lt;wsp:rsid wsp:val=&quot;00583691&quot;/&gt;&lt;wsp:rsid wsp:val=&quot;0058679E&quot;/&gt;&lt;wsp:rsid wsp:val=&quot;00586A13&quot;/&gt;&lt;wsp:rsid wsp:val=&quot;0058716E&quot;/&gt;&lt;wsp:rsid wsp:val=&quot;0059007C&quot;/&gt;&lt;wsp:rsid wsp:val=&quot;0059068E&quot;/&gt;&lt;wsp:rsid wsp:val=&quot;00590E8B&quot;/&gt;&lt;wsp:rsid wsp:val=&quot;0059173D&quot;/&gt;&lt;wsp:rsid wsp:val=&quot;00591CC0&quot;/&gt;&lt;wsp:rsid wsp:val=&quot;005945A8&quot;/&gt;&lt;wsp:rsid wsp:val=&quot;005954C2&quot;/&gt;&lt;wsp:rsid wsp:val=&quot;00595775&quot;/&gt;&lt;wsp:rsid wsp:val=&quot;00596197&quot;/&gt;&lt;wsp:rsid wsp:val=&quot;005A0932&quot;/&gt;&lt;wsp:rsid wsp:val=&quot;005A11C3&quot;/&gt;&lt;wsp:rsid wsp:val=&quot;005A4140&quot;/&gt;&lt;wsp:rsid wsp:val=&quot;005A62EB&quot;/&gt;&lt;wsp:rsid wsp:val=&quot;005B166B&quot;/&gt;&lt;wsp:rsid wsp:val=&quot;005B1EE3&quot;/&gt;&lt;wsp:rsid wsp:val=&quot;005B4289&quot;/&gt;&lt;wsp:rsid wsp:val=&quot;005B6D29&quot;/&gt;&lt;wsp:rsid wsp:val=&quot;005B7073&quot;/&gt;&lt;wsp:rsid wsp:val=&quot;005B735E&quot;/&gt;&lt;wsp:rsid wsp:val=&quot;005C041B&quot;/&gt;&lt;wsp:rsid wsp:val=&quot;005C4DD6&quot;/&gt;&lt;wsp:rsid wsp:val=&quot;005C61AA&quot;/&gt;&lt;wsp:rsid wsp:val=&quot;005C77CC&quot;/&gt;&lt;wsp:rsid wsp:val=&quot;005C7CFC&quot;/&gt;&lt;wsp:rsid wsp:val=&quot;005C7D42&quot;/&gt;&lt;wsp:rsid wsp:val=&quot;005C7E83&quot;/&gt;&lt;wsp:rsid wsp:val=&quot;005D0AC2&quot;/&gt;&lt;wsp:rsid wsp:val=&quot;005D0BF4&quot;/&gt;&lt;wsp:rsid wsp:val=&quot;005D0F2D&quot;/&gt;&lt;wsp:rsid wsp:val=&quot;005D1BB4&quot;/&gt;&lt;wsp:rsid wsp:val=&quot;005D2D71&quot;/&gt;&lt;wsp:rsid wsp:val=&quot;005D394A&quot;/&gt;&lt;wsp:rsid wsp:val=&quot;005D4576&quot;/&gt;&lt;wsp:rsid wsp:val=&quot;005D4973&quot;/&gt;&lt;wsp:rsid wsp:val=&quot;005D4F55&quot;/&gt;&lt;wsp:rsid wsp:val=&quot;005D56D9&quot;/&gt;&lt;wsp:rsid wsp:val=&quot;005D5EA1&quot;/&gt;&lt;wsp:rsid wsp:val=&quot;005D6169&quot;/&gt;&lt;wsp:rsid wsp:val=&quot;005D7F02&quot;/&gt;&lt;wsp:rsid wsp:val=&quot;005E15A9&quot;/&gt;&lt;wsp:rsid wsp:val=&quot;005E2904&quot;/&gt;&lt;wsp:rsid wsp:val=&quot;005E2B0F&quot;/&gt;&lt;wsp:rsid wsp:val=&quot;005E36FB&quot;/&gt;&lt;wsp:rsid wsp:val=&quot;005E3F00&quot;/&gt;&lt;wsp:rsid wsp:val=&quot;005E5E87&quot;/&gt;&lt;wsp:rsid wsp:val=&quot;005F046A&quot;/&gt;&lt;wsp:rsid wsp:val=&quot;005F061F&quot;/&gt;&lt;wsp:rsid wsp:val=&quot;005F0A97&quot;/&gt;&lt;wsp:rsid wsp:val=&quot;005F0E57&quot;/&gt;&lt;wsp:rsid wsp:val=&quot;005F1923&quot;/&gt;&lt;wsp:rsid wsp:val=&quot;005F24E1&quot;/&gt;&lt;wsp:rsid wsp:val=&quot;005F250F&quot;/&gt;&lt;wsp:rsid wsp:val=&quot;005F2604&quot;/&gt;&lt;wsp:rsid wsp:val=&quot;005F317A&quot;/&gt;&lt;wsp:rsid wsp:val=&quot;005F366A&quot;/&gt;&lt;wsp:rsid wsp:val=&quot;005F7234&quot;/&gt;&lt;wsp:rsid wsp:val=&quot;00601E17&quot;/&gt;&lt;wsp:rsid wsp:val=&quot;00601EB6&quot;/&gt;&lt;wsp:rsid wsp:val=&quot;0060292C&quot;/&gt;&lt;wsp:rsid wsp:val=&quot;00603331&quot;/&gt;&lt;wsp:rsid wsp:val=&quot;006036B3&quot;/&gt;&lt;wsp:rsid wsp:val=&quot;00605B63&quot;/&gt;&lt;wsp:rsid wsp:val=&quot;006063C5&quot;/&gt;&lt;wsp:rsid wsp:val=&quot;00606C6A&quot;/&gt;&lt;wsp:rsid wsp:val=&quot;00607BD8&quot;/&gt;&lt;wsp:rsid wsp:val=&quot;0061029A&quot;/&gt;&lt;wsp:rsid wsp:val=&quot;0061096D&quot;/&gt;&lt;wsp:rsid wsp:val=&quot;00610DBB&quot;/&gt;&lt;wsp:rsid wsp:val=&quot;006119E5&quot;/&gt;&lt;wsp:rsid wsp:val=&quot;00611C57&quot;/&gt;&lt;wsp:rsid wsp:val=&quot;00612113&quot;/&gt;&lt;wsp:rsid wsp:val=&quot;00612E91&quot;/&gt;&lt;wsp:rsid wsp:val=&quot;00613874&quot;/&gt;&lt;wsp:rsid wsp:val=&quot;00614C02&quot;/&gt;&lt;wsp:rsid wsp:val=&quot;00615246&quot;/&gt;&lt;wsp:rsid wsp:val=&quot;006172FB&quot;/&gt;&lt;wsp:rsid wsp:val=&quot;006179D9&quot;/&gt;&lt;wsp:rsid wsp:val=&quot;0062037F&quot;/&gt;&lt;wsp:rsid wsp:val=&quot;00620CA5&quot;/&gt;&lt;wsp:rsid wsp:val=&quot;00622D20&quot;/&gt;&lt;wsp:rsid wsp:val=&quot;006242C9&quot;/&gt;&lt;wsp:rsid wsp:val=&quot;00625879&quot;/&gt;&lt;wsp:rsid wsp:val=&quot;006259F8&quot;/&gt;&lt;wsp:rsid wsp:val=&quot;00626489&quot;/&gt;&lt;wsp:rsid wsp:val=&quot;006301A8&quot;/&gt;&lt;wsp:rsid wsp:val=&quot;0063111C&quot;/&gt;&lt;wsp:rsid wsp:val=&quot;00634A02&quot;/&gt;&lt;wsp:rsid wsp:val=&quot;006369C1&quot;/&gt;&lt;wsp:rsid wsp:val=&quot;00636A77&quot;/&gt;&lt;wsp:rsid wsp:val=&quot;00636EA6&quot;/&gt;&lt;wsp:rsid wsp:val=&quot;006409F4&quot;/&gt;&lt;wsp:rsid wsp:val=&quot;00642AE1&quot;/&gt;&lt;wsp:rsid wsp:val=&quot;00642E1B&quot;/&gt;&lt;wsp:rsid wsp:val=&quot;00643A18&quot;/&gt;&lt;wsp:rsid wsp:val=&quot;006451FD&quot;/&gt;&lt;wsp:rsid wsp:val=&quot;00646452&quot;/&gt;&lt;wsp:rsid wsp:val=&quot;00647381&quot;/&gt;&lt;wsp:rsid wsp:val=&quot;00647679&quot;/&gt;&lt;wsp:rsid wsp:val=&quot;00647A24&quot;/&gt;&lt;wsp:rsid wsp:val=&quot;006514AB&quot;/&gt;&lt;wsp:rsid wsp:val=&quot;00652FA2&quot;/&gt;&lt;wsp:rsid wsp:val=&quot;00653CF1&quot;/&gt;&lt;wsp:rsid wsp:val=&quot;00653FE9&quot;/&gt;&lt;wsp:rsid wsp:val=&quot;00654EF1&quot;/&gt;&lt;wsp:rsid wsp:val=&quot;00656B5F&quot;/&gt;&lt;wsp:rsid wsp:val=&quot;006572A6&quot;/&gt;&lt;wsp:rsid wsp:val=&quot;006606D1&quot;/&gt;&lt;wsp:rsid wsp:val=&quot;00661F8F&quot;/&gt;&lt;wsp:rsid wsp:val=&quot;006624C0&quot;/&gt;&lt;wsp:rsid wsp:val=&quot;00663EC4&quot;/&gt;&lt;wsp:rsid wsp:val=&quot;006667C8&quot;/&gt;&lt;wsp:rsid wsp:val=&quot;0066753C&quot;/&gt;&lt;wsp:rsid wsp:val=&quot;0067131A&quot;/&gt;&lt;wsp:rsid wsp:val=&quot;00673853&quot;/&gt;&lt;wsp:rsid wsp:val=&quot;0067644B&quot;/&gt;&lt;wsp:rsid wsp:val=&quot;00677018&quot;/&gt;&lt;wsp:rsid wsp:val=&quot;00677883&quot;/&gt;&lt;wsp:rsid wsp:val=&quot;0068191B&quot;/&gt;&lt;wsp:rsid wsp:val=&quot;00683718&quot;/&gt;&lt;wsp:rsid wsp:val=&quot;00686F4D&quot;/&gt;&lt;wsp:rsid wsp:val=&quot;00690CD5&quot;/&gt;&lt;wsp:rsid wsp:val=&quot;0069191A&quot;/&gt;&lt;wsp:rsid wsp:val=&quot;006939E2&quot;/&gt;&lt;wsp:rsid wsp:val=&quot;00693A0D&quot;/&gt;&lt;wsp:rsid wsp:val=&quot;00694D29&quot;/&gt;&lt;wsp:rsid wsp:val=&quot;006952C5&quot;/&gt;&lt;wsp:rsid wsp:val=&quot;00695880&quot;/&gt;&lt;wsp:rsid wsp:val=&quot;006969F7&quot;/&gt;&lt;wsp:rsid wsp:val=&quot;006979FF&quot;/&gt;&lt;wsp:rsid wsp:val=&quot;006A20A0&quot;/&gt;&lt;wsp:rsid wsp:val=&quot;006A28F9&quot;/&gt;&lt;wsp:rsid wsp:val=&quot;006A2D4B&quot;/&gt;&lt;wsp:rsid wsp:val=&quot;006A2FD4&quot;/&gt;&lt;wsp:rsid wsp:val=&quot;006A3121&quot;/&gt;&lt;wsp:rsid wsp:val=&quot;006A3419&quot;/&gt;&lt;wsp:rsid wsp:val=&quot;006A37ED&quot;/&gt;&lt;wsp:rsid wsp:val=&quot;006A5EA6&quot;/&gt;&lt;wsp:rsid wsp:val=&quot;006A77F6&quot;/&gt;&lt;wsp:rsid wsp:val=&quot;006B068E&quot;/&gt;&lt;wsp:rsid wsp:val=&quot;006B23CD&quot;/&gt;&lt;wsp:rsid wsp:val=&quot;006B3B29&quot;/&gt;&lt;wsp:rsid wsp:val=&quot;006B3F9A&quot;/&gt;&lt;wsp:rsid wsp:val=&quot;006B69D7&quot;/&gt;&lt;wsp:rsid wsp:val=&quot;006B72B3&quot;/&gt;&lt;wsp:rsid wsp:val=&quot;006B7C3A&quot;/&gt;&lt;wsp:rsid wsp:val=&quot;006B7CE8&quot;/&gt;&lt;wsp:rsid wsp:val=&quot;006C1314&quot;/&gt;&lt;wsp:rsid wsp:val=&quot;006C1C0A&quot;/&gt;&lt;wsp:rsid wsp:val=&quot;006C1D01&quot;/&gt;&lt;wsp:rsid wsp:val=&quot;006C4D10&quot;/&gt;&lt;wsp:rsid wsp:val=&quot;006C52A9&quot;/&gt;&lt;wsp:rsid wsp:val=&quot;006C595E&quot;/&gt;&lt;wsp:rsid wsp:val=&quot;006D035C&quot;/&gt;&lt;wsp:rsid wsp:val=&quot;006D051A&quot;/&gt;&lt;wsp:rsid wsp:val=&quot;006D0DD1&quot;/&gt;&lt;wsp:rsid wsp:val=&quot;006D18AB&quot;/&gt;&lt;wsp:rsid wsp:val=&quot;006D2BCD&quot;/&gt;&lt;wsp:rsid wsp:val=&quot;006D315C&quot;/&gt;&lt;wsp:rsid wsp:val=&quot;006D326C&quot;/&gt;&lt;wsp:rsid wsp:val=&quot;006D3638&quot;/&gt;&lt;wsp:rsid wsp:val=&quot;006D44BE&quot;/&gt;&lt;wsp:rsid wsp:val=&quot;006D51F7&quot;/&gt;&lt;wsp:rsid wsp:val=&quot;006D564C&quot;/&gt;&lt;wsp:rsid wsp:val=&quot;006D6215&quot;/&gt;&lt;wsp:rsid wsp:val=&quot;006D6681&quot;/&gt;&lt;wsp:rsid wsp:val=&quot;006D77DA&quot;/&gt;&lt;wsp:rsid wsp:val=&quot;006E00E6&quot;/&gt;&lt;wsp:rsid wsp:val=&quot;006E0B36&quot;/&gt;&lt;wsp:rsid wsp:val=&quot;006E11D1&quot;/&gt;&lt;wsp:rsid wsp:val=&quot;006E195A&quot;/&gt;&lt;wsp:rsid wsp:val=&quot;006E3C03&quot;/&gt;&lt;wsp:rsid wsp:val=&quot;006E4833&quot;/&gt;&lt;wsp:rsid wsp:val=&quot;006E4C96&quot;/&gt;&lt;wsp:rsid wsp:val=&quot;006E554F&quot;/&gt;&lt;wsp:rsid wsp:val=&quot;006E7382&quot;/&gt;&lt;wsp:rsid wsp:val=&quot;006E7422&quot;/&gt;&lt;wsp:rsid wsp:val=&quot;006F16C8&quot;/&gt;&lt;wsp:rsid wsp:val=&quot;006F2A82&quot;/&gt;&lt;wsp:rsid wsp:val=&quot;006F2E23&quot;/&gt;&lt;wsp:rsid wsp:val=&quot;006F6665&quot;/&gt;&lt;wsp:rsid wsp:val=&quot;006F6D9F&quot;/&gt;&lt;wsp:rsid wsp:val=&quot;006F781B&quot;/&gt;&lt;wsp:rsid wsp:val=&quot;006F7B86&quot;/&gt;&lt;wsp:rsid wsp:val=&quot;00700132&quot;/&gt;&lt;wsp:rsid wsp:val=&quot;007010E8&quot;/&gt;&lt;wsp:rsid wsp:val=&quot;007010F0&quot;/&gt;&lt;wsp:rsid wsp:val=&quot;00703D3E&quot;/&gt;&lt;wsp:rsid wsp:val=&quot;00705134&quot;/&gt;&lt;wsp:rsid wsp:val=&quot;007070F9&quot;/&gt;&lt;wsp:rsid wsp:val=&quot;007109B6&quot;/&gt;&lt;wsp:rsid wsp:val=&quot;00710DC4&quot;/&gt;&lt;wsp:rsid wsp:val=&quot;00713600&quot;/&gt;&lt;wsp:rsid wsp:val=&quot;007143C0&quot;/&gt;&lt;wsp:rsid wsp:val=&quot;00714AAF&quot;/&gt;&lt;wsp:rsid wsp:val=&quot;007156DC&quot;/&gt;&lt;wsp:rsid wsp:val=&quot;00716238&quot;/&gt;&lt;wsp:rsid wsp:val=&quot;00716A83&quot;/&gt;&lt;wsp:rsid wsp:val=&quot;00716AEF&quot;/&gt;&lt;wsp:rsid wsp:val=&quot;00716DE5&quot;/&gt;&lt;wsp:rsid wsp:val=&quot;00717C58&quot;/&gt;&lt;wsp:rsid wsp:val=&quot;00717E6F&quot;/&gt;&lt;wsp:rsid wsp:val=&quot;007206E4&quot;/&gt;&lt;wsp:rsid wsp:val=&quot;00721972&quot;/&gt;&lt;wsp:rsid wsp:val=&quot;007227A5&quot;/&gt;&lt;wsp:rsid wsp:val=&quot;00722CC4&quot;/&gt;&lt;wsp:rsid wsp:val=&quot;007234E9&quot;/&gt;&lt;wsp:rsid wsp:val=&quot;00724D01&quot;/&gt;&lt;wsp:rsid wsp:val=&quot;00724D3B&quot;/&gt;&lt;wsp:rsid wsp:val=&quot;00727BFB&quot;/&gt;&lt;wsp:rsid wsp:val=&quot;00730561&quot;/&gt;&lt;wsp:rsid wsp:val=&quot;007313D8&quot;/&gt;&lt;wsp:rsid wsp:val=&quot;00732129&quot;/&gt;&lt;wsp:rsid wsp:val=&quot;00732BAF&quot;/&gt;&lt;wsp:rsid wsp:val=&quot;00732E8F&quot;/&gt;&lt;wsp:rsid wsp:val=&quot;00733AE8&quot;/&gt;&lt;wsp:rsid wsp:val=&quot;007342A0&quot;/&gt;&lt;wsp:rsid wsp:val=&quot;007349F2&quot;/&gt;&lt;wsp:rsid wsp:val=&quot;00735D0A&quot;/&gt;&lt;wsp:rsid wsp:val=&quot;00735E2E&quot;/&gt;&lt;wsp:rsid wsp:val=&quot;00737226&quot;/&gt;&lt;wsp:rsid wsp:val=&quot;007403C5&quot;/&gt;&lt;wsp:rsid wsp:val=&quot;00740584&quot;/&gt;&lt;wsp:rsid wsp:val=&quot;00741E1C&quot;/&gt;&lt;wsp:rsid wsp:val=&quot;00741E8F&quot;/&gt;&lt;wsp:rsid wsp:val=&quot;00741FA9&quot;/&gt;&lt;wsp:rsid wsp:val=&quot;00744596&quot;/&gt;&lt;wsp:rsid wsp:val=&quot;00746168&quot;/&gt;&lt;wsp:rsid wsp:val=&quot;00751A3B&quot;/&gt;&lt;wsp:rsid wsp:val=&quot;0075260A&quot;/&gt;&lt;wsp:rsid wsp:val=&quot;00756E4E&quot;/&gt;&lt;wsp:rsid wsp:val=&quot;007578FC&quot;/&gt;&lt;wsp:rsid wsp:val=&quot;00757968&quot;/&gt;&lt;wsp:rsid wsp:val=&quot;007608E3&quot;/&gt;&lt;wsp:rsid wsp:val=&quot;00760DBB&quot;/&gt;&lt;wsp:rsid wsp:val=&quot;00760EC9&quot;/&gt;&lt;wsp:rsid wsp:val=&quot;00761979&quot;/&gt;&lt;wsp:rsid wsp:val=&quot;00761A2A&quot;/&gt;&lt;wsp:rsid wsp:val=&quot;00762957&quot;/&gt;&lt;wsp:rsid wsp:val=&quot;00763BB4&quot;/&gt;&lt;wsp:rsid wsp:val=&quot;007640AB&quot;/&gt;&lt;wsp:rsid wsp:val=&quot;00765EDA&quot;/&gt;&lt;wsp:rsid wsp:val=&quot;007667D8&quot;/&gt;&lt;wsp:rsid wsp:val=&quot;0076758A&quot;/&gt;&lt;wsp:rsid wsp:val=&quot;007731B4&quot;/&gt;&lt;wsp:rsid wsp:val=&quot;00774243&quot;/&gt;&lt;wsp:rsid wsp:val=&quot;00775813&quot;/&gt;&lt;wsp:rsid wsp:val=&quot;00776033&quot;/&gt;&lt;wsp:rsid wsp:val=&quot;007766C1&quot;/&gt;&lt;wsp:rsid wsp:val=&quot;00776CD0&quot;/&gt;&lt;wsp:rsid wsp:val=&quot;007771A1&quot;/&gt;&lt;wsp:rsid wsp:val=&quot;00780B54&quot;/&gt;&lt;wsp:rsid wsp:val=&quot;007821B0&quot;/&gt;&lt;wsp:rsid wsp:val=&quot;0078307A&quot;/&gt;&lt;wsp:rsid wsp:val=&quot;007845AE&quot;/&gt;&lt;wsp:rsid wsp:val=&quot;00786278&quot;/&gt;&lt;wsp:rsid wsp:val=&quot;00786373&quot;/&gt;&lt;wsp:rsid wsp:val=&quot;007869A0&quot;/&gt;&lt;wsp:rsid wsp:val=&quot;007873EE&quot;/&gt;&lt;wsp:rsid wsp:val=&quot;00790150&quot;/&gt;&lt;wsp:rsid wsp:val=&quot;007915F5&quot;/&gt;&lt;wsp:rsid wsp:val=&quot;007925E1&quot;/&gt;&lt;wsp:rsid wsp:val=&quot;0079358C&quot;/&gt;&lt;wsp:rsid wsp:val=&quot;00793CEA&quot;/&gt;&lt;wsp:rsid wsp:val=&quot;0079442B&quot;/&gt;&lt;wsp:rsid wsp:val=&quot;00794B6C&quot;/&gt;&lt;wsp:rsid wsp:val=&quot;00794E1F&quot;/&gt;&lt;wsp:rsid wsp:val=&quot;007956C4&quot;/&gt;&lt;wsp:rsid wsp:val=&quot;0079683D&quot;/&gt;&lt;wsp:rsid wsp:val=&quot;00796F65&quot;/&gt;&lt;wsp:rsid wsp:val=&quot;00797F10&quot;/&gt;&lt;wsp:rsid wsp:val=&quot;007A43CD&quot;/&gt;&lt;wsp:rsid wsp:val=&quot;007A5E2F&quot;/&gt;&lt;wsp:rsid wsp:val=&quot;007A5E6B&quot;/&gt;&lt;wsp:rsid wsp:val=&quot;007A5FBE&quot;/&gt;&lt;wsp:rsid wsp:val=&quot;007B1DAF&quot;/&gt;&lt;wsp:rsid wsp:val=&quot;007B3673&quot;/&gt;&lt;wsp:rsid wsp:val=&quot;007B3BCB&quot;/&gt;&lt;wsp:rsid wsp:val=&quot;007B4555&quot;/&gt;&lt;wsp:rsid wsp:val=&quot;007B65AF&quot;/&gt;&lt;wsp:rsid wsp:val=&quot;007B6A61&quot;/&gt;&lt;wsp:rsid wsp:val=&quot;007C1724&quot;/&gt;&lt;wsp:rsid wsp:val=&quot;007C2952&quot;/&gt;&lt;wsp:rsid wsp:val=&quot;007C414F&quot;/&gt;&lt;wsp:rsid wsp:val=&quot;007C4282&quot;/&gt;&lt;wsp:rsid wsp:val=&quot;007C71FB&quot;/&gt;&lt;wsp:rsid wsp:val=&quot;007C7981&quot;/&gt;&lt;wsp:rsid wsp:val=&quot;007D0555&quot;/&gt;&lt;wsp:rsid wsp:val=&quot;007D4713&quot;/&gt;&lt;wsp:rsid wsp:val=&quot;007D49A8&quot;/&gt;&lt;wsp:rsid wsp:val=&quot;007D5EC9&quot;/&gt;&lt;wsp:rsid wsp:val=&quot;007D60A5&quot;/&gt;&lt;wsp:rsid wsp:val=&quot;007D6B6C&quot;/&gt;&lt;wsp:rsid wsp:val=&quot;007D78B2&quot;/&gt;&lt;wsp:rsid wsp:val=&quot;007E1203&quot;/&gt;&lt;wsp:rsid wsp:val=&quot;007E31A7&quot;/&gt;&lt;wsp:rsid wsp:val=&quot;007E3838&quot;/&gt;&lt;wsp:rsid wsp:val=&quot;007E474D&quot;/&gt;&lt;wsp:rsid wsp:val=&quot;007E4C70&quot;/&gt;&lt;wsp:rsid wsp:val=&quot;007E4D1E&quot;/&gt;&lt;wsp:rsid wsp:val=&quot;007E5D0C&quot;/&gt;&lt;wsp:rsid wsp:val=&quot;007E6BD0&quot;/&gt;&lt;wsp:rsid wsp:val=&quot;007E7000&quot;/&gt;&lt;wsp:rsid wsp:val=&quot;007E7131&quot;/&gt;&lt;wsp:rsid wsp:val=&quot;007E7183&quot;/&gt;&lt;wsp:rsid wsp:val=&quot;007F1CFF&quot;/&gt;&lt;wsp:rsid wsp:val=&quot;007F2000&quot;/&gt;&lt;wsp:rsid wsp:val=&quot;007F3659&quot;/&gt;&lt;wsp:rsid wsp:val=&quot;007F3F46&quot;/&gt;&lt;wsp:rsid wsp:val=&quot;007F4F6D&quot;/&gt;&lt;wsp:rsid wsp:val=&quot;007F61A4&quot;/&gt;&lt;wsp:rsid wsp:val=&quot;007F7D37&quot;/&gt;&lt;wsp:rsid wsp:val=&quot;00803529&quot;/&gt;&lt;wsp:rsid wsp:val=&quot;00803D84&quot;/&gt;&lt;wsp:rsid wsp:val=&quot;00803D8F&quot;/&gt;&lt;wsp:rsid wsp:val=&quot;008046F7&quot;/&gt;&lt;wsp:rsid wsp:val=&quot;008069AC&quot;/&gt;&lt;wsp:rsid wsp:val=&quot;008079DD&quot;/&gt;&lt;wsp:rsid wsp:val=&quot;0081006B&quot;/&gt;&lt;wsp:rsid wsp:val=&quot;0081154A&quot;/&gt;&lt;wsp:rsid wsp:val=&quot;008118DB&quot;/&gt;&lt;wsp:rsid wsp:val=&quot;00811A40&quot;/&gt;&lt;wsp:rsid wsp:val=&quot;008121B6&quot;/&gt;&lt;wsp:rsid wsp:val=&quot;00813767&quot;/&gt;&lt;wsp:rsid wsp:val=&quot;00813E7F&quot;/&gt;&lt;wsp:rsid wsp:val=&quot;00815A1F&quot;/&gt;&lt;wsp:rsid wsp:val=&quot;00815B09&quot;/&gt;&lt;wsp:rsid wsp:val=&quot;008217EF&quot;/&gt;&lt;wsp:rsid wsp:val=&quot;008234BE&quot;/&gt;&lt;wsp:rsid wsp:val=&quot;00823521&quot;/&gt;&lt;wsp:rsid wsp:val=&quot;00823E02&quot;/&gt;&lt;wsp:rsid wsp:val=&quot;00824145&quot;/&gt;&lt;wsp:rsid wsp:val=&quot;00824B84&quot;/&gt;&lt;wsp:rsid wsp:val=&quot;00824C37&quot;/&gt;&lt;wsp:rsid wsp:val=&quot;0082585A&quot;/&gt;&lt;wsp:rsid wsp:val=&quot;008367F2&quot;/&gt;&lt;wsp:rsid wsp:val=&quot;00837101&quot;/&gt;&lt;wsp:rsid wsp:val=&quot;0083741C&quot;/&gt;&lt;wsp:rsid wsp:val=&quot;008407CB&quot;/&gt;&lt;wsp:rsid wsp:val=&quot;008417EF&quot;/&gt;&lt;wsp:rsid wsp:val=&quot;00842194&quot;/&gt;&lt;wsp:rsid wsp:val=&quot;00842F3F&quot;/&gt;&lt;wsp:rsid wsp:val=&quot;00843922&quot;/&gt;&lt;wsp:rsid wsp:val=&quot;0084408D&quot;/&gt;&lt;wsp:rsid wsp:val=&quot;00844F7A&quot;/&gt;&lt;wsp:rsid wsp:val=&quot;0084587F&quot;/&gt;&lt;wsp:rsid wsp:val=&quot;00846BFD&quot;/&gt;&lt;wsp:rsid wsp:val=&quot;008476B1&quot;/&gt;&lt;wsp:rsid wsp:val=&quot;00853289&quot;/&gt;&lt;wsp:rsid wsp:val=&quot;00853777&quot;/&gt;&lt;wsp:rsid wsp:val=&quot;008538F9&quot;/&gt;&lt;wsp:rsid wsp:val=&quot;00853D1C&quot;/&gt;&lt;wsp:rsid wsp:val=&quot;00853E27&quot;/&gt;&lt;wsp:rsid wsp:val=&quot;00854AB6&quot;/&gt;&lt;wsp:rsid wsp:val=&quot;00860B8B&quot;/&gt;&lt;wsp:rsid wsp:val=&quot;00862ACE&quot;/&gt;&lt;wsp:rsid wsp:val=&quot;0086354E&quot;/&gt;&lt;wsp:rsid wsp:val=&quot;00865809&quot;/&gt;&lt;wsp:rsid wsp:val=&quot;00865C7D&quot;/&gt;&lt;wsp:rsid wsp:val=&quot;00867497&quot;/&gt;&lt;wsp:rsid wsp:val=&quot;00867B8D&quot;/&gt;&lt;wsp:rsid wsp:val=&quot;00867DA9&quot;/&gt;&lt;wsp:rsid wsp:val=&quot;00870521&quot;/&gt;&lt;wsp:rsid wsp:val=&quot;00870BFA&quot;/&gt;&lt;wsp:rsid wsp:val=&quot;00870DF8&quot;/&gt;&lt;wsp:rsid wsp:val=&quot;00876135&quot;/&gt;&lt;wsp:rsid wsp:val=&quot;008771A0&quot;/&gt;&lt;wsp:rsid wsp:val=&quot;008776A3&quot;/&gt;&lt;wsp:rsid wsp:val=&quot;00881537&quot;/&gt;&lt;wsp:rsid wsp:val=&quot;0088224F&quot;/&gt;&lt;wsp:rsid wsp:val=&quot;00882D22&quot;/&gt;&lt;wsp:rsid wsp:val=&quot;00883C3E&quot;/&gt;&lt;wsp:rsid wsp:val=&quot;00883D92&quot;/&gt;&lt;wsp:rsid wsp:val=&quot;00884EE2&quot;/&gt;&lt;wsp:rsid wsp:val=&quot;0088533E&quot;/&gt;&lt;wsp:rsid wsp:val=&quot;00885B32&quot;/&gt;&lt;wsp:rsid wsp:val=&quot;0088656D&quot;/&gt;&lt;wsp:rsid wsp:val=&quot;00887DBB&quot;/&gt;&lt;wsp:rsid wsp:val=&quot;00890019&quot;/&gt;&lt;wsp:rsid wsp:val=&quot;008911CD&quot;/&gt;&lt;wsp:rsid wsp:val=&quot;00891787&quot;/&gt;&lt;wsp:rsid wsp:val=&quot;008917C3&quot;/&gt;&lt;wsp:rsid wsp:val=&quot;008924DF&quot;/&gt;&lt;wsp:rsid wsp:val=&quot;008927A3&quot;/&gt;&lt;wsp:rsid wsp:val=&quot;00893B72&quot;/&gt;&lt;wsp:rsid wsp:val=&quot;00894075&quot;/&gt;&lt;wsp:rsid wsp:val=&quot;008966B0&quot;/&gt;&lt;wsp:rsid wsp:val=&quot;008A0EE8&quot;/&gt;&lt;wsp:rsid wsp:val=&quot;008A2BAD&quot;/&gt;&lt;wsp:rsid wsp:val=&quot;008A4E0C&quot;/&gt;&lt;wsp:rsid wsp:val=&quot;008A5EA0&quot;/&gt;&lt;wsp:rsid wsp:val=&quot;008A7A11&quot;/&gt;&lt;wsp:rsid wsp:val=&quot;008B00CD&quot;/&gt;&lt;wsp:rsid wsp:val=&quot;008B1305&quot;/&gt;&lt;wsp:rsid wsp:val=&quot;008B1EBA&quot;/&gt;&lt;wsp:rsid wsp:val=&quot;008B1EF7&quot;/&gt;&lt;wsp:rsid wsp:val=&quot;008B3B6D&quot;/&gt;&lt;wsp:rsid wsp:val=&quot;008B4248&quot;/&gt;&lt;wsp:rsid wsp:val=&quot;008B5093&quot;/&gt;&lt;wsp:rsid wsp:val=&quot;008B69BA&quot;/&gt;&lt;wsp:rsid wsp:val=&quot;008C073D&quot;/&gt;&lt;wsp:rsid wsp:val=&quot;008C07FF&quot;/&gt;&lt;wsp:rsid wsp:val=&quot;008C0B11&quot;/&gt;&lt;wsp:rsid wsp:val=&quot;008C1620&quot;/&gt;&lt;wsp:rsid wsp:val=&quot;008C1924&quot;/&gt;&lt;wsp:rsid wsp:val=&quot;008C24FA&quot;/&gt;&lt;wsp:rsid wsp:val=&quot;008C4DF8&quot;/&gt;&lt;wsp:rsid wsp:val=&quot;008C5582&quot;/&gt;&lt;wsp:rsid wsp:val=&quot;008C6234&quot;/&gt;&lt;wsp:rsid wsp:val=&quot;008C6A8E&quot;/&gt;&lt;wsp:rsid wsp:val=&quot;008C7BCB&quot;/&gt;&lt;wsp:rsid wsp:val=&quot;008D101B&quot;/&gt;&lt;wsp:rsid wsp:val=&quot;008D187C&quot;/&gt;&lt;wsp:rsid wsp:val=&quot;008D2E57&quot;/&gt;&lt;wsp:rsid wsp:val=&quot;008D5E10&quot;/&gt;&lt;wsp:rsid wsp:val=&quot;008D7938&quot;/&gt;&lt;wsp:rsid wsp:val=&quot;008E0ABE&quot;/&gt;&lt;wsp:rsid wsp:val=&quot;008E1217&quot;/&gt;&lt;wsp:rsid wsp:val=&quot;008E1AF8&quot;/&gt;&lt;wsp:rsid wsp:val=&quot;008E2BC0&quot;/&gt;&lt;wsp:rsid wsp:val=&quot;008E5435&quot;/&gt;&lt;wsp:rsid wsp:val=&quot;008E6CD3&quot;/&gt;&lt;wsp:rsid wsp:val=&quot;008E7BF5&quot;/&gt;&lt;wsp:rsid wsp:val=&quot;008F0677&quot;/&gt;&lt;wsp:rsid wsp:val=&quot;008F1A87&quot;/&gt;&lt;wsp:rsid wsp:val=&quot;008F26BF&quot;/&gt;&lt;wsp:rsid wsp:val=&quot;008F4EB9&quot;/&gt;&lt;wsp:rsid wsp:val=&quot;008F641E&quot;/&gt;&lt;wsp:rsid wsp:val=&quot;008F65D0&quot;/&gt;&lt;wsp:rsid wsp:val=&quot;008F6CB0&quot;/&gt;&lt;wsp:rsid wsp:val=&quot;008F7AE6&quot;/&gt;&lt;wsp:rsid wsp:val=&quot;008F7B49&quot;/&gt;&lt;wsp:rsid wsp:val=&quot;0090159F&quot;/&gt;&lt;wsp:rsid wsp:val=&quot;009015D6&quot;/&gt;&lt;wsp:rsid wsp:val=&quot;009051F8&quot;/&gt;&lt;wsp:rsid wsp:val=&quot;0090639F&quot;/&gt;&lt;wsp:rsid wsp:val=&quot;0090753D&quot;/&gt;&lt;wsp:rsid wsp:val=&quot;00910C0B&quot;/&gt;&lt;wsp:rsid wsp:val=&quot;00911759&quot;/&gt;&lt;wsp:rsid wsp:val=&quot;009122E2&quot;/&gt;&lt;wsp:rsid wsp:val=&quot;0091287E&quot;/&gt;&lt;wsp:rsid wsp:val=&quot;009133DA&quot;/&gt;&lt;wsp:rsid wsp:val=&quot;009145A4&quot;/&gt;&lt;wsp:rsid wsp:val=&quot;00914F88&quot;/&gt;&lt;wsp:rsid wsp:val=&quot;0091575E&quot;/&gt;&lt;wsp:rsid wsp:val=&quot;00915D0F&quot;/&gt;&lt;wsp:rsid wsp:val=&quot;00915E97&quot;/&gt;&lt;wsp:rsid wsp:val=&quot;00917910&quot;/&gt;&lt;wsp:rsid wsp:val=&quot;0092031F&quot;/&gt;&lt;wsp:rsid wsp:val=&quot;00920623&quot;/&gt;&lt;wsp:rsid wsp:val=&quot;009221C3&quot;/&gt;&lt;wsp:rsid wsp:val=&quot;00922607&quot;/&gt;&lt;wsp:rsid wsp:val=&quot;0092304F&quot;/&gt;&lt;wsp:rsid wsp:val=&quot;00924664&quot;/&gt;&lt;wsp:rsid wsp:val=&quot;00924D93&quot;/&gt;&lt;wsp:rsid wsp:val=&quot;00926269&quot;/&gt;&lt;wsp:rsid wsp:val=&quot;009263BE&quot;/&gt;&lt;wsp:rsid wsp:val=&quot;00927500&quot;/&gt;&lt;wsp:rsid wsp:val=&quot;00930E3C&quot;/&gt;&lt;wsp:rsid wsp:val=&quot;0093138D&quot;/&gt;&lt;wsp:rsid wsp:val=&quot;009321B6&quot;/&gt;&lt;wsp:rsid wsp:val=&quot;00932875&quot;/&gt;&lt;wsp:rsid wsp:val=&quot;009336A8&quot;/&gt;&lt;wsp:rsid wsp:val=&quot;009345B8&quot;/&gt;&lt;wsp:rsid wsp:val=&quot;00936BBD&quot;/&gt;&lt;wsp:rsid wsp:val=&quot;00937FF8&quot;/&gt;&lt;wsp:rsid wsp:val=&quot;009404FC&quot;/&gt;&lt;wsp:rsid wsp:val=&quot;00941064&quot;/&gt;&lt;wsp:rsid wsp:val=&quot;00941433&quot;/&gt;&lt;wsp:rsid wsp:val=&quot;00941F8A&quot;/&gt;&lt;wsp:rsid wsp:val=&quot;009460DC&quot;/&gt;&lt;wsp:rsid wsp:val=&quot;00946146&quot;/&gt;&lt;wsp:rsid wsp:val=&quot;00946F0E&quot;/&gt;&lt;wsp:rsid wsp:val=&quot;00947D43&quot;/&gt;&lt;wsp:rsid wsp:val=&quot;00950D62&quot;/&gt;&lt;wsp:rsid wsp:val=&quot;009521ED&quot;/&gt;&lt;wsp:rsid wsp:val=&quot;00954722&quot;/&gt;&lt;wsp:rsid wsp:val=&quot;00962F8D&quot;/&gt;&lt;wsp:rsid wsp:val=&quot;00965517&quot;/&gt;&lt;wsp:rsid wsp:val=&quot;009663C8&quot;/&gt;&lt;wsp:rsid wsp:val=&quot;00967498&quot;/&gt;&lt;wsp:rsid wsp:val=&quot;00972AAE&quot;/&gt;&lt;wsp:rsid wsp:val=&quot;00973F61&quot;/&gt;&lt;wsp:rsid wsp:val=&quot;00974E52&quot;/&gt;&lt;wsp:rsid wsp:val=&quot;00974E62&quot;/&gt;&lt;wsp:rsid wsp:val=&quot;00976A41&quot;/&gt;&lt;wsp:rsid wsp:val=&quot;00976E3F&quot;/&gt;&lt;wsp:rsid wsp:val=&quot;00977D70&quot;/&gt;&lt;wsp:rsid wsp:val=&quot;00980AB1&quot;/&gt;&lt;wsp:rsid wsp:val=&quot;00984099&quot;/&gt;&lt;wsp:rsid wsp:val=&quot;00985CCC&quot;/&gt;&lt;wsp:rsid wsp:val=&quot;00985D0C&quot;/&gt;&lt;wsp:rsid wsp:val=&quot;00987452&quot;/&gt;&lt;wsp:rsid wsp:val=&quot;009875F8&quot;/&gt;&lt;wsp:rsid wsp:val=&quot;00990655&quot;/&gt;&lt;wsp:rsid wsp:val=&quot;0099125A&quot;/&gt;&lt;wsp:rsid wsp:val=&quot;00992965&quot;/&gt;&lt;wsp:rsid wsp:val=&quot;00992CAB&quot;/&gt;&lt;wsp:rsid wsp:val=&quot;00993B38&quot;/&gt;&lt;wsp:rsid wsp:val=&quot;0099410F&quot;/&gt;&lt;wsp:rsid wsp:val=&quot;009959DC&quot;/&gt;&lt;wsp:rsid wsp:val=&quot;0099722A&quot;/&gt;&lt;wsp:rsid wsp:val=&quot;00997987&quot;/&gt;&lt;wsp:rsid wsp:val=&quot;009A0BAD&quot;/&gt;&lt;wsp:rsid wsp:val=&quot;009A48F5&quot;/&gt;&lt;wsp:rsid wsp:val=&quot;009A4E76&quot;/&gt;&lt;wsp:rsid wsp:val=&quot;009A5E73&quot;/&gt;&lt;wsp:rsid wsp:val=&quot;009A6A69&quot;/&gt;&lt;wsp:rsid wsp:val=&quot;009A797C&quot;/&gt;&lt;wsp:rsid wsp:val=&quot;009B1451&quot;/&gt;&lt;wsp:rsid wsp:val=&quot;009B2285&quot;/&gt;&lt;wsp:rsid wsp:val=&quot;009B2D9B&quot;/&gt;&lt;wsp:rsid wsp:val=&quot;009B3390&quot;/&gt;&lt;wsp:rsid wsp:val=&quot;009B3B4D&quot;/&gt;&lt;wsp:rsid wsp:val=&quot;009B3FB0&quot;/&gt;&lt;wsp:rsid wsp:val=&quot;009B6277&quot;/&gt;&lt;wsp:rsid wsp:val=&quot;009B79D3&quot;/&gt;&lt;wsp:rsid wsp:val=&quot;009C06EE&quot;/&gt;&lt;wsp:rsid wsp:val=&quot;009C352F&quot;/&gt;&lt;wsp:rsid wsp:val=&quot;009C494A&quot;/&gt;&lt;wsp:rsid wsp:val=&quot;009C5100&quot;/&gt;&lt;wsp:rsid wsp:val=&quot;009C62A4&quot;/&gt;&lt;wsp:rsid wsp:val=&quot;009D02EB&quot;/&gt;&lt;wsp:rsid wsp:val=&quot;009D1914&quot;/&gt;&lt;wsp:rsid wsp:val=&quot;009D1C28&quot;/&gt;&lt;wsp:rsid wsp:val=&quot;009D26FA&quot;/&gt;&lt;wsp:rsid wsp:val=&quot;009D67F4&quot;/&gt;&lt;wsp:rsid wsp:val=&quot;009D68B3&quot;/&gt;&lt;wsp:rsid wsp:val=&quot;009E2967&quot;/&gt;&lt;wsp:rsid wsp:val=&quot;009E4345&quot;/&gt;&lt;wsp:rsid wsp:val=&quot;009F1D5B&quot;/&gt;&lt;wsp:rsid wsp:val=&quot;009F20A0&quot;/&gt;&lt;wsp:rsid wsp:val=&quot;009F377C&quot;/&gt;&lt;wsp:rsid wsp:val=&quot;009F5EAA&quot;/&gt;&lt;wsp:rsid wsp:val=&quot;009F7524&quot;/&gt;&lt;wsp:rsid wsp:val=&quot;00A0159C&quot;/&gt;&lt;wsp:rsid wsp:val=&quot;00A02422&quot;/&gt;&lt;wsp:rsid wsp:val=&quot;00A04771&quot;/&gt;&lt;wsp:rsid wsp:val=&quot;00A06BA8&quot;/&gt;&lt;wsp:rsid wsp:val=&quot;00A06EB8&quot;/&gt;&lt;wsp:rsid wsp:val=&quot;00A07C93&quot;/&gt;&lt;wsp:rsid wsp:val=&quot;00A10735&quot;/&gt;&lt;wsp:rsid wsp:val=&quot;00A17F6F&quot;/&gt;&lt;wsp:rsid wsp:val=&quot;00A21646&quot;/&gt;&lt;wsp:rsid wsp:val=&quot;00A22CA7&quot;/&gt;&lt;wsp:rsid wsp:val=&quot;00A2649C&quot;/&gt;&lt;wsp:rsid wsp:val=&quot;00A264CA&quot;/&gt;&lt;wsp:rsid wsp:val=&quot;00A26CCB&quot;/&gt;&lt;wsp:rsid wsp:val=&quot;00A30F1C&quot;/&gt;&lt;wsp:rsid wsp:val=&quot;00A3301C&quot;/&gt;&lt;wsp:rsid wsp:val=&quot;00A3376F&quot;/&gt;&lt;wsp:rsid wsp:val=&quot;00A3425F&quot;/&gt;&lt;wsp:rsid wsp:val=&quot;00A3568A&quot;/&gt;&lt;wsp:rsid wsp:val=&quot;00A35E25&quot;/&gt;&lt;wsp:rsid wsp:val=&quot;00A36C4B&quot;/&gt;&lt;wsp:rsid wsp:val=&quot;00A37759&quot;/&gt;&lt;wsp:rsid wsp:val=&quot;00A4120E&quot;/&gt;&lt;wsp:rsid wsp:val=&quot;00A41251&quot;/&gt;&lt;wsp:rsid wsp:val=&quot;00A4182A&quot;/&gt;&lt;wsp:rsid wsp:val=&quot;00A428DB&quot;/&gt;&lt;wsp:rsid wsp:val=&quot;00A43C7E&quot;/&gt;&lt;wsp:rsid wsp:val=&quot;00A43FE4&quot;/&gt;&lt;wsp:rsid wsp:val=&quot;00A4406B&quot;/&gt;&lt;wsp:rsid wsp:val=&quot;00A44100&quot;/&gt;&lt;wsp:rsid wsp:val=&quot;00A443A9&quot;/&gt;&lt;wsp:rsid wsp:val=&quot;00A44A70&quot;/&gt;&lt;wsp:rsid wsp:val=&quot;00A44F59&quot;/&gt;&lt;wsp:rsid wsp:val=&quot;00A458A1&quot;/&gt;&lt;wsp:rsid wsp:val=&quot;00A47412&quot;/&gt;&lt;wsp:rsid wsp:val=&quot;00A5081D&quot;/&gt;&lt;wsp:rsid wsp:val=&quot;00A53F4E&quot;/&gt;&lt;wsp:rsid wsp:val=&quot;00A54743&quot;/&gt;&lt;wsp:rsid wsp:val=&quot;00A54C09&quot;/&gt;&lt;wsp:rsid wsp:val=&quot;00A5587A&quot;/&gt;&lt;wsp:rsid wsp:val=&quot;00A569D1&quot;/&gt;&lt;wsp:rsid wsp:val=&quot;00A57FE7&quot;/&gt;&lt;wsp:rsid wsp:val=&quot;00A61F7D&quot;/&gt;&lt;wsp:rsid wsp:val=&quot;00A632A1&quot;/&gt;&lt;wsp:rsid wsp:val=&quot;00A64959&quot;/&gt;&lt;wsp:rsid wsp:val=&quot;00A65971&quot;/&gt;&lt;wsp:rsid wsp:val=&quot;00A660C3&quot;/&gt;&lt;wsp:rsid wsp:val=&quot;00A6771F&quot;/&gt;&lt;wsp:rsid wsp:val=&quot;00A7070E&quot;/&gt;&lt;wsp:rsid wsp:val=&quot;00A7083B&quot;/&gt;&lt;wsp:rsid wsp:val=&quot;00A737BE&quot;/&gt;&lt;wsp:rsid wsp:val=&quot;00A74EFF&quot;/&gt;&lt;wsp:rsid wsp:val=&quot;00A7594D&quot;/&gt;&lt;wsp:rsid wsp:val=&quot;00A80053&quot;/&gt;&lt;wsp:rsid wsp:val=&quot;00A81B8E&quot;/&gt;&lt;wsp:rsid wsp:val=&quot;00A82AB7&quot;/&gt;&lt;wsp:rsid wsp:val=&quot;00A8378E&quot;/&gt;&lt;wsp:rsid wsp:val=&quot;00A8526A&quot;/&gt;&lt;wsp:rsid wsp:val=&quot;00A8584A&quot;/&gt;&lt;wsp:rsid wsp:val=&quot;00A86294&quot;/&gt;&lt;wsp:rsid wsp:val=&quot;00A87D91&quot;/&gt;&lt;wsp:rsid wsp:val=&quot;00A91F94&quot;/&gt;&lt;wsp:rsid wsp:val=&quot;00A930AE&quot;/&gt;&lt;wsp:rsid wsp:val=&quot;00A93ABD&quot;/&gt;&lt;wsp:rsid wsp:val=&quot;00A9448C&quot;/&gt;&lt;wsp:rsid wsp:val=&quot;00A94A97&quot;/&gt;&lt;wsp:rsid wsp:val=&quot;00A97381&quot;/&gt;&lt;wsp:rsid wsp:val=&quot;00AA2C00&quot;/&gt;&lt;wsp:rsid wsp:val=&quot;00AA510E&quot;/&gt;&lt;wsp:rsid wsp:val=&quot;00AB0654&quot;/&gt;&lt;wsp:rsid wsp:val=&quot;00AB0CEF&quot;/&gt;&lt;wsp:rsid wsp:val=&quot;00AB1D50&quot;/&gt;&lt;wsp:rsid wsp:val=&quot;00AB3D3E&quot;/&gt;&lt;wsp:rsid wsp:val=&quot;00AB5F62&quot;/&gt;&lt;wsp:rsid wsp:val=&quot;00AB6617&quot;/&gt;&lt;wsp:rsid wsp:val=&quot;00AB6F02&quot;/&gt;&lt;wsp:rsid wsp:val=&quot;00AB7D4C&quot;/&gt;&lt;wsp:rsid wsp:val=&quot;00AB7DB9&quot;/&gt;&lt;wsp:rsid wsp:val=&quot;00AC1385&quot;/&gt;&lt;wsp:rsid wsp:val=&quot;00AC2319&quot;/&gt;&lt;wsp:rsid wsp:val=&quot;00AC2626&quot;/&gt;&lt;wsp:rsid wsp:val=&quot;00AC43D9&quot;/&gt;&lt;wsp:rsid wsp:val=&quot;00AC4904&quot;/&gt;&lt;wsp:rsid wsp:val=&quot;00AC6E07&quot;/&gt;&lt;wsp:rsid wsp:val=&quot;00AD07CB&quot;/&gt;&lt;wsp:rsid wsp:val=&quot;00AD27D2&quot;/&gt;&lt;wsp:rsid wsp:val=&quot;00AD2B1D&quot;/&gt;&lt;wsp:rsid wsp:val=&quot;00AD3A2C&quot;/&gt;&lt;wsp:rsid wsp:val=&quot;00AD4402&quot;/&gt;&lt;wsp:rsid wsp:val=&quot;00AD5A74&quot;/&gt;&lt;wsp:rsid wsp:val=&quot;00AD6AE3&quot;/&gt;&lt;wsp:rsid wsp:val=&quot;00AD788E&quot;/&gt;&lt;wsp:rsid wsp:val=&quot;00AE0517&quot;/&gt;&lt;wsp:rsid wsp:val=&quot;00AE0AB8&quot;/&gt;&lt;wsp:rsid wsp:val=&quot;00AE0C75&quot;/&gt;&lt;wsp:rsid wsp:val=&quot;00AE1554&quot;/&gt;&lt;wsp:rsid wsp:val=&quot;00AE1661&quot;/&gt;&lt;wsp:rsid wsp:val=&quot;00AE1738&quot;/&gt;&lt;wsp:rsid wsp:val=&quot;00AE1B9F&quot;/&gt;&lt;wsp:rsid wsp:val=&quot;00AE1E21&quot;/&gt;&lt;wsp:rsid wsp:val=&quot;00AE2823&quot;/&gt;&lt;wsp:rsid wsp:val=&quot;00AE2DD3&quot;/&gt;&lt;wsp:rsid wsp:val=&quot;00AE3101&quot;/&gt;&lt;wsp:rsid wsp:val=&quot;00AE334B&quot;/&gt;&lt;wsp:rsid wsp:val=&quot;00AE35B1&quot;/&gt;&lt;wsp:rsid wsp:val=&quot;00AE5F2A&quot;/&gt;&lt;wsp:rsid wsp:val=&quot;00AE6598&quot;/&gt;&lt;wsp:rsid wsp:val=&quot;00AE77B1&quot;/&gt;&lt;wsp:rsid wsp:val=&quot;00AF159E&quot;/&gt;&lt;wsp:rsid wsp:val=&quot;00AF1CF5&quot;/&gt;&lt;wsp:rsid wsp:val=&quot;00AF2714&quot;/&gt;&lt;wsp:rsid wsp:val=&quot;00AF2FDC&quot;/&gt;&lt;wsp:rsid wsp:val=&quot;00AF3DFC&quot;/&gt;&lt;wsp:rsid wsp:val=&quot;00AF5766&quot;/&gt;&lt;wsp:rsid wsp:val=&quot;00AF5D86&quot;/&gt;&lt;wsp:rsid wsp:val=&quot;00AF6D8E&quot;/&gt;&lt;wsp:rsid wsp:val=&quot;00AF7CE3&quot;/&gt;&lt;wsp:rsid wsp:val=&quot;00B00FDF&quot;/&gt;&lt;wsp:rsid wsp:val=&quot;00B01766&quot;/&gt;&lt;wsp:rsid wsp:val=&quot;00B028EE&quot;/&gt;&lt;wsp:rsid wsp:val=&quot;00B02D13&quot;/&gt;&lt;wsp:rsid wsp:val=&quot;00B033DB&quot;/&gt;&lt;wsp:rsid wsp:val=&quot;00B057C1&quot;/&gt;&lt;wsp:rsid wsp:val=&quot;00B05F0C&quot;/&gt;&lt;wsp:rsid wsp:val=&quot;00B06DFF&quot;/&gt;&lt;wsp:rsid wsp:val=&quot;00B06E76&quot;/&gt;&lt;wsp:rsid wsp:val=&quot;00B07531&quot;/&gt;&lt;wsp:rsid wsp:val=&quot;00B07F5A&quot;/&gt;&lt;wsp:rsid wsp:val=&quot;00B11015&quot;/&gt;&lt;wsp:rsid wsp:val=&quot;00B130F2&quot;/&gt;&lt;wsp:rsid wsp:val=&quot;00B14381&quot;/&gt;&lt;wsp:rsid wsp:val=&quot;00B1604C&quot;/&gt;&lt;wsp:rsid wsp:val=&quot;00B2105B&quot;/&gt;&lt;wsp:rsid wsp:val=&quot;00B21B76&quot;/&gt;&lt;wsp:rsid wsp:val=&quot;00B22381&quot;/&gt;&lt;wsp:rsid wsp:val=&quot;00B33D68&quot;/&gt;&lt;wsp:rsid wsp:val=&quot;00B37191&quot;/&gt;&lt;wsp:rsid wsp:val=&quot;00B401CE&quot;/&gt;&lt;wsp:rsid wsp:val=&quot;00B403FB&quot;/&gt;&lt;wsp:rsid wsp:val=&quot;00B409FA&quot;/&gt;&lt;wsp:rsid wsp:val=&quot;00B42338&quot;/&gt;&lt;wsp:rsid wsp:val=&quot;00B43CE5&quot;/&gt;&lt;wsp:rsid wsp:val=&quot;00B4456D&quot;/&gt;&lt;wsp:rsid wsp:val=&quot;00B44A18&quot;/&gt;&lt;wsp:rsid wsp:val=&quot;00B46198&quot;/&gt;&lt;wsp:rsid wsp:val=&quot;00B4680F&quot;/&gt;&lt;wsp:rsid wsp:val=&quot;00B508D7&quot;/&gt;&lt;wsp:rsid wsp:val=&quot;00B530AB&quot;/&gt;&lt;wsp:rsid wsp:val=&quot;00B5315A&quot;/&gt;&lt;wsp:rsid wsp:val=&quot;00B53834&quot;/&gt;&lt;wsp:rsid wsp:val=&quot;00B549A7&quot;/&gt;&lt;wsp:rsid wsp:val=&quot;00B5562B&quot;/&gt;&lt;wsp:rsid wsp:val=&quot;00B556BE&quot;/&gt;&lt;wsp:rsid wsp:val=&quot;00B573FB&quot;/&gt;&lt;wsp:rsid wsp:val=&quot;00B579B0&quot;/&gt;&lt;wsp:rsid wsp:val=&quot;00B63941&quot;/&gt;&lt;wsp:rsid wsp:val=&quot;00B646B9&quot;/&gt;&lt;wsp:rsid wsp:val=&quot;00B650C1&quot;/&gt;&lt;wsp:rsid wsp:val=&quot;00B65725&quot;/&gt;&lt;wsp:rsid wsp:val=&quot;00B66892&quot;/&gt;&lt;wsp:rsid wsp:val=&quot;00B672F1&quot;/&gt;&lt;wsp:rsid wsp:val=&quot;00B70D2B&quot;/&gt;&lt;wsp:rsid wsp:val=&quot;00B74AA6&quot;/&gt;&lt;wsp:rsid wsp:val=&quot;00B74FF6&quot;/&gt;&lt;wsp:rsid wsp:val=&quot;00B76255&quot;/&gt;&lt;wsp:rsid wsp:val=&quot;00B76A62&quot;/&gt;&lt;wsp:rsid wsp:val=&quot;00B81705&quot;/&gt;&lt;wsp:rsid wsp:val=&quot;00B830A1&quot;/&gt;&lt;wsp:rsid wsp:val=&quot;00B83B6E&quot;/&gt;&lt;wsp:rsid wsp:val=&quot;00B862F1&quot;/&gt;&lt;wsp:rsid wsp:val=&quot;00B9039D&quot;/&gt;&lt;wsp:rsid wsp:val=&quot;00B903CD&quot;/&gt;&lt;wsp:rsid wsp:val=&quot;00B96CE4&quot;/&gt;&lt;wsp:rsid wsp:val=&quot;00BA1CC9&quot;/&gt;&lt;wsp:rsid wsp:val=&quot;00BA2C36&quot;/&gt;&lt;wsp:rsid wsp:val=&quot;00BA3306&quot;/&gt;&lt;wsp:rsid wsp:val=&quot;00BA54F5&quot;/&gt;&lt;wsp:rsid wsp:val=&quot;00BB0DC6&quot;/&gt;&lt;wsp:rsid wsp:val=&quot;00BB23BF&quot;/&gt;&lt;wsp:rsid wsp:val=&quot;00BB350E&quot;/&gt;&lt;wsp:rsid wsp:val=&quot;00BB3ACF&quot;/&gt;&lt;wsp:rsid wsp:val=&quot;00BB3D26&quot;/&gt;&lt;wsp:rsid wsp:val=&quot;00BB4A74&quot;/&gt;&lt;wsp:rsid wsp:val=&quot;00BB4FB8&quot;/&gt;&lt;wsp:rsid wsp:val=&quot;00BB57EA&quot;/&gt;&lt;wsp:rsid wsp:val=&quot;00BB58CF&quot;/&gt;&lt;wsp:rsid wsp:val=&quot;00BB6925&quot;/&gt;&lt;wsp:rsid wsp:val=&quot;00BB739F&quot;/&gt;&lt;wsp:rsid wsp:val=&quot;00BC0344&quot;/&gt;&lt;wsp:rsid wsp:val=&quot;00BC047A&quot;/&gt;&lt;wsp:rsid wsp:val=&quot;00BC2698&quot;/&gt;&lt;wsp:rsid wsp:val=&quot;00BC3308&quot;/&gt;&lt;wsp:rsid wsp:val=&quot;00BC3348&quot;/&gt;&lt;wsp:rsid wsp:val=&quot;00BC3C92&quot;/&gt;&lt;wsp:rsid wsp:val=&quot;00BC430E&quot;/&gt;&lt;wsp:rsid wsp:val=&quot;00BC48B1&quot;/&gt;&lt;wsp:rsid wsp:val=&quot;00BC566D&quot;/&gt;&lt;wsp:rsid wsp:val=&quot;00BC65F5&quot;/&gt;&lt;wsp:rsid wsp:val=&quot;00BC6E21&quot;/&gt;&lt;wsp:rsid wsp:val=&quot;00BC7D03&quot;/&gt;&lt;wsp:rsid wsp:val=&quot;00BC7DF0&quot;/&gt;&lt;wsp:rsid wsp:val=&quot;00BD0CA4&quot;/&gt;&lt;wsp:rsid wsp:val=&quot;00BD17F6&quot;/&gt;&lt;wsp:rsid wsp:val=&quot;00BD2208&quot;/&gt;&lt;wsp:rsid wsp:val=&quot;00BD3DED&quot;/&gt;&lt;wsp:rsid wsp:val=&quot;00BD5790&quot;/&gt;&lt;wsp:rsid wsp:val=&quot;00BD57F1&quot;/&gt;&lt;wsp:rsid wsp:val=&quot;00BD6218&quot;/&gt;&lt;wsp:rsid wsp:val=&quot;00BD7319&quot;/&gt;&lt;wsp:rsid wsp:val=&quot;00BD74D0&quot;/&gt;&lt;wsp:rsid wsp:val=&quot;00BD7C4A&quot;/&gt;&lt;wsp:rsid wsp:val=&quot;00BE1698&quot;/&gt;&lt;wsp:rsid wsp:val=&quot;00BE7787&quot;/&gt;&lt;wsp:rsid wsp:val=&quot;00BE7EB2&quot;/&gt;&lt;wsp:rsid wsp:val=&quot;00BF23CC&quot;/&gt;&lt;wsp:rsid wsp:val=&quot;00BF2DBD&quot;/&gt;&lt;wsp:rsid wsp:val=&quot;00BF34EB&quot;/&gt;&lt;wsp:rsid wsp:val=&quot;00BF557C&quot;/&gt;&lt;wsp:rsid wsp:val=&quot;00BF6F7C&quot;/&gt;&lt;wsp:rsid wsp:val=&quot;00BF797B&quot;/&gt;&lt;wsp:rsid wsp:val=&quot;00BF7BCB&quot;/&gt;&lt;wsp:rsid wsp:val=&quot;00C01695&quot;/&gt;&lt;wsp:rsid wsp:val=&quot;00C0339A&quot;/&gt;&lt;wsp:rsid wsp:val=&quot;00C0428A&quot;/&gt;&lt;wsp:rsid wsp:val=&quot;00C05D34&quot;/&gt;&lt;wsp:rsid wsp:val=&quot;00C06812&quot;/&gt;&lt;wsp:rsid wsp:val=&quot;00C07DDA&quot;/&gt;&lt;wsp:rsid wsp:val=&quot;00C109AD&quot;/&gt;&lt;wsp:rsid wsp:val=&quot;00C11237&quot;/&gt;&lt;wsp:rsid wsp:val=&quot;00C15C28&quot;/&gt;&lt;wsp:rsid wsp:val=&quot;00C1601D&quot;/&gt;&lt;wsp:rsid wsp:val=&quot;00C202AD&quot;/&gt;&lt;wsp:rsid wsp:val=&quot;00C22A57&quot;/&gt;&lt;wsp:rsid wsp:val=&quot;00C24759&quot;/&gt;&lt;wsp:rsid wsp:val=&quot;00C24F00&quot;/&gt;&lt;wsp:rsid wsp:val=&quot;00C25319&quot;/&gt;&lt;wsp:rsid wsp:val=&quot;00C26013&quot;/&gt;&lt;wsp:rsid wsp:val=&quot;00C260DA&quot;/&gt;&lt;wsp:rsid wsp:val=&quot;00C27CFE&quot;/&gt;&lt;wsp:rsid wsp:val=&quot;00C30E19&quot;/&gt;&lt;wsp:rsid wsp:val=&quot;00C3256C&quot;/&gt;&lt;wsp:rsid wsp:val=&quot;00C34E78&quot;/&gt;&lt;wsp:rsid wsp:val=&quot;00C353C0&quot;/&gt;&lt;wsp:rsid wsp:val=&quot;00C40495&quot;/&gt;&lt;wsp:rsid wsp:val=&quot;00C407C4&quot;/&gt;&lt;wsp:rsid wsp:val=&quot;00C41F57&quot;/&gt;&lt;wsp:rsid wsp:val=&quot;00C456D0&quot;/&gt;&lt;wsp:rsid wsp:val=&quot;00C45962&quot;/&gt;&lt;wsp:rsid wsp:val=&quot;00C53115&quot;/&gt;&lt;wsp:rsid wsp:val=&quot;00C5614A&quot;/&gt;&lt;wsp:rsid wsp:val=&quot;00C57E3F&quot;/&gt;&lt;wsp:rsid wsp:val=&quot;00C6055F&quot;/&gt;&lt;wsp:rsid wsp:val=&quot;00C61601&quot;/&gt;&lt;wsp:rsid wsp:val=&quot;00C628C8&quot;/&gt;&lt;wsp:rsid wsp:val=&quot;00C63A61&quot;/&gt;&lt;wsp:rsid wsp:val=&quot;00C6442F&quot;/&gt;&lt;wsp:rsid wsp:val=&quot;00C65378&quot;/&gt;&lt;wsp:rsid wsp:val=&quot;00C666E5&quot;/&gt;&lt;wsp:rsid wsp:val=&quot;00C667D1&quot;/&gt;&lt;wsp:rsid wsp:val=&quot;00C67607&quot;/&gt;&lt;wsp:rsid wsp:val=&quot;00C735CE&quot;/&gt;&lt;wsp:rsid wsp:val=&quot;00C74458&quot;/&gt;&lt;wsp:rsid wsp:val=&quot;00C74E6A&quot;/&gt;&lt;wsp:rsid wsp:val=&quot;00C75720&quot;/&gt;&lt;wsp:rsid wsp:val=&quot;00C75A6F&quot;/&gt;&lt;wsp:rsid wsp:val=&quot;00C75B38&quot;/&gt;&lt;wsp:rsid wsp:val=&quot;00C75F9B&quot;/&gt;&lt;wsp:rsid wsp:val=&quot;00C80291&quot;/&gt;&lt;wsp:rsid wsp:val=&quot;00C81932&quot;/&gt;&lt;wsp:rsid wsp:val=&quot;00C821FE&quot;/&gt;&lt;wsp:rsid wsp:val=&quot;00C83AAB&quot;/&gt;&lt;wsp:rsid wsp:val=&quot;00C86EC0&quot;/&gt;&lt;wsp:rsid wsp:val=&quot;00C87DF1&quot;/&gt;&lt;wsp:rsid wsp:val=&quot;00C90DC9&quot;/&gt;&lt;wsp:rsid wsp:val=&quot;00C91AE3&quot;/&gt;&lt;wsp:rsid wsp:val=&quot;00C91CAD&quot;/&gt;&lt;wsp:rsid wsp:val=&quot;00C954DC&quot;/&gt;&lt;wsp:rsid wsp:val=&quot;00C97847&quot;/&gt;&lt;wsp:rsid wsp:val=&quot;00CA0A40&quot;/&gt;&lt;wsp:rsid wsp:val=&quot;00CA16F6&quot;/&gt;&lt;wsp:rsid wsp:val=&quot;00CA2C5D&quot;/&gt;&lt;wsp:rsid wsp:val=&quot;00CA3B40&quot;/&gt;&lt;wsp:rsid wsp:val=&quot;00CA3B9E&quot;/&gt;&lt;wsp:rsid wsp:val=&quot;00CA4A3F&quot;/&gt;&lt;wsp:rsid wsp:val=&quot;00CA5D02&quot;/&gt;&lt;wsp:rsid wsp:val=&quot;00CA6287&quot;/&gt;&lt;wsp:rsid wsp:val=&quot;00CA7D65&quot;/&gt;&lt;wsp:rsid wsp:val=&quot;00CB1364&quot;/&gt;&lt;wsp:rsid wsp:val=&quot;00CB158D&quot;/&gt;&lt;wsp:rsid wsp:val=&quot;00CB1B1E&quot;/&gt;&lt;wsp:rsid wsp:val=&quot;00CB2EFE&quot;/&gt;&lt;wsp:rsid wsp:val=&quot;00CB45E7&quot;/&gt;&lt;wsp:rsid wsp:val=&quot;00CB4603&quot;/&gt;&lt;wsp:rsid wsp:val=&quot;00CB56BB&quot;/&gt;&lt;wsp:rsid wsp:val=&quot;00CB7FF8&quot;/&gt;&lt;wsp:rsid wsp:val=&quot;00CC273B&quot;/&gt;&lt;wsp:rsid wsp:val=&quot;00CC2F3C&quot;/&gt;&lt;wsp:rsid wsp:val=&quot;00CC47C1&quot;/&gt;&lt;wsp:rsid wsp:val=&quot;00CC552E&quot;/&gt;&lt;wsp:rsid wsp:val=&quot;00CC5646&quot;/&gt;&lt;wsp:rsid wsp:val=&quot;00CD184D&quot;/&gt;&lt;wsp:rsid wsp:val=&quot;00CD2899&quot;/&gt;&lt;wsp:rsid wsp:val=&quot;00CD6223&quot;/&gt;&lt;wsp:rsid wsp:val=&quot;00CD62CA&quot;/&gt;&lt;wsp:rsid wsp:val=&quot;00CE0261&quot;/&gt;&lt;wsp:rsid wsp:val=&quot;00CE06C8&quot;/&gt;&lt;wsp:rsid wsp:val=&quot;00CE0A61&quot;/&gt;&lt;wsp:rsid wsp:val=&quot;00CE5CDF&quot;/&gt;&lt;wsp:rsid wsp:val=&quot;00CE61C2&quot;/&gt;&lt;wsp:rsid wsp:val=&quot;00CF0510&quot;/&gt;&lt;wsp:rsid wsp:val=&quot;00CF0BDE&quot;/&gt;&lt;wsp:rsid wsp:val=&quot;00CF1204&quot;/&gt;&lt;wsp:rsid wsp:val=&quot;00CF2902&quot;/&gt;&lt;wsp:rsid wsp:val=&quot;00CF34B1&quot;/&gt;&lt;wsp:rsid wsp:val=&quot;00CF3BC8&quot;/&gt;&lt;wsp:rsid wsp:val=&quot;00CF4855&quot;/&gt;&lt;wsp:rsid wsp:val=&quot;00CF5254&quot;/&gt;&lt;wsp:rsid wsp:val=&quot;00CF5272&quot;/&gt;&lt;wsp:rsid wsp:val=&quot;00CF6A2F&quot;/&gt;&lt;wsp:rsid wsp:val=&quot;00D00523&quot;/&gt;&lt;wsp:rsid wsp:val=&quot;00D00E90&quot;/&gt;&lt;wsp:rsid wsp:val=&quot;00D01536&quot;/&gt;&lt;wsp:rsid wsp:val=&quot;00D023A7&quot;/&gt;&lt;wsp:rsid wsp:val=&quot;00D03DAE&quot;/&gt;&lt;wsp:rsid wsp:val=&quot;00D04CA4&quot;/&gt;&lt;wsp:rsid wsp:val=&quot;00D056AC&quot;/&gt;&lt;wsp:rsid wsp:val=&quot;00D05E04&quot;/&gt;&lt;wsp:rsid wsp:val=&quot;00D062F8&quot;/&gt;&lt;wsp:rsid wsp:val=&quot;00D07EB6&quot;/&gt;&lt;wsp:rsid wsp:val=&quot;00D10C36&quot;/&gt;&lt;wsp:rsid wsp:val=&quot;00D10F5B&quot;/&gt;&lt;wsp:rsid wsp:val=&quot;00D11272&quot;/&gt;&lt;wsp:rsid wsp:val=&quot;00D11BF9&quot;/&gt;&lt;wsp:rsid wsp:val=&quot;00D1257F&quot;/&gt;&lt;wsp:rsid wsp:val=&quot;00D12CFE&quot;/&gt;&lt;wsp:rsid wsp:val=&quot;00D1418F&quot;/&gt;&lt;wsp:rsid wsp:val=&quot;00D16C4A&quot;/&gt;&lt;wsp:rsid wsp:val=&quot;00D17159&quot;/&gt;&lt;wsp:rsid wsp:val=&quot;00D1790F&quot;/&gt;&lt;wsp:rsid wsp:val=&quot;00D21AA7&quot;/&gt;&lt;wsp:rsid wsp:val=&quot;00D223A7&quot;/&gt;&lt;wsp:rsid wsp:val=&quot;00D22662&quot;/&gt;&lt;wsp:rsid wsp:val=&quot;00D23753&quot;/&gt;&lt;wsp:rsid wsp:val=&quot;00D2406C&quot;/&gt;&lt;wsp:rsid wsp:val=&quot;00D27E3B&quot;/&gt;&lt;wsp:rsid wsp:val=&quot;00D3072F&quot;/&gt;&lt;wsp:rsid wsp:val=&quot;00D31D53&quot;/&gt;&lt;wsp:rsid wsp:val=&quot;00D33631&quot;/&gt;&lt;wsp:rsid wsp:val=&quot;00D3738B&quot;/&gt;&lt;wsp:rsid wsp:val=&quot;00D4169E&quot;/&gt;&lt;wsp:rsid wsp:val=&quot;00D43BE0&quot;/&gt;&lt;wsp:rsid wsp:val=&quot;00D43D79&quot;/&gt;&lt;wsp:rsid wsp:val=&quot;00D44C8E&quot;/&gt;&lt;wsp:rsid wsp:val=&quot;00D458E5&quot;/&gt;&lt;wsp:rsid wsp:val=&quot;00D4599D&quot;/&gt;&lt;wsp:rsid wsp:val=&quot;00D5170A&quot;/&gt;&lt;wsp:rsid wsp:val=&quot;00D526FE&quot;/&gt;&lt;wsp:rsid wsp:val=&quot;00D546AD&quot;/&gt;&lt;wsp:rsid wsp:val=&quot;00D5579E&quot;/&gt;&lt;wsp:rsid wsp:val=&quot;00D56005&quot;/&gt;&lt;wsp:rsid wsp:val=&quot;00D57114&quot;/&gt;&lt;wsp:rsid wsp:val=&quot;00D573B1&quot;/&gt;&lt;wsp:rsid wsp:val=&quot;00D57E28&quot;/&gt;&lt;wsp:rsid wsp:val=&quot;00D57E3E&quot;/&gt;&lt;wsp:rsid wsp:val=&quot;00D6067B&quot;/&gt;&lt;wsp:rsid wsp:val=&quot;00D63BCE&quot;/&gt;&lt;wsp:rsid wsp:val=&quot;00D64594&quot;/&gt;&lt;wsp:rsid wsp:val=&quot;00D64DF4&quot;/&gt;&lt;wsp:rsid wsp:val=&quot;00D709F7&quot;/&gt;&lt;wsp:rsid wsp:val=&quot;00D71237&quot;/&gt;&lt;wsp:rsid wsp:val=&quot;00D7128E&quot;/&gt;&lt;wsp:rsid wsp:val=&quot;00D72CC6&quot;/&gt;&lt;wsp:rsid wsp:val=&quot;00D72DB5&quot;/&gt;&lt;wsp:rsid wsp:val=&quot;00D749BF&quot;/&gt;&lt;wsp:rsid wsp:val=&quot;00D759DD&quot;/&gt;&lt;wsp:rsid wsp:val=&quot;00D763A6&quot;/&gt;&lt;wsp:rsid wsp:val=&quot;00D76F01&quot;/&gt;&lt;wsp:rsid wsp:val=&quot;00D77251&quot;/&gt;&lt;wsp:rsid wsp:val=&quot;00D81838&quot;/&gt;&lt;wsp:rsid wsp:val=&quot;00D81ED1&quot;/&gt;&lt;wsp:rsid wsp:val=&quot;00D821A2&quot;/&gt;&lt;wsp:rsid wsp:val=&quot;00D82715&quot;/&gt;&lt;wsp:rsid wsp:val=&quot;00D827BD&quot;/&gt;&lt;wsp:rsid wsp:val=&quot;00D83CCA&quot;/&gt;&lt;wsp:rsid wsp:val=&quot;00D85101&quot;/&gt;&lt;wsp:rsid wsp:val=&quot;00D85160&quot;/&gt;&lt;wsp:rsid wsp:val=&quot;00D853D4&quot;/&gt;&lt;wsp:rsid wsp:val=&quot;00D86EAE&quot;/&gt;&lt;wsp:rsid wsp:val=&quot;00D87086&quot;/&gt;&lt;wsp:rsid wsp:val=&quot;00D90538&quot;/&gt;&lt;wsp:rsid wsp:val=&quot;00D9106F&quot;/&gt;&lt;wsp:rsid wsp:val=&quot;00D92144&quot;/&gt;&lt;wsp:rsid wsp:val=&quot;00D9229F&quot;/&gt;&lt;wsp:rsid wsp:val=&quot;00D93098&quot;/&gt;&lt;wsp:rsid wsp:val=&quot;00D9535E&quot;/&gt;&lt;wsp:rsid wsp:val=&quot;00D95A15&quot;/&gt;&lt;wsp:rsid wsp:val=&quot;00D96EF1&quot;/&gt;&lt;wsp:rsid wsp:val=&quot;00DA012B&quot;/&gt;&lt;wsp:rsid wsp:val=&quot;00DA0F85&quot;/&gt;&lt;wsp:rsid wsp:val=&quot;00DA110A&quot;/&gt;&lt;wsp:rsid wsp:val=&quot;00DA4AFE&quot;/&gt;&lt;wsp:rsid wsp:val=&quot;00DA5414&quot;/&gt;&lt;wsp:rsid wsp:val=&quot;00DA67BD&quot;/&gt;&lt;wsp:rsid wsp:val=&quot;00DA7ED0&quot;/&gt;&lt;wsp:rsid wsp:val=&quot;00DA7FCD&quot;/&gt;&lt;wsp:rsid wsp:val=&quot;00DA7FEF&quot;/&gt;&lt;wsp:rsid wsp:val=&quot;00DB00BD&quot;/&gt;&lt;wsp:rsid wsp:val=&quot;00DB0691&quot;/&gt;&lt;wsp:rsid wsp:val=&quot;00DB3D60&quot;/&gt;&lt;wsp:rsid wsp:val=&quot;00DB3F8A&quot;/&gt;&lt;wsp:rsid wsp:val=&quot;00DB45A1&quot;/&gt;&lt;wsp:rsid wsp:val=&quot;00DB5776&quot;/&gt;&lt;wsp:rsid wsp:val=&quot;00DB5891&quot;/&gt;&lt;wsp:rsid wsp:val=&quot;00DB63E8&quot;/&gt;&lt;wsp:rsid wsp:val=&quot;00DC26DE&quot;/&gt;&lt;wsp:rsid wsp:val=&quot;00DC27EC&quot;/&gt;&lt;wsp:rsid wsp:val=&quot;00DC2C31&quot;/&gt;&lt;wsp:rsid wsp:val=&quot;00DC388B&quot;/&gt;&lt;wsp:rsid wsp:val=&quot;00DC50EB&quot;/&gt;&lt;wsp:rsid wsp:val=&quot;00DC50F1&quot;/&gt;&lt;wsp:rsid wsp:val=&quot;00DC5E00&quot;/&gt;&lt;wsp:rsid wsp:val=&quot;00DC69ED&quot;/&gt;&lt;wsp:rsid wsp:val=&quot;00DC6B6D&quot;/&gt;&lt;wsp:rsid wsp:val=&quot;00DD09F3&quot;/&gt;&lt;wsp:rsid wsp:val=&quot;00DD177D&quot;/&gt;&lt;wsp:rsid wsp:val=&quot;00DD20C4&quot;/&gt;&lt;wsp:rsid wsp:val=&quot;00DD2638&quot;/&gt;&lt;wsp:rsid wsp:val=&quot;00DD2823&quot;/&gt;&lt;wsp:rsid wsp:val=&quot;00DD3C7F&quot;/&gt;&lt;wsp:rsid wsp:val=&quot;00DD5DEF&quot;/&gt;&lt;wsp:rsid wsp:val=&quot;00DE0246&quot;/&gt;&lt;wsp:rsid wsp:val=&quot;00DE0BA7&quot;/&gt;&lt;wsp:rsid wsp:val=&quot;00DE10A2&quot;/&gt;&lt;wsp:rsid wsp:val=&quot;00DE149A&quot;/&gt;&lt;wsp:rsid wsp:val=&quot;00DE307F&quot;/&gt;&lt;wsp:rsid wsp:val=&quot;00DE30DE&quot;/&gt;&lt;wsp:rsid wsp:val=&quot;00DE3E45&quot;/&gt;&lt;wsp:rsid wsp:val=&quot;00DE43F6&quot;/&gt;&lt;wsp:rsid wsp:val=&quot;00DE4E19&quot;/&gt;&lt;wsp:rsid wsp:val=&quot;00DE4FF0&quot;/&gt;&lt;wsp:rsid wsp:val=&quot;00DE5BBB&quot;/&gt;&lt;wsp:rsid wsp:val=&quot;00DE6260&quot;/&gt;&lt;wsp:rsid wsp:val=&quot;00DE69B9&quot;/&gt;&lt;wsp:rsid wsp:val=&quot;00DE767B&quot;/&gt;&lt;wsp:rsid wsp:val=&quot;00DF13C6&quot;/&gt;&lt;wsp:rsid wsp:val=&quot;00DF2DD0&quot;/&gt;&lt;wsp:rsid wsp:val=&quot;00DF32C8&quot;/&gt;&lt;wsp:rsid wsp:val=&quot;00DF4988&quot;/&gt;&lt;wsp:rsid wsp:val=&quot;00DF5933&quot;/&gt;&lt;wsp:rsid wsp:val=&quot;00DF7A6A&quot;/&gt;&lt;wsp:rsid wsp:val=&quot;00E00768&quot;/&gt;&lt;wsp:rsid wsp:val=&quot;00E02000&quot;/&gt;&lt;wsp:rsid wsp:val=&quot;00E045FB&quot;/&gt;&lt;wsp:rsid wsp:val=&quot;00E04DB7&quot;/&gt;&lt;wsp:rsid wsp:val=&quot;00E0568E&quot;/&gt;&lt;wsp:rsid wsp:val=&quot;00E05B12&quot;/&gt;&lt;wsp:rsid wsp:val=&quot;00E063CA&quot;/&gt;&lt;wsp:rsid wsp:val=&quot;00E078B0&quot;/&gt;&lt;wsp:rsid wsp:val=&quot;00E14006&quot;/&gt;&lt;wsp:rsid wsp:val=&quot;00E14AF9&quot;/&gt;&lt;wsp:rsid wsp:val=&quot;00E14E4B&quot;/&gt;&lt;wsp:rsid wsp:val=&quot;00E150F7&quot;/&gt;&lt;wsp:rsid wsp:val=&quot;00E15D9F&quot;/&gt;&lt;wsp:rsid wsp:val=&quot;00E165B4&quot;/&gt;&lt;wsp:rsid wsp:val=&quot;00E16AF7&quot;/&gt;&lt;wsp:rsid wsp:val=&quot;00E20115&quot;/&gt;&lt;wsp:rsid wsp:val=&quot;00E20254&quot;/&gt;&lt;wsp:rsid wsp:val=&quot;00E20781&quot;/&gt;&lt;wsp:rsid wsp:val=&quot;00E20BFE&quot;/&gt;&lt;wsp:rsid wsp:val=&quot;00E21009&quot;/&gt;&lt;wsp:rsid wsp:val=&quot;00E210D7&quot;/&gt;&lt;wsp:rsid wsp:val=&quot;00E217F0&quot;/&gt;&lt;wsp:rsid wsp:val=&quot;00E21F40&quot;/&gt;&lt;wsp:rsid wsp:val=&quot;00E22372&quot;/&gt;&lt;wsp:rsid wsp:val=&quot;00E2258F&quot;/&gt;&lt;wsp:rsid wsp:val=&quot;00E25C29&quot;/&gt;&lt;wsp:rsid wsp:val=&quot;00E3133B&quot;/&gt;&lt;wsp:rsid wsp:val=&quot;00E31352&quot;/&gt;&lt;wsp:rsid wsp:val=&quot;00E31D70&quot;/&gt;&lt;wsp:rsid wsp:val=&quot;00E349A7&quot;/&gt;&lt;wsp:rsid wsp:val=&quot;00E34E9E&quot;/&gt;&lt;wsp:rsid wsp:val=&quot;00E36A3E&quot;/&gt;&lt;wsp:rsid wsp:val=&quot;00E40674&quot;/&gt;&lt;wsp:rsid wsp:val=&quot;00E424DF&quot;/&gt;&lt;wsp:rsid wsp:val=&quot;00E43102&quot;/&gt;&lt;wsp:rsid wsp:val=&quot;00E458A4&quot;/&gt;&lt;wsp:rsid wsp:val=&quot;00E4664D&quot;/&gt;&lt;wsp:rsid wsp:val=&quot;00E47925&quot;/&gt;&lt;wsp:rsid wsp:val=&quot;00E51D04&quot;/&gt;&lt;wsp:rsid wsp:val=&quot;00E522E0&quot;/&gt;&lt;wsp:rsid wsp:val=&quot;00E55032&quot;/&gt;&lt;wsp:rsid wsp:val=&quot;00E56B32&quot;/&gt;&lt;wsp:rsid wsp:val=&quot;00E5706E&quot;/&gt;&lt;wsp:rsid wsp:val=&quot;00E5793F&quot;/&gt;&lt;wsp:rsid wsp:val=&quot;00E60C2E&quot;/&gt;&lt;wsp:rsid wsp:val=&quot;00E615B2&quot;/&gt;&lt;wsp:rsid wsp:val=&quot;00E6335A&quot;/&gt;&lt;wsp:rsid wsp:val=&quot;00E63A71&quot;/&gt;&lt;wsp:rsid wsp:val=&quot;00E648FE&quot;/&gt;&lt;wsp:rsid wsp:val=&quot;00E64DA7&quot;/&gt;&lt;wsp:rsid wsp:val=&quot;00E65340&quot;/&gt;&lt;wsp:rsid wsp:val=&quot;00E65A24&quot;/&gt;&lt;wsp:rsid wsp:val=&quot;00E66A30&quot;/&gt;&lt;wsp:rsid wsp:val=&quot;00E71B31&quot;/&gt;&lt;wsp:rsid wsp:val=&quot;00E71B78&quot;/&gt;&lt;wsp:rsid wsp:val=&quot;00E721F5&quot;/&gt;&lt;wsp:rsid wsp:val=&quot;00E7454B&quot;/&gt;&lt;wsp:rsid wsp:val=&quot;00E76193&quot;/&gt;&lt;wsp:rsid wsp:val=&quot;00E766B4&quot;/&gt;&lt;wsp:rsid wsp:val=&quot;00E80852&quot;/&gt;&lt;wsp:rsid wsp:val=&quot;00E80C75&quot;/&gt;&lt;wsp:rsid wsp:val=&quot;00E81662&quot;/&gt;&lt;wsp:rsid wsp:val=&quot;00E8180C&quot;/&gt;&lt;wsp:rsid wsp:val=&quot;00E84514&quot;/&gt;&lt;wsp:rsid wsp:val=&quot;00E84B74&quot;/&gt;&lt;wsp:rsid wsp:val=&quot;00E85766&quot;/&gt;&lt;wsp:rsid wsp:val=&quot;00E86DEA&quot;/&gt;&lt;wsp:rsid wsp:val=&quot;00E86E23&quot;/&gt;&lt;wsp:rsid wsp:val=&quot;00E8726E&quot;/&gt;&lt;wsp:rsid wsp:val=&quot;00E903EE&quot;/&gt;&lt;wsp:rsid wsp:val=&quot;00E90958&quot;/&gt;&lt;wsp:rsid wsp:val=&quot;00E931D9&quot;/&gt;&lt;wsp:rsid wsp:val=&quot;00E93614&quot;/&gt;&lt;wsp:rsid wsp:val=&quot;00E93B31&quot;/&gt;&lt;wsp:rsid wsp:val=&quot;00E97375&quot;/&gt;&lt;wsp:rsid wsp:val=&quot;00EA0267&quot;/&gt;&lt;wsp:rsid wsp:val=&quot;00EA26C0&quot;/&gt;&lt;wsp:rsid wsp:val=&quot;00EA2ED4&quot;/&gt;&lt;wsp:rsid wsp:val=&quot;00EA5179&quot;/&gt;&lt;wsp:rsid wsp:val=&quot;00EA7067&quot;/&gt;&lt;wsp:rsid wsp:val=&quot;00EB0FF4&quot;/&gt;&lt;wsp:rsid wsp:val=&quot;00EB2200&quot;/&gt;&lt;wsp:rsid wsp:val=&quot;00EB395D&quot;/&gt;&lt;wsp:rsid wsp:val=&quot;00EB42DA&quot;/&gt;&lt;wsp:rsid wsp:val=&quot;00EB54A3&quot;/&gt;&lt;wsp:rsid wsp:val=&quot;00EB60DD&quot;/&gt;&lt;wsp:rsid wsp:val=&quot;00EB7131&quot;/&gt;&lt;wsp:rsid wsp:val=&quot;00EB72F9&quot;/&gt;&lt;wsp:rsid wsp:val=&quot;00EC099A&quot;/&gt;&lt;wsp:rsid wsp:val=&quot;00EC0C31&quot;/&gt;&lt;wsp:rsid wsp:val=&quot;00EC1D06&quot;/&gt;&lt;wsp:rsid wsp:val=&quot;00EC2E60&quot;/&gt;&lt;wsp:rsid wsp:val=&quot;00EC36B0&quot;/&gt;&lt;wsp:rsid wsp:val=&quot;00EC52AF&quot;/&gt;&lt;wsp:rsid wsp:val=&quot;00EC6236&quot;/&gt;&lt;wsp:rsid wsp:val=&quot;00EC6576&quot;/&gt;&lt;wsp:rsid wsp:val=&quot;00ED0080&quot;/&gt;&lt;wsp:rsid wsp:val=&quot;00ED113F&quot;/&gt;&lt;wsp:rsid wsp:val=&quot;00ED3F81&quot;/&gt;&lt;wsp:rsid wsp:val=&quot;00ED5E13&quot;/&gt;&lt;wsp:rsid wsp:val=&quot;00EE0569&quot;/&gt;&lt;wsp:rsid wsp:val=&quot;00EE4BB4&quot;/&gt;&lt;wsp:rsid wsp:val=&quot;00EF0CA8&quot;/&gt;&lt;wsp:rsid wsp:val=&quot;00EF2257&quot;/&gt;&lt;wsp:rsid wsp:val=&quot;00EF2B33&quot;/&gt;&lt;wsp:rsid wsp:val=&quot;00EF3546&quot;/&gt;&lt;wsp:rsid wsp:val=&quot;00EF43FE&quot;/&gt;&lt;wsp:rsid wsp:val=&quot;00EF4B6E&quot;/&gt;&lt;wsp:rsid wsp:val=&quot;00EF576C&quot;/&gt;&lt;wsp:rsid wsp:val=&quot;00EF60AF&quot;/&gt;&lt;wsp:rsid wsp:val=&quot;00EF7B39&quot;/&gt;&lt;wsp:rsid wsp:val=&quot;00F006EC&quot;/&gt;&lt;wsp:rsid wsp:val=&quot;00F0252B&quot;/&gt;&lt;wsp:rsid wsp:val=&quot;00F036F1&quot;/&gt;&lt;wsp:rsid wsp:val=&quot;00F056FC&quot;/&gt;&lt;wsp:rsid wsp:val=&quot;00F05D34&quot;/&gt;&lt;wsp:rsid wsp:val=&quot;00F109B3&quot;/&gt;&lt;wsp:rsid wsp:val=&quot;00F11DB9&quot;/&gt;&lt;wsp:rsid wsp:val=&quot;00F131AA&quot;/&gt;&lt;wsp:rsid wsp:val=&quot;00F13471&quot;/&gt;&lt;wsp:rsid wsp:val=&quot;00F13A00&quot;/&gt;&lt;wsp:rsid wsp:val=&quot;00F1466A&quot;/&gt;&lt;wsp:rsid wsp:val=&quot;00F14BE2&quot;/&gt;&lt;wsp:rsid wsp:val=&quot;00F15481&quot;/&gt;&lt;wsp:rsid wsp:val=&quot;00F15712&quot;/&gt;&lt;wsp:rsid wsp:val=&quot;00F15B92&quot;/&gt;&lt;wsp:rsid wsp:val=&quot;00F1652F&quot;/&gt;&lt;wsp:rsid wsp:val=&quot;00F20EB7&quot;/&gt;&lt;wsp:rsid wsp:val=&quot;00F2168B&quot;/&gt;&lt;wsp:rsid wsp:val=&quot;00F21A77&quot;/&gt;&lt;wsp:rsid wsp:val=&quot;00F22153&quot;/&gt;&lt;wsp:rsid wsp:val=&quot;00F2293C&quot;/&gt;&lt;wsp:rsid wsp:val=&quot;00F24202&quot;/&gt;&lt;wsp:rsid wsp:val=&quot;00F25B92&quot;/&gt;&lt;wsp:rsid wsp:val=&quot;00F25EFC&quot;/&gt;&lt;wsp:rsid wsp:val=&quot;00F26B03&quot;/&gt;&lt;wsp:rsid wsp:val=&quot;00F26DC2&quot;/&gt;&lt;wsp:rsid wsp:val=&quot;00F32109&quot;/&gt;&lt;wsp:rsid wsp:val=&quot;00F3393E&quot;/&gt;&lt;wsp:rsid wsp:val=&quot;00F361C6&quot;/&gt;&lt;wsp:rsid wsp:val=&quot;00F3780E&quot;/&gt;&lt;wsp:rsid wsp:val=&quot;00F40E0E&quot;/&gt;&lt;wsp:rsid wsp:val=&quot;00F424DE&quot;/&gt;&lt;wsp:rsid wsp:val=&quot;00F42DAB&quot;/&gt;&lt;wsp:rsid wsp:val=&quot;00F42E64&quot;/&gt;&lt;wsp:rsid wsp:val=&quot;00F44719&quot;/&gt;&lt;wsp:rsid wsp:val=&quot;00F47A51&quot;/&gt;&lt;wsp:rsid wsp:val=&quot;00F47B98&quot;/&gt;&lt;wsp:rsid wsp:val=&quot;00F5072A&quot;/&gt;&lt;wsp:rsid wsp:val=&quot;00F50A5E&quot;/&gt;&lt;wsp:rsid wsp:val=&quot;00F51D5A&quot;/&gt;&lt;wsp:rsid wsp:val=&quot;00F540C0&quot;/&gt;&lt;wsp:rsid wsp:val=&quot;00F54E22&quot;/&gt;&lt;wsp:rsid wsp:val=&quot;00F6126D&quot;/&gt;&lt;wsp:rsid wsp:val=&quot;00F61A4B&quot;/&gt;&lt;wsp:rsid wsp:val=&quot;00F635CE&quot;/&gt;&lt;wsp:rsid wsp:val=&quot;00F63713&quot;/&gt;&lt;wsp:rsid wsp:val=&quot;00F655B2&quot;/&gt;&lt;wsp:rsid wsp:val=&quot;00F70FCD&quot;/&gt;&lt;wsp:rsid wsp:val=&quot;00F72CE6&quot;/&gt;&lt;wsp:rsid wsp:val=&quot;00F755F4&quot;/&gt;&lt;wsp:rsid wsp:val=&quot;00F75A28&quot;/&gt;&lt;wsp:rsid wsp:val=&quot;00F761B1&quot;/&gt;&lt;wsp:rsid wsp:val=&quot;00F762FD&quot;/&gt;&lt;wsp:rsid wsp:val=&quot;00F77547&quot;/&gt;&lt;wsp:rsid wsp:val=&quot;00F81D6F&quot;/&gt;&lt;wsp:rsid wsp:val=&quot;00F83C5C&quot;/&gt;&lt;wsp:rsid wsp:val=&quot;00F867C1&quot;/&gt;&lt;wsp:rsid wsp:val=&quot;00F87ADD&quot;/&gt;&lt;wsp:rsid wsp:val=&quot;00F87CDF&quot;/&gt;&lt;wsp:rsid wsp:val=&quot;00F910C5&quot;/&gt;&lt;wsp:rsid wsp:val=&quot;00F91795&quot;/&gt;&lt;wsp:rsid wsp:val=&quot;00F91DE6&quot;/&gt;&lt;wsp:rsid wsp:val=&quot;00F922CA&quot;/&gt;&lt;wsp:rsid wsp:val=&quot;00F92D31&quot;/&gt;&lt;wsp:rsid wsp:val=&quot;00F92D43&quot;/&gt;&lt;wsp:rsid wsp:val=&quot;00F9373C&quot;/&gt;&lt;wsp:rsid wsp:val=&quot;00F94D66&quot;/&gt;&lt;wsp:rsid wsp:val=&quot;00F95794&quot;/&gt;&lt;wsp:rsid wsp:val=&quot;00F961EE&quot;/&gt;&lt;wsp:rsid wsp:val=&quot;00FA1EB9&quot;/&gt;&lt;wsp:rsid wsp:val=&quot;00FA347B&quot;/&gt;&lt;wsp:rsid wsp:val=&quot;00FA4618&quot;/&gt;&lt;wsp:rsid wsp:val=&quot;00FA5657&quot;/&gt;&lt;wsp:rsid wsp:val=&quot;00FA6421&quot;/&gt;&lt;wsp:rsid wsp:val=&quot;00FB0C31&quot;/&gt;&lt;wsp:rsid wsp:val=&quot;00FB46CD&quot;/&gt;&lt;wsp:rsid wsp:val=&quot;00FB5023&quot;/&gt;&lt;wsp:rsid wsp:val=&quot;00FB5226&quot;/&gt;&lt;wsp:rsid wsp:val=&quot;00FB76BF&quot;/&gt;&lt;wsp:rsid wsp:val=&quot;00FB7ED2&quot;/&gt;&lt;wsp:rsid wsp:val=&quot;00FC1599&quot;/&gt;&lt;wsp:rsid wsp:val=&quot;00FC2ADD&quot;/&gt;&lt;wsp:rsid wsp:val=&quot;00FC364A&quot;/&gt;&lt;wsp:rsid wsp:val=&quot;00FC36E7&quot;/&gt;&lt;wsp:rsid wsp:val=&quot;00FC41A5&quot;/&gt;&lt;wsp:rsid wsp:val=&quot;00FC42EF&quot;/&gt;&lt;wsp:rsid wsp:val=&quot;00FC65EF&quot;/&gt;&lt;wsp:rsid wsp:val=&quot;00FC74D6&quot;/&gt;&lt;wsp:rsid wsp:val=&quot;00FD035C&quot;/&gt;&lt;wsp:rsid wsp:val=&quot;00FD1F0C&quot;/&gt;&lt;wsp:rsid wsp:val=&quot;00FD315C&quot;/&gt;&lt;wsp:rsid wsp:val=&quot;00FD384C&quot;/&gt;&lt;wsp:rsid wsp:val=&quot;00FD4A6A&quot;/&gt;&lt;wsp:rsid wsp:val=&quot;00FE0A10&quot;/&gt;&lt;wsp:rsid wsp:val=&quot;00FE2120&quot;/&gt;&lt;wsp:rsid wsp:val=&quot;00FE3369&quot;/&gt;&lt;wsp:rsid wsp:val=&quot;00FE3D73&quot;/&gt;&lt;wsp:rsid wsp:val=&quot;00FE40AE&quot;/&gt;&lt;wsp:rsid wsp:val=&quot;00FE6B1E&quot;/&gt;&lt;wsp:rsid wsp:val=&quot;00FE6C6D&quot;/&gt;&lt;wsp:rsid wsp:val=&quot;00FE6D79&quot;/&gt;&lt;wsp:rsid wsp:val=&quot;00FE6E32&quot;/&gt;&lt;wsp:rsid wsp:val=&quot;00FE6ECE&quot;/&gt;&lt;wsp:rsid wsp:val=&quot;00FF1175&quot;/&gt;&lt;wsp:rsid wsp:val=&quot;00FF1E60&quot;/&gt;&lt;wsp:rsid wsp:val=&quot;00FF23AF&quot;/&gt;&lt;wsp:rsid wsp:val=&quot;00FF3012&quot;/&gt;&lt;wsp:rsid wsp:val=&quot;00FF51AC&quot;/&gt;&lt;wsp:rsid wsp:val=&quot;00FF5398&quot;/&gt;&lt;wsp:rsid wsp:val=&quot;00FF563F&quot;/&gt;&lt;wsp:rsid wsp:val=&quot;00FF6698&quot;/&gt;&lt;wsp:rsid wsp:val=&quot;00FF7AC9&quot;/&gt;&lt;wsp:rsid wsp:val=&quot;00FF7CAB&quot;/&gt;&lt;wsp:rsid wsp:val=&quot;01A9638C&quot;/&gt;&lt;wsp:rsid wsp:val=&quot;01F85371&quot;/&gt;&lt;wsp:rsid wsp:val=&quot;020D6D1E&quot;/&gt;&lt;wsp:rsid wsp:val=&quot;027D63FC&quot;/&gt;&lt;wsp:rsid wsp:val=&quot;02941C3C&quot;/&gt;&lt;wsp:rsid wsp:val=&quot;029A40EF&quot;/&gt;&lt;wsp:rsid wsp:val=&quot;02B81F83&quot;/&gt;&lt;wsp:rsid wsp:val=&quot;03491A7A&quot;/&gt;&lt;wsp:rsid wsp:val=&quot;0371482E&quot;/&gt;&lt;wsp:rsid wsp:val=&quot;037309ED&quot;/&gt;&lt;wsp:rsid wsp:val=&quot;039C4E7A&quot;/&gt;&lt;wsp:rsid wsp:val=&quot;03E61ABE&quot;/&gt;&lt;wsp:rsid wsp:val=&quot;04046254&quot;/&gt;&lt;wsp:rsid wsp:val=&quot;042E0AC2&quot;/&gt;&lt;wsp:rsid wsp:val=&quot;044B5074&quot;/&gt;&lt;wsp:rsid wsp:val=&quot;046B05C8&quot;/&gt;&lt;wsp:rsid wsp:val=&quot;048C534E&quot;/&gt;&lt;wsp:rsid wsp:val=&quot;04B23C93&quot;/&gt;&lt;wsp:rsid wsp:val=&quot;04E0662D&quot;/&gt;&lt;wsp:rsid wsp:val=&quot;05234CEB&quot;/&gt;&lt;wsp:rsid wsp:val=&quot;0558310B&quot;/&gt;&lt;wsp:rsid wsp:val=&quot;05903D2C&quot;/&gt;&lt;wsp:rsid wsp:val=&quot;059C32B2&quot;/&gt;&lt;wsp:rsid wsp:val=&quot;059E3EB2&quot;/&gt;&lt;wsp:rsid wsp:val=&quot;05C029BC&quot;/&gt;&lt;wsp:rsid wsp:val=&quot;05D67251&quot;/&gt;&lt;wsp:rsid wsp:val=&quot;05F67670&quot;/&gt;&lt;wsp:rsid wsp:val=&quot;060937A2&quot;/&gt;&lt;wsp:rsid wsp:val=&quot;060F1745&quot;/&gt;&lt;wsp:rsid wsp:val=&quot;06243C1A&quot;/&gt;&lt;wsp:rsid wsp:val=&quot;06A44F74&quot;/&gt;&lt;wsp:rsid wsp:val=&quot;06D97670&quot;/&gt;&lt;wsp:rsid wsp:val=&quot;06E83ABD&quot;/&gt;&lt;wsp:rsid wsp:val=&quot;06F818AD&quot;/&gt;&lt;wsp:rsid wsp:val=&quot;073A3FDE&quot;/&gt;&lt;wsp:rsid wsp:val=&quot;07412932&quot;/&gt;&lt;wsp:rsid wsp:val=&quot;07454CF4&quot;/&gt;&lt;wsp:rsid wsp:val=&quot;07B808DA&quot;/&gt;&lt;wsp:rsid wsp:val=&quot;07C20B3C&quot;/&gt;&lt;wsp:rsid wsp:val=&quot;07FF672F&quot;/&gt;&lt;wsp:rsid wsp:val=&quot;08181DD2&quot;/&gt;&lt;wsp:rsid wsp:val=&quot;08302DB4&quot;/&gt;&lt;wsp:rsid wsp:val=&quot;08362EFF&quot;/&gt;&lt;wsp:rsid wsp:val=&quot;08E94ACB&quot;/&gt;&lt;wsp:rsid wsp:val=&quot;08F67FAD&quot;/&gt;&lt;wsp:rsid wsp:val=&quot;09933083&quot;/&gt;&lt;wsp:rsid wsp:val=&quot;0998586E&quot;/&gt;&lt;wsp:rsid wsp:val=&quot;0A257C72&quot;/&gt;&lt;wsp:rsid wsp:val=&quot;0A4A4A0C&quot;/&gt;&lt;wsp:rsid wsp:val=&quot;0AB147C7&quot;/&gt;&lt;wsp:rsid wsp:val=&quot;0ABD41C7&quot;/&gt;&lt;wsp:rsid wsp:val=&quot;0AE54EA6&quot;/&gt;&lt;wsp:rsid wsp:val=&quot;0B1B780F&quot;/&gt;&lt;wsp:rsid wsp:val=&quot;0B1D79F7&quot;/&gt;&lt;wsp:rsid wsp:val=&quot;0B671A27&quot;/&gt;&lt;wsp:rsid wsp:val=&quot;0B940897&quot;/&gt;&lt;wsp:rsid wsp:val=&quot;0BA4683A&quot;/&gt;&lt;wsp:rsid wsp:val=&quot;0BCD09CC&quot;/&gt;&lt;wsp:rsid wsp:val=&quot;0BCE7110&quot;/&gt;&lt;wsp:rsid wsp:val=&quot;0BDB6BA1&quot;/&gt;&lt;wsp:rsid wsp:val=&quot;0BDC1082&quot;/&gt;&lt;wsp:rsid wsp:val=&quot;0C43590E&quot;/&gt;&lt;wsp:rsid wsp:val=&quot;0C480449&quot;/&gt;&lt;wsp:rsid wsp:val=&quot;0CA73B71&quot;/&gt;&lt;wsp:rsid wsp:val=&quot;0CA75843&quot;/&gt;&lt;wsp:rsid wsp:val=&quot;0CB23D1F&quot;/&gt;&lt;wsp:rsid wsp:val=&quot;0CC043DF&quot;/&gt;&lt;wsp:rsid wsp:val=&quot;0CD47EE7&quot;/&gt;&lt;wsp:rsid wsp:val=&quot;0CEB3052&quot;/&gt;&lt;wsp:rsid wsp:val=&quot;0CFA171A&quot;/&gt;&lt;wsp:rsid wsp:val=&quot;0CFD21BC&quot;/&gt;&lt;wsp:rsid wsp:val=&quot;0D00555A&quot;/&gt;&lt;wsp:rsid wsp:val=&quot;0D5832D9&quot;/&gt;&lt;wsp:rsid wsp:val=&quot;0DF40578&quot;/&gt;&lt;wsp:rsid wsp:val=&quot;0DF55B6D&quot;/&gt;&lt;wsp:rsid wsp:val=&quot;0E780BD3&quot;/&gt;&lt;wsp:rsid wsp:val=&quot;0ED927DA&quot;/&gt;&lt;wsp:rsid wsp:val=&quot;0F103A6F&quot;/&gt;&lt;wsp:rsid wsp:val=&quot;0F1A0988&quot;/&gt;&lt;wsp:rsid wsp:val=&quot;0F2969B2&quot;/&gt;&lt;wsp:rsid wsp:val=&quot;0F8B1C35&quot;/&gt;&lt;wsp:rsid wsp:val=&quot;10653ED8&quot;/&gt;&lt;wsp:rsid wsp:val=&quot;106F5F73&quot;/&gt;&lt;wsp:rsid wsp:val=&quot;107144EC&quot;/&gt;&lt;wsp:rsid wsp:val=&quot;10C262E9&quot;/&gt;&lt;wsp:rsid wsp:val=&quot;10FF4A36&quot;/&gt;&lt;wsp:rsid wsp:val=&quot;117634A0&quot;/&gt;&lt;wsp:rsid wsp:val=&quot;1180157B&quot;/&gt;&lt;wsp:rsid wsp:val=&quot;11D40D67&quot;/&gt;&lt;wsp:rsid wsp:val=&quot;11DC1EEF&quot;/&gt;&lt;wsp:rsid wsp:val=&quot;12526757&quot;/&gt;&lt;wsp:rsid wsp:val=&quot;126877AA&quot;/&gt;&lt;wsp:rsid wsp:val=&quot;126E1A7A&quot;/&gt;&lt;wsp:rsid wsp:val=&quot;1271309A&quot;/&gt;&lt;wsp:rsid wsp:val=&quot;128C50B6&quot;/&gt;&lt;wsp:rsid wsp:val=&quot;12B37322&quot;/&gt;&lt;wsp:rsid wsp:val=&quot;12C02BEE&quot;/&gt;&lt;wsp:rsid wsp:val=&quot;12F23DF2&quot;/&gt;&lt;wsp:rsid wsp:val=&quot;12F41C6C&quot;/&gt;&lt;wsp:rsid wsp:val=&quot;130F4F30&quot;/&gt;&lt;wsp:rsid wsp:val=&quot;132317A5&quot;/&gt;&lt;wsp:rsid wsp:val=&quot;132450D4&quot;/&gt;&lt;wsp:rsid wsp:val=&quot;134127BA&quot;/&gt;&lt;wsp:rsid wsp:val=&quot;13494A88&quot;/&gt;&lt;wsp:rsid wsp:val=&quot;136D32DC&quot;/&gt;&lt;wsp:rsid wsp:val=&quot;136D692E&quot;/&gt;&lt;wsp:rsid wsp:val=&quot;13C31D0C&quot;/&gt;&lt;wsp:rsid wsp:val=&quot;141F7F3D&quot;/&gt;&lt;wsp:rsid wsp:val=&quot;14362780&quot;/&gt;&lt;wsp:rsid wsp:val=&quot;145506B6&quot;/&gt;&lt;wsp:rsid wsp:val=&quot;14B77509&quot;/&gt;&lt;wsp:rsid wsp:val=&quot;14DC5ACF&quot;/&gt;&lt;wsp:rsid wsp:val=&quot;155E77AE&quot;/&gt;&lt;wsp:rsid wsp:val=&quot;15B15E77&quot;/&gt;&lt;wsp:rsid wsp:val=&quot;15B51383&quot;/&gt;&lt;wsp:rsid wsp:val=&quot;15D2459B&quot;/&gt;&lt;wsp:rsid wsp:val=&quot;16086ED5&quot;/&gt;&lt;wsp:rsid wsp:val=&quot;16506B76&quot;/&gt;&lt;wsp:rsid wsp:val=&quot;16A828BB&quot;/&gt;&lt;wsp:rsid wsp:val=&quot;173B26F1&quot;/&gt;&lt;wsp:rsid wsp:val=&quot;176255CF&quot;/&gt;&lt;wsp:rsid wsp:val=&quot;17921C4A&quot;/&gt;&lt;wsp:rsid wsp:val=&quot;17AA38EE&quot;/&gt;&lt;wsp:rsid wsp:val=&quot;17AE6AF4&quot;/&gt;&lt;wsp:rsid wsp:val=&quot;18316932&quot;/&gt;&lt;wsp:rsid wsp:val=&quot;1845122F&quot;/&gt;&lt;wsp:rsid wsp:val=&quot;18680999&quot;/&gt;&lt;wsp:rsid wsp:val=&quot;18A1150B&quot;/&gt;&lt;wsp:rsid wsp:val=&quot;18C4594A&quot;/&gt;&lt;wsp:rsid wsp:val=&quot;18D407E2&quot;/&gt;&lt;wsp:rsid wsp:val=&quot;18E900FC&quot;/&gt;&lt;wsp:rsid wsp:val=&quot;194525D6&quot;/&gt;&lt;wsp:rsid wsp:val=&quot;19551599&quot;/&gt;&lt;wsp:rsid wsp:val=&quot;196B266A&quot;/&gt;&lt;wsp:rsid wsp:val=&quot;19724740&quot;/&gt;&lt;wsp:rsid wsp:val=&quot;19747BBC&quot;/&gt;&lt;wsp:rsid wsp:val=&quot;19901FF4&quot;/&gt;&lt;wsp:rsid wsp:val=&quot;19F81C79&quot;/&gt;&lt;wsp:rsid wsp:val=&quot;1A1518CF&quot;/&gt;&lt;wsp:rsid wsp:val=&quot;1ACB37C8&quot;/&gt;&lt;wsp:rsid wsp:val=&quot;1AD50A1E&quot;/&gt;&lt;wsp:rsid wsp:val=&quot;1B3F15DF&quot;/&gt;&lt;wsp:rsid wsp:val=&quot;1B811131&quot;/&gt;&lt;wsp:rsid wsp:val=&quot;1B8E73D9&quot;/&gt;&lt;wsp:rsid wsp:val=&quot;1B982306&quot;/&gt;&lt;wsp:rsid wsp:val=&quot;1BFE5956&quot;/&gt;&lt;wsp:rsid wsp:val=&quot;1C29312F&quot;/&gt;&lt;wsp:rsid wsp:val=&quot;1CDC62A6&quot;/&gt;&lt;wsp:rsid wsp:val=&quot;1D4A291B&quot;/&gt;&lt;wsp:rsid wsp:val=&quot;1D4E0F5F&quot;/&gt;&lt;wsp:rsid wsp:val=&quot;1D712ECF&quot;/&gt;&lt;wsp:rsid wsp:val=&quot;1D801D7C&quot;/&gt;&lt;wsp:rsid wsp:val=&quot;1D804FA5&quot;/&gt;&lt;wsp:rsid wsp:val=&quot;1DD828FE&quot;/&gt;&lt;wsp:rsid wsp:val=&quot;1DE6154C&quot;/&gt;&lt;wsp:rsid wsp:val=&quot;1EDF64EB&quot;/&gt;&lt;wsp:rsid wsp:val=&quot;1F7900B1&quot;/&gt;&lt;wsp:rsid wsp:val=&quot;1F954039&quot;/&gt;&lt;wsp:rsid wsp:val=&quot;1FDB53EB&quot;/&gt;&lt;wsp:rsid wsp:val=&quot;1FEE3723&quot;/&gt;&lt;wsp:rsid wsp:val=&quot;20606F4A&quot;/&gt;&lt;wsp:rsid wsp:val=&quot;208C769A&quot;/&gt;&lt;wsp:rsid wsp:val=&quot;20A9595F&quot;/&gt;&lt;wsp:rsid wsp:val=&quot;214B445B&quot;/&gt;&lt;wsp:rsid wsp:val=&quot;21582D22&quot;/&gt;&lt;wsp:rsid wsp:val=&quot;21B270E4&quot;/&gt;&lt;wsp:rsid wsp:val=&quot;220001CD&quot;/&gt;&lt;wsp:rsid wsp:val=&quot;2204542F&quot;/&gt;&lt;wsp:rsid wsp:val=&quot;221631F1&quot;/&gt;&lt;wsp:rsid wsp:val=&quot;227667D1&quot;/&gt;&lt;wsp:rsid wsp:val=&quot;23CC7181&quot;/&gt;&lt;wsp:rsid wsp:val=&quot;23D55986&quot;/&gt;&lt;wsp:rsid wsp:val=&quot;24023566&quot;/&gt;&lt;wsp:rsid wsp:val=&quot;24822315&quot;/&gt;&lt;wsp:rsid wsp:val=&quot;24866577&quot;/&gt;&lt;wsp:rsid wsp:val=&quot;248C3975&quot;/&gt;&lt;wsp:rsid wsp:val=&quot;249E26AC&quot;/&gt;&lt;wsp:rsid wsp:val=&quot;24CA406C&quot;/&gt;&lt;wsp:rsid wsp:val=&quot;251D1FB5&quot;/&gt;&lt;wsp:rsid wsp:val=&quot;25741DEA&quot;/&gt;&lt;wsp:rsid wsp:val=&quot;25922AC5&quot;/&gt;&lt;wsp:rsid wsp:val=&quot;26064A97&quot;/&gt;&lt;wsp:rsid wsp:val=&quot;26405B2B&quot;/&gt;&lt;wsp:rsid wsp:val=&quot;264C5406&quot;/&gt;&lt;wsp:rsid wsp:val=&quot;266E3399&quot;/&gt;&lt;wsp:rsid wsp:val=&quot;26B87C20&quot;/&gt;&lt;wsp:rsid wsp:val=&quot;26E07FE7&quot;/&gt;&lt;wsp:rsid wsp:val=&quot;27565261&quot;/&gt;&lt;wsp:rsid wsp:val=&quot;27A75CDF&quot;/&gt;&lt;wsp:rsid wsp:val=&quot;27B16C2F&quot;/&gt;&lt;wsp:rsid wsp:val=&quot;27B37F34&quot;/&gt;&lt;wsp:rsid wsp:val=&quot;27C03E4F&quot;/&gt;&lt;wsp:rsid wsp:val=&quot;27CE323F&quot;/&gt;&lt;wsp:rsid wsp:val=&quot;27CF4354&quot;/&gt;&lt;wsp:rsid wsp:val=&quot;27EC6B73&quot;/&gt;&lt;wsp:rsid wsp:val=&quot;285A39FC&quot;/&gt;&lt;wsp:rsid wsp:val=&quot;285E62F2&quot;/&gt;&lt;wsp:rsid wsp:val=&quot;28670081&quot;/&gt;&lt;wsp:rsid wsp:val=&quot;288A702C&quot;/&gt;&lt;wsp:rsid wsp:val=&quot;28B018BB&quot;/&gt;&lt;wsp:rsid wsp:val=&quot;28E62B8A&quot;/&gt;&lt;wsp:rsid wsp:val=&quot;28F10C29&quot;/&gt;&lt;wsp:rsid wsp:val=&quot;292A4B58&quot;/&gt;&lt;wsp:rsid wsp:val=&quot;296443A6&quot;/&gt;&lt;wsp:rsid wsp:val=&quot;298C1EAF&quot;/&gt;&lt;wsp:rsid wsp:val=&quot;29C55E80&quot;/&gt;&lt;wsp:rsid wsp:val=&quot;29D4729A&quot;/&gt;&lt;wsp:rsid wsp:val=&quot;29E36D37&quot;/&gt;&lt;wsp:rsid wsp:val=&quot;2A3C69C8&quot;/&gt;&lt;wsp:rsid wsp:val=&quot;2A5C6DFA&quot;/&gt;&lt;wsp:rsid wsp:val=&quot;2A7F371E&quot;/&gt;&lt;wsp:rsid wsp:val=&quot;2AF27104&quot;/&gt;&lt;wsp:rsid wsp:val=&quot;2B283A45&quot;/&gt;&lt;wsp:rsid wsp:val=&quot;2B995893&quot;/&gt;&lt;wsp:rsid wsp:val=&quot;2BD463F1&quot;/&gt;&lt;wsp:rsid wsp:val=&quot;2C1B2F79&quot;/&gt;&lt;wsp:rsid wsp:val=&quot;2C6278CF&quot;/&gt;&lt;wsp:rsid wsp:val=&quot;2C7D34EA&quot;/&gt;&lt;wsp:rsid wsp:val=&quot;2C9654BA&quot;/&gt;&lt;wsp:rsid wsp:val=&quot;2CDE3748&quot;/&gt;&lt;wsp:rsid wsp:val=&quot;2D0749ED&quot;/&gt;&lt;wsp:rsid wsp:val=&quot;2D3B266C&quot;/&gt;&lt;wsp:rsid wsp:val=&quot;2D627E7F&quot;/&gt;&lt;wsp:rsid wsp:val=&quot;2DA470D2&quot;/&gt;&lt;wsp:rsid wsp:val=&quot;2DB548EF&quot;/&gt;&lt;wsp:rsid wsp:val=&quot;2DC724A5&quot;/&gt;&lt;wsp:rsid wsp:val=&quot;2DD17AA1&quot;/&gt;&lt;wsp:rsid wsp:val=&quot;2DD967B6&quot;/&gt;&lt;wsp:rsid wsp:val=&quot;2DE17319&quot;/&gt;&lt;wsp:rsid wsp:val=&quot;2E385A22&quot;/&gt;&lt;wsp:rsid wsp:val=&quot;2E8309E9&quot;/&gt;&lt;wsp:rsid wsp:val=&quot;2E863C7D&quot;/&gt;&lt;wsp:rsid wsp:val=&quot;2E9E44D0&quot;/&gt;&lt;wsp:rsid wsp:val=&quot;2EEB36BC&quot;/&gt;&lt;wsp:rsid wsp:val=&quot;2F012CCA&quot;/&gt;&lt;wsp:rsid wsp:val=&quot;2F080037&quot;/&gt;&lt;wsp:rsid wsp:val=&quot;2F245911&quot;/&gt;&lt;wsp:rsid wsp:val=&quot;2F675DBF&quot;/&gt;&lt;wsp:rsid wsp:val=&quot;2FD81079&quot;/&gt;&lt;wsp:rsid wsp:val=&quot;30204C8D&quot;/&gt;&lt;wsp:rsid wsp:val=&quot;30A32892&quot;/&gt;&lt;wsp:rsid wsp:val=&quot;30AF4173&quot;/&gt;&lt;wsp:rsid wsp:val=&quot;310B5FD5&quot;/&gt;&lt;wsp:rsid wsp:val=&quot;311D2B15&quot;/&gt;&lt;wsp:rsid wsp:val=&quot;315219CD&quot;/&gt;&lt;wsp:rsid wsp:val=&quot;315F249D&quot;/&gt;&lt;wsp:rsid wsp:val=&quot;316D30FD&quot;/&gt;&lt;wsp:rsid wsp:val=&quot;319F0B7F&quot;/&gt;&lt;wsp:rsid wsp:val=&quot;31C14EA0&quot;/&gt;&lt;wsp:rsid wsp:val=&quot;31D55C00&quot;/&gt;&lt;wsp:rsid wsp:val=&quot;323B259A&quot;/&gt;&lt;wsp:rsid wsp:val=&quot;32AC391E&quot;/&gt;&lt;wsp:rsid wsp:val=&quot;32BC30CA&quot;/&gt;&lt;wsp:rsid wsp:val=&quot;32BF3C6E&quot;/&gt;&lt;wsp:rsid wsp:val=&quot;3311198C&quot;/&gt;&lt;wsp:rsid wsp:val=&quot;336C5F8A&quot;/&gt;&lt;wsp:rsid wsp:val=&quot;338054FA&quot;/&gt;&lt;wsp:rsid wsp:val=&quot;34946271&quot;/&gt;&lt;wsp:rsid wsp:val=&quot;34BD2FD0&quot;/&gt;&lt;wsp:rsid wsp:val=&quot;34DD4E51&quot;/&gt;&lt;wsp:rsid wsp:val=&quot;34EB3E79&quot;/&gt;&lt;wsp:rsid wsp:val=&quot;34FA55BB&quot;/&gt;&lt;wsp:rsid wsp:val=&quot;351346F4&quot;/&gt;&lt;wsp:rsid wsp:val=&quot;3519120D&quot;/&gt;&lt;wsp:rsid wsp:val=&quot;353841D7&quot;/&gt;&lt;wsp:rsid wsp:val=&quot;35486C97&quot;/&gt;&lt;wsp:rsid wsp:val=&quot;355C3F1D&quot;/&gt;&lt;wsp:rsid wsp:val=&quot;35834A77&quot;/&gt;&lt;wsp:rsid wsp:val=&quot;35883A12&quot;/&gt;&lt;wsp:rsid wsp:val=&quot;358A5BFF&quot;/&gt;&lt;wsp:rsid wsp:val=&quot;35ED1F16&quot;/&gt;&lt;wsp:rsid wsp:val=&quot;36075B09&quot;/&gt;&lt;wsp:rsid wsp:val=&quot;362A1EC0&quot;/&gt;&lt;wsp:rsid wsp:val=&quot;365458FE&quot;/&gt;&lt;wsp:rsid wsp:val=&quot;36684B41&quot;/&gt;&lt;wsp:rsid wsp:val=&quot;36A43B21&quot;/&gt;&lt;wsp:rsid wsp:val=&quot;36D375F8&quot;/&gt;&lt;wsp:rsid wsp:val=&quot;372B084D&quot;/&gt;&lt;wsp:rsid wsp:val=&quot;3749353D&quot;/&gt;&lt;wsp:rsid wsp:val=&quot;379B7C31&quot;/&gt;&lt;wsp:rsid wsp:val=&quot;37F92253&quot;/&gt;&lt;wsp:rsid wsp:val=&quot;381C2332&quot;/&gt;&lt;wsp:rsid wsp:val=&quot;382C7ABC&quot;/&gt;&lt;wsp:rsid wsp:val=&quot;38465704&quot;/&gt;&lt;wsp:rsid wsp:val=&quot;38584DB5&quot;/&gt;&lt;wsp:rsid wsp:val=&quot;38B41DF8&quot;/&gt;&lt;wsp:rsid wsp:val=&quot;38C417D8&quot;/&gt;&lt;wsp:rsid wsp:val=&quot;38FE67F7&quot;/&gt;&lt;wsp:rsid wsp:val=&quot;399F73AA&quot;/&gt;&lt;wsp:rsid wsp:val=&quot;39B02A1B&quot;/&gt;&lt;wsp:rsid wsp:val=&quot;3A18128F&quot;/&gt;&lt;wsp:rsid wsp:val=&quot;3A3C7C74&quot;/&gt;&lt;wsp:rsid wsp:val=&quot;3AA44729&quot;/&gt;&lt;wsp:rsid wsp:val=&quot;3AC25D65&quot;/&gt;&lt;wsp:rsid wsp:val=&quot;3B0A566C&quot;/&gt;&lt;wsp:rsid wsp:val=&quot;3B31440C&quot;/&gt;&lt;wsp:rsid wsp:val=&quot;3B5804F5&quot;/&gt;&lt;wsp:rsid wsp:val=&quot;3B5854EC&quot;/&gt;&lt;wsp:rsid wsp:val=&quot;3B8C734A&quot;/&gt;&lt;wsp:rsid wsp:val=&quot;3B9E1870&quot;/&gt;&lt;wsp:rsid wsp:val=&quot;3BB36AED&quot;/&gt;&lt;wsp:rsid wsp:val=&quot;3C485E31&quot;/&gt;&lt;wsp:rsid wsp:val=&quot;3C7512E3&quot;/&gt;&lt;wsp:rsid wsp:val=&quot;3C7B34FE&quot;/&gt;&lt;wsp:rsid wsp:val=&quot;3D0E12EF&quot;/&gt;&lt;wsp:rsid wsp:val=&quot;3D207F9E&quot;/&gt;&lt;wsp:rsid wsp:val=&quot;3D382D5F&quot;/&gt;&lt;wsp:rsid wsp:val=&quot;3D5075A9&quot;/&gt;&lt;wsp:rsid wsp:val=&quot;3D6325D9&quot;/&gt;&lt;wsp:rsid wsp:val=&quot;3D7F4BBA&quot;/&gt;&lt;wsp:rsid wsp:val=&quot;3DB46C30&quot;/&gt;&lt;wsp:rsid wsp:val=&quot;3DD26605&quot;/&gt;&lt;wsp:rsid wsp:val=&quot;3DDC493F&quot;/&gt;&lt;wsp:rsid wsp:val=&quot;3DE760CC&quot;/&gt;&lt;wsp:rsid wsp:val=&quot;3E44031A&quot;/&gt;&lt;wsp:rsid wsp:val=&quot;3E580EA8&quot;/&gt;&lt;wsp:rsid wsp:val=&quot;3ECC5AC6&quot;/&gt;&lt;wsp:rsid wsp:val=&quot;3ED02C12&quot;/&gt;&lt;wsp:rsid wsp:val=&quot;3ED74360&quot;/&gt;&lt;wsp:rsid wsp:val=&quot;3EDA5492&quot;/&gt;&lt;wsp:rsid wsp:val=&quot;3F007D4B&quot;/&gt;&lt;wsp:rsid wsp:val=&quot;3F182585&quot;/&gt;&lt;wsp:rsid wsp:val=&quot;3F5343BC&quot;/&gt;&lt;wsp:rsid wsp:val=&quot;3F644F7B&quot;/&gt;&lt;wsp:rsid wsp:val=&quot;3F7E33BB&quot;/&gt;&lt;wsp:rsid wsp:val=&quot;401B689D&quot;/&gt;&lt;wsp:rsid wsp:val=&quot;40825AEB&quot;/&gt;&lt;wsp:rsid wsp:val=&quot;40CF7773&quot;/&gt;&lt;wsp:rsid wsp:val=&quot;40FD7EC0&quot;/&gt;&lt;wsp:rsid wsp:val=&quot;411B12F7&quot;/&gt;&lt;wsp:rsid wsp:val=&quot;41422840&quot;/&gt;&lt;wsp:rsid wsp:val=&quot;416E188A&quot;/&gt;&lt;wsp:rsid wsp:val=&quot;417B15AA&quot;/&gt;&lt;wsp:rsid wsp:val=&quot;417E0415&quot;/&gt;&lt;wsp:rsid wsp:val=&quot;423831F0&quot;/&gt;&lt;wsp:rsid wsp:val=&quot;429216FA&quot;/&gt;&lt;wsp:rsid wsp:val=&quot;43055AD9&quot;/&gt;&lt;wsp:rsid wsp:val=&quot;430E112E&quot;/&gt;&lt;wsp:rsid wsp:val=&quot;43112748&quot;/&gt;&lt;wsp:rsid wsp:val=&quot;43436ACC&quot;/&gt;&lt;wsp:rsid wsp:val=&quot;436D3C92&quot;/&gt;&lt;wsp:rsid wsp:val=&quot;439C7691&quot;/&gt;&lt;wsp:rsid wsp:val=&quot;43AB7A52&quot;/&gt;&lt;wsp:rsid wsp:val=&quot;440776FB&quot;/&gt;&lt;wsp:rsid wsp:val=&quot;44745A3B&quot;/&gt;&lt;wsp:rsid wsp:val=&quot;447F5249&quot;/&gt;&lt;wsp:rsid wsp:val=&quot;449B64FE&quot;/&gt;&lt;wsp:rsid wsp:val=&quot;45017E7B&quot;/&gt;&lt;wsp:rsid wsp:val=&quot;45432443&quot;/&gt;&lt;wsp:rsid wsp:val=&quot;4566258A&quot;/&gt;&lt;wsp:rsid wsp:val=&quot;45A7667A&quot;/&gt;&lt;wsp:rsid wsp:val=&quot;46001E6D&quot;/&gt;&lt;wsp:rsid wsp:val=&quot;466407AF&quot;/&gt;&lt;wsp:rsid wsp:val=&quot;46672832&quot;/&gt;&lt;wsp:rsid wsp:val=&quot;467A6F9A&quot;/&gt;&lt;wsp:rsid wsp:val=&quot;469836B8&quot;/&gt;&lt;wsp:rsid wsp:val=&quot;471F15AF&quot;/&gt;&lt;wsp:rsid wsp:val=&quot;473B5C6E&quot;/&gt;&lt;wsp:rsid wsp:val=&quot;47466E83&quot;/&gt;&lt;wsp:rsid wsp:val=&quot;47C03B9D&quot;/&gt;&lt;wsp:rsid wsp:val=&quot;47C30CF6&quot;/&gt;&lt;wsp:rsid wsp:val=&quot;487A59AA&quot;/&gt;&lt;wsp:rsid wsp:val=&quot;48B774B3&quot;/&gt;&lt;wsp:rsid wsp:val=&quot;48EF2896&quot;/&gt;&lt;wsp:rsid wsp:val=&quot;49760999&quot;/&gt;&lt;wsp:rsid wsp:val=&quot;49C50371&quot;/&gt;&lt;wsp:rsid wsp:val=&quot;49D12D4B&quot;/&gt;&lt;wsp:rsid wsp:val=&quot;4A4D09F8&quot;/&gt;&lt;wsp:rsid wsp:val=&quot;4AA417F9&quot;/&gt;&lt;wsp:rsid wsp:val=&quot;4B140B40&quot;/&gt;&lt;wsp:rsid wsp:val=&quot;4B445055&quot;/&gt;&lt;wsp:rsid wsp:val=&quot;4B7D29BB&quot;/&gt;&lt;wsp:rsid wsp:val=&quot;4B7F2997&quot;/&gt;&lt;wsp:rsid wsp:val=&quot;4BB5435D&quot;/&gt;&lt;wsp:rsid wsp:val=&quot;4BC673FF&quot;/&gt;&lt;wsp:rsid wsp:val=&quot;4BDA217B&quot;/&gt;&lt;wsp:rsid wsp:val=&quot;4BFB0E97&quot;/&gt;&lt;wsp:rsid wsp:val=&quot;4BFD74C7&quot;/&gt;&lt;wsp:rsid wsp:val=&quot;4C273332&quot;/&gt;&lt;wsp:rsid wsp:val=&quot;4C3262FC&quot;/&gt;&lt;wsp:rsid wsp:val=&quot;4C3741EE&quot;/&gt;&lt;wsp:rsid wsp:val=&quot;4CFA2748&quot;/&gt;&lt;wsp:rsid wsp:val=&quot;4D00145F&quot;/&gt;&lt;wsp:rsid wsp:val=&quot;4D003D1C&quot;/&gt;&lt;wsp:rsid wsp:val=&quot;4D2A5855&quot;/&gt;&lt;wsp:rsid wsp:val=&quot;4D582DCC&quot;/&gt;&lt;wsp:rsid wsp:val=&quot;4DBE472C&quot;/&gt;&lt;wsp:rsid wsp:val=&quot;4E1C0F24&quot;/&gt;&lt;wsp:rsid wsp:val=&quot;4E6B58B0&quot;/&gt;&lt;wsp:rsid wsp:val=&quot;4E9A0482&quot;/&gt;&lt;wsp:rsid wsp:val=&quot;4ED51E81&quot;/&gt;&lt;wsp:rsid wsp:val=&quot;4EE9006A&quot;/&gt;&lt;wsp:rsid wsp:val=&quot;4EF03E68&quot;/&gt;&lt;wsp:rsid wsp:val=&quot;4F755B2E&quot;/&gt;&lt;wsp:rsid wsp:val=&quot;4FD76624&quot;/&gt;&lt;wsp:rsid wsp:val=&quot;4FFA26B4&quot;/&gt;&lt;wsp:rsid wsp:val=&quot;509F3F21&quot;/&gt;&lt;wsp:rsid wsp:val=&quot;50C173D2&quot;/&gt;&lt;wsp:rsid wsp:val=&quot;50CA5E5B&quot;/&gt;&lt;wsp:rsid wsp:val=&quot;50CB7566&quot;/&gt;&lt;wsp:rsid wsp:val=&quot;50EE73E8&quot;/&gt;&lt;wsp:rsid wsp:val=&quot;511014BB&quot;/&gt;&lt;wsp:rsid wsp:val=&quot;51401FC2&quot;/&gt;&lt;wsp:rsid wsp:val=&quot;517002F8&quot;/&gt;&lt;wsp:rsid wsp:val=&quot;51E55159&quot;/&gt;&lt;wsp:rsid wsp:val=&quot;51F81226&quot;/&gt;&lt;wsp:rsid wsp:val=&quot;520B46A1&quot;/&gt;&lt;wsp:rsid wsp:val=&quot;52AD6228&quot;/&gt;&lt;wsp:rsid wsp:val=&quot;52CA710B&quot;/&gt;&lt;wsp:rsid wsp:val=&quot;52CF0A0F&quot;/&gt;&lt;wsp:rsid wsp:val=&quot;53A20C6E&quot;/&gt;&lt;wsp:rsid wsp:val=&quot;53AB3DC5&quot;/&gt;&lt;wsp:rsid wsp:val=&quot;53AD2E17&quot;/&gt;&lt;wsp:rsid wsp:val=&quot;53C448E2&quot;/&gt;&lt;wsp:rsid wsp:val=&quot;53D548D5&quot;/&gt;&lt;wsp:rsid wsp:val=&quot;54051DA6&quot;/&gt;&lt;wsp:rsid wsp:val=&quot;541D41A2&quot;/&gt;&lt;wsp:rsid wsp:val=&quot;54512DC3&quot;/&gt;&lt;wsp:rsid wsp:val=&quot;54582FEA&quot;/&gt;&lt;wsp:rsid wsp:val=&quot;549148A6&quot;/&gt;&lt;wsp:rsid wsp:val=&quot;54D91FBF&quot;/&gt;&lt;wsp:rsid wsp:val=&quot;55B26A55&quot;/&gt;&lt;wsp:rsid wsp:val=&quot;55CC70FB&quot;/&gt;&lt;wsp:rsid wsp:val=&quot;56093F89&quot;/&gt;&lt;wsp:rsid wsp:val=&quot;56670BDD&quot;/&gt;&lt;wsp:rsid wsp:val=&quot;56A164E2&quot;/&gt;&lt;wsp:rsid wsp:val=&quot;57583496&quot;/&gt;&lt;wsp:rsid wsp:val=&quot;57E01BB4&quot;/&gt;&lt;wsp:rsid wsp:val=&quot;580F0CE9&quot;/&gt;&lt;wsp:rsid wsp:val=&quot;587E52D4&quot;/&gt;&lt;wsp:rsid wsp:val=&quot;58A960D0&quot;/&gt;&lt;wsp:rsid wsp:val=&quot;58F545CC&quot;/&gt;&lt;wsp:rsid wsp:val=&quot;59540FA5&quot;/&gt;&lt;wsp:rsid wsp:val=&quot;597957F9&quot;/&gt;&lt;wsp:rsid wsp:val=&quot;59F5591E&quot;/&gt;&lt;wsp:rsid wsp:val=&quot;5A094BEC&quot;/&gt;&lt;wsp:rsid wsp:val=&quot;5A0B21E8&quot;/&gt;&lt;wsp:rsid wsp:val=&quot;5A9C50D3&quot;/&gt;&lt;wsp:rsid wsp:val=&quot;5AB30BD1&quot;/&gt;&lt;wsp:rsid wsp:val=&quot;5AD04BDD&quot;/&gt;&lt;wsp:rsid wsp:val=&quot;5B0131C2&quot;/&gt;&lt;wsp:rsid wsp:val=&quot;5B3D1AC1&quot;/&gt;&lt;wsp:rsid wsp:val=&quot;5B476E60&quot;/&gt;&lt;wsp:rsid wsp:val=&quot;5BB80339&quot;/&gt;&lt;wsp:rsid wsp:val=&quot;5BCF3828&quot;/&gt;&lt;wsp:rsid wsp:val=&quot;5BE403BB&quot;/&gt;&lt;wsp:rsid wsp:val=&quot;5C3A3F42&quot;/&gt;&lt;wsp:rsid wsp:val=&quot;5C7B06A4&quot;/&gt;&lt;wsp:rsid wsp:val=&quot;5C9E53B7&quot;/&gt;&lt;wsp:rsid wsp:val=&quot;5CA36DA9&quot;/&gt;&lt;wsp:rsid wsp:val=&quot;5CC7559B&quot;/&gt;&lt;wsp:rsid wsp:val=&quot;5D3B50BF&quot;/&gt;&lt;wsp:rsid wsp:val=&quot;5DA314B7&quot;/&gt;&lt;wsp:rsid wsp:val=&quot;5DA94711&quot;/&gt;&lt;wsp:rsid wsp:val=&quot;5DDC1E5B&quot;/&gt;&lt;wsp:rsid wsp:val=&quot;5E0724EB&quot;/&gt;&lt;wsp:rsid wsp:val=&quot;5E17771B&quot;/&gt;&lt;wsp:rsid wsp:val=&quot;5E3E4546&quot;/&gt;&lt;wsp:rsid wsp:val=&quot;5E644BF1&quot;/&gt;&lt;wsp:rsid wsp:val=&quot;5E647BC9&quot;/&gt;&lt;wsp:rsid wsp:val=&quot;5EA36983&quot;/&gt;&lt;wsp:rsid wsp:val=&quot;5F2B11D8&quot;/&gt;&lt;wsp:rsid wsp:val=&quot;5F5E515F&quot;/&gt;&lt;wsp:rsid wsp:val=&quot;5F7E505D&quot;/&gt;&lt;wsp:rsid wsp:val=&quot;5F813C73&quot;/&gt;&lt;wsp:rsid wsp:val=&quot;5FAA4432&quot;/&gt;&lt;wsp:rsid wsp:val=&quot;5FAD5533&quot;/&gt;&lt;wsp:rsid wsp:val=&quot;606158C5&quot;/&gt;&lt;wsp:rsid wsp:val=&quot;608820E0&quot;/&gt;&lt;wsp:rsid wsp:val=&quot;60DF7A12&quot;/&gt;&lt;wsp:rsid wsp:val=&quot;60F45F94&quot;/&gt;&lt;wsp:rsid wsp:val=&quot;61270C6F&quot;/&gt;&lt;wsp:rsid wsp:val=&quot;61310078&quot;/&gt;&lt;wsp:rsid wsp:val=&quot;619665AF&quot;/&gt;&lt;wsp:rsid wsp:val=&quot;61F45CF9&quot;/&gt;&lt;wsp:rsid wsp:val=&quot;629E5E0C&quot;/&gt;&lt;wsp:rsid wsp:val=&quot;62CE2EDB&quot;/&gt;&lt;wsp:rsid wsp:val=&quot;631F2549&quot;/&gt;&lt;wsp:rsid wsp:val=&quot;633609E5&quot;/&gt;&lt;wsp:rsid wsp:val=&quot;638D0E29&quot;/&gt;&lt;wsp:rsid wsp:val=&quot;63AB4987&quot;/&gt;&lt;wsp:rsid wsp:val=&quot;63FA301D&quot;/&gt;&lt;wsp:rsid wsp:val=&quot;64092E5D&quot;/&gt;&lt;wsp:rsid wsp:val=&quot;652C341E&quot;/&gt;&lt;wsp:rsid wsp:val=&quot;65384CCA&quot;/&gt;&lt;wsp:rsid wsp:val=&quot;653A2AE4&quot;/&gt;&lt;wsp:rsid wsp:val=&quot;657B5034&quot;/&gt;&lt;wsp:rsid wsp:val=&quot;658F3C14&quot;/&gt;&lt;wsp:rsid wsp:val=&quot;65D87FE6&quot;/&gt;&lt;wsp:rsid wsp:val=&quot;664311A9&quot;/&gt;&lt;wsp:rsid wsp:val=&quot;66434DA6&quot;/&gt;&lt;wsp:rsid wsp:val=&quot;66737D43&quot;/&gt;&lt;wsp:rsid wsp:val=&quot;66952EFD&quot;/&gt;&lt;wsp:rsid wsp:val=&quot;66B56A0C&quot;/&gt;&lt;wsp:rsid wsp:val=&quot;66B844F2&quot;/&gt;&lt;wsp:rsid wsp:val=&quot;66D832DB&quot;/&gt;&lt;wsp:rsid wsp:val=&quot;67051C76&quot;/&gt;&lt;wsp:rsid wsp:val=&quot;671757FB&quot;/&gt;&lt;wsp:rsid wsp:val=&quot;67426194&quot;/&gt;&lt;wsp:rsid wsp:val=&quot;67E92F04&quot;/&gt;&lt;wsp:rsid wsp:val=&quot;681C0938&quot;/&gt;&lt;wsp:rsid wsp:val=&quot;6835040A&quot;/&gt;&lt;wsp:rsid wsp:val=&quot;683800F1&quot;/&gt;&lt;wsp:rsid wsp:val=&quot;68B80295&quot;/&gt;&lt;wsp:rsid wsp:val=&quot;68FE10FE&quot;/&gt;&lt;wsp:rsid wsp:val=&quot;69266CE2&quot;/&gt;&lt;wsp:rsid wsp:val=&quot;694A1C73&quot;/&gt;&lt;wsp:rsid wsp:val=&quot;6AA0560B&quot;/&gt;&lt;wsp:rsid wsp:val=&quot;6AAD5F2D&quot;/&gt;&lt;wsp:rsid wsp:val=&quot;6ABE0C0B&quot;/&gt;&lt;wsp:rsid wsp:val=&quot;6AC31B73&quot;/&gt;&lt;wsp:rsid wsp:val=&quot;6AD549D7&quot;/&gt;&lt;wsp:rsid wsp:val=&quot;6AD555CA&quot;/&gt;&lt;wsp:rsid wsp:val=&quot;6B2A2489&quot;/&gt;&lt;wsp:rsid wsp:val=&quot;6B3866B4&quot;/&gt;&lt;wsp:rsid wsp:val=&quot;6B461E08&quot;/&gt;&lt;wsp:rsid wsp:val=&quot;6B7117BE&quot;/&gt;&lt;wsp:rsid wsp:val=&quot;6B71607E&quot;/&gt;&lt;wsp:rsid wsp:val=&quot;6B9562DE&quot;/&gt;&lt;wsp:rsid wsp:val=&quot;6C0E4475&quot;/&gt;&lt;wsp:rsid wsp:val=&quot;6C1A4133&quot;/&gt;&lt;wsp:rsid wsp:val=&quot;6C466122&quot;/&gt;&lt;wsp:rsid wsp:val=&quot;6C677AE5&quot;/&gt;&lt;wsp:rsid wsp:val=&quot;6C7F0E78&quot;/&gt;&lt;wsp:rsid wsp:val=&quot;6C8B22A0&quot;/&gt;&lt;wsp:rsid wsp:val=&quot;6C925DC8&quot;/&gt;&lt;wsp:rsid wsp:val=&quot;6C9F58C2&quot;/&gt;&lt;wsp:rsid wsp:val=&quot;6D5A42D3&quot;/&gt;&lt;wsp:rsid wsp:val=&quot;6DA06B02&quot;/&gt;&lt;wsp:rsid wsp:val=&quot;6DF87DCD&quot;/&gt;&lt;wsp:rsid wsp:val=&quot;6DFB791B&quot;/&gt;&lt;wsp:rsid wsp:val=&quot;6EB7390A&quot;/&gt;&lt;wsp:rsid wsp:val=&quot;6F7F38FA&quot;/&gt;&lt;wsp:rsid wsp:val=&quot;6FC12E4E&quot;/&gt;&lt;wsp:rsid wsp:val=&quot;6FC92AA4&quot;/&gt;&lt;wsp:rsid wsp:val=&quot;6FE91D5B&quot;/&gt;&lt;wsp:rsid wsp:val=&quot;70181B4E&quot;/&gt;&lt;wsp:rsid wsp:val=&quot;7092462D&quot;/&gt;&lt;wsp:rsid wsp:val=&quot;70EC6671&quot;/&gt;&lt;wsp:rsid wsp:val=&quot;710F0DDE&quot;/&gt;&lt;wsp:rsid wsp:val=&quot;718F6FC2&quot;/&gt;&lt;wsp:rsid wsp:val=&quot;71CC1122&quot;/&gt;&lt;wsp:rsid wsp:val=&quot;71CF1341&quot;/&gt;&lt;wsp:rsid wsp:val=&quot;72544C2A&quot;/&gt;&lt;wsp:rsid wsp:val=&quot;726A713B&quot;/&gt;&lt;wsp:rsid wsp:val=&quot;72C801E2&quot;/&gt;&lt;wsp:rsid wsp:val=&quot;72CA4378&quot;/&gt;&lt;wsp:rsid wsp:val=&quot;733019B3&quot;/&gt;&lt;wsp:rsid wsp:val=&quot;73641D00&quot;/&gt;&lt;wsp:rsid wsp:val=&quot;74311DB0&quot;/&gt;&lt;wsp:rsid wsp:val=&quot;749E60E3&quot;/&gt;&lt;wsp:rsid wsp:val=&quot;74F16046&quot;/&gt;&lt;wsp:rsid wsp:val=&quot;74F2554E&quot;/&gt;&lt;wsp:rsid wsp:val=&quot;74F5668F&quot;/&gt;&lt;wsp:rsid wsp:val=&quot;74FC55D9&quot;/&gt;&lt;wsp:rsid wsp:val=&quot;752C2EBD&quot;/&gt;&lt;wsp:rsid wsp:val=&quot;75456784&quot;/&gt;&lt;wsp:rsid wsp:val=&quot;754E6DDF&quot;/&gt;&lt;wsp:rsid wsp:val=&quot;759E0C60&quot;/&gt;&lt;wsp:rsid wsp:val=&quot;75C533B0&quot;/&gt;&lt;wsp:rsid wsp:val=&quot;764D41C8&quot;/&gt;&lt;wsp:rsid wsp:val=&quot;76A54F28&quot;/&gt;&lt;wsp:rsid wsp:val=&quot;76E23055&quot;/&gt;&lt;wsp:rsid wsp:val=&quot;771D34AB&quot;/&gt;&lt;wsp:rsid wsp:val=&quot;774D0511&quot;/&gt;&lt;wsp:rsid wsp:val=&quot;775479C2&quot;/&gt;&lt;wsp:rsid wsp:val=&quot;77A863F6&quot;/&gt;&lt;wsp:rsid wsp:val=&quot;77DD7A37&quot;/&gt;&lt;wsp:rsid wsp:val=&quot;781F072F&quot;/&gt;&lt;wsp:rsid wsp:val=&quot;78285678&quot;/&gt;&lt;wsp:rsid wsp:val=&quot;783F569F&quot;/&gt;&lt;wsp:rsid wsp:val=&quot;786C084E&quot;/&gt;&lt;wsp:rsid wsp:val=&quot;78942DE7&quot;/&gt;&lt;wsp:rsid wsp:val=&quot;78E631E1&quot;/&gt;&lt;wsp:rsid wsp:val=&quot;793678F5&quot;/&gt;&lt;wsp:rsid wsp:val=&quot;793E2473&quot;/&gt;&lt;wsp:rsid wsp:val=&quot;79947543&quot;/&gt;&lt;wsp:rsid wsp:val=&quot;79E905E2&quot;/&gt;&lt;wsp:rsid wsp:val=&quot;7A3C3CE4&quot;/&gt;&lt;wsp:rsid wsp:val=&quot;7A58558D&quot;/&gt;&lt;wsp:rsid wsp:val=&quot;7A7137FA&quot;/&gt;&lt;wsp:rsid wsp:val=&quot;7A9447D4&quot;/&gt;&lt;wsp:rsid wsp:val=&quot;7AA507F5&quot;/&gt;&lt;wsp:rsid wsp:val=&quot;7AC566F7&quot;/&gt;&lt;wsp:rsid wsp:val=&quot;7ACC0C9D&quot;/&gt;&lt;wsp:rsid wsp:val=&quot;7ACD155D&quot;/&gt;&lt;wsp:rsid wsp:val=&quot;7AF47B32&quot;/&gt;&lt;wsp:rsid wsp:val=&quot;7BCC16E7&quot;/&gt;&lt;wsp:rsid wsp:val=&quot;7BEB06F1&quot;/&gt;&lt;wsp:rsid wsp:val=&quot;7BFE3E11&quot;/&gt;&lt;wsp:rsid wsp:val=&quot;7C3A1D47&quot;/&gt;&lt;wsp:rsid wsp:val=&quot;7C5E72D4&quot;/&gt;&lt;wsp:rsid wsp:val=&quot;7C7F312A&quot;/&gt;&lt;wsp:rsid wsp:val=&quot;7CB84C4A&quot;/&gt;&lt;wsp:rsid wsp:val=&quot;7CEA76E4&quot;/&gt;&lt;wsp:rsid wsp:val=&quot;7D07624D&quot;/&gt;&lt;wsp:rsid wsp:val=&quot;7D135B79&quot;/&gt;&lt;wsp:rsid wsp:val=&quot;7D4566D5&quot;/&gt;&lt;wsp:rsid wsp:val=&quot;7E1032FC&quot;/&gt;&lt;wsp:rsid wsp:val=&quot;7E2D542A&quot;/&gt;&lt;wsp:rsid wsp:val=&quot;7E44294A&quot;/&gt;&lt;wsp:rsid wsp:val=&quot;7E7A6BBC&quot;/&gt;&lt;wsp:rsid wsp:val=&quot;7F916522&quot;/&gt;&lt;wsp:rsid wsp:val=&quot;7FCB5EC5&quot;/&gt;&lt;/wsp:rsids&gt;&lt;/w:docPr&gt;&lt;w:body&gt;&lt;wx:sect&gt;&lt;w:p wsp:rsidR=&quot;00000000&quot; wsp:rsidRDefault=&quot;009663C8&quot; wsp:rsidP=&quot;009663C8&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K&lt;/m:t&gt;&lt;/m:r&gt;&lt;/m:e&gt;&lt;m:sub&gt;&lt;m:r&gt;&lt;w:rPr&gt;&lt;w:rFonts w:ascii=&quot;Cambria Math&quot;/&gt;&lt;wx:font wx:val=&quot;Cambria Math&quot;/&gt;&lt;w:i/&gt;&lt;/w:rPr&gt;&lt;m:t&gt;sam&lt;/m:t&gt;&lt;/m: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r&gt;&lt;m:rPr&gt;&lt;m:sty m:val=&quot;p&quot;/&gt;&lt;/m:rPr&gt;&lt;w:rPr&gt;&lt;w:rFonts w:ascii=&quot;Cambria Math&quot;/&gt;&lt;wx:font wx:val=&quot;Cambria Math&quot;/&gt;&lt;/w:rPr&gt;&lt;m:t&gt;2&lt;/m:t&gt;&lt;/m:r&gt;&lt;m:ctrlPr&gt;&lt;w:rPr&gt;&lt;w:rFonts w:ascii=&quot;Cambria Math&quot;/&gt;&lt;wx:font wx:val=&quot;Cambria Math&quot;/&gt;&lt;/w:rPr&gt;&lt;/m:ctrlPr&gt;&lt;/m:sub&gt;&lt;/m:sSub&gt;&lt;/m:num&gt;&lt;m:den&gt;&lt;m:sSub&gt;&lt;m:sSubPr&gt;&lt;m:ctrlPr&gt;&lt;w:rPr&gt;&lt;w:rFonts w:ascii=&quot;Cambria Math&quot;/&gt;&lt;wx:font wx:val=&quot;Cambria Math&quot;/&gt;&lt;w:i/&gt;&lt;/w:rPr&gt;&lt;/m:ctrlPr&gt;&lt;/m:sSubPr&gt;&lt;m:e&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ctrlPr&gt;&lt;w:rPr&gt;&lt;w:rFonts w:ascii=&quot;Cambria Math&quot;/&gt;&lt;wx:font wx:val=&quot;Cambria Math&quot;/&gt;&lt;/w:rPr&gt;&lt;/m:ctrlPr&gt;&lt;/m:sub&gt;&lt;/m:sSub&gt;&lt;/m:e&gt;&lt;m:sub&gt;&lt;m:r&gt;&lt;w:rPr&gt;&lt;w:rFonts w:ascii=&quot;Cambria Math&quot;/&gt;&lt;wx:font wx:val=&quot;Cambria Math&quot;/&gt;&lt;w:i/&gt;&lt;/w:rPr&gt;&lt;m:t&gt;1&lt;/m:t&gt;&lt;/m:r&gt;&lt;/m:sub&gt;&lt;/m:sSub&gt;&lt;m:ctrlPr&gt;&lt;w:rPr&gt;&lt;w:rFonts w:ascii=&quot;Cambria Math&quot; w:h-ansi=&quot;Cambria Math&quot;/&gt;&lt;wx:font wx:val=&quot;Cambria Math&quot;/&gt;&lt;w:i/&gt;&lt;/w:rPr&gt;&lt;/m:ctrlPr&gt;&lt;/m:den&gt;&lt;/m:f&gt;&lt;m:r&gt;&lt;w:rPr&gt;&lt;w:rFonts w:ascii=&quot;Cambria Math&quot;/&gt;&lt;w:i/&gt;&lt;/w:rPr&gt;&lt;m:t&gt;×&lt;/m:t&gt;&lt;/m:r&gt;&lt;m:r&gt;&lt;w:rPr&gt;&lt;w:rFonts w:ascii=&quot;Cambria Math&quot;/&gt;&lt;wx:font wx:val=&quot;Cambria Math&quot;/&gt;&lt;w:i/&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6"/>
          <w:highlight w:val="none"/>
        </w:rPr>
        <w:pict>
          <v:shape id="_x0000_i1031" o:spt="75" type="#_x0000_t75" style="height:31.5pt;width:84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55&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0B2E55&quot;&gt;&lt;m:oMathPara&gt;&lt;m:oMath&gt;&lt;m:sSub&gt;&lt;m:sSubPr&gt;&lt;m:ctrlPr&gt;&lt;aml:annotation aml:id=&quot;0&quot; w:type=&quot;Word.Insertion&quot; aml:author=&quot;liu yuzhen&quot; aml:createdate=&quot;2021-06-27T17:21:00Z&quot;&gt;&lt;aml:content&gt;&lt;w:rPr&gt;&lt;w:rFonts w:ascii=&quot;Cambria Math&quot; w:fareast=&quot;黑体&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21:00Z&quot;&gt;&lt;aml:content&gt;&lt;m:r&gt;&lt;w:rPr&gt;&lt;w:rFonts w:ascii=&quot;Cambria Math&quot; w:fareast=&quot;黑体&quot;/&gt;&lt;wx:font wx:val=&quot;Cambria Math&quot;/&gt;&lt;w:i/&gt;&lt;w:sz-cs w:val=&quot;20&quot;/&gt;&lt;/w:rPr&gt;&lt;m:t&gt;K&lt;/m:t&gt;&lt;/m:r&gt;&lt;/aml:content&gt;&lt;/aml:annotation&gt;&lt;/m:e&gt;&lt;m:sub&gt;&lt;aml:annotation aml:id=&quot;2&quot; w:type=&quot;Word.Insertion&quot; aml:author=&quot;liu yuzhen&quot; aml:createdate=&quot;2021-06-27T17:21:00Z&quot;&gt;&lt;aml:content&gt;&lt;m:r&gt;&lt;w:rPr&gt;&lt;w:rFonts w:ascii=&quot;Cambria Math&quot; w:fareast=&quot;黑体&quot;/&gt;&lt;wx:font wx:val=&quot;Cambria Math&quot;/&gt;&lt;w:i/&gt;&lt;w:sz-cs w:val=&quot;20&quot;/&gt;&lt;/w:rPr&gt;&lt;m:t&gt;sam&lt;/m:t&gt;&lt;/m:r&gt;&lt;/aml:content&gt;&lt;/aml:annotation&gt;&lt;/m:sub&gt;&lt;/m:sSub&gt;&lt;aml:annotation aml:id=&quot;3&quot; w:type=&quot;Word.Insertion&quot; aml:author=&quot;liu yuzhen&quot; aml:createdate=&quot;2021-06-27T17:21:00Z&quot;&gt;&lt;aml:content&gt;&lt;m:r&gt;&lt;w:rPr&gt;&lt;w:rFonts w:ascii=&quot;Cambria Math&quot; w:fareast=&quot;黑体&quot;/&gt;&lt;wx:font wx:val=&quot;Cambria Math&quot;/&gt;&lt;w:i/&gt;&lt;w:sz-cs w:val=&quot;20&quot;/&gt;&lt;/w:rPr&gt;&lt;m:t&gt;=&lt;/m:t&gt;&lt;/m:r&gt;&lt;/aml:content&gt;&lt;/aml:annotation&gt;&lt;m:f&gt;&lt;m:fPr&gt;&lt;m:ctrlPr&gt;&lt;aml:annotation aml:id=&quot;4&quot; w:type=&quot;Word.Insertion&quot; aml:author=&quot;liu yuzhen&quot; aml:createdate=&quot;2021-06-27T17:44:00Z&quot;&gt;&lt;aml:content&gt;&lt;w:rPr&gt;&lt;w:rFonts w:ascii=&quot;Cambria Math&quot; w:fareast=&quot;黑体&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7&quot; w:type=&quot;Word.Insertion&quot; aml:author=&quot;liu yuzhen&quot; aml:createdate=&quot;2021-06-27T17:45:00Z&quot;&gt;&lt;aml:content&gt;&lt;m:r&gt;&lt;w:rPr&gt;&lt;w:rFonts w:ascii=&quot;Cambria Math&quot; w:fareast=&quot;黑体&quot;/&gt;&lt;wx:font wx:val=&quot;Cambria Math&quot;/&gt;&lt;w:i/&gt;&lt;w:sz-cs w:val=&quot;20&quot;/&gt;&lt;/w:rPr&gt;&lt;m:t&gt;2&lt;/m:t&gt;&lt;/m:r&gt;&lt;/aml:content&gt;&lt;/aml:annotation&gt;&lt;/m:sub&gt;&lt;/m:sSub&gt;&lt;/m:num&gt;&lt;m:den&gt;&lt;m:sSub&gt;&lt;m:sSubPr&gt;&lt;m:ctrlPr&gt;&lt;aml:annotation aml:id=&quot;8&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9&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10&quot; w:type=&quot;Word.Insertion&quot; aml:author=&quot;liu yuzhen&quot; aml:createdate=&quot;2021-06-27T17:45:00Z&quot;&gt;&lt;aml:content&gt;&lt;m:r&gt;&lt;w:rPr&gt;&lt;w:rFonts w:ascii=&quot;Cambria Math&quot; w:fareast=&quot;黑体&quot;/&gt;&lt;wx:font wx:val=&quot;Cambria Math&quot;/&gt;&lt;w:i/&gt;&lt;w:sz-cs w:val=&quot;20&quot;/&gt;&lt;/w:rPr&gt;&lt;m:t&gt;1&lt;/m:t&gt;&lt;/m:r&gt;&lt;/aml:content&gt;&lt;/aml:annotation&gt;&lt;/m:sub&gt;&lt;/m:sSub&gt;&lt;/m:den&gt;&lt;/m:f&gt;&lt;aml:annotation aml:id=&quot;11&quot; w:type=&quot;Word.Insertion&quot; aml:author=&quot;liu yuzhen&quot; aml:createdate=&quot;2021-06-27T17:21:00Z&quot;&gt;&lt;aml:content&gt;&lt;m:r&gt;&lt;w:rPr&gt;&lt;w:rFonts w:ascii=&quot;Cambria Math&quot; w:fareast=&quot;黑体&quot;/&gt;&lt;w:i/&gt;&lt;w:sz-cs w:val=&quot;20&quot;/&gt;&lt;/w:rPr&gt;&lt;m:t&gt;×&lt;/m:t&gt;&lt;/m:r&gt;&lt;m:r&gt;&lt;w:rPr&gt;&lt;w:rFonts w:ascii=&quot;Cambria Math&quot; w:fareast=&quot;黑体&quot;/&gt;&lt;wx:font wx:val=&quot;Cambria Math&quot;/&gt;&lt;w:i/&gt;&lt;w:sz-cs w:val=&quot;20&quot;/&gt;&lt;/w:rPr&gt;&lt;m:t&gt;100%&lt;/m:t&gt;&lt;/m:r&gt;&lt;/aml:content&gt;&lt;/aml:annotation&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9"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t xml:space="preserve">           </w:t>
      </w:r>
      <w:r>
        <w:rPr>
          <w:rFonts w:hint="default" w:ascii="Times New Roman" w:hAnsi="Times New Roman" w:eastAsia="黑体" w:cs="Times New Roman"/>
          <w:color w:val="000000"/>
          <w:szCs w:val="20"/>
          <w:highlight w:val="none"/>
          <w:lang w:val="en-US" w:eastAsia="zh-CN"/>
        </w:rPr>
        <w:t xml:space="preserve">        </w:t>
      </w:r>
      <w:r>
        <w:rPr>
          <w:rFonts w:hint="default" w:ascii="Times New Roman" w:hAnsi="Times New Roman" w:eastAsia="黑体" w:cs="Times New Roman"/>
          <w:color w:val="000000"/>
          <w:szCs w:val="20"/>
          <w:highlight w:val="none"/>
        </w:rPr>
        <w:t xml:space="preserve">                 </w:t>
      </w:r>
      <w:r>
        <w:rPr>
          <w:rFonts w:hint="default" w:ascii="Times New Roman" w:hAnsi="Times New Roman" w:cs="Times New Roman"/>
          <w:color w:val="000000"/>
          <w:highlight w:val="none"/>
        </w:rPr>
        <w:t>（1）</w:t>
      </w:r>
    </w:p>
    <w:p w14:paraId="21FCF4B0">
      <w:pPr>
        <w:spacing w:line="360" w:lineRule="exact"/>
        <w:rPr>
          <w:rFonts w:hint="default" w:ascii="Times New Roman" w:hAnsi="Times New Roman" w:cs="Times New Roman"/>
          <w:color w:val="000000"/>
          <w:highlight w:val="none"/>
        </w:rPr>
      </w:pPr>
      <w:r>
        <w:rPr>
          <w:rFonts w:hint="default" w:ascii="Times New Roman" w:hAnsi="Times New Roman" w:cs="Times New Roman"/>
          <w:bCs/>
          <w:color w:val="000000"/>
          <w:szCs w:val="21"/>
          <w:highlight w:val="none"/>
        </w:rPr>
        <w:t>式中：</w:t>
      </w:r>
      <w:r>
        <w:rPr>
          <w:rFonts w:hint="default" w:ascii="Times New Roman" w:hAnsi="Times New Roman" w:cs="Times New Roman"/>
          <w:color w:val="000000"/>
          <w:position w:val="-10"/>
          <w:szCs w:val="20"/>
          <w:highlight w:val="none"/>
        </w:rPr>
        <w:object>
          <v:shape id="_x0000_i1032" o:spt="75" type="#_x0000_t75" style="height:15.05pt;width:22pt;" o:ole="t" filled="f" o:preferrelative="t" stroked="f" coordsize="21600,21600">
            <v:path/>
            <v:fill on="f" alignshape="1" focussize="0,0"/>
            <v:stroke on="f"/>
            <v:imagedata r:id="rId21" o:title=""/>
            <o:lock v:ext="edit" aspectratio="t"/>
            <w10:wrap type="none"/>
            <w10:anchorlock/>
          </v:shape>
          <o:OLEObject Type="Embed" ProgID="Equation.KSEE3" ShapeID="_x0000_i1032" DrawAspect="Content" ObjectID="_1468075730" r:id="rId30">
            <o:LockedField>false</o:LockedField>
          </o:OLEObject>
        </w:object>
      </w:r>
      <w:r>
        <w:rPr>
          <w:rFonts w:hint="default" w:ascii="Times New Roman" w:hAnsi="Times New Roman" w:cs="Times New Roman"/>
          <w:color w:val="000000"/>
          <w:szCs w:val="21"/>
          <w:highlight w:val="none"/>
        </w:rPr>
        <w:t>——</w:t>
      </w:r>
      <w:r>
        <w:rPr>
          <w:rFonts w:hint="default" w:ascii="Times New Roman" w:hAnsi="Times New Roman" w:cs="Times New Roman"/>
          <w:color w:val="000000"/>
          <w:highlight w:val="none"/>
        </w:rPr>
        <w:t>样品溶液中目标化合物定性离子的相对丰度，%；</w:t>
      </w:r>
    </w:p>
    <w:p w14:paraId="3D509F89">
      <w:pPr>
        <w:tabs>
          <w:tab w:val="left" w:pos="1050"/>
        </w:tabs>
        <w:spacing w:line="360" w:lineRule="exact"/>
        <w:rPr>
          <w:rFonts w:hint="default" w:ascii="Times New Roman" w:hAnsi="Times New Roman" w:cs="Times New Roman"/>
          <w:color w:val="000000"/>
          <w:highlight w:val="none"/>
        </w:rPr>
      </w:pPr>
      <w:r>
        <w:rPr>
          <w:rFonts w:hint="default" w:ascii="Times New Roman" w:hAnsi="Times New Roman" w:cs="Times New Roman"/>
          <w:color w:val="000000"/>
          <w:position w:val="-12"/>
          <w:szCs w:val="20"/>
          <w:highlight w:val="none"/>
          <w:lang w:val="en-US" w:eastAsia="zh-CN"/>
        </w:rPr>
        <w:tab/>
      </w:r>
      <w:r>
        <w:rPr>
          <w:rFonts w:hint="default" w:ascii="Times New Roman" w:hAnsi="Times New Roman" w:cs="Times New Roman"/>
          <w:color w:val="000000"/>
          <w:position w:val="-10"/>
          <w:szCs w:val="20"/>
          <w:highlight w:val="none"/>
        </w:rPr>
        <w:object>
          <v:shape id="_x0000_i1033" o:spt="75" type="#_x0000_t75" style="height:15.05pt;width:24.05pt;" o:ole="t" filled="f" o:preferrelative="t" stroked="f" coordsize="21600,21600">
            <v:path/>
            <v:fill on="f" alignshape="1" focussize="0,0"/>
            <v:stroke on="f"/>
            <v:imagedata r:id="rId32" o:title=""/>
            <o:lock v:ext="edit" aspectratio="t"/>
            <w10:wrap type="none"/>
            <w10:anchorlock/>
          </v:shape>
          <o:OLEObject Type="Embed" ProgID="Equation.KSEE3" ShapeID="_x0000_i1033" DrawAspect="Content" ObjectID="_1468075731" r:id="rId31">
            <o:LockedField>false</o:LockedField>
          </o:OLEObject>
        </w:object>
      </w:r>
      <w:r>
        <w:rPr>
          <w:rFonts w:hint="default" w:ascii="Times New Roman" w:hAnsi="Times New Roman" w:cs="Times New Roman"/>
          <w:color w:val="000000"/>
          <w:szCs w:val="21"/>
          <w:highlight w:val="none"/>
        </w:rPr>
        <w:t>——</w:t>
      </w:r>
      <w:r>
        <w:rPr>
          <w:rFonts w:hint="default" w:ascii="Times New Roman" w:hAnsi="Times New Roman" w:cs="Times New Roman"/>
          <w:color w:val="000000"/>
          <w:highlight w:val="none"/>
        </w:rPr>
        <w:t>样品溶液中目标化合物定性离子的响应值；</w:t>
      </w:r>
    </w:p>
    <w:p w14:paraId="57598AC5">
      <w:pPr>
        <w:tabs>
          <w:tab w:val="left" w:pos="1050"/>
        </w:tabs>
        <w:spacing w:line="360" w:lineRule="exact"/>
        <w:rPr>
          <w:rFonts w:hint="default" w:ascii="Times New Roman" w:hAnsi="Times New Roman" w:cs="Times New Roman"/>
          <w:color w:val="000000"/>
          <w:highlight w:val="none"/>
        </w:rPr>
      </w:pPr>
      <w:r>
        <w:rPr>
          <w:rFonts w:hint="default" w:ascii="Times New Roman" w:hAnsi="Times New Roman" w:cs="Times New Roman"/>
          <w:color w:val="000000"/>
          <w:position w:val="-12"/>
          <w:szCs w:val="20"/>
          <w:highlight w:val="none"/>
          <w:lang w:val="en-US" w:eastAsia="zh-CN"/>
        </w:rPr>
        <w:tab/>
      </w:r>
      <w:r>
        <w:rPr>
          <w:rFonts w:hint="default" w:ascii="Times New Roman" w:hAnsi="Times New Roman" w:cs="Times New Roman"/>
          <w:color w:val="000000"/>
          <w:position w:val="-10"/>
          <w:szCs w:val="20"/>
          <w:highlight w:val="none"/>
        </w:rPr>
        <w:object>
          <v:shape id="_x0000_i1034" o:spt="75" type="#_x0000_t75" style="height:15.05pt;width:24.05pt;" o:ole="t" filled="f" o:preferrelative="t" stroked="f" coordsize="21600,21600">
            <v:path/>
            <v:fill on="f" alignshape="1" focussize="0,0"/>
            <v:stroke on="f"/>
            <v:imagedata r:id="rId34" o:title=""/>
            <o:lock v:ext="edit" aspectratio="t"/>
            <w10:wrap type="none"/>
            <w10:anchorlock/>
          </v:shape>
          <o:OLEObject Type="Embed" ProgID="Equation.KSEE3" ShapeID="_x0000_i1034" DrawAspect="Content" ObjectID="_1468075732" r:id="rId33">
            <o:LockedField>false</o:LockedField>
          </o:OLEObject>
        </w:object>
      </w:r>
      <w:r>
        <w:rPr>
          <w:rFonts w:hint="default" w:ascii="Times New Roman" w:hAnsi="Times New Roman" w:cs="Times New Roman"/>
          <w:color w:val="000000"/>
          <w:szCs w:val="21"/>
          <w:highlight w:val="none"/>
        </w:rPr>
        <w:t>——</w:t>
      </w:r>
      <w:r>
        <w:rPr>
          <w:rFonts w:hint="default" w:ascii="Times New Roman" w:hAnsi="Times New Roman" w:cs="Times New Roman"/>
          <w:color w:val="000000"/>
          <w:highlight w:val="none"/>
        </w:rPr>
        <w:t>样品溶液中目标化合物定量离子的响应值。</w:t>
      </w:r>
    </w:p>
    <w:p w14:paraId="19559A2B">
      <w:pPr>
        <w:keepNext w:val="0"/>
        <w:keepLines w:val="0"/>
        <w:pageBreakBefore w:val="0"/>
        <w:widowControl w:val="0"/>
        <w:tabs>
          <w:tab w:val="left" w:pos="2720"/>
        </w:tabs>
        <w:kinsoku/>
        <w:wordWrap/>
        <w:overflowPunct/>
        <w:topLinePunct/>
        <w:autoSpaceDE/>
        <w:autoSpaceDN/>
        <w:bidi w:val="0"/>
        <w:adjustRightInd/>
        <w:snapToGrid/>
        <w:spacing w:line="360" w:lineRule="auto"/>
        <w:ind w:left="0" w:leftChars="0" w:firstLine="0" w:firstLineChars="0"/>
        <w:jc w:val="both"/>
        <w:textAlignment w:val="auto"/>
        <w:rPr>
          <w:rFonts w:hint="default" w:ascii="Times New Roman" w:hAnsi="Times New Roman" w:eastAsia="黑体" w:cs="Times New Roman"/>
          <w:color w:val="000000"/>
          <w:szCs w:val="20"/>
          <w:highlight w:val="none"/>
        </w:rPr>
      </w:pPr>
      <w:r>
        <w:rPr>
          <w:rFonts w:hint="default" w:ascii="Times New Roman" w:hAnsi="Times New Roman" w:cs="Times New Roman"/>
          <w:color w:val="000000"/>
          <w:position w:val="-30"/>
          <w:szCs w:val="20"/>
          <w:highlight w:val="none"/>
          <w:lang w:val="en-US" w:eastAsia="zh-CN"/>
        </w:rPr>
        <w:tab/>
      </w:r>
      <w:r>
        <w:rPr>
          <w:rFonts w:hint="default" w:ascii="Times New Roman" w:hAnsi="Times New Roman" w:cs="Times New Roman"/>
          <w:color w:val="000000"/>
          <w:position w:val="-26"/>
          <w:szCs w:val="20"/>
          <w:highlight w:val="none"/>
        </w:rPr>
        <w:object>
          <v:shape id="_x0000_i1035" o:spt="75" type="#_x0000_t75" style="height:29.05pt;width:82pt;" o:ole="t" filled="f" o:preferrelative="t" stroked="f" coordsize="21600,21600">
            <v:path/>
            <v:fill on="f" alignshape="1" focussize="0,0"/>
            <v:stroke on="f"/>
            <v:imagedata r:id="rId36" o:title=""/>
            <o:lock v:ext="edit" aspectratio="t"/>
            <w10:wrap type="none"/>
            <w10:anchorlock/>
          </v:shape>
          <o:OLEObject Type="Embed" ProgID="Equation.KSEE3" ShapeID="_x0000_i1035" DrawAspect="Content" ObjectID="_1468075733" r:id="rId35">
            <o:LockedField>false</o:LockedField>
          </o:OLEObject>
        </w:object>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7"/>
          <w:highlight w:val="none"/>
        </w:rPr>
        <w:pict>
          <v:shape id="_x0000_i1036" o:spt="75" type="#_x0000_t75" style="height:32pt;width:9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5224&quot;/&gt;&lt;w:defaultTabStop w:val=&quot;420&quot;/&gt;&lt;w:evenAndOddHeaders/&gt;&lt;w:drawingGridHorizontalSpacing w:val=&quot;213&quot;/&gt;&lt;w:drawingGridVerticalSpacing w:val=&quot;319&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57F&quot;/&gt;&lt;wsp:rsid wsp:val=&quot;00001213&quot;/&gt;&lt;wsp:rsid wsp:val=&quot;00005497&quot;/&gt;&lt;wsp:rsid wsp:val=&quot;00006864&quot;/&gt;&lt;wsp:rsid wsp:val=&quot;0000702D&quot;/&gt;&lt;wsp:rsid wsp:val=&quot;000070A6&quot;/&gt;&lt;wsp:rsid wsp:val=&quot;00012275&quot;/&gt;&lt;wsp:rsid wsp:val=&quot;00013C24&quot;/&gt;&lt;wsp:rsid wsp:val=&quot;0001536A&quot;/&gt;&lt;wsp:rsid wsp:val=&quot;0002040C&quot;/&gt;&lt;wsp:rsid wsp:val=&quot;000212B4&quot;/&gt;&lt;wsp:rsid wsp:val=&quot;00021C6D&quot;/&gt;&lt;wsp:rsid wsp:val=&quot;00022FB6&quot;/&gt;&lt;wsp:rsid wsp:val=&quot;00023F61&quot;/&gt;&lt;wsp:rsid wsp:val=&quot;00024390&quot;/&gt;&lt;wsp:rsid wsp:val=&quot;00030C7E&quot;/&gt;&lt;wsp:rsid wsp:val=&quot;00031ADA&quot;/&gt;&lt;wsp:rsid wsp:val=&quot;000345F3&quot;/&gt;&lt;wsp:rsid wsp:val=&quot;00035EFA&quot;/&gt;&lt;wsp:rsid wsp:val=&quot;0003744E&quot;/&gt;&lt;wsp:rsid wsp:val=&quot;000374E6&quot;/&gt;&lt;wsp:rsid wsp:val=&quot;00040207&quot;/&gt;&lt;wsp:rsid wsp:val=&quot;00041895&quot;/&gt;&lt;wsp:rsid wsp:val=&quot;000419E4&quot;/&gt;&lt;wsp:rsid wsp:val=&quot;000422C3&quot;/&gt;&lt;wsp:rsid wsp:val=&quot;000443D8&quot;/&gt;&lt;wsp:rsid wsp:val=&quot;000446DE&quot;/&gt;&lt;wsp:rsid wsp:val=&quot;000471B9&quot;/&gt;&lt;wsp:rsid wsp:val=&quot;0004796F&quot;/&gt;&lt;wsp:rsid wsp:val=&quot;00047E46&quot;/&gt;&lt;wsp:rsid wsp:val=&quot;000529B0&quot;/&gt;&lt;wsp:rsid wsp:val=&quot;00056CC2&quot;/&gt;&lt;wsp:rsid wsp:val=&quot;00057616&quot;/&gt;&lt;wsp:rsid wsp:val=&quot;00061A1F&quot;/&gt;&lt;wsp:rsid wsp:val=&quot;00062120&quot;/&gt;&lt;wsp:rsid wsp:val=&quot;00065DE8&quot;/&gt;&lt;wsp:rsid wsp:val=&quot;00066B84&quot;/&gt;&lt;wsp:rsid wsp:val=&quot;00066EC9&quot;/&gt;&lt;wsp:rsid wsp:val=&quot;00070202&quot;/&gt;&lt;wsp:rsid wsp:val=&quot;000704DA&quot;/&gt;&lt;wsp:rsid wsp:val=&quot;000707CE&quot;/&gt;&lt;wsp:rsid wsp:val=&quot;00071118&quot;/&gt;&lt;wsp:rsid wsp:val=&quot;000713F8&quot;/&gt;&lt;wsp:rsid wsp:val=&quot;00071F4A&quot;/&gt;&lt;wsp:rsid wsp:val=&quot;00072990&quot;/&gt;&lt;wsp:rsid wsp:val=&quot;00072AC3&quot;/&gt;&lt;wsp:rsid wsp:val=&quot;00073C35&quot;/&gt;&lt;wsp:rsid wsp:val=&quot;00074533&quot;/&gt;&lt;wsp:rsid wsp:val=&quot;00077045&quot;/&gt;&lt;wsp:rsid wsp:val=&quot;00077EEC&quot;/&gt;&lt;wsp:rsid wsp:val=&quot;0008014E&quot;/&gt;&lt;wsp:rsid wsp:val=&quot;000823DD&quot;/&gt;&lt;wsp:rsid wsp:val=&quot;000830B3&quot;/&gt;&lt;wsp:rsid wsp:val=&quot;000852C0&quot;/&gt;&lt;wsp:rsid wsp:val=&quot;00087486&quot;/&gt;&lt;wsp:rsid wsp:val=&quot;00090446&quot;/&gt;&lt;wsp:rsid wsp:val=&quot;00093CE4&quot;/&gt;&lt;wsp:rsid wsp:val=&quot;0009433B&quot;/&gt;&lt;wsp:rsid wsp:val=&quot;00096CDE&quot;/&gt;&lt;wsp:rsid wsp:val=&quot;000973CF&quot;/&gt;&lt;wsp:rsid wsp:val=&quot;0009771A&quot;/&gt;&lt;wsp:rsid wsp:val=&quot;000A0785&quot;/&gt;&lt;wsp:rsid wsp:val=&quot;000A2A3B&quot;/&gt;&lt;wsp:rsid wsp:val=&quot;000A2E81&quot;/&gt;&lt;wsp:rsid wsp:val=&quot;000A6AC0&quot;/&gt;&lt;wsp:rsid wsp:val=&quot;000A6BB5&quot;/&gt;&lt;wsp:rsid wsp:val=&quot;000A75DC&quot;/&gt;&lt;wsp:rsid wsp:val=&quot;000B1B79&quot;/&gt;&lt;wsp:rsid wsp:val=&quot;000B1BBC&quot;/&gt;&lt;wsp:rsid wsp:val=&quot;000B3112&quot;/&gt;&lt;wsp:rsid wsp:val=&quot;000B32FE&quot;/&gt;&lt;wsp:rsid wsp:val=&quot;000B3547&quot;/&gt;&lt;wsp:rsid wsp:val=&quot;000B4C68&quot;/&gt;&lt;wsp:rsid wsp:val=&quot;000B4E45&quot;/&gt;&lt;wsp:rsid wsp:val=&quot;000B4F53&quot;/&gt;&lt;wsp:rsid wsp:val=&quot;000B5437&quot;/&gt;&lt;wsp:rsid wsp:val=&quot;000B69A1&quot;/&gt;&lt;wsp:rsid wsp:val=&quot;000C035A&quot;/&gt;&lt;wsp:rsid wsp:val=&quot;000C223B&quot;/&gt;&lt;wsp:rsid wsp:val=&quot;000C3A0D&quot;/&gt;&lt;wsp:rsid wsp:val=&quot;000C5044&quot;/&gt;&lt;wsp:rsid wsp:val=&quot;000C5620&quot;/&gt;&lt;wsp:rsid wsp:val=&quot;000D343D&quot;/&gt;&lt;wsp:rsid wsp:val=&quot;000D3573&quot;/&gt;&lt;wsp:rsid wsp:val=&quot;000D6F92&quot;/&gt;&lt;wsp:rsid wsp:val=&quot;000E0A96&quot;/&gt;&lt;wsp:rsid wsp:val=&quot;000E588F&quot;/&gt;&lt;wsp:rsid wsp:val=&quot;000E620A&quot;/&gt;&lt;wsp:rsid wsp:val=&quot;000E668F&quot;/&gt;&lt;wsp:rsid wsp:val=&quot;000E68D7&quot;/&gt;&lt;wsp:rsid wsp:val=&quot;000E6B79&quot;/&gt;&lt;wsp:rsid wsp:val=&quot;000E6C08&quot;/&gt;&lt;wsp:rsid wsp:val=&quot;000E71D6&quot;/&gt;&lt;wsp:rsid wsp:val=&quot;000F1BBF&quot;/&gt;&lt;wsp:rsid wsp:val=&quot;000F497F&quot;/&gt;&lt;wsp:rsid wsp:val=&quot;000F5D64&quot;/&gt;&lt;wsp:rsid wsp:val=&quot;0010226A&quot;/&gt;&lt;wsp:rsid wsp:val=&quot;001025BB&quot;/&gt;&lt;wsp:rsid wsp:val=&quot;00105058&quot;/&gt;&lt;wsp:rsid wsp:val=&quot;0010579E&quot;/&gt;&lt;wsp:rsid wsp:val=&quot;00105F4A&quot;/&gt;&lt;wsp:rsid wsp:val=&quot;001070A7&quot;/&gt;&lt;wsp:rsid wsp:val=&quot;00107188&quot;/&gt;&lt;wsp:rsid wsp:val=&quot;001104A2&quot;/&gt;&lt;wsp:rsid wsp:val=&quot;00111C70&quot;/&gt;&lt;wsp:rsid wsp:val=&quot;00114208&quot;/&gt;&lt;wsp:rsid wsp:val=&quot;0012257D&quot;/&gt;&lt;wsp:rsid wsp:val=&quot;00123DC3&quot;/&gt;&lt;wsp:rsid wsp:val=&quot;00124389&quot;/&gt;&lt;wsp:rsid wsp:val=&quot;001266A3&quot;/&gt;&lt;wsp:rsid wsp:val=&quot;00127239&quot;/&gt;&lt;wsp:rsid wsp:val=&quot;00127D45&quot;/&gt;&lt;wsp:rsid wsp:val=&quot;00132672&quot;/&gt;&lt;wsp:rsid wsp:val=&quot;00132EF9&quot;/&gt;&lt;wsp:rsid wsp:val=&quot;00133027&quot;/&gt;&lt;wsp:rsid wsp:val=&quot;00134A88&quot;/&gt;&lt;wsp:rsid wsp:val=&quot;001371A8&quot;/&gt;&lt;wsp:rsid wsp:val=&quot;001378B7&quot;/&gt;&lt;wsp:rsid wsp:val=&quot;00140A70&quot;/&gt;&lt;wsp:rsid wsp:val=&quot;001415EF&quot;/&gt;&lt;wsp:rsid wsp:val=&quot;00143B37&quot;/&gt;&lt;wsp:rsid wsp:val=&quot;00144183&quot;/&gt;&lt;wsp:rsid wsp:val=&quot;001507A3&quot;/&gt;&lt;wsp:rsid wsp:val=&quot;001514F2&quot;/&gt;&lt;wsp:rsid wsp:val=&quot;001545B3&quot;/&gt;&lt;wsp:rsid wsp:val=&quot;00154B19&quot;/&gt;&lt;wsp:rsid wsp:val=&quot;001554C0&quot;/&gt;&lt;wsp:rsid wsp:val=&quot;00156AC8&quot;/&gt;&lt;wsp:rsid wsp:val=&quot;00157CF6&quot;/&gt;&lt;wsp:rsid wsp:val=&quot;00160C33&quot;/&gt;&lt;wsp:rsid wsp:val=&quot;00160F3E&quot;/&gt;&lt;wsp:rsid wsp:val=&quot;00164825&quot;/&gt;&lt;wsp:rsid wsp:val=&quot;00165BFB&quot;/&gt;&lt;wsp:rsid wsp:val=&quot;00166AEA&quot;/&gt;&lt;wsp:rsid wsp:val=&quot;00167121&quot;/&gt;&lt;wsp:rsid wsp:val=&quot;0017030D&quot;/&gt;&lt;wsp:rsid wsp:val=&quot;00171581&quot;/&gt;&lt;wsp:rsid wsp:val=&quot;0017170D&quot;/&gt;&lt;wsp:rsid wsp:val=&quot;001727BD&quot;/&gt;&lt;wsp:rsid wsp:val=&quot;0017761B&quot;/&gt;&lt;wsp:rsid wsp:val=&quot;001777BF&quot;/&gt;&lt;wsp:rsid wsp:val=&quot;00185379&quot;/&gt;&lt;wsp:rsid wsp:val=&quot;001860F0&quot;/&gt;&lt;wsp:rsid wsp:val=&quot;00187565&quot;/&gt;&lt;wsp:rsid wsp:val=&quot;00187A97&quot;/&gt;&lt;wsp:rsid wsp:val=&quot;00190698&quot;/&gt;&lt;wsp:rsid wsp:val=&quot;00190CAD&quot;/&gt;&lt;wsp:rsid wsp:val=&quot;00191201&quot;/&gt;&lt;wsp:rsid wsp:val=&quot;001920F1&quot;/&gt;&lt;wsp:rsid wsp:val=&quot;001957EC&quot;/&gt;&lt;wsp:rsid wsp:val=&quot;00197001&quot;/&gt;&lt;wsp:rsid wsp:val=&quot;00197339&quot;/&gt;&lt;wsp:rsid wsp:val=&quot;001A2766&quot;/&gt;&lt;wsp:rsid wsp:val=&quot;001A2D45&quot;/&gt;&lt;wsp:rsid wsp:val=&quot;001A4772&quot;/&gt;&lt;wsp:rsid wsp:val=&quot;001A4AE2&quot;/&gt;&lt;wsp:rsid wsp:val=&quot;001A4E02&quot;/&gt;&lt;wsp:rsid wsp:val=&quot;001A6993&quot;/&gt;&lt;wsp:rsid wsp:val=&quot;001B0550&quot;/&gt;&lt;wsp:rsid wsp:val=&quot;001B0932&quot;/&gt;&lt;wsp:rsid wsp:val=&quot;001B324D&quot;/&gt;&lt;wsp:rsid wsp:val=&quot;001B40FE&quot;/&gt;&lt;wsp:rsid wsp:val=&quot;001B455A&quot;/&gt;&lt;wsp:rsid wsp:val=&quot;001B4644&quot;/&gt;&lt;wsp:rsid wsp:val=&quot;001B4EFA&quot;/&gt;&lt;wsp:rsid wsp:val=&quot;001B7266&quot;/&gt;&lt;wsp:rsid wsp:val=&quot;001C04D2&quot;/&gt;&lt;wsp:rsid wsp:val=&quot;001C1ED8&quot;/&gt;&lt;wsp:rsid wsp:val=&quot;001C4A15&quot;/&gt;&lt;wsp:rsid wsp:val=&quot;001C5CC1&quot;/&gt;&lt;wsp:rsid wsp:val=&quot;001C6273&quot;/&gt;&lt;wsp:rsid wsp:val=&quot;001C64C3&quot;/&gt;&lt;wsp:rsid wsp:val=&quot;001D07A7&quot;/&gt;&lt;wsp:rsid wsp:val=&quot;001D0E00&quot;/&gt;&lt;wsp:rsid wsp:val=&quot;001D13DF&quot;/&gt;&lt;wsp:rsid wsp:val=&quot;001D24F7&quot;/&gt;&lt;wsp:rsid wsp:val=&quot;001D364B&quot;/&gt;&lt;wsp:rsid wsp:val=&quot;001D3FE4&quot;/&gt;&lt;wsp:rsid wsp:val=&quot;001D4577&quot;/&gt;&lt;wsp:rsid wsp:val=&quot;001D58FC&quot;/&gt;&lt;wsp:rsid wsp:val=&quot;001D5ED0&quot;/&gt;&lt;wsp:rsid wsp:val=&quot;001D6D31&quot;/&gt;&lt;wsp:rsid wsp:val=&quot;001E026B&quot;/&gt;&lt;wsp:rsid wsp:val=&quot;001E11D0&quot;/&gt;&lt;wsp:rsid wsp:val=&quot;001E176F&quot;/&gt;&lt;wsp:rsid wsp:val=&quot;001E3BF7&quot;/&gt;&lt;wsp:rsid wsp:val=&quot;001E41A9&quot;/&gt;&lt;wsp:rsid wsp:val=&quot;001E6E48&quot;/&gt;&lt;wsp:rsid wsp:val=&quot;001E6EBB&quot;/&gt;&lt;wsp:rsid wsp:val=&quot;001E76AC&quot;/&gt;&lt;wsp:rsid wsp:val=&quot;001F39A1&quot;/&gt;&lt;wsp:rsid wsp:val=&quot;001F3A1C&quot;/&gt;&lt;wsp:rsid wsp:val=&quot;001F4003&quot;/&gt;&lt;wsp:rsid wsp:val=&quot;001F6F86&quot;/&gt;&lt;wsp:rsid wsp:val=&quot;00200039&quot;/&gt;&lt;wsp:rsid wsp:val=&quot;0020113B&quot;/&gt;&lt;wsp:rsid wsp:val=&quot;00203D7F&quot;/&gt;&lt;wsp:rsid wsp:val=&quot;0020459A&quot;/&gt;&lt;wsp:rsid wsp:val=&quot;00204CF9&quot;/&gt;&lt;wsp:rsid wsp:val=&quot;00205DB5&quot;/&gt;&lt;wsp:rsid wsp:val=&quot;00206C1E&quot;/&gt;&lt;wsp:rsid wsp:val=&quot;00207933&quot;/&gt;&lt;wsp:rsid wsp:val=&quot;00207F2E&quot;/&gt;&lt;wsp:rsid wsp:val=&quot;002105D9&quot;/&gt;&lt;wsp:rsid wsp:val=&quot;0021268B&quot;/&gt;&lt;wsp:rsid wsp:val=&quot;0021295D&quot;/&gt;&lt;wsp:rsid wsp:val=&quot;002142D3&quot;/&gt;&lt;wsp:rsid wsp:val=&quot;00216161&quot;/&gt;&lt;wsp:rsid wsp:val=&quot;002164D1&quot;/&gt;&lt;wsp:rsid wsp:val=&quot;0021779F&quot;/&gt;&lt;wsp:rsid wsp:val=&quot;00221110&quot;/&gt;&lt;wsp:rsid wsp:val=&quot;0022272A&quot;/&gt;&lt;wsp:rsid wsp:val=&quot;00223473&quot;/&gt;&lt;wsp:rsid wsp:val=&quot;00224108&quot;/&gt;&lt;wsp:rsid wsp:val=&quot;002265D8&quot;/&gt;&lt;wsp:rsid wsp:val=&quot;002309FD&quot;/&gt;&lt;wsp:rsid wsp:val=&quot;00230CCD&quot;/&gt;&lt;wsp:rsid wsp:val=&quot;0023141F&quot;/&gt;&lt;wsp:rsid wsp:val=&quot;0023144D&quot;/&gt;&lt;wsp:rsid wsp:val=&quot;00232881&quot;/&gt;&lt;wsp:rsid wsp:val=&quot;002340BD&quot;/&gt;&lt;wsp:rsid wsp:val=&quot;00234D88&quot;/&gt;&lt;wsp:rsid wsp:val=&quot;00235B95&quot;/&gt;&lt;wsp:rsid wsp:val=&quot;002371DC&quot;/&gt;&lt;wsp:rsid wsp:val=&quot;00240732&quot;/&gt;&lt;wsp:rsid wsp:val=&quot;00241295&quot;/&gt;&lt;wsp:rsid wsp:val=&quot;002422E0&quot;/&gt;&lt;wsp:rsid wsp:val=&quot;002429BE&quot;/&gt;&lt;wsp:rsid wsp:val=&quot;0024321E&quot;/&gt;&lt;wsp:rsid wsp:val=&quot;00243A8B&quot;/&gt;&lt;wsp:rsid wsp:val=&quot;002443A5&quot;/&gt;&lt;wsp:rsid wsp:val=&quot;002460D9&quot;/&gt;&lt;wsp:rsid wsp:val=&quot;00250155&quot;/&gt;&lt;wsp:rsid wsp:val=&quot;0025055E&quot;/&gt;&lt;wsp:rsid wsp:val=&quot;00252003&quot;/&gt;&lt;wsp:rsid wsp:val=&quot;0025261F&quot;/&gt;&lt;wsp:rsid wsp:val=&quot;002528EA&quot;/&gt;&lt;wsp:rsid wsp:val=&quot;002546D5&quot;/&gt;&lt;wsp:rsid wsp:val=&quot;00255455&quot;/&gt;&lt;wsp:rsid wsp:val=&quot;00255EBD&quot;/&gt;&lt;wsp:rsid wsp:val=&quot;0025711C&quot;/&gt;&lt;wsp:rsid wsp:val=&quot;00260968&quot;/&gt;&lt;wsp:rsid wsp:val=&quot;00262ABD&quot;/&gt;&lt;wsp:rsid wsp:val=&quot;00263108&quot;/&gt;&lt;wsp:rsid wsp:val=&quot;002643EC&quot;/&gt;&lt;wsp:rsid wsp:val=&quot;00266B83&quot;/&gt;&lt;wsp:rsid wsp:val=&quot;00266CDF&quot;/&gt;&lt;wsp:rsid wsp:val=&quot;0026774E&quot;/&gt;&lt;wsp:rsid wsp:val=&quot;00271828&quot;/&gt;&lt;wsp:rsid wsp:val=&quot;002729AA&quot;/&gt;&lt;wsp:rsid wsp:val=&quot;00272A15&quot;/&gt;&lt;wsp:rsid wsp:val=&quot;002744A7&quot;/&gt;&lt;wsp:rsid wsp:val=&quot;00280E83&quot;/&gt;&lt;wsp:rsid wsp:val=&quot;00282EE9&quot;/&gt;&lt;wsp:rsid wsp:val=&quot;002831CB&quot;/&gt;&lt;wsp:rsid wsp:val=&quot;0028662E&quot;/&gt;&lt;wsp:rsid wsp:val=&quot;002875DE&quot;/&gt;&lt;wsp:rsid wsp:val=&quot;00290129&quot;/&gt;&lt;wsp:rsid wsp:val=&quot;00290391&quot;/&gt;&lt;wsp:rsid wsp:val=&quot;00291106&quot;/&gt;&lt;wsp:rsid wsp:val=&quot;002913C4&quot;/&gt;&lt;wsp:rsid wsp:val=&quot;00291AE8&quot;/&gt;&lt;wsp:rsid wsp:val=&quot;00293119&quot;/&gt;&lt;wsp:rsid wsp:val=&quot;002939EC&quot;/&gt;&lt;wsp:rsid wsp:val=&quot;00294716&quot;/&gt;&lt;wsp:rsid wsp:val=&quot;00295007&quot;/&gt;&lt;wsp:rsid wsp:val=&quot;00296211&quot;/&gt;&lt;wsp:rsid wsp:val=&quot;00297524&quot;/&gt;&lt;wsp:rsid wsp:val=&quot;002A0812&quot;/&gt;&lt;wsp:rsid wsp:val=&quot;002A18CE&quot;/&gt;&lt;wsp:rsid wsp:val=&quot;002A1C5E&quot;/&gt;&lt;wsp:rsid wsp:val=&quot;002A2836&quot;/&gt;&lt;wsp:rsid wsp:val=&quot;002A2A85&quot;/&gt;&lt;wsp:rsid wsp:val=&quot;002A30AF&quot;/&gt;&lt;wsp:rsid wsp:val=&quot;002A55AD&quot;/&gt;&lt;wsp:rsid wsp:val=&quot;002A7FCB&quot;/&gt;&lt;wsp:rsid wsp:val=&quot;002B075B&quot;/&gt;&lt;wsp:rsid wsp:val=&quot;002B0DD1&quot;/&gt;&lt;wsp:rsid wsp:val=&quot;002B14D6&quot;/&gt;&lt;wsp:rsid wsp:val=&quot;002B21F7&quot;/&gt;&lt;wsp:rsid wsp:val=&quot;002B2E0E&quot;/&gt;&lt;wsp:rsid wsp:val=&quot;002B30ED&quot;/&gt;&lt;wsp:rsid wsp:val=&quot;002B366E&quot;/&gt;&lt;wsp:rsid wsp:val=&quot;002B3982&quot;/&gt;&lt;wsp:rsid wsp:val=&quot;002B497C&quot;/&gt;&lt;wsp:rsid wsp:val=&quot;002B71C7&quot;/&gt;&lt;wsp:rsid wsp:val=&quot;002C0598&quot;/&gt;&lt;wsp:rsid wsp:val=&quot;002C090E&quot;/&gt;&lt;wsp:rsid wsp:val=&quot;002C29BF&quot;/&gt;&lt;wsp:rsid wsp:val=&quot;002C3612&quot;/&gt;&lt;wsp:rsid wsp:val=&quot;002C3DA7&quot;/&gt;&lt;wsp:rsid wsp:val=&quot;002C6926&quot;/&gt;&lt;wsp:rsid wsp:val=&quot;002C7C22&quot;/&gt;&lt;wsp:rsid wsp:val=&quot;002D6FD2&quot;/&gt;&lt;wsp:rsid wsp:val=&quot;002D7226&quot;/&gt;&lt;wsp:rsid wsp:val=&quot;002E245A&quot;/&gt;&lt;wsp:rsid wsp:val=&quot;002E320F&quot;/&gt;&lt;wsp:rsid wsp:val=&quot;002E3889&quot;/&gt;&lt;wsp:rsid wsp:val=&quot;002E4EF9&quot;/&gt;&lt;wsp:rsid wsp:val=&quot;002E7BED&quot;/&gt;&lt;wsp:rsid wsp:val=&quot;002F350E&quot;/&gt;&lt;wsp:rsid wsp:val=&quot;002F3555&quot;/&gt;&lt;wsp:rsid wsp:val=&quot;002F6552&quot;/&gt;&lt;wsp:rsid wsp:val=&quot;002F6769&quot;/&gt;&lt;wsp:rsid wsp:val=&quot;003008FC&quot;/&gt;&lt;wsp:rsid wsp:val=&quot;00300B36&quot;/&gt;&lt;wsp:rsid wsp:val=&quot;00301DA8&quot;/&gt;&lt;wsp:rsid wsp:val=&quot;003042B6&quot;/&gt;&lt;wsp:rsid wsp:val=&quot;003050B5&quot;/&gt;&lt;wsp:rsid wsp:val=&quot;00305D8A&quot;/&gt;&lt;wsp:rsid wsp:val=&quot;0030601F&quot;/&gt;&lt;wsp:rsid wsp:val=&quot;003070EF&quot;/&gt;&lt;wsp:rsid wsp:val=&quot;003077BF&quot;/&gt;&lt;wsp:rsid wsp:val=&quot;003078D5&quot;/&gt;&lt;wsp:rsid wsp:val=&quot;00307EC1&quot;/&gt;&lt;wsp:rsid wsp:val=&quot;00313106&quot;/&gt;&lt;wsp:rsid wsp:val=&quot;003132FC&quot;/&gt;&lt;wsp:rsid wsp:val=&quot;00313341&quot;/&gt;&lt;wsp:rsid wsp:val=&quot;003144AB&quot;/&gt;&lt;wsp:rsid wsp:val=&quot;003167B4&quot;/&gt;&lt;wsp:rsid wsp:val=&quot;0032197C&quot;/&gt;&lt;wsp:rsid wsp:val=&quot;00321BEE&quot;/&gt;&lt;wsp:rsid wsp:val=&quot;00322C35&quot;/&gt;&lt;wsp:rsid wsp:val=&quot;00323478&quot;/&gt;&lt;wsp:rsid wsp:val=&quot;0032466E&quot;/&gt;&lt;wsp:rsid wsp:val=&quot;003251E7&quot;/&gt;&lt;wsp:rsid wsp:val=&quot;003258DD&quot;/&gt;&lt;wsp:rsid wsp:val=&quot;00331507&quot;/&gt;&lt;wsp:rsid wsp:val=&quot;00331596&quot;/&gt;&lt;wsp:rsid wsp:val=&quot;00335689&quot;/&gt;&lt;wsp:rsid wsp:val=&quot;00336DF7&quot;/&gt;&lt;wsp:rsid wsp:val=&quot;00337B27&quot;/&gt;&lt;wsp:rsid wsp:val=&quot;00340082&quot;/&gt;&lt;wsp:rsid wsp:val=&quot;00341BE0&quot;/&gt;&lt;wsp:rsid wsp:val=&quot;00343197&quot;/&gt;&lt;wsp:rsid wsp:val=&quot;003440A4&quot;/&gt;&lt;wsp:rsid wsp:val=&quot;00345430&quot;/&gt;&lt;wsp:rsid wsp:val=&quot;00345DA0&quot;/&gt;&lt;wsp:rsid wsp:val=&quot;003469BD&quot;/&gt;&lt;wsp:rsid wsp:val=&quot;0035126E&quot;/&gt;&lt;wsp:rsid wsp:val=&quot;00352099&quot;/&gt;&lt;wsp:rsid wsp:val=&quot;00354943&quot;/&gt;&lt;wsp:rsid wsp:val=&quot;00356DD2&quot;/&gt;&lt;wsp:rsid wsp:val=&quot;0035771B&quot;/&gt;&lt;wsp:rsid wsp:val=&quot;003612F7&quot;/&gt;&lt;wsp:rsid wsp:val=&quot;0036504A&quot;/&gt;&lt;wsp:rsid wsp:val=&quot;00365628&quot;/&gt;&lt;wsp:rsid wsp:val=&quot;00366F3B&quot;/&gt;&lt;wsp:rsid wsp:val=&quot;00370D98&quot;/&gt;&lt;wsp:rsid wsp:val=&quot;00370F80&quot;/&gt;&lt;wsp:rsid wsp:val=&quot;00371C00&quot;/&gt;&lt;wsp:rsid wsp:val=&quot;003725E8&quot;/&gt;&lt;wsp:rsid wsp:val=&quot;00372814&quot;/&gt;&lt;wsp:rsid wsp:val=&quot;00373427&quot;/&gt;&lt;wsp:rsid wsp:val=&quot;0037385B&quot;/&gt;&lt;wsp:rsid wsp:val=&quot;0037392D&quot;/&gt;&lt;wsp:rsid wsp:val=&quot;0037564B&quot;/&gt;&lt;wsp:rsid wsp:val=&quot;00375B77&quot;/&gt;&lt;wsp:rsid wsp:val=&quot;00376054&quot;/&gt;&lt;wsp:rsid wsp:val=&quot;003801BF&quot;/&gt;&lt;wsp:rsid wsp:val=&quot;00380AD0&quot;/&gt;&lt;wsp:rsid wsp:val=&quot;003815A6&quot;/&gt;&lt;wsp:rsid wsp:val=&quot;00381CA6&quot;/&gt;&lt;wsp:rsid wsp:val=&quot;00381ECF&quot;/&gt;&lt;wsp:rsid wsp:val=&quot;00384EFE&quot;/&gt;&lt;wsp:rsid wsp:val=&quot;00386578&quot;/&gt;&lt;wsp:rsid wsp:val=&quot;00387D43&quot;/&gt;&lt;wsp:rsid wsp:val=&quot;003905F6&quot;/&gt;&lt;wsp:rsid wsp:val=&quot;00391031&quot;/&gt;&lt;wsp:rsid wsp:val=&quot;00392872&quot;/&gt;&lt;wsp:rsid wsp:val=&quot;0039538F&quot;/&gt;&lt;wsp:rsid wsp:val=&quot;0039632D&quot;/&gt;&lt;wsp:rsid wsp:val=&quot;0039733A&quot;/&gt;&lt;wsp:rsid wsp:val=&quot;0039740E&quot;/&gt;&lt;wsp:rsid wsp:val=&quot;003A016A&quot;/&gt;&lt;wsp:rsid wsp:val=&quot;003A06E4&quot;/&gt;&lt;wsp:rsid wsp:val=&quot;003A206A&quot;/&gt;&lt;wsp:rsid wsp:val=&quot;003A24FB&quot;/&gt;&lt;wsp:rsid wsp:val=&quot;003A2EBF&quot;/&gt;&lt;wsp:rsid wsp:val=&quot;003A37D1&quot;/&gt;&lt;wsp:rsid wsp:val=&quot;003A5D3B&quot;/&gt;&lt;wsp:rsid wsp:val=&quot;003B0A6B&quot;/&gt;&lt;wsp:rsid wsp:val=&quot;003B0D81&quot;/&gt;&lt;wsp:rsid wsp:val=&quot;003B1AE9&quot;/&gt;&lt;wsp:rsid wsp:val=&quot;003B1F1D&quot;/&gt;&lt;wsp:rsid wsp:val=&quot;003B2B80&quot;/&gt;&lt;wsp:rsid wsp:val=&quot;003B3CB4&quot;/&gt;&lt;wsp:rsid wsp:val=&quot;003B5A26&quot;/&gt;&lt;wsp:rsid wsp:val=&quot;003B606F&quot;/&gt;&lt;wsp:rsid wsp:val=&quot;003B6FD2&quot;/&gt;&lt;wsp:rsid wsp:val=&quot;003B736C&quot;/&gt;&lt;wsp:rsid wsp:val=&quot;003C14E0&quot;/&gt;&lt;wsp:rsid wsp:val=&quot;003C17F6&quot;/&gt;&lt;wsp:rsid wsp:val=&quot;003C1CFE&quot;/&gt;&lt;wsp:rsid wsp:val=&quot;003C4B3A&quot;/&gt;&lt;wsp:rsid wsp:val=&quot;003C6325&quot;/&gt;&lt;wsp:rsid wsp:val=&quot;003C64FF&quot;/&gt;&lt;wsp:rsid wsp:val=&quot;003C698C&quot;/&gt;&lt;wsp:rsid wsp:val=&quot;003C6D85&quot;/&gt;&lt;wsp:rsid wsp:val=&quot;003C757A&quot;/&gt;&lt;wsp:rsid wsp:val=&quot;003C7BBC&quot;/&gt;&lt;wsp:rsid wsp:val=&quot;003D0EAC&quot;/&gt;&lt;wsp:rsid wsp:val=&quot;003D0F47&quot;/&gt;&lt;wsp:rsid wsp:val=&quot;003D2AB7&quot;/&gt;&lt;wsp:rsid wsp:val=&quot;003D6D63&quot;/&gt;&lt;wsp:rsid wsp:val=&quot;003D715B&quot;/&gt;&lt;wsp:rsid wsp:val=&quot;003D79EA&quot;/&gt;&lt;wsp:rsid wsp:val=&quot;003D7F57&quot;/&gt;&lt;wsp:rsid wsp:val=&quot;003E0BD5&quot;/&gt;&lt;wsp:rsid wsp:val=&quot;003E0CB0&quot;/&gt;&lt;wsp:rsid wsp:val=&quot;003E19CF&quot;/&gt;&lt;wsp:rsid wsp:val=&quot;003E377E&quot;/&gt;&lt;wsp:rsid wsp:val=&quot;003E3911&quot;/&gt;&lt;wsp:rsid wsp:val=&quot;003E5C2F&quot;/&gt;&lt;wsp:rsid wsp:val=&quot;003E6085&quot;/&gt;&lt;wsp:rsid wsp:val=&quot;003E6C8D&quot;/&gt;&lt;wsp:rsid wsp:val=&quot;003F1213&quot;/&gt;&lt;wsp:rsid wsp:val=&quot;003F1A43&quot;/&gt;&lt;wsp:rsid wsp:val=&quot;003F2100&quot;/&gt;&lt;wsp:rsid wsp:val=&quot;003F385A&quot;/&gt;&lt;wsp:rsid wsp:val=&quot;003F4F9C&quot;/&gt;&lt;wsp:rsid wsp:val=&quot;003F5468&quot;/&gt;&lt;wsp:rsid wsp:val=&quot;003F5A9F&quot;/&gt;&lt;wsp:rsid wsp:val=&quot;00401359&quot;/&gt;&lt;wsp:rsid wsp:val=&quot;0040339D&quot;/&gt;&lt;wsp:rsid wsp:val=&quot;0040385B&quot;/&gt;&lt;wsp:rsid wsp:val=&quot;004040F2&quot;/&gt;&lt;wsp:rsid wsp:val=&quot;004050EE&quot;/&gt;&lt;wsp:rsid wsp:val=&quot;00405311&quot;/&gt;&lt;wsp:rsid wsp:val=&quot;0040622A&quot;/&gt;&lt;wsp:rsid wsp:val=&quot;004074FF&quot;/&gt;&lt;wsp:rsid wsp:val=&quot;004078B3&quot;/&gt;&lt;wsp:rsid wsp:val=&quot;00407EA8&quot;/&gt;&lt;wsp:rsid wsp:val=&quot;0041094D&quot;/&gt;&lt;wsp:rsid wsp:val=&quot;00411E9B&quot;/&gt;&lt;wsp:rsid wsp:val=&quot;00411F91&quot;/&gt;&lt;wsp:rsid wsp:val=&quot;004128FE&quot;/&gt;&lt;wsp:rsid wsp:val=&quot;004138D6&quot;/&gt;&lt;wsp:rsid wsp:val=&quot;0041470D&quot;/&gt;&lt;wsp:rsid wsp:val=&quot;00414FBA&quot;/&gt;&lt;wsp:rsid wsp:val=&quot;004152D0&quot;/&gt;&lt;wsp:rsid wsp:val=&quot;00415435&quot;/&gt;&lt;wsp:rsid wsp:val=&quot;00416177&quot;/&gt;&lt;wsp:rsid wsp:val=&quot;00416FF6&quot;/&gt;&lt;wsp:rsid wsp:val=&quot;00417188&quot;/&gt;&lt;wsp:rsid wsp:val=&quot;00417493&quot;/&gt;&lt;wsp:rsid wsp:val=&quot;0042031E&quot;/&gt;&lt;wsp:rsid wsp:val=&quot;004215DF&quot;/&gt;&lt;wsp:rsid wsp:val=&quot;00421DE5&quot;/&gt;&lt;wsp:rsid wsp:val=&quot;00422A73&quot;/&gt;&lt;wsp:rsid wsp:val=&quot;004244E4&quot;/&gt;&lt;wsp:rsid wsp:val=&quot;00424B8F&quot;/&gt;&lt;wsp:rsid wsp:val=&quot;0042683D&quot;/&gt;&lt;wsp:rsid wsp:val=&quot;00426843&quot;/&gt;&lt;wsp:rsid wsp:val=&quot;004279BB&quot;/&gt;&lt;wsp:rsid wsp:val=&quot;0043032A&quot;/&gt;&lt;wsp:rsid wsp:val=&quot;004320FB&quot;/&gt;&lt;wsp:rsid wsp:val=&quot;0043246A&quot;/&gt;&lt;wsp:rsid wsp:val=&quot;0043389D&quot;/&gt;&lt;wsp:rsid wsp:val=&quot;004342C3&quot;/&gt;&lt;wsp:rsid wsp:val=&quot;00437AE4&quot;/&gt;&lt;wsp:rsid wsp:val=&quot;0044110E&quot;/&gt;&lt;wsp:rsid wsp:val=&quot;00441D71&quot;/&gt;&lt;wsp:rsid wsp:val=&quot;004442E8&quot;/&gt;&lt;wsp:rsid wsp:val=&quot;0044443D&quot;/&gt;&lt;wsp:rsid wsp:val=&quot;00444702&quot;/&gt;&lt;wsp:rsid wsp:val=&quot;0044511F&quot;/&gt;&lt;wsp:rsid wsp:val=&quot;00446977&quot;/&gt;&lt;wsp:rsid wsp:val=&quot;004479B9&quot;/&gt;&lt;wsp:rsid wsp:val=&quot;004507EC&quot;/&gt;&lt;wsp:rsid wsp:val=&quot;004520DF&quot;/&gt;&lt;wsp:rsid wsp:val=&quot;0045306D&quot;/&gt;&lt;wsp:rsid wsp:val=&quot;00456441&quot;/&gt;&lt;wsp:rsid wsp:val=&quot;0046027B&quot;/&gt;&lt;wsp:rsid wsp:val=&quot;00462610&quot;/&gt;&lt;wsp:rsid wsp:val=&quot;00462A31&quot;/&gt;&lt;wsp:rsid wsp:val=&quot;00462CD4&quot;/&gt;&lt;wsp:rsid wsp:val=&quot;0046548C&quot;/&gt;&lt;wsp:rsid wsp:val=&quot;004678ED&quot;/&gt;&lt;wsp:rsid wsp:val=&quot;00471C07&quot;/&gt;&lt;wsp:rsid wsp:val=&quot;00471FBB&quot;/&gt;&lt;wsp:rsid wsp:val=&quot;0047444A&quot;/&gt;&lt;wsp:rsid wsp:val=&quot;00475412&quot;/&gt;&lt;wsp:rsid wsp:val=&quot;00475C49&quot;/&gt;&lt;wsp:rsid wsp:val=&quot;00475E99&quot;/&gt;&lt;wsp:rsid wsp:val=&quot;00476197&quot;/&gt;&lt;wsp:rsid wsp:val=&quot;00476699&quot;/&gt;&lt;wsp:rsid wsp:val=&quot;00476BC0&quot;/&gt;&lt;wsp:rsid wsp:val=&quot;0047745E&quot;/&gt;&lt;wsp:rsid wsp:val=&quot;00480E6E&quot;/&gt;&lt;wsp:rsid wsp:val=&quot;004820FC&quot;/&gt;&lt;wsp:rsid wsp:val=&quot;00483528&quot;/&gt;&lt;wsp:rsid wsp:val=&quot;00485F51&quot;/&gt;&lt;wsp:rsid wsp:val=&quot;00486C16&quot;/&gt;&lt;wsp:rsid wsp:val=&quot;0048776B&quot;/&gt;&lt;wsp:rsid wsp:val=&quot;00490D41&quot;/&gt;&lt;wsp:rsid wsp:val=&quot;00492DCF&quot;/&gt;&lt;wsp:rsid wsp:val=&quot;00493316&quot;/&gt;&lt;wsp:rsid wsp:val=&quot;004936CE&quot;/&gt;&lt;wsp:rsid wsp:val=&quot;00493E3A&quot;/&gt;&lt;wsp:rsid wsp:val=&quot;00493F14&quot;/&gt;&lt;wsp:rsid wsp:val=&quot;00493F50&quot;/&gt;&lt;wsp:rsid wsp:val=&quot;00494387&quot;/&gt;&lt;wsp:rsid wsp:val=&quot;00495341&quot;/&gt;&lt;wsp:rsid wsp:val=&quot;004956C8&quot;/&gt;&lt;wsp:rsid wsp:val=&quot;00495722&quot;/&gt;&lt;wsp:rsid wsp:val=&quot;0049664E&quot;/&gt;&lt;wsp:rsid wsp:val=&quot;004A0A13&quot;/&gt;&lt;wsp:rsid wsp:val=&quot;004A0D4A&quot;/&gt;&lt;wsp:rsid wsp:val=&quot;004A17D4&quot;/&gt;&lt;wsp:rsid wsp:val=&quot;004A2472&quot;/&gt;&lt;wsp:rsid wsp:val=&quot;004A24C1&quot;/&gt;&lt;wsp:rsid wsp:val=&quot;004A4496&quot;/&gt;&lt;wsp:rsid wsp:val=&quot;004A482E&quot;/&gt;&lt;wsp:rsid wsp:val=&quot;004A5CA7&quot;/&gt;&lt;wsp:rsid wsp:val=&quot;004A6080&quot;/&gt;&lt;wsp:rsid wsp:val=&quot;004A7C06&quot;/&gt;&lt;wsp:rsid wsp:val=&quot;004A7C2F&quot;/&gt;&lt;wsp:rsid wsp:val=&quot;004B23A8&quot;/&gt;&lt;wsp:rsid wsp:val=&quot;004B3575&quot;/&gt;&lt;wsp:rsid wsp:val=&quot;004B3D6A&quot;/&gt;&lt;wsp:rsid wsp:val=&quot;004C091E&quot;/&gt;&lt;wsp:rsid wsp:val=&quot;004C15AF&quot;/&gt;&lt;wsp:rsid wsp:val=&quot;004C2F40&quot;/&gt;&lt;wsp:rsid wsp:val=&quot;004C5178&quot;/&gt;&lt;wsp:rsid wsp:val=&quot;004C644B&quot;/&gt;&lt;wsp:rsid wsp:val=&quot;004C6FCD&quot;/&gt;&lt;wsp:rsid wsp:val=&quot;004C71BE&quot;/&gt;&lt;wsp:rsid wsp:val=&quot;004C73FD&quot;/&gt;&lt;wsp:rsid wsp:val=&quot;004C7D52&quot;/&gt;&lt;wsp:rsid wsp:val=&quot;004D1850&quot;/&gt;&lt;wsp:rsid wsp:val=&quot;004D1B28&quot;/&gt;&lt;wsp:rsid wsp:val=&quot;004D46D4&quot;/&gt;&lt;wsp:rsid wsp:val=&quot;004D6C51&quot;/&gt;&lt;wsp:rsid wsp:val=&quot;004D7BC7&quot;/&gt;&lt;wsp:rsid wsp:val=&quot;004D7DD8&quot;/&gt;&lt;wsp:rsid wsp:val=&quot;004E0C65&quot;/&gt;&lt;wsp:rsid wsp:val=&quot;004E17F3&quot;/&gt;&lt;wsp:rsid wsp:val=&quot;004E1C46&quot;/&gt;&lt;wsp:rsid wsp:val=&quot;004E2D07&quot;/&gt;&lt;wsp:rsid wsp:val=&quot;004E2DF6&quot;/&gt;&lt;wsp:rsid wsp:val=&quot;004E49C5&quot;/&gt;&lt;wsp:rsid wsp:val=&quot;004E6769&quot;/&gt;&lt;wsp:rsid wsp:val=&quot;004E6A20&quot;/&gt;&lt;wsp:rsid wsp:val=&quot;004E6E7F&quot;/&gt;&lt;wsp:rsid wsp:val=&quot;004E727D&quot;/&gt;&lt;wsp:rsid wsp:val=&quot;004F1E32&quot;/&gt;&lt;wsp:rsid wsp:val=&quot;004F22D0&quot;/&gt;&lt;wsp:rsid wsp:val=&quot;004F2BCB&quot;/&gt;&lt;wsp:rsid wsp:val=&quot;004F7EE5&quot;/&gt;&lt;wsp:rsid wsp:val=&quot;00502019&quot;/&gt;&lt;wsp:rsid wsp:val=&quot;00504BCD&quot;/&gt;&lt;wsp:rsid wsp:val=&quot;00505D54&quot;/&gt;&lt;wsp:rsid wsp:val=&quot;0051084E&quot;/&gt;&lt;wsp:rsid wsp:val=&quot;005111CB&quot;/&gt;&lt;wsp:rsid wsp:val=&quot;00512C31&quot;/&gt;&lt;wsp:rsid wsp:val=&quot;00516574&quot;/&gt;&lt;wsp:rsid wsp:val=&quot;00521EB2&quot;/&gt;&lt;wsp:rsid wsp:val=&quot;0052211D&quot;/&gt;&lt;wsp:rsid wsp:val=&quot;00522700&quot;/&gt;&lt;wsp:rsid wsp:val=&quot;00523015&quot;/&gt;&lt;wsp:rsid wsp:val=&quot;005246CE&quot;/&gt;&lt;wsp:rsid wsp:val=&quot;0052704A&quot;/&gt;&lt;wsp:rsid wsp:val=&quot;005271DC&quot;/&gt;&lt;wsp:rsid wsp:val=&quot;005271E4&quot;/&gt;&lt;wsp:rsid wsp:val=&quot;005273DE&quot;/&gt;&lt;wsp:rsid wsp:val=&quot;0053290C&quot;/&gt;&lt;wsp:rsid wsp:val=&quot;00532D02&quot;/&gt;&lt;wsp:rsid wsp:val=&quot;00533957&quot;/&gt;&lt;wsp:rsid wsp:val=&quot;005362C8&quot;/&gt;&lt;wsp:rsid wsp:val=&quot;00536436&quot;/&gt;&lt;wsp:rsid wsp:val=&quot;0053663C&quot;/&gt;&lt;wsp:rsid wsp:val=&quot;005376C7&quot;/&gt;&lt;wsp:rsid wsp:val=&quot;00537AD6&quot;/&gt;&lt;wsp:rsid wsp:val=&quot;00542051&quot;/&gt;&lt;wsp:rsid wsp:val=&quot;0054324E&quot;/&gt;&lt;wsp:rsid wsp:val=&quot;0054441A&quot;/&gt;&lt;wsp:rsid wsp:val=&quot;00545157&quot;/&gt;&lt;wsp:rsid wsp:val=&quot;00545F85&quot;/&gt;&lt;wsp:rsid wsp:val=&quot;00546D51&quot;/&gt;&lt;wsp:rsid wsp:val=&quot;00546F09&quot;/&gt;&lt;wsp:rsid wsp:val=&quot;0054746B&quot;/&gt;&lt;wsp:rsid wsp:val=&quot;00547F09&quot;/&gt;&lt;wsp:rsid wsp:val=&quot;00550614&quot;/&gt;&lt;wsp:rsid wsp:val=&quot;00550EB1&quot;/&gt;&lt;wsp:rsid wsp:val=&quot;00553CD6&quot;/&gt;&lt;wsp:rsid wsp:val=&quot;00553FD7&quot;/&gt;&lt;wsp:rsid wsp:val=&quot;005577D1&quot;/&gt;&lt;wsp:rsid wsp:val=&quot;0056002D&quot;/&gt;&lt;wsp:rsid wsp:val=&quot;00560034&quot;/&gt;&lt;wsp:rsid wsp:val=&quot;0056089D&quot;/&gt;&lt;wsp:rsid wsp:val=&quot;0056091E&quot;/&gt;&lt;wsp:rsid wsp:val=&quot;00560B13&quot;/&gt;&lt;wsp:rsid wsp:val=&quot;00564F65&quot;/&gt;&lt;wsp:rsid wsp:val=&quot;0056594B&quot;/&gt;&lt;wsp:rsid wsp:val=&quot;005662DA&quot;/&gt;&lt;wsp:rsid wsp:val=&quot;00566EE2&quot;/&gt;&lt;wsp:rsid wsp:val=&quot;0056753A&quot;/&gt;&lt;wsp:rsid wsp:val=&quot;00570515&quot;/&gt;&lt;wsp:rsid wsp:val=&quot;005706B4&quot;/&gt;&lt;wsp:rsid wsp:val=&quot;0057128B&quot;/&gt;&lt;wsp:rsid wsp:val=&quot;005715A6&quot;/&gt;&lt;wsp:rsid wsp:val=&quot;0057591C&quot;/&gt;&lt;wsp:rsid wsp:val=&quot;00577149&quot;/&gt;&lt;wsp:rsid wsp:val=&quot;0058002B&quot;/&gt;&lt;wsp:rsid wsp:val=&quot;00580FE2&quot;/&gt;&lt;wsp:rsid wsp:val=&quot;005830C2&quot;/&gt;&lt;wsp:rsid wsp:val=&quot;00583691&quot;/&gt;&lt;wsp:rsid wsp:val=&quot;0058679E&quot;/&gt;&lt;wsp:rsid wsp:val=&quot;00586A13&quot;/&gt;&lt;wsp:rsid wsp:val=&quot;0058716E&quot;/&gt;&lt;wsp:rsid wsp:val=&quot;0059007C&quot;/&gt;&lt;wsp:rsid wsp:val=&quot;0059068E&quot;/&gt;&lt;wsp:rsid wsp:val=&quot;00590E8B&quot;/&gt;&lt;wsp:rsid wsp:val=&quot;0059173D&quot;/&gt;&lt;wsp:rsid wsp:val=&quot;00591CC0&quot;/&gt;&lt;wsp:rsid wsp:val=&quot;005945A8&quot;/&gt;&lt;wsp:rsid wsp:val=&quot;005954C2&quot;/&gt;&lt;wsp:rsid wsp:val=&quot;00595775&quot;/&gt;&lt;wsp:rsid wsp:val=&quot;00596197&quot;/&gt;&lt;wsp:rsid wsp:val=&quot;005A0932&quot;/&gt;&lt;wsp:rsid wsp:val=&quot;005A11C3&quot;/&gt;&lt;wsp:rsid wsp:val=&quot;005A4140&quot;/&gt;&lt;wsp:rsid wsp:val=&quot;005A62EB&quot;/&gt;&lt;wsp:rsid wsp:val=&quot;005B166B&quot;/&gt;&lt;wsp:rsid wsp:val=&quot;005B1EE3&quot;/&gt;&lt;wsp:rsid wsp:val=&quot;005B4289&quot;/&gt;&lt;wsp:rsid wsp:val=&quot;005B6D29&quot;/&gt;&lt;wsp:rsid wsp:val=&quot;005B7073&quot;/&gt;&lt;wsp:rsid wsp:val=&quot;005B735E&quot;/&gt;&lt;wsp:rsid wsp:val=&quot;005C041B&quot;/&gt;&lt;wsp:rsid wsp:val=&quot;005C4DD6&quot;/&gt;&lt;wsp:rsid wsp:val=&quot;005C61AA&quot;/&gt;&lt;wsp:rsid wsp:val=&quot;005C77CC&quot;/&gt;&lt;wsp:rsid wsp:val=&quot;005C7CFC&quot;/&gt;&lt;wsp:rsid wsp:val=&quot;005C7D42&quot;/&gt;&lt;wsp:rsid wsp:val=&quot;005C7E83&quot;/&gt;&lt;wsp:rsid wsp:val=&quot;005D0AC2&quot;/&gt;&lt;wsp:rsid wsp:val=&quot;005D0BF4&quot;/&gt;&lt;wsp:rsid wsp:val=&quot;005D0F2D&quot;/&gt;&lt;wsp:rsid wsp:val=&quot;005D1BB4&quot;/&gt;&lt;wsp:rsid wsp:val=&quot;005D2D71&quot;/&gt;&lt;wsp:rsid wsp:val=&quot;005D394A&quot;/&gt;&lt;wsp:rsid wsp:val=&quot;005D4576&quot;/&gt;&lt;wsp:rsid wsp:val=&quot;005D4973&quot;/&gt;&lt;wsp:rsid wsp:val=&quot;005D4F55&quot;/&gt;&lt;wsp:rsid wsp:val=&quot;005D56D9&quot;/&gt;&lt;wsp:rsid wsp:val=&quot;005D5EA1&quot;/&gt;&lt;wsp:rsid wsp:val=&quot;005D6169&quot;/&gt;&lt;wsp:rsid wsp:val=&quot;005D7F02&quot;/&gt;&lt;wsp:rsid wsp:val=&quot;005E15A9&quot;/&gt;&lt;wsp:rsid wsp:val=&quot;005E2904&quot;/&gt;&lt;wsp:rsid wsp:val=&quot;005E2B0F&quot;/&gt;&lt;wsp:rsid wsp:val=&quot;005E36FB&quot;/&gt;&lt;wsp:rsid wsp:val=&quot;005E3F00&quot;/&gt;&lt;wsp:rsid wsp:val=&quot;005E5E87&quot;/&gt;&lt;wsp:rsid wsp:val=&quot;005F046A&quot;/&gt;&lt;wsp:rsid wsp:val=&quot;005F061F&quot;/&gt;&lt;wsp:rsid wsp:val=&quot;005F0A97&quot;/&gt;&lt;wsp:rsid wsp:val=&quot;005F0E57&quot;/&gt;&lt;wsp:rsid wsp:val=&quot;005F1923&quot;/&gt;&lt;wsp:rsid wsp:val=&quot;005F24E1&quot;/&gt;&lt;wsp:rsid wsp:val=&quot;005F250F&quot;/&gt;&lt;wsp:rsid wsp:val=&quot;005F2604&quot;/&gt;&lt;wsp:rsid wsp:val=&quot;005F317A&quot;/&gt;&lt;wsp:rsid wsp:val=&quot;005F366A&quot;/&gt;&lt;wsp:rsid wsp:val=&quot;005F7234&quot;/&gt;&lt;wsp:rsid wsp:val=&quot;00601E17&quot;/&gt;&lt;wsp:rsid wsp:val=&quot;00601EB6&quot;/&gt;&lt;wsp:rsid wsp:val=&quot;0060292C&quot;/&gt;&lt;wsp:rsid wsp:val=&quot;00603331&quot;/&gt;&lt;wsp:rsid wsp:val=&quot;006036B3&quot;/&gt;&lt;wsp:rsid wsp:val=&quot;00605B63&quot;/&gt;&lt;wsp:rsid wsp:val=&quot;006063C5&quot;/&gt;&lt;wsp:rsid wsp:val=&quot;00606C6A&quot;/&gt;&lt;wsp:rsid wsp:val=&quot;00607BD8&quot;/&gt;&lt;wsp:rsid wsp:val=&quot;0061029A&quot;/&gt;&lt;wsp:rsid wsp:val=&quot;0061096D&quot;/&gt;&lt;wsp:rsid wsp:val=&quot;00610DBB&quot;/&gt;&lt;wsp:rsid wsp:val=&quot;006119E5&quot;/&gt;&lt;wsp:rsid wsp:val=&quot;00611C57&quot;/&gt;&lt;wsp:rsid wsp:val=&quot;00612113&quot;/&gt;&lt;wsp:rsid wsp:val=&quot;00612E91&quot;/&gt;&lt;wsp:rsid wsp:val=&quot;00613874&quot;/&gt;&lt;wsp:rsid wsp:val=&quot;00614C02&quot;/&gt;&lt;wsp:rsid wsp:val=&quot;00615246&quot;/&gt;&lt;wsp:rsid wsp:val=&quot;006172FB&quot;/&gt;&lt;wsp:rsid wsp:val=&quot;006179D9&quot;/&gt;&lt;wsp:rsid wsp:val=&quot;0062037F&quot;/&gt;&lt;wsp:rsid wsp:val=&quot;00620CA5&quot;/&gt;&lt;wsp:rsid wsp:val=&quot;00622D20&quot;/&gt;&lt;wsp:rsid wsp:val=&quot;006242C9&quot;/&gt;&lt;wsp:rsid wsp:val=&quot;00625879&quot;/&gt;&lt;wsp:rsid wsp:val=&quot;006259F8&quot;/&gt;&lt;wsp:rsid wsp:val=&quot;00626489&quot;/&gt;&lt;wsp:rsid wsp:val=&quot;006301A8&quot;/&gt;&lt;wsp:rsid wsp:val=&quot;0063111C&quot;/&gt;&lt;wsp:rsid wsp:val=&quot;00634A02&quot;/&gt;&lt;wsp:rsid wsp:val=&quot;006369C1&quot;/&gt;&lt;wsp:rsid wsp:val=&quot;00636A77&quot;/&gt;&lt;wsp:rsid wsp:val=&quot;00636EA6&quot;/&gt;&lt;wsp:rsid wsp:val=&quot;006409F4&quot;/&gt;&lt;wsp:rsid wsp:val=&quot;00642AE1&quot;/&gt;&lt;wsp:rsid wsp:val=&quot;00642E1B&quot;/&gt;&lt;wsp:rsid wsp:val=&quot;00643A18&quot;/&gt;&lt;wsp:rsid wsp:val=&quot;006451FD&quot;/&gt;&lt;wsp:rsid wsp:val=&quot;00646452&quot;/&gt;&lt;wsp:rsid wsp:val=&quot;00647381&quot;/&gt;&lt;wsp:rsid wsp:val=&quot;00647679&quot;/&gt;&lt;wsp:rsid wsp:val=&quot;00647A24&quot;/&gt;&lt;wsp:rsid wsp:val=&quot;006514AB&quot;/&gt;&lt;wsp:rsid wsp:val=&quot;00652FA2&quot;/&gt;&lt;wsp:rsid wsp:val=&quot;00653CF1&quot;/&gt;&lt;wsp:rsid wsp:val=&quot;00653FE9&quot;/&gt;&lt;wsp:rsid wsp:val=&quot;00654EF1&quot;/&gt;&lt;wsp:rsid wsp:val=&quot;00656B5F&quot;/&gt;&lt;wsp:rsid wsp:val=&quot;006572A6&quot;/&gt;&lt;wsp:rsid wsp:val=&quot;006606D1&quot;/&gt;&lt;wsp:rsid wsp:val=&quot;00661F8F&quot;/&gt;&lt;wsp:rsid wsp:val=&quot;006624C0&quot;/&gt;&lt;wsp:rsid wsp:val=&quot;00663EC4&quot;/&gt;&lt;wsp:rsid wsp:val=&quot;006667C8&quot;/&gt;&lt;wsp:rsid wsp:val=&quot;0066753C&quot;/&gt;&lt;wsp:rsid wsp:val=&quot;0067131A&quot;/&gt;&lt;wsp:rsid wsp:val=&quot;00673853&quot;/&gt;&lt;wsp:rsid wsp:val=&quot;0067644B&quot;/&gt;&lt;wsp:rsid wsp:val=&quot;00677018&quot;/&gt;&lt;wsp:rsid wsp:val=&quot;00677883&quot;/&gt;&lt;wsp:rsid wsp:val=&quot;0068191B&quot;/&gt;&lt;wsp:rsid wsp:val=&quot;00683718&quot;/&gt;&lt;wsp:rsid wsp:val=&quot;00686F4D&quot;/&gt;&lt;wsp:rsid wsp:val=&quot;00690CD5&quot;/&gt;&lt;wsp:rsid wsp:val=&quot;0069191A&quot;/&gt;&lt;wsp:rsid wsp:val=&quot;006939E2&quot;/&gt;&lt;wsp:rsid wsp:val=&quot;00693A0D&quot;/&gt;&lt;wsp:rsid wsp:val=&quot;00694D29&quot;/&gt;&lt;wsp:rsid wsp:val=&quot;006952C5&quot;/&gt;&lt;wsp:rsid wsp:val=&quot;00695880&quot;/&gt;&lt;wsp:rsid wsp:val=&quot;006969F7&quot;/&gt;&lt;wsp:rsid wsp:val=&quot;006979FF&quot;/&gt;&lt;wsp:rsid wsp:val=&quot;006A20A0&quot;/&gt;&lt;wsp:rsid wsp:val=&quot;006A28F9&quot;/&gt;&lt;wsp:rsid wsp:val=&quot;006A2D4B&quot;/&gt;&lt;wsp:rsid wsp:val=&quot;006A2FD4&quot;/&gt;&lt;wsp:rsid wsp:val=&quot;006A3121&quot;/&gt;&lt;wsp:rsid wsp:val=&quot;006A3419&quot;/&gt;&lt;wsp:rsid wsp:val=&quot;006A37ED&quot;/&gt;&lt;wsp:rsid wsp:val=&quot;006A5EA6&quot;/&gt;&lt;wsp:rsid wsp:val=&quot;006A77F6&quot;/&gt;&lt;wsp:rsid wsp:val=&quot;006B068E&quot;/&gt;&lt;wsp:rsid wsp:val=&quot;006B23CD&quot;/&gt;&lt;wsp:rsid wsp:val=&quot;006B3B29&quot;/&gt;&lt;wsp:rsid wsp:val=&quot;006B3F9A&quot;/&gt;&lt;wsp:rsid wsp:val=&quot;006B69D7&quot;/&gt;&lt;wsp:rsid wsp:val=&quot;006B72B3&quot;/&gt;&lt;wsp:rsid wsp:val=&quot;006B7C3A&quot;/&gt;&lt;wsp:rsid wsp:val=&quot;006B7CE8&quot;/&gt;&lt;wsp:rsid wsp:val=&quot;006C1314&quot;/&gt;&lt;wsp:rsid wsp:val=&quot;006C1C0A&quot;/&gt;&lt;wsp:rsid wsp:val=&quot;006C1D01&quot;/&gt;&lt;wsp:rsid wsp:val=&quot;006C4D10&quot;/&gt;&lt;wsp:rsid wsp:val=&quot;006C52A9&quot;/&gt;&lt;wsp:rsid wsp:val=&quot;006C595E&quot;/&gt;&lt;wsp:rsid wsp:val=&quot;006D035C&quot;/&gt;&lt;wsp:rsid wsp:val=&quot;006D051A&quot;/&gt;&lt;wsp:rsid wsp:val=&quot;006D0DD1&quot;/&gt;&lt;wsp:rsid wsp:val=&quot;006D18AB&quot;/&gt;&lt;wsp:rsid wsp:val=&quot;006D2BCD&quot;/&gt;&lt;wsp:rsid wsp:val=&quot;006D315C&quot;/&gt;&lt;wsp:rsid wsp:val=&quot;006D326C&quot;/&gt;&lt;wsp:rsid wsp:val=&quot;006D3638&quot;/&gt;&lt;wsp:rsid wsp:val=&quot;006D44BE&quot;/&gt;&lt;wsp:rsid wsp:val=&quot;006D51F7&quot;/&gt;&lt;wsp:rsid wsp:val=&quot;006D564C&quot;/&gt;&lt;wsp:rsid wsp:val=&quot;006D6215&quot;/&gt;&lt;wsp:rsid wsp:val=&quot;006D6681&quot;/&gt;&lt;wsp:rsid wsp:val=&quot;006D77DA&quot;/&gt;&lt;wsp:rsid wsp:val=&quot;006E00E6&quot;/&gt;&lt;wsp:rsid wsp:val=&quot;006E0B36&quot;/&gt;&lt;wsp:rsid wsp:val=&quot;006E11D1&quot;/&gt;&lt;wsp:rsid wsp:val=&quot;006E195A&quot;/&gt;&lt;wsp:rsid wsp:val=&quot;006E3C03&quot;/&gt;&lt;wsp:rsid wsp:val=&quot;006E4833&quot;/&gt;&lt;wsp:rsid wsp:val=&quot;006E4C96&quot;/&gt;&lt;wsp:rsid wsp:val=&quot;006E554F&quot;/&gt;&lt;wsp:rsid wsp:val=&quot;006E7382&quot;/&gt;&lt;wsp:rsid wsp:val=&quot;006E7422&quot;/&gt;&lt;wsp:rsid wsp:val=&quot;006F16C8&quot;/&gt;&lt;wsp:rsid wsp:val=&quot;006F2A82&quot;/&gt;&lt;wsp:rsid wsp:val=&quot;006F2E23&quot;/&gt;&lt;wsp:rsid wsp:val=&quot;006F6665&quot;/&gt;&lt;wsp:rsid wsp:val=&quot;006F6D9F&quot;/&gt;&lt;wsp:rsid wsp:val=&quot;006F781B&quot;/&gt;&lt;wsp:rsid wsp:val=&quot;006F7B86&quot;/&gt;&lt;wsp:rsid wsp:val=&quot;00700132&quot;/&gt;&lt;wsp:rsid wsp:val=&quot;007010E8&quot;/&gt;&lt;wsp:rsid wsp:val=&quot;007010F0&quot;/&gt;&lt;wsp:rsid wsp:val=&quot;00703D3E&quot;/&gt;&lt;wsp:rsid wsp:val=&quot;00705134&quot;/&gt;&lt;wsp:rsid wsp:val=&quot;007070F9&quot;/&gt;&lt;wsp:rsid wsp:val=&quot;007109B6&quot;/&gt;&lt;wsp:rsid wsp:val=&quot;00710DC4&quot;/&gt;&lt;wsp:rsid wsp:val=&quot;00713600&quot;/&gt;&lt;wsp:rsid wsp:val=&quot;007143C0&quot;/&gt;&lt;wsp:rsid wsp:val=&quot;00714AAF&quot;/&gt;&lt;wsp:rsid wsp:val=&quot;007156DC&quot;/&gt;&lt;wsp:rsid wsp:val=&quot;00716238&quot;/&gt;&lt;wsp:rsid wsp:val=&quot;00716A83&quot;/&gt;&lt;wsp:rsid wsp:val=&quot;00716AEF&quot;/&gt;&lt;wsp:rsid wsp:val=&quot;00716DE5&quot;/&gt;&lt;wsp:rsid wsp:val=&quot;00717C58&quot;/&gt;&lt;wsp:rsid wsp:val=&quot;00717E6F&quot;/&gt;&lt;wsp:rsid wsp:val=&quot;007206E4&quot;/&gt;&lt;wsp:rsid wsp:val=&quot;00721972&quot;/&gt;&lt;wsp:rsid wsp:val=&quot;007227A5&quot;/&gt;&lt;wsp:rsid wsp:val=&quot;00722CC4&quot;/&gt;&lt;wsp:rsid wsp:val=&quot;007234E9&quot;/&gt;&lt;wsp:rsid wsp:val=&quot;00724D01&quot;/&gt;&lt;wsp:rsid wsp:val=&quot;00724D3B&quot;/&gt;&lt;wsp:rsid wsp:val=&quot;00727BFB&quot;/&gt;&lt;wsp:rsid wsp:val=&quot;00730561&quot;/&gt;&lt;wsp:rsid wsp:val=&quot;007313D8&quot;/&gt;&lt;wsp:rsid wsp:val=&quot;00732129&quot;/&gt;&lt;wsp:rsid wsp:val=&quot;00732BAF&quot;/&gt;&lt;wsp:rsid wsp:val=&quot;00732E8F&quot;/&gt;&lt;wsp:rsid wsp:val=&quot;00733AE8&quot;/&gt;&lt;wsp:rsid wsp:val=&quot;007342A0&quot;/&gt;&lt;wsp:rsid wsp:val=&quot;007349F2&quot;/&gt;&lt;wsp:rsid wsp:val=&quot;00735D0A&quot;/&gt;&lt;wsp:rsid wsp:val=&quot;00735E2E&quot;/&gt;&lt;wsp:rsid wsp:val=&quot;00737226&quot;/&gt;&lt;wsp:rsid wsp:val=&quot;007403C5&quot;/&gt;&lt;wsp:rsid wsp:val=&quot;00740584&quot;/&gt;&lt;wsp:rsid wsp:val=&quot;00741E1C&quot;/&gt;&lt;wsp:rsid wsp:val=&quot;00741E8F&quot;/&gt;&lt;wsp:rsid wsp:val=&quot;00741FA9&quot;/&gt;&lt;wsp:rsid wsp:val=&quot;00744596&quot;/&gt;&lt;wsp:rsid wsp:val=&quot;00746168&quot;/&gt;&lt;wsp:rsid wsp:val=&quot;00751A3B&quot;/&gt;&lt;wsp:rsid wsp:val=&quot;0075260A&quot;/&gt;&lt;wsp:rsid wsp:val=&quot;00756E4E&quot;/&gt;&lt;wsp:rsid wsp:val=&quot;007578FC&quot;/&gt;&lt;wsp:rsid wsp:val=&quot;00757968&quot;/&gt;&lt;wsp:rsid wsp:val=&quot;007608E3&quot;/&gt;&lt;wsp:rsid wsp:val=&quot;00760DBB&quot;/&gt;&lt;wsp:rsid wsp:val=&quot;00760EC9&quot;/&gt;&lt;wsp:rsid wsp:val=&quot;00761979&quot;/&gt;&lt;wsp:rsid wsp:val=&quot;00761A2A&quot;/&gt;&lt;wsp:rsid wsp:val=&quot;00762957&quot;/&gt;&lt;wsp:rsid wsp:val=&quot;00763BB4&quot;/&gt;&lt;wsp:rsid wsp:val=&quot;007640AB&quot;/&gt;&lt;wsp:rsid wsp:val=&quot;00765EDA&quot;/&gt;&lt;wsp:rsid wsp:val=&quot;007667D8&quot;/&gt;&lt;wsp:rsid wsp:val=&quot;0076758A&quot;/&gt;&lt;wsp:rsid wsp:val=&quot;007731B4&quot;/&gt;&lt;wsp:rsid wsp:val=&quot;00774243&quot;/&gt;&lt;wsp:rsid wsp:val=&quot;00775813&quot;/&gt;&lt;wsp:rsid wsp:val=&quot;00776033&quot;/&gt;&lt;wsp:rsid wsp:val=&quot;007766C1&quot;/&gt;&lt;wsp:rsid wsp:val=&quot;00776CD0&quot;/&gt;&lt;wsp:rsid wsp:val=&quot;007771A1&quot;/&gt;&lt;wsp:rsid wsp:val=&quot;00780B54&quot;/&gt;&lt;wsp:rsid wsp:val=&quot;007821B0&quot;/&gt;&lt;wsp:rsid wsp:val=&quot;0078307A&quot;/&gt;&lt;wsp:rsid wsp:val=&quot;007845AE&quot;/&gt;&lt;wsp:rsid wsp:val=&quot;00786278&quot;/&gt;&lt;wsp:rsid wsp:val=&quot;00786373&quot;/&gt;&lt;wsp:rsid wsp:val=&quot;007869A0&quot;/&gt;&lt;wsp:rsid wsp:val=&quot;007873EE&quot;/&gt;&lt;wsp:rsid wsp:val=&quot;00790150&quot;/&gt;&lt;wsp:rsid wsp:val=&quot;007915F5&quot;/&gt;&lt;wsp:rsid wsp:val=&quot;007925E1&quot;/&gt;&lt;wsp:rsid wsp:val=&quot;0079358C&quot;/&gt;&lt;wsp:rsid wsp:val=&quot;00793CEA&quot;/&gt;&lt;wsp:rsid wsp:val=&quot;0079442B&quot;/&gt;&lt;wsp:rsid wsp:val=&quot;00794B6C&quot;/&gt;&lt;wsp:rsid wsp:val=&quot;00794E1F&quot;/&gt;&lt;wsp:rsid wsp:val=&quot;007956C4&quot;/&gt;&lt;wsp:rsid wsp:val=&quot;0079683D&quot;/&gt;&lt;wsp:rsid wsp:val=&quot;00796F65&quot;/&gt;&lt;wsp:rsid wsp:val=&quot;00797F10&quot;/&gt;&lt;wsp:rsid wsp:val=&quot;007A43CD&quot;/&gt;&lt;wsp:rsid wsp:val=&quot;007A5E2F&quot;/&gt;&lt;wsp:rsid wsp:val=&quot;007A5E6B&quot;/&gt;&lt;wsp:rsid wsp:val=&quot;007A5FBE&quot;/&gt;&lt;wsp:rsid wsp:val=&quot;007B1DAF&quot;/&gt;&lt;wsp:rsid wsp:val=&quot;007B3673&quot;/&gt;&lt;wsp:rsid wsp:val=&quot;007B3BCB&quot;/&gt;&lt;wsp:rsid wsp:val=&quot;007B4555&quot;/&gt;&lt;wsp:rsid wsp:val=&quot;007B65AF&quot;/&gt;&lt;wsp:rsid wsp:val=&quot;007B6A61&quot;/&gt;&lt;wsp:rsid wsp:val=&quot;007C1724&quot;/&gt;&lt;wsp:rsid wsp:val=&quot;007C2952&quot;/&gt;&lt;wsp:rsid wsp:val=&quot;007C414F&quot;/&gt;&lt;wsp:rsid wsp:val=&quot;007C4282&quot;/&gt;&lt;wsp:rsid wsp:val=&quot;007C71FB&quot;/&gt;&lt;wsp:rsid wsp:val=&quot;007C7981&quot;/&gt;&lt;wsp:rsid wsp:val=&quot;007D0555&quot;/&gt;&lt;wsp:rsid wsp:val=&quot;007D4713&quot;/&gt;&lt;wsp:rsid wsp:val=&quot;007D49A8&quot;/&gt;&lt;wsp:rsid wsp:val=&quot;007D5EC9&quot;/&gt;&lt;wsp:rsid wsp:val=&quot;007D60A5&quot;/&gt;&lt;wsp:rsid wsp:val=&quot;007D6B6C&quot;/&gt;&lt;wsp:rsid wsp:val=&quot;007D78B2&quot;/&gt;&lt;wsp:rsid wsp:val=&quot;007E1203&quot;/&gt;&lt;wsp:rsid wsp:val=&quot;007E31A7&quot;/&gt;&lt;wsp:rsid wsp:val=&quot;007E3838&quot;/&gt;&lt;wsp:rsid wsp:val=&quot;007E474D&quot;/&gt;&lt;wsp:rsid wsp:val=&quot;007E4C70&quot;/&gt;&lt;wsp:rsid wsp:val=&quot;007E4D1E&quot;/&gt;&lt;wsp:rsid wsp:val=&quot;007E5D0C&quot;/&gt;&lt;wsp:rsid wsp:val=&quot;007E6BD0&quot;/&gt;&lt;wsp:rsid wsp:val=&quot;007E7000&quot;/&gt;&lt;wsp:rsid wsp:val=&quot;007E7131&quot;/&gt;&lt;wsp:rsid wsp:val=&quot;007E7183&quot;/&gt;&lt;wsp:rsid wsp:val=&quot;007F1CFF&quot;/&gt;&lt;wsp:rsid wsp:val=&quot;007F2000&quot;/&gt;&lt;wsp:rsid wsp:val=&quot;007F3659&quot;/&gt;&lt;wsp:rsid wsp:val=&quot;007F3F46&quot;/&gt;&lt;wsp:rsid wsp:val=&quot;007F4F6D&quot;/&gt;&lt;wsp:rsid wsp:val=&quot;007F61A4&quot;/&gt;&lt;wsp:rsid wsp:val=&quot;007F7D37&quot;/&gt;&lt;wsp:rsid wsp:val=&quot;00803529&quot;/&gt;&lt;wsp:rsid wsp:val=&quot;00803D84&quot;/&gt;&lt;wsp:rsid wsp:val=&quot;00803D8F&quot;/&gt;&lt;wsp:rsid wsp:val=&quot;008046F7&quot;/&gt;&lt;wsp:rsid wsp:val=&quot;008069AC&quot;/&gt;&lt;wsp:rsid wsp:val=&quot;008079DD&quot;/&gt;&lt;wsp:rsid wsp:val=&quot;0081006B&quot;/&gt;&lt;wsp:rsid wsp:val=&quot;0081154A&quot;/&gt;&lt;wsp:rsid wsp:val=&quot;008118DB&quot;/&gt;&lt;wsp:rsid wsp:val=&quot;00811A40&quot;/&gt;&lt;wsp:rsid wsp:val=&quot;008121B6&quot;/&gt;&lt;wsp:rsid wsp:val=&quot;00813767&quot;/&gt;&lt;wsp:rsid wsp:val=&quot;00813E7F&quot;/&gt;&lt;wsp:rsid wsp:val=&quot;00815A1F&quot;/&gt;&lt;wsp:rsid wsp:val=&quot;00815B09&quot;/&gt;&lt;wsp:rsid wsp:val=&quot;008217EF&quot;/&gt;&lt;wsp:rsid wsp:val=&quot;008234BE&quot;/&gt;&lt;wsp:rsid wsp:val=&quot;00823521&quot;/&gt;&lt;wsp:rsid wsp:val=&quot;00823E02&quot;/&gt;&lt;wsp:rsid wsp:val=&quot;00824145&quot;/&gt;&lt;wsp:rsid wsp:val=&quot;00824B84&quot;/&gt;&lt;wsp:rsid wsp:val=&quot;00824C37&quot;/&gt;&lt;wsp:rsid wsp:val=&quot;0082585A&quot;/&gt;&lt;wsp:rsid wsp:val=&quot;008367F2&quot;/&gt;&lt;wsp:rsid wsp:val=&quot;00837101&quot;/&gt;&lt;wsp:rsid wsp:val=&quot;0083741C&quot;/&gt;&lt;wsp:rsid wsp:val=&quot;008407CB&quot;/&gt;&lt;wsp:rsid wsp:val=&quot;008417EF&quot;/&gt;&lt;wsp:rsid wsp:val=&quot;00842194&quot;/&gt;&lt;wsp:rsid wsp:val=&quot;00842F3F&quot;/&gt;&lt;wsp:rsid wsp:val=&quot;00843922&quot;/&gt;&lt;wsp:rsid wsp:val=&quot;0084408D&quot;/&gt;&lt;wsp:rsid wsp:val=&quot;00844F7A&quot;/&gt;&lt;wsp:rsid wsp:val=&quot;0084587F&quot;/&gt;&lt;wsp:rsid wsp:val=&quot;00846BFD&quot;/&gt;&lt;wsp:rsid wsp:val=&quot;008476B1&quot;/&gt;&lt;wsp:rsid wsp:val=&quot;00853289&quot;/&gt;&lt;wsp:rsid wsp:val=&quot;00853777&quot;/&gt;&lt;wsp:rsid wsp:val=&quot;008538F9&quot;/&gt;&lt;wsp:rsid wsp:val=&quot;00853D1C&quot;/&gt;&lt;wsp:rsid wsp:val=&quot;00853E27&quot;/&gt;&lt;wsp:rsid wsp:val=&quot;00854AB6&quot;/&gt;&lt;wsp:rsid wsp:val=&quot;00860B8B&quot;/&gt;&lt;wsp:rsid wsp:val=&quot;00862ACE&quot;/&gt;&lt;wsp:rsid wsp:val=&quot;0086354E&quot;/&gt;&lt;wsp:rsid wsp:val=&quot;00865809&quot;/&gt;&lt;wsp:rsid wsp:val=&quot;00865C7D&quot;/&gt;&lt;wsp:rsid wsp:val=&quot;00867497&quot;/&gt;&lt;wsp:rsid wsp:val=&quot;00867B8D&quot;/&gt;&lt;wsp:rsid wsp:val=&quot;00867DA9&quot;/&gt;&lt;wsp:rsid wsp:val=&quot;00870521&quot;/&gt;&lt;wsp:rsid wsp:val=&quot;00870BFA&quot;/&gt;&lt;wsp:rsid wsp:val=&quot;00870DF8&quot;/&gt;&lt;wsp:rsid wsp:val=&quot;00876135&quot;/&gt;&lt;wsp:rsid wsp:val=&quot;008771A0&quot;/&gt;&lt;wsp:rsid wsp:val=&quot;008776A3&quot;/&gt;&lt;wsp:rsid wsp:val=&quot;00881537&quot;/&gt;&lt;wsp:rsid wsp:val=&quot;0088224F&quot;/&gt;&lt;wsp:rsid wsp:val=&quot;00882D22&quot;/&gt;&lt;wsp:rsid wsp:val=&quot;00883C3E&quot;/&gt;&lt;wsp:rsid wsp:val=&quot;00883D92&quot;/&gt;&lt;wsp:rsid wsp:val=&quot;00884EE2&quot;/&gt;&lt;wsp:rsid wsp:val=&quot;0088533E&quot;/&gt;&lt;wsp:rsid wsp:val=&quot;00885B32&quot;/&gt;&lt;wsp:rsid wsp:val=&quot;0088656D&quot;/&gt;&lt;wsp:rsid wsp:val=&quot;00887DBB&quot;/&gt;&lt;wsp:rsid wsp:val=&quot;00890019&quot;/&gt;&lt;wsp:rsid wsp:val=&quot;008911CD&quot;/&gt;&lt;wsp:rsid wsp:val=&quot;00891787&quot;/&gt;&lt;wsp:rsid wsp:val=&quot;008917C3&quot;/&gt;&lt;wsp:rsid wsp:val=&quot;008924DF&quot;/&gt;&lt;wsp:rsid wsp:val=&quot;008927A3&quot;/&gt;&lt;wsp:rsid wsp:val=&quot;00893B72&quot;/&gt;&lt;wsp:rsid wsp:val=&quot;00894075&quot;/&gt;&lt;wsp:rsid wsp:val=&quot;008966B0&quot;/&gt;&lt;wsp:rsid wsp:val=&quot;008A0EE8&quot;/&gt;&lt;wsp:rsid wsp:val=&quot;008A2BAD&quot;/&gt;&lt;wsp:rsid wsp:val=&quot;008A4E0C&quot;/&gt;&lt;wsp:rsid wsp:val=&quot;008A5EA0&quot;/&gt;&lt;wsp:rsid wsp:val=&quot;008A7A11&quot;/&gt;&lt;wsp:rsid wsp:val=&quot;008B00CD&quot;/&gt;&lt;wsp:rsid wsp:val=&quot;008B1305&quot;/&gt;&lt;wsp:rsid wsp:val=&quot;008B1EBA&quot;/&gt;&lt;wsp:rsid wsp:val=&quot;008B1EF7&quot;/&gt;&lt;wsp:rsid wsp:val=&quot;008B3B6D&quot;/&gt;&lt;wsp:rsid wsp:val=&quot;008B4248&quot;/&gt;&lt;wsp:rsid wsp:val=&quot;008B5093&quot;/&gt;&lt;wsp:rsid wsp:val=&quot;008B69BA&quot;/&gt;&lt;wsp:rsid wsp:val=&quot;008C073D&quot;/&gt;&lt;wsp:rsid wsp:val=&quot;008C07FF&quot;/&gt;&lt;wsp:rsid wsp:val=&quot;008C0B11&quot;/&gt;&lt;wsp:rsid wsp:val=&quot;008C1620&quot;/&gt;&lt;wsp:rsid wsp:val=&quot;008C1924&quot;/&gt;&lt;wsp:rsid wsp:val=&quot;008C24FA&quot;/&gt;&lt;wsp:rsid wsp:val=&quot;008C4DF8&quot;/&gt;&lt;wsp:rsid wsp:val=&quot;008C5582&quot;/&gt;&lt;wsp:rsid wsp:val=&quot;008C6234&quot;/&gt;&lt;wsp:rsid wsp:val=&quot;008C6A8E&quot;/&gt;&lt;wsp:rsid wsp:val=&quot;008C7BCB&quot;/&gt;&lt;wsp:rsid wsp:val=&quot;008D101B&quot;/&gt;&lt;wsp:rsid wsp:val=&quot;008D187C&quot;/&gt;&lt;wsp:rsid wsp:val=&quot;008D2E57&quot;/&gt;&lt;wsp:rsid wsp:val=&quot;008D5E10&quot;/&gt;&lt;wsp:rsid wsp:val=&quot;008D7938&quot;/&gt;&lt;wsp:rsid wsp:val=&quot;008E0ABE&quot;/&gt;&lt;wsp:rsid wsp:val=&quot;008E1217&quot;/&gt;&lt;wsp:rsid wsp:val=&quot;008E1AF8&quot;/&gt;&lt;wsp:rsid wsp:val=&quot;008E2BC0&quot;/&gt;&lt;wsp:rsid wsp:val=&quot;008E5435&quot;/&gt;&lt;wsp:rsid wsp:val=&quot;008E6CD3&quot;/&gt;&lt;wsp:rsid wsp:val=&quot;008E7BF5&quot;/&gt;&lt;wsp:rsid wsp:val=&quot;008F0677&quot;/&gt;&lt;wsp:rsid wsp:val=&quot;008F1A87&quot;/&gt;&lt;wsp:rsid wsp:val=&quot;008F26BF&quot;/&gt;&lt;wsp:rsid wsp:val=&quot;008F4EB9&quot;/&gt;&lt;wsp:rsid wsp:val=&quot;008F641E&quot;/&gt;&lt;wsp:rsid wsp:val=&quot;008F65D0&quot;/&gt;&lt;wsp:rsid wsp:val=&quot;008F6CB0&quot;/&gt;&lt;wsp:rsid wsp:val=&quot;008F7AE6&quot;/&gt;&lt;wsp:rsid wsp:val=&quot;008F7B49&quot;/&gt;&lt;wsp:rsid wsp:val=&quot;0090159F&quot;/&gt;&lt;wsp:rsid wsp:val=&quot;009015D6&quot;/&gt;&lt;wsp:rsid wsp:val=&quot;009051F8&quot;/&gt;&lt;wsp:rsid wsp:val=&quot;0090639F&quot;/&gt;&lt;wsp:rsid wsp:val=&quot;0090753D&quot;/&gt;&lt;wsp:rsid wsp:val=&quot;00910C0B&quot;/&gt;&lt;wsp:rsid wsp:val=&quot;00911759&quot;/&gt;&lt;wsp:rsid wsp:val=&quot;009122E2&quot;/&gt;&lt;wsp:rsid wsp:val=&quot;0091287E&quot;/&gt;&lt;wsp:rsid wsp:val=&quot;009133DA&quot;/&gt;&lt;wsp:rsid wsp:val=&quot;009145A4&quot;/&gt;&lt;wsp:rsid wsp:val=&quot;00914F88&quot;/&gt;&lt;wsp:rsid wsp:val=&quot;0091575E&quot;/&gt;&lt;wsp:rsid wsp:val=&quot;00915D0F&quot;/&gt;&lt;wsp:rsid wsp:val=&quot;00915E97&quot;/&gt;&lt;wsp:rsid wsp:val=&quot;00917910&quot;/&gt;&lt;wsp:rsid wsp:val=&quot;0092031F&quot;/&gt;&lt;wsp:rsid wsp:val=&quot;00920623&quot;/&gt;&lt;wsp:rsid wsp:val=&quot;009221C3&quot;/&gt;&lt;wsp:rsid wsp:val=&quot;00922607&quot;/&gt;&lt;wsp:rsid wsp:val=&quot;0092304F&quot;/&gt;&lt;wsp:rsid wsp:val=&quot;00924664&quot;/&gt;&lt;wsp:rsid wsp:val=&quot;00924D93&quot;/&gt;&lt;wsp:rsid wsp:val=&quot;00926269&quot;/&gt;&lt;wsp:rsid wsp:val=&quot;009263BE&quot;/&gt;&lt;wsp:rsid wsp:val=&quot;00927500&quot;/&gt;&lt;wsp:rsid wsp:val=&quot;00930E3C&quot;/&gt;&lt;wsp:rsid wsp:val=&quot;0093138D&quot;/&gt;&lt;wsp:rsid wsp:val=&quot;009321B6&quot;/&gt;&lt;wsp:rsid wsp:val=&quot;00932875&quot;/&gt;&lt;wsp:rsid wsp:val=&quot;009336A8&quot;/&gt;&lt;wsp:rsid wsp:val=&quot;009345B8&quot;/&gt;&lt;wsp:rsid wsp:val=&quot;00936BBD&quot;/&gt;&lt;wsp:rsid wsp:val=&quot;00937FF8&quot;/&gt;&lt;wsp:rsid wsp:val=&quot;009404FC&quot;/&gt;&lt;wsp:rsid wsp:val=&quot;00941064&quot;/&gt;&lt;wsp:rsid wsp:val=&quot;00941433&quot;/&gt;&lt;wsp:rsid wsp:val=&quot;00941F8A&quot;/&gt;&lt;wsp:rsid wsp:val=&quot;009460DC&quot;/&gt;&lt;wsp:rsid wsp:val=&quot;00946146&quot;/&gt;&lt;wsp:rsid wsp:val=&quot;00946F0E&quot;/&gt;&lt;wsp:rsid wsp:val=&quot;00947D43&quot;/&gt;&lt;wsp:rsid wsp:val=&quot;00950D62&quot;/&gt;&lt;wsp:rsid wsp:val=&quot;009521ED&quot;/&gt;&lt;wsp:rsid wsp:val=&quot;00954722&quot;/&gt;&lt;wsp:rsid wsp:val=&quot;00962F8D&quot;/&gt;&lt;wsp:rsid wsp:val=&quot;00965517&quot;/&gt;&lt;wsp:rsid wsp:val=&quot;009663C8&quot;/&gt;&lt;wsp:rsid wsp:val=&quot;00967498&quot;/&gt;&lt;wsp:rsid wsp:val=&quot;00972AAE&quot;/&gt;&lt;wsp:rsid wsp:val=&quot;00973F61&quot;/&gt;&lt;wsp:rsid wsp:val=&quot;00974E52&quot;/&gt;&lt;wsp:rsid wsp:val=&quot;00974E62&quot;/&gt;&lt;wsp:rsid wsp:val=&quot;00976A41&quot;/&gt;&lt;wsp:rsid wsp:val=&quot;00976E3F&quot;/&gt;&lt;wsp:rsid wsp:val=&quot;00977D70&quot;/&gt;&lt;wsp:rsid wsp:val=&quot;00980AB1&quot;/&gt;&lt;wsp:rsid wsp:val=&quot;00984099&quot;/&gt;&lt;wsp:rsid wsp:val=&quot;00985CCC&quot;/&gt;&lt;wsp:rsid wsp:val=&quot;00985D0C&quot;/&gt;&lt;wsp:rsid wsp:val=&quot;00987452&quot;/&gt;&lt;wsp:rsid wsp:val=&quot;009875F8&quot;/&gt;&lt;wsp:rsid wsp:val=&quot;00990655&quot;/&gt;&lt;wsp:rsid wsp:val=&quot;0099125A&quot;/&gt;&lt;wsp:rsid wsp:val=&quot;00992965&quot;/&gt;&lt;wsp:rsid wsp:val=&quot;00992CAB&quot;/&gt;&lt;wsp:rsid wsp:val=&quot;00993B38&quot;/&gt;&lt;wsp:rsid wsp:val=&quot;0099410F&quot;/&gt;&lt;wsp:rsid wsp:val=&quot;009959DC&quot;/&gt;&lt;wsp:rsid wsp:val=&quot;0099722A&quot;/&gt;&lt;wsp:rsid wsp:val=&quot;00997987&quot;/&gt;&lt;wsp:rsid wsp:val=&quot;009A0BAD&quot;/&gt;&lt;wsp:rsid wsp:val=&quot;009A48F5&quot;/&gt;&lt;wsp:rsid wsp:val=&quot;009A4E76&quot;/&gt;&lt;wsp:rsid wsp:val=&quot;009A5E73&quot;/&gt;&lt;wsp:rsid wsp:val=&quot;009A6A69&quot;/&gt;&lt;wsp:rsid wsp:val=&quot;009A797C&quot;/&gt;&lt;wsp:rsid wsp:val=&quot;009B1451&quot;/&gt;&lt;wsp:rsid wsp:val=&quot;009B2285&quot;/&gt;&lt;wsp:rsid wsp:val=&quot;009B2D9B&quot;/&gt;&lt;wsp:rsid wsp:val=&quot;009B3390&quot;/&gt;&lt;wsp:rsid wsp:val=&quot;009B3B4D&quot;/&gt;&lt;wsp:rsid wsp:val=&quot;009B3FB0&quot;/&gt;&lt;wsp:rsid wsp:val=&quot;009B6277&quot;/&gt;&lt;wsp:rsid wsp:val=&quot;009B79D3&quot;/&gt;&lt;wsp:rsid wsp:val=&quot;009C06EE&quot;/&gt;&lt;wsp:rsid wsp:val=&quot;009C352F&quot;/&gt;&lt;wsp:rsid wsp:val=&quot;009C494A&quot;/&gt;&lt;wsp:rsid wsp:val=&quot;009C5100&quot;/&gt;&lt;wsp:rsid wsp:val=&quot;009C62A4&quot;/&gt;&lt;wsp:rsid wsp:val=&quot;009D02EB&quot;/&gt;&lt;wsp:rsid wsp:val=&quot;009D1914&quot;/&gt;&lt;wsp:rsid wsp:val=&quot;009D1C28&quot;/&gt;&lt;wsp:rsid wsp:val=&quot;009D26FA&quot;/&gt;&lt;wsp:rsid wsp:val=&quot;009D67F4&quot;/&gt;&lt;wsp:rsid wsp:val=&quot;009D68B3&quot;/&gt;&lt;wsp:rsid wsp:val=&quot;009E2967&quot;/&gt;&lt;wsp:rsid wsp:val=&quot;009E4345&quot;/&gt;&lt;wsp:rsid wsp:val=&quot;009F1D5B&quot;/&gt;&lt;wsp:rsid wsp:val=&quot;009F20A0&quot;/&gt;&lt;wsp:rsid wsp:val=&quot;009F377C&quot;/&gt;&lt;wsp:rsid wsp:val=&quot;009F5EAA&quot;/&gt;&lt;wsp:rsid wsp:val=&quot;009F7524&quot;/&gt;&lt;wsp:rsid wsp:val=&quot;00A0159C&quot;/&gt;&lt;wsp:rsid wsp:val=&quot;00A02422&quot;/&gt;&lt;wsp:rsid wsp:val=&quot;00A04771&quot;/&gt;&lt;wsp:rsid wsp:val=&quot;00A06BA8&quot;/&gt;&lt;wsp:rsid wsp:val=&quot;00A06EB8&quot;/&gt;&lt;wsp:rsid wsp:val=&quot;00A07C93&quot;/&gt;&lt;wsp:rsid wsp:val=&quot;00A10735&quot;/&gt;&lt;wsp:rsid wsp:val=&quot;00A17F6F&quot;/&gt;&lt;wsp:rsid wsp:val=&quot;00A21646&quot;/&gt;&lt;wsp:rsid wsp:val=&quot;00A22CA7&quot;/&gt;&lt;wsp:rsid wsp:val=&quot;00A2649C&quot;/&gt;&lt;wsp:rsid wsp:val=&quot;00A264CA&quot;/&gt;&lt;wsp:rsid wsp:val=&quot;00A26CCB&quot;/&gt;&lt;wsp:rsid wsp:val=&quot;00A30F1C&quot;/&gt;&lt;wsp:rsid wsp:val=&quot;00A3301C&quot;/&gt;&lt;wsp:rsid wsp:val=&quot;00A3376F&quot;/&gt;&lt;wsp:rsid wsp:val=&quot;00A3425F&quot;/&gt;&lt;wsp:rsid wsp:val=&quot;00A3568A&quot;/&gt;&lt;wsp:rsid wsp:val=&quot;00A35E25&quot;/&gt;&lt;wsp:rsid wsp:val=&quot;00A36C4B&quot;/&gt;&lt;wsp:rsid wsp:val=&quot;00A37759&quot;/&gt;&lt;wsp:rsid wsp:val=&quot;00A4120E&quot;/&gt;&lt;wsp:rsid wsp:val=&quot;00A41251&quot;/&gt;&lt;wsp:rsid wsp:val=&quot;00A4182A&quot;/&gt;&lt;wsp:rsid wsp:val=&quot;00A428DB&quot;/&gt;&lt;wsp:rsid wsp:val=&quot;00A43C7E&quot;/&gt;&lt;wsp:rsid wsp:val=&quot;00A43FE4&quot;/&gt;&lt;wsp:rsid wsp:val=&quot;00A4406B&quot;/&gt;&lt;wsp:rsid wsp:val=&quot;00A44100&quot;/&gt;&lt;wsp:rsid wsp:val=&quot;00A443A9&quot;/&gt;&lt;wsp:rsid wsp:val=&quot;00A44A70&quot;/&gt;&lt;wsp:rsid wsp:val=&quot;00A44F59&quot;/&gt;&lt;wsp:rsid wsp:val=&quot;00A458A1&quot;/&gt;&lt;wsp:rsid wsp:val=&quot;00A47412&quot;/&gt;&lt;wsp:rsid wsp:val=&quot;00A5081D&quot;/&gt;&lt;wsp:rsid wsp:val=&quot;00A53F4E&quot;/&gt;&lt;wsp:rsid wsp:val=&quot;00A54743&quot;/&gt;&lt;wsp:rsid wsp:val=&quot;00A54C09&quot;/&gt;&lt;wsp:rsid wsp:val=&quot;00A5587A&quot;/&gt;&lt;wsp:rsid wsp:val=&quot;00A569D1&quot;/&gt;&lt;wsp:rsid wsp:val=&quot;00A57FE7&quot;/&gt;&lt;wsp:rsid wsp:val=&quot;00A61F7D&quot;/&gt;&lt;wsp:rsid wsp:val=&quot;00A632A1&quot;/&gt;&lt;wsp:rsid wsp:val=&quot;00A64959&quot;/&gt;&lt;wsp:rsid wsp:val=&quot;00A65971&quot;/&gt;&lt;wsp:rsid wsp:val=&quot;00A660C3&quot;/&gt;&lt;wsp:rsid wsp:val=&quot;00A6771F&quot;/&gt;&lt;wsp:rsid wsp:val=&quot;00A7070E&quot;/&gt;&lt;wsp:rsid wsp:val=&quot;00A7083B&quot;/&gt;&lt;wsp:rsid wsp:val=&quot;00A737BE&quot;/&gt;&lt;wsp:rsid wsp:val=&quot;00A74EFF&quot;/&gt;&lt;wsp:rsid wsp:val=&quot;00A7594D&quot;/&gt;&lt;wsp:rsid wsp:val=&quot;00A80053&quot;/&gt;&lt;wsp:rsid wsp:val=&quot;00A81B8E&quot;/&gt;&lt;wsp:rsid wsp:val=&quot;00A82AB7&quot;/&gt;&lt;wsp:rsid wsp:val=&quot;00A8378E&quot;/&gt;&lt;wsp:rsid wsp:val=&quot;00A8526A&quot;/&gt;&lt;wsp:rsid wsp:val=&quot;00A8584A&quot;/&gt;&lt;wsp:rsid wsp:val=&quot;00A86294&quot;/&gt;&lt;wsp:rsid wsp:val=&quot;00A87D91&quot;/&gt;&lt;wsp:rsid wsp:val=&quot;00A91F94&quot;/&gt;&lt;wsp:rsid wsp:val=&quot;00A930AE&quot;/&gt;&lt;wsp:rsid wsp:val=&quot;00A93ABD&quot;/&gt;&lt;wsp:rsid wsp:val=&quot;00A9448C&quot;/&gt;&lt;wsp:rsid wsp:val=&quot;00A94A97&quot;/&gt;&lt;wsp:rsid wsp:val=&quot;00A97381&quot;/&gt;&lt;wsp:rsid wsp:val=&quot;00AA2C00&quot;/&gt;&lt;wsp:rsid wsp:val=&quot;00AA510E&quot;/&gt;&lt;wsp:rsid wsp:val=&quot;00AB0654&quot;/&gt;&lt;wsp:rsid wsp:val=&quot;00AB0CEF&quot;/&gt;&lt;wsp:rsid wsp:val=&quot;00AB1D50&quot;/&gt;&lt;wsp:rsid wsp:val=&quot;00AB3D3E&quot;/&gt;&lt;wsp:rsid wsp:val=&quot;00AB5F62&quot;/&gt;&lt;wsp:rsid wsp:val=&quot;00AB6617&quot;/&gt;&lt;wsp:rsid wsp:val=&quot;00AB6F02&quot;/&gt;&lt;wsp:rsid wsp:val=&quot;00AB7D4C&quot;/&gt;&lt;wsp:rsid wsp:val=&quot;00AB7DB9&quot;/&gt;&lt;wsp:rsid wsp:val=&quot;00AC1385&quot;/&gt;&lt;wsp:rsid wsp:val=&quot;00AC2319&quot;/&gt;&lt;wsp:rsid wsp:val=&quot;00AC2626&quot;/&gt;&lt;wsp:rsid wsp:val=&quot;00AC43D9&quot;/&gt;&lt;wsp:rsid wsp:val=&quot;00AC4904&quot;/&gt;&lt;wsp:rsid wsp:val=&quot;00AC6E07&quot;/&gt;&lt;wsp:rsid wsp:val=&quot;00AD07CB&quot;/&gt;&lt;wsp:rsid wsp:val=&quot;00AD27D2&quot;/&gt;&lt;wsp:rsid wsp:val=&quot;00AD2B1D&quot;/&gt;&lt;wsp:rsid wsp:val=&quot;00AD3A2C&quot;/&gt;&lt;wsp:rsid wsp:val=&quot;00AD4402&quot;/&gt;&lt;wsp:rsid wsp:val=&quot;00AD5A74&quot;/&gt;&lt;wsp:rsid wsp:val=&quot;00AD6AE3&quot;/&gt;&lt;wsp:rsid wsp:val=&quot;00AD788E&quot;/&gt;&lt;wsp:rsid wsp:val=&quot;00AE0517&quot;/&gt;&lt;wsp:rsid wsp:val=&quot;00AE0AB8&quot;/&gt;&lt;wsp:rsid wsp:val=&quot;00AE0C75&quot;/&gt;&lt;wsp:rsid wsp:val=&quot;00AE1554&quot;/&gt;&lt;wsp:rsid wsp:val=&quot;00AE1661&quot;/&gt;&lt;wsp:rsid wsp:val=&quot;00AE1738&quot;/&gt;&lt;wsp:rsid wsp:val=&quot;00AE1B9F&quot;/&gt;&lt;wsp:rsid wsp:val=&quot;00AE1E21&quot;/&gt;&lt;wsp:rsid wsp:val=&quot;00AE2823&quot;/&gt;&lt;wsp:rsid wsp:val=&quot;00AE2DD3&quot;/&gt;&lt;wsp:rsid wsp:val=&quot;00AE3101&quot;/&gt;&lt;wsp:rsid wsp:val=&quot;00AE334B&quot;/&gt;&lt;wsp:rsid wsp:val=&quot;00AE35B1&quot;/&gt;&lt;wsp:rsid wsp:val=&quot;00AE5F2A&quot;/&gt;&lt;wsp:rsid wsp:val=&quot;00AE6598&quot;/&gt;&lt;wsp:rsid wsp:val=&quot;00AE77B1&quot;/&gt;&lt;wsp:rsid wsp:val=&quot;00AF159E&quot;/&gt;&lt;wsp:rsid wsp:val=&quot;00AF1CF5&quot;/&gt;&lt;wsp:rsid wsp:val=&quot;00AF2714&quot;/&gt;&lt;wsp:rsid wsp:val=&quot;00AF2FDC&quot;/&gt;&lt;wsp:rsid wsp:val=&quot;00AF3DFC&quot;/&gt;&lt;wsp:rsid wsp:val=&quot;00AF5766&quot;/&gt;&lt;wsp:rsid wsp:val=&quot;00AF5D86&quot;/&gt;&lt;wsp:rsid wsp:val=&quot;00AF6D8E&quot;/&gt;&lt;wsp:rsid wsp:val=&quot;00AF7CE3&quot;/&gt;&lt;wsp:rsid wsp:val=&quot;00B00FDF&quot;/&gt;&lt;wsp:rsid wsp:val=&quot;00B01766&quot;/&gt;&lt;wsp:rsid wsp:val=&quot;00B028EE&quot;/&gt;&lt;wsp:rsid wsp:val=&quot;00B02D13&quot;/&gt;&lt;wsp:rsid wsp:val=&quot;00B033DB&quot;/&gt;&lt;wsp:rsid wsp:val=&quot;00B057C1&quot;/&gt;&lt;wsp:rsid wsp:val=&quot;00B05F0C&quot;/&gt;&lt;wsp:rsid wsp:val=&quot;00B06DFF&quot;/&gt;&lt;wsp:rsid wsp:val=&quot;00B06E76&quot;/&gt;&lt;wsp:rsid wsp:val=&quot;00B07531&quot;/&gt;&lt;wsp:rsid wsp:val=&quot;00B07F5A&quot;/&gt;&lt;wsp:rsid wsp:val=&quot;00B11015&quot;/&gt;&lt;wsp:rsid wsp:val=&quot;00B130F2&quot;/&gt;&lt;wsp:rsid wsp:val=&quot;00B14381&quot;/&gt;&lt;wsp:rsid wsp:val=&quot;00B1604C&quot;/&gt;&lt;wsp:rsid wsp:val=&quot;00B2105B&quot;/&gt;&lt;wsp:rsid wsp:val=&quot;00B21B76&quot;/&gt;&lt;wsp:rsid wsp:val=&quot;00B22381&quot;/&gt;&lt;wsp:rsid wsp:val=&quot;00B33D68&quot;/&gt;&lt;wsp:rsid wsp:val=&quot;00B37191&quot;/&gt;&lt;wsp:rsid wsp:val=&quot;00B401CE&quot;/&gt;&lt;wsp:rsid wsp:val=&quot;00B403FB&quot;/&gt;&lt;wsp:rsid wsp:val=&quot;00B409FA&quot;/&gt;&lt;wsp:rsid wsp:val=&quot;00B42338&quot;/&gt;&lt;wsp:rsid wsp:val=&quot;00B43CE5&quot;/&gt;&lt;wsp:rsid wsp:val=&quot;00B4456D&quot;/&gt;&lt;wsp:rsid wsp:val=&quot;00B44A18&quot;/&gt;&lt;wsp:rsid wsp:val=&quot;00B46198&quot;/&gt;&lt;wsp:rsid wsp:val=&quot;00B4680F&quot;/&gt;&lt;wsp:rsid wsp:val=&quot;00B508D7&quot;/&gt;&lt;wsp:rsid wsp:val=&quot;00B530AB&quot;/&gt;&lt;wsp:rsid wsp:val=&quot;00B5315A&quot;/&gt;&lt;wsp:rsid wsp:val=&quot;00B53834&quot;/&gt;&lt;wsp:rsid wsp:val=&quot;00B549A7&quot;/&gt;&lt;wsp:rsid wsp:val=&quot;00B5562B&quot;/&gt;&lt;wsp:rsid wsp:val=&quot;00B556BE&quot;/&gt;&lt;wsp:rsid wsp:val=&quot;00B573FB&quot;/&gt;&lt;wsp:rsid wsp:val=&quot;00B579B0&quot;/&gt;&lt;wsp:rsid wsp:val=&quot;00B63941&quot;/&gt;&lt;wsp:rsid wsp:val=&quot;00B646B9&quot;/&gt;&lt;wsp:rsid wsp:val=&quot;00B650C1&quot;/&gt;&lt;wsp:rsid wsp:val=&quot;00B65725&quot;/&gt;&lt;wsp:rsid wsp:val=&quot;00B66892&quot;/&gt;&lt;wsp:rsid wsp:val=&quot;00B672F1&quot;/&gt;&lt;wsp:rsid wsp:val=&quot;00B70D2B&quot;/&gt;&lt;wsp:rsid wsp:val=&quot;00B74AA6&quot;/&gt;&lt;wsp:rsid wsp:val=&quot;00B74FF6&quot;/&gt;&lt;wsp:rsid wsp:val=&quot;00B76255&quot;/&gt;&lt;wsp:rsid wsp:val=&quot;00B76A62&quot;/&gt;&lt;wsp:rsid wsp:val=&quot;00B81705&quot;/&gt;&lt;wsp:rsid wsp:val=&quot;00B830A1&quot;/&gt;&lt;wsp:rsid wsp:val=&quot;00B83B6E&quot;/&gt;&lt;wsp:rsid wsp:val=&quot;00B862F1&quot;/&gt;&lt;wsp:rsid wsp:val=&quot;00B9039D&quot;/&gt;&lt;wsp:rsid wsp:val=&quot;00B903CD&quot;/&gt;&lt;wsp:rsid wsp:val=&quot;00B96CE4&quot;/&gt;&lt;wsp:rsid wsp:val=&quot;00BA1CC9&quot;/&gt;&lt;wsp:rsid wsp:val=&quot;00BA2C36&quot;/&gt;&lt;wsp:rsid wsp:val=&quot;00BA3306&quot;/&gt;&lt;wsp:rsid wsp:val=&quot;00BA54F5&quot;/&gt;&lt;wsp:rsid wsp:val=&quot;00BB0DC6&quot;/&gt;&lt;wsp:rsid wsp:val=&quot;00BB23BF&quot;/&gt;&lt;wsp:rsid wsp:val=&quot;00BB350E&quot;/&gt;&lt;wsp:rsid wsp:val=&quot;00BB3ACF&quot;/&gt;&lt;wsp:rsid wsp:val=&quot;00BB3D26&quot;/&gt;&lt;wsp:rsid wsp:val=&quot;00BB4A74&quot;/&gt;&lt;wsp:rsid wsp:val=&quot;00BB4FB8&quot;/&gt;&lt;wsp:rsid wsp:val=&quot;00BB57EA&quot;/&gt;&lt;wsp:rsid wsp:val=&quot;00BB58CF&quot;/&gt;&lt;wsp:rsid wsp:val=&quot;00BB6925&quot;/&gt;&lt;wsp:rsid wsp:val=&quot;00BB739F&quot;/&gt;&lt;wsp:rsid wsp:val=&quot;00BC0344&quot;/&gt;&lt;wsp:rsid wsp:val=&quot;00BC047A&quot;/&gt;&lt;wsp:rsid wsp:val=&quot;00BC2698&quot;/&gt;&lt;wsp:rsid wsp:val=&quot;00BC3308&quot;/&gt;&lt;wsp:rsid wsp:val=&quot;00BC3348&quot;/&gt;&lt;wsp:rsid wsp:val=&quot;00BC3C92&quot;/&gt;&lt;wsp:rsid wsp:val=&quot;00BC430E&quot;/&gt;&lt;wsp:rsid wsp:val=&quot;00BC48B1&quot;/&gt;&lt;wsp:rsid wsp:val=&quot;00BC566D&quot;/&gt;&lt;wsp:rsid wsp:val=&quot;00BC65F5&quot;/&gt;&lt;wsp:rsid wsp:val=&quot;00BC6E21&quot;/&gt;&lt;wsp:rsid wsp:val=&quot;00BC7D03&quot;/&gt;&lt;wsp:rsid wsp:val=&quot;00BC7DF0&quot;/&gt;&lt;wsp:rsid wsp:val=&quot;00BD0CA4&quot;/&gt;&lt;wsp:rsid wsp:val=&quot;00BD17F6&quot;/&gt;&lt;wsp:rsid wsp:val=&quot;00BD2208&quot;/&gt;&lt;wsp:rsid wsp:val=&quot;00BD3DED&quot;/&gt;&lt;wsp:rsid wsp:val=&quot;00BD5790&quot;/&gt;&lt;wsp:rsid wsp:val=&quot;00BD57F1&quot;/&gt;&lt;wsp:rsid wsp:val=&quot;00BD6218&quot;/&gt;&lt;wsp:rsid wsp:val=&quot;00BD7319&quot;/&gt;&lt;wsp:rsid wsp:val=&quot;00BD74D0&quot;/&gt;&lt;wsp:rsid wsp:val=&quot;00BD7C4A&quot;/&gt;&lt;wsp:rsid wsp:val=&quot;00BE1698&quot;/&gt;&lt;wsp:rsid wsp:val=&quot;00BE7787&quot;/&gt;&lt;wsp:rsid wsp:val=&quot;00BE7EB2&quot;/&gt;&lt;wsp:rsid wsp:val=&quot;00BF23CC&quot;/&gt;&lt;wsp:rsid wsp:val=&quot;00BF2DBD&quot;/&gt;&lt;wsp:rsid wsp:val=&quot;00BF34EB&quot;/&gt;&lt;wsp:rsid wsp:val=&quot;00BF557C&quot;/&gt;&lt;wsp:rsid wsp:val=&quot;00BF6F7C&quot;/&gt;&lt;wsp:rsid wsp:val=&quot;00BF797B&quot;/&gt;&lt;wsp:rsid wsp:val=&quot;00BF7BCB&quot;/&gt;&lt;wsp:rsid wsp:val=&quot;00C01695&quot;/&gt;&lt;wsp:rsid wsp:val=&quot;00C0339A&quot;/&gt;&lt;wsp:rsid wsp:val=&quot;00C0428A&quot;/&gt;&lt;wsp:rsid wsp:val=&quot;00C05D34&quot;/&gt;&lt;wsp:rsid wsp:val=&quot;00C06812&quot;/&gt;&lt;wsp:rsid wsp:val=&quot;00C07DDA&quot;/&gt;&lt;wsp:rsid wsp:val=&quot;00C109AD&quot;/&gt;&lt;wsp:rsid wsp:val=&quot;00C11237&quot;/&gt;&lt;wsp:rsid wsp:val=&quot;00C15C28&quot;/&gt;&lt;wsp:rsid wsp:val=&quot;00C1601D&quot;/&gt;&lt;wsp:rsid wsp:val=&quot;00C202AD&quot;/&gt;&lt;wsp:rsid wsp:val=&quot;00C22A57&quot;/&gt;&lt;wsp:rsid wsp:val=&quot;00C24759&quot;/&gt;&lt;wsp:rsid wsp:val=&quot;00C24F00&quot;/&gt;&lt;wsp:rsid wsp:val=&quot;00C25319&quot;/&gt;&lt;wsp:rsid wsp:val=&quot;00C26013&quot;/&gt;&lt;wsp:rsid wsp:val=&quot;00C260DA&quot;/&gt;&lt;wsp:rsid wsp:val=&quot;00C27CFE&quot;/&gt;&lt;wsp:rsid wsp:val=&quot;00C30E19&quot;/&gt;&lt;wsp:rsid wsp:val=&quot;00C3256C&quot;/&gt;&lt;wsp:rsid wsp:val=&quot;00C34E78&quot;/&gt;&lt;wsp:rsid wsp:val=&quot;00C353C0&quot;/&gt;&lt;wsp:rsid wsp:val=&quot;00C40495&quot;/&gt;&lt;wsp:rsid wsp:val=&quot;00C407C4&quot;/&gt;&lt;wsp:rsid wsp:val=&quot;00C41F57&quot;/&gt;&lt;wsp:rsid wsp:val=&quot;00C456D0&quot;/&gt;&lt;wsp:rsid wsp:val=&quot;00C45962&quot;/&gt;&lt;wsp:rsid wsp:val=&quot;00C53115&quot;/&gt;&lt;wsp:rsid wsp:val=&quot;00C5614A&quot;/&gt;&lt;wsp:rsid wsp:val=&quot;00C57E3F&quot;/&gt;&lt;wsp:rsid wsp:val=&quot;00C6055F&quot;/&gt;&lt;wsp:rsid wsp:val=&quot;00C61601&quot;/&gt;&lt;wsp:rsid wsp:val=&quot;00C628C8&quot;/&gt;&lt;wsp:rsid wsp:val=&quot;00C63A61&quot;/&gt;&lt;wsp:rsid wsp:val=&quot;00C6442F&quot;/&gt;&lt;wsp:rsid wsp:val=&quot;00C65378&quot;/&gt;&lt;wsp:rsid wsp:val=&quot;00C666E5&quot;/&gt;&lt;wsp:rsid wsp:val=&quot;00C667D1&quot;/&gt;&lt;wsp:rsid wsp:val=&quot;00C67607&quot;/&gt;&lt;wsp:rsid wsp:val=&quot;00C735CE&quot;/&gt;&lt;wsp:rsid wsp:val=&quot;00C74458&quot;/&gt;&lt;wsp:rsid wsp:val=&quot;00C74E6A&quot;/&gt;&lt;wsp:rsid wsp:val=&quot;00C75720&quot;/&gt;&lt;wsp:rsid wsp:val=&quot;00C75A6F&quot;/&gt;&lt;wsp:rsid wsp:val=&quot;00C75B38&quot;/&gt;&lt;wsp:rsid wsp:val=&quot;00C75F9B&quot;/&gt;&lt;wsp:rsid wsp:val=&quot;00C80291&quot;/&gt;&lt;wsp:rsid wsp:val=&quot;00C81932&quot;/&gt;&lt;wsp:rsid wsp:val=&quot;00C821FE&quot;/&gt;&lt;wsp:rsid wsp:val=&quot;00C83AAB&quot;/&gt;&lt;wsp:rsid wsp:val=&quot;00C86EC0&quot;/&gt;&lt;wsp:rsid wsp:val=&quot;00C87DF1&quot;/&gt;&lt;wsp:rsid wsp:val=&quot;00C90DC9&quot;/&gt;&lt;wsp:rsid wsp:val=&quot;00C91AE3&quot;/&gt;&lt;wsp:rsid wsp:val=&quot;00C91CAD&quot;/&gt;&lt;wsp:rsid wsp:val=&quot;00C954DC&quot;/&gt;&lt;wsp:rsid wsp:val=&quot;00C97847&quot;/&gt;&lt;wsp:rsid wsp:val=&quot;00CA0A40&quot;/&gt;&lt;wsp:rsid wsp:val=&quot;00CA16F6&quot;/&gt;&lt;wsp:rsid wsp:val=&quot;00CA2C5D&quot;/&gt;&lt;wsp:rsid wsp:val=&quot;00CA3B40&quot;/&gt;&lt;wsp:rsid wsp:val=&quot;00CA3B9E&quot;/&gt;&lt;wsp:rsid wsp:val=&quot;00CA4A3F&quot;/&gt;&lt;wsp:rsid wsp:val=&quot;00CA5D02&quot;/&gt;&lt;wsp:rsid wsp:val=&quot;00CA6287&quot;/&gt;&lt;wsp:rsid wsp:val=&quot;00CA7D65&quot;/&gt;&lt;wsp:rsid wsp:val=&quot;00CB1364&quot;/&gt;&lt;wsp:rsid wsp:val=&quot;00CB158D&quot;/&gt;&lt;wsp:rsid wsp:val=&quot;00CB1B1E&quot;/&gt;&lt;wsp:rsid wsp:val=&quot;00CB2EFE&quot;/&gt;&lt;wsp:rsid wsp:val=&quot;00CB45E7&quot;/&gt;&lt;wsp:rsid wsp:val=&quot;00CB4603&quot;/&gt;&lt;wsp:rsid wsp:val=&quot;00CB56BB&quot;/&gt;&lt;wsp:rsid wsp:val=&quot;00CB7FF8&quot;/&gt;&lt;wsp:rsid wsp:val=&quot;00CC273B&quot;/&gt;&lt;wsp:rsid wsp:val=&quot;00CC2F3C&quot;/&gt;&lt;wsp:rsid wsp:val=&quot;00CC47C1&quot;/&gt;&lt;wsp:rsid wsp:val=&quot;00CC552E&quot;/&gt;&lt;wsp:rsid wsp:val=&quot;00CC5646&quot;/&gt;&lt;wsp:rsid wsp:val=&quot;00CD184D&quot;/&gt;&lt;wsp:rsid wsp:val=&quot;00CD2899&quot;/&gt;&lt;wsp:rsid wsp:val=&quot;00CD6223&quot;/&gt;&lt;wsp:rsid wsp:val=&quot;00CD62CA&quot;/&gt;&lt;wsp:rsid wsp:val=&quot;00CE0261&quot;/&gt;&lt;wsp:rsid wsp:val=&quot;00CE06C8&quot;/&gt;&lt;wsp:rsid wsp:val=&quot;00CE0A61&quot;/&gt;&lt;wsp:rsid wsp:val=&quot;00CE5CDF&quot;/&gt;&lt;wsp:rsid wsp:val=&quot;00CE61C2&quot;/&gt;&lt;wsp:rsid wsp:val=&quot;00CF0510&quot;/&gt;&lt;wsp:rsid wsp:val=&quot;00CF0BDE&quot;/&gt;&lt;wsp:rsid wsp:val=&quot;00CF1204&quot;/&gt;&lt;wsp:rsid wsp:val=&quot;00CF2902&quot;/&gt;&lt;wsp:rsid wsp:val=&quot;00CF34B1&quot;/&gt;&lt;wsp:rsid wsp:val=&quot;00CF3BC8&quot;/&gt;&lt;wsp:rsid wsp:val=&quot;00CF4855&quot;/&gt;&lt;wsp:rsid wsp:val=&quot;00CF5254&quot;/&gt;&lt;wsp:rsid wsp:val=&quot;00CF5272&quot;/&gt;&lt;wsp:rsid wsp:val=&quot;00CF6A2F&quot;/&gt;&lt;wsp:rsid wsp:val=&quot;00D00523&quot;/&gt;&lt;wsp:rsid wsp:val=&quot;00D00E90&quot;/&gt;&lt;wsp:rsid wsp:val=&quot;00D01536&quot;/&gt;&lt;wsp:rsid wsp:val=&quot;00D023A7&quot;/&gt;&lt;wsp:rsid wsp:val=&quot;00D03DAE&quot;/&gt;&lt;wsp:rsid wsp:val=&quot;00D04CA4&quot;/&gt;&lt;wsp:rsid wsp:val=&quot;00D056AC&quot;/&gt;&lt;wsp:rsid wsp:val=&quot;00D05E04&quot;/&gt;&lt;wsp:rsid wsp:val=&quot;00D062F8&quot;/&gt;&lt;wsp:rsid wsp:val=&quot;00D07EB6&quot;/&gt;&lt;wsp:rsid wsp:val=&quot;00D10C36&quot;/&gt;&lt;wsp:rsid wsp:val=&quot;00D10F5B&quot;/&gt;&lt;wsp:rsid wsp:val=&quot;00D11272&quot;/&gt;&lt;wsp:rsid wsp:val=&quot;00D11BF9&quot;/&gt;&lt;wsp:rsid wsp:val=&quot;00D1257F&quot;/&gt;&lt;wsp:rsid wsp:val=&quot;00D12CFE&quot;/&gt;&lt;wsp:rsid wsp:val=&quot;00D1418F&quot;/&gt;&lt;wsp:rsid wsp:val=&quot;00D16C4A&quot;/&gt;&lt;wsp:rsid wsp:val=&quot;00D17159&quot;/&gt;&lt;wsp:rsid wsp:val=&quot;00D1790F&quot;/&gt;&lt;wsp:rsid wsp:val=&quot;00D21AA7&quot;/&gt;&lt;wsp:rsid wsp:val=&quot;00D223A7&quot;/&gt;&lt;wsp:rsid wsp:val=&quot;00D22662&quot;/&gt;&lt;wsp:rsid wsp:val=&quot;00D23753&quot;/&gt;&lt;wsp:rsid wsp:val=&quot;00D2406C&quot;/&gt;&lt;wsp:rsid wsp:val=&quot;00D27E3B&quot;/&gt;&lt;wsp:rsid wsp:val=&quot;00D3072F&quot;/&gt;&lt;wsp:rsid wsp:val=&quot;00D31D53&quot;/&gt;&lt;wsp:rsid wsp:val=&quot;00D33631&quot;/&gt;&lt;wsp:rsid wsp:val=&quot;00D3738B&quot;/&gt;&lt;wsp:rsid wsp:val=&quot;00D4169E&quot;/&gt;&lt;wsp:rsid wsp:val=&quot;00D43BE0&quot;/&gt;&lt;wsp:rsid wsp:val=&quot;00D43D79&quot;/&gt;&lt;wsp:rsid wsp:val=&quot;00D44C8E&quot;/&gt;&lt;wsp:rsid wsp:val=&quot;00D458E5&quot;/&gt;&lt;wsp:rsid wsp:val=&quot;00D4599D&quot;/&gt;&lt;wsp:rsid wsp:val=&quot;00D5170A&quot;/&gt;&lt;wsp:rsid wsp:val=&quot;00D526FE&quot;/&gt;&lt;wsp:rsid wsp:val=&quot;00D546AD&quot;/&gt;&lt;wsp:rsid wsp:val=&quot;00D5579E&quot;/&gt;&lt;wsp:rsid wsp:val=&quot;00D56005&quot;/&gt;&lt;wsp:rsid wsp:val=&quot;00D57114&quot;/&gt;&lt;wsp:rsid wsp:val=&quot;00D573B1&quot;/&gt;&lt;wsp:rsid wsp:val=&quot;00D57E28&quot;/&gt;&lt;wsp:rsid wsp:val=&quot;00D57E3E&quot;/&gt;&lt;wsp:rsid wsp:val=&quot;00D6067B&quot;/&gt;&lt;wsp:rsid wsp:val=&quot;00D63BCE&quot;/&gt;&lt;wsp:rsid wsp:val=&quot;00D64594&quot;/&gt;&lt;wsp:rsid wsp:val=&quot;00D64DF4&quot;/&gt;&lt;wsp:rsid wsp:val=&quot;00D709F7&quot;/&gt;&lt;wsp:rsid wsp:val=&quot;00D71237&quot;/&gt;&lt;wsp:rsid wsp:val=&quot;00D7128E&quot;/&gt;&lt;wsp:rsid wsp:val=&quot;00D72CC6&quot;/&gt;&lt;wsp:rsid wsp:val=&quot;00D72DB5&quot;/&gt;&lt;wsp:rsid wsp:val=&quot;00D749BF&quot;/&gt;&lt;wsp:rsid wsp:val=&quot;00D759DD&quot;/&gt;&lt;wsp:rsid wsp:val=&quot;00D763A6&quot;/&gt;&lt;wsp:rsid wsp:val=&quot;00D76F01&quot;/&gt;&lt;wsp:rsid wsp:val=&quot;00D77251&quot;/&gt;&lt;wsp:rsid wsp:val=&quot;00D81838&quot;/&gt;&lt;wsp:rsid wsp:val=&quot;00D81ED1&quot;/&gt;&lt;wsp:rsid wsp:val=&quot;00D821A2&quot;/&gt;&lt;wsp:rsid wsp:val=&quot;00D82715&quot;/&gt;&lt;wsp:rsid wsp:val=&quot;00D827BD&quot;/&gt;&lt;wsp:rsid wsp:val=&quot;00D83CCA&quot;/&gt;&lt;wsp:rsid wsp:val=&quot;00D85101&quot;/&gt;&lt;wsp:rsid wsp:val=&quot;00D85160&quot;/&gt;&lt;wsp:rsid wsp:val=&quot;00D853D4&quot;/&gt;&lt;wsp:rsid wsp:val=&quot;00D86EAE&quot;/&gt;&lt;wsp:rsid wsp:val=&quot;00D87086&quot;/&gt;&lt;wsp:rsid wsp:val=&quot;00D90538&quot;/&gt;&lt;wsp:rsid wsp:val=&quot;00D9106F&quot;/&gt;&lt;wsp:rsid wsp:val=&quot;00D92144&quot;/&gt;&lt;wsp:rsid wsp:val=&quot;00D9229F&quot;/&gt;&lt;wsp:rsid wsp:val=&quot;00D93098&quot;/&gt;&lt;wsp:rsid wsp:val=&quot;00D9535E&quot;/&gt;&lt;wsp:rsid wsp:val=&quot;00D95A15&quot;/&gt;&lt;wsp:rsid wsp:val=&quot;00D96EF1&quot;/&gt;&lt;wsp:rsid wsp:val=&quot;00DA012B&quot;/&gt;&lt;wsp:rsid wsp:val=&quot;00DA0F85&quot;/&gt;&lt;wsp:rsid wsp:val=&quot;00DA110A&quot;/&gt;&lt;wsp:rsid wsp:val=&quot;00DA4AFE&quot;/&gt;&lt;wsp:rsid wsp:val=&quot;00DA5414&quot;/&gt;&lt;wsp:rsid wsp:val=&quot;00DA67BD&quot;/&gt;&lt;wsp:rsid wsp:val=&quot;00DA7ED0&quot;/&gt;&lt;wsp:rsid wsp:val=&quot;00DA7FCD&quot;/&gt;&lt;wsp:rsid wsp:val=&quot;00DA7FEF&quot;/&gt;&lt;wsp:rsid wsp:val=&quot;00DB00BD&quot;/&gt;&lt;wsp:rsid wsp:val=&quot;00DB0691&quot;/&gt;&lt;wsp:rsid wsp:val=&quot;00DB3D60&quot;/&gt;&lt;wsp:rsid wsp:val=&quot;00DB3F8A&quot;/&gt;&lt;wsp:rsid wsp:val=&quot;00DB45A1&quot;/&gt;&lt;wsp:rsid wsp:val=&quot;00DB5776&quot;/&gt;&lt;wsp:rsid wsp:val=&quot;00DB5891&quot;/&gt;&lt;wsp:rsid wsp:val=&quot;00DB63E8&quot;/&gt;&lt;wsp:rsid wsp:val=&quot;00DC26DE&quot;/&gt;&lt;wsp:rsid wsp:val=&quot;00DC27EC&quot;/&gt;&lt;wsp:rsid wsp:val=&quot;00DC2C31&quot;/&gt;&lt;wsp:rsid wsp:val=&quot;00DC388B&quot;/&gt;&lt;wsp:rsid wsp:val=&quot;00DC50EB&quot;/&gt;&lt;wsp:rsid wsp:val=&quot;00DC50F1&quot;/&gt;&lt;wsp:rsid wsp:val=&quot;00DC5E00&quot;/&gt;&lt;wsp:rsid wsp:val=&quot;00DC69ED&quot;/&gt;&lt;wsp:rsid wsp:val=&quot;00DC6B6D&quot;/&gt;&lt;wsp:rsid wsp:val=&quot;00DD09F3&quot;/&gt;&lt;wsp:rsid wsp:val=&quot;00DD177D&quot;/&gt;&lt;wsp:rsid wsp:val=&quot;00DD20C4&quot;/&gt;&lt;wsp:rsid wsp:val=&quot;00DD2638&quot;/&gt;&lt;wsp:rsid wsp:val=&quot;00DD2823&quot;/&gt;&lt;wsp:rsid wsp:val=&quot;00DD3C7F&quot;/&gt;&lt;wsp:rsid wsp:val=&quot;00DD5DEF&quot;/&gt;&lt;wsp:rsid wsp:val=&quot;00DE0246&quot;/&gt;&lt;wsp:rsid wsp:val=&quot;00DE0BA7&quot;/&gt;&lt;wsp:rsid wsp:val=&quot;00DE10A2&quot;/&gt;&lt;wsp:rsid wsp:val=&quot;00DE149A&quot;/&gt;&lt;wsp:rsid wsp:val=&quot;00DE307F&quot;/&gt;&lt;wsp:rsid wsp:val=&quot;00DE30DE&quot;/&gt;&lt;wsp:rsid wsp:val=&quot;00DE3E45&quot;/&gt;&lt;wsp:rsid wsp:val=&quot;00DE43F6&quot;/&gt;&lt;wsp:rsid wsp:val=&quot;00DE4E19&quot;/&gt;&lt;wsp:rsid wsp:val=&quot;00DE4FF0&quot;/&gt;&lt;wsp:rsid wsp:val=&quot;00DE5BBB&quot;/&gt;&lt;wsp:rsid wsp:val=&quot;00DE6260&quot;/&gt;&lt;wsp:rsid wsp:val=&quot;00DE69B9&quot;/&gt;&lt;wsp:rsid wsp:val=&quot;00DE767B&quot;/&gt;&lt;wsp:rsid wsp:val=&quot;00DF13C6&quot;/&gt;&lt;wsp:rsid wsp:val=&quot;00DF2DD0&quot;/&gt;&lt;wsp:rsid wsp:val=&quot;00DF32C8&quot;/&gt;&lt;wsp:rsid wsp:val=&quot;00DF4988&quot;/&gt;&lt;wsp:rsid wsp:val=&quot;00DF5933&quot;/&gt;&lt;wsp:rsid wsp:val=&quot;00DF7A6A&quot;/&gt;&lt;wsp:rsid wsp:val=&quot;00E00768&quot;/&gt;&lt;wsp:rsid wsp:val=&quot;00E02000&quot;/&gt;&lt;wsp:rsid wsp:val=&quot;00E045FB&quot;/&gt;&lt;wsp:rsid wsp:val=&quot;00E04DB7&quot;/&gt;&lt;wsp:rsid wsp:val=&quot;00E0568E&quot;/&gt;&lt;wsp:rsid wsp:val=&quot;00E05B12&quot;/&gt;&lt;wsp:rsid wsp:val=&quot;00E063CA&quot;/&gt;&lt;wsp:rsid wsp:val=&quot;00E078B0&quot;/&gt;&lt;wsp:rsid wsp:val=&quot;00E14006&quot;/&gt;&lt;wsp:rsid wsp:val=&quot;00E14AF9&quot;/&gt;&lt;wsp:rsid wsp:val=&quot;00E14E4B&quot;/&gt;&lt;wsp:rsid wsp:val=&quot;00E150F7&quot;/&gt;&lt;wsp:rsid wsp:val=&quot;00E15D9F&quot;/&gt;&lt;wsp:rsid wsp:val=&quot;00E165B4&quot;/&gt;&lt;wsp:rsid wsp:val=&quot;00E16AF7&quot;/&gt;&lt;wsp:rsid wsp:val=&quot;00E20115&quot;/&gt;&lt;wsp:rsid wsp:val=&quot;00E20254&quot;/&gt;&lt;wsp:rsid wsp:val=&quot;00E20781&quot;/&gt;&lt;wsp:rsid wsp:val=&quot;00E20BFE&quot;/&gt;&lt;wsp:rsid wsp:val=&quot;00E21009&quot;/&gt;&lt;wsp:rsid wsp:val=&quot;00E210D7&quot;/&gt;&lt;wsp:rsid wsp:val=&quot;00E217F0&quot;/&gt;&lt;wsp:rsid wsp:val=&quot;00E21F40&quot;/&gt;&lt;wsp:rsid wsp:val=&quot;00E22372&quot;/&gt;&lt;wsp:rsid wsp:val=&quot;00E2258F&quot;/&gt;&lt;wsp:rsid wsp:val=&quot;00E25C29&quot;/&gt;&lt;wsp:rsid wsp:val=&quot;00E3133B&quot;/&gt;&lt;wsp:rsid wsp:val=&quot;00E31352&quot;/&gt;&lt;wsp:rsid wsp:val=&quot;00E31D70&quot;/&gt;&lt;wsp:rsid wsp:val=&quot;00E349A7&quot;/&gt;&lt;wsp:rsid wsp:val=&quot;00E34E9E&quot;/&gt;&lt;wsp:rsid wsp:val=&quot;00E36A3E&quot;/&gt;&lt;wsp:rsid wsp:val=&quot;00E40674&quot;/&gt;&lt;wsp:rsid wsp:val=&quot;00E424DF&quot;/&gt;&lt;wsp:rsid wsp:val=&quot;00E43102&quot;/&gt;&lt;wsp:rsid wsp:val=&quot;00E458A4&quot;/&gt;&lt;wsp:rsid wsp:val=&quot;00E4664D&quot;/&gt;&lt;wsp:rsid wsp:val=&quot;00E47925&quot;/&gt;&lt;wsp:rsid wsp:val=&quot;00E51D04&quot;/&gt;&lt;wsp:rsid wsp:val=&quot;00E522E0&quot;/&gt;&lt;wsp:rsid wsp:val=&quot;00E55032&quot;/&gt;&lt;wsp:rsid wsp:val=&quot;00E56B32&quot;/&gt;&lt;wsp:rsid wsp:val=&quot;00E5706E&quot;/&gt;&lt;wsp:rsid wsp:val=&quot;00E5793F&quot;/&gt;&lt;wsp:rsid wsp:val=&quot;00E60C2E&quot;/&gt;&lt;wsp:rsid wsp:val=&quot;00E615B2&quot;/&gt;&lt;wsp:rsid wsp:val=&quot;00E6335A&quot;/&gt;&lt;wsp:rsid wsp:val=&quot;00E63A71&quot;/&gt;&lt;wsp:rsid wsp:val=&quot;00E648FE&quot;/&gt;&lt;wsp:rsid wsp:val=&quot;00E64DA7&quot;/&gt;&lt;wsp:rsid wsp:val=&quot;00E65340&quot;/&gt;&lt;wsp:rsid wsp:val=&quot;00E65A24&quot;/&gt;&lt;wsp:rsid wsp:val=&quot;00E66A30&quot;/&gt;&lt;wsp:rsid wsp:val=&quot;00E71B31&quot;/&gt;&lt;wsp:rsid wsp:val=&quot;00E71B78&quot;/&gt;&lt;wsp:rsid wsp:val=&quot;00E721F5&quot;/&gt;&lt;wsp:rsid wsp:val=&quot;00E7454B&quot;/&gt;&lt;wsp:rsid wsp:val=&quot;00E76193&quot;/&gt;&lt;wsp:rsid wsp:val=&quot;00E766B4&quot;/&gt;&lt;wsp:rsid wsp:val=&quot;00E80852&quot;/&gt;&lt;wsp:rsid wsp:val=&quot;00E80C75&quot;/&gt;&lt;wsp:rsid wsp:val=&quot;00E81662&quot;/&gt;&lt;wsp:rsid wsp:val=&quot;00E8180C&quot;/&gt;&lt;wsp:rsid wsp:val=&quot;00E84514&quot;/&gt;&lt;wsp:rsid wsp:val=&quot;00E84B74&quot;/&gt;&lt;wsp:rsid wsp:val=&quot;00E85766&quot;/&gt;&lt;wsp:rsid wsp:val=&quot;00E86DEA&quot;/&gt;&lt;wsp:rsid wsp:val=&quot;00E86E23&quot;/&gt;&lt;wsp:rsid wsp:val=&quot;00E8726E&quot;/&gt;&lt;wsp:rsid wsp:val=&quot;00E903EE&quot;/&gt;&lt;wsp:rsid wsp:val=&quot;00E90958&quot;/&gt;&lt;wsp:rsid wsp:val=&quot;00E931D9&quot;/&gt;&lt;wsp:rsid wsp:val=&quot;00E93614&quot;/&gt;&lt;wsp:rsid wsp:val=&quot;00E93B31&quot;/&gt;&lt;wsp:rsid wsp:val=&quot;00E97375&quot;/&gt;&lt;wsp:rsid wsp:val=&quot;00EA0267&quot;/&gt;&lt;wsp:rsid wsp:val=&quot;00EA26C0&quot;/&gt;&lt;wsp:rsid wsp:val=&quot;00EA2ED4&quot;/&gt;&lt;wsp:rsid wsp:val=&quot;00EA5179&quot;/&gt;&lt;wsp:rsid wsp:val=&quot;00EA7067&quot;/&gt;&lt;wsp:rsid wsp:val=&quot;00EB0FF4&quot;/&gt;&lt;wsp:rsid wsp:val=&quot;00EB2200&quot;/&gt;&lt;wsp:rsid wsp:val=&quot;00EB395D&quot;/&gt;&lt;wsp:rsid wsp:val=&quot;00EB42DA&quot;/&gt;&lt;wsp:rsid wsp:val=&quot;00EB54A3&quot;/&gt;&lt;wsp:rsid wsp:val=&quot;00EB60DD&quot;/&gt;&lt;wsp:rsid wsp:val=&quot;00EB7131&quot;/&gt;&lt;wsp:rsid wsp:val=&quot;00EB72F9&quot;/&gt;&lt;wsp:rsid wsp:val=&quot;00EC099A&quot;/&gt;&lt;wsp:rsid wsp:val=&quot;00EC0C31&quot;/&gt;&lt;wsp:rsid wsp:val=&quot;00EC1D06&quot;/&gt;&lt;wsp:rsid wsp:val=&quot;00EC2E60&quot;/&gt;&lt;wsp:rsid wsp:val=&quot;00EC36B0&quot;/&gt;&lt;wsp:rsid wsp:val=&quot;00EC52AF&quot;/&gt;&lt;wsp:rsid wsp:val=&quot;00EC6236&quot;/&gt;&lt;wsp:rsid wsp:val=&quot;00EC6576&quot;/&gt;&lt;wsp:rsid wsp:val=&quot;00ED0080&quot;/&gt;&lt;wsp:rsid wsp:val=&quot;00ED113F&quot;/&gt;&lt;wsp:rsid wsp:val=&quot;00ED3F81&quot;/&gt;&lt;wsp:rsid wsp:val=&quot;00ED5E13&quot;/&gt;&lt;wsp:rsid wsp:val=&quot;00EE0569&quot;/&gt;&lt;wsp:rsid wsp:val=&quot;00EE4BB4&quot;/&gt;&lt;wsp:rsid wsp:val=&quot;00EF0CA8&quot;/&gt;&lt;wsp:rsid wsp:val=&quot;00EF2257&quot;/&gt;&lt;wsp:rsid wsp:val=&quot;00EF2B33&quot;/&gt;&lt;wsp:rsid wsp:val=&quot;00EF3546&quot;/&gt;&lt;wsp:rsid wsp:val=&quot;00EF43FE&quot;/&gt;&lt;wsp:rsid wsp:val=&quot;00EF4B6E&quot;/&gt;&lt;wsp:rsid wsp:val=&quot;00EF576C&quot;/&gt;&lt;wsp:rsid wsp:val=&quot;00EF60AF&quot;/&gt;&lt;wsp:rsid wsp:val=&quot;00EF7B39&quot;/&gt;&lt;wsp:rsid wsp:val=&quot;00F006EC&quot;/&gt;&lt;wsp:rsid wsp:val=&quot;00F0252B&quot;/&gt;&lt;wsp:rsid wsp:val=&quot;00F036F1&quot;/&gt;&lt;wsp:rsid wsp:val=&quot;00F056FC&quot;/&gt;&lt;wsp:rsid wsp:val=&quot;00F05D34&quot;/&gt;&lt;wsp:rsid wsp:val=&quot;00F109B3&quot;/&gt;&lt;wsp:rsid wsp:val=&quot;00F11DB9&quot;/&gt;&lt;wsp:rsid wsp:val=&quot;00F131AA&quot;/&gt;&lt;wsp:rsid wsp:val=&quot;00F13471&quot;/&gt;&lt;wsp:rsid wsp:val=&quot;00F13A00&quot;/&gt;&lt;wsp:rsid wsp:val=&quot;00F1466A&quot;/&gt;&lt;wsp:rsid wsp:val=&quot;00F14BE2&quot;/&gt;&lt;wsp:rsid wsp:val=&quot;00F15481&quot;/&gt;&lt;wsp:rsid wsp:val=&quot;00F15712&quot;/&gt;&lt;wsp:rsid wsp:val=&quot;00F15B92&quot;/&gt;&lt;wsp:rsid wsp:val=&quot;00F1652F&quot;/&gt;&lt;wsp:rsid wsp:val=&quot;00F20EB7&quot;/&gt;&lt;wsp:rsid wsp:val=&quot;00F2168B&quot;/&gt;&lt;wsp:rsid wsp:val=&quot;00F21A77&quot;/&gt;&lt;wsp:rsid wsp:val=&quot;00F22153&quot;/&gt;&lt;wsp:rsid wsp:val=&quot;00F2293C&quot;/&gt;&lt;wsp:rsid wsp:val=&quot;00F24202&quot;/&gt;&lt;wsp:rsid wsp:val=&quot;00F25B92&quot;/&gt;&lt;wsp:rsid wsp:val=&quot;00F25EFC&quot;/&gt;&lt;wsp:rsid wsp:val=&quot;00F26B03&quot;/&gt;&lt;wsp:rsid wsp:val=&quot;00F26DC2&quot;/&gt;&lt;wsp:rsid wsp:val=&quot;00F32109&quot;/&gt;&lt;wsp:rsid wsp:val=&quot;00F3393E&quot;/&gt;&lt;wsp:rsid wsp:val=&quot;00F361C6&quot;/&gt;&lt;wsp:rsid wsp:val=&quot;00F3780E&quot;/&gt;&lt;wsp:rsid wsp:val=&quot;00F40E0E&quot;/&gt;&lt;wsp:rsid wsp:val=&quot;00F424DE&quot;/&gt;&lt;wsp:rsid wsp:val=&quot;00F42DAB&quot;/&gt;&lt;wsp:rsid wsp:val=&quot;00F42E64&quot;/&gt;&lt;wsp:rsid wsp:val=&quot;00F44719&quot;/&gt;&lt;wsp:rsid wsp:val=&quot;00F47A51&quot;/&gt;&lt;wsp:rsid wsp:val=&quot;00F47B98&quot;/&gt;&lt;wsp:rsid wsp:val=&quot;00F5072A&quot;/&gt;&lt;wsp:rsid wsp:val=&quot;00F50A5E&quot;/&gt;&lt;wsp:rsid wsp:val=&quot;00F51D5A&quot;/&gt;&lt;wsp:rsid wsp:val=&quot;00F540C0&quot;/&gt;&lt;wsp:rsid wsp:val=&quot;00F54E22&quot;/&gt;&lt;wsp:rsid wsp:val=&quot;00F6126D&quot;/&gt;&lt;wsp:rsid wsp:val=&quot;00F61A4B&quot;/&gt;&lt;wsp:rsid wsp:val=&quot;00F635CE&quot;/&gt;&lt;wsp:rsid wsp:val=&quot;00F63713&quot;/&gt;&lt;wsp:rsid wsp:val=&quot;00F655B2&quot;/&gt;&lt;wsp:rsid wsp:val=&quot;00F70FCD&quot;/&gt;&lt;wsp:rsid wsp:val=&quot;00F72CE6&quot;/&gt;&lt;wsp:rsid wsp:val=&quot;00F755F4&quot;/&gt;&lt;wsp:rsid wsp:val=&quot;00F75A28&quot;/&gt;&lt;wsp:rsid wsp:val=&quot;00F761B1&quot;/&gt;&lt;wsp:rsid wsp:val=&quot;00F762FD&quot;/&gt;&lt;wsp:rsid wsp:val=&quot;00F77547&quot;/&gt;&lt;wsp:rsid wsp:val=&quot;00F81D6F&quot;/&gt;&lt;wsp:rsid wsp:val=&quot;00F83C5C&quot;/&gt;&lt;wsp:rsid wsp:val=&quot;00F867C1&quot;/&gt;&lt;wsp:rsid wsp:val=&quot;00F87ADD&quot;/&gt;&lt;wsp:rsid wsp:val=&quot;00F87CDF&quot;/&gt;&lt;wsp:rsid wsp:val=&quot;00F910C5&quot;/&gt;&lt;wsp:rsid wsp:val=&quot;00F91795&quot;/&gt;&lt;wsp:rsid wsp:val=&quot;00F91DE6&quot;/&gt;&lt;wsp:rsid wsp:val=&quot;00F922CA&quot;/&gt;&lt;wsp:rsid wsp:val=&quot;00F92D31&quot;/&gt;&lt;wsp:rsid wsp:val=&quot;00F92D43&quot;/&gt;&lt;wsp:rsid wsp:val=&quot;00F9373C&quot;/&gt;&lt;wsp:rsid wsp:val=&quot;00F94D66&quot;/&gt;&lt;wsp:rsid wsp:val=&quot;00F95794&quot;/&gt;&lt;wsp:rsid wsp:val=&quot;00F961EE&quot;/&gt;&lt;wsp:rsid wsp:val=&quot;00FA1EB9&quot;/&gt;&lt;wsp:rsid wsp:val=&quot;00FA347B&quot;/&gt;&lt;wsp:rsid wsp:val=&quot;00FA4618&quot;/&gt;&lt;wsp:rsid wsp:val=&quot;00FA5657&quot;/&gt;&lt;wsp:rsid wsp:val=&quot;00FA6421&quot;/&gt;&lt;wsp:rsid wsp:val=&quot;00FB0C31&quot;/&gt;&lt;wsp:rsid wsp:val=&quot;00FB46CD&quot;/&gt;&lt;wsp:rsid wsp:val=&quot;00FB5023&quot;/&gt;&lt;wsp:rsid wsp:val=&quot;00FB5226&quot;/&gt;&lt;wsp:rsid wsp:val=&quot;00FB76BF&quot;/&gt;&lt;wsp:rsid wsp:val=&quot;00FB7ED2&quot;/&gt;&lt;wsp:rsid wsp:val=&quot;00FC1599&quot;/&gt;&lt;wsp:rsid wsp:val=&quot;00FC2ADD&quot;/&gt;&lt;wsp:rsid wsp:val=&quot;00FC364A&quot;/&gt;&lt;wsp:rsid wsp:val=&quot;00FC36E7&quot;/&gt;&lt;wsp:rsid wsp:val=&quot;00FC41A5&quot;/&gt;&lt;wsp:rsid wsp:val=&quot;00FC42EF&quot;/&gt;&lt;wsp:rsid wsp:val=&quot;00FC65EF&quot;/&gt;&lt;wsp:rsid wsp:val=&quot;00FC74D6&quot;/&gt;&lt;wsp:rsid wsp:val=&quot;00FD035C&quot;/&gt;&lt;wsp:rsid wsp:val=&quot;00FD1F0C&quot;/&gt;&lt;wsp:rsid wsp:val=&quot;00FD315C&quot;/&gt;&lt;wsp:rsid wsp:val=&quot;00FD384C&quot;/&gt;&lt;wsp:rsid wsp:val=&quot;00FD4A6A&quot;/&gt;&lt;wsp:rsid wsp:val=&quot;00FE0A10&quot;/&gt;&lt;wsp:rsid wsp:val=&quot;00FE2120&quot;/&gt;&lt;wsp:rsid wsp:val=&quot;00FE3369&quot;/&gt;&lt;wsp:rsid wsp:val=&quot;00FE3D73&quot;/&gt;&lt;wsp:rsid wsp:val=&quot;00FE40AE&quot;/&gt;&lt;wsp:rsid wsp:val=&quot;00FE6B1E&quot;/&gt;&lt;wsp:rsid wsp:val=&quot;00FE6C6D&quot;/&gt;&lt;wsp:rsid wsp:val=&quot;00FE6D79&quot;/&gt;&lt;wsp:rsid wsp:val=&quot;00FE6E32&quot;/&gt;&lt;wsp:rsid wsp:val=&quot;00FE6ECE&quot;/&gt;&lt;wsp:rsid wsp:val=&quot;00FF1175&quot;/&gt;&lt;wsp:rsid wsp:val=&quot;00FF1E60&quot;/&gt;&lt;wsp:rsid wsp:val=&quot;00FF23AF&quot;/&gt;&lt;wsp:rsid wsp:val=&quot;00FF3012&quot;/&gt;&lt;wsp:rsid wsp:val=&quot;00FF51AC&quot;/&gt;&lt;wsp:rsid wsp:val=&quot;00FF5398&quot;/&gt;&lt;wsp:rsid wsp:val=&quot;00FF563F&quot;/&gt;&lt;wsp:rsid wsp:val=&quot;00FF6698&quot;/&gt;&lt;wsp:rsid wsp:val=&quot;00FF7AC9&quot;/&gt;&lt;wsp:rsid wsp:val=&quot;00FF7CAB&quot;/&gt;&lt;wsp:rsid wsp:val=&quot;01A9638C&quot;/&gt;&lt;wsp:rsid wsp:val=&quot;01F85371&quot;/&gt;&lt;wsp:rsid wsp:val=&quot;020D6D1E&quot;/&gt;&lt;wsp:rsid wsp:val=&quot;027D63FC&quot;/&gt;&lt;wsp:rsid wsp:val=&quot;02941C3C&quot;/&gt;&lt;wsp:rsid wsp:val=&quot;029A40EF&quot;/&gt;&lt;wsp:rsid wsp:val=&quot;02B81F83&quot;/&gt;&lt;wsp:rsid wsp:val=&quot;03491A7A&quot;/&gt;&lt;wsp:rsid wsp:val=&quot;0371482E&quot;/&gt;&lt;wsp:rsid wsp:val=&quot;037309ED&quot;/&gt;&lt;wsp:rsid wsp:val=&quot;039C4E7A&quot;/&gt;&lt;wsp:rsid wsp:val=&quot;03E61ABE&quot;/&gt;&lt;wsp:rsid wsp:val=&quot;04046254&quot;/&gt;&lt;wsp:rsid wsp:val=&quot;042E0AC2&quot;/&gt;&lt;wsp:rsid wsp:val=&quot;044B5074&quot;/&gt;&lt;wsp:rsid wsp:val=&quot;046B05C8&quot;/&gt;&lt;wsp:rsid wsp:val=&quot;048C534E&quot;/&gt;&lt;wsp:rsid wsp:val=&quot;04B23C93&quot;/&gt;&lt;wsp:rsid wsp:val=&quot;04E0662D&quot;/&gt;&lt;wsp:rsid wsp:val=&quot;05234CEB&quot;/&gt;&lt;wsp:rsid wsp:val=&quot;0558310B&quot;/&gt;&lt;wsp:rsid wsp:val=&quot;05903D2C&quot;/&gt;&lt;wsp:rsid wsp:val=&quot;059C32B2&quot;/&gt;&lt;wsp:rsid wsp:val=&quot;059E3EB2&quot;/&gt;&lt;wsp:rsid wsp:val=&quot;05C029BC&quot;/&gt;&lt;wsp:rsid wsp:val=&quot;05D67251&quot;/&gt;&lt;wsp:rsid wsp:val=&quot;05F67670&quot;/&gt;&lt;wsp:rsid wsp:val=&quot;060937A2&quot;/&gt;&lt;wsp:rsid wsp:val=&quot;060F1745&quot;/&gt;&lt;wsp:rsid wsp:val=&quot;06243C1A&quot;/&gt;&lt;wsp:rsid wsp:val=&quot;06A44F74&quot;/&gt;&lt;wsp:rsid wsp:val=&quot;06D97670&quot;/&gt;&lt;wsp:rsid wsp:val=&quot;06E83ABD&quot;/&gt;&lt;wsp:rsid wsp:val=&quot;06F818AD&quot;/&gt;&lt;wsp:rsid wsp:val=&quot;073A3FDE&quot;/&gt;&lt;wsp:rsid wsp:val=&quot;07412932&quot;/&gt;&lt;wsp:rsid wsp:val=&quot;07454CF4&quot;/&gt;&lt;wsp:rsid wsp:val=&quot;07B808DA&quot;/&gt;&lt;wsp:rsid wsp:val=&quot;07C20B3C&quot;/&gt;&lt;wsp:rsid wsp:val=&quot;07FF672F&quot;/&gt;&lt;wsp:rsid wsp:val=&quot;08181DD2&quot;/&gt;&lt;wsp:rsid wsp:val=&quot;08302DB4&quot;/&gt;&lt;wsp:rsid wsp:val=&quot;08362EFF&quot;/&gt;&lt;wsp:rsid wsp:val=&quot;08E94ACB&quot;/&gt;&lt;wsp:rsid wsp:val=&quot;08F67FAD&quot;/&gt;&lt;wsp:rsid wsp:val=&quot;09933083&quot;/&gt;&lt;wsp:rsid wsp:val=&quot;0998586E&quot;/&gt;&lt;wsp:rsid wsp:val=&quot;0A257C72&quot;/&gt;&lt;wsp:rsid wsp:val=&quot;0A4A4A0C&quot;/&gt;&lt;wsp:rsid wsp:val=&quot;0AB147C7&quot;/&gt;&lt;wsp:rsid wsp:val=&quot;0ABD41C7&quot;/&gt;&lt;wsp:rsid wsp:val=&quot;0AE54EA6&quot;/&gt;&lt;wsp:rsid wsp:val=&quot;0B1B780F&quot;/&gt;&lt;wsp:rsid wsp:val=&quot;0B1D79F7&quot;/&gt;&lt;wsp:rsid wsp:val=&quot;0B671A27&quot;/&gt;&lt;wsp:rsid wsp:val=&quot;0B940897&quot;/&gt;&lt;wsp:rsid wsp:val=&quot;0BA4683A&quot;/&gt;&lt;wsp:rsid wsp:val=&quot;0BCD09CC&quot;/&gt;&lt;wsp:rsid wsp:val=&quot;0BCE7110&quot;/&gt;&lt;wsp:rsid wsp:val=&quot;0BDB6BA1&quot;/&gt;&lt;wsp:rsid wsp:val=&quot;0BDC1082&quot;/&gt;&lt;wsp:rsid wsp:val=&quot;0C43590E&quot;/&gt;&lt;wsp:rsid wsp:val=&quot;0C480449&quot;/&gt;&lt;wsp:rsid wsp:val=&quot;0CA73B71&quot;/&gt;&lt;wsp:rsid wsp:val=&quot;0CA75843&quot;/&gt;&lt;wsp:rsid wsp:val=&quot;0CB23D1F&quot;/&gt;&lt;wsp:rsid wsp:val=&quot;0CC043DF&quot;/&gt;&lt;wsp:rsid wsp:val=&quot;0CD47EE7&quot;/&gt;&lt;wsp:rsid wsp:val=&quot;0CEB3052&quot;/&gt;&lt;wsp:rsid wsp:val=&quot;0CFA171A&quot;/&gt;&lt;wsp:rsid wsp:val=&quot;0CFD21BC&quot;/&gt;&lt;wsp:rsid wsp:val=&quot;0D00555A&quot;/&gt;&lt;wsp:rsid wsp:val=&quot;0D5832D9&quot;/&gt;&lt;wsp:rsid wsp:val=&quot;0DF40578&quot;/&gt;&lt;wsp:rsid wsp:val=&quot;0DF55B6D&quot;/&gt;&lt;wsp:rsid wsp:val=&quot;0E780BD3&quot;/&gt;&lt;wsp:rsid wsp:val=&quot;0ED927DA&quot;/&gt;&lt;wsp:rsid wsp:val=&quot;0F103A6F&quot;/&gt;&lt;wsp:rsid wsp:val=&quot;0F1A0988&quot;/&gt;&lt;wsp:rsid wsp:val=&quot;0F2969B2&quot;/&gt;&lt;wsp:rsid wsp:val=&quot;0F8B1C35&quot;/&gt;&lt;wsp:rsid wsp:val=&quot;10653ED8&quot;/&gt;&lt;wsp:rsid wsp:val=&quot;106F5F73&quot;/&gt;&lt;wsp:rsid wsp:val=&quot;107144EC&quot;/&gt;&lt;wsp:rsid wsp:val=&quot;10C262E9&quot;/&gt;&lt;wsp:rsid wsp:val=&quot;10FF4A36&quot;/&gt;&lt;wsp:rsid wsp:val=&quot;117634A0&quot;/&gt;&lt;wsp:rsid wsp:val=&quot;1180157B&quot;/&gt;&lt;wsp:rsid wsp:val=&quot;11D40D67&quot;/&gt;&lt;wsp:rsid wsp:val=&quot;11DC1EEF&quot;/&gt;&lt;wsp:rsid wsp:val=&quot;12526757&quot;/&gt;&lt;wsp:rsid wsp:val=&quot;126877AA&quot;/&gt;&lt;wsp:rsid wsp:val=&quot;126E1A7A&quot;/&gt;&lt;wsp:rsid wsp:val=&quot;1271309A&quot;/&gt;&lt;wsp:rsid wsp:val=&quot;128C50B6&quot;/&gt;&lt;wsp:rsid wsp:val=&quot;12B37322&quot;/&gt;&lt;wsp:rsid wsp:val=&quot;12C02BEE&quot;/&gt;&lt;wsp:rsid wsp:val=&quot;12F23DF2&quot;/&gt;&lt;wsp:rsid wsp:val=&quot;12F41C6C&quot;/&gt;&lt;wsp:rsid wsp:val=&quot;130F4F30&quot;/&gt;&lt;wsp:rsid wsp:val=&quot;132317A5&quot;/&gt;&lt;wsp:rsid wsp:val=&quot;132450D4&quot;/&gt;&lt;wsp:rsid wsp:val=&quot;134127BA&quot;/&gt;&lt;wsp:rsid wsp:val=&quot;13494A88&quot;/&gt;&lt;wsp:rsid wsp:val=&quot;136D32DC&quot;/&gt;&lt;wsp:rsid wsp:val=&quot;136D692E&quot;/&gt;&lt;wsp:rsid wsp:val=&quot;13C31D0C&quot;/&gt;&lt;wsp:rsid wsp:val=&quot;141F7F3D&quot;/&gt;&lt;wsp:rsid wsp:val=&quot;14362780&quot;/&gt;&lt;wsp:rsid wsp:val=&quot;145506B6&quot;/&gt;&lt;wsp:rsid wsp:val=&quot;14B77509&quot;/&gt;&lt;wsp:rsid wsp:val=&quot;14DC5ACF&quot;/&gt;&lt;wsp:rsid wsp:val=&quot;155E77AE&quot;/&gt;&lt;wsp:rsid wsp:val=&quot;15B15E77&quot;/&gt;&lt;wsp:rsid wsp:val=&quot;15B51383&quot;/&gt;&lt;wsp:rsid wsp:val=&quot;15D2459B&quot;/&gt;&lt;wsp:rsid wsp:val=&quot;16086ED5&quot;/&gt;&lt;wsp:rsid wsp:val=&quot;16506B76&quot;/&gt;&lt;wsp:rsid wsp:val=&quot;16A828BB&quot;/&gt;&lt;wsp:rsid wsp:val=&quot;173B26F1&quot;/&gt;&lt;wsp:rsid wsp:val=&quot;176255CF&quot;/&gt;&lt;wsp:rsid wsp:val=&quot;17921C4A&quot;/&gt;&lt;wsp:rsid wsp:val=&quot;17AA38EE&quot;/&gt;&lt;wsp:rsid wsp:val=&quot;17AE6AF4&quot;/&gt;&lt;wsp:rsid wsp:val=&quot;18316932&quot;/&gt;&lt;wsp:rsid wsp:val=&quot;1845122F&quot;/&gt;&lt;wsp:rsid wsp:val=&quot;18680999&quot;/&gt;&lt;wsp:rsid wsp:val=&quot;18A1150B&quot;/&gt;&lt;wsp:rsid wsp:val=&quot;18C4594A&quot;/&gt;&lt;wsp:rsid wsp:val=&quot;18D407E2&quot;/&gt;&lt;wsp:rsid wsp:val=&quot;18E900FC&quot;/&gt;&lt;wsp:rsid wsp:val=&quot;194525D6&quot;/&gt;&lt;wsp:rsid wsp:val=&quot;19551599&quot;/&gt;&lt;wsp:rsid wsp:val=&quot;196B266A&quot;/&gt;&lt;wsp:rsid wsp:val=&quot;19724740&quot;/&gt;&lt;wsp:rsid wsp:val=&quot;19747BBC&quot;/&gt;&lt;wsp:rsid wsp:val=&quot;19901FF4&quot;/&gt;&lt;wsp:rsid wsp:val=&quot;19F81C79&quot;/&gt;&lt;wsp:rsid wsp:val=&quot;1A1518CF&quot;/&gt;&lt;wsp:rsid wsp:val=&quot;1ACB37C8&quot;/&gt;&lt;wsp:rsid wsp:val=&quot;1AD50A1E&quot;/&gt;&lt;wsp:rsid wsp:val=&quot;1B3F15DF&quot;/&gt;&lt;wsp:rsid wsp:val=&quot;1B811131&quot;/&gt;&lt;wsp:rsid wsp:val=&quot;1B8E73D9&quot;/&gt;&lt;wsp:rsid wsp:val=&quot;1B982306&quot;/&gt;&lt;wsp:rsid wsp:val=&quot;1BFE5956&quot;/&gt;&lt;wsp:rsid wsp:val=&quot;1C29312F&quot;/&gt;&lt;wsp:rsid wsp:val=&quot;1CDC62A6&quot;/&gt;&lt;wsp:rsid wsp:val=&quot;1D4A291B&quot;/&gt;&lt;wsp:rsid wsp:val=&quot;1D4E0F5F&quot;/&gt;&lt;wsp:rsid wsp:val=&quot;1D712ECF&quot;/&gt;&lt;wsp:rsid wsp:val=&quot;1D801D7C&quot;/&gt;&lt;wsp:rsid wsp:val=&quot;1D804FA5&quot;/&gt;&lt;wsp:rsid wsp:val=&quot;1DD828FE&quot;/&gt;&lt;wsp:rsid wsp:val=&quot;1DE6154C&quot;/&gt;&lt;wsp:rsid wsp:val=&quot;1EDF64EB&quot;/&gt;&lt;wsp:rsid wsp:val=&quot;1F7900B1&quot;/&gt;&lt;wsp:rsid wsp:val=&quot;1F954039&quot;/&gt;&lt;wsp:rsid wsp:val=&quot;1FDB53EB&quot;/&gt;&lt;wsp:rsid wsp:val=&quot;1FEE3723&quot;/&gt;&lt;wsp:rsid wsp:val=&quot;20606F4A&quot;/&gt;&lt;wsp:rsid wsp:val=&quot;208C769A&quot;/&gt;&lt;wsp:rsid wsp:val=&quot;20A9595F&quot;/&gt;&lt;wsp:rsid wsp:val=&quot;214B445B&quot;/&gt;&lt;wsp:rsid wsp:val=&quot;21582D22&quot;/&gt;&lt;wsp:rsid wsp:val=&quot;21B270E4&quot;/&gt;&lt;wsp:rsid wsp:val=&quot;220001CD&quot;/&gt;&lt;wsp:rsid wsp:val=&quot;2204542F&quot;/&gt;&lt;wsp:rsid wsp:val=&quot;221631F1&quot;/&gt;&lt;wsp:rsid wsp:val=&quot;227667D1&quot;/&gt;&lt;wsp:rsid wsp:val=&quot;23CC7181&quot;/&gt;&lt;wsp:rsid wsp:val=&quot;23D55986&quot;/&gt;&lt;wsp:rsid wsp:val=&quot;24023566&quot;/&gt;&lt;wsp:rsid wsp:val=&quot;24822315&quot;/&gt;&lt;wsp:rsid wsp:val=&quot;24866577&quot;/&gt;&lt;wsp:rsid wsp:val=&quot;248C3975&quot;/&gt;&lt;wsp:rsid wsp:val=&quot;249E26AC&quot;/&gt;&lt;wsp:rsid wsp:val=&quot;24CA406C&quot;/&gt;&lt;wsp:rsid wsp:val=&quot;251D1FB5&quot;/&gt;&lt;wsp:rsid wsp:val=&quot;25741DEA&quot;/&gt;&lt;wsp:rsid wsp:val=&quot;25922AC5&quot;/&gt;&lt;wsp:rsid wsp:val=&quot;26064A97&quot;/&gt;&lt;wsp:rsid wsp:val=&quot;26405B2B&quot;/&gt;&lt;wsp:rsid wsp:val=&quot;264C5406&quot;/&gt;&lt;wsp:rsid wsp:val=&quot;266E3399&quot;/&gt;&lt;wsp:rsid wsp:val=&quot;26B87C20&quot;/&gt;&lt;wsp:rsid wsp:val=&quot;26E07FE7&quot;/&gt;&lt;wsp:rsid wsp:val=&quot;27565261&quot;/&gt;&lt;wsp:rsid wsp:val=&quot;27A75CDF&quot;/&gt;&lt;wsp:rsid wsp:val=&quot;27B16C2F&quot;/&gt;&lt;wsp:rsid wsp:val=&quot;27B37F34&quot;/&gt;&lt;wsp:rsid wsp:val=&quot;27C03E4F&quot;/&gt;&lt;wsp:rsid wsp:val=&quot;27CE323F&quot;/&gt;&lt;wsp:rsid wsp:val=&quot;27CF4354&quot;/&gt;&lt;wsp:rsid wsp:val=&quot;27EC6B73&quot;/&gt;&lt;wsp:rsid wsp:val=&quot;285A39FC&quot;/&gt;&lt;wsp:rsid wsp:val=&quot;285E62F2&quot;/&gt;&lt;wsp:rsid wsp:val=&quot;28670081&quot;/&gt;&lt;wsp:rsid wsp:val=&quot;288A702C&quot;/&gt;&lt;wsp:rsid wsp:val=&quot;28B018BB&quot;/&gt;&lt;wsp:rsid wsp:val=&quot;28E62B8A&quot;/&gt;&lt;wsp:rsid wsp:val=&quot;28F10C29&quot;/&gt;&lt;wsp:rsid wsp:val=&quot;292A4B58&quot;/&gt;&lt;wsp:rsid wsp:val=&quot;296443A6&quot;/&gt;&lt;wsp:rsid wsp:val=&quot;298C1EAF&quot;/&gt;&lt;wsp:rsid wsp:val=&quot;29C55E80&quot;/&gt;&lt;wsp:rsid wsp:val=&quot;29D4729A&quot;/&gt;&lt;wsp:rsid wsp:val=&quot;29E36D37&quot;/&gt;&lt;wsp:rsid wsp:val=&quot;2A3C69C8&quot;/&gt;&lt;wsp:rsid wsp:val=&quot;2A5C6DFA&quot;/&gt;&lt;wsp:rsid wsp:val=&quot;2A7F371E&quot;/&gt;&lt;wsp:rsid wsp:val=&quot;2AF27104&quot;/&gt;&lt;wsp:rsid wsp:val=&quot;2B283A45&quot;/&gt;&lt;wsp:rsid wsp:val=&quot;2B995893&quot;/&gt;&lt;wsp:rsid wsp:val=&quot;2BD463F1&quot;/&gt;&lt;wsp:rsid wsp:val=&quot;2C1B2F79&quot;/&gt;&lt;wsp:rsid wsp:val=&quot;2C6278CF&quot;/&gt;&lt;wsp:rsid wsp:val=&quot;2C7D34EA&quot;/&gt;&lt;wsp:rsid wsp:val=&quot;2C9654BA&quot;/&gt;&lt;wsp:rsid wsp:val=&quot;2CDE3748&quot;/&gt;&lt;wsp:rsid wsp:val=&quot;2D0749ED&quot;/&gt;&lt;wsp:rsid wsp:val=&quot;2D3B266C&quot;/&gt;&lt;wsp:rsid wsp:val=&quot;2D627E7F&quot;/&gt;&lt;wsp:rsid wsp:val=&quot;2DA470D2&quot;/&gt;&lt;wsp:rsid wsp:val=&quot;2DB548EF&quot;/&gt;&lt;wsp:rsid wsp:val=&quot;2DC724A5&quot;/&gt;&lt;wsp:rsid wsp:val=&quot;2DD17AA1&quot;/&gt;&lt;wsp:rsid wsp:val=&quot;2DD967B6&quot;/&gt;&lt;wsp:rsid wsp:val=&quot;2DE17319&quot;/&gt;&lt;wsp:rsid wsp:val=&quot;2E385A22&quot;/&gt;&lt;wsp:rsid wsp:val=&quot;2E8309E9&quot;/&gt;&lt;wsp:rsid wsp:val=&quot;2E863C7D&quot;/&gt;&lt;wsp:rsid wsp:val=&quot;2E9E44D0&quot;/&gt;&lt;wsp:rsid wsp:val=&quot;2EEB36BC&quot;/&gt;&lt;wsp:rsid wsp:val=&quot;2F012CCA&quot;/&gt;&lt;wsp:rsid wsp:val=&quot;2F080037&quot;/&gt;&lt;wsp:rsid wsp:val=&quot;2F245911&quot;/&gt;&lt;wsp:rsid wsp:val=&quot;2F675DBF&quot;/&gt;&lt;wsp:rsid wsp:val=&quot;2FD81079&quot;/&gt;&lt;wsp:rsid wsp:val=&quot;30204C8D&quot;/&gt;&lt;wsp:rsid wsp:val=&quot;30A32892&quot;/&gt;&lt;wsp:rsid wsp:val=&quot;30AF4173&quot;/&gt;&lt;wsp:rsid wsp:val=&quot;310B5FD5&quot;/&gt;&lt;wsp:rsid wsp:val=&quot;311D2B15&quot;/&gt;&lt;wsp:rsid wsp:val=&quot;315219CD&quot;/&gt;&lt;wsp:rsid wsp:val=&quot;315F249D&quot;/&gt;&lt;wsp:rsid wsp:val=&quot;316D30FD&quot;/&gt;&lt;wsp:rsid wsp:val=&quot;319F0B7F&quot;/&gt;&lt;wsp:rsid wsp:val=&quot;31C14EA0&quot;/&gt;&lt;wsp:rsid wsp:val=&quot;31D55C00&quot;/&gt;&lt;wsp:rsid wsp:val=&quot;323B259A&quot;/&gt;&lt;wsp:rsid wsp:val=&quot;32AC391E&quot;/&gt;&lt;wsp:rsid wsp:val=&quot;32BC30CA&quot;/&gt;&lt;wsp:rsid wsp:val=&quot;32BF3C6E&quot;/&gt;&lt;wsp:rsid wsp:val=&quot;3311198C&quot;/&gt;&lt;wsp:rsid wsp:val=&quot;336C5F8A&quot;/&gt;&lt;wsp:rsid wsp:val=&quot;338054FA&quot;/&gt;&lt;wsp:rsid wsp:val=&quot;34946271&quot;/&gt;&lt;wsp:rsid wsp:val=&quot;34BD2FD0&quot;/&gt;&lt;wsp:rsid wsp:val=&quot;34DD4E51&quot;/&gt;&lt;wsp:rsid wsp:val=&quot;34EB3E79&quot;/&gt;&lt;wsp:rsid wsp:val=&quot;34FA55BB&quot;/&gt;&lt;wsp:rsid wsp:val=&quot;351346F4&quot;/&gt;&lt;wsp:rsid wsp:val=&quot;3519120D&quot;/&gt;&lt;wsp:rsid wsp:val=&quot;353841D7&quot;/&gt;&lt;wsp:rsid wsp:val=&quot;35486C97&quot;/&gt;&lt;wsp:rsid wsp:val=&quot;355C3F1D&quot;/&gt;&lt;wsp:rsid wsp:val=&quot;35834A77&quot;/&gt;&lt;wsp:rsid wsp:val=&quot;35883A12&quot;/&gt;&lt;wsp:rsid wsp:val=&quot;358A5BFF&quot;/&gt;&lt;wsp:rsid wsp:val=&quot;35ED1F16&quot;/&gt;&lt;wsp:rsid wsp:val=&quot;36075B09&quot;/&gt;&lt;wsp:rsid wsp:val=&quot;362A1EC0&quot;/&gt;&lt;wsp:rsid wsp:val=&quot;365458FE&quot;/&gt;&lt;wsp:rsid wsp:val=&quot;36684B41&quot;/&gt;&lt;wsp:rsid wsp:val=&quot;36A43B21&quot;/&gt;&lt;wsp:rsid wsp:val=&quot;36D375F8&quot;/&gt;&lt;wsp:rsid wsp:val=&quot;372B084D&quot;/&gt;&lt;wsp:rsid wsp:val=&quot;3749353D&quot;/&gt;&lt;wsp:rsid wsp:val=&quot;379B7C31&quot;/&gt;&lt;wsp:rsid wsp:val=&quot;37F92253&quot;/&gt;&lt;wsp:rsid wsp:val=&quot;381C2332&quot;/&gt;&lt;wsp:rsid wsp:val=&quot;382C7ABC&quot;/&gt;&lt;wsp:rsid wsp:val=&quot;38465704&quot;/&gt;&lt;wsp:rsid wsp:val=&quot;38584DB5&quot;/&gt;&lt;wsp:rsid wsp:val=&quot;38B41DF8&quot;/&gt;&lt;wsp:rsid wsp:val=&quot;38C417D8&quot;/&gt;&lt;wsp:rsid wsp:val=&quot;38FE67F7&quot;/&gt;&lt;wsp:rsid wsp:val=&quot;399F73AA&quot;/&gt;&lt;wsp:rsid wsp:val=&quot;39B02A1B&quot;/&gt;&lt;wsp:rsid wsp:val=&quot;3A18128F&quot;/&gt;&lt;wsp:rsid wsp:val=&quot;3A3C7C74&quot;/&gt;&lt;wsp:rsid wsp:val=&quot;3AA44729&quot;/&gt;&lt;wsp:rsid wsp:val=&quot;3AC25D65&quot;/&gt;&lt;wsp:rsid wsp:val=&quot;3B0A566C&quot;/&gt;&lt;wsp:rsid wsp:val=&quot;3B31440C&quot;/&gt;&lt;wsp:rsid wsp:val=&quot;3B5804F5&quot;/&gt;&lt;wsp:rsid wsp:val=&quot;3B5854EC&quot;/&gt;&lt;wsp:rsid wsp:val=&quot;3B8C734A&quot;/&gt;&lt;wsp:rsid wsp:val=&quot;3B9E1870&quot;/&gt;&lt;wsp:rsid wsp:val=&quot;3BB36AED&quot;/&gt;&lt;wsp:rsid wsp:val=&quot;3C485E31&quot;/&gt;&lt;wsp:rsid wsp:val=&quot;3C7512E3&quot;/&gt;&lt;wsp:rsid wsp:val=&quot;3C7B34FE&quot;/&gt;&lt;wsp:rsid wsp:val=&quot;3D0E12EF&quot;/&gt;&lt;wsp:rsid wsp:val=&quot;3D207F9E&quot;/&gt;&lt;wsp:rsid wsp:val=&quot;3D382D5F&quot;/&gt;&lt;wsp:rsid wsp:val=&quot;3D5075A9&quot;/&gt;&lt;wsp:rsid wsp:val=&quot;3D6325D9&quot;/&gt;&lt;wsp:rsid wsp:val=&quot;3D7F4BBA&quot;/&gt;&lt;wsp:rsid wsp:val=&quot;3DB46C30&quot;/&gt;&lt;wsp:rsid wsp:val=&quot;3DD26605&quot;/&gt;&lt;wsp:rsid wsp:val=&quot;3DDC493F&quot;/&gt;&lt;wsp:rsid wsp:val=&quot;3DE760CC&quot;/&gt;&lt;wsp:rsid wsp:val=&quot;3E44031A&quot;/&gt;&lt;wsp:rsid wsp:val=&quot;3E580EA8&quot;/&gt;&lt;wsp:rsid wsp:val=&quot;3ECC5AC6&quot;/&gt;&lt;wsp:rsid wsp:val=&quot;3ED02C12&quot;/&gt;&lt;wsp:rsid wsp:val=&quot;3ED74360&quot;/&gt;&lt;wsp:rsid wsp:val=&quot;3EDA5492&quot;/&gt;&lt;wsp:rsid wsp:val=&quot;3F007D4B&quot;/&gt;&lt;wsp:rsid wsp:val=&quot;3F182585&quot;/&gt;&lt;wsp:rsid wsp:val=&quot;3F5343BC&quot;/&gt;&lt;wsp:rsid wsp:val=&quot;3F644F7B&quot;/&gt;&lt;wsp:rsid wsp:val=&quot;3F7E33BB&quot;/&gt;&lt;wsp:rsid wsp:val=&quot;401B689D&quot;/&gt;&lt;wsp:rsid wsp:val=&quot;40825AEB&quot;/&gt;&lt;wsp:rsid wsp:val=&quot;40CF7773&quot;/&gt;&lt;wsp:rsid wsp:val=&quot;40FD7EC0&quot;/&gt;&lt;wsp:rsid wsp:val=&quot;411B12F7&quot;/&gt;&lt;wsp:rsid wsp:val=&quot;41422840&quot;/&gt;&lt;wsp:rsid wsp:val=&quot;416E188A&quot;/&gt;&lt;wsp:rsid wsp:val=&quot;417B15AA&quot;/&gt;&lt;wsp:rsid wsp:val=&quot;417E0415&quot;/&gt;&lt;wsp:rsid wsp:val=&quot;423831F0&quot;/&gt;&lt;wsp:rsid wsp:val=&quot;429216FA&quot;/&gt;&lt;wsp:rsid wsp:val=&quot;43055AD9&quot;/&gt;&lt;wsp:rsid wsp:val=&quot;430E112E&quot;/&gt;&lt;wsp:rsid wsp:val=&quot;43112748&quot;/&gt;&lt;wsp:rsid wsp:val=&quot;43436ACC&quot;/&gt;&lt;wsp:rsid wsp:val=&quot;436D3C92&quot;/&gt;&lt;wsp:rsid wsp:val=&quot;439C7691&quot;/&gt;&lt;wsp:rsid wsp:val=&quot;43AB7A52&quot;/&gt;&lt;wsp:rsid wsp:val=&quot;440776FB&quot;/&gt;&lt;wsp:rsid wsp:val=&quot;44745A3B&quot;/&gt;&lt;wsp:rsid wsp:val=&quot;447F5249&quot;/&gt;&lt;wsp:rsid wsp:val=&quot;449B64FE&quot;/&gt;&lt;wsp:rsid wsp:val=&quot;45017E7B&quot;/&gt;&lt;wsp:rsid wsp:val=&quot;45432443&quot;/&gt;&lt;wsp:rsid wsp:val=&quot;4566258A&quot;/&gt;&lt;wsp:rsid wsp:val=&quot;45A7667A&quot;/&gt;&lt;wsp:rsid wsp:val=&quot;46001E6D&quot;/&gt;&lt;wsp:rsid wsp:val=&quot;466407AF&quot;/&gt;&lt;wsp:rsid wsp:val=&quot;46672832&quot;/&gt;&lt;wsp:rsid wsp:val=&quot;467A6F9A&quot;/&gt;&lt;wsp:rsid wsp:val=&quot;469836B8&quot;/&gt;&lt;wsp:rsid wsp:val=&quot;471F15AF&quot;/&gt;&lt;wsp:rsid wsp:val=&quot;473B5C6E&quot;/&gt;&lt;wsp:rsid wsp:val=&quot;47466E83&quot;/&gt;&lt;wsp:rsid wsp:val=&quot;47C03B9D&quot;/&gt;&lt;wsp:rsid wsp:val=&quot;47C30CF6&quot;/&gt;&lt;wsp:rsid wsp:val=&quot;487A59AA&quot;/&gt;&lt;wsp:rsid wsp:val=&quot;48B774B3&quot;/&gt;&lt;wsp:rsid wsp:val=&quot;48EF2896&quot;/&gt;&lt;wsp:rsid wsp:val=&quot;49760999&quot;/&gt;&lt;wsp:rsid wsp:val=&quot;49C50371&quot;/&gt;&lt;wsp:rsid wsp:val=&quot;49D12D4B&quot;/&gt;&lt;wsp:rsid wsp:val=&quot;4A4D09F8&quot;/&gt;&lt;wsp:rsid wsp:val=&quot;4AA417F9&quot;/&gt;&lt;wsp:rsid wsp:val=&quot;4B140B40&quot;/&gt;&lt;wsp:rsid wsp:val=&quot;4B445055&quot;/&gt;&lt;wsp:rsid wsp:val=&quot;4B7D29BB&quot;/&gt;&lt;wsp:rsid wsp:val=&quot;4B7F2997&quot;/&gt;&lt;wsp:rsid wsp:val=&quot;4BB5435D&quot;/&gt;&lt;wsp:rsid wsp:val=&quot;4BC673FF&quot;/&gt;&lt;wsp:rsid wsp:val=&quot;4BDA217B&quot;/&gt;&lt;wsp:rsid wsp:val=&quot;4BFB0E97&quot;/&gt;&lt;wsp:rsid wsp:val=&quot;4BFD74C7&quot;/&gt;&lt;wsp:rsid wsp:val=&quot;4C273332&quot;/&gt;&lt;wsp:rsid wsp:val=&quot;4C3262FC&quot;/&gt;&lt;wsp:rsid wsp:val=&quot;4C3741EE&quot;/&gt;&lt;wsp:rsid wsp:val=&quot;4CFA2748&quot;/&gt;&lt;wsp:rsid wsp:val=&quot;4D00145F&quot;/&gt;&lt;wsp:rsid wsp:val=&quot;4D003D1C&quot;/&gt;&lt;wsp:rsid wsp:val=&quot;4D2A5855&quot;/&gt;&lt;wsp:rsid wsp:val=&quot;4D582DCC&quot;/&gt;&lt;wsp:rsid wsp:val=&quot;4DBE472C&quot;/&gt;&lt;wsp:rsid wsp:val=&quot;4E1C0F24&quot;/&gt;&lt;wsp:rsid wsp:val=&quot;4E6B58B0&quot;/&gt;&lt;wsp:rsid wsp:val=&quot;4E9A0482&quot;/&gt;&lt;wsp:rsid wsp:val=&quot;4ED51E81&quot;/&gt;&lt;wsp:rsid wsp:val=&quot;4EE9006A&quot;/&gt;&lt;wsp:rsid wsp:val=&quot;4EF03E68&quot;/&gt;&lt;wsp:rsid wsp:val=&quot;4F755B2E&quot;/&gt;&lt;wsp:rsid wsp:val=&quot;4FD76624&quot;/&gt;&lt;wsp:rsid wsp:val=&quot;4FFA26B4&quot;/&gt;&lt;wsp:rsid wsp:val=&quot;509F3F21&quot;/&gt;&lt;wsp:rsid wsp:val=&quot;50C173D2&quot;/&gt;&lt;wsp:rsid wsp:val=&quot;50CA5E5B&quot;/&gt;&lt;wsp:rsid wsp:val=&quot;50CB7566&quot;/&gt;&lt;wsp:rsid wsp:val=&quot;50EE73E8&quot;/&gt;&lt;wsp:rsid wsp:val=&quot;511014BB&quot;/&gt;&lt;wsp:rsid wsp:val=&quot;51401FC2&quot;/&gt;&lt;wsp:rsid wsp:val=&quot;517002F8&quot;/&gt;&lt;wsp:rsid wsp:val=&quot;51E55159&quot;/&gt;&lt;wsp:rsid wsp:val=&quot;51F81226&quot;/&gt;&lt;wsp:rsid wsp:val=&quot;520B46A1&quot;/&gt;&lt;wsp:rsid wsp:val=&quot;52AD6228&quot;/&gt;&lt;wsp:rsid wsp:val=&quot;52CA710B&quot;/&gt;&lt;wsp:rsid wsp:val=&quot;52CF0A0F&quot;/&gt;&lt;wsp:rsid wsp:val=&quot;53A20C6E&quot;/&gt;&lt;wsp:rsid wsp:val=&quot;53AB3DC5&quot;/&gt;&lt;wsp:rsid wsp:val=&quot;53AD2E17&quot;/&gt;&lt;wsp:rsid wsp:val=&quot;53C448E2&quot;/&gt;&lt;wsp:rsid wsp:val=&quot;53D548D5&quot;/&gt;&lt;wsp:rsid wsp:val=&quot;54051DA6&quot;/&gt;&lt;wsp:rsid wsp:val=&quot;541D41A2&quot;/&gt;&lt;wsp:rsid wsp:val=&quot;54512DC3&quot;/&gt;&lt;wsp:rsid wsp:val=&quot;54582FEA&quot;/&gt;&lt;wsp:rsid wsp:val=&quot;549148A6&quot;/&gt;&lt;wsp:rsid wsp:val=&quot;54D91FBF&quot;/&gt;&lt;wsp:rsid wsp:val=&quot;55B26A55&quot;/&gt;&lt;wsp:rsid wsp:val=&quot;55CC70FB&quot;/&gt;&lt;wsp:rsid wsp:val=&quot;56093F89&quot;/&gt;&lt;wsp:rsid wsp:val=&quot;56670BDD&quot;/&gt;&lt;wsp:rsid wsp:val=&quot;56A164E2&quot;/&gt;&lt;wsp:rsid wsp:val=&quot;57583496&quot;/&gt;&lt;wsp:rsid wsp:val=&quot;57E01BB4&quot;/&gt;&lt;wsp:rsid wsp:val=&quot;580F0CE9&quot;/&gt;&lt;wsp:rsid wsp:val=&quot;587E52D4&quot;/&gt;&lt;wsp:rsid wsp:val=&quot;58A960D0&quot;/&gt;&lt;wsp:rsid wsp:val=&quot;58F545CC&quot;/&gt;&lt;wsp:rsid wsp:val=&quot;59540FA5&quot;/&gt;&lt;wsp:rsid wsp:val=&quot;597957F9&quot;/&gt;&lt;wsp:rsid wsp:val=&quot;59F5591E&quot;/&gt;&lt;wsp:rsid wsp:val=&quot;5A094BEC&quot;/&gt;&lt;wsp:rsid wsp:val=&quot;5A0B21E8&quot;/&gt;&lt;wsp:rsid wsp:val=&quot;5A9C50D3&quot;/&gt;&lt;wsp:rsid wsp:val=&quot;5AB30BD1&quot;/&gt;&lt;wsp:rsid wsp:val=&quot;5AD04BDD&quot;/&gt;&lt;wsp:rsid wsp:val=&quot;5B0131C2&quot;/&gt;&lt;wsp:rsid wsp:val=&quot;5B3D1AC1&quot;/&gt;&lt;wsp:rsid wsp:val=&quot;5B476E60&quot;/&gt;&lt;wsp:rsid wsp:val=&quot;5BB80339&quot;/&gt;&lt;wsp:rsid wsp:val=&quot;5BCF3828&quot;/&gt;&lt;wsp:rsid wsp:val=&quot;5BE403BB&quot;/&gt;&lt;wsp:rsid wsp:val=&quot;5C3A3F42&quot;/&gt;&lt;wsp:rsid wsp:val=&quot;5C7B06A4&quot;/&gt;&lt;wsp:rsid wsp:val=&quot;5C9E53B7&quot;/&gt;&lt;wsp:rsid wsp:val=&quot;5CA36DA9&quot;/&gt;&lt;wsp:rsid wsp:val=&quot;5CC7559B&quot;/&gt;&lt;wsp:rsid wsp:val=&quot;5D3B50BF&quot;/&gt;&lt;wsp:rsid wsp:val=&quot;5DA314B7&quot;/&gt;&lt;wsp:rsid wsp:val=&quot;5DA94711&quot;/&gt;&lt;wsp:rsid wsp:val=&quot;5DDC1E5B&quot;/&gt;&lt;wsp:rsid wsp:val=&quot;5E0724EB&quot;/&gt;&lt;wsp:rsid wsp:val=&quot;5E17771B&quot;/&gt;&lt;wsp:rsid wsp:val=&quot;5E3E4546&quot;/&gt;&lt;wsp:rsid wsp:val=&quot;5E644BF1&quot;/&gt;&lt;wsp:rsid wsp:val=&quot;5E647BC9&quot;/&gt;&lt;wsp:rsid wsp:val=&quot;5EA36983&quot;/&gt;&lt;wsp:rsid wsp:val=&quot;5F2B11D8&quot;/&gt;&lt;wsp:rsid wsp:val=&quot;5F5E515F&quot;/&gt;&lt;wsp:rsid wsp:val=&quot;5F7E505D&quot;/&gt;&lt;wsp:rsid wsp:val=&quot;5F813C73&quot;/&gt;&lt;wsp:rsid wsp:val=&quot;5FAA4432&quot;/&gt;&lt;wsp:rsid wsp:val=&quot;5FAD5533&quot;/&gt;&lt;wsp:rsid wsp:val=&quot;606158C5&quot;/&gt;&lt;wsp:rsid wsp:val=&quot;608820E0&quot;/&gt;&lt;wsp:rsid wsp:val=&quot;60DF7A12&quot;/&gt;&lt;wsp:rsid wsp:val=&quot;60F45F94&quot;/&gt;&lt;wsp:rsid wsp:val=&quot;61270C6F&quot;/&gt;&lt;wsp:rsid wsp:val=&quot;61310078&quot;/&gt;&lt;wsp:rsid wsp:val=&quot;619665AF&quot;/&gt;&lt;wsp:rsid wsp:val=&quot;61F45CF9&quot;/&gt;&lt;wsp:rsid wsp:val=&quot;629E5E0C&quot;/&gt;&lt;wsp:rsid wsp:val=&quot;62CE2EDB&quot;/&gt;&lt;wsp:rsid wsp:val=&quot;631F2549&quot;/&gt;&lt;wsp:rsid wsp:val=&quot;633609E5&quot;/&gt;&lt;wsp:rsid wsp:val=&quot;638D0E29&quot;/&gt;&lt;wsp:rsid wsp:val=&quot;63AB4987&quot;/&gt;&lt;wsp:rsid wsp:val=&quot;63FA301D&quot;/&gt;&lt;wsp:rsid wsp:val=&quot;64092E5D&quot;/&gt;&lt;wsp:rsid wsp:val=&quot;652C341E&quot;/&gt;&lt;wsp:rsid wsp:val=&quot;65384CCA&quot;/&gt;&lt;wsp:rsid wsp:val=&quot;653A2AE4&quot;/&gt;&lt;wsp:rsid wsp:val=&quot;657B5034&quot;/&gt;&lt;wsp:rsid wsp:val=&quot;658F3C14&quot;/&gt;&lt;wsp:rsid wsp:val=&quot;65D87FE6&quot;/&gt;&lt;wsp:rsid wsp:val=&quot;664311A9&quot;/&gt;&lt;wsp:rsid wsp:val=&quot;66434DA6&quot;/&gt;&lt;wsp:rsid wsp:val=&quot;66737D43&quot;/&gt;&lt;wsp:rsid wsp:val=&quot;66952EFD&quot;/&gt;&lt;wsp:rsid wsp:val=&quot;66B56A0C&quot;/&gt;&lt;wsp:rsid wsp:val=&quot;66B844F2&quot;/&gt;&lt;wsp:rsid wsp:val=&quot;66D832DB&quot;/&gt;&lt;wsp:rsid wsp:val=&quot;67051C76&quot;/&gt;&lt;wsp:rsid wsp:val=&quot;671757FB&quot;/&gt;&lt;wsp:rsid wsp:val=&quot;67426194&quot;/&gt;&lt;wsp:rsid wsp:val=&quot;67E92F04&quot;/&gt;&lt;wsp:rsid wsp:val=&quot;681C0938&quot;/&gt;&lt;wsp:rsid wsp:val=&quot;6835040A&quot;/&gt;&lt;wsp:rsid wsp:val=&quot;683800F1&quot;/&gt;&lt;wsp:rsid wsp:val=&quot;68B80295&quot;/&gt;&lt;wsp:rsid wsp:val=&quot;68FE10FE&quot;/&gt;&lt;wsp:rsid wsp:val=&quot;69266CE2&quot;/&gt;&lt;wsp:rsid wsp:val=&quot;694A1C73&quot;/&gt;&lt;wsp:rsid wsp:val=&quot;6AA0560B&quot;/&gt;&lt;wsp:rsid wsp:val=&quot;6AAD5F2D&quot;/&gt;&lt;wsp:rsid wsp:val=&quot;6ABE0C0B&quot;/&gt;&lt;wsp:rsid wsp:val=&quot;6AC31B73&quot;/&gt;&lt;wsp:rsid wsp:val=&quot;6AD549D7&quot;/&gt;&lt;wsp:rsid wsp:val=&quot;6AD555CA&quot;/&gt;&lt;wsp:rsid wsp:val=&quot;6B2A2489&quot;/&gt;&lt;wsp:rsid wsp:val=&quot;6B3866B4&quot;/&gt;&lt;wsp:rsid wsp:val=&quot;6B461E08&quot;/&gt;&lt;wsp:rsid wsp:val=&quot;6B7117BE&quot;/&gt;&lt;wsp:rsid wsp:val=&quot;6B71607E&quot;/&gt;&lt;wsp:rsid wsp:val=&quot;6B9562DE&quot;/&gt;&lt;wsp:rsid wsp:val=&quot;6C0E4475&quot;/&gt;&lt;wsp:rsid wsp:val=&quot;6C1A4133&quot;/&gt;&lt;wsp:rsid wsp:val=&quot;6C466122&quot;/&gt;&lt;wsp:rsid wsp:val=&quot;6C677AE5&quot;/&gt;&lt;wsp:rsid wsp:val=&quot;6C7F0E78&quot;/&gt;&lt;wsp:rsid wsp:val=&quot;6C8B22A0&quot;/&gt;&lt;wsp:rsid wsp:val=&quot;6C925DC8&quot;/&gt;&lt;wsp:rsid wsp:val=&quot;6C9F58C2&quot;/&gt;&lt;wsp:rsid wsp:val=&quot;6D5A42D3&quot;/&gt;&lt;wsp:rsid wsp:val=&quot;6DA06B02&quot;/&gt;&lt;wsp:rsid wsp:val=&quot;6DF87DCD&quot;/&gt;&lt;wsp:rsid wsp:val=&quot;6DFB791B&quot;/&gt;&lt;wsp:rsid wsp:val=&quot;6EB7390A&quot;/&gt;&lt;wsp:rsid wsp:val=&quot;6F7F38FA&quot;/&gt;&lt;wsp:rsid wsp:val=&quot;6FC12E4E&quot;/&gt;&lt;wsp:rsid wsp:val=&quot;6FC92AA4&quot;/&gt;&lt;wsp:rsid wsp:val=&quot;6FE91D5B&quot;/&gt;&lt;wsp:rsid wsp:val=&quot;70181B4E&quot;/&gt;&lt;wsp:rsid wsp:val=&quot;7092462D&quot;/&gt;&lt;wsp:rsid wsp:val=&quot;70EC6671&quot;/&gt;&lt;wsp:rsid wsp:val=&quot;710F0DDE&quot;/&gt;&lt;wsp:rsid wsp:val=&quot;718F6FC2&quot;/&gt;&lt;wsp:rsid wsp:val=&quot;71CC1122&quot;/&gt;&lt;wsp:rsid wsp:val=&quot;71CF1341&quot;/&gt;&lt;wsp:rsid wsp:val=&quot;72544C2A&quot;/&gt;&lt;wsp:rsid wsp:val=&quot;726A713B&quot;/&gt;&lt;wsp:rsid wsp:val=&quot;72C801E2&quot;/&gt;&lt;wsp:rsid wsp:val=&quot;72CA4378&quot;/&gt;&lt;wsp:rsid wsp:val=&quot;733019B3&quot;/&gt;&lt;wsp:rsid wsp:val=&quot;73641D00&quot;/&gt;&lt;wsp:rsid wsp:val=&quot;74311DB0&quot;/&gt;&lt;wsp:rsid wsp:val=&quot;749E60E3&quot;/&gt;&lt;wsp:rsid wsp:val=&quot;74F16046&quot;/&gt;&lt;wsp:rsid wsp:val=&quot;74F2554E&quot;/&gt;&lt;wsp:rsid wsp:val=&quot;74F5668F&quot;/&gt;&lt;wsp:rsid wsp:val=&quot;74FC55D9&quot;/&gt;&lt;wsp:rsid wsp:val=&quot;752C2EBD&quot;/&gt;&lt;wsp:rsid wsp:val=&quot;75456784&quot;/&gt;&lt;wsp:rsid wsp:val=&quot;754E6DDF&quot;/&gt;&lt;wsp:rsid wsp:val=&quot;759E0C60&quot;/&gt;&lt;wsp:rsid wsp:val=&quot;75C533B0&quot;/&gt;&lt;wsp:rsid wsp:val=&quot;764D41C8&quot;/&gt;&lt;wsp:rsid wsp:val=&quot;76A54F28&quot;/&gt;&lt;wsp:rsid wsp:val=&quot;76E23055&quot;/&gt;&lt;wsp:rsid wsp:val=&quot;771D34AB&quot;/&gt;&lt;wsp:rsid wsp:val=&quot;774D0511&quot;/&gt;&lt;wsp:rsid wsp:val=&quot;775479C2&quot;/&gt;&lt;wsp:rsid wsp:val=&quot;77A863F6&quot;/&gt;&lt;wsp:rsid wsp:val=&quot;77DD7A37&quot;/&gt;&lt;wsp:rsid wsp:val=&quot;781F072F&quot;/&gt;&lt;wsp:rsid wsp:val=&quot;78285678&quot;/&gt;&lt;wsp:rsid wsp:val=&quot;783F569F&quot;/&gt;&lt;wsp:rsid wsp:val=&quot;786C084E&quot;/&gt;&lt;wsp:rsid wsp:val=&quot;78942DE7&quot;/&gt;&lt;wsp:rsid wsp:val=&quot;78E631E1&quot;/&gt;&lt;wsp:rsid wsp:val=&quot;793678F5&quot;/&gt;&lt;wsp:rsid wsp:val=&quot;793E2473&quot;/&gt;&lt;wsp:rsid wsp:val=&quot;79947543&quot;/&gt;&lt;wsp:rsid wsp:val=&quot;79E905E2&quot;/&gt;&lt;wsp:rsid wsp:val=&quot;7A3C3CE4&quot;/&gt;&lt;wsp:rsid wsp:val=&quot;7A58558D&quot;/&gt;&lt;wsp:rsid wsp:val=&quot;7A7137FA&quot;/&gt;&lt;wsp:rsid wsp:val=&quot;7A9447D4&quot;/&gt;&lt;wsp:rsid wsp:val=&quot;7AA507F5&quot;/&gt;&lt;wsp:rsid wsp:val=&quot;7AC566F7&quot;/&gt;&lt;wsp:rsid wsp:val=&quot;7ACC0C9D&quot;/&gt;&lt;wsp:rsid wsp:val=&quot;7ACD155D&quot;/&gt;&lt;wsp:rsid wsp:val=&quot;7AF47B32&quot;/&gt;&lt;wsp:rsid wsp:val=&quot;7BCC16E7&quot;/&gt;&lt;wsp:rsid wsp:val=&quot;7BEB06F1&quot;/&gt;&lt;wsp:rsid wsp:val=&quot;7BFE3E11&quot;/&gt;&lt;wsp:rsid wsp:val=&quot;7C3A1D47&quot;/&gt;&lt;wsp:rsid wsp:val=&quot;7C5E72D4&quot;/&gt;&lt;wsp:rsid wsp:val=&quot;7C7F312A&quot;/&gt;&lt;wsp:rsid wsp:val=&quot;7CB84C4A&quot;/&gt;&lt;wsp:rsid wsp:val=&quot;7CEA76E4&quot;/&gt;&lt;wsp:rsid wsp:val=&quot;7D07624D&quot;/&gt;&lt;wsp:rsid wsp:val=&quot;7D135B79&quot;/&gt;&lt;wsp:rsid wsp:val=&quot;7D4566D5&quot;/&gt;&lt;wsp:rsid wsp:val=&quot;7E1032FC&quot;/&gt;&lt;wsp:rsid wsp:val=&quot;7E2D542A&quot;/&gt;&lt;wsp:rsid wsp:val=&quot;7E44294A&quot;/&gt;&lt;wsp:rsid wsp:val=&quot;7E7A6BBC&quot;/&gt;&lt;wsp:rsid wsp:val=&quot;7F916522&quot;/&gt;&lt;wsp:rsid wsp:val=&quot;7FCB5EC5&quot;/&gt;&lt;/wsp:rsids&gt;&lt;/w:docPr&gt;&lt;w:body&gt;&lt;wx:sect&gt;&lt;w:p wsp:rsidR=&quot;00000000&quot; wsp:rsidRDefault=&quot;009663C8&quot; wsp:rsidP=&quot;009663C8&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K&lt;/m:t&gt;&lt;/m:r&gt;&lt;/m:e&gt;&lt;m:sub&gt;&lt;m:r&gt;&lt;w:rPr&gt;&lt;w:rFonts w:ascii=&quot;Cambria Math&quot;/&gt;&lt;wx:font wx:val=&quot;Cambria Math&quot;/&gt;&lt;w:i/&gt;&lt;/w:rPr&gt;&lt;m:t&gt;sam&lt;/m:t&gt;&lt;/m: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r&gt;&lt;m:rPr&gt;&lt;m:sty m:val=&quot;p&quot;/&gt;&lt;/m:rPr&gt;&lt;w:rPr&gt;&lt;w:rFonts w:ascii=&quot;Cambria Math&quot;/&gt;&lt;wx:font wx:val=&quot;Cambria Math&quot;/&gt;&lt;/w:rPr&gt;&lt;m:t&gt;2&lt;/m:t&gt;&lt;/m:r&gt;&lt;m:ctrlPr&gt;&lt;w:rPr&gt;&lt;w:rFonts w:ascii=&quot;Cambria Math&quot;/&gt;&lt;wx:font wx:val=&quot;Cambria Math&quot;/&gt;&lt;/w:rPr&gt;&lt;/m:ctrlPr&gt;&lt;/m:sub&gt;&lt;/m:sSub&gt;&lt;/m:num&gt;&lt;m:den&gt;&lt;m:sSub&gt;&lt;m:sSubPr&gt;&lt;m:ctrlPr&gt;&lt;w:rPr&gt;&lt;w:rFonts w:ascii=&quot;Cambria Math&quot;/&gt;&lt;wx:font wx:val=&quot;Cambria Math&quot;/&gt;&lt;w:i/&gt;&lt;/w:rPr&gt;&lt;/m:ctrlPr&gt;&lt;/m:sSubPr&gt;&lt;m:e&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ctrlPr&gt;&lt;w:rPr&gt;&lt;w:rFonts w:ascii=&quot;Cambria Math&quot;/&gt;&lt;wx:font wx:val=&quot;Cambria Math&quot;/&gt;&lt;/w:rPr&gt;&lt;/m:ctrlPr&gt;&lt;/m:sub&gt;&lt;/m:sSub&gt;&lt;/m:e&gt;&lt;m:sub&gt;&lt;m:r&gt;&lt;w:rPr&gt;&lt;w:rFonts w:ascii=&quot;Cambria Math&quot;/&gt;&lt;wx:font wx:val=&quot;Cambria Math&quot;/&gt;&lt;w:i/&gt;&lt;/w:rPr&gt;&lt;m:t&gt;1&lt;/m:t&gt;&lt;/m:r&gt;&lt;/m:sub&gt;&lt;/m:sSub&gt;&lt;m:ctrlPr&gt;&lt;w:rPr&gt;&lt;w:rFonts w:ascii=&quot;Cambria Math&quot; w:h-ansi=&quot;Cambria Math&quot;/&gt;&lt;wx:font wx:val=&quot;Cambria Math&quot;/&gt;&lt;w:i/&gt;&lt;/w:rPr&gt;&lt;/m:ctrlPr&gt;&lt;/m:den&gt;&lt;/m:f&gt;&lt;m:r&gt;&lt;w:rPr&gt;&lt;w:rFonts w:ascii=&quot;Cambria Math&quot;/&gt;&lt;w:i/&gt;&lt;/w:rPr&gt;&lt;m:t&gt;×&lt;/m:t&gt;&lt;/m:r&gt;&lt;m:r&gt;&lt;w:rPr&gt;&lt;w:rFonts w:ascii=&quot;Cambria Math&quot;/&gt;&lt;wx:font wx:val=&quot;Cambria Math&quot;/&gt;&lt;w:i/&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6"/>
          <w:highlight w:val="none"/>
        </w:rPr>
        <w:pict>
          <v:shape id="_x0000_i1037" o:spt="75" type="#_x0000_t75" style="height:31.5pt;width:84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55&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0B2E55&quot;&gt;&lt;m:oMathPara&gt;&lt;m:oMath&gt;&lt;m:sSub&gt;&lt;m:sSubPr&gt;&lt;m:ctrlPr&gt;&lt;aml:annotation aml:id=&quot;0&quot; w:type=&quot;Word.Insertion&quot; aml:author=&quot;liu yuzhen&quot; aml:createdate=&quot;2021-06-27T17:21:00Z&quot;&gt;&lt;aml:content&gt;&lt;w:rPr&gt;&lt;w:rFonts w:ascii=&quot;Cambria Math&quot; w:fareast=&quot;黑体&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21:00Z&quot;&gt;&lt;aml:content&gt;&lt;m:r&gt;&lt;w:rPr&gt;&lt;w:rFonts w:ascii=&quot;Cambria Math&quot; w:fareast=&quot;黑体&quot;/&gt;&lt;wx:font wx:val=&quot;Cambria Math&quot;/&gt;&lt;w:i/&gt;&lt;w:sz-cs w:val=&quot;20&quot;/&gt;&lt;/w:rPr&gt;&lt;m:t&gt;K&lt;/m:t&gt;&lt;/m:r&gt;&lt;/aml:content&gt;&lt;/aml:annotation&gt;&lt;/m:e&gt;&lt;m:sub&gt;&lt;aml:annotation aml:id=&quot;2&quot; w:type=&quot;Word.Insertion&quot; aml:author=&quot;liu yuzhen&quot; aml:createdate=&quot;2021-06-27T17:21:00Z&quot;&gt;&lt;aml:content&gt;&lt;m:r&gt;&lt;w:rPr&gt;&lt;w:rFonts w:ascii=&quot;Cambria Math&quot; w:fareast=&quot;黑体&quot;/&gt;&lt;wx:font wx:val=&quot;Cambria Math&quot;/&gt;&lt;w:i/&gt;&lt;w:sz-cs w:val=&quot;20&quot;/&gt;&lt;/w:rPr&gt;&lt;m:t&gt;sam&lt;/m:t&gt;&lt;/m:r&gt;&lt;/aml:content&gt;&lt;/aml:annotation&gt;&lt;/m:sub&gt;&lt;/m:sSub&gt;&lt;aml:annotation aml:id=&quot;3&quot; w:type=&quot;Word.Insertion&quot; aml:author=&quot;liu yuzhen&quot; aml:createdate=&quot;2021-06-27T17:21:00Z&quot;&gt;&lt;aml:content&gt;&lt;m:r&gt;&lt;w:rPr&gt;&lt;w:rFonts w:ascii=&quot;Cambria Math&quot; w:fareast=&quot;黑体&quot;/&gt;&lt;wx:font wx:val=&quot;Cambria Math&quot;/&gt;&lt;w:i/&gt;&lt;w:sz-cs w:val=&quot;20&quot;/&gt;&lt;/w:rPr&gt;&lt;m:t&gt;=&lt;/m:t&gt;&lt;/m:r&gt;&lt;/aml:content&gt;&lt;/aml:annotation&gt;&lt;m:f&gt;&lt;m:fPr&gt;&lt;m:ctrlPr&gt;&lt;aml:annotation aml:id=&quot;4&quot; w:type=&quot;Word.Insertion&quot; aml:author=&quot;liu yuzhen&quot; aml:createdate=&quot;2021-06-27T17:44:00Z&quot;&gt;&lt;aml:content&gt;&lt;w:rPr&gt;&lt;w:rFonts w:ascii=&quot;Cambria Math&quot; w:fareast=&quot;黑体&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7&quot; w:type=&quot;Word.Insertion&quot; aml:author=&quot;liu yuzhen&quot; aml:createdate=&quot;2021-06-27T17:45:00Z&quot;&gt;&lt;aml:content&gt;&lt;m:r&gt;&lt;w:rPr&gt;&lt;w:rFonts w:ascii=&quot;Cambria Math&quot; w:fareast=&quot;黑体&quot;/&gt;&lt;wx:font wx:val=&quot;Cambria Math&quot;/&gt;&lt;w:i/&gt;&lt;w:sz-cs w:val=&quot;20&quot;/&gt;&lt;/w:rPr&gt;&lt;m:t&gt;2&lt;/m:t&gt;&lt;/m:r&gt;&lt;/aml:content&gt;&lt;/aml:annotation&gt;&lt;/m:sub&gt;&lt;/m:sSub&gt;&lt;/m:num&gt;&lt;m:den&gt;&lt;m:sSub&gt;&lt;m:sSubPr&gt;&lt;m:ctrlPr&gt;&lt;aml:annotation aml:id=&quot;8&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9&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10&quot; w:type=&quot;Word.Insertion&quot; aml:author=&quot;liu yuzhen&quot; aml:createdate=&quot;2021-06-27T17:45:00Z&quot;&gt;&lt;aml:content&gt;&lt;m:r&gt;&lt;w:rPr&gt;&lt;w:rFonts w:ascii=&quot;Cambria Math&quot; w:fareast=&quot;黑体&quot;/&gt;&lt;wx:font wx:val=&quot;Cambria Math&quot;/&gt;&lt;w:i/&gt;&lt;w:sz-cs w:val=&quot;20&quot;/&gt;&lt;/w:rPr&gt;&lt;m:t&gt;1&lt;/m:t&gt;&lt;/m:r&gt;&lt;/aml:content&gt;&lt;/aml:annotation&gt;&lt;/m:sub&gt;&lt;/m:sSub&gt;&lt;/m:den&gt;&lt;/m:f&gt;&lt;aml:annotation aml:id=&quot;11&quot; w:type=&quot;Word.Insertion&quot; aml:author=&quot;liu yuzhen&quot; aml:createdate=&quot;2021-06-27T17:21:00Z&quot;&gt;&lt;aml:content&gt;&lt;m:r&gt;&lt;w:rPr&gt;&lt;w:rFonts w:ascii=&quot;Cambria Math&quot; w:fareast=&quot;黑体&quot;/&gt;&lt;w:i/&gt;&lt;w:sz-cs w:val=&quot;20&quot;/&gt;&lt;/w:rPr&gt;&lt;m:t&gt;×&lt;/m:t&gt;&lt;/m:r&gt;&lt;m:r&gt;&lt;w:rPr&gt;&lt;w:rFonts w:ascii=&quot;Cambria Math&quot; w:fareast=&quot;黑体&quot;/&gt;&lt;wx:font wx:val=&quot;Cambria Math&quot;/&gt;&lt;w:i/&gt;&lt;w:sz-cs w:val=&quot;20&quot;/&gt;&lt;/w:rPr&gt;&lt;m:t&gt;100%&lt;/m:t&gt;&lt;/m:r&gt;&lt;/aml:content&gt;&lt;/aml:annotation&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9"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t xml:space="preserve">                   </w:t>
      </w:r>
      <w:r>
        <w:rPr>
          <w:rFonts w:hint="default" w:ascii="Times New Roman" w:hAnsi="Times New Roman" w:eastAsia="黑体" w:cs="Times New Roman"/>
          <w:color w:val="000000"/>
          <w:szCs w:val="20"/>
          <w:highlight w:val="none"/>
          <w:lang w:val="en-US" w:eastAsia="zh-CN"/>
        </w:rPr>
        <w:t xml:space="preserve">        </w:t>
      </w:r>
      <w:r>
        <w:rPr>
          <w:rFonts w:hint="default" w:ascii="Times New Roman" w:hAnsi="Times New Roman" w:eastAsia="黑体" w:cs="Times New Roman"/>
          <w:color w:val="000000"/>
          <w:szCs w:val="20"/>
          <w:highlight w:val="none"/>
        </w:rPr>
        <w:t xml:space="preserve">          </w:t>
      </w:r>
      <w:r>
        <w:rPr>
          <w:rFonts w:hint="default" w:ascii="Times New Roman" w:hAnsi="Times New Roman" w:cs="Times New Roman"/>
          <w:color w:val="000000"/>
          <w:highlight w:val="none"/>
        </w:rPr>
        <w:t>（2）</w:t>
      </w:r>
    </w:p>
    <w:p w14:paraId="3661FE5C">
      <w:pPr>
        <w:spacing w:line="360" w:lineRule="exact"/>
        <w:rPr>
          <w:rFonts w:hint="default" w:ascii="Times New Roman" w:hAnsi="Times New Roman" w:cs="Times New Roman"/>
          <w:color w:val="000000"/>
          <w:highlight w:val="none"/>
        </w:rPr>
      </w:pPr>
      <w:r>
        <w:rPr>
          <w:rFonts w:hint="default" w:ascii="Times New Roman" w:hAnsi="Times New Roman" w:cs="Times New Roman"/>
          <w:bCs/>
          <w:color w:val="000000"/>
          <w:szCs w:val="21"/>
          <w:highlight w:val="none"/>
        </w:rPr>
        <w:t>式中：</w:t>
      </w:r>
      <w:r>
        <w:rPr>
          <w:rFonts w:hint="default" w:ascii="Times New Roman" w:hAnsi="Times New Roman" w:cs="Times New Roman"/>
          <w:color w:val="000000"/>
          <w:position w:val="-10"/>
          <w:szCs w:val="20"/>
          <w:highlight w:val="none"/>
        </w:rPr>
        <w:object>
          <v:shape id="_x0000_i1038"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38" DrawAspect="Content" ObjectID="_1468075734" r:id="rId37">
            <o:LockedField>false</o:LockedField>
          </o:OLEObject>
        </w:object>
      </w:r>
      <w:r>
        <w:rPr>
          <w:rFonts w:hint="default" w:ascii="Times New Roman" w:hAnsi="Times New Roman" w:cs="Times New Roman"/>
          <w:color w:val="000000"/>
          <w:szCs w:val="21"/>
          <w:highlight w:val="none"/>
        </w:rPr>
        <w:t>——标准溶液</w:t>
      </w:r>
      <w:r>
        <w:rPr>
          <w:rFonts w:hint="default" w:ascii="Times New Roman" w:hAnsi="Times New Roman" w:cs="Times New Roman"/>
          <w:color w:val="000000"/>
          <w:highlight w:val="none"/>
        </w:rPr>
        <w:t>中目标化合物定性离子的相对丰度，%；</w:t>
      </w:r>
    </w:p>
    <w:p w14:paraId="15D6CF9E">
      <w:pPr>
        <w:tabs>
          <w:tab w:val="left" w:pos="1050"/>
        </w:tabs>
        <w:spacing w:line="360" w:lineRule="exact"/>
        <w:rPr>
          <w:rFonts w:hint="default" w:ascii="Times New Roman" w:hAnsi="Times New Roman" w:cs="Times New Roman"/>
          <w:color w:val="000000"/>
          <w:highlight w:val="none"/>
        </w:rPr>
      </w:pPr>
      <w:r>
        <w:rPr>
          <w:rFonts w:hint="default" w:ascii="Times New Roman" w:hAnsi="Times New Roman" w:cs="Times New Roman"/>
          <w:color w:val="000000"/>
          <w:position w:val="-12"/>
          <w:szCs w:val="20"/>
          <w:highlight w:val="none"/>
          <w:lang w:val="en-US" w:eastAsia="zh-CN"/>
        </w:rPr>
        <w:tab/>
      </w:r>
      <w:r>
        <w:rPr>
          <w:rFonts w:hint="default" w:ascii="Times New Roman" w:hAnsi="Times New Roman" w:cs="Times New Roman"/>
          <w:color w:val="000000"/>
          <w:position w:val="-10"/>
          <w:szCs w:val="20"/>
          <w:highlight w:val="none"/>
        </w:rPr>
        <w:object>
          <v:shape id="_x0000_i1039" o:spt="75" type="#_x0000_t75" style="height:15.05pt;width:21pt;" o:ole="t" filled="f" o:preferrelative="t" stroked="f" coordsize="21600,21600">
            <v:path/>
            <v:fill on="f" alignshape="1" focussize="0,0"/>
            <v:stroke on="f"/>
            <v:imagedata r:id="rId39" o:title=""/>
            <o:lock v:ext="edit" aspectratio="t"/>
            <w10:wrap type="none"/>
            <w10:anchorlock/>
          </v:shape>
          <o:OLEObject Type="Embed" ProgID="Equation.KSEE3" ShapeID="_x0000_i1039" DrawAspect="Content" ObjectID="_1468075735" r:id="rId38">
            <o:LockedField>false</o:LockedField>
          </o:OLEObject>
        </w:object>
      </w:r>
      <w:r>
        <w:rPr>
          <w:rFonts w:hint="default" w:ascii="Times New Roman" w:hAnsi="Times New Roman" w:cs="Times New Roman"/>
          <w:color w:val="000000"/>
          <w:szCs w:val="21"/>
          <w:highlight w:val="none"/>
        </w:rPr>
        <w:t>——标准溶液</w:t>
      </w:r>
      <w:r>
        <w:rPr>
          <w:rFonts w:hint="default" w:ascii="Times New Roman" w:hAnsi="Times New Roman" w:cs="Times New Roman"/>
          <w:color w:val="000000"/>
          <w:highlight w:val="none"/>
        </w:rPr>
        <w:t>中目标化合物定性离子的响应值；</w:t>
      </w:r>
    </w:p>
    <w:p w14:paraId="68DBEE4B">
      <w:pPr>
        <w:tabs>
          <w:tab w:val="left" w:pos="1050"/>
        </w:tabs>
        <w:spacing w:line="360" w:lineRule="exact"/>
        <w:rPr>
          <w:rFonts w:hint="default" w:ascii="Times New Roman" w:hAnsi="Times New Roman" w:cs="Times New Roman"/>
          <w:color w:val="000000"/>
          <w:highlight w:val="none"/>
        </w:rPr>
      </w:pPr>
      <w:r>
        <w:rPr>
          <w:rFonts w:hint="default" w:ascii="Times New Roman" w:hAnsi="Times New Roman" w:cs="Times New Roman"/>
          <w:color w:val="000000"/>
          <w:position w:val="-12"/>
          <w:szCs w:val="20"/>
          <w:highlight w:val="none"/>
          <w:lang w:val="en-US" w:eastAsia="zh-CN"/>
        </w:rPr>
        <w:tab/>
      </w:r>
      <w:r>
        <w:rPr>
          <w:rFonts w:hint="default" w:ascii="Times New Roman" w:hAnsi="Times New Roman" w:cs="Times New Roman"/>
          <w:color w:val="000000"/>
          <w:position w:val="-10"/>
          <w:szCs w:val="20"/>
          <w:highlight w:val="none"/>
        </w:rPr>
        <w:object>
          <v:shape id="_x0000_i1040" o:spt="75" type="#_x0000_t75" style="height:15.05pt;width:21.05pt;" o:ole="t" filled="f" o:preferrelative="t" stroked="f" coordsize="21600,21600">
            <v:path/>
            <v:fill on="f" alignshape="1" focussize="0,0"/>
            <v:stroke on="f"/>
            <v:imagedata r:id="rId41" o:title=""/>
            <o:lock v:ext="edit" aspectratio="t"/>
            <w10:wrap type="none"/>
            <w10:anchorlock/>
          </v:shape>
          <o:OLEObject Type="Embed" ProgID="Equation.KSEE3" ShapeID="_x0000_i1040" DrawAspect="Content" ObjectID="_1468075736" r:id="rId40">
            <o:LockedField>false</o:LockedField>
          </o:OLEObject>
        </w:object>
      </w:r>
      <w:r>
        <w:rPr>
          <w:rFonts w:hint="default" w:ascii="Times New Roman" w:hAnsi="Times New Roman" w:cs="Times New Roman"/>
          <w:color w:val="000000"/>
          <w:szCs w:val="21"/>
          <w:highlight w:val="none"/>
        </w:rPr>
        <w:t>——标准溶液</w:t>
      </w:r>
      <w:r>
        <w:rPr>
          <w:rFonts w:hint="default" w:ascii="Times New Roman" w:hAnsi="Times New Roman" w:cs="Times New Roman"/>
          <w:color w:val="000000"/>
          <w:highlight w:val="none"/>
        </w:rPr>
        <w:t>中目标化合物定量离子的响应值。</w:t>
      </w:r>
    </w:p>
    <w:p w14:paraId="5A53067F">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10</w:t>
      </w:r>
      <w:r>
        <w:rPr>
          <w:rFonts w:hint="default" w:ascii="Times New Roman" w:hAnsi="Times New Roman" w:eastAsia="黑体" w:cs="Times New Roman"/>
          <w:color w:val="000000"/>
          <w:szCs w:val="21"/>
          <w:highlight w:val="none"/>
          <w:lang w:val="en-US" w:eastAsia="zh-CN"/>
        </w:rPr>
        <w:t xml:space="preserve">  相对离子丰度的最大允许偏差</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63322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Borders>
              <w:tl2br w:val="nil"/>
              <w:tr2bl w:val="nil"/>
            </w:tcBorders>
            <w:noWrap w:val="0"/>
            <w:vAlign w:val="center"/>
          </w:tcPr>
          <w:p w14:paraId="7D5122F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color w:val="000000"/>
                <w:position w:val="-10"/>
                <w:szCs w:val="20"/>
                <w:highlight w:val="none"/>
              </w:rPr>
              <w:object>
                <v:shape id="_x0000_i1041"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41" DrawAspect="Content" ObjectID="_1468075737" r:id="rId42">
                  <o:LockedField>false</o:LockedField>
                </o:OLEObject>
              </w:object>
            </w:r>
            <w:r>
              <w:rPr>
                <w:rFonts w:hint="default" w:ascii="Times New Roman" w:hAnsi="Times New Roman" w:cs="Times New Roman"/>
                <w:iCs/>
                <w:color w:val="000000"/>
                <w:sz w:val="18"/>
                <w:szCs w:val="18"/>
                <w:highlight w:val="none"/>
              </w:rPr>
              <w:t>（</w:t>
            </w:r>
            <w:r>
              <w:rPr>
                <w:rFonts w:hint="default" w:ascii="Times New Roman" w:hAnsi="Times New Roman" w:cs="Times New Roman"/>
                <w:color w:val="000000"/>
                <w:sz w:val="18"/>
                <w:szCs w:val="18"/>
                <w:highlight w:val="none"/>
              </w:rPr>
              <w:t>%）</w:t>
            </w:r>
          </w:p>
        </w:tc>
        <w:tc>
          <w:tcPr>
            <w:tcW w:w="4264" w:type="dxa"/>
            <w:tcBorders>
              <w:tl2br w:val="nil"/>
              <w:tr2bl w:val="nil"/>
            </w:tcBorders>
            <w:noWrap w:val="0"/>
            <w:vAlign w:val="center"/>
          </w:tcPr>
          <w:p w14:paraId="4788E1E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color w:val="000000"/>
                <w:position w:val="-10"/>
                <w:szCs w:val="20"/>
                <w:highlight w:val="none"/>
              </w:rPr>
              <w:object>
                <v:shape id="_x0000_i1042" o:spt="75" type="#_x0000_t75" style="height:15.05pt;width:22pt;" o:ole="t" filled="f" o:preferrelative="t" stroked="f" coordsize="21600,21600">
                  <v:path/>
                  <v:fill on="f" alignshape="1" focussize="0,0"/>
                  <v:stroke on="f"/>
                  <v:imagedata r:id="rId21" o:title=""/>
                  <o:lock v:ext="edit" aspectratio="t"/>
                  <w10:wrap type="none"/>
                  <w10:anchorlock/>
                </v:shape>
                <o:OLEObject Type="Embed" ProgID="Equation.KSEE3" ShapeID="_x0000_i1042" DrawAspect="Content" ObjectID="_1468075738" r:id="rId43">
                  <o:LockedField>false</o:LockedField>
                </o:OLEObject>
              </w:object>
            </w:r>
            <w:r>
              <w:rPr>
                <w:rFonts w:hint="default" w:ascii="Times New Roman" w:hAnsi="Times New Roman" w:cs="Times New Roman"/>
                <w:iCs/>
                <w:color w:val="000000"/>
                <w:sz w:val="18"/>
                <w:szCs w:val="18"/>
                <w:highlight w:val="none"/>
              </w:rPr>
              <w:t>最大</w:t>
            </w:r>
            <w:r>
              <w:rPr>
                <w:rFonts w:hint="default" w:ascii="Times New Roman" w:hAnsi="Times New Roman" w:cs="Times New Roman"/>
                <w:color w:val="000000"/>
                <w:sz w:val="18"/>
                <w:szCs w:val="18"/>
                <w:highlight w:val="none"/>
              </w:rPr>
              <w:t>允许偏差（%）</w:t>
            </w:r>
          </w:p>
        </w:tc>
      </w:tr>
      <w:tr w14:paraId="32E82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Borders>
              <w:tl2br w:val="nil"/>
              <w:tr2bl w:val="nil"/>
            </w:tcBorders>
            <w:noWrap w:val="0"/>
            <w:vAlign w:val="center"/>
          </w:tcPr>
          <w:p w14:paraId="5C942E2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color w:val="000000"/>
                <w:position w:val="-10"/>
                <w:szCs w:val="20"/>
                <w:highlight w:val="none"/>
              </w:rPr>
              <w:object>
                <v:shape id="_x0000_i1043"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43" DrawAspect="Content" ObjectID="_1468075739" r:id="rId44">
                  <o:LockedField>false</o:LockedField>
                </o:OLEObject>
              </w:object>
            </w:r>
            <w:r>
              <w:rPr>
                <w:rFonts w:hint="default" w:ascii="Times New Roman" w:hAnsi="Times New Roman" w:cs="Times New Roman"/>
                <w:color w:val="000000"/>
                <w:sz w:val="18"/>
                <w:szCs w:val="18"/>
                <w:highlight w:val="none"/>
              </w:rPr>
              <w:t>＞50</w:t>
            </w:r>
          </w:p>
        </w:tc>
        <w:tc>
          <w:tcPr>
            <w:tcW w:w="4264" w:type="dxa"/>
            <w:tcBorders>
              <w:tl2br w:val="nil"/>
              <w:tr2bl w:val="nil"/>
            </w:tcBorders>
            <w:noWrap w:val="0"/>
            <w:vAlign w:val="center"/>
          </w:tcPr>
          <w:p w14:paraId="57DDDDF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bCs/>
                <w:color w:val="000000"/>
                <w:sz w:val="18"/>
                <w:szCs w:val="18"/>
                <w:highlight w:val="none"/>
              </w:rPr>
              <w:t>±</w:t>
            </w:r>
            <w:r>
              <w:rPr>
                <w:rFonts w:hint="default" w:ascii="Times New Roman" w:hAnsi="Times New Roman" w:eastAsia="黑体" w:cs="Times New Roman"/>
                <w:bCs/>
                <w:color w:val="000000"/>
                <w:sz w:val="18"/>
                <w:szCs w:val="18"/>
                <w:highlight w:val="none"/>
              </w:rPr>
              <w:t>20</w:t>
            </w:r>
          </w:p>
        </w:tc>
      </w:tr>
      <w:tr w14:paraId="0C4F4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264" w:type="dxa"/>
            <w:tcBorders>
              <w:tl2br w:val="nil"/>
              <w:tr2bl w:val="nil"/>
            </w:tcBorders>
            <w:noWrap w:val="0"/>
            <w:vAlign w:val="center"/>
          </w:tcPr>
          <w:p w14:paraId="392C23D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eastAsia="黑体" w:cs="Times New Roman"/>
                <w:bCs/>
                <w:color w:val="000000"/>
                <w:sz w:val="18"/>
                <w:szCs w:val="18"/>
                <w:highlight w:val="none"/>
              </w:rPr>
              <w:t>20＜</w:t>
            </w:r>
            <w:r>
              <w:rPr>
                <w:rFonts w:hint="default" w:ascii="Times New Roman" w:hAnsi="Times New Roman" w:cs="Times New Roman"/>
                <w:color w:val="000000"/>
                <w:position w:val="-10"/>
                <w:szCs w:val="20"/>
                <w:highlight w:val="none"/>
              </w:rPr>
              <w:object>
                <v:shape id="_x0000_i1044"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44" DrawAspect="Content" ObjectID="_1468075740" r:id="rId45">
                  <o:LockedField>false</o:LockedField>
                </o:OLEObject>
              </w:objec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50</w:t>
            </w:r>
          </w:p>
        </w:tc>
        <w:tc>
          <w:tcPr>
            <w:tcW w:w="4264" w:type="dxa"/>
            <w:tcBorders>
              <w:tl2br w:val="nil"/>
              <w:tr2bl w:val="nil"/>
            </w:tcBorders>
            <w:noWrap w:val="0"/>
            <w:vAlign w:val="center"/>
          </w:tcPr>
          <w:p w14:paraId="47AB599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bCs/>
                <w:color w:val="000000"/>
                <w:sz w:val="18"/>
                <w:szCs w:val="18"/>
                <w:highlight w:val="none"/>
              </w:rPr>
              <w:t>±</w:t>
            </w:r>
            <w:r>
              <w:rPr>
                <w:rFonts w:hint="default" w:ascii="Times New Roman" w:hAnsi="Times New Roman" w:eastAsia="黑体" w:cs="Times New Roman"/>
                <w:bCs/>
                <w:color w:val="000000"/>
                <w:sz w:val="18"/>
                <w:szCs w:val="18"/>
                <w:highlight w:val="none"/>
              </w:rPr>
              <w:t>25</w:t>
            </w:r>
          </w:p>
        </w:tc>
      </w:tr>
      <w:tr w14:paraId="37BEF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Borders>
              <w:tl2br w:val="nil"/>
              <w:tr2bl w:val="nil"/>
            </w:tcBorders>
            <w:noWrap w:val="0"/>
            <w:vAlign w:val="center"/>
          </w:tcPr>
          <w:p w14:paraId="24BD7868">
            <w:pPr>
              <w:keepNext w:val="0"/>
              <w:keepLines w:val="0"/>
              <w:pageBreakBefore w:val="0"/>
              <w:widowControl w:val="0"/>
              <w:kinsoku/>
              <w:wordWrap/>
              <w:overflowPunct/>
              <w:topLinePunct/>
              <w:autoSpaceDE/>
              <w:autoSpaceDN/>
              <w:bidi w:val="0"/>
              <w:adjustRightInd/>
              <w:snapToGrid/>
              <w:spacing w:line="240" w:lineRule="auto"/>
              <w:ind w:left="183"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eastAsia="黑体" w:cs="Times New Roman"/>
                <w:bCs/>
                <w:color w:val="000000"/>
                <w:sz w:val="18"/>
                <w:szCs w:val="18"/>
                <w:highlight w:val="none"/>
              </w:rPr>
              <w:t>10＜</w:t>
            </w:r>
            <w:r>
              <w:rPr>
                <w:rFonts w:hint="default" w:ascii="Times New Roman" w:hAnsi="Times New Roman" w:cs="Times New Roman"/>
                <w:color w:val="000000"/>
                <w:position w:val="-10"/>
                <w:szCs w:val="20"/>
                <w:highlight w:val="none"/>
              </w:rPr>
              <w:object>
                <v:shape id="_x0000_i1045"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45" DrawAspect="Content" ObjectID="_1468075741" r:id="rId46">
                  <o:LockedField>false</o:LockedField>
                </o:OLEObject>
              </w:objec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20</w:t>
            </w:r>
          </w:p>
        </w:tc>
        <w:tc>
          <w:tcPr>
            <w:tcW w:w="4264" w:type="dxa"/>
            <w:tcBorders>
              <w:tl2br w:val="nil"/>
              <w:tr2bl w:val="nil"/>
            </w:tcBorders>
            <w:noWrap w:val="0"/>
            <w:vAlign w:val="center"/>
          </w:tcPr>
          <w:p w14:paraId="54E2D00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bCs/>
                <w:color w:val="000000"/>
                <w:sz w:val="18"/>
                <w:szCs w:val="18"/>
                <w:highlight w:val="none"/>
              </w:rPr>
              <w:t>±</w:t>
            </w:r>
            <w:r>
              <w:rPr>
                <w:rFonts w:hint="default" w:ascii="Times New Roman" w:hAnsi="Times New Roman" w:eastAsia="黑体" w:cs="Times New Roman"/>
                <w:bCs/>
                <w:color w:val="000000"/>
                <w:sz w:val="18"/>
                <w:szCs w:val="18"/>
                <w:highlight w:val="none"/>
              </w:rPr>
              <w:t>30</w:t>
            </w:r>
          </w:p>
        </w:tc>
      </w:tr>
      <w:tr w14:paraId="5E0F7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Borders>
              <w:tl2br w:val="nil"/>
              <w:tr2bl w:val="nil"/>
            </w:tcBorders>
            <w:noWrap w:val="0"/>
            <w:vAlign w:val="center"/>
          </w:tcPr>
          <w:p w14:paraId="41970C0D">
            <w:pPr>
              <w:keepNext w:val="0"/>
              <w:keepLines w:val="0"/>
              <w:pageBreakBefore w:val="0"/>
              <w:widowControl w:val="0"/>
              <w:kinsoku/>
              <w:wordWrap/>
              <w:overflowPunct/>
              <w:topLinePunct/>
              <w:autoSpaceDE/>
              <w:autoSpaceDN/>
              <w:bidi w:val="0"/>
              <w:adjustRightInd/>
              <w:snapToGrid/>
              <w:spacing w:line="240" w:lineRule="auto"/>
              <w:ind w:left="183"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color w:val="000000"/>
                <w:position w:val="-10"/>
                <w:szCs w:val="20"/>
                <w:highlight w:val="none"/>
              </w:rPr>
              <w:object>
                <v:shape id="_x0000_i1046" o:spt="75" type="#_x0000_t75" style="height:15.05pt;width:19.05pt;" o:ole="t" filled="f" o:preferrelative="t" stroked="f" coordsize="21600,21600">
                  <v:path/>
                  <v:fill on="f" alignshape="1" focussize="0,0"/>
                  <v:stroke on="f"/>
                  <v:imagedata r:id="rId23" o:title=""/>
                  <o:lock v:ext="edit" aspectratio="t"/>
                  <w10:wrap type="none"/>
                  <w10:anchorlock/>
                </v:shape>
                <o:OLEObject Type="Embed" ProgID="Equation.KSEE3" ShapeID="_x0000_i1046" DrawAspect="Content" ObjectID="_1468075742" r:id="rId47">
                  <o:LockedField>false</o:LockedField>
                </o:OLEObject>
              </w:objec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10</w:t>
            </w:r>
          </w:p>
        </w:tc>
        <w:tc>
          <w:tcPr>
            <w:tcW w:w="4264" w:type="dxa"/>
            <w:tcBorders>
              <w:tl2br w:val="nil"/>
              <w:tr2bl w:val="nil"/>
            </w:tcBorders>
            <w:noWrap w:val="0"/>
            <w:vAlign w:val="center"/>
          </w:tcPr>
          <w:p w14:paraId="16D2F9C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黑体" w:cs="Times New Roman"/>
                <w:bCs/>
                <w:color w:val="000000"/>
                <w:sz w:val="18"/>
                <w:szCs w:val="18"/>
                <w:highlight w:val="none"/>
              </w:rPr>
            </w:pPr>
            <w:r>
              <w:rPr>
                <w:rFonts w:hint="default" w:ascii="Times New Roman" w:hAnsi="Times New Roman" w:cs="Times New Roman"/>
                <w:bCs/>
                <w:color w:val="000000"/>
                <w:sz w:val="18"/>
                <w:szCs w:val="18"/>
                <w:highlight w:val="none"/>
              </w:rPr>
              <w:t>±</w:t>
            </w:r>
            <w:r>
              <w:rPr>
                <w:rFonts w:hint="default" w:ascii="Times New Roman" w:hAnsi="Times New Roman" w:eastAsia="黑体" w:cs="Times New Roman"/>
                <w:bCs/>
                <w:color w:val="000000"/>
                <w:sz w:val="18"/>
                <w:szCs w:val="18"/>
                <w:highlight w:val="none"/>
              </w:rPr>
              <w:t>50</w:t>
            </w:r>
          </w:p>
        </w:tc>
      </w:tr>
    </w:tbl>
    <w:p w14:paraId="659C3861">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.2  定量分析</w:t>
      </w:r>
    </w:p>
    <w:p w14:paraId="36640E26">
      <w:pPr>
        <w:rPr>
          <w:rFonts w:hint="default" w:ascii="Times New Roman" w:hAnsi="Times New Roman" w:cs="Times New Roman"/>
          <w:color w:val="000000"/>
          <w:highlight w:val="none"/>
        </w:rPr>
      </w:pPr>
      <w:r>
        <w:rPr>
          <w:rFonts w:hint="default" w:ascii="Times New Roman" w:hAnsi="Times New Roman" w:cs="Times New Roman"/>
          <w:color w:val="000000"/>
          <w:highlight w:val="none"/>
        </w:rPr>
        <w:t>目标化合物经定性鉴别后，根据定量离子的峰面积，内标法定量。</w:t>
      </w:r>
    </w:p>
    <w:p w14:paraId="149E7519">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.3  结果计算</w:t>
      </w:r>
    </w:p>
    <w:p w14:paraId="4BEE6B3D">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.3.1  平均相对响应因子法</w:t>
      </w:r>
    </w:p>
    <w:p w14:paraId="328875D2">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标准系列中第</w:t>
      </w:r>
      <w:r>
        <w:rPr>
          <w:rFonts w:hint="default" w:ascii="Times New Roman" w:hAnsi="Times New Roman" w:cs="Times New Roman"/>
          <w:i/>
          <w:iCs/>
          <w:color w:val="000000"/>
          <w:kern w:val="0"/>
          <w:szCs w:val="21"/>
          <w:highlight w:val="none"/>
        </w:rPr>
        <w:t>i</w:t>
      </w:r>
      <w:r>
        <w:rPr>
          <w:rFonts w:hint="default" w:ascii="Times New Roman" w:hAnsi="Times New Roman" w:cs="Times New Roman"/>
          <w:color w:val="000000"/>
          <w:szCs w:val="21"/>
          <w:highlight w:val="none"/>
        </w:rPr>
        <w:t>点目标化合物的相对响应因子（</w:t>
      </w:r>
      <w:r>
        <w:rPr>
          <w:rFonts w:hint="default" w:ascii="Times New Roman" w:hAnsi="Times New Roman" w:cs="Times New Roman"/>
          <w:color w:val="000000"/>
          <w:position w:val="-10"/>
          <w:szCs w:val="20"/>
          <w:highlight w:val="none"/>
        </w:rPr>
        <w:object>
          <v:shape id="_x0000_i1047" o:spt="75" type="#_x0000_t75" style="height:15.05pt;width:24.05pt;" o:ole="t" filled="f" o:preferrelative="t" stroked="f" coordsize="21600,21600">
            <v:path/>
            <v:fill on="f" alignshape="1" focussize="0,0"/>
            <v:stroke on="f"/>
            <v:imagedata r:id="rId49" o:title=""/>
            <o:lock v:ext="edit" aspectratio="t"/>
            <w10:wrap type="none"/>
            <w10:anchorlock/>
          </v:shape>
          <o:OLEObject Type="Embed" ProgID="Equation.KSEE3" ShapeID="_x0000_i1047" DrawAspect="Content" ObjectID="_1468075743" r:id="rId48">
            <o:LockedField>false</o:LockedField>
          </o:OLEObject>
        </w:object>
      </w:r>
      <w:r>
        <w:rPr>
          <w:rFonts w:hint="default" w:ascii="Times New Roman" w:hAnsi="Times New Roman" w:cs="Times New Roman"/>
          <w:color w:val="000000"/>
          <w:szCs w:val="21"/>
          <w:highlight w:val="none"/>
        </w:rPr>
        <w:t>），按照式（3）进行计算。</w:t>
      </w:r>
    </w:p>
    <w:p w14:paraId="0C863971">
      <w:pPr>
        <w:keepNext w:val="0"/>
        <w:keepLines w:val="0"/>
        <w:pageBreakBefore w:val="0"/>
        <w:widowControl w:val="0"/>
        <w:kinsoku/>
        <w:wordWrap/>
        <w:overflowPunct/>
        <w:topLinePunct/>
        <w:autoSpaceDE w:val="0"/>
        <w:autoSpaceDN w:val="0"/>
        <w:bidi w:val="0"/>
        <w:adjustRightInd w:val="0"/>
        <w:snapToGrid/>
        <w:spacing w:line="360" w:lineRule="auto"/>
        <w:ind w:firstLine="2730" w:firstLineChars="1300"/>
        <w:textAlignment w:val="auto"/>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26"/>
          <w:szCs w:val="20"/>
          <w:highlight w:val="none"/>
        </w:rPr>
        <w:object>
          <v:shape id="_x0000_i1048" o:spt="75" type="#_x0000_t75" style="height:29.05pt;width:77pt;" o:ole="t" filled="f" o:preferrelative="t" stroked="f" coordsize="21600,21600">
            <v:path/>
            <v:fill on="f" alignshape="1" focussize="0,0"/>
            <v:stroke on="f"/>
            <v:imagedata r:id="rId51" o:title=""/>
            <o:lock v:ext="edit" aspectratio="t"/>
            <w10:wrap type="none"/>
            <w10:anchorlock/>
          </v:shape>
          <o:OLEObject Type="Embed" ProgID="Equation.KSEE3" ShapeID="_x0000_i1048" DrawAspect="Content" ObjectID="_1468075744" r:id="rId50">
            <o:LockedField>false</o:LockedField>
          </o:OLEObject>
        </w:object>
      </w:r>
      <w:r>
        <w:rPr>
          <w:rFonts w:hint="default" w:ascii="Times New Roman" w:hAnsi="Times New Roman" w:cs="Times New Roman"/>
          <w:iCs/>
          <w:color w:val="000000"/>
          <w:kern w:val="0"/>
          <w:sz w:val="22"/>
          <w:szCs w:val="21"/>
          <w:highlight w:val="none"/>
        </w:rPr>
        <w:t xml:space="preserve"> </w:t>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7"/>
          <w:highlight w:val="none"/>
        </w:rPr>
        <w:pict>
          <v:shape id="_x0000_i1049" o:spt="75" type="#_x0000_t75" style="height:32pt;width:9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5224&quot;/&gt;&lt;w:defaultTabStop w:val=&quot;420&quot;/&gt;&lt;w:evenAndOddHeaders/&gt;&lt;w:drawingGridHorizontalSpacing w:val=&quot;213&quot;/&gt;&lt;w:drawingGridVerticalSpacing w:val=&quot;319&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57F&quot;/&gt;&lt;wsp:rsid wsp:val=&quot;00001213&quot;/&gt;&lt;wsp:rsid wsp:val=&quot;00005497&quot;/&gt;&lt;wsp:rsid wsp:val=&quot;00006864&quot;/&gt;&lt;wsp:rsid wsp:val=&quot;0000702D&quot;/&gt;&lt;wsp:rsid wsp:val=&quot;000070A6&quot;/&gt;&lt;wsp:rsid wsp:val=&quot;00012275&quot;/&gt;&lt;wsp:rsid wsp:val=&quot;00013C24&quot;/&gt;&lt;wsp:rsid wsp:val=&quot;0001536A&quot;/&gt;&lt;wsp:rsid wsp:val=&quot;0002040C&quot;/&gt;&lt;wsp:rsid wsp:val=&quot;000212B4&quot;/&gt;&lt;wsp:rsid wsp:val=&quot;00021C6D&quot;/&gt;&lt;wsp:rsid wsp:val=&quot;00022FB6&quot;/&gt;&lt;wsp:rsid wsp:val=&quot;00023F61&quot;/&gt;&lt;wsp:rsid wsp:val=&quot;00024390&quot;/&gt;&lt;wsp:rsid wsp:val=&quot;00030C7E&quot;/&gt;&lt;wsp:rsid wsp:val=&quot;00031ADA&quot;/&gt;&lt;wsp:rsid wsp:val=&quot;000345F3&quot;/&gt;&lt;wsp:rsid wsp:val=&quot;00035EFA&quot;/&gt;&lt;wsp:rsid wsp:val=&quot;0003744E&quot;/&gt;&lt;wsp:rsid wsp:val=&quot;000374E6&quot;/&gt;&lt;wsp:rsid wsp:val=&quot;00040207&quot;/&gt;&lt;wsp:rsid wsp:val=&quot;00041895&quot;/&gt;&lt;wsp:rsid wsp:val=&quot;000419E4&quot;/&gt;&lt;wsp:rsid wsp:val=&quot;000422C3&quot;/&gt;&lt;wsp:rsid wsp:val=&quot;000443D8&quot;/&gt;&lt;wsp:rsid wsp:val=&quot;000446DE&quot;/&gt;&lt;wsp:rsid wsp:val=&quot;000471B9&quot;/&gt;&lt;wsp:rsid wsp:val=&quot;0004796F&quot;/&gt;&lt;wsp:rsid wsp:val=&quot;00047E46&quot;/&gt;&lt;wsp:rsid wsp:val=&quot;000529B0&quot;/&gt;&lt;wsp:rsid wsp:val=&quot;00056CC2&quot;/&gt;&lt;wsp:rsid wsp:val=&quot;00057616&quot;/&gt;&lt;wsp:rsid wsp:val=&quot;00061A1F&quot;/&gt;&lt;wsp:rsid wsp:val=&quot;00062120&quot;/&gt;&lt;wsp:rsid wsp:val=&quot;00065DE8&quot;/&gt;&lt;wsp:rsid wsp:val=&quot;00066B84&quot;/&gt;&lt;wsp:rsid wsp:val=&quot;00066EC9&quot;/&gt;&lt;wsp:rsid wsp:val=&quot;00070202&quot;/&gt;&lt;wsp:rsid wsp:val=&quot;000704DA&quot;/&gt;&lt;wsp:rsid wsp:val=&quot;000707CE&quot;/&gt;&lt;wsp:rsid wsp:val=&quot;00071118&quot;/&gt;&lt;wsp:rsid wsp:val=&quot;000713F8&quot;/&gt;&lt;wsp:rsid wsp:val=&quot;00071F4A&quot;/&gt;&lt;wsp:rsid wsp:val=&quot;00072990&quot;/&gt;&lt;wsp:rsid wsp:val=&quot;00072AC3&quot;/&gt;&lt;wsp:rsid wsp:val=&quot;00073C35&quot;/&gt;&lt;wsp:rsid wsp:val=&quot;00074533&quot;/&gt;&lt;wsp:rsid wsp:val=&quot;00077045&quot;/&gt;&lt;wsp:rsid wsp:val=&quot;00077EEC&quot;/&gt;&lt;wsp:rsid wsp:val=&quot;0008014E&quot;/&gt;&lt;wsp:rsid wsp:val=&quot;000823DD&quot;/&gt;&lt;wsp:rsid wsp:val=&quot;000830B3&quot;/&gt;&lt;wsp:rsid wsp:val=&quot;000852C0&quot;/&gt;&lt;wsp:rsid wsp:val=&quot;00087486&quot;/&gt;&lt;wsp:rsid wsp:val=&quot;00090446&quot;/&gt;&lt;wsp:rsid wsp:val=&quot;00093CE4&quot;/&gt;&lt;wsp:rsid wsp:val=&quot;0009433B&quot;/&gt;&lt;wsp:rsid wsp:val=&quot;00096CDE&quot;/&gt;&lt;wsp:rsid wsp:val=&quot;000973CF&quot;/&gt;&lt;wsp:rsid wsp:val=&quot;0009771A&quot;/&gt;&lt;wsp:rsid wsp:val=&quot;000A0785&quot;/&gt;&lt;wsp:rsid wsp:val=&quot;000A2A3B&quot;/&gt;&lt;wsp:rsid wsp:val=&quot;000A2E81&quot;/&gt;&lt;wsp:rsid wsp:val=&quot;000A6AC0&quot;/&gt;&lt;wsp:rsid wsp:val=&quot;000A6BB5&quot;/&gt;&lt;wsp:rsid wsp:val=&quot;000A75DC&quot;/&gt;&lt;wsp:rsid wsp:val=&quot;000B1B79&quot;/&gt;&lt;wsp:rsid wsp:val=&quot;000B1BBC&quot;/&gt;&lt;wsp:rsid wsp:val=&quot;000B3112&quot;/&gt;&lt;wsp:rsid wsp:val=&quot;000B32FE&quot;/&gt;&lt;wsp:rsid wsp:val=&quot;000B3547&quot;/&gt;&lt;wsp:rsid wsp:val=&quot;000B4C68&quot;/&gt;&lt;wsp:rsid wsp:val=&quot;000B4E45&quot;/&gt;&lt;wsp:rsid wsp:val=&quot;000B4F53&quot;/&gt;&lt;wsp:rsid wsp:val=&quot;000B5437&quot;/&gt;&lt;wsp:rsid wsp:val=&quot;000B69A1&quot;/&gt;&lt;wsp:rsid wsp:val=&quot;000C035A&quot;/&gt;&lt;wsp:rsid wsp:val=&quot;000C223B&quot;/&gt;&lt;wsp:rsid wsp:val=&quot;000C3A0D&quot;/&gt;&lt;wsp:rsid wsp:val=&quot;000C5044&quot;/&gt;&lt;wsp:rsid wsp:val=&quot;000C5620&quot;/&gt;&lt;wsp:rsid wsp:val=&quot;000D343D&quot;/&gt;&lt;wsp:rsid wsp:val=&quot;000D3573&quot;/&gt;&lt;wsp:rsid wsp:val=&quot;000D6F92&quot;/&gt;&lt;wsp:rsid wsp:val=&quot;000E0A96&quot;/&gt;&lt;wsp:rsid wsp:val=&quot;000E588F&quot;/&gt;&lt;wsp:rsid wsp:val=&quot;000E620A&quot;/&gt;&lt;wsp:rsid wsp:val=&quot;000E668F&quot;/&gt;&lt;wsp:rsid wsp:val=&quot;000E68D7&quot;/&gt;&lt;wsp:rsid wsp:val=&quot;000E6B79&quot;/&gt;&lt;wsp:rsid wsp:val=&quot;000E6C08&quot;/&gt;&lt;wsp:rsid wsp:val=&quot;000E71D6&quot;/&gt;&lt;wsp:rsid wsp:val=&quot;000F1BBF&quot;/&gt;&lt;wsp:rsid wsp:val=&quot;000F497F&quot;/&gt;&lt;wsp:rsid wsp:val=&quot;000F5D64&quot;/&gt;&lt;wsp:rsid wsp:val=&quot;0010226A&quot;/&gt;&lt;wsp:rsid wsp:val=&quot;001025BB&quot;/&gt;&lt;wsp:rsid wsp:val=&quot;00105058&quot;/&gt;&lt;wsp:rsid wsp:val=&quot;0010579E&quot;/&gt;&lt;wsp:rsid wsp:val=&quot;00105F4A&quot;/&gt;&lt;wsp:rsid wsp:val=&quot;001070A7&quot;/&gt;&lt;wsp:rsid wsp:val=&quot;00107188&quot;/&gt;&lt;wsp:rsid wsp:val=&quot;001104A2&quot;/&gt;&lt;wsp:rsid wsp:val=&quot;00111C70&quot;/&gt;&lt;wsp:rsid wsp:val=&quot;00114208&quot;/&gt;&lt;wsp:rsid wsp:val=&quot;0012257D&quot;/&gt;&lt;wsp:rsid wsp:val=&quot;00123DC3&quot;/&gt;&lt;wsp:rsid wsp:val=&quot;00124389&quot;/&gt;&lt;wsp:rsid wsp:val=&quot;001266A3&quot;/&gt;&lt;wsp:rsid wsp:val=&quot;00127239&quot;/&gt;&lt;wsp:rsid wsp:val=&quot;00127D45&quot;/&gt;&lt;wsp:rsid wsp:val=&quot;00132672&quot;/&gt;&lt;wsp:rsid wsp:val=&quot;00132EF9&quot;/&gt;&lt;wsp:rsid wsp:val=&quot;00133027&quot;/&gt;&lt;wsp:rsid wsp:val=&quot;00134A88&quot;/&gt;&lt;wsp:rsid wsp:val=&quot;001371A8&quot;/&gt;&lt;wsp:rsid wsp:val=&quot;001378B7&quot;/&gt;&lt;wsp:rsid wsp:val=&quot;00140A70&quot;/&gt;&lt;wsp:rsid wsp:val=&quot;001415EF&quot;/&gt;&lt;wsp:rsid wsp:val=&quot;00143B37&quot;/&gt;&lt;wsp:rsid wsp:val=&quot;00144183&quot;/&gt;&lt;wsp:rsid wsp:val=&quot;001507A3&quot;/&gt;&lt;wsp:rsid wsp:val=&quot;001514F2&quot;/&gt;&lt;wsp:rsid wsp:val=&quot;001545B3&quot;/&gt;&lt;wsp:rsid wsp:val=&quot;00154B19&quot;/&gt;&lt;wsp:rsid wsp:val=&quot;001554C0&quot;/&gt;&lt;wsp:rsid wsp:val=&quot;00156AC8&quot;/&gt;&lt;wsp:rsid wsp:val=&quot;00157CF6&quot;/&gt;&lt;wsp:rsid wsp:val=&quot;00160C33&quot;/&gt;&lt;wsp:rsid wsp:val=&quot;00160F3E&quot;/&gt;&lt;wsp:rsid wsp:val=&quot;00164825&quot;/&gt;&lt;wsp:rsid wsp:val=&quot;00165BFB&quot;/&gt;&lt;wsp:rsid wsp:val=&quot;00166AEA&quot;/&gt;&lt;wsp:rsid wsp:val=&quot;00167121&quot;/&gt;&lt;wsp:rsid wsp:val=&quot;0017030D&quot;/&gt;&lt;wsp:rsid wsp:val=&quot;00171581&quot;/&gt;&lt;wsp:rsid wsp:val=&quot;0017170D&quot;/&gt;&lt;wsp:rsid wsp:val=&quot;001727BD&quot;/&gt;&lt;wsp:rsid wsp:val=&quot;0017761B&quot;/&gt;&lt;wsp:rsid wsp:val=&quot;001777BF&quot;/&gt;&lt;wsp:rsid wsp:val=&quot;00185379&quot;/&gt;&lt;wsp:rsid wsp:val=&quot;001860F0&quot;/&gt;&lt;wsp:rsid wsp:val=&quot;00187565&quot;/&gt;&lt;wsp:rsid wsp:val=&quot;00187A97&quot;/&gt;&lt;wsp:rsid wsp:val=&quot;00190698&quot;/&gt;&lt;wsp:rsid wsp:val=&quot;00190CAD&quot;/&gt;&lt;wsp:rsid wsp:val=&quot;00191201&quot;/&gt;&lt;wsp:rsid wsp:val=&quot;001920F1&quot;/&gt;&lt;wsp:rsid wsp:val=&quot;001957EC&quot;/&gt;&lt;wsp:rsid wsp:val=&quot;00197001&quot;/&gt;&lt;wsp:rsid wsp:val=&quot;00197339&quot;/&gt;&lt;wsp:rsid wsp:val=&quot;001A2766&quot;/&gt;&lt;wsp:rsid wsp:val=&quot;001A2D45&quot;/&gt;&lt;wsp:rsid wsp:val=&quot;001A4772&quot;/&gt;&lt;wsp:rsid wsp:val=&quot;001A4AE2&quot;/&gt;&lt;wsp:rsid wsp:val=&quot;001A4E02&quot;/&gt;&lt;wsp:rsid wsp:val=&quot;001A6993&quot;/&gt;&lt;wsp:rsid wsp:val=&quot;001B0550&quot;/&gt;&lt;wsp:rsid wsp:val=&quot;001B0932&quot;/&gt;&lt;wsp:rsid wsp:val=&quot;001B324D&quot;/&gt;&lt;wsp:rsid wsp:val=&quot;001B40FE&quot;/&gt;&lt;wsp:rsid wsp:val=&quot;001B455A&quot;/&gt;&lt;wsp:rsid wsp:val=&quot;001B4644&quot;/&gt;&lt;wsp:rsid wsp:val=&quot;001B4EFA&quot;/&gt;&lt;wsp:rsid wsp:val=&quot;001B7266&quot;/&gt;&lt;wsp:rsid wsp:val=&quot;001C04D2&quot;/&gt;&lt;wsp:rsid wsp:val=&quot;001C1ED8&quot;/&gt;&lt;wsp:rsid wsp:val=&quot;001C4A15&quot;/&gt;&lt;wsp:rsid wsp:val=&quot;001C5CC1&quot;/&gt;&lt;wsp:rsid wsp:val=&quot;001C6273&quot;/&gt;&lt;wsp:rsid wsp:val=&quot;001C64C3&quot;/&gt;&lt;wsp:rsid wsp:val=&quot;001D07A7&quot;/&gt;&lt;wsp:rsid wsp:val=&quot;001D0E00&quot;/&gt;&lt;wsp:rsid wsp:val=&quot;001D13DF&quot;/&gt;&lt;wsp:rsid wsp:val=&quot;001D24F7&quot;/&gt;&lt;wsp:rsid wsp:val=&quot;001D364B&quot;/&gt;&lt;wsp:rsid wsp:val=&quot;001D3FE4&quot;/&gt;&lt;wsp:rsid wsp:val=&quot;001D4577&quot;/&gt;&lt;wsp:rsid wsp:val=&quot;001D58FC&quot;/&gt;&lt;wsp:rsid wsp:val=&quot;001D5ED0&quot;/&gt;&lt;wsp:rsid wsp:val=&quot;001D6D31&quot;/&gt;&lt;wsp:rsid wsp:val=&quot;001E026B&quot;/&gt;&lt;wsp:rsid wsp:val=&quot;001E11D0&quot;/&gt;&lt;wsp:rsid wsp:val=&quot;001E176F&quot;/&gt;&lt;wsp:rsid wsp:val=&quot;001E3BF7&quot;/&gt;&lt;wsp:rsid wsp:val=&quot;001E41A9&quot;/&gt;&lt;wsp:rsid wsp:val=&quot;001E6E48&quot;/&gt;&lt;wsp:rsid wsp:val=&quot;001E6EBB&quot;/&gt;&lt;wsp:rsid wsp:val=&quot;001E76AC&quot;/&gt;&lt;wsp:rsid wsp:val=&quot;001F39A1&quot;/&gt;&lt;wsp:rsid wsp:val=&quot;001F3A1C&quot;/&gt;&lt;wsp:rsid wsp:val=&quot;001F4003&quot;/&gt;&lt;wsp:rsid wsp:val=&quot;001F6F86&quot;/&gt;&lt;wsp:rsid wsp:val=&quot;00200039&quot;/&gt;&lt;wsp:rsid wsp:val=&quot;0020113B&quot;/&gt;&lt;wsp:rsid wsp:val=&quot;00203D7F&quot;/&gt;&lt;wsp:rsid wsp:val=&quot;0020459A&quot;/&gt;&lt;wsp:rsid wsp:val=&quot;00204CF9&quot;/&gt;&lt;wsp:rsid wsp:val=&quot;00205DB5&quot;/&gt;&lt;wsp:rsid wsp:val=&quot;00206C1E&quot;/&gt;&lt;wsp:rsid wsp:val=&quot;00207933&quot;/&gt;&lt;wsp:rsid wsp:val=&quot;00207F2E&quot;/&gt;&lt;wsp:rsid wsp:val=&quot;002105D9&quot;/&gt;&lt;wsp:rsid wsp:val=&quot;0021268B&quot;/&gt;&lt;wsp:rsid wsp:val=&quot;0021295D&quot;/&gt;&lt;wsp:rsid wsp:val=&quot;002142D3&quot;/&gt;&lt;wsp:rsid wsp:val=&quot;00216161&quot;/&gt;&lt;wsp:rsid wsp:val=&quot;002164D1&quot;/&gt;&lt;wsp:rsid wsp:val=&quot;0021779F&quot;/&gt;&lt;wsp:rsid wsp:val=&quot;00221110&quot;/&gt;&lt;wsp:rsid wsp:val=&quot;0022272A&quot;/&gt;&lt;wsp:rsid wsp:val=&quot;00223473&quot;/&gt;&lt;wsp:rsid wsp:val=&quot;00224108&quot;/&gt;&lt;wsp:rsid wsp:val=&quot;002265D8&quot;/&gt;&lt;wsp:rsid wsp:val=&quot;002309FD&quot;/&gt;&lt;wsp:rsid wsp:val=&quot;00230CCD&quot;/&gt;&lt;wsp:rsid wsp:val=&quot;0023141F&quot;/&gt;&lt;wsp:rsid wsp:val=&quot;0023144D&quot;/&gt;&lt;wsp:rsid wsp:val=&quot;00232881&quot;/&gt;&lt;wsp:rsid wsp:val=&quot;002340BD&quot;/&gt;&lt;wsp:rsid wsp:val=&quot;00234D88&quot;/&gt;&lt;wsp:rsid wsp:val=&quot;00235B95&quot;/&gt;&lt;wsp:rsid wsp:val=&quot;002371DC&quot;/&gt;&lt;wsp:rsid wsp:val=&quot;00240732&quot;/&gt;&lt;wsp:rsid wsp:val=&quot;00241295&quot;/&gt;&lt;wsp:rsid wsp:val=&quot;002422E0&quot;/&gt;&lt;wsp:rsid wsp:val=&quot;002429BE&quot;/&gt;&lt;wsp:rsid wsp:val=&quot;0024321E&quot;/&gt;&lt;wsp:rsid wsp:val=&quot;00243A8B&quot;/&gt;&lt;wsp:rsid wsp:val=&quot;002443A5&quot;/&gt;&lt;wsp:rsid wsp:val=&quot;002460D9&quot;/&gt;&lt;wsp:rsid wsp:val=&quot;00250155&quot;/&gt;&lt;wsp:rsid wsp:val=&quot;0025055E&quot;/&gt;&lt;wsp:rsid wsp:val=&quot;00252003&quot;/&gt;&lt;wsp:rsid wsp:val=&quot;0025261F&quot;/&gt;&lt;wsp:rsid wsp:val=&quot;002528EA&quot;/&gt;&lt;wsp:rsid wsp:val=&quot;002546D5&quot;/&gt;&lt;wsp:rsid wsp:val=&quot;00255455&quot;/&gt;&lt;wsp:rsid wsp:val=&quot;00255EBD&quot;/&gt;&lt;wsp:rsid wsp:val=&quot;0025711C&quot;/&gt;&lt;wsp:rsid wsp:val=&quot;00260968&quot;/&gt;&lt;wsp:rsid wsp:val=&quot;00262ABD&quot;/&gt;&lt;wsp:rsid wsp:val=&quot;00263108&quot;/&gt;&lt;wsp:rsid wsp:val=&quot;002643EC&quot;/&gt;&lt;wsp:rsid wsp:val=&quot;00266B83&quot;/&gt;&lt;wsp:rsid wsp:val=&quot;00266CDF&quot;/&gt;&lt;wsp:rsid wsp:val=&quot;0026774E&quot;/&gt;&lt;wsp:rsid wsp:val=&quot;00271828&quot;/&gt;&lt;wsp:rsid wsp:val=&quot;002729AA&quot;/&gt;&lt;wsp:rsid wsp:val=&quot;00272A15&quot;/&gt;&lt;wsp:rsid wsp:val=&quot;002744A7&quot;/&gt;&lt;wsp:rsid wsp:val=&quot;00280E83&quot;/&gt;&lt;wsp:rsid wsp:val=&quot;00282EE9&quot;/&gt;&lt;wsp:rsid wsp:val=&quot;002831CB&quot;/&gt;&lt;wsp:rsid wsp:val=&quot;0028662E&quot;/&gt;&lt;wsp:rsid wsp:val=&quot;002875DE&quot;/&gt;&lt;wsp:rsid wsp:val=&quot;00290129&quot;/&gt;&lt;wsp:rsid wsp:val=&quot;00290391&quot;/&gt;&lt;wsp:rsid wsp:val=&quot;00291106&quot;/&gt;&lt;wsp:rsid wsp:val=&quot;002913C4&quot;/&gt;&lt;wsp:rsid wsp:val=&quot;00291AE8&quot;/&gt;&lt;wsp:rsid wsp:val=&quot;00293119&quot;/&gt;&lt;wsp:rsid wsp:val=&quot;002939EC&quot;/&gt;&lt;wsp:rsid wsp:val=&quot;00294716&quot;/&gt;&lt;wsp:rsid wsp:val=&quot;00295007&quot;/&gt;&lt;wsp:rsid wsp:val=&quot;00296211&quot;/&gt;&lt;wsp:rsid wsp:val=&quot;00297524&quot;/&gt;&lt;wsp:rsid wsp:val=&quot;002A0812&quot;/&gt;&lt;wsp:rsid wsp:val=&quot;002A18CE&quot;/&gt;&lt;wsp:rsid wsp:val=&quot;002A1C5E&quot;/&gt;&lt;wsp:rsid wsp:val=&quot;002A2836&quot;/&gt;&lt;wsp:rsid wsp:val=&quot;002A2A85&quot;/&gt;&lt;wsp:rsid wsp:val=&quot;002A30AF&quot;/&gt;&lt;wsp:rsid wsp:val=&quot;002A55AD&quot;/&gt;&lt;wsp:rsid wsp:val=&quot;002A7FCB&quot;/&gt;&lt;wsp:rsid wsp:val=&quot;002B075B&quot;/&gt;&lt;wsp:rsid wsp:val=&quot;002B0DD1&quot;/&gt;&lt;wsp:rsid wsp:val=&quot;002B14D6&quot;/&gt;&lt;wsp:rsid wsp:val=&quot;002B21F7&quot;/&gt;&lt;wsp:rsid wsp:val=&quot;002B2E0E&quot;/&gt;&lt;wsp:rsid wsp:val=&quot;002B30ED&quot;/&gt;&lt;wsp:rsid wsp:val=&quot;002B366E&quot;/&gt;&lt;wsp:rsid wsp:val=&quot;002B3982&quot;/&gt;&lt;wsp:rsid wsp:val=&quot;002B497C&quot;/&gt;&lt;wsp:rsid wsp:val=&quot;002B71C7&quot;/&gt;&lt;wsp:rsid wsp:val=&quot;002C0598&quot;/&gt;&lt;wsp:rsid wsp:val=&quot;002C090E&quot;/&gt;&lt;wsp:rsid wsp:val=&quot;002C29BF&quot;/&gt;&lt;wsp:rsid wsp:val=&quot;002C3612&quot;/&gt;&lt;wsp:rsid wsp:val=&quot;002C3DA7&quot;/&gt;&lt;wsp:rsid wsp:val=&quot;002C6926&quot;/&gt;&lt;wsp:rsid wsp:val=&quot;002C7C22&quot;/&gt;&lt;wsp:rsid wsp:val=&quot;002D6FD2&quot;/&gt;&lt;wsp:rsid wsp:val=&quot;002D7226&quot;/&gt;&lt;wsp:rsid wsp:val=&quot;002E245A&quot;/&gt;&lt;wsp:rsid wsp:val=&quot;002E320F&quot;/&gt;&lt;wsp:rsid wsp:val=&quot;002E3889&quot;/&gt;&lt;wsp:rsid wsp:val=&quot;002E4EF9&quot;/&gt;&lt;wsp:rsid wsp:val=&quot;002E7BED&quot;/&gt;&lt;wsp:rsid wsp:val=&quot;002F350E&quot;/&gt;&lt;wsp:rsid wsp:val=&quot;002F3555&quot;/&gt;&lt;wsp:rsid wsp:val=&quot;002F6552&quot;/&gt;&lt;wsp:rsid wsp:val=&quot;002F6769&quot;/&gt;&lt;wsp:rsid wsp:val=&quot;003008FC&quot;/&gt;&lt;wsp:rsid wsp:val=&quot;00300B36&quot;/&gt;&lt;wsp:rsid wsp:val=&quot;00301DA8&quot;/&gt;&lt;wsp:rsid wsp:val=&quot;003042B6&quot;/&gt;&lt;wsp:rsid wsp:val=&quot;003050B5&quot;/&gt;&lt;wsp:rsid wsp:val=&quot;00305D8A&quot;/&gt;&lt;wsp:rsid wsp:val=&quot;0030601F&quot;/&gt;&lt;wsp:rsid wsp:val=&quot;003070EF&quot;/&gt;&lt;wsp:rsid wsp:val=&quot;003077BF&quot;/&gt;&lt;wsp:rsid wsp:val=&quot;003078D5&quot;/&gt;&lt;wsp:rsid wsp:val=&quot;00307EC1&quot;/&gt;&lt;wsp:rsid wsp:val=&quot;00313106&quot;/&gt;&lt;wsp:rsid wsp:val=&quot;003132FC&quot;/&gt;&lt;wsp:rsid wsp:val=&quot;00313341&quot;/&gt;&lt;wsp:rsid wsp:val=&quot;003144AB&quot;/&gt;&lt;wsp:rsid wsp:val=&quot;003167B4&quot;/&gt;&lt;wsp:rsid wsp:val=&quot;0032197C&quot;/&gt;&lt;wsp:rsid wsp:val=&quot;00321BEE&quot;/&gt;&lt;wsp:rsid wsp:val=&quot;00322C35&quot;/&gt;&lt;wsp:rsid wsp:val=&quot;00323478&quot;/&gt;&lt;wsp:rsid wsp:val=&quot;0032466E&quot;/&gt;&lt;wsp:rsid wsp:val=&quot;003251E7&quot;/&gt;&lt;wsp:rsid wsp:val=&quot;003258DD&quot;/&gt;&lt;wsp:rsid wsp:val=&quot;00331507&quot;/&gt;&lt;wsp:rsid wsp:val=&quot;00331596&quot;/&gt;&lt;wsp:rsid wsp:val=&quot;00335689&quot;/&gt;&lt;wsp:rsid wsp:val=&quot;00336DF7&quot;/&gt;&lt;wsp:rsid wsp:val=&quot;00337B27&quot;/&gt;&lt;wsp:rsid wsp:val=&quot;00340082&quot;/&gt;&lt;wsp:rsid wsp:val=&quot;00341BE0&quot;/&gt;&lt;wsp:rsid wsp:val=&quot;00343197&quot;/&gt;&lt;wsp:rsid wsp:val=&quot;003440A4&quot;/&gt;&lt;wsp:rsid wsp:val=&quot;00345430&quot;/&gt;&lt;wsp:rsid wsp:val=&quot;00345DA0&quot;/&gt;&lt;wsp:rsid wsp:val=&quot;003469BD&quot;/&gt;&lt;wsp:rsid wsp:val=&quot;0035126E&quot;/&gt;&lt;wsp:rsid wsp:val=&quot;00352099&quot;/&gt;&lt;wsp:rsid wsp:val=&quot;00354943&quot;/&gt;&lt;wsp:rsid wsp:val=&quot;00356DD2&quot;/&gt;&lt;wsp:rsid wsp:val=&quot;0035771B&quot;/&gt;&lt;wsp:rsid wsp:val=&quot;003612F7&quot;/&gt;&lt;wsp:rsid wsp:val=&quot;0036504A&quot;/&gt;&lt;wsp:rsid wsp:val=&quot;00365628&quot;/&gt;&lt;wsp:rsid wsp:val=&quot;00366F3B&quot;/&gt;&lt;wsp:rsid wsp:val=&quot;00370D98&quot;/&gt;&lt;wsp:rsid wsp:val=&quot;00370F80&quot;/&gt;&lt;wsp:rsid wsp:val=&quot;00371C00&quot;/&gt;&lt;wsp:rsid wsp:val=&quot;003725E8&quot;/&gt;&lt;wsp:rsid wsp:val=&quot;00372814&quot;/&gt;&lt;wsp:rsid wsp:val=&quot;00373427&quot;/&gt;&lt;wsp:rsid wsp:val=&quot;0037385B&quot;/&gt;&lt;wsp:rsid wsp:val=&quot;0037392D&quot;/&gt;&lt;wsp:rsid wsp:val=&quot;0037564B&quot;/&gt;&lt;wsp:rsid wsp:val=&quot;00375B77&quot;/&gt;&lt;wsp:rsid wsp:val=&quot;00376054&quot;/&gt;&lt;wsp:rsid wsp:val=&quot;003801BF&quot;/&gt;&lt;wsp:rsid wsp:val=&quot;00380AD0&quot;/&gt;&lt;wsp:rsid wsp:val=&quot;003815A6&quot;/&gt;&lt;wsp:rsid wsp:val=&quot;00381CA6&quot;/&gt;&lt;wsp:rsid wsp:val=&quot;00381ECF&quot;/&gt;&lt;wsp:rsid wsp:val=&quot;00384EFE&quot;/&gt;&lt;wsp:rsid wsp:val=&quot;00386578&quot;/&gt;&lt;wsp:rsid wsp:val=&quot;00387D43&quot;/&gt;&lt;wsp:rsid wsp:val=&quot;003905F6&quot;/&gt;&lt;wsp:rsid wsp:val=&quot;00391031&quot;/&gt;&lt;wsp:rsid wsp:val=&quot;00392872&quot;/&gt;&lt;wsp:rsid wsp:val=&quot;0039538F&quot;/&gt;&lt;wsp:rsid wsp:val=&quot;0039632D&quot;/&gt;&lt;wsp:rsid wsp:val=&quot;0039733A&quot;/&gt;&lt;wsp:rsid wsp:val=&quot;0039740E&quot;/&gt;&lt;wsp:rsid wsp:val=&quot;003A016A&quot;/&gt;&lt;wsp:rsid wsp:val=&quot;003A06E4&quot;/&gt;&lt;wsp:rsid wsp:val=&quot;003A206A&quot;/&gt;&lt;wsp:rsid wsp:val=&quot;003A24FB&quot;/&gt;&lt;wsp:rsid wsp:val=&quot;003A2EBF&quot;/&gt;&lt;wsp:rsid wsp:val=&quot;003A37D1&quot;/&gt;&lt;wsp:rsid wsp:val=&quot;003A5D3B&quot;/&gt;&lt;wsp:rsid wsp:val=&quot;003B0A6B&quot;/&gt;&lt;wsp:rsid wsp:val=&quot;003B0D81&quot;/&gt;&lt;wsp:rsid wsp:val=&quot;003B1AE9&quot;/&gt;&lt;wsp:rsid wsp:val=&quot;003B1F1D&quot;/&gt;&lt;wsp:rsid wsp:val=&quot;003B2B80&quot;/&gt;&lt;wsp:rsid wsp:val=&quot;003B3CB4&quot;/&gt;&lt;wsp:rsid wsp:val=&quot;003B5A26&quot;/&gt;&lt;wsp:rsid wsp:val=&quot;003B606F&quot;/&gt;&lt;wsp:rsid wsp:val=&quot;003B6FD2&quot;/&gt;&lt;wsp:rsid wsp:val=&quot;003B736C&quot;/&gt;&lt;wsp:rsid wsp:val=&quot;003C14E0&quot;/&gt;&lt;wsp:rsid wsp:val=&quot;003C17F6&quot;/&gt;&lt;wsp:rsid wsp:val=&quot;003C1CFE&quot;/&gt;&lt;wsp:rsid wsp:val=&quot;003C4B3A&quot;/&gt;&lt;wsp:rsid wsp:val=&quot;003C6325&quot;/&gt;&lt;wsp:rsid wsp:val=&quot;003C64FF&quot;/&gt;&lt;wsp:rsid wsp:val=&quot;003C698C&quot;/&gt;&lt;wsp:rsid wsp:val=&quot;003C6D85&quot;/&gt;&lt;wsp:rsid wsp:val=&quot;003C757A&quot;/&gt;&lt;wsp:rsid wsp:val=&quot;003C7BBC&quot;/&gt;&lt;wsp:rsid wsp:val=&quot;003D0EAC&quot;/&gt;&lt;wsp:rsid wsp:val=&quot;003D0F47&quot;/&gt;&lt;wsp:rsid wsp:val=&quot;003D2AB7&quot;/&gt;&lt;wsp:rsid wsp:val=&quot;003D6D63&quot;/&gt;&lt;wsp:rsid wsp:val=&quot;003D715B&quot;/&gt;&lt;wsp:rsid wsp:val=&quot;003D79EA&quot;/&gt;&lt;wsp:rsid wsp:val=&quot;003D7F57&quot;/&gt;&lt;wsp:rsid wsp:val=&quot;003E0BD5&quot;/&gt;&lt;wsp:rsid wsp:val=&quot;003E0CB0&quot;/&gt;&lt;wsp:rsid wsp:val=&quot;003E19CF&quot;/&gt;&lt;wsp:rsid wsp:val=&quot;003E377E&quot;/&gt;&lt;wsp:rsid wsp:val=&quot;003E3911&quot;/&gt;&lt;wsp:rsid wsp:val=&quot;003E5C2F&quot;/&gt;&lt;wsp:rsid wsp:val=&quot;003E6085&quot;/&gt;&lt;wsp:rsid wsp:val=&quot;003E6C8D&quot;/&gt;&lt;wsp:rsid wsp:val=&quot;003F1213&quot;/&gt;&lt;wsp:rsid wsp:val=&quot;003F1A43&quot;/&gt;&lt;wsp:rsid wsp:val=&quot;003F2100&quot;/&gt;&lt;wsp:rsid wsp:val=&quot;003F385A&quot;/&gt;&lt;wsp:rsid wsp:val=&quot;003F4F9C&quot;/&gt;&lt;wsp:rsid wsp:val=&quot;003F5468&quot;/&gt;&lt;wsp:rsid wsp:val=&quot;003F5A9F&quot;/&gt;&lt;wsp:rsid wsp:val=&quot;00401359&quot;/&gt;&lt;wsp:rsid wsp:val=&quot;0040339D&quot;/&gt;&lt;wsp:rsid wsp:val=&quot;0040385B&quot;/&gt;&lt;wsp:rsid wsp:val=&quot;004040F2&quot;/&gt;&lt;wsp:rsid wsp:val=&quot;004050EE&quot;/&gt;&lt;wsp:rsid wsp:val=&quot;00405311&quot;/&gt;&lt;wsp:rsid wsp:val=&quot;0040622A&quot;/&gt;&lt;wsp:rsid wsp:val=&quot;004074FF&quot;/&gt;&lt;wsp:rsid wsp:val=&quot;004078B3&quot;/&gt;&lt;wsp:rsid wsp:val=&quot;00407EA8&quot;/&gt;&lt;wsp:rsid wsp:val=&quot;0041094D&quot;/&gt;&lt;wsp:rsid wsp:val=&quot;00411E9B&quot;/&gt;&lt;wsp:rsid wsp:val=&quot;00411F91&quot;/&gt;&lt;wsp:rsid wsp:val=&quot;004128FE&quot;/&gt;&lt;wsp:rsid wsp:val=&quot;004138D6&quot;/&gt;&lt;wsp:rsid wsp:val=&quot;0041470D&quot;/&gt;&lt;wsp:rsid wsp:val=&quot;00414FBA&quot;/&gt;&lt;wsp:rsid wsp:val=&quot;004152D0&quot;/&gt;&lt;wsp:rsid wsp:val=&quot;00415435&quot;/&gt;&lt;wsp:rsid wsp:val=&quot;00416177&quot;/&gt;&lt;wsp:rsid wsp:val=&quot;00416FF6&quot;/&gt;&lt;wsp:rsid wsp:val=&quot;00417188&quot;/&gt;&lt;wsp:rsid wsp:val=&quot;00417493&quot;/&gt;&lt;wsp:rsid wsp:val=&quot;0042031E&quot;/&gt;&lt;wsp:rsid wsp:val=&quot;004215DF&quot;/&gt;&lt;wsp:rsid wsp:val=&quot;00421DE5&quot;/&gt;&lt;wsp:rsid wsp:val=&quot;00422A73&quot;/&gt;&lt;wsp:rsid wsp:val=&quot;004244E4&quot;/&gt;&lt;wsp:rsid wsp:val=&quot;00424B8F&quot;/&gt;&lt;wsp:rsid wsp:val=&quot;0042683D&quot;/&gt;&lt;wsp:rsid wsp:val=&quot;00426843&quot;/&gt;&lt;wsp:rsid wsp:val=&quot;004279BB&quot;/&gt;&lt;wsp:rsid wsp:val=&quot;0043032A&quot;/&gt;&lt;wsp:rsid wsp:val=&quot;004320FB&quot;/&gt;&lt;wsp:rsid wsp:val=&quot;0043246A&quot;/&gt;&lt;wsp:rsid wsp:val=&quot;0043389D&quot;/&gt;&lt;wsp:rsid wsp:val=&quot;004342C3&quot;/&gt;&lt;wsp:rsid wsp:val=&quot;00437AE4&quot;/&gt;&lt;wsp:rsid wsp:val=&quot;0044110E&quot;/&gt;&lt;wsp:rsid wsp:val=&quot;00441D71&quot;/&gt;&lt;wsp:rsid wsp:val=&quot;004442E8&quot;/&gt;&lt;wsp:rsid wsp:val=&quot;0044443D&quot;/&gt;&lt;wsp:rsid wsp:val=&quot;00444702&quot;/&gt;&lt;wsp:rsid wsp:val=&quot;0044511F&quot;/&gt;&lt;wsp:rsid wsp:val=&quot;00446977&quot;/&gt;&lt;wsp:rsid wsp:val=&quot;004479B9&quot;/&gt;&lt;wsp:rsid wsp:val=&quot;004507EC&quot;/&gt;&lt;wsp:rsid wsp:val=&quot;004520DF&quot;/&gt;&lt;wsp:rsid wsp:val=&quot;0045306D&quot;/&gt;&lt;wsp:rsid wsp:val=&quot;00456441&quot;/&gt;&lt;wsp:rsid wsp:val=&quot;0046027B&quot;/&gt;&lt;wsp:rsid wsp:val=&quot;00462610&quot;/&gt;&lt;wsp:rsid wsp:val=&quot;00462A31&quot;/&gt;&lt;wsp:rsid wsp:val=&quot;00462CD4&quot;/&gt;&lt;wsp:rsid wsp:val=&quot;0046548C&quot;/&gt;&lt;wsp:rsid wsp:val=&quot;004678ED&quot;/&gt;&lt;wsp:rsid wsp:val=&quot;00471C07&quot;/&gt;&lt;wsp:rsid wsp:val=&quot;00471FBB&quot;/&gt;&lt;wsp:rsid wsp:val=&quot;0047444A&quot;/&gt;&lt;wsp:rsid wsp:val=&quot;00475412&quot;/&gt;&lt;wsp:rsid wsp:val=&quot;00475C49&quot;/&gt;&lt;wsp:rsid wsp:val=&quot;00475E99&quot;/&gt;&lt;wsp:rsid wsp:val=&quot;00476197&quot;/&gt;&lt;wsp:rsid wsp:val=&quot;00476699&quot;/&gt;&lt;wsp:rsid wsp:val=&quot;00476BC0&quot;/&gt;&lt;wsp:rsid wsp:val=&quot;0047745E&quot;/&gt;&lt;wsp:rsid wsp:val=&quot;00480E6E&quot;/&gt;&lt;wsp:rsid wsp:val=&quot;004820FC&quot;/&gt;&lt;wsp:rsid wsp:val=&quot;00483528&quot;/&gt;&lt;wsp:rsid wsp:val=&quot;00485F51&quot;/&gt;&lt;wsp:rsid wsp:val=&quot;00486C16&quot;/&gt;&lt;wsp:rsid wsp:val=&quot;0048776B&quot;/&gt;&lt;wsp:rsid wsp:val=&quot;00490D41&quot;/&gt;&lt;wsp:rsid wsp:val=&quot;00492DCF&quot;/&gt;&lt;wsp:rsid wsp:val=&quot;00493316&quot;/&gt;&lt;wsp:rsid wsp:val=&quot;004936CE&quot;/&gt;&lt;wsp:rsid wsp:val=&quot;00493E3A&quot;/&gt;&lt;wsp:rsid wsp:val=&quot;00493F14&quot;/&gt;&lt;wsp:rsid wsp:val=&quot;00493F50&quot;/&gt;&lt;wsp:rsid wsp:val=&quot;00494387&quot;/&gt;&lt;wsp:rsid wsp:val=&quot;00495341&quot;/&gt;&lt;wsp:rsid wsp:val=&quot;004956C8&quot;/&gt;&lt;wsp:rsid wsp:val=&quot;00495722&quot;/&gt;&lt;wsp:rsid wsp:val=&quot;0049664E&quot;/&gt;&lt;wsp:rsid wsp:val=&quot;004A0A13&quot;/&gt;&lt;wsp:rsid wsp:val=&quot;004A0D4A&quot;/&gt;&lt;wsp:rsid wsp:val=&quot;004A17D4&quot;/&gt;&lt;wsp:rsid wsp:val=&quot;004A2472&quot;/&gt;&lt;wsp:rsid wsp:val=&quot;004A24C1&quot;/&gt;&lt;wsp:rsid wsp:val=&quot;004A4496&quot;/&gt;&lt;wsp:rsid wsp:val=&quot;004A482E&quot;/&gt;&lt;wsp:rsid wsp:val=&quot;004A5CA7&quot;/&gt;&lt;wsp:rsid wsp:val=&quot;004A6080&quot;/&gt;&lt;wsp:rsid wsp:val=&quot;004A7C06&quot;/&gt;&lt;wsp:rsid wsp:val=&quot;004A7C2F&quot;/&gt;&lt;wsp:rsid wsp:val=&quot;004B23A8&quot;/&gt;&lt;wsp:rsid wsp:val=&quot;004B3575&quot;/&gt;&lt;wsp:rsid wsp:val=&quot;004B3D6A&quot;/&gt;&lt;wsp:rsid wsp:val=&quot;004C091E&quot;/&gt;&lt;wsp:rsid wsp:val=&quot;004C15AF&quot;/&gt;&lt;wsp:rsid wsp:val=&quot;004C2F40&quot;/&gt;&lt;wsp:rsid wsp:val=&quot;004C5178&quot;/&gt;&lt;wsp:rsid wsp:val=&quot;004C644B&quot;/&gt;&lt;wsp:rsid wsp:val=&quot;004C6FCD&quot;/&gt;&lt;wsp:rsid wsp:val=&quot;004C71BE&quot;/&gt;&lt;wsp:rsid wsp:val=&quot;004C73FD&quot;/&gt;&lt;wsp:rsid wsp:val=&quot;004C7D52&quot;/&gt;&lt;wsp:rsid wsp:val=&quot;004D1850&quot;/&gt;&lt;wsp:rsid wsp:val=&quot;004D1B28&quot;/&gt;&lt;wsp:rsid wsp:val=&quot;004D46D4&quot;/&gt;&lt;wsp:rsid wsp:val=&quot;004D6C51&quot;/&gt;&lt;wsp:rsid wsp:val=&quot;004D7BC7&quot;/&gt;&lt;wsp:rsid wsp:val=&quot;004D7DD8&quot;/&gt;&lt;wsp:rsid wsp:val=&quot;004E0C65&quot;/&gt;&lt;wsp:rsid wsp:val=&quot;004E17F3&quot;/&gt;&lt;wsp:rsid wsp:val=&quot;004E1C46&quot;/&gt;&lt;wsp:rsid wsp:val=&quot;004E2D07&quot;/&gt;&lt;wsp:rsid wsp:val=&quot;004E2DF6&quot;/&gt;&lt;wsp:rsid wsp:val=&quot;004E49C5&quot;/&gt;&lt;wsp:rsid wsp:val=&quot;004E6769&quot;/&gt;&lt;wsp:rsid wsp:val=&quot;004E6A20&quot;/&gt;&lt;wsp:rsid wsp:val=&quot;004E6E7F&quot;/&gt;&lt;wsp:rsid wsp:val=&quot;004E727D&quot;/&gt;&lt;wsp:rsid wsp:val=&quot;004F1E32&quot;/&gt;&lt;wsp:rsid wsp:val=&quot;004F22D0&quot;/&gt;&lt;wsp:rsid wsp:val=&quot;004F2BCB&quot;/&gt;&lt;wsp:rsid wsp:val=&quot;004F7EE5&quot;/&gt;&lt;wsp:rsid wsp:val=&quot;00502019&quot;/&gt;&lt;wsp:rsid wsp:val=&quot;00504BCD&quot;/&gt;&lt;wsp:rsid wsp:val=&quot;00505D54&quot;/&gt;&lt;wsp:rsid wsp:val=&quot;0051084E&quot;/&gt;&lt;wsp:rsid wsp:val=&quot;005111CB&quot;/&gt;&lt;wsp:rsid wsp:val=&quot;00512C31&quot;/&gt;&lt;wsp:rsid wsp:val=&quot;00516574&quot;/&gt;&lt;wsp:rsid wsp:val=&quot;00521EB2&quot;/&gt;&lt;wsp:rsid wsp:val=&quot;0052211D&quot;/&gt;&lt;wsp:rsid wsp:val=&quot;00522700&quot;/&gt;&lt;wsp:rsid wsp:val=&quot;00523015&quot;/&gt;&lt;wsp:rsid wsp:val=&quot;005246CE&quot;/&gt;&lt;wsp:rsid wsp:val=&quot;0052704A&quot;/&gt;&lt;wsp:rsid wsp:val=&quot;005271DC&quot;/&gt;&lt;wsp:rsid wsp:val=&quot;005271E4&quot;/&gt;&lt;wsp:rsid wsp:val=&quot;005273DE&quot;/&gt;&lt;wsp:rsid wsp:val=&quot;0053290C&quot;/&gt;&lt;wsp:rsid wsp:val=&quot;00532D02&quot;/&gt;&lt;wsp:rsid wsp:val=&quot;00533957&quot;/&gt;&lt;wsp:rsid wsp:val=&quot;005362C8&quot;/&gt;&lt;wsp:rsid wsp:val=&quot;00536436&quot;/&gt;&lt;wsp:rsid wsp:val=&quot;0053663C&quot;/&gt;&lt;wsp:rsid wsp:val=&quot;005376C7&quot;/&gt;&lt;wsp:rsid wsp:val=&quot;00537AD6&quot;/&gt;&lt;wsp:rsid wsp:val=&quot;00542051&quot;/&gt;&lt;wsp:rsid wsp:val=&quot;0054324E&quot;/&gt;&lt;wsp:rsid wsp:val=&quot;0054441A&quot;/&gt;&lt;wsp:rsid wsp:val=&quot;00545157&quot;/&gt;&lt;wsp:rsid wsp:val=&quot;00545F85&quot;/&gt;&lt;wsp:rsid wsp:val=&quot;00546D51&quot;/&gt;&lt;wsp:rsid wsp:val=&quot;00546F09&quot;/&gt;&lt;wsp:rsid wsp:val=&quot;0054746B&quot;/&gt;&lt;wsp:rsid wsp:val=&quot;00547F09&quot;/&gt;&lt;wsp:rsid wsp:val=&quot;00550614&quot;/&gt;&lt;wsp:rsid wsp:val=&quot;00550EB1&quot;/&gt;&lt;wsp:rsid wsp:val=&quot;00553CD6&quot;/&gt;&lt;wsp:rsid wsp:val=&quot;00553FD7&quot;/&gt;&lt;wsp:rsid wsp:val=&quot;005577D1&quot;/&gt;&lt;wsp:rsid wsp:val=&quot;0056002D&quot;/&gt;&lt;wsp:rsid wsp:val=&quot;00560034&quot;/&gt;&lt;wsp:rsid wsp:val=&quot;0056089D&quot;/&gt;&lt;wsp:rsid wsp:val=&quot;0056091E&quot;/&gt;&lt;wsp:rsid wsp:val=&quot;00560B13&quot;/&gt;&lt;wsp:rsid wsp:val=&quot;00564F65&quot;/&gt;&lt;wsp:rsid wsp:val=&quot;0056594B&quot;/&gt;&lt;wsp:rsid wsp:val=&quot;005662DA&quot;/&gt;&lt;wsp:rsid wsp:val=&quot;00566EE2&quot;/&gt;&lt;wsp:rsid wsp:val=&quot;0056753A&quot;/&gt;&lt;wsp:rsid wsp:val=&quot;00570515&quot;/&gt;&lt;wsp:rsid wsp:val=&quot;005706B4&quot;/&gt;&lt;wsp:rsid wsp:val=&quot;0057128B&quot;/&gt;&lt;wsp:rsid wsp:val=&quot;005715A6&quot;/&gt;&lt;wsp:rsid wsp:val=&quot;0057591C&quot;/&gt;&lt;wsp:rsid wsp:val=&quot;00577149&quot;/&gt;&lt;wsp:rsid wsp:val=&quot;0058002B&quot;/&gt;&lt;wsp:rsid wsp:val=&quot;00580FE2&quot;/&gt;&lt;wsp:rsid wsp:val=&quot;005830C2&quot;/&gt;&lt;wsp:rsid wsp:val=&quot;00583691&quot;/&gt;&lt;wsp:rsid wsp:val=&quot;0058679E&quot;/&gt;&lt;wsp:rsid wsp:val=&quot;00586A13&quot;/&gt;&lt;wsp:rsid wsp:val=&quot;0058716E&quot;/&gt;&lt;wsp:rsid wsp:val=&quot;0059007C&quot;/&gt;&lt;wsp:rsid wsp:val=&quot;0059068E&quot;/&gt;&lt;wsp:rsid wsp:val=&quot;00590E8B&quot;/&gt;&lt;wsp:rsid wsp:val=&quot;0059173D&quot;/&gt;&lt;wsp:rsid wsp:val=&quot;00591CC0&quot;/&gt;&lt;wsp:rsid wsp:val=&quot;005945A8&quot;/&gt;&lt;wsp:rsid wsp:val=&quot;005954C2&quot;/&gt;&lt;wsp:rsid wsp:val=&quot;00595775&quot;/&gt;&lt;wsp:rsid wsp:val=&quot;00596197&quot;/&gt;&lt;wsp:rsid wsp:val=&quot;005A0932&quot;/&gt;&lt;wsp:rsid wsp:val=&quot;005A11C3&quot;/&gt;&lt;wsp:rsid wsp:val=&quot;005A4140&quot;/&gt;&lt;wsp:rsid wsp:val=&quot;005A62EB&quot;/&gt;&lt;wsp:rsid wsp:val=&quot;005B166B&quot;/&gt;&lt;wsp:rsid wsp:val=&quot;005B1EE3&quot;/&gt;&lt;wsp:rsid wsp:val=&quot;005B4289&quot;/&gt;&lt;wsp:rsid wsp:val=&quot;005B6D29&quot;/&gt;&lt;wsp:rsid wsp:val=&quot;005B7073&quot;/&gt;&lt;wsp:rsid wsp:val=&quot;005B735E&quot;/&gt;&lt;wsp:rsid wsp:val=&quot;005C041B&quot;/&gt;&lt;wsp:rsid wsp:val=&quot;005C4DD6&quot;/&gt;&lt;wsp:rsid wsp:val=&quot;005C61AA&quot;/&gt;&lt;wsp:rsid wsp:val=&quot;005C77CC&quot;/&gt;&lt;wsp:rsid wsp:val=&quot;005C7CFC&quot;/&gt;&lt;wsp:rsid wsp:val=&quot;005C7D42&quot;/&gt;&lt;wsp:rsid wsp:val=&quot;005C7E83&quot;/&gt;&lt;wsp:rsid wsp:val=&quot;005D0AC2&quot;/&gt;&lt;wsp:rsid wsp:val=&quot;005D0BF4&quot;/&gt;&lt;wsp:rsid wsp:val=&quot;005D0F2D&quot;/&gt;&lt;wsp:rsid wsp:val=&quot;005D1BB4&quot;/&gt;&lt;wsp:rsid wsp:val=&quot;005D2D71&quot;/&gt;&lt;wsp:rsid wsp:val=&quot;005D394A&quot;/&gt;&lt;wsp:rsid wsp:val=&quot;005D4576&quot;/&gt;&lt;wsp:rsid wsp:val=&quot;005D4973&quot;/&gt;&lt;wsp:rsid wsp:val=&quot;005D4F55&quot;/&gt;&lt;wsp:rsid wsp:val=&quot;005D56D9&quot;/&gt;&lt;wsp:rsid wsp:val=&quot;005D5EA1&quot;/&gt;&lt;wsp:rsid wsp:val=&quot;005D6169&quot;/&gt;&lt;wsp:rsid wsp:val=&quot;005D7F02&quot;/&gt;&lt;wsp:rsid wsp:val=&quot;005E15A9&quot;/&gt;&lt;wsp:rsid wsp:val=&quot;005E2904&quot;/&gt;&lt;wsp:rsid wsp:val=&quot;005E2B0F&quot;/&gt;&lt;wsp:rsid wsp:val=&quot;005E36FB&quot;/&gt;&lt;wsp:rsid wsp:val=&quot;005E3F00&quot;/&gt;&lt;wsp:rsid wsp:val=&quot;005E5E87&quot;/&gt;&lt;wsp:rsid wsp:val=&quot;005F046A&quot;/&gt;&lt;wsp:rsid wsp:val=&quot;005F061F&quot;/&gt;&lt;wsp:rsid wsp:val=&quot;005F0A97&quot;/&gt;&lt;wsp:rsid wsp:val=&quot;005F0E57&quot;/&gt;&lt;wsp:rsid wsp:val=&quot;005F1923&quot;/&gt;&lt;wsp:rsid wsp:val=&quot;005F24E1&quot;/&gt;&lt;wsp:rsid wsp:val=&quot;005F250F&quot;/&gt;&lt;wsp:rsid wsp:val=&quot;005F2604&quot;/&gt;&lt;wsp:rsid wsp:val=&quot;005F317A&quot;/&gt;&lt;wsp:rsid wsp:val=&quot;005F366A&quot;/&gt;&lt;wsp:rsid wsp:val=&quot;005F7234&quot;/&gt;&lt;wsp:rsid wsp:val=&quot;00601E17&quot;/&gt;&lt;wsp:rsid wsp:val=&quot;00601EB6&quot;/&gt;&lt;wsp:rsid wsp:val=&quot;0060292C&quot;/&gt;&lt;wsp:rsid wsp:val=&quot;00603331&quot;/&gt;&lt;wsp:rsid wsp:val=&quot;006036B3&quot;/&gt;&lt;wsp:rsid wsp:val=&quot;00605B63&quot;/&gt;&lt;wsp:rsid wsp:val=&quot;006063C5&quot;/&gt;&lt;wsp:rsid wsp:val=&quot;00606C6A&quot;/&gt;&lt;wsp:rsid wsp:val=&quot;00607BD8&quot;/&gt;&lt;wsp:rsid wsp:val=&quot;0061029A&quot;/&gt;&lt;wsp:rsid wsp:val=&quot;0061096D&quot;/&gt;&lt;wsp:rsid wsp:val=&quot;00610DBB&quot;/&gt;&lt;wsp:rsid wsp:val=&quot;006119E5&quot;/&gt;&lt;wsp:rsid wsp:val=&quot;00611C57&quot;/&gt;&lt;wsp:rsid wsp:val=&quot;00612113&quot;/&gt;&lt;wsp:rsid wsp:val=&quot;00612E91&quot;/&gt;&lt;wsp:rsid wsp:val=&quot;00613874&quot;/&gt;&lt;wsp:rsid wsp:val=&quot;00614C02&quot;/&gt;&lt;wsp:rsid wsp:val=&quot;00615246&quot;/&gt;&lt;wsp:rsid wsp:val=&quot;006172FB&quot;/&gt;&lt;wsp:rsid wsp:val=&quot;006179D9&quot;/&gt;&lt;wsp:rsid wsp:val=&quot;0062037F&quot;/&gt;&lt;wsp:rsid wsp:val=&quot;00620CA5&quot;/&gt;&lt;wsp:rsid wsp:val=&quot;00622D20&quot;/&gt;&lt;wsp:rsid wsp:val=&quot;006242C9&quot;/&gt;&lt;wsp:rsid wsp:val=&quot;00625879&quot;/&gt;&lt;wsp:rsid wsp:val=&quot;006259F8&quot;/&gt;&lt;wsp:rsid wsp:val=&quot;00626489&quot;/&gt;&lt;wsp:rsid wsp:val=&quot;006301A8&quot;/&gt;&lt;wsp:rsid wsp:val=&quot;0063111C&quot;/&gt;&lt;wsp:rsid wsp:val=&quot;00634A02&quot;/&gt;&lt;wsp:rsid wsp:val=&quot;006369C1&quot;/&gt;&lt;wsp:rsid wsp:val=&quot;00636A77&quot;/&gt;&lt;wsp:rsid wsp:val=&quot;00636EA6&quot;/&gt;&lt;wsp:rsid wsp:val=&quot;006409F4&quot;/&gt;&lt;wsp:rsid wsp:val=&quot;00642AE1&quot;/&gt;&lt;wsp:rsid wsp:val=&quot;00642E1B&quot;/&gt;&lt;wsp:rsid wsp:val=&quot;00643A18&quot;/&gt;&lt;wsp:rsid wsp:val=&quot;006451FD&quot;/&gt;&lt;wsp:rsid wsp:val=&quot;00646452&quot;/&gt;&lt;wsp:rsid wsp:val=&quot;00647381&quot;/&gt;&lt;wsp:rsid wsp:val=&quot;00647679&quot;/&gt;&lt;wsp:rsid wsp:val=&quot;00647A24&quot;/&gt;&lt;wsp:rsid wsp:val=&quot;006514AB&quot;/&gt;&lt;wsp:rsid wsp:val=&quot;00652FA2&quot;/&gt;&lt;wsp:rsid wsp:val=&quot;00653CF1&quot;/&gt;&lt;wsp:rsid wsp:val=&quot;00653FE9&quot;/&gt;&lt;wsp:rsid wsp:val=&quot;00654EF1&quot;/&gt;&lt;wsp:rsid wsp:val=&quot;00656B5F&quot;/&gt;&lt;wsp:rsid wsp:val=&quot;006572A6&quot;/&gt;&lt;wsp:rsid wsp:val=&quot;006606D1&quot;/&gt;&lt;wsp:rsid wsp:val=&quot;00661F8F&quot;/&gt;&lt;wsp:rsid wsp:val=&quot;006624C0&quot;/&gt;&lt;wsp:rsid wsp:val=&quot;00663EC4&quot;/&gt;&lt;wsp:rsid wsp:val=&quot;006667C8&quot;/&gt;&lt;wsp:rsid wsp:val=&quot;0066753C&quot;/&gt;&lt;wsp:rsid wsp:val=&quot;0067131A&quot;/&gt;&lt;wsp:rsid wsp:val=&quot;00673853&quot;/&gt;&lt;wsp:rsid wsp:val=&quot;0067644B&quot;/&gt;&lt;wsp:rsid wsp:val=&quot;00677018&quot;/&gt;&lt;wsp:rsid wsp:val=&quot;00677883&quot;/&gt;&lt;wsp:rsid wsp:val=&quot;0068191B&quot;/&gt;&lt;wsp:rsid wsp:val=&quot;00683718&quot;/&gt;&lt;wsp:rsid wsp:val=&quot;00686F4D&quot;/&gt;&lt;wsp:rsid wsp:val=&quot;00690CD5&quot;/&gt;&lt;wsp:rsid wsp:val=&quot;0069191A&quot;/&gt;&lt;wsp:rsid wsp:val=&quot;006939E2&quot;/&gt;&lt;wsp:rsid wsp:val=&quot;00693A0D&quot;/&gt;&lt;wsp:rsid wsp:val=&quot;00694D29&quot;/&gt;&lt;wsp:rsid wsp:val=&quot;006952C5&quot;/&gt;&lt;wsp:rsid wsp:val=&quot;00695880&quot;/&gt;&lt;wsp:rsid wsp:val=&quot;006969F7&quot;/&gt;&lt;wsp:rsid wsp:val=&quot;006979FF&quot;/&gt;&lt;wsp:rsid wsp:val=&quot;006A20A0&quot;/&gt;&lt;wsp:rsid wsp:val=&quot;006A28F9&quot;/&gt;&lt;wsp:rsid wsp:val=&quot;006A2D4B&quot;/&gt;&lt;wsp:rsid wsp:val=&quot;006A2FD4&quot;/&gt;&lt;wsp:rsid wsp:val=&quot;006A3121&quot;/&gt;&lt;wsp:rsid wsp:val=&quot;006A3419&quot;/&gt;&lt;wsp:rsid wsp:val=&quot;006A37ED&quot;/&gt;&lt;wsp:rsid wsp:val=&quot;006A5EA6&quot;/&gt;&lt;wsp:rsid wsp:val=&quot;006A77F6&quot;/&gt;&lt;wsp:rsid wsp:val=&quot;006B068E&quot;/&gt;&lt;wsp:rsid wsp:val=&quot;006B23CD&quot;/&gt;&lt;wsp:rsid wsp:val=&quot;006B3B29&quot;/&gt;&lt;wsp:rsid wsp:val=&quot;006B3F9A&quot;/&gt;&lt;wsp:rsid wsp:val=&quot;006B69D7&quot;/&gt;&lt;wsp:rsid wsp:val=&quot;006B72B3&quot;/&gt;&lt;wsp:rsid wsp:val=&quot;006B7C3A&quot;/&gt;&lt;wsp:rsid wsp:val=&quot;006B7CE8&quot;/&gt;&lt;wsp:rsid wsp:val=&quot;006C1314&quot;/&gt;&lt;wsp:rsid wsp:val=&quot;006C1C0A&quot;/&gt;&lt;wsp:rsid wsp:val=&quot;006C1D01&quot;/&gt;&lt;wsp:rsid wsp:val=&quot;006C4D10&quot;/&gt;&lt;wsp:rsid wsp:val=&quot;006C52A9&quot;/&gt;&lt;wsp:rsid wsp:val=&quot;006C595E&quot;/&gt;&lt;wsp:rsid wsp:val=&quot;006D035C&quot;/&gt;&lt;wsp:rsid wsp:val=&quot;006D051A&quot;/&gt;&lt;wsp:rsid wsp:val=&quot;006D0DD1&quot;/&gt;&lt;wsp:rsid wsp:val=&quot;006D18AB&quot;/&gt;&lt;wsp:rsid wsp:val=&quot;006D2BCD&quot;/&gt;&lt;wsp:rsid wsp:val=&quot;006D315C&quot;/&gt;&lt;wsp:rsid wsp:val=&quot;006D326C&quot;/&gt;&lt;wsp:rsid wsp:val=&quot;006D3638&quot;/&gt;&lt;wsp:rsid wsp:val=&quot;006D44BE&quot;/&gt;&lt;wsp:rsid wsp:val=&quot;006D51F7&quot;/&gt;&lt;wsp:rsid wsp:val=&quot;006D564C&quot;/&gt;&lt;wsp:rsid wsp:val=&quot;006D6215&quot;/&gt;&lt;wsp:rsid wsp:val=&quot;006D6681&quot;/&gt;&lt;wsp:rsid wsp:val=&quot;006D77DA&quot;/&gt;&lt;wsp:rsid wsp:val=&quot;006E00E6&quot;/&gt;&lt;wsp:rsid wsp:val=&quot;006E0B36&quot;/&gt;&lt;wsp:rsid wsp:val=&quot;006E11D1&quot;/&gt;&lt;wsp:rsid wsp:val=&quot;006E195A&quot;/&gt;&lt;wsp:rsid wsp:val=&quot;006E3C03&quot;/&gt;&lt;wsp:rsid wsp:val=&quot;006E4833&quot;/&gt;&lt;wsp:rsid wsp:val=&quot;006E4C96&quot;/&gt;&lt;wsp:rsid wsp:val=&quot;006E554F&quot;/&gt;&lt;wsp:rsid wsp:val=&quot;006E7382&quot;/&gt;&lt;wsp:rsid wsp:val=&quot;006E7422&quot;/&gt;&lt;wsp:rsid wsp:val=&quot;006F16C8&quot;/&gt;&lt;wsp:rsid wsp:val=&quot;006F2A82&quot;/&gt;&lt;wsp:rsid wsp:val=&quot;006F2E23&quot;/&gt;&lt;wsp:rsid wsp:val=&quot;006F6665&quot;/&gt;&lt;wsp:rsid wsp:val=&quot;006F6D9F&quot;/&gt;&lt;wsp:rsid wsp:val=&quot;006F781B&quot;/&gt;&lt;wsp:rsid wsp:val=&quot;006F7B86&quot;/&gt;&lt;wsp:rsid wsp:val=&quot;00700132&quot;/&gt;&lt;wsp:rsid wsp:val=&quot;007010E8&quot;/&gt;&lt;wsp:rsid wsp:val=&quot;007010F0&quot;/&gt;&lt;wsp:rsid wsp:val=&quot;00703D3E&quot;/&gt;&lt;wsp:rsid wsp:val=&quot;00705134&quot;/&gt;&lt;wsp:rsid wsp:val=&quot;007070F9&quot;/&gt;&lt;wsp:rsid wsp:val=&quot;007109B6&quot;/&gt;&lt;wsp:rsid wsp:val=&quot;00710DC4&quot;/&gt;&lt;wsp:rsid wsp:val=&quot;00713600&quot;/&gt;&lt;wsp:rsid wsp:val=&quot;007143C0&quot;/&gt;&lt;wsp:rsid wsp:val=&quot;00714AAF&quot;/&gt;&lt;wsp:rsid wsp:val=&quot;007156DC&quot;/&gt;&lt;wsp:rsid wsp:val=&quot;00716238&quot;/&gt;&lt;wsp:rsid wsp:val=&quot;00716A83&quot;/&gt;&lt;wsp:rsid wsp:val=&quot;00716AEF&quot;/&gt;&lt;wsp:rsid wsp:val=&quot;00716DE5&quot;/&gt;&lt;wsp:rsid wsp:val=&quot;00717C58&quot;/&gt;&lt;wsp:rsid wsp:val=&quot;00717E6F&quot;/&gt;&lt;wsp:rsid wsp:val=&quot;007206E4&quot;/&gt;&lt;wsp:rsid wsp:val=&quot;00721972&quot;/&gt;&lt;wsp:rsid wsp:val=&quot;007227A5&quot;/&gt;&lt;wsp:rsid wsp:val=&quot;00722CC4&quot;/&gt;&lt;wsp:rsid wsp:val=&quot;007234E9&quot;/&gt;&lt;wsp:rsid wsp:val=&quot;00724D01&quot;/&gt;&lt;wsp:rsid wsp:val=&quot;00724D3B&quot;/&gt;&lt;wsp:rsid wsp:val=&quot;00727BFB&quot;/&gt;&lt;wsp:rsid wsp:val=&quot;00730561&quot;/&gt;&lt;wsp:rsid wsp:val=&quot;007313D8&quot;/&gt;&lt;wsp:rsid wsp:val=&quot;00732129&quot;/&gt;&lt;wsp:rsid wsp:val=&quot;00732BAF&quot;/&gt;&lt;wsp:rsid wsp:val=&quot;00732E8F&quot;/&gt;&lt;wsp:rsid wsp:val=&quot;00733AE8&quot;/&gt;&lt;wsp:rsid wsp:val=&quot;007342A0&quot;/&gt;&lt;wsp:rsid wsp:val=&quot;007349F2&quot;/&gt;&lt;wsp:rsid wsp:val=&quot;00735D0A&quot;/&gt;&lt;wsp:rsid wsp:val=&quot;00735E2E&quot;/&gt;&lt;wsp:rsid wsp:val=&quot;00737226&quot;/&gt;&lt;wsp:rsid wsp:val=&quot;007403C5&quot;/&gt;&lt;wsp:rsid wsp:val=&quot;00740584&quot;/&gt;&lt;wsp:rsid wsp:val=&quot;00741E1C&quot;/&gt;&lt;wsp:rsid wsp:val=&quot;00741E8F&quot;/&gt;&lt;wsp:rsid wsp:val=&quot;00741FA9&quot;/&gt;&lt;wsp:rsid wsp:val=&quot;00744596&quot;/&gt;&lt;wsp:rsid wsp:val=&quot;00746168&quot;/&gt;&lt;wsp:rsid wsp:val=&quot;00751A3B&quot;/&gt;&lt;wsp:rsid wsp:val=&quot;0075260A&quot;/&gt;&lt;wsp:rsid wsp:val=&quot;00756E4E&quot;/&gt;&lt;wsp:rsid wsp:val=&quot;007578FC&quot;/&gt;&lt;wsp:rsid wsp:val=&quot;00757968&quot;/&gt;&lt;wsp:rsid wsp:val=&quot;007608E3&quot;/&gt;&lt;wsp:rsid wsp:val=&quot;00760DBB&quot;/&gt;&lt;wsp:rsid wsp:val=&quot;00760EC9&quot;/&gt;&lt;wsp:rsid wsp:val=&quot;00761979&quot;/&gt;&lt;wsp:rsid wsp:val=&quot;00761A2A&quot;/&gt;&lt;wsp:rsid wsp:val=&quot;00762957&quot;/&gt;&lt;wsp:rsid wsp:val=&quot;00763BB4&quot;/&gt;&lt;wsp:rsid wsp:val=&quot;007640AB&quot;/&gt;&lt;wsp:rsid wsp:val=&quot;00765EDA&quot;/&gt;&lt;wsp:rsid wsp:val=&quot;007667D8&quot;/&gt;&lt;wsp:rsid wsp:val=&quot;0076758A&quot;/&gt;&lt;wsp:rsid wsp:val=&quot;007731B4&quot;/&gt;&lt;wsp:rsid wsp:val=&quot;00774243&quot;/&gt;&lt;wsp:rsid wsp:val=&quot;00775813&quot;/&gt;&lt;wsp:rsid wsp:val=&quot;00776033&quot;/&gt;&lt;wsp:rsid wsp:val=&quot;007766C1&quot;/&gt;&lt;wsp:rsid wsp:val=&quot;00776CD0&quot;/&gt;&lt;wsp:rsid wsp:val=&quot;007771A1&quot;/&gt;&lt;wsp:rsid wsp:val=&quot;00780B54&quot;/&gt;&lt;wsp:rsid wsp:val=&quot;007821B0&quot;/&gt;&lt;wsp:rsid wsp:val=&quot;0078307A&quot;/&gt;&lt;wsp:rsid wsp:val=&quot;007845AE&quot;/&gt;&lt;wsp:rsid wsp:val=&quot;00786278&quot;/&gt;&lt;wsp:rsid wsp:val=&quot;00786373&quot;/&gt;&lt;wsp:rsid wsp:val=&quot;007869A0&quot;/&gt;&lt;wsp:rsid wsp:val=&quot;007873EE&quot;/&gt;&lt;wsp:rsid wsp:val=&quot;00790150&quot;/&gt;&lt;wsp:rsid wsp:val=&quot;007915F5&quot;/&gt;&lt;wsp:rsid wsp:val=&quot;007925E1&quot;/&gt;&lt;wsp:rsid wsp:val=&quot;0079358C&quot;/&gt;&lt;wsp:rsid wsp:val=&quot;00793CEA&quot;/&gt;&lt;wsp:rsid wsp:val=&quot;0079442B&quot;/&gt;&lt;wsp:rsid wsp:val=&quot;00794B6C&quot;/&gt;&lt;wsp:rsid wsp:val=&quot;00794E1F&quot;/&gt;&lt;wsp:rsid wsp:val=&quot;007956C4&quot;/&gt;&lt;wsp:rsid wsp:val=&quot;0079683D&quot;/&gt;&lt;wsp:rsid wsp:val=&quot;00796F65&quot;/&gt;&lt;wsp:rsid wsp:val=&quot;00797F10&quot;/&gt;&lt;wsp:rsid wsp:val=&quot;007A43CD&quot;/&gt;&lt;wsp:rsid wsp:val=&quot;007A5E2F&quot;/&gt;&lt;wsp:rsid wsp:val=&quot;007A5E6B&quot;/&gt;&lt;wsp:rsid wsp:val=&quot;007A5FBE&quot;/&gt;&lt;wsp:rsid wsp:val=&quot;007B1DAF&quot;/&gt;&lt;wsp:rsid wsp:val=&quot;007B3673&quot;/&gt;&lt;wsp:rsid wsp:val=&quot;007B3BCB&quot;/&gt;&lt;wsp:rsid wsp:val=&quot;007B4555&quot;/&gt;&lt;wsp:rsid wsp:val=&quot;007B65AF&quot;/&gt;&lt;wsp:rsid wsp:val=&quot;007B6A61&quot;/&gt;&lt;wsp:rsid wsp:val=&quot;007C1724&quot;/&gt;&lt;wsp:rsid wsp:val=&quot;007C2952&quot;/&gt;&lt;wsp:rsid wsp:val=&quot;007C414F&quot;/&gt;&lt;wsp:rsid wsp:val=&quot;007C4282&quot;/&gt;&lt;wsp:rsid wsp:val=&quot;007C71FB&quot;/&gt;&lt;wsp:rsid wsp:val=&quot;007C7981&quot;/&gt;&lt;wsp:rsid wsp:val=&quot;007D0555&quot;/&gt;&lt;wsp:rsid wsp:val=&quot;007D4713&quot;/&gt;&lt;wsp:rsid wsp:val=&quot;007D49A8&quot;/&gt;&lt;wsp:rsid wsp:val=&quot;007D5EC9&quot;/&gt;&lt;wsp:rsid wsp:val=&quot;007D60A5&quot;/&gt;&lt;wsp:rsid wsp:val=&quot;007D6B6C&quot;/&gt;&lt;wsp:rsid wsp:val=&quot;007D78B2&quot;/&gt;&lt;wsp:rsid wsp:val=&quot;007E1203&quot;/&gt;&lt;wsp:rsid wsp:val=&quot;007E31A7&quot;/&gt;&lt;wsp:rsid wsp:val=&quot;007E3838&quot;/&gt;&lt;wsp:rsid wsp:val=&quot;007E474D&quot;/&gt;&lt;wsp:rsid wsp:val=&quot;007E4C70&quot;/&gt;&lt;wsp:rsid wsp:val=&quot;007E4D1E&quot;/&gt;&lt;wsp:rsid wsp:val=&quot;007E5D0C&quot;/&gt;&lt;wsp:rsid wsp:val=&quot;007E6BD0&quot;/&gt;&lt;wsp:rsid wsp:val=&quot;007E7000&quot;/&gt;&lt;wsp:rsid wsp:val=&quot;007E7131&quot;/&gt;&lt;wsp:rsid wsp:val=&quot;007E7183&quot;/&gt;&lt;wsp:rsid wsp:val=&quot;007F1CFF&quot;/&gt;&lt;wsp:rsid wsp:val=&quot;007F2000&quot;/&gt;&lt;wsp:rsid wsp:val=&quot;007F3659&quot;/&gt;&lt;wsp:rsid wsp:val=&quot;007F3F46&quot;/&gt;&lt;wsp:rsid wsp:val=&quot;007F4F6D&quot;/&gt;&lt;wsp:rsid wsp:val=&quot;007F61A4&quot;/&gt;&lt;wsp:rsid wsp:val=&quot;007F7D37&quot;/&gt;&lt;wsp:rsid wsp:val=&quot;00803529&quot;/&gt;&lt;wsp:rsid wsp:val=&quot;00803D84&quot;/&gt;&lt;wsp:rsid wsp:val=&quot;00803D8F&quot;/&gt;&lt;wsp:rsid wsp:val=&quot;008046F7&quot;/&gt;&lt;wsp:rsid wsp:val=&quot;008069AC&quot;/&gt;&lt;wsp:rsid wsp:val=&quot;008079DD&quot;/&gt;&lt;wsp:rsid wsp:val=&quot;0081006B&quot;/&gt;&lt;wsp:rsid wsp:val=&quot;0081154A&quot;/&gt;&lt;wsp:rsid wsp:val=&quot;008118DB&quot;/&gt;&lt;wsp:rsid wsp:val=&quot;00811A40&quot;/&gt;&lt;wsp:rsid wsp:val=&quot;008121B6&quot;/&gt;&lt;wsp:rsid wsp:val=&quot;00813767&quot;/&gt;&lt;wsp:rsid wsp:val=&quot;00813E7F&quot;/&gt;&lt;wsp:rsid wsp:val=&quot;00815A1F&quot;/&gt;&lt;wsp:rsid wsp:val=&quot;00815B09&quot;/&gt;&lt;wsp:rsid wsp:val=&quot;008217EF&quot;/&gt;&lt;wsp:rsid wsp:val=&quot;008234BE&quot;/&gt;&lt;wsp:rsid wsp:val=&quot;00823521&quot;/&gt;&lt;wsp:rsid wsp:val=&quot;00823E02&quot;/&gt;&lt;wsp:rsid wsp:val=&quot;00824145&quot;/&gt;&lt;wsp:rsid wsp:val=&quot;00824B84&quot;/&gt;&lt;wsp:rsid wsp:val=&quot;00824C37&quot;/&gt;&lt;wsp:rsid wsp:val=&quot;0082585A&quot;/&gt;&lt;wsp:rsid wsp:val=&quot;008367F2&quot;/&gt;&lt;wsp:rsid wsp:val=&quot;00837101&quot;/&gt;&lt;wsp:rsid wsp:val=&quot;0083741C&quot;/&gt;&lt;wsp:rsid wsp:val=&quot;008407CB&quot;/&gt;&lt;wsp:rsid wsp:val=&quot;008417EF&quot;/&gt;&lt;wsp:rsid wsp:val=&quot;00842194&quot;/&gt;&lt;wsp:rsid wsp:val=&quot;00842F3F&quot;/&gt;&lt;wsp:rsid wsp:val=&quot;00843922&quot;/&gt;&lt;wsp:rsid wsp:val=&quot;0084408D&quot;/&gt;&lt;wsp:rsid wsp:val=&quot;00844F7A&quot;/&gt;&lt;wsp:rsid wsp:val=&quot;0084587F&quot;/&gt;&lt;wsp:rsid wsp:val=&quot;00846BFD&quot;/&gt;&lt;wsp:rsid wsp:val=&quot;008476B1&quot;/&gt;&lt;wsp:rsid wsp:val=&quot;00853289&quot;/&gt;&lt;wsp:rsid wsp:val=&quot;00853777&quot;/&gt;&lt;wsp:rsid wsp:val=&quot;008538F9&quot;/&gt;&lt;wsp:rsid wsp:val=&quot;00853D1C&quot;/&gt;&lt;wsp:rsid wsp:val=&quot;00853E27&quot;/&gt;&lt;wsp:rsid wsp:val=&quot;00854AB6&quot;/&gt;&lt;wsp:rsid wsp:val=&quot;00860B8B&quot;/&gt;&lt;wsp:rsid wsp:val=&quot;00862ACE&quot;/&gt;&lt;wsp:rsid wsp:val=&quot;0086354E&quot;/&gt;&lt;wsp:rsid wsp:val=&quot;00865809&quot;/&gt;&lt;wsp:rsid wsp:val=&quot;00865C7D&quot;/&gt;&lt;wsp:rsid wsp:val=&quot;00867497&quot;/&gt;&lt;wsp:rsid wsp:val=&quot;00867B8D&quot;/&gt;&lt;wsp:rsid wsp:val=&quot;00867DA9&quot;/&gt;&lt;wsp:rsid wsp:val=&quot;00870521&quot;/&gt;&lt;wsp:rsid wsp:val=&quot;00870BFA&quot;/&gt;&lt;wsp:rsid wsp:val=&quot;00870DF8&quot;/&gt;&lt;wsp:rsid wsp:val=&quot;00876135&quot;/&gt;&lt;wsp:rsid wsp:val=&quot;008771A0&quot;/&gt;&lt;wsp:rsid wsp:val=&quot;008776A3&quot;/&gt;&lt;wsp:rsid wsp:val=&quot;00881537&quot;/&gt;&lt;wsp:rsid wsp:val=&quot;0088224F&quot;/&gt;&lt;wsp:rsid wsp:val=&quot;00882D22&quot;/&gt;&lt;wsp:rsid wsp:val=&quot;00883C3E&quot;/&gt;&lt;wsp:rsid wsp:val=&quot;00883D92&quot;/&gt;&lt;wsp:rsid wsp:val=&quot;00884EE2&quot;/&gt;&lt;wsp:rsid wsp:val=&quot;0088533E&quot;/&gt;&lt;wsp:rsid wsp:val=&quot;00885B32&quot;/&gt;&lt;wsp:rsid wsp:val=&quot;0088656D&quot;/&gt;&lt;wsp:rsid wsp:val=&quot;00887DBB&quot;/&gt;&lt;wsp:rsid wsp:val=&quot;00890019&quot;/&gt;&lt;wsp:rsid wsp:val=&quot;008911CD&quot;/&gt;&lt;wsp:rsid wsp:val=&quot;00891787&quot;/&gt;&lt;wsp:rsid wsp:val=&quot;008917C3&quot;/&gt;&lt;wsp:rsid wsp:val=&quot;008924DF&quot;/&gt;&lt;wsp:rsid wsp:val=&quot;008927A3&quot;/&gt;&lt;wsp:rsid wsp:val=&quot;00893B72&quot;/&gt;&lt;wsp:rsid wsp:val=&quot;00894075&quot;/&gt;&lt;wsp:rsid wsp:val=&quot;008966B0&quot;/&gt;&lt;wsp:rsid wsp:val=&quot;008A0EE8&quot;/&gt;&lt;wsp:rsid wsp:val=&quot;008A2BAD&quot;/&gt;&lt;wsp:rsid wsp:val=&quot;008A4E0C&quot;/&gt;&lt;wsp:rsid wsp:val=&quot;008A5EA0&quot;/&gt;&lt;wsp:rsid wsp:val=&quot;008A7A11&quot;/&gt;&lt;wsp:rsid wsp:val=&quot;008B00CD&quot;/&gt;&lt;wsp:rsid wsp:val=&quot;008B1305&quot;/&gt;&lt;wsp:rsid wsp:val=&quot;008B1EBA&quot;/&gt;&lt;wsp:rsid wsp:val=&quot;008B1EF7&quot;/&gt;&lt;wsp:rsid wsp:val=&quot;008B3B6D&quot;/&gt;&lt;wsp:rsid wsp:val=&quot;008B4248&quot;/&gt;&lt;wsp:rsid wsp:val=&quot;008B5093&quot;/&gt;&lt;wsp:rsid wsp:val=&quot;008B69BA&quot;/&gt;&lt;wsp:rsid wsp:val=&quot;008C073D&quot;/&gt;&lt;wsp:rsid wsp:val=&quot;008C07FF&quot;/&gt;&lt;wsp:rsid wsp:val=&quot;008C0B11&quot;/&gt;&lt;wsp:rsid wsp:val=&quot;008C1620&quot;/&gt;&lt;wsp:rsid wsp:val=&quot;008C1924&quot;/&gt;&lt;wsp:rsid wsp:val=&quot;008C24FA&quot;/&gt;&lt;wsp:rsid wsp:val=&quot;008C4DF8&quot;/&gt;&lt;wsp:rsid wsp:val=&quot;008C5582&quot;/&gt;&lt;wsp:rsid wsp:val=&quot;008C6234&quot;/&gt;&lt;wsp:rsid wsp:val=&quot;008C6A8E&quot;/&gt;&lt;wsp:rsid wsp:val=&quot;008C7BCB&quot;/&gt;&lt;wsp:rsid wsp:val=&quot;008D101B&quot;/&gt;&lt;wsp:rsid wsp:val=&quot;008D187C&quot;/&gt;&lt;wsp:rsid wsp:val=&quot;008D2E57&quot;/&gt;&lt;wsp:rsid wsp:val=&quot;008D5E10&quot;/&gt;&lt;wsp:rsid wsp:val=&quot;008D7938&quot;/&gt;&lt;wsp:rsid wsp:val=&quot;008E0ABE&quot;/&gt;&lt;wsp:rsid wsp:val=&quot;008E1217&quot;/&gt;&lt;wsp:rsid wsp:val=&quot;008E1AF8&quot;/&gt;&lt;wsp:rsid wsp:val=&quot;008E2BC0&quot;/&gt;&lt;wsp:rsid wsp:val=&quot;008E5435&quot;/&gt;&lt;wsp:rsid wsp:val=&quot;008E6CD3&quot;/&gt;&lt;wsp:rsid wsp:val=&quot;008E7BF5&quot;/&gt;&lt;wsp:rsid wsp:val=&quot;008F0677&quot;/&gt;&lt;wsp:rsid wsp:val=&quot;008F1A87&quot;/&gt;&lt;wsp:rsid wsp:val=&quot;008F26BF&quot;/&gt;&lt;wsp:rsid wsp:val=&quot;008F4EB9&quot;/&gt;&lt;wsp:rsid wsp:val=&quot;008F641E&quot;/&gt;&lt;wsp:rsid wsp:val=&quot;008F65D0&quot;/&gt;&lt;wsp:rsid wsp:val=&quot;008F6CB0&quot;/&gt;&lt;wsp:rsid wsp:val=&quot;008F7AE6&quot;/&gt;&lt;wsp:rsid wsp:val=&quot;008F7B49&quot;/&gt;&lt;wsp:rsid wsp:val=&quot;0090159F&quot;/&gt;&lt;wsp:rsid wsp:val=&quot;009015D6&quot;/&gt;&lt;wsp:rsid wsp:val=&quot;009051F8&quot;/&gt;&lt;wsp:rsid wsp:val=&quot;0090639F&quot;/&gt;&lt;wsp:rsid wsp:val=&quot;0090753D&quot;/&gt;&lt;wsp:rsid wsp:val=&quot;00910C0B&quot;/&gt;&lt;wsp:rsid wsp:val=&quot;00911759&quot;/&gt;&lt;wsp:rsid wsp:val=&quot;009122E2&quot;/&gt;&lt;wsp:rsid wsp:val=&quot;0091287E&quot;/&gt;&lt;wsp:rsid wsp:val=&quot;009133DA&quot;/&gt;&lt;wsp:rsid wsp:val=&quot;009145A4&quot;/&gt;&lt;wsp:rsid wsp:val=&quot;00914F88&quot;/&gt;&lt;wsp:rsid wsp:val=&quot;0091575E&quot;/&gt;&lt;wsp:rsid wsp:val=&quot;00915D0F&quot;/&gt;&lt;wsp:rsid wsp:val=&quot;00915E97&quot;/&gt;&lt;wsp:rsid wsp:val=&quot;00917910&quot;/&gt;&lt;wsp:rsid wsp:val=&quot;0092031F&quot;/&gt;&lt;wsp:rsid wsp:val=&quot;00920623&quot;/&gt;&lt;wsp:rsid wsp:val=&quot;009221C3&quot;/&gt;&lt;wsp:rsid wsp:val=&quot;00922607&quot;/&gt;&lt;wsp:rsid wsp:val=&quot;0092304F&quot;/&gt;&lt;wsp:rsid wsp:val=&quot;00924664&quot;/&gt;&lt;wsp:rsid wsp:val=&quot;00924D93&quot;/&gt;&lt;wsp:rsid wsp:val=&quot;00926269&quot;/&gt;&lt;wsp:rsid wsp:val=&quot;009263BE&quot;/&gt;&lt;wsp:rsid wsp:val=&quot;00927500&quot;/&gt;&lt;wsp:rsid wsp:val=&quot;00930E3C&quot;/&gt;&lt;wsp:rsid wsp:val=&quot;0093138D&quot;/&gt;&lt;wsp:rsid wsp:val=&quot;009321B6&quot;/&gt;&lt;wsp:rsid wsp:val=&quot;00932875&quot;/&gt;&lt;wsp:rsid wsp:val=&quot;009336A8&quot;/&gt;&lt;wsp:rsid wsp:val=&quot;009345B8&quot;/&gt;&lt;wsp:rsid wsp:val=&quot;00936BBD&quot;/&gt;&lt;wsp:rsid wsp:val=&quot;00937FF8&quot;/&gt;&lt;wsp:rsid wsp:val=&quot;009404FC&quot;/&gt;&lt;wsp:rsid wsp:val=&quot;00941064&quot;/&gt;&lt;wsp:rsid wsp:val=&quot;00941433&quot;/&gt;&lt;wsp:rsid wsp:val=&quot;00941F8A&quot;/&gt;&lt;wsp:rsid wsp:val=&quot;009460DC&quot;/&gt;&lt;wsp:rsid wsp:val=&quot;00946146&quot;/&gt;&lt;wsp:rsid wsp:val=&quot;00946F0E&quot;/&gt;&lt;wsp:rsid wsp:val=&quot;00947D43&quot;/&gt;&lt;wsp:rsid wsp:val=&quot;00950D62&quot;/&gt;&lt;wsp:rsid wsp:val=&quot;009521ED&quot;/&gt;&lt;wsp:rsid wsp:val=&quot;00954722&quot;/&gt;&lt;wsp:rsid wsp:val=&quot;00962F8D&quot;/&gt;&lt;wsp:rsid wsp:val=&quot;00965517&quot;/&gt;&lt;wsp:rsid wsp:val=&quot;009663C8&quot;/&gt;&lt;wsp:rsid wsp:val=&quot;00967498&quot;/&gt;&lt;wsp:rsid wsp:val=&quot;00972AAE&quot;/&gt;&lt;wsp:rsid wsp:val=&quot;00973F61&quot;/&gt;&lt;wsp:rsid wsp:val=&quot;00974E52&quot;/&gt;&lt;wsp:rsid wsp:val=&quot;00974E62&quot;/&gt;&lt;wsp:rsid wsp:val=&quot;00976A41&quot;/&gt;&lt;wsp:rsid wsp:val=&quot;00976E3F&quot;/&gt;&lt;wsp:rsid wsp:val=&quot;00977D70&quot;/&gt;&lt;wsp:rsid wsp:val=&quot;00980AB1&quot;/&gt;&lt;wsp:rsid wsp:val=&quot;00984099&quot;/&gt;&lt;wsp:rsid wsp:val=&quot;00985CCC&quot;/&gt;&lt;wsp:rsid wsp:val=&quot;00985D0C&quot;/&gt;&lt;wsp:rsid wsp:val=&quot;00987452&quot;/&gt;&lt;wsp:rsid wsp:val=&quot;009875F8&quot;/&gt;&lt;wsp:rsid wsp:val=&quot;00990655&quot;/&gt;&lt;wsp:rsid wsp:val=&quot;0099125A&quot;/&gt;&lt;wsp:rsid wsp:val=&quot;00992965&quot;/&gt;&lt;wsp:rsid wsp:val=&quot;00992CAB&quot;/&gt;&lt;wsp:rsid wsp:val=&quot;00993B38&quot;/&gt;&lt;wsp:rsid wsp:val=&quot;0099410F&quot;/&gt;&lt;wsp:rsid wsp:val=&quot;009959DC&quot;/&gt;&lt;wsp:rsid wsp:val=&quot;0099722A&quot;/&gt;&lt;wsp:rsid wsp:val=&quot;00997987&quot;/&gt;&lt;wsp:rsid wsp:val=&quot;009A0BAD&quot;/&gt;&lt;wsp:rsid wsp:val=&quot;009A48F5&quot;/&gt;&lt;wsp:rsid wsp:val=&quot;009A4E76&quot;/&gt;&lt;wsp:rsid wsp:val=&quot;009A5E73&quot;/&gt;&lt;wsp:rsid wsp:val=&quot;009A6A69&quot;/&gt;&lt;wsp:rsid wsp:val=&quot;009A797C&quot;/&gt;&lt;wsp:rsid wsp:val=&quot;009B1451&quot;/&gt;&lt;wsp:rsid wsp:val=&quot;009B2285&quot;/&gt;&lt;wsp:rsid wsp:val=&quot;009B2D9B&quot;/&gt;&lt;wsp:rsid wsp:val=&quot;009B3390&quot;/&gt;&lt;wsp:rsid wsp:val=&quot;009B3B4D&quot;/&gt;&lt;wsp:rsid wsp:val=&quot;009B3FB0&quot;/&gt;&lt;wsp:rsid wsp:val=&quot;009B6277&quot;/&gt;&lt;wsp:rsid wsp:val=&quot;009B79D3&quot;/&gt;&lt;wsp:rsid wsp:val=&quot;009C06EE&quot;/&gt;&lt;wsp:rsid wsp:val=&quot;009C352F&quot;/&gt;&lt;wsp:rsid wsp:val=&quot;009C494A&quot;/&gt;&lt;wsp:rsid wsp:val=&quot;009C5100&quot;/&gt;&lt;wsp:rsid wsp:val=&quot;009C62A4&quot;/&gt;&lt;wsp:rsid wsp:val=&quot;009D02EB&quot;/&gt;&lt;wsp:rsid wsp:val=&quot;009D1914&quot;/&gt;&lt;wsp:rsid wsp:val=&quot;009D1C28&quot;/&gt;&lt;wsp:rsid wsp:val=&quot;009D26FA&quot;/&gt;&lt;wsp:rsid wsp:val=&quot;009D67F4&quot;/&gt;&lt;wsp:rsid wsp:val=&quot;009D68B3&quot;/&gt;&lt;wsp:rsid wsp:val=&quot;009E2967&quot;/&gt;&lt;wsp:rsid wsp:val=&quot;009E4345&quot;/&gt;&lt;wsp:rsid wsp:val=&quot;009F1D5B&quot;/&gt;&lt;wsp:rsid wsp:val=&quot;009F20A0&quot;/&gt;&lt;wsp:rsid wsp:val=&quot;009F377C&quot;/&gt;&lt;wsp:rsid wsp:val=&quot;009F5EAA&quot;/&gt;&lt;wsp:rsid wsp:val=&quot;009F7524&quot;/&gt;&lt;wsp:rsid wsp:val=&quot;00A0159C&quot;/&gt;&lt;wsp:rsid wsp:val=&quot;00A02422&quot;/&gt;&lt;wsp:rsid wsp:val=&quot;00A04771&quot;/&gt;&lt;wsp:rsid wsp:val=&quot;00A06BA8&quot;/&gt;&lt;wsp:rsid wsp:val=&quot;00A06EB8&quot;/&gt;&lt;wsp:rsid wsp:val=&quot;00A07C93&quot;/&gt;&lt;wsp:rsid wsp:val=&quot;00A10735&quot;/&gt;&lt;wsp:rsid wsp:val=&quot;00A17F6F&quot;/&gt;&lt;wsp:rsid wsp:val=&quot;00A21646&quot;/&gt;&lt;wsp:rsid wsp:val=&quot;00A22CA7&quot;/&gt;&lt;wsp:rsid wsp:val=&quot;00A2649C&quot;/&gt;&lt;wsp:rsid wsp:val=&quot;00A264CA&quot;/&gt;&lt;wsp:rsid wsp:val=&quot;00A26CCB&quot;/&gt;&lt;wsp:rsid wsp:val=&quot;00A30F1C&quot;/&gt;&lt;wsp:rsid wsp:val=&quot;00A3301C&quot;/&gt;&lt;wsp:rsid wsp:val=&quot;00A3376F&quot;/&gt;&lt;wsp:rsid wsp:val=&quot;00A3425F&quot;/&gt;&lt;wsp:rsid wsp:val=&quot;00A3568A&quot;/&gt;&lt;wsp:rsid wsp:val=&quot;00A35E25&quot;/&gt;&lt;wsp:rsid wsp:val=&quot;00A36C4B&quot;/&gt;&lt;wsp:rsid wsp:val=&quot;00A37759&quot;/&gt;&lt;wsp:rsid wsp:val=&quot;00A4120E&quot;/&gt;&lt;wsp:rsid wsp:val=&quot;00A41251&quot;/&gt;&lt;wsp:rsid wsp:val=&quot;00A4182A&quot;/&gt;&lt;wsp:rsid wsp:val=&quot;00A428DB&quot;/&gt;&lt;wsp:rsid wsp:val=&quot;00A43C7E&quot;/&gt;&lt;wsp:rsid wsp:val=&quot;00A43FE4&quot;/&gt;&lt;wsp:rsid wsp:val=&quot;00A4406B&quot;/&gt;&lt;wsp:rsid wsp:val=&quot;00A44100&quot;/&gt;&lt;wsp:rsid wsp:val=&quot;00A443A9&quot;/&gt;&lt;wsp:rsid wsp:val=&quot;00A44A70&quot;/&gt;&lt;wsp:rsid wsp:val=&quot;00A44F59&quot;/&gt;&lt;wsp:rsid wsp:val=&quot;00A458A1&quot;/&gt;&lt;wsp:rsid wsp:val=&quot;00A47412&quot;/&gt;&lt;wsp:rsid wsp:val=&quot;00A5081D&quot;/&gt;&lt;wsp:rsid wsp:val=&quot;00A53F4E&quot;/&gt;&lt;wsp:rsid wsp:val=&quot;00A54743&quot;/&gt;&lt;wsp:rsid wsp:val=&quot;00A54C09&quot;/&gt;&lt;wsp:rsid wsp:val=&quot;00A5587A&quot;/&gt;&lt;wsp:rsid wsp:val=&quot;00A569D1&quot;/&gt;&lt;wsp:rsid wsp:val=&quot;00A57FE7&quot;/&gt;&lt;wsp:rsid wsp:val=&quot;00A61F7D&quot;/&gt;&lt;wsp:rsid wsp:val=&quot;00A632A1&quot;/&gt;&lt;wsp:rsid wsp:val=&quot;00A64959&quot;/&gt;&lt;wsp:rsid wsp:val=&quot;00A65971&quot;/&gt;&lt;wsp:rsid wsp:val=&quot;00A660C3&quot;/&gt;&lt;wsp:rsid wsp:val=&quot;00A6771F&quot;/&gt;&lt;wsp:rsid wsp:val=&quot;00A7070E&quot;/&gt;&lt;wsp:rsid wsp:val=&quot;00A7083B&quot;/&gt;&lt;wsp:rsid wsp:val=&quot;00A737BE&quot;/&gt;&lt;wsp:rsid wsp:val=&quot;00A74EFF&quot;/&gt;&lt;wsp:rsid wsp:val=&quot;00A7594D&quot;/&gt;&lt;wsp:rsid wsp:val=&quot;00A80053&quot;/&gt;&lt;wsp:rsid wsp:val=&quot;00A81B8E&quot;/&gt;&lt;wsp:rsid wsp:val=&quot;00A82AB7&quot;/&gt;&lt;wsp:rsid wsp:val=&quot;00A8378E&quot;/&gt;&lt;wsp:rsid wsp:val=&quot;00A8526A&quot;/&gt;&lt;wsp:rsid wsp:val=&quot;00A8584A&quot;/&gt;&lt;wsp:rsid wsp:val=&quot;00A86294&quot;/&gt;&lt;wsp:rsid wsp:val=&quot;00A87D91&quot;/&gt;&lt;wsp:rsid wsp:val=&quot;00A91F94&quot;/&gt;&lt;wsp:rsid wsp:val=&quot;00A930AE&quot;/&gt;&lt;wsp:rsid wsp:val=&quot;00A93ABD&quot;/&gt;&lt;wsp:rsid wsp:val=&quot;00A9448C&quot;/&gt;&lt;wsp:rsid wsp:val=&quot;00A94A97&quot;/&gt;&lt;wsp:rsid wsp:val=&quot;00A97381&quot;/&gt;&lt;wsp:rsid wsp:val=&quot;00AA2C00&quot;/&gt;&lt;wsp:rsid wsp:val=&quot;00AA510E&quot;/&gt;&lt;wsp:rsid wsp:val=&quot;00AB0654&quot;/&gt;&lt;wsp:rsid wsp:val=&quot;00AB0CEF&quot;/&gt;&lt;wsp:rsid wsp:val=&quot;00AB1D50&quot;/&gt;&lt;wsp:rsid wsp:val=&quot;00AB3D3E&quot;/&gt;&lt;wsp:rsid wsp:val=&quot;00AB5F62&quot;/&gt;&lt;wsp:rsid wsp:val=&quot;00AB6617&quot;/&gt;&lt;wsp:rsid wsp:val=&quot;00AB6F02&quot;/&gt;&lt;wsp:rsid wsp:val=&quot;00AB7D4C&quot;/&gt;&lt;wsp:rsid wsp:val=&quot;00AB7DB9&quot;/&gt;&lt;wsp:rsid wsp:val=&quot;00AC1385&quot;/&gt;&lt;wsp:rsid wsp:val=&quot;00AC2319&quot;/&gt;&lt;wsp:rsid wsp:val=&quot;00AC2626&quot;/&gt;&lt;wsp:rsid wsp:val=&quot;00AC43D9&quot;/&gt;&lt;wsp:rsid wsp:val=&quot;00AC4904&quot;/&gt;&lt;wsp:rsid wsp:val=&quot;00AC6E07&quot;/&gt;&lt;wsp:rsid wsp:val=&quot;00AD07CB&quot;/&gt;&lt;wsp:rsid wsp:val=&quot;00AD27D2&quot;/&gt;&lt;wsp:rsid wsp:val=&quot;00AD2B1D&quot;/&gt;&lt;wsp:rsid wsp:val=&quot;00AD3A2C&quot;/&gt;&lt;wsp:rsid wsp:val=&quot;00AD4402&quot;/&gt;&lt;wsp:rsid wsp:val=&quot;00AD5A74&quot;/&gt;&lt;wsp:rsid wsp:val=&quot;00AD6AE3&quot;/&gt;&lt;wsp:rsid wsp:val=&quot;00AD788E&quot;/&gt;&lt;wsp:rsid wsp:val=&quot;00AE0517&quot;/&gt;&lt;wsp:rsid wsp:val=&quot;00AE0AB8&quot;/&gt;&lt;wsp:rsid wsp:val=&quot;00AE0C75&quot;/&gt;&lt;wsp:rsid wsp:val=&quot;00AE1554&quot;/&gt;&lt;wsp:rsid wsp:val=&quot;00AE1661&quot;/&gt;&lt;wsp:rsid wsp:val=&quot;00AE1738&quot;/&gt;&lt;wsp:rsid wsp:val=&quot;00AE1B9F&quot;/&gt;&lt;wsp:rsid wsp:val=&quot;00AE1E21&quot;/&gt;&lt;wsp:rsid wsp:val=&quot;00AE2823&quot;/&gt;&lt;wsp:rsid wsp:val=&quot;00AE2DD3&quot;/&gt;&lt;wsp:rsid wsp:val=&quot;00AE3101&quot;/&gt;&lt;wsp:rsid wsp:val=&quot;00AE334B&quot;/&gt;&lt;wsp:rsid wsp:val=&quot;00AE35B1&quot;/&gt;&lt;wsp:rsid wsp:val=&quot;00AE5F2A&quot;/&gt;&lt;wsp:rsid wsp:val=&quot;00AE6598&quot;/&gt;&lt;wsp:rsid wsp:val=&quot;00AE77B1&quot;/&gt;&lt;wsp:rsid wsp:val=&quot;00AF159E&quot;/&gt;&lt;wsp:rsid wsp:val=&quot;00AF1CF5&quot;/&gt;&lt;wsp:rsid wsp:val=&quot;00AF2714&quot;/&gt;&lt;wsp:rsid wsp:val=&quot;00AF2FDC&quot;/&gt;&lt;wsp:rsid wsp:val=&quot;00AF3DFC&quot;/&gt;&lt;wsp:rsid wsp:val=&quot;00AF5766&quot;/&gt;&lt;wsp:rsid wsp:val=&quot;00AF5D86&quot;/&gt;&lt;wsp:rsid wsp:val=&quot;00AF6D8E&quot;/&gt;&lt;wsp:rsid wsp:val=&quot;00AF7CE3&quot;/&gt;&lt;wsp:rsid wsp:val=&quot;00B00FDF&quot;/&gt;&lt;wsp:rsid wsp:val=&quot;00B01766&quot;/&gt;&lt;wsp:rsid wsp:val=&quot;00B028EE&quot;/&gt;&lt;wsp:rsid wsp:val=&quot;00B02D13&quot;/&gt;&lt;wsp:rsid wsp:val=&quot;00B033DB&quot;/&gt;&lt;wsp:rsid wsp:val=&quot;00B057C1&quot;/&gt;&lt;wsp:rsid wsp:val=&quot;00B05F0C&quot;/&gt;&lt;wsp:rsid wsp:val=&quot;00B06DFF&quot;/&gt;&lt;wsp:rsid wsp:val=&quot;00B06E76&quot;/&gt;&lt;wsp:rsid wsp:val=&quot;00B07531&quot;/&gt;&lt;wsp:rsid wsp:val=&quot;00B07F5A&quot;/&gt;&lt;wsp:rsid wsp:val=&quot;00B11015&quot;/&gt;&lt;wsp:rsid wsp:val=&quot;00B130F2&quot;/&gt;&lt;wsp:rsid wsp:val=&quot;00B14381&quot;/&gt;&lt;wsp:rsid wsp:val=&quot;00B1604C&quot;/&gt;&lt;wsp:rsid wsp:val=&quot;00B2105B&quot;/&gt;&lt;wsp:rsid wsp:val=&quot;00B21B76&quot;/&gt;&lt;wsp:rsid wsp:val=&quot;00B22381&quot;/&gt;&lt;wsp:rsid wsp:val=&quot;00B33D68&quot;/&gt;&lt;wsp:rsid wsp:val=&quot;00B37191&quot;/&gt;&lt;wsp:rsid wsp:val=&quot;00B401CE&quot;/&gt;&lt;wsp:rsid wsp:val=&quot;00B403FB&quot;/&gt;&lt;wsp:rsid wsp:val=&quot;00B409FA&quot;/&gt;&lt;wsp:rsid wsp:val=&quot;00B42338&quot;/&gt;&lt;wsp:rsid wsp:val=&quot;00B43CE5&quot;/&gt;&lt;wsp:rsid wsp:val=&quot;00B4456D&quot;/&gt;&lt;wsp:rsid wsp:val=&quot;00B44A18&quot;/&gt;&lt;wsp:rsid wsp:val=&quot;00B46198&quot;/&gt;&lt;wsp:rsid wsp:val=&quot;00B4680F&quot;/&gt;&lt;wsp:rsid wsp:val=&quot;00B508D7&quot;/&gt;&lt;wsp:rsid wsp:val=&quot;00B530AB&quot;/&gt;&lt;wsp:rsid wsp:val=&quot;00B5315A&quot;/&gt;&lt;wsp:rsid wsp:val=&quot;00B53834&quot;/&gt;&lt;wsp:rsid wsp:val=&quot;00B549A7&quot;/&gt;&lt;wsp:rsid wsp:val=&quot;00B5562B&quot;/&gt;&lt;wsp:rsid wsp:val=&quot;00B556BE&quot;/&gt;&lt;wsp:rsid wsp:val=&quot;00B573FB&quot;/&gt;&lt;wsp:rsid wsp:val=&quot;00B579B0&quot;/&gt;&lt;wsp:rsid wsp:val=&quot;00B63941&quot;/&gt;&lt;wsp:rsid wsp:val=&quot;00B646B9&quot;/&gt;&lt;wsp:rsid wsp:val=&quot;00B650C1&quot;/&gt;&lt;wsp:rsid wsp:val=&quot;00B65725&quot;/&gt;&lt;wsp:rsid wsp:val=&quot;00B66892&quot;/&gt;&lt;wsp:rsid wsp:val=&quot;00B672F1&quot;/&gt;&lt;wsp:rsid wsp:val=&quot;00B70D2B&quot;/&gt;&lt;wsp:rsid wsp:val=&quot;00B74AA6&quot;/&gt;&lt;wsp:rsid wsp:val=&quot;00B74FF6&quot;/&gt;&lt;wsp:rsid wsp:val=&quot;00B76255&quot;/&gt;&lt;wsp:rsid wsp:val=&quot;00B76A62&quot;/&gt;&lt;wsp:rsid wsp:val=&quot;00B81705&quot;/&gt;&lt;wsp:rsid wsp:val=&quot;00B830A1&quot;/&gt;&lt;wsp:rsid wsp:val=&quot;00B83B6E&quot;/&gt;&lt;wsp:rsid wsp:val=&quot;00B862F1&quot;/&gt;&lt;wsp:rsid wsp:val=&quot;00B9039D&quot;/&gt;&lt;wsp:rsid wsp:val=&quot;00B903CD&quot;/&gt;&lt;wsp:rsid wsp:val=&quot;00B96CE4&quot;/&gt;&lt;wsp:rsid wsp:val=&quot;00BA1CC9&quot;/&gt;&lt;wsp:rsid wsp:val=&quot;00BA2C36&quot;/&gt;&lt;wsp:rsid wsp:val=&quot;00BA3306&quot;/&gt;&lt;wsp:rsid wsp:val=&quot;00BA54F5&quot;/&gt;&lt;wsp:rsid wsp:val=&quot;00BB0DC6&quot;/&gt;&lt;wsp:rsid wsp:val=&quot;00BB23BF&quot;/&gt;&lt;wsp:rsid wsp:val=&quot;00BB350E&quot;/&gt;&lt;wsp:rsid wsp:val=&quot;00BB3ACF&quot;/&gt;&lt;wsp:rsid wsp:val=&quot;00BB3D26&quot;/&gt;&lt;wsp:rsid wsp:val=&quot;00BB4A74&quot;/&gt;&lt;wsp:rsid wsp:val=&quot;00BB4FB8&quot;/&gt;&lt;wsp:rsid wsp:val=&quot;00BB57EA&quot;/&gt;&lt;wsp:rsid wsp:val=&quot;00BB58CF&quot;/&gt;&lt;wsp:rsid wsp:val=&quot;00BB6925&quot;/&gt;&lt;wsp:rsid wsp:val=&quot;00BB739F&quot;/&gt;&lt;wsp:rsid wsp:val=&quot;00BC0344&quot;/&gt;&lt;wsp:rsid wsp:val=&quot;00BC047A&quot;/&gt;&lt;wsp:rsid wsp:val=&quot;00BC2698&quot;/&gt;&lt;wsp:rsid wsp:val=&quot;00BC3308&quot;/&gt;&lt;wsp:rsid wsp:val=&quot;00BC3348&quot;/&gt;&lt;wsp:rsid wsp:val=&quot;00BC3C92&quot;/&gt;&lt;wsp:rsid wsp:val=&quot;00BC430E&quot;/&gt;&lt;wsp:rsid wsp:val=&quot;00BC48B1&quot;/&gt;&lt;wsp:rsid wsp:val=&quot;00BC566D&quot;/&gt;&lt;wsp:rsid wsp:val=&quot;00BC65F5&quot;/&gt;&lt;wsp:rsid wsp:val=&quot;00BC6E21&quot;/&gt;&lt;wsp:rsid wsp:val=&quot;00BC7D03&quot;/&gt;&lt;wsp:rsid wsp:val=&quot;00BC7DF0&quot;/&gt;&lt;wsp:rsid wsp:val=&quot;00BD0CA4&quot;/&gt;&lt;wsp:rsid wsp:val=&quot;00BD17F6&quot;/&gt;&lt;wsp:rsid wsp:val=&quot;00BD2208&quot;/&gt;&lt;wsp:rsid wsp:val=&quot;00BD3DED&quot;/&gt;&lt;wsp:rsid wsp:val=&quot;00BD5790&quot;/&gt;&lt;wsp:rsid wsp:val=&quot;00BD57F1&quot;/&gt;&lt;wsp:rsid wsp:val=&quot;00BD6218&quot;/&gt;&lt;wsp:rsid wsp:val=&quot;00BD7319&quot;/&gt;&lt;wsp:rsid wsp:val=&quot;00BD74D0&quot;/&gt;&lt;wsp:rsid wsp:val=&quot;00BD7C4A&quot;/&gt;&lt;wsp:rsid wsp:val=&quot;00BE1698&quot;/&gt;&lt;wsp:rsid wsp:val=&quot;00BE7787&quot;/&gt;&lt;wsp:rsid wsp:val=&quot;00BE7EB2&quot;/&gt;&lt;wsp:rsid wsp:val=&quot;00BF23CC&quot;/&gt;&lt;wsp:rsid wsp:val=&quot;00BF2DBD&quot;/&gt;&lt;wsp:rsid wsp:val=&quot;00BF34EB&quot;/&gt;&lt;wsp:rsid wsp:val=&quot;00BF557C&quot;/&gt;&lt;wsp:rsid wsp:val=&quot;00BF6F7C&quot;/&gt;&lt;wsp:rsid wsp:val=&quot;00BF797B&quot;/&gt;&lt;wsp:rsid wsp:val=&quot;00BF7BCB&quot;/&gt;&lt;wsp:rsid wsp:val=&quot;00C01695&quot;/&gt;&lt;wsp:rsid wsp:val=&quot;00C0339A&quot;/&gt;&lt;wsp:rsid wsp:val=&quot;00C0428A&quot;/&gt;&lt;wsp:rsid wsp:val=&quot;00C05D34&quot;/&gt;&lt;wsp:rsid wsp:val=&quot;00C06812&quot;/&gt;&lt;wsp:rsid wsp:val=&quot;00C07DDA&quot;/&gt;&lt;wsp:rsid wsp:val=&quot;00C109AD&quot;/&gt;&lt;wsp:rsid wsp:val=&quot;00C11237&quot;/&gt;&lt;wsp:rsid wsp:val=&quot;00C15C28&quot;/&gt;&lt;wsp:rsid wsp:val=&quot;00C1601D&quot;/&gt;&lt;wsp:rsid wsp:val=&quot;00C202AD&quot;/&gt;&lt;wsp:rsid wsp:val=&quot;00C22A57&quot;/&gt;&lt;wsp:rsid wsp:val=&quot;00C24759&quot;/&gt;&lt;wsp:rsid wsp:val=&quot;00C24F00&quot;/&gt;&lt;wsp:rsid wsp:val=&quot;00C25319&quot;/&gt;&lt;wsp:rsid wsp:val=&quot;00C26013&quot;/&gt;&lt;wsp:rsid wsp:val=&quot;00C260DA&quot;/&gt;&lt;wsp:rsid wsp:val=&quot;00C27CFE&quot;/&gt;&lt;wsp:rsid wsp:val=&quot;00C30E19&quot;/&gt;&lt;wsp:rsid wsp:val=&quot;00C3256C&quot;/&gt;&lt;wsp:rsid wsp:val=&quot;00C34E78&quot;/&gt;&lt;wsp:rsid wsp:val=&quot;00C353C0&quot;/&gt;&lt;wsp:rsid wsp:val=&quot;00C40495&quot;/&gt;&lt;wsp:rsid wsp:val=&quot;00C407C4&quot;/&gt;&lt;wsp:rsid wsp:val=&quot;00C41F57&quot;/&gt;&lt;wsp:rsid wsp:val=&quot;00C456D0&quot;/&gt;&lt;wsp:rsid wsp:val=&quot;00C45962&quot;/&gt;&lt;wsp:rsid wsp:val=&quot;00C53115&quot;/&gt;&lt;wsp:rsid wsp:val=&quot;00C5614A&quot;/&gt;&lt;wsp:rsid wsp:val=&quot;00C57E3F&quot;/&gt;&lt;wsp:rsid wsp:val=&quot;00C6055F&quot;/&gt;&lt;wsp:rsid wsp:val=&quot;00C61601&quot;/&gt;&lt;wsp:rsid wsp:val=&quot;00C628C8&quot;/&gt;&lt;wsp:rsid wsp:val=&quot;00C63A61&quot;/&gt;&lt;wsp:rsid wsp:val=&quot;00C6442F&quot;/&gt;&lt;wsp:rsid wsp:val=&quot;00C65378&quot;/&gt;&lt;wsp:rsid wsp:val=&quot;00C666E5&quot;/&gt;&lt;wsp:rsid wsp:val=&quot;00C667D1&quot;/&gt;&lt;wsp:rsid wsp:val=&quot;00C67607&quot;/&gt;&lt;wsp:rsid wsp:val=&quot;00C735CE&quot;/&gt;&lt;wsp:rsid wsp:val=&quot;00C74458&quot;/&gt;&lt;wsp:rsid wsp:val=&quot;00C74E6A&quot;/&gt;&lt;wsp:rsid wsp:val=&quot;00C75720&quot;/&gt;&lt;wsp:rsid wsp:val=&quot;00C75A6F&quot;/&gt;&lt;wsp:rsid wsp:val=&quot;00C75B38&quot;/&gt;&lt;wsp:rsid wsp:val=&quot;00C75F9B&quot;/&gt;&lt;wsp:rsid wsp:val=&quot;00C80291&quot;/&gt;&lt;wsp:rsid wsp:val=&quot;00C81932&quot;/&gt;&lt;wsp:rsid wsp:val=&quot;00C821FE&quot;/&gt;&lt;wsp:rsid wsp:val=&quot;00C83AAB&quot;/&gt;&lt;wsp:rsid wsp:val=&quot;00C86EC0&quot;/&gt;&lt;wsp:rsid wsp:val=&quot;00C87DF1&quot;/&gt;&lt;wsp:rsid wsp:val=&quot;00C90DC9&quot;/&gt;&lt;wsp:rsid wsp:val=&quot;00C91AE3&quot;/&gt;&lt;wsp:rsid wsp:val=&quot;00C91CAD&quot;/&gt;&lt;wsp:rsid wsp:val=&quot;00C954DC&quot;/&gt;&lt;wsp:rsid wsp:val=&quot;00C97847&quot;/&gt;&lt;wsp:rsid wsp:val=&quot;00CA0A40&quot;/&gt;&lt;wsp:rsid wsp:val=&quot;00CA16F6&quot;/&gt;&lt;wsp:rsid wsp:val=&quot;00CA2C5D&quot;/&gt;&lt;wsp:rsid wsp:val=&quot;00CA3B40&quot;/&gt;&lt;wsp:rsid wsp:val=&quot;00CA3B9E&quot;/&gt;&lt;wsp:rsid wsp:val=&quot;00CA4A3F&quot;/&gt;&lt;wsp:rsid wsp:val=&quot;00CA5D02&quot;/&gt;&lt;wsp:rsid wsp:val=&quot;00CA6287&quot;/&gt;&lt;wsp:rsid wsp:val=&quot;00CA7D65&quot;/&gt;&lt;wsp:rsid wsp:val=&quot;00CB1364&quot;/&gt;&lt;wsp:rsid wsp:val=&quot;00CB158D&quot;/&gt;&lt;wsp:rsid wsp:val=&quot;00CB1B1E&quot;/&gt;&lt;wsp:rsid wsp:val=&quot;00CB2EFE&quot;/&gt;&lt;wsp:rsid wsp:val=&quot;00CB45E7&quot;/&gt;&lt;wsp:rsid wsp:val=&quot;00CB4603&quot;/&gt;&lt;wsp:rsid wsp:val=&quot;00CB56BB&quot;/&gt;&lt;wsp:rsid wsp:val=&quot;00CB7FF8&quot;/&gt;&lt;wsp:rsid wsp:val=&quot;00CC273B&quot;/&gt;&lt;wsp:rsid wsp:val=&quot;00CC2F3C&quot;/&gt;&lt;wsp:rsid wsp:val=&quot;00CC47C1&quot;/&gt;&lt;wsp:rsid wsp:val=&quot;00CC552E&quot;/&gt;&lt;wsp:rsid wsp:val=&quot;00CC5646&quot;/&gt;&lt;wsp:rsid wsp:val=&quot;00CD184D&quot;/&gt;&lt;wsp:rsid wsp:val=&quot;00CD2899&quot;/&gt;&lt;wsp:rsid wsp:val=&quot;00CD6223&quot;/&gt;&lt;wsp:rsid wsp:val=&quot;00CD62CA&quot;/&gt;&lt;wsp:rsid wsp:val=&quot;00CE0261&quot;/&gt;&lt;wsp:rsid wsp:val=&quot;00CE06C8&quot;/&gt;&lt;wsp:rsid wsp:val=&quot;00CE0A61&quot;/&gt;&lt;wsp:rsid wsp:val=&quot;00CE5CDF&quot;/&gt;&lt;wsp:rsid wsp:val=&quot;00CE61C2&quot;/&gt;&lt;wsp:rsid wsp:val=&quot;00CF0510&quot;/&gt;&lt;wsp:rsid wsp:val=&quot;00CF0BDE&quot;/&gt;&lt;wsp:rsid wsp:val=&quot;00CF1204&quot;/&gt;&lt;wsp:rsid wsp:val=&quot;00CF2902&quot;/&gt;&lt;wsp:rsid wsp:val=&quot;00CF34B1&quot;/&gt;&lt;wsp:rsid wsp:val=&quot;00CF3BC8&quot;/&gt;&lt;wsp:rsid wsp:val=&quot;00CF4855&quot;/&gt;&lt;wsp:rsid wsp:val=&quot;00CF5254&quot;/&gt;&lt;wsp:rsid wsp:val=&quot;00CF5272&quot;/&gt;&lt;wsp:rsid wsp:val=&quot;00CF6A2F&quot;/&gt;&lt;wsp:rsid wsp:val=&quot;00D00523&quot;/&gt;&lt;wsp:rsid wsp:val=&quot;00D00E90&quot;/&gt;&lt;wsp:rsid wsp:val=&quot;00D01536&quot;/&gt;&lt;wsp:rsid wsp:val=&quot;00D023A7&quot;/&gt;&lt;wsp:rsid wsp:val=&quot;00D03DAE&quot;/&gt;&lt;wsp:rsid wsp:val=&quot;00D04CA4&quot;/&gt;&lt;wsp:rsid wsp:val=&quot;00D056AC&quot;/&gt;&lt;wsp:rsid wsp:val=&quot;00D05E04&quot;/&gt;&lt;wsp:rsid wsp:val=&quot;00D062F8&quot;/&gt;&lt;wsp:rsid wsp:val=&quot;00D07EB6&quot;/&gt;&lt;wsp:rsid wsp:val=&quot;00D10C36&quot;/&gt;&lt;wsp:rsid wsp:val=&quot;00D10F5B&quot;/&gt;&lt;wsp:rsid wsp:val=&quot;00D11272&quot;/&gt;&lt;wsp:rsid wsp:val=&quot;00D11BF9&quot;/&gt;&lt;wsp:rsid wsp:val=&quot;00D1257F&quot;/&gt;&lt;wsp:rsid wsp:val=&quot;00D12CFE&quot;/&gt;&lt;wsp:rsid wsp:val=&quot;00D1418F&quot;/&gt;&lt;wsp:rsid wsp:val=&quot;00D16C4A&quot;/&gt;&lt;wsp:rsid wsp:val=&quot;00D17159&quot;/&gt;&lt;wsp:rsid wsp:val=&quot;00D1790F&quot;/&gt;&lt;wsp:rsid wsp:val=&quot;00D21AA7&quot;/&gt;&lt;wsp:rsid wsp:val=&quot;00D223A7&quot;/&gt;&lt;wsp:rsid wsp:val=&quot;00D22662&quot;/&gt;&lt;wsp:rsid wsp:val=&quot;00D23753&quot;/&gt;&lt;wsp:rsid wsp:val=&quot;00D2406C&quot;/&gt;&lt;wsp:rsid wsp:val=&quot;00D27E3B&quot;/&gt;&lt;wsp:rsid wsp:val=&quot;00D3072F&quot;/&gt;&lt;wsp:rsid wsp:val=&quot;00D31D53&quot;/&gt;&lt;wsp:rsid wsp:val=&quot;00D33631&quot;/&gt;&lt;wsp:rsid wsp:val=&quot;00D3738B&quot;/&gt;&lt;wsp:rsid wsp:val=&quot;00D4169E&quot;/&gt;&lt;wsp:rsid wsp:val=&quot;00D43BE0&quot;/&gt;&lt;wsp:rsid wsp:val=&quot;00D43D79&quot;/&gt;&lt;wsp:rsid wsp:val=&quot;00D44C8E&quot;/&gt;&lt;wsp:rsid wsp:val=&quot;00D458E5&quot;/&gt;&lt;wsp:rsid wsp:val=&quot;00D4599D&quot;/&gt;&lt;wsp:rsid wsp:val=&quot;00D5170A&quot;/&gt;&lt;wsp:rsid wsp:val=&quot;00D526FE&quot;/&gt;&lt;wsp:rsid wsp:val=&quot;00D546AD&quot;/&gt;&lt;wsp:rsid wsp:val=&quot;00D5579E&quot;/&gt;&lt;wsp:rsid wsp:val=&quot;00D56005&quot;/&gt;&lt;wsp:rsid wsp:val=&quot;00D57114&quot;/&gt;&lt;wsp:rsid wsp:val=&quot;00D573B1&quot;/&gt;&lt;wsp:rsid wsp:val=&quot;00D57E28&quot;/&gt;&lt;wsp:rsid wsp:val=&quot;00D57E3E&quot;/&gt;&lt;wsp:rsid wsp:val=&quot;00D6067B&quot;/&gt;&lt;wsp:rsid wsp:val=&quot;00D63BCE&quot;/&gt;&lt;wsp:rsid wsp:val=&quot;00D64594&quot;/&gt;&lt;wsp:rsid wsp:val=&quot;00D64DF4&quot;/&gt;&lt;wsp:rsid wsp:val=&quot;00D709F7&quot;/&gt;&lt;wsp:rsid wsp:val=&quot;00D71237&quot;/&gt;&lt;wsp:rsid wsp:val=&quot;00D7128E&quot;/&gt;&lt;wsp:rsid wsp:val=&quot;00D72CC6&quot;/&gt;&lt;wsp:rsid wsp:val=&quot;00D72DB5&quot;/&gt;&lt;wsp:rsid wsp:val=&quot;00D749BF&quot;/&gt;&lt;wsp:rsid wsp:val=&quot;00D759DD&quot;/&gt;&lt;wsp:rsid wsp:val=&quot;00D763A6&quot;/&gt;&lt;wsp:rsid wsp:val=&quot;00D76F01&quot;/&gt;&lt;wsp:rsid wsp:val=&quot;00D77251&quot;/&gt;&lt;wsp:rsid wsp:val=&quot;00D81838&quot;/&gt;&lt;wsp:rsid wsp:val=&quot;00D81ED1&quot;/&gt;&lt;wsp:rsid wsp:val=&quot;00D821A2&quot;/&gt;&lt;wsp:rsid wsp:val=&quot;00D82715&quot;/&gt;&lt;wsp:rsid wsp:val=&quot;00D827BD&quot;/&gt;&lt;wsp:rsid wsp:val=&quot;00D83CCA&quot;/&gt;&lt;wsp:rsid wsp:val=&quot;00D85101&quot;/&gt;&lt;wsp:rsid wsp:val=&quot;00D85160&quot;/&gt;&lt;wsp:rsid wsp:val=&quot;00D853D4&quot;/&gt;&lt;wsp:rsid wsp:val=&quot;00D86EAE&quot;/&gt;&lt;wsp:rsid wsp:val=&quot;00D87086&quot;/&gt;&lt;wsp:rsid wsp:val=&quot;00D90538&quot;/&gt;&lt;wsp:rsid wsp:val=&quot;00D9106F&quot;/&gt;&lt;wsp:rsid wsp:val=&quot;00D92144&quot;/&gt;&lt;wsp:rsid wsp:val=&quot;00D9229F&quot;/&gt;&lt;wsp:rsid wsp:val=&quot;00D93098&quot;/&gt;&lt;wsp:rsid wsp:val=&quot;00D9535E&quot;/&gt;&lt;wsp:rsid wsp:val=&quot;00D95A15&quot;/&gt;&lt;wsp:rsid wsp:val=&quot;00D96EF1&quot;/&gt;&lt;wsp:rsid wsp:val=&quot;00DA012B&quot;/&gt;&lt;wsp:rsid wsp:val=&quot;00DA0F85&quot;/&gt;&lt;wsp:rsid wsp:val=&quot;00DA110A&quot;/&gt;&lt;wsp:rsid wsp:val=&quot;00DA4AFE&quot;/&gt;&lt;wsp:rsid wsp:val=&quot;00DA5414&quot;/&gt;&lt;wsp:rsid wsp:val=&quot;00DA67BD&quot;/&gt;&lt;wsp:rsid wsp:val=&quot;00DA7ED0&quot;/&gt;&lt;wsp:rsid wsp:val=&quot;00DA7FCD&quot;/&gt;&lt;wsp:rsid wsp:val=&quot;00DA7FEF&quot;/&gt;&lt;wsp:rsid wsp:val=&quot;00DB00BD&quot;/&gt;&lt;wsp:rsid wsp:val=&quot;00DB0691&quot;/&gt;&lt;wsp:rsid wsp:val=&quot;00DB3D60&quot;/&gt;&lt;wsp:rsid wsp:val=&quot;00DB3F8A&quot;/&gt;&lt;wsp:rsid wsp:val=&quot;00DB45A1&quot;/&gt;&lt;wsp:rsid wsp:val=&quot;00DB5776&quot;/&gt;&lt;wsp:rsid wsp:val=&quot;00DB5891&quot;/&gt;&lt;wsp:rsid wsp:val=&quot;00DB63E8&quot;/&gt;&lt;wsp:rsid wsp:val=&quot;00DC26DE&quot;/&gt;&lt;wsp:rsid wsp:val=&quot;00DC27EC&quot;/&gt;&lt;wsp:rsid wsp:val=&quot;00DC2C31&quot;/&gt;&lt;wsp:rsid wsp:val=&quot;00DC388B&quot;/&gt;&lt;wsp:rsid wsp:val=&quot;00DC50EB&quot;/&gt;&lt;wsp:rsid wsp:val=&quot;00DC50F1&quot;/&gt;&lt;wsp:rsid wsp:val=&quot;00DC5E00&quot;/&gt;&lt;wsp:rsid wsp:val=&quot;00DC69ED&quot;/&gt;&lt;wsp:rsid wsp:val=&quot;00DC6B6D&quot;/&gt;&lt;wsp:rsid wsp:val=&quot;00DD09F3&quot;/&gt;&lt;wsp:rsid wsp:val=&quot;00DD177D&quot;/&gt;&lt;wsp:rsid wsp:val=&quot;00DD20C4&quot;/&gt;&lt;wsp:rsid wsp:val=&quot;00DD2638&quot;/&gt;&lt;wsp:rsid wsp:val=&quot;00DD2823&quot;/&gt;&lt;wsp:rsid wsp:val=&quot;00DD3C7F&quot;/&gt;&lt;wsp:rsid wsp:val=&quot;00DD5DEF&quot;/&gt;&lt;wsp:rsid wsp:val=&quot;00DE0246&quot;/&gt;&lt;wsp:rsid wsp:val=&quot;00DE0BA7&quot;/&gt;&lt;wsp:rsid wsp:val=&quot;00DE10A2&quot;/&gt;&lt;wsp:rsid wsp:val=&quot;00DE149A&quot;/&gt;&lt;wsp:rsid wsp:val=&quot;00DE307F&quot;/&gt;&lt;wsp:rsid wsp:val=&quot;00DE30DE&quot;/&gt;&lt;wsp:rsid wsp:val=&quot;00DE3E45&quot;/&gt;&lt;wsp:rsid wsp:val=&quot;00DE43F6&quot;/&gt;&lt;wsp:rsid wsp:val=&quot;00DE4E19&quot;/&gt;&lt;wsp:rsid wsp:val=&quot;00DE4FF0&quot;/&gt;&lt;wsp:rsid wsp:val=&quot;00DE5BBB&quot;/&gt;&lt;wsp:rsid wsp:val=&quot;00DE6260&quot;/&gt;&lt;wsp:rsid wsp:val=&quot;00DE69B9&quot;/&gt;&lt;wsp:rsid wsp:val=&quot;00DE767B&quot;/&gt;&lt;wsp:rsid wsp:val=&quot;00DF13C6&quot;/&gt;&lt;wsp:rsid wsp:val=&quot;00DF2DD0&quot;/&gt;&lt;wsp:rsid wsp:val=&quot;00DF32C8&quot;/&gt;&lt;wsp:rsid wsp:val=&quot;00DF4988&quot;/&gt;&lt;wsp:rsid wsp:val=&quot;00DF5933&quot;/&gt;&lt;wsp:rsid wsp:val=&quot;00DF7A6A&quot;/&gt;&lt;wsp:rsid wsp:val=&quot;00E00768&quot;/&gt;&lt;wsp:rsid wsp:val=&quot;00E02000&quot;/&gt;&lt;wsp:rsid wsp:val=&quot;00E045FB&quot;/&gt;&lt;wsp:rsid wsp:val=&quot;00E04DB7&quot;/&gt;&lt;wsp:rsid wsp:val=&quot;00E0568E&quot;/&gt;&lt;wsp:rsid wsp:val=&quot;00E05B12&quot;/&gt;&lt;wsp:rsid wsp:val=&quot;00E063CA&quot;/&gt;&lt;wsp:rsid wsp:val=&quot;00E078B0&quot;/&gt;&lt;wsp:rsid wsp:val=&quot;00E14006&quot;/&gt;&lt;wsp:rsid wsp:val=&quot;00E14AF9&quot;/&gt;&lt;wsp:rsid wsp:val=&quot;00E14E4B&quot;/&gt;&lt;wsp:rsid wsp:val=&quot;00E150F7&quot;/&gt;&lt;wsp:rsid wsp:val=&quot;00E15D9F&quot;/&gt;&lt;wsp:rsid wsp:val=&quot;00E165B4&quot;/&gt;&lt;wsp:rsid wsp:val=&quot;00E16AF7&quot;/&gt;&lt;wsp:rsid wsp:val=&quot;00E20115&quot;/&gt;&lt;wsp:rsid wsp:val=&quot;00E20254&quot;/&gt;&lt;wsp:rsid wsp:val=&quot;00E20781&quot;/&gt;&lt;wsp:rsid wsp:val=&quot;00E20BFE&quot;/&gt;&lt;wsp:rsid wsp:val=&quot;00E21009&quot;/&gt;&lt;wsp:rsid wsp:val=&quot;00E210D7&quot;/&gt;&lt;wsp:rsid wsp:val=&quot;00E217F0&quot;/&gt;&lt;wsp:rsid wsp:val=&quot;00E21F40&quot;/&gt;&lt;wsp:rsid wsp:val=&quot;00E22372&quot;/&gt;&lt;wsp:rsid wsp:val=&quot;00E2258F&quot;/&gt;&lt;wsp:rsid wsp:val=&quot;00E25C29&quot;/&gt;&lt;wsp:rsid wsp:val=&quot;00E3133B&quot;/&gt;&lt;wsp:rsid wsp:val=&quot;00E31352&quot;/&gt;&lt;wsp:rsid wsp:val=&quot;00E31D70&quot;/&gt;&lt;wsp:rsid wsp:val=&quot;00E349A7&quot;/&gt;&lt;wsp:rsid wsp:val=&quot;00E34E9E&quot;/&gt;&lt;wsp:rsid wsp:val=&quot;00E36A3E&quot;/&gt;&lt;wsp:rsid wsp:val=&quot;00E40674&quot;/&gt;&lt;wsp:rsid wsp:val=&quot;00E424DF&quot;/&gt;&lt;wsp:rsid wsp:val=&quot;00E43102&quot;/&gt;&lt;wsp:rsid wsp:val=&quot;00E458A4&quot;/&gt;&lt;wsp:rsid wsp:val=&quot;00E4664D&quot;/&gt;&lt;wsp:rsid wsp:val=&quot;00E47925&quot;/&gt;&lt;wsp:rsid wsp:val=&quot;00E51D04&quot;/&gt;&lt;wsp:rsid wsp:val=&quot;00E522E0&quot;/&gt;&lt;wsp:rsid wsp:val=&quot;00E55032&quot;/&gt;&lt;wsp:rsid wsp:val=&quot;00E56B32&quot;/&gt;&lt;wsp:rsid wsp:val=&quot;00E5706E&quot;/&gt;&lt;wsp:rsid wsp:val=&quot;00E5793F&quot;/&gt;&lt;wsp:rsid wsp:val=&quot;00E60C2E&quot;/&gt;&lt;wsp:rsid wsp:val=&quot;00E615B2&quot;/&gt;&lt;wsp:rsid wsp:val=&quot;00E6335A&quot;/&gt;&lt;wsp:rsid wsp:val=&quot;00E63A71&quot;/&gt;&lt;wsp:rsid wsp:val=&quot;00E648FE&quot;/&gt;&lt;wsp:rsid wsp:val=&quot;00E64DA7&quot;/&gt;&lt;wsp:rsid wsp:val=&quot;00E65340&quot;/&gt;&lt;wsp:rsid wsp:val=&quot;00E65A24&quot;/&gt;&lt;wsp:rsid wsp:val=&quot;00E66A30&quot;/&gt;&lt;wsp:rsid wsp:val=&quot;00E71B31&quot;/&gt;&lt;wsp:rsid wsp:val=&quot;00E71B78&quot;/&gt;&lt;wsp:rsid wsp:val=&quot;00E721F5&quot;/&gt;&lt;wsp:rsid wsp:val=&quot;00E7454B&quot;/&gt;&lt;wsp:rsid wsp:val=&quot;00E76193&quot;/&gt;&lt;wsp:rsid wsp:val=&quot;00E766B4&quot;/&gt;&lt;wsp:rsid wsp:val=&quot;00E80852&quot;/&gt;&lt;wsp:rsid wsp:val=&quot;00E80C75&quot;/&gt;&lt;wsp:rsid wsp:val=&quot;00E81662&quot;/&gt;&lt;wsp:rsid wsp:val=&quot;00E8180C&quot;/&gt;&lt;wsp:rsid wsp:val=&quot;00E84514&quot;/&gt;&lt;wsp:rsid wsp:val=&quot;00E84B74&quot;/&gt;&lt;wsp:rsid wsp:val=&quot;00E85766&quot;/&gt;&lt;wsp:rsid wsp:val=&quot;00E86DEA&quot;/&gt;&lt;wsp:rsid wsp:val=&quot;00E86E23&quot;/&gt;&lt;wsp:rsid wsp:val=&quot;00E8726E&quot;/&gt;&lt;wsp:rsid wsp:val=&quot;00E903EE&quot;/&gt;&lt;wsp:rsid wsp:val=&quot;00E90958&quot;/&gt;&lt;wsp:rsid wsp:val=&quot;00E931D9&quot;/&gt;&lt;wsp:rsid wsp:val=&quot;00E93614&quot;/&gt;&lt;wsp:rsid wsp:val=&quot;00E93B31&quot;/&gt;&lt;wsp:rsid wsp:val=&quot;00E97375&quot;/&gt;&lt;wsp:rsid wsp:val=&quot;00EA0267&quot;/&gt;&lt;wsp:rsid wsp:val=&quot;00EA26C0&quot;/&gt;&lt;wsp:rsid wsp:val=&quot;00EA2ED4&quot;/&gt;&lt;wsp:rsid wsp:val=&quot;00EA5179&quot;/&gt;&lt;wsp:rsid wsp:val=&quot;00EA7067&quot;/&gt;&lt;wsp:rsid wsp:val=&quot;00EB0FF4&quot;/&gt;&lt;wsp:rsid wsp:val=&quot;00EB2200&quot;/&gt;&lt;wsp:rsid wsp:val=&quot;00EB395D&quot;/&gt;&lt;wsp:rsid wsp:val=&quot;00EB42DA&quot;/&gt;&lt;wsp:rsid wsp:val=&quot;00EB54A3&quot;/&gt;&lt;wsp:rsid wsp:val=&quot;00EB60DD&quot;/&gt;&lt;wsp:rsid wsp:val=&quot;00EB7131&quot;/&gt;&lt;wsp:rsid wsp:val=&quot;00EB72F9&quot;/&gt;&lt;wsp:rsid wsp:val=&quot;00EC099A&quot;/&gt;&lt;wsp:rsid wsp:val=&quot;00EC0C31&quot;/&gt;&lt;wsp:rsid wsp:val=&quot;00EC1D06&quot;/&gt;&lt;wsp:rsid wsp:val=&quot;00EC2E60&quot;/&gt;&lt;wsp:rsid wsp:val=&quot;00EC36B0&quot;/&gt;&lt;wsp:rsid wsp:val=&quot;00EC52AF&quot;/&gt;&lt;wsp:rsid wsp:val=&quot;00EC6236&quot;/&gt;&lt;wsp:rsid wsp:val=&quot;00EC6576&quot;/&gt;&lt;wsp:rsid wsp:val=&quot;00ED0080&quot;/&gt;&lt;wsp:rsid wsp:val=&quot;00ED113F&quot;/&gt;&lt;wsp:rsid wsp:val=&quot;00ED3F81&quot;/&gt;&lt;wsp:rsid wsp:val=&quot;00ED5E13&quot;/&gt;&lt;wsp:rsid wsp:val=&quot;00EE0569&quot;/&gt;&lt;wsp:rsid wsp:val=&quot;00EE4BB4&quot;/&gt;&lt;wsp:rsid wsp:val=&quot;00EF0CA8&quot;/&gt;&lt;wsp:rsid wsp:val=&quot;00EF2257&quot;/&gt;&lt;wsp:rsid wsp:val=&quot;00EF2B33&quot;/&gt;&lt;wsp:rsid wsp:val=&quot;00EF3546&quot;/&gt;&lt;wsp:rsid wsp:val=&quot;00EF43FE&quot;/&gt;&lt;wsp:rsid wsp:val=&quot;00EF4B6E&quot;/&gt;&lt;wsp:rsid wsp:val=&quot;00EF576C&quot;/&gt;&lt;wsp:rsid wsp:val=&quot;00EF60AF&quot;/&gt;&lt;wsp:rsid wsp:val=&quot;00EF7B39&quot;/&gt;&lt;wsp:rsid wsp:val=&quot;00F006EC&quot;/&gt;&lt;wsp:rsid wsp:val=&quot;00F0252B&quot;/&gt;&lt;wsp:rsid wsp:val=&quot;00F036F1&quot;/&gt;&lt;wsp:rsid wsp:val=&quot;00F056FC&quot;/&gt;&lt;wsp:rsid wsp:val=&quot;00F05D34&quot;/&gt;&lt;wsp:rsid wsp:val=&quot;00F109B3&quot;/&gt;&lt;wsp:rsid wsp:val=&quot;00F11DB9&quot;/&gt;&lt;wsp:rsid wsp:val=&quot;00F131AA&quot;/&gt;&lt;wsp:rsid wsp:val=&quot;00F13471&quot;/&gt;&lt;wsp:rsid wsp:val=&quot;00F13A00&quot;/&gt;&lt;wsp:rsid wsp:val=&quot;00F1466A&quot;/&gt;&lt;wsp:rsid wsp:val=&quot;00F14BE2&quot;/&gt;&lt;wsp:rsid wsp:val=&quot;00F15481&quot;/&gt;&lt;wsp:rsid wsp:val=&quot;00F15712&quot;/&gt;&lt;wsp:rsid wsp:val=&quot;00F15B92&quot;/&gt;&lt;wsp:rsid wsp:val=&quot;00F1652F&quot;/&gt;&lt;wsp:rsid wsp:val=&quot;00F20EB7&quot;/&gt;&lt;wsp:rsid wsp:val=&quot;00F2168B&quot;/&gt;&lt;wsp:rsid wsp:val=&quot;00F21A77&quot;/&gt;&lt;wsp:rsid wsp:val=&quot;00F22153&quot;/&gt;&lt;wsp:rsid wsp:val=&quot;00F2293C&quot;/&gt;&lt;wsp:rsid wsp:val=&quot;00F24202&quot;/&gt;&lt;wsp:rsid wsp:val=&quot;00F25B92&quot;/&gt;&lt;wsp:rsid wsp:val=&quot;00F25EFC&quot;/&gt;&lt;wsp:rsid wsp:val=&quot;00F26B03&quot;/&gt;&lt;wsp:rsid wsp:val=&quot;00F26DC2&quot;/&gt;&lt;wsp:rsid wsp:val=&quot;00F32109&quot;/&gt;&lt;wsp:rsid wsp:val=&quot;00F3393E&quot;/&gt;&lt;wsp:rsid wsp:val=&quot;00F361C6&quot;/&gt;&lt;wsp:rsid wsp:val=&quot;00F3780E&quot;/&gt;&lt;wsp:rsid wsp:val=&quot;00F40E0E&quot;/&gt;&lt;wsp:rsid wsp:val=&quot;00F424DE&quot;/&gt;&lt;wsp:rsid wsp:val=&quot;00F42DAB&quot;/&gt;&lt;wsp:rsid wsp:val=&quot;00F42E64&quot;/&gt;&lt;wsp:rsid wsp:val=&quot;00F44719&quot;/&gt;&lt;wsp:rsid wsp:val=&quot;00F47A51&quot;/&gt;&lt;wsp:rsid wsp:val=&quot;00F47B98&quot;/&gt;&lt;wsp:rsid wsp:val=&quot;00F5072A&quot;/&gt;&lt;wsp:rsid wsp:val=&quot;00F50A5E&quot;/&gt;&lt;wsp:rsid wsp:val=&quot;00F51D5A&quot;/&gt;&lt;wsp:rsid wsp:val=&quot;00F540C0&quot;/&gt;&lt;wsp:rsid wsp:val=&quot;00F54E22&quot;/&gt;&lt;wsp:rsid wsp:val=&quot;00F6126D&quot;/&gt;&lt;wsp:rsid wsp:val=&quot;00F61A4B&quot;/&gt;&lt;wsp:rsid wsp:val=&quot;00F635CE&quot;/&gt;&lt;wsp:rsid wsp:val=&quot;00F63713&quot;/&gt;&lt;wsp:rsid wsp:val=&quot;00F655B2&quot;/&gt;&lt;wsp:rsid wsp:val=&quot;00F70FCD&quot;/&gt;&lt;wsp:rsid wsp:val=&quot;00F72CE6&quot;/&gt;&lt;wsp:rsid wsp:val=&quot;00F755F4&quot;/&gt;&lt;wsp:rsid wsp:val=&quot;00F75A28&quot;/&gt;&lt;wsp:rsid wsp:val=&quot;00F761B1&quot;/&gt;&lt;wsp:rsid wsp:val=&quot;00F762FD&quot;/&gt;&lt;wsp:rsid wsp:val=&quot;00F77547&quot;/&gt;&lt;wsp:rsid wsp:val=&quot;00F81D6F&quot;/&gt;&lt;wsp:rsid wsp:val=&quot;00F83C5C&quot;/&gt;&lt;wsp:rsid wsp:val=&quot;00F867C1&quot;/&gt;&lt;wsp:rsid wsp:val=&quot;00F87ADD&quot;/&gt;&lt;wsp:rsid wsp:val=&quot;00F87CDF&quot;/&gt;&lt;wsp:rsid wsp:val=&quot;00F910C5&quot;/&gt;&lt;wsp:rsid wsp:val=&quot;00F91795&quot;/&gt;&lt;wsp:rsid wsp:val=&quot;00F91DE6&quot;/&gt;&lt;wsp:rsid wsp:val=&quot;00F922CA&quot;/&gt;&lt;wsp:rsid wsp:val=&quot;00F92D31&quot;/&gt;&lt;wsp:rsid wsp:val=&quot;00F92D43&quot;/&gt;&lt;wsp:rsid wsp:val=&quot;00F9373C&quot;/&gt;&lt;wsp:rsid wsp:val=&quot;00F94D66&quot;/&gt;&lt;wsp:rsid wsp:val=&quot;00F95794&quot;/&gt;&lt;wsp:rsid wsp:val=&quot;00F961EE&quot;/&gt;&lt;wsp:rsid wsp:val=&quot;00FA1EB9&quot;/&gt;&lt;wsp:rsid wsp:val=&quot;00FA347B&quot;/&gt;&lt;wsp:rsid wsp:val=&quot;00FA4618&quot;/&gt;&lt;wsp:rsid wsp:val=&quot;00FA5657&quot;/&gt;&lt;wsp:rsid wsp:val=&quot;00FA6421&quot;/&gt;&lt;wsp:rsid wsp:val=&quot;00FB0C31&quot;/&gt;&lt;wsp:rsid wsp:val=&quot;00FB46CD&quot;/&gt;&lt;wsp:rsid wsp:val=&quot;00FB5023&quot;/&gt;&lt;wsp:rsid wsp:val=&quot;00FB5226&quot;/&gt;&lt;wsp:rsid wsp:val=&quot;00FB76BF&quot;/&gt;&lt;wsp:rsid wsp:val=&quot;00FB7ED2&quot;/&gt;&lt;wsp:rsid wsp:val=&quot;00FC1599&quot;/&gt;&lt;wsp:rsid wsp:val=&quot;00FC2ADD&quot;/&gt;&lt;wsp:rsid wsp:val=&quot;00FC364A&quot;/&gt;&lt;wsp:rsid wsp:val=&quot;00FC36E7&quot;/&gt;&lt;wsp:rsid wsp:val=&quot;00FC41A5&quot;/&gt;&lt;wsp:rsid wsp:val=&quot;00FC42EF&quot;/&gt;&lt;wsp:rsid wsp:val=&quot;00FC65EF&quot;/&gt;&lt;wsp:rsid wsp:val=&quot;00FC74D6&quot;/&gt;&lt;wsp:rsid wsp:val=&quot;00FD035C&quot;/&gt;&lt;wsp:rsid wsp:val=&quot;00FD1F0C&quot;/&gt;&lt;wsp:rsid wsp:val=&quot;00FD315C&quot;/&gt;&lt;wsp:rsid wsp:val=&quot;00FD384C&quot;/&gt;&lt;wsp:rsid wsp:val=&quot;00FD4A6A&quot;/&gt;&lt;wsp:rsid wsp:val=&quot;00FE0A10&quot;/&gt;&lt;wsp:rsid wsp:val=&quot;00FE2120&quot;/&gt;&lt;wsp:rsid wsp:val=&quot;00FE3369&quot;/&gt;&lt;wsp:rsid wsp:val=&quot;00FE3D73&quot;/&gt;&lt;wsp:rsid wsp:val=&quot;00FE40AE&quot;/&gt;&lt;wsp:rsid wsp:val=&quot;00FE6B1E&quot;/&gt;&lt;wsp:rsid wsp:val=&quot;00FE6C6D&quot;/&gt;&lt;wsp:rsid wsp:val=&quot;00FE6D79&quot;/&gt;&lt;wsp:rsid wsp:val=&quot;00FE6E32&quot;/&gt;&lt;wsp:rsid wsp:val=&quot;00FE6ECE&quot;/&gt;&lt;wsp:rsid wsp:val=&quot;00FF1175&quot;/&gt;&lt;wsp:rsid wsp:val=&quot;00FF1E60&quot;/&gt;&lt;wsp:rsid wsp:val=&quot;00FF23AF&quot;/&gt;&lt;wsp:rsid wsp:val=&quot;00FF3012&quot;/&gt;&lt;wsp:rsid wsp:val=&quot;00FF51AC&quot;/&gt;&lt;wsp:rsid wsp:val=&quot;00FF5398&quot;/&gt;&lt;wsp:rsid wsp:val=&quot;00FF563F&quot;/&gt;&lt;wsp:rsid wsp:val=&quot;00FF6698&quot;/&gt;&lt;wsp:rsid wsp:val=&quot;00FF7AC9&quot;/&gt;&lt;wsp:rsid wsp:val=&quot;00FF7CAB&quot;/&gt;&lt;wsp:rsid wsp:val=&quot;01A9638C&quot;/&gt;&lt;wsp:rsid wsp:val=&quot;01F85371&quot;/&gt;&lt;wsp:rsid wsp:val=&quot;020D6D1E&quot;/&gt;&lt;wsp:rsid wsp:val=&quot;027D63FC&quot;/&gt;&lt;wsp:rsid wsp:val=&quot;02941C3C&quot;/&gt;&lt;wsp:rsid wsp:val=&quot;029A40EF&quot;/&gt;&lt;wsp:rsid wsp:val=&quot;02B81F83&quot;/&gt;&lt;wsp:rsid wsp:val=&quot;03491A7A&quot;/&gt;&lt;wsp:rsid wsp:val=&quot;0371482E&quot;/&gt;&lt;wsp:rsid wsp:val=&quot;037309ED&quot;/&gt;&lt;wsp:rsid wsp:val=&quot;039C4E7A&quot;/&gt;&lt;wsp:rsid wsp:val=&quot;03E61ABE&quot;/&gt;&lt;wsp:rsid wsp:val=&quot;04046254&quot;/&gt;&lt;wsp:rsid wsp:val=&quot;042E0AC2&quot;/&gt;&lt;wsp:rsid wsp:val=&quot;044B5074&quot;/&gt;&lt;wsp:rsid wsp:val=&quot;046B05C8&quot;/&gt;&lt;wsp:rsid wsp:val=&quot;048C534E&quot;/&gt;&lt;wsp:rsid wsp:val=&quot;04B23C93&quot;/&gt;&lt;wsp:rsid wsp:val=&quot;04E0662D&quot;/&gt;&lt;wsp:rsid wsp:val=&quot;05234CEB&quot;/&gt;&lt;wsp:rsid wsp:val=&quot;0558310B&quot;/&gt;&lt;wsp:rsid wsp:val=&quot;05903D2C&quot;/&gt;&lt;wsp:rsid wsp:val=&quot;059C32B2&quot;/&gt;&lt;wsp:rsid wsp:val=&quot;059E3EB2&quot;/&gt;&lt;wsp:rsid wsp:val=&quot;05C029BC&quot;/&gt;&lt;wsp:rsid wsp:val=&quot;05D67251&quot;/&gt;&lt;wsp:rsid wsp:val=&quot;05F67670&quot;/&gt;&lt;wsp:rsid wsp:val=&quot;060937A2&quot;/&gt;&lt;wsp:rsid wsp:val=&quot;060F1745&quot;/&gt;&lt;wsp:rsid wsp:val=&quot;06243C1A&quot;/&gt;&lt;wsp:rsid wsp:val=&quot;06A44F74&quot;/&gt;&lt;wsp:rsid wsp:val=&quot;06D97670&quot;/&gt;&lt;wsp:rsid wsp:val=&quot;06E83ABD&quot;/&gt;&lt;wsp:rsid wsp:val=&quot;06F818AD&quot;/&gt;&lt;wsp:rsid wsp:val=&quot;073A3FDE&quot;/&gt;&lt;wsp:rsid wsp:val=&quot;07412932&quot;/&gt;&lt;wsp:rsid wsp:val=&quot;07454CF4&quot;/&gt;&lt;wsp:rsid wsp:val=&quot;07B808DA&quot;/&gt;&lt;wsp:rsid wsp:val=&quot;07C20B3C&quot;/&gt;&lt;wsp:rsid wsp:val=&quot;07FF672F&quot;/&gt;&lt;wsp:rsid wsp:val=&quot;08181DD2&quot;/&gt;&lt;wsp:rsid wsp:val=&quot;08302DB4&quot;/&gt;&lt;wsp:rsid wsp:val=&quot;08362EFF&quot;/&gt;&lt;wsp:rsid wsp:val=&quot;08E94ACB&quot;/&gt;&lt;wsp:rsid wsp:val=&quot;08F67FAD&quot;/&gt;&lt;wsp:rsid wsp:val=&quot;09933083&quot;/&gt;&lt;wsp:rsid wsp:val=&quot;0998586E&quot;/&gt;&lt;wsp:rsid wsp:val=&quot;0A257C72&quot;/&gt;&lt;wsp:rsid wsp:val=&quot;0A4A4A0C&quot;/&gt;&lt;wsp:rsid wsp:val=&quot;0AB147C7&quot;/&gt;&lt;wsp:rsid wsp:val=&quot;0ABD41C7&quot;/&gt;&lt;wsp:rsid wsp:val=&quot;0AE54EA6&quot;/&gt;&lt;wsp:rsid wsp:val=&quot;0B1B780F&quot;/&gt;&lt;wsp:rsid wsp:val=&quot;0B1D79F7&quot;/&gt;&lt;wsp:rsid wsp:val=&quot;0B671A27&quot;/&gt;&lt;wsp:rsid wsp:val=&quot;0B940897&quot;/&gt;&lt;wsp:rsid wsp:val=&quot;0BA4683A&quot;/&gt;&lt;wsp:rsid wsp:val=&quot;0BCD09CC&quot;/&gt;&lt;wsp:rsid wsp:val=&quot;0BCE7110&quot;/&gt;&lt;wsp:rsid wsp:val=&quot;0BDB6BA1&quot;/&gt;&lt;wsp:rsid wsp:val=&quot;0BDC1082&quot;/&gt;&lt;wsp:rsid wsp:val=&quot;0C43590E&quot;/&gt;&lt;wsp:rsid wsp:val=&quot;0C480449&quot;/&gt;&lt;wsp:rsid wsp:val=&quot;0CA73B71&quot;/&gt;&lt;wsp:rsid wsp:val=&quot;0CA75843&quot;/&gt;&lt;wsp:rsid wsp:val=&quot;0CB23D1F&quot;/&gt;&lt;wsp:rsid wsp:val=&quot;0CC043DF&quot;/&gt;&lt;wsp:rsid wsp:val=&quot;0CD47EE7&quot;/&gt;&lt;wsp:rsid wsp:val=&quot;0CEB3052&quot;/&gt;&lt;wsp:rsid wsp:val=&quot;0CFA171A&quot;/&gt;&lt;wsp:rsid wsp:val=&quot;0CFD21BC&quot;/&gt;&lt;wsp:rsid wsp:val=&quot;0D00555A&quot;/&gt;&lt;wsp:rsid wsp:val=&quot;0D5832D9&quot;/&gt;&lt;wsp:rsid wsp:val=&quot;0DF40578&quot;/&gt;&lt;wsp:rsid wsp:val=&quot;0DF55B6D&quot;/&gt;&lt;wsp:rsid wsp:val=&quot;0E780BD3&quot;/&gt;&lt;wsp:rsid wsp:val=&quot;0ED927DA&quot;/&gt;&lt;wsp:rsid wsp:val=&quot;0F103A6F&quot;/&gt;&lt;wsp:rsid wsp:val=&quot;0F1A0988&quot;/&gt;&lt;wsp:rsid wsp:val=&quot;0F2969B2&quot;/&gt;&lt;wsp:rsid wsp:val=&quot;0F8B1C35&quot;/&gt;&lt;wsp:rsid wsp:val=&quot;10653ED8&quot;/&gt;&lt;wsp:rsid wsp:val=&quot;106F5F73&quot;/&gt;&lt;wsp:rsid wsp:val=&quot;107144EC&quot;/&gt;&lt;wsp:rsid wsp:val=&quot;10C262E9&quot;/&gt;&lt;wsp:rsid wsp:val=&quot;10FF4A36&quot;/&gt;&lt;wsp:rsid wsp:val=&quot;117634A0&quot;/&gt;&lt;wsp:rsid wsp:val=&quot;1180157B&quot;/&gt;&lt;wsp:rsid wsp:val=&quot;11D40D67&quot;/&gt;&lt;wsp:rsid wsp:val=&quot;11DC1EEF&quot;/&gt;&lt;wsp:rsid wsp:val=&quot;12526757&quot;/&gt;&lt;wsp:rsid wsp:val=&quot;126877AA&quot;/&gt;&lt;wsp:rsid wsp:val=&quot;126E1A7A&quot;/&gt;&lt;wsp:rsid wsp:val=&quot;1271309A&quot;/&gt;&lt;wsp:rsid wsp:val=&quot;128C50B6&quot;/&gt;&lt;wsp:rsid wsp:val=&quot;12B37322&quot;/&gt;&lt;wsp:rsid wsp:val=&quot;12C02BEE&quot;/&gt;&lt;wsp:rsid wsp:val=&quot;12F23DF2&quot;/&gt;&lt;wsp:rsid wsp:val=&quot;12F41C6C&quot;/&gt;&lt;wsp:rsid wsp:val=&quot;130F4F30&quot;/&gt;&lt;wsp:rsid wsp:val=&quot;132317A5&quot;/&gt;&lt;wsp:rsid wsp:val=&quot;132450D4&quot;/&gt;&lt;wsp:rsid wsp:val=&quot;134127BA&quot;/&gt;&lt;wsp:rsid wsp:val=&quot;13494A88&quot;/&gt;&lt;wsp:rsid wsp:val=&quot;136D32DC&quot;/&gt;&lt;wsp:rsid wsp:val=&quot;136D692E&quot;/&gt;&lt;wsp:rsid wsp:val=&quot;13C31D0C&quot;/&gt;&lt;wsp:rsid wsp:val=&quot;141F7F3D&quot;/&gt;&lt;wsp:rsid wsp:val=&quot;14362780&quot;/&gt;&lt;wsp:rsid wsp:val=&quot;145506B6&quot;/&gt;&lt;wsp:rsid wsp:val=&quot;14B77509&quot;/&gt;&lt;wsp:rsid wsp:val=&quot;14DC5ACF&quot;/&gt;&lt;wsp:rsid wsp:val=&quot;155E77AE&quot;/&gt;&lt;wsp:rsid wsp:val=&quot;15B15E77&quot;/&gt;&lt;wsp:rsid wsp:val=&quot;15B51383&quot;/&gt;&lt;wsp:rsid wsp:val=&quot;15D2459B&quot;/&gt;&lt;wsp:rsid wsp:val=&quot;16086ED5&quot;/&gt;&lt;wsp:rsid wsp:val=&quot;16506B76&quot;/&gt;&lt;wsp:rsid wsp:val=&quot;16A828BB&quot;/&gt;&lt;wsp:rsid wsp:val=&quot;173B26F1&quot;/&gt;&lt;wsp:rsid wsp:val=&quot;176255CF&quot;/&gt;&lt;wsp:rsid wsp:val=&quot;17921C4A&quot;/&gt;&lt;wsp:rsid wsp:val=&quot;17AA38EE&quot;/&gt;&lt;wsp:rsid wsp:val=&quot;17AE6AF4&quot;/&gt;&lt;wsp:rsid wsp:val=&quot;18316932&quot;/&gt;&lt;wsp:rsid wsp:val=&quot;1845122F&quot;/&gt;&lt;wsp:rsid wsp:val=&quot;18680999&quot;/&gt;&lt;wsp:rsid wsp:val=&quot;18A1150B&quot;/&gt;&lt;wsp:rsid wsp:val=&quot;18C4594A&quot;/&gt;&lt;wsp:rsid wsp:val=&quot;18D407E2&quot;/&gt;&lt;wsp:rsid wsp:val=&quot;18E900FC&quot;/&gt;&lt;wsp:rsid wsp:val=&quot;194525D6&quot;/&gt;&lt;wsp:rsid wsp:val=&quot;19551599&quot;/&gt;&lt;wsp:rsid wsp:val=&quot;196B266A&quot;/&gt;&lt;wsp:rsid wsp:val=&quot;19724740&quot;/&gt;&lt;wsp:rsid wsp:val=&quot;19747BBC&quot;/&gt;&lt;wsp:rsid wsp:val=&quot;19901FF4&quot;/&gt;&lt;wsp:rsid wsp:val=&quot;19F81C79&quot;/&gt;&lt;wsp:rsid wsp:val=&quot;1A1518CF&quot;/&gt;&lt;wsp:rsid wsp:val=&quot;1ACB37C8&quot;/&gt;&lt;wsp:rsid wsp:val=&quot;1AD50A1E&quot;/&gt;&lt;wsp:rsid wsp:val=&quot;1B3F15DF&quot;/&gt;&lt;wsp:rsid wsp:val=&quot;1B811131&quot;/&gt;&lt;wsp:rsid wsp:val=&quot;1B8E73D9&quot;/&gt;&lt;wsp:rsid wsp:val=&quot;1B982306&quot;/&gt;&lt;wsp:rsid wsp:val=&quot;1BFE5956&quot;/&gt;&lt;wsp:rsid wsp:val=&quot;1C29312F&quot;/&gt;&lt;wsp:rsid wsp:val=&quot;1CDC62A6&quot;/&gt;&lt;wsp:rsid wsp:val=&quot;1D4A291B&quot;/&gt;&lt;wsp:rsid wsp:val=&quot;1D4E0F5F&quot;/&gt;&lt;wsp:rsid wsp:val=&quot;1D712ECF&quot;/&gt;&lt;wsp:rsid wsp:val=&quot;1D801D7C&quot;/&gt;&lt;wsp:rsid wsp:val=&quot;1D804FA5&quot;/&gt;&lt;wsp:rsid wsp:val=&quot;1DD828FE&quot;/&gt;&lt;wsp:rsid wsp:val=&quot;1DE6154C&quot;/&gt;&lt;wsp:rsid wsp:val=&quot;1EDF64EB&quot;/&gt;&lt;wsp:rsid wsp:val=&quot;1F7900B1&quot;/&gt;&lt;wsp:rsid wsp:val=&quot;1F954039&quot;/&gt;&lt;wsp:rsid wsp:val=&quot;1FDB53EB&quot;/&gt;&lt;wsp:rsid wsp:val=&quot;1FEE3723&quot;/&gt;&lt;wsp:rsid wsp:val=&quot;20606F4A&quot;/&gt;&lt;wsp:rsid wsp:val=&quot;208C769A&quot;/&gt;&lt;wsp:rsid wsp:val=&quot;20A9595F&quot;/&gt;&lt;wsp:rsid wsp:val=&quot;214B445B&quot;/&gt;&lt;wsp:rsid wsp:val=&quot;21582D22&quot;/&gt;&lt;wsp:rsid wsp:val=&quot;21B270E4&quot;/&gt;&lt;wsp:rsid wsp:val=&quot;220001CD&quot;/&gt;&lt;wsp:rsid wsp:val=&quot;2204542F&quot;/&gt;&lt;wsp:rsid wsp:val=&quot;221631F1&quot;/&gt;&lt;wsp:rsid wsp:val=&quot;227667D1&quot;/&gt;&lt;wsp:rsid wsp:val=&quot;23CC7181&quot;/&gt;&lt;wsp:rsid wsp:val=&quot;23D55986&quot;/&gt;&lt;wsp:rsid wsp:val=&quot;24023566&quot;/&gt;&lt;wsp:rsid wsp:val=&quot;24822315&quot;/&gt;&lt;wsp:rsid wsp:val=&quot;24866577&quot;/&gt;&lt;wsp:rsid wsp:val=&quot;248C3975&quot;/&gt;&lt;wsp:rsid wsp:val=&quot;249E26AC&quot;/&gt;&lt;wsp:rsid wsp:val=&quot;24CA406C&quot;/&gt;&lt;wsp:rsid wsp:val=&quot;251D1FB5&quot;/&gt;&lt;wsp:rsid wsp:val=&quot;25741DEA&quot;/&gt;&lt;wsp:rsid wsp:val=&quot;25922AC5&quot;/&gt;&lt;wsp:rsid wsp:val=&quot;26064A97&quot;/&gt;&lt;wsp:rsid wsp:val=&quot;26405B2B&quot;/&gt;&lt;wsp:rsid wsp:val=&quot;264C5406&quot;/&gt;&lt;wsp:rsid wsp:val=&quot;266E3399&quot;/&gt;&lt;wsp:rsid wsp:val=&quot;26B87C20&quot;/&gt;&lt;wsp:rsid wsp:val=&quot;26E07FE7&quot;/&gt;&lt;wsp:rsid wsp:val=&quot;27565261&quot;/&gt;&lt;wsp:rsid wsp:val=&quot;27A75CDF&quot;/&gt;&lt;wsp:rsid wsp:val=&quot;27B16C2F&quot;/&gt;&lt;wsp:rsid wsp:val=&quot;27B37F34&quot;/&gt;&lt;wsp:rsid wsp:val=&quot;27C03E4F&quot;/&gt;&lt;wsp:rsid wsp:val=&quot;27CE323F&quot;/&gt;&lt;wsp:rsid wsp:val=&quot;27CF4354&quot;/&gt;&lt;wsp:rsid wsp:val=&quot;27EC6B73&quot;/&gt;&lt;wsp:rsid wsp:val=&quot;285A39FC&quot;/&gt;&lt;wsp:rsid wsp:val=&quot;285E62F2&quot;/&gt;&lt;wsp:rsid wsp:val=&quot;28670081&quot;/&gt;&lt;wsp:rsid wsp:val=&quot;288A702C&quot;/&gt;&lt;wsp:rsid wsp:val=&quot;28B018BB&quot;/&gt;&lt;wsp:rsid wsp:val=&quot;28E62B8A&quot;/&gt;&lt;wsp:rsid wsp:val=&quot;28F10C29&quot;/&gt;&lt;wsp:rsid wsp:val=&quot;292A4B58&quot;/&gt;&lt;wsp:rsid wsp:val=&quot;296443A6&quot;/&gt;&lt;wsp:rsid wsp:val=&quot;298C1EAF&quot;/&gt;&lt;wsp:rsid wsp:val=&quot;29C55E80&quot;/&gt;&lt;wsp:rsid wsp:val=&quot;29D4729A&quot;/&gt;&lt;wsp:rsid wsp:val=&quot;29E36D37&quot;/&gt;&lt;wsp:rsid wsp:val=&quot;2A3C69C8&quot;/&gt;&lt;wsp:rsid wsp:val=&quot;2A5C6DFA&quot;/&gt;&lt;wsp:rsid wsp:val=&quot;2A7F371E&quot;/&gt;&lt;wsp:rsid wsp:val=&quot;2AF27104&quot;/&gt;&lt;wsp:rsid wsp:val=&quot;2B283A45&quot;/&gt;&lt;wsp:rsid wsp:val=&quot;2B995893&quot;/&gt;&lt;wsp:rsid wsp:val=&quot;2BD463F1&quot;/&gt;&lt;wsp:rsid wsp:val=&quot;2C1B2F79&quot;/&gt;&lt;wsp:rsid wsp:val=&quot;2C6278CF&quot;/&gt;&lt;wsp:rsid wsp:val=&quot;2C7D34EA&quot;/&gt;&lt;wsp:rsid wsp:val=&quot;2C9654BA&quot;/&gt;&lt;wsp:rsid wsp:val=&quot;2CDE3748&quot;/&gt;&lt;wsp:rsid wsp:val=&quot;2D0749ED&quot;/&gt;&lt;wsp:rsid wsp:val=&quot;2D3B266C&quot;/&gt;&lt;wsp:rsid wsp:val=&quot;2D627E7F&quot;/&gt;&lt;wsp:rsid wsp:val=&quot;2DA470D2&quot;/&gt;&lt;wsp:rsid wsp:val=&quot;2DB548EF&quot;/&gt;&lt;wsp:rsid wsp:val=&quot;2DC724A5&quot;/&gt;&lt;wsp:rsid wsp:val=&quot;2DD17AA1&quot;/&gt;&lt;wsp:rsid wsp:val=&quot;2DD967B6&quot;/&gt;&lt;wsp:rsid wsp:val=&quot;2DE17319&quot;/&gt;&lt;wsp:rsid wsp:val=&quot;2E385A22&quot;/&gt;&lt;wsp:rsid wsp:val=&quot;2E8309E9&quot;/&gt;&lt;wsp:rsid wsp:val=&quot;2E863C7D&quot;/&gt;&lt;wsp:rsid wsp:val=&quot;2E9E44D0&quot;/&gt;&lt;wsp:rsid wsp:val=&quot;2EEB36BC&quot;/&gt;&lt;wsp:rsid wsp:val=&quot;2F012CCA&quot;/&gt;&lt;wsp:rsid wsp:val=&quot;2F080037&quot;/&gt;&lt;wsp:rsid wsp:val=&quot;2F245911&quot;/&gt;&lt;wsp:rsid wsp:val=&quot;2F675DBF&quot;/&gt;&lt;wsp:rsid wsp:val=&quot;2FD81079&quot;/&gt;&lt;wsp:rsid wsp:val=&quot;30204C8D&quot;/&gt;&lt;wsp:rsid wsp:val=&quot;30A32892&quot;/&gt;&lt;wsp:rsid wsp:val=&quot;30AF4173&quot;/&gt;&lt;wsp:rsid wsp:val=&quot;310B5FD5&quot;/&gt;&lt;wsp:rsid wsp:val=&quot;311D2B15&quot;/&gt;&lt;wsp:rsid wsp:val=&quot;315219CD&quot;/&gt;&lt;wsp:rsid wsp:val=&quot;315F249D&quot;/&gt;&lt;wsp:rsid wsp:val=&quot;316D30FD&quot;/&gt;&lt;wsp:rsid wsp:val=&quot;319F0B7F&quot;/&gt;&lt;wsp:rsid wsp:val=&quot;31C14EA0&quot;/&gt;&lt;wsp:rsid wsp:val=&quot;31D55C00&quot;/&gt;&lt;wsp:rsid wsp:val=&quot;323B259A&quot;/&gt;&lt;wsp:rsid wsp:val=&quot;32AC391E&quot;/&gt;&lt;wsp:rsid wsp:val=&quot;32BC30CA&quot;/&gt;&lt;wsp:rsid wsp:val=&quot;32BF3C6E&quot;/&gt;&lt;wsp:rsid wsp:val=&quot;3311198C&quot;/&gt;&lt;wsp:rsid wsp:val=&quot;336C5F8A&quot;/&gt;&lt;wsp:rsid wsp:val=&quot;338054FA&quot;/&gt;&lt;wsp:rsid wsp:val=&quot;34946271&quot;/&gt;&lt;wsp:rsid wsp:val=&quot;34BD2FD0&quot;/&gt;&lt;wsp:rsid wsp:val=&quot;34DD4E51&quot;/&gt;&lt;wsp:rsid wsp:val=&quot;34EB3E79&quot;/&gt;&lt;wsp:rsid wsp:val=&quot;34FA55BB&quot;/&gt;&lt;wsp:rsid wsp:val=&quot;351346F4&quot;/&gt;&lt;wsp:rsid wsp:val=&quot;3519120D&quot;/&gt;&lt;wsp:rsid wsp:val=&quot;353841D7&quot;/&gt;&lt;wsp:rsid wsp:val=&quot;35486C97&quot;/&gt;&lt;wsp:rsid wsp:val=&quot;355C3F1D&quot;/&gt;&lt;wsp:rsid wsp:val=&quot;35834A77&quot;/&gt;&lt;wsp:rsid wsp:val=&quot;35883A12&quot;/&gt;&lt;wsp:rsid wsp:val=&quot;358A5BFF&quot;/&gt;&lt;wsp:rsid wsp:val=&quot;35ED1F16&quot;/&gt;&lt;wsp:rsid wsp:val=&quot;36075B09&quot;/&gt;&lt;wsp:rsid wsp:val=&quot;362A1EC0&quot;/&gt;&lt;wsp:rsid wsp:val=&quot;365458FE&quot;/&gt;&lt;wsp:rsid wsp:val=&quot;36684B41&quot;/&gt;&lt;wsp:rsid wsp:val=&quot;36A43B21&quot;/&gt;&lt;wsp:rsid wsp:val=&quot;36D375F8&quot;/&gt;&lt;wsp:rsid wsp:val=&quot;372B084D&quot;/&gt;&lt;wsp:rsid wsp:val=&quot;3749353D&quot;/&gt;&lt;wsp:rsid wsp:val=&quot;379B7C31&quot;/&gt;&lt;wsp:rsid wsp:val=&quot;37F92253&quot;/&gt;&lt;wsp:rsid wsp:val=&quot;381C2332&quot;/&gt;&lt;wsp:rsid wsp:val=&quot;382C7ABC&quot;/&gt;&lt;wsp:rsid wsp:val=&quot;38465704&quot;/&gt;&lt;wsp:rsid wsp:val=&quot;38584DB5&quot;/&gt;&lt;wsp:rsid wsp:val=&quot;38B41DF8&quot;/&gt;&lt;wsp:rsid wsp:val=&quot;38C417D8&quot;/&gt;&lt;wsp:rsid wsp:val=&quot;38FE67F7&quot;/&gt;&lt;wsp:rsid wsp:val=&quot;399F73AA&quot;/&gt;&lt;wsp:rsid wsp:val=&quot;39B02A1B&quot;/&gt;&lt;wsp:rsid wsp:val=&quot;3A18128F&quot;/&gt;&lt;wsp:rsid wsp:val=&quot;3A3C7C74&quot;/&gt;&lt;wsp:rsid wsp:val=&quot;3AA44729&quot;/&gt;&lt;wsp:rsid wsp:val=&quot;3AC25D65&quot;/&gt;&lt;wsp:rsid wsp:val=&quot;3B0A566C&quot;/&gt;&lt;wsp:rsid wsp:val=&quot;3B31440C&quot;/&gt;&lt;wsp:rsid wsp:val=&quot;3B5804F5&quot;/&gt;&lt;wsp:rsid wsp:val=&quot;3B5854EC&quot;/&gt;&lt;wsp:rsid wsp:val=&quot;3B8C734A&quot;/&gt;&lt;wsp:rsid wsp:val=&quot;3B9E1870&quot;/&gt;&lt;wsp:rsid wsp:val=&quot;3BB36AED&quot;/&gt;&lt;wsp:rsid wsp:val=&quot;3C485E31&quot;/&gt;&lt;wsp:rsid wsp:val=&quot;3C7512E3&quot;/&gt;&lt;wsp:rsid wsp:val=&quot;3C7B34FE&quot;/&gt;&lt;wsp:rsid wsp:val=&quot;3D0E12EF&quot;/&gt;&lt;wsp:rsid wsp:val=&quot;3D207F9E&quot;/&gt;&lt;wsp:rsid wsp:val=&quot;3D382D5F&quot;/&gt;&lt;wsp:rsid wsp:val=&quot;3D5075A9&quot;/&gt;&lt;wsp:rsid wsp:val=&quot;3D6325D9&quot;/&gt;&lt;wsp:rsid wsp:val=&quot;3D7F4BBA&quot;/&gt;&lt;wsp:rsid wsp:val=&quot;3DB46C30&quot;/&gt;&lt;wsp:rsid wsp:val=&quot;3DD26605&quot;/&gt;&lt;wsp:rsid wsp:val=&quot;3DDC493F&quot;/&gt;&lt;wsp:rsid wsp:val=&quot;3DE760CC&quot;/&gt;&lt;wsp:rsid wsp:val=&quot;3E44031A&quot;/&gt;&lt;wsp:rsid wsp:val=&quot;3E580EA8&quot;/&gt;&lt;wsp:rsid wsp:val=&quot;3ECC5AC6&quot;/&gt;&lt;wsp:rsid wsp:val=&quot;3ED02C12&quot;/&gt;&lt;wsp:rsid wsp:val=&quot;3ED74360&quot;/&gt;&lt;wsp:rsid wsp:val=&quot;3EDA5492&quot;/&gt;&lt;wsp:rsid wsp:val=&quot;3F007D4B&quot;/&gt;&lt;wsp:rsid wsp:val=&quot;3F182585&quot;/&gt;&lt;wsp:rsid wsp:val=&quot;3F5343BC&quot;/&gt;&lt;wsp:rsid wsp:val=&quot;3F644F7B&quot;/&gt;&lt;wsp:rsid wsp:val=&quot;3F7E33BB&quot;/&gt;&lt;wsp:rsid wsp:val=&quot;401B689D&quot;/&gt;&lt;wsp:rsid wsp:val=&quot;40825AEB&quot;/&gt;&lt;wsp:rsid wsp:val=&quot;40CF7773&quot;/&gt;&lt;wsp:rsid wsp:val=&quot;40FD7EC0&quot;/&gt;&lt;wsp:rsid wsp:val=&quot;411B12F7&quot;/&gt;&lt;wsp:rsid wsp:val=&quot;41422840&quot;/&gt;&lt;wsp:rsid wsp:val=&quot;416E188A&quot;/&gt;&lt;wsp:rsid wsp:val=&quot;417B15AA&quot;/&gt;&lt;wsp:rsid wsp:val=&quot;417E0415&quot;/&gt;&lt;wsp:rsid wsp:val=&quot;423831F0&quot;/&gt;&lt;wsp:rsid wsp:val=&quot;429216FA&quot;/&gt;&lt;wsp:rsid wsp:val=&quot;43055AD9&quot;/&gt;&lt;wsp:rsid wsp:val=&quot;430E112E&quot;/&gt;&lt;wsp:rsid wsp:val=&quot;43112748&quot;/&gt;&lt;wsp:rsid wsp:val=&quot;43436ACC&quot;/&gt;&lt;wsp:rsid wsp:val=&quot;436D3C92&quot;/&gt;&lt;wsp:rsid wsp:val=&quot;439C7691&quot;/&gt;&lt;wsp:rsid wsp:val=&quot;43AB7A52&quot;/&gt;&lt;wsp:rsid wsp:val=&quot;440776FB&quot;/&gt;&lt;wsp:rsid wsp:val=&quot;44745A3B&quot;/&gt;&lt;wsp:rsid wsp:val=&quot;447F5249&quot;/&gt;&lt;wsp:rsid wsp:val=&quot;449B64FE&quot;/&gt;&lt;wsp:rsid wsp:val=&quot;45017E7B&quot;/&gt;&lt;wsp:rsid wsp:val=&quot;45432443&quot;/&gt;&lt;wsp:rsid wsp:val=&quot;4566258A&quot;/&gt;&lt;wsp:rsid wsp:val=&quot;45A7667A&quot;/&gt;&lt;wsp:rsid wsp:val=&quot;46001E6D&quot;/&gt;&lt;wsp:rsid wsp:val=&quot;466407AF&quot;/&gt;&lt;wsp:rsid wsp:val=&quot;46672832&quot;/&gt;&lt;wsp:rsid wsp:val=&quot;467A6F9A&quot;/&gt;&lt;wsp:rsid wsp:val=&quot;469836B8&quot;/&gt;&lt;wsp:rsid wsp:val=&quot;471F15AF&quot;/&gt;&lt;wsp:rsid wsp:val=&quot;473B5C6E&quot;/&gt;&lt;wsp:rsid wsp:val=&quot;47466E83&quot;/&gt;&lt;wsp:rsid wsp:val=&quot;47C03B9D&quot;/&gt;&lt;wsp:rsid wsp:val=&quot;47C30CF6&quot;/&gt;&lt;wsp:rsid wsp:val=&quot;487A59AA&quot;/&gt;&lt;wsp:rsid wsp:val=&quot;48B774B3&quot;/&gt;&lt;wsp:rsid wsp:val=&quot;48EF2896&quot;/&gt;&lt;wsp:rsid wsp:val=&quot;49760999&quot;/&gt;&lt;wsp:rsid wsp:val=&quot;49C50371&quot;/&gt;&lt;wsp:rsid wsp:val=&quot;49D12D4B&quot;/&gt;&lt;wsp:rsid wsp:val=&quot;4A4D09F8&quot;/&gt;&lt;wsp:rsid wsp:val=&quot;4AA417F9&quot;/&gt;&lt;wsp:rsid wsp:val=&quot;4B140B40&quot;/&gt;&lt;wsp:rsid wsp:val=&quot;4B445055&quot;/&gt;&lt;wsp:rsid wsp:val=&quot;4B7D29BB&quot;/&gt;&lt;wsp:rsid wsp:val=&quot;4B7F2997&quot;/&gt;&lt;wsp:rsid wsp:val=&quot;4BB5435D&quot;/&gt;&lt;wsp:rsid wsp:val=&quot;4BC673FF&quot;/&gt;&lt;wsp:rsid wsp:val=&quot;4BDA217B&quot;/&gt;&lt;wsp:rsid wsp:val=&quot;4BFB0E97&quot;/&gt;&lt;wsp:rsid wsp:val=&quot;4BFD74C7&quot;/&gt;&lt;wsp:rsid wsp:val=&quot;4C273332&quot;/&gt;&lt;wsp:rsid wsp:val=&quot;4C3262FC&quot;/&gt;&lt;wsp:rsid wsp:val=&quot;4C3741EE&quot;/&gt;&lt;wsp:rsid wsp:val=&quot;4CFA2748&quot;/&gt;&lt;wsp:rsid wsp:val=&quot;4D00145F&quot;/&gt;&lt;wsp:rsid wsp:val=&quot;4D003D1C&quot;/&gt;&lt;wsp:rsid wsp:val=&quot;4D2A5855&quot;/&gt;&lt;wsp:rsid wsp:val=&quot;4D582DCC&quot;/&gt;&lt;wsp:rsid wsp:val=&quot;4DBE472C&quot;/&gt;&lt;wsp:rsid wsp:val=&quot;4E1C0F24&quot;/&gt;&lt;wsp:rsid wsp:val=&quot;4E6B58B0&quot;/&gt;&lt;wsp:rsid wsp:val=&quot;4E9A0482&quot;/&gt;&lt;wsp:rsid wsp:val=&quot;4ED51E81&quot;/&gt;&lt;wsp:rsid wsp:val=&quot;4EE9006A&quot;/&gt;&lt;wsp:rsid wsp:val=&quot;4EF03E68&quot;/&gt;&lt;wsp:rsid wsp:val=&quot;4F755B2E&quot;/&gt;&lt;wsp:rsid wsp:val=&quot;4FD76624&quot;/&gt;&lt;wsp:rsid wsp:val=&quot;4FFA26B4&quot;/&gt;&lt;wsp:rsid wsp:val=&quot;509F3F21&quot;/&gt;&lt;wsp:rsid wsp:val=&quot;50C173D2&quot;/&gt;&lt;wsp:rsid wsp:val=&quot;50CA5E5B&quot;/&gt;&lt;wsp:rsid wsp:val=&quot;50CB7566&quot;/&gt;&lt;wsp:rsid wsp:val=&quot;50EE73E8&quot;/&gt;&lt;wsp:rsid wsp:val=&quot;511014BB&quot;/&gt;&lt;wsp:rsid wsp:val=&quot;51401FC2&quot;/&gt;&lt;wsp:rsid wsp:val=&quot;517002F8&quot;/&gt;&lt;wsp:rsid wsp:val=&quot;51E55159&quot;/&gt;&lt;wsp:rsid wsp:val=&quot;51F81226&quot;/&gt;&lt;wsp:rsid wsp:val=&quot;520B46A1&quot;/&gt;&lt;wsp:rsid wsp:val=&quot;52AD6228&quot;/&gt;&lt;wsp:rsid wsp:val=&quot;52CA710B&quot;/&gt;&lt;wsp:rsid wsp:val=&quot;52CF0A0F&quot;/&gt;&lt;wsp:rsid wsp:val=&quot;53A20C6E&quot;/&gt;&lt;wsp:rsid wsp:val=&quot;53AB3DC5&quot;/&gt;&lt;wsp:rsid wsp:val=&quot;53AD2E17&quot;/&gt;&lt;wsp:rsid wsp:val=&quot;53C448E2&quot;/&gt;&lt;wsp:rsid wsp:val=&quot;53D548D5&quot;/&gt;&lt;wsp:rsid wsp:val=&quot;54051DA6&quot;/&gt;&lt;wsp:rsid wsp:val=&quot;541D41A2&quot;/&gt;&lt;wsp:rsid wsp:val=&quot;54512DC3&quot;/&gt;&lt;wsp:rsid wsp:val=&quot;54582FEA&quot;/&gt;&lt;wsp:rsid wsp:val=&quot;549148A6&quot;/&gt;&lt;wsp:rsid wsp:val=&quot;54D91FBF&quot;/&gt;&lt;wsp:rsid wsp:val=&quot;55B26A55&quot;/&gt;&lt;wsp:rsid wsp:val=&quot;55CC70FB&quot;/&gt;&lt;wsp:rsid wsp:val=&quot;56093F89&quot;/&gt;&lt;wsp:rsid wsp:val=&quot;56670BDD&quot;/&gt;&lt;wsp:rsid wsp:val=&quot;56A164E2&quot;/&gt;&lt;wsp:rsid wsp:val=&quot;57583496&quot;/&gt;&lt;wsp:rsid wsp:val=&quot;57E01BB4&quot;/&gt;&lt;wsp:rsid wsp:val=&quot;580F0CE9&quot;/&gt;&lt;wsp:rsid wsp:val=&quot;587E52D4&quot;/&gt;&lt;wsp:rsid wsp:val=&quot;58A960D0&quot;/&gt;&lt;wsp:rsid wsp:val=&quot;58F545CC&quot;/&gt;&lt;wsp:rsid wsp:val=&quot;59540FA5&quot;/&gt;&lt;wsp:rsid wsp:val=&quot;597957F9&quot;/&gt;&lt;wsp:rsid wsp:val=&quot;59F5591E&quot;/&gt;&lt;wsp:rsid wsp:val=&quot;5A094BEC&quot;/&gt;&lt;wsp:rsid wsp:val=&quot;5A0B21E8&quot;/&gt;&lt;wsp:rsid wsp:val=&quot;5A9C50D3&quot;/&gt;&lt;wsp:rsid wsp:val=&quot;5AB30BD1&quot;/&gt;&lt;wsp:rsid wsp:val=&quot;5AD04BDD&quot;/&gt;&lt;wsp:rsid wsp:val=&quot;5B0131C2&quot;/&gt;&lt;wsp:rsid wsp:val=&quot;5B3D1AC1&quot;/&gt;&lt;wsp:rsid wsp:val=&quot;5B476E60&quot;/&gt;&lt;wsp:rsid wsp:val=&quot;5BB80339&quot;/&gt;&lt;wsp:rsid wsp:val=&quot;5BCF3828&quot;/&gt;&lt;wsp:rsid wsp:val=&quot;5BE403BB&quot;/&gt;&lt;wsp:rsid wsp:val=&quot;5C3A3F42&quot;/&gt;&lt;wsp:rsid wsp:val=&quot;5C7B06A4&quot;/&gt;&lt;wsp:rsid wsp:val=&quot;5C9E53B7&quot;/&gt;&lt;wsp:rsid wsp:val=&quot;5CA36DA9&quot;/&gt;&lt;wsp:rsid wsp:val=&quot;5CC7559B&quot;/&gt;&lt;wsp:rsid wsp:val=&quot;5D3B50BF&quot;/&gt;&lt;wsp:rsid wsp:val=&quot;5DA314B7&quot;/&gt;&lt;wsp:rsid wsp:val=&quot;5DA94711&quot;/&gt;&lt;wsp:rsid wsp:val=&quot;5DDC1E5B&quot;/&gt;&lt;wsp:rsid wsp:val=&quot;5E0724EB&quot;/&gt;&lt;wsp:rsid wsp:val=&quot;5E17771B&quot;/&gt;&lt;wsp:rsid wsp:val=&quot;5E3E4546&quot;/&gt;&lt;wsp:rsid wsp:val=&quot;5E644BF1&quot;/&gt;&lt;wsp:rsid wsp:val=&quot;5E647BC9&quot;/&gt;&lt;wsp:rsid wsp:val=&quot;5EA36983&quot;/&gt;&lt;wsp:rsid wsp:val=&quot;5F2B11D8&quot;/&gt;&lt;wsp:rsid wsp:val=&quot;5F5E515F&quot;/&gt;&lt;wsp:rsid wsp:val=&quot;5F7E505D&quot;/&gt;&lt;wsp:rsid wsp:val=&quot;5F813C73&quot;/&gt;&lt;wsp:rsid wsp:val=&quot;5FAA4432&quot;/&gt;&lt;wsp:rsid wsp:val=&quot;5FAD5533&quot;/&gt;&lt;wsp:rsid wsp:val=&quot;606158C5&quot;/&gt;&lt;wsp:rsid wsp:val=&quot;608820E0&quot;/&gt;&lt;wsp:rsid wsp:val=&quot;60DF7A12&quot;/&gt;&lt;wsp:rsid wsp:val=&quot;60F45F94&quot;/&gt;&lt;wsp:rsid wsp:val=&quot;61270C6F&quot;/&gt;&lt;wsp:rsid wsp:val=&quot;61310078&quot;/&gt;&lt;wsp:rsid wsp:val=&quot;619665AF&quot;/&gt;&lt;wsp:rsid wsp:val=&quot;61F45CF9&quot;/&gt;&lt;wsp:rsid wsp:val=&quot;629E5E0C&quot;/&gt;&lt;wsp:rsid wsp:val=&quot;62CE2EDB&quot;/&gt;&lt;wsp:rsid wsp:val=&quot;631F2549&quot;/&gt;&lt;wsp:rsid wsp:val=&quot;633609E5&quot;/&gt;&lt;wsp:rsid wsp:val=&quot;638D0E29&quot;/&gt;&lt;wsp:rsid wsp:val=&quot;63AB4987&quot;/&gt;&lt;wsp:rsid wsp:val=&quot;63FA301D&quot;/&gt;&lt;wsp:rsid wsp:val=&quot;64092E5D&quot;/&gt;&lt;wsp:rsid wsp:val=&quot;652C341E&quot;/&gt;&lt;wsp:rsid wsp:val=&quot;65384CCA&quot;/&gt;&lt;wsp:rsid wsp:val=&quot;653A2AE4&quot;/&gt;&lt;wsp:rsid wsp:val=&quot;657B5034&quot;/&gt;&lt;wsp:rsid wsp:val=&quot;658F3C14&quot;/&gt;&lt;wsp:rsid wsp:val=&quot;65D87FE6&quot;/&gt;&lt;wsp:rsid wsp:val=&quot;664311A9&quot;/&gt;&lt;wsp:rsid wsp:val=&quot;66434DA6&quot;/&gt;&lt;wsp:rsid wsp:val=&quot;66737D43&quot;/&gt;&lt;wsp:rsid wsp:val=&quot;66952EFD&quot;/&gt;&lt;wsp:rsid wsp:val=&quot;66B56A0C&quot;/&gt;&lt;wsp:rsid wsp:val=&quot;66B844F2&quot;/&gt;&lt;wsp:rsid wsp:val=&quot;66D832DB&quot;/&gt;&lt;wsp:rsid wsp:val=&quot;67051C76&quot;/&gt;&lt;wsp:rsid wsp:val=&quot;671757FB&quot;/&gt;&lt;wsp:rsid wsp:val=&quot;67426194&quot;/&gt;&lt;wsp:rsid wsp:val=&quot;67E92F04&quot;/&gt;&lt;wsp:rsid wsp:val=&quot;681C0938&quot;/&gt;&lt;wsp:rsid wsp:val=&quot;6835040A&quot;/&gt;&lt;wsp:rsid wsp:val=&quot;683800F1&quot;/&gt;&lt;wsp:rsid wsp:val=&quot;68B80295&quot;/&gt;&lt;wsp:rsid wsp:val=&quot;68FE10FE&quot;/&gt;&lt;wsp:rsid wsp:val=&quot;69266CE2&quot;/&gt;&lt;wsp:rsid wsp:val=&quot;694A1C73&quot;/&gt;&lt;wsp:rsid wsp:val=&quot;6AA0560B&quot;/&gt;&lt;wsp:rsid wsp:val=&quot;6AAD5F2D&quot;/&gt;&lt;wsp:rsid wsp:val=&quot;6ABE0C0B&quot;/&gt;&lt;wsp:rsid wsp:val=&quot;6AC31B73&quot;/&gt;&lt;wsp:rsid wsp:val=&quot;6AD549D7&quot;/&gt;&lt;wsp:rsid wsp:val=&quot;6AD555CA&quot;/&gt;&lt;wsp:rsid wsp:val=&quot;6B2A2489&quot;/&gt;&lt;wsp:rsid wsp:val=&quot;6B3866B4&quot;/&gt;&lt;wsp:rsid wsp:val=&quot;6B461E08&quot;/&gt;&lt;wsp:rsid wsp:val=&quot;6B7117BE&quot;/&gt;&lt;wsp:rsid wsp:val=&quot;6B71607E&quot;/&gt;&lt;wsp:rsid wsp:val=&quot;6B9562DE&quot;/&gt;&lt;wsp:rsid wsp:val=&quot;6C0E4475&quot;/&gt;&lt;wsp:rsid wsp:val=&quot;6C1A4133&quot;/&gt;&lt;wsp:rsid wsp:val=&quot;6C466122&quot;/&gt;&lt;wsp:rsid wsp:val=&quot;6C677AE5&quot;/&gt;&lt;wsp:rsid wsp:val=&quot;6C7F0E78&quot;/&gt;&lt;wsp:rsid wsp:val=&quot;6C8B22A0&quot;/&gt;&lt;wsp:rsid wsp:val=&quot;6C925DC8&quot;/&gt;&lt;wsp:rsid wsp:val=&quot;6C9F58C2&quot;/&gt;&lt;wsp:rsid wsp:val=&quot;6D5A42D3&quot;/&gt;&lt;wsp:rsid wsp:val=&quot;6DA06B02&quot;/&gt;&lt;wsp:rsid wsp:val=&quot;6DF87DCD&quot;/&gt;&lt;wsp:rsid wsp:val=&quot;6DFB791B&quot;/&gt;&lt;wsp:rsid wsp:val=&quot;6EB7390A&quot;/&gt;&lt;wsp:rsid wsp:val=&quot;6F7F38FA&quot;/&gt;&lt;wsp:rsid wsp:val=&quot;6FC12E4E&quot;/&gt;&lt;wsp:rsid wsp:val=&quot;6FC92AA4&quot;/&gt;&lt;wsp:rsid wsp:val=&quot;6FE91D5B&quot;/&gt;&lt;wsp:rsid wsp:val=&quot;70181B4E&quot;/&gt;&lt;wsp:rsid wsp:val=&quot;7092462D&quot;/&gt;&lt;wsp:rsid wsp:val=&quot;70EC6671&quot;/&gt;&lt;wsp:rsid wsp:val=&quot;710F0DDE&quot;/&gt;&lt;wsp:rsid wsp:val=&quot;718F6FC2&quot;/&gt;&lt;wsp:rsid wsp:val=&quot;71CC1122&quot;/&gt;&lt;wsp:rsid wsp:val=&quot;71CF1341&quot;/&gt;&lt;wsp:rsid wsp:val=&quot;72544C2A&quot;/&gt;&lt;wsp:rsid wsp:val=&quot;726A713B&quot;/&gt;&lt;wsp:rsid wsp:val=&quot;72C801E2&quot;/&gt;&lt;wsp:rsid wsp:val=&quot;72CA4378&quot;/&gt;&lt;wsp:rsid wsp:val=&quot;733019B3&quot;/&gt;&lt;wsp:rsid wsp:val=&quot;73641D00&quot;/&gt;&lt;wsp:rsid wsp:val=&quot;74311DB0&quot;/&gt;&lt;wsp:rsid wsp:val=&quot;749E60E3&quot;/&gt;&lt;wsp:rsid wsp:val=&quot;74F16046&quot;/&gt;&lt;wsp:rsid wsp:val=&quot;74F2554E&quot;/&gt;&lt;wsp:rsid wsp:val=&quot;74F5668F&quot;/&gt;&lt;wsp:rsid wsp:val=&quot;74FC55D9&quot;/&gt;&lt;wsp:rsid wsp:val=&quot;752C2EBD&quot;/&gt;&lt;wsp:rsid wsp:val=&quot;75456784&quot;/&gt;&lt;wsp:rsid wsp:val=&quot;754E6DDF&quot;/&gt;&lt;wsp:rsid wsp:val=&quot;759E0C60&quot;/&gt;&lt;wsp:rsid wsp:val=&quot;75C533B0&quot;/&gt;&lt;wsp:rsid wsp:val=&quot;764D41C8&quot;/&gt;&lt;wsp:rsid wsp:val=&quot;76A54F28&quot;/&gt;&lt;wsp:rsid wsp:val=&quot;76E23055&quot;/&gt;&lt;wsp:rsid wsp:val=&quot;771D34AB&quot;/&gt;&lt;wsp:rsid wsp:val=&quot;774D0511&quot;/&gt;&lt;wsp:rsid wsp:val=&quot;775479C2&quot;/&gt;&lt;wsp:rsid wsp:val=&quot;77A863F6&quot;/&gt;&lt;wsp:rsid wsp:val=&quot;77DD7A37&quot;/&gt;&lt;wsp:rsid wsp:val=&quot;781F072F&quot;/&gt;&lt;wsp:rsid wsp:val=&quot;78285678&quot;/&gt;&lt;wsp:rsid wsp:val=&quot;783F569F&quot;/&gt;&lt;wsp:rsid wsp:val=&quot;786C084E&quot;/&gt;&lt;wsp:rsid wsp:val=&quot;78942DE7&quot;/&gt;&lt;wsp:rsid wsp:val=&quot;78E631E1&quot;/&gt;&lt;wsp:rsid wsp:val=&quot;793678F5&quot;/&gt;&lt;wsp:rsid wsp:val=&quot;793E2473&quot;/&gt;&lt;wsp:rsid wsp:val=&quot;79947543&quot;/&gt;&lt;wsp:rsid wsp:val=&quot;79E905E2&quot;/&gt;&lt;wsp:rsid wsp:val=&quot;7A3C3CE4&quot;/&gt;&lt;wsp:rsid wsp:val=&quot;7A58558D&quot;/&gt;&lt;wsp:rsid wsp:val=&quot;7A7137FA&quot;/&gt;&lt;wsp:rsid wsp:val=&quot;7A9447D4&quot;/&gt;&lt;wsp:rsid wsp:val=&quot;7AA507F5&quot;/&gt;&lt;wsp:rsid wsp:val=&quot;7AC566F7&quot;/&gt;&lt;wsp:rsid wsp:val=&quot;7ACC0C9D&quot;/&gt;&lt;wsp:rsid wsp:val=&quot;7ACD155D&quot;/&gt;&lt;wsp:rsid wsp:val=&quot;7AF47B32&quot;/&gt;&lt;wsp:rsid wsp:val=&quot;7BCC16E7&quot;/&gt;&lt;wsp:rsid wsp:val=&quot;7BEB06F1&quot;/&gt;&lt;wsp:rsid wsp:val=&quot;7BFE3E11&quot;/&gt;&lt;wsp:rsid wsp:val=&quot;7C3A1D47&quot;/&gt;&lt;wsp:rsid wsp:val=&quot;7C5E72D4&quot;/&gt;&lt;wsp:rsid wsp:val=&quot;7C7F312A&quot;/&gt;&lt;wsp:rsid wsp:val=&quot;7CB84C4A&quot;/&gt;&lt;wsp:rsid wsp:val=&quot;7CEA76E4&quot;/&gt;&lt;wsp:rsid wsp:val=&quot;7D07624D&quot;/&gt;&lt;wsp:rsid wsp:val=&quot;7D135B79&quot;/&gt;&lt;wsp:rsid wsp:val=&quot;7D4566D5&quot;/&gt;&lt;wsp:rsid wsp:val=&quot;7E1032FC&quot;/&gt;&lt;wsp:rsid wsp:val=&quot;7E2D542A&quot;/&gt;&lt;wsp:rsid wsp:val=&quot;7E44294A&quot;/&gt;&lt;wsp:rsid wsp:val=&quot;7E7A6BBC&quot;/&gt;&lt;wsp:rsid wsp:val=&quot;7F916522&quot;/&gt;&lt;wsp:rsid wsp:val=&quot;7FCB5EC5&quot;/&gt;&lt;/wsp:rsids&gt;&lt;/w:docPr&gt;&lt;w:body&gt;&lt;wx:sect&gt;&lt;w:p wsp:rsidR=&quot;00000000&quot; wsp:rsidRDefault=&quot;009663C8&quot; wsp:rsidP=&quot;009663C8&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K&lt;/m:t&gt;&lt;/m:r&gt;&lt;/m:e&gt;&lt;m:sub&gt;&lt;m:r&gt;&lt;w:rPr&gt;&lt;w:rFonts w:ascii=&quot;Cambria Math&quot;/&gt;&lt;wx:font wx:val=&quot;Cambria Math&quot;/&gt;&lt;w:i/&gt;&lt;/w:rPr&gt;&lt;m:t&gt;sam&lt;/m:t&gt;&lt;/m: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r&gt;&lt;m:rPr&gt;&lt;m:sty m:val=&quot;p&quot;/&gt;&lt;/m:rPr&gt;&lt;w:rPr&gt;&lt;w:rFonts w:ascii=&quot;Cambria Math&quot;/&gt;&lt;wx:font wx:val=&quot;Cambria Math&quot;/&gt;&lt;/w:rPr&gt;&lt;m:t&gt;2&lt;/m:t&gt;&lt;/m:r&gt;&lt;m:ctrlPr&gt;&lt;w:rPr&gt;&lt;w:rFonts w:ascii=&quot;Cambria Math&quot;/&gt;&lt;wx:font wx:val=&quot;Cambria Math&quot;/&gt;&lt;/w:rPr&gt;&lt;/m:ctrlPr&gt;&lt;/m:sub&gt;&lt;/m:sSub&gt;&lt;/m:num&gt;&lt;m:den&gt;&lt;m:sSub&gt;&lt;m:sSubPr&gt;&lt;m:ctrlPr&gt;&lt;w:rPr&gt;&lt;w:rFonts w:ascii=&quot;Cambria Math&quot;/&gt;&lt;wx:font wx:val=&quot;Cambria Math&quot;/&gt;&lt;w:i/&gt;&lt;/w:rPr&gt;&lt;/m:ctrlPr&gt;&lt;/m:sSubPr&gt;&lt;m:e&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ctrlPr&gt;&lt;w:rPr&gt;&lt;w:rFonts w:ascii=&quot;Cambria Math&quot;/&gt;&lt;wx:font wx:val=&quot;Cambria Math&quot;/&gt;&lt;/w:rPr&gt;&lt;/m:ctrlPr&gt;&lt;/m:sub&gt;&lt;/m:sSub&gt;&lt;/m:e&gt;&lt;m:sub&gt;&lt;m:r&gt;&lt;w:rPr&gt;&lt;w:rFonts w:ascii=&quot;Cambria Math&quot;/&gt;&lt;wx:font wx:val=&quot;Cambria Math&quot;/&gt;&lt;w:i/&gt;&lt;/w:rPr&gt;&lt;m:t&gt;1&lt;/m:t&gt;&lt;/m:r&gt;&lt;/m:sub&gt;&lt;/m:sSub&gt;&lt;m:ctrlPr&gt;&lt;w:rPr&gt;&lt;w:rFonts w:ascii=&quot;Cambria Math&quot; w:h-ansi=&quot;Cambria Math&quot;/&gt;&lt;wx:font wx:val=&quot;Cambria Math&quot;/&gt;&lt;w:i/&gt;&lt;/w:rPr&gt;&lt;/m:ctrlPr&gt;&lt;/m:den&gt;&lt;/m:f&gt;&lt;m:r&gt;&lt;w:rPr&gt;&lt;w:rFonts w:ascii=&quot;Cambria Math&quot;/&gt;&lt;w:i/&gt;&lt;/w:rPr&gt;&lt;m:t&gt;×&lt;/m:t&gt;&lt;/m:r&gt;&lt;m:r&gt;&lt;w:rPr&gt;&lt;w:rFonts w:ascii=&quot;Cambria Math&quot;/&gt;&lt;wx:font wx:val=&quot;Cambria Math&quot;/&gt;&lt;w:i/&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6"/>
          <w:highlight w:val="none"/>
        </w:rPr>
        <w:pict>
          <v:shape id="_x0000_i1050" o:spt="75" type="#_x0000_t75" style="height:31.5pt;width:84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55&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0B2E55&quot;&gt;&lt;m:oMathPara&gt;&lt;m:oMath&gt;&lt;m:sSub&gt;&lt;m:sSubPr&gt;&lt;m:ctrlPr&gt;&lt;aml:annotation aml:id=&quot;0&quot; w:type=&quot;Word.Insertion&quot; aml:author=&quot;liu yuzhen&quot; aml:createdate=&quot;2021-06-27T17:21:00Z&quot;&gt;&lt;aml:content&gt;&lt;w:rPr&gt;&lt;w:rFonts w:ascii=&quot;Cambria Math&quot; w:fareast=&quot;黑体&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21:00Z&quot;&gt;&lt;aml:content&gt;&lt;m:r&gt;&lt;w:rPr&gt;&lt;w:rFonts w:ascii=&quot;Cambria Math&quot; w:fareast=&quot;黑体&quot;/&gt;&lt;wx:font wx:val=&quot;Cambria Math&quot;/&gt;&lt;w:i/&gt;&lt;w:sz-cs w:val=&quot;20&quot;/&gt;&lt;/w:rPr&gt;&lt;m:t&gt;K&lt;/m:t&gt;&lt;/m:r&gt;&lt;/aml:content&gt;&lt;/aml:annotation&gt;&lt;/m:e&gt;&lt;m:sub&gt;&lt;aml:annotation aml:id=&quot;2&quot; w:type=&quot;Word.Insertion&quot; aml:author=&quot;liu yuzhen&quot; aml:createdate=&quot;2021-06-27T17:21:00Z&quot;&gt;&lt;aml:content&gt;&lt;m:r&gt;&lt;w:rPr&gt;&lt;w:rFonts w:ascii=&quot;Cambria Math&quot; w:fareast=&quot;黑体&quot;/&gt;&lt;wx:font wx:val=&quot;Cambria Math&quot;/&gt;&lt;w:i/&gt;&lt;w:sz-cs w:val=&quot;20&quot;/&gt;&lt;/w:rPr&gt;&lt;m:t&gt;sam&lt;/m:t&gt;&lt;/m:r&gt;&lt;/aml:content&gt;&lt;/aml:annotation&gt;&lt;/m:sub&gt;&lt;/m:sSub&gt;&lt;aml:annotation aml:id=&quot;3&quot; w:type=&quot;Word.Insertion&quot; aml:author=&quot;liu yuzhen&quot; aml:createdate=&quot;2021-06-27T17:21:00Z&quot;&gt;&lt;aml:content&gt;&lt;m:r&gt;&lt;w:rPr&gt;&lt;w:rFonts w:ascii=&quot;Cambria Math&quot; w:fareast=&quot;黑体&quot;/&gt;&lt;wx:font wx:val=&quot;Cambria Math&quot;/&gt;&lt;w:i/&gt;&lt;w:sz-cs w:val=&quot;20&quot;/&gt;&lt;/w:rPr&gt;&lt;m:t&gt;=&lt;/m:t&gt;&lt;/m:r&gt;&lt;/aml:content&gt;&lt;/aml:annotation&gt;&lt;m:f&gt;&lt;m:fPr&gt;&lt;m:ctrlPr&gt;&lt;aml:annotation aml:id=&quot;4&quot; w:type=&quot;Word.Insertion&quot; aml:author=&quot;liu yuzhen&quot; aml:createdate=&quot;2021-06-27T17:44:00Z&quot;&gt;&lt;aml:content&gt;&lt;w:rPr&gt;&lt;w:rFonts w:ascii=&quot;Cambria Math&quot; w:fareast=&quot;黑体&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7&quot; w:type=&quot;Word.Insertion&quot; aml:author=&quot;liu yuzhen&quot; aml:createdate=&quot;2021-06-27T17:45:00Z&quot;&gt;&lt;aml:content&gt;&lt;m:r&gt;&lt;w:rPr&gt;&lt;w:rFonts w:ascii=&quot;Cambria Math&quot; w:fareast=&quot;黑体&quot;/&gt;&lt;wx:font wx:val=&quot;Cambria Math&quot;/&gt;&lt;w:i/&gt;&lt;w:sz-cs w:val=&quot;20&quot;/&gt;&lt;/w:rPr&gt;&lt;m:t&gt;2&lt;/m:t&gt;&lt;/m:r&gt;&lt;/aml:content&gt;&lt;/aml:annotation&gt;&lt;/m:sub&gt;&lt;/m:sSub&gt;&lt;/m:num&gt;&lt;m:den&gt;&lt;m:sSub&gt;&lt;m:sSubPr&gt;&lt;m:ctrlPr&gt;&lt;aml:annotation aml:id=&quot;8&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9&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10&quot; w:type=&quot;Word.Insertion&quot; aml:author=&quot;liu yuzhen&quot; aml:createdate=&quot;2021-06-27T17:45:00Z&quot;&gt;&lt;aml:content&gt;&lt;m:r&gt;&lt;w:rPr&gt;&lt;w:rFonts w:ascii=&quot;Cambria Math&quot; w:fareast=&quot;黑体&quot;/&gt;&lt;wx:font wx:val=&quot;Cambria Math&quot;/&gt;&lt;w:i/&gt;&lt;w:sz-cs w:val=&quot;20&quot;/&gt;&lt;/w:rPr&gt;&lt;m:t&gt;1&lt;/m:t&gt;&lt;/m:r&gt;&lt;/aml:content&gt;&lt;/aml:annotation&gt;&lt;/m:sub&gt;&lt;/m:sSub&gt;&lt;/m:den&gt;&lt;/m:f&gt;&lt;aml:annotation aml:id=&quot;11&quot; w:type=&quot;Word.Insertion&quot; aml:author=&quot;liu yuzhen&quot; aml:createdate=&quot;2021-06-27T17:21:00Z&quot;&gt;&lt;aml:content&gt;&lt;m:r&gt;&lt;w:rPr&gt;&lt;w:rFonts w:ascii=&quot;Cambria Math&quot; w:fareast=&quot;黑体&quot;/&gt;&lt;w:i/&gt;&lt;w:sz-cs w:val=&quot;20&quot;/&gt;&lt;/w:rPr&gt;&lt;m:t&gt;×&lt;/m:t&gt;&lt;/m:r&gt;&lt;m:r&gt;&lt;w:rPr&gt;&lt;w:rFonts w:ascii=&quot;Cambria Math&quot; w:fareast=&quot;黑体&quot;/&gt;&lt;wx:font wx:val=&quot;Cambria Math&quot;/&gt;&lt;w:i/&gt;&lt;w:sz-cs w:val=&quot;20&quot;/&gt;&lt;/w:rPr&gt;&lt;m:t&gt;100%&lt;/m:t&gt;&lt;/m:r&gt;&lt;/aml:content&gt;&lt;/aml:annotation&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9"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t xml:space="preserve">                      </w:t>
      </w:r>
      <w:r>
        <w:rPr>
          <w:rFonts w:hint="default" w:ascii="Times New Roman" w:hAnsi="Times New Roman" w:eastAsia="黑体" w:cs="Times New Roman"/>
          <w:color w:val="000000"/>
          <w:szCs w:val="20"/>
          <w:highlight w:val="none"/>
          <w:lang w:val="en-US" w:eastAsia="zh-CN"/>
        </w:rPr>
        <w:t xml:space="preserve">        </w:t>
      </w:r>
      <w:r>
        <w:rPr>
          <w:rFonts w:hint="default" w:ascii="Times New Roman" w:hAnsi="Times New Roman" w:eastAsia="黑体" w:cs="Times New Roman"/>
          <w:color w:val="000000"/>
          <w:szCs w:val="20"/>
          <w:highlight w:val="none"/>
        </w:rPr>
        <w:t xml:space="preserve">       </w:t>
      </w:r>
      <w:r>
        <w:rPr>
          <w:rFonts w:hint="default" w:ascii="Times New Roman" w:hAnsi="Times New Roman" w:cs="Times New Roman"/>
          <w:color w:val="000000"/>
          <w:kern w:val="0"/>
          <w:szCs w:val="21"/>
          <w:highlight w:val="none"/>
        </w:rPr>
        <w:t>（3）</w:t>
      </w:r>
    </w:p>
    <w:p w14:paraId="67EF129D">
      <w:pPr>
        <w:widowControl/>
        <w:spacing w:line="360" w:lineRule="exact"/>
        <w:jc w:val="left"/>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rPr>
        <w:t>式中：</w:t>
      </w:r>
      <w:r>
        <w:rPr>
          <w:rFonts w:hint="default" w:ascii="Times New Roman" w:hAnsi="Times New Roman" w:cs="Times New Roman"/>
          <w:color w:val="000000"/>
          <w:position w:val="-10"/>
          <w:szCs w:val="20"/>
          <w:highlight w:val="none"/>
        </w:rPr>
        <w:object>
          <v:shape id="_x0000_i1051" o:spt="75" type="#_x0000_t75" style="height:15.05pt;width:24.05pt;" o:ole="t" filled="f" o:preferrelative="t" stroked="f" coordsize="21600,21600">
            <v:path/>
            <v:fill on="f" alignshape="1" focussize="0,0"/>
            <v:stroke on="f"/>
            <v:imagedata r:id="rId53" o:title=""/>
            <o:lock v:ext="edit" aspectratio="t"/>
            <w10:wrap type="none"/>
            <w10:anchorlock/>
          </v:shape>
          <o:OLEObject Type="Embed" ProgID="Equation.KSEE3" ShapeID="_x0000_i1051" DrawAspect="Content" ObjectID="_1468075745" r:id="rId52">
            <o:LockedField>false</o:LockedField>
          </o:OLEObject>
        </w:object>
      </w:r>
      <w:r>
        <w:rPr>
          <w:rFonts w:hint="default" w:ascii="Times New Roman" w:hAnsi="Times New Roman" w:cs="Times New Roman"/>
          <w:color w:val="000000"/>
          <w:kern w:val="0"/>
          <w:szCs w:val="21"/>
          <w:highlight w:val="none"/>
        </w:rPr>
        <w:t>——标准系列中第</w:t>
      </w:r>
      <w:r>
        <w:rPr>
          <w:rFonts w:hint="default" w:ascii="Times New Roman" w:hAnsi="Times New Roman" w:cs="Times New Roman"/>
          <w:i/>
          <w:iCs/>
          <w:color w:val="000000"/>
          <w:kern w:val="0"/>
          <w:szCs w:val="21"/>
          <w:highlight w:val="none"/>
        </w:rPr>
        <w:t>i</w:t>
      </w:r>
      <w:r>
        <w:rPr>
          <w:rFonts w:hint="default" w:ascii="Times New Roman" w:hAnsi="Times New Roman" w:cs="Times New Roman"/>
          <w:color w:val="000000"/>
          <w:kern w:val="0"/>
          <w:szCs w:val="21"/>
          <w:highlight w:val="none"/>
        </w:rPr>
        <w:t>点目标化合物的相对响应因子；</w:t>
      </w:r>
    </w:p>
    <w:p w14:paraId="0952DDFF">
      <w:pPr>
        <w:widowControl/>
        <w:tabs>
          <w:tab w:val="left" w:pos="1050"/>
        </w:tabs>
        <w:spacing w:line="360" w:lineRule="exact"/>
        <w:ind w:firstLine="630" w:firstLineChars="300"/>
        <w:jc w:val="left"/>
        <w:rPr>
          <w:rFonts w:hint="default" w:ascii="Times New Roman" w:hAnsi="Times New Roman" w:cs="Times New Roman"/>
          <w:color w:val="000000"/>
          <w:szCs w:val="21"/>
          <w:highlight w:val="none"/>
        </w:rPr>
      </w:pPr>
      <w:r>
        <w:rPr>
          <w:rFonts w:hint="default" w:ascii="Times New Roman" w:hAnsi="Times New Roman" w:cs="Times New Roman"/>
          <w:color w:val="000000"/>
          <w:position w:val="-12"/>
          <w:szCs w:val="20"/>
          <w:highlight w:val="none"/>
          <w:lang w:val="en-US" w:eastAsia="zh-CN"/>
        </w:rPr>
        <w:tab/>
      </w:r>
      <w:r>
        <w:rPr>
          <w:rFonts w:hint="default" w:ascii="Times New Roman" w:hAnsi="Times New Roman" w:cs="Times New Roman"/>
          <w:color w:val="000000"/>
          <w:position w:val="-12"/>
          <w:szCs w:val="20"/>
          <w:highlight w:val="none"/>
        </w:rPr>
        <w:object>
          <v:shape id="_x0000_i1052" o:spt="75" type="#_x0000_t75" style="height:18pt;width:13pt;" o:ole="t" filled="f" o:preferrelative="t" stroked="f" coordsize="21600,21600">
            <v:path/>
            <v:fill on="f" focussize="0,0"/>
            <v:stroke on="f"/>
            <v:imagedata r:id="rId55" o:title=""/>
            <o:lock v:ext="edit" aspectratio="t"/>
            <w10:wrap type="none"/>
            <w10:anchorlock/>
          </v:shape>
          <o:OLEObject Type="Embed" ProgID="Equation.KSEE3" ShapeID="_x0000_i1052" DrawAspect="Content" ObjectID="_1468075746" r:id="rId54">
            <o:LockedField>false</o:LockedField>
          </o:OLEObject>
        </w:object>
      </w:r>
      <w:r>
        <w:rPr>
          <w:rFonts w:hint="default" w:ascii="Times New Roman" w:hAnsi="Times New Roman" w:cs="Times New Roman"/>
          <w:color w:val="000000"/>
          <w:kern w:val="0"/>
          <w:szCs w:val="21"/>
          <w:highlight w:val="none"/>
        </w:rPr>
        <w:t>——标准系列中第</w:t>
      </w:r>
      <w:r>
        <w:rPr>
          <w:rFonts w:hint="default" w:ascii="Times New Roman" w:hAnsi="Times New Roman" w:cs="Times New Roman"/>
          <w:i/>
          <w:iCs/>
          <w:color w:val="000000"/>
          <w:kern w:val="0"/>
          <w:szCs w:val="21"/>
          <w:highlight w:val="none"/>
        </w:rPr>
        <w:t>i</w:t>
      </w:r>
      <w:r>
        <w:rPr>
          <w:rFonts w:hint="default" w:ascii="Times New Roman" w:hAnsi="Times New Roman" w:cs="Times New Roman"/>
          <w:color w:val="000000"/>
          <w:kern w:val="0"/>
          <w:szCs w:val="21"/>
          <w:highlight w:val="none"/>
        </w:rPr>
        <w:t>点目标化合物定量离子的峰面积；</w:t>
      </w:r>
    </w:p>
    <w:p w14:paraId="22E79B63">
      <w:pPr>
        <w:widowControl/>
        <w:tabs>
          <w:tab w:val="left" w:pos="1050"/>
        </w:tabs>
        <w:spacing w:line="360" w:lineRule="exact"/>
        <w:ind w:firstLine="1047" w:firstLineChars="499"/>
        <w:jc w:val="left"/>
        <w:rPr>
          <w:rFonts w:hint="default" w:ascii="Times New Roman" w:hAnsi="Times New Roman" w:cs="Times New Roman"/>
          <w:color w:val="000000"/>
          <w:szCs w:val="21"/>
          <w:highlight w:val="none"/>
        </w:rPr>
      </w:pPr>
      <w:r>
        <w:rPr>
          <w:rFonts w:hint="default" w:ascii="Times New Roman" w:hAnsi="Times New Roman" w:cs="Times New Roman"/>
          <w:color w:val="000000"/>
          <w:position w:val="-10"/>
          <w:szCs w:val="20"/>
          <w:highlight w:val="none"/>
        </w:rPr>
        <w:object>
          <v:shape id="_x0000_i1053" o:spt="75" type="#_x0000_t75" style="height:15.05pt;width:18.05pt;" o:ole="t" filled="f" o:preferrelative="t" stroked="f" coordsize="21600,21600">
            <v:path/>
            <v:fill on="f" alignshape="1" focussize="0,0"/>
            <v:stroke on="f"/>
            <v:imagedata r:id="rId57" o:title=""/>
            <o:lock v:ext="edit" aspectratio="t"/>
            <w10:wrap type="none"/>
            <w10:anchorlock/>
          </v:shape>
          <o:OLEObject Type="Embed" ProgID="Equation.KSEE3" ShapeID="_x0000_i1053" DrawAspect="Content" ObjectID="_1468075747" r:id="rId56">
            <o:LockedField>false</o:LockedField>
          </o:OLEObject>
        </w:object>
      </w:r>
      <w:r>
        <w:rPr>
          <w:rFonts w:hint="default" w:ascii="Times New Roman" w:hAnsi="Times New Roman" w:cs="Times New Roman"/>
          <w:color w:val="000000"/>
          <w:kern w:val="0"/>
          <w:szCs w:val="21"/>
          <w:highlight w:val="none"/>
        </w:rPr>
        <w:t>——标准系列中第</w:t>
      </w:r>
      <w:r>
        <w:rPr>
          <w:rFonts w:hint="default" w:ascii="Times New Roman" w:hAnsi="Times New Roman" w:cs="Times New Roman"/>
          <w:i/>
          <w:iCs/>
          <w:color w:val="000000"/>
          <w:kern w:val="0"/>
          <w:szCs w:val="21"/>
          <w:highlight w:val="none"/>
        </w:rPr>
        <w:t>i</w:t>
      </w:r>
      <w:r>
        <w:rPr>
          <w:rFonts w:hint="default" w:ascii="Times New Roman" w:hAnsi="Times New Roman" w:cs="Times New Roman"/>
          <w:color w:val="000000"/>
          <w:kern w:val="0"/>
          <w:szCs w:val="21"/>
          <w:highlight w:val="none"/>
        </w:rPr>
        <w:t>点与目标化合物相对应的内标化合物定量离子的峰面积；</w:t>
      </w:r>
    </w:p>
    <w:p w14:paraId="309C1EAB">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0"/>
          <w:szCs w:val="20"/>
          <w:highlight w:val="none"/>
        </w:rPr>
        <w:object>
          <v:shape id="_x0000_i1054" o:spt="75" type="#_x0000_t75" style="height:15.05pt;width:19.05pt;" o:ole="t" filled="f" o:preferrelative="t" stroked="f" coordsize="21600,21600">
            <v:path/>
            <v:fill on="f" alignshape="1" focussize="0,0"/>
            <v:stroke on="f"/>
            <v:imagedata r:id="rId59" o:title=""/>
            <o:lock v:ext="edit" aspectratio="t"/>
            <w10:wrap type="none"/>
            <w10:anchorlock/>
          </v:shape>
          <o:OLEObject Type="Embed" ProgID="Equation.KSEE3" ShapeID="_x0000_i1054" DrawAspect="Content" ObjectID="_1468075748" r:id="rId58">
            <o:LockedField>false</o:LockedField>
          </o:OLEObject>
        </w:object>
      </w:r>
      <w:r>
        <w:rPr>
          <w:rFonts w:hint="default" w:ascii="Times New Roman" w:hAnsi="Times New Roman" w:cs="Times New Roman"/>
          <w:color w:val="000000"/>
          <w:kern w:val="0"/>
          <w:szCs w:val="21"/>
          <w:highlight w:val="none"/>
        </w:rPr>
        <w:t>——标准系列中内标化合物的质量浓度，</w:t>
      </w:r>
      <w:r>
        <w:rPr>
          <w:rFonts w:hint="default" w:ascii="Times New Roman" w:hAnsi="Times New Roman" w:cs="Times New Roman"/>
          <w:color w:val="000000"/>
          <w:szCs w:val="21"/>
          <w:highlight w:val="none"/>
        </w:rPr>
        <w:t>µ</w:t>
      </w:r>
      <w:r>
        <w:rPr>
          <w:rFonts w:hint="default" w:ascii="Times New Roman" w:hAnsi="Times New Roman" w:cs="Times New Roman"/>
          <w:color w:val="000000"/>
          <w:kern w:val="0"/>
          <w:szCs w:val="21"/>
          <w:highlight w:val="none"/>
        </w:rPr>
        <w:t>g/L；</w:t>
      </w:r>
    </w:p>
    <w:p w14:paraId="5ABDF83C">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2"/>
          <w:szCs w:val="20"/>
          <w:highlight w:val="none"/>
        </w:rPr>
        <w:object>
          <v:shape id="_x0000_i1055" o:spt="75" type="#_x0000_t75" style="height:18pt;width:13.95pt;" o:ole="t" filled="f" o:preferrelative="t" stroked="f" coordsize="21600,21600">
            <v:path/>
            <v:fill on="f" focussize="0,0"/>
            <v:stroke on="f"/>
            <v:imagedata r:id="rId61" o:title=""/>
            <o:lock v:ext="edit" aspectratio="t"/>
            <w10:wrap type="none"/>
            <w10:anchorlock/>
          </v:shape>
          <o:OLEObject Type="Embed" ProgID="Equation.KSEE3" ShapeID="_x0000_i1055" DrawAspect="Content" ObjectID="_1468075749" r:id="rId60">
            <o:LockedField>false</o:LockedField>
          </o:OLEObject>
        </w:object>
      </w:r>
      <w:r>
        <w:rPr>
          <w:rFonts w:hint="default" w:ascii="Times New Roman" w:hAnsi="Times New Roman" w:cs="Times New Roman"/>
          <w:color w:val="000000"/>
          <w:kern w:val="0"/>
          <w:szCs w:val="21"/>
          <w:highlight w:val="none"/>
        </w:rPr>
        <w:t>——标准系列中第</w:t>
      </w:r>
      <w:r>
        <w:rPr>
          <w:rFonts w:hint="default" w:ascii="Times New Roman" w:hAnsi="Times New Roman" w:cs="Times New Roman"/>
          <w:i/>
          <w:iCs/>
          <w:color w:val="000000"/>
          <w:kern w:val="0"/>
          <w:szCs w:val="21"/>
          <w:highlight w:val="none"/>
        </w:rPr>
        <w:t>i</w:t>
      </w:r>
      <w:r>
        <w:rPr>
          <w:rFonts w:hint="default" w:ascii="Times New Roman" w:hAnsi="Times New Roman" w:cs="Times New Roman"/>
          <w:color w:val="000000"/>
          <w:kern w:val="0"/>
          <w:szCs w:val="21"/>
          <w:highlight w:val="none"/>
        </w:rPr>
        <w:t>点目标化合物的质量浓度，</w:t>
      </w:r>
      <w:r>
        <w:rPr>
          <w:rFonts w:hint="default" w:ascii="Times New Roman" w:hAnsi="Times New Roman" w:cs="Times New Roman"/>
          <w:color w:val="000000"/>
          <w:szCs w:val="21"/>
          <w:highlight w:val="none"/>
        </w:rPr>
        <w:t>µ</w:t>
      </w:r>
      <w:r>
        <w:rPr>
          <w:rFonts w:hint="default" w:ascii="Times New Roman" w:hAnsi="Times New Roman" w:cs="Times New Roman"/>
          <w:color w:val="000000"/>
          <w:kern w:val="0"/>
          <w:szCs w:val="21"/>
          <w:highlight w:val="none"/>
        </w:rPr>
        <w:t>g/L。</w:t>
      </w:r>
    </w:p>
    <w:p w14:paraId="64F25D5F">
      <w:pPr>
        <w:spacing w:line="360" w:lineRule="exact"/>
        <w:ind w:firstLine="420" w:firstLineChars="200"/>
        <w:rPr>
          <w:rFonts w:hint="default" w:ascii="Times New Roman" w:hAnsi="Times New Roman" w:cs="Times New Roman"/>
          <w:color w:val="000000"/>
          <w:kern w:val="0"/>
          <w:szCs w:val="21"/>
          <w:highlight w:val="none"/>
        </w:rPr>
      </w:pPr>
      <w:r>
        <w:rPr>
          <w:rFonts w:hint="default" w:ascii="Times New Roman" w:hAnsi="Times New Roman" w:cs="Times New Roman"/>
          <w:color w:val="000000"/>
          <w:szCs w:val="21"/>
          <w:highlight w:val="none"/>
        </w:rPr>
        <w:t>标准系列中目标化合物的平均相对响应因子（</w:t>
      </w:r>
      <w:r>
        <w:rPr>
          <w:rFonts w:hint="default" w:ascii="Times New Roman" w:hAnsi="Times New Roman" w:cs="Times New Roman"/>
          <w:color w:val="000000"/>
          <w:position w:val="-4"/>
          <w:szCs w:val="20"/>
          <w:highlight w:val="none"/>
        </w:rPr>
        <w:object>
          <v:shape id="_x0000_i1056" o:spt="75" type="#_x0000_t75" style="height:14pt;width:23.05pt;" o:ole="t" filled="f" o:preferrelative="t" stroked="f" coordsize="21600,21600">
            <v:path/>
            <v:fill on="f" alignshape="1" focussize="0,0"/>
            <v:stroke on="f"/>
            <v:imagedata r:id="rId63" o:title=""/>
            <o:lock v:ext="edit" aspectratio="t"/>
            <w10:wrap type="none"/>
            <w10:anchorlock/>
          </v:shape>
          <o:OLEObject Type="Embed" ProgID="Equation.KSEE3" ShapeID="_x0000_i1056" DrawAspect="Content" ObjectID="_1468075750" r:id="rId62">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，按照式（4）进行计算。</w:t>
      </w:r>
    </w:p>
    <w:p w14:paraId="1178AB03">
      <w:pPr>
        <w:keepNext w:val="0"/>
        <w:keepLines w:val="0"/>
        <w:pageBreakBefore w:val="0"/>
        <w:widowControl/>
        <w:kinsoku/>
        <w:wordWrap/>
        <w:overflowPunct/>
        <w:topLinePunct/>
        <w:autoSpaceDE w:val="0"/>
        <w:autoSpaceDN w:val="0"/>
        <w:bidi w:val="0"/>
        <w:adjustRightInd w:val="0"/>
        <w:snapToGrid/>
        <w:spacing w:line="360" w:lineRule="auto"/>
        <w:ind w:firstLine="2730" w:firstLineChars="1300"/>
        <w:textAlignment w:val="auto"/>
        <w:rPr>
          <w:rFonts w:hint="default" w:ascii="Times New Roman" w:hAnsi="Times New Roman" w:cs="Times New Roman"/>
          <w:color w:val="000000"/>
          <w:kern w:val="0"/>
          <w:position w:val="-30"/>
          <w:szCs w:val="21"/>
          <w:highlight w:val="none"/>
        </w:rPr>
      </w:pPr>
      <w:r>
        <w:rPr>
          <w:rFonts w:hint="default" w:ascii="Times New Roman" w:hAnsi="Times New Roman" w:cs="Times New Roman"/>
          <w:color w:val="000000"/>
          <w:position w:val="-22"/>
          <w:szCs w:val="20"/>
          <w:highlight w:val="none"/>
        </w:rPr>
        <w:object>
          <v:shape id="_x0000_i1057" o:spt="75" type="#_x0000_t75" style="height:46.05pt;width:69pt;" o:ole="t" filled="f" o:preferrelative="t" stroked="f" coordsize="21600,21600">
            <v:path/>
            <v:fill on="f" alignshape="1" focussize="0,0"/>
            <v:stroke on="f"/>
            <v:imagedata r:id="rId65" o:title=""/>
            <o:lock v:ext="edit" aspectratio="t"/>
            <w10:wrap type="none"/>
            <w10:anchorlock/>
          </v:shape>
          <o:OLEObject Type="Embed" ProgID="Equation.KSEE3" ShapeID="_x0000_i1057" DrawAspect="Content" ObjectID="_1468075751" r:id="rId64">
            <o:LockedField>false</o:LockedField>
          </o:OLEObject>
        </w:object>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7"/>
          <w:highlight w:val="none"/>
        </w:rPr>
        <w:pict>
          <v:shape id="_x0000_i1058" o:spt="75" type="#_x0000_t75" style="height:32pt;width:9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5224&quot;/&gt;&lt;w:defaultTabStop w:val=&quot;420&quot;/&gt;&lt;w:evenAndOddHeaders/&gt;&lt;w:drawingGridHorizontalSpacing w:val=&quot;213&quot;/&gt;&lt;w:drawingGridVerticalSpacing w:val=&quot;319&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57F&quot;/&gt;&lt;wsp:rsid wsp:val=&quot;00001213&quot;/&gt;&lt;wsp:rsid wsp:val=&quot;00005497&quot;/&gt;&lt;wsp:rsid wsp:val=&quot;00006864&quot;/&gt;&lt;wsp:rsid wsp:val=&quot;0000702D&quot;/&gt;&lt;wsp:rsid wsp:val=&quot;000070A6&quot;/&gt;&lt;wsp:rsid wsp:val=&quot;00012275&quot;/&gt;&lt;wsp:rsid wsp:val=&quot;00013C24&quot;/&gt;&lt;wsp:rsid wsp:val=&quot;0001536A&quot;/&gt;&lt;wsp:rsid wsp:val=&quot;0002040C&quot;/&gt;&lt;wsp:rsid wsp:val=&quot;000212B4&quot;/&gt;&lt;wsp:rsid wsp:val=&quot;00021C6D&quot;/&gt;&lt;wsp:rsid wsp:val=&quot;00022FB6&quot;/&gt;&lt;wsp:rsid wsp:val=&quot;00023F61&quot;/&gt;&lt;wsp:rsid wsp:val=&quot;00024390&quot;/&gt;&lt;wsp:rsid wsp:val=&quot;00030C7E&quot;/&gt;&lt;wsp:rsid wsp:val=&quot;00031ADA&quot;/&gt;&lt;wsp:rsid wsp:val=&quot;000345F3&quot;/&gt;&lt;wsp:rsid wsp:val=&quot;00035EFA&quot;/&gt;&lt;wsp:rsid wsp:val=&quot;0003744E&quot;/&gt;&lt;wsp:rsid wsp:val=&quot;000374E6&quot;/&gt;&lt;wsp:rsid wsp:val=&quot;00040207&quot;/&gt;&lt;wsp:rsid wsp:val=&quot;00041895&quot;/&gt;&lt;wsp:rsid wsp:val=&quot;000419E4&quot;/&gt;&lt;wsp:rsid wsp:val=&quot;000422C3&quot;/&gt;&lt;wsp:rsid wsp:val=&quot;000443D8&quot;/&gt;&lt;wsp:rsid wsp:val=&quot;000446DE&quot;/&gt;&lt;wsp:rsid wsp:val=&quot;000471B9&quot;/&gt;&lt;wsp:rsid wsp:val=&quot;0004796F&quot;/&gt;&lt;wsp:rsid wsp:val=&quot;00047E46&quot;/&gt;&lt;wsp:rsid wsp:val=&quot;000529B0&quot;/&gt;&lt;wsp:rsid wsp:val=&quot;00056CC2&quot;/&gt;&lt;wsp:rsid wsp:val=&quot;00057616&quot;/&gt;&lt;wsp:rsid wsp:val=&quot;00061A1F&quot;/&gt;&lt;wsp:rsid wsp:val=&quot;00062120&quot;/&gt;&lt;wsp:rsid wsp:val=&quot;00065DE8&quot;/&gt;&lt;wsp:rsid wsp:val=&quot;00066B84&quot;/&gt;&lt;wsp:rsid wsp:val=&quot;00066EC9&quot;/&gt;&lt;wsp:rsid wsp:val=&quot;00070202&quot;/&gt;&lt;wsp:rsid wsp:val=&quot;000704DA&quot;/&gt;&lt;wsp:rsid wsp:val=&quot;000707CE&quot;/&gt;&lt;wsp:rsid wsp:val=&quot;00071118&quot;/&gt;&lt;wsp:rsid wsp:val=&quot;000713F8&quot;/&gt;&lt;wsp:rsid wsp:val=&quot;00071F4A&quot;/&gt;&lt;wsp:rsid wsp:val=&quot;00072990&quot;/&gt;&lt;wsp:rsid wsp:val=&quot;00072AC3&quot;/&gt;&lt;wsp:rsid wsp:val=&quot;00073C35&quot;/&gt;&lt;wsp:rsid wsp:val=&quot;00074533&quot;/&gt;&lt;wsp:rsid wsp:val=&quot;00077045&quot;/&gt;&lt;wsp:rsid wsp:val=&quot;00077EEC&quot;/&gt;&lt;wsp:rsid wsp:val=&quot;0008014E&quot;/&gt;&lt;wsp:rsid wsp:val=&quot;000823DD&quot;/&gt;&lt;wsp:rsid wsp:val=&quot;000830B3&quot;/&gt;&lt;wsp:rsid wsp:val=&quot;000852C0&quot;/&gt;&lt;wsp:rsid wsp:val=&quot;00087486&quot;/&gt;&lt;wsp:rsid wsp:val=&quot;00090446&quot;/&gt;&lt;wsp:rsid wsp:val=&quot;00093CE4&quot;/&gt;&lt;wsp:rsid wsp:val=&quot;0009433B&quot;/&gt;&lt;wsp:rsid wsp:val=&quot;00096CDE&quot;/&gt;&lt;wsp:rsid wsp:val=&quot;000973CF&quot;/&gt;&lt;wsp:rsid wsp:val=&quot;0009771A&quot;/&gt;&lt;wsp:rsid wsp:val=&quot;000A0785&quot;/&gt;&lt;wsp:rsid wsp:val=&quot;000A2A3B&quot;/&gt;&lt;wsp:rsid wsp:val=&quot;000A2E81&quot;/&gt;&lt;wsp:rsid wsp:val=&quot;000A6AC0&quot;/&gt;&lt;wsp:rsid wsp:val=&quot;000A6BB5&quot;/&gt;&lt;wsp:rsid wsp:val=&quot;000A75DC&quot;/&gt;&lt;wsp:rsid wsp:val=&quot;000B1B79&quot;/&gt;&lt;wsp:rsid wsp:val=&quot;000B1BBC&quot;/&gt;&lt;wsp:rsid wsp:val=&quot;000B3112&quot;/&gt;&lt;wsp:rsid wsp:val=&quot;000B32FE&quot;/&gt;&lt;wsp:rsid wsp:val=&quot;000B3547&quot;/&gt;&lt;wsp:rsid wsp:val=&quot;000B4C68&quot;/&gt;&lt;wsp:rsid wsp:val=&quot;000B4E45&quot;/&gt;&lt;wsp:rsid wsp:val=&quot;000B4F53&quot;/&gt;&lt;wsp:rsid wsp:val=&quot;000B5437&quot;/&gt;&lt;wsp:rsid wsp:val=&quot;000B69A1&quot;/&gt;&lt;wsp:rsid wsp:val=&quot;000C035A&quot;/&gt;&lt;wsp:rsid wsp:val=&quot;000C223B&quot;/&gt;&lt;wsp:rsid wsp:val=&quot;000C3A0D&quot;/&gt;&lt;wsp:rsid wsp:val=&quot;000C5044&quot;/&gt;&lt;wsp:rsid wsp:val=&quot;000C5620&quot;/&gt;&lt;wsp:rsid wsp:val=&quot;000D343D&quot;/&gt;&lt;wsp:rsid wsp:val=&quot;000D3573&quot;/&gt;&lt;wsp:rsid wsp:val=&quot;000D6F92&quot;/&gt;&lt;wsp:rsid wsp:val=&quot;000E0A96&quot;/&gt;&lt;wsp:rsid wsp:val=&quot;000E588F&quot;/&gt;&lt;wsp:rsid wsp:val=&quot;000E620A&quot;/&gt;&lt;wsp:rsid wsp:val=&quot;000E668F&quot;/&gt;&lt;wsp:rsid wsp:val=&quot;000E68D7&quot;/&gt;&lt;wsp:rsid wsp:val=&quot;000E6B79&quot;/&gt;&lt;wsp:rsid wsp:val=&quot;000E6C08&quot;/&gt;&lt;wsp:rsid wsp:val=&quot;000E71D6&quot;/&gt;&lt;wsp:rsid wsp:val=&quot;000F1BBF&quot;/&gt;&lt;wsp:rsid wsp:val=&quot;000F497F&quot;/&gt;&lt;wsp:rsid wsp:val=&quot;000F5D64&quot;/&gt;&lt;wsp:rsid wsp:val=&quot;0010226A&quot;/&gt;&lt;wsp:rsid wsp:val=&quot;001025BB&quot;/&gt;&lt;wsp:rsid wsp:val=&quot;00105058&quot;/&gt;&lt;wsp:rsid wsp:val=&quot;0010579E&quot;/&gt;&lt;wsp:rsid wsp:val=&quot;00105F4A&quot;/&gt;&lt;wsp:rsid wsp:val=&quot;001070A7&quot;/&gt;&lt;wsp:rsid wsp:val=&quot;00107188&quot;/&gt;&lt;wsp:rsid wsp:val=&quot;001104A2&quot;/&gt;&lt;wsp:rsid wsp:val=&quot;00111C70&quot;/&gt;&lt;wsp:rsid wsp:val=&quot;00114208&quot;/&gt;&lt;wsp:rsid wsp:val=&quot;0012257D&quot;/&gt;&lt;wsp:rsid wsp:val=&quot;00123DC3&quot;/&gt;&lt;wsp:rsid wsp:val=&quot;00124389&quot;/&gt;&lt;wsp:rsid wsp:val=&quot;001266A3&quot;/&gt;&lt;wsp:rsid wsp:val=&quot;00127239&quot;/&gt;&lt;wsp:rsid wsp:val=&quot;00127D45&quot;/&gt;&lt;wsp:rsid wsp:val=&quot;00132672&quot;/&gt;&lt;wsp:rsid wsp:val=&quot;00132EF9&quot;/&gt;&lt;wsp:rsid wsp:val=&quot;00133027&quot;/&gt;&lt;wsp:rsid wsp:val=&quot;00134A88&quot;/&gt;&lt;wsp:rsid wsp:val=&quot;001371A8&quot;/&gt;&lt;wsp:rsid wsp:val=&quot;001378B7&quot;/&gt;&lt;wsp:rsid wsp:val=&quot;00140A70&quot;/&gt;&lt;wsp:rsid wsp:val=&quot;001415EF&quot;/&gt;&lt;wsp:rsid wsp:val=&quot;00143B37&quot;/&gt;&lt;wsp:rsid wsp:val=&quot;00144183&quot;/&gt;&lt;wsp:rsid wsp:val=&quot;001507A3&quot;/&gt;&lt;wsp:rsid wsp:val=&quot;001514F2&quot;/&gt;&lt;wsp:rsid wsp:val=&quot;001545B3&quot;/&gt;&lt;wsp:rsid wsp:val=&quot;00154B19&quot;/&gt;&lt;wsp:rsid wsp:val=&quot;001554C0&quot;/&gt;&lt;wsp:rsid wsp:val=&quot;00156AC8&quot;/&gt;&lt;wsp:rsid wsp:val=&quot;00157CF6&quot;/&gt;&lt;wsp:rsid wsp:val=&quot;00160C33&quot;/&gt;&lt;wsp:rsid wsp:val=&quot;00160F3E&quot;/&gt;&lt;wsp:rsid wsp:val=&quot;00164825&quot;/&gt;&lt;wsp:rsid wsp:val=&quot;00165BFB&quot;/&gt;&lt;wsp:rsid wsp:val=&quot;00166AEA&quot;/&gt;&lt;wsp:rsid wsp:val=&quot;00167121&quot;/&gt;&lt;wsp:rsid wsp:val=&quot;0017030D&quot;/&gt;&lt;wsp:rsid wsp:val=&quot;00171581&quot;/&gt;&lt;wsp:rsid wsp:val=&quot;0017170D&quot;/&gt;&lt;wsp:rsid wsp:val=&quot;001727BD&quot;/&gt;&lt;wsp:rsid wsp:val=&quot;0017761B&quot;/&gt;&lt;wsp:rsid wsp:val=&quot;001777BF&quot;/&gt;&lt;wsp:rsid wsp:val=&quot;00185379&quot;/&gt;&lt;wsp:rsid wsp:val=&quot;001860F0&quot;/&gt;&lt;wsp:rsid wsp:val=&quot;00187565&quot;/&gt;&lt;wsp:rsid wsp:val=&quot;00187A97&quot;/&gt;&lt;wsp:rsid wsp:val=&quot;00190698&quot;/&gt;&lt;wsp:rsid wsp:val=&quot;00190CAD&quot;/&gt;&lt;wsp:rsid wsp:val=&quot;00191201&quot;/&gt;&lt;wsp:rsid wsp:val=&quot;001920F1&quot;/&gt;&lt;wsp:rsid wsp:val=&quot;001957EC&quot;/&gt;&lt;wsp:rsid wsp:val=&quot;00197001&quot;/&gt;&lt;wsp:rsid wsp:val=&quot;00197339&quot;/&gt;&lt;wsp:rsid wsp:val=&quot;001A2766&quot;/&gt;&lt;wsp:rsid wsp:val=&quot;001A2D45&quot;/&gt;&lt;wsp:rsid wsp:val=&quot;001A4772&quot;/&gt;&lt;wsp:rsid wsp:val=&quot;001A4AE2&quot;/&gt;&lt;wsp:rsid wsp:val=&quot;001A4E02&quot;/&gt;&lt;wsp:rsid wsp:val=&quot;001A6993&quot;/&gt;&lt;wsp:rsid wsp:val=&quot;001B0550&quot;/&gt;&lt;wsp:rsid wsp:val=&quot;001B0932&quot;/&gt;&lt;wsp:rsid wsp:val=&quot;001B324D&quot;/&gt;&lt;wsp:rsid wsp:val=&quot;001B40FE&quot;/&gt;&lt;wsp:rsid wsp:val=&quot;001B455A&quot;/&gt;&lt;wsp:rsid wsp:val=&quot;001B4644&quot;/&gt;&lt;wsp:rsid wsp:val=&quot;001B4EFA&quot;/&gt;&lt;wsp:rsid wsp:val=&quot;001B7266&quot;/&gt;&lt;wsp:rsid wsp:val=&quot;001C04D2&quot;/&gt;&lt;wsp:rsid wsp:val=&quot;001C1ED8&quot;/&gt;&lt;wsp:rsid wsp:val=&quot;001C4A15&quot;/&gt;&lt;wsp:rsid wsp:val=&quot;001C5CC1&quot;/&gt;&lt;wsp:rsid wsp:val=&quot;001C6273&quot;/&gt;&lt;wsp:rsid wsp:val=&quot;001C64C3&quot;/&gt;&lt;wsp:rsid wsp:val=&quot;001D07A7&quot;/&gt;&lt;wsp:rsid wsp:val=&quot;001D0E00&quot;/&gt;&lt;wsp:rsid wsp:val=&quot;001D13DF&quot;/&gt;&lt;wsp:rsid wsp:val=&quot;001D24F7&quot;/&gt;&lt;wsp:rsid wsp:val=&quot;001D364B&quot;/&gt;&lt;wsp:rsid wsp:val=&quot;001D3FE4&quot;/&gt;&lt;wsp:rsid wsp:val=&quot;001D4577&quot;/&gt;&lt;wsp:rsid wsp:val=&quot;001D58FC&quot;/&gt;&lt;wsp:rsid wsp:val=&quot;001D5ED0&quot;/&gt;&lt;wsp:rsid wsp:val=&quot;001D6D31&quot;/&gt;&lt;wsp:rsid wsp:val=&quot;001E026B&quot;/&gt;&lt;wsp:rsid wsp:val=&quot;001E11D0&quot;/&gt;&lt;wsp:rsid wsp:val=&quot;001E176F&quot;/&gt;&lt;wsp:rsid wsp:val=&quot;001E3BF7&quot;/&gt;&lt;wsp:rsid wsp:val=&quot;001E41A9&quot;/&gt;&lt;wsp:rsid wsp:val=&quot;001E6E48&quot;/&gt;&lt;wsp:rsid wsp:val=&quot;001E6EBB&quot;/&gt;&lt;wsp:rsid wsp:val=&quot;001E76AC&quot;/&gt;&lt;wsp:rsid wsp:val=&quot;001F39A1&quot;/&gt;&lt;wsp:rsid wsp:val=&quot;001F3A1C&quot;/&gt;&lt;wsp:rsid wsp:val=&quot;001F4003&quot;/&gt;&lt;wsp:rsid wsp:val=&quot;001F6F86&quot;/&gt;&lt;wsp:rsid wsp:val=&quot;00200039&quot;/&gt;&lt;wsp:rsid wsp:val=&quot;0020113B&quot;/&gt;&lt;wsp:rsid wsp:val=&quot;00203D7F&quot;/&gt;&lt;wsp:rsid wsp:val=&quot;0020459A&quot;/&gt;&lt;wsp:rsid wsp:val=&quot;00204CF9&quot;/&gt;&lt;wsp:rsid wsp:val=&quot;00205DB5&quot;/&gt;&lt;wsp:rsid wsp:val=&quot;00206C1E&quot;/&gt;&lt;wsp:rsid wsp:val=&quot;00207933&quot;/&gt;&lt;wsp:rsid wsp:val=&quot;00207F2E&quot;/&gt;&lt;wsp:rsid wsp:val=&quot;002105D9&quot;/&gt;&lt;wsp:rsid wsp:val=&quot;0021268B&quot;/&gt;&lt;wsp:rsid wsp:val=&quot;0021295D&quot;/&gt;&lt;wsp:rsid wsp:val=&quot;002142D3&quot;/&gt;&lt;wsp:rsid wsp:val=&quot;00216161&quot;/&gt;&lt;wsp:rsid wsp:val=&quot;002164D1&quot;/&gt;&lt;wsp:rsid wsp:val=&quot;0021779F&quot;/&gt;&lt;wsp:rsid wsp:val=&quot;00221110&quot;/&gt;&lt;wsp:rsid wsp:val=&quot;0022272A&quot;/&gt;&lt;wsp:rsid wsp:val=&quot;00223473&quot;/&gt;&lt;wsp:rsid wsp:val=&quot;00224108&quot;/&gt;&lt;wsp:rsid wsp:val=&quot;002265D8&quot;/&gt;&lt;wsp:rsid wsp:val=&quot;002309FD&quot;/&gt;&lt;wsp:rsid wsp:val=&quot;00230CCD&quot;/&gt;&lt;wsp:rsid wsp:val=&quot;0023141F&quot;/&gt;&lt;wsp:rsid wsp:val=&quot;0023144D&quot;/&gt;&lt;wsp:rsid wsp:val=&quot;00232881&quot;/&gt;&lt;wsp:rsid wsp:val=&quot;002340BD&quot;/&gt;&lt;wsp:rsid wsp:val=&quot;00234D88&quot;/&gt;&lt;wsp:rsid wsp:val=&quot;00235B95&quot;/&gt;&lt;wsp:rsid wsp:val=&quot;002371DC&quot;/&gt;&lt;wsp:rsid wsp:val=&quot;00240732&quot;/&gt;&lt;wsp:rsid wsp:val=&quot;00241295&quot;/&gt;&lt;wsp:rsid wsp:val=&quot;002422E0&quot;/&gt;&lt;wsp:rsid wsp:val=&quot;002429BE&quot;/&gt;&lt;wsp:rsid wsp:val=&quot;0024321E&quot;/&gt;&lt;wsp:rsid wsp:val=&quot;00243A8B&quot;/&gt;&lt;wsp:rsid wsp:val=&quot;002443A5&quot;/&gt;&lt;wsp:rsid wsp:val=&quot;002460D9&quot;/&gt;&lt;wsp:rsid wsp:val=&quot;00250155&quot;/&gt;&lt;wsp:rsid wsp:val=&quot;0025055E&quot;/&gt;&lt;wsp:rsid wsp:val=&quot;00252003&quot;/&gt;&lt;wsp:rsid wsp:val=&quot;0025261F&quot;/&gt;&lt;wsp:rsid wsp:val=&quot;002528EA&quot;/&gt;&lt;wsp:rsid wsp:val=&quot;002546D5&quot;/&gt;&lt;wsp:rsid wsp:val=&quot;00255455&quot;/&gt;&lt;wsp:rsid wsp:val=&quot;00255EBD&quot;/&gt;&lt;wsp:rsid wsp:val=&quot;0025711C&quot;/&gt;&lt;wsp:rsid wsp:val=&quot;00260968&quot;/&gt;&lt;wsp:rsid wsp:val=&quot;00262ABD&quot;/&gt;&lt;wsp:rsid wsp:val=&quot;00263108&quot;/&gt;&lt;wsp:rsid wsp:val=&quot;002643EC&quot;/&gt;&lt;wsp:rsid wsp:val=&quot;00266B83&quot;/&gt;&lt;wsp:rsid wsp:val=&quot;00266CDF&quot;/&gt;&lt;wsp:rsid wsp:val=&quot;0026774E&quot;/&gt;&lt;wsp:rsid wsp:val=&quot;00271828&quot;/&gt;&lt;wsp:rsid wsp:val=&quot;002729AA&quot;/&gt;&lt;wsp:rsid wsp:val=&quot;00272A15&quot;/&gt;&lt;wsp:rsid wsp:val=&quot;002744A7&quot;/&gt;&lt;wsp:rsid wsp:val=&quot;00280E83&quot;/&gt;&lt;wsp:rsid wsp:val=&quot;00282EE9&quot;/&gt;&lt;wsp:rsid wsp:val=&quot;002831CB&quot;/&gt;&lt;wsp:rsid wsp:val=&quot;0028662E&quot;/&gt;&lt;wsp:rsid wsp:val=&quot;002875DE&quot;/&gt;&lt;wsp:rsid wsp:val=&quot;00290129&quot;/&gt;&lt;wsp:rsid wsp:val=&quot;00290391&quot;/&gt;&lt;wsp:rsid wsp:val=&quot;00291106&quot;/&gt;&lt;wsp:rsid wsp:val=&quot;002913C4&quot;/&gt;&lt;wsp:rsid wsp:val=&quot;00291AE8&quot;/&gt;&lt;wsp:rsid wsp:val=&quot;00293119&quot;/&gt;&lt;wsp:rsid wsp:val=&quot;002939EC&quot;/&gt;&lt;wsp:rsid wsp:val=&quot;00294716&quot;/&gt;&lt;wsp:rsid wsp:val=&quot;00295007&quot;/&gt;&lt;wsp:rsid wsp:val=&quot;00296211&quot;/&gt;&lt;wsp:rsid wsp:val=&quot;00297524&quot;/&gt;&lt;wsp:rsid wsp:val=&quot;002A0812&quot;/&gt;&lt;wsp:rsid wsp:val=&quot;002A18CE&quot;/&gt;&lt;wsp:rsid wsp:val=&quot;002A1C5E&quot;/&gt;&lt;wsp:rsid wsp:val=&quot;002A2836&quot;/&gt;&lt;wsp:rsid wsp:val=&quot;002A2A85&quot;/&gt;&lt;wsp:rsid wsp:val=&quot;002A30AF&quot;/&gt;&lt;wsp:rsid wsp:val=&quot;002A55AD&quot;/&gt;&lt;wsp:rsid wsp:val=&quot;002A7FCB&quot;/&gt;&lt;wsp:rsid wsp:val=&quot;002B075B&quot;/&gt;&lt;wsp:rsid wsp:val=&quot;002B0DD1&quot;/&gt;&lt;wsp:rsid wsp:val=&quot;002B14D6&quot;/&gt;&lt;wsp:rsid wsp:val=&quot;002B21F7&quot;/&gt;&lt;wsp:rsid wsp:val=&quot;002B2E0E&quot;/&gt;&lt;wsp:rsid wsp:val=&quot;002B30ED&quot;/&gt;&lt;wsp:rsid wsp:val=&quot;002B366E&quot;/&gt;&lt;wsp:rsid wsp:val=&quot;002B3982&quot;/&gt;&lt;wsp:rsid wsp:val=&quot;002B497C&quot;/&gt;&lt;wsp:rsid wsp:val=&quot;002B71C7&quot;/&gt;&lt;wsp:rsid wsp:val=&quot;002C0598&quot;/&gt;&lt;wsp:rsid wsp:val=&quot;002C090E&quot;/&gt;&lt;wsp:rsid wsp:val=&quot;002C29BF&quot;/&gt;&lt;wsp:rsid wsp:val=&quot;002C3612&quot;/&gt;&lt;wsp:rsid wsp:val=&quot;002C3DA7&quot;/&gt;&lt;wsp:rsid wsp:val=&quot;002C6926&quot;/&gt;&lt;wsp:rsid wsp:val=&quot;002C7C22&quot;/&gt;&lt;wsp:rsid wsp:val=&quot;002D6FD2&quot;/&gt;&lt;wsp:rsid wsp:val=&quot;002D7226&quot;/&gt;&lt;wsp:rsid wsp:val=&quot;002E245A&quot;/&gt;&lt;wsp:rsid wsp:val=&quot;002E320F&quot;/&gt;&lt;wsp:rsid wsp:val=&quot;002E3889&quot;/&gt;&lt;wsp:rsid wsp:val=&quot;002E4EF9&quot;/&gt;&lt;wsp:rsid wsp:val=&quot;002E7BED&quot;/&gt;&lt;wsp:rsid wsp:val=&quot;002F350E&quot;/&gt;&lt;wsp:rsid wsp:val=&quot;002F3555&quot;/&gt;&lt;wsp:rsid wsp:val=&quot;002F6552&quot;/&gt;&lt;wsp:rsid wsp:val=&quot;002F6769&quot;/&gt;&lt;wsp:rsid wsp:val=&quot;003008FC&quot;/&gt;&lt;wsp:rsid wsp:val=&quot;00300B36&quot;/&gt;&lt;wsp:rsid wsp:val=&quot;00301DA8&quot;/&gt;&lt;wsp:rsid wsp:val=&quot;003042B6&quot;/&gt;&lt;wsp:rsid wsp:val=&quot;003050B5&quot;/&gt;&lt;wsp:rsid wsp:val=&quot;00305D8A&quot;/&gt;&lt;wsp:rsid wsp:val=&quot;0030601F&quot;/&gt;&lt;wsp:rsid wsp:val=&quot;003070EF&quot;/&gt;&lt;wsp:rsid wsp:val=&quot;003077BF&quot;/&gt;&lt;wsp:rsid wsp:val=&quot;003078D5&quot;/&gt;&lt;wsp:rsid wsp:val=&quot;00307EC1&quot;/&gt;&lt;wsp:rsid wsp:val=&quot;00313106&quot;/&gt;&lt;wsp:rsid wsp:val=&quot;003132FC&quot;/&gt;&lt;wsp:rsid wsp:val=&quot;00313341&quot;/&gt;&lt;wsp:rsid wsp:val=&quot;003144AB&quot;/&gt;&lt;wsp:rsid wsp:val=&quot;003167B4&quot;/&gt;&lt;wsp:rsid wsp:val=&quot;0032197C&quot;/&gt;&lt;wsp:rsid wsp:val=&quot;00321BEE&quot;/&gt;&lt;wsp:rsid wsp:val=&quot;00322C35&quot;/&gt;&lt;wsp:rsid wsp:val=&quot;00323478&quot;/&gt;&lt;wsp:rsid wsp:val=&quot;0032466E&quot;/&gt;&lt;wsp:rsid wsp:val=&quot;003251E7&quot;/&gt;&lt;wsp:rsid wsp:val=&quot;003258DD&quot;/&gt;&lt;wsp:rsid wsp:val=&quot;00331507&quot;/&gt;&lt;wsp:rsid wsp:val=&quot;00331596&quot;/&gt;&lt;wsp:rsid wsp:val=&quot;00335689&quot;/&gt;&lt;wsp:rsid wsp:val=&quot;00336DF7&quot;/&gt;&lt;wsp:rsid wsp:val=&quot;00337B27&quot;/&gt;&lt;wsp:rsid wsp:val=&quot;00340082&quot;/&gt;&lt;wsp:rsid wsp:val=&quot;00341BE0&quot;/&gt;&lt;wsp:rsid wsp:val=&quot;00343197&quot;/&gt;&lt;wsp:rsid wsp:val=&quot;003440A4&quot;/&gt;&lt;wsp:rsid wsp:val=&quot;00345430&quot;/&gt;&lt;wsp:rsid wsp:val=&quot;00345DA0&quot;/&gt;&lt;wsp:rsid wsp:val=&quot;003469BD&quot;/&gt;&lt;wsp:rsid wsp:val=&quot;0035126E&quot;/&gt;&lt;wsp:rsid wsp:val=&quot;00352099&quot;/&gt;&lt;wsp:rsid wsp:val=&quot;00354943&quot;/&gt;&lt;wsp:rsid wsp:val=&quot;00356DD2&quot;/&gt;&lt;wsp:rsid wsp:val=&quot;0035771B&quot;/&gt;&lt;wsp:rsid wsp:val=&quot;003612F7&quot;/&gt;&lt;wsp:rsid wsp:val=&quot;0036504A&quot;/&gt;&lt;wsp:rsid wsp:val=&quot;00365628&quot;/&gt;&lt;wsp:rsid wsp:val=&quot;00366F3B&quot;/&gt;&lt;wsp:rsid wsp:val=&quot;00370D98&quot;/&gt;&lt;wsp:rsid wsp:val=&quot;00370F80&quot;/&gt;&lt;wsp:rsid wsp:val=&quot;00371C00&quot;/&gt;&lt;wsp:rsid wsp:val=&quot;003725E8&quot;/&gt;&lt;wsp:rsid wsp:val=&quot;00372814&quot;/&gt;&lt;wsp:rsid wsp:val=&quot;00373427&quot;/&gt;&lt;wsp:rsid wsp:val=&quot;0037385B&quot;/&gt;&lt;wsp:rsid wsp:val=&quot;0037392D&quot;/&gt;&lt;wsp:rsid wsp:val=&quot;0037564B&quot;/&gt;&lt;wsp:rsid wsp:val=&quot;00375B77&quot;/&gt;&lt;wsp:rsid wsp:val=&quot;00376054&quot;/&gt;&lt;wsp:rsid wsp:val=&quot;003801BF&quot;/&gt;&lt;wsp:rsid wsp:val=&quot;00380AD0&quot;/&gt;&lt;wsp:rsid wsp:val=&quot;003815A6&quot;/&gt;&lt;wsp:rsid wsp:val=&quot;00381CA6&quot;/&gt;&lt;wsp:rsid wsp:val=&quot;00381ECF&quot;/&gt;&lt;wsp:rsid wsp:val=&quot;00384EFE&quot;/&gt;&lt;wsp:rsid wsp:val=&quot;00386578&quot;/&gt;&lt;wsp:rsid wsp:val=&quot;00387D43&quot;/&gt;&lt;wsp:rsid wsp:val=&quot;003905F6&quot;/&gt;&lt;wsp:rsid wsp:val=&quot;00391031&quot;/&gt;&lt;wsp:rsid wsp:val=&quot;00392872&quot;/&gt;&lt;wsp:rsid wsp:val=&quot;0039538F&quot;/&gt;&lt;wsp:rsid wsp:val=&quot;0039632D&quot;/&gt;&lt;wsp:rsid wsp:val=&quot;0039733A&quot;/&gt;&lt;wsp:rsid wsp:val=&quot;0039740E&quot;/&gt;&lt;wsp:rsid wsp:val=&quot;003A016A&quot;/&gt;&lt;wsp:rsid wsp:val=&quot;003A06E4&quot;/&gt;&lt;wsp:rsid wsp:val=&quot;003A206A&quot;/&gt;&lt;wsp:rsid wsp:val=&quot;003A24FB&quot;/&gt;&lt;wsp:rsid wsp:val=&quot;003A2EBF&quot;/&gt;&lt;wsp:rsid wsp:val=&quot;003A37D1&quot;/&gt;&lt;wsp:rsid wsp:val=&quot;003A5D3B&quot;/&gt;&lt;wsp:rsid wsp:val=&quot;003B0A6B&quot;/&gt;&lt;wsp:rsid wsp:val=&quot;003B0D81&quot;/&gt;&lt;wsp:rsid wsp:val=&quot;003B1AE9&quot;/&gt;&lt;wsp:rsid wsp:val=&quot;003B1F1D&quot;/&gt;&lt;wsp:rsid wsp:val=&quot;003B2B80&quot;/&gt;&lt;wsp:rsid wsp:val=&quot;003B3CB4&quot;/&gt;&lt;wsp:rsid wsp:val=&quot;003B5A26&quot;/&gt;&lt;wsp:rsid wsp:val=&quot;003B606F&quot;/&gt;&lt;wsp:rsid wsp:val=&quot;003B6FD2&quot;/&gt;&lt;wsp:rsid wsp:val=&quot;003B736C&quot;/&gt;&lt;wsp:rsid wsp:val=&quot;003C14E0&quot;/&gt;&lt;wsp:rsid wsp:val=&quot;003C17F6&quot;/&gt;&lt;wsp:rsid wsp:val=&quot;003C1CFE&quot;/&gt;&lt;wsp:rsid wsp:val=&quot;003C4B3A&quot;/&gt;&lt;wsp:rsid wsp:val=&quot;003C6325&quot;/&gt;&lt;wsp:rsid wsp:val=&quot;003C64FF&quot;/&gt;&lt;wsp:rsid wsp:val=&quot;003C698C&quot;/&gt;&lt;wsp:rsid wsp:val=&quot;003C6D85&quot;/&gt;&lt;wsp:rsid wsp:val=&quot;003C757A&quot;/&gt;&lt;wsp:rsid wsp:val=&quot;003C7BBC&quot;/&gt;&lt;wsp:rsid wsp:val=&quot;003D0EAC&quot;/&gt;&lt;wsp:rsid wsp:val=&quot;003D0F47&quot;/&gt;&lt;wsp:rsid wsp:val=&quot;003D2AB7&quot;/&gt;&lt;wsp:rsid wsp:val=&quot;003D6D63&quot;/&gt;&lt;wsp:rsid wsp:val=&quot;003D715B&quot;/&gt;&lt;wsp:rsid wsp:val=&quot;003D79EA&quot;/&gt;&lt;wsp:rsid wsp:val=&quot;003D7F57&quot;/&gt;&lt;wsp:rsid wsp:val=&quot;003E0BD5&quot;/&gt;&lt;wsp:rsid wsp:val=&quot;003E0CB0&quot;/&gt;&lt;wsp:rsid wsp:val=&quot;003E19CF&quot;/&gt;&lt;wsp:rsid wsp:val=&quot;003E377E&quot;/&gt;&lt;wsp:rsid wsp:val=&quot;003E3911&quot;/&gt;&lt;wsp:rsid wsp:val=&quot;003E5C2F&quot;/&gt;&lt;wsp:rsid wsp:val=&quot;003E6085&quot;/&gt;&lt;wsp:rsid wsp:val=&quot;003E6C8D&quot;/&gt;&lt;wsp:rsid wsp:val=&quot;003F1213&quot;/&gt;&lt;wsp:rsid wsp:val=&quot;003F1A43&quot;/&gt;&lt;wsp:rsid wsp:val=&quot;003F2100&quot;/&gt;&lt;wsp:rsid wsp:val=&quot;003F385A&quot;/&gt;&lt;wsp:rsid wsp:val=&quot;003F4F9C&quot;/&gt;&lt;wsp:rsid wsp:val=&quot;003F5468&quot;/&gt;&lt;wsp:rsid wsp:val=&quot;003F5A9F&quot;/&gt;&lt;wsp:rsid wsp:val=&quot;00401359&quot;/&gt;&lt;wsp:rsid wsp:val=&quot;0040339D&quot;/&gt;&lt;wsp:rsid wsp:val=&quot;0040385B&quot;/&gt;&lt;wsp:rsid wsp:val=&quot;004040F2&quot;/&gt;&lt;wsp:rsid wsp:val=&quot;004050EE&quot;/&gt;&lt;wsp:rsid wsp:val=&quot;00405311&quot;/&gt;&lt;wsp:rsid wsp:val=&quot;0040622A&quot;/&gt;&lt;wsp:rsid wsp:val=&quot;004074FF&quot;/&gt;&lt;wsp:rsid wsp:val=&quot;004078B3&quot;/&gt;&lt;wsp:rsid wsp:val=&quot;00407EA8&quot;/&gt;&lt;wsp:rsid wsp:val=&quot;0041094D&quot;/&gt;&lt;wsp:rsid wsp:val=&quot;00411E9B&quot;/&gt;&lt;wsp:rsid wsp:val=&quot;00411F91&quot;/&gt;&lt;wsp:rsid wsp:val=&quot;004128FE&quot;/&gt;&lt;wsp:rsid wsp:val=&quot;004138D6&quot;/&gt;&lt;wsp:rsid wsp:val=&quot;0041470D&quot;/&gt;&lt;wsp:rsid wsp:val=&quot;00414FBA&quot;/&gt;&lt;wsp:rsid wsp:val=&quot;004152D0&quot;/&gt;&lt;wsp:rsid wsp:val=&quot;00415435&quot;/&gt;&lt;wsp:rsid wsp:val=&quot;00416177&quot;/&gt;&lt;wsp:rsid wsp:val=&quot;00416FF6&quot;/&gt;&lt;wsp:rsid wsp:val=&quot;00417188&quot;/&gt;&lt;wsp:rsid wsp:val=&quot;00417493&quot;/&gt;&lt;wsp:rsid wsp:val=&quot;0042031E&quot;/&gt;&lt;wsp:rsid wsp:val=&quot;004215DF&quot;/&gt;&lt;wsp:rsid wsp:val=&quot;00421DE5&quot;/&gt;&lt;wsp:rsid wsp:val=&quot;00422A73&quot;/&gt;&lt;wsp:rsid wsp:val=&quot;004244E4&quot;/&gt;&lt;wsp:rsid wsp:val=&quot;00424B8F&quot;/&gt;&lt;wsp:rsid wsp:val=&quot;0042683D&quot;/&gt;&lt;wsp:rsid wsp:val=&quot;00426843&quot;/&gt;&lt;wsp:rsid wsp:val=&quot;004279BB&quot;/&gt;&lt;wsp:rsid wsp:val=&quot;0043032A&quot;/&gt;&lt;wsp:rsid wsp:val=&quot;004320FB&quot;/&gt;&lt;wsp:rsid wsp:val=&quot;0043246A&quot;/&gt;&lt;wsp:rsid wsp:val=&quot;0043389D&quot;/&gt;&lt;wsp:rsid wsp:val=&quot;004342C3&quot;/&gt;&lt;wsp:rsid wsp:val=&quot;00437AE4&quot;/&gt;&lt;wsp:rsid wsp:val=&quot;0044110E&quot;/&gt;&lt;wsp:rsid wsp:val=&quot;00441D71&quot;/&gt;&lt;wsp:rsid wsp:val=&quot;004442E8&quot;/&gt;&lt;wsp:rsid wsp:val=&quot;0044443D&quot;/&gt;&lt;wsp:rsid wsp:val=&quot;00444702&quot;/&gt;&lt;wsp:rsid wsp:val=&quot;0044511F&quot;/&gt;&lt;wsp:rsid wsp:val=&quot;00446977&quot;/&gt;&lt;wsp:rsid wsp:val=&quot;004479B9&quot;/&gt;&lt;wsp:rsid wsp:val=&quot;004507EC&quot;/&gt;&lt;wsp:rsid wsp:val=&quot;004520DF&quot;/&gt;&lt;wsp:rsid wsp:val=&quot;0045306D&quot;/&gt;&lt;wsp:rsid wsp:val=&quot;00456441&quot;/&gt;&lt;wsp:rsid wsp:val=&quot;0046027B&quot;/&gt;&lt;wsp:rsid wsp:val=&quot;00462610&quot;/&gt;&lt;wsp:rsid wsp:val=&quot;00462A31&quot;/&gt;&lt;wsp:rsid wsp:val=&quot;00462CD4&quot;/&gt;&lt;wsp:rsid wsp:val=&quot;0046548C&quot;/&gt;&lt;wsp:rsid wsp:val=&quot;004678ED&quot;/&gt;&lt;wsp:rsid wsp:val=&quot;00471C07&quot;/&gt;&lt;wsp:rsid wsp:val=&quot;00471FBB&quot;/&gt;&lt;wsp:rsid wsp:val=&quot;0047444A&quot;/&gt;&lt;wsp:rsid wsp:val=&quot;00475412&quot;/&gt;&lt;wsp:rsid wsp:val=&quot;00475C49&quot;/&gt;&lt;wsp:rsid wsp:val=&quot;00475E99&quot;/&gt;&lt;wsp:rsid wsp:val=&quot;00476197&quot;/&gt;&lt;wsp:rsid wsp:val=&quot;00476699&quot;/&gt;&lt;wsp:rsid wsp:val=&quot;00476BC0&quot;/&gt;&lt;wsp:rsid wsp:val=&quot;0047745E&quot;/&gt;&lt;wsp:rsid wsp:val=&quot;00480E6E&quot;/&gt;&lt;wsp:rsid wsp:val=&quot;004820FC&quot;/&gt;&lt;wsp:rsid wsp:val=&quot;00483528&quot;/&gt;&lt;wsp:rsid wsp:val=&quot;00485F51&quot;/&gt;&lt;wsp:rsid wsp:val=&quot;00486C16&quot;/&gt;&lt;wsp:rsid wsp:val=&quot;0048776B&quot;/&gt;&lt;wsp:rsid wsp:val=&quot;00490D41&quot;/&gt;&lt;wsp:rsid wsp:val=&quot;00492DCF&quot;/&gt;&lt;wsp:rsid wsp:val=&quot;00493316&quot;/&gt;&lt;wsp:rsid wsp:val=&quot;004936CE&quot;/&gt;&lt;wsp:rsid wsp:val=&quot;00493E3A&quot;/&gt;&lt;wsp:rsid wsp:val=&quot;00493F14&quot;/&gt;&lt;wsp:rsid wsp:val=&quot;00493F50&quot;/&gt;&lt;wsp:rsid wsp:val=&quot;00494387&quot;/&gt;&lt;wsp:rsid wsp:val=&quot;00495341&quot;/&gt;&lt;wsp:rsid wsp:val=&quot;004956C8&quot;/&gt;&lt;wsp:rsid wsp:val=&quot;00495722&quot;/&gt;&lt;wsp:rsid wsp:val=&quot;0049664E&quot;/&gt;&lt;wsp:rsid wsp:val=&quot;004A0A13&quot;/&gt;&lt;wsp:rsid wsp:val=&quot;004A0D4A&quot;/&gt;&lt;wsp:rsid wsp:val=&quot;004A17D4&quot;/&gt;&lt;wsp:rsid wsp:val=&quot;004A2472&quot;/&gt;&lt;wsp:rsid wsp:val=&quot;004A24C1&quot;/&gt;&lt;wsp:rsid wsp:val=&quot;004A4496&quot;/&gt;&lt;wsp:rsid wsp:val=&quot;004A482E&quot;/&gt;&lt;wsp:rsid wsp:val=&quot;004A5CA7&quot;/&gt;&lt;wsp:rsid wsp:val=&quot;004A6080&quot;/&gt;&lt;wsp:rsid wsp:val=&quot;004A7C06&quot;/&gt;&lt;wsp:rsid wsp:val=&quot;004A7C2F&quot;/&gt;&lt;wsp:rsid wsp:val=&quot;004B23A8&quot;/&gt;&lt;wsp:rsid wsp:val=&quot;004B3575&quot;/&gt;&lt;wsp:rsid wsp:val=&quot;004B3D6A&quot;/&gt;&lt;wsp:rsid wsp:val=&quot;004C091E&quot;/&gt;&lt;wsp:rsid wsp:val=&quot;004C15AF&quot;/&gt;&lt;wsp:rsid wsp:val=&quot;004C2F40&quot;/&gt;&lt;wsp:rsid wsp:val=&quot;004C5178&quot;/&gt;&lt;wsp:rsid wsp:val=&quot;004C644B&quot;/&gt;&lt;wsp:rsid wsp:val=&quot;004C6FCD&quot;/&gt;&lt;wsp:rsid wsp:val=&quot;004C71BE&quot;/&gt;&lt;wsp:rsid wsp:val=&quot;004C73FD&quot;/&gt;&lt;wsp:rsid wsp:val=&quot;004C7D52&quot;/&gt;&lt;wsp:rsid wsp:val=&quot;004D1850&quot;/&gt;&lt;wsp:rsid wsp:val=&quot;004D1B28&quot;/&gt;&lt;wsp:rsid wsp:val=&quot;004D46D4&quot;/&gt;&lt;wsp:rsid wsp:val=&quot;004D6C51&quot;/&gt;&lt;wsp:rsid wsp:val=&quot;004D7BC7&quot;/&gt;&lt;wsp:rsid wsp:val=&quot;004D7DD8&quot;/&gt;&lt;wsp:rsid wsp:val=&quot;004E0C65&quot;/&gt;&lt;wsp:rsid wsp:val=&quot;004E17F3&quot;/&gt;&lt;wsp:rsid wsp:val=&quot;004E1C46&quot;/&gt;&lt;wsp:rsid wsp:val=&quot;004E2D07&quot;/&gt;&lt;wsp:rsid wsp:val=&quot;004E2DF6&quot;/&gt;&lt;wsp:rsid wsp:val=&quot;004E49C5&quot;/&gt;&lt;wsp:rsid wsp:val=&quot;004E6769&quot;/&gt;&lt;wsp:rsid wsp:val=&quot;004E6A20&quot;/&gt;&lt;wsp:rsid wsp:val=&quot;004E6E7F&quot;/&gt;&lt;wsp:rsid wsp:val=&quot;004E727D&quot;/&gt;&lt;wsp:rsid wsp:val=&quot;004F1E32&quot;/&gt;&lt;wsp:rsid wsp:val=&quot;004F22D0&quot;/&gt;&lt;wsp:rsid wsp:val=&quot;004F2BCB&quot;/&gt;&lt;wsp:rsid wsp:val=&quot;004F7EE5&quot;/&gt;&lt;wsp:rsid wsp:val=&quot;00502019&quot;/&gt;&lt;wsp:rsid wsp:val=&quot;00504BCD&quot;/&gt;&lt;wsp:rsid wsp:val=&quot;00505D54&quot;/&gt;&lt;wsp:rsid wsp:val=&quot;0051084E&quot;/&gt;&lt;wsp:rsid wsp:val=&quot;005111CB&quot;/&gt;&lt;wsp:rsid wsp:val=&quot;00512C31&quot;/&gt;&lt;wsp:rsid wsp:val=&quot;00516574&quot;/&gt;&lt;wsp:rsid wsp:val=&quot;00521EB2&quot;/&gt;&lt;wsp:rsid wsp:val=&quot;0052211D&quot;/&gt;&lt;wsp:rsid wsp:val=&quot;00522700&quot;/&gt;&lt;wsp:rsid wsp:val=&quot;00523015&quot;/&gt;&lt;wsp:rsid wsp:val=&quot;005246CE&quot;/&gt;&lt;wsp:rsid wsp:val=&quot;0052704A&quot;/&gt;&lt;wsp:rsid wsp:val=&quot;005271DC&quot;/&gt;&lt;wsp:rsid wsp:val=&quot;005271E4&quot;/&gt;&lt;wsp:rsid wsp:val=&quot;005273DE&quot;/&gt;&lt;wsp:rsid wsp:val=&quot;0053290C&quot;/&gt;&lt;wsp:rsid wsp:val=&quot;00532D02&quot;/&gt;&lt;wsp:rsid wsp:val=&quot;00533957&quot;/&gt;&lt;wsp:rsid wsp:val=&quot;005362C8&quot;/&gt;&lt;wsp:rsid wsp:val=&quot;00536436&quot;/&gt;&lt;wsp:rsid wsp:val=&quot;0053663C&quot;/&gt;&lt;wsp:rsid wsp:val=&quot;005376C7&quot;/&gt;&lt;wsp:rsid wsp:val=&quot;00537AD6&quot;/&gt;&lt;wsp:rsid wsp:val=&quot;00542051&quot;/&gt;&lt;wsp:rsid wsp:val=&quot;0054324E&quot;/&gt;&lt;wsp:rsid wsp:val=&quot;0054441A&quot;/&gt;&lt;wsp:rsid wsp:val=&quot;00545157&quot;/&gt;&lt;wsp:rsid wsp:val=&quot;00545F85&quot;/&gt;&lt;wsp:rsid wsp:val=&quot;00546D51&quot;/&gt;&lt;wsp:rsid wsp:val=&quot;00546F09&quot;/&gt;&lt;wsp:rsid wsp:val=&quot;0054746B&quot;/&gt;&lt;wsp:rsid wsp:val=&quot;00547F09&quot;/&gt;&lt;wsp:rsid wsp:val=&quot;00550614&quot;/&gt;&lt;wsp:rsid wsp:val=&quot;00550EB1&quot;/&gt;&lt;wsp:rsid wsp:val=&quot;00553CD6&quot;/&gt;&lt;wsp:rsid wsp:val=&quot;00553FD7&quot;/&gt;&lt;wsp:rsid wsp:val=&quot;005577D1&quot;/&gt;&lt;wsp:rsid wsp:val=&quot;0056002D&quot;/&gt;&lt;wsp:rsid wsp:val=&quot;00560034&quot;/&gt;&lt;wsp:rsid wsp:val=&quot;0056089D&quot;/&gt;&lt;wsp:rsid wsp:val=&quot;0056091E&quot;/&gt;&lt;wsp:rsid wsp:val=&quot;00560B13&quot;/&gt;&lt;wsp:rsid wsp:val=&quot;00564F65&quot;/&gt;&lt;wsp:rsid wsp:val=&quot;0056594B&quot;/&gt;&lt;wsp:rsid wsp:val=&quot;005662DA&quot;/&gt;&lt;wsp:rsid wsp:val=&quot;00566EE2&quot;/&gt;&lt;wsp:rsid wsp:val=&quot;0056753A&quot;/&gt;&lt;wsp:rsid wsp:val=&quot;00570515&quot;/&gt;&lt;wsp:rsid wsp:val=&quot;005706B4&quot;/&gt;&lt;wsp:rsid wsp:val=&quot;0057128B&quot;/&gt;&lt;wsp:rsid wsp:val=&quot;005715A6&quot;/&gt;&lt;wsp:rsid wsp:val=&quot;0057591C&quot;/&gt;&lt;wsp:rsid wsp:val=&quot;00577149&quot;/&gt;&lt;wsp:rsid wsp:val=&quot;0058002B&quot;/&gt;&lt;wsp:rsid wsp:val=&quot;00580FE2&quot;/&gt;&lt;wsp:rsid wsp:val=&quot;005830C2&quot;/&gt;&lt;wsp:rsid wsp:val=&quot;00583691&quot;/&gt;&lt;wsp:rsid wsp:val=&quot;0058679E&quot;/&gt;&lt;wsp:rsid wsp:val=&quot;00586A13&quot;/&gt;&lt;wsp:rsid wsp:val=&quot;0058716E&quot;/&gt;&lt;wsp:rsid wsp:val=&quot;0059007C&quot;/&gt;&lt;wsp:rsid wsp:val=&quot;0059068E&quot;/&gt;&lt;wsp:rsid wsp:val=&quot;00590E8B&quot;/&gt;&lt;wsp:rsid wsp:val=&quot;0059173D&quot;/&gt;&lt;wsp:rsid wsp:val=&quot;00591CC0&quot;/&gt;&lt;wsp:rsid wsp:val=&quot;005945A8&quot;/&gt;&lt;wsp:rsid wsp:val=&quot;005954C2&quot;/&gt;&lt;wsp:rsid wsp:val=&quot;00595775&quot;/&gt;&lt;wsp:rsid wsp:val=&quot;00596197&quot;/&gt;&lt;wsp:rsid wsp:val=&quot;005A0932&quot;/&gt;&lt;wsp:rsid wsp:val=&quot;005A11C3&quot;/&gt;&lt;wsp:rsid wsp:val=&quot;005A4140&quot;/&gt;&lt;wsp:rsid wsp:val=&quot;005A62EB&quot;/&gt;&lt;wsp:rsid wsp:val=&quot;005B166B&quot;/&gt;&lt;wsp:rsid wsp:val=&quot;005B1EE3&quot;/&gt;&lt;wsp:rsid wsp:val=&quot;005B4289&quot;/&gt;&lt;wsp:rsid wsp:val=&quot;005B6D29&quot;/&gt;&lt;wsp:rsid wsp:val=&quot;005B7073&quot;/&gt;&lt;wsp:rsid wsp:val=&quot;005B735E&quot;/&gt;&lt;wsp:rsid wsp:val=&quot;005C041B&quot;/&gt;&lt;wsp:rsid wsp:val=&quot;005C4DD6&quot;/&gt;&lt;wsp:rsid wsp:val=&quot;005C61AA&quot;/&gt;&lt;wsp:rsid wsp:val=&quot;005C77CC&quot;/&gt;&lt;wsp:rsid wsp:val=&quot;005C7CFC&quot;/&gt;&lt;wsp:rsid wsp:val=&quot;005C7D42&quot;/&gt;&lt;wsp:rsid wsp:val=&quot;005C7E83&quot;/&gt;&lt;wsp:rsid wsp:val=&quot;005D0AC2&quot;/&gt;&lt;wsp:rsid wsp:val=&quot;005D0BF4&quot;/&gt;&lt;wsp:rsid wsp:val=&quot;005D0F2D&quot;/&gt;&lt;wsp:rsid wsp:val=&quot;005D1BB4&quot;/&gt;&lt;wsp:rsid wsp:val=&quot;005D2D71&quot;/&gt;&lt;wsp:rsid wsp:val=&quot;005D394A&quot;/&gt;&lt;wsp:rsid wsp:val=&quot;005D4576&quot;/&gt;&lt;wsp:rsid wsp:val=&quot;005D4973&quot;/&gt;&lt;wsp:rsid wsp:val=&quot;005D4F55&quot;/&gt;&lt;wsp:rsid wsp:val=&quot;005D56D9&quot;/&gt;&lt;wsp:rsid wsp:val=&quot;005D5EA1&quot;/&gt;&lt;wsp:rsid wsp:val=&quot;005D6169&quot;/&gt;&lt;wsp:rsid wsp:val=&quot;005D7F02&quot;/&gt;&lt;wsp:rsid wsp:val=&quot;005E15A9&quot;/&gt;&lt;wsp:rsid wsp:val=&quot;005E2904&quot;/&gt;&lt;wsp:rsid wsp:val=&quot;005E2B0F&quot;/&gt;&lt;wsp:rsid wsp:val=&quot;005E36FB&quot;/&gt;&lt;wsp:rsid wsp:val=&quot;005E3F00&quot;/&gt;&lt;wsp:rsid wsp:val=&quot;005E5E87&quot;/&gt;&lt;wsp:rsid wsp:val=&quot;005F046A&quot;/&gt;&lt;wsp:rsid wsp:val=&quot;005F061F&quot;/&gt;&lt;wsp:rsid wsp:val=&quot;005F0A97&quot;/&gt;&lt;wsp:rsid wsp:val=&quot;005F0E57&quot;/&gt;&lt;wsp:rsid wsp:val=&quot;005F1923&quot;/&gt;&lt;wsp:rsid wsp:val=&quot;005F24E1&quot;/&gt;&lt;wsp:rsid wsp:val=&quot;005F250F&quot;/&gt;&lt;wsp:rsid wsp:val=&quot;005F2604&quot;/&gt;&lt;wsp:rsid wsp:val=&quot;005F317A&quot;/&gt;&lt;wsp:rsid wsp:val=&quot;005F366A&quot;/&gt;&lt;wsp:rsid wsp:val=&quot;005F7234&quot;/&gt;&lt;wsp:rsid wsp:val=&quot;00601E17&quot;/&gt;&lt;wsp:rsid wsp:val=&quot;00601EB6&quot;/&gt;&lt;wsp:rsid wsp:val=&quot;0060292C&quot;/&gt;&lt;wsp:rsid wsp:val=&quot;00603331&quot;/&gt;&lt;wsp:rsid wsp:val=&quot;006036B3&quot;/&gt;&lt;wsp:rsid wsp:val=&quot;00605B63&quot;/&gt;&lt;wsp:rsid wsp:val=&quot;006063C5&quot;/&gt;&lt;wsp:rsid wsp:val=&quot;00606C6A&quot;/&gt;&lt;wsp:rsid wsp:val=&quot;00607BD8&quot;/&gt;&lt;wsp:rsid wsp:val=&quot;0061029A&quot;/&gt;&lt;wsp:rsid wsp:val=&quot;0061096D&quot;/&gt;&lt;wsp:rsid wsp:val=&quot;00610DBB&quot;/&gt;&lt;wsp:rsid wsp:val=&quot;006119E5&quot;/&gt;&lt;wsp:rsid wsp:val=&quot;00611C57&quot;/&gt;&lt;wsp:rsid wsp:val=&quot;00612113&quot;/&gt;&lt;wsp:rsid wsp:val=&quot;00612E91&quot;/&gt;&lt;wsp:rsid wsp:val=&quot;00613874&quot;/&gt;&lt;wsp:rsid wsp:val=&quot;00614C02&quot;/&gt;&lt;wsp:rsid wsp:val=&quot;00615246&quot;/&gt;&lt;wsp:rsid wsp:val=&quot;006172FB&quot;/&gt;&lt;wsp:rsid wsp:val=&quot;006179D9&quot;/&gt;&lt;wsp:rsid wsp:val=&quot;0062037F&quot;/&gt;&lt;wsp:rsid wsp:val=&quot;00620CA5&quot;/&gt;&lt;wsp:rsid wsp:val=&quot;00622D20&quot;/&gt;&lt;wsp:rsid wsp:val=&quot;006242C9&quot;/&gt;&lt;wsp:rsid wsp:val=&quot;00625879&quot;/&gt;&lt;wsp:rsid wsp:val=&quot;006259F8&quot;/&gt;&lt;wsp:rsid wsp:val=&quot;00626489&quot;/&gt;&lt;wsp:rsid wsp:val=&quot;006301A8&quot;/&gt;&lt;wsp:rsid wsp:val=&quot;0063111C&quot;/&gt;&lt;wsp:rsid wsp:val=&quot;00634A02&quot;/&gt;&lt;wsp:rsid wsp:val=&quot;006369C1&quot;/&gt;&lt;wsp:rsid wsp:val=&quot;00636A77&quot;/&gt;&lt;wsp:rsid wsp:val=&quot;00636EA6&quot;/&gt;&lt;wsp:rsid wsp:val=&quot;006409F4&quot;/&gt;&lt;wsp:rsid wsp:val=&quot;00642AE1&quot;/&gt;&lt;wsp:rsid wsp:val=&quot;00642E1B&quot;/&gt;&lt;wsp:rsid wsp:val=&quot;00643A18&quot;/&gt;&lt;wsp:rsid wsp:val=&quot;006451FD&quot;/&gt;&lt;wsp:rsid wsp:val=&quot;00646452&quot;/&gt;&lt;wsp:rsid wsp:val=&quot;00647381&quot;/&gt;&lt;wsp:rsid wsp:val=&quot;00647679&quot;/&gt;&lt;wsp:rsid wsp:val=&quot;00647A24&quot;/&gt;&lt;wsp:rsid wsp:val=&quot;006514AB&quot;/&gt;&lt;wsp:rsid wsp:val=&quot;00652FA2&quot;/&gt;&lt;wsp:rsid wsp:val=&quot;00653CF1&quot;/&gt;&lt;wsp:rsid wsp:val=&quot;00653FE9&quot;/&gt;&lt;wsp:rsid wsp:val=&quot;00654EF1&quot;/&gt;&lt;wsp:rsid wsp:val=&quot;00656B5F&quot;/&gt;&lt;wsp:rsid wsp:val=&quot;006572A6&quot;/&gt;&lt;wsp:rsid wsp:val=&quot;006606D1&quot;/&gt;&lt;wsp:rsid wsp:val=&quot;00661F8F&quot;/&gt;&lt;wsp:rsid wsp:val=&quot;006624C0&quot;/&gt;&lt;wsp:rsid wsp:val=&quot;00663EC4&quot;/&gt;&lt;wsp:rsid wsp:val=&quot;006667C8&quot;/&gt;&lt;wsp:rsid wsp:val=&quot;0066753C&quot;/&gt;&lt;wsp:rsid wsp:val=&quot;0067131A&quot;/&gt;&lt;wsp:rsid wsp:val=&quot;00673853&quot;/&gt;&lt;wsp:rsid wsp:val=&quot;0067644B&quot;/&gt;&lt;wsp:rsid wsp:val=&quot;00677018&quot;/&gt;&lt;wsp:rsid wsp:val=&quot;00677883&quot;/&gt;&lt;wsp:rsid wsp:val=&quot;0068191B&quot;/&gt;&lt;wsp:rsid wsp:val=&quot;00683718&quot;/&gt;&lt;wsp:rsid wsp:val=&quot;00686F4D&quot;/&gt;&lt;wsp:rsid wsp:val=&quot;00690CD5&quot;/&gt;&lt;wsp:rsid wsp:val=&quot;0069191A&quot;/&gt;&lt;wsp:rsid wsp:val=&quot;006939E2&quot;/&gt;&lt;wsp:rsid wsp:val=&quot;00693A0D&quot;/&gt;&lt;wsp:rsid wsp:val=&quot;00694D29&quot;/&gt;&lt;wsp:rsid wsp:val=&quot;006952C5&quot;/&gt;&lt;wsp:rsid wsp:val=&quot;00695880&quot;/&gt;&lt;wsp:rsid wsp:val=&quot;006969F7&quot;/&gt;&lt;wsp:rsid wsp:val=&quot;006979FF&quot;/&gt;&lt;wsp:rsid wsp:val=&quot;006A20A0&quot;/&gt;&lt;wsp:rsid wsp:val=&quot;006A28F9&quot;/&gt;&lt;wsp:rsid wsp:val=&quot;006A2D4B&quot;/&gt;&lt;wsp:rsid wsp:val=&quot;006A2FD4&quot;/&gt;&lt;wsp:rsid wsp:val=&quot;006A3121&quot;/&gt;&lt;wsp:rsid wsp:val=&quot;006A3419&quot;/&gt;&lt;wsp:rsid wsp:val=&quot;006A37ED&quot;/&gt;&lt;wsp:rsid wsp:val=&quot;006A5EA6&quot;/&gt;&lt;wsp:rsid wsp:val=&quot;006A77F6&quot;/&gt;&lt;wsp:rsid wsp:val=&quot;006B068E&quot;/&gt;&lt;wsp:rsid wsp:val=&quot;006B23CD&quot;/&gt;&lt;wsp:rsid wsp:val=&quot;006B3B29&quot;/&gt;&lt;wsp:rsid wsp:val=&quot;006B3F9A&quot;/&gt;&lt;wsp:rsid wsp:val=&quot;006B69D7&quot;/&gt;&lt;wsp:rsid wsp:val=&quot;006B72B3&quot;/&gt;&lt;wsp:rsid wsp:val=&quot;006B7C3A&quot;/&gt;&lt;wsp:rsid wsp:val=&quot;006B7CE8&quot;/&gt;&lt;wsp:rsid wsp:val=&quot;006C1314&quot;/&gt;&lt;wsp:rsid wsp:val=&quot;006C1C0A&quot;/&gt;&lt;wsp:rsid wsp:val=&quot;006C1D01&quot;/&gt;&lt;wsp:rsid wsp:val=&quot;006C4D10&quot;/&gt;&lt;wsp:rsid wsp:val=&quot;006C52A9&quot;/&gt;&lt;wsp:rsid wsp:val=&quot;006C595E&quot;/&gt;&lt;wsp:rsid wsp:val=&quot;006D035C&quot;/&gt;&lt;wsp:rsid wsp:val=&quot;006D051A&quot;/&gt;&lt;wsp:rsid wsp:val=&quot;006D0DD1&quot;/&gt;&lt;wsp:rsid wsp:val=&quot;006D18AB&quot;/&gt;&lt;wsp:rsid wsp:val=&quot;006D2BCD&quot;/&gt;&lt;wsp:rsid wsp:val=&quot;006D315C&quot;/&gt;&lt;wsp:rsid wsp:val=&quot;006D326C&quot;/&gt;&lt;wsp:rsid wsp:val=&quot;006D3638&quot;/&gt;&lt;wsp:rsid wsp:val=&quot;006D44BE&quot;/&gt;&lt;wsp:rsid wsp:val=&quot;006D51F7&quot;/&gt;&lt;wsp:rsid wsp:val=&quot;006D564C&quot;/&gt;&lt;wsp:rsid wsp:val=&quot;006D6215&quot;/&gt;&lt;wsp:rsid wsp:val=&quot;006D6681&quot;/&gt;&lt;wsp:rsid wsp:val=&quot;006D77DA&quot;/&gt;&lt;wsp:rsid wsp:val=&quot;006E00E6&quot;/&gt;&lt;wsp:rsid wsp:val=&quot;006E0B36&quot;/&gt;&lt;wsp:rsid wsp:val=&quot;006E11D1&quot;/&gt;&lt;wsp:rsid wsp:val=&quot;006E195A&quot;/&gt;&lt;wsp:rsid wsp:val=&quot;006E3C03&quot;/&gt;&lt;wsp:rsid wsp:val=&quot;006E4833&quot;/&gt;&lt;wsp:rsid wsp:val=&quot;006E4C96&quot;/&gt;&lt;wsp:rsid wsp:val=&quot;006E554F&quot;/&gt;&lt;wsp:rsid wsp:val=&quot;006E7382&quot;/&gt;&lt;wsp:rsid wsp:val=&quot;006E7422&quot;/&gt;&lt;wsp:rsid wsp:val=&quot;006F16C8&quot;/&gt;&lt;wsp:rsid wsp:val=&quot;006F2A82&quot;/&gt;&lt;wsp:rsid wsp:val=&quot;006F2E23&quot;/&gt;&lt;wsp:rsid wsp:val=&quot;006F6665&quot;/&gt;&lt;wsp:rsid wsp:val=&quot;006F6D9F&quot;/&gt;&lt;wsp:rsid wsp:val=&quot;006F781B&quot;/&gt;&lt;wsp:rsid wsp:val=&quot;006F7B86&quot;/&gt;&lt;wsp:rsid wsp:val=&quot;00700132&quot;/&gt;&lt;wsp:rsid wsp:val=&quot;007010E8&quot;/&gt;&lt;wsp:rsid wsp:val=&quot;007010F0&quot;/&gt;&lt;wsp:rsid wsp:val=&quot;00703D3E&quot;/&gt;&lt;wsp:rsid wsp:val=&quot;00705134&quot;/&gt;&lt;wsp:rsid wsp:val=&quot;007070F9&quot;/&gt;&lt;wsp:rsid wsp:val=&quot;007109B6&quot;/&gt;&lt;wsp:rsid wsp:val=&quot;00710DC4&quot;/&gt;&lt;wsp:rsid wsp:val=&quot;00713600&quot;/&gt;&lt;wsp:rsid wsp:val=&quot;007143C0&quot;/&gt;&lt;wsp:rsid wsp:val=&quot;00714AAF&quot;/&gt;&lt;wsp:rsid wsp:val=&quot;007156DC&quot;/&gt;&lt;wsp:rsid wsp:val=&quot;00716238&quot;/&gt;&lt;wsp:rsid wsp:val=&quot;00716A83&quot;/&gt;&lt;wsp:rsid wsp:val=&quot;00716AEF&quot;/&gt;&lt;wsp:rsid wsp:val=&quot;00716DE5&quot;/&gt;&lt;wsp:rsid wsp:val=&quot;00717C58&quot;/&gt;&lt;wsp:rsid wsp:val=&quot;00717E6F&quot;/&gt;&lt;wsp:rsid wsp:val=&quot;007206E4&quot;/&gt;&lt;wsp:rsid wsp:val=&quot;00721972&quot;/&gt;&lt;wsp:rsid wsp:val=&quot;007227A5&quot;/&gt;&lt;wsp:rsid wsp:val=&quot;00722CC4&quot;/&gt;&lt;wsp:rsid wsp:val=&quot;007234E9&quot;/&gt;&lt;wsp:rsid wsp:val=&quot;00724D01&quot;/&gt;&lt;wsp:rsid wsp:val=&quot;00724D3B&quot;/&gt;&lt;wsp:rsid wsp:val=&quot;00727BFB&quot;/&gt;&lt;wsp:rsid wsp:val=&quot;00730561&quot;/&gt;&lt;wsp:rsid wsp:val=&quot;007313D8&quot;/&gt;&lt;wsp:rsid wsp:val=&quot;00732129&quot;/&gt;&lt;wsp:rsid wsp:val=&quot;00732BAF&quot;/&gt;&lt;wsp:rsid wsp:val=&quot;00732E8F&quot;/&gt;&lt;wsp:rsid wsp:val=&quot;00733AE8&quot;/&gt;&lt;wsp:rsid wsp:val=&quot;007342A0&quot;/&gt;&lt;wsp:rsid wsp:val=&quot;007349F2&quot;/&gt;&lt;wsp:rsid wsp:val=&quot;00735D0A&quot;/&gt;&lt;wsp:rsid wsp:val=&quot;00735E2E&quot;/&gt;&lt;wsp:rsid wsp:val=&quot;00737226&quot;/&gt;&lt;wsp:rsid wsp:val=&quot;007403C5&quot;/&gt;&lt;wsp:rsid wsp:val=&quot;00740584&quot;/&gt;&lt;wsp:rsid wsp:val=&quot;00741E1C&quot;/&gt;&lt;wsp:rsid wsp:val=&quot;00741E8F&quot;/&gt;&lt;wsp:rsid wsp:val=&quot;00741FA9&quot;/&gt;&lt;wsp:rsid wsp:val=&quot;00744596&quot;/&gt;&lt;wsp:rsid wsp:val=&quot;00746168&quot;/&gt;&lt;wsp:rsid wsp:val=&quot;00751A3B&quot;/&gt;&lt;wsp:rsid wsp:val=&quot;0075260A&quot;/&gt;&lt;wsp:rsid wsp:val=&quot;00756E4E&quot;/&gt;&lt;wsp:rsid wsp:val=&quot;007578FC&quot;/&gt;&lt;wsp:rsid wsp:val=&quot;00757968&quot;/&gt;&lt;wsp:rsid wsp:val=&quot;007608E3&quot;/&gt;&lt;wsp:rsid wsp:val=&quot;00760DBB&quot;/&gt;&lt;wsp:rsid wsp:val=&quot;00760EC9&quot;/&gt;&lt;wsp:rsid wsp:val=&quot;00761979&quot;/&gt;&lt;wsp:rsid wsp:val=&quot;00761A2A&quot;/&gt;&lt;wsp:rsid wsp:val=&quot;00762957&quot;/&gt;&lt;wsp:rsid wsp:val=&quot;00763BB4&quot;/&gt;&lt;wsp:rsid wsp:val=&quot;007640AB&quot;/&gt;&lt;wsp:rsid wsp:val=&quot;00765EDA&quot;/&gt;&lt;wsp:rsid wsp:val=&quot;007667D8&quot;/&gt;&lt;wsp:rsid wsp:val=&quot;0076758A&quot;/&gt;&lt;wsp:rsid wsp:val=&quot;007731B4&quot;/&gt;&lt;wsp:rsid wsp:val=&quot;00774243&quot;/&gt;&lt;wsp:rsid wsp:val=&quot;00775813&quot;/&gt;&lt;wsp:rsid wsp:val=&quot;00776033&quot;/&gt;&lt;wsp:rsid wsp:val=&quot;007766C1&quot;/&gt;&lt;wsp:rsid wsp:val=&quot;00776CD0&quot;/&gt;&lt;wsp:rsid wsp:val=&quot;007771A1&quot;/&gt;&lt;wsp:rsid wsp:val=&quot;00780B54&quot;/&gt;&lt;wsp:rsid wsp:val=&quot;007821B0&quot;/&gt;&lt;wsp:rsid wsp:val=&quot;0078307A&quot;/&gt;&lt;wsp:rsid wsp:val=&quot;007845AE&quot;/&gt;&lt;wsp:rsid wsp:val=&quot;00786278&quot;/&gt;&lt;wsp:rsid wsp:val=&quot;00786373&quot;/&gt;&lt;wsp:rsid wsp:val=&quot;007869A0&quot;/&gt;&lt;wsp:rsid wsp:val=&quot;007873EE&quot;/&gt;&lt;wsp:rsid wsp:val=&quot;00790150&quot;/&gt;&lt;wsp:rsid wsp:val=&quot;007915F5&quot;/&gt;&lt;wsp:rsid wsp:val=&quot;007925E1&quot;/&gt;&lt;wsp:rsid wsp:val=&quot;0079358C&quot;/&gt;&lt;wsp:rsid wsp:val=&quot;00793CEA&quot;/&gt;&lt;wsp:rsid wsp:val=&quot;0079442B&quot;/&gt;&lt;wsp:rsid wsp:val=&quot;00794B6C&quot;/&gt;&lt;wsp:rsid wsp:val=&quot;00794E1F&quot;/&gt;&lt;wsp:rsid wsp:val=&quot;007956C4&quot;/&gt;&lt;wsp:rsid wsp:val=&quot;0079683D&quot;/&gt;&lt;wsp:rsid wsp:val=&quot;00796F65&quot;/&gt;&lt;wsp:rsid wsp:val=&quot;00797F10&quot;/&gt;&lt;wsp:rsid wsp:val=&quot;007A43CD&quot;/&gt;&lt;wsp:rsid wsp:val=&quot;007A5E2F&quot;/&gt;&lt;wsp:rsid wsp:val=&quot;007A5E6B&quot;/&gt;&lt;wsp:rsid wsp:val=&quot;007A5FBE&quot;/&gt;&lt;wsp:rsid wsp:val=&quot;007B1DAF&quot;/&gt;&lt;wsp:rsid wsp:val=&quot;007B3673&quot;/&gt;&lt;wsp:rsid wsp:val=&quot;007B3BCB&quot;/&gt;&lt;wsp:rsid wsp:val=&quot;007B4555&quot;/&gt;&lt;wsp:rsid wsp:val=&quot;007B65AF&quot;/&gt;&lt;wsp:rsid wsp:val=&quot;007B6A61&quot;/&gt;&lt;wsp:rsid wsp:val=&quot;007C1724&quot;/&gt;&lt;wsp:rsid wsp:val=&quot;007C2952&quot;/&gt;&lt;wsp:rsid wsp:val=&quot;007C414F&quot;/&gt;&lt;wsp:rsid wsp:val=&quot;007C4282&quot;/&gt;&lt;wsp:rsid wsp:val=&quot;007C71FB&quot;/&gt;&lt;wsp:rsid wsp:val=&quot;007C7981&quot;/&gt;&lt;wsp:rsid wsp:val=&quot;007D0555&quot;/&gt;&lt;wsp:rsid wsp:val=&quot;007D4713&quot;/&gt;&lt;wsp:rsid wsp:val=&quot;007D49A8&quot;/&gt;&lt;wsp:rsid wsp:val=&quot;007D5EC9&quot;/&gt;&lt;wsp:rsid wsp:val=&quot;007D60A5&quot;/&gt;&lt;wsp:rsid wsp:val=&quot;007D6B6C&quot;/&gt;&lt;wsp:rsid wsp:val=&quot;007D78B2&quot;/&gt;&lt;wsp:rsid wsp:val=&quot;007E1203&quot;/&gt;&lt;wsp:rsid wsp:val=&quot;007E31A7&quot;/&gt;&lt;wsp:rsid wsp:val=&quot;007E3838&quot;/&gt;&lt;wsp:rsid wsp:val=&quot;007E474D&quot;/&gt;&lt;wsp:rsid wsp:val=&quot;007E4C70&quot;/&gt;&lt;wsp:rsid wsp:val=&quot;007E4D1E&quot;/&gt;&lt;wsp:rsid wsp:val=&quot;007E5D0C&quot;/&gt;&lt;wsp:rsid wsp:val=&quot;007E6BD0&quot;/&gt;&lt;wsp:rsid wsp:val=&quot;007E7000&quot;/&gt;&lt;wsp:rsid wsp:val=&quot;007E7131&quot;/&gt;&lt;wsp:rsid wsp:val=&quot;007E7183&quot;/&gt;&lt;wsp:rsid wsp:val=&quot;007F1CFF&quot;/&gt;&lt;wsp:rsid wsp:val=&quot;007F2000&quot;/&gt;&lt;wsp:rsid wsp:val=&quot;007F3659&quot;/&gt;&lt;wsp:rsid wsp:val=&quot;007F3F46&quot;/&gt;&lt;wsp:rsid wsp:val=&quot;007F4F6D&quot;/&gt;&lt;wsp:rsid wsp:val=&quot;007F61A4&quot;/&gt;&lt;wsp:rsid wsp:val=&quot;007F7D37&quot;/&gt;&lt;wsp:rsid wsp:val=&quot;00803529&quot;/&gt;&lt;wsp:rsid wsp:val=&quot;00803D84&quot;/&gt;&lt;wsp:rsid wsp:val=&quot;00803D8F&quot;/&gt;&lt;wsp:rsid wsp:val=&quot;008046F7&quot;/&gt;&lt;wsp:rsid wsp:val=&quot;008069AC&quot;/&gt;&lt;wsp:rsid wsp:val=&quot;008079DD&quot;/&gt;&lt;wsp:rsid wsp:val=&quot;0081006B&quot;/&gt;&lt;wsp:rsid wsp:val=&quot;0081154A&quot;/&gt;&lt;wsp:rsid wsp:val=&quot;008118DB&quot;/&gt;&lt;wsp:rsid wsp:val=&quot;00811A40&quot;/&gt;&lt;wsp:rsid wsp:val=&quot;008121B6&quot;/&gt;&lt;wsp:rsid wsp:val=&quot;00813767&quot;/&gt;&lt;wsp:rsid wsp:val=&quot;00813E7F&quot;/&gt;&lt;wsp:rsid wsp:val=&quot;00815A1F&quot;/&gt;&lt;wsp:rsid wsp:val=&quot;00815B09&quot;/&gt;&lt;wsp:rsid wsp:val=&quot;008217EF&quot;/&gt;&lt;wsp:rsid wsp:val=&quot;008234BE&quot;/&gt;&lt;wsp:rsid wsp:val=&quot;00823521&quot;/&gt;&lt;wsp:rsid wsp:val=&quot;00823E02&quot;/&gt;&lt;wsp:rsid wsp:val=&quot;00824145&quot;/&gt;&lt;wsp:rsid wsp:val=&quot;00824B84&quot;/&gt;&lt;wsp:rsid wsp:val=&quot;00824C37&quot;/&gt;&lt;wsp:rsid wsp:val=&quot;0082585A&quot;/&gt;&lt;wsp:rsid wsp:val=&quot;008367F2&quot;/&gt;&lt;wsp:rsid wsp:val=&quot;00837101&quot;/&gt;&lt;wsp:rsid wsp:val=&quot;0083741C&quot;/&gt;&lt;wsp:rsid wsp:val=&quot;008407CB&quot;/&gt;&lt;wsp:rsid wsp:val=&quot;008417EF&quot;/&gt;&lt;wsp:rsid wsp:val=&quot;00842194&quot;/&gt;&lt;wsp:rsid wsp:val=&quot;00842F3F&quot;/&gt;&lt;wsp:rsid wsp:val=&quot;00843922&quot;/&gt;&lt;wsp:rsid wsp:val=&quot;0084408D&quot;/&gt;&lt;wsp:rsid wsp:val=&quot;00844F7A&quot;/&gt;&lt;wsp:rsid wsp:val=&quot;0084587F&quot;/&gt;&lt;wsp:rsid wsp:val=&quot;00846BFD&quot;/&gt;&lt;wsp:rsid wsp:val=&quot;008476B1&quot;/&gt;&lt;wsp:rsid wsp:val=&quot;00853289&quot;/&gt;&lt;wsp:rsid wsp:val=&quot;00853777&quot;/&gt;&lt;wsp:rsid wsp:val=&quot;008538F9&quot;/&gt;&lt;wsp:rsid wsp:val=&quot;00853D1C&quot;/&gt;&lt;wsp:rsid wsp:val=&quot;00853E27&quot;/&gt;&lt;wsp:rsid wsp:val=&quot;00854AB6&quot;/&gt;&lt;wsp:rsid wsp:val=&quot;00860B8B&quot;/&gt;&lt;wsp:rsid wsp:val=&quot;00862ACE&quot;/&gt;&lt;wsp:rsid wsp:val=&quot;0086354E&quot;/&gt;&lt;wsp:rsid wsp:val=&quot;00865809&quot;/&gt;&lt;wsp:rsid wsp:val=&quot;00865C7D&quot;/&gt;&lt;wsp:rsid wsp:val=&quot;00867497&quot;/&gt;&lt;wsp:rsid wsp:val=&quot;00867B8D&quot;/&gt;&lt;wsp:rsid wsp:val=&quot;00867DA9&quot;/&gt;&lt;wsp:rsid wsp:val=&quot;00870521&quot;/&gt;&lt;wsp:rsid wsp:val=&quot;00870BFA&quot;/&gt;&lt;wsp:rsid wsp:val=&quot;00870DF8&quot;/&gt;&lt;wsp:rsid wsp:val=&quot;00876135&quot;/&gt;&lt;wsp:rsid wsp:val=&quot;008771A0&quot;/&gt;&lt;wsp:rsid wsp:val=&quot;008776A3&quot;/&gt;&lt;wsp:rsid wsp:val=&quot;00881537&quot;/&gt;&lt;wsp:rsid wsp:val=&quot;0088224F&quot;/&gt;&lt;wsp:rsid wsp:val=&quot;00882D22&quot;/&gt;&lt;wsp:rsid wsp:val=&quot;00883C3E&quot;/&gt;&lt;wsp:rsid wsp:val=&quot;00883D92&quot;/&gt;&lt;wsp:rsid wsp:val=&quot;00884EE2&quot;/&gt;&lt;wsp:rsid wsp:val=&quot;0088533E&quot;/&gt;&lt;wsp:rsid wsp:val=&quot;00885B32&quot;/&gt;&lt;wsp:rsid wsp:val=&quot;0088656D&quot;/&gt;&lt;wsp:rsid wsp:val=&quot;00887DBB&quot;/&gt;&lt;wsp:rsid wsp:val=&quot;00890019&quot;/&gt;&lt;wsp:rsid wsp:val=&quot;008911CD&quot;/&gt;&lt;wsp:rsid wsp:val=&quot;00891787&quot;/&gt;&lt;wsp:rsid wsp:val=&quot;008917C3&quot;/&gt;&lt;wsp:rsid wsp:val=&quot;008924DF&quot;/&gt;&lt;wsp:rsid wsp:val=&quot;008927A3&quot;/&gt;&lt;wsp:rsid wsp:val=&quot;00893B72&quot;/&gt;&lt;wsp:rsid wsp:val=&quot;00894075&quot;/&gt;&lt;wsp:rsid wsp:val=&quot;008966B0&quot;/&gt;&lt;wsp:rsid wsp:val=&quot;008A0EE8&quot;/&gt;&lt;wsp:rsid wsp:val=&quot;008A2BAD&quot;/&gt;&lt;wsp:rsid wsp:val=&quot;008A4E0C&quot;/&gt;&lt;wsp:rsid wsp:val=&quot;008A5EA0&quot;/&gt;&lt;wsp:rsid wsp:val=&quot;008A7A11&quot;/&gt;&lt;wsp:rsid wsp:val=&quot;008B00CD&quot;/&gt;&lt;wsp:rsid wsp:val=&quot;008B1305&quot;/&gt;&lt;wsp:rsid wsp:val=&quot;008B1EBA&quot;/&gt;&lt;wsp:rsid wsp:val=&quot;008B1EF7&quot;/&gt;&lt;wsp:rsid wsp:val=&quot;008B3B6D&quot;/&gt;&lt;wsp:rsid wsp:val=&quot;008B4248&quot;/&gt;&lt;wsp:rsid wsp:val=&quot;008B5093&quot;/&gt;&lt;wsp:rsid wsp:val=&quot;008B69BA&quot;/&gt;&lt;wsp:rsid wsp:val=&quot;008C073D&quot;/&gt;&lt;wsp:rsid wsp:val=&quot;008C07FF&quot;/&gt;&lt;wsp:rsid wsp:val=&quot;008C0B11&quot;/&gt;&lt;wsp:rsid wsp:val=&quot;008C1620&quot;/&gt;&lt;wsp:rsid wsp:val=&quot;008C1924&quot;/&gt;&lt;wsp:rsid wsp:val=&quot;008C24FA&quot;/&gt;&lt;wsp:rsid wsp:val=&quot;008C4DF8&quot;/&gt;&lt;wsp:rsid wsp:val=&quot;008C5582&quot;/&gt;&lt;wsp:rsid wsp:val=&quot;008C6234&quot;/&gt;&lt;wsp:rsid wsp:val=&quot;008C6A8E&quot;/&gt;&lt;wsp:rsid wsp:val=&quot;008C7BCB&quot;/&gt;&lt;wsp:rsid wsp:val=&quot;008D101B&quot;/&gt;&lt;wsp:rsid wsp:val=&quot;008D187C&quot;/&gt;&lt;wsp:rsid wsp:val=&quot;008D2E57&quot;/&gt;&lt;wsp:rsid wsp:val=&quot;008D5E10&quot;/&gt;&lt;wsp:rsid wsp:val=&quot;008D7938&quot;/&gt;&lt;wsp:rsid wsp:val=&quot;008E0ABE&quot;/&gt;&lt;wsp:rsid wsp:val=&quot;008E1217&quot;/&gt;&lt;wsp:rsid wsp:val=&quot;008E1AF8&quot;/&gt;&lt;wsp:rsid wsp:val=&quot;008E2BC0&quot;/&gt;&lt;wsp:rsid wsp:val=&quot;008E5435&quot;/&gt;&lt;wsp:rsid wsp:val=&quot;008E6CD3&quot;/&gt;&lt;wsp:rsid wsp:val=&quot;008E7BF5&quot;/&gt;&lt;wsp:rsid wsp:val=&quot;008F0677&quot;/&gt;&lt;wsp:rsid wsp:val=&quot;008F1A87&quot;/&gt;&lt;wsp:rsid wsp:val=&quot;008F26BF&quot;/&gt;&lt;wsp:rsid wsp:val=&quot;008F4EB9&quot;/&gt;&lt;wsp:rsid wsp:val=&quot;008F641E&quot;/&gt;&lt;wsp:rsid wsp:val=&quot;008F65D0&quot;/&gt;&lt;wsp:rsid wsp:val=&quot;008F6CB0&quot;/&gt;&lt;wsp:rsid wsp:val=&quot;008F7AE6&quot;/&gt;&lt;wsp:rsid wsp:val=&quot;008F7B49&quot;/&gt;&lt;wsp:rsid wsp:val=&quot;0090159F&quot;/&gt;&lt;wsp:rsid wsp:val=&quot;009015D6&quot;/&gt;&lt;wsp:rsid wsp:val=&quot;009051F8&quot;/&gt;&lt;wsp:rsid wsp:val=&quot;0090639F&quot;/&gt;&lt;wsp:rsid wsp:val=&quot;0090753D&quot;/&gt;&lt;wsp:rsid wsp:val=&quot;00910C0B&quot;/&gt;&lt;wsp:rsid wsp:val=&quot;00911759&quot;/&gt;&lt;wsp:rsid wsp:val=&quot;009122E2&quot;/&gt;&lt;wsp:rsid wsp:val=&quot;0091287E&quot;/&gt;&lt;wsp:rsid wsp:val=&quot;009133DA&quot;/&gt;&lt;wsp:rsid wsp:val=&quot;009145A4&quot;/&gt;&lt;wsp:rsid wsp:val=&quot;00914F88&quot;/&gt;&lt;wsp:rsid wsp:val=&quot;0091575E&quot;/&gt;&lt;wsp:rsid wsp:val=&quot;00915D0F&quot;/&gt;&lt;wsp:rsid wsp:val=&quot;00915E97&quot;/&gt;&lt;wsp:rsid wsp:val=&quot;00917910&quot;/&gt;&lt;wsp:rsid wsp:val=&quot;0092031F&quot;/&gt;&lt;wsp:rsid wsp:val=&quot;00920623&quot;/&gt;&lt;wsp:rsid wsp:val=&quot;009221C3&quot;/&gt;&lt;wsp:rsid wsp:val=&quot;00922607&quot;/&gt;&lt;wsp:rsid wsp:val=&quot;0092304F&quot;/&gt;&lt;wsp:rsid wsp:val=&quot;00924664&quot;/&gt;&lt;wsp:rsid wsp:val=&quot;00924D93&quot;/&gt;&lt;wsp:rsid wsp:val=&quot;00926269&quot;/&gt;&lt;wsp:rsid wsp:val=&quot;009263BE&quot;/&gt;&lt;wsp:rsid wsp:val=&quot;00927500&quot;/&gt;&lt;wsp:rsid wsp:val=&quot;00930E3C&quot;/&gt;&lt;wsp:rsid wsp:val=&quot;0093138D&quot;/&gt;&lt;wsp:rsid wsp:val=&quot;009321B6&quot;/&gt;&lt;wsp:rsid wsp:val=&quot;00932875&quot;/&gt;&lt;wsp:rsid wsp:val=&quot;009336A8&quot;/&gt;&lt;wsp:rsid wsp:val=&quot;009345B8&quot;/&gt;&lt;wsp:rsid wsp:val=&quot;00936BBD&quot;/&gt;&lt;wsp:rsid wsp:val=&quot;00937FF8&quot;/&gt;&lt;wsp:rsid wsp:val=&quot;009404FC&quot;/&gt;&lt;wsp:rsid wsp:val=&quot;00941064&quot;/&gt;&lt;wsp:rsid wsp:val=&quot;00941433&quot;/&gt;&lt;wsp:rsid wsp:val=&quot;00941F8A&quot;/&gt;&lt;wsp:rsid wsp:val=&quot;009460DC&quot;/&gt;&lt;wsp:rsid wsp:val=&quot;00946146&quot;/&gt;&lt;wsp:rsid wsp:val=&quot;00946F0E&quot;/&gt;&lt;wsp:rsid wsp:val=&quot;00947D43&quot;/&gt;&lt;wsp:rsid wsp:val=&quot;00950D62&quot;/&gt;&lt;wsp:rsid wsp:val=&quot;009521ED&quot;/&gt;&lt;wsp:rsid wsp:val=&quot;00954722&quot;/&gt;&lt;wsp:rsid wsp:val=&quot;00962F8D&quot;/&gt;&lt;wsp:rsid wsp:val=&quot;00965517&quot;/&gt;&lt;wsp:rsid wsp:val=&quot;009663C8&quot;/&gt;&lt;wsp:rsid wsp:val=&quot;00967498&quot;/&gt;&lt;wsp:rsid wsp:val=&quot;00972AAE&quot;/&gt;&lt;wsp:rsid wsp:val=&quot;00973F61&quot;/&gt;&lt;wsp:rsid wsp:val=&quot;00974E52&quot;/&gt;&lt;wsp:rsid wsp:val=&quot;00974E62&quot;/&gt;&lt;wsp:rsid wsp:val=&quot;00976A41&quot;/&gt;&lt;wsp:rsid wsp:val=&quot;00976E3F&quot;/&gt;&lt;wsp:rsid wsp:val=&quot;00977D70&quot;/&gt;&lt;wsp:rsid wsp:val=&quot;00980AB1&quot;/&gt;&lt;wsp:rsid wsp:val=&quot;00984099&quot;/&gt;&lt;wsp:rsid wsp:val=&quot;00985CCC&quot;/&gt;&lt;wsp:rsid wsp:val=&quot;00985D0C&quot;/&gt;&lt;wsp:rsid wsp:val=&quot;00987452&quot;/&gt;&lt;wsp:rsid wsp:val=&quot;009875F8&quot;/&gt;&lt;wsp:rsid wsp:val=&quot;00990655&quot;/&gt;&lt;wsp:rsid wsp:val=&quot;0099125A&quot;/&gt;&lt;wsp:rsid wsp:val=&quot;00992965&quot;/&gt;&lt;wsp:rsid wsp:val=&quot;00992CAB&quot;/&gt;&lt;wsp:rsid wsp:val=&quot;00993B38&quot;/&gt;&lt;wsp:rsid wsp:val=&quot;0099410F&quot;/&gt;&lt;wsp:rsid wsp:val=&quot;009959DC&quot;/&gt;&lt;wsp:rsid wsp:val=&quot;0099722A&quot;/&gt;&lt;wsp:rsid wsp:val=&quot;00997987&quot;/&gt;&lt;wsp:rsid wsp:val=&quot;009A0BAD&quot;/&gt;&lt;wsp:rsid wsp:val=&quot;009A48F5&quot;/&gt;&lt;wsp:rsid wsp:val=&quot;009A4E76&quot;/&gt;&lt;wsp:rsid wsp:val=&quot;009A5E73&quot;/&gt;&lt;wsp:rsid wsp:val=&quot;009A6A69&quot;/&gt;&lt;wsp:rsid wsp:val=&quot;009A797C&quot;/&gt;&lt;wsp:rsid wsp:val=&quot;009B1451&quot;/&gt;&lt;wsp:rsid wsp:val=&quot;009B2285&quot;/&gt;&lt;wsp:rsid wsp:val=&quot;009B2D9B&quot;/&gt;&lt;wsp:rsid wsp:val=&quot;009B3390&quot;/&gt;&lt;wsp:rsid wsp:val=&quot;009B3B4D&quot;/&gt;&lt;wsp:rsid wsp:val=&quot;009B3FB0&quot;/&gt;&lt;wsp:rsid wsp:val=&quot;009B6277&quot;/&gt;&lt;wsp:rsid wsp:val=&quot;009B79D3&quot;/&gt;&lt;wsp:rsid wsp:val=&quot;009C06EE&quot;/&gt;&lt;wsp:rsid wsp:val=&quot;009C352F&quot;/&gt;&lt;wsp:rsid wsp:val=&quot;009C494A&quot;/&gt;&lt;wsp:rsid wsp:val=&quot;009C5100&quot;/&gt;&lt;wsp:rsid wsp:val=&quot;009C62A4&quot;/&gt;&lt;wsp:rsid wsp:val=&quot;009D02EB&quot;/&gt;&lt;wsp:rsid wsp:val=&quot;009D1914&quot;/&gt;&lt;wsp:rsid wsp:val=&quot;009D1C28&quot;/&gt;&lt;wsp:rsid wsp:val=&quot;009D26FA&quot;/&gt;&lt;wsp:rsid wsp:val=&quot;009D67F4&quot;/&gt;&lt;wsp:rsid wsp:val=&quot;009D68B3&quot;/&gt;&lt;wsp:rsid wsp:val=&quot;009E2967&quot;/&gt;&lt;wsp:rsid wsp:val=&quot;009E4345&quot;/&gt;&lt;wsp:rsid wsp:val=&quot;009F1D5B&quot;/&gt;&lt;wsp:rsid wsp:val=&quot;009F20A0&quot;/&gt;&lt;wsp:rsid wsp:val=&quot;009F377C&quot;/&gt;&lt;wsp:rsid wsp:val=&quot;009F5EAA&quot;/&gt;&lt;wsp:rsid wsp:val=&quot;009F7524&quot;/&gt;&lt;wsp:rsid wsp:val=&quot;00A0159C&quot;/&gt;&lt;wsp:rsid wsp:val=&quot;00A02422&quot;/&gt;&lt;wsp:rsid wsp:val=&quot;00A04771&quot;/&gt;&lt;wsp:rsid wsp:val=&quot;00A06BA8&quot;/&gt;&lt;wsp:rsid wsp:val=&quot;00A06EB8&quot;/&gt;&lt;wsp:rsid wsp:val=&quot;00A07C93&quot;/&gt;&lt;wsp:rsid wsp:val=&quot;00A10735&quot;/&gt;&lt;wsp:rsid wsp:val=&quot;00A17F6F&quot;/&gt;&lt;wsp:rsid wsp:val=&quot;00A21646&quot;/&gt;&lt;wsp:rsid wsp:val=&quot;00A22CA7&quot;/&gt;&lt;wsp:rsid wsp:val=&quot;00A2649C&quot;/&gt;&lt;wsp:rsid wsp:val=&quot;00A264CA&quot;/&gt;&lt;wsp:rsid wsp:val=&quot;00A26CCB&quot;/&gt;&lt;wsp:rsid wsp:val=&quot;00A30F1C&quot;/&gt;&lt;wsp:rsid wsp:val=&quot;00A3301C&quot;/&gt;&lt;wsp:rsid wsp:val=&quot;00A3376F&quot;/&gt;&lt;wsp:rsid wsp:val=&quot;00A3425F&quot;/&gt;&lt;wsp:rsid wsp:val=&quot;00A3568A&quot;/&gt;&lt;wsp:rsid wsp:val=&quot;00A35E25&quot;/&gt;&lt;wsp:rsid wsp:val=&quot;00A36C4B&quot;/&gt;&lt;wsp:rsid wsp:val=&quot;00A37759&quot;/&gt;&lt;wsp:rsid wsp:val=&quot;00A4120E&quot;/&gt;&lt;wsp:rsid wsp:val=&quot;00A41251&quot;/&gt;&lt;wsp:rsid wsp:val=&quot;00A4182A&quot;/&gt;&lt;wsp:rsid wsp:val=&quot;00A428DB&quot;/&gt;&lt;wsp:rsid wsp:val=&quot;00A43C7E&quot;/&gt;&lt;wsp:rsid wsp:val=&quot;00A43FE4&quot;/&gt;&lt;wsp:rsid wsp:val=&quot;00A4406B&quot;/&gt;&lt;wsp:rsid wsp:val=&quot;00A44100&quot;/&gt;&lt;wsp:rsid wsp:val=&quot;00A443A9&quot;/&gt;&lt;wsp:rsid wsp:val=&quot;00A44A70&quot;/&gt;&lt;wsp:rsid wsp:val=&quot;00A44F59&quot;/&gt;&lt;wsp:rsid wsp:val=&quot;00A458A1&quot;/&gt;&lt;wsp:rsid wsp:val=&quot;00A47412&quot;/&gt;&lt;wsp:rsid wsp:val=&quot;00A5081D&quot;/&gt;&lt;wsp:rsid wsp:val=&quot;00A53F4E&quot;/&gt;&lt;wsp:rsid wsp:val=&quot;00A54743&quot;/&gt;&lt;wsp:rsid wsp:val=&quot;00A54C09&quot;/&gt;&lt;wsp:rsid wsp:val=&quot;00A5587A&quot;/&gt;&lt;wsp:rsid wsp:val=&quot;00A569D1&quot;/&gt;&lt;wsp:rsid wsp:val=&quot;00A57FE7&quot;/&gt;&lt;wsp:rsid wsp:val=&quot;00A61F7D&quot;/&gt;&lt;wsp:rsid wsp:val=&quot;00A632A1&quot;/&gt;&lt;wsp:rsid wsp:val=&quot;00A64959&quot;/&gt;&lt;wsp:rsid wsp:val=&quot;00A65971&quot;/&gt;&lt;wsp:rsid wsp:val=&quot;00A660C3&quot;/&gt;&lt;wsp:rsid wsp:val=&quot;00A6771F&quot;/&gt;&lt;wsp:rsid wsp:val=&quot;00A7070E&quot;/&gt;&lt;wsp:rsid wsp:val=&quot;00A7083B&quot;/&gt;&lt;wsp:rsid wsp:val=&quot;00A737BE&quot;/&gt;&lt;wsp:rsid wsp:val=&quot;00A74EFF&quot;/&gt;&lt;wsp:rsid wsp:val=&quot;00A7594D&quot;/&gt;&lt;wsp:rsid wsp:val=&quot;00A80053&quot;/&gt;&lt;wsp:rsid wsp:val=&quot;00A81B8E&quot;/&gt;&lt;wsp:rsid wsp:val=&quot;00A82AB7&quot;/&gt;&lt;wsp:rsid wsp:val=&quot;00A8378E&quot;/&gt;&lt;wsp:rsid wsp:val=&quot;00A8526A&quot;/&gt;&lt;wsp:rsid wsp:val=&quot;00A8584A&quot;/&gt;&lt;wsp:rsid wsp:val=&quot;00A86294&quot;/&gt;&lt;wsp:rsid wsp:val=&quot;00A87D91&quot;/&gt;&lt;wsp:rsid wsp:val=&quot;00A91F94&quot;/&gt;&lt;wsp:rsid wsp:val=&quot;00A930AE&quot;/&gt;&lt;wsp:rsid wsp:val=&quot;00A93ABD&quot;/&gt;&lt;wsp:rsid wsp:val=&quot;00A9448C&quot;/&gt;&lt;wsp:rsid wsp:val=&quot;00A94A97&quot;/&gt;&lt;wsp:rsid wsp:val=&quot;00A97381&quot;/&gt;&lt;wsp:rsid wsp:val=&quot;00AA2C00&quot;/&gt;&lt;wsp:rsid wsp:val=&quot;00AA510E&quot;/&gt;&lt;wsp:rsid wsp:val=&quot;00AB0654&quot;/&gt;&lt;wsp:rsid wsp:val=&quot;00AB0CEF&quot;/&gt;&lt;wsp:rsid wsp:val=&quot;00AB1D50&quot;/&gt;&lt;wsp:rsid wsp:val=&quot;00AB3D3E&quot;/&gt;&lt;wsp:rsid wsp:val=&quot;00AB5F62&quot;/&gt;&lt;wsp:rsid wsp:val=&quot;00AB6617&quot;/&gt;&lt;wsp:rsid wsp:val=&quot;00AB6F02&quot;/&gt;&lt;wsp:rsid wsp:val=&quot;00AB7D4C&quot;/&gt;&lt;wsp:rsid wsp:val=&quot;00AB7DB9&quot;/&gt;&lt;wsp:rsid wsp:val=&quot;00AC1385&quot;/&gt;&lt;wsp:rsid wsp:val=&quot;00AC2319&quot;/&gt;&lt;wsp:rsid wsp:val=&quot;00AC2626&quot;/&gt;&lt;wsp:rsid wsp:val=&quot;00AC43D9&quot;/&gt;&lt;wsp:rsid wsp:val=&quot;00AC4904&quot;/&gt;&lt;wsp:rsid wsp:val=&quot;00AC6E07&quot;/&gt;&lt;wsp:rsid wsp:val=&quot;00AD07CB&quot;/&gt;&lt;wsp:rsid wsp:val=&quot;00AD27D2&quot;/&gt;&lt;wsp:rsid wsp:val=&quot;00AD2B1D&quot;/&gt;&lt;wsp:rsid wsp:val=&quot;00AD3A2C&quot;/&gt;&lt;wsp:rsid wsp:val=&quot;00AD4402&quot;/&gt;&lt;wsp:rsid wsp:val=&quot;00AD5A74&quot;/&gt;&lt;wsp:rsid wsp:val=&quot;00AD6AE3&quot;/&gt;&lt;wsp:rsid wsp:val=&quot;00AD788E&quot;/&gt;&lt;wsp:rsid wsp:val=&quot;00AE0517&quot;/&gt;&lt;wsp:rsid wsp:val=&quot;00AE0AB8&quot;/&gt;&lt;wsp:rsid wsp:val=&quot;00AE0C75&quot;/&gt;&lt;wsp:rsid wsp:val=&quot;00AE1554&quot;/&gt;&lt;wsp:rsid wsp:val=&quot;00AE1661&quot;/&gt;&lt;wsp:rsid wsp:val=&quot;00AE1738&quot;/&gt;&lt;wsp:rsid wsp:val=&quot;00AE1B9F&quot;/&gt;&lt;wsp:rsid wsp:val=&quot;00AE1E21&quot;/&gt;&lt;wsp:rsid wsp:val=&quot;00AE2823&quot;/&gt;&lt;wsp:rsid wsp:val=&quot;00AE2DD3&quot;/&gt;&lt;wsp:rsid wsp:val=&quot;00AE3101&quot;/&gt;&lt;wsp:rsid wsp:val=&quot;00AE334B&quot;/&gt;&lt;wsp:rsid wsp:val=&quot;00AE35B1&quot;/&gt;&lt;wsp:rsid wsp:val=&quot;00AE5F2A&quot;/&gt;&lt;wsp:rsid wsp:val=&quot;00AE6598&quot;/&gt;&lt;wsp:rsid wsp:val=&quot;00AE77B1&quot;/&gt;&lt;wsp:rsid wsp:val=&quot;00AF159E&quot;/&gt;&lt;wsp:rsid wsp:val=&quot;00AF1CF5&quot;/&gt;&lt;wsp:rsid wsp:val=&quot;00AF2714&quot;/&gt;&lt;wsp:rsid wsp:val=&quot;00AF2FDC&quot;/&gt;&lt;wsp:rsid wsp:val=&quot;00AF3DFC&quot;/&gt;&lt;wsp:rsid wsp:val=&quot;00AF5766&quot;/&gt;&lt;wsp:rsid wsp:val=&quot;00AF5D86&quot;/&gt;&lt;wsp:rsid wsp:val=&quot;00AF6D8E&quot;/&gt;&lt;wsp:rsid wsp:val=&quot;00AF7CE3&quot;/&gt;&lt;wsp:rsid wsp:val=&quot;00B00FDF&quot;/&gt;&lt;wsp:rsid wsp:val=&quot;00B01766&quot;/&gt;&lt;wsp:rsid wsp:val=&quot;00B028EE&quot;/&gt;&lt;wsp:rsid wsp:val=&quot;00B02D13&quot;/&gt;&lt;wsp:rsid wsp:val=&quot;00B033DB&quot;/&gt;&lt;wsp:rsid wsp:val=&quot;00B057C1&quot;/&gt;&lt;wsp:rsid wsp:val=&quot;00B05F0C&quot;/&gt;&lt;wsp:rsid wsp:val=&quot;00B06DFF&quot;/&gt;&lt;wsp:rsid wsp:val=&quot;00B06E76&quot;/&gt;&lt;wsp:rsid wsp:val=&quot;00B07531&quot;/&gt;&lt;wsp:rsid wsp:val=&quot;00B07F5A&quot;/&gt;&lt;wsp:rsid wsp:val=&quot;00B11015&quot;/&gt;&lt;wsp:rsid wsp:val=&quot;00B130F2&quot;/&gt;&lt;wsp:rsid wsp:val=&quot;00B14381&quot;/&gt;&lt;wsp:rsid wsp:val=&quot;00B1604C&quot;/&gt;&lt;wsp:rsid wsp:val=&quot;00B2105B&quot;/&gt;&lt;wsp:rsid wsp:val=&quot;00B21B76&quot;/&gt;&lt;wsp:rsid wsp:val=&quot;00B22381&quot;/&gt;&lt;wsp:rsid wsp:val=&quot;00B33D68&quot;/&gt;&lt;wsp:rsid wsp:val=&quot;00B37191&quot;/&gt;&lt;wsp:rsid wsp:val=&quot;00B401CE&quot;/&gt;&lt;wsp:rsid wsp:val=&quot;00B403FB&quot;/&gt;&lt;wsp:rsid wsp:val=&quot;00B409FA&quot;/&gt;&lt;wsp:rsid wsp:val=&quot;00B42338&quot;/&gt;&lt;wsp:rsid wsp:val=&quot;00B43CE5&quot;/&gt;&lt;wsp:rsid wsp:val=&quot;00B4456D&quot;/&gt;&lt;wsp:rsid wsp:val=&quot;00B44A18&quot;/&gt;&lt;wsp:rsid wsp:val=&quot;00B46198&quot;/&gt;&lt;wsp:rsid wsp:val=&quot;00B4680F&quot;/&gt;&lt;wsp:rsid wsp:val=&quot;00B508D7&quot;/&gt;&lt;wsp:rsid wsp:val=&quot;00B530AB&quot;/&gt;&lt;wsp:rsid wsp:val=&quot;00B5315A&quot;/&gt;&lt;wsp:rsid wsp:val=&quot;00B53834&quot;/&gt;&lt;wsp:rsid wsp:val=&quot;00B549A7&quot;/&gt;&lt;wsp:rsid wsp:val=&quot;00B5562B&quot;/&gt;&lt;wsp:rsid wsp:val=&quot;00B556BE&quot;/&gt;&lt;wsp:rsid wsp:val=&quot;00B573FB&quot;/&gt;&lt;wsp:rsid wsp:val=&quot;00B579B0&quot;/&gt;&lt;wsp:rsid wsp:val=&quot;00B63941&quot;/&gt;&lt;wsp:rsid wsp:val=&quot;00B646B9&quot;/&gt;&lt;wsp:rsid wsp:val=&quot;00B650C1&quot;/&gt;&lt;wsp:rsid wsp:val=&quot;00B65725&quot;/&gt;&lt;wsp:rsid wsp:val=&quot;00B66892&quot;/&gt;&lt;wsp:rsid wsp:val=&quot;00B672F1&quot;/&gt;&lt;wsp:rsid wsp:val=&quot;00B70D2B&quot;/&gt;&lt;wsp:rsid wsp:val=&quot;00B74AA6&quot;/&gt;&lt;wsp:rsid wsp:val=&quot;00B74FF6&quot;/&gt;&lt;wsp:rsid wsp:val=&quot;00B76255&quot;/&gt;&lt;wsp:rsid wsp:val=&quot;00B76A62&quot;/&gt;&lt;wsp:rsid wsp:val=&quot;00B81705&quot;/&gt;&lt;wsp:rsid wsp:val=&quot;00B830A1&quot;/&gt;&lt;wsp:rsid wsp:val=&quot;00B83B6E&quot;/&gt;&lt;wsp:rsid wsp:val=&quot;00B862F1&quot;/&gt;&lt;wsp:rsid wsp:val=&quot;00B9039D&quot;/&gt;&lt;wsp:rsid wsp:val=&quot;00B903CD&quot;/&gt;&lt;wsp:rsid wsp:val=&quot;00B96CE4&quot;/&gt;&lt;wsp:rsid wsp:val=&quot;00BA1CC9&quot;/&gt;&lt;wsp:rsid wsp:val=&quot;00BA2C36&quot;/&gt;&lt;wsp:rsid wsp:val=&quot;00BA3306&quot;/&gt;&lt;wsp:rsid wsp:val=&quot;00BA54F5&quot;/&gt;&lt;wsp:rsid wsp:val=&quot;00BB0DC6&quot;/&gt;&lt;wsp:rsid wsp:val=&quot;00BB23BF&quot;/&gt;&lt;wsp:rsid wsp:val=&quot;00BB350E&quot;/&gt;&lt;wsp:rsid wsp:val=&quot;00BB3ACF&quot;/&gt;&lt;wsp:rsid wsp:val=&quot;00BB3D26&quot;/&gt;&lt;wsp:rsid wsp:val=&quot;00BB4A74&quot;/&gt;&lt;wsp:rsid wsp:val=&quot;00BB4FB8&quot;/&gt;&lt;wsp:rsid wsp:val=&quot;00BB57EA&quot;/&gt;&lt;wsp:rsid wsp:val=&quot;00BB58CF&quot;/&gt;&lt;wsp:rsid wsp:val=&quot;00BB6925&quot;/&gt;&lt;wsp:rsid wsp:val=&quot;00BB739F&quot;/&gt;&lt;wsp:rsid wsp:val=&quot;00BC0344&quot;/&gt;&lt;wsp:rsid wsp:val=&quot;00BC047A&quot;/&gt;&lt;wsp:rsid wsp:val=&quot;00BC2698&quot;/&gt;&lt;wsp:rsid wsp:val=&quot;00BC3308&quot;/&gt;&lt;wsp:rsid wsp:val=&quot;00BC3348&quot;/&gt;&lt;wsp:rsid wsp:val=&quot;00BC3C92&quot;/&gt;&lt;wsp:rsid wsp:val=&quot;00BC430E&quot;/&gt;&lt;wsp:rsid wsp:val=&quot;00BC48B1&quot;/&gt;&lt;wsp:rsid wsp:val=&quot;00BC566D&quot;/&gt;&lt;wsp:rsid wsp:val=&quot;00BC65F5&quot;/&gt;&lt;wsp:rsid wsp:val=&quot;00BC6E21&quot;/&gt;&lt;wsp:rsid wsp:val=&quot;00BC7D03&quot;/&gt;&lt;wsp:rsid wsp:val=&quot;00BC7DF0&quot;/&gt;&lt;wsp:rsid wsp:val=&quot;00BD0CA4&quot;/&gt;&lt;wsp:rsid wsp:val=&quot;00BD17F6&quot;/&gt;&lt;wsp:rsid wsp:val=&quot;00BD2208&quot;/&gt;&lt;wsp:rsid wsp:val=&quot;00BD3DED&quot;/&gt;&lt;wsp:rsid wsp:val=&quot;00BD5790&quot;/&gt;&lt;wsp:rsid wsp:val=&quot;00BD57F1&quot;/&gt;&lt;wsp:rsid wsp:val=&quot;00BD6218&quot;/&gt;&lt;wsp:rsid wsp:val=&quot;00BD7319&quot;/&gt;&lt;wsp:rsid wsp:val=&quot;00BD74D0&quot;/&gt;&lt;wsp:rsid wsp:val=&quot;00BD7C4A&quot;/&gt;&lt;wsp:rsid wsp:val=&quot;00BE1698&quot;/&gt;&lt;wsp:rsid wsp:val=&quot;00BE7787&quot;/&gt;&lt;wsp:rsid wsp:val=&quot;00BE7EB2&quot;/&gt;&lt;wsp:rsid wsp:val=&quot;00BF23CC&quot;/&gt;&lt;wsp:rsid wsp:val=&quot;00BF2DBD&quot;/&gt;&lt;wsp:rsid wsp:val=&quot;00BF34EB&quot;/&gt;&lt;wsp:rsid wsp:val=&quot;00BF557C&quot;/&gt;&lt;wsp:rsid wsp:val=&quot;00BF6F7C&quot;/&gt;&lt;wsp:rsid wsp:val=&quot;00BF797B&quot;/&gt;&lt;wsp:rsid wsp:val=&quot;00BF7BCB&quot;/&gt;&lt;wsp:rsid wsp:val=&quot;00C01695&quot;/&gt;&lt;wsp:rsid wsp:val=&quot;00C0339A&quot;/&gt;&lt;wsp:rsid wsp:val=&quot;00C0428A&quot;/&gt;&lt;wsp:rsid wsp:val=&quot;00C05D34&quot;/&gt;&lt;wsp:rsid wsp:val=&quot;00C06812&quot;/&gt;&lt;wsp:rsid wsp:val=&quot;00C07DDA&quot;/&gt;&lt;wsp:rsid wsp:val=&quot;00C109AD&quot;/&gt;&lt;wsp:rsid wsp:val=&quot;00C11237&quot;/&gt;&lt;wsp:rsid wsp:val=&quot;00C15C28&quot;/&gt;&lt;wsp:rsid wsp:val=&quot;00C1601D&quot;/&gt;&lt;wsp:rsid wsp:val=&quot;00C202AD&quot;/&gt;&lt;wsp:rsid wsp:val=&quot;00C22A57&quot;/&gt;&lt;wsp:rsid wsp:val=&quot;00C24759&quot;/&gt;&lt;wsp:rsid wsp:val=&quot;00C24F00&quot;/&gt;&lt;wsp:rsid wsp:val=&quot;00C25319&quot;/&gt;&lt;wsp:rsid wsp:val=&quot;00C26013&quot;/&gt;&lt;wsp:rsid wsp:val=&quot;00C260DA&quot;/&gt;&lt;wsp:rsid wsp:val=&quot;00C27CFE&quot;/&gt;&lt;wsp:rsid wsp:val=&quot;00C30E19&quot;/&gt;&lt;wsp:rsid wsp:val=&quot;00C3256C&quot;/&gt;&lt;wsp:rsid wsp:val=&quot;00C34E78&quot;/&gt;&lt;wsp:rsid wsp:val=&quot;00C353C0&quot;/&gt;&lt;wsp:rsid wsp:val=&quot;00C40495&quot;/&gt;&lt;wsp:rsid wsp:val=&quot;00C407C4&quot;/&gt;&lt;wsp:rsid wsp:val=&quot;00C41F57&quot;/&gt;&lt;wsp:rsid wsp:val=&quot;00C456D0&quot;/&gt;&lt;wsp:rsid wsp:val=&quot;00C45962&quot;/&gt;&lt;wsp:rsid wsp:val=&quot;00C53115&quot;/&gt;&lt;wsp:rsid wsp:val=&quot;00C5614A&quot;/&gt;&lt;wsp:rsid wsp:val=&quot;00C57E3F&quot;/&gt;&lt;wsp:rsid wsp:val=&quot;00C6055F&quot;/&gt;&lt;wsp:rsid wsp:val=&quot;00C61601&quot;/&gt;&lt;wsp:rsid wsp:val=&quot;00C628C8&quot;/&gt;&lt;wsp:rsid wsp:val=&quot;00C63A61&quot;/&gt;&lt;wsp:rsid wsp:val=&quot;00C6442F&quot;/&gt;&lt;wsp:rsid wsp:val=&quot;00C65378&quot;/&gt;&lt;wsp:rsid wsp:val=&quot;00C666E5&quot;/&gt;&lt;wsp:rsid wsp:val=&quot;00C667D1&quot;/&gt;&lt;wsp:rsid wsp:val=&quot;00C67607&quot;/&gt;&lt;wsp:rsid wsp:val=&quot;00C735CE&quot;/&gt;&lt;wsp:rsid wsp:val=&quot;00C74458&quot;/&gt;&lt;wsp:rsid wsp:val=&quot;00C74E6A&quot;/&gt;&lt;wsp:rsid wsp:val=&quot;00C75720&quot;/&gt;&lt;wsp:rsid wsp:val=&quot;00C75A6F&quot;/&gt;&lt;wsp:rsid wsp:val=&quot;00C75B38&quot;/&gt;&lt;wsp:rsid wsp:val=&quot;00C75F9B&quot;/&gt;&lt;wsp:rsid wsp:val=&quot;00C80291&quot;/&gt;&lt;wsp:rsid wsp:val=&quot;00C81932&quot;/&gt;&lt;wsp:rsid wsp:val=&quot;00C821FE&quot;/&gt;&lt;wsp:rsid wsp:val=&quot;00C83AAB&quot;/&gt;&lt;wsp:rsid wsp:val=&quot;00C86EC0&quot;/&gt;&lt;wsp:rsid wsp:val=&quot;00C87DF1&quot;/&gt;&lt;wsp:rsid wsp:val=&quot;00C90DC9&quot;/&gt;&lt;wsp:rsid wsp:val=&quot;00C91AE3&quot;/&gt;&lt;wsp:rsid wsp:val=&quot;00C91CAD&quot;/&gt;&lt;wsp:rsid wsp:val=&quot;00C954DC&quot;/&gt;&lt;wsp:rsid wsp:val=&quot;00C97847&quot;/&gt;&lt;wsp:rsid wsp:val=&quot;00CA0A40&quot;/&gt;&lt;wsp:rsid wsp:val=&quot;00CA16F6&quot;/&gt;&lt;wsp:rsid wsp:val=&quot;00CA2C5D&quot;/&gt;&lt;wsp:rsid wsp:val=&quot;00CA3B40&quot;/&gt;&lt;wsp:rsid wsp:val=&quot;00CA3B9E&quot;/&gt;&lt;wsp:rsid wsp:val=&quot;00CA4A3F&quot;/&gt;&lt;wsp:rsid wsp:val=&quot;00CA5D02&quot;/&gt;&lt;wsp:rsid wsp:val=&quot;00CA6287&quot;/&gt;&lt;wsp:rsid wsp:val=&quot;00CA7D65&quot;/&gt;&lt;wsp:rsid wsp:val=&quot;00CB1364&quot;/&gt;&lt;wsp:rsid wsp:val=&quot;00CB158D&quot;/&gt;&lt;wsp:rsid wsp:val=&quot;00CB1B1E&quot;/&gt;&lt;wsp:rsid wsp:val=&quot;00CB2EFE&quot;/&gt;&lt;wsp:rsid wsp:val=&quot;00CB45E7&quot;/&gt;&lt;wsp:rsid wsp:val=&quot;00CB4603&quot;/&gt;&lt;wsp:rsid wsp:val=&quot;00CB56BB&quot;/&gt;&lt;wsp:rsid wsp:val=&quot;00CB7FF8&quot;/&gt;&lt;wsp:rsid wsp:val=&quot;00CC273B&quot;/&gt;&lt;wsp:rsid wsp:val=&quot;00CC2F3C&quot;/&gt;&lt;wsp:rsid wsp:val=&quot;00CC47C1&quot;/&gt;&lt;wsp:rsid wsp:val=&quot;00CC552E&quot;/&gt;&lt;wsp:rsid wsp:val=&quot;00CC5646&quot;/&gt;&lt;wsp:rsid wsp:val=&quot;00CD184D&quot;/&gt;&lt;wsp:rsid wsp:val=&quot;00CD2899&quot;/&gt;&lt;wsp:rsid wsp:val=&quot;00CD6223&quot;/&gt;&lt;wsp:rsid wsp:val=&quot;00CD62CA&quot;/&gt;&lt;wsp:rsid wsp:val=&quot;00CE0261&quot;/&gt;&lt;wsp:rsid wsp:val=&quot;00CE06C8&quot;/&gt;&lt;wsp:rsid wsp:val=&quot;00CE0A61&quot;/&gt;&lt;wsp:rsid wsp:val=&quot;00CE5CDF&quot;/&gt;&lt;wsp:rsid wsp:val=&quot;00CE61C2&quot;/&gt;&lt;wsp:rsid wsp:val=&quot;00CF0510&quot;/&gt;&lt;wsp:rsid wsp:val=&quot;00CF0BDE&quot;/&gt;&lt;wsp:rsid wsp:val=&quot;00CF1204&quot;/&gt;&lt;wsp:rsid wsp:val=&quot;00CF2902&quot;/&gt;&lt;wsp:rsid wsp:val=&quot;00CF34B1&quot;/&gt;&lt;wsp:rsid wsp:val=&quot;00CF3BC8&quot;/&gt;&lt;wsp:rsid wsp:val=&quot;00CF4855&quot;/&gt;&lt;wsp:rsid wsp:val=&quot;00CF5254&quot;/&gt;&lt;wsp:rsid wsp:val=&quot;00CF5272&quot;/&gt;&lt;wsp:rsid wsp:val=&quot;00CF6A2F&quot;/&gt;&lt;wsp:rsid wsp:val=&quot;00D00523&quot;/&gt;&lt;wsp:rsid wsp:val=&quot;00D00E90&quot;/&gt;&lt;wsp:rsid wsp:val=&quot;00D01536&quot;/&gt;&lt;wsp:rsid wsp:val=&quot;00D023A7&quot;/&gt;&lt;wsp:rsid wsp:val=&quot;00D03DAE&quot;/&gt;&lt;wsp:rsid wsp:val=&quot;00D04CA4&quot;/&gt;&lt;wsp:rsid wsp:val=&quot;00D056AC&quot;/&gt;&lt;wsp:rsid wsp:val=&quot;00D05E04&quot;/&gt;&lt;wsp:rsid wsp:val=&quot;00D062F8&quot;/&gt;&lt;wsp:rsid wsp:val=&quot;00D07EB6&quot;/&gt;&lt;wsp:rsid wsp:val=&quot;00D10C36&quot;/&gt;&lt;wsp:rsid wsp:val=&quot;00D10F5B&quot;/&gt;&lt;wsp:rsid wsp:val=&quot;00D11272&quot;/&gt;&lt;wsp:rsid wsp:val=&quot;00D11BF9&quot;/&gt;&lt;wsp:rsid wsp:val=&quot;00D1257F&quot;/&gt;&lt;wsp:rsid wsp:val=&quot;00D12CFE&quot;/&gt;&lt;wsp:rsid wsp:val=&quot;00D1418F&quot;/&gt;&lt;wsp:rsid wsp:val=&quot;00D16C4A&quot;/&gt;&lt;wsp:rsid wsp:val=&quot;00D17159&quot;/&gt;&lt;wsp:rsid wsp:val=&quot;00D1790F&quot;/&gt;&lt;wsp:rsid wsp:val=&quot;00D21AA7&quot;/&gt;&lt;wsp:rsid wsp:val=&quot;00D223A7&quot;/&gt;&lt;wsp:rsid wsp:val=&quot;00D22662&quot;/&gt;&lt;wsp:rsid wsp:val=&quot;00D23753&quot;/&gt;&lt;wsp:rsid wsp:val=&quot;00D2406C&quot;/&gt;&lt;wsp:rsid wsp:val=&quot;00D27E3B&quot;/&gt;&lt;wsp:rsid wsp:val=&quot;00D3072F&quot;/&gt;&lt;wsp:rsid wsp:val=&quot;00D31D53&quot;/&gt;&lt;wsp:rsid wsp:val=&quot;00D33631&quot;/&gt;&lt;wsp:rsid wsp:val=&quot;00D3738B&quot;/&gt;&lt;wsp:rsid wsp:val=&quot;00D4169E&quot;/&gt;&lt;wsp:rsid wsp:val=&quot;00D43BE0&quot;/&gt;&lt;wsp:rsid wsp:val=&quot;00D43D79&quot;/&gt;&lt;wsp:rsid wsp:val=&quot;00D44C8E&quot;/&gt;&lt;wsp:rsid wsp:val=&quot;00D458E5&quot;/&gt;&lt;wsp:rsid wsp:val=&quot;00D4599D&quot;/&gt;&lt;wsp:rsid wsp:val=&quot;00D5170A&quot;/&gt;&lt;wsp:rsid wsp:val=&quot;00D526FE&quot;/&gt;&lt;wsp:rsid wsp:val=&quot;00D546AD&quot;/&gt;&lt;wsp:rsid wsp:val=&quot;00D5579E&quot;/&gt;&lt;wsp:rsid wsp:val=&quot;00D56005&quot;/&gt;&lt;wsp:rsid wsp:val=&quot;00D57114&quot;/&gt;&lt;wsp:rsid wsp:val=&quot;00D573B1&quot;/&gt;&lt;wsp:rsid wsp:val=&quot;00D57E28&quot;/&gt;&lt;wsp:rsid wsp:val=&quot;00D57E3E&quot;/&gt;&lt;wsp:rsid wsp:val=&quot;00D6067B&quot;/&gt;&lt;wsp:rsid wsp:val=&quot;00D63BCE&quot;/&gt;&lt;wsp:rsid wsp:val=&quot;00D64594&quot;/&gt;&lt;wsp:rsid wsp:val=&quot;00D64DF4&quot;/&gt;&lt;wsp:rsid wsp:val=&quot;00D709F7&quot;/&gt;&lt;wsp:rsid wsp:val=&quot;00D71237&quot;/&gt;&lt;wsp:rsid wsp:val=&quot;00D7128E&quot;/&gt;&lt;wsp:rsid wsp:val=&quot;00D72CC6&quot;/&gt;&lt;wsp:rsid wsp:val=&quot;00D72DB5&quot;/&gt;&lt;wsp:rsid wsp:val=&quot;00D749BF&quot;/&gt;&lt;wsp:rsid wsp:val=&quot;00D759DD&quot;/&gt;&lt;wsp:rsid wsp:val=&quot;00D763A6&quot;/&gt;&lt;wsp:rsid wsp:val=&quot;00D76F01&quot;/&gt;&lt;wsp:rsid wsp:val=&quot;00D77251&quot;/&gt;&lt;wsp:rsid wsp:val=&quot;00D81838&quot;/&gt;&lt;wsp:rsid wsp:val=&quot;00D81ED1&quot;/&gt;&lt;wsp:rsid wsp:val=&quot;00D821A2&quot;/&gt;&lt;wsp:rsid wsp:val=&quot;00D82715&quot;/&gt;&lt;wsp:rsid wsp:val=&quot;00D827BD&quot;/&gt;&lt;wsp:rsid wsp:val=&quot;00D83CCA&quot;/&gt;&lt;wsp:rsid wsp:val=&quot;00D85101&quot;/&gt;&lt;wsp:rsid wsp:val=&quot;00D85160&quot;/&gt;&lt;wsp:rsid wsp:val=&quot;00D853D4&quot;/&gt;&lt;wsp:rsid wsp:val=&quot;00D86EAE&quot;/&gt;&lt;wsp:rsid wsp:val=&quot;00D87086&quot;/&gt;&lt;wsp:rsid wsp:val=&quot;00D90538&quot;/&gt;&lt;wsp:rsid wsp:val=&quot;00D9106F&quot;/&gt;&lt;wsp:rsid wsp:val=&quot;00D92144&quot;/&gt;&lt;wsp:rsid wsp:val=&quot;00D9229F&quot;/&gt;&lt;wsp:rsid wsp:val=&quot;00D93098&quot;/&gt;&lt;wsp:rsid wsp:val=&quot;00D9535E&quot;/&gt;&lt;wsp:rsid wsp:val=&quot;00D95A15&quot;/&gt;&lt;wsp:rsid wsp:val=&quot;00D96EF1&quot;/&gt;&lt;wsp:rsid wsp:val=&quot;00DA012B&quot;/&gt;&lt;wsp:rsid wsp:val=&quot;00DA0F85&quot;/&gt;&lt;wsp:rsid wsp:val=&quot;00DA110A&quot;/&gt;&lt;wsp:rsid wsp:val=&quot;00DA4AFE&quot;/&gt;&lt;wsp:rsid wsp:val=&quot;00DA5414&quot;/&gt;&lt;wsp:rsid wsp:val=&quot;00DA67BD&quot;/&gt;&lt;wsp:rsid wsp:val=&quot;00DA7ED0&quot;/&gt;&lt;wsp:rsid wsp:val=&quot;00DA7FCD&quot;/&gt;&lt;wsp:rsid wsp:val=&quot;00DA7FEF&quot;/&gt;&lt;wsp:rsid wsp:val=&quot;00DB00BD&quot;/&gt;&lt;wsp:rsid wsp:val=&quot;00DB0691&quot;/&gt;&lt;wsp:rsid wsp:val=&quot;00DB3D60&quot;/&gt;&lt;wsp:rsid wsp:val=&quot;00DB3F8A&quot;/&gt;&lt;wsp:rsid wsp:val=&quot;00DB45A1&quot;/&gt;&lt;wsp:rsid wsp:val=&quot;00DB5776&quot;/&gt;&lt;wsp:rsid wsp:val=&quot;00DB5891&quot;/&gt;&lt;wsp:rsid wsp:val=&quot;00DB63E8&quot;/&gt;&lt;wsp:rsid wsp:val=&quot;00DC26DE&quot;/&gt;&lt;wsp:rsid wsp:val=&quot;00DC27EC&quot;/&gt;&lt;wsp:rsid wsp:val=&quot;00DC2C31&quot;/&gt;&lt;wsp:rsid wsp:val=&quot;00DC388B&quot;/&gt;&lt;wsp:rsid wsp:val=&quot;00DC50EB&quot;/&gt;&lt;wsp:rsid wsp:val=&quot;00DC50F1&quot;/&gt;&lt;wsp:rsid wsp:val=&quot;00DC5E00&quot;/&gt;&lt;wsp:rsid wsp:val=&quot;00DC69ED&quot;/&gt;&lt;wsp:rsid wsp:val=&quot;00DC6B6D&quot;/&gt;&lt;wsp:rsid wsp:val=&quot;00DD09F3&quot;/&gt;&lt;wsp:rsid wsp:val=&quot;00DD177D&quot;/&gt;&lt;wsp:rsid wsp:val=&quot;00DD20C4&quot;/&gt;&lt;wsp:rsid wsp:val=&quot;00DD2638&quot;/&gt;&lt;wsp:rsid wsp:val=&quot;00DD2823&quot;/&gt;&lt;wsp:rsid wsp:val=&quot;00DD3C7F&quot;/&gt;&lt;wsp:rsid wsp:val=&quot;00DD5DEF&quot;/&gt;&lt;wsp:rsid wsp:val=&quot;00DE0246&quot;/&gt;&lt;wsp:rsid wsp:val=&quot;00DE0BA7&quot;/&gt;&lt;wsp:rsid wsp:val=&quot;00DE10A2&quot;/&gt;&lt;wsp:rsid wsp:val=&quot;00DE149A&quot;/&gt;&lt;wsp:rsid wsp:val=&quot;00DE307F&quot;/&gt;&lt;wsp:rsid wsp:val=&quot;00DE30DE&quot;/&gt;&lt;wsp:rsid wsp:val=&quot;00DE3E45&quot;/&gt;&lt;wsp:rsid wsp:val=&quot;00DE43F6&quot;/&gt;&lt;wsp:rsid wsp:val=&quot;00DE4E19&quot;/&gt;&lt;wsp:rsid wsp:val=&quot;00DE4FF0&quot;/&gt;&lt;wsp:rsid wsp:val=&quot;00DE5BBB&quot;/&gt;&lt;wsp:rsid wsp:val=&quot;00DE6260&quot;/&gt;&lt;wsp:rsid wsp:val=&quot;00DE69B9&quot;/&gt;&lt;wsp:rsid wsp:val=&quot;00DE767B&quot;/&gt;&lt;wsp:rsid wsp:val=&quot;00DF13C6&quot;/&gt;&lt;wsp:rsid wsp:val=&quot;00DF2DD0&quot;/&gt;&lt;wsp:rsid wsp:val=&quot;00DF32C8&quot;/&gt;&lt;wsp:rsid wsp:val=&quot;00DF4988&quot;/&gt;&lt;wsp:rsid wsp:val=&quot;00DF5933&quot;/&gt;&lt;wsp:rsid wsp:val=&quot;00DF7A6A&quot;/&gt;&lt;wsp:rsid wsp:val=&quot;00E00768&quot;/&gt;&lt;wsp:rsid wsp:val=&quot;00E02000&quot;/&gt;&lt;wsp:rsid wsp:val=&quot;00E045FB&quot;/&gt;&lt;wsp:rsid wsp:val=&quot;00E04DB7&quot;/&gt;&lt;wsp:rsid wsp:val=&quot;00E0568E&quot;/&gt;&lt;wsp:rsid wsp:val=&quot;00E05B12&quot;/&gt;&lt;wsp:rsid wsp:val=&quot;00E063CA&quot;/&gt;&lt;wsp:rsid wsp:val=&quot;00E078B0&quot;/&gt;&lt;wsp:rsid wsp:val=&quot;00E14006&quot;/&gt;&lt;wsp:rsid wsp:val=&quot;00E14AF9&quot;/&gt;&lt;wsp:rsid wsp:val=&quot;00E14E4B&quot;/&gt;&lt;wsp:rsid wsp:val=&quot;00E150F7&quot;/&gt;&lt;wsp:rsid wsp:val=&quot;00E15D9F&quot;/&gt;&lt;wsp:rsid wsp:val=&quot;00E165B4&quot;/&gt;&lt;wsp:rsid wsp:val=&quot;00E16AF7&quot;/&gt;&lt;wsp:rsid wsp:val=&quot;00E20115&quot;/&gt;&lt;wsp:rsid wsp:val=&quot;00E20254&quot;/&gt;&lt;wsp:rsid wsp:val=&quot;00E20781&quot;/&gt;&lt;wsp:rsid wsp:val=&quot;00E20BFE&quot;/&gt;&lt;wsp:rsid wsp:val=&quot;00E21009&quot;/&gt;&lt;wsp:rsid wsp:val=&quot;00E210D7&quot;/&gt;&lt;wsp:rsid wsp:val=&quot;00E217F0&quot;/&gt;&lt;wsp:rsid wsp:val=&quot;00E21F40&quot;/&gt;&lt;wsp:rsid wsp:val=&quot;00E22372&quot;/&gt;&lt;wsp:rsid wsp:val=&quot;00E2258F&quot;/&gt;&lt;wsp:rsid wsp:val=&quot;00E25C29&quot;/&gt;&lt;wsp:rsid wsp:val=&quot;00E3133B&quot;/&gt;&lt;wsp:rsid wsp:val=&quot;00E31352&quot;/&gt;&lt;wsp:rsid wsp:val=&quot;00E31D70&quot;/&gt;&lt;wsp:rsid wsp:val=&quot;00E349A7&quot;/&gt;&lt;wsp:rsid wsp:val=&quot;00E34E9E&quot;/&gt;&lt;wsp:rsid wsp:val=&quot;00E36A3E&quot;/&gt;&lt;wsp:rsid wsp:val=&quot;00E40674&quot;/&gt;&lt;wsp:rsid wsp:val=&quot;00E424DF&quot;/&gt;&lt;wsp:rsid wsp:val=&quot;00E43102&quot;/&gt;&lt;wsp:rsid wsp:val=&quot;00E458A4&quot;/&gt;&lt;wsp:rsid wsp:val=&quot;00E4664D&quot;/&gt;&lt;wsp:rsid wsp:val=&quot;00E47925&quot;/&gt;&lt;wsp:rsid wsp:val=&quot;00E51D04&quot;/&gt;&lt;wsp:rsid wsp:val=&quot;00E522E0&quot;/&gt;&lt;wsp:rsid wsp:val=&quot;00E55032&quot;/&gt;&lt;wsp:rsid wsp:val=&quot;00E56B32&quot;/&gt;&lt;wsp:rsid wsp:val=&quot;00E5706E&quot;/&gt;&lt;wsp:rsid wsp:val=&quot;00E5793F&quot;/&gt;&lt;wsp:rsid wsp:val=&quot;00E60C2E&quot;/&gt;&lt;wsp:rsid wsp:val=&quot;00E615B2&quot;/&gt;&lt;wsp:rsid wsp:val=&quot;00E6335A&quot;/&gt;&lt;wsp:rsid wsp:val=&quot;00E63A71&quot;/&gt;&lt;wsp:rsid wsp:val=&quot;00E648FE&quot;/&gt;&lt;wsp:rsid wsp:val=&quot;00E64DA7&quot;/&gt;&lt;wsp:rsid wsp:val=&quot;00E65340&quot;/&gt;&lt;wsp:rsid wsp:val=&quot;00E65A24&quot;/&gt;&lt;wsp:rsid wsp:val=&quot;00E66A30&quot;/&gt;&lt;wsp:rsid wsp:val=&quot;00E71B31&quot;/&gt;&lt;wsp:rsid wsp:val=&quot;00E71B78&quot;/&gt;&lt;wsp:rsid wsp:val=&quot;00E721F5&quot;/&gt;&lt;wsp:rsid wsp:val=&quot;00E7454B&quot;/&gt;&lt;wsp:rsid wsp:val=&quot;00E76193&quot;/&gt;&lt;wsp:rsid wsp:val=&quot;00E766B4&quot;/&gt;&lt;wsp:rsid wsp:val=&quot;00E80852&quot;/&gt;&lt;wsp:rsid wsp:val=&quot;00E80C75&quot;/&gt;&lt;wsp:rsid wsp:val=&quot;00E81662&quot;/&gt;&lt;wsp:rsid wsp:val=&quot;00E8180C&quot;/&gt;&lt;wsp:rsid wsp:val=&quot;00E84514&quot;/&gt;&lt;wsp:rsid wsp:val=&quot;00E84B74&quot;/&gt;&lt;wsp:rsid wsp:val=&quot;00E85766&quot;/&gt;&lt;wsp:rsid wsp:val=&quot;00E86DEA&quot;/&gt;&lt;wsp:rsid wsp:val=&quot;00E86E23&quot;/&gt;&lt;wsp:rsid wsp:val=&quot;00E8726E&quot;/&gt;&lt;wsp:rsid wsp:val=&quot;00E903EE&quot;/&gt;&lt;wsp:rsid wsp:val=&quot;00E90958&quot;/&gt;&lt;wsp:rsid wsp:val=&quot;00E931D9&quot;/&gt;&lt;wsp:rsid wsp:val=&quot;00E93614&quot;/&gt;&lt;wsp:rsid wsp:val=&quot;00E93B31&quot;/&gt;&lt;wsp:rsid wsp:val=&quot;00E97375&quot;/&gt;&lt;wsp:rsid wsp:val=&quot;00EA0267&quot;/&gt;&lt;wsp:rsid wsp:val=&quot;00EA26C0&quot;/&gt;&lt;wsp:rsid wsp:val=&quot;00EA2ED4&quot;/&gt;&lt;wsp:rsid wsp:val=&quot;00EA5179&quot;/&gt;&lt;wsp:rsid wsp:val=&quot;00EA7067&quot;/&gt;&lt;wsp:rsid wsp:val=&quot;00EB0FF4&quot;/&gt;&lt;wsp:rsid wsp:val=&quot;00EB2200&quot;/&gt;&lt;wsp:rsid wsp:val=&quot;00EB395D&quot;/&gt;&lt;wsp:rsid wsp:val=&quot;00EB42DA&quot;/&gt;&lt;wsp:rsid wsp:val=&quot;00EB54A3&quot;/&gt;&lt;wsp:rsid wsp:val=&quot;00EB60DD&quot;/&gt;&lt;wsp:rsid wsp:val=&quot;00EB7131&quot;/&gt;&lt;wsp:rsid wsp:val=&quot;00EB72F9&quot;/&gt;&lt;wsp:rsid wsp:val=&quot;00EC099A&quot;/&gt;&lt;wsp:rsid wsp:val=&quot;00EC0C31&quot;/&gt;&lt;wsp:rsid wsp:val=&quot;00EC1D06&quot;/&gt;&lt;wsp:rsid wsp:val=&quot;00EC2E60&quot;/&gt;&lt;wsp:rsid wsp:val=&quot;00EC36B0&quot;/&gt;&lt;wsp:rsid wsp:val=&quot;00EC52AF&quot;/&gt;&lt;wsp:rsid wsp:val=&quot;00EC6236&quot;/&gt;&lt;wsp:rsid wsp:val=&quot;00EC6576&quot;/&gt;&lt;wsp:rsid wsp:val=&quot;00ED0080&quot;/&gt;&lt;wsp:rsid wsp:val=&quot;00ED113F&quot;/&gt;&lt;wsp:rsid wsp:val=&quot;00ED3F81&quot;/&gt;&lt;wsp:rsid wsp:val=&quot;00ED5E13&quot;/&gt;&lt;wsp:rsid wsp:val=&quot;00EE0569&quot;/&gt;&lt;wsp:rsid wsp:val=&quot;00EE4BB4&quot;/&gt;&lt;wsp:rsid wsp:val=&quot;00EF0CA8&quot;/&gt;&lt;wsp:rsid wsp:val=&quot;00EF2257&quot;/&gt;&lt;wsp:rsid wsp:val=&quot;00EF2B33&quot;/&gt;&lt;wsp:rsid wsp:val=&quot;00EF3546&quot;/&gt;&lt;wsp:rsid wsp:val=&quot;00EF43FE&quot;/&gt;&lt;wsp:rsid wsp:val=&quot;00EF4B6E&quot;/&gt;&lt;wsp:rsid wsp:val=&quot;00EF576C&quot;/&gt;&lt;wsp:rsid wsp:val=&quot;00EF60AF&quot;/&gt;&lt;wsp:rsid wsp:val=&quot;00EF7B39&quot;/&gt;&lt;wsp:rsid wsp:val=&quot;00F006EC&quot;/&gt;&lt;wsp:rsid wsp:val=&quot;00F0252B&quot;/&gt;&lt;wsp:rsid wsp:val=&quot;00F036F1&quot;/&gt;&lt;wsp:rsid wsp:val=&quot;00F056FC&quot;/&gt;&lt;wsp:rsid wsp:val=&quot;00F05D34&quot;/&gt;&lt;wsp:rsid wsp:val=&quot;00F109B3&quot;/&gt;&lt;wsp:rsid wsp:val=&quot;00F11DB9&quot;/&gt;&lt;wsp:rsid wsp:val=&quot;00F131AA&quot;/&gt;&lt;wsp:rsid wsp:val=&quot;00F13471&quot;/&gt;&lt;wsp:rsid wsp:val=&quot;00F13A00&quot;/&gt;&lt;wsp:rsid wsp:val=&quot;00F1466A&quot;/&gt;&lt;wsp:rsid wsp:val=&quot;00F14BE2&quot;/&gt;&lt;wsp:rsid wsp:val=&quot;00F15481&quot;/&gt;&lt;wsp:rsid wsp:val=&quot;00F15712&quot;/&gt;&lt;wsp:rsid wsp:val=&quot;00F15B92&quot;/&gt;&lt;wsp:rsid wsp:val=&quot;00F1652F&quot;/&gt;&lt;wsp:rsid wsp:val=&quot;00F20EB7&quot;/&gt;&lt;wsp:rsid wsp:val=&quot;00F2168B&quot;/&gt;&lt;wsp:rsid wsp:val=&quot;00F21A77&quot;/&gt;&lt;wsp:rsid wsp:val=&quot;00F22153&quot;/&gt;&lt;wsp:rsid wsp:val=&quot;00F2293C&quot;/&gt;&lt;wsp:rsid wsp:val=&quot;00F24202&quot;/&gt;&lt;wsp:rsid wsp:val=&quot;00F25B92&quot;/&gt;&lt;wsp:rsid wsp:val=&quot;00F25EFC&quot;/&gt;&lt;wsp:rsid wsp:val=&quot;00F26B03&quot;/&gt;&lt;wsp:rsid wsp:val=&quot;00F26DC2&quot;/&gt;&lt;wsp:rsid wsp:val=&quot;00F32109&quot;/&gt;&lt;wsp:rsid wsp:val=&quot;00F3393E&quot;/&gt;&lt;wsp:rsid wsp:val=&quot;00F361C6&quot;/&gt;&lt;wsp:rsid wsp:val=&quot;00F3780E&quot;/&gt;&lt;wsp:rsid wsp:val=&quot;00F40E0E&quot;/&gt;&lt;wsp:rsid wsp:val=&quot;00F424DE&quot;/&gt;&lt;wsp:rsid wsp:val=&quot;00F42DAB&quot;/&gt;&lt;wsp:rsid wsp:val=&quot;00F42E64&quot;/&gt;&lt;wsp:rsid wsp:val=&quot;00F44719&quot;/&gt;&lt;wsp:rsid wsp:val=&quot;00F47A51&quot;/&gt;&lt;wsp:rsid wsp:val=&quot;00F47B98&quot;/&gt;&lt;wsp:rsid wsp:val=&quot;00F5072A&quot;/&gt;&lt;wsp:rsid wsp:val=&quot;00F50A5E&quot;/&gt;&lt;wsp:rsid wsp:val=&quot;00F51D5A&quot;/&gt;&lt;wsp:rsid wsp:val=&quot;00F540C0&quot;/&gt;&lt;wsp:rsid wsp:val=&quot;00F54E22&quot;/&gt;&lt;wsp:rsid wsp:val=&quot;00F6126D&quot;/&gt;&lt;wsp:rsid wsp:val=&quot;00F61A4B&quot;/&gt;&lt;wsp:rsid wsp:val=&quot;00F635CE&quot;/&gt;&lt;wsp:rsid wsp:val=&quot;00F63713&quot;/&gt;&lt;wsp:rsid wsp:val=&quot;00F655B2&quot;/&gt;&lt;wsp:rsid wsp:val=&quot;00F70FCD&quot;/&gt;&lt;wsp:rsid wsp:val=&quot;00F72CE6&quot;/&gt;&lt;wsp:rsid wsp:val=&quot;00F755F4&quot;/&gt;&lt;wsp:rsid wsp:val=&quot;00F75A28&quot;/&gt;&lt;wsp:rsid wsp:val=&quot;00F761B1&quot;/&gt;&lt;wsp:rsid wsp:val=&quot;00F762FD&quot;/&gt;&lt;wsp:rsid wsp:val=&quot;00F77547&quot;/&gt;&lt;wsp:rsid wsp:val=&quot;00F81D6F&quot;/&gt;&lt;wsp:rsid wsp:val=&quot;00F83C5C&quot;/&gt;&lt;wsp:rsid wsp:val=&quot;00F867C1&quot;/&gt;&lt;wsp:rsid wsp:val=&quot;00F87ADD&quot;/&gt;&lt;wsp:rsid wsp:val=&quot;00F87CDF&quot;/&gt;&lt;wsp:rsid wsp:val=&quot;00F910C5&quot;/&gt;&lt;wsp:rsid wsp:val=&quot;00F91795&quot;/&gt;&lt;wsp:rsid wsp:val=&quot;00F91DE6&quot;/&gt;&lt;wsp:rsid wsp:val=&quot;00F922CA&quot;/&gt;&lt;wsp:rsid wsp:val=&quot;00F92D31&quot;/&gt;&lt;wsp:rsid wsp:val=&quot;00F92D43&quot;/&gt;&lt;wsp:rsid wsp:val=&quot;00F9373C&quot;/&gt;&lt;wsp:rsid wsp:val=&quot;00F94D66&quot;/&gt;&lt;wsp:rsid wsp:val=&quot;00F95794&quot;/&gt;&lt;wsp:rsid wsp:val=&quot;00F961EE&quot;/&gt;&lt;wsp:rsid wsp:val=&quot;00FA1EB9&quot;/&gt;&lt;wsp:rsid wsp:val=&quot;00FA347B&quot;/&gt;&lt;wsp:rsid wsp:val=&quot;00FA4618&quot;/&gt;&lt;wsp:rsid wsp:val=&quot;00FA5657&quot;/&gt;&lt;wsp:rsid wsp:val=&quot;00FA6421&quot;/&gt;&lt;wsp:rsid wsp:val=&quot;00FB0C31&quot;/&gt;&lt;wsp:rsid wsp:val=&quot;00FB46CD&quot;/&gt;&lt;wsp:rsid wsp:val=&quot;00FB5023&quot;/&gt;&lt;wsp:rsid wsp:val=&quot;00FB5226&quot;/&gt;&lt;wsp:rsid wsp:val=&quot;00FB76BF&quot;/&gt;&lt;wsp:rsid wsp:val=&quot;00FB7ED2&quot;/&gt;&lt;wsp:rsid wsp:val=&quot;00FC1599&quot;/&gt;&lt;wsp:rsid wsp:val=&quot;00FC2ADD&quot;/&gt;&lt;wsp:rsid wsp:val=&quot;00FC364A&quot;/&gt;&lt;wsp:rsid wsp:val=&quot;00FC36E7&quot;/&gt;&lt;wsp:rsid wsp:val=&quot;00FC41A5&quot;/&gt;&lt;wsp:rsid wsp:val=&quot;00FC42EF&quot;/&gt;&lt;wsp:rsid wsp:val=&quot;00FC65EF&quot;/&gt;&lt;wsp:rsid wsp:val=&quot;00FC74D6&quot;/&gt;&lt;wsp:rsid wsp:val=&quot;00FD035C&quot;/&gt;&lt;wsp:rsid wsp:val=&quot;00FD1F0C&quot;/&gt;&lt;wsp:rsid wsp:val=&quot;00FD315C&quot;/&gt;&lt;wsp:rsid wsp:val=&quot;00FD384C&quot;/&gt;&lt;wsp:rsid wsp:val=&quot;00FD4A6A&quot;/&gt;&lt;wsp:rsid wsp:val=&quot;00FE0A10&quot;/&gt;&lt;wsp:rsid wsp:val=&quot;00FE2120&quot;/&gt;&lt;wsp:rsid wsp:val=&quot;00FE3369&quot;/&gt;&lt;wsp:rsid wsp:val=&quot;00FE3D73&quot;/&gt;&lt;wsp:rsid wsp:val=&quot;00FE40AE&quot;/&gt;&lt;wsp:rsid wsp:val=&quot;00FE6B1E&quot;/&gt;&lt;wsp:rsid wsp:val=&quot;00FE6C6D&quot;/&gt;&lt;wsp:rsid wsp:val=&quot;00FE6D79&quot;/&gt;&lt;wsp:rsid wsp:val=&quot;00FE6E32&quot;/&gt;&lt;wsp:rsid wsp:val=&quot;00FE6ECE&quot;/&gt;&lt;wsp:rsid wsp:val=&quot;00FF1175&quot;/&gt;&lt;wsp:rsid wsp:val=&quot;00FF1E60&quot;/&gt;&lt;wsp:rsid wsp:val=&quot;00FF23AF&quot;/&gt;&lt;wsp:rsid wsp:val=&quot;00FF3012&quot;/&gt;&lt;wsp:rsid wsp:val=&quot;00FF51AC&quot;/&gt;&lt;wsp:rsid wsp:val=&quot;00FF5398&quot;/&gt;&lt;wsp:rsid wsp:val=&quot;00FF563F&quot;/&gt;&lt;wsp:rsid wsp:val=&quot;00FF6698&quot;/&gt;&lt;wsp:rsid wsp:val=&quot;00FF7AC9&quot;/&gt;&lt;wsp:rsid wsp:val=&quot;00FF7CAB&quot;/&gt;&lt;wsp:rsid wsp:val=&quot;01A9638C&quot;/&gt;&lt;wsp:rsid wsp:val=&quot;01F85371&quot;/&gt;&lt;wsp:rsid wsp:val=&quot;020D6D1E&quot;/&gt;&lt;wsp:rsid wsp:val=&quot;027D63FC&quot;/&gt;&lt;wsp:rsid wsp:val=&quot;02941C3C&quot;/&gt;&lt;wsp:rsid wsp:val=&quot;029A40EF&quot;/&gt;&lt;wsp:rsid wsp:val=&quot;02B81F83&quot;/&gt;&lt;wsp:rsid wsp:val=&quot;03491A7A&quot;/&gt;&lt;wsp:rsid wsp:val=&quot;0371482E&quot;/&gt;&lt;wsp:rsid wsp:val=&quot;037309ED&quot;/&gt;&lt;wsp:rsid wsp:val=&quot;039C4E7A&quot;/&gt;&lt;wsp:rsid wsp:val=&quot;03E61ABE&quot;/&gt;&lt;wsp:rsid wsp:val=&quot;04046254&quot;/&gt;&lt;wsp:rsid wsp:val=&quot;042E0AC2&quot;/&gt;&lt;wsp:rsid wsp:val=&quot;044B5074&quot;/&gt;&lt;wsp:rsid wsp:val=&quot;046B05C8&quot;/&gt;&lt;wsp:rsid wsp:val=&quot;048C534E&quot;/&gt;&lt;wsp:rsid wsp:val=&quot;04B23C93&quot;/&gt;&lt;wsp:rsid wsp:val=&quot;04E0662D&quot;/&gt;&lt;wsp:rsid wsp:val=&quot;05234CEB&quot;/&gt;&lt;wsp:rsid wsp:val=&quot;0558310B&quot;/&gt;&lt;wsp:rsid wsp:val=&quot;05903D2C&quot;/&gt;&lt;wsp:rsid wsp:val=&quot;059C32B2&quot;/&gt;&lt;wsp:rsid wsp:val=&quot;059E3EB2&quot;/&gt;&lt;wsp:rsid wsp:val=&quot;05C029BC&quot;/&gt;&lt;wsp:rsid wsp:val=&quot;05D67251&quot;/&gt;&lt;wsp:rsid wsp:val=&quot;05F67670&quot;/&gt;&lt;wsp:rsid wsp:val=&quot;060937A2&quot;/&gt;&lt;wsp:rsid wsp:val=&quot;060F1745&quot;/&gt;&lt;wsp:rsid wsp:val=&quot;06243C1A&quot;/&gt;&lt;wsp:rsid wsp:val=&quot;06A44F74&quot;/&gt;&lt;wsp:rsid wsp:val=&quot;06D97670&quot;/&gt;&lt;wsp:rsid wsp:val=&quot;06E83ABD&quot;/&gt;&lt;wsp:rsid wsp:val=&quot;06F818AD&quot;/&gt;&lt;wsp:rsid wsp:val=&quot;073A3FDE&quot;/&gt;&lt;wsp:rsid wsp:val=&quot;07412932&quot;/&gt;&lt;wsp:rsid wsp:val=&quot;07454CF4&quot;/&gt;&lt;wsp:rsid wsp:val=&quot;07B808DA&quot;/&gt;&lt;wsp:rsid wsp:val=&quot;07C20B3C&quot;/&gt;&lt;wsp:rsid wsp:val=&quot;07FF672F&quot;/&gt;&lt;wsp:rsid wsp:val=&quot;08181DD2&quot;/&gt;&lt;wsp:rsid wsp:val=&quot;08302DB4&quot;/&gt;&lt;wsp:rsid wsp:val=&quot;08362EFF&quot;/&gt;&lt;wsp:rsid wsp:val=&quot;08E94ACB&quot;/&gt;&lt;wsp:rsid wsp:val=&quot;08F67FAD&quot;/&gt;&lt;wsp:rsid wsp:val=&quot;09933083&quot;/&gt;&lt;wsp:rsid wsp:val=&quot;0998586E&quot;/&gt;&lt;wsp:rsid wsp:val=&quot;0A257C72&quot;/&gt;&lt;wsp:rsid wsp:val=&quot;0A4A4A0C&quot;/&gt;&lt;wsp:rsid wsp:val=&quot;0AB147C7&quot;/&gt;&lt;wsp:rsid wsp:val=&quot;0ABD41C7&quot;/&gt;&lt;wsp:rsid wsp:val=&quot;0AE54EA6&quot;/&gt;&lt;wsp:rsid wsp:val=&quot;0B1B780F&quot;/&gt;&lt;wsp:rsid wsp:val=&quot;0B1D79F7&quot;/&gt;&lt;wsp:rsid wsp:val=&quot;0B671A27&quot;/&gt;&lt;wsp:rsid wsp:val=&quot;0B940897&quot;/&gt;&lt;wsp:rsid wsp:val=&quot;0BA4683A&quot;/&gt;&lt;wsp:rsid wsp:val=&quot;0BCD09CC&quot;/&gt;&lt;wsp:rsid wsp:val=&quot;0BCE7110&quot;/&gt;&lt;wsp:rsid wsp:val=&quot;0BDB6BA1&quot;/&gt;&lt;wsp:rsid wsp:val=&quot;0BDC1082&quot;/&gt;&lt;wsp:rsid wsp:val=&quot;0C43590E&quot;/&gt;&lt;wsp:rsid wsp:val=&quot;0C480449&quot;/&gt;&lt;wsp:rsid wsp:val=&quot;0CA73B71&quot;/&gt;&lt;wsp:rsid wsp:val=&quot;0CA75843&quot;/&gt;&lt;wsp:rsid wsp:val=&quot;0CB23D1F&quot;/&gt;&lt;wsp:rsid wsp:val=&quot;0CC043DF&quot;/&gt;&lt;wsp:rsid wsp:val=&quot;0CD47EE7&quot;/&gt;&lt;wsp:rsid wsp:val=&quot;0CEB3052&quot;/&gt;&lt;wsp:rsid wsp:val=&quot;0CFA171A&quot;/&gt;&lt;wsp:rsid wsp:val=&quot;0CFD21BC&quot;/&gt;&lt;wsp:rsid wsp:val=&quot;0D00555A&quot;/&gt;&lt;wsp:rsid wsp:val=&quot;0D5832D9&quot;/&gt;&lt;wsp:rsid wsp:val=&quot;0DF40578&quot;/&gt;&lt;wsp:rsid wsp:val=&quot;0DF55B6D&quot;/&gt;&lt;wsp:rsid wsp:val=&quot;0E780BD3&quot;/&gt;&lt;wsp:rsid wsp:val=&quot;0ED927DA&quot;/&gt;&lt;wsp:rsid wsp:val=&quot;0F103A6F&quot;/&gt;&lt;wsp:rsid wsp:val=&quot;0F1A0988&quot;/&gt;&lt;wsp:rsid wsp:val=&quot;0F2969B2&quot;/&gt;&lt;wsp:rsid wsp:val=&quot;0F8B1C35&quot;/&gt;&lt;wsp:rsid wsp:val=&quot;10653ED8&quot;/&gt;&lt;wsp:rsid wsp:val=&quot;106F5F73&quot;/&gt;&lt;wsp:rsid wsp:val=&quot;107144EC&quot;/&gt;&lt;wsp:rsid wsp:val=&quot;10C262E9&quot;/&gt;&lt;wsp:rsid wsp:val=&quot;10FF4A36&quot;/&gt;&lt;wsp:rsid wsp:val=&quot;117634A0&quot;/&gt;&lt;wsp:rsid wsp:val=&quot;1180157B&quot;/&gt;&lt;wsp:rsid wsp:val=&quot;11D40D67&quot;/&gt;&lt;wsp:rsid wsp:val=&quot;11DC1EEF&quot;/&gt;&lt;wsp:rsid wsp:val=&quot;12526757&quot;/&gt;&lt;wsp:rsid wsp:val=&quot;126877AA&quot;/&gt;&lt;wsp:rsid wsp:val=&quot;126E1A7A&quot;/&gt;&lt;wsp:rsid wsp:val=&quot;1271309A&quot;/&gt;&lt;wsp:rsid wsp:val=&quot;128C50B6&quot;/&gt;&lt;wsp:rsid wsp:val=&quot;12B37322&quot;/&gt;&lt;wsp:rsid wsp:val=&quot;12C02BEE&quot;/&gt;&lt;wsp:rsid wsp:val=&quot;12F23DF2&quot;/&gt;&lt;wsp:rsid wsp:val=&quot;12F41C6C&quot;/&gt;&lt;wsp:rsid wsp:val=&quot;130F4F30&quot;/&gt;&lt;wsp:rsid wsp:val=&quot;132317A5&quot;/&gt;&lt;wsp:rsid wsp:val=&quot;132450D4&quot;/&gt;&lt;wsp:rsid wsp:val=&quot;134127BA&quot;/&gt;&lt;wsp:rsid wsp:val=&quot;13494A88&quot;/&gt;&lt;wsp:rsid wsp:val=&quot;136D32DC&quot;/&gt;&lt;wsp:rsid wsp:val=&quot;136D692E&quot;/&gt;&lt;wsp:rsid wsp:val=&quot;13C31D0C&quot;/&gt;&lt;wsp:rsid wsp:val=&quot;141F7F3D&quot;/&gt;&lt;wsp:rsid wsp:val=&quot;14362780&quot;/&gt;&lt;wsp:rsid wsp:val=&quot;145506B6&quot;/&gt;&lt;wsp:rsid wsp:val=&quot;14B77509&quot;/&gt;&lt;wsp:rsid wsp:val=&quot;14DC5ACF&quot;/&gt;&lt;wsp:rsid wsp:val=&quot;155E77AE&quot;/&gt;&lt;wsp:rsid wsp:val=&quot;15B15E77&quot;/&gt;&lt;wsp:rsid wsp:val=&quot;15B51383&quot;/&gt;&lt;wsp:rsid wsp:val=&quot;15D2459B&quot;/&gt;&lt;wsp:rsid wsp:val=&quot;16086ED5&quot;/&gt;&lt;wsp:rsid wsp:val=&quot;16506B76&quot;/&gt;&lt;wsp:rsid wsp:val=&quot;16A828BB&quot;/&gt;&lt;wsp:rsid wsp:val=&quot;173B26F1&quot;/&gt;&lt;wsp:rsid wsp:val=&quot;176255CF&quot;/&gt;&lt;wsp:rsid wsp:val=&quot;17921C4A&quot;/&gt;&lt;wsp:rsid wsp:val=&quot;17AA38EE&quot;/&gt;&lt;wsp:rsid wsp:val=&quot;17AE6AF4&quot;/&gt;&lt;wsp:rsid wsp:val=&quot;18316932&quot;/&gt;&lt;wsp:rsid wsp:val=&quot;1845122F&quot;/&gt;&lt;wsp:rsid wsp:val=&quot;18680999&quot;/&gt;&lt;wsp:rsid wsp:val=&quot;18A1150B&quot;/&gt;&lt;wsp:rsid wsp:val=&quot;18C4594A&quot;/&gt;&lt;wsp:rsid wsp:val=&quot;18D407E2&quot;/&gt;&lt;wsp:rsid wsp:val=&quot;18E900FC&quot;/&gt;&lt;wsp:rsid wsp:val=&quot;194525D6&quot;/&gt;&lt;wsp:rsid wsp:val=&quot;19551599&quot;/&gt;&lt;wsp:rsid wsp:val=&quot;196B266A&quot;/&gt;&lt;wsp:rsid wsp:val=&quot;19724740&quot;/&gt;&lt;wsp:rsid wsp:val=&quot;19747BBC&quot;/&gt;&lt;wsp:rsid wsp:val=&quot;19901FF4&quot;/&gt;&lt;wsp:rsid wsp:val=&quot;19F81C79&quot;/&gt;&lt;wsp:rsid wsp:val=&quot;1A1518CF&quot;/&gt;&lt;wsp:rsid wsp:val=&quot;1ACB37C8&quot;/&gt;&lt;wsp:rsid wsp:val=&quot;1AD50A1E&quot;/&gt;&lt;wsp:rsid wsp:val=&quot;1B3F15DF&quot;/&gt;&lt;wsp:rsid wsp:val=&quot;1B811131&quot;/&gt;&lt;wsp:rsid wsp:val=&quot;1B8E73D9&quot;/&gt;&lt;wsp:rsid wsp:val=&quot;1B982306&quot;/&gt;&lt;wsp:rsid wsp:val=&quot;1BFE5956&quot;/&gt;&lt;wsp:rsid wsp:val=&quot;1C29312F&quot;/&gt;&lt;wsp:rsid wsp:val=&quot;1CDC62A6&quot;/&gt;&lt;wsp:rsid wsp:val=&quot;1D4A291B&quot;/&gt;&lt;wsp:rsid wsp:val=&quot;1D4E0F5F&quot;/&gt;&lt;wsp:rsid wsp:val=&quot;1D712ECF&quot;/&gt;&lt;wsp:rsid wsp:val=&quot;1D801D7C&quot;/&gt;&lt;wsp:rsid wsp:val=&quot;1D804FA5&quot;/&gt;&lt;wsp:rsid wsp:val=&quot;1DD828FE&quot;/&gt;&lt;wsp:rsid wsp:val=&quot;1DE6154C&quot;/&gt;&lt;wsp:rsid wsp:val=&quot;1EDF64EB&quot;/&gt;&lt;wsp:rsid wsp:val=&quot;1F7900B1&quot;/&gt;&lt;wsp:rsid wsp:val=&quot;1F954039&quot;/&gt;&lt;wsp:rsid wsp:val=&quot;1FDB53EB&quot;/&gt;&lt;wsp:rsid wsp:val=&quot;1FEE3723&quot;/&gt;&lt;wsp:rsid wsp:val=&quot;20606F4A&quot;/&gt;&lt;wsp:rsid wsp:val=&quot;208C769A&quot;/&gt;&lt;wsp:rsid wsp:val=&quot;20A9595F&quot;/&gt;&lt;wsp:rsid wsp:val=&quot;214B445B&quot;/&gt;&lt;wsp:rsid wsp:val=&quot;21582D22&quot;/&gt;&lt;wsp:rsid wsp:val=&quot;21B270E4&quot;/&gt;&lt;wsp:rsid wsp:val=&quot;220001CD&quot;/&gt;&lt;wsp:rsid wsp:val=&quot;2204542F&quot;/&gt;&lt;wsp:rsid wsp:val=&quot;221631F1&quot;/&gt;&lt;wsp:rsid wsp:val=&quot;227667D1&quot;/&gt;&lt;wsp:rsid wsp:val=&quot;23CC7181&quot;/&gt;&lt;wsp:rsid wsp:val=&quot;23D55986&quot;/&gt;&lt;wsp:rsid wsp:val=&quot;24023566&quot;/&gt;&lt;wsp:rsid wsp:val=&quot;24822315&quot;/&gt;&lt;wsp:rsid wsp:val=&quot;24866577&quot;/&gt;&lt;wsp:rsid wsp:val=&quot;248C3975&quot;/&gt;&lt;wsp:rsid wsp:val=&quot;249E26AC&quot;/&gt;&lt;wsp:rsid wsp:val=&quot;24CA406C&quot;/&gt;&lt;wsp:rsid wsp:val=&quot;251D1FB5&quot;/&gt;&lt;wsp:rsid wsp:val=&quot;25741DEA&quot;/&gt;&lt;wsp:rsid wsp:val=&quot;25922AC5&quot;/&gt;&lt;wsp:rsid wsp:val=&quot;26064A97&quot;/&gt;&lt;wsp:rsid wsp:val=&quot;26405B2B&quot;/&gt;&lt;wsp:rsid wsp:val=&quot;264C5406&quot;/&gt;&lt;wsp:rsid wsp:val=&quot;266E3399&quot;/&gt;&lt;wsp:rsid wsp:val=&quot;26B87C20&quot;/&gt;&lt;wsp:rsid wsp:val=&quot;26E07FE7&quot;/&gt;&lt;wsp:rsid wsp:val=&quot;27565261&quot;/&gt;&lt;wsp:rsid wsp:val=&quot;27A75CDF&quot;/&gt;&lt;wsp:rsid wsp:val=&quot;27B16C2F&quot;/&gt;&lt;wsp:rsid wsp:val=&quot;27B37F34&quot;/&gt;&lt;wsp:rsid wsp:val=&quot;27C03E4F&quot;/&gt;&lt;wsp:rsid wsp:val=&quot;27CE323F&quot;/&gt;&lt;wsp:rsid wsp:val=&quot;27CF4354&quot;/&gt;&lt;wsp:rsid wsp:val=&quot;27EC6B73&quot;/&gt;&lt;wsp:rsid wsp:val=&quot;285A39FC&quot;/&gt;&lt;wsp:rsid wsp:val=&quot;285E62F2&quot;/&gt;&lt;wsp:rsid wsp:val=&quot;28670081&quot;/&gt;&lt;wsp:rsid wsp:val=&quot;288A702C&quot;/&gt;&lt;wsp:rsid wsp:val=&quot;28B018BB&quot;/&gt;&lt;wsp:rsid wsp:val=&quot;28E62B8A&quot;/&gt;&lt;wsp:rsid wsp:val=&quot;28F10C29&quot;/&gt;&lt;wsp:rsid wsp:val=&quot;292A4B58&quot;/&gt;&lt;wsp:rsid wsp:val=&quot;296443A6&quot;/&gt;&lt;wsp:rsid wsp:val=&quot;298C1EAF&quot;/&gt;&lt;wsp:rsid wsp:val=&quot;29C55E80&quot;/&gt;&lt;wsp:rsid wsp:val=&quot;29D4729A&quot;/&gt;&lt;wsp:rsid wsp:val=&quot;29E36D37&quot;/&gt;&lt;wsp:rsid wsp:val=&quot;2A3C69C8&quot;/&gt;&lt;wsp:rsid wsp:val=&quot;2A5C6DFA&quot;/&gt;&lt;wsp:rsid wsp:val=&quot;2A7F371E&quot;/&gt;&lt;wsp:rsid wsp:val=&quot;2AF27104&quot;/&gt;&lt;wsp:rsid wsp:val=&quot;2B283A45&quot;/&gt;&lt;wsp:rsid wsp:val=&quot;2B995893&quot;/&gt;&lt;wsp:rsid wsp:val=&quot;2BD463F1&quot;/&gt;&lt;wsp:rsid wsp:val=&quot;2C1B2F79&quot;/&gt;&lt;wsp:rsid wsp:val=&quot;2C6278CF&quot;/&gt;&lt;wsp:rsid wsp:val=&quot;2C7D34EA&quot;/&gt;&lt;wsp:rsid wsp:val=&quot;2C9654BA&quot;/&gt;&lt;wsp:rsid wsp:val=&quot;2CDE3748&quot;/&gt;&lt;wsp:rsid wsp:val=&quot;2D0749ED&quot;/&gt;&lt;wsp:rsid wsp:val=&quot;2D3B266C&quot;/&gt;&lt;wsp:rsid wsp:val=&quot;2D627E7F&quot;/&gt;&lt;wsp:rsid wsp:val=&quot;2DA470D2&quot;/&gt;&lt;wsp:rsid wsp:val=&quot;2DB548EF&quot;/&gt;&lt;wsp:rsid wsp:val=&quot;2DC724A5&quot;/&gt;&lt;wsp:rsid wsp:val=&quot;2DD17AA1&quot;/&gt;&lt;wsp:rsid wsp:val=&quot;2DD967B6&quot;/&gt;&lt;wsp:rsid wsp:val=&quot;2DE17319&quot;/&gt;&lt;wsp:rsid wsp:val=&quot;2E385A22&quot;/&gt;&lt;wsp:rsid wsp:val=&quot;2E8309E9&quot;/&gt;&lt;wsp:rsid wsp:val=&quot;2E863C7D&quot;/&gt;&lt;wsp:rsid wsp:val=&quot;2E9E44D0&quot;/&gt;&lt;wsp:rsid wsp:val=&quot;2EEB36BC&quot;/&gt;&lt;wsp:rsid wsp:val=&quot;2F012CCA&quot;/&gt;&lt;wsp:rsid wsp:val=&quot;2F080037&quot;/&gt;&lt;wsp:rsid wsp:val=&quot;2F245911&quot;/&gt;&lt;wsp:rsid wsp:val=&quot;2F675DBF&quot;/&gt;&lt;wsp:rsid wsp:val=&quot;2FD81079&quot;/&gt;&lt;wsp:rsid wsp:val=&quot;30204C8D&quot;/&gt;&lt;wsp:rsid wsp:val=&quot;30A32892&quot;/&gt;&lt;wsp:rsid wsp:val=&quot;30AF4173&quot;/&gt;&lt;wsp:rsid wsp:val=&quot;310B5FD5&quot;/&gt;&lt;wsp:rsid wsp:val=&quot;311D2B15&quot;/&gt;&lt;wsp:rsid wsp:val=&quot;315219CD&quot;/&gt;&lt;wsp:rsid wsp:val=&quot;315F249D&quot;/&gt;&lt;wsp:rsid wsp:val=&quot;316D30FD&quot;/&gt;&lt;wsp:rsid wsp:val=&quot;319F0B7F&quot;/&gt;&lt;wsp:rsid wsp:val=&quot;31C14EA0&quot;/&gt;&lt;wsp:rsid wsp:val=&quot;31D55C00&quot;/&gt;&lt;wsp:rsid wsp:val=&quot;323B259A&quot;/&gt;&lt;wsp:rsid wsp:val=&quot;32AC391E&quot;/&gt;&lt;wsp:rsid wsp:val=&quot;32BC30CA&quot;/&gt;&lt;wsp:rsid wsp:val=&quot;32BF3C6E&quot;/&gt;&lt;wsp:rsid wsp:val=&quot;3311198C&quot;/&gt;&lt;wsp:rsid wsp:val=&quot;336C5F8A&quot;/&gt;&lt;wsp:rsid wsp:val=&quot;338054FA&quot;/&gt;&lt;wsp:rsid wsp:val=&quot;34946271&quot;/&gt;&lt;wsp:rsid wsp:val=&quot;34BD2FD0&quot;/&gt;&lt;wsp:rsid wsp:val=&quot;34DD4E51&quot;/&gt;&lt;wsp:rsid wsp:val=&quot;34EB3E79&quot;/&gt;&lt;wsp:rsid wsp:val=&quot;34FA55BB&quot;/&gt;&lt;wsp:rsid wsp:val=&quot;351346F4&quot;/&gt;&lt;wsp:rsid wsp:val=&quot;3519120D&quot;/&gt;&lt;wsp:rsid wsp:val=&quot;353841D7&quot;/&gt;&lt;wsp:rsid wsp:val=&quot;35486C97&quot;/&gt;&lt;wsp:rsid wsp:val=&quot;355C3F1D&quot;/&gt;&lt;wsp:rsid wsp:val=&quot;35834A77&quot;/&gt;&lt;wsp:rsid wsp:val=&quot;35883A12&quot;/&gt;&lt;wsp:rsid wsp:val=&quot;358A5BFF&quot;/&gt;&lt;wsp:rsid wsp:val=&quot;35ED1F16&quot;/&gt;&lt;wsp:rsid wsp:val=&quot;36075B09&quot;/&gt;&lt;wsp:rsid wsp:val=&quot;362A1EC0&quot;/&gt;&lt;wsp:rsid wsp:val=&quot;365458FE&quot;/&gt;&lt;wsp:rsid wsp:val=&quot;36684B41&quot;/&gt;&lt;wsp:rsid wsp:val=&quot;36A43B21&quot;/&gt;&lt;wsp:rsid wsp:val=&quot;36D375F8&quot;/&gt;&lt;wsp:rsid wsp:val=&quot;372B084D&quot;/&gt;&lt;wsp:rsid wsp:val=&quot;3749353D&quot;/&gt;&lt;wsp:rsid wsp:val=&quot;379B7C31&quot;/&gt;&lt;wsp:rsid wsp:val=&quot;37F92253&quot;/&gt;&lt;wsp:rsid wsp:val=&quot;381C2332&quot;/&gt;&lt;wsp:rsid wsp:val=&quot;382C7ABC&quot;/&gt;&lt;wsp:rsid wsp:val=&quot;38465704&quot;/&gt;&lt;wsp:rsid wsp:val=&quot;38584DB5&quot;/&gt;&lt;wsp:rsid wsp:val=&quot;38B41DF8&quot;/&gt;&lt;wsp:rsid wsp:val=&quot;38C417D8&quot;/&gt;&lt;wsp:rsid wsp:val=&quot;38FE67F7&quot;/&gt;&lt;wsp:rsid wsp:val=&quot;399F73AA&quot;/&gt;&lt;wsp:rsid wsp:val=&quot;39B02A1B&quot;/&gt;&lt;wsp:rsid wsp:val=&quot;3A18128F&quot;/&gt;&lt;wsp:rsid wsp:val=&quot;3A3C7C74&quot;/&gt;&lt;wsp:rsid wsp:val=&quot;3AA44729&quot;/&gt;&lt;wsp:rsid wsp:val=&quot;3AC25D65&quot;/&gt;&lt;wsp:rsid wsp:val=&quot;3B0A566C&quot;/&gt;&lt;wsp:rsid wsp:val=&quot;3B31440C&quot;/&gt;&lt;wsp:rsid wsp:val=&quot;3B5804F5&quot;/&gt;&lt;wsp:rsid wsp:val=&quot;3B5854EC&quot;/&gt;&lt;wsp:rsid wsp:val=&quot;3B8C734A&quot;/&gt;&lt;wsp:rsid wsp:val=&quot;3B9E1870&quot;/&gt;&lt;wsp:rsid wsp:val=&quot;3BB36AED&quot;/&gt;&lt;wsp:rsid wsp:val=&quot;3C485E31&quot;/&gt;&lt;wsp:rsid wsp:val=&quot;3C7512E3&quot;/&gt;&lt;wsp:rsid wsp:val=&quot;3C7B34FE&quot;/&gt;&lt;wsp:rsid wsp:val=&quot;3D0E12EF&quot;/&gt;&lt;wsp:rsid wsp:val=&quot;3D207F9E&quot;/&gt;&lt;wsp:rsid wsp:val=&quot;3D382D5F&quot;/&gt;&lt;wsp:rsid wsp:val=&quot;3D5075A9&quot;/&gt;&lt;wsp:rsid wsp:val=&quot;3D6325D9&quot;/&gt;&lt;wsp:rsid wsp:val=&quot;3D7F4BBA&quot;/&gt;&lt;wsp:rsid wsp:val=&quot;3DB46C30&quot;/&gt;&lt;wsp:rsid wsp:val=&quot;3DD26605&quot;/&gt;&lt;wsp:rsid wsp:val=&quot;3DDC493F&quot;/&gt;&lt;wsp:rsid wsp:val=&quot;3DE760CC&quot;/&gt;&lt;wsp:rsid wsp:val=&quot;3E44031A&quot;/&gt;&lt;wsp:rsid wsp:val=&quot;3E580EA8&quot;/&gt;&lt;wsp:rsid wsp:val=&quot;3ECC5AC6&quot;/&gt;&lt;wsp:rsid wsp:val=&quot;3ED02C12&quot;/&gt;&lt;wsp:rsid wsp:val=&quot;3ED74360&quot;/&gt;&lt;wsp:rsid wsp:val=&quot;3EDA5492&quot;/&gt;&lt;wsp:rsid wsp:val=&quot;3F007D4B&quot;/&gt;&lt;wsp:rsid wsp:val=&quot;3F182585&quot;/&gt;&lt;wsp:rsid wsp:val=&quot;3F5343BC&quot;/&gt;&lt;wsp:rsid wsp:val=&quot;3F644F7B&quot;/&gt;&lt;wsp:rsid wsp:val=&quot;3F7E33BB&quot;/&gt;&lt;wsp:rsid wsp:val=&quot;401B689D&quot;/&gt;&lt;wsp:rsid wsp:val=&quot;40825AEB&quot;/&gt;&lt;wsp:rsid wsp:val=&quot;40CF7773&quot;/&gt;&lt;wsp:rsid wsp:val=&quot;40FD7EC0&quot;/&gt;&lt;wsp:rsid wsp:val=&quot;411B12F7&quot;/&gt;&lt;wsp:rsid wsp:val=&quot;41422840&quot;/&gt;&lt;wsp:rsid wsp:val=&quot;416E188A&quot;/&gt;&lt;wsp:rsid wsp:val=&quot;417B15AA&quot;/&gt;&lt;wsp:rsid wsp:val=&quot;417E0415&quot;/&gt;&lt;wsp:rsid wsp:val=&quot;423831F0&quot;/&gt;&lt;wsp:rsid wsp:val=&quot;429216FA&quot;/&gt;&lt;wsp:rsid wsp:val=&quot;43055AD9&quot;/&gt;&lt;wsp:rsid wsp:val=&quot;430E112E&quot;/&gt;&lt;wsp:rsid wsp:val=&quot;43112748&quot;/&gt;&lt;wsp:rsid wsp:val=&quot;43436ACC&quot;/&gt;&lt;wsp:rsid wsp:val=&quot;436D3C92&quot;/&gt;&lt;wsp:rsid wsp:val=&quot;439C7691&quot;/&gt;&lt;wsp:rsid wsp:val=&quot;43AB7A52&quot;/&gt;&lt;wsp:rsid wsp:val=&quot;440776FB&quot;/&gt;&lt;wsp:rsid wsp:val=&quot;44745A3B&quot;/&gt;&lt;wsp:rsid wsp:val=&quot;447F5249&quot;/&gt;&lt;wsp:rsid wsp:val=&quot;449B64FE&quot;/&gt;&lt;wsp:rsid wsp:val=&quot;45017E7B&quot;/&gt;&lt;wsp:rsid wsp:val=&quot;45432443&quot;/&gt;&lt;wsp:rsid wsp:val=&quot;4566258A&quot;/&gt;&lt;wsp:rsid wsp:val=&quot;45A7667A&quot;/&gt;&lt;wsp:rsid wsp:val=&quot;46001E6D&quot;/&gt;&lt;wsp:rsid wsp:val=&quot;466407AF&quot;/&gt;&lt;wsp:rsid wsp:val=&quot;46672832&quot;/&gt;&lt;wsp:rsid wsp:val=&quot;467A6F9A&quot;/&gt;&lt;wsp:rsid wsp:val=&quot;469836B8&quot;/&gt;&lt;wsp:rsid wsp:val=&quot;471F15AF&quot;/&gt;&lt;wsp:rsid wsp:val=&quot;473B5C6E&quot;/&gt;&lt;wsp:rsid wsp:val=&quot;47466E83&quot;/&gt;&lt;wsp:rsid wsp:val=&quot;47C03B9D&quot;/&gt;&lt;wsp:rsid wsp:val=&quot;47C30CF6&quot;/&gt;&lt;wsp:rsid wsp:val=&quot;487A59AA&quot;/&gt;&lt;wsp:rsid wsp:val=&quot;48B774B3&quot;/&gt;&lt;wsp:rsid wsp:val=&quot;48EF2896&quot;/&gt;&lt;wsp:rsid wsp:val=&quot;49760999&quot;/&gt;&lt;wsp:rsid wsp:val=&quot;49C50371&quot;/&gt;&lt;wsp:rsid wsp:val=&quot;49D12D4B&quot;/&gt;&lt;wsp:rsid wsp:val=&quot;4A4D09F8&quot;/&gt;&lt;wsp:rsid wsp:val=&quot;4AA417F9&quot;/&gt;&lt;wsp:rsid wsp:val=&quot;4B140B40&quot;/&gt;&lt;wsp:rsid wsp:val=&quot;4B445055&quot;/&gt;&lt;wsp:rsid wsp:val=&quot;4B7D29BB&quot;/&gt;&lt;wsp:rsid wsp:val=&quot;4B7F2997&quot;/&gt;&lt;wsp:rsid wsp:val=&quot;4BB5435D&quot;/&gt;&lt;wsp:rsid wsp:val=&quot;4BC673FF&quot;/&gt;&lt;wsp:rsid wsp:val=&quot;4BDA217B&quot;/&gt;&lt;wsp:rsid wsp:val=&quot;4BFB0E97&quot;/&gt;&lt;wsp:rsid wsp:val=&quot;4BFD74C7&quot;/&gt;&lt;wsp:rsid wsp:val=&quot;4C273332&quot;/&gt;&lt;wsp:rsid wsp:val=&quot;4C3262FC&quot;/&gt;&lt;wsp:rsid wsp:val=&quot;4C3741EE&quot;/&gt;&lt;wsp:rsid wsp:val=&quot;4CFA2748&quot;/&gt;&lt;wsp:rsid wsp:val=&quot;4D00145F&quot;/&gt;&lt;wsp:rsid wsp:val=&quot;4D003D1C&quot;/&gt;&lt;wsp:rsid wsp:val=&quot;4D2A5855&quot;/&gt;&lt;wsp:rsid wsp:val=&quot;4D582DCC&quot;/&gt;&lt;wsp:rsid wsp:val=&quot;4DBE472C&quot;/&gt;&lt;wsp:rsid wsp:val=&quot;4E1C0F24&quot;/&gt;&lt;wsp:rsid wsp:val=&quot;4E6B58B0&quot;/&gt;&lt;wsp:rsid wsp:val=&quot;4E9A0482&quot;/&gt;&lt;wsp:rsid wsp:val=&quot;4ED51E81&quot;/&gt;&lt;wsp:rsid wsp:val=&quot;4EE9006A&quot;/&gt;&lt;wsp:rsid wsp:val=&quot;4EF03E68&quot;/&gt;&lt;wsp:rsid wsp:val=&quot;4F755B2E&quot;/&gt;&lt;wsp:rsid wsp:val=&quot;4FD76624&quot;/&gt;&lt;wsp:rsid wsp:val=&quot;4FFA26B4&quot;/&gt;&lt;wsp:rsid wsp:val=&quot;509F3F21&quot;/&gt;&lt;wsp:rsid wsp:val=&quot;50C173D2&quot;/&gt;&lt;wsp:rsid wsp:val=&quot;50CA5E5B&quot;/&gt;&lt;wsp:rsid wsp:val=&quot;50CB7566&quot;/&gt;&lt;wsp:rsid wsp:val=&quot;50EE73E8&quot;/&gt;&lt;wsp:rsid wsp:val=&quot;511014BB&quot;/&gt;&lt;wsp:rsid wsp:val=&quot;51401FC2&quot;/&gt;&lt;wsp:rsid wsp:val=&quot;517002F8&quot;/&gt;&lt;wsp:rsid wsp:val=&quot;51E55159&quot;/&gt;&lt;wsp:rsid wsp:val=&quot;51F81226&quot;/&gt;&lt;wsp:rsid wsp:val=&quot;520B46A1&quot;/&gt;&lt;wsp:rsid wsp:val=&quot;52AD6228&quot;/&gt;&lt;wsp:rsid wsp:val=&quot;52CA710B&quot;/&gt;&lt;wsp:rsid wsp:val=&quot;52CF0A0F&quot;/&gt;&lt;wsp:rsid wsp:val=&quot;53A20C6E&quot;/&gt;&lt;wsp:rsid wsp:val=&quot;53AB3DC5&quot;/&gt;&lt;wsp:rsid wsp:val=&quot;53AD2E17&quot;/&gt;&lt;wsp:rsid wsp:val=&quot;53C448E2&quot;/&gt;&lt;wsp:rsid wsp:val=&quot;53D548D5&quot;/&gt;&lt;wsp:rsid wsp:val=&quot;54051DA6&quot;/&gt;&lt;wsp:rsid wsp:val=&quot;541D41A2&quot;/&gt;&lt;wsp:rsid wsp:val=&quot;54512DC3&quot;/&gt;&lt;wsp:rsid wsp:val=&quot;54582FEA&quot;/&gt;&lt;wsp:rsid wsp:val=&quot;549148A6&quot;/&gt;&lt;wsp:rsid wsp:val=&quot;54D91FBF&quot;/&gt;&lt;wsp:rsid wsp:val=&quot;55B26A55&quot;/&gt;&lt;wsp:rsid wsp:val=&quot;55CC70FB&quot;/&gt;&lt;wsp:rsid wsp:val=&quot;56093F89&quot;/&gt;&lt;wsp:rsid wsp:val=&quot;56670BDD&quot;/&gt;&lt;wsp:rsid wsp:val=&quot;56A164E2&quot;/&gt;&lt;wsp:rsid wsp:val=&quot;57583496&quot;/&gt;&lt;wsp:rsid wsp:val=&quot;57E01BB4&quot;/&gt;&lt;wsp:rsid wsp:val=&quot;580F0CE9&quot;/&gt;&lt;wsp:rsid wsp:val=&quot;587E52D4&quot;/&gt;&lt;wsp:rsid wsp:val=&quot;58A960D0&quot;/&gt;&lt;wsp:rsid wsp:val=&quot;58F545CC&quot;/&gt;&lt;wsp:rsid wsp:val=&quot;59540FA5&quot;/&gt;&lt;wsp:rsid wsp:val=&quot;597957F9&quot;/&gt;&lt;wsp:rsid wsp:val=&quot;59F5591E&quot;/&gt;&lt;wsp:rsid wsp:val=&quot;5A094BEC&quot;/&gt;&lt;wsp:rsid wsp:val=&quot;5A0B21E8&quot;/&gt;&lt;wsp:rsid wsp:val=&quot;5A9C50D3&quot;/&gt;&lt;wsp:rsid wsp:val=&quot;5AB30BD1&quot;/&gt;&lt;wsp:rsid wsp:val=&quot;5AD04BDD&quot;/&gt;&lt;wsp:rsid wsp:val=&quot;5B0131C2&quot;/&gt;&lt;wsp:rsid wsp:val=&quot;5B3D1AC1&quot;/&gt;&lt;wsp:rsid wsp:val=&quot;5B476E60&quot;/&gt;&lt;wsp:rsid wsp:val=&quot;5BB80339&quot;/&gt;&lt;wsp:rsid wsp:val=&quot;5BCF3828&quot;/&gt;&lt;wsp:rsid wsp:val=&quot;5BE403BB&quot;/&gt;&lt;wsp:rsid wsp:val=&quot;5C3A3F42&quot;/&gt;&lt;wsp:rsid wsp:val=&quot;5C7B06A4&quot;/&gt;&lt;wsp:rsid wsp:val=&quot;5C9E53B7&quot;/&gt;&lt;wsp:rsid wsp:val=&quot;5CA36DA9&quot;/&gt;&lt;wsp:rsid wsp:val=&quot;5CC7559B&quot;/&gt;&lt;wsp:rsid wsp:val=&quot;5D3B50BF&quot;/&gt;&lt;wsp:rsid wsp:val=&quot;5DA314B7&quot;/&gt;&lt;wsp:rsid wsp:val=&quot;5DA94711&quot;/&gt;&lt;wsp:rsid wsp:val=&quot;5DDC1E5B&quot;/&gt;&lt;wsp:rsid wsp:val=&quot;5E0724EB&quot;/&gt;&lt;wsp:rsid wsp:val=&quot;5E17771B&quot;/&gt;&lt;wsp:rsid wsp:val=&quot;5E3E4546&quot;/&gt;&lt;wsp:rsid wsp:val=&quot;5E644BF1&quot;/&gt;&lt;wsp:rsid wsp:val=&quot;5E647BC9&quot;/&gt;&lt;wsp:rsid wsp:val=&quot;5EA36983&quot;/&gt;&lt;wsp:rsid wsp:val=&quot;5F2B11D8&quot;/&gt;&lt;wsp:rsid wsp:val=&quot;5F5E515F&quot;/&gt;&lt;wsp:rsid wsp:val=&quot;5F7E505D&quot;/&gt;&lt;wsp:rsid wsp:val=&quot;5F813C73&quot;/&gt;&lt;wsp:rsid wsp:val=&quot;5FAA4432&quot;/&gt;&lt;wsp:rsid wsp:val=&quot;5FAD5533&quot;/&gt;&lt;wsp:rsid wsp:val=&quot;606158C5&quot;/&gt;&lt;wsp:rsid wsp:val=&quot;608820E0&quot;/&gt;&lt;wsp:rsid wsp:val=&quot;60DF7A12&quot;/&gt;&lt;wsp:rsid wsp:val=&quot;60F45F94&quot;/&gt;&lt;wsp:rsid wsp:val=&quot;61270C6F&quot;/&gt;&lt;wsp:rsid wsp:val=&quot;61310078&quot;/&gt;&lt;wsp:rsid wsp:val=&quot;619665AF&quot;/&gt;&lt;wsp:rsid wsp:val=&quot;61F45CF9&quot;/&gt;&lt;wsp:rsid wsp:val=&quot;629E5E0C&quot;/&gt;&lt;wsp:rsid wsp:val=&quot;62CE2EDB&quot;/&gt;&lt;wsp:rsid wsp:val=&quot;631F2549&quot;/&gt;&lt;wsp:rsid wsp:val=&quot;633609E5&quot;/&gt;&lt;wsp:rsid wsp:val=&quot;638D0E29&quot;/&gt;&lt;wsp:rsid wsp:val=&quot;63AB4987&quot;/&gt;&lt;wsp:rsid wsp:val=&quot;63FA301D&quot;/&gt;&lt;wsp:rsid wsp:val=&quot;64092E5D&quot;/&gt;&lt;wsp:rsid wsp:val=&quot;652C341E&quot;/&gt;&lt;wsp:rsid wsp:val=&quot;65384CCA&quot;/&gt;&lt;wsp:rsid wsp:val=&quot;653A2AE4&quot;/&gt;&lt;wsp:rsid wsp:val=&quot;657B5034&quot;/&gt;&lt;wsp:rsid wsp:val=&quot;658F3C14&quot;/&gt;&lt;wsp:rsid wsp:val=&quot;65D87FE6&quot;/&gt;&lt;wsp:rsid wsp:val=&quot;664311A9&quot;/&gt;&lt;wsp:rsid wsp:val=&quot;66434DA6&quot;/&gt;&lt;wsp:rsid wsp:val=&quot;66737D43&quot;/&gt;&lt;wsp:rsid wsp:val=&quot;66952EFD&quot;/&gt;&lt;wsp:rsid wsp:val=&quot;66B56A0C&quot;/&gt;&lt;wsp:rsid wsp:val=&quot;66B844F2&quot;/&gt;&lt;wsp:rsid wsp:val=&quot;66D832DB&quot;/&gt;&lt;wsp:rsid wsp:val=&quot;67051C76&quot;/&gt;&lt;wsp:rsid wsp:val=&quot;671757FB&quot;/&gt;&lt;wsp:rsid wsp:val=&quot;67426194&quot;/&gt;&lt;wsp:rsid wsp:val=&quot;67E92F04&quot;/&gt;&lt;wsp:rsid wsp:val=&quot;681C0938&quot;/&gt;&lt;wsp:rsid wsp:val=&quot;6835040A&quot;/&gt;&lt;wsp:rsid wsp:val=&quot;683800F1&quot;/&gt;&lt;wsp:rsid wsp:val=&quot;68B80295&quot;/&gt;&lt;wsp:rsid wsp:val=&quot;68FE10FE&quot;/&gt;&lt;wsp:rsid wsp:val=&quot;69266CE2&quot;/&gt;&lt;wsp:rsid wsp:val=&quot;694A1C73&quot;/&gt;&lt;wsp:rsid wsp:val=&quot;6AA0560B&quot;/&gt;&lt;wsp:rsid wsp:val=&quot;6AAD5F2D&quot;/&gt;&lt;wsp:rsid wsp:val=&quot;6ABE0C0B&quot;/&gt;&lt;wsp:rsid wsp:val=&quot;6AC31B73&quot;/&gt;&lt;wsp:rsid wsp:val=&quot;6AD549D7&quot;/&gt;&lt;wsp:rsid wsp:val=&quot;6AD555CA&quot;/&gt;&lt;wsp:rsid wsp:val=&quot;6B2A2489&quot;/&gt;&lt;wsp:rsid wsp:val=&quot;6B3866B4&quot;/&gt;&lt;wsp:rsid wsp:val=&quot;6B461E08&quot;/&gt;&lt;wsp:rsid wsp:val=&quot;6B7117BE&quot;/&gt;&lt;wsp:rsid wsp:val=&quot;6B71607E&quot;/&gt;&lt;wsp:rsid wsp:val=&quot;6B9562DE&quot;/&gt;&lt;wsp:rsid wsp:val=&quot;6C0E4475&quot;/&gt;&lt;wsp:rsid wsp:val=&quot;6C1A4133&quot;/&gt;&lt;wsp:rsid wsp:val=&quot;6C466122&quot;/&gt;&lt;wsp:rsid wsp:val=&quot;6C677AE5&quot;/&gt;&lt;wsp:rsid wsp:val=&quot;6C7F0E78&quot;/&gt;&lt;wsp:rsid wsp:val=&quot;6C8B22A0&quot;/&gt;&lt;wsp:rsid wsp:val=&quot;6C925DC8&quot;/&gt;&lt;wsp:rsid wsp:val=&quot;6C9F58C2&quot;/&gt;&lt;wsp:rsid wsp:val=&quot;6D5A42D3&quot;/&gt;&lt;wsp:rsid wsp:val=&quot;6DA06B02&quot;/&gt;&lt;wsp:rsid wsp:val=&quot;6DF87DCD&quot;/&gt;&lt;wsp:rsid wsp:val=&quot;6DFB791B&quot;/&gt;&lt;wsp:rsid wsp:val=&quot;6EB7390A&quot;/&gt;&lt;wsp:rsid wsp:val=&quot;6F7F38FA&quot;/&gt;&lt;wsp:rsid wsp:val=&quot;6FC12E4E&quot;/&gt;&lt;wsp:rsid wsp:val=&quot;6FC92AA4&quot;/&gt;&lt;wsp:rsid wsp:val=&quot;6FE91D5B&quot;/&gt;&lt;wsp:rsid wsp:val=&quot;70181B4E&quot;/&gt;&lt;wsp:rsid wsp:val=&quot;7092462D&quot;/&gt;&lt;wsp:rsid wsp:val=&quot;70EC6671&quot;/&gt;&lt;wsp:rsid wsp:val=&quot;710F0DDE&quot;/&gt;&lt;wsp:rsid wsp:val=&quot;718F6FC2&quot;/&gt;&lt;wsp:rsid wsp:val=&quot;71CC1122&quot;/&gt;&lt;wsp:rsid wsp:val=&quot;71CF1341&quot;/&gt;&lt;wsp:rsid wsp:val=&quot;72544C2A&quot;/&gt;&lt;wsp:rsid wsp:val=&quot;726A713B&quot;/&gt;&lt;wsp:rsid wsp:val=&quot;72C801E2&quot;/&gt;&lt;wsp:rsid wsp:val=&quot;72CA4378&quot;/&gt;&lt;wsp:rsid wsp:val=&quot;733019B3&quot;/&gt;&lt;wsp:rsid wsp:val=&quot;73641D00&quot;/&gt;&lt;wsp:rsid wsp:val=&quot;74311DB0&quot;/&gt;&lt;wsp:rsid wsp:val=&quot;749E60E3&quot;/&gt;&lt;wsp:rsid wsp:val=&quot;74F16046&quot;/&gt;&lt;wsp:rsid wsp:val=&quot;74F2554E&quot;/&gt;&lt;wsp:rsid wsp:val=&quot;74F5668F&quot;/&gt;&lt;wsp:rsid wsp:val=&quot;74FC55D9&quot;/&gt;&lt;wsp:rsid wsp:val=&quot;752C2EBD&quot;/&gt;&lt;wsp:rsid wsp:val=&quot;75456784&quot;/&gt;&lt;wsp:rsid wsp:val=&quot;754E6DDF&quot;/&gt;&lt;wsp:rsid wsp:val=&quot;759E0C60&quot;/&gt;&lt;wsp:rsid wsp:val=&quot;75C533B0&quot;/&gt;&lt;wsp:rsid wsp:val=&quot;764D41C8&quot;/&gt;&lt;wsp:rsid wsp:val=&quot;76A54F28&quot;/&gt;&lt;wsp:rsid wsp:val=&quot;76E23055&quot;/&gt;&lt;wsp:rsid wsp:val=&quot;771D34AB&quot;/&gt;&lt;wsp:rsid wsp:val=&quot;774D0511&quot;/&gt;&lt;wsp:rsid wsp:val=&quot;775479C2&quot;/&gt;&lt;wsp:rsid wsp:val=&quot;77A863F6&quot;/&gt;&lt;wsp:rsid wsp:val=&quot;77DD7A37&quot;/&gt;&lt;wsp:rsid wsp:val=&quot;781F072F&quot;/&gt;&lt;wsp:rsid wsp:val=&quot;78285678&quot;/&gt;&lt;wsp:rsid wsp:val=&quot;783F569F&quot;/&gt;&lt;wsp:rsid wsp:val=&quot;786C084E&quot;/&gt;&lt;wsp:rsid wsp:val=&quot;78942DE7&quot;/&gt;&lt;wsp:rsid wsp:val=&quot;78E631E1&quot;/&gt;&lt;wsp:rsid wsp:val=&quot;793678F5&quot;/&gt;&lt;wsp:rsid wsp:val=&quot;793E2473&quot;/&gt;&lt;wsp:rsid wsp:val=&quot;79947543&quot;/&gt;&lt;wsp:rsid wsp:val=&quot;79E905E2&quot;/&gt;&lt;wsp:rsid wsp:val=&quot;7A3C3CE4&quot;/&gt;&lt;wsp:rsid wsp:val=&quot;7A58558D&quot;/&gt;&lt;wsp:rsid wsp:val=&quot;7A7137FA&quot;/&gt;&lt;wsp:rsid wsp:val=&quot;7A9447D4&quot;/&gt;&lt;wsp:rsid wsp:val=&quot;7AA507F5&quot;/&gt;&lt;wsp:rsid wsp:val=&quot;7AC566F7&quot;/&gt;&lt;wsp:rsid wsp:val=&quot;7ACC0C9D&quot;/&gt;&lt;wsp:rsid wsp:val=&quot;7ACD155D&quot;/&gt;&lt;wsp:rsid wsp:val=&quot;7AF47B32&quot;/&gt;&lt;wsp:rsid wsp:val=&quot;7BCC16E7&quot;/&gt;&lt;wsp:rsid wsp:val=&quot;7BEB06F1&quot;/&gt;&lt;wsp:rsid wsp:val=&quot;7BFE3E11&quot;/&gt;&lt;wsp:rsid wsp:val=&quot;7C3A1D47&quot;/&gt;&lt;wsp:rsid wsp:val=&quot;7C5E72D4&quot;/&gt;&lt;wsp:rsid wsp:val=&quot;7C7F312A&quot;/&gt;&lt;wsp:rsid wsp:val=&quot;7CB84C4A&quot;/&gt;&lt;wsp:rsid wsp:val=&quot;7CEA76E4&quot;/&gt;&lt;wsp:rsid wsp:val=&quot;7D07624D&quot;/&gt;&lt;wsp:rsid wsp:val=&quot;7D135B79&quot;/&gt;&lt;wsp:rsid wsp:val=&quot;7D4566D5&quot;/&gt;&lt;wsp:rsid wsp:val=&quot;7E1032FC&quot;/&gt;&lt;wsp:rsid wsp:val=&quot;7E2D542A&quot;/&gt;&lt;wsp:rsid wsp:val=&quot;7E44294A&quot;/&gt;&lt;wsp:rsid wsp:val=&quot;7E7A6BBC&quot;/&gt;&lt;wsp:rsid wsp:val=&quot;7F916522&quot;/&gt;&lt;wsp:rsid wsp:val=&quot;7FCB5EC5&quot;/&gt;&lt;/wsp:rsids&gt;&lt;/w:docPr&gt;&lt;w:body&gt;&lt;wx:sect&gt;&lt;w:p wsp:rsidR=&quot;00000000&quot; wsp:rsidRDefault=&quot;009663C8&quot; wsp:rsidP=&quot;009663C8&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K&lt;/m:t&gt;&lt;/m:r&gt;&lt;/m:e&gt;&lt;m:sub&gt;&lt;m:r&gt;&lt;w:rPr&gt;&lt;w:rFonts w:ascii=&quot;Cambria Math&quot;/&gt;&lt;wx:font wx:val=&quot;Cambria Math&quot;/&gt;&lt;w:i/&gt;&lt;/w:rPr&gt;&lt;m:t&gt;sam&lt;/m:t&gt;&lt;/m: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r&gt;&lt;m:rPr&gt;&lt;m:sty m:val=&quot;p&quot;/&gt;&lt;/m:rPr&gt;&lt;w:rPr&gt;&lt;w:rFonts w:ascii=&quot;Cambria Math&quot;/&gt;&lt;wx:font wx:val=&quot;Cambria Math&quot;/&gt;&lt;/w:rPr&gt;&lt;m:t&gt;2&lt;/m:t&gt;&lt;/m:r&gt;&lt;m:ctrlPr&gt;&lt;w:rPr&gt;&lt;w:rFonts w:ascii=&quot;Cambria Math&quot;/&gt;&lt;wx:font wx:val=&quot;Cambria Math&quot;/&gt;&lt;/w:rPr&gt;&lt;/m:ctrlPr&gt;&lt;/m:sub&gt;&lt;/m:sSub&gt;&lt;/m:num&gt;&lt;m:den&gt;&lt;m:sSub&gt;&lt;m:sSubPr&gt;&lt;m:ctrlPr&gt;&lt;w:rPr&gt;&lt;w:rFonts w:ascii=&quot;Cambria Math&quot;/&gt;&lt;wx:font wx:val=&quot;Cambria Math&quot;/&gt;&lt;w:i/&gt;&lt;/w:rPr&gt;&lt;/m:ctrlPr&gt;&lt;/m:sSubPr&gt;&lt;m:e&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ctrlPr&gt;&lt;w:rPr&gt;&lt;w:rFonts w:ascii=&quot;Cambria Math&quot;/&gt;&lt;wx:font wx:val=&quot;Cambria Math&quot;/&gt;&lt;/w:rPr&gt;&lt;/m:ctrlPr&gt;&lt;/m:sub&gt;&lt;/m:sSub&gt;&lt;/m:e&gt;&lt;m:sub&gt;&lt;m:r&gt;&lt;w:rPr&gt;&lt;w:rFonts w:ascii=&quot;Cambria Math&quot;/&gt;&lt;wx:font wx:val=&quot;Cambria Math&quot;/&gt;&lt;w:i/&gt;&lt;/w:rPr&gt;&lt;m:t&gt;1&lt;/m:t&gt;&lt;/m:r&gt;&lt;/m:sub&gt;&lt;/m:sSub&gt;&lt;m:ctrlPr&gt;&lt;w:rPr&gt;&lt;w:rFonts w:ascii=&quot;Cambria Math&quot; w:h-ansi=&quot;Cambria Math&quot;/&gt;&lt;wx:font wx:val=&quot;Cambria Math&quot;/&gt;&lt;w:i/&gt;&lt;/w:rPr&gt;&lt;/m:ctrlPr&gt;&lt;/m:den&gt;&lt;/m:f&gt;&lt;m:r&gt;&lt;w:rPr&gt;&lt;w:rFonts w:ascii=&quot;Cambria Math&quot;/&gt;&lt;w:i/&gt;&lt;/w:rPr&gt;&lt;m:t&gt;×&lt;/m:t&gt;&lt;/m:r&gt;&lt;m:r&gt;&lt;w:rPr&gt;&lt;w:rFonts w:ascii=&quot;Cambria Math&quot;/&gt;&lt;wx:font wx:val=&quot;Cambria Math&quot;/&gt;&lt;w:i/&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fldChar w:fldCharType="begin"/>
      </w:r>
      <w:r>
        <w:rPr>
          <w:rFonts w:hint="default" w:ascii="Times New Roman" w:hAnsi="Times New Roman" w:eastAsia="黑体" w:cs="Times New Roman"/>
          <w:color w:val="000000"/>
          <w:szCs w:val="20"/>
          <w:highlight w:val="none"/>
        </w:rPr>
        <w:instrText xml:space="preserve"> QUOTE </w:instrText>
      </w:r>
      <w:r>
        <w:rPr>
          <w:rFonts w:hint="default" w:ascii="Times New Roman" w:hAnsi="Times New Roman" w:cs="Times New Roman"/>
          <w:color w:val="000000"/>
          <w:position w:val="-26"/>
          <w:highlight w:val="none"/>
        </w:rPr>
        <w:pict>
          <v:shape id="_x0000_i1059" o:spt="75" type="#_x0000_t75" style="height:31.5pt;width:84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55&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0B2E55&quot;&gt;&lt;m:oMathPara&gt;&lt;m:oMath&gt;&lt;m:sSub&gt;&lt;m:sSubPr&gt;&lt;m:ctrlPr&gt;&lt;aml:annotation aml:id=&quot;0&quot; w:type=&quot;Word.Insertion&quot; aml:author=&quot;liu yuzhen&quot; aml:createdate=&quot;2021-06-27T17:21:00Z&quot;&gt;&lt;aml:content&gt;&lt;w:rPr&gt;&lt;w:rFonts w:ascii=&quot;Cambria Math&quot; w:fareast=&quot;黑体&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21:00Z&quot;&gt;&lt;aml:content&gt;&lt;m:r&gt;&lt;w:rPr&gt;&lt;w:rFonts w:ascii=&quot;Cambria Math&quot; w:fareast=&quot;黑体&quot;/&gt;&lt;wx:font wx:val=&quot;Cambria Math&quot;/&gt;&lt;w:i/&gt;&lt;w:sz-cs w:val=&quot;20&quot;/&gt;&lt;/w:rPr&gt;&lt;m:t&gt;K&lt;/m:t&gt;&lt;/m:r&gt;&lt;/aml:content&gt;&lt;/aml:annotation&gt;&lt;/m:e&gt;&lt;m:sub&gt;&lt;aml:annotation aml:id=&quot;2&quot; w:type=&quot;Word.Insertion&quot; aml:author=&quot;liu yuzhen&quot; aml:createdate=&quot;2021-06-27T17:21:00Z&quot;&gt;&lt;aml:content&gt;&lt;m:r&gt;&lt;w:rPr&gt;&lt;w:rFonts w:ascii=&quot;Cambria Math&quot; w:fareast=&quot;黑体&quot;/&gt;&lt;wx:font wx:val=&quot;Cambria Math&quot;/&gt;&lt;w:i/&gt;&lt;w:sz-cs w:val=&quot;20&quot;/&gt;&lt;/w:rPr&gt;&lt;m:t&gt;sam&lt;/m:t&gt;&lt;/m:r&gt;&lt;/aml:content&gt;&lt;/aml:annotation&gt;&lt;/m:sub&gt;&lt;/m:sSub&gt;&lt;aml:annotation aml:id=&quot;3&quot; w:type=&quot;Word.Insertion&quot; aml:author=&quot;liu yuzhen&quot; aml:createdate=&quot;2021-06-27T17:21:00Z&quot;&gt;&lt;aml:content&gt;&lt;m:r&gt;&lt;w:rPr&gt;&lt;w:rFonts w:ascii=&quot;Cambria Math&quot; w:fareast=&quot;黑体&quot;/&gt;&lt;wx:font wx:val=&quot;Cambria Math&quot;/&gt;&lt;w:i/&gt;&lt;w:sz-cs w:val=&quot;20&quot;/&gt;&lt;/w:rPr&gt;&lt;m:t&gt;=&lt;/m:t&gt;&lt;/m:r&gt;&lt;/aml:content&gt;&lt;/aml:annotation&gt;&lt;m:f&gt;&lt;m:fPr&gt;&lt;m:ctrlPr&gt;&lt;aml:annotation aml:id=&quot;4&quot; w:type=&quot;Word.Insertion&quot; aml:author=&quot;liu yuzhen&quot; aml:createdate=&quot;2021-06-27T17:44:00Z&quot;&gt;&lt;aml:content&gt;&lt;w:rPr&gt;&lt;w:rFonts w:ascii=&quot;Cambria Math&quot; w:fareast=&quot;黑体&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7&quot; w:type=&quot;Word.Insertion&quot; aml:author=&quot;liu yuzhen&quot; aml:createdate=&quot;2021-06-27T17:45:00Z&quot;&gt;&lt;aml:content&gt;&lt;m:r&gt;&lt;w:rPr&gt;&lt;w:rFonts w:ascii=&quot;Cambria Math&quot; w:fareast=&quot;黑体&quot;/&gt;&lt;wx:font wx:val=&quot;Cambria Math&quot;/&gt;&lt;w:i/&gt;&lt;w:sz-cs w:val=&quot;20&quot;/&gt;&lt;/w:rPr&gt;&lt;m:t&gt;2&lt;/m:t&gt;&lt;/m:r&gt;&lt;/aml:content&gt;&lt;/aml:annotation&gt;&lt;/m:sub&gt;&lt;/m:sSub&gt;&lt;/m:num&gt;&lt;m:den&gt;&lt;m:sSub&gt;&lt;m:sSubPr&gt;&lt;m:ctrlPr&gt;&lt;aml:annotation aml:id=&quot;8&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nnotation aml:id=&quot;9&quot; w:type=&quot;Word.Insertion&quot; aml:author=&quot;liu yuzhen&quot; aml:createdate=&quot;2021-06-27T17:45:00Z&quot;&gt;&lt;aml:content&gt;&lt;m:r&gt;&lt;w:rPr&gt;&lt;w:rFonts w:ascii=&quot;Cambria Math&quot; w:fareast=&quot;黑体&quot;/&gt;&lt;wx:font wx:val=&quot;Cambria Math&quot;/&gt;&lt;w:i/&gt;&lt;w:sz-cs w:val=&quot;20&quot;/&gt;&lt;/w:rPr&gt;&lt;m:t&gt;A&lt;/m:t&gt;&lt;/m:r&gt;&lt;/aml:content&gt;&lt;/aml:annotation&gt;&lt;/m:e&gt;&lt;m:sub&gt;&lt;aml:annotation aml:id=&quot;10&quot; w:type=&quot;Word.Insertion&quot; aml:author=&quot;liu yuzhen&quot; aml:createdate=&quot;2021-06-27T17:45:00Z&quot;&gt;&lt;aml:content&gt;&lt;m:r&gt;&lt;w:rPr&gt;&lt;w:rFonts w:ascii=&quot;Cambria Math&quot; w:fareast=&quot;黑体&quot;/&gt;&lt;wx:font wx:val=&quot;Cambria Math&quot;/&gt;&lt;w:i/&gt;&lt;w:sz-cs w:val=&quot;20&quot;/&gt;&lt;/w:rPr&gt;&lt;m:t&gt;1&lt;/m:t&gt;&lt;/m:r&gt;&lt;/aml:content&gt;&lt;/aml:annotation&gt;&lt;/m:sub&gt;&lt;/m:sSub&gt;&lt;/m:den&gt;&lt;/m:f&gt;&lt;aml:annotation aml:id=&quot;11&quot; w:type=&quot;Word.Insertion&quot; aml:author=&quot;liu yuzhen&quot; aml:createdate=&quot;2021-06-27T17:21:00Z&quot;&gt;&lt;aml:content&gt;&lt;m:r&gt;&lt;w:rPr&gt;&lt;w:rFonts w:ascii=&quot;Cambria Math&quot; w:fareast=&quot;黑体&quot;/&gt;&lt;w:i/&gt;&lt;w:sz-cs w:val=&quot;20&quot;/&gt;&lt;/w:rPr&gt;&lt;m:t&gt;×&lt;/m:t&gt;&lt;/m:r&gt;&lt;m:r&gt;&lt;w:rPr&gt;&lt;w:rFonts w:ascii=&quot;Cambria Math&quot; w:fareast=&quot;黑体&quot;/&gt;&lt;wx:font wx:val=&quot;Cambria Math&quot;/&gt;&lt;w:i/&gt;&lt;w:sz-cs w:val=&quot;20&quot;/&gt;&lt;/w:rPr&gt;&lt;m:t&gt;100%&lt;/m:t&gt;&lt;/m:r&gt;&lt;/aml:content&gt;&lt;/aml:annotation&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9" chromakey="#FFFFFF" o:title=""/>
            <o:lock v:ext="edit" aspectratio="t"/>
            <w10:wrap type="none"/>
            <w10:anchorlock/>
          </v:shape>
        </w:pict>
      </w:r>
      <w:r>
        <w:rPr>
          <w:rFonts w:hint="default" w:ascii="Times New Roman" w:hAnsi="Times New Roman" w:eastAsia="黑体" w:cs="Times New Roman"/>
          <w:color w:val="000000"/>
          <w:szCs w:val="20"/>
          <w:highlight w:val="none"/>
        </w:rPr>
        <w:instrText xml:space="preserve"> </w:instrText>
      </w:r>
      <w:r>
        <w:rPr>
          <w:rFonts w:hint="default" w:ascii="Times New Roman" w:hAnsi="Times New Roman" w:eastAsia="黑体" w:cs="Times New Roman"/>
          <w:color w:val="000000"/>
          <w:szCs w:val="20"/>
          <w:highlight w:val="none"/>
        </w:rPr>
        <w:fldChar w:fldCharType="separate"/>
      </w:r>
      <w:r>
        <w:rPr>
          <w:rFonts w:hint="default" w:ascii="Times New Roman" w:hAnsi="Times New Roman" w:eastAsia="黑体" w:cs="Times New Roman"/>
          <w:color w:val="000000"/>
          <w:szCs w:val="20"/>
          <w:highlight w:val="none"/>
        </w:rPr>
        <w:fldChar w:fldCharType="end"/>
      </w:r>
      <w:r>
        <w:rPr>
          <w:rFonts w:hint="default" w:ascii="Times New Roman" w:hAnsi="Times New Roman" w:eastAsia="黑体" w:cs="Times New Roman"/>
          <w:color w:val="000000"/>
          <w:szCs w:val="20"/>
          <w:highlight w:val="none"/>
        </w:rPr>
        <w:t xml:space="preserve">                    </w:t>
      </w:r>
      <w:r>
        <w:rPr>
          <w:rFonts w:hint="default" w:ascii="Times New Roman" w:hAnsi="Times New Roman" w:eastAsia="黑体" w:cs="Times New Roman"/>
          <w:color w:val="000000"/>
          <w:szCs w:val="20"/>
          <w:highlight w:val="none"/>
          <w:lang w:val="en-US" w:eastAsia="zh-CN"/>
        </w:rPr>
        <w:t xml:space="preserve">         </w:t>
      </w:r>
      <w:r>
        <w:rPr>
          <w:rFonts w:hint="default" w:ascii="Times New Roman" w:hAnsi="Times New Roman" w:eastAsia="黑体" w:cs="Times New Roman"/>
          <w:color w:val="000000"/>
          <w:szCs w:val="20"/>
          <w:highlight w:val="none"/>
        </w:rPr>
        <w:t xml:space="preserve">          </w:t>
      </w:r>
      <w:r>
        <w:rPr>
          <w:rFonts w:hint="default" w:ascii="Times New Roman" w:hAnsi="Times New Roman" w:cs="Times New Roman"/>
          <w:color w:val="000000"/>
          <w:kern w:val="0"/>
          <w:szCs w:val="21"/>
          <w:highlight w:val="none"/>
        </w:rPr>
        <w:t>（4）</w:t>
      </w:r>
    </w:p>
    <w:p w14:paraId="25FF25FD">
      <w:pPr>
        <w:widowControl/>
        <w:spacing w:line="360" w:lineRule="exact"/>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式中：</w:t>
      </w:r>
      <w:r>
        <w:rPr>
          <w:rFonts w:hint="default" w:ascii="Times New Roman" w:hAnsi="Times New Roman" w:cs="Times New Roman"/>
          <w:color w:val="000000"/>
          <w:position w:val="-4"/>
          <w:szCs w:val="20"/>
          <w:highlight w:val="none"/>
        </w:rPr>
        <w:object>
          <v:shape id="_x0000_i1060" o:spt="75" type="#_x0000_t75" style="height:14pt;width:23.05pt;" o:ole="t" filled="f" o:preferrelative="t" stroked="f" coordsize="21600,21600">
            <v:path/>
            <v:fill on="f" alignshape="1" focussize="0,0"/>
            <v:stroke on="f"/>
            <v:imagedata r:id="rId67" o:title=""/>
            <o:lock v:ext="edit" aspectratio="t"/>
            <w10:wrap type="none"/>
            <w10:anchorlock/>
          </v:shape>
          <o:OLEObject Type="Embed" ProgID="Equation.KSEE3" ShapeID="_x0000_i1060" DrawAspect="Content" ObjectID="_1468075752" r:id="rId66">
            <o:LockedField>false</o:LockedField>
          </o:OLEObject>
        </w:object>
      </w:r>
      <w:r>
        <w:rPr>
          <w:rFonts w:hint="default" w:ascii="Times New Roman" w:hAnsi="Times New Roman" w:cs="Times New Roman"/>
          <w:color w:val="000000"/>
          <w:kern w:val="0"/>
          <w:szCs w:val="21"/>
          <w:highlight w:val="none"/>
        </w:rPr>
        <w:t>——标准系列中目标化合物的平均相对响应因子；</w:t>
      </w:r>
    </w:p>
    <w:p w14:paraId="6532551C">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0"/>
          <w:szCs w:val="20"/>
          <w:highlight w:val="none"/>
        </w:rPr>
        <w:object>
          <v:shape id="_x0000_i1061" o:spt="75" type="#_x0000_t75" style="height:15.05pt;width:24.05pt;" o:ole="t" filled="f" o:preferrelative="t" stroked="f" coordsize="21600,21600">
            <v:path/>
            <v:fill on="f" alignshape="1" focussize="0,0"/>
            <v:stroke on="f"/>
            <v:imagedata r:id="rId69" o:title=""/>
            <o:lock v:ext="edit" aspectratio="t"/>
            <w10:wrap type="none"/>
            <w10:anchorlock/>
          </v:shape>
          <o:OLEObject Type="Embed" ProgID="Equation.KSEE3" ShapeID="_x0000_i1061" DrawAspect="Content" ObjectID="_1468075753" r:id="rId68">
            <o:LockedField>false</o:LockedField>
          </o:OLEObject>
        </w:object>
      </w:r>
      <w:r>
        <w:rPr>
          <w:rFonts w:hint="default" w:ascii="Times New Roman" w:hAnsi="Times New Roman" w:cs="Times New Roman"/>
          <w:color w:val="000000"/>
          <w:kern w:val="0"/>
          <w:szCs w:val="21"/>
          <w:highlight w:val="none"/>
        </w:rPr>
        <w:t>——标准系列中第</w:t>
      </w:r>
      <w:r>
        <w:rPr>
          <w:rFonts w:hint="default" w:ascii="Times New Roman" w:hAnsi="Times New Roman" w:cs="Times New Roman"/>
          <w:i/>
          <w:iCs/>
          <w:color w:val="000000"/>
          <w:kern w:val="0"/>
          <w:szCs w:val="21"/>
          <w:highlight w:val="none"/>
        </w:rPr>
        <w:t>i</w:t>
      </w:r>
      <w:r>
        <w:rPr>
          <w:rFonts w:hint="default" w:ascii="Times New Roman" w:hAnsi="Times New Roman" w:cs="Times New Roman"/>
          <w:color w:val="000000"/>
          <w:kern w:val="0"/>
          <w:szCs w:val="21"/>
          <w:highlight w:val="none"/>
        </w:rPr>
        <w:t>点目标化合物的相对响应因子；</w:t>
      </w:r>
    </w:p>
    <w:p w14:paraId="1691C9EA">
      <w:pPr>
        <w:tabs>
          <w:tab w:val="left" w:pos="1050"/>
        </w:tabs>
        <w:spacing w:line="360" w:lineRule="exact"/>
        <w:ind w:firstLine="1047" w:firstLineChars="499"/>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6"/>
          <w:szCs w:val="20"/>
          <w:highlight w:val="none"/>
        </w:rPr>
        <w:object>
          <v:shape id="_x0000_i1062" o:spt="75" type="#_x0000_t75" style="height:11pt;width:10pt;" o:ole="t" filled="f" o:preferrelative="t" stroked="f" coordsize="21600,21600">
            <v:path/>
            <v:fill on="f" focussize="0,0"/>
            <v:stroke on="f"/>
            <v:imagedata r:id="rId71" o:title=""/>
            <o:lock v:ext="edit" aspectratio="t"/>
            <w10:wrap type="none"/>
            <w10:anchorlock/>
          </v:shape>
          <o:OLEObject Type="Embed" ProgID="Equation.KSEE3" ShapeID="_x0000_i1062" DrawAspect="Content" ObjectID="_1468075754" r:id="rId70">
            <o:LockedField>false</o:LockedField>
          </o:OLEObject>
        </w:object>
      </w:r>
      <w:r>
        <w:rPr>
          <w:rFonts w:hint="default" w:ascii="Times New Roman" w:hAnsi="Times New Roman" w:cs="Times New Roman"/>
          <w:color w:val="000000"/>
          <w:kern w:val="0"/>
          <w:szCs w:val="21"/>
          <w:highlight w:val="none"/>
        </w:rPr>
        <w:t>——标准系列点数。</w:t>
      </w:r>
    </w:p>
    <w:p w14:paraId="4CEBE6B0">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标准系列中目标化合物的标准偏差（</w:t>
      </w:r>
      <w:r>
        <w:rPr>
          <w:rFonts w:hint="default" w:ascii="Times New Roman" w:hAnsi="Times New Roman" w:cs="Times New Roman"/>
          <w:color w:val="000000"/>
          <w:szCs w:val="20"/>
          <w:highlight w:val="none"/>
        </w:rPr>
        <w:t>SD</w: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，按照式（5）进行计算。</w:t>
      </w:r>
    </w:p>
    <w:p w14:paraId="042AD560">
      <w:pPr>
        <w:keepNext w:val="0"/>
        <w:keepLines w:val="0"/>
        <w:pageBreakBefore w:val="0"/>
        <w:widowControl/>
        <w:kinsoku/>
        <w:wordWrap/>
        <w:overflowPunct/>
        <w:topLinePunct/>
        <w:autoSpaceDE w:val="0"/>
        <w:autoSpaceDN w:val="0"/>
        <w:bidi w:val="0"/>
        <w:adjustRightInd w:val="0"/>
        <w:snapToGrid/>
        <w:spacing w:line="360" w:lineRule="auto"/>
        <w:ind w:firstLine="2730" w:firstLineChars="1300"/>
        <w:jc w:val="left"/>
        <w:textAlignment w:val="auto"/>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22"/>
          <w:szCs w:val="20"/>
          <w:highlight w:val="none"/>
        </w:rPr>
        <w:object>
          <v:shape id="_x0000_i1063" o:spt="75" type="#_x0000_t75" style="height:49.05pt;width:106pt;" o:ole="t" filled="f" o:preferrelative="t" stroked="f" coordsize="21600,21600">
            <v:path/>
            <v:fill on="f" alignshape="1" focussize="0,0"/>
            <v:stroke on="f"/>
            <v:imagedata r:id="rId73" o:title=""/>
            <o:lock v:ext="edit" aspectratio="t"/>
            <w10:wrap type="none"/>
            <w10:anchorlock/>
          </v:shape>
          <o:OLEObject Type="Embed" ProgID="Equation.KSEE3" ShapeID="_x0000_i1063" DrawAspect="Content" ObjectID="_1468075755" r:id="rId72">
            <o:LockedField>false</o:LockedField>
          </o:OLEObject>
        </w:object>
      </w:r>
      <w:r>
        <w:rPr>
          <w:rFonts w:hint="default" w:ascii="Times New Roman" w:hAnsi="Times New Roman" w:cs="Times New Roman"/>
          <w:color w:val="000000"/>
          <w:kern w:val="0"/>
          <w:szCs w:val="21"/>
          <w:highlight w:val="none"/>
        </w:rPr>
        <w:t xml:space="preserve">                 </w:t>
      </w:r>
      <w:r>
        <w:rPr>
          <w:rFonts w:hint="default" w:ascii="Times New Roman" w:hAnsi="Times New Roman"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 xml:space="preserve">       （5）</w:t>
      </w:r>
    </w:p>
    <w:p w14:paraId="4904D9DA">
      <w:pPr>
        <w:widowControl/>
        <w:spacing w:line="360" w:lineRule="exact"/>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式中：</w:t>
      </w:r>
      <w:r>
        <w:rPr>
          <w:rFonts w:hint="default" w:ascii="Times New Roman" w:hAnsi="Times New Roman" w:cs="Times New Roman"/>
          <w:color w:val="000000"/>
          <w:position w:val="-6"/>
          <w:szCs w:val="20"/>
          <w:highlight w:val="none"/>
        </w:rPr>
        <w:object>
          <v:shape id="_x0000_i1064" o:spt="75" type="#_x0000_t75" style="height:12pt;width:16.05pt;" o:ole="t" filled="f" o:preferrelative="t" stroked="f" coordsize="21600,21600">
            <v:path/>
            <v:fill on="f" alignshape="1" focussize="0,0"/>
            <v:stroke on="f"/>
            <v:imagedata r:id="rId75" o:title=""/>
            <o:lock v:ext="edit" aspectratio="t"/>
            <w10:wrap type="none"/>
            <w10:anchorlock/>
          </v:shape>
          <o:OLEObject Type="Embed" ProgID="Equation.KSEE3" ShapeID="_x0000_i1064" DrawAspect="Content" ObjectID="_1468075756" r:id="rId74">
            <o:LockedField>false</o:LockedField>
          </o:OLEObject>
        </w:object>
      </w:r>
      <w:r>
        <w:rPr>
          <w:rFonts w:hint="default" w:ascii="Times New Roman" w:hAnsi="Times New Roman" w:cs="Times New Roman"/>
          <w:color w:val="000000"/>
          <w:kern w:val="0"/>
          <w:szCs w:val="21"/>
          <w:highlight w:val="none"/>
        </w:rPr>
        <w:t>——标准偏差；</w:t>
      </w:r>
    </w:p>
    <w:p w14:paraId="69CB1D9C">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0"/>
          <w:szCs w:val="20"/>
          <w:highlight w:val="none"/>
        </w:rPr>
        <w:object>
          <v:shape id="_x0000_i1065" o:spt="75" type="#_x0000_t75" style="height:15.05pt;width:24.05pt;" o:ole="t" filled="f" o:preferrelative="t" stroked="f" coordsize="21600,21600">
            <v:path/>
            <v:fill on="f" alignshape="1" focussize="0,0"/>
            <v:stroke on="f"/>
            <v:imagedata r:id="rId77" o:title=""/>
            <o:lock v:ext="edit" aspectratio="t"/>
            <w10:wrap type="none"/>
            <w10:anchorlock/>
          </v:shape>
          <o:OLEObject Type="Embed" ProgID="Equation.KSEE3" ShapeID="_x0000_i1065" DrawAspect="Content" ObjectID="_1468075757" r:id="rId76">
            <o:LockedField>false</o:LockedField>
          </o:OLEObject>
        </w:object>
      </w:r>
      <w:r>
        <w:rPr>
          <w:rFonts w:hint="default" w:ascii="Times New Roman" w:hAnsi="Times New Roman" w:cs="Times New Roman"/>
          <w:color w:val="000000"/>
          <w:kern w:val="0"/>
          <w:szCs w:val="21"/>
          <w:highlight w:val="none"/>
        </w:rPr>
        <w:t>——标准系列中第</w:t>
      </w:r>
      <w:r>
        <w:rPr>
          <w:rFonts w:hint="default" w:ascii="Times New Roman" w:hAnsi="Times New Roman" w:cs="Times New Roman"/>
          <w:i/>
          <w:iCs/>
          <w:color w:val="000000"/>
          <w:kern w:val="0"/>
          <w:szCs w:val="21"/>
          <w:highlight w:val="none"/>
        </w:rPr>
        <w:t>i</w:t>
      </w:r>
      <w:r>
        <w:rPr>
          <w:rFonts w:hint="default" w:ascii="Times New Roman" w:hAnsi="Times New Roman" w:cs="Times New Roman"/>
          <w:color w:val="000000"/>
          <w:kern w:val="0"/>
          <w:szCs w:val="21"/>
          <w:highlight w:val="none"/>
        </w:rPr>
        <w:t>点目标化合物的相对响应因子；</w:t>
      </w:r>
    </w:p>
    <w:p w14:paraId="7A004C0A">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4"/>
          <w:szCs w:val="20"/>
          <w:highlight w:val="none"/>
        </w:rPr>
        <w:object>
          <v:shape id="_x0000_i1066" o:spt="75" type="#_x0000_t75" style="height:14pt;width:23.05pt;" o:ole="t" filled="f" o:preferrelative="t" stroked="f" coordsize="21600,21600">
            <v:path/>
            <v:fill on="f" alignshape="1" focussize="0,0"/>
            <v:stroke on="f"/>
            <v:imagedata r:id="rId79" o:title=""/>
            <o:lock v:ext="edit" aspectratio="t"/>
            <w10:wrap type="none"/>
            <w10:anchorlock/>
          </v:shape>
          <o:OLEObject Type="Embed" ProgID="Equation.KSEE3" ShapeID="_x0000_i1066" DrawAspect="Content" ObjectID="_1468075758" r:id="rId78">
            <o:LockedField>false</o:LockedField>
          </o:OLEObject>
        </w:object>
      </w:r>
      <w:r>
        <w:rPr>
          <w:rFonts w:hint="default" w:ascii="Times New Roman" w:hAnsi="Times New Roman" w:cs="Times New Roman"/>
          <w:color w:val="000000"/>
          <w:kern w:val="0"/>
          <w:szCs w:val="21"/>
          <w:highlight w:val="none"/>
        </w:rPr>
        <w:t>——标准系列中目标化合物的平均相对响应因子；</w:t>
      </w:r>
    </w:p>
    <w:p w14:paraId="20DCC02B">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6"/>
          <w:szCs w:val="20"/>
          <w:highlight w:val="none"/>
        </w:rPr>
        <w:object>
          <v:shape id="_x0000_i1067" o:spt="75" type="#_x0000_t75" style="height:11pt;width:10pt;" o:ole="t" filled="f" o:preferrelative="t" stroked="f" coordsize="21600,21600">
            <v:path/>
            <v:fill on="f" focussize="0,0"/>
            <v:stroke on="f"/>
            <v:imagedata r:id="rId71" o:title=""/>
            <o:lock v:ext="edit" aspectratio="t"/>
            <w10:wrap type="none"/>
            <w10:anchorlock/>
          </v:shape>
          <o:OLEObject Type="Embed" ProgID="Equation.KSEE3" ShapeID="_x0000_i1067" DrawAspect="Content" ObjectID="_1468075759" r:id="rId80">
            <o:LockedField>false</o:LockedField>
          </o:OLEObject>
        </w:object>
      </w:r>
      <w:r>
        <w:rPr>
          <w:rFonts w:hint="default" w:ascii="Times New Roman" w:hAnsi="Times New Roman" w:cs="Times New Roman"/>
          <w:color w:val="000000"/>
          <w:kern w:val="0"/>
          <w:szCs w:val="21"/>
          <w:highlight w:val="none"/>
        </w:rPr>
        <w:t>——标准系列点数。</w:t>
      </w:r>
    </w:p>
    <w:p w14:paraId="36C4875A">
      <w:pPr>
        <w:widowControl/>
        <w:spacing w:line="360" w:lineRule="exact"/>
        <w:ind w:firstLine="420" w:firstLineChars="200"/>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szCs w:val="21"/>
          <w:highlight w:val="none"/>
        </w:rPr>
        <w:t>标准系列中目标化合物的相对标准偏差（</w:t>
      </w:r>
      <w:r>
        <w:rPr>
          <w:rFonts w:hint="default" w:ascii="Times New Roman" w:hAnsi="Times New Roman" w:cs="Times New Roman"/>
          <w:color w:val="000000"/>
          <w:position w:val="-6"/>
          <w:szCs w:val="20"/>
          <w:highlight w:val="none"/>
        </w:rPr>
        <w:object>
          <v:shape id="_x0000_i1068" o:spt="75" type="#_x0000_t75" style="height:12pt;width:24.05pt;" o:ole="t" filled="f" o:preferrelative="t" stroked="f" coordsize="21600,21600">
            <v:path/>
            <v:fill on="f" alignshape="1" focussize="0,0"/>
            <v:stroke on="f"/>
            <v:imagedata r:id="rId82" o:title=""/>
            <o:lock v:ext="edit" aspectratio="t"/>
            <w10:wrap type="none"/>
            <w10:anchorlock/>
          </v:shape>
          <o:OLEObject Type="Embed" ProgID="Equation.KSEE3" ShapeID="_x0000_i1068" DrawAspect="Content" ObjectID="_1468075760" r:id="rId81">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，按照式（6）进行计算。</w:t>
      </w:r>
    </w:p>
    <w:p w14:paraId="3F1EBEEA">
      <w:pPr>
        <w:keepNext w:val="0"/>
        <w:keepLines w:val="0"/>
        <w:pageBreakBefore w:val="0"/>
        <w:widowControl/>
        <w:kinsoku/>
        <w:wordWrap/>
        <w:overflowPunct/>
        <w:topLinePunct/>
        <w:autoSpaceDE w:val="0"/>
        <w:autoSpaceDN w:val="0"/>
        <w:bidi w:val="0"/>
        <w:adjustRightInd w:val="0"/>
        <w:snapToGrid/>
        <w:spacing w:line="360" w:lineRule="auto"/>
        <w:ind w:firstLine="2730" w:firstLineChars="1300"/>
        <w:jc w:val="left"/>
        <w:textAlignment w:val="auto"/>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22"/>
          <w:szCs w:val="20"/>
          <w:highlight w:val="none"/>
        </w:rPr>
        <w:object>
          <v:shape id="_x0000_i1069" o:spt="75" type="#_x0000_t75" style="height:27.05pt;width:82pt;" o:ole="t" filled="f" o:preferrelative="t" stroked="f" coordsize="21600,21600">
            <v:path/>
            <v:fill on="f" alignshape="1" focussize="0,0"/>
            <v:stroke on="f"/>
            <v:imagedata r:id="rId84" o:title=""/>
            <o:lock v:ext="edit" aspectratio="t"/>
            <w10:wrap type="none"/>
            <w10:anchorlock/>
          </v:shape>
          <o:OLEObject Type="Embed" ProgID="Equation.KSEE3" ShapeID="_x0000_i1069" DrawAspect="Content" ObjectID="_1468075761" r:id="rId83">
            <o:LockedField>false</o:LockedField>
          </o:OLEObject>
        </w:object>
      </w:r>
      <w:r>
        <w:rPr>
          <w:rFonts w:hint="default" w:ascii="Times New Roman" w:hAnsi="Times New Roman" w:cs="Times New Roman"/>
          <w:color w:val="000000"/>
          <w:kern w:val="0"/>
          <w:szCs w:val="21"/>
          <w:highlight w:val="none"/>
        </w:rPr>
        <w:t xml:space="preserve">                   </w:t>
      </w:r>
      <w:r>
        <w:rPr>
          <w:rFonts w:hint="default" w:ascii="Times New Roman" w:hAnsi="Times New Roman"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 xml:space="preserve">          （6）</w:t>
      </w:r>
    </w:p>
    <w:p w14:paraId="666CB0AF">
      <w:pPr>
        <w:widowControl/>
        <w:spacing w:line="360" w:lineRule="exact"/>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式中：</w:t>
      </w:r>
      <w:r>
        <w:rPr>
          <w:rFonts w:hint="default" w:ascii="Times New Roman" w:hAnsi="Times New Roman" w:cs="Times New Roman"/>
          <w:color w:val="000000"/>
          <w:position w:val="-6"/>
          <w:szCs w:val="20"/>
          <w:highlight w:val="none"/>
        </w:rPr>
        <w:object>
          <v:shape id="_x0000_i1070" o:spt="75" type="#_x0000_t75" style="height:12pt;width:24.05pt;" o:ole="t" filled="f" o:preferrelative="t" stroked="f" coordsize="21600,21600">
            <v:path/>
            <v:fill on="f" alignshape="1" focussize="0,0"/>
            <v:stroke on="f"/>
            <v:imagedata r:id="rId86" o:title=""/>
            <o:lock v:ext="edit" aspectratio="t"/>
            <w10:wrap type="none"/>
            <w10:anchorlock/>
          </v:shape>
          <o:OLEObject Type="Embed" ProgID="Equation.KSEE3" ShapeID="_x0000_i1070" DrawAspect="Content" ObjectID="_1468075762" r:id="rId85">
            <o:LockedField>false</o:LockedField>
          </o:OLEObject>
        </w:object>
      </w:r>
      <w:r>
        <w:rPr>
          <w:rFonts w:hint="default" w:ascii="Times New Roman" w:hAnsi="Times New Roman" w:cs="Times New Roman"/>
          <w:color w:val="000000"/>
          <w:kern w:val="0"/>
          <w:szCs w:val="21"/>
          <w:highlight w:val="none"/>
        </w:rPr>
        <w:t>——相对标准偏差；</w:t>
      </w:r>
    </w:p>
    <w:p w14:paraId="145B44F1">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6"/>
          <w:szCs w:val="20"/>
          <w:highlight w:val="none"/>
        </w:rPr>
        <w:object>
          <v:shape id="_x0000_i1071" o:spt="75" type="#_x0000_t75" style="height:12pt;width:16.05pt;" o:ole="t" filled="f" o:preferrelative="t" stroked="f" coordsize="21600,21600">
            <v:path/>
            <v:fill on="f" alignshape="1" focussize="0,0"/>
            <v:stroke on="f"/>
            <v:imagedata r:id="rId88" o:title=""/>
            <o:lock v:ext="edit" aspectratio="t"/>
            <w10:wrap type="none"/>
            <w10:anchorlock/>
          </v:shape>
          <o:OLEObject Type="Embed" ProgID="Equation.KSEE3" ShapeID="_x0000_i1071" DrawAspect="Content" ObjectID="_1468075763" r:id="rId87">
            <o:LockedField>false</o:LockedField>
          </o:OLEObject>
        </w:object>
      </w:r>
      <w:r>
        <w:rPr>
          <w:rFonts w:hint="default" w:ascii="Times New Roman" w:hAnsi="Times New Roman" w:cs="Times New Roman"/>
          <w:color w:val="000000"/>
          <w:kern w:val="0"/>
          <w:szCs w:val="21"/>
          <w:highlight w:val="none"/>
        </w:rPr>
        <w:t>——标准偏差；</w:t>
      </w:r>
    </w:p>
    <w:p w14:paraId="429FFEBC">
      <w:pPr>
        <w:widowControl/>
        <w:tabs>
          <w:tab w:val="left" w:pos="1050"/>
        </w:tabs>
        <w:spacing w:line="360" w:lineRule="exact"/>
        <w:ind w:firstLine="1047" w:firstLineChars="499"/>
        <w:jc w:val="left"/>
        <w:rPr>
          <w:rFonts w:hint="default" w:ascii="Times New Roman" w:hAnsi="Times New Roman" w:cs="Times New Roman"/>
          <w:color w:val="000000"/>
          <w:szCs w:val="21"/>
          <w:highlight w:val="none"/>
        </w:rPr>
      </w:pPr>
      <w:r>
        <w:rPr>
          <w:rFonts w:hint="default" w:ascii="Times New Roman" w:hAnsi="Times New Roman" w:cs="Times New Roman"/>
          <w:color w:val="000000"/>
          <w:position w:val="-4"/>
          <w:szCs w:val="20"/>
          <w:highlight w:val="none"/>
        </w:rPr>
        <w:object>
          <v:shape id="_x0000_i1072" o:spt="75" type="#_x0000_t75" style="height:14pt;width:23.05pt;" o:ole="t" filled="f" o:preferrelative="t" stroked="f" coordsize="21600,21600">
            <v:path/>
            <v:fill on="f" alignshape="1" focussize="0,0"/>
            <v:stroke on="f"/>
            <v:imagedata r:id="rId90" o:title=""/>
            <o:lock v:ext="edit" aspectratio="t"/>
            <w10:wrap type="none"/>
            <w10:anchorlock/>
          </v:shape>
          <o:OLEObject Type="Embed" ProgID="Equation.KSEE3" ShapeID="_x0000_i1072" DrawAspect="Content" ObjectID="_1468075764" r:id="rId89">
            <o:LockedField>false</o:LockedField>
          </o:OLEObject>
        </w:object>
      </w:r>
      <w:r>
        <w:rPr>
          <w:rFonts w:hint="default" w:ascii="Times New Roman" w:hAnsi="Times New Roman" w:cs="Times New Roman"/>
          <w:color w:val="000000"/>
          <w:kern w:val="0"/>
          <w:szCs w:val="21"/>
          <w:highlight w:val="none"/>
        </w:rPr>
        <w:t>——标准系列中目标化合物的平均相对响应因子。</w:t>
      </w:r>
    </w:p>
    <w:p w14:paraId="3D8554AF">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土壤样品中的目标化合物含量</w:t>
      </w:r>
      <w:r>
        <w:rPr>
          <w:rFonts w:hint="default" w:ascii="Times New Roman" w:hAnsi="Times New Roman" w:cs="Times New Roman"/>
          <w:color w:val="000000"/>
          <w:position w:val="-6"/>
          <w:szCs w:val="20"/>
          <w:highlight w:val="none"/>
        </w:rPr>
        <w:object>
          <v:shape id="_x0000_i1073" o:spt="75" type="#_x0000_t75" style="height:11pt;width:12pt;" o:ole="t" filled="f" stroked="f" coordsize="21600,21600">
            <v:path/>
            <v:fill on="f" focussize="0,0"/>
            <v:stroke on="f"/>
            <v:imagedata r:id="rId92" o:title=""/>
            <o:lock v:ext="edit" aspectratio="t"/>
            <w10:wrap type="none"/>
            <w10:anchorlock/>
          </v:shape>
          <o:OLEObject Type="Embed" ProgID="Equation.KSEE3" ShapeID="_x0000_i1073" DrawAspect="Content" ObjectID="_1468075765" r:id="rId91">
            <o:LockedField>false</o:LockedField>
          </o:OLEObject>
        </w:object>
      </w:r>
      <w:r>
        <w:rPr>
          <w:rFonts w:hint="default" w:ascii="Times New Roman" w:hAnsi="Times New Roman" w:cs="Times New Roman"/>
          <w:color w:val="000000"/>
          <w:szCs w:val="21"/>
          <w:highlight w:val="none"/>
        </w:rPr>
        <w:t>，按照式（7）进行计算：</w:t>
      </w:r>
    </w:p>
    <w:p w14:paraId="12584BA6">
      <w:pPr>
        <w:keepNext w:val="0"/>
        <w:keepLines w:val="0"/>
        <w:pageBreakBefore w:val="0"/>
        <w:widowControl/>
        <w:kinsoku/>
        <w:wordWrap w:val="0"/>
        <w:overflowPunct/>
        <w:topLinePunct/>
        <w:autoSpaceDE/>
        <w:autoSpaceDN/>
        <w:bidi w:val="0"/>
        <w:adjustRightInd/>
        <w:snapToGrid/>
        <w:spacing w:line="360" w:lineRule="auto"/>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position w:val="-32"/>
          <w:szCs w:val="20"/>
          <w:highlight w:val="none"/>
        </w:rPr>
        <w:object>
          <v:shape id="_x0000_i1074" o:spt="75" type="#_x0000_t75" style="height:35pt;width:138pt;" o:ole="t" filled="f" o:preferrelative="t" stroked="f" coordsize="21600,21600">
            <v:path/>
            <v:fill on="f" alignshape="1" focussize="0,0"/>
            <v:stroke on="f"/>
            <v:imagedata r:id="rId94" o:title=""/>
            <o:lock v:ext="edit" aspectratio="t"/>
            <w10:wrap type="none"/>
            <w10:anchorlock/>
          </v:shape>
          <o:OLEObject Type="Embed" ProgID="Equation.KSEE3" ShapeID="_x0000_i1074" DrawAspect="Content" ObjectID="_1468075766" r:id="rId93">
            <o:LockedField>false</o:LockedField>
          </o:OLEObject>
        </w:object>
      </w: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kern w:val="0"/>
          <w:szCs w:val="21"/>
          <w:highlight w:val="none"/>
        </w:rPr>
        <w:fldChar w:fldCharType="begin"/>
      </w:r>
      <w:r>
        <w:rPr>
          <w:rFonts w:hint="default" w:ascii="Times New Roman" w:hAnsi="Times New Roman" w:cs="Times New Roman"/>
          <w:color w:val="000000"/>
          <w:kern w:val="0"/>
          <w:szCs w:val="21"/>
          <w:highlight w:val="none"/>
        </w:rPr>
        <w:instrText xml:space="preserve"> QUOTE </w:instrText>
      </w:r>
      <w:r>
        <w:rPr>
          <w:rFonts w:hint="default" w:ascii="Times New Roman" w:hAnsi="Times New Roman" w:cs="Times New Roman"/>
          <w:color w:val="000000"/>
          <w:position w:val="-25"/>
          <w:highlight w:val="none"/>
        </w:rPr>
        <w:pict>
          <v:shape id="_x0000_i1075" o:spt="75" type="#_x0000_t75" style="height:31pt;width:89.5pt;" filled="f" stroked="f" coordsize="21600,2160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evenAndOddHeaders/&gt;&lt;w:drawingGridHorizontalSpacing w:val=&quot;105&quot;/&gt;&lt;w:drawingGridVerticalSpacing w:val=&quot;156&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98733A&quot;/&gt;&lt;wsp:rsid wsp:val=&quot;000007CD&quot;/&gt;&lt;wsp:rsid wsp:val=&quot;00001E92&quot;/&gt;&lt;wsp:rsid wsp:val=&quot;000024BB&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7A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9FE&quot;/&gt;&lt;wsp:rsid wsp:val=&quot;00077C25&quot;/&gt;&lt;wsp:rsid wsp:val=&quot;00080EDE&quot;/&gt;&lt;wsp:rsid wsp:val=&quot;00081449&quot;/&gt;&lt;wsp:rsid wsp:val=&quot;00082CED&quot;/&gt;&lt;wsp:rsid wsp:val=&quot;00085638&quot;/&gt;&lt;wsp:rsid wsp:val=&quot;0008588E&quot;/&gt;&lt;wsp:rsid wsp:val=&quot;00085D93&quot;/&gt;&lt;wsp:rsid wsp:val=&quot;00085E45&quot;/&gt;&lt;wsp:rsid wsp:val=&quot;000864BD&quot;/&gt;&lt;wsp:rsid wsp:val=&quot;000865E8&quot;/&gt;&lt;wsp:rsid wsp:val=&quot;0008674F&quot;/&gt;&lt;wsp:rsid wsp:val=&quot;00086F13&quot;/&gt;&lt;wsp:rsid wsp:val=&quot;00086FE7&quot;/&gt;&lt;wsp:rsid wsp:val=&quot;000872F0&quot;/&gt;&lt;wsp:rsid wsp:val=&quot;000873AA&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5E0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15096&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2DFB&quot;/&gt;&lt;wsp:rsid wsp:val=&quot;001548CB&quot;/&gt;&lt;wsp:rsid wsp:val=&quot;00155010&quot;/&gt;&lt;wsp:rsid wsp:val=&quot;00156A04&quot;/&gt;&lt;wsp:rsid wsp:val=&quot;0016106A&quot;/&gt;&lt;wsp:rsid wsp:val=&quot;00161A98&quot;/&gt;&lt;wsp:rsid wsp:val=&quot;00162B37&quot;/&gt;&lt;wsp:rsid wsp:val=&quot;00163965&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2C02&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2A1&quot;/&gt;&lt;wsp:rsid wsp:val=&quot;00216659&quot;/&gt;&lt;wsp:rsid wsp:val=&quot;00216860&quot;/&gt;&lt;wsp:rsid wsp:val=&quot;00217A35&quot;/&gt;&lt;wsp:rsid wsp:val=&quot;00220780&quot;/&gt;&lt;wsp:rsid wsp:val=&quot;00220BA9&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1B80&quot;/&gt;&lt;wsp:rsid wsp:val=&quot;0023574C&quot;/&gt;&lt;wsp:rsid wsp:val=&quot;00236A27&quot;/&gt;&lt;wsp:rsid wsp:val=&quot;00236AD1&quot;/&gt;&lt;wsp:rsid wsp:val=&quot;002407A9&quot;/&gt;&lt;wsp:rsid wsp:val=&quot;00240971&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EDA&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447&quot;/&gt;&lt;wsp:rsid wsp:val=&quot;002A1955&quot;/&gt;&lt;wsp:rsid wsp:val=&quot;002A1F81&quot;/&gt;&lt;wsp:rsid wsp:val=&quot;002A30EC&quot;/&gt;&lt;wsp:rsid wsp:val=&quot;002A4ACE&quot;/&gt;&lt;wsp:rsid wsp:val=&quot;002A562E&quot;/&gt;&lt;wsp:rsid wsp:val=&quot;002A6067&quot;/&gt;&lt;wsp:rsid wsp:val=&quot;002A68B6&quot;/&gt;&lt;wsp:rsid wsp:val=&quot;002A6C74&quot;/&gt;&lt;wsp:rsid wsp:val=&quot;002A6DB9&quot;/&gt;&lt;wsp:rsid wsp:val=&quot;002A76EB&quot;/&gt;&lt;wsp:rsid wsp:val=&quot;002B0F8D&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658D&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E7ED0&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5C83&quot;/&gt;&lt;wsp:rsid wsp:val=&quot;00306D83&quot;/&gt;&lt;wsp:rsid wsp:val=&quot;003102CF&quot;/&gt;&lt;wsp:rsid wsp:val=&quot;00310B5D&quot;/&gt;&lt;wsp:rsid wsp:val=&quot;003110FD&quot;/&gt;&lt;wsp:rsid wsp:val=&quot;00311234&quot;/&gt;&lt;wsp:rsid wsp:val=&quot;00312B67&quot;/&gt;&lt;wsp:rsid wsp:val=&quot;00315308&quot;/&gt;&lt;wsp:rsid wsp:val=&quot;00315423&quot;/&gt;&lt;wsp:rsid wsp:val=&quot;00315551&quot;/&gt;&lt;wsp:rsid wsp:val=&quot;00315F84&quot;/&gt;&lt;wsp:rsid wsp:val=&quot;00321FEF&quot;/&gt;&lt;wsp:rsid wsp:val=&quot;00322C82&quot;/&gt;&lt;wsp:rsid wsp:val=&quot;00323E5A&quot;/&gt;&lt;wsp:rsid wsp:val=&quot;00324C74&quot;/&gt;&lt;wsp:rsid wsp:val=&quot;003253DC&quot;/&gt;&lt;wsp:rsid wsp:val=&quot;0032686C&quot;/&gt;&lt;wsp:rsid wsp:val=&quot;00326F98&quot;/&gt;&lt;wsp:rsid wsp:val=&quot;00327401&quot;/&gt;&lt;wsp:rsid wsp:val=&quot;003305BC&quot;/&gt;&lt;wsp:rsid wsp:val=&quot;0033178B&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292F&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1B3F&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2A63&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0E8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2BD4&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5DFB&quot;/&gt;&lt;wsp:rsid wsp:val=&quot;004976DE&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1CF&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6&quot;/&gt;&lt;wsp:rsid wsp:val=&quot;00516D68&quot;/&gt;&lt;wsp:rsid wsp:val=&quot;00520C51&quot;/&gt;&lt;wsp:rsid wsp:val=&quot;00521CCD&quot;/&gt;&lt;wsp:rsid wsp:val=&quot;0052241C&quot;/&gt;&lt;wsp:rsid wsp:val=&quot;005228F8&quot;/&gt;&lt;wsp:rsid wsp:val=&quot;00522C11&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027&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2E78&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0C78&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2EE5&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2B3&quot;/&gt;&lt;wsp:rsid wsp:val=&quot;006025E4&quot;/&gt;&lt;wsp:rsid wsp:val=&quot;0060290A&quot;/&gt;&lt;wsp:rsid wsp:val=&quot;0060296E&quot;/&gt;&lt;wsp:rsid wsp:val=&quot;006043E0&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034B&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781&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49&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0F9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4975&quot;/&gt;&lt;wsp:rsid wsp:val=&quot;006D58A0&quot;/&gt;&lt;wsp:rsid wsp:val=&quot;006D5D8A&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144A&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24E5&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1A4C&quot;/&gt;&lt;wsp:rsid wsp:val=&quot;00761BF1&quot;/&gt;&lt;wsp:rsid wsp:val=&quot;007624DE&quot;/&gt;&lt;wsp:rsid wsp:val=&quot;0076298D&quot;/&gt;&lt;wsp:rsid wsp:val=&quot;00762A95&quot;/&gt;&lt;wsp:rsid wsp:val=&quot;00763F3D&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2969&quot;/&gt;&lt;wsp:rsid wsp:val=&quot;007A3E0B&quot;/&gt;&lt;wsp:rsid wsp:val=&quot;007A4C08&quot;/&gt;&lt;wsp:rsid wsp:val=&quot;007A5376&quot;/&gt;&lt;wsp:rsid wsp:val=&quot;007A61DB&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6C1C&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1018&quot;/&gt;&lt;wsp:rsid wsp:val=&quot;007F2A3E&quot;/&gt;&lt;wsp:rsid wsp:val=&quot;007F32D0&quot;/&gt;&lt;wsp:rsid wsp:val=&quot;007F3458&quot;/&gt;&lt;wsp:rsid wsp:val=&quot;007F3F81&quot;/&gt;&lt;wsp:rsid wsp:val=&quot;007F57AC&quot;/&gt;&lt;wsp:rsid wsp:val=&quot;007F63D6&quot;/&gt;&lt;wsp:rsid wsp:val=&quot;008006A7&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428&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01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956&quot;/&gt;&lt;wsp:rsid wsp:val=&quot;00875C23&quot;/&gt;&lt;wsp:rsid wsp:val=&quot;00876B23&quot;/&gt;&lt;wsp:rsid wsp:val=&quot;008770F4&quot;/&gt;&lt;wsp:rsid wsp:val=&quot;00877389&quot;/&gt;&lt;wsp:rsid wsp:val=&quot;008774C4&quot;/&gt;&lt;wsp:rsid wsp:val=&quot;008776CC&quot;/&gt;&lt;wsp:rsid wsp:val=&quot;00880E82&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69A7&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3699&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9&quot;/&gt;&lt;wsp:rsid wsp:val=&quot;0097626F&quot;/&gt;&lt;wsp:rsid wsp:val=&quot;00977B90&quot;/&gt;&lt;wsp:rsid wsp:val=&quot;00980A9E&quot;/&gt;&lt;wsp:rsid wsp:val=&quot;00980CCA&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88F&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2D89&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682&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5AAC&quot;/&gt;&lt;wsp:rsid wsp:val=&quot;00A2669F&quot;/&gt;&lt;wsp:rsid wsp:val=&quot;00A30861&quot;/&gt;&lt;wsp:rsid wsp:val=&quot;00A30E80&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2E05&quot;/&gt;&lt;wsp:rsid wsp:val=&quot;00A4366F&quot;/&gt;&lt;wsp:rsid wsp:val=&quot;00A43704&quot;/&gt;&lt;wsp:rsid wsp:val=&quot;00A43C32&quot;/&gt;&lt;wsp:rsid wsp:val=&quot;00A440E4&quot;/&gt;&lt;wsp:rsid wsp:val=&quot;00A448E8&quot;/&gt;&lt;wsp:rsid wsp:val=&quot;00A478A5&quot;/&gt;&lt;wsp:rsid wsp:val=&quot;00A47B54&quot;/&gt;&lt;wsp:rsid wsp:val=&quot;00A47FBF&quot;/&gt;&lt;wsp:rsid wsp:val=&quot;00A50DC3&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45B&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306&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4F7&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6189&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04EB&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5EA&quot;/&gt;&lt;wsp:rsid wsp:val=&quot;00C04A27&quot;/&gt;&lt;wsp:rsid wsp:val=&quot;00C05985&quot;/&gt;&lt;wsp:rsid wsp:val=&quot;00C0636C&quot;/&gt;&lt;wsp:rsid wsp:val=&quot;00C06E15&quot;/&gt;&lt;wsp:rsid wsp:val=&quot;00C07072&quot;/&gt;&lt;wsp:rsid wsp:val=&quot;00C07B6B&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0E7A&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A6DC3&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1ECB&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2628&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595&quot;/&gt;&lt;wsp:rsid wsp:val=&quot;00D85CD0&quot;/&gt;&lt;wsp:rsid wsp:val=&quot;00D86719&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38D9&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1C6F&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BD3&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6372&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36E&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A81&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592&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035&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C5D&quot;/&gt;&lt;wsp:rsid wsp:val=&quot;00ED4EA4&quot;/&gt;&lt;wsp:rsid wsp:val=&quot;00ED53BC&quot;/&gt;&lt;wsp:rsid wsp:val=&quot;00ED6B72&quot;/&gt;&lt;wsp:rsid wsp:val=&quot;00ED6C9E&quot;/&gt;&lt;wsp:rsid wsp:val=&quot;00ED7F6A&quot;/&gt;&lt;wsp:rsid wsp:val=&quot;00EE0A52&quot;/&gt;&lt;wsp:rsid wsp:val=&quot;00EE1434&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1BDC&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5F0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5AE&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B09&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0A0B&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5B07&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0E2E&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04D5140E&quot;/&gt;&lt;wsp:rsid wsp:val=&quot;04DF3BC8&quot;/&gt;&lt;wsp:rsid wsp:val=&quot;071400C8&quot;/&gt;&lt;wsp:rsid wsp:val=&quot;0BCD0285&quot;/&gt;&lt;wsp:rsid wsp:val=&quot;0CCD5DE3&quot;/&gt;&lt;wsp:rsid wsp:val=&quot;0CE61FD8&quot;/&gt;&lt;wsp:rsid wsp:val=&quot;0EC5657F&quot;/&gt;&lt;wsp:rsid wsp:val=&quot;153B6925&quot;/&gt;&lt;wsp:rsid wsp:val=&quot;15CD5D15&quot;/&gt;&lt;wsp:rsid wsp:val=&quot;16792D4D&quot;/&gt;&lt;wsp:rsid wsp:val=&quot;16921E87&quot;/&gt;&lt;wsp:rsid wsp:val=&quot;176F1113&quot;/&gt;&lt;wsp:rsid wsp:val=&quot;17CF2BA9&quot;/&gt;&lt;wsp:rsid wsp:val=&quot;1B6A0604&quot;/&gt;&lt;wsp:rsid wsp:val=&quot;1BEC5371&quot;/&gt;&lt;wsp:rsid wsp:val=&quot;1CA352E0&quot;/&gt;&lt;wsp:rsid wsp:val=&quot;1CEC5DE4&quot;/&gt;&lt;wsp:rsid wsp:val=&quot;1DB44EF9&quot;/&gt;&lt;wsp:rsid wsp:val=&quot;1E0E2E49&quot;/&gt;&lt;wsp:rsid wsp:val=&quot;1F6A680C&quot;/&gt;&lt;wsp:rsid wsp:val=&quot;21EA7D42&quot;/&gt;&lt;wsp:rsid wsp:val=&quot;23F74F28&quot;/&gt;&lt;wsp:rsid wsp:val=&quot;249C298C&quot;/&gt;&lt;wsp:rsid wsp:val=&quot;24E10126&quot;/&gt;&lt;wsp:rsid wsp:val=&quot;25F20392&quot;/&gt;&lt;wsp:rsid wsp:val=&quot;266736E9&quot;/&gt;&lt;wsp:rsid wsp:val=&quot;29941E2F&quot;/&gt;&lt;wsp:rsid wsp:val=&quot;2AD957EE&quot;/&gt;&lt;wsp:rsid wsp:val=&quot;2B3A161A&quot;/&gt;&lt;wsp:rsid wsp:val=&quot;2B52008B&quot;/&gt;&lt;wsp:rsid wsp:val=&quot;2E54197B&quot;/&gt;&lt;wsp:rsid wsp:val=&quot;30E72A1E&quot;/&gt;&lt;wsp:rsid wsp:val=&quot;36FA0F74&quot;/&gt;&lt;wsp:rsid wsp:val=&quot;377D5CED&quot;/&gt;&lt;wsp:rsid wsp:val=&quot;39334442&quot;/&gt;&lt;wsp:rsid wsp:val=&quot;396F06A9&quot;/&gt;&lt;wsp:rsid wsp:val=&quot;3A215984&quot;/&gt;&lt;wsp:rsid wsp:val=&quot;3A765190&quot;/&gt;&lt;wsp:rsid wsp:val=&quot;3B821C98&quot;/&gt;&lt;wsp:rsid wsp:val=&quot;3BCE1457&quot;/&gt;&lt;wsp:rsid wsp:val=&quot;3E7F1791&quot;/&gt;&lt;wsp:rsid wsp:val=&quot;40521A3E&quot;/&gt;&lt;wsp:rsid wsp:val=&quot;42C13302&quot;/&gt;&lt;wsp:rsid wsp:val=&quot;42F3716C&quot;/&gt;&lt;wsp:rsid wsp:val=&quot;42FB67C3&quot;/&gt;&lt;wsp:rsid wsp:val=&quot;44552857&quot;/&gt;&lt;wsp:rsid wsp:val=&quot;45510EC1&quot;/&gt;&lt;wsp:rsid wsp:val=&quot;45C05E8A&quot;/&gt;&lt;wsp:rsid wsp:val=&quot;461B3BD1&quot;/&gt;&lt;wsp:rsid wsp:val=&quot;469C1989&quot;/&gt;&lt;wsp:rsid wsp:val=&quot;46D82FD3&quot;/&gt;&lt;wsp:rsid wsp:val=&quot;46E35C8D&quot;/&gt;&lt;wsp:rsid wsp:val=&quot;47562EDC&quot;/&gt;&lt;wsp:rsid wsp:val=&quot;48B83631&quot;/&gt;&lt;wsp:rsid wsp:val=&quot;49980D9A&quot;/&gt;&lt;wsp:rsid wsp:val=&quot;4BE253C0&quot;/&gt;&lt;wsp:rsid wsp:val=&quot;4CC6202C&quot;/&gt;&lt;wsp:rsid wsp:val=&quot;566F5A8C&quot;/&gt;&lt;wsp:rsid wsp:val=&quot;57AA745E&quot;/&gt;&lt;wsp:rsid wsp:val=&quot;590F60A4&quot;/&gt;&lt;wsp:rsid wsp:val=&quot;597B29EA&quot;/&gt;&lt;wsp:rsid wsp:val=&quot;59DF24BA&quot;/&gt;&lt;wsp:rsid wsp:val=&quot;5B206F97&quot;/&gt;&lt;wsp:rsid wsp:val=&quot;5BDC70FB&quot;/&gt;&lt;wsp:rsid wsp:val=&quot;5E293AF2&quot;/&gt;&lt;wsp:rsid wsp:val=&quot;634F08CC&quot;/&gt;&lt;wsp:rsid wsp:val=&quot;63A90240&quot;/&gt;&lt;wsp:rsid wsp:val=&quot;64CF1C59&quot;/&gt;&lt;wsp:rsid wsp:val=&quot;652F3FE5&quot;/&gt;&lt;wsp:rsid wsp:val=&quot;6594251D&quot;/&gt;&lt;wsp:rsid wsp:val=&quot;65A039FC&quot;/&gt;&lt;wsp:rsid wsp:val=&quot;65B24DF6&quot;/&gt;&lt;wsp:rsid wsp:val=&quot;66AD1D1A&quot;/&gt;&lt;wsp:rsid wsp:val=&quot;68274415&quot;/&gt;&lt;wsp:rsid wsp:val=&quot;687B44E9&quot;/&gt;&lt;wsp:rsid wsp:val=&quot;698D6B79&quot;/&gt;&lt;wsp:rsid wsp:val=&quot;69985D15&quot;/&gt;&lt;wsp:rsid wsp:val=&quot;6A8170D7&quot;/&gt;&lt;wsp:rsid wsp:val=&quot;6CC160FC&quot;/&gt;&lt;wsp:rsid wsp:val=&quot;6E114414&quot;/&gt;&lt;wsp:rsid wsp:val=&quot;70EC6242&quot;/&gt;&lt;wsp:rsid wsp:val=&quot;710F4162&quot;/&gt;&lt;wsp:rsid wsp:val=&quot;75396D33&quot;/&gt;&lt;wsp:rsid wsp:val=&quot;767156B0&quot;/&gt;&lt;wsp:rsid wsp:val=&quot;772A52F9&quot;/&gt;&lt;wsp:rsid wsp:val=&quot;78B31A41&quot;/&gt;&lt;wsp:rsid wsp:val=&quot;78F5393E&quot;/&gt;&lt;/wsp:rsids&gt;&lt;/w:docPr&gt;&lt;w:body&gt;&lt;wx:sect&gt;&lt;w:p wsp:rsidR=&quot;00000000&quot; wsp:rsidRDefault=&quot;0062034B&quot; wsp:rsidP=&quot;0062034B&quot;&gt;&lt;m:oMathPara&gt;&lt;m:oMath&gt;&lt;m:sSub&gt;&lt;m:sSubPr&gt;&lt;m:ctrlPr&gt;&lt;aml:annotation aml:id=&quot;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2&quot; w:type=&quot;Word.Insertion&quot; aml:author=&quot;Hewlett-Packard Caomc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3&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f&gt;&lt;m:fPr&gt;&lt;m:ctrlPr&gt;&lt;aml:annotation aml:id=&quot;4&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fPr&gt;&lt;m:num&gt;&lt;m:sSub&gt;&lt;m:sSubPr&gt;&lt;m:ctrlPr&gt;&lt;aml:annotation aml:id=&quot;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6&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7&quot; w:type=&quot;Word.Insertion&quot; aml:author=&quot;Hewlett-Packard Company&quot; aml:createdate=&quot;2021-09-12T20:28:00Z&quot;&gt;&lt;aml:content&gt;&lt;w:rPr&gt;&lt;w:rFonts w:ascii=&quot;Cambria Math&quot;/&gt;&lt;wx:font wx:val=&quot;Cambria Math&quot;/&gt;&lt;w:i/&gt;&lt;w:kern w:val=&quot;0&quot;/&gt;&lt;w:sz-cs w:val=&quot;21&quot;/&gt;&lt;/w:rPr&gt;&lt;m:t&gt;1&lt;/m:t&gt;&lt;/aml:content&gt;&lt;/aml:annotation&gt;&lt;/m:r&gt;&lt;/m:sub&gt;&lt;/m:sSub&gt;&lt;m:r&gt;&lt;aml:annotation aml:id=&quot;8&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ml:annotation aml:id=&quot;9&quot; w:type=&quot;Wored.Ie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0&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11&quot; w:type=&quot;Word.Insertion&quot; aml:author=&quot;Hewlett-Packard Com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12&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hml:annotation aml:id=&quot;13&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4&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15&quot; w:type=&quot;Word.Insertion&quot; aml:author=&quot;Hewlett-Packard Company&quot; aml:creattedat&lt;e=&quot;2021-09-12T20:28:00Z&quot;&gt;&lt;aml:content&gt;&lt;w:rPr&gt;&lt;w:rFonts w:ascii=&quot;Cambria Math&quot;/&gt;&lt;wx:font wx:val=&quot;Cambria Math&quot;/&gt;&lt;w:i/&gt;&lt;w:kern w:val=&quot;0&quot;/&gt;&lt;w:sz-cs w:val=&quot;21&quot;/&gt;&lt;/w:rPr&gt;&lt;m:t&gt;is&lt;/m:t&gt;&lt;/aml:content&gt;&lt;/aml:annotation&gt;&lt;/m:r&gt;&lt;/m:sub&gt;&lt;/m:sSub&gt;&lt;/m:num&gt;&lt;m:den&gt;&lt;m:sSub&gt;&lt;m:sSubPr&gt;&lt;m:ctrlPr&gt;&lt;aml:annotation aml:id=&quot;1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7&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18&quot; w:type=&quot;Word.Insertion&quot; aml:author=&quot;Hewlett-Packard Company&quot; aml:createdate=&quot;2021-09-12T20:28:00Z&quot;&gt;&lt;aml:content&gt;&lt;w:rPr&gt;&lt;w:rFonts w:ascii=&quot;Cambria Math&quot;/&gt;&lt;wx:font wx:val=&quot;Cambria Math&quot;/&gt;&lt;w:i/&gt;&lt;w:kern w:val=&quot;0&quot;/&gt;&lt;w:sz-cs w:val=&quot;21&quot;/&gt;&lt;/w:rPr&gt;&lt;m:t&gt;0&lt;/m:t&gt;&lt;/aml:content&gt;&lt;/aml:annotation&gt;&lt;/m:r&gt;&lt;/m:sub&gt;&lt;/m:sSub&gt;&lt;m:r&gt;&lt;aml:annotation aml:id=&quot;19&quot; w:type=&quot;Word.Insertion&quot; aml:author=&quot;Hewlett-Packard Company&quot; aml:createdate=&quot;2021-09-12T20:28:00Z&quot;&gt;&lt;aml:content&gt;&lt;w:rPr&gt;&lt;w:rFonts w:ascii=&quot;Cambria Math&quot;/&gt;&lt;w:i/&gt;&lt;w:kern w:val=&quot;0&quot;/&gt;&lt;w:sz-cs w:val=&quot;21&quot;/&gt;&lt;/w:rPr&gt;&lt;m:t&gt;��&lt;/m:tS&gt;&lt;/aml::content&gt;&lt;/aml:annotation&gt;&lt;/m:r&gt;&lt;m:sSub&gt;&lt;m:sSubPr&gt;&lt;m:ctrlPr&gt;&lt;aml:annotation aml:id=&quot;2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21&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22&quot; w:type=&quot;Word.Insertion&quot; aml:author=&quot;Hewlett-Packard Company&quot; aml:createdate=&quot;2021-09-12T20:28:00Z&quot;&gt;&lt;aml:content&gt;&lt;w:rPr&gt;&lt;w:rFonts w:ascii=&quot;Cambria Math&quot;/&gt;&lt;wx:font wx:val=&quot;Cambria Math&quot;/&gt;&lt;w:i/&gt;&lt;w:kern w:val=&quot;0&quot;/&gt;&lt;w:sz-cs w:val=&quot;21&quot;/&gt;&lt;/w:rPr&gt;&lt;m:t&gt;is&lt;/m:t&gt;&lt;/aml:content&gt;&lt;/aml:annotation&gt;&lt;/m:r&gt;&lt;/m:sub&gt;&lt;/m:sSub&gt;&lt;m:r&gt;&lt;aml:annotation aml:id=&quot;23&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24&quot; w:type=&quot;Word.Insertion&quot; aml:author=&quot;Hewlett-Packard Company&quot; aml:createdate=&quot;2021-09-12T20:28:00Z&quot;&gt;&lt;aml:content&gt;&lt;w:rPr&gt;&lt;w:rFonts w:ascii=&quot;Camb/ria Mat-h&quot;/&gt;&lt;wx:font wx:val=&quot;Cambria Math&quot;/&gt;&lt;w:i/&gt;&lt;w:kern w:val=&quot;0&quot;/&gt;&lt;w:sz-cs w:val=&quot;21&quot;/&gt;&lt;/w:rPr&gt;&lt;m:t&gt;R&lt;/m:t&gt;&lt;/aml:content&gt;&lt;/aml:annotation&gt;&lt;/m:r&gt;&lt;m:sSub&gt;&lt;m:sSubPr&gt;&lt;m:ctrlPr&gt;&lt;aml:annotation aml:id=&quot;2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bar&gt;&lt;m:barPr&gt;&lt;m:pos m:val=&quot;top&quot;/&gt;&lt;m:ctrlPr&gt;&lt;aml:annotation aml:id=&quot;2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barPr&gt;&lt;m:e&gt;&lt;m:r&gt;&lt;aml:annotation aml:id=&quot;27&quot; w:type=&quot;Word.Insertion&quot; aml:author=&quot;Hewlett-Packard Company&quot; aml:createdate=&quot;2021-09-12T20:28:00Z&quot;&gt;&lt;aml:content&gt;&lt;w:rPr&gt;&lt;w:rFonts w:ascii=&quot;Cambria Math&quot;/&gt;&lt;wx:font wx:val=&quot;Cambria Math&quot;/&gt;&lt;w:i/&gt;&lt;w:kern w:val=&quot;0&quot;/&gt;&lt;w:sz-cs w:val=&quot;21&quot;/&gt;&lt;/w:rPr&gt;&lt;m:t&gt;RF&lt;/m:t&gt;&lt;/aml:content&gt;&lt;/aml:annotation&gt;&lt;/m:r&gt;&lt;/m:e&gt;&lt;/m:bar&gt;&lt;/m:e&gt;&lt;m:sub&gt;&lt;m:r&gt;&lt;aml:annotation aml:id=&quot;28&quot; w:type=&quot;Word.Insertion&quot; aml:author=&quot;Hewlett-Packard Company&quot; aml:createdate=&quot;2021-09-12T20:28:00Z&quot;&gt;&lt;aml:content&gt;&lt;w:rPr&gt;&lt;w:rFonts w:ascii=&quot;Cambria Math&quot;/&gt;&lt;wx:font wx:val=&quot;Cambria Math&quot;/&gt;&lt;w:i/&gt;&lt;w:kern w:val=&quot;0&quot;/&gt;&lt;w:sz-cs w:val=&quot;21&quot;/&gt;&lt;/w:rPr&gt;&lt;m:t&gt;i&lt;/m:t&gt;&lt;/aml:content&gt;&lt;/aml:annotation&gt;&lt;/m:r&gt;&lt;/m:sub&gt;&lt;/m:sSub&gt;&lt;m:ctrlPr&gt;&lt;aml:annotation aml:id=&quot;29&quot; w:type=&quot;Word.Insertion&quot; aml:author=&quot;Hewlett-Packard Company&quot; aml:createdate=&quot;2021-09-12T20:28:00Z&quot;&gt;&lt;aml:content&gt;&lt;w:rPr&gt;&lt;w:rFonts w:ascii=&quot;Cambria Math&quot; w:h-ansi=&quot;Cambria Math&quot;/&gt;&lt;wx:font wx:val=&quot;Cambria Math&quot;/&gt;&lt;w:i/&gt;&lt;w:kern w:val=&quot;0&quot;/&gt;&lt;w:sz-cs w:val=&quot;21&quot;/&gt;&lt;/w:rPr&gt;&lt;/aml:content&gt;&lt;/aml:annotation&gt;&lt;/m:ctrlPr&gt;&lt;/m:den&gt;&lt;/m:f&gt;&lt;m:r&gt;&lt;aml:annotation aml:id=&quot;30&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31&quot; w:type=&quot;Word.Insertion&quot; aml:author=&quot;Hewlett-Packard Compan8y&quot; aml:careatedate=&quot;2021-09-12T20:28:00Z&quot;&gt;&lt;aml:content&gt;&lt;w:rPr&gt;&lt;w:rFonts w:ascii=&quot;Cambria Math&quot;/&gt;&lt;wx:font wx:val=&quot;Cambria Math&quot;/&gt;&lt;w:i/&gt;&lt;w:kern w:val=&quot;0&quot;/&gt;&lt;w:sz-cs w:val=&quot;21&quot;/&gt;&lt;/w:rPr&gt;&lt;m:t&gt;F&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95" chromakey="#FFFFFF" o:title=""/>
            <o:lock v:ext="edit" aspectratio="t"/>
            <w10:wrap type="none"/>
            <w10:anchorlock/>
          </v:shape>
        </w:pict>
      </w:r>
      <w:r>
        <w:rPr>
          <w:rFonts w:hint="default" w:ascii="Times New Roman" w:hAnsi="Times New Roman" w:cs="Times New Roman"/>
          <w:color w:val="000000"/>
          <w:kern w:val="0"/>
          <w:szCs w:val="21"/>
          <w:highlight w:val="none"/>
        </w:rPr>
        <w:instrText xml:space="preserve"> </w:instrText>
      </w:r>
      <w:r>
        <w:rPr>
          <w:rFonts w:hint="default" w:ascii="Times New Roman" w:hAnsi="Times New Roman" w:cs="Times New Roman"/>
          <w:color w:val="000000"/>
          <w:kern w:val="0"/>
          <w:szCs w:val="21"/>
          <w:highlight w:val="none"/>
        </w:rPr>
        <w:fldChar w:fldCharType="end"/>
      </w:r>
      <w:r>
        <w:rPr>
          <w:rFonts w:hint="default" w:ascii="Times New Roman" w:hAnsi="Times New Roman" w:cs="Times New Roman"/>
          <w:color w:val="000000"/>
          <w:szCs w:val="20"/>
          <w:highlight w:val="none"/>
        </w:rPr>
        <w:fldChar w:fldCharType="begin"/>
      </w:r>
      <w:r>
        <w:rPr>
          <w:rFonts w:hint="default" w:ascii="Times New Roman" w:hAnsi="Times New Roman" w:cs="Times New Roman"/>
          <w:color w:val="000000"/>
          <w:szCs w:val="20"/>
          <w:highlight w:val="none"/>
        </w:rPr>
        <w:instrText xml:space="preserve"> QUOTE </w:instrText>
      </w:r>
      <w:r>
        <w:rPr>
          <w:rFonts w:hint="default" w:ascii="Times New Roman" w:hAnsi="Times New Roman" w:cs="Times New Roman"/>
          <w:color w:val="000000"/>
          <w:position w:val="-26"/>
          <w:highlight w:val="none"/>
        </w:rPr>
        <w:pict>
          <v:shape id="_x0000_i1076" o:spt="75" type="#_x0000_t75" style="height:31.5pt;width:72.75pt;" filled="f" stroked="f" coordsize="21600,2160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245F&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BF245F&quot;&gt;&lt;m:oMathPara&gt;&lt;m:oMath&gt;&lt;m:sSub&gt;&lt;m:sSubPr&gt;&lt;m:ctrlPr&gt;&lt;aml:annotation aml:id=&quot;0&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2&quot; w:type=&quot;Word.Insertion&quot; aml:author=&quot;liu yuzhecn&quot;n aml:createdate=&quot;2021-06-27T17:48:00Z&quot;&gt;&lt;aml:content&gt;&lt;m:r&gt;&lt;w:rPr&gt;&lt;w:rFonts w:ascii=&quot;Cambria Math&quot;/&gt;&lt;wx:font wx:val=&quot;Cambria Math&quot;/&gt;&lt;w:i/&gt;&lt;w:sz-cs w:val=&quot;20&quot;/&gt;&lt;/w:rPr&gt;&lt;m:t&gt;x&lt;/m:t&gt;&lt;/m:r&gt;&lt;/aml:content&gt;&lt;/aml:annotation&gt;&lt;/m:sub&gt;&lt;/m:sSub&gt;&lt;aml:annotation aml:id=&quot;3&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f&gt;&lt;m:fPr&gt;&lt;m:ctrlPr&gt;&lt;aml:annotation aml:id=&quot;4&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7&quot; w:type=&quot;Word.Insertion&quot; aml:author=&quot;liu yuzhen&quot; aml:createdate=&quot;2021-06-27T17:48:00Z&quot;&gt;&lt;aml:content&gt;&lt;m:r&gt;&lt;w:rPr&gt;&lt;w:rFonts w:ascii=&quot;Cambria Math&quot;/&gt;&lt;wx:font wx:val=&quot;Cambria Math&quot;/&gt;&lt;w:i/&gt;&lt;w:sz-cs w:val=&quot;20&quot;/&gt;&lt;/w:rPr&gt;&lt;m:t&gt;x&lt;/m:t&gt;&lt;/m:r&gt;&lt;/aml:content&gt;&lt;/aml:annotation&gt;&lt;/m:sub&gt;&lt;/m:sSub&gt;&lt;aml:annotation aml:id=&quot;8&quot; w:type=&quot;Word.Insertion&quot; aml:author=&quot;liu yuzhen&quot; aml:createdate=&quot;2021-06-27T17:48:00Z&quot;&gt;&lt;aml:content&gt;&lt;m:r&gt;&lt;w:rPr&gt;&lt;w:rFonts w:ascii=&quot;Cambria Math&quot;/&gt;&lt;w:i/&gt;&lt;w:sz-cs w:val=&quot;20&quot;/&gt;&lt;/w:rPr&gt;&lt;m:t&gt;��&lt;/m:t&gt;&lt;/m:r&gt;&lt;/amlo:cotntent&gt;&lt;/aml:annotation&gt;&lt;m:sSub&gt;&lt;m:sSubPr&gt;&lt;m:ctrlPr&gt;&lt;aml:annotation aml:id=&quot;9&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0&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11&quot; w:type=&quot;Word.Insertion&quot; aml:author=&quot;liu yuzhen&quot; aml:createdate=&gt;&quot;202r1-06-27T17:48:00Z&quot;&gt;&lt;aml:content&gt;&lt;m:r&gt;&lt;w:rPr&gt;&lt;w:rFonts w:ascii=&quot;Cambria Math&quot;/&gt;&lt;wx:font wx:val=&quot;Cambria Math&quot;/&gt;&lt;w:i/&gt;&lt;w:sz-cs w:val=&quot;20&quot;/&gt;&lt;/w:rPr&gt;&lt;m:t&gt;IS&lt;/m:t&gt;&lt;/m:r&gt;&lt;/aml:content&gt;&lt;/aml:annotation&gt;&lt;/m:sub&gt;&lt;/m:sSub&gt;&lt;/m:num&gt;&lt;m:den&gt;&lt;m:sSub&gt;&lt;m:sSubPr&gt;&lt;m:ctrlPr&gt;&lt;aml:annotation aml:id=&quot;12&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3&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14&quot; w:type=&quot;Word.Insertion&quot; aml:author=&quot;liu yuzhen&quot; aml:createdate=&quot;2021-06-27T17:48:00Z&quot;&gt;&lt;aml:content&gt;&lt;m:r&gt;&lt;w:rPr&gt;&lt;w:rFonts w:ascii=&quot;Cambria Math&quot;/&gt;&lt;wx:font wx:val=&quot;Cambria Math&quot;/&gt;&lt;w:i/&gt;&lt;w:sz-cs w:val=&quot;20&quot;/&gt;&lt;/w:rPr&gt;&lt;m:t&gt;IS&lt;/m:t&gt;&lt;/m:r&gt;&lt;/aml:content&gt;&lt;/aml:annotation&gt;&lt;/m:sub&gt;&lt;/m:sSub&gt;&lt;aml:annotation aml:id=&quot;15&quot; w:type=&quot;Word.Insertion&quot; aml:author=&quot;liu yuzhen&quot; aml:createdate=&quot;2021-06-27T17:48:00Z&quot;&gt;&lt;aml:content&gt;&lt;m:r&gt;&lt;w:rPr&gt;&lt;w:rFonts w:ascii=&quot;Cambria Math&quot;/&gt;&lt;w:i/&gt;&lt;w:sz-cs w:val=&quot;20&quot;/&gt;&lt;/w:rPr&gt;&lt;m:t&gt;��&lt;/m:t&gt;&lt;/m:r&gt;&lt;/aml:content&gt;&lt;/aml:annotation&gt;&lt;m:bar&gt;&lt;m:barPr&gt;&lt;m:pos m:val=&quot;top&quot;/&gt;&lt;m:ctrlPr&gt;&lt;aml:annotation aml:id=&quot;16&quot; w:type=&quot;Wordt.Inse0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barPr&gt;&lt;m:e&gt;&lt;aml:annotation aml:id=&quot;17&quot; w:type=&quot;Word.Insertion&quot; aml:author=&quot;liu yuzhen&quot; aml:createdate=&quot;2021-06-27T17:48:00Z&quot;&gt;&lt;aml:content&gt;&lt;m:r&gt;&lt;w:rPr&gt;&lt;w:rFonts w:ascii=&quot;Cambria Math&quot;/&gt;&lt;wx:font wx:val=&quot;Cambria Math&quot;/&gt;&lt;w:i/&gt;&lt;w:sz-cs w:val=&quot;20&quot;/&gt;&lt;/w:rPr&gt;&lt;m:t&gt;RRF&lt;/m:t&gt;&lt;/m:r&gt;&lt;/aml:content&gt;&lt;/aml:annotation&gt;&lt;/m:e&gt;&lt;/m:bar&gt;&lt;/m:den&gt;&lt;/m:f&gt;&lt;aml:annotation aml:id=&quot;18&quot; w:type=&quot;Word.Insertion&quot; aml:author=&quot;liu yuzhen&quot; aml:createdate=&quot;2021-06-27T17:48:00Z&quot;&gt;&lt;aml:content&gt;&lt;m:r&gt;&lt;w:rPr&gt;&lt;w:rFonts w:ascii=&quot;Cambria Math&quot;/&gt;&lt;w:i/&gt;&lt;w:sz-cs w:val=&quot;20&quot;/&gt;&lt;/w:rPr&gt;&lt;m:t&gt;��&lt;/m:t&gt;&lt;/m:r&gt;&lt;/aml:content&gt;&lt;/aml:annotation&gt;&lt;m:f&gt;&lt;m:fPr&gt;&lt;m:ctrlPr&gt;&lt;aml:annotation aml:id=&quot;19&quot; w:type=&quot;Word.Insertion&quot; aml:author=&quot;liu yuzhen&quot; aml:createdate=&quot;2021-06-27T17:48:00Z&quot;&gt;&lt;aml:content&gt;&lt;w:rPr&gt;&lt;w:rFonts tw:asciwi=&quot;Cambria Math&quot; w:h-ansi=&quot;Cambria Math&quot;/&gt;&lt;wx:font wx:val=&quot;Cambria Math&quot;/&gt;&lt;w:i/&gt;&lt;w:sz-cs w:val=&quot;20&quot;/&gt;&lt;/w:rPr&gt;&lt;/aml:content&gt;&lt;/aml:annotation&gt;&lt;/m:ctrlPr&gt;&lt;/m:fPr&gt;&lt;m:num&gt;&lt;aml:annotation aml:id=&quot;20&quot; w:type=&quot;Word.Insertion&quot; aml:author=&quot;liu yuzhen&quot; aml:createdate=&quot;2021-06-27T17:48:00Z&quot;&gt;&lt;aml:content&gt;&lt;m:r&gt;&lt;w:rPr&gt;&lt;w:rFonts w:ascii=&quot;Cambria Math&quot;/&gt;&lt;wx:font wx:val=&quot;Cambria Math&quot;/&gt;&lt;w:i/&gt;&lt;w:sz-cs w:val=&quot;20&quot;/&gt;&lt;/w:rPr&gt;&lt;m:t&gt;1&lt;/m:t&gt;&lt;/m:r&gt;&lt;/aml:content&gt;&lt;/aml:annotation&gt;&lt;/m:num&gt;&lt;m:den&gt;&lt;aml:annotation aml:id=&quot;21&quot; w:type=&quot;Word.Insertion&quot; aml:author=&quot;liu yuzhen&quot; aml:createdate=&quot;2021-06-27T17:48:00Z&quot;&gt;&lt;aml:content&gt;&lt;m:r&gt;&lt;w:rPr&gt;&lt;w:rFonts w:ascii=&quot;Cambria Math&quot;/&gt;&lt;wx:font wx:val=&quot;Cambria Math&quot;/&gt;&lt;w:i/&gt;&lt;w:sz-cs w:val=&quot;20&quot;/&gt;&lt;/w:rPr&gt;&lt;m:t&gt;f&lt;/m:t&gt;&lt;/m:r&gt;&lt;/aml:content&gt;&lt;/aml:annotation&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96" chromakey="#FFFFFF" o:title=""/>
            <o:lock v:ext="edit" aspectratio="t"/>
            <w10:wrap type="none"/>
            <w10:anchorlock/>
          </v:shape>
        </w:pict>
      </w:r>
      <w:r>
        <w:rPr>
          <w:rFonts w:hint="default" w:ascii="Times New Roman" w:hAnsi="Times New Roman" w:cs="Times New Roman"/>
          <w:color w:val="000000"/>
          <w:szCs w:val="20"/>
          <w:highlight w:val="none"/>
        </w:rPr>
        <w:instrText xml:space="preserve"> </w:instrText>
      </w:r>
      <w:r>
        <w:rPr>
          <w:rFonts w:hint="default" w:ascii="Times New Roman" w:hAnsi="Times New Roman" w:cs="Times New Roman"/>
          <w:color w:val="000000"/>
          <w:szCs w:val="20"/>
          <w:highlight w:val="none"/>
        </w:rPr>
        <w:fldChar w:fldCharType="end"/>
      </w: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szCs w:val="20"/>
          <w:highlight w:val="none"/>
          <w:lang w:val="en-US" w:eastAsia="zh-CN"/>
        </w:rPr>
        <w:t xml:space="preserve">   </w:t>
      </w: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highlight w:val="none"/>
        </w:rPr>
        <w:t>（7）</w:t>
      </w:r>
    </w:p>
    <w:p w14:paraId="1F3F269A">
      <w:pPr>
        <w:widowControl/>
        <w:spacing w:line="360" w:lineRule="exact"/>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szCs w:val="21"/>
          <w:highlight w:val="none"/>
        </w:rPr>
        <w:t>式中：</w:t>
      </w:r>
      <w:r>
        <w:rPr>
          <w:rFonts w:hint="default" w:ascii="Times New Roman" w:hAnsi="Times New Roman" w:cs="Times New Roman"/>
          <w:color w:val="000000"/>
          <w:position w:val="-6"/>
          <w:szCs w:val="20"/>
          <w:highlight w:val="none"/>
        </w:rPr>
        <w:object>
          <v:shape id="_x0000_i1077" o:spt="75" type="#_x0000_t75" style="height:11pt;width:12pt;" o:ole="t" filled="f" stroked="f" coordsize="21600,21600">
            <v:path/>
            <v:fill on="f" focussize="0,0"/>
            <v:stroke on="f"/>
            <v:imagedata r:id="rId98" o:title=""/>
            <o:lock v:ext="edit" aspectratio="t"/>
            <w10:wrap type="none"/>
            <w10:anchorlock/>
          </v:shape>
          <o:OLEObject Type="Embed" ProgID="Equation.KSEE3" ShapeID="_x0000_i1077" DrawAspect="Content" ObjectID="_1468075767" r:id="rId97">
            <o:LockedField>false</o:LockedField>
          </o:OLEObject>
        </w:object>
      </w:r>
      <w:r>
        <w:rPr>
          <w:rFonts w:hint="default" w:ascii="Times New Roman" w:hAnsi="Times New Roman" w:cs="Times New Roman"/>
          <w:color w:val="000000"/>
          <w:kern w:val="0"/>
          <w:szCs w:val="21"/>
          <w:highlight w:val="none"/>
        </w:rPr>
        <w:t>——样品中的目标化合物含量，mg/kg；</w:t>
      </w:r>
    </w:p>
    <w:p w14:paraId="4C5FBC78">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2"/>
          <w:szCs w:val="20"/>
          <w:highlight w:val="none"/>
        </w:rPr>
        <w:object>
          <v:shape id="_x0000_i1078" o:spt="75" type="#_x0000_t75" style="height:18pt;width:15pt;" o:ole="t" filled="f" stroked="f" coordsize="21600,21600">
            <v:path/>
            <v:fill on="f" focussize="0,0"/>
            <v:stroke on="f"/>
            <v:imagedata r:id="rId100" o:title=""/>
            <o:lock v:ext="edit" aspectratio="t"/>
            <w10:wrap type="none"/>
            <w10:anchorlock/>
          </v:shape>
          <o:OLEObject Type="Embed" ProgID="Equation.KSEE3" ShapeID="_x0000_i1078" DrawAspect="Content" ObjectID="_1468075768" r:id="rId99">
            <o:LockedField>false</o:LockedField>
          </o:OLEObject>
        </w:object>
      </w:r>
      <w:r>
        <w:rPr>
          <w:rFonts w:hint="default" w:ascii="Times New Roman" w:hAnsi="Times New Roman" w:cs="Times New Roman"/>
          <w:color w:val="000000"/>
          <w:kern w:val="0"/>
          <w:szCs w:val="21"/>
          <w:highlight w:val="none"/>
        </w:rPr>
        <w:t>——试样中目标化合物定量离子峰面积；</w:t>
      </w:r>
    </w:p>
    <w:p w14:paraId="3D4920B5">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2"/>
          <w:szCs w:val="20"/>
          <w:highlight w:val="none"/>
        </w:rPr>
        <w:object>
          <v:shape id="_x0000_i1079" o:spt="75" type="#_x0000_t75" style="height:18pt;width:18pt;" o:ole="t" filled="f" stroked="f" coordsize="21600,21600">
            <v:path/>
            <v:fill on="f" focussize="0,0"/>
            <v:stroke on="f"/>
            <v:imagedata r:id="rId102" o:title=""/>
            <o:lock v:ext="edit" aspectratio="t"/>
            <w10:wrap type="none"/>
            <w10:anchorlock/>
          </v:shape>
          <o:OLEObject Type="Embed" ProgID="Equation.KSEE3" ShapeID="_x0000_i1079" DrawAspect="Content" ObjectID="_1468075769" r:id="rId101">
            <o:LockedField>false</o:LockedField>
          </o:OLEObject>
        </w:object>
      </w:r>
      <w:r>
        <w:rPr>
          <w:rFonts w:hint="default" w:ascii="Times New Roman" w:hAnsi="Times New Roman" w:cs="Times New Roman"/>
          <w:color w:val="000000"/>
          <w:kern w:val="0"/>
          <w:szCs w:val="21"/>
          <w:highlight w:val="none"/>
        </w:rPr>
        <w:t>——试样中内标化合物定量离子峰面积；</w:t>
      </w:r>
    </w:p>
    <w:p w14:paraId="00333DC8">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2"/>
          <w:szCs w:val="20"/>
          <w:highlight w:val="none"/>
        </w:rPr>
        <w:object>
          <v:shape id="_x0000_i1080" o:spt="75" type="#_x0000_t75" style="height:18pt;width:18pt;" o:ole="t" filled="f" stroked="f" coordsize="21600,21600">
            <v:path/>
            <v:fill on="f" focussize="0,0"/>
            <v:stroke on="f"/>
            <v:imagedata r:id="rId104" o:title=""/>
            <o:lock v:ext="edit" aspectratio="t"/>
            <w10:wrap type="none"/>
            <w10:anchorlock/>
          </v:shape>
          <o:OLEObject Type="Embed" ProgID="Equation.KSEE3" ShapeID="_x0000_i1080" DrawAspect="Content" ObjectID="_1468075770" r:id="rId103">
            <o:LockedField>false</o:LockedField>
          </o:OLEObject>
        </w:object>
      </w:r>
      <w:r>
        <w:rPr>
          <w:rFonts w:hint="default" w:ascii="Times New Roman" w:hAnsi="Times New Roman" w:cs="Times New Roman"/>
          <w:color w:val="000000"/>
          <w:kern w:val="0"/>
          <w:szCs w:val="21"/>
          <w:highlight w:val="none"/>
        </w:rPr>
        <w:t>——测试液中内标化合物的质量浓度，mg/L；</w:t>
      </w:r>
    </w:p>
    <w:p w14:paraId="62266F2C">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4"/>
          <w:szCs w:val="20"/>
          <w:highlight w:val="none"/>
        </w:rPr>
        <w:object>
          <v:shape id="_x0000_i1081" o:spt="75" type="#_x0000_t75" style="height:16pt;width:27pt;" o:ole="t" filled="f" stroked="f" coordsize="21600,21600">
            <v:path/>
            <v:fill on="f" focussize="0,0"/>
            <v:stroke on="f"/>
            <v:imagedata r:id="rId106" o:title=""/>
            <o:lock v:ext="edit" aspectratio="t"/>
            <w10:wrap type="none"/>
            <w10:anchorlock/>
          </v:shape>
          <o:OLEObject Type="Embed" ProgID="Equation.KSEE3" ShapeID="_x0000_i1081" DrawAspect="Content" ObjectID="_1468075771" r:id="rId105">
            <o:LockedField>false</o:LockedField>
          </o:OLEObject>
        </w:object>
      </w:r>
      <w:r>
        <w:rPr>
          <w:rFonts w:hint="default" w:ascii="Times New Roman" w:hAnsi="Times New Roman" w:cs="Times New Roman"/>
          <w:color w:val="000000"/>
          <w:kern w:val="0"/>
          <w:szCs w:val="21"/>
          <w:highlight w:val="none"/>
        </w:rPr>
        <w:t>——标准系列中目标化合物的平均相对响应因子；</w:t>
      </w:r>
    </w:p>
    <w:p w14:paraId="42A785DD">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2"/>
          <w:szCs w:val="20"/>
          <w:highlight w:val="none"/>
        </w:rPr>
        <w:object>
          <v:shape id="_x0000_i1082" o:spt="75" type="#_x0000_t75" style="height:18pt;width:13.95pt;" o:ole="t" filled="f" stroked="f" coordsize="21600,21600">
            <v:path/>
            <v:fill on="f" focussize="0,0"/>
            <v:stroke on="f"/>
            <v:imagedata r:id="rId108" o:title=""/>
            <o:lock v:ext="edit" aspectratio="t"/>
            <w10:wrap type="none"/>
            <w10:anchorlock/>
          </v:shape>
          <o:OLEObject Type="Embed" ProgID="Equation.KSEE3" ShapeID="_x0000_i1082" DrawAspect="Content" ObjectID="_1468075772" r:id="rId107">
            <o:LockedField>false</o:LockedField>
          </o:OLEObject>
        </w:object>
      </w:r>
      <w:r>
        <w:rPr>
          <w:rFonts w:hint="default" w:ascii="Times New Roman" w:hAnsi="Times New Roman" w:cs="Times New Roman"/>
          <w:color w:val="000000"/>
          <w:kern w:val="0"/>
          <w:szCs w:val="21"/>
          <w:highlight w:val="none"/>
        </w:rPr>
        <w:t>——试样提取液的体积，ml；</w:t>
      </w:r>
    </w:p>
    <w:p w14:paraId="419ED03E">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6"/>
          <w:szCs w:val="20"/>
          <w:highlight w:val="none"/>
        </w:rPr>
        <w:object>
          <v:shape id="_x0000_i1083" o:spt="75" type="#_x0000_t75" style="height:10.6pt;width:13.15pt;" o:ole="t" filled="f" stroked="f" coordsize="21600,21600">
            <v:path/>
            <v:fill on="f" focussize="0,0"/>
            <v:stroke on="f"/>
            <v:imagedata r:id="rId110" o:title=""/>
            <o:lock v:ext="edit" aspectratio="t"/>
            <w10:wrap type="none"/>
            <w10:anchorlock/>
          </v:shape>
          <o:OLEObject Type="Embed" ProgID="Equation.KSEE3" ShapeID="_x0000_i1083" DrawAspect="Content" ObjectID="_1468075773" r:id="rId109">
            <o:LockedField>false</o:LockedField>
          </o:OLEObject>
        </w:object>
      </w:r>
      <w:r>
        <w:rPr>
          <w:rFonts w:hint="default" w:ascii="Times New Roman" w:hAnsi="Times New Roman" w:cs="Times New Roman"/>
          <w:color w:val="000000"/>
          <w:kern w:val="0"/>
          <w:szCs w:val="21"/>
          <w:highlight w:val="none"/>
        </w:rPr>
        <w:t>——样品的称样量，g；</w:t>
      </w:r>
    </w:p>
    <w:p w14:paraId="2FA1267A">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2"/>
          <w:szCs w:val="20"/>
          <w:highlight w:val="none"/>
        </w:rPr>
        <w:object>
          <v:shape id="_x0000_i1084" o:spt="75" type="#_x0000_t75" style="height:18pt;width:20pt;" o:ole="t" filled="f" stroked="f" coordsize="21600,21600">
            <v:path/>
            <v:fill on="f" focussize="0,0"/>
            <v:stroke on="f"/>
            <v:imagedata r:id="rId112" o:title=""/>
            <o:lock v:ext="edit" aspectratio="t"/>
            <w10:wrap type="none"/>
            <w10:anchorlock/>
          </v:shape>
          <o:OLEObject Type="Embed" ProgID="Equation.KSEE3" ShapeID="_x0000_i1084" DrawAspect="Content" ObjectID="_1468075774" r:id="rId111">
            <o:LockedField>false</o:LockedField>
          </o:OLEObject>
        </w:object>
      </w:r>
      <w:r>
        <w:rPr>
          <w:rFonts w:hint="default" w:ascii="Times New Roman" w:hAnsi="Times New Roman" w:cs="Times New Roman"/>
          <w:color w:val="000000"/>
          <w:kern w:val="0"/>
          <w:szCs w:val="21"/>
          <w:highlight w:val="none"/>
        </w:rPr>
        <w:t>——样品的干物质含量，%；</w:t>
      </w:r>
    </w:p>
    <w:p w14:paraId="4DA16603">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4"/>
          <w:szCs w:val="20"/>
          <w:highlight w:val="none"/>
        </w:rPr>
        <w:object>
          <v:shape id="_x0000_i1085" o:spt="75" type="#_x0000_t75" style="height:12.55pt;width:13.15pt;" o:ole="t" filled="f" o:preferrelative="t" stroked="f" coordsize="21600,21600">
            <v:path/>
            <v:fill on="f" alignshape="1" focussize="0,0"/>
            <v:stroke on="f"/>
            <v:imagedata r:id="rId114" o:title=""/>
            <o:lock v:ext="edit" aspectratio="t"/>
            <w10:wrap type="none"/>
            <w10:anchorlock/>
          </v:shape>
          <o:OLEObject Type="Embed" ProgID="Equation.KSEE3" ShapeID="_x0000_i1085" DrawAspect="Content" ObjectID="_1468075775" r:id="rId113">
            <o:LockedField>false</o:LockedField>
          </o:OLEObject>
        </w:object>
      </w:r>
      <w:r>
        <w:rPr>
          <w:rFonts w:hint="default" w:ascii="Times New Roman" w:hAnsi="Times New Roman" w:cs="Times New Roman"/>
          <w:color w:val="000000"/>
          <w:kern w:val="0"/>
          <w:szCs w:val="21"/>
          <w:highlight w:val="none"/>
        </w:rPr>
        <w:t>——稀释倍数。</w:t>
      </w:r>
    </w:p>
    <w:p w14:paraId="1A739EF6">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.3.2  标准曲线法</w:t>
      </w:r>
    </w:p>
    <w:p w14:paraId="4711089E">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当采用标准曲线进行校准时，样品中目标化合物的质量浓度</w:t>
      </w:r>
      <w:r>
        <w:rPr>
          <w:rFonts w:hint="default" w:ascii="Times New Roman" w:hAnsi="Times New Roman" w:cs="Times New Roman"/>
          <w:color w:val="000000"/>
          <w:kern w:val="0"/>
          <w:position w:val="-12"/>
          <w:szCs w:val="21"/>
          <w:highlight w:val="none"/>
        </w:rPr>
        <w:object>
          <v:shape id="_x0000_i1086" o:spt="75" type="#_x0000_t75" style="height:18.4pt;width:17.8pt;" o:ole="t" filled="f" o:preferrelative="t" stroked="f" coordsize="21600,21600">
            <v:path/>
            <v:fill on="f" focussize="0,0"/>
            <v:stroke on="f"/>
            <v:imagedata r:id="rId116" o:title=""/>
            <o:lock v:ext="edit" aspectratio="t"/>
            <w10:wrap type="none"/>
            <w10:anchorlock/>
          </v:shape>
          <o:OLEObject Type="Embed" ProgID="Equation.3" ShapeID="_x0000_i1086" DrawAspect="Content" ObjectID="_1468075776" r:id="rId115">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按照式（8）进行计算：</w:t>
      </w:r>
    </w:p>
    <w:p w14:paraId="22ED1CC0">
      <w:pPr>
        <w:keepNext w:val="0"/>
        <w:keepLines w:val="0"/>
        <w:pageBreakBefore w:val="0"/>
        <w:widowControl/>
        <w:tabs>
          <w:tab w:val="left" w:pos="2730"/>
        </w:tabs>
        <w:kinsoku/>
        <w:wordWrap w:val="0"/>
        <w:overflowPunct/>
        <w:topLinePunct/>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0"/>
          <w:highlight w:val="none"/>
          <w:lang w:val="en-US" w:eastAsia="zh-CN"/>
        </w:rPr>
        <w:tab/>
      </w:r>
      <w:r>
        <w:rPr>
          <w:rFonts w:hint="default" w:ascii="Times New Roman" w:hAnsi="Times New Roman" w:cs="Times New Roman"/>
          <w:color w:val="000000"/>
          <w:position w:val="-30"/>
          <w:szCs w:val="20"/>
          <w:highlight w:val="none"/>
        </w:rPr>
        <w:object>
          <v:shape id="_x0000_i1087" o:spt="75" type="#_x0000_t75" style="height:34pt;width:85pt;" o:ole="t" filled="f" o:preferrelative="t" stroked="f" coordsize="21600,21600">
            <v:path/>
            <v:fill on="f" alignshape="1" focussize="0,0"/>
            <v:stroke on="f"/>
            <v:imagedata r:id="rId118" o:title=""/>
            <o:lock v:ext="edit" aspectratio="t"/>
            <w10:wrap type="none"/>
            <w10:anchorlock/>
          </v:shape>
          <o:OLEObject Type="Embed" ProgID="Equation.KSEE3" ShapeID="_x0000_i1087" DrawAspect="Content" ObjectID="_1468075777" r:id="rId117">
            <o:LockedField>false</o:LockedField>
          </o:OLEObject>
        </w:object>
      </w: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kern w:val="0"/>
          <w:szCs w:val="21"/>
          <w:highlight w:val="none"/>
        </w:rPr>
        <w:fldChar w:fldCharType="begin"/>
      </w:r>
      <w:r>
        <w:rPr>
          <w:rFonts w:hint="default" w:ascii="Times New Roman" w:hAnsi="Times New Roman" w:cs="Times New Roman"/>
          <w:color w:val="000000"/>
          <w:kern w:val="0"/>
          <w:szCs w:val="21"/>
          <w:highlight w:val="none"/>
        </w:rPr>
        <w:instrText xml:space="preserve"> QUOTE </w:instrText>
      </w:r>
      <w:r>
        <w:rPr>
          <w:rFonts w:hint="default" w:ascii="Times New Roman" w:hAnsi="Times New Roman" w:cs="Times New Roman"/>
          <w:color w:val="000000"/>
          <w:position w:val="-25"/>
          <w:highlight w:val="none"/>
        </w:rPr>
        <w:pict>
          <v:shape id="_x0000_i1088" o:spt="75" type="#_x0000_t75" style="height:31pt;width:89.5pt;" filled="f" stroked="f" coordsize="21600,2160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evenAndOddHeaders/&gt;&lt;w:drawingGridHorizontalSpacing w:val=&quot;105&quot;/&gt;&lt;w:drawingGridVerticalSpacing w:val=&quot;156&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98733A&quot;/&gt;&lt;wsp:rsid wsp:val=&quot;000007CD&quot;/&gt;&lt;wsp:rsid wsp:val=&quot;00001E92&quot;/&gt;&lt;wsp:rsid wsp:val=&quot;000024BB&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7A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9FE&quot;/&gt;&lt;wsp:rsid wsp:val=&quot;00077C25&quot;/&gt;&lt;wsp:rsid wsp:val=&quot;00080EDE&quot;/&gt;&lt;wsp:rsid wsp:val=&quot;00081449&quot;/&gt;&lt;wsp:rsid wsp:val=&quot;00082CED&quot;/&gt;&lt;wsp:rsid wsp:val=&quot;00085638&quot;/&gt;&lt;wsp:rsid wsp:val=&quot;0008588E&quot;/&gt;&lt;wsp:rsid wsp:val=&quot;00085D93&quot;/&gt;&lt;wsp:rsid wsp:val=&quot;00085E45&quot;/&gt;&lt;wsp:rsid wsp:val=&quot;000864BD&quot;/&gt;&lt;wsp:rsid wsp:val=&quot;000865E8&quot;/&gt;&lt;wsp:rsid wsp:val=&quot;0008674F&quot;/&gt;&lt;wsp:rsid wsp:val=&quot;00086F13&quot;/&gt;&lt;wsp:rsid wsp:val=&quot;00086FE7&quot;/&gt;&lt;wsp:rsid wsp:val=&quot;000872F0&quot;/&gt;&lt;wsp:rsid wsp:val=&quot;000873AA&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5E0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15096&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2DFB&quot;/&gt;&lt;wsp:rsid wsp:val=&quot;001548CB&quot;/&gt;&lt;wsp:rsid wsp:val=&quot;00155010&quot;/&gt;&lt;wsp:rsid wsp:val=&quot;00156A04&quot;/&gt;&lt;wsp:rsid wsp:val=&quot;0016106A&quot;/&gt;&lt;wsp:rsid wsp:val=&quot;00161A98&quot;/&gt;&lt;wsp:rsid wsp:val=&quot;00162B37&quot;/&gt;&lt;wsp:rsid wsp:val=&quot;00163965&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2C02&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2A1&quot;/&gt;&lt;wsp:rsid wsp:val=&quot;00216659&quot;/&gt;&lt;wsp:rsid wsp:val=&quot;00216860&quot;/&gt;&lt;wsp:rsid wsp:val=&quot;00217A35&quot;/&gt;&lt;wsp:rsid wsp:val=&quot;00220780&quot;/&gt;&lt;wsp:rsid wsp:val=&quot;00220BA9&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1B80&quot;/&gt;&lt;wsp:rsid wsp:val=&quot;0023574C&quot;/&gt;&lt;wsp:rsid wsp:val=&quot;00236A27&quot;/&gt;&lt;wsp:rsid wsp:val=&quot;00236AD1&quot;/&gt;&lt;wsp:rsid wsp:val=&quot;002407A9&quot;/&gt;&lt;wsp:rsid wsp:val=&quot;00240971&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EDA&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447&quot;/&gt;&lt;wsp:rsid wsp:val=&quot;002A1955&quot;/&gt;&lt;wsp:rsid wsp:val=&quot;002A1F81&quot;/&gt;&lt;wsp:rsid wsp:val=&quot;002A30EC&quot;/&gt;&lt;wsp:rsid wsp:val=&quot;002A4ACE&quot;/&gt;&lt;wsp:rsid wsp:val=&quot;002A562E&quot;/&gt;&lt;wsp:rsid wsp:val=&quot;002A6067&quot;/&gt;&lt;wsp:rsid wsp:val=&quot;002A68B6&quot;/&gt;&lt;wsp:rsid wsp:val=&quot;002A6C74&quot;/&gt;&lt;wsp:rsid wsp:val=&quot;002A6DB9&quot;/&gt;&lt;wsp:rsid wsp:val=&quot;002A76EB&quot;/&gt;&lt;wsp:rsid wsp:val=&quot;002B0F8D&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658D&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E7ED0&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5C83&quot;/&gt;&lt;wsp:rsid wsp:val=&quot;00306D83&quot;/&gt;&lt;wsp:rsid wsp:val=&quot;003102CF&quot;/&gt;&lt;wsp:rsid wsp:val=&quot;00310B5D&quot;/&gt;&lt;wsp:rsid wsp:val=&quot;003110FD&quot;/&gt;&lt;wsp:rsid wsp:val=&quot;00311234&quot;/&gt;&lt;wsp:rsid wsp:val=&quot;00312B67&quot;/&gt;&lt;wsp:rsid wsp:val=&quot;00315308&quot;/&gt;&lt;wsp:rsid wsp:val=&quot;00315423&quot;/&gt;&lt;wsp:rsid wsp:val=&quot;00315551&quot;/&gt;&lt;wsp:rsid wsp:val=&quot;00315F84&quot;/&gt;&lt;wsp:rsid wsp:val=&quot;00321FEF&quot;/&gt;&lt;wsp:rsid wsp:val=&quot;00322C82&quot;/&gt;&lt;wsp:rsid wsp:val=&quot;00323E5A&quot;/&gt;&lt;wsp:rsid wsp:val=&quot;00324C74&quot;/&gt;&lt;wsp:rsid wsp:val=&quot;003253DC&quot;/&gt;&lt;wsp:rsid wsp:val=&quot;0032686C&quot;/&gt;&lt;wsp:rsid wsp:val=&quot;00326F98&quot;/&gt;&lt;wsp:rsid wsp:val=&quot;00327401&quot;/&gt;&lt;wsp:rsid wsp:val=&quot;003305BC&quot;/&gt;&lt;wsp:rsid wsp:val=&quot;0033178B&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292F&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1B3F&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2A63&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0E8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2BD4&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5DFB&quot;/&gt;&lt;wsp:rsid wsp:val=&quot;004976DE&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1CF&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6&quot;/&gt;&lt;wsp:rsid wsp:val=&quot;00516D68&quot;/&gt;&lt;wsp:rsid wsp:val=&quot;00520C51&quot;/&gt;&lt;wsp:rsid wsp:val=&quot;00521CCD&quot;/&gt;&lt;wsp:rsid wsp:val=&quot;0052241C&quot;/&gt;&lt;wsp:rsid wsp:val=&quot;005228F8&quot;/&gt;&lt;wsp:rsid wsp:val=&quot;00522C11&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027&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2E78&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0C78&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2EE5&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2B3&quot;/&gt;&lt;wsp:rsid wsp:val=&quot;006025E4&quot;/&gt;&lt;wsp:rsid wsp:val=&quot;0060290A&quot;/&gt;&lt;wsp:rsid wsp:val=&quot;0060296E&quot;/&gt;&lt;wsp:rsid wsp:val=&quot;006043E0&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034B&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781&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49&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0F9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4975&quot;/&gt;&lt;wsp:rsid wsp:val=&quot;006D58A0&quot;/&gt;&lt;wsp:rsid wsp:val=&quot;006D5D8A&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144A&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24E5&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1A4C&quot;/&gt;&lt;wsp:rsid wsp:val=&quot;00761BF1&quot;/&gt;&lt;wsp:rsid wsp:val=&quot;007624DE&quot;/&gt;&lt;wsp:rsid wsp:val=&quot;0076298D&quot;/&gt;&lt;wsp:rsid wsp:val=&quot;00762A95&quot;/&gt;&lt;wsp:rsid wsp:val=&quot;00763F3D&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2969&quot;/&gt;&lt;wsp:rsid wsp:val=&quot;007A3E0B&quot;/&gt;&lt;wsp:rsid wsp:val=&quot;007A4C08&quot;/&gt;&lt;wsp:rsid wsp:val=&quot;007A5376&quot;/&gt;&lt;wsp:rsid wsp:val=&quot;007A61DB&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6C1C&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1018&quot;/&gt;&lt;wsp:rsid wsp:val=&quot;007F2A3E&quot;/&gt;&lt;wsp:rsid wsp:val=&quot;007F32D0&quot;/&gt;&lt;wsp:rsid wsp:val=&quot;007F3458&quot;/&gt;&lt;wsp:rsid wsp:val=&quot;007F3F81&quot;/&gt;&lt;wsp:rsid wsp:val=&quot;007F57AC&quot;/&gt;&lt;wsp:rsid wsp:val=&quot;007F63D6&quot;/&gt;&lt;wsp:rsid wsp:val=&quot;008006A7&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428&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01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956&quot;/&gt;&lt;wsp:rsid wsp:val=&quot;00875C23&quot;/&gt;&lt;wsp:rsid wsp:val=&quot;00876B23&quot;/&gt;&lt;wsp:rsid wsp:val=&quot;008770F4&quot;/&gt;&lt;wsp:rsid wsp:val=&quot;00877389&quot;/&gt;&lt;wsp:rsid wsp:val=&quot;008774C4&quot;/&gt;&lt;wsp:rsid wsp:val=&quot;008776CC&quot;/&gt;&lt;wsp:rsid wsp:val=&quot;00880E82&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69A7&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3699&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9&quot;/&gt;&lt;wsp:rsid wsp:val=&quot;0097626F&quot;/&gt;&lt;wsp:rsid wsp:val=&quot;00977B90&quot;/&gt;&lt;wsp:rsid wsp:val=&quot;00980A9E&quot;/&gt;&lt;wsp:rsid wsp:val=&quot;00980CCA&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88F&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2D89&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682&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5AAC&quot;/&gt;&lt;wsp:rsid wsp:val=&quot;00A2669F&quot;/&gt;&lt;wsp:rsid wsp:val=&quot;00A30861&quot;/&gt;&lt;wsp:rsid wsp:val=&quot;00A30E80&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2E05&quot;/&gt;&lt;wsp:rsid wsp:val=&quot;00A4366F&quot;/&gt;&lt;wsp:rsid wsp:val=&quot;00A43704&quot;/&gt;&lt;wsp:rsid wsp:val=&quot;00A43C32&quot;/&gt;&lt;wsp:rsid wsp:val=&quot;00A440E4&quot;/&gt;&lt;wsp:rsid wsp:val=&quot;00A448E8&quot;/&gt;&lt;wsp:rsid wsp:val=&quot;00A478A5&quot;/&gt;&lt;wsp:rsid wsp:val=&quot;00A47B54&quot;/&gt;&lt;wsp:rsid wsp:val=&quot;00A47FBF&quot;/&gt;&lt;wsp:rsid wsp:val=&quot;00A50DC3&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45B&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306&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4F7&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6189&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04EB&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5EA&quot;/&gt;&lt;wsp:rsid wsp:val=&quot;00C04A27&quot;/&gt;&lt;wsp:rsid wsp:val=&quot;00C05985&quot;/&gt;&lt;wsp:rsid wsp:val=&quot;00C0636C&quot;/&gt;&lt;wsp:rsid wsp:val=&quot;00C06E15&quot;/&gt;&lt;wsp:rsid wsp:val=&quot;00C07072&quot;/&gt;&lt;wsp:rsid wsp:val=&quot;00C07B6B&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0E7A&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A6DC3&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1ECB&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2628&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595&quot;/&gt;&lt;wsp:rsid wsp:val=&quot;00D85CD0&quot;/&gt;&lt;wsp:rsid wsp:val=&quot;00D86719&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38D9&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1C6F&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BD3&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6372&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36E&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A81&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592&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035&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C5D&quot;/&gt;&lt;wsp:rsid wsp:val=&quot;00ED4EA4&quot;/&gt;&lt;wsp:rsid wsp:val=&quot;00ED53BC&quot;/&gt;&lt;wsp:rsid wsp:val=&quot;00ED6B72&quot;/&gt;&lt;wsp:rsid wsp:val=&quot;00ED6C9E&quot;/&gt;&lt;wsp:rsid wsp:val=&quot;00ED7F6A&quot;/&gt;&lt;wsp:rsid wsp:val=&quot;00EE0A52&quot;/&gt;&lt;wsp:rsid wsp:val=&quot;00EE1434&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1BDC&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5F0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5AE&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B09&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0A0B&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5B07&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0E2E&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04D5140E&quot;/&gt;&lt;wsp:rsid wsp:val=&quot;04DF3BC8&quot;/&gt;&lt;wsp:rsid wsp:val=&quot;071400C8&quot;/&gt;&lt;wsp:rsid wsp:val=&quot;0BCD0285&quot;/&gt;&lt;wsp:rsid wsp:val=&quot;0CCD5DE3&quot;/&gt;&lt;wsp:rsid wsp:val=&quot;0CE61FD8&quot;/&gt;&lt;wsp:rsid wsp:val=&quot;0EC5657F&quot;/&gt;&lt;wsp:rsid wsp:val=&quot;153B6925&quot;/&gt;&lt;wsp:rsid wsp:val=&quot;15CD5D15&quot;/&gt;&lt;wsp:rsid wsp:val=&quot;16792D4D&quot;/&gt;&lt;wsp:rsid wsp:val=&quot;16921E87&quot;/&gt;&lt;wsp:rsid wsp:val=&quot;176F1113&quot;/&gt;&lt;wsp:rsid wsp:val=&quot;17CF2BA9&quot;/&gt;&lt;wsp:rsid wsp:val=&quot;1B6A0604&quot;/&gt;&lt;wsp:rsid wsp:val=&quot;1BEC5371&quot;/&gt;&lt;wsp:rsid wsp:val=&quot;1CA352E0&quot;/&gt;&lt;wsp:rsid wsp:val=&quot;1CEC5DE4&quot;/&gt;&lt;wsp:rsid wsp:val=&quot;1DB44EF9&quot;/&gt;&lt;wsp:rsid wsp:val=&quot;1E0E2E49&quot;/&gt;&lt;wsp:rsid wsp:val=&quot;1F6A680C&quot;/&gt;&lt;wsp:rsid wsp:val=&quot;21EA7D42&quot;/&gt;&lt;wsp:rsid wsp:val=&quot;23F74F28&quot;/&gt;&lt;wsp:rsid wsp:val=&quot;249C298C&quot;/&gt;&lt;wsp:rsid wsp:val=&quot;24E10126&quot;/&gt;&lt;wsp:rsid wsp:val=&quot;25F20392&quot;/&gt;&lt;wsp:rsid wsp:val=&quot;266736E9&quot;/&gt;&lt;wsp:rsid wsp:val=&quot;29941E2F&quot;/&gt;&lt;wsp:rsid wsp:val=&quot;2AD957EE&quot;/&gt;&lt;wsp:rsid wsp:val=&quot;2B3A161A&quot;/&gt;&lt;wsp:rsid wsp:val=&quot;2B52008B&quot;/&gt;&lt;wsp:rsid wsp:val=&quot;2E54197B&quot;/&gt;&lt;wsp:rsid wsp:val=&quot;30E72A1E&quot;/&gt;&lt;wsp:rsid wsp:val=&quot;36FA0F74&quot;/&gt;&lt;wsp:rsid wsp:val=&quot;377D5CED&quot;/&gt;&lt;wsp:rsid wsp:val=&quot;39334442&quot;/&gt;&lt;wsp:rsid wsp:val=&quot;396F06A9&quot;/&gt;&lt;wsp:rsid wsp:val=&quot;3A215984&quot;/&gt;&lt;wsp:rsid wsp:val=&quot;3A765190&quot;/&gt;&lt;wsp:rsid wsp:val=&quot;3B821C98&quot;/&gt;&lt;wsp:rsid wsp:val=&quot;3BCE1457&quot;/&gt;&lt;wsp:rsid wsp:val=&quot;3E7F1791&quot;/&gt;&lt;wsp:rsid wsp:val=&quot;40521A3E&quot;/&gt;&lt;wsp:rsid wsp:val=&quot;42C13302&quot;/&gt;&lt;wsp:rsid wsp:val=&quot;42F3716C&quot;/&gt;&lt;wsp:rsid wsp:val=&quot;42FB67C3&quot;/&gt;&lt;wsp:rsid wsp:val=&quot;44552857&quot;/&gt;&lt;wsp:rsid wsp:val=&quot;45510EC1&quot;/&gt;&lt;wsp:rsid wsp:val=&quot;45C05E8A&quot;/&gt;&lt;wsp:rsid wsp:val=&quot;461B3BD1&quot;/&gt;&lt;wsp:rsid wsp:val=&quot;469C1989&quot;/&gt;&lt;wsp:rsid wsp:val=&quot;46D82FD3&quot;/&gt;&lt;wsp:rsid wsp:val=&quot;46E35C8D&quot;/&gt;&lt;wsp:rsid wsp:val=&quot;47562EDC&quot;/&gt;&lt;wsp:rsid wsp:val=&quot;48B83631&quot;/&gt;&lt;wsp:rsid wsp:val=&quot;49980D9A&quot;/&gt;&lt;wsp:rsid wsp:val=&quot;4BE253C0&quot;/&gt;&lt;wsp:rsid wsp:val=&quot;4CC6202C&quot;/&gt;&lt;wsp:rsid wsp:val=&quot;566F5A8C&quot;/&gt;&lt;wsp:rsid wsp:val=&quot;57AA745E&quot;/&gt;&lt;wsp:rsid wsp:val=&quot;590F60A4&quot;/&gt;&lt;wsp:rsid wsp:val=&quot;597B29EA&quot;/&gt;&lt;wsp:rsid wsp:val=&quot;59DF24BA&quot;/&gt;&lt;wsp:rsid wsp:val=&quot;5B206F97&quot;/&gt;&lt;wsp:rsid wsp:val=&quot;5BDC70FB&quot;/&gt;&lt;wsp:rsid wsp:val=&quot;5E293AF2&quot;/&gt;&lt;wsp:rsid wsp:val=&quot;634F08CC&quot;/&gt;&lt;wsp:rsid wsp:val=&quot;63A90240&quot;/&gt;&lt;wsp:rsid wsp:val=&quot;64CF1C59&quot;/&gt;&lt;wsp:rsid wsp:val=&quot;652F3FE5&quot;/&gt;&lt;wsp:rsid wsp:val=&quot;6594251D&quot;/&gt;&lt;wsp:rsid wsp:val=&quot;65A039FC&quot;/&gt;&lt;wsp:rsid wsp:val=&quot;65B24DF6&quot;/&gt;&lt;wsp:rsid wsp:val=&quot;66AD1D1A&quot;/&gt;&lt;wsp:rsid wsp:val=&quot;68274415&quot;/&gt;&lt;wsp:rsid wsp:val=&quot;687B44E9&quot;/&gt;&lt;wsp:rsid wsp:val=&quot;698D6B79&quot;/&gt;&lt;wsp:rsid wsp:val=&quot;69985D15&quot;/&gt;&lt;wsp:rsid wsp:val=&quot;6A8170D7&quot;/&gt;&lt;wsp:rsid wsp:val=&quot;6CC160FC&quot;/&gt;&lt;wsp:rsid wsp:val=&quot;6E114414&quot;/&gt;&lt;wsp:rsid wsp:val=&quot;70EC6242&quot;/&gt;&lt;wsp:rsid wsp:val=&quot;710F4162&quot;/&gt;&lt;wsp:rsid wsp:val=&quot;75396D33&quot;/&gt;&lt;wsp:rsid wsp:val=&quot;767156B0&quot;/&gt;&lt;wsp:rsid wsp:val=&quot;772A52F9&quot;/&gt;&lt;wsp:rsid wsp:val=&quot;78B31A41&quot;/&gt;&lt;wsp:rsid wsp:val=&quot;78F5393E&quot;/&gt;&lt;/wsp:rsids&gt;&lt;/w:docPr&gt;&lt;w:body&gt;&lt;wx:sect&gt;&lt;w:p wsp:rsidR=&quot;00000000&quot; wsp:rsidRDefault=&quot;0062034B&quot; wsp:rsidP=&quot;0062034B&quot;&gt;&lt;m:oMathPara&gt;&lt;m:oMath&gt;&lt;m:sSub&gt;&lt;m:sSubPr&gt;&lt;m:ctrlPr&gt;&lt;aml:annotation aml:id=&quot;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2&quot; w:type=&quot;Word.Insertion&quot; aml:author=&quot;Hewlett-Packard Comc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3&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f&gt;&lt;m:fPr&gt;&lt;m:ctrlPr&gt;&lt;aml:annotation aml:id=&quot;4&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fPr&gt;&lt;m:num&gt;&lt;m:sSub&gt;&lt;m:sSubPr&gt;&lt;m:ctrlPr&gt;&lt;aml:annotation aml:id=&quot;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6&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7&quot; w:type=&quot;Word.Insertion&quot; aml:author=&quot;Hewlett-Packard Company&quot; aml:createdate=&quot;2021-09-12T20:28:00Z&quot;&gt;&lt;aml:content&gt;&lt;w:rPr&gt;&lt;w:rFonts w:ascii=&quot;Cambria Math&quot;/&gt;&lt;wx:font wx:val=&quot;Cambria Math&quot;/&gt;&lt;w:i/&gt;&lt;w:kern w:val=&quot;0&quot;/&gt;&lt;w:sz-cs w:val=&quot;21&quot;/&gt;&lt;/w:rPr&gt;&lt;m:t&gt;1&lt;/m:t&gt;&lt;/aml:content&gt;&lt;/aml:annotation&gt;&lt;/m:r&gt;&lt;/m:sub&gt;&lt;/m:sSub&gt;&lt;m:r&gt;&lt;aml:annotation aml:id=&quot;8&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ml:annotation aml:id=&quot;9&quot; w:type=&quot;Word.Ie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0&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11&quot; w:type=&quot;Word.Insertion&quot; aml:author=&quot;Hewlett-Packard Com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12&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hml:annotation aml:id=&quot;13&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4&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15&quot; w:type=&quot;Word.Insertion&quot; aml:author=&quot;Hewlett-Packard Company&quot; aml:createdat&lt;e=&quot;2021-09-12T20:28:00Z&quot;&gt;&lt;aml:content&gt;&lt;w:rPr&gt;&lt;w:rFonts w:ascii=&quot;Cambria Math&quot;/&gt;&lt;wx:font wx:val=&quot;Cambria Math&quot;/&gt;&lt;w:i/&gt;&lt;w:kern w:val=&quot;0&quot;/&gt;&lt;w:sz-cs w:val=&quot;21&quot;/&gt;&lt;/w:rPr&gt;&lt;m:t&gt;is&lt;/m:t&gt;&lt;/aml:content&gt;&lt;/aml:annotation&gt;&lt;/m:r&gt;&lt;/m:sub&gt;&lt;/m:sSub&gt;&lt;/m:num&gt;&lt;m:den&gt;&lt;m:sSub&gt;&lt;m:sSubPr&gt;&lt;m:ctrlPr&gt;&lt;aml:annotation aml:id=&quot;1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7&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18&quot; w:type=&quot;Word.Insertion&quot; aml:author=&quot;Hewlett-Packard Company&quot; aml:createdate=&quot;2021-09-12T20:28:00Z&quot;&gt;&lt;aml:content&gt;&lt;w:rPr&gt;&lt;w:rFonts w:ascii=&quot;Cambria Math&quot;/&gt;&lt;wx:font wx:val=&quot;Cambria Math&quot;/&gt;&lt;w:i/&gt;&lt;w:kern w:val=&quot;0&quot;/&gt;&lt;w:sz-cs w:val=&quot;21&quot;/&gt;&lt;/w:rPr&gt;&lt;m:t&gt;0&lt;/m:t&gt;&lt;/aml:content&gt;&lt;/aml:annotation&gt;&lt;/m:r&gt;&lt;/m:sub&gt;&lt;/m:sSub&gt;&lt;m:r&gt;&lt;aml:annotation aml:id=&quot;19&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ml:annotation aml:id=&quot;2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21&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22&quot; w:type=&quot;Word.Insertion&quot; aml:author=&quot;Hewlett-Packard Company&quot; aml:createdate=&quot;2021-09-12T20:28:00Z&quot;&gt;&lt;aml:content&gt;&lt;w:rPr&gt;&lt;w:rFonts w:ascii=&quot;Cambria Math&quot;/&gt;&lt;wx:font wx:val=&quot;Cambria Math&quot;/&gt;&lt;w:i/&gt;&lt;w:kern w:val=&quot;0&quot;/&gt;&lt;w:sz-cs w:val=&quot;21&quot;/&gt;&lt;/w:rPr&gt;&lt;m:t&gt;is&lt;/m:t&gt;&lt;/aml:content&gt;&lt;/aml:annotation&gt;&lt;/m:r&gt;&lt;/m:sub&gt;&lt;/m:sSub&gt;&lt;m:r&gt;&lt;aml:annotation aml:id=&quot;23&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24&quot; w:type=&quot;Word.Insertion&quot; aml:author=&quot;Hewlett-Packard Company&quot; aml:createdate=&quot;2021-09-12T20:28:00Z&quot;&gt;&lt;aml:content&gt;&lt;w:rPr&gt;&lt;w:rFonts w:ascii=&quot;Cambria Mat-h&quot;/&gt;&lt;wx:font wx:val=&quot;Cambria Math&quot;/&gt;&lt;w:i/&gt;&lt;w:kern w:val=&quot;0&quot;/&gt;&lt;w:sz-cs w:val=&quot;21&quot;/&gt;&lt;/w:rPr&gt;&lt;m:t&gt;R&lt;/m:t&gt;&lt;/aml:content&gt;&lt;/aml:annotation&gt;&lt;/m:r&gt;&lt;m:sSub&gt;&lt;m:sSubPr&gt;&lt;m:ctrlPr&gt;&lt;aml:annotation aml:id=&quot;2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bar&gt;&lt;m:barPr&gt;&lt;m:pos m:val=&quot;top&quot;/&gt;&lt;m:ctrlPr&gt;&lt;aml:annotation aml:id=&quot;2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barPr&gt;&lt;m:e&gt;&lt;m:r&gt;&lt;aml:annotation aml:id=&quot;27&quot; w:type=&quot;Word.Insertion&quot; aml:author=&quot;Hewlett-Packard Company&quot; aml:createdate=&quot;2021-09-12T20:28:00Z&quot;&gt;&lt;aml:content&gt;&lt;w:rPr&gt;&lt;w:rFonts w:ascii=&quot;Cambria Math&quot;/&gt;&lt;wx:font wx:val=&quot;Cambria Math&quot;/&gt;&lt;w:i/&gt;&lt;w:kern w:val=&quot;0&quot;/&gt;&lt;w:sz-cs w:val=&quot;21&quot;/&gt;&lt;/w:rPr&gt;&lt;m:t&gt;RF&lt;/m:t&gt;&lt;/aml:content&gt;&lt;/aml:annotation&gt;&lt;/m:r&gt;&lt;/m:e&gt;&lt;/m:bar&gt;&lt;/m:e&gt;&lt;m:sub&gt;&lt;m:r&gt;&lt;aml:annotation aml:id=&quot;28&quot; w:type=&quot;Word.Insertion&quot; aml:author=&quot;Hewlett-Packard Company&quot; aml:createdate=&quot;2021-09-12T20:28:00Z&quot;&gt;&lt;aml:content&gt;&lt;w:rPr&gt;&lt;w:rFonts w:ascii=&quot;Cambria Math&quot;/&gt;&lt;wx:font wx:val=&quot;Cambria Math&quot;/&gt;&lt;w:i/&gt;&lt;w:kern w:val=&quot;0&quot;/&gt;&lt;w:sz-cs w:val=&quot;21&quot;/&gt;&lt;/w:rPr&gt;&lt;m:t&gt;i&lt;/m:t&gt;&lt;/aml:content&gt;&lt;/aml:annotation&gt;&lt;/m:r&gt;&lt;/m:sub&gt;&lt;/m:sSub&gt;&lt;m:ctrlPr&gt;&lt;aml:annotation aml:id=&quot;29&quot; w:type=&quot;Word.Insertion&quot; aml:author=&quot;Hewlett-Packard Company&quot; aml:createdate=&quot;2021-09-12T20:28:00Z&quot;&gt;&lt;aml:content&gt;&lt;w:rPr&gt;&lt;w:rFonts w:ascii=&quot;Cambria Math&quot; w:h-ansi=&quot;Cambria Math&quot;/&gt;&lt;wx:font wx:val=&quot;Cambria Math&quot;/&gt;&lt;w:i/&gt;&lt;w:kern w:val=&quot;0&quot;/&gt;&lt;w:sz-cs w:val=&quot;21&quot;/&gt;&lt;/w:rPr&gt;&lt;/aml:content&gt;&lt;/aml:annotation&gt;&lt;/m:ctrlPr&gt;&lt;/m:den&gt;&lt;/m:f&gt;&lt;m:r&gt;&lt;aml:annotation aml:id=&quot;30&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31&quot; w:type=&quot;Word.Insertion&quot; aml:author=&quot;Hewlett-Packard Company&quot; aml:careatedate=&quot;2021-09-12T20:28:00Z&quot;&gt;&lt;aml:content&gt;&lt;w:rPr&gt;&lt;w:rFonts w:ascii=&quot;Cambria Math&quot;/&gt;&lt;wx:font wx:val=&quot;Cambria Math&quot;/&gt;&lt;w:i/&gt;&lt;w:kern w:val=&quot;0&quot;/&gt;&lt;w:sz-cs w:val=&quot;21&quot;/&gt;&lt;/w:rPr&gt;&lt;m:t&gt;F&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95" chromakey="#FFFFFF" o:title=""/>
            <o:lock v:ext="edit" aspectratio="t"/>
            <w10:wrap type="none"/>
            <w10:anchorlock/>
          </v:shape>
        </w:pict>
      </w:r>
      <w:r>
        <w:rPr>
          <w:rFonts w:hint="default" w:ascii="Times New Roman" w:hAnsi="Times New Roman" w:cs="Times New Roman"/>
          <w:color w:val="000000"/>
          <w:kern w:val="0"/>
          <w:szCs w:val="21"/>
          <w:highlight w:val="none"/>
        </w:rPr>
        <w:instrText xml:space="preserve"> </w:instrText>
      </w:r>
      <w:r>
        <w:rPr>
          <w:rFonts w:hint="default" w:ascii="Times New Roman" w:hAnsi="Times New Roman" w:cs="Times New Roman"/>
          <w:color w:val="000000"/>
          <w:kern w:val="0"/>
          <w:szCs w:val="21"/>
          <w:highlight w:val="none"/>
        </w:rPr>
        <w:fldChar w:fldCharType="end"/>
      </w:r>
      <w:r>
        <w:rPr>
          <w:rFonts w:hint="default" w:ascii="Times New Roman" w:hAnsi="Times New Roman" w:cs="Times New Roman"/>
          <w:color w:val="000000"/>
          <w:szCs w:val="20"/>
          <w:highlight w:val="none"/>
        </w:rPr>
        <w:fldChar w:fldCharType="begin"/>
      </w:r>
      <w:r>
        <w:rPr>
          <w:rFonts w:hint="default" w:ascii="Times New Roman" w:hAnsi="Times New Roman" w:cs="Times New Roman"/>
          <w:color w:val="000000"/>
          <w:szCs w:val="20"/>
          <w:highlight w:val="none"/>
        </w:rPr>
        <w:instrText xml:space="preserve"> QUOTE </w:instrText>
      </w:r>
      <w:r>
        <w:rPr>
          <w:rFonts w:hint="default" w:ascii="Times New Roman" w:hAnsi="Times New Roman" w:cs="Times New Roman"/>
          <w:color w:val="000000"/>
          <w:position w:val="-26"/>
          <w:highlight w:val="none"/>
        </w:rPr>
        <w:pict>
          <v:shape id="_x0000_i1089" o:spt="75" type="#_x0000_t75" style="height:31.5pt;width:72.75pt;" filled="f" stroked="f" coordsize="21600,2160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245F&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BF245F&quot;&gt;&lt;m:oMathPara&gt;&lt;m:oMath&gt;&lt;m:sSub&gt;&lt;m:sSubPr&gt;&lt;m:ctrlPr&gt;&lt;aml:annotation aml:id=&quot;0&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2&quot; w:type=&quot;Word.Insertion&quot; aml:author=&quot;liu yuzhen&quot;n aml:createdate=&quot;2021-06-27T17:48:00Z&quot;&gt;&lt;aml:content&gt;&lt;m:r&gt;&lt;w:rPr&gt;&lt;w:rFonts w:ascii=&quot;Cambria Math&quot;/&gt;&lt;wx:font wx:val=&quot;Cambria Math&quot;/&gt;&lt;w:i/&gt;&lt;w:sz-cs w:val=&quot;20&quot;/&gt;&lt;/w:rPr&gt;&lt;m:t&gt;x&lt;/m:t&gt;&lt;/m:r&gt;&lt;/aml:content&gt;&lt;/aml:annotation&gt;&lt;/m:sub&gt;&lt;/m:sSub&gt;&lt;aml:annotation aml:id=&quot;3&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f&gt;&lt;m:fPr&gt;&lt;m:ctrlPr&gt;&lt;aml:annotation aml:id=&quot;4&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7&quot; w:type=&quot;Word.Insertion&quot; aml:author=&quot;liu yuzhen&quot; aml:createdate=&quot;2021-06-27T17:48:00Z&quot;&gt;&lt;aml:content&gt;&lt;m:r&gt;&lt;w:rPr&gt;&lt;w:rFonts w:ascii=&quot;Cambria Math&quot;/&gt;&lt;wx:font wx:val=&quot;Cambria Math&quot;/&gt;&lt;w:i/&gt;&lt;w:sz-cs w:val=&quot;20&quot;/&gt;&lt;/w:rPr&gt;&lt;m:t&gt;x&lt;/m:t&gt;&lt;/m:r&gt;&lt;/aml:content&gt;&lt;/aml:annotation&gt;&lt;/m:sub&gt;&lt;/m:sSub&gt;&lt;aml:annotation aml:id=&quot;8&quot; w:type=&quot;Word.Insertion&quot; aml:author=&quot;liu yuzhen&quot; aml:createdate=&quot;2021-06-27T17:48:00Z&quot;&gt;&lt;aml:content&gt;&lt;m:r&gt;&lt;w:rPr&gt;&lt;w:rFonts w:ascii=&quot;Cambria Math&quot;/&gt;&lt;w:i/&gt;&lt;w:sz-cs w:val=&quot;20&quot;/&gt;&lt;/w:rPr&gt;&lt;m:t&gt;��&lt;/m:t&gt;&lt;/m:r&gt;&lt;/aml:cotntent&gt;&lt;/aml:annotation&gt;&lt;m:sSub&gt;&lt;m:sSubPr&gt;&lt;m:ctrlPr&gt;&lt;aml:annotation aml:id=&quot;9&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0&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11&quot; w:type=&quot;Word.Insertion&quot; aml:author=&quot;liu yuzhen&quot; aml:createdate=&quot;202r1-06-27T17:48:00Z&quot;&gt;&lt;aml:content&gt;&lt;m:r&gt;&lt;w:rPr&gt;&lt;w:rFonts w:ascii=&quot;Cambria Math&quot;/&gt;&lt;wx:font wx:val=&quot;Cambria Math&quot;/&gt;&lt;w:i/&gt;&lt;w:sz-cs w:val=&quot;20&quot;/&gt;&lt;/w:rPr&gt;&lt;m:t&gt;IS&lt;/m:t&gt;&lt;/m:r&gt;&lt;/aml:content&gt;&lt;/aml:annotation&gt;&lt;/m:sub&gt;&lt;/m:sSub&gt;&lt;/m:num&gt;&lt;m:den&gt;&lt;m:sSub&gt;&lt;m:sSubPr&gt;&lt;m:ctrlPr&gt;&lt;aml:annotation aml:id=&quot;12&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3&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14&quot; w:type=&quot;Word.Insertion&quot; aml:author=&quot;liu yuzhen&quot; aml:createdate=&quot;2021-06-27T17:48:00Z&quot;&gt;&lt;aml:content&gt;&lt;m:r&gt;&lt;w:rPr&gt;&lt;w:rFonts w:ascii=&quot;Cambria Math&quot;/&gt;&lt;wx:font wx:val=&quot;Cambria Math&quot;/&gt;&lt;w:i/&gt;&lt;w:sz-cs w:val=&quot;20&quot;/&gt;&lt;/w:rPr&gt;&lt;m:t&gt;IS&lt;/m:t&gt;&lt;/m:r&gt;&lt;/aml:content&gt;&lt;/aml:annotation&gt;&lt;/m:sub&gt;&lt;/m:sSub&gt;&lt;aml:annotation aml:id=&quot;15&quot; w:type=&quot;Word.Insertion&quot; aml:author=&quot;liu yuzhen&quot; aml:createdate=&quot;2021-06-27T17:48:00Z&quot;&gt;&lt;aml:content&gt;&lt;m:r&gt;&lt;w:rPr&gt;&lt;w:rFonts w:ascii=&quot;Cambria Math&quot;/&gt;&lt;w:i/&gt;&lt;w:sz-cs w:val=&quot;20&quot;/&gt;&lt;/w:rPr&gt;&lt;m:t&gt;��&lt;/m:t&gt;&lt;/m:r&gt;&lt;/aml:content&gt;&lt;/aml:annotation&gt;&lt;m:bar&gt;&lt;m:barPr&gt;&lt;m:pos m:val=&quot;top&quot;/&gt;&lt;m:ctrlPr&gt;&lt;aml:annotation aml:id=&quot;16&quot; w:type=&quot;Word.Inse0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barPr&gt;&lt;m:e&gt;&lt;aml:annotation aml:id=&quot;17&quot; w:type=&quot;Word.Insertion&quot; aml:author=&quot;liu yuzhen&quot; aml:createdate=&quot;2021-06-27T17:48:00Z&quot;&gt;&lt;aml:content&gt;&lt;m:r&gt;&lt;w:rPr&gt;&lt;w:rFonts w:ascii=&quot;Cambria Math&quot;/&gt;&lt;wx:font wx:val=&quot;Cambria Math&quot;/&gt;&lt;w:i/&gt;&lt;w:sz-cs w:val=&quot;20&quot;/&gt;&lt;/w:rPr&gt;&lt;m:t&gt;RRF&lt;/m:t&gt;&lt;/m:r&gt;&lt;/aml:content&gt;&lt;/aml:annotation&gt;&lt;/m:e&gt;&lt;/m:bar&gt;&lt;/m:den&gt;&lt;/m:f&gt;&lt;aml:annotation aml:id=&quot;18&quot; w:type=&quot;Word.Insertion&quot; aml:author=&quot;liu yuzhen&quot; aml:createdate=&quot;2021-06-27T17:48:00Z&quot;&gt;&lt;aml:content&gt;&lt;m:r&gt;&lt;w:rPr&gt;&lt;w:rFonts w:ascii=&quot;Cambria Math&quot;/&gt;&lt;w:i/&gt;&lt;w:sz-cs w:val=&quot;20&quot;/&gt;&lt;/w:rPr&gt;&lt;m:t&gt;��&lt;/m:t&gt;&lt;/m:r&gt;&lt;/aml:content&gt;&lt;/aml:annotation&gt;&lt;m:f&gt;&lt;m:fPr&gt;&lt;m:ctrlPr&gt;&lt;aml:annotation aml:id=&quot;19&quot; w:type=&quot;Word.Insertion&quot; aml:author=&quot;liu yuzhen&quot; aml:createdate=&quot;2021-06-27T17:48:00Z&quot;&gt;&lt;aml:content&gt;&lt;w:rPr&gt;&lt;w:rFonts w:asciwi=&quot;Cambria Math&quot; w:h-ansi=&quot;Cambria Math&quot;/&gt;&lt;wx:font wx:val=&quot;Cambria Math&quot;/&gt;&lt;w:i/&gt;&lt;w:sz-cs w:val=&quot;20&quot;/&gt;&lt;/w:rPr&gt;&lt;/aml:content&gt;&lt;/aml:annotation&gt;&lt;/m:ctrlPr&gt;&lt;/m:fPr&gt;&lt;m:num&gt;&lt;aml:annotation aml:id=&quot;20&quot; w:type=&quot;Word.Insertion&quot; aml:author=&quot;liu yuzhen&quot; aml:createdate=&quot;2021-06-27T17:48:00Z&quot;&gt;&lt;aml:content&gt;&lt;m:r&gt;&lt;w:rPr&gt;&lt;w:rFonts w:ascii=&quot;Cambria Math&quot;/&gt;&lt;wx:font wx:val=&quot;Cambria Math&quot;/&gt;&lt;w:i/&gt;&lt;w:sz-cs w:val=&quot;20&quot;/&gt;&lt;/w:rPr&gt;&lt;m:t&gt;1&lt;/m:t&gt;&lt;/m:r&gt;&lt;/aml:content&gt;&lt;/aml:annotation&gt;&lt;/m:num&gt;&lt;m:den&gt;&lt;aml:annotation aml:id=&quot;21&quot; w:type=&quot;Word.Insertion&quot; aml:author=&quot;liu yuzhen&quot; aml:createdate=&quot;2021-06-27T17:48:00Z&quot;&gt;&lt;aml:content&gt;&lt;m:r&gt;&lt;w:rPr&gt;&lt;w:rFonts w:ascii=&quot;Cambria Math&quot;/&gt;&lt;wx:font wx:val=&quot;Cambria Math&quot;/&gt;&lt;w:i/&gt;&lt;w:sz-cs w:val=&quot;20&quot;/&gt;&lt;/w:rPr&gt;&lt;m:t&gt;f&lt;/m:t&gt;&lt;/m:r&gt;&lt;/aml:content&gt;&lt;/aml:annotation&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96" chromakey="#FFFFFF" o:title=""/>
            <o:lock v:ext="edit" aspectratio="t"/>
            <w10:wrap type="none"/>
            <w10:anchorlock/>
          </v:shape>
        </w:pict>
      </w:r>
      <w:r>
        <w:rPr>
          <w:rFonts w:hint="default" w:ascii="Times New Roman" w:hAnsi="Times New Roman" w:cs="Times New Roman"/>
          <w:color w:val="000000"/>
          <w:szCs w:val="20"/>
          <w:highlight w:val="none"/>
        </w:rPr>
        <w:instrText xml:space="preserve"> </w:instrText>
      </w:r>
      <w:r>
        <w:rPr>
          <w:rFonts w:hint="default" w:ascii="Times New Roman" w:hAnsi="Times New Roman" w:cs="Times New Roman"/>
          <w:color w:val="000000"/>
          <w:szCs w:val="20"/>
          <w:highlight w:val="none"/>
        </w:rPr>
        <w:fldChar w:fldCharType="end"/>
      </w: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szCs w:val="20"/>
          <w:highlight w:val="none"/>
          <w:lang w:val="en-US" w:eastAsia="zh-CN"/>
        </w:rPr>
        <w:t xml:space="preserve">     </w:t>
      </w: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szCs w:val="20"/>
          <w:highlight w:val="none"/>
          <w:lang w:val="en-US" w:eastAsia="zh-CN"/>
        </w:rPr>
        <w:t xml:space="preserve">         </w:t>
      </w:r>
      <w:r>
        <w:rPr>
          <w:rFonts w:hint="default" w:ascii="Times New Roman" w:hAnsi="Times New Roman" w:cs="Times New Roman"/>
          <w:color w:val="000000"/>
          <w:szCs w:val="20"/>
          <w:highlight w:val="none"/>
        </w:rPr>
        <w:t xml:space="preserve">    </w:t>
      </w:r>
      <w:r>
        <w:rPr>
          <w:rFonts w:hint="default" w:ascii="Times New Roman" w:hAnsi="Times New Roman" w:cs="Times New Roman"/>
          <w:color w:val="000000"/>
          <w:highlight w:val="none"/>
        </w:rPr>
        <w:t>（8）</w:t>
      </w:r>
    </w:p>
    <w:p w14:paraId="0E09A200">
      <w:pPr>
        <w:widowControl/>
        <w:spacing w:line="360" w:lineRule="exact"/>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szCs w:val="21"/>
          <w:highlight w:val="none"/>
        </w:rPr>
        <w:t>式中：</w:t>
      </w:r>
      <w:r>
        <w:rPr>
          <w:rFonts w:hint="default" w:ascii="Times New Roman" w:hAnsi="Times New Roman" w:cs="Times New Roman"/>
          <w:color w:val="000000"/>
          <w:kern w:val="0"/>
          <w:position w:val="-12"/>
          <w:szCs w:val="21"/>
          <w:highlight w:val="none"/>
        </w:rPr>
        <w:object>
          <v:shape id="_x0000_i1090" o:spt="75" type="#_x0000_t75" style="height:18.4pt;width:17.8pt;" o:ole="t" filled="f" o:preferrelative="t" stroked="f" coordsize="21600,21600">
            <v:path/>
            <v:fill on="f" focussize="0,0"/>
            <v:stroke on="f"/>
            <v:imagedata r:id="rId120" o:title=""/>
            <o:lock v:ext="edit" aspectratio="t"/>
            <w10:wrap type="none"/>
            <w10:anchorlock/>
          </v:shape>
          <o:OLEObject Type="Embed" ProgID="Equation.3" ShapeID="_x0000_i1090" DrawAspect="Content" ObjectID="_1468075778" r:id="rId119">
            <o:LockedField>false</o:LockedField>
          </o:OLEObject>
        </w:object>
      </w:r>
      <w:r>
        <w:rPr>
          <w:rFonts w:hint="default" w:ascii="Times New Roman" w:hAnsi="Times New Roman" w:cs="Times New Roman"/>
          <w:color w:val="000000"/>
          <w:kern w:val="0"/>
          <w:szCs w:val="21"/>
          <w:highlight w:val="none"/>
        </w:rPr>
        <w:t>——样品中的目标化合物含量，mg/kg；</w:t>
      </w:r>
    </w:p>
    <w:p w14:paraId="4397FC36">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position w:val="-12"/>
          <w:szCs w:val="21"/>
          <w:highlight w:val="none"/>
        </w:rPr>
        <w:object>
          <v:shape id="_x0000_i1091" o:spt="75" type="#_x0000_t75" style="height:18.45pt;width:15.5pt;" o:ole="t" filled="f" o:preferrelative="t" stroked="f" coordsize="21600,21600">
            <v:path/>
            <v:fill on="f" alignshape="1" focussize="0,0"/>
            <v:stroke on="f"/>
            <v:imagedata r:id="rId122" o:title=""/>
            <o:lock v:ext="edit" aspectratio="t"/>
            <w10:wrap type="none"/>
            <w10:anchorlock/>
          </v:shape>
          <o:OLEObject Type="Embed" ProgID="Equation.3" ShapeID="_x0000_i1091" DrawAspect="Content" ObjectID="_1468075779" r:id="rId121">
            <o:LockedField>false</o:LockedField>
          </o:OLEObject>
        </w:object>
      </w:r>
      <w:r>
        <w:rPr>
          <w:rFonts w:hint="default" w:ascii="Times New Roman" w:hAnsi="Times New Roman" w:cs="Times New Roman"/>
          <w:color w:val="000000"/>
          <w:kern w:val="0"/>
          <w:szCs w:val="21"/>
          <w:highlight w:val="none"/>
        </w:rPr>
        <w:t>——标准曲线中第</w:t>
      </w:r>
      <w:r>
        <w:rPr>
          <w:rFonts w:hint="default" w:ascii="Times New Roman" w:hAnsi="Times New Roman" w:cs="Times New Roman"/>
          <w:color w:val="000000"/>
          <w:kern w:val="0"/>
          <w:position w:val="-4"/>
          <w:szCs w:val="21"/>
          <w:highlight w:val="none"/>
        </w:rPr>
        <w:object>
          <v:shape id="_x0000_i1092" o:spt="75" type="#_x0000_t75" style="height:13.35pt;width:8.3pt;" o:ole="t" filled="f" o:preferrelative="t" stroked="f" coordsize="21600,21600">
            <v:path/>
            <v:fill on="f" alignshape="1" focussize="0,0"/>
            <v:stroke on="f"/>
            <v:imagedata r:id="rId124" o:title=""/>
            <o:lock v:ext="edit" aspectratio="t"/>
            <w10:wrap type="none"/>
            <w10:anchorlock/>
          </v:shape>
          <o:OLEObject Type="Embed" ProgID="Equation.3" ShapeID="_x0000_i1092" DrawAspect="Content" ObjectID="_1468075780" r:id="rId123">
            <o:LockedField>false</o:LockedField>
          </o:OLEObject>
        </w:object>
      </w:r>
      <w:r>
        <w:rPr>
          <w:rFonts w:hint="default" w:ascii="Times New Roman" w:hAnsi="Times New Roman" w:cs="Times New Roman"/>
          <w:color w:val="000000"/>
          <w:kern w:val="0"/>
          <w:szCs w:val="21"/>
          <w:highlight w:val="none"/>
        </w:rPr>
        <w:t>种目标化合物浓度；</w:t>
      </w:r>
    </w:p>
    <w:p w14:paraId="4FA113EC">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6"/>
          <w:szCs w:val="20"/>
          <w:highlight w:val="none"/>
        </w:rPr>
        <w:object>
          <v:shape id="_x0000_i1093" o:spt="75" type="#_x0000_t75" style="height:13.95pt;width:12pt;" o:ole="t" filled="f" o:preferrelative="t" stroked="f" coordsize="21600,21600">
            <v:path/>
            <v:fill on="f" alignshape="1" focussize="0,0"/>
            <v:stroke on="f"/>
            <v:imagedata r:id="rId126" o:title=""/>
            <o:lock v:ext="edit" aspectratio="t"/>
            <w10:wrap type="none"/>
            <w10:anchorlock/>
          </v:shape>
          <o:OLEObject Type="Embed" ProgID="Equation.KSEE3" ShapeID="_x0000_i1093" DrawAspect="Content" ObjectID="_1468075781" r:id="rId125">
            <o:LockedField>false</o:LockedField>
          </o:OLEObject>
        </w:object>
      </w:r>
      <w:r>
        <w:rPr>
          <w:rFonts w:hint="default" w:ascii="Times New Roman" w:hAnsi="Times New Roman" w:cs="Times New Roman"/>
          <w:color w:val="000000"/>
          <w:kern w:val="0"/>
          <w:szCs w:val="21"/>
          <w:highlight w:val="none"/>
        </w:rPr>
        <w:t>——定容体积，ml；</w:t>
      </w:r>
    </w:p>
    <w:p w14:paraId="7C759BEF">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6"/>
          <w:szCs w:val="20"/>
          <w:highlight w:val="none"/>
        </w:rPr>
        <w:object>
          <v:shape id="_x0000_i1094" o:spt="75" type="#_x0000_t75" style="height:10.6pt;width:13.15pt;" o:ole="t" filled="f" stroked="f" coordsize="21600,21600">
            <v:path/>
            <v:fill on="f" focussize="0,0"/>
            <v:stroke on="f"/>
            <v:imagedata r:id="rId110" o:title=""/>
            <o:lock v:ext="edit" aspectratio="t"/>
            <w10:wrap type="none"/>
            <w10:anchorlock/>
          </v:shape>
          <o:OLEObject Type="Embed" ProgID="Equation.KSEE3" ShapeID="_x0000_i1094" DrawAspect="Content" ObjectID="_1468075782" r:id="rId127">
            <o:LockedField>false</o:LockedField>
          </o:OLEObject>
        </w:object>
      </w:r>
      <w:r>
        <w:rPr>
          <w:rFonts w:hint="default" w:ascii="Times New Roman" w:hAnsi="Times New Roman" w:cs="Times New Roman"/>
          <w:color w:val="000000"/>
          <w:kern w:val="0"/>
          <w:szCs w:val="21"/>
          <w:highlight w:val="none"/>
        </w:rPr>
        <w:t>——样品的称样量，g；</w:t>
      </w:r>
    </w:p>
    <w:p w14:paraId="292FDA7F">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12"/>
          <w:szCs w:val="20"/>
          <w:highlight w:val="none"/>
        </w:rPr>
        <w:object>
          <v:shape id="_x0000_i1095" o:spt="75" type="#_x0000_t75" style="height:18pt;width:20pt;" o:ole="t" filled="f" stroked="f" coordsize="21600,21600">
            <v:path/>
            <v:fill on="f" focussize="0,0"/>
            <v:stroke on="f"/>
            <v:imagedata r:id="rId112" o:title=""/>
            <o:lock v:ext="edit" aspectratio="t"/>
            <w10:wrap type="none"/>
            <w10:anchorlock/>
          </v:shape>
          <o:OLEObject Type="Embed" ProgID="Equation.KSEE3" ShapeID="_x0000_i1095" DrawAspect="Content" ObjectID="_1468075783" r:id="rId128">
            <o:LockedField>false</o:LockedField>
          </o:OLEObject>
        </w:object>
      </w:r>
      <w:r>
        <w:rPr>
          <w:rFonts w:hint="default" w:ascii="Times New Roman" w:hAnsi="Times New Roman" w:cs="Times New Roman"/>
          <w:color w:val="000000"/>
          <w:kern w:val="0"/>
          <w:szCs w:val="21"/>
          <w:highlight w:val="none"/>
        </w:rPr>
        <w:t>——样品的干物质含量，%；</w:t>
      </w:r>
    </w:p>
    <w:p w14:paraId="722A7784">
      <w:pPr>
        <w:widowControl/>
        <w:tabs>
          <w:tab w:val="left" w:pos="1050"/>
        </w:tabs>
        <w:spacing w:line="360" w:lineRule="exact"/>
        <w:ind w:firstLine="1047" w:firstLineChars="499"/>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position w:val="-4"/>
          <w:szCs w:val="20"/>
          <w:highlight w:val="none"/>
        </w:rPr>
        <w:object>
          <v:shape id="_x0000_i1096" o:spt="75" type="#_x0000_t75" style="height:12.55pt;width:13.15pt;" o:ole="t" filled="f" o:preferrelative="t" stroked="f" coordsize="21600,21600">
            <v:path/>
            <v:fill on="f" alignshape="1" focussize="0,0"/>
            <v:stroke on="f"/>
            <v:imagedata r:id="rId114" o:title=""/>
            <o:lock v:ext="edit" aspectratio="t"/>
            <w10:wrap type="none"/>
            <w10:anchorlock/>
          </v:shape>
          <o:OLEObject Type="Embed" ProgID="Equation.KSEE3" ShapeID="_x0000_i1096" DrawAspect="Content" ObjectID="_1468075784" r:id="rId129">
            <o:LockedField>false</o:LockedField>
          </o:OLEObject>
        </w:object>
      </w:r>
      <w:r>
        <w:rPr>
          <w:rFonts w:hint="default" w:ascii="Times New Roman" w:hAnsi="Times New Roman" w:cs="Times New Roman"/>
          <w:color w:val="000000"/>
          <w:kern w:val="0"/>
          <w:szCs w:val="21"/>
          <w:highlight w:val="none"/>
        </w:rPr>
        <w:t>——稀释倍数。</w:t>
      </w:r>
    </w:p>
    <w:p w14:paraId="1FA1A36B">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w:t>
      </w:r>
      <w:r>
        <w:rPr>
          <w:rFonts w:hint="eastAsia" w:ascii="Times New Roman" w:hAnsi="Times New Roman" w:cs="Times New Roman"/>
          <w:lang w:val="en-US" w:eastAsia="zh-CN"/>
        </w:rPr>
        <w:t>10</w:t>
      </w:r>
      <w:r>
        <w:rPr>
          <w:rFonts w:hint="default" w:ascii="Times New Roman" w:hAnsi="Times New Roman" w:cs="Times New Roman"/>
          <w:lang w:val="en-US" w:eastAsia="zh-CN"/>
        </w:rPr>
        <w:t>.4  结果表示</w:t>
      </w:r>
    </w:p>
    <w:p w14:paraId="17E9AE85">
      <w:pPr>
        <w:rPr>
          <w:rFonts w:hint="default" w:ascii="Times New Roman" w:hAnsi="Times New Roman" w:cs="Times New Roman"/>
          <w:lang w:val="en-US" w:eastAsia="zh-CN"/>
        </w:rPr>
      </w:pPr>
      <w:r>
        <w:rPr>
          <w:rFonts w:hint="default" w:ascii="Times New Roman" w:hAnsi="Times New Roman" w:cs="Times New Roman"/>
          <w:lang w:val="en-US" w:eastAsia="zh-CN"/>
        </w:rPr>
        <w:t>测定结果小数点后位数的保留与方法检出限一致，最多保留3位有效数字。</w:t>
      </w:r>
    </w:p>
    <w:p w14:paraId="7D447504">
      <w:pPr>
        <w:pStyle w:val="3"/>
        <w:bidi w:val="0"/>
        <w:rPr>
          <w:rFonts w:hint="default" w:ascii="Times New Roman" w:hAnsi="Times New Roman" w:cs="Times New Roman"/>
          <w:lang w:val="en-US" w:eastAsia="zh-CN"/>
        </w:rPr>
      </w:pPr>
      <w:bookmarkStart w:id="92" w:name="_Toc8121"/>
      <w:bookmarkStart w:id="93" w:name="_Toc29434"/>
      <w:bookmarkStart w:id="94" w:name="_Toc6422"/>
      <w:r>
        <w:rPr>
          <w:rFonts w:hint="default" w:ascii="Times New Roman" w:hAnsi="Times New Roman" w:cs="Times New Roman"/>
          <w:lang w:val="en-US" w:eastAsia="zh-CN"/>
        </w:rPr>
        <w:t>6.</w:t>
      </w:r>
      <w:r>
        <w:rPr>
          <w:rFonts w:hint="eastAsia" w:ascii="Times New Roman" w:hAnsi="Times New Roman" w:cs="Times New Roman"/>
          <w:lang w:val="en-US" w:eastAsia="zh-CN"/>
        </w:rPr>
        <w:t>11</w:t>
      </w:r>
      <w:r>
        <w:rPr>
          <w:rFonts w:hint="default" w:ascii="Times New Roman" w:hAnsi="Times New Roman" w:cs="Times New Roman"/>
          <w:lang w:val="en-US" w:eastAsia="zh-CN"/>
        </w:rPr>
        <w:t xml:space="preserve">  实验室内检出限及测定下限</w:t>
      </w:r>
      <w:bookmarkEnd w:id="92"/>
      <w:bookmarkEnd w:id="93"/>
      <w:bookmarkEnd w:id="94"/>
    </w:p>
    <w:p w14:paraId="1A183DA7">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按照样品分析的全过程对空白加标样品进行7次重复测定，得到浓度值，计算其标准偏差</w:t>
      </w:r>
      <w:r>
        <w:rPr>
          <w:rFonts w:hint="default" w:ascii="Times New Roman" w:hAnsi="Times New Roman" w:cs="Times New Roman"/>
          <w:color w:val="000000"/>
          <w:position w:val="-6"/>
          <w:highlight w:val="none"/>
        </w:rPr>
        <w:object>
          <v:shape id="_x0000_i1097" o:spt="75" type="#_x0000_t75" style="height:12.6pt;width:9.9pt;" o:ole="t" filled="f" o:preferrelative="t" stroked="f" coordsize="21600,21600">
            <v:path/>
            <v:fill on="f" focussize="0,0"/>
            <v:stroke on="f"/>
            <v:imagedata r:id="rId131" o:title=""/>
            <o:lock v:ext="edit" aspectratio="t"/>
            <w10:wrap type="none"/>
            <w10:anchorlock/>
          </v:shape>
          <o:OLEObject Type="Embed" ProgID="Equation.KSEE3" ShapeID="_x0000_i1097" DrawAspect="Content" ObjectID="_1468075785" r:id="rId130">
            <o:LockedField>false</o:LockedField>
          </o:OLEObject>
        </w:object>
      </w:r>
      <w:r>
        <w:rPr>
          <w:rFonts w:hint="default" w:ascii="Times New Roman" w:hAnsi="Times New Roman" w:cs="Times New Roman"/>
          <w:i/>
          <w:iCs/>
          <w:color w:val="000000"/>
          <w:szCs w:val="21"/>
          <w:highlight w:val="none"/>
        </w:rPr>
        <w:t>，</w:t>
      </w:r>
      <w:r>
        <w:rPr>
          <w:rFonts w:hint="default" w:ascii="Times New Roman" w:hAnsi="Times New Roman" w:cs="Times New Roman"/>
          <w:color w:val="000000"/>
          <w:szCs w:val="21"/>
          <w:highlight w:val="none"/>
        </w:rPr>
        <w:t>按式（10）计算方法检出限。</w:t>
      </w:r>
    </w:p>
    <w:p w14:paraId="4930FF95">
      <w:pPr>
        <w:tabs>
          <w:tab w:val="left" w:pos="2730"/>
        </w:tabs>
        <w:spacing w:line="360" w:lineRule="exact"/>
        <w:ind w:left="0" w:leftChars="0" w:firstLine="0" w:firstLineChars="0"/>
        <w:jc w:val="both"/>
        <w:rPr>
          <w:rFonts w:hint="default" w:ascii="Times New Roman" w:hAnsi="Times New Roman" w:cs="Times New Roman"/>
          <w:color w:val="000000"/>
          <w:szCs w:val="21"/>
          <w:highlight w:val="none"/>
        </w:rPr>
      </w:pPr>
      <w:r>
        <w:rPr>
          <w:rFonts w:hint="default" w:ascii="Times New Roman" w:hAnsi="Times New Roman" w:cs="Times New Roman"/>
          <w:color w:val="000000"/>
          <w:szCs w:val="20"/>
          <w:highlight w:val="none"/>
          <w:lang w:val="en-US" w:eastAsia="zh-CN"/>
        </w:rPr>
        <w:tab/>
      </w:r>
      <w:r>
        <w:rPr>
          <w:rFonts w:hint="default" w:ascii="Times New Roman" w:hAnsi="Times New Roman" w:cs="Times New Roman"/>
          <w:color w:val="000000"/>
          <w:position w:val="-14"/>
          <w:szCs w:val="20"/>
          <w:highlight w:val="none"/>
        </w:rPr>
        <w:object>
          <v:shape id="_x0000_i1098" o:spt="75" type="#_x0000_t75" style="height:19.05pt;width:78.5pt;" o:ole="t" filled="f" o:preferrelative="t" stroked="f" coordsize="21600,21600">
            <v:path/>
            <v:fill on="f" alignshape="1" focussize="0,0"/>
            <v:stroke on="f"/>
            <v:imagedata r:id="rId133" o:title=""/>
            <o:lock v:ext="edit" aspectratio="t"/>
            <w10:wrap type="none"/>
            <w10:anchorlock/>
          </v:shape>
          <o:OLEObject Type="Embed" ProgID="Equation.KSEE3" ShapeID="_x0000_i1098" DrawAspect="Content" ObjectID="_1468075786" r:id="rId132">
            <o:LockedField>false</o:LockedField>
          </o:OLEObject>
        </w:object>
      </w:r>
      <w:r>
        <w:rPr>
          <w:rFonts w:hint="default" w:ascii="Times New Roman" w:hAnsi="Times New Roman" w:cs="Times New Roman"/>
          <w:i/>
          <w:iCs/>
          <w:color w:val="000000"/>
          <w:szCs w:val="21"/>
          <w:highlight w:val="none"/>
        </w:rPr>
        <w:t xml:space="preserve">               </w:t>
      </w:r>
      <w:r>
        <w:rPr>
          <w:rFonts w:hint="default" w:ascii="Times New Roman" w:hAnsi="Times New Roman" w:cs="Times New Roman"/>
          <w:i/>
          <w:iCs/>
          <w:color w:val="000000"/>
          <w:szCs w:val="21"/>
          <w:highlight w:val="none"/>
          <w:lang w:val="en-US" w:eastAsia="zh-CN"/>
        </w:rPr>
        <w:t xml:space="preserve">      </w:t>
      </w:r>
      <w:r>
        <w:rPr>
          <w:rFonts w:hint="default" w:ascii="Times New Roman" w:hAnsi="Times New Roman" w:cs="Times New Roman"/>
          <w:i/>
          <w:iCs/>
          <w:color w:val="000000"/>
          <w:szCs w:val="21"/>
          <w:highlight w:val="none"/>
        </w:rPr>
        <w:t xml:space="preserve">               </w:t>
      </w:r>
      <w:r>
        <w:rPr>
          <w:rFonts w:hint="default" w:ascii="Times New Roman" w:hAnsi="Times New Roman" w:cs="Times New Roman"/>
          <w:color w:val="000000"/>
          <w:szCs w:val="21"/>
          <w:highlight w:val="none"/>
        </w:rPr>
        <w:t xml:space="preserve"> （10）</w:t>
      </w:r>
    </w:p>
    <w:p w14:paraId="27A01DCD">
      <w:pPr>
        <w:spacing w:line="360" w:lineRule="exact"/>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式中：</w:t>
      </w:r>
      <w:r>
        <w:rPr>
          <w:rFonts w:hint="default" w:ascii="Times New Roman" w:hAnsi="Times New Roman" w:cs="Times New Roman"/>
          <w:color w:val="000000"/>
          <w:position w:val="-4"/>
          <w:highlight w:val="none"/>
        </w:rPr>
        <w:object>
          <v:shape id="_x0000_i1099" o:spt="75" type="#_x0000_t75" style="height:11.7pt;width:26pt;" o:ole="t" filled="f" o:preferrelative="t" stroked="f" coordsize="21600,21600">
            <v:path/>
            <v:fill on="f" alignshape="1" focussize="0,0"/>
            <v:stroke on="f"/>
            <v:imagedata r:id="rId135" o:title=""/>
            <o:lock v:ext="edit" aspectratio="t"/>
            <w10:wrap type="none"/>
            <w10:anchorlock/>
          </v:shape>
          <o:OLEObject Type="Embed" ProgID="Equation.KSEE3" ShapeID="_x0000_i1099" DrawAspect="Content" ObjectID="_1468075787" r:id="rId134">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方法检出限；</w:t>
      </w:r>
    </w:p>
    <w:p w14:paraId="699105E6">
      <w:pPr>
        <w:tabs>
          <w:tab w:val="left" w:pos="1050"/>
        </w:tabs>
        <w:spacing w:line="360" w:lineRule="exact"/>
        <w:ind w:firstLine="1047" w:firstLineChars="499"/>
        <w:rPr>
          <w:rFonts w:hint="default" w:ascii="Times New Roman" w:hAnsi="Times New Roman" w:cs="Times New Roman"/>
          <w:color w:val="000000"/>
          <w:szCs w:val="21"/>
          <w:highlight w:val="none"/>
        </w:rPr>
      </w:pPr>
      <w:r>
        <w:rPr>
          <w:rFonts w:hint="default" w:ascii="Times New Roman" w:hAnsi="Times New Roman" w:cs="Times New Roman"/>
          <w:color w:val="000000"/>
          <w:position w:val="-6"/>
          <w:highlight w:val="none"/>
        </w:rPr>
        <w:object>
          <v:shape id="_x0000_i1100" o:spt="75" type="#_x0000_t75" style="height:9.9pt;width:9pt;" o:ole="t" filled="f" o:preferrelative="t" stroked="f" coordsize="21600,21600">
            <v:path/>
            <v:fill on="f" focussize="0,0"/>
            <v:stroke on="f"/>
            <v:imagedata r:id="rId137" o:title=""/>
            <o:lock v:ext="edit" aspectratio="t"/>
            <w10:wrap type="none"/>
            <w10:anchorlock/>
          </v:shape>
          <o:OLEObject Type="Embed" ProgID="Equation.KSEE3" ShapeID="_x0000_i1100" DrawAspect="Content" ObjectID="_1468075788" r:id="rId136">
            <o:LockedField>false</o:LockedField>
          </o:OLEObject>
        </w:object>
      </w:r>
      <w:r>
        <w:rPr>
          <w:rFonts w:hint="default" w:ascii="Times New Roman" w:hAnsi="Times New Roman" w:cs="Times New Roman"/>
          <w:color w:val="000000"/>
          <w:kern w:val="0"/>
          <w:szCs w:val="21"/>
          <w:highlight w:val="none"/>
        </w:rPr>
        <w:t>——样品的平行测定次数；</w:t>
      </w:r>
    </w:p>
    <w:p w14:paraId="0A5CFDCA">
      <w:pPr>
        <w:tabs>
          <w:tab w:val="left" w:pos="1050"/>
        </w:tabs>
        <w:spacing w:line="360" w:lineRule="exact"/>
        <w:ind w:firstLine="1047" w:firstLineChars="499"/>
        <w:rPr>
          <w:rFonts w:hint="default" w:ascii="Times New Roman" w:hAnsi="Times New Roman" w:cs="Times New Roman"/>
          <w:color w:val="000000"/>
          <w:szCs w:val="21"/>
          <w:highlight w:val="none"/>
        </w:rPr>
      </w:pPr>
      <w:r>
        <w:rPr>
          <w:rFonts w:hint="default" w:ascii="Times New Roman" w:hAnsi="Times New Roman" w:cs="Times New Roman"/>
          <w:i/>
          <w:iCs/>
          <w:color w:val="000000"/>
          <w:position w:val="-6"/>
          <w:szCs w:val="21"/>
          <w:highlight w:val="none"/>
        </w:rPr>
        <w:object>
          <v:shape id="_x0000_i1101" o:spt="75" type="#_x0000_t75" style="height:10.75pt;width:6.25pt;" o:ole="t" filled="f" o:preferrelative="t" stroked="f" coordsize="21600,21600">
            <v:path/>
            <v:fill on="f" focussize="0,0"/>
            <v:stroke on="f"/>
            <v:imagedata r:id="rId139" o:title=""/>
            <o:lock v:ext="edit" aspectratio="t"/>
            <w10:wrap type="none"/>
            <w10:anchorlock/>
          </v:shape>
          <o:OLEObject Type="Embed" ProgID="Equation.KSEE3" ShapeID="_x0000_i1101" DrawAspect="Content" ObjectID="_1468075789" r:id="rId138">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自由度为</w:t>
      </w:r>
      <w:r>
        <w:rPr>
          <w:rFonts w:hint="default" w:ascii="Times New Roman" w:hAnsi="Times New Roman" w:cs="Times New Roman"/>
          <w:i/>
          <w:iCs/>
          <w:color w:val="000000"/>
          <w:szCs w:val="21"/>
          <w:highlight w:val="none"/>
        </w:rPr>
        <w:t>n</w:t>
      </w:r>
      <w:r>
        <w:rPr>
          <w:rFonts w:hint="default" w:ascii="Times New Roman" w:hAnsi="Times New Roman" w:cs="Times New Roman"/>
          <w:color w:val="000000"/>
          <w:szCs w:val="21"/>
          <w:highlight w:val="none"/>
        </w:rPr>
        <w:t>-1，置信度为99%时的</w:t>
      </w:r>
      <w:r>
        <w:rPr>
          <w:rFonts w:hint="default" w:ascii="Times New Roman" w:hAnsi="Times New Roman" w:cs="Times New Roman"/>
          <w:i/>
          <w:iCs/>
          <w:color w:val="000000"/>
          <w:szCs w:val="21"/>
          <w:highlight w:val="none"/>
        </w:rPr>
        <w:t>t</w:t>
      </w:r>
      <w:r>
        <w:rPr>
          <w:rFonts w:hint="default" w:ascii="Times New Roman" w:hAnsi="Times New Roman" w:cs="Times New Roman"/>
          <w:color w:val="000000"/>
          <w:szCs w:val="21"/>
          <w:highlight w:val="none"/>
        </w:rPr>
        <w:t>分布值（单侧）；</w:t>
      </w:r>
    </w:p>
    <w:p w14:paraId="26E2F4FB">
      <w:pPr>
        <w:tabs>
          <w:tab w:val="left" w:pos="1050"/>
        </w:tabs>
        <w:spacing w:line="360" w:lineRule="exact"/>
        <w:ind w:firstLine="1047" w:firstLineChars="499"/>
        <w:rPr>
          <w:rFonts w:hint="default" w:ascii="Times New Roman" w:hAnsi="Times New Roman" w:cs="Times New Roman"/>
          <w:color w:val="000000"/>
          <w:szCs w:val="21"/>
          <w:highlight w:val="none"/>
        </w:rPr>
      </w:pPr>
      <w:r>
        <w:rPr>
          <w:rFonts w:hint="default" w:ascii="Times New Roman" w:hAnsi="Times New Roman" w:cs="Times New Roman"/>
          <w:color w:val="000000"/>
          <w:position w:val="-6"/>
          <w:highlight w:val="none"/>
        </w:rPr>
        <w:object>
          <v:shape id="_x0000_i1102" o:spt="75" type="#_x0000_t75" style="height:12.6pt;width:9.9pt;" o:ole="t" filled="f" o:preferrelative="t" stroked="f" coordsize="21600,21600">
            <v:path/>
            <v:fill on="f" focussize="0,0"/>
            <v:stroke on="f"/>
            <v:imagedata r:id="rId131" o:title=""/>
            <o:lock v:ext="edit" aspectratio="t"/>
            <w10:wrap type="none"/>
            <w10:anchorlock/>
          </v:shape>
          <o:OLEObject Type="Embed" ProgID="Equation.KSEE3" ShapeID="_x0000_i1102" DrawAspect="Content" ObjectID="_1468075790" r:id="rId140">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i/>
          <w:iCs/>
          <w:color w:val="000000"/>
          <w:kern w:val="0"/>
          <w:szCs w:val="21"/>
          <w:highlight w:val="none"/>
        </w:rPr>
        <w:t>n</w:t>
      </w:r>
      <w:r>
        <w:rPr>
          <w:rFonts w:hint="default" w:ascii="Times New Roman" w:hAnsi="Times New Roman" w:cs="Times New Roman"/>
          <w:color w:val="000000"/>
          <w:kern w:val="0"/>
          <w:szCs w:val="21"/>
          <w:highlight w:val="none"/>
        </w:rPr>
        <w:t>次平行测定的标准偏差</w:t>
      </w:r>
      <w:r>
        <w:rPr>
          <w:rFonts w:hint="default" w:ascii="Times New Roman" w:hAnsi="Times New Roman" w:cs="Times New Roman"/>
          <w:color w:val="000000"/>
          <w:szCs w:val="21"/>
          <w:highlight w:val="none"/>
        </w:rPr>
        <w:t>。</w:t>
      </w:r>
    </w:p>
    <w:p w14:paraId="70E4B1C9">
      <w:pPr>
        <w:rPr>
          <w:rFonts w:hint="default" w:ascii="Times New Roman" w:hAnsi="Times New Roman" w:cs="Times New Roman"/>
          <w:lang w:val="en-US" w:eastAsia="zh-CN"/>
        </w:rPr>
      </w:pPr>
      <w:r>
        <w:rPr>
          <w:rFonts w:hint="default" w:ascii="Times New Roman" w:hAnsi="Times New Roman" w:cs="Times New Roman"/>
          <w:lang w:val="en-US" w:eastAsia="zh-CN"/>
        </w:rPr>
        <w:t>测定结果的平均值与检出限的比值在3~5之间，表明检出限合理。测定下限以4倍检出限计。</w:t>
      </w:r>
    </w:p>
    <w:p w14:paraId="30831D4C">
      <w:pPr>
        <w:rPr>
          <w:rFonts w:hint="default" w:ascii="Times New Roman" w:hAnsi="Times New Roman" w:cs="Times New Roman"/>
          <w:lang w:val="en-US" w:eastAsia="zh-CN"/>
        </w:rPr>
      </w:pPr>
      <w:r>
        <w:rPr>
          <w:rFonts w:hint="default" w:ascii="Times New Roman" w:hAnsi="Times New Roman" w:cs="Times New Roman"/>
          <w:lang w:val="en-US" w:eastAsia="zh-CN"/>
        </w:rPr>
        <w:t>以石英砂代替实际样品，按照样品的预处理制备空白加标样品：取10 g干燥后的石英砂，加入10.0 μ</w:t>
      </w:r>
      <w:r>
        <w:rPr>
          <w:rFonts w:hint="eastAsia" w:cs="Times New Roman"/>
          <w:lang w:val="en-US" w:eastAsia="zh-CN"/>
        </w:rPr>
        <w:t>l</w:t>
      </w:r>
      <w:r>
        <w:rPr>
          <w:rFonts w:hint="default" w:ascii="Times New Roman" w:hAnsi="Times New Roman" w:cs="Times New Roman"/>
          <w:lang w:val="en-US" w:eastAsia="zh-CN"/>
        </w:rPr>
        <w:t>浓度为50.0 mg/L的三氯杀螨醇标准溶液，此时加标量为0.05 mg/kg，以加压流体萃取方式萃取，经浓缩、碱解、净化、氮吹后，最终定容至1.0 m</w:t>
      </w:r>
      <w:r>
        <w:rPr>
          <w:rFonts w:hint="eastAsia" w:cs="Times New Roman"/>
          <w:lang w:val="en-US" w:eastAsia="zh-CN"/>
        </w:rPr>
        <w:t>l</w:t>
      </w:r>
      <w:r>
        <w:rPr>
          <w:rFonts w:hint="default" w:ascii="Times New Roman" w:hAnsi="Times New Roman" w:cs="Times New Roman"/>
          <w:lang w:val="en-US" w:eastAsia="zh-CN"/>
        </w:rPr>
        <w:t>。平行制备7份同一浓度的空白加标样品，按照仪器方法条件进行样品的测定和数据处理，方法检出限和测定下限测试数据结果见表</w:t>
      </w:r>
      <w:r>
        <w:rPr>
          <w:rFonts w:hint="eastAsia" w:cs="Times New Roman"/>
          <w:lang w:val="en-US" w:eastAsia="zh-CN"/>
        </w:rPr>
        <w:t>11</w:t>
      </w:r>
      <w:r>
        <w:rPr>
          <w:rFonts w:hint="default" w:ascii="Times New Roman" w:hAnsi="Times New Roman" w:cs="Times New Roman"/>
          <w:lang w:val="en-US" w:eastAsia="zh-CN"/>
        </w:rPr>
        <w:t>。</w:t>
      </w:r>
    </w:p>
    <w:p w14:paraId="04979631">
      <w:pPr>
        <w:rPr>
          <w:rFonts w:hint="default" w:ascii="Times New Roman" w:hAnsi="Times New Roman" w:cs="Times New Roman"/>
          <w:lang w:val="en-US" w:eastAsia="zh-CN"/>
        </w:rPr>
      </w:pPr>
      <w:r>
        <w:rPr>
          <w:rFonts w:hint="default" w:ascii="Times New Roman" w:hAnsi="Times New Roman" w:cs="Times New Roman"/>
          <w:lang w:val="en-US" w:eastAsia="zh-CN"/>
        </w:rPr>
        <w:t>结果表明：空白样品均未检出，测定结果的平均值与检出限的比值均在3~5之间，检出限合理。检出限为0.02 mg/kg，测定下限为0.08 mg/kg，具体结果详见表</w:t>
      </w:r>
      <w:r>
        <w:rPr>
          <w:rFonts w:hint="eastAsia" w:cs="Times New Roman"/>
          <w:lang w:val="en-US" w:eastAsia="zh-CN"/>
        </w:rPr>
        <w:t>11</w:t>
      </w:r>
      <w:r>
        <w:rPr>
          <w:rFonts w:hint="default" w:ascii="Times New Roman" w:hAnsi="Times New Roman" w:cs="Times New Roman"/>
          <w:lang w:val="en-US" w:eastAsia="zh-CN"/>
        </w:rPr>
        <w:t>。</w:t>
      </w:r>
    </w:p>
    <w:p w14:paraId="4CA49366">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0C6182F">
      <w:pPr>
        <w:rPr>
          <w:rFonts w:hint="default" w:ascii="Times New Roman" w:hAnsi="Times New Roman" w:cs="Times New Roman"/>
          <w:lang w:val="en-US" w:eastAsia="zh-CN"/>
        </w:rPr>
        <w:sectPr>
          <w:footerReference r:id="rId6" w:type="default"/>
          <w:pgSz w:w="11906" w:h="16838"/>
          <w:pgMar w:top="1701" w:right="1701" w:bottom="1701" w:left="170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5F5687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11</w:t>
      </w:r>
      <w:r>
        <w:rPr>
          <w:rFonts w:hint="default" w:ascii="Times New Roman" w:hAnsi="Times New Roman" w:eastAsia="黑体" w:cs="Times New Roman"/>
          <w:color w:val="000000"/>
          <w:szCs w:val="21"/>
          <w:highlight w:val="none"/>
          <w:lang w:val="en-US" w:eastAsia="zh-CN"/>
        </w:rPr>
        <w:t xml:space="preserve">  检出限、测定下限测试数据表</w:t>
      </w:r>
    </w:p>
    <w:tbl>
      <w:tblPr>
        <w:tblStyle w:val="15"/>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678"/>
        <w:gridCol w:w="756"/>
        <w:gridCol w:w="756"/>
        <w:gridCol w:w="751"/>
        <w:gridCol w:w="699"/>
        <w:gridCol w:w="713"/>
        <w:gridCol w:w="727"/>
        <w:gridCol w:w="776"/>
        <w:gridCol w:w="1097"/>
        <w:gridCol w:w="1120"/>
        <w:gridCol w:w="732"/>
        <w:gridCol w:w="1161"/>
        <w:gridCol w:w="1053"/>
        <w:gridCol w:w="1160"/>
      </w:tblGrid>
      <w:tr w14:paraId="4142A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473" w:type="dxa"/>
            <w:vMerge w:val="restart"/>
            <w:tcBorders>
              <w:tl2br w:val="nil"/>
              <w:tr2bl w:val="nil"/>
            </w:tcBorders>
            <w:noWrap w:val="0"/>
            <w:vAlign w:val="center"/>
          </w:tcPr>
          <w:p w14:paraId="466651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rPr>
              <w:t>目标化合物</w:t>
            </w:r>
          </w:p>
        </w:tc>
        <w:tc>
          <w:tcPr>
            <w:tcW w:w="5856" w:type="dxa"/>
            <w:gridSpan w:val="8"/>
            <w:tcBorders>
              <w:tl2br w:val="nil"/>
              <w:tr2bl w:val="nil"/>
            </w:tcBorders>
            <w:noWrap w:val="0"/>
            <w:vAlign w:val="center"/>
          </w:tcPr>
          <w:p w14:paraId="58607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测定结果（mg/kg）</w:t>
            </w:r>
          </w:p>
        </w:tc>
        <w:tc>
          <w:tcPr>
            <w:tcW w:w="1097" w:type="dxa"/>
            <w:vMerge w:val="restart"/>
            <w:tcBorders>
              <w:tl2br w:val="nil"/>
              <w:tr2bl w:val="nil"/>
            </w:tcBorders>
            <w:noWrap w:val="0"/>
            <w:vAlign w:val="center"/>
          </w:tcPr>
          <w:p w14:paraId="086362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03"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03" DrawAspect="Content" ObjectID="_1468075791" r:id="rId141">
                  <o:LockedField>false</o:LockedField>
                </o:OLEObject>
              </w:object>
            </w:r>
          </w:p>
          <w:p w14:paraId="39FA0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（mg/kg）</w:t>
            </w:r>
          </w:p>
        </w:tc>
        <w:tc>
          <w:tcPr>
            <w:tcW w:w="1120" w:type="dxa"/>
            <w:vMerge w:val="restart"/>
            <w:tcBorders>
              <w:tl2br w:val="nil"/>
              <w:tr2bl w:val="nil"/>
            </w:tcBorders>
            <w:noWrap w:val="0"/>
            <w:vAlign w:val="center"/>
          </w:tcPr>
          <w:p w14:paraId="572ED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标准偏差</w:t>
            </w:r>
            <w:r>
              <w:rPr>
                <w:rFonts w:hint="default" w:ascii="Times New Roman" w:hAnsi="Times New Roman" w:cs="Times New Roman"/>
                <w:color w:val="000000"/>
                <w:kern w:val="0"/>
                <w:position w:val="-12"/>
                <w:sz w:val="18"/>
                <w:szCs w:val="18"/>
                <w:highlight w:val="none"/>
              </w:rPr>
              <w:object>
                <v:shape id="_x0000_i1104"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04" DrawAspect="Content" ObjectID="_1468075792" r:id="rId143">
                  <o:LockedField>false</o:LockedField>
                </o:OLEObject>
              </w:object>
            </w:r>
            <w:r>
              <w:rPr>
                <w:rFonts w:hint="default" w:ascii="Times New Roman" w:hAnsi="Times New Roman" w:cs="Times New Roman"/>
                <w:color w:val="000000"/>
                <w:sz w:val="18"/>
                <w:szCs w:val="18"/>
                <w:highlight w:val="none"/>
              </w:rPr>
              <w:t>（mg/kg）</w:t>
            </w:r>
          </w:p>
        </w:tc>
        <w:tc>
          <w:tcPr>
            <w:tcW w:w="732" w:type="dxa"/>
            <w:vMerge w:val="restart"/>
            <w:tcBorders>
              <w:tl2br w:val="nil"/>
              <w:tr2bl w:val="nil"/>
            </w:tcBorders>
            <w:noWrap w:val="0"/>
            <w:vAlign w:val="center"/>
          </w:tcPr>
          <w:p w14:paraId="1BF38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i/>
                <w:iCs/>
                <w:color w:val="000000"/>
                <w:sz w:val="18"/>
                <w:szCs w:val="18"/>
                <w:highlight w:val="none"/>
                <w:lang w:val="en-US" w:eastAsia="zh-CN"/>
              </w:rPr>
              <w:t>t</w:t>
            </w:r>
            <w:r>
              <w:rPr>
                <w:rFonts w:hint="default" w:ascii="Times New Roman" w:hAnsi="Times New Roman" w:cs="Times New Roman"/>
                <w:color w:val="000000"/>
                <w:sz w:val="18"/>
                <w:szCs w:val="18"/>
                <w:highlight w:val="none"/>
              </w:rPr>
              <w:t>值</w:t>
            </w:r>
          </w:p>
        </w:tc>
        <w:tc>
          <w:tcPr>
            <w:tcW w:w="1161" w:type="dxa"/>
            <w:vMerge w:val="restart"/>
            <w:tcBorders>
              <w:tl2br w:val="nil"/>
              <w:tr2bl w:val="nil"/>
            </w:tcBorders>
            <w:noWrap w:val="0"/>
            <w:vAlign w:val="center"/>
          </w:tcPr>
          <w:p w14:paraId="2F5A3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计算的方法检出限（mg/kg）</w:t>
            </w:r>
          </w:p>
        </w:tc>
        <w:tc>
          <w:tcPr>
            <w:tcW w:w="1053" w:type="dxa"/>
            <w:vMerge w:val="restart"/>
            <w:tcBorders>
              <w:tl2br w:val="nil"/>
              <w:tr2bl w:val="nil"/>
            </w:tcBorders>
            <w:shd w:val="clear" w:color="auto" w:fill="auto"/>
            <w:noWrap w:val="0"/>
            <w:vAlign w:val="center"/>
          </w:tcPr>
          <w:p w14:paraId="64DC0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方法检出限（mg/kg）</w:t>
            </w:r>
          </w:p>
        </w:tc>
        <w:tc>
          <w:tcPr>
            <w:tcW w:w="1160" w:type="dxa"/>
            <w:vMerge w:val="restart"/>
            <w:tcBorders>
              <w:tl2br w:val="nil"/>
              <w:tr2bl w:val="nil"/>
            </w:tcBorders>
            <w:shd w:val="clear" w:color="auto" w:fill="auto"/>
            <w:noWrap w:val="0"/>
            <w:vAlign w:val="center"/>
          </w:tcPr>
          <w:p w14:paraId="7A232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测定</w:t>
            </w:r>
            <w:r>
              <w:rPr>
                <w:rFonts w:hint="default" w:ascii="Times New Roman" w:hAnsi="Times New Roman" w:cs="Times New Roman"/>
                <w:color w:val="000000"/>
                <w:sz w:val="18"/>
                <w:szCs w:val="18"/>
                <w:highlight w:val="none"/>
                <w:lang w:val="en-US" w:eastAsia="zh-CN"/>
              </w:rPr>
              <w:t>下</w:t>
            </w:r>
            <w:r>
              <w:rPr>
                <w:rFonts w:hint="default" w:ascii="Times New Roman" w:hAnsi="Times New Roman" w:cs="Times New Roman"/>
                <w:color w:val="000000"/>
                <w:sz w:val="18"/>
                <w:szCs w:val="18"/>
                <w:highlight w:val="none"/>
              </w:rPr>
              <w:t>限（mg/kg）</w:t>
            </w:r>
          </w:p>
        </w:tc>
      </w:tr>
      <w:tr w14:paraId="3590E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 w:hRule="atLeast"/>
          <w:tblHeader/>
          <w:jc w:val="center"/>
        </w:trPr>
        <w:tc>
          <w:tcPr>
            <w:tcW w:w="1473" w:type="dxa"/>
            <w:vMerge w:val="continue"/>
            <w:tcBorders>
              <w:tl2br w:val="nil"/>
              <w:tr2bl w:val="nil"/>
            </w:tcBorders>
            <w:noWrap w:val="0"/>
            <w:vAlign w:val="center"/>
          </w:tcPr>
          <w:p w14:paraId="5D89CF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678" w:type="dxa"/>
            <w:tcBorders>
              <w:tl2br w:val="nil"/>
              <w:tr2bl w:val="nil"/>
            </w:tcBorders>
            <w:noWrap w:val="0"/>
            <w:vAlign w:val="center"/>
          </w:tcPr>
          <w:p w14:paraId="15AA8C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空白</w:t>
            </w:r>
          </w:p>
        </w:tc>
        <w:tc>
          <w:tcPr>
            <w:tcW w:w="756" w:type="dxa"/>
            <w:tcBorders>
              <w:tl2br w:val="nil"/>
              <w:tr2bl w:val="nil"/>
            </w:tcBorders>
            <w:noWrap w:val="0"/>
            <w:vAlign w:val="center"/>
          </w:tcPr>
          <w:p w14:paraId="43AF84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1</w:t>
            </w:r>
          </w:p>
        </w:tc>
        <w:tc>
          <w:tcPr>
            <w:tcW w:w="756" w:type="dxa"/>
            <w:tcBorders>
              <w:tl2br w:val="nil"/>
              <w:tr2bl w:val="nil"/>
            </w:tcBorders>
            <w:noWrap w:val="0"/>
            <w:vAlign w:val="center"/>
          </w:tcPr>
          <w:p w14:paraId="28BBE2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p>
        </w:tc>
        <w:tc>
          <w:tcPr>
            <w:tcW w:w="751" w:type="dxa"/>
            <w:tcBorders>
              <w:tl2br w:val="nil"/>
              <w:tr2bl w:val="nil"/>
            </w:tcBorders>
            <w:noWrap w:val="0"/>
            <w:vAlign w:val="center"/>
          </w:tcPr>
          <w:p w14:paraId="66539C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699" w:type="dxa"/>
            <w:tcBorders>
              <w:tl2br w:val="nil"/>
              <w:tr2bl w:val="nil"/>
            </w:tcBorders>
            <w:noWrap w:val="0"/>
            <w:vAlign w:val="center"/>
          </w:tcPr>
          <w:p w14:paraId="1C687A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713" w:type="dxa"/>
            <w:tcBorders>
              <w:tl2br w:val="nil"/>
              <w:tr2bl w:val="nil"/>
            </w:tcBorders>
            <w:noWrap w:val="0"/>
            <w:vAlign w:val="center"/>
          </w:tcPr>
          <w:p w14:paraId="3910B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727" w:type="dxa"/>
            <w:tcBorders>
              <w:tl2br w:val="nil"/>
              <w:tr2bl w:val="nil"/>
            </w:tcBorders>
            <w:noWrap w:val="0"/>
            <w:vAlign w:val="center"/>
          </w:tcPr>
          <w:p w14:paraId="43F07C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6</w:t>
            </w:r>
          </w:p>
        </w:tc>
        <w:tc>
          <w:tcPr>
            <w:tcW w:w="776" w:type="dxa"/>
            <w:tcBorders>
              <w:tl2br w:val="nil"/>
              <w:tr2bl w:val="nil"/>
            </w:tcBorders>
            <w:noWrap w:val="0"/>
            <w:vAlign w:val="center"/>
          </w:tcPr>
          <w:p w14:paraId="3ADFF8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7</w:t>
            </w:r>
          </w:p>
        </w:tc>
        <w:tc>
          <w:tcPr>
            <w:tcW w:w="1097" w:type="dxa"/>
            <w:vMerge w:val="continue"/>
            <w:tcBorders>
              <w:tl2br w:val="nil"/>
              <w:tr2bl w:val="nil"/>
            </w:tcBorders>
            <w:noWrap w:val="0"/>
            <w:vAlign w:val="center"/>
          </w:tcPr>
          <w:p w14:paraId="506CDA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20" w:type="dxa"/>
            <w:vMerge w:val="continue"/>
            <w:tcBorders>
              <w:tl2br w:val="nil"/>
              <w:tr2bl w:val="nil"/>
            </w:tcBorders>
            <w:noWrap w:val="0"/>
            <w:vAlign w:val="center"/>
          </w:tcPr>
          <w:p w14:paraId="70536C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732" w:type="dxa"/>
            <w:vMerge w:val="continue"/>
            <w:tcBorders>
              <w:tl2br w:val="nil"/>
              <w:tr2bl w:val="nil"/>
            </w:tcBorders>
            <w:noWrap w:val="0"/>
            <w:vAlign w:val="center"/>
          </w:tcPr>
          <w:p w14:paraId="237FBD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1" w:type="dxa"/>
            <w:vMerge w:val="continue"/>
            <w:tcBorders>
              <w:tl2br w:val="nil"/>
              <w:tr2bl w:val="nil"/>
            </w:tcBorders>
            <w:noWrap w:val="0"/>
            <w:vAlign w:val="center"/>
          </w:tcPr>
          <w:p w14:paraId="4D063B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053" w:type="dxa"/>
            <w:vMerge w:val="continue"/>
            <w:tcBorders>
              <w:tl2br w:val="nil"/>
              <w:tr2bl w:val="nil"/>
            </w:tcBorders>
            <w:noWrap w:val="0"/>
            <w:vAlign w:val="top"/>
          </w:tcPr>
          <w:p w14:paraId="6E40A6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0" w:type="dxa"/>
            <w:vMerge w:val="continue"/>
            <w:tcBorders>
              <w:tl2br w:val="nil"/>
              <w:tr2bl w:val="nil"/>
            </w:tcBorders>
            <w:noWrap w:val="0"/>
            <w:vAlign w:val="center"/>
          </w:tcPr>
          <w:p w14:paraId="0A28E6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r>
      <w:tr w14:paraId="35881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shd w:val="clear" w:color="auto" w:fill="auto"/>
            <w:noWrap w:val="0"/>
            <w:vAlign w:val="center"/>
          </w:tcPr>
          <w:p w14:paraId="04190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678" w:type="dxa"/>
            <w:tcBorders>
              <w:tl2br w:val="nil"/>
              <w:tr2bl w:val="nil"/>
            </w:tcBorders>
            <w:noWrap w:val="0"/>
            <w:vAlign w:val="center"/>
          </w:tcPr>
          <w:p w14:paraId="428C80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noWrap w:val="0"/>
            <w:vAlign w:val="bottom"/>
          </w:tcPr>
          <w:p w14:paraId="4AE76E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0.026</w:t>
            </w:r>
          </w:p>
        </w:tc>
        <w:tc>
          <w:tcPr>
            <w:tcW w:w="756" w:type="dxa"/>
            <w:tcBorders>
              <w:tl2br w:val="nil"/>
              <w:tr2bl w:val="nil"/>
            </w:tcBorders>
            <w:noWrap w:val="0"/>
            <w:vAlign w:val="bottom"/>
          </w:tcPr>
          <w:p w14:paraId="6C74CF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0.034</w:t>
            </w:r>
          </w:p>
        </w:tc>
        <w:tc>
          <w:tcPr>
            <w:tcW w:w="751" w:type="dxa"/>
            <w:tcBorders>
              <w:tl2br w:val="nil"/>
              <w:tr2bl w:val="nil"/>
            </w:tcBorders>
            <w:noWrap w:val="0"/>
            <w:vAlign w:val="bottom"/>
          </w:tcPr>
          <w:p w14:paraId="5C780F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0.034</w:t>
            </w:r>
          </w:p>
        </w:tc>
        <w:tc>
          <w:tcPr>
            <w:tcW w:w="699" w:type="dxa"/>
            <w:tcBorders>
              <w:tl2br w:val="nil"/>
              <w:tr2bl w:val="nil"/>
            </w:tcBorders>
            <w:noWrap w:val="0"/>
            <w:vAlign w:val="bottom"/>
          </w:tcPr>
          <w:p w14:paraId="4580EB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0.031</w:t>
            </w:r>
          </w:p>
        </w:tc>
        <w:tc>
          <w:tcPr>
            <w:tcW w:w="713" w:type="dxa"/>
            <w:tcBorders>
              <w:tl2br w:val="nil"/>
              <w:tr2bl w:val="nil"/>
            </w:tcBorders>
            <w:noWrap w:val="0"/>
            <w:vAlign w:val="bottom"/>
          </w:tcPr>
          <w:p w14:paraId="4E9D92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0.030</w:t>
            </w:r>
          </w:p>
        </w:tc>
        <w:tc>
          <w:tcPr>
            <w:tcW w:w="727" w:type="dxa"/>
            <w:tcBorders>
              <w:tl2br w:val="nil"/>
              <w:tr2bl w:val="nil"/>
            </w:tcBorders>
            <w:noWrap w:val="0"/>
            <w:vAlign w:val="bottom"/>
          </w:tcPr>
          <w:p w14:paraId="7762FD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0.030</w:t>
            </w:r>
          </w:p>
        </w:tc>
        <w:tc>
          <w:tcPr>
            <w:tcW w:w="776" w:type="dxa"/>
            <w:tcBorders>
              <w:tl2br w:val="nil"/>
              <w:tr2bl w:val="nil"/>
            </w:tcBorders>
            <w:noWrap w:val="0"/>
            <w:vAlign w:val="bottom"/>
          </w:tcPr>
          <w:p w14:paraId="36DFCE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0.026</w:t>
            </w:r>
          </w:p>
        </w:tc>
        <w:tc>
          <w:tcPr>
            <w:tcW w:w="1097" w:type="dxa"/>
            <w:tcBorders>
              <w:tl2br w:val="nil"/>
              <w:tr2bl w:val="nil"/>
            </w:tcBorders>
            <w:noWrap w:val="0"/>
            <w:vAlign w:val="bottom"/>
          </w:tcPr>
          <w:p w14:paraId="7743E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0.303</w:t>
            </w:r>
          </w:p>
        </w:tc>
        <w:tc>
          <w:tcPr>
            <w:tcW w:w="1120" w:type="dxa"/>
            <w:tcBorders>
              <w:tl2br w:val="nil"/>
              <w:tr2bl w:val="nil"/>
            </w:tcBorders>
            <w:noWrap w:val="0"/>
            <w:vAlign w:val="bottom"/>
          </w:tcPr>
          <w:p w14:paraId="487556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0.033</w:t>
            </w:r>
          </w:p>
        </w:tc>
        <w:tc>
          <w:tcPr>
            <w:tcW w:w="732" w:type="dxa"/>
            <w:tcBorders>
              <w:tl2br w:val="nil"/>
              <w:tr2bl w:val="nil"/>
            </w:tcBorders>
            <w:noWrap w:val="0"/>
            <w:vAlign w:val="center"/>
          </w:tcPr>
          <w:p w14:paraId="6AAE44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3.143</w:t>
            </w:r>
          </w:p>
        </w:tc>
        <w:tc>
          <w:tcPr>
            <w:tcW w:w="1161" w:type="dxa"/>
            <w:tcBorders>
              <w:tl2br w:val="nil"/>
              <w:tr2bl w:val="nil"/>
            </w:tcBorders>
            <w:noWrap w:val="0"/>
            <w:vAlign w:val="bottom"/>
          </w:tcPr>
          <w:p w14:paraId="36ED7E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0.011</w:t>
            </w:r>
          </w:p>
        </w:tc>
        <w:tc>
          <w:tcPr>
            <w:tcW w:w="1053" w:type="dxa"/>
            <w:tcBorders>
              <w:tl2br w:val="nil"/>
              <w:tr2bl w:val="nil"/>
            </w:tcBorders>
            <w:noWrap w:val="0"/>
            <w:vAlign w:val="top"/>
          </w:tcPr>
          <w:p w14:paraId="400B06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0.02</w:t>
            </w:r>
          </w:p>
        </w:tc>
        <w:tc>
          <w:tcPr>
            <w:tcW w:w="1160" w:type="dxa"/>
            <w:tcBorders>
              <w:tl2br w:val="nil"/>
              <w:tr2bl w:val="nil"/>
            </w:tcBorders>
            <w:noWrap w:val="0"/>
            <w:vAlign w:val="bottom"/>
          </w:tcPr>
          <w:p w14:paraId="10B666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0.08</w:t>
            </w:r>
          </w:p>
        </w:tc>
      </w:tr>
      <w:tr w14:paraId="7A5CE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shd w:val="clear" w:color="auto" w:fill="auto"/>
            <w:noWrap w:val="0"/>
            <w:vAlign w:val="center"/>
          </w:tcPr>
          <w:p w14:paraId="6A5EC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678" w:type="dxa"/>
            <w:tcBorders>
              <w:tl2br w:val="nil"/>
              <w:tr2bl w:val="nil"/>
            </w:tcBorders>
            <w:noWrap w:val="0"/>
            <w:vAlign w:val="center"/>
          </w:tcPr>
          <w:p w14:paraId="568BDC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noWrap w:val="0"/>
            <w:vAlign w:val="bottom"/>
          </w:tcPr>
          <w:p w14:paraId="5A3EE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0.024</w:t>
            </w:r>
          </w:p>
        </w:tc>
        <w:tc>
          <w:tcPr>
            <w:tcW w:w="756" w:type="dxa"/>
            <w:tcBorders>
              <w:tl2br w:val="nil"/>
              <w:tr2bl w:val="nil"/>
            </w:tcBorders>
            <w:noWrap w:val="0"/>
            <w:vAlign w:val="bottom"/>
          </w:tcPr>
          <w:p w14:paraId="251578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0.034</w:t>
            </w:r>
          </w:p>
        </w:tc>
        <w:tc>
          <w:tcPr>
            <w:tcW w:w="751" w:type="dxa"/>
            <w:tcBorders>
              <w:tl2br w:val="nil"/>
              <w:tr2bl w:val="nil"/>
            </w:tcBorders>
            <w:noWrap w:val="0"/>
            <w:vAlign w:val="bottom"/>
          </w:tcPr>
          <w:p w14:paraId="42F59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0.030</w:t>
            </w:r>
          </w:p>
        </w:tc>
        <w:tc>
          <w:tcPr>
            <w:tcW w:w="699" w:type="dxa"/>
            <w:tcBorders>
              <w:tl2br w:val="nil"/>
              <w:tr2bl w:val="nil"/>
            </w:tcBorders>
            <w:noWrap w:val="0"/>
            <w:vAlign w:val="bottom"/>
          </w:tcPr>
          <w:p w14:paraId="069D23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0.028</w:t>
            </w:r>
          </w:p>
        </w:tc>
        <w:tc>
          <w:tcPr>
            <w:tcW w:w="713" w:type="dxa"/>
            <w:tcBorders>
              <w:tl2br w:val="nil"/>
              <w:tr2bl w:val="nil"/>
            </w:tcBorders>
            <w:noWrap w:val="0"/>
            <w:vAlign w:val="bottom"/>
          </w:tcPr>
          <w:p w14:paraId="0E86BA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0.027</w:t>
            </w:r>
          </w:p>
        </w:tc>
        <w:tc>
          <w:tcPr>
            <w:tcW w:w="727" w:type="dxa"/>
            <w:tcBorders>
              <w:tl2br w:val="nil"/>
              <w:tr2bl w:val="nil"/>
            </w:tcBorders>
            <w:noWrap w:val="0"/>
            <w:vAlign w:val="bottom"/>
          </w:tcPr>
          <w:p w14:paraId="06E9E8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0.028</w:t>
            </w:r>
          </w:p>
        </w:tc>
        <w:tc>
          <w:tcPr>
            <w:tcW w:w="776" w:type="dxa"/>
            <w:tcBorders>
              <w:tl2br w:val="nil"/>
              <w:tr2bl w:val="nil"/>
            </w:tcBorders>
            <w:noWrap w:val="0"/>
            <w:vAlign w:val="bottom"/>
          </w:tcPr>
          <w:p w14:paraId="11FDA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0.023</w:t>
            </w:r>
          </w:p>
        </w:tc>
        <w:tc>
          <w:tcPr>
            <w:tcW w:w="1097" w:type="dxa"/>
            <w:tcBorders>
              <w:tl2br w:val="nil"/>
              <w:tr2bl w:val="nil"/>
            </w:tcBorders>
            <w:noWrap w:val="0"/>
            <w:vAlign w:val="bottom"/>
          </w:tcPr>
          <w:p w14:paraId="385913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0.277</w:t>
            </w:r>
          </w:p>
        </w:tc>
        <w:tc>
          <w:tcPr>
            <w:tcW w:w="1120" w:type="dxa"/>
            <w:tcBorders>
              <w:tl2br w:val="nil"/>
              <w:tr2bl w:val="nil"/>
            </w:tcBorders>
            <w:noWrap w:val="0"/>
            <w:vAlign w:val="bottom"/>
          </w:tcPr>
          <w:p w14:paraId="2BB466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0.035</w:t>
            </w:r>
          </w:p>
        </w:tc>
        <w:tc>
          <w:tcPr>
            <w:tcW w:w="732" w:type="dxa"/>
            <w:tcBorders>
              <w:tl2br w:val="nil"/>
              <w:tr2bl w:val="nil"/>
            </w:tcBorders>
            <w:noWrap w:val="0"/>
            <w:vAlign w:val="center"/>
          </w:tcPr>
          <w:p w14:paraId="6B8DDD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lang w:bidi="ar"/>
              </w:rPr>
              <w:t>3.143</w:t>
            </w:r>
          </w:p>
        </w:tc>
        <w:tc>
          <w:tcPr>
            <w:tcW w:w="1161" w:type="dxa"/>
            <w:tcBorders>
              <w:tl2br w:val="nil"/>
              <w:tr2bl w:val="nil"/>
            </w:tcBorders>
            <w:shd w:val="clear" w:color="auto" w:fill="auto"/>
            <w:noWrap w:val="0"/>
            <w:vAlign w:val="bottom"/>
          </w:tcPr>
          <w:p w14:paraId="2AE8B4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SA"/>
              </w:rPr>
            </w:pPr>
            <w:r>
              <w:rPr>
                <w:rFonts w:hint="eastAsia" w:cs="Times New Roman"/>
                <w:color w:val="000000"/>
                <w:kern w:val="0"/>
                <w:sz w:val="18"/>
                <w:szCs w:val="18"/>
                <w:highlight w:val="none"/>
                <w:lang w:val="en-US" w:eastAsia="zh-CN"/>
              </w:rPr>
              <w:t>0.011</w:t>
            </w:r>
          </w:p>
        </w:tc>
        <w:tc>
          <w:tcPr>
            <w:tcW w:w="1053" w:type="dxa"/>
            <w:tcBorders>
              <w:tl2br w:val="nil"/>
              <w:tr2bl w:val="nil"/>
            </w:tcBorders>
            <w:shd w:val="clear" w:color="auto" w:fill="auto"/>
            <w:noWrap w:val="0"/>
            <w:vAlign w:val="top"/>
          </w:tcPr>
          <w:p w14:paraId="254B56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2"/>
                <w:sz w:val="18"/>
                <w:szCs w:val="18"/>
                <w:highlight w:val="none"/>
                <w:lang w:val="en-US" w:eastAsia="zh-CN" w:bidi="ar-SA"/>
              </w:rPr>
            </w:pPr>
            <w:r>
              <w:rPr>
                <w:rFonts w:hint="eastAsia" w:cs="Times New Roman"/>
                <w:color w:val="000000"/>
                <w:sz w:val="18"/>
                <w:szCs w:val="18"/>
                <w:highlight w:val="none"/>
                <w:lang w:val="en-US" w:eastAsia="zh-CN"/>
              </w:rPr>
              <w:t>0.02</w:t>
            </w:r>
          </w:p>
        </w:tc>
        <w:tc>
          <w:tcPr>
            <w:tcW w:w="1160" w:type="dxa"/>
            <w:tcBorders>
              <w:tl2br w:val="nil"/>
              <w:tr2bl w:val="nil"/>
            </w:tcBorders>
            <w:shd w:val="clear" w:color="auto" w:fill="auto"/>
            <w:noWrap w:val="0"/>
            <w:vAlign w:val="bottom"/>
          </w:tcPr>
          <w:p w14:paraId="04720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SA"/>
              </w:rPr>
            </w:pPr>
            <w:r>
              <w:rPr>
                <w:rFonts w:hint="eastAsia" w:cs="Times New Roman"/>
                <w:color w:val="000000"/>
                <w:kern w:val="0"/>
                <w:sz w:val="18"/>
                <w:szCs w:val="18"/>
                <w:highlight w:val="none"/>
                <w:lang w:val="en-US" w:eastAsia="zh-CN"/>
              </w:rPr>
              <w:t>0.08</w:t>
            </w:r>
          </w:p>
        </w:tc>
      </w:tr>
      <w:tr w14:paraId="7C78B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652" w:type="dxa"/>
            <w:gridSpan w:val="15"/>
            <w:tcBorders>
              <w:tl2br w:val="nil"/>
              <w:tr2bl w:val="nil"/>
            </w:tcBorders>
            <w:noWrap w:val="0"/>
            <w:vAlign w:val="top"/>
          </w:tcPr>
          <w:p w14:paraId="6C939191">
            <w:pPr>
              <w:keepNext w:val="0"/>
              <w:keepLines w:val="0"/>
              <w:pageBreakBefore w:val="0"/>
              <w:widowControl/>
              <w:tabs>
                <w:tab w:val="left" w:pos="210"/>
                <w:tab w:val="left" w:pos="420"/>
                <w:tab w:val="left" w:pos="630"/>
              </w:tabs>
              <w:kinsoku/>
              <w:wordWrap/>
              <w:overflowPunct/>
              <w:topLinePunct w:val="0"/>
              <w:autoSpaceDE/>
              <w:autoSpaceDN/>
              <w:bidi w:val="0"/>
              <w:adjustRightInd/>
              <w:snapToGrid/>
              <w:spacing w:line="240" w:lineRule="auto"/>
              <w:ind w:firstLine="0" w:firstLineChars="0"/>
              <w:jc w:val="both"/>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bCs/>
                <w:color w:val="000000"/>
                <w:sz w:val="18"/>
                <w:szCs w:val="18"/>
                <w:highlight w:val="none"/>
                <w:lang w:val="en-US" w:eastAsia="zh-CN"/>
              </w:rPr>
              <w:t>注：</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tc>
      </w:tr>
    </w:tbl>
    <w:p w14:paraId="1AFAE5A2">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2485A9FA">
      <w:pPr>
        <w:ind w:left="0" w:leftChars="0" w:firstLine="0" w:firstLineChars="0"/>
        <w:rPr>
          <w:rFonts w:hint="default" w:ascii="Times New Roman" w:hAnsi="Times New Roman" w:cs="Times New Roman"/>
          <w:lang w:val="en-US" w:eastAsia="zh-CN"/>
        </w:rPr>
        <w:sectPr>
          <w:pgSz w:w="16838" w:h="11906" w:orient="landscape"/>
          <w:pgMar w:top="1701" w:right="1701" w:bottom="1701"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EE9C9C0">
      <w:pPr>
        <w:pStyle w:val="3"/>
        <w:bidi w:val="0"/>
        <w:rPr>
          <w:rFonts w:hint="default" w:ascii="Times New Roman" w:hAnsi="Times New Roman" w:cs="Times New Roman"/>
          <w:lang w:val="en-US" w:eastAsia="zh-CN"/>
        </w:rPr>
      </w:pPr>
      <w:bookmarkStart w:id="95" w:name="_Toc14612"/>
      <w:bookmarkStart w:id="96" w:name="_Toc17854"/>
      <w:bookmarkStart w:id="97" w:name="_Toc21412"/>
      <w:r>
        <w:rPr>
          <w:rFonts w:hint="default" w:ascii="Times New Roman" w:hAnsi="Times New Roman" w:cs="Times New Roman"/>
          <w:lang w:val="en-US" w:eastAsia="zh-CN"/>
        </w:rPr>
        <w:t>6.1</w:t>
      </w:r>
      <w:r>
        <w:rPr>
          <w:rFonts w:hint="eastAsia" w:ascii="Times New Roman" w:hAnsi="Times New Roman" w:cs="Times New Roman"/>
          <w:lang w:val="en-US" w:eastAsia="zh-CN"/>
        </w:rPr>
        <w:t xml:space="preserve">2  </w:t>
      </w:r>
      <w:r>
        <w:rPr>
          <w:rFonts w:hint="default" w:ascii="Times New Roman" w:hAnsi="Times New Roman" w:cs="Times New Roman"/>
          <w:lang w:val="en-US" w:eastAsia="zh-CN"/>
        </w:rPr>
        <w:t>实验室内精密度和正确度</w:t>
      </w:r>
      <w:bookmarkEnd w:id="95"/>
      <w:bookmarkEnd w:id="96"/>
      <w:bookmarkEnd w:id="97"/>
    </w:p>
    <w:p w14:paraId="5603AAAC">
      <w:pPr>
        <w:spacing w:line="360" w:lineRule="exact"/>
        <w:ind w:firstLine="420" w:firstLineChars="200"/>
        <w:contextualSpacing/>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编制组选取空白</w:t>
      </w:r>
      <w:r>
        <w:rPr>
          <w:rFonts w:hint="default" w:ascii="Times New Roman" w:hAnsi="Times New Roman" w:cs="Times New Roman"/>
          <w:color w:val="000000"/>
          <w:szCs w:val="21"/>
          <w:highlight w:val="none"/>
          <w:lang w:eastAsia="zh-CN"/>
        </w:rPr>
        <w:t>样品</w:t>
      </w:r>
      <w:r>
        <w:rPr>
          <w:rFonts w:hint="default" w:ascii="Times New Roman" w:hAnsi="Times New Roman" w:cs="Times New Roman"/>
          <w:color w:val="000000"/>
          <w:szCs w:val="21"/>
          <w:highlight w:val="none"/>
        </w:rPr>
        <w:t>和土壤样品，对浓度为0.10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mg/kg、0.</w:t>
      </w:r>
      <w:r>
        <w:rPr>
          <w:rFonts w:hint="default" w:ascii="Times New Roman" w:hAnsi="Times New Roman" w:cs="Times New Roman"/>
          <w:color w:val="000000"/>
          <w:szCs w:val="21"/>
          <w:highlight w:val="none"/>
          <w:lang w:val="en-US" w:eastAsia="zh-CN"/>
        </w:rPr>
        <w:t>4</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mg/kg和</w:t>
      </w:r>
      <w:r>
        <w:rPr>
          <w:rFonts w:hint="default" w:ascii="Times New Roman" w:hAnsi="Times New Roman" w:cs="Times New Roman"/>
          <w:color w:val="000000"/>
          <w:szCs w:val="21"/>
          <w:highlight w:val="none"/>
          <w:lang w:val="en-US" w:eastAsia="zh-CN"/>
        </w:rPr>
        <w:t>0.7</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mg/kg的加标样品进行了分析，</w:t>
      </w:r>
      <w:r>
        <w:rPr>
          <w:rFonts w:hint="default" w:ascii="Times New Roman" w:hAnsi="Times New Roman" w:cs="Times New Roman"/>
          <w:color w:val="000000"/>
          <w:kern w:val="0"/>
          <w:sz w:val="20"/>
          <w:szCs w:val="20"/>
          <w:highlight w:val="none"/>
        </w:rPr>
        <w:t>平行制备6份同一浓度的空白加标样品</w:t>
      </w:r>
      <w:r>
        <w:rPr>
          <w:rFonts w:hint="default" w:ascii="Times New Roman" w:hAnsi="Times New Roman" w:cs="Times New Roman"/>
          <w:color w:val="000000"/>
          <w:szCs w:val="21"/>
          <w:highlight w:val="none"/>
        </w:rPr>
        <w:t>，考查实验室内的精密度和正确度。测定结果详见表</w:t>
      </w:r>
      <w:r>
        <w:rPr>
          <w:rFonts w:hint="eastAsia" w:cs="Times New Roman"/>
          <w:color w:val="000000"/>
          <w:szCs w:val="21"/>
          <w:highlight w:val="none"/>
          <w:lang w:val="en-US" w:eastAsia="zh-CN"/>
        </w:rPr>
        <w:t>12</w:t>
      </w:r>
      <w:r>
        <w:rPr>
          <w:rFonts w:hint="default" w:ascii="Times New Roman" w:hAnsi="Times New Roman" w:cs="Times New Roman"/>
          <w:color w:val="000000"/>
          <w:szCs w:val="21"/>
          <w:highlight w:val="none"/>
          <w:lang w:val="en-US" w:eastAsia="zh-CN"/>
        </w:rPr>
        <w:t>~</w:t>
      </w:r>
      <w:r>
        <w:rPr>
          <w:rFonts w:hint="default" w:ascii="Times New Roman" w:hAnsi="Times New Roman" w:cs="Times New Roman"/>
          <w:color w:val="000000"/>
          <w:szCs w:val="21"/>
          <w:highlight w:val="none"/>
        </w:rPr>
        <w:t>表</w:t>
      </w:r>
      <w:r>
        <w:rPr>
          <w:rFonts w:hint="eastAsia" w:cs="Times New Roman"/>
          <w:color w:val="000000"/>
          <w:szCs w:val="21"/>
          <w:highlight w:val="none"/>
          <w:lang w:val="en-US" w:eastAsia="zh-CN"/>
        </w:rPr>
        <w:t>13</w:t>
      </w:r>
      <w:r>
        <w:rPr>
          <w:rFonts w:hint="default" w:ascii="Times New Roman" w:hAnsi="Times New Roman" w:cs="Times New Roman"/>
          <w:color w:val="000000"/>
          <w:szCs w:val="21"/>
          <w:highlight w:val="none"/>
        </w:rPr>
        <w:t>。</w:t>
      </w:r>
    </w:p>
    <w:p w14:paraId="2E16BAD4">
      <w:pPr>
        <w:spacing w:line="360" w:lineRule="exact"/>
        <w:ind w:firstLine="420" w:firstLineChars="200"/>
        <w:contextualSpacing/>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浓度为0.10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mg/kg、0.</w:t>
      </w:r>
      <w:r>
        <w:rPr>
          <w:rFonts w:hint="default" w:ascii="Times New Roman" w:hAnsi="Times New Roman" w:cs="Times New Roman"/>
          <w:color w:val="000000"/>
          <w:szCs w:val="21"/>
          <w:highlight w:val="none"/>
          <w:lang w:val="en-US" w:eastAsia="zh-CN"/>
        </w:rPr>
        <w:t>4</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mg/kg和</w:t>
      </w:r>
      <w:r>
        <w:rPr>
          <w:rFonts w:hint="default" w:ascii="Times New Roman" w:hAnsi="Times New Roman" w:cs="Times New Roman"/>
          <w:color w:val="000000"/>
          <w:szCs w:val="21"/>
          <w:highlight w:val="none"/>
          <w:lang w:val="en-US" w:eastAsia="zh-CN"/>
        </w:rPr>
        <w:t>0.7</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mg/kg的空白加标样品，相对标准偏差范围分别为2.</w:t>
      </w:r>
      <w:r>
        <w:rPr>
          <w:rFonts w:hint="eastAsia" w:cs="Times New Roman"/>
          <w:color w:val="000000"/>
          <w:szCs w:val="21"/>
          <w:highlight w:val="none"/>
          <w:lang w:val="en-US" w:eastAsia="zh-CN"/>
        </w:rPr>
        <w:t>5</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2.7</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4.4</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4.5</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7.0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7.5</w:t>
      </w:r>
      <w:r>
        <w:rPr>
          <w:rFonts w:hint="default" w:ascii="Times New Roman" w:hAnsi="Times New Roman" w:cs="Times New Roman"/>
          <w:color w:val="000000"/>
          <w:szCs w:val="21"/>
          <w:highlight w:val="none"/>
        </w:rPr>
        <w:t>%，空白样品加标回收率范围分别为</w:t>
      </w:r>
      <w:r>
        <w:rPr>
          <w:rFonts w:hint="eastAsia" w:cs="Times New Roman"/>
          <w:color w:val="000000"/>
          <w:szCs w:val="21"/>
          <w:highlight w:val="none"/>
          <w:lang w:val="en-US" w:eastAsia="zh-CN"/>
        </w:rPr>
        <w:t>58.0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61.0</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61.0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62.0</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84.8</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86.8</w:t>
      </w:r>
      <w:r>
        <w:rPr>
          <w:rFonts w:hint="default" w:ascii="Times New Roman" w:hAnsi="Times New Roman" w:cs="Times New Roman"/>
          <w:color w:val="000000"/>
          <w:szCs w:val="21"/>
          <w:highlight w:val="none"/>
        </w:rPr>
        <w:t>%。</w:t>
      </w:r>
    </w:p>
    <w:p w14:paraId="10A3E76A">
      <w:pPr>
        <w:spacing w:line="360" w:lineRule="exact"/>
        <w:ind w:firstLine="420" w:firstLineChars="200"/>
        <w:contextualSpacing/>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浓度为0.10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mg/kg、0.</w:t>
      </w:r>
      <w:r>
        <w:rPr>
          <w:rFonts w:hint="default" w:ascii="Times New Roman" w:hAnsi="Times New Roman" w:cs="Times New Roman"/>
          <w:color w:val="000000"/>
          <w:szCs w:val="21"/>
          <w:highlight w:val="none"/>
          <w:lang w:val="en-US" w:eastAsia="zh-CN"/>
        </w:rPr>
        <w:t>4</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mg/kg和</w:t>
      </w:r>
      <w:r>
        <w:rPr>
          <w:rFonts w:hint="default" w:ascii="Times New Roman" w:hAnsi="Times New Roman" w:cs="Times New Roman"/>
          <w:color w:val="000000"/>
          <w:szCs w:val="21"/>
          <w:highlight w:val="none"/>
          <w:lang w:val="en-US" w:eastAsia="zh-CN"/>
        </w:rPr>
        <w:t>0.7</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mg/kg的土壤加标样品，</w:t>
      </w:r>
      <w:r>
        <w:rPr>
          <w:rFonts w:hint="eastAsia" w:cs="Times New Roman"/>
          <w:color w:val="000000"/>
          <w:szCs w:val="21"/>
          <w:highlight w:val="none"/>
          <w:lang w:val="en-US" w:eastAsia="zh-CN"/>
        </w:rPr>
        <w:t>相</w:t>
      </w:r>
      <w:r>
        <w:rPr>
          <w:rFonts w:hint="default" w:ascii="Times New Roman" w:hAnsi="Times New Roman" w:cs="Times New Roman"/>
          <w:color w:val="000000"/>
          <w:szCs w:val="21"/>
          <w:highlight w:val="none"/>
        </w:rPr>
        <w:t>对标准偏差范围分别为</w:t>
      </w:r>
      <w:r>
        <w:rPr>
          <w:rFonts w:hint="eastAsia" w:cs="Times New Roman"/>
          <w:color w:val="000000"/>
          <w:szCs w:val="21"/>
          <w:highlight w:val="none"/>
          <w:lang w:val="en-US" w:eastAsia="zh-CN"/>
        </w:rPr>
        <w:t>4.4</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4.7</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11.4</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1</w:t>
      </w:r>
      <w:r>
        <w:rPr>
          <w:rFonts w:hint="eastAsia" w:cs="Times New Roman"/>
          <w:color w:val="000000"/>
          <w:szCs w:val="21"/>
          <w:highlight w:val="none"/>
          <w:lang w:val="en-US" w:eastAsia="zh-CN"/>
        </w:rPr>
        <w:t>3.1</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2.6</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2.7%</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土壤</w:t>
      </w:r>
      <w:r>
        <w:rPr>
          <w:rFonts w:hint="default" w:ascii="Times New Roman" w:hAnsi="Times New Roman" w:cs="Times New Roman"/>
          <w:color w:val="000000"/>
          <w:szCs w:val="21"/>
          <w:highlight w:val="none"/>
        </w:rPr>
        <w:t>样品加标回收率范围分别为</w:t>
      </w:r>
      <w:r>
        <w:rPr>
          <w:rFonts w:hint="eastAsia" w:cs="Times New Roman"/>
          <w:color w:val="000000"/>
          <w:szCs w:val="21"/>
          <w:highlight w:val="none"/>
          <w:lang w:val="en-US" w:eastAsia="zh-CN"/>
        </w:rPr>
        <w:t>69.0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71.0</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90.0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91.2</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92.7</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96.1</w:t>
      </w:r>
      <w:r>
        <w:rPr>
          <w:rFonts w:hint="default" w:ascii="Times New Roman" w:hAnsi="Times New Roman" w:cs="Times New Roman"/>
          <w:color w:val="000000"/>
          <w:szCs w:val="21"/>
          <w:highlight w:val="none"/>
        </w:rPr>
        <w:t>%。</w:t>
      </w:r>
    </w:p>
    <w:p w14:paraId="69564E7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12-1</w:t>
      </w:r>
      <w:r>
        <w:rPr>
          <w:rFonts w:hint="default" w:ascii="Times New Roman" w:hAnsi="Times New Roman" w:eastAsia="黑体" w:cs="Times New Roman"/>
          <w:color w:val="000000"/>
          <w:szCs w:val="21"/>
          <w:highlight w:val="none"/>
          <w:lang w:val="en-US" w:eastAsia="zh-CN"/>
        </w:rPr>
        <w:t xml:space="preserve">  空白样品低浓度加标精密度和正确度数据表（加标浓度为0.10 mg/kg）</w:t>
      </w:r>
    </w:p>
    <w:tbl>
      <w:tblPr>
        <w:tblStyle w:val="15"/>
        <w:tblpPr w:leftFromText="180" w:rightFromText="180" w:vertAnchor="text" w:horzAnchor="page" w:tblpX="1120" w:tblpY="128"/>
        <w:tblOverlap w:val="never"/>
        <w:tblW w:w="57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041"/>
        <w:gridCol w:w="628"/>
        <w:gridCol w:w="628"/>
        <w:gridCol w:w="628"/>
        <w:gridCol w:w="628"/>
        <w:gridCol w:w="628"/>
        <w:gridCol w:w="628"/>
        <w:gridCol w:w="1004"/>
        <w:gridCol w:w="1004"/>
        <w:gridCol w:w="855"/>
        <w:gridCol w:w="856"/>
      </w:tblGrid>
      <w:tr w14:paraId="7F50B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500" w:type="dxa"/>
            <w:vMerge w:val="restart"/>
            <w:tcBorders>
              <w:tl2br w:val="nil"/>
              <w:tr2bl w:val="nil"/>
            </w:tcBorders>
            <w:noWrap w:val="0"/>
            <w:vAlign w:val="center"/>
          </w:tcPr>
          <w:p w14:paraId="236A2B7A">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目标化合物</w:t>
            </w:r>
          </w:p>
        </w:tc>
        <w:tc>
          <w:tcPr>
            <w:tcW w:w="1041" w:type="dxa"/>
            <w:vMerge w:val="restart"/>
            <w:tcBorders>
              <w:tl2br w:val="nil"/>
              <w:tr2bl w:val="nil"/>
            </w:tcBorders>
            <w:noWrap w:val="0"/>
            <w:vAlign w:val="center"/>
          </w:tcPr>
          <w:p w14:paraId="7FD296A4">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eastAsia="zh-CN"/>
              </w:rPr>
              <w:t>空白</w:t>
            </w:r>
            <w:r>
              <w:rPr>
                <w:rFonts w:hint="default" w:ascii="Times New Roman" w:hAnsi="Times New Roman" w:cs="Times New Roman"/>
                <w:color w:val="000000"/>
                <w:kern w:val="0"/>
                <w:sz w:val="18"/>
                <w:szCs w:val="18"/>
                <w:highlight w:val="none"/>
              </w:rPr>
              <w:t>样品测定值（mg/kg）</w:t>
            </w:r>
          </w:p>
        </w:tc>
        <w:tc>
          <w:tcPr>
            <w:tcW w:w="3768" w:type="dxa"/>
            <w:gridSpan w:val="6"/>
            <w:tcBorders>
              <w:tl2br w:val="nil"/>
              <w:tr2bl w:val="nil"/>
            </w:tcBorders>
            <w:noWrap w:val="0"/>
            <w:vAlign w:val="center"/>
          </w:tcPr>
          <w:p w14:paraId="06F2B4D4">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测定结果（mg/kg）</w:t>
            </w:r>
          </w:p>
        </w:tc>
        <w:tc>
          <w:tcPr>
            <w:tcW w:w="1004" w:type="dxa"/>
            <w:vMerge w:val="restart"/>
            <w:tcBorders>
              <w:tl2br w:val="nil"/>
              <w:tr2bl w:val="nil"/>
            </w:tcBorders>
            <w:noWrap w:val="0"/>
            <w:vAlign w:val="center"/>
          </w:tcPr>
          <w:p w14:paraId="786B49A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05"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05" DrawAspect="Content" ObjectID="_1468075793" r:id="rId145">
                  <o:LockedField>false</o:LockedField>
                </o:OLEObject>
              </w:object>
            </w:r>
          </w:p>
          <w:p w14:paraId="493AB2FE">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（mg/kg）</w:t>
            </w:r>
          </w:p>
        </w:tc>
        <w:tc>
          <w:tcPr>
            <w:tcW w:w="1004" w:type="dxa"/>
            <w:vMerge w:val="restart"/>
            <w:tcBorders>
              <w:tl2br w:val="nil"/>
              <w:tr2bl w:val="nil"/>
            </w:tcBorders>
            <w:noWrap w:val="0"/>
            <w:vAlign w:val="center"/>
          </w:tcPr>
          <w:p w14:paraId="3DCD8E15">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标准偏</w:t>
            </w:r>
            <w:r>
              <w:rPr>
                <w:rFonts w:hint="default" w:ascii="Times New Roman" w:hAnsi="Times New Roman" w:cs="Times New Roman"/>
                <w:color w:val="000000"/>
                <w:kern w:val="0"/>
                <w:position w:val="-12"/>
                <w:sz w:val="18"/>
                <w:szCs w:val="18"/>
                <w:highlight w:val="none"/>
              </w:rPr>
              <w:object>
                <v:shape id="_x0000_i1106"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06" DrawAspect="Content" ObjectID="_1468075794" r:id="rId146">
                  <o:LockedField>false</o:LockedField>
                </o:OLEObject>
              </w:object>
            </w:r>
            <w:r>
              <w:rPr>
                <w:rFonts w:hint="default" w:ascii="Times New Roman" w:hAnsi="Times New Roman" w:cs="Times New Roman"/>
                <w:color w:val="000000"/>
                <w:kern w:val="0"/>
                <w:sz w:val="18"/>
                <w:szCs w:val="18"/>
                <w:highlight w:val="none"/>
              </w:rPr>
              <w:t>（mg/kg）</w:t>
            </w:r>
          </w:p>
        </w:tc>
        <w:tc>
          <w:tcPr>
            <w:tcW w:w="855" w:type="dxa"/>
            <w:vMerge w:val="restart"/>
            <w:tcBorders>
              <w:tl2br w:val="nil"/>
              <w:tr2bl w:val="nil"/>
            </w:tcBorders>
            <w:noWrap w:val="0"/>
            <w:vAlign w:val="center"/>
          </w:tcPr>
          <w:p w14:paraId="7B4AEE8A">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相对标准偏差（%）</w:t>
            </w:r>
          </w:p>
        </w:tc>
        <w:tc>
          <w:tcPr>
            <w:tcW w:w="856" w:type="dxa"/>
            <w:vMerge w:val="restart"/>
            <w:tcBorders>
              <w:tl2br w:val="nil"/>
              <w:tr2bl w:val="nil"/>
            </w:tcBorders>
            <w:noWrap w:val="0"/>
            <w:vAlign w:val="center"/>
          </w:tcPr>
          <w:p w14:paraId="64522F7C">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回收率（%）</w:t>
            </w:r>
          </w:p>
        </w:tc>
      </w:tr>
      <w:tr w14:paraId="1D47B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1500" w:type="dxa"/>
            <w:vMerge w:val="continue"/>
            <w:tcBorders>
              <w:tl2br w:val="nil"/>
              <w:tr2bl w:val="nil"/>
            </w:tcBorders>
            <w:noWrap w:val="0"/>
            <w:vAlign w:val="center"/>
          </w:tcPr>
          <w:p w14:paraId="46B446C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1041" w:type="dxa"/>
            <w:vMerge w:val="continue"/>
            <w:tcBorders>
              <w:tl2br w:val="nil"/>
              <w:tr2bl w:val="nil"/>
            </w:tcBorders>
            <w:noWrap w:val="0"/>
            <w:vAlign w:val="center"/>
          </w:tcPr>
          <w:p w14:paraId="47E75E0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628" w:type="dxa"/>
            <w:tcBorders>
              <w:tl2br w:val="nil"/>
              <w:tr2bl w:val="nil"/>
            </w:tcBorders>
            <w:noWrap w:val="0"/>
            <w:vAlign w:val="center"/>
          </w:tcPr>
          <w:p w14:paraId="15FFA9E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1</w:t>
            </w:r>
          </w:p>
        </w:tc>
        <w:tc>
          <w:tcPr>
            <w:tcW w:w="628" w:type="dxa"/>
            <w:tcBorders>
              <w:tl2br w:val="nil"/>
              <w:tr2bl w:val="nil"/>
            </w:tcBorders>
            <w:noWrap w:val="0"/>
            <w:vAlign w:val="center"/>
          </w:tcPr>
          <w:p w14:paraId="0894081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2</w:t>
            </w:r>
          </w:p>
        </w:tc>
        <w:tc>
          <w:tcPr>
            <w:tcW w:w="628" w:type="dxa"/>
            <w:tcBorders>
              <w:tl2br w:val="nil"/>
              <w:tr2bl w:val="nil"/>
            </w:tcBorders>
            <w:noWrap w:val="0"/>
            <w:vAlign w:val="center"/>
          </w:tcPr>
          <w:p w14:paraId="629B52F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3</w:t>
            </w:r>
          </w:p>
        </w:tc>
        <w:tc>
          <w:tcPr>
            <w:tcW w:w="628" w:type="dxa"/>
            <w:tcBorders>
              <w:tl2br w:val="nil"/>
              <w:tr2bl w:val="nil"/>
            </w:tcBorders>
            <w:noWrap w:val="0"/>
            <w:vAlign w:val="center"/>
          </w:tcPr>
          <w:p w14:paraId="3D02D14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4</w:t>
            </w:r>
          </w:p>
        </w:tc>
        <w:tc>
          <w:tcPr>
            <w:tcW w:w="628" w:type="dxa"/>
            <w:tcBorders>
              <w:tl2br w:val="nil"/>
              <w:tr2bl w:val="nil"/>
            </w:tcBorders>
            <w:noWrap w:val="0"/>
            <w:vAlign w:val="center"/>
          </w:tcPr>
          <w:p w14:paraId="7A309E0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5</w:t>
            </w:r>
          </w:p>
        </w:tc>
        <w:tc>
          <w:tcPr>
            <w:tcW w:w="628" w:type="dxa"/>
            <w:tcBorders>
              <w:tl2br w:val="nil"/>
              <w:tr2bl w:val="nil"/>
            </w:tcBorders>
            <w:noWrap w:val="0"/>
            <w:vAlign w:val="center"/>
          </w:tcPr>
          <w:p w14:paraId="64F972A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6</w:t>
            </w:r>
          </w:p>
        </w:tc>
        <w:tc>
          <w:tcPr>
            <w:tcW w:w="1004" w:type="dxa"/>
            <w:vMerge w:val="continue"/>
            <w:tcBorders>
              <w:tl2br w:val="nil"/>
              <w:tr2bl w:val="nil"/>
            </w:tcBorders>
            <w:noWrap w:val="0"/>
            <w:vAlign w:val="center"/>
          </w:tcPr>
          <w:p w14:paraId="22EC3382">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1004" w:type="dxa"/>
            <w:vMerge w:val="continue"/>
            <w:tcBorders>
              <w:tl2br w:val="nil"/>
              <w:tr2bl w:val="nil"/>
            </w:tcBorders>
            <w:noWrap w:val="0"/>
            <w:vAlign w:val="center"/>
          </w:tcPr>
          <w:p w14:paraId="786C925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5" w:type="dxa"/>
            <w:vMerge w:val="continue"/>
            <w:tcBorders>
              <w:tl2br w:val="nil"/>
              <w:tr2bl w:val="nil"/>
            </w:tcBorders>
            <w:noWrap w:val="0"/>
            <w:vAlign w:val="center"/>
          </w:tcPr>
          <w:p w14:paraId="41AD36B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6" w:type="dxa"/>
            <w:vMerge w:val="continue"/>
            <w:tcBorders>
              <w:tl2br w:val="nil"/>
              <w:tr2bl w:val="nil"/>
            </w:tcBorders>
            <w:noWrap w:val="0"/>
            <w:vAlign w:val="center"/>
          </w:tcPr>
          <w:p w14:paraId="6F36B6F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r>
      <w:tr w14:paraId="69601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00" w:type="dxa"/>
            <w:tcBorders>
              <w:tl2br w:val="nil"/>
              <w:tr2bl w:val="nil"/>
            </w:tcBorders>
            <w:shd w:val="clear" w:color="auto" w:fill="auto"/>
            <w:noWrap w:val="0"/>
            <w:vAlign w:val="center"/>
          </w:tcPr>
          <w:p w14:paraId="78D031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1" w:type="dxa"/>
            <w:tcBorders>
              <w:tl2br w:val="nil"/>
              <w:tr2bl w:val="nil"/>
            </w:tcBorders>
            <w:noWrap w:val="0"/>
            <w:vAlign w:val="center"/>
          </w:tcPr>
          <w:p w14:paraId="5770F3A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3AC683F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0.063</w:t>
            </w:r>
          </w:p>
        </w:tc>
        <w:tc>
          <w:tcPr>
            <w:tcW w:w="628" w:type="dxa"/>
            <w:tcBorders>
              <w:tl2br w:val="nil"/>
              <w:tr2bl w:val="nil"/>
            </w:tcBorders>
            <w:noWrap w:val="0"/>
            <w:vAlign w:val="center"/>
          </w:tcPr>
          <w:p w14:paraId="1554821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0.062</w:t>
            </w:r>
          </w:p>
        </w:tc>
        <w:tc>
          <w:tcPr>
            <w:tcW w:w="628" w:type="dxa"/>
            <w:tcBorders>
              <w:tl2br w:val="nil"/>
              <w:tr2bl w:val="nil"/>
            </w:tcBorders>
            <w:noWrap w:val="0"/>
            <w:vAlign w:val="center"/>
          </w:tcPr>
          <w:p w14:paraId="7717A5A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w:t>
            </w:r>
            <w:r>
              <w:rPr>
                <w:rFonts w:hint="eastAsia" w:cs="Times New Roman"/>
                <w:color w:val="000000"/>
                <w:sz w:val="18"/>
                <w:szCs w:val="18"/>
                <w:highlight w:val="none"/>
                <w:lang w:val="en-US" w:eastAsia="zh-CN"/>
              </w:rPr>
              <w:t>62</w:t>
            </w:r>
          </w:p>
        </w:tc>
        <w:tc>
          <w:tcPr>
            <w:tcW w:w="628" w:type="dxa"/>
            <w:tcBorders>
              <w:tl2br w:val="nil"/>
              <w:tr2bl w:val="nil"/>
            </w:tcBorders>
            <w:noWrap w:val="0"/>
            <w:vAlign w:val="center"/>
          </w:tcPr>
          <w:p w14:paraId="3CA5E9F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0.060</w:t>
            </w:r>
          </w:p>
        </w:tc>
        <w:tc>
          <w:tcPr>
            <w:tcW w:w="628" w:type="dxa"/>
            <w:tcBorders>
              <w:tl2br w:val="nil"/>
              <w:tr2bl w:val="nil"/>
            </w:tcBorders>
            <w:noWrap w:val="0"/>
            <w:vAlign w:val="center"/>
          </w:tcPr>
          <w:p w14:paraId="15F54AA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0.058</w:t>
            </w:r>
          </w:p>
        </w:tc>
        <w:tc>
          <w:tcPr>
            <w:tcW w:w="628" w:type="dxa"/>
            <w:tcBorders>
              <w:tl2br w:val="nil"/>
              <w:tr2bl w:val="nil"/>
            </w:tcBorders>
            <w:noWrap w:val="0"/>
            <w:vAlign w:val="center"/>
          </w:tcPr>
          <w:p w14:paraId="1B2900C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0.062</w:t>
            </w:r>
          </w:p>
        </w:tc>
        <w:tc>
          <w:tcPr>
            <w:tcW w:w="1004" w:type="dxa"/>
            <w:tcBorders>
              <w:tl2br w:val="nil"/>
              <w:tr2bl w:val="nil"/>
            </w:tcBorders>
            <w:noWrap w:val="0"/>
            <w:vAlign w:val="center"/>
          </w:tcPr>
          <w:p w14:paraId="0DEC30B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0.061</w:t>
            </w:r>
          </w:p>
        </w:tc>
        <w:tc>
          <w:tcPr>
            <w:tcW w:w="1004" w:type="dxa"/>
            <w:tcBorders>
              <w:tl2br w:val="nil"/>
              <w:tr2bl w:val="nil"/>
            </w:tcBorders>
            <w:noWrap w:val="0"/>
            <w:vAlign w:val="center"/>
          </w:tcPr>
          <w:p w14:paraId="69078FA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0.0017</w:t>
            </w:r>
          </w:p>
        </w:tc>
        <w:tc>
          <w:tcPr>
            <w:tcW w:w="855" w:type="dxa"/>
            <w:tcBorders>
              <w:tl2br w:val="nil"/>
              <w:tr2bl w:val="nil"/>
            </w:tcBorders>
            <w:noWrap w:val="0"/>
            <w:vAlign w:val="center"/>
          </w:tcPr>
          <w:p w14:paraId="497F3D6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2.7</w:t>
            </w:r>
          </w:p>
        </w:tc>
        <w:tc>
          <w:tcPr>
            <w:tcW w:w="856" w:type="dxa"/>
            <w:tcBorders>
              <w:tl2br w:val="nil"/>
              <w:tr2bl w:val="nil"/>
            </w:tcBorders>
            <w:noWrap w:val="0"/>
            <w:vAlign w:val="center"/>
          </w:tcPr>
          <w:p w14:paraId="1730CED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61.0</w:t>
            </w:r>
          </w:p>
        </w:tc>
      </w:tr>
      <w:tr w14:paraId="0D7DB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00" w:type="dxa"/>
            <w:tcBorders>
              <w:tl2br w:val="nil"/>
              <w:tr2bl w:val="nil"/>
            </w:tcBorders>
            <w:shd w:val="clear" w:color="auto" w:fill="auto"/>
            <w:noWrap w:val="0"/>
            <w:vAlign w:val="center"/>
          </w:tcPr>
          <w:p w14:paraId="57B48F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1" w:type="dxa"/>
            <w:tcBorders>
              <w:tl2br w:val="nil"/>
              <w:tr2bl w:val="nil"/>
            </w:tcBorders>
            <w:noWrap w:val="0"/>
            <w:vAlign w:val="center"/>
          </w:tcPr>
          <w:p w14:paraId="49917C5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32B5444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0.059</w:t>
            </w:r>
          </w:p>
        </w:tc>
        <w:tc>
          <w:tcPr>
            <w:tcW w:w="628" w:type="dxa"/>
            <w:tcBorders>
              <w:tl2br w:val="nil"/>
              <w:tr2bl w:val="nil"/>
            </w:tcBorders>
            <w:noWrap w:val="0"/>
            <w:vAlign w:val="center"/>
          </w:tcPr>
          <w:p w14:paraId="01F91DB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0.060</w:t>
            </w:r>
          </w:p>
        </w:tc>
        <w:tc>
          <w:tcPr>
            <w:tcW w:w="628" w:type="dxa"/>
            <w:tcBorders>
              <w:tl2br w:val="nil"/>
              <w:tr2bl w:val="nil"/>
            </w:tcBorders>
            <w:noWrap w:val="0"/>
            <w:vAlign w:val="center"/>
          </w:tcPr>
          <w:p w14:paraId="2C6EB04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0.059</w:t>
            </w:r>
          </w:p>
        </w:tc>
        <w:tc>
          <w:tcPr>
            <w:tcW w:w="628" w:type="dxa"/>
            <w:tcBorders>
              <w:tl2br w:val="nil"/>
              <w:tr2bl w:val="nil"/>
            </w:tcBorders>
            <w:noWrap w:val="0"/>
            <w:vAlign w:val="center"/>
          </w:tcPr>
          <w:p w14:paraId="074C253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0.058</w:t>
            </w:r>
          </w:p>
        </w:tc>
        <w:tc>
          <w:tcPr>
            <w:tcW w:w="628" w:type="dxa"/>
            <w:tcBorders>
              <w:tl2br w:val="nil"/>
              <w:tr2bl w:val="nil"/>
            </w:tcBorders>
            <w:noWrap w:val="0"/>
            <w:vAlign w:val="center"/>
          </w:tcPr>
          <w:p w14:paraId="6CAA270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0.056</w:t>
            </w:r>
          </w:p>
        </w:tc>
        <w:tc>
          <w:tcPr>
            <w:tcW w:w="628" w:type="dxa"/>
            <w:tcBorders>
              <w:tl2br w:val="nil"/>
              <w:tr2bl w:val="nil"/>
            </w:tcBorders>
            <w:noWrap w:val="0"/>
            <w:vAlign w:val="center"/>
          </w:tcPr>
          <w:p w14:paraId="56A9105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0.057</w:t>
            </w:r>
          </w:p>
        </w:tc>
        <w:tc>
          <w:tcPr>
            <w:tcW w:w="1004" w:type="dxa"/>
            <w:tcBorders>
              <w:tl2br w:val="nil"/>
              <w:tr2bl w:val="nil"/>
            </w:tcBorders>
            <w:noWrap w:val="0"/>
            <w:vAlign w:val="center"/>
          </w:tcPr>
          <w:p w14:paraId="6E26F25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0.058</w:t>
            </w:r>
          </w:p>
        </w:tc>
        <w:tc>
          <w:tcPr>
            <w:tcW w:w="1004" w:type="dxa"/>
            <w:tcBorders>
              <w:tl2br w:val="nil"/>
              <w:tr2bl w:val="nil"/>
            </w:tcBorders>
            <w:noWrap w:val="0"/>
            <w:vAlign w:val="center"/>
          </w:tcPr>
          <w:p w14:paraId="0170E30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0.0014</w:t>
            </w:r>
          </w:p>
        </w:tc>
        <w:tc>
          <w:tcPr>
            <w:tcW w:w="855" w:type="dxa"/>
            <w:tcBorders>
              <w:tl2br w:val="nil"/>
              <w:tr2bl w:val="nil"/>
            </w:tcBorders>
            <w:noWrap w:val="0"/>
            <w:vAlign w:val="center"/>
          </w:tcPr>
          <w:p w14:paraId="5915E48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2.5</w:t>
            </w:r>
          </w:p>
        </w:tc>
        <w:tc>
          <w:tcPr>
            <w:tcW w:w="856" w:type="dxa"/>
            <w:tcBorders>
              <w:tl2br w:val="nil"/>
              <w:tr2bl w:val="nil"/>
            </w:tcBorders>
            <w:noWrap w:val="0"/>
            <w:vAlign w:val="center"/>
          </w:tcPr>
          <w:p w14:paraId="64A1EA6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58.0</w:t>
            </w:r>
          </w:p>
        </w:tc>
      </w:tr>
      <w:tr w14:paraId="30E9F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028" w:type="dxa"/>
            <w:gridSpan w:val="12"/>
            <w:tcBorders>
              <w:tl2br w:val="nil"/>
              <w:tr2bl w:val="nil"/>
            </w:tcBorders>
            <w:shd w:val="clear" w:color="auto" w:fill="auto"/>
            <w:noWrap w:val="0"/>
            <w:vAlign w:val="center"/>
          </w:tcPr>
          <w:p w14:paraId="08792E62">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tc>
      </w:tr>
    </w:tbl>
    <w:p w14:paraId="7CE1A3D5">
      <w:pPr>
        <w:tabs>
          <w:tab w:val="left" w:pos="1050"/>
        </w:tabs>
        <w:spacing w:line="360" w:lineRule="exact"/>
        <w:ind w:left="0" w:leftChars="0" w:firstLine="0" w:firstLineChars="0"/>
        <w:jc w:val="center"/>
        <w:rPr>
          <w:rFonts w:hint="default" w:ascii="Times New Roman" w:hAnsi="Times New Roman" w:eastAsia="黑体" w:cs="Times New Roman"/>
          <w:color w:val="000000"/>
          <w:szCs w:val="21"/>
          <w:highlight w:val="none"/>
          <w:lang w:val="en-US" w:eastAsia="zh-CN"/>
        </w:rPr>
      </w:pPr>
    </w:p>
    <w:p w14:paraId="210D52AF">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12-2</w:t>
      </w:r>
      <w:r>
        <w:rPr>
          <w:rFonts w:hint="default" w:ascii="Times New Roman" w:hAnsi="Times New Roman" w:eastAsia="黑体" w:cs="Times New Roman"/>
          <w:color w:val="000000"/>
          <w:szCs w:val="21"/>
          <w:highlight w:val="none"/>
          <w:lang w:val="en-US" w:eastAsia="zh-CN"/>
        </w:rPr>
        <w:t xml:space="preserve">  空白样品中浓度加标精密度和正确度数据表（加标浓度为0.40 mg/kg）</w:t>
      </w:r>
    </w:p>
    <w:tbl>
      <w:tblPr>
        <w:tblStyle w:val="15"/>
        <w:tblpPr w:leftFromText="180" w:rightFromText="180" w:vertAnchor="text" w:horzAnchor="page" w:tblpX="1120" w:tblpY="128"/>
        <w:tblOverlap w:val="never"/>
        <w:tblW w:w="57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049"/>
        <w:gridCol w:w="628"/>
        <w:gridCol w:w="628"/>
        <w:gridCol w:w="628"/>
        <w:gridCol w:w="628"/>
        <w:gridCol w:w="628"/>
        <w:gridCol w:w="628"/>
        <w:gridCol w:w="1004"/>
        <w:gridCol w:w="1004"/>
        <w:gridCol w:w="855"/>
        <w:gridCol w:w="856"/>
      </w:tblGrid>
      <w:tr w14:paraId="2CABC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92" w:type="dxa"/>
            <w:vMerge w:val="restart"/>
            <w:tcBorders>
              <w:tl2br w:val="nil"/>
              <w:tr2bl w:val="nil"/>
            </w:tcBorders>
            <w:noWrap w:val="0"/>
            <w:vAlign w:val="center"/>
          </w:tcPr>
          <w:p w14:paraId="585BA60F">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目标化合物</w:t>
            </w:r>
          </w:p>
        </w:tc>
        <w:tc>
          <w:tcPr>
            <w:tcW w:w="1049" w:type="dxa"/>
            <w:vMerge w:val="restart"/>
            <w:tcBorders>
              <w:tl2br w:val="nil"/>
              <w:tr2bl w:val="nil"/>
            </w:tcBorders>
            <w:noWrap w:val="0"/>
            <w:vAlign w:val="center"/>
          </w:tcPr>
          <w:p w14:paraId="0FDADFBF">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eastAsia="zh-CN"/>
              </w:rPr>
              <w:t>空白</w:t>
            </w:r>
            <w:r>
              <w:rPr>
                <w:rFonts w:hint="default" w:ascii="Times New Roman" w:hAnsi="Times New Roman" w:cs="Times New Roman"/>
                <w:color w:val="000000"/>
                <w:kern w:val="0"/>
                <w:sz w:val="18"/>
                <w:szCs w:val="18"/>
                <w:highlight w:val="none"/>
              </w:rPr>
              <w:t>样品测定值（mg/kg）</w:t>
            </w:r>
          </w:p>
        </w:tc>
        <w:tc>
          <w:tcPr>
            <w:tcW w:w="3768" w:type="dxa"/>
            <w:gridSpan w:val="6"/>
            <w:tcBorders>
              <w:tl2br w:val="nil"/>
              <w:tr2bl w:val="nil"/>
            </w:tcBorders>
            <w:noWrap w:val="0"/>
            <w:vAlign w:val="center"/>
          </w:tcPr>
          <w:p w14:paraId="45DBB818">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测定结果（mg/kg）</w:t>
            </w:r>
          </w:p>
        </w:tc>
        <w:tc>
          <w:tcPr>
            <w:tcW w:w="1004" w:type="dxa"/>
            <w:vMerge w:val="restart"/>
            <w:tcBorders>
              <w:tl2br w:val="nil"/>
              <w:tr2bl w:val="nil"/>
            </w:tcBorders>
            <w:noWrap w:val="0"/>
            <w:vAlign w:val="center"/>
          </w:tcPr>
          <w:p w14:paraId="06E666F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07"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07" DrawAspect="Content" ObjectID="_1468075795" r:id="rId147">
                  <o:LockedField>false</o:LockedField>
                </o:OLEObject>
              </w:object>
            </w:r>
          </w:p>
          <w:p w14:paraId="64740E18">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（mg/kg）</w:t>
            </w:r>
          </w:p>
        </w:tc>
        <w:tc>
          <w:tcPr>
            <w:tcW w:w="1004" w:type="dxa"/>
            <w:vMerge w:val="restart"/>
            <w:tcBorders>
              <w:tl2br w:val="nil"/>
              <w:tr2bl w:val="nil"/>
            </w:tcBorders>
            <w:noWrap w:val="0"/>
            <w:vAlign w:val="center"/>
          </w:tcPr>
          <w:p w14:paraId="45A988AA">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标准偏</w:t>
            </w:r>
            <w:r>
              <w:rPr>
                <w:rFonts w:hint="default" w:ascii="Times New Roman" w:hAnsi="Times New Roman" w:cs="Times New Roman"/>
                <w:color w:val="000000"/>
                <w:kern w:val="0"/>
                <w:position w:val="-12"/>
                <w:sz w:val="18"/>
                <w:szCs w:val="18"/>
                <w:highlight w:val="none"/>
              </w:rPr>
              <w:object>
                <v:shape id="_x0000_i1108"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08" DrawAspect="Content" ObjectID="_1468075796" r:id="rId148">
                  <o:LockedField>false</o:LockedField>
                </o:OLEObject>
              </w:object>
            </w:r>
            <w:r>
              <w:rPr>
                <w:rFonts w:hint="default" w:ascii="Times New Roman" w:hAnsi="Times New Roman" w:cs="Times New Roman"/>
                <w:color w:val="000000"/>
                <w:kern w:val="0"/>
                <w:sz w:val="18"/>
                <w:szCs w:val="18"/>
                <w:highlight w:val="none"/>
              </w:rPr>
              <w:t>（mg/kg）</w:t>
            </w:r>
          </w:p>
        </w:tc>
        <w:tc>
          <w:tcPr>
            <w:tcW w:w="855" w:type="dxa"/>
            <w:vMerge w:val="restart"/>
            <w:tcBorders>
              <w:tl2br w:val="nil"/>
              <w:tr2bl w:val="nil"/>
            </w:tcBorders>
            <w:noWrap w:val="0"/>
            <w:vAlign w:val="center"/>
          </w:tcPr>
          <w:p w14:paraId="103E3B5D">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相对标准偏差（%）</w:t>
            </w:r>
          </w:p>
        </w:tc>
        <w:tc>
          <w:tcPr>
            <w:tcW w:w="856" w:type="dxa"/>
            <w:vMerge w:val="restart"/>
            <w:tcBorders>
              <w:tl2br w:val="nil"/>
              <w:tr2bl w:val="nil"/>
            </w:tcBorders>
            <w:noWrap w:val="0"/>
            <w:vAlign w:val="center"/>
          </w:tcPr>
          <w:p w14:paraId="414703AB">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回收率（%）</w:t>
            </w:r>
          </w:p>
        </w:tc>
      </w:tr>
      <w:tr w14:paraId="771E7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1492" w:type="dxa"/>
            <w:vMerge w:val="continue"/>
            <w:tcBorders>
              <w:tl2br w:val="nil"/>
              <w:tr2bl w:val="nil"/>
            </w:tcBorders>
            <w:noWrap w:val="0"/>
            <w:vAlign w:val="center"/>
          </w:tcPr>
          <w:p w14:paraId="1E28462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1049" w:type="dxa"/>
            <w:vMerge w:val="continue"/>
            <w:tcBorders>
              <w:tl2br w:val="nil"/>
              <w:tr2bl w:val="nil"/>
            </w:tcBorders>
            <w:noWrap w:val="0"/>
            <w:vAlign w:val="center"/>
          </w:tcPr>
          <w:p w14:paraId="4DDF1CF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628" w:type="dxa"/>
            <w:tcBorders>
              <w:tl2br w:val="nil"/>
              <w:tr2bl w:val="nil"/>
            </w:tcBorders>
            <w:noWrap w:val="0"/>
            <w:vAlign w:val="center"/>
          </w:tcPr>
          <w:p w14:paraId="52D1C58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1</w:t>
            </w:r>
          </w:p>
        </w:tc>
        <w:tc>
          <w:tcPr>
            <w:tcW w:w="628" w:type="dxa"/>
            <w:tcBorders>
              <w:tl2br w:val="nil"/>
              <w:tr2bl w:val="nil"/>
            </w:tcBorders>
            <w:noWrap w:val="0"/>
            <w:vAlign w:val="center"/>
          </w:tcPr>
          <w:p w14:paraId="5453E91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2</w:t>
            </w:r>
          </w:p>
        </w:tc>
        <w:tc>
          <w:tcPr>
            <w:tcW w:w="628" w:type="dxa"/>
            <w:tcBorders>
              <w:tl2br w:val="nil"/>
              <w:tr2bl w:val="nil"/>
            </w:tcBorders>
            <w:noWrap w:val="0"/>
            <w:vAlign w:val="center"/>
          </w:tcPr>
          <w:p w14:paraId="2D504A7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3</w:t>
            </w:r>
          </w:p>
        </w:tc>
        <w:tc>
          <w:tcPr>
            <w:tcW w:w="628" w:type="dxa"/>
            <w:tcBorders>
              <w:tl2br w:val="nil"/>
              <w:tr2bl w:val="nil"/>
            </w:tcBorders>
            <w:noWrap w:val="0"/>
            <w:vAlign w:val="center"/>
          </w:tcPr>
          <w:p w14:paraId="06582CF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4</w:t>
            </w:r>
          </w:p>
        </w:tc>
        <w:tc>
          <w:tcPr>
            <w:tcW w:w="628" w:type="dxa"/>
            <w:tcBorders>
              <w:tl2br w:val="nil"/>
              <w:tr2bl w:val="nil"/>
            </w:tcBorders>
            <w:noWrap w:val="0"/>
            <w:vAlign w:val="center"/>
          </w:tcPr>
          <w:p w14:paraId="63B3D3E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5</w:t>
            </w:r>
          </w:p>
        </w:tc>
        <w:tc>
          <w:tcPr>
            <w:tcW w:w="628" w:type="dxa"/>
            <w:tcBorders>
              <w:tl2br w:val="nil"/>
              <w:tr2bl w:val="nil"/>
            </w:tcBorders>
            <w:noWrap w:val="0"/>
            <w:vAlign w:val="center"/>
          </w:tcPr>
          <w:p w14:paraId="71051E5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6</w:t>
            </w:r>
          </w:p>
        </w:tc>
        <w:tc>
          <w:tcPr>
            <w:tcW w:w="1004" w:type="dxa"/>
            <w:vMerge w:val="continue"/>
            <w:tcBorders>
              <w:tl2br w:val="nil"/>
              <w:tr2bl w:val="nil"/>
            </w:tcBorders>
            <w:noWrap w:val="0"/>
            <w:vAlign w:val="center"/>
          </w:tcPr>
          <w:p w14:paraId="2B94B422">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1004" w:type="dxa"/>
            <w:vMerge w:val="continue"/>
            <w:tcBorders>
              <w:tl2br w:val="nil"/>
              <w:tr2bl w:val="nil"/>
            </w:tcBorders>
            <w:noWrap w:val="0"/>
            <w:vAlign w:val="center"/>
          </w:tcPr>
          <w:p w14:paraId="7C31BCF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5" w:type="dxa"/>
            <w:vMerge w:val="continue"/>
            <w:tcBorders>
              <w:tl2br w:val="nil"/>
              <w:tr2bl w:val="nil"/>
            </w:tcBorders>
            <w:noWrap w:val="0"/>
            <w:vAlign w:val="center"/>
          </w:tcPr>
          <w:p w14:paraId="259F9C5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6" w:type="dxa"/>
            <w:vMerge w:val="continue"/>
            <w:tcBorders>
              <w:tl2br w:val="nil"/>
              <w:tr2bl w:val="nil"/>
            </w:tcBorders>
            <w:noWrap w:val="0"/>
            <w:vAlign w:val="center"/>
          </w:tcPr>
          <w:p w14:paraId="283EABE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r>
      <w:tr w14:paraId="74A0B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626A85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04E5F61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5EB03D8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0.233</w:t>
            </w:r>
          </w:p>
        </w:tc>
        <w:tc>
          <w:tcPr>
            <w:tcW w:w="628" w:type="dxa"/>
            <w:tcBorders>
              <w:tl2br w:val="nil"/>
              <w:tr2bl w:val="nil"/>
            </w:tcBorders>
            <w:noWrap w:val="0"/>
            <w:vAlign w:val="center"/>
          </w:tcPr>
          <w:p w14:paraId="07098ED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0.233</w:t>
            </w:r>
          </w:p>
        </w:tc>
        <w:tc>
          <w:tcPr>
            <w:tcW w:w="628" w:type="dxa"/>
            <w:tcBorders>
              <w:tl2br w:val="nil"/>
              <w:tr2bl w:val="nil"/>
            </w:tcBorders>
            <w:noWrap w:val="0"/>
            <w:vAlign w:val="center"/>
          </w:tcPr>
          <w:p w14:paraId="2FC49FA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0.234</w:t>
            </w:r>
          </w:p>
        </w:tc>
        <w:tc>
          <w:tcPr>
            <w:tcW w:w="628" w:type="dxa"/>
            <w:tcBorders>
              <w:tl2br w:val="nil"/>
              <w:tr2bl w:val="nil"/>
            </w:tcBorders>
            <w:noWrap w:val="0"/>
            <w:vAlign w:val="center"/>
          </w:tcPr>
          <w:p w14:paraId="6A49D14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0.253</w:t>
            </w:r>
          </w:p>
        </w:tc>
        <w:tc>
          <w:tcPr>
            <w:tcW w:w="628" w:type="dxa"/>
            <w:tcBorders>
              <w:tl2br w:val="nil"/>
              <w:tr2bl w:val="nil"/>
            </w:tcBorders>
            <w:noWrap w:val="0"/>
            <w:vAlign w:val="center"/>
          </w:tcPr>
          <w:p w14:paraId="167A905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0.255</w:t>
            </w:r>
          </w:p>
        </w:tc>
        <w:tc>
          <w:tcPr>
            <w:tcW w:w="628" w:type="dxa"/>
            <w:tcBorders>
              <w:tl2br w:val="nil"/>
              <w:tr2bl w:val="nil"/>
            </w:tcBorders>
            <w:noWrap w:val="0"/>
            <w:vAlign w:val="center"/>
          </w:tcPr>
          <w:p w14:paraId="6288F90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0.253</w:t>
            </w:r>
          </w:p>
        </w:tc>
        <w:tc>
          <w:tcPr>
            <w:tcW w:w="1004" w:type="dxa"/>
            <w:tcBorders>
              <w:tl2br w:val="nil"/>
              <w:tr2bl w:val="nil"/>
            </w:tcBorders>
            <w:noWrap w:val="0"/>
            <w:vAlign w:val="center"/>
          </w:tcPr>
          <w:p w14:paraId="57548F7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0.244</w:t>
            </w:r>
          </w:p>
        </w:tc>
        <w:tc>
          <w:tcPr>
            <w:tcW w:w="1004" w:type="dxa"/>
            <w:tcBorders>
              <w:tl2br w:val="nil"/>
              <w:tr2bl w:val="nil"/>
            </w:tcBorders>
            <w:noWrap w:val="0"/>
            <w:vAlign w:val="center"/>
          </w:tcPr>
          <w:p w14:paraId="7A7BDFAF">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0.0109</w:t>
            </w:r>
          </w:p>
        </w:tc>
        <w:tc>
          <w:tcPr>
            <w:tcW w:w="855" w:type="dxa"/>
            <w:tcBorders>
              <w:tl2br w:val="nil"/>
              <w:tr2bl w:val="nil"/>
            </w:tcBorders>
            <w:noWrap w:val="0"/>
            <w:vAlign w:val="center"/>
          </w:tcPr>
          <w:p w14:paraId="04CB138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4.5</w:t>
            </w:r>
          </w:p>
        </w:tc>
        <w:tc>
          <w:tcPr>
            <w:tcW w:w="856" w:type="dxa"/>
            <w:tcBorders>
              <w:tl2br w:val="nil"/>
              <w:tr2bl w:val="nil"/>
            </w:tcBorders>
            <w:noWrap w:val="0"/>
            <w:vAlign w:val="center"/>
          </w:tcPr>
          <w:p w14:paraId="22DCB3B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61.0</w:t>
            </w:r>
          </w:p>
        </w:tc>
      </w:tr>
      <w:tr w14:paraId="1643F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63644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06CE4B9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6CE5067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0.238</w:t>
            </w:r>
          </w:p>
        </w:tc>
        <w:tc>
          <w:tcPr>
            <w:tcW w:w="628" w:type="dxa"/>
            <w:tcBorders>
              <w:tl2br w:val="nil"/>
              <w:tr2bl w:val="nil"/>
            </w:tcBorders>
            <w:noWrap w:val="0"/>
            <w:vAlign w:val="center"/>
          </w:tcPr>
          <w:p w14:paraId="118BF8A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0.237</w:t>
            </w:r>
          </w:p>
        </w:tc>
        <w:tc>
          <w:tcPr>
            <w:tcW w:w="628" w:type="dxa"/>
            <w:tcBorders>
              <w:tl2br w:val="nil"/>
              <w:tr2bl w:val="nil"/>
            </w:tcBorders>
            <w:noWrap w:val="0"/>
            <w:vAlign w:val="center"/>
          </w:tcPr>
          <w:p w14:paraId="07A4C04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0.238</w:t>
            </w:r>
          </w:p>
        </w:tc>
        <w:tc>
          <w:tcPr>
            <w:tcW w:w="628" w:type="dxa"/>
            <w:tcBorders>
              <w:tl2br w:val="nil"/>
              <w:tr2bl w:val="nil"/>
            </w:tcBorders>
            <w:noWrap w:val="0"/>
            <w:vAlign w:val="center"/>
          </w:tcPr>
          <w:p w14:paraId="211476D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0.259</w:t>
            </w:r>
          </w:p>
        </w:tc>
        <w:tc>
          <w:tcPr>
            <w:tcW w:w="628" w:type="dxa"/>
            <w:tcBorders>
              <w:tl2br w:val="nil"/>
              <w:tr2bl w:val="nil"/>
            </w:tcBorders>
            <w:noWrap w:val="0"/>
            <w:vAlign w:val="center"/>
          </w:tcPr>
          <w:p w14:paraId="56B5F4A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0.258</w:t>
            </w:r>
          </w:p>
        </w:tc>
        <w:tc>
          <w:tcPr>
            <w:tcW w:w="628" w:type="dxa"/>
            <w:tcBorders>
              <w:tl2br w:val="nil"/>
              <w:tr2bl w:val="nil"/>
            </w:tcBorders>
            <w:noWrap w:val="0"/>
            <w:vAlign w:val="center"/>
          </w:tcPr>
          <w:p w14:paraId="57C9765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0.256</w:t>
            </w:r>
          </w:p>
        </w:tc>
        <w:tc>
          <w:tcPr>
            <w:tcW w:w="1004" w:type="dxa"/>
            <w:tcBorders>
              <w:tl2br w:val="nil"/>
              <w:tr2bl w:val="nil"/>
            </w:tcBorders>
            <w:noWrap w:val="0"/>
            <w:vAlign w:val="center"/>
          </w:tcPr>
          <w:p w14:paraId="7FCE93F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0.248</w:t>
            </w:r>
          </w:p>
        </w:tc>
        <w:tc>
          <w:tcPr>
            <w:tcW w:w="1004" w:type="dxa"/>
            <w:tcBorders>
              <w:tl2br w:val="nil"/>
              <w:tr2bl w:val="nil"/>
            </w:tcBorders>
            <w:noWrap w:val="0"/>
            <w:vAlign w:val="center"/>
          </w:tcPr>
          <w:p w14:paraId="72503F6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0.0109</w:t>
            </w:r>
          </w:p>
        </w:tc>
        <w:tc>
          <w:tcPr>
            <w:tcW w:w="855" w:type="dxa"/>
            <w:tcBorders>
              <w:tl2br w:val="nil"/>
              <w:tr2bl w:val="nil"/>
            </w:tcBorders>
            <w:noWrap w:val="0"/>
            <w:vAlign w:val="center"/>
          </w:tcPr>
          <w:p w14:paraId="6118D17F">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4.4</w:t>
            </w:r>
          </w:p>
        </w:tc>
        <w:tc>
          <w:tcPr>
            <w:tcW w:w="856" w:type="dxa"/>
            <w:tcBorders>
              <w:tl2br w:val="nil"/>
              <w:tr2bl w:val="nil"/>
            </w:tcBorders>
            <w:noWrap w:val="0"/>
            <w:vAlign w:val="center"/>
          </w:tcPr>
          <w:p w14:paraId="3EF490A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62.0</w:t>
            </w:r>
          </w:p>
        </w:tc>
      </w:tr>
      <w:tr w14:paraId="4788A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028" w:type="dxa"/>
            <w:gridSpan w:val="12"/>
            <w:tcBorders>
              <w:tl2br w:val="nil"/>
              <w:tr2bl w:val="nil"/>
            </w:tcBorders>
            <w:shd w:val="clear" w:color="auto" w:fill="auto"/>
            <w:noWrap w:val="0"/>
            <w:vAlign w:val="center"/>
          </w:tcPr>
          <w:p w14:paraId="25B36E5E">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tc>
      </w:tr>
    </w:tbl>
    <w:p w14:paraId="6CF4764C">
      <w:pPr>
        <w:ind w:left="0" w:leftChars="0" w:firstLine="0" w:firstLineChars="0"/>
        <w:jc w:val="center"/>
        <w:rPr>
          <w:rFonts w:hint="default" w:ascii="Times New Roman" w:hAnsi="Times New Roman" w:cs="Times New Roman"/>
          <w:lang w:val="en-US" w:eastAsia="zh-CN"/>
        </w:rPr>
      </w:pPr>
    </w:p>
    <w:p w14:paraId="0FE3C016">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12-3</w:t>
      </w:r>
      <w:r>
        <w:rPr>
          <w:rFonts w:hint="default" w:ascii="Times New Roman" w:hAnsi="Times New Roman" w:eastAsia="黑体" w:cs="Times New Roman"/>
          <w:color w:val="000000"/>
          <w:szCs w:val="21"/>
          <w:highlight w:val="none"/>
          <w:lang w:val="en-US" w:eastAsia="zh-CN"/>
        </w:rPr>
        <w:t xml:space="preserve">  空白样品高浓度加标精密度和正确度数据表（加标浓度为0.70 mg/kg）</w:t>
      </w:r>
    </w:p>
    <w:tbl>
      <w:tblPr>
        <w:tblStyle w:val="15"/>
        <w:tblpPr w:leftFromText="180" w:rightFromText="180" w:vertAnchor="text" w:horzAnchor="page" w:tblpX="1120" w:tblpY="128"/>
        <w:tblOverlap w:val="never"/>
        <w:tblW w:w="57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049"/>
        <w:gridCol w:w="628"/>
        <w:gridCol w:w="628"/>
        <w:gridCol w:w="628"/>
        <w:gridCol w:w="628"/>
        <w:gridCol w:w="628"/>
        <w:gridCol w:w="628"/>
        <w:gridCol w:w="1004"/>
        <w:gridCol w:w="1004"/>
        <w:gridCol w:w="855"/>
        <w:gridCol w:w="856"/>
      </w:tblGrid>
      <w:tr w14:paraId="259D3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92" w:type="dxa"/>
            <w:vMerge w:val="restart"/>
            <w:tcBorders>
              <w:tl2br w:val="nil"/>
              <w:tr2bl w:val="nil"/>
            </w:tcBorders>
            <w:noWrap w:val="0"/>
            <w:vAlign w:val="center"/>
          </w:tcPr>
          <w:p w14:paraId="0FC96503">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目标化合物</w:t>
            </w:r>
          </w:p>
        </w:tc>
        <w:tc>
          <w:tcPr>
            <w:tcW w:w="1049" w:type="dxa"/>
            <w:vMerge w:val="restart"/>
            <w:tcBorders>
              <w:tl2br w:val="nil"/>
              <w:tr2bl w:val="nil"/>
            </w:tcBorders>
            <w:noWrap w:val="0"/>
            <w:vAlign w:val="center"/>
          </w:tcPr>
          <w:p w14:paraId="009F4E57">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eastAsia="zh-CN"/>
              </w:rPr>
              <w:t>空白</w:t>
            </w:r>
            <w:r>
              <w:rPr>
                <w:rFonts w:hint="default" w:ascii="Times New Roman" w:hAnsi="Times New Roman" w:cs="Times New Roman"/>
                <w:color w:val="000000"/>
                <w:kern w:val="0"/>
                <w:sz w:val="18"/>
                <w:szCs w:val="18"/>
                <w:highlight w:val="none"/>
              </w:rPr>
              <w:t>样品测定值（mg/kg）</w:t>
            </w:r>
          </w:p>
        </w:tc>
        <w:tc>
          <w:tcPr>
            <w:tcW w:w="3768" w:type="dxa"/>
            <w:gridSpan w:val="6"/>
            <w:tcBorders>
              <w:tl2br w:val="nil"/>
              <w:tr2bl w:val="nil"/>
            </w:tcBorders>
            <w:noWrap w:val="0"/>
            <w:vAlign w:val="center"/>
          </w:tcPr>
          <w:p w14:paraId="7A447D70">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测定结果（mg/kg）</w:t>
            </w:r>
          </w:p>
        </w:tc>
        <w:tc>
          <w:tcPr>
            <w:tcW w:w="1004" w:type="dxa"/>
            <w:vMerge w:val="restart"/>
            <w:tcBorders>
              <w:tl2br w:val="nil"/>
              <w:tr2bl w:val="nil"/>
            </w:tcBorders>
            <w:noWrap w:val="0"/>
            <w:vAlign w:val="center"/>
          </w:tcPr>
          <w:p w14:paraId="6C79463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09"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09" DrawAspect="Content" ObjectID="_1468075797" r:id="rId149">
                  <o:LockedField>false</o:LockedField>
                </o:OLEObject>
              </w:object>
            </w:r>
          </w:p>
          <w:p w14:paraId="6F0FC49F">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（mg/kg）</w:t>
            </w:r>
          </w:p>
        </w:tc>
        <w:tc>
          <w:tcPr>
            <w:tcW w:w="1004" w:type="dxa"/>
            <w:vMerge w:val="restart"/>
            <w:tcBorders>
              <w:tl2br w:val="nil"/>
              <w:tr2bl w:val="nil"/>
            </w:tcBorders>
            <w:noWrap w:val="0"/>
            <w:vAlign w:val="center"/>
          </w:tcPr>
          <w:p w14:paraId="096B0B7C">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标准偏</w:t>
            </w:r>
            <w:r>
              <w:rPr>
                <w:rFonts w:hint="default" w:ascii="Times New Roman" w:hAnsi="Times New Roman" w:cs="Times New Roman"/>
                <w:color w:val="000000"/>
                <w:kern w:val="0"/>
                <w:position w:val="-12"/>
                <w:sz w:val="18"/>
                <w:szCs w:val="18"/>
                <w:highlight w:val="none"/>
              </w:rPr>
              <w:object>
                <v:shape id="_x0000_i1110"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10" DrawAspect="Content" ObjectID="_1468075798" r:id="rId150">
                  <o:LockedField>false</o:LockedField>
                </o:OLEObject>
              </w:object>
            </w:r>
            <w:r>
              <w:rPr>
                <w:rFonts w:hint="default" w:ascii="Times New Roman" w:hAnsi="Times New Roman" w:cs="Times New Roman"/>
                <w:color w:val="000000"/>
                <w:kern w:val="0"/>
                <w:sz w:val="18"/>
                <w:szCs w:val="18"/>
                <w:highlight w:val="none"/>
              </w:rPr>
              <w:t>（mg/kg）</w:t>
            </w:r>
          </w:p>
        </w:tc>
        <w:tc>
          <w:tcPr>
            <w:tcW w:w="855" w:type="dxa"/>
            <w:vMerge w:val="restart"/>
            <w:tcBorders>
              <w:tl2br w:val="nil"/>
              <w:tr2bl w:val="nil"/>
            </w:tcBorders>
            <w:noWrap w:val="0"/>
            <w:vAlign w:val="center"/>
          </w:tcPr>
          <w:p w14:paraId="6C76DBD4">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相对标准偏差（%）</w:t>
            </w:r>
          </w:p>
        </w:tc>
        <w:tc>
          <w:tcPr>
            <w:tcW w:w="856" w:type="dxa"/>
            <w:vMerge w:val="restart"/>
            <w:tcBorders>
              <w:tl2br w:val="nil"/>
              <w:tr2bl w:val="nil"/>
            </w:tcBorders>
            <w:noWrap w:val="0"/>
            <w:vAlign w:val="center"/>
          </w:tcPr>
          <w:p w14:paraId="0616C168">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回收率（%）</w:t>
            </w:r>
          </w:p>
        </w:tc>
      </w:tr>
      <w:tr w14:paraId="32A6C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1492" w:type="dxa"/>
            <w:vMerge w:val="continue"/>
            <w:tcBorders>
              <w:tl2br w:val="nil"/>
              <w:tr2bl w:val="nil"/>
            </w:tcBorders>
            <w:noWrap w:val="0"/>
            <w:vAlign w:val="center"/>
          </w:tcPr>
          <w:p w14:paraId="3CC2EC1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1049" w:type="dxa"/>
            <w:vMerge w:val="continue"/>
            <w:tcBorders>
              <w:tl2br w:val="nil"/>
              <w:tr2bl w:val="nil"/>
            </w:tcBorders>
            <w:noWrap w:val="0"/>
            <w:vAlign w:val="center"/>
          </w:tcPr>
          <w:p w14:paraId="48CE118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628" w:type="dxa"/>
            <w:tcBorders>
              <w:tl2br w:val="nil"/>
              <w:tr2bl w:val="nil"/>
            </w:tcBorders>
            <w:noWrap w:val="0"/>
            <w:vAlign w:val="center"/>
          </w:tcPr>
          <w:p w14:paraId="54C9267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1</w:t>
            </w:r>
          </w:p>
        </w:tc>
        <w:tc>
          <w:tcPr>
            <w:tcW w:w="628" w:type="dxa"/>
            <w:tcBorders>
              <w:tl2br w:val="nil"/>
              <w:tr2bl w:val="nil"/>
            </w:tcBorders>
            <w:noWrap w:val="0"/>
            <w:vAlign w:val="center"/>
          </w:tcPr>
          <w:p w14:paraId="0F5C03F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2</w:t>
            </w:r>
          </w:p>
        </w:tc>
        <w:tc>
          <w:tcPr>
            <w:tcW w:w="628" w:type="dxa"/>
            <w:tcBorders>
              <w:tl2br w:val="nil"/>
              <w:tr2bl w:val="nil"/>
            </w:tcBorders>
            <w:noWrap w:val="0"/>
            <w:vAlign w:val="center"/>
          </w:tcPr>
          <w:p w14:paraId="45D4801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3</w:t>
            </w:r>
          </w:p>
        </w:tc>
        <w:tc>
          <w:tcPr>
            <w:tcW w:w="628" w:type="dxa"/>
            <w:tcBorders>
              <w:tl2br w:val="nil"/>
              <w:tr2bl w:val="nil"/>
            </w:tcBorders>
            <w:noWrap w:val="0"/>
            <w:vAlign w:val="center"/>
          </w:tcPr>
          <w:p w14:paraId="36B4312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4</w:t>
            </w:r>
          </w:p>
        </w:tc>
        <w:tc>
          <w:tcPr>
            <w:tcW w:w="628" w:type="dxa"/>
            <w:tcBorders>
              <w:tl2br w:val="nil"/>
              <w:tr2bl w:val="nil"/>
            </w:tcBorders>
            <w:noWrap w:val="0"/>
            <w:vAlign w:val="center"/>
          </w:tcPr>
          <w:p w14:paraId="0575936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5</w:t>
            </w:r>
          </w:p>
        </w:tc>
        <w:tc>
          <w:tcPr>
            <w:tcW w:w="628" w:type="dxa"/>
            <w:tcBorders>
              <w:tl2br w:val="nil"/>
              <w:tr2bl w:val="nil"/>
            </w:tcBorders>
            <w:noWrap w:val="0"/>
            <w:vAlign w:val="center"/>
          </w:tcPr>
          <w:p w14:paraId="41C1D36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6</w:t>
            </w:r>
          </w:p>
        </w:tc>
        <w:tc>
          <w:tcPr>
            <w:tcW w:w="1004" w:type="dxa"/>
            <w:vMerge w:val="continue"/>
            <w:tcBorders>
              <w:tl2br w:val="nil"/>
              <w:tr2bl w:val="nil"/>
            </w:tcBorders>
            <w:noWrap w:val="0"/>
            <w:vAlign w:val="center"/>
          </w:tcPr>
          <w:p w14:paraId="4F90036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1004" w:type="dxa"/>
            <w:vMerge w:val="continue"/>
            <w:tcBorders>
              <w:tl2br w:val="nil"/>
              <w:tr2bl w:val="nil"/>
            </w:tcBorders>
            <w:noWrap w:val="0"/>
            <w:vAlign w:val="center"/>
          </w:tcPr>
          <w:p w14:paraId="245C23C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5" w:type="dxa"/>
            <w:vMerge w:val="continue"/>
            <w:tcBorders>
              <w:tl2br w:val="nil"/>
              <w:tr2bl w:val="nil"/>
            </w:tcBorders>
            <w:noWrap w:val="0"/>
            <w:vAlign w:val="center"/>
          </w:tcPr>
          <w:p w14:paraId="7140092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6" w:type="dxa"/>
            <w:vMerge w:val="continue"/>
            <w:tcBorders>
              <w:tl2br w:val="nil"/>
              <w:tr2bl w:val="nil"/>
            </w:tcBorders>
            <w:noWrap w:val="0"/>
            <w:vAlign w:val="center"/>
          </w:tcPr>
          <w:p w14:paraId="5B51953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r>
      <w:tr w14:paraId="4522F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15A1B3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5103354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2C7C725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0.554</w:t>
            </w:r>
          </w:p>
        </w:tc>
        <w:tc>
          <w:tcPr>
            <w:tcW w:w="628" w:type="dxa"/>
            <w:tcBorders>
              <w:tl2br w:val="nil"/>
              <w:tr2bl w:val="nil"/>
            </w:tcBorders>
            <w:noWrap w:val="0"/>
            <w:vAlign w:val="center"/>
          </w:tcPr>
          <w:p w14:paraId="1CB983C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0.555</w:t>
            </w:r>
          </w:p>
        </w:tc>
        <w:tc>
          <w:tcPr>
            <w:tcW w:w="628" w:type="dxa"/>
            <w:tcBorders>
              <w:tl2br w:val="nil"/>
              <w:tr2bl w:val="nil"/>
            </w:tcBorders>
            <w:noWrap w:val="0"/>
            <w:vAlign w:val="center"/>
          </w:tcPr>
          <w:p w14:paraId="73B7CD6F">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0.559</w:t>
            </w:r>
          </w:p>
        </w:tc>
        <w:tc>
          <w:tcPr>
            <w:tcW w:w="628" w:type="dxa"/>
            <w:tcBorders>
              <w:tl2br w:val="nil"/>
              <w:tr2bl w:val="nil"/>
            </w:tcBorders>
            <w:noWrap w:val="0"/>
            <w:vAlign w:val="center"/>
          </w:tcPr>
          <w:p w14:paraId="4A56A06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0.631</w:t>
            </w:r>
          </w:p>
        </w:tc>
        <w:tc>
          <w:tcPr>
            <w:tcW w:w="628" w:type="dxa"/>
            <w:tcBorders>
              <w:tl2br w:val="nil"/>
              <w:tr2bl w:val="nil"/>
            </w:tcBorders>
            <w:noWrap w:val="0"/>
            <w:vAlign w:val="center"/>
          </w:tcPr>
          <w:p w14:paraId="6EBD1C8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0.633</w:t>
            </w:r>
          </w:p>
        </w:tc>
        <w:tc>
          <w:tcPr>
            <w:tcW w:w="628" w:type="dxa"/>
            <w:tcBorders>
              <w:tl2br w:val="nil"/>
              <w:tr2bl w:val="nil"/>
            </w:tcBorders>
            <w:noWrap w:val="0"/>
            <w:vAlign w:val="center"/>
          </w:tcPr>
          <w:p w14:paraId="0920A24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0.632</w:t>
            </w:r>
          </w:p>
        </w:tc>
        <w:tc>
          <w:tcPr>
            <w:tcW w:w="1004" w:type="dxa"/>
            <w:tcBorders>
              <w:tl2br w:val="nil"/>
              <w:tr2bl w:val="nil"/>
            </w:tcBorders>
            <w:noWrap w:val="0"/>
            <w:vAlign w:val="center"/>
          </w:tcPr>
          <w:p w14:paraId="6C69259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0.594</w:t>
            </w:r>
          </w:p>
        </w:tc>
        <w:tc>
          <w:tcPr>
            <w:tcW w:w="1004" w:type="dxa"/>
            <w:tcBorders>
              <w:tl2br w:val="nil"/>
              <w:tr2bl w:val="nil"/>
            </w:tcBorders>
            <w:noWrap w:val="0"/>
            <w:vAlign w:val="center"/>
          </w:tcPr>
          <w:p w14:paraId="079086D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0.0418</w:t>
            </w:r>
          </w:p>
        </w:tc>
        <w:tc>
          <w:tcPr>
            <w:tcW w:w="855" w:type="dxa"/>
            <w:tcBorders>
              <w:tl2br w:val="nil"/>
              <w:tr2bl w:val="nil"/>
            </w:tcBorders>
            <w:noWrap w:val="0"/>
            <w:vAlign w:val="center"/>
          </w:tcPr>
          <w:p w14:paraId="2152B4F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7.0</w:t>
            </w:r>
          </w:p>
        </w:tc>
        <w:tc>
          <w:tcPr>
            <w:tcW w:w="856" w:type="dxa"/>
            <w:tcBorders>
              <w:tl2br w:val="nil"/>
              <w:tr2bl w:val="nil"/>
            </w:tcBorders>
            <w:noWrap w:val="0"/>
            <w:vAlign w:val="center"/>
          </w:tcPr>
          <w:p w14:paraId="6E5CF3CF">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84.8</w:t>
            </w:r>
          </w:p>
        </w:tc>
      </w:tr>
      <w:tr w14:paraId="728D6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409ECB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1E79F02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1355EE3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0.563</w:t>
            </w:r>
          </w:p>
        </w:tc>
        <w:tc>
          <w:tcPr>
            <w:tcW w:w="628" w:type="dxa"/>
            <w:tcBorders>
              <w:tl2br w:val="nil"/>
              <w:tr2bl w:val="nil"/>
            </w:tcBorders>
            <w:noWrap w:val="0"/>
            <w:vAlign w:val="center"/>
          </w:tcPr>
          <w:p w14:paraId="4CB15F8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0.567</w:t>
            </w:r>
          </w:p>
        </w:tc>
        <w:tc>
          <w:tcPr>
            <w:tcW w:w="628" w:type="dxa"/>
            <w:tcBorders>
              <w:tl2br w:val="nil"/>
              <w:tr2bl w:val="nil"/>
            </w:tcBorders>
            <w:noWrap w:val="0"/>
            <w:vAlign w:val="center"/>
          </w:tcPr>
          <w:p w14:paraId="4316BEC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0.570</w:t>
            </w:r>
          </w:p>
        </w:tc>
        <w:tc>
          <w:tcPr>
            <w:tcW w:w="628" w:type="dxa"/>
            <w:tcBorders>
              <w:tl2br w:val="nil"/>
              <w:tr2bl w:val="nil"/>
            </w:tcBorders>
            <w:noWrap w:val="0"/>
            <w:vAlign w:val="center"/>
          </w:tcPr>
          <w:p w14:paraId="310C58E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0.649</w:t>
            </w:r>
          </w:p>
        </w:tc>
        <w:tc>
          <w:tcPr>
            <w:tcW w:w="628" w:type="dxa"/>
            <w:tcBorders>
              <w:tl2br w:val="nil"/>
              <w:tr2bl w:val="nil"/>
            </w:tcBorders>
            <w:noWrap w:val="0"/>
            <w:vAlign w:val="center"/>
          </w:tcPr>
          <w:p w14:paraId="1F026DF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0.647</w:t>
            </w:r>
          </w:p>
        </w:tc>
        <w:tc>
          <w:tcPr>
            <w:tcW w:w="628" w:type="dxa"/>
            <w:tcBorders>
              <w:tl2br w:val="nil"/>
              <w:tr2bl w:val="nil"/>
            </w:tcBorders>
            <w:noWrap w:val="0"/>
            <w:vAlign w:val="center"/>
          </w:tcPr>
          <w:p w14:paraId="629E9C7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0.653</w:t>
            </w:r>
          </w:p>
        </w:tc>
        <w:tc>
          <w:tcPr>
            <w:tcW w:w="1004" w:type="dxa"/>
            <w:tcBorders>
              <w:tl2br w:val="nil"/>
              <w:tr2bl w:val="nil"/>
            </w:tcBorders>
            <w:noWrap w:val="0"/>
            <w:vAlign w:val="center"/>
          </w:tcPr>
          <w:p w14:paraId="42183C4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0.608</w:t>
            </w:r>
          </w:p>
        </w:tc>
        <w:tc>
          <w:tcPr>
            <w:tcW w:w="1004" w:type="dxa"/>
            <w:tcBorders>
              <w:tl2br w:val="nil"/>
              <w:tr2bl w:val="nil"/>
            </w:tcBorders>
            <w:noWrap w:val="0"/>
            <w:vAlign w:val="center"/>
          </w:tcPr>
          <w:p w14:paraId="6B06541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0.0456</w:t>
            </w:r>
          </w:p>
        </w:tc>
        <w:tc>
          <w:tcPr>
            <w:tcW w:w="855" w:type="dxa"/>
            <w:tcBorders>
              <w:tl2br w:val="nil"/>
              <w:tr2bl w:val="nil"/>
            </w:tcBorders>
            <w:noWrap w:val="0"/>
            <w:vAlign w:val="center"/>
          </w:tcPr>
          <w:p w14:paraId="42B3784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7.5</w:t>
            </w:r>
          </w:p>
        </w:tc>
        <w:tc>
          <w:tcPr>
            <w:tcW w:w="856" w:type="dxa"/>
            <w:tcBorders>
              <w:tl2br w:val="nil"/>
              <w:tr2bl w:val="nil"/>
            </w:tcBorders>
            <w:noWrap w:val="0"/>
            <w:vAlign w:val="center"/>
          </w:tcPr>
          <w:p w14:paraId="2A20E90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86.8</w:t>
            </w:r>
          </w:p>
        </w:tc>
      </w:tr>
      <w:tr w14:paraId="4FD96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028" w:type="dxa"/>
            <w:gridSpan w:val="12"/>
            <w:tcBorders>
              <w:tl2br w:val="nil"/>
              <w:tr2bl w:val="nil"/>
            </w:tcBorders>
            <w:shd w:val="clear" w:color="auto" w:fill="auto"/>
            <w:noWrap w:val="0"/>
            <w:vAlign w:val="center"/>
          </w:tcPr>
          <w:p w14:paraId="73DA1178">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tc>
      </w:tr>
    </w:tbl>
    <w:p w14:paraId="27CD8BF2">
      <w:pPr>
        <w:tabs>
          <w:tab w:val="left" w:pos="1050"/>
        </w:tabs>
        <w:spacing w:line="360" w:lineRule="exact"/>
        <w:ind w:left="0" w:leftChars="0" w:firstLine="0" w:firstLineChars="0"/>
        <w:jc w:val="center"/>
        <w:rPr>
          <w:rFonts w:hint="default" w:ascii="Times New Roman" w:hAnsi="Times New Roman" w:eastAsia="黑体" w:cs="Times New Roman"/>
          <w:color w:val="000000"/>
          <w:szCs w:val="21"/>
          <w:highlight w:val="none"/>
          <w:lang w:val="en-US" w:eastAsia="zh-CN"/>
        </w:rPr>
      </w:pPr>
    </w:p>
    <w:p w14:paraId="796914DA">
      <w:pPr>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br w:type="page"/>
      </w:r>
    </w:p>
    <w:p w14:paraId="1CDFFD15">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13-1</w:t>
      </w:r>
      <w:r>
        <w:rPr>
          <w:rFonts w:hint="default" w:ascii="Times New Roman" w:hAnsi="Times New Roman" w:eastAsia="黑体" w:cs="Times New Roman"/>
          <w:color w:val="000000"/>
          <w:szCs w:val="21"/>
          <w:highlight w:val="none"/>
          <w:lang w:val="en-US" w:eastAsia="zh-CN"/>
        </w:rPr>
        <w:t xml:space="preserve">  土壤样品低浓度加标精密度和正确度数据表（加标浓度为0.10 mg/kg）</w:t>
      </w:r>
    </w:p>
    <w:tbl>
      <w:tblPr>
        <w:tblStyle w:val="15"/>
        <w:tblpPr w:leftFromText="180" w:rightFromText="180" w:vertAnchor="text" w:horzAnchor="page" w:tblpX="1120" w:tblpY="128"/>
        <w:tblOverlap w:val="never"/>
        <w:tblW w:w="57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041"/>
        <w:gridCol w:w="628"/>
        <w:gridCol w:w="628"/>
        <w:gridCol w:w="628"/>
        <w:gridCol w:w="628"/>
        <w:gridCol w:w="628"/>
        <w:gridCol w:w="628"/>
        <w:gridCol w:w="1004"/>
        <w:gridCol w:w="1004"/>
        <w:gridCol w:w="855"/>
        <w:gridCol w:w="856"/>
      </w:tblGrid>
      <w:tr w14:paraId="510B7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500" w:type="dxa"/>
            <w:vMerge w:val="restart"/>
            <w:tcBorders>
              <w:tl2br w:val="nil"/>
              <w:tr2bl w:val="nil"/>
            </w:tcBorders>
            <w:noWrap w:val="0"/>
            <w:vAlign w:val="center"/>
          </w:tcPr>
          <w:p w14:paraId="4CF5EBBA">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目标化合物</w:t>
            </w:r>
          </w:p>
        </w:tc>
        <w:tc>
          <w:tcPr>
            <w:tcW w:w="1041" w:type="dxa"/>
            <w:vMerge w:val="restart"/>
            <w:tcBorders>
              <w:tl2br w:val="nil"/>
              <w:tr2bl w:val="nil"/>
            </w:tcBorders>
            <w:noWrap w:val="0"/>
            <w:vAlign w:val="center"/>
          </w:tcPr>
          <w:p w14:paraId="3DDAA5AD">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eastAsia="zh-CN"/>
              </w:rPr>
              <w:t>空白</w:t>
            </w:r>
            <w:r>
              <w:rPr>
                <w:rFonts w:hint="default" w:ascii="Times New Roman" w:hAnsi="Times New Roman" w:cs="Times New Roman"/>
                <w:color w:val="000000"/>
                <w:kern w:val="0"/>
                <w:sz w:val="18"/>
                <w:szCs w:val="18"/>
                <w:highlight w:val="none"/>
              </w:rPr>
              <w:t>样品测定值（mg/kg）</w:t>
            </w:r>
          </w:p>
        </w:tc>
        <w:tc>
          <w:tcPr>
            <w:tcW w:w="3768" w:type="dxa"/>
            <w:gridSpan w:val="6"/>
            <w:tcBorders>
              <w:tl2br w:val="nil"/>
              <w:tr2bl w:val="nil"/>
            </w:tcBorders>
            <w:noWrap w:val="0"/>
            <w:vAlign w:val="center"/>
          </w:tcPr>
          <w:p w14:paraId="4282BF54">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测定结果（mg/kg）</w:t>
            </w:r>
          </w:p>
        </w:tc>
        <w:tc>
          <w:tcPr>
            <w:tcW w:w="1004" w:type="dxa"/>
            <w:vMerge w:val="restart"/>
            <w:tcBorders>
              <w:tl2br w:val="nil"/>
              <w:tr2bl w:val="nil"/>
            </w:tcBorders>
            <w:noWrap w:val="0"/>
            <w:vAlign w:val="center"/>
          </w:tcPr>
          <w:p w14:paraId="730F96A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11"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11" DrawAspect="Content" ObjectID="_1468075799" r:id="rId151">
                  <o:LockedField>false</o:LockedField>
                </o:OLEObject>
              </w:object>
            </w:r>
          </w:p>
          <w:p w14:paraId="5A6D3AA7">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（mg/kg）</w:t>
            </w:r>
          </w:p>
        </w:tc>
        <w:tc>
          <w:tcPr>
            <w:tcW w:w="1004" w:type="dxa"/>
            <w:vMerge w:val="restart"/>
            <w:tcBorders>
              <w:tl2br w:val="nil"/>
              <w:tr2bl w:val="nil"/>
            </w:tcBorders>
            <w:noWrap w:val="0"/>
            <w:vAlign w:val="center"/>
          </w:tcPr>
          <w:p w14:paraId="12F0BB47">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标准偏</w:t>
            </w:r>
            <w:r>
              <w:rPr>
                <w:rFonts w:hint="default" w:ascii="Times New Roman" w:hAnsi="Times New Roman" w:cs="Times New Roman"/>
                <w:color w:val="000000"/>
                <w:kern w:val="0"/>
                <w:position w:val="-12"/>
                <w:sz w:val="18"/>
                <w:szCs w:val="18"/>
                <w:highlight w:val="none"/>
              </w:rPr>
              <w:object>
                <v:shape id="_x0000_i1112"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12" DrawAspect="Content" ObjectID="_1468075800" r:id="rId152">
                  <o:LockedField>false</o:LockedField>
                </o:OLEObject>
              </w:object>
            </w:r>
            <w:r>
              <w:rPr>
                <w:rFonts w:hint="default" w:ascii="Times New Roman" w:hAnsi="Times New Roman" w:cs="Times New Roman"/>
                <w:color w:val="000000"/>
                <w:kern w:val="0"/>
                <w:sz w:val="18"/>
                <w:szCs w:val="18"/>
                <w:highlight w:val="none"/>
              </w:rPr>
              <w:t>（mg/kg）</w:t>
            </w:r>
          </w:p>
        </w:tc>
        <w:tc>
          <w:tcPr>
            <w:tcW w:w="855" w:type="dxa"/>
            <w:vMerge w:val="restart"/>
            <w:tcBorders>
              <w:tl2br w:val="nil"/>
              <w:tr2bl w:val="nil"/>
            </w:tcBorders>
            <w:noWrap w:val="0"/>
            <w:vAlign w:val="center"/>
          </w:tcPr>
          <w:p w14:paraId="7FE57153">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相对标准偏差（%）</w:t>
            </w:r>
          </w:p>
        </w:tc>
        <w:tc>
          <w:tcPr>
            <w:tcW w:w="856" w:type="dxa"/>
            <w:vMerge w:val="restart"/>
            <w:tcBorders>
              <w:tl2br w:val="nil"/>
              <w:tr2bl w:val="nil"/>
            </w:tcBorders>
            <w:noWrap w:val="0"/>
            <w:vAlign w:val="center"/>
          </w:tcPr>
          <w:p w14:paraId="1CA1ABC0">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回收率（%）</w:t>
            </w:r>
          </w:p>
        </w:tc>
      </w:tr>
      <w:tr w14:paraId="01BA0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1500" w:type="dxa"/>
            <w:vMerge w:val="continue"/>
            <w:tcBorders>
              <w:tl2br w:val="nil"/>
              <w:tr2bl w:val="nil"/>
            </w:tcBorders>
            <w:noWrap w:val="0"/>
            <w:vAlign w:val="center"/>
          </w:tcPr>
          <w:p w14:paraId="48D011B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1041" w:type="dxa"/>
            <w:vMerge w:val="continue"/>
            <w:tcBorders>
              <w:tl2br w:val="nil"/>
              <w:tr2bl w:val="nil"/>
            </w:tcBorders>
            <w:noWrap w:val="0"/>
            <w:vAlign w:val="center"/>
          </w:tcPr>
          <w:p w14:paraId="3792D0D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628" w:type="dxa"/>
            <w:tcBorders>
              <w:tl2br w:val="nil"/>
              <w:tr2bl w:val="nil"/>
            </w:tcBorders>
            <w:noWrap w:val="0"/>
            <w:vAlign w:val="center"/>
          </w:tcPr>
          <w:p w14:paraId="403FB0B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1</w:t>
            </w:r>
          </w:p>
        </w:tc>
        <w:tc>
          <w:tcPr>
            <w:tcW w:w="628" w:type="dxa"/>
            <w:tcBorders>
              <w:tl2br w:val="nil"/>
              <w:tr2bl w:val="nil"/>
            </w:tcBorders>
            <w:noWrap w:val="0"/>
            <w:vAlign w:val="center"/>
          </w:tcPr>
          <w:p w14:paraId="16B0CB8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2</w:t>
            </w:r>
          </w:p>
        </w:tc>
        <w:tc>
          <w:tcPr>
            <w:tcW w:w="628" w:type="dxa"/>
            <w:tcBorders>
              <w:tl2br w:val="nil"/>
              <w:tr2bl w:val="nil"/>
            </w:tcBorders>
            <w:noWrap w:val="0"/>
            <w:vAlign w:val="center"/>
          </w:tcPr>
          <w:p w14:paraId="4590C89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3</w:t>
            </w:r>
          </w:p>
        </w:tc>
        <w:tc>
          <w:tcPr>
            <w:tcW w:w="628" w:type="dxa"/>
            <w:tcBorders>
              <w:tl2br w:val="nil"/>
              <w:tr2bl w:val="nil"/>
            </w:tcBorders>
            <w:noWrap w:val="0"/>
            <w:vAlign w:val="center"/>
          </w:tcPr>
          <w:p w14:paraId="75F99E8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4</w:t>
            </w:r>
          </w:p>
        </w:tc>
        <w:tc>
          <w:tcPr>
            <w:tcW w:w="628" w:type="dxa"/>
            <w:tcBorders>
              <w:tl2br w:val="nil"/>
              <w:tr2bl w:val="nil"/>
            </w:tcBorders>
            <w:noWrap w:val="0"/>
            <w:vAlign w:val="center"/>
          </w:tcPr>
          <w:p w14:paraId="6FDA9E3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5</w:t>
            </w:r>
          </w:p>
        </w:tc>
        <w:tc>
          <w:tcPr>
            <w:tcW w:w="628" w:type="dxa"/>
            <w:tcBorders>
              <w:tl2br w:val="nil"/>
              <w:tr2bl w:val="nil"/>
            </w:tcBorders>
            <w:noWrap w:val="0"/>
            <w:vAlign w:val="center"/>
          </w:tcPr>
          <w:p w14:paraId="2535566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6</w:t>
            </w:r>
          </w:p>
        </w:tc>
        <w:tc>
          <w:tcPr>
            <w:tcW w:w="1004" w:type="dxa"/>
            <w:vMerge w:val="continue"/>
            <w:tcBorders>
              <w:tl2br w:val="nil"/>
              <w:tr2bl w:val="nil"/>
            </w:tcBorders>
            <w:noWrap w:val="0"/>
            <w:vAlign w:val="center"/>
          </w:tcPr>
          <w:p w14:paraId="45750F7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1004" w:type="dxa"/>
            <w:vMerge w:val="continue"/>
            <w:tcBorders>
              <w:tl2br w:val="nil"/>
              <w:tr2bl w:val="nil"/>
            </w:tcBorders>
            <w:noWrap w:val="0"/>
            <w:vAlign w:val="center"/>
          </w:tcPr>
          <w:p w14:paraId="69DC92E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5" w:type="dxa"/>
            <w:vMerge w:val="continue"/>
            <w:tcBorders>
              <w:tl2br w:val="nil"/>
              <w:tr2bl w:val="nil"/>
            </w:tcBorders>
            <w:noWrap w:val="0"/>
            <w:vAlign w:val="center"/>
          </w:tcPr>
          <w:p w14:paraId="23410E1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6" w:type="dxa"/>
            <w:vMerge w:val="continue"/>
            <w:tcBorders>
              <w:tl2br w:val="nil"/>
              <w:tr2bl w:val="nil"/>
            </w:tcBorders>
            <w:noWrap w:val="0"/>
            <w:vAlign w:val="center"/>
          </w:tcPr>
          <w:p w14:paraId="5AC3DD7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r>
      <w:tr w14:paraId="20C31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00" w:type="dxa"/>
            <w:tcBorders>
              <w:tl2br w:val="nil"/>
              <w:tr2bl w:val="nil"/>
            </w:tcBorders>
            <w:shd w:val="clear" w:color="auto" w:fill="auto"/>
            <w:noWrap w:val="0"/>
            <w:vAlign w:val="center"/>
          </w:tcPr>
          <w:p w14:paraId="7E98F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1" w:type="dxa"/>
            <w:tcBorders>
              <w:tl2br w:val="nil"/>
              <w:tr2bl w:val="nil"/>
            </w:tcBorders>
            <w:noWrap w:val="0"/>
            <w:vAlign w:val="center"/>
          </w:tcPr>
          <w:p w14:paraId="1A92389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531BA12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0.077</w:t>
            </w:r>
          </w:p>
        </w:tc>
        <w:tc>
          <w:tcPr>
            <w:tcW w:w="628" w:type="dxa"/>
            <w:tcBorders>
              <w:tl2br w:val="nil"/>
              <w:tr2bl w:val="nil"/>
            </w:tcBorders>
            <w:noWrap w:val="0"/>
            <w:vAlign w:val="center"/>
          </w:tcPr>
          <w:p w14:paraId="06B2AA5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0.070</w:t>
            </w:r>
          </w:p>
        </w:tc>
        <w:tc>
          <w:tcPr>
            <w:tcW w:w="628" w:type="dxa"/>
            <w:tcBorders>
              <w:tl2br w:val="nil"/>
              <w:tr2bl w:val="nil"/>
            </w:tcBorders>
            <w:noWrap w:val="0"/>
            <w:vAlign w:val="center"/>
          </w:tcPr>
          <w:p w14:paraId="6E22CF1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0.071</w:t>
            </w:r>
          </w:p>
        </w:tc>
        <w:tc>
          <w:tcPr>
            <w:tcW w:w="628" w:type="dxa"/>
            <w:tcBorders>
              <w:tl2br w:val="nil"/>
              <w:tr2bl w:val="nil"/>
            </w:tcBorders>
            <w:noWrap w:val="0"/>
            <w:vAlign w:val="center"/>
          </w:tcPr>
          <w:p w14:paraId="57273CC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0.069</w:t>
            </w:r>
          </w:p>
        </w:tc>
        <w:tc>
          <w:tcPr>
            <w:tcW w:w="628" w:type="dxa"/>
            <w:tcBorders>
              <w:tl2br w:val="nil"/>
              <w:tr2bl w:val="nil"/>
            </w:tcBorders>
            <w:noWrap w:val="0"/>
            <w:vAlign w:val="center"/>
          </w:tcPr>
          <w:p w14:paraId="1AEADE8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0.069</w:t>
            </w:r>
          </w:p>
        </w:tc>
        <w:tc>
          <w:tcPr>
            <w:tcW w:w="628" w:type="dxa"/>
            <w:tcBorders>
              <w:tl2br w:val="nil"/>
              <w:tr2bl w:val="nil"/>
            </w:tcBorders>
            <w:noWrap w:val="0"/>
            <w:vAlign w:val="center"/>
          </w:tcPr>
          <w:p w14:paraId="2858BD6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0.069</w:t>
            </w:r>
          </w:p>
        </w:tc>
        <w:tc>
          <w:tcPr>
            <w:tcW w:w="1004" w:type="dxa"/>
            <w:tcBorders>
              <w:tl2br w:val="nil"/>
              <w:tr2bl w:val="nil"/>
            </w:tcBorders>
            <w:noWrap w:val="0"/>
            <w:vAlign w:val="center"/>
          </w:tcPr>
          <w:p w14:paraId="251E2EA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0.071</w:t>
            </w:r>
          </w:p>
        </w:tc>
        <w:tc>
          <w:tcPr>
            <w:tcW w:w="1004" w:type="dxa"/>
            <w:tcBorders>
              <w:tl2br w:val="nil"/>
              <w:tr2bl w:val="nil"/>
            </w:tcBorders>
            <w:noWrap w:val="0"/>
            <w:vAlign w:val="center"/>
          </w:tcPr>
          <w:p w14:paraId="1288BAC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0.0031</w:t>
            </w:r>
          </w:p>
        </w:tc>
        <w:tc>
          <w:tcPr>
            <w:tcW w:w="855" w:type="dxa"/>
            <w:tcBorders>
              <w:tl2br w:val="nil"/>
              <w:tr2bl w:val="nil"/>
            </w:tcBorders>
            <w:noWrap w:val="0"/>
            <w:vAlign w:val="center"/>
          </w:tcPr>
          <w:p w14:paraId="13ACC8A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4.4</w:t>
            </w:r>
          </w:p>
        </w:tc>
        <w:tc>
          <w:tcPr>
            <w:tcW w:w="856" w:type="dxa"/>
            <w:tcBorders>
              <w:tl2br w:val="nil"/>
              <w:tr2bl w:val="nil"/>
            </w:tcBorders>
            <w:noWrap w:val="0"/>
            <w:vAlign w:val="center"/>
          </w:tcPr>
          <w:p w14:paraId="0FE5A2C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71.0</w:t>
            </w:r>
          </w:p>
        </w:tc>
      </w:tr>
      <w:tr w14:paraId="5B162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500" w:type="dxa"/>
            <w:tcBorders>
              <w:tl2br w:val="nil"/>
              <w:tr2bl w:val="nil"/>
            </w:tcBorders>
            <w:shd w:val="clear" w:color="auto" w:fill="auto"/>
            <w:noWrap w:val="0"/>
            <w:vAlign w:val="center"/>
          </w:tcPr>
          <w:p w14:paraId="506A0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1" w:type="dxa"/>
            <w:tcBorders>
              <w:tl2br w:val="nil"/>
              <w:tr2bl w:val="nil"/>
            </w:tcBorders>
            <w:noWrap w:val="0"/>
            <w:vAlign w:val="center"/>
          </w:tcPr>
          <w:p w14:paraId="24EBC58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619C4A7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0.076</w:t>
            </w:r>
          </w:p>
        </w:tc>
        <w:tc>
          <w:tcPr>
            <w:tcW w:w="628" w:type="dxa"/>
            <w:tcBorders>
              <w:tl2br w:val="nil"/>
              <w:tr2bl w:val="nil"/>
            </w:tcBorders>
            <w:noWrap w:val="0"/>
            <w:vAlign w:val="center"/>
          </w:tcPr>
          <w:p w14:paraId="5A8D07D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0.069</w:t>
            </w:r>
          </w:p>
        </w:tc>
        <w:tc>
          <w:tcPr>
            <w:tcW w:w="628" w:type="dxa"/>
            <w:tcBorders>
              <w:tl2br w:val="nil"/>
              <w:tr2bl w:val="nil"/>
            </w:tcBorders>
            <w:noWrap w:val="0"/>
            <w:vAlign w:val="center"/>
          </w:tcPr>
          <w:p w14:paraId="3593BC0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0.069</w:t>
            </w:r>
          </w:p>
        </w:tc>
        <w:tc>
          <w:tcPr>
            <w:tcW w:w="628" w:type="dxa"/>
            <w:tcBorders>
              <w:tl2br w:val="nil"/>
              <w:tr2bl w:val="nil"/>
            </w:tcBorders>
            <w:noWrap w:val="0"/>
            <w:vAlign w:val="center"/>
          </w:tcPr>
          <w:p w14:paraId="5D641F2F">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0.067</w:t>
            </w:r>
          </w:p>
        </w:tc>
        <w:tc>
          <w:tcPr>
            <w:tcW w:w="628" w:type="dxa"/>
            <w:tcBorders>
              <w:tl2br w:val="nil"/>
              <w:tr2bl w:val="nil"/>
            </w:tcBorders>
            <w:noWrap w:val="0"/>
            <w:vAlign w:val="center"/>
          </w:tcPr>
          <w:p w14:paraId="4A6EC18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0.068</w:t>
            </w:r>
          </w:p>
        </w:tc>
        <w:tc>
          <w:tcPr>
            <w:tcW w:w="628" w:type="dxa"/>
            <w:tcBorders>
              <w:tl2br w:val="nil"/>
              <w:tr2bl w:val="nil"/>
            </w:tcBorders>
            <w:noWrap w:val="0"/>
            <w:vAlign w:val="center"/>
          </w:tcPr>
          <w:p w14:paraId="2B2F18C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0.067</w:t>
            </w:r>
          </w:p>
        </w:tc>
        <w:tc>
          <w:tcPr>
            <w:tcW w:w="1004" w:type="dxa"/>
            <w:tcBorders>
              <w:tl2br w:val="nil"/>
              <w:tr2bl w:val="nil"/>
            </w:tcBorders>
            <w:noWrap w:val="0"/>
            <w:vAlign w:val="center"/>
          </w:tcPr>
          <w:p w14:paraId="10C8354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0.069</w:t>
            </w:r>
          </w:p>
        </w:tc>
        <w:tc>
          <w:tcPr>
            <w:tcW w:w="1004" w:type="dxa"/>
            <w:tcBorders>
              <w:tl2br w:val="nil"/>
              <w:tr2bl w:val="nil"/>
            </w:tcBorders>
            <w:noWrap w:val="0"/>
            <w:vAlign w:val="center"/>
          </w:tcPr>
          <w:p w14:paraId="329DB27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0.0033</w:t>
            </w:r>
          </w:p>
        </w:tc>
        <w:tc>
          <w:tcPr>
            <w:tcW w:w="855" w:type="dxa"/>
            <w:tcBorders>
              <w:tl2br w:val="nil"/>
              <w:tr2bl w:val="nil"/>
            </w:tcBorders>
            <w:noWrap w:val="0"/>
            <w:vAlign w:val="center"/>
          </w:tcPr>
          <w:p w14:paraId="4C99191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4.7</w:t>
            </w:r>
          </w:p>
        </w:tc>
        <w:tc>
          <w:tcPr>
            <w:tcW w:w="856" w:type="dxa"/>
            <w:tcBorders>
              <w:tl2br w:val="nil"/>
              <w:tr2bl w:val="nil"/>
            </w:tcBorders>
            <w:noWrap w:val="0"/>
            <w:vAlign w:val="center"/>
          </w:tcPr>
          <w:p w14:paraId="3EA2255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69.0</w:t>
            </w:r>
          </w:p>
        </w:tc>
      </w:tr>
      <w:tr w14:paraId="2AFB3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028" w:type="dxa"/>
            <w:gridSpan w:val="12"/>
            <w:tcBorders>
              <w:tl2br w:val="nil"/>
              <w:tr2bl w:val="nil"/>
            </w:tcBorders>
            <w:shd w:val="clear" w:color="auto" w:fill="auto"/>
            <w:noWrap w:val="0"/>
            <w:vAlign w:val="center"/>
          </w:tcPr>
          <w:p w14:paraId="62DF4394">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tc>
      </w:tr>
    </w:tbl>
    <w:p w14:paraId="2211A84B">
      <w:pPr>
        <w:tabs>
          <w:tab w:val="left" w:pos="1050"/>
        </w:tabs>
        <w:spacing w:line="360" w:lineRule="exact"/>
        <w:ind w:left="0" w:leftChars="0" w:firstLine="0" w:firstLineChars="0"/>
        <w:jc w:val="center"/>
        <w:rPr>
          <w:rFonts w:hint="default" w:ascii="Times New Roman" w:hAnsi="Times New Roman" w:eastAsia="黑体" w:cs="Times New Roman"/>
          <w:color w:val="000000"/>
          <w:szCs w:val="21"/>
          <w:highlight w:val="none"/>
          <w:lang w:val="en-US" w:eastAsia="zh-CN"/>
        </w:rPr>
      </w:pPr>
    </w:p>
    <w:p w14:paraId="6AEFAD41">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13-2</w:t>
      </w:r>
      <w:r>
        <w:rPr>
          <w:rFonts w:hint="default" w:ascii="Times New Roman" w:hAnsi="Times New Roman" w:eastAsia="黑体" w:cs="Times New Roman"/>
          <w:color w:val="000000"/>
          <w:szCs w:val="21"/>
          <w:highlight w:val="none"/>
          <w:lang w:val="en-US" w:eastAsia="zh-CN"/>
        </w:rPr>
        <w:t xml:space="preserve">  土壤样品中浓度加标精密度和正确度数据表（加标浓度为0.40 mg/kg）</w:t>
      </w:r>
    </w:p>
    <w:tbl>
      <w:tblPr>
        <w:tblStyle w:val="15"/>
        <w:tblpPr w:leftFromText="180" w:rightFromText="180" w:vertAnchor="text" w:horzAnchor="page" w:tblpX="1120" w:tblpY="128"/>
        <w:tblOverlap w:val="never"/>
        <w:tblW w:w="57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049"/>
        <w:gridCol w:w="628"/>
        <w:gridCol w:w="628"/>
        <w:gridCol w:w="628"/>
        <w:gridCol w:w="628"/>
        <w:gridCol w:w="628"/>
        <w:gridCol w:w="628"/>
        <w:gridCol w:w="1004"/>
        <w:gridCol w:w="1004"/>
        <w:gridCol w:w="855"/>
        <w:gridCol w:w="856"/>
      </w:tblGrid>
      <w:tr w14:paraId="510C5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92" w:type="dxa"/>
            <w:vMerge w:val="restart"/>
            <w:tcBorders>
              <w:tl2br w:val="nil"/>
              <w:tr2bl w:val="nil"/>
            </w:tcBorders>
            <w:noWrap w:val="0"/>
            <w:vAlign w:val="center"/>
          </w:tcPr>
          <w:p w14:paraId="044FE594">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目标化合物</w:t>
            </w:r>
          </w:p>
        </w:tc>
        <w:tc>
          <w:tcPr>
            <w:tcW w:w="1049" w:type="dxa"/>
            <w:vMerge w:val="restart"/>
            <w:tcBorders>
              <w:tl2br w:val="nil"/>
              <w:tr2bl w:val="nil"/>
            </w:tcBorders>
            <w:noWrap w:val="0"/>
            <w:vAlign w:val="center"/>
          </w:tcPr>
          <w:p w14:paraId="7E1AFC4F">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eastAsia="zh-CN"/>
              </w:rPr>
              <w:t>空白</w:t>
            </w:r>
            <w:r>
              <w:rPr>
                <w:rFonts w:hint="default" w:ascii="Times New Roman" w:hAnsi="Times New Roman" w:cs="Times New Roman"/>
                <w:color w:val="000000"/>
                <w:kern w:val="0"/>
                <w:sz w:val="18"/>
                <w:szCs w:val="18"/>
                <w:highlight w:val="none"/>
              </w:rPr>
              <w:t>样品测定值（mg/kg）</w:t>
            </w:r>
          </w:p>
        </w:tc>
        <w:tc>
          <w:tcPr>
            <w:tcW w:w="3768" w:type="dxa"/>
            <w:gridSpan w:val="6"/>
            <w:tcBorders>
              <w:tl2br w:val="nil"/>
              <w:tr2bl w:val="nil"/>
            </w:tcBorders>
            <w:noWrap w:val="0"/>
            <w:vAlign w:val="center"/>
          </w:tcPr>
          <w:p w14:paraId="45B0E552">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测定结果（mg/kg）</w:t>
            </w:r>
          </w:p>
        </w:tc>
        <w:tc>
          <w:tcPr>
            <w:tcW w:w="1004" w:type="dxa"/>
            <w:vMerge w:val="restart"/>
            <w:tcBorders>
              <w:tl2br w:val="nil"/>
              <w:tr2bl w:val="nil"/>
            </w:tcBorders>
            <w:noWrap w:val="0"/>
            <w:vAlign w:val="center"/>
          </w:tcPr>
          <w:p w14:paraId="438DACC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13"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13" DrawAspect="Content" ObjectID="_1468075801" r:id="rId153">
                  <o:LockedField>false</o:LockedField>
                </o:OLEObject>
              </w:object>
            </w:r>
          </w:p>
          <w:p w14:paraId="3587EC96">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（mg/kg）</w:t>
            </w:r>
          </w:p>
        </w:tc>
        <w:tc>
          <w:tcPr>
            <w:tcW w:w="1004" w:type="dxa"/>
            <w:vMerge w:val="restart"/>
            <w:tcBorders>
              <w:tl2br w:val="nil"/>
              <w:tr2bl w:val="nil"/>
            </w:tcBorders>
            <w:noWrap w:val="0"/>
            <w:vAlign w:val="center"/>
          </w:tcPr>
          <w:p w14:paraId="02B3ED0A">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标准偏</w:t>
            </w:r>
            <w:r>
              <w:rPr>
                <w:rFonts w:hint="default" w:ascii="Times New Roman" w:hAnsi="Times New Roman" w:cs="Times New Roman"/>
                <w:color w:val="000000"/>
                <w:kern w:val="0"/>
                <w:position w:val="-12"/>
                <w:sz w:val="18"/>
                <w:szCs w:val="18"/>
                <w:highlight w:val="none"/>
              </w:rPr>
              <w:object>
                <v:shape id="_x0000_i1114"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14" DrawAspect="Content" ObjectID="_1468075802" r:id="rId154">
                  <o:LockedField>false</o:LockedField>
                </o:OLEObject>
              </w:object>
            </w:r>
            <w:r>
              <w:rPr>
                <w:rFonts w:hint="default" w:ascii="Times New Roman" w:hAnsi="Times New Roman" w:cs="Times New Roman"/>
                <w:color w:val="000000"/>
                <w:kern w:val="0"/>
                <w:sz w:val="18"/>
                <w:szCs w:val="18"/>
                <w:highlight w:val="none"/>
              </w:rPr>
              <w:t>（mg/kg）</w:t>
            </w:r>
          </w:p>
        </w:tc>
        <w:tc>
          <w:tcPr>
            <w:tcW w:w="855" w:type="dxa"/>
            <w:vMerge w:val="restart"/>
            <w:tcBorders>
              <w:tl2br w:val="nil"/>
              <w:tr2bl w:val="nil"/>
            </w:tcBorders>
            <w:noWrap w:val="0"/>
            <w:vAlign w:val="center"/>
          </w:tcPr>
          <w:p w14:paraId="1A4F718F">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相对标准偏差（%）</w:t>
            </w:r>
          </w:p>
        </w:tc>
        <w:tc>
          <w:tcPr>
            <w:tcW w:w="856" w:type="dxa"/>
            <w:vMerge w:val="restart"/>
            <w:tcBorders>
              <w:tl2br w:val="nil"/>
              <w:tr2bl w:val="nil"/>
            </w:tcBorders>
            <w:noWrap w:val="0"/>
            <w:vAlign w:val="center"/>
          </w:tcPr>
          <w:p w14:paraId="22491319">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回收率（%）</w:t>
            </w:r>
          </w:p>
        </w:tc>
      </w:tr>
      <w:tr w14:paraId="4844A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1492" w:type="dxa"/>
            <w:vMerge w:val="continue"/>
            <w:tcBorders>
              <w:tl2br w:val="nil"/>
              <w:tr2bl w:val="nil"/>
            </w:tcBorders>
            <w:noWrap w:val="0"/>
            <w:vAlign w:val="center"/>
          </w:tcPr>
          <w:p w14:paraId="7ED3695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1049" w:type="dxa"/>
            <w:vMerge w:val="continue"/>
            <w:tcBorders>
              <w:tl2br w:val="nil"/>
              <w:tr2bl w:val="nil"/>
            </w:tcBorders>
            <w:noWrap w:val="0"/>
            <w:vAlign w:val="center"/>
          </w:tcPr>
          <w:p w14:paraId="3E38D64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628" w:type="dxa"/>
            <w:tcBorders>
              <w:tl2br w:val="nil"/>
              <w:tr2bl w:val="nil"/>
            </w:tcBorders>
            <w:noWrap w:val="0"/>
            <w:vAlign w:val="center"/>
          </w:tcPr>
          <w:p w14:paraId="2DEDF08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1</w:t>
            </w:r>
          </w:p>
        </w:tc>
        <w:tc>
          <w:tcPr>
            <w:tcW w:w="628" w:type="dxa"/>
            <w:tcBorders>
              <w:tl2br w:val="nil"/>
              <w:tr2bl w:val="nil"/>
            </w:tcBorders>
            <w:noWrap w:val="0"/>
            <w:vAlign w:val="center"/>
          </w:tcPr>
          <w:p w14:paraId="1D456D9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2</w:t>
            </w:r>
          </w:p>
        </w:tc>
        <w:tc>
          <w:tcPr>
            <w:tcW w:w="628" w:type="dxa"/>
            <w:tcBorders>
              <w:tl2br w:val="nil"/>
              <w:tr2bl w:val="nil"/>
            </w:tcBorders>
            <w:noWrap w:val="0"/>
            <w:vAlign w:val="center"/>
          </w:tcPr>
          <w:p w14:paraId="4C7080E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3</w:t>
            </w:r>
          </w:p>
        </w:tc>
        <w:tc>
          <w:tcPr>
            <w:tcW w:w="628" w:type="dxa"/>
            <w:tcBorders>
              <w:tl2br w:val="nil"/>
              <w:tr2bl w:val="nil"/>
            </w:tcBorders>
            <w:noWrap w:val="0"/>
            <w:vAlign w:val="center"/>
          </w:tcPr>
          <w:p w14:paraId="77D41B5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4</w:t>
            </w:r>
          </w:p>
        </w:tc>
        <w:tc>
          <w:tcPr>
            <w:tcW w:w="628" w:type="dxa"/>
            <w:tcBorders>
              <w:tl2br w:val="nil"/>
              <w:tr2bl w:val="nil"/>
            </w:tcBorders>
            <w:noWrap w:val="0"/>
            <w:vAlign w:val="center"/>
          </w:tcPr>
          <w:p w14:paraId="7555391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5</w:t>
            </w:r>
          </w:p>
        </w:tc>
        <w:tc>
          <w:tcPr>
            <w:tcW w:w="628" w:type="dxa"/>
            <w:tcBorders>
              <w:tl2br w:val="nil"/>
              <w:tr2bl w:val="nil"/>
            </w:tcBorders>
            <w:noWrap w:val="0"/>
            <w:vAlign w:val="center"/>
          </w:tcPr>
          <w:p w14:paraId="23DE8C6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6</w:t>
            </w:r>
          </w:p>
        </w:tc>
        <w:tc>
          <w:tcPr>
            <w:tcW w:w="1004" w:type="dxa"/>
            <w:vMerge w:val="continue"/>
            <w:tcBorders>
              <w:tl2br w:val="nil"/>
              <w:tr2bl w:val="nil"/>
            </w:tcBorders>
            <w:noWrap w:val="0"/>
            <w:vAlign w:val="center"/>
          </w:tcPr>
          <w:p w14:paraId="62B6F63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1004" w:type="dxa"/>
            <w:vMerge w:val="continue"/>
            <w:tcBorders>
              <w:tl2br w:val="nil"/>
              <w:tr2bl w:val="nil"/>
            </w:tcBorders>
            <w:noWrap w:val="0"/>
            <w:vAlign w:val="center"/>
          </w:tcPr>
          <w:p w14:paraId="69F0BC8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5" w:type="dxa"/>
            <w:vMerge w:val="continue"/>
            <w:tcBorders>
              <w:tl2br w:val="nil"/>
              <w:tr2bl w:val="nil"/>
            </w:tcBorders>
            <w:noWrap w:val="0"/>
            <w:vAlign w:val="center"/>
          </w:tcPr>
          <w:p w14:paraId="63E5148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6" w:type="dxa"/>
            <w:vMerge w:val="continue"/>
            <w:tcBorders>
              <w:tl2br w:val="nil"/>
              <w:tr2bl w:val="nil"/>
            </w:tcBorders>
            <w:noWrap w:val="0"/>
            <w:vAlign w:val="center"/>
          </w:tcPr>
          <w:p w14:paraId="0A86C60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r>
      <w:tr w14:paraId="43460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03B23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3581A8F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3EA49A8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0.392</w:t>
            </w:r>
          </w:p>
        </w:tc>
        <w:tc>
          <w:tcPr>
            <w:tcW w:w="628" w:type="dxa"/>
            <w:tcBorders>
              <w:tl2br w:val="nil"/>
              <w:tr2bl w:val="nil"/>
            </w:tcBorders>
            <w:noWrap w:val="0"/>
            <w:vAlign w:val="center"/>
          </w:tcPr>
          <w:p w14:paraId="7C07397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0.394</w:t>
            </w:r>
          </w:p>
        </w:tc>
        <w:tc>
          <w:tcPr>
            <w:tcW w:w="628" w:type="dxa"/>
            <w:tcBorders>
              <w:tl2br w:val="nil"/>
              <w:tr2bl w:val="nil"/>
            </w:tcBorders>
            <w:noWrap w:val="0"/>
            <w:vAlign w:val="center"/>
          </w:tcPr>
          <w:p w14:paraId="0E805AE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0.402</w:t>
            </w:r>
          </w:p>
        </w:tc>
        <w:tc>
          <w:tcPr>
            <w:tcW w:w="628" w:type="dxa"/>
            <w:tcBorders>
              <w:tl2br w:val="nil"/>
              <w:tr2bl w:val="nil"/>
            </w:tcBorders>
            <w:noWrap w:val="0"/>
            <w:vAlign w:val="center"/>
          </w:tcPr>
          <w:p w14:paraId="0650F39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0.303</w:t>
            </w:r>
          </w:p>
        </w:tc>
        <w:tc>
          <w:tcPr>
            <w:tcW w:w="628" w:type="dxa"/>
            <w:tcBorders>
              <w:tl2br w:val="nil"/>
              <w:tr2bl w:val="nil"/>
            </w:tcBorders>
            <w:noWrap w:val="0"/>
            <w:vAlign w:val="center"/>
          </w:tcPr>
          <w:p w14:paraId="438F3C7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0.305</w:t>
            </w:r>
          </w:p>
        </w:tc>
        <w:tc>
          <w:tcPr>
            <w:tcW w:w="628" w:type="dxa"/>
            <w:tcBorders>
              <w:tl2br w:val="nil"/>
              <w:tr2bl w:val="nil"/>
            </w:tcBorders>
            <w:noWrap w:val="0"/>
            <w:vAlign w:val="center"/>
          </w:tcPr>
          <w:p w14:paraId="3786C4A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0.397</w:t>
            </w:r>
          </w:p>
        </w:tc>
        <w:tc>
          <w:tcPr>
            <w:tcW w:w="1004" w:type="dxa"/>
            <w:tcBorders>
              <w:tl2br w:val="nil"/>
              <w:tr2bl w:val="nil"/>
            </w:tcBorders>
            <w:noWrap w:val="0"/>
            <w:vAlign w:val="center"/>
          </w:tcPr>
          <w:p w14:paraId="375F72A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0.365</w:t>
            </w:r>
          </w:p>
        </w:tc>
        <w:tc>
          <w:tcPr>
            <w:tcW w:w="1004" w:type="dxa"/>
            <w:tcBorders>
              <w:tl2br w:val="nil"/>
              <w:tr2bl w:val="nil"/>
            </w:tcBorders>
            <w:noWrap w:val="0"/>
            <w:vAlign w:val="center"/>
          </w:tcPr>
          <w:p w14:paraId="19E8EBD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0.0477</w:t>
            </w:r>
          </w:p>
        </w:tc>
        <w:tc>
          <w:tcPr>
            <w:tcW w:w="855" w:type="dxa"/>
            <w:tcBorders>
              <w:tl2br w:val="nil"/>
              <w:tr2bl w:val="nil"/>
            </w:tcBorders>
            <w:noWrap w:val="0"/>
            <w:vAlign w:val="center"/>
          </w:tcPr>
          <w:p w14:paraId="5FBC736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13.1</w:t>
            </w:r>
          </w:p>
        </w:tc>
        <w:tc>
          <w:tcPr>
            <w:tcW w:w="856" w:type="dxa"/>
            <w:tcBorders>
              <w:tl2br w:val="nil"/>
              <w:tr2bl w:val="nil"/>
            </w:tcBorders>
            <w:noWrap w:val="0"/>
            <w:vAlign w:val="center"/>
          </w:tcPr>
          <w:p w14:paraId="36A76B8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91.2</w:t>
            </w:r>
          </w:p>
        </w:tc>
      </w:tr>
      <w:tr w14:paraId="5B20F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40236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1A42668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3896B5E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0.377</w:t>
            </w:r>
          </w:p>
        </w:tc>
        <w:tc>
          <w:tcPr>
            <w:tcW w:w="628" w:type="dxa"/>
            <w:tcBorders>
              <w:tl2br w:val="nil"/>
              <w:tr2bl w:val="nil"/>
            </w:tcBorders>
            <w:noWrap w:val="0"/>
            <w:vAlign w:val="center"/>
          </w:tcPr>
          <w:p w14:paraId="6B63836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0.384</w:t>
            </w:r>
          </w:p>
        </w:tc>
        <w:tc>
          <w:tcPr>
            <w:tcW w:w="628" w:type="dxa"/>
            <w:tcBorders>
              <w:tl2br w:val="nil"/>
              <w:tr2bl w:val="nil"/>
            </w:tcBorders>
            <w:noWrap w:val="0"/>
            <w:vAlign w:val="center"/>
          </w:tcPr>
          <w:p w14:paraId="67ADB297">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0.392</w:t>
            </w:r>
          </w:p>
        </w:tc>
        <w:tc>
          <w:tcPr>
            <w:tcW w:w="628" w:type="dxa"/>
            <w:tcBorders>
              <w:tl2br w:val="nil"/>
              <w:tr2bl w:val="nil"/>
            </w:tcBorders>
            <w:noWrap w:val="0"/>
            <w:vAlign w:val="center"/>
          </w:tcPr>
          <w:p w14:paraId="0992B27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0.307</w:t>
            </w:r>
          </w:p>
        </w:tc>
        <w:tc>
          <w:tcPr>
            <w:tcW w:w="628" w:type="dxa"/>
            <w:tcBorders>
              <w:tl2br w:val="nil"/>
              <w:tr2bl w:val="nil"/>
            </w:tcBorders>
            <w:noWrap w:val="0"/>
            <w:vAlign w:val="center"/>
          </w:tcPr>
          <w:p w14:paraId="5275E7D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0.308</w:t>
            </w:r>
          </w:p>
        </w:tc>
        <w:tc>
          <w:tcPr>
            <w:tcW w:w="628" w:type="dxa"/>
            <w:tcBorders>
              <w:tl2br w:val="nil"/>
              <w:tr2bl w:val="nil"/>
            </w:tcBorders>
            <w:noWrap w:val="0"/>
            <w:vAlign w:val="center"/>
          </w:tcPr>
          <w:p w14:paraId="7447F15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0.392</w:t>
            </w:r>
          </w:p>
        </w:tc>
        <w:tc>
          <w:tcPr>
            <w:tcW w:w="1004" w:type="dxa"/>
            <w:tcBorders>
              <w:tl2br w:val="nil"/>
              <w:tr2bl w:val="nil"/>
            </w:tcBorders>
            <w:noWrap w:val="0"/>
            <w:vAlign w:val="center"/>
          </w:tcPr>
          <w:p w14:paraId="335860E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0.360</w:t>
            </w:r>
          </w:p>
        </w:tc>
        <w:tc>
          <w:tcPr>
            <w:tcW w:w="1004" w:type="dxa"/>
            <w:tcBorders>
              <w:tl2br w:val="nil"/>
              <w:tr2bl w:val="nil"/>
            </w:tcBorders>
            <w:noWrap w:val="0"/>
            <w:vAlign w:val="center"/>
          </w:tcPr>
          <w:p w14:paraId="1295DA7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0.0411</w:t>
            </w:r>
          </w:p>
        </w:tc>
        <w:tc>
          <w:tcPr>
            <w:tcW w:w="855" w:type="dxa"/>
            <w:tcBorders>
              <w:tl2br w:val="nil"/>
              <w:tr2bl w:val="nil"/>
            </w:tcBorders>
            <w:noWrap w:val="0"/>
            <w:vAlign w:val="center"/>
          </w:tcPr>
          <w:p w14:paraId="0F9DC1C5">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11.4</w:t>
            </w:r>
          </w:p>
        </w:tc>
        <w:tc>
          <w:tcPr>
            <w:tcW w:w="856" w:type="dxa"/>
            <w:tcBorders>
              <w:tl2br w:val="nil"/>
              <w:tr2bl w:val="nil"/>
            </w:tcBorders>
            <w:noWrap w:val="0"/>
            <w:vAlign w:val="center"/>
          </w:tcPr>
          <w:p w14:paraId="58C312A9">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90.0</w:t>
            </w:r>
          </w:p>
        </w:tc>
      </w:tr>
      <w:tr w14:paraId="4AE6F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028" w:type="dxa"/>
            <w:gridSpan w:val="12"/>
            <w:tcBorders>
              <w:tl2br w:val="nil"/>
              <w:tr2bl w:val="nil"/>
            </w:tcBorders>
            <w:shd w:val="clear" w:color="auto" w:fill="auto"/>
            <w:noWrap w:val="0"/>
            <w:vAlign w:val="center"/>
          </w:tcPr>
          <w:p w14:paraId="143C9E13">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tc>
      </w:tr>
    </w:tbl>
    <w:p w14:paraId="0CEE35DC">
      <w:pPr>
        <w:ind w:left="0" w:leftChars="0" w:firstLine="0" w:firstLineChars="0"/>
        <w:jc w:val="center"/>
        <w:rPr>
          <w:rFonts w:hint="default" w:ascii="Times New Roman" w:hAnsi="Times New Roman" w:cs="Times New Roman"/>
          <w:lang w:val="en-US" w:eastAsia="zh-CN"/>
        </w:rPr>
      </w:pPr>
    </w:p>
    <w:p w14:paraId="095D97B5">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13-3</w:t>
      </w:r>
      <w:r>
        <w:rPr>
          <w:rFonts w:hint="default" w:ascii="Times New Roman" w:hAnsi="Times New Roman" w:eastAsia="黑体" w:cs="Times New Roman"/>
          <w:color w:val="000000"/>
          <w:szCs w:val="21"/>
          <w:highlight w:val="none"/>
          <w:lang w:val="en-US" w:eastAsia="zh-CN"/>
        </w:rPr>
        <w:t xml:space="preserve">  土壤样品高浓度加标精密度和正确度数据表（加标浓度为0.70 mg/kg）</w:t>
      </w:r>
    </w:p>
    <w:tbl>
      <w:tblPr>
        <w:tblStyle w:val="15"/>
        <w:tblpPr w:leftFromText="180" w:rightFromText="180" w:vertAnchor="text" w:horzAnchor="page" w:tblpX="1120" w:tblpY="128"/>
        <w:tblOverlap w:val="never"/>
        <w:tblW w:w="57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049"/>
        <w:gridCol w:w="628"/>
        <w:gridCol w:w="628"/>
        <w:gridCol w:w="628"/>
        <w:gridCol w:w="628"/>
        <w:gridCol w:w="628"/>
        <w:gridCol w:w="628"/>
        <w:gridCol w:w="1004"/>
        <w:gridCol w:w="1004"/>
        <w:gridCol w:w="855"/>
        <w:gridCol w:w="856"/>
      </w:tblGrid>
      <w:tr w14:paraId="50087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92" w:type="dxa"/>
            <w:vMerge w:val="restart"/>
            <w:tcBorders>
              <w:tl2br w:val="nil"/>
              <w:tr2bl w:val="nil"/>
            </w:tcBorders>
            <w:noWrap w:val="0"/>
            <w:vAlign w:val="center"/>
          </w:tcPr>
          <w:p w14:paraId="34716E1F">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目标化合物</w:t>
            </w:r>
          </w:p>
        </w:tc>
        <w:tc>
          <w:tcPr>
            <w:tcW w:w="1049" w:type="dxa"/>
            <w:vMerge w:val="restart"/>
            <w:tcBorders>
              <w:tl2br w:val="nil"/>
              <w:tr2bl w:val="nil"/>
            </w:tcBorders>
            <w:noWrap w:val="0"/>
            <w:vAlign w:val="center"/>
          </w:tcPr>
          <w:p w14:paraId="2C1317EF">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eastAsia="zh-CN"/>
              </w:rPr>
              <w:t>空白</w:t>
            </w:r>
            <w:r>
              <w:rPr>
                <w:rFonts w:hint="default" w:ascii="Times New Roman" w:hAnsi="Times New Roman" w:cs="Times New Roman"/>
                <w:color w:val="000000"/>
                <w:kern w:val="0"/>
                <w:sz w:val="18"/>
                <w:szCs w:val="18"/>
                <w:highlight w:val="none"/>
              </w:rPr>
              <w:t>样品测定值（mg/kg）</w:t>
            </w:r>
          </w:p>
        </w:tc>
        <w:tc>
          <w:tcPr>
            <w:tcW w:w="3768" w:type="dxa"/>
            <w:gridSpan w:val="6"/>
            <w:tcBorders>
              <w:tl2br w:val="nil"/>
              <w:tr2bl w:val="nil"/>
            </w:tcBorders>
            <w:noWrap w:val="0"/>
            <w:vAlign w:val="center"/>
          </w:tcPr>
          <w:p w14:paraId="009D2626">
            <w:pPr>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测定结果（mg/kg）</w:t>
            </w:r>
          </w:p>
        </w:tc>
        <w:tc>
          <w:tcPr>
            <w:tcW w:w="1004" w:type="dxa"/>
            <w:vMerge w:val="restart"/>
            <w:tcBorders>
              <w:tl2br w:val="nil"/>
              <w:tr2bl w:val="nil"/>
            </w:tcBorders>
            <w:noWrap w:val="0"/>
            <w:vAlign w:val="center"/>
          </w:tcPr>
          <w:p w14:paraId="3719C43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15"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15" DrawAspect="Content" ObjectID="_1468075803" r:id="rId155">
                  <o:LockedField>false</o:LockedField>
                </o:OLEObject>
              </w:object>
            </w:r>
          </w:p>
          <w:p w14:paraId="1187B7B8">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（mg/kg）</w:t>
            </w:r>
          </w:p>
        </w:tc>
        <w:tc>
          <w:tcPr>
            <w:tcW w:w="1004" w:type="dxa"/>
            <w:vMerge w:val="restart"/>
            <w:tcBorders>
              <w:tl2br w:val="nil"/>
              <w:tr2bl w:val="nil"/>
            </w:tcBorders>
            <w:noWrap w:val="0"/>
            <w:vAlign w:val="center"/>
          </w:tcPr>
          <w:p w14:paraId="1524A1A5">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标准偏</w:t>
            </w:r>
            <w:r>
              <w:rPr>
                <w:rFonts w:hint="default" w:ascii="Times New Roman" w:hAnsi="Times New Roman" w:cs="Times New Roman"/>
                <w:color w:val="000000"/>
                <w:kern w:val="0"/>
                <w:position w:val="-12"/>
                <w:sz w:val="18"/>
                <w:szCs w:val="18"/>
                <w:highlight w:val="none"/>
              </w:rPr>
              <w:object>
                <v:shape id="_x0000_i1116"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16" DrawAspect="Content" ObjectID="_1468075804" r:id="rId156">
                  <o:LockedField>false</o:LockedField>
                </o:OLEObject>
              </w:object>
            </w:r>
            <w:r>
              <w:rPr>
                <w:rFonts w:hint="default" w:ascii="Times New Roman" w:hAnsi="Times New Roman" w:cs="Times New Roman"/>
                <w:color w:val="000000"/>
                <w:kern w:val="0"/>
                <w:sz w:val="18"/>
                <w:szCs w:val="18"/>
                <w:highlight w:val="none"/>
              </w:rPr>
              <w:t>（mg/kg）</w:t>
            </w:r>
          </w:p>
        </w:tc>
        <w:tc>
          <w:tcPr>
            <w:tcW w:w="855" w:type="dxa"/>
            <w:vMerge w:val="restart"/>
            <w:tcBorders>
              <w:tl2br w:val="nil"/>
              <w:tr2bl w:val="nil"/>
            </w:tcBorders>
            <w:noWrap w:val="0"/>
            <w:vAlign w:val="center"/>
          </w:tcPr>
          <w:p w14:paraId="1989DEB9">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相对标准偏差（%）</w:t>
            </w:r>
          </w:p>
        </w:tc>
        <w:tc>
          <w:tcPr>
            <w:tcW w:w="856" w:type="dxa"/>
            <w:vMerge w:val="restart"/>
            <w:tcBorders>
              <w:tl2br w:val="nil"/>
              <w:tr2bl w:val="nil"/>
            </w:tcBorders>
            <w:noWrap w:val="0"/>
            <w:vAlign w:val="center"/>
          </w:tcPr>
          <w:p w14:paraId="54668BED">
            <w:pPr>
              <w:keepNext/>
              <w:keepLines/>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回收率（%）</w:t>
            </w:r>
          </w:p>
        </w:tc>
      </w:tr>
      <w:tr w14:paraId="36763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1492" w:type="dxa"/>
            <w:vMerge w:val="continue"/>
            <w:tcBorders>
              <w:tl2br w:val="nil"/>
              <w:tr2bl w:val="nil"/>
            </w:tcBorders>
            <w:noWrap w:val="0"/>
            <w:vAlign w:val="center"/>
          </w:tcPr>
          <w:p w14:paraId="654F7EE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1049" w:type="dxa"/>
            <w:vMerge w:val="continue"/>
            <w:tcBorders>
              <w:tl2br w:val="nil"/>
              <w:tr2bl w:val="nil"/>
            </w:tcBorders>
            <w:noWrap w:val="0"/>
            <w:vAlign w:val="center"/>
          </w:tcPr>
          <w:p w14:paraId="76A0F41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p>
        </w:tc>
        <w:tc>
          <w:tcPr>
            <w:tcW w:w="628" w:type="dxa"/>
            <w:tcBorders>
              <w:tl2br w:val="nil"/>
              <w:tr2bl w:val="nil"/>
            </w:tcBorders>
            <w:noWrap w:val="0"/>
            <w:vAlign w:val="center"/>
          </w:tcPr>
          <w:p w14:paraId="40BDF79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1</w:t>
            </w:r>
          </w:p>
        </w:tc>
        <w:tc>
          <w:tcPr>
            <w:tcW w:w="628" w:type="dxa"/>
            <w:tcBorders>
              <w:tl2br w:val="nil"/>
              <w:tr2bl w:val="nil"/>
            </w:tcBorders>
            <w:noWrap w:val="0"/>
            <w:vAlign w:val="center"/>
          </w:tcPr>
          <w:p w14:paraId="3594BE8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2</w:t>
            </w:r>
          </w:p>
        </w:tc>
        <w:tc>
          <w:tcPr>
            <w:tcW w:w="628" w:type="dxa"/>
            <w:tcBorders>
              <w:tl2br w:val="nil"/>
              <w:tr2bl w:val="nil"/>
            </w:tcBorders>
            <w:noWrap w:val="0"/>
            <w:vAlign w:val="center"/>
          </w:tcPr>
          <w:p w14:paraId="59A274B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3</w:t>
            </w:r>
          </w:p>
        </w:tc>
        <w:tc>
          <w:tcPr>
            <w:tcW w:w="628" w:type="dxa"/>
            <w:tcBorders>
              <w:tl2br w:val="nil"/>
              <w:tr2bl w:val="nil"/>
            </w:tcBorders>
            <w:noWrap w:val="0"/>
            <w:vAlign w:val="center"/>
          </w:tcPr>
          <w:p w14:paraId="16FC0D3D">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4</w:t>
            </w:r>
          </w:p>
        </w:tc>
        <w:tc>
          <w:tcPr>
            <w:tcW w:w="628" w:type="dxa"/>
            <w:tcBorders>
              <w:tl2br w:val="nil"/>
              <w:tr2bl w:val="nil"/>
            </w:tcBorders>
            <w:noWrap w:val="0"/>
            <w:vAlign w:val="center"/>
          </w:tcPr>
          <w:p w14:paraId="49F6A74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5</w:t>
            </w:r>
          </w:p>
        </w:tc>
        <w:tc>
          <w:tcPr>
            <w:tcW w:w="628" w:type="dxa"/>
            <w:tcBorders>
              <w:tl2br w:val="nil"/>
              <w:tr2bl w:val="nil"/>
            </w:tcBorders>
            <w:noWrap w:val="0"/>
            <w:vAlign w:val="center"/>
          </w:tcPr>
          <w:p w14:paraId="6CD0497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6</w:t>
            </w:r>
          </w:p>
        </w:tc>
        <w:tc>
          <w:tcPr>
            <w:tcW w:w="1004" w:type="dxa"/>
            <w:vMerge w:val="continue"/>
            <w:tcBorders>
              <w:tl2br w:val="nil"/>
              <w:tr2bl w:val="nil"/>
            </w:tcBorders>
            <w:noWrap w:val="0"/>
            <w:vAlign w:val="center"/>
          </w:tcPr>
          <w:p w14:paraId="67E01EA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1004" w:type="dxa"/>
            <w:vMerge w:val="continue"/>
            <w:tcBorders>
              <w:tl2br w:val="nil"/>
              <w:tr2bl w:val="nil"/>
            </w:tcBorders>
            <w:noWrap w:val="0"/>
            <w:vAlign w:val="center"/>
          </w:tcPr>
          <w:p w14:paraId="7DF39BC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5" w:type="dxa"/>
            <w:vMerge w:val="continue"/>
            <w:tcBorders>
              <w:tl2br w:val="nil"/>
              <w:tr2bl w:val="nil"/>
            </w:tcBorders>
            <w:noWrap w:val="0"/>
            <w:vAlign w:val="center"/>
          </w:tcPr>
          <w:p w14:paraId="17BAF7A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c>
          <w:tcPr>
            <w:tcW w:w="856" w:type="dxa"/>
            <w:vMerge w:val="continue"/>
            <w:tcBorders>
              <w:tl2br w:val="nil"/>
              <w:tr2bl w:val="nil"/>
            </w:tcBorders>
            <w:noWrap w:val="0"/>
            <w:vAlign w:val="center"/>
          </w:tcPr>
          <w:p w14:paraId="7BD0C45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highlight w:val="none"/>
              </w:rPr>
            </w:pPr>
          </w:p>
        </w:tc>
      </w:tr>
      <w:tr w14:paraId="29A10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1DD13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2,4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178410E1">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52A4E1A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0.666</w:t>
            </w:r>
          </w:p>
        </w:tc>
        <w:tc>
          <w:tcPr>
            <w:tcW w:w="628" w:type="dxa"/>
            <w:tcBorders>
              <w:tl2br w:val="nil"/>
              <w:tr2bl w:val="nil"/>
            </w:tcBorders>
            <w:noWrap w:val="0"/>
            <w:vAlign w:val="center"/>
          </w:tcPr>
          <w:p w14:paraId="7B5779B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0.664</w:t>
            </w:r>
          </w:p>
        </w:tc>
        <w:tc>
          <w:tcPr>
            <w:tcW w:w="628" w:type="dxa"/>
            <w:tcBorders>
              <w:tl2br w:val="nil"/>
              <w:tr2bl w:val="nil"/>
            </w:tcBorders>
            <w:noWrap w:val="0"/>
            <w:vAlign w:val="center"/>
          </w:tcPr>
          <w:p w14:paraId="6446CDB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0.662</w:t>
            </w:r>
          </w:p>
        </w:tc>
        <w:tc>
          <w:tcPr>
            <w:tcW w:w="628" w:type="dxa"/>
            <w:tcBorders>
              <w:tl2br w:val="nil"/>
              <w:tr2bl w:val="nil"/>
            </w:tcBorders>
            <w:noWrap w:val="0"/>
            <w:vAlign w:val="center"/>
          </w:tcPr>
          <w:p w14:paraId="067D70E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0.637</w:t>
            </w:r>
          </w:p>
        </w:tc>
        <w:tc>
          <w:tcPr>
            <w:tcW w:w="628" w:type="dxa"/>
            <w:tcBorders>
              <w:tl2br w:val="nil"/>
              <w:tr2bl w:val="nil"/>
            </w:tcBorders>
            <w:noWrap w:val="0"/>
            <w:vAlign w:val="center"/>
          </w:tcPr>
          <w:p w14:paraId="41C1E17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0.637</w:t>
            </w:r>
          </w:p>
        </w:tc>
        <w:tc>
          <w:tcPr>
            <w:tcW w:w="628" w:type="dxa"/>
            <w:tcBorders>
              <w:tl2br w:val="nil"/>
              <w:tr2bl w:val="nil"/>
            </w:tcBorders>
            <w:noWrap w:val="0"/>
            <w:vAlign w:val="center"/>
          </w:tcPr>
          <w:p w14:paraId="50053DE4">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0.626</w:t>
            </w:r>
          </w:p>
        </w:tc>
        <w:tc>
          <w:tcPr>
            <w:tcW w:w="1004" w:type="dxa"/>
            <w:tcBorders>
              <w:tl2br w:val="nil"/>
              <w:tr2bl w:val="nil"/>
            </w:tcBorders>
            <w:noWrap w:val="0"/>
            <w:vAlign w:val="center"/>
          </w:tcPr>
          <w:p w14:paraId="58DC4BFA">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0.649</w:t>
            </w:r>
          </w:p>
        </w:tc>
        <w:tc>
          <w:tcPr>
            <w:tcW w:w="1004" w:type="dxa"/>
            <w:tcBorders>
              <w:tl2br w:val="nil"/>
              <w:tr2bl w:val="nil"/>
            </w:tcBorders>
            <w:noWrap w:val="0"/>
            <w:vAlign w:val="center"/>
          </w:tcPr>
          <w:p w14:paraId="02731B2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0.0173</w:t>
            </w:r>
          </w:p>
        </w:tc>
        <w:tc>
          <w:tcPr>
            <w:tcW w:w="855" w:type="dxa"/>
            <w:tcBorders>
              <w:tl2br w:val="nil"/>
              <w:tr2bl w:val="nil"/>
            </w:tcBorders>
            <w:noWrap w:val="0"/>
            <w:vAlign w:val="center"/>
          </w:tcPr>
          <w:p w14:paraId="68F559A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2.7</w:t>
            </w:r>
          </w:p>
        </w:tc>
        <w:tc>
          <w:tcPr>
            <w:tcW w:w="856" w:type="dxa"/>
            <w:tcBorders>
              <w:tl2br w:val="nil"/>
              <w:tr2bl w:val="nil"/>
            </w:tcBorders>
            <w:noWrap w:val="0"/>
            <w:vAlign w:val="center"/>
          </w:tcPr>
          <w:p w14:paraId="58EB5172">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92.7</w:t>
            </w:r>
          </w:p>
        </w:tc>
      </w:tr>
      <w:tr w14:paraId="4CBC6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92" w:type="dxa"/>
            <w:tcBorders>
              <w:tl2br w:val="nil"/>
              <w:tr2bl w:val="nil"/>
            </w:tcBorders>
            <w:shd w:val="clear" w:color="auto" w:fill="auto"/>
            <w:noWrap w:val="0"/>
            <w:vAlign w:val="center"/>
          </w:tcPr>
          <w:p w14:paraId="23E09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Songti SC" w:cs="Times New Roman"/>
                <w:kern w:val="2"/>
                <w:sz w:val="18"/>
                <w:szCs w:val="24"/>
                <w:vertAlign w:val="baseline"/>
                <w:lang w:val="en-US" w:eastAsia="zh-CN" w:bidi="ar-SA"/>
              </w:rPr>
            </w:pPr>
            <w:r>
              <w:rPr>
                <w:rFonts w:hint="default" w:ascii="Times New Roman" w:hAnsi="Times New Roman" w:cs="Times New Roman" w:eastAsiaTheme="minorEastAsia"/>
                <w:color w:val="000000"/>
                <w:kern w:val="0"/>
                <w:sz w:val="18"/>
                <w:szCs w:val="18"/>
                <w:highlight w:val="none"/>
                <w:vertAlign w:val="baseline"/>
                <w:lang w:val="en-US" w:eastAsia="zh-CN" w:bidi="ar"/>
              </w:rPr>
              <w:t>4,4</w:t>
            </w:r>
            <w:r>
              <w:rPr>
                <w:rFonts w:hint="default" w:cs="Times New Roman" w:eastAsiaTheme="minorEastAsia"/>
                <w:color w:val="000000"/>
                <w:kern w:val="0"/>
                <w:sz w:val="18"/>
                <w:szCs w:val="18"/>
                <w:highlight w:val="none"/>
                <w:vertAlign w:val="baseline"/>
                <w:lang w:val="en-US" w:eastAsia="zh-CN" w:bidi="ar"/>
              </w:rPr>
              <w:t>’</w:t>
            </w:r>
            <w:r>
              <w:rPr>
                <w:rFonts w:hint="default" w:ascii="Times New Roman" w:hAnsi="Times New Roman" w:cs="Times New Roman" w:eastAsiaTheme="minorEastAsia"/>
                <w:color w:val="000000"/>
                <w:kern w:val="0"/>
                <w:sz w:val="18"/>
                <w:szCs w:val="18"/>
                <w:highlight w:val="none"/>
                <w:vertAlign w:val="baseline"/>
                <w:lang w:val="en-US" w:eastAsia="zh-CN" w:bidi="ar"/>
              </w:rPr>
              <w:t>-三氯杀螨醇</w:t>
            </w:r>
          </w:p>
        </w:tc>
        <w:tc>
          <w:tcPr>
            <w:tcW w:w="1049" w:type="dxa"/>
            <w:tcBorders>
              <w:tl2br w:val="nil"/>
              <w:tr2bl w:val="nil"/>
            </w:tcBorders>
            <w:noWrap w:val="0"/>
            <w:vAlign w:val="center"/>
          </w:tcPr>
          <w:p w14:paraId="60F9EB63">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628" w:type="dxa"/>
            <w:tcBorders>
              <w:tl2br w:val="nil"/>
              <w:tr2bl w:val="nil"/>
            </w:tcBorders>
            <w:noWrap w:val="0"/>
            <w:vAlign w:val="center"/>
          </w:tcPr>
          <w:p w14:paraId="7EE299D6">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0.688</w:t>
            </w:r>
          </w:p>
        </w:tc>
        <w:tc>
          <w:tcPr>
            <w:tcW w:w="628" w:type="dxa"/>
            <w:tcBorders>
              <w:tl2br w:val="nil"/>
              <w:tr2bl w:val="nil"/>
            </w:tcBorders>
            <w:noWrap w:val="0"/>
            <w:vAlign w:val="center"/>
          </w:tcPr>
          <w:p w14:paraId="753D1BAF">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0.690</w:t>
            </w:r>
          </w:p>
        </w:tc>
        <w:tc>
          <w:tcPr>
            <w:tcW w:w="628" w:type="dxa"/>
            <w:tcBorders>
              <w:tl2br w:val="nil"/>
              <w:tr2bl w:val="nil"/>
            </w:tcBorders>
            <w:noWrap w:val="0"/>
            <w:vAlign w:val="center"/>
          </w:tcPr>
          <w:p w14:paraId="169630B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0.689</w:t>
            </w:r>
          </w:p>
        </w:tc>
        <w:tc>
          <w:tcPr>
            <w:tcW w:w="628" w:type="dxa"/>
            <w:tcBorders>
              <w:tl2br w:val="nil"/>
              <w:tr2bl w:val="nil"/>
            </w:tcBorders>
            <w:noWrap w:val="0"/>
            <w:vAlign w:val="center"/>
          </w:tcPr>
          <w:p w14:paraId="1896C278">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0.658</w:t>
            </w:r>
          </w:p>
        </w:tc>
        <w:tc>
          <w:tcPr>
            <w:tcW w:w="628" w:type="dxa"/>
            <w:tcBorders>
              <w:tl2br w:val="nil"/>
              <w:tr2bl w:val="nil"/>
            </w:tcBorders>
            <w:noWrap w:val="0"/>
            <w:vAlign w:val="center"/>
          </w:tcPr>
          <w:p w14:paraId="3C89895B">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0.657</w:t>
            </w:r>
          </w:p>
        </w:tc>
        <w:tc>
          <w:tcPr>
            <w:tcW w:w="628" w:type="dxa"/>
            <w:tcBorders>
              <w:tl2br w:val="nil"/>
              <w:tr2bl w:val="nil"/>
            </w:tcBorders>
            <w:noWrap w:val="0"/>
            <w:vAlign w:val="center"/>
          </w:tcPr>
          <w:p w14:paraId="695936EC">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0.657</w:t>
            </w:r>
          </w:p>
        </w:tc>
        <w:tc>
          <w:tcPr>
            <w:tcW w:w="1004" w:type="dxa"/>
            <w:tcBorders>
              <w:tl2br w:val="nil"/>
              <w:tr2bl w:val="nil"/>
            </w:tcBorders>
            <w:noWrap w:val="0"/>
            <w:vAlign w:val="center"/>
          </w:tcPr>
          <w:p w14:paraId="749E954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0.673</w:t>
            </w:r>
          </w:p>
        </w:tc>
        <w:tc>
          <w:tcPr>
            <w:tcW w:w="1004" w:type="dxa"/>
            <w:tcBorders>
              <w:tl2br w:val="nil"/>
              <w:tr2bl w:val="nil"/>
            </w:tcBorders>
            <w:noWrap w:val="0"/>
            <w:vAlign w:val="center"/>
          </w:tcPr>
          <w:p w14:paraId="56DD017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0.0176</w:t>
            </w:r>
          </w:p>
        </w:tc>
        <w:tc>
          <w:tcPr>
            <w:tcW w:w="855" w:type="dxa"/>
            <w:tcBorders>
              <w:tl2br w:val="nil"/>
              <w:tr2bl w:val="nil"/>
            </w:tcBorders>
            <w:noWrap w:val="0"/>
            <w:vAlign w:val="center"/>
          </w:tcPr>
          <w:p w14:paraId="35F52CEE">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2.6</w:t>
            </w:r>
          </w:p>
        </w:tc>
        <w:tc>
          <w:tcPr>
            <w:tcW w:w="856" w:type="dxa"/>
            <w:tcBorders>
              <w:tl2br w:val="nil"/>
              <w:tr2bl w:val="nil"/>
            </w:tcBorders>
            <w:noWrap w:val="0"/>
            <w:vAlign w:val="center"/>
          </w:tcPr>
          <w:p w14:paraId="47A2CA60">
            <w:pPr>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96.1</w:t>
            </w:r>
          </w:p>
        </w:tc>
      </w:tr>
      <w:tr w14:paraId="66F78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028" w:type="dxa"/>
            <w:gridSpan w:val="12"/>
            <w:tcBorders>
              <w:tl2br w:val="nil"/>
              <w:tr2bl w:val="nil"/>
            </w:tcBorders>
            <w:shd w:val="clear" w:color="auto" w:fill="auto"/>
            <w:noWrap w:val="0"/>
            <w:vAlign w:val="center"/>
          </w:tcPr>
          <w:p w14:paraId="34F50321">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tc>
      </w:tr>
    </w:tbl>
    <w:p w14:paraId="10A692B6">
      <w:pPr>
        <w:pStyle w:val="3"/>
        <w:bidi w:val="0"/>
        <w:rPr>
          <w:rFonts w:hint="default" w:ascii="Times New Roman" w:hAnsi="Times New Roman" w:cs="Times New Roman"/>
          <w:lang w:val="en-US" w:eastAsia="zh-CN"/>
        </w:rPr>
      </w:pPr>
      <w:bookmarkStart w:id="98" w:name="_Toc7580"/>
      <w:bookmarkStart w:id="99" w:name="_Toc5394"/>
      <w:bookmarkStart w:id="100" w:name="_Toc4738"/>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质量保证和质量控制</w:t>
      </w:r>
      <w:bookmarkEnd w:id="98"/>
      <w:bookmarkEnd w:id="99"/>
      <w:bookmarkEnd w:id="100"/>
    </w:p>
    <w:p w14:paraId="28D04002">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.1  空白试验</w:t>
      </w:r>
    </w:p>
    <w:p w14:paraId="0959A357">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每20个样品或每批次（</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20个样品/批）至少做一个空白</w:t>
      </w:r>
      <w:r>
        <w:rPr>
          <w:rFonts w:hint="default" w:ascii="Times New Roman" w:hAnsi="Times New Roman" w:cs="Times New Roman"/>
          <w:color w:val="000000"/>
          <w:szCs w:val="21"/>
          <w:highlight w:val="none"/>
          <w:lang w:eastAsia="zh-CN"/>
        </w:rPr>
        <w:t>样品</w:t>
      </w:r>
      <w:r>
        <w:rPr>
          <w:rFonts w:hint="default" w:ascii="Times New Roman" w:hAnsi="Times New Roman" w:cs="Times New Roman"/>
          <w:color w:val="000000"/>
          <w:szCs w:val="21"/>
          <w:highlight w:val="none"/>
        </w:rPr>
        <w:t>，测定结果中目标物浓度应低于方法检出限。</w:t>
      </w:r>
    </w:p>
    <w:p w14:paraId="22889E6F">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.2  校准</w:t>
      </w:r>
    </w:p>
    <w:p w14:paraId="7B8740C9">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参考HJ 168-2020的要求，标准系列至少配制</w:t>
      </w:r>
      <w:r>
        <w:rPr>
          <w:rFonts w:hint="default" w:ascii="Times New Roman" w:hAnsi="Times New Roman" w:cs="Times New Roman"/>
          <w:color w:val="000000"/>
          <w:szCs w:val="21"/>
          <w:highlight w:val="none"/>
          <w:lang w:val="en-US" w:eastAsia="zh-CN"/>
        </w:rPr>
        <w:t>5</w:t>
      </w:r>
      <w:r>
        <w:rPr>
          <w:rFonts w:hint="default" w:ascii="Times New Roman" w:hAnsi="Times New Roman" w:cs="Times New Roman"/>
          <w:color w:val="000000"/>
          <w:szCs w:val="21"/>
          <w:highlight w:val="none"/>
        </w:rPr>
        <w:t>个校准点，由于6家实验室的目标物相对响应因子（RRF）的RSD最大为1</w:t>
      </w:r>
      <w:r>
        <w:rPr>
          <w:rFonts w:hint="eastAsia" w:cs="Times New Roman"/>
          <w:color w:val="000000"/>
          <w:szCs w:val="21"/>
          <w:highlight w:val="none"/>
          <w:lang w:val="en-US" w:eastAsia="zh-CN"/>
        </w:rPr>
        <w:t>6.2</w:t>
      </w:r>
      <w:r>
        <w:rPr>
          <w:rFonts w:hint="default" w:ascii="Times New Roman" w:hAnsi="Times New Roman" w:cs="Times New Roman"/>
          <w:color w:val="000000"/>
          <w:szCs w:val="21"/>
          <w:highlight w:val="none"/>
        </w:rPr>
        <w:t>%，相关系数只能达到</w:t>
      </w:r>
      <w:r>
        <w:rPr>
          <w:rFonts w:hint="default" w:ascii="Times New Roman" w:hAnsi="Times New Roman" w:cs="Times New Roman"/>
          <w:i/>
          <w:iCs/>
          <w:color w:val="000000"/>
          <w:szCs w:val="21"/>
          <w:highlight w:val="none"/>
        </w:rPr>
        <w:t>r</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szCs w:val="21"/>
          <w:highlight w:val="none"/>
        </w:rPr>
        <w:t>0.995，因此规定：目标化合物相对响应因子（RRF）的RSD</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20</w:t>
      </w:r>
      <w:r>
        <w:rPr>
          <w:rFonts w:hint="default" w:ascii="Times New Roman" w:hAnsi="Times New Roman" w:cs="Times New Roman"/>
          <w:color w:val="000000"/>
          <w:szCs w:val="21"/>
          <w:highlight w:val="none"/>
        </w:rPr>
        <w:t>%，或者标准曲线相关系数</w:t>
      </w:r>
      <w:r>
        <w:rPr>
          <w:rFonts w:hint="default" w:ascii="Times New Roman" w:hAnsi="Times New Roman" w:cs="Times New Roman"/>
          <w:i/>
          <w:iCs/>
          <w:color w:val="000000"/>
          <w:szCs w:val="21"/>
          <w:highlight w:val="none"/>
        </w:rPr>
        <w:t>r</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szCs w:val="21"/>
          <w:highlight w:val="none"/>
        </w:rPr>
        <w:t>0.995。</w:t>
      </w:r>
    </w:p>
    <w:p w14:paraId="00AAC148">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由于</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家实验室标准曲线中间浓度点，其测定结果相对误差最大为1</w:t>
      </w:r>
      <w:r>
        <w:rPr>
          <w:rFonts w:hint="eastAsia" w:cs="Times New Roman"/>
          <w:color w:val="000000"/>
          <w:szCs w:val="21"/>
          <w:highlight w:val="none"/>
          <w:lang w:val="en-US" w:eastAsia="zh-CN"/>
        </w:rPr>
        <w:t>0.0</w:t>
      </w:r>
      <w:r>
        <w:rPr>
          <w:rFonts w:hint="default" w:ascii="Times New Roman" w:hAnsi="Times New Roman" w:cs="Times New Roman"/>
          <w:color w:val="000000"/>
          <w:szCs w:val="21"/>
          <w:highlight w:val="none"/>
        </w:rPr>
        <w:t>%，故规定每20个样品或每批次（</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20个样品/批）应测定1个标准曲线中间浓度点，其测定结果</w:t>
      </w:r>
      <w:r>
        <w:rPr>
          <w:rFonts w:hint="default"/>
          <w:lang w:eastAsia="zh-CN"/>
        </w:rPr>
        <w:t>与</w:t>
      </w:r>
      <w:r>
        <w:rPr>
          <w:rFonts w:hint="eastAsia"/>
          <w:lang w:val="en-US" w:eastAsia="zh-CN"/>
        </w:rPr>
        <w:t>理论</w:t>
      </w:r>
      <w:r>
        <w:rPr>
          <w:rFonts w:hint="default"/>
          <w:lang w:eastAsia="zh-CN"/>
        </w:rPr>
        <w:t>浓度值</w:t>
      </w:r>
      <w:r>
        <w:rPr>
          <w:rFonts w:hint="default" w:ascii="Times New Roman" w:hAnsi="Times New Roman" w:cs="Times New Roman"/>
          <w:color w:val="000000"/>
          <w:szCs w:val="21"/>
          <w:highlight w:val="none"/>
        </w:rPr>
        <w:t>相对误差应</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2</w:t>
      </w:r>
      <w:r>
        <w:rPr>
          <w:rFonts w:hint="default" w:ascii="Times New Roman" w:hAnsi="Times New Roman" w:cs="Times New Roman"/>
          <w:color w:val="000000"/>
          <w:szCs w:val="21"/>
          <w:highlight w:val="none"/>
        </w:rPr>
        <w:t>0%。</w:t>
      </w:r>
    </w:p>
    <w:p w14:paraId="0A0AFD4D">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.3  内标</w:t>
      </w:r>
    </w:p>
    <w:p w14:paraId="7A9D6710">
      <w:pPr>
        <w:rPr>
          <w:rFonts w:hint="default" w:ascii="Times New Roman" w:hAnsi="Times New Roman" w:cs="Times New Roman"/>
          <w:szCs w:val="21"/>
        </w:rPr>
      </w:pPr>
      <w:r>
        <w:rPr>
          <w:rFonts w:hint="default" w:ascii="Times New Roman" w:hAnsi="Times New Roman" w:cs="Times New Roman"/>
          <w:szCs w:val="21"/>
          <w:lang w:eastAsia="zh-CN"/>
        </w:rPr>
        <w:t>连续校准时，内标与校准曲线中间点内标的保留时间变化不超过</w:t>
      </w:r>
      <w:r>
        <w:rPr>
          <w:rFonts w:hint="default" w:ascii="Times New Roman" w:hAnsi="Times New Roman" w:cs="Times New Roman"/>
          <w:szCs w:val="21"/>
          <w:lang w:val="en-US" w:eastAsia="zh-CN"/>
        </w:rPr>
        <w:t>10 s，定量离子峰面积在50%~200%之间</w:t>
      </w:r>
      <w:r>
        <w:rPr>
          <w:rFonts w:hint="default" w:ascii="Times New Roman" w:hAnsi="Times New Roman" w:cs="Times New Roman"/>
          <w:szCs w:val="21"/>
        </w:rPr>
        <w:t>。</w:t>
      </w:r>
    </w:p>
    <w:p w14:paraId="62BA5F45">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.4  平行样</w:t>
      </w:r>
    </w:p>
    <w:p w14:paraId="7F15047A">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家实验室内各目标物相对标准偏差范围为0.</w:t>
      </w:r>
      <w:r>
        <w:rPr>
          <w:rFonts w:hint="eastAsia" w:cs="Times New Roman"/>
          <w:color w:val="000000"/>
          <w:szCs w:val="21"/>
          <w:highlight w:val="none"/>
          <w:lang w:val="en-US" w:eastAsia="zh-CN"/>
        </w:rPr>
        <w:t>9</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9.5</w:t>
      </w:r>
      <w:r>
        <w:rPr>
          <w:rFonts w:hint="default" w:ascii="Times New Roman" w:hAnsi="Times New Roman" w:cs="Times New Roman"/>
          <w:color w:val="000000"/>
          <w:szCs w:val="21"/>
          <w:highlight w:val="none"/>
        </w:rPr>
        <w:t>%，参照《化学分析方法验证确认和内部质量控制要求》（GB/T 32465-2015）的要求，因此规定：每20个样品或每批次（</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20个样品/批）应至少测定1个平行样，平行样的相对偏差应</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2</w:t>
      </w:r>
      <w:r>
        <w:rPr>
          <w:rFonts w:hint="eastAsia" w:cs="Times New Roman"/>
          <w:color w:val="000000"/>
          <w:szCs w:val="21"/>
          <w:highlight w:val="none"/>
          <w:lang w:val="en-US" w:eastAsia="zh-CN"/>
        </w:rPr>
        <w:t>0</w:t>
      </w:r>
      <w:r>
        <w:rPr>
          <w:rFonts w:hint="default" w:ascii="Times New Roman" w:hAnsi="Times New Roman" w:cs="Times New Roman"/>
          <w:color w:val="000000"/>
          <w:szCs w:val="21"/>
          <w:highlight w:val="none"/>
        </w:rPr>
        <w:t>%。</w:t>
      </w:r>
    </w:p>
    <w:p w14:paraId="12249A7A">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.5  基体加标</w:t>
      </w:r>
    </w:p>
    <w:p w14:paraId="0F2C6EF9">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家实验室内各目标物加标回收率范围为</w:t>
      </w:r>
      <w:r>
        <w:rPr>
          <w:rFonts w:hint="eastAsia" w:cs="Times New Roman"/>
          <w:color w:val="000000"/>
          <w:szCs w:val="21"/>
          <w:highlight w:val="none"/>
          <w:lang w:val="en-US" w:eastAsia="zh-CN"/>
        </w:rPr>
        <w:t>58.0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1</w:t>
      </w:r>
      <w:r>
        <w:rPr>
          <w:rFonts w:hint="eastAsia" w:cs="Times New Roman"/>
          <w:color w:val="000000"/>
          <w:szCs w:val="21"/>
          <w:highlight w:val="none"/>
          <w:lang w:val="en-US" w:eastAsia="zh-CN"/>
        </w:rPr>
        <w:t>13</w:t>
      </w:r>
      <w:r>
        <w:rPr>
          <w:rFonts w:hint="default" w:ascii="Times New Roman" w:hAnsi="Times New Roman" w:cs="Times New Roman"/>
          <w:color w:val="000000"/>
          <w:szCs w:val="21"/>
          <w:highlight w:val="none"/>
        </w:rPr>
        <w:t>%，参照《化学分析方法验证确认和内部质量控制要求》（GB/T 32465-2015）的要求，因此规定：每20个样品或每批次（</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20个样品/批）应至少测定1个基体加标样，基体加标回收率范围应在</w:t>
      </w:r>
      <w:r>
        <w:rPr>
          <w:rFonts w:hint="eastAsia" w:cs="Times New Roman"/>
          <w:color w:val="000000"/>
          <w:szCs w:val="21"/>
          <w:highlight w:val="none"/>
          <w:lang w:val="en-US" w:eastAsia="zh-CN"/>
        </w:rPr>
        <w:t>5</w:t>
      </w:r>
      <w:r>
        <w:rPr>
          <w:rFonts w:hint="default" w:ascii="Times New Roman" w:hAnsi="Times New Roman" w:cs="Times New Roman"/>
          <w:color w:val="000000"/>
          <w:szCs w:val="21"/>
          <w:highlight w:val="none"/>
        </w:rPr>
        <w:t>0%</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130%。</w:t>
      </w:r>
    </w:p>
    <w:p w14:paraId="320CE45C">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6.1</w:t>
      </w:r>
      <w:r>
        <w:rPr>
          <w:rFonts w:hint="eastAsia" w:ascii="Times New Roman" w:hAnsi="Times New Roman" w:cs="Times New Roman"/>
          <w:lang w:val="en-US" w:eastAsia="zh-CN"/>
        </w:rPr>
        <w:t>3</w:t>
      </w:r>
      <w:r>
        <w:rPr>
          <w:rFonts w:hint="default" w:ascii="Times New Roman" w:hAnsi="Times New Roman" w:cs="Times New Roman"/>
          <w:lang w:val="en-US" w:eastAsia="zh-CN"/>
        </w:rPr>
        <w:t>.6  替代物加标</w:t>
      </w:r>
    </w:p>
    <w:p w14:paraId="4EEF0E12">
      <w:pPr>
        <w:rPr>
          <w:rFonts w:hint="default" w:ascii="Times New Roman" w:hAnsi="Times New Roman" w:cs="Times New Roman"/>
          <w:szCs w:val="20"/>
          <w:lang w:eastAsia="zh-CN"/>
        </w:rPr>
      </w:pPr>
      <w:r>
        <w:rPr>
          <w:rFonts w:hint="default" w:ascii="Times New Roman" w:hAnsi="Times New Roman" w:cs="Times New Roman"/>
          <w:szCs w:val="20"/>
          <w:lang w:eastAsia="zh-CN"/>
        </w:rPr>
        <w:t>实验室应建立替代物加标回收率控制图，按同一批样品（</w:t>
      </w:r>
      <w:r>
        <w:rPr>
          <w:rFonts w:hint="default" w:ascii="Times New Roman" w:hAnsi="Times New Roman" w:cs="Times New Roman"/>
          <w:szCs w:val="20"/>
          <w:lang w:val="en-US" w:eastAsia="zh-CN"/>
        </w:rPr>
        <w:t>20~30个样品</w:t>
      </w:r>
      <w:r>
        <w:rPr>
          <w:rFonts w:hint="default" w:ascii="Times New Roman" w:hAnsi="Times New Roman" w:cs="Times New Roman"/>
          <w:szCs w:val="20"/>
          <w:lang w:eastAsia="zh-CN"/>
        </w:rPr>
        <w:t>）进行统计，删除离群值，计算替代物的平均回收率</w:t>
      </w:r>
      <w:r>
        <w:rPr>
          <w:rFonts w:hint="default" w:ascii="Times New Roman" w:hAnsi="Times New Roman" w:cs="Times New Roman"/>
          <w:color w:val="000000"/>
          <w:position w:val="-4"/>
          <w:szCs w:val="20"/>
        </w:rPr>
        <w:object>
          <v:shape id="_x0000_i1117" o:spt="75" type="#_x0000_t75" style="height:16pt;width:12pt;" o:ole="t" filled="f" o:preferrelative="t" stroked="f" coordsize="21600,21600">
            <v:path/>
            <v:fill on="f" focussize="0,0"/>
            <v:stroke on="f"/>
            <v:imagedata r:id="rId158" o:title=""/>
            <o:lock v:ext="edit" aspectratio="t"/>
            <w10:wrap type="none"/>
            <w10:anchorlock/>
          </v:shape>
          <o:OLEObject Type="Embed" ProgID="Equation.KSEE3" ShapeID="_x0000_i1117" DrawAspect="Content" ObjectID="_1468075805" r:id="rId157">
            <o:LockedField>false</o:LockedField>
          </o:OLEObject>
        </w:object>
      </w:r>
      <w:r>
        <w:rPr>
          <w:rFonts w:hint="default" w:ascii="Times New Roman" w:hAnsi="Times New Roman" w:cs="Times New Roman"/>
          <w:szCs w:val="20"/>
          <w:lang w:eastAsia="zh-CN"/>
        </w:rPr>
        <w:t>及标准偏差</w:t>
      </w:r>
      <w:r>
        <w:rPr>
          <w:rFonts w:hint="default" w:ascii="Times New Roman" w:hAnsi="Times New Roman" w:cs="Times New Roman"/>
          <w:color w:val="000000"/>
          <w:position w:val="-14"/>
          <w:szCs w:val="20"/>
        </w:rPr>
        <w:object>
          <v:shape id="_x0000_i1118" o:spt="75" type="#_x0000_t75" style="height:19pt;width:15pt;" o:ole="t" filled="f" o:preferrelative="t" stroked="f" coordsize="21600,21600">
            <v:path/>
            <v:fill on="f" focussize="0,0"/>
            <v:stroke on="f"/>
            <v:imagedata r:id="rId160" o:title=""/>
            <o:lock v:ext="edit" aspectratio="t"/>
            <w10:wrap type="none"/>
            <w10:anchorlock/>
          </v:shape>
          <o:OLEObject Type="Embed" ProgID="Equation.KSEE3" ShapeID="_x0000_i1118" DrawAspect="Content" ObjectID="_1468075806" r:id="rId159">
            <o:LockedField>false</o:LockedField>
          </o:OLEObject>
        </w:object>
      </w:r>
      <w:r>
        <w:rPr>
          <w:rFonts w:hint="default" w:ascii="Times New Roman" w:hAnsi="Times New Roman" w:cs="Times New Roman"/>
          <w:szCs w:val="20"/>
          <w:lang w:eastAsia="zh-CN"/>
        </w:rPr>
        <w:t>，替代物回收率应控制在</w:t>
      </w:r>
      <w:r>
        <w:rPr>
          <w:rFonts w:hint="default" w:ascii="Times New Roman" w:hAnsi="Times New Roman" w:cs="Times New Roman"/>
          <w:color w:val="000000"/>
          <w:position w:val="-14"/>
          <w:szCs w:val="20"/>
        </w:rPr>
        <w:object>
          <v:shape id="_x0000_i1119" o:spt="75" type="#_x0000_t75" style="height:21pt;width:40pt;" o:ole="t" filled="f" o:preferrelative="t" stroked="f" coordsize="21600,21600">
            <v:path/>
            <v:fill on="f" focussize="0,0"/>
            <v:stroke on="f"/>
            <v:imagedata r:id="rId162" o:title=""/>
            <o:lock v:ext="edit" aspectratio="t"/>
            <w10:wrap type="none"/>
            <w10:anchorlock/>
          </v:shape>
          <o:OLEObject Type="Embed" ProgID="Equation.KSEE3" ShapeID="_x0000_i1119" DrawAspect="Content" ObjectID="_1468075807" r:id="rId161">
            <o:LockedField>false</o:LockedField>
          </o:OLEObject>
        </w:object>
      </w:r>
      <w:r>
        <w:rPr>
          <w:rFonts w:hint="default" w:ascii="Times New Roman" w:hAnsi="Times New Roman" w:cs="Times New Roman"/>
          <w:szCs w:val="20"/>
          <w:lang w:eastAsia="zh-CN"/>
        </w:rPr>
        <w:t>。</w:t>
      </w:r>
    </w:p>
    <w:p w14:paraId="1E169548">
      <w:pPr>
        <w:pStyle w:val="2"/>
        <w:bidi w:val="0"/>
        <w:rPr>
          <w:rFonts w:hint="default" w:ascii="Times New Roman" w:hAnsi="Times New Roman" w:cs="Times New Roman"/>
          <w:lang w:val="en-US" w:eastAsia="zh-CN"/>
        </w:rPr>
      </w:pPr>
      <w:bookmarkStart w:id="101" w:name="_Toc15918"/>
      <w:bookmarkStart w:id="102" w:name="_Toc30193"/>
      <w:bookmarkStart w:id="103" w:name="_Toc32625"/>
      <w:r>
        <w:rPr>
          <w:rFonts w:hint="default" w:ascii="Times New Roman" w:hAnsi="Times New Roman" w:cs="Times New Roman"/>
          <w:lang w:val="en-US" w:eastAsia="zh-CN"/>
        </w:rPr>
        <w:t>7  方法验证</w:t>
      </w:r>
      <w:bookmarkEnd w:id="101"/>
      <w:bookmarkEnd w:id="102"/>
      <w:bookmarkEnd w:id="103"/>
    </w:p>
    <w:p w14:paraId="2A1661EA">
      <w:pPr>
        <w:pStyle w:val="3"/>
        <w:bidi w:val="0"/>
        <w:rPr>
          <w:rFonts w:hint="default" w:ascii="Times New Roman" w:hAnsi="Times New Roman" w:cs="Times New Roman"/>
          <w:lang w:val="en-US" w:eastAsia="zh-CN"/>
        </w:rPr>
      </w:pPr>
      <w:bookmarkStart w:id="104" w:name="_Toc13707"/>
      <w:bookmarkStart w:id="105" w:name="_Toc4649"/>
      <w:bookmarkStart w:id="106" w:name="_Toc7330"/>
      <w:r>
        <w:rPr>
          <w:rFonts w:hint="default" w:ascii="Times New Roman" w:hAnsi="Times New Roman" w:cs="Times New Roman"/>
          <w:lang w:val="en-US" w:eastAsia="zh-CN"/>
        </w:rPr>
        <w:t>7.1  方法验证方案</w:t>
      </w:r>
      <w:bookmarkEnd w:id="104"/>
      <w:bookmarkEnd w:id="105"/>
      <w:bookmarkEnd w:id="106"/>
    </w:p>
    <w:p w14:paraId="287AD623">
      <w:pPr>
        <w:pStyle w:val="4"/>
        <w:bidi w:val="0"/>
        <w:rPr>
          <w:rFonts w:hint="default" w:ascii="Times New Roman" w:hAnsi="Times New Roman" w:eastAsia="黑体" w:cs="Times New Roman"/>
          <w:b w:val="0"/>
          <w:bCs w:val="0"/>
          <w:color w:val="000000"/>
          <w:sz w:val="21"/>
          <w:szCs w:val="21"/>
          <w:highlight w:val="none"/>
        </w:rPr>
      </w:pPr>
      <w:r>
        <w:rPr>
          <w:rFonts w:hint="default" w:ascii="Times New Roman" w:hAnsi="Times New Roman" w:cs="Times New Roman"/>
          <w:lang w:val="en-US" w:eastAsia="zh-CN"/>
        </w:rPr>
        <w:t xml:space="preserve">7.1.1  </w:t>
      </w:r>
      <w:r>
        <w:rPr>
          <w:rFonts w:hint="default" w:ascii="Times New Roman" w:hAnsi="Times New Roman" w:eastAsia="黑体" w:cs="Times New Roman"/>
          <w:b w:val="0"/>
          <w:bCs w:val="0"/>
          <w:color w:val="000000"/>
          <w:sz w:val="21"/>
          <w:szCs w:val="21"/>
          <w:highlight w:val="none"/>
        </w:rPr>
        <w:t>验证单位及验证人员情况</w:t>
      </w:r>
    </w:p>
    <w:p w14:paraId="7FF4CE85">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本标准按照</w:t>
      </w:r>
      <w:r>
        <w:rPr>
          <w:rFonts w:hint="default" w:ascii="Times New Roman" w:hAnsi="Times New Roman" w:cs="Times New Roman"/>
          <w:color w:val="000000"/>
          <w:highlight w:val="none"/>
        </w:rPr>
        <w:t>《环境监测分析方法标准制订技术导则》（</w:t>
      </w:r>
      <w:r>
        <w:rPr>
          <w:rFonts w:hint="default" w:ascii="Times New Roman" w:hAnsi="Times New Roman" w:cs="Times New Roman"/>
          <w:color w:val="000000"/>
          <w:szCs w:val="21"/>
          <w:highlight w:val="none"/>
        </w:rPr>
        <w:t>HJ 168-2020</w:t>
      </w:r>
      <w:r>
        <w:rPr>
          <w:rFonts w:hint="default" w:ascii="Times New Roman" w:hAnsi="Times New Roman" w:cs="Times New Roman"/>
          <w:color w:val="000000"/>
          <w:highlight w:val="none"/>
        </w:rPr>
        <w:t>）</w:t>
      </w:r>
      <w:r>
        <w:rPr>
          <w:rFonts w:hint="default" w:ascii="Times New Roman" w:hAnsi="Times New Roman" w:cs="Times New Roman"/>
          <w:color w:val="000000"/>
          <w:szCs w:val="21"/>
          <w:highlight w:val="none"/>
        </w:rPr>
        <w:t>的规定，选择</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家有资质的实验室进行方法验证，参与方法验证的实验室分别是：1、湖北省生态环境监测中心站，</w:t>
      </w:r>
      <w:r>
        <w:rPr>
          <w:rFonts w:hint="eastAsia" w:cs="Times New Roman"/>
          <w:color w:val="000000"/>
          <w:szCs w:val="21"/>
          <w:highlight w:val="none"/>
          <w:lang w:val="en-US" w:eastAsia="zh-CN"/>
        </w:rPr>
        <w:t>2</w:t>
      </w:r>
      <w:r>
        <w:rPr>
          <w:rFonts w:hint="default" w:ascii="Times New Roman" w:hAnsi="Times New Roman" w:cs="Times New Roman"/>
          <w:color w:val="000000"/>
          <w:szCs w:val="21"/>
          <w:highlight w:val="none"/>
        </w:rPr>
        <w:t>、</w:t>
      </w:r>
      <w:r>
        <w:rPr>
          <w:rFonts w:hint="eastAsia" w:cs="Times New Roman"/>
          <w:color w:val="000000"/>
          <w:szCs w:val="21"/>
          <w:highlight w:val="none"/>
          <w:lang w:eastAsia="zh-CN"/>
        </w:rPr>
        <w:t>四川省生态环境监测总站</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3</w:t>
      </w:r>
      <w:r>
        <w:rPr>
          <w:rFonts w:hint="default" w:ascii="Times New Roman" w:hAnsi="Times New Roman" w:cs="Times New Roman"/>
          <w:color w:val="000000"/>
          <w:szCs w:val="21"/>
          <w:highlight w:val="none"/>
        </w:rPr>
        <w:t>、辽宁省生态环境监测中心，</w:t>
      </w:r>
      <w:r>
        <w:rPr>
          <w:rFonts w:hint="eastAsia" w:cs="Times New Roman"/>
          <w:color w:val="000000"/>
          <w:szCs w:val="21"/>
          <w:highlight w:val="none"/>
          <w:lang w:val="en-US" w:eastAsia="zh-CN"/>
        </w:rPr>
        <w:t>4</w:t>
      </w:r>
      <w:r>
        <w:rPr>
          <w:rFonts w:hint="default" w:ascii="Times New Roman" w:hAnsi="Times New Roman" w:cs="Times New Roman"/>
          <w:color w:val="000000"/>
          <w:szCs w:val="21"/>
          <w:highlight w:val="none"/>
        </w:rPr>
        <w:t>、海南省生态环境监测中心</w:t>
      </w:r>
      <w:r>
        <w:rPr>
          <w:rFonts w:hint="eastAsia" w:cs="Times New Roman"/>
          <w:color w:val="000000"/>
          <w:szCs w:val="21"/>
          <w:highlight w:val="none"/>
          <w:lang w:eastAsia="zh-CN"/>
        </w:rPr>
        <w:t>，</w:t>
      </w:r>
      <w:r>
        <w:rPr>
          <w:rFonts w:hint="eastAsia" w:cs="Times New Roman"/>
          <w:color w:val="000000"/>
          <w:szCs w:val="21"/>
          <w:highlight w:val="none"/>
          <w:lang w:val="en-US" w:eastAsia="zh-CN"/>
        </w:rPr>
        <w:t>5</w:t>
      </w:r>
      <w:r>
        <w:rPr>
          <w:rFonts w:hint="default" w:ascii="Times New Roman" w:hAnsi="Times New Roman" w:cs="Times New Roman"/>
          <w:color w:val="000000"/>
          <w:szCs w:val="21"/>
          <w:highlight w:val="none"/>
        </w:rPr>
        <w:t>、</w:t>
      </w:r>
      <w:r>
        <w:rPr>
          <w:rFonts w:hint="eastAsia" w:cs="Times New Roman"/>
          <w:color w:val="000000"/>
          <w:szCs w:val="21"/>
          <w:highlight w:val="none"/>
          <w:lang w:eastAsia="zh-CN"/>
        </w:rPr>
        <w:t>四川省宜宾生态环境监测中心站</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6</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江苏省徐州生态环境监测中心</w:t>
      </w:r>
      <w:r>
        <w:rPr>
          <w:rFonts w:hint="default" w:ascii="Times New Roman" w:hAnsi="Times New Roman" w:cs="Times New Roman"/>
          <w:color w:val="000000"/>
          <w:szCs w:val="21"/>
          <w:highlight w:val="none"/>
        </w:rPr>
        <w:t>（以下编号同）。具体验证实验室及验证人员的基本情况，见表</w:t>
      </w:r>
      <w:r>
        <w:rPr>
          <w:rFonts w:hint="eastAsia" w:cs="Times New Roman"/>
          <w:color w:val="000000"/>
          <w:szCs w:val="21"/>
          <w:highlight w:val="none"/>
          <w:lang w:val="en-US" w:eastAsia="zh-CN"/>
        </w:rPr>
        <w:t>14</w:t>
      </w:r>
      <w:r>
        <w:rPr>
          <w:rFonts w:hint="default" w:ascii="Times New Roman" w:hAnsi="Times New Roman" w:cs="Times New Roman"/>
          <w:color w:val="000000"/>
          <w:szCs w:val="21"/>
          <w:highlight w:val="none"/>
        </w:rPr>
        <w:t>。</w:t>
      </w:r>
    </w:p>
    <w:p w14:paraId="5A59FFBF">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br w:type="page"/>
      </w:r>
    </w:p>
    <w:p w14:paraId="49D0E8C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14</w:t>
      </w:r>
      <w:r>
        <w:rPr>
          <w:rFonts w:hint="default" w:ascii="Times New Roman" w:hAnsi="Times New Roman" w:eastAsia="黑体" w:cs="Times New Roman"/>
          <w:color w:val="000000"/>
          <w:szCs w:val="21"/>
          <w:highlight w:val="none"/>
          <w:lang w:val="en-US" w:eastAsia="zh-CN"/>
        </w:rPr>
        <w:t xml:space="preserve">  参与方法验证的实验室、验证人员的基本情况</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825"/>
        <w:gridCol w:w="629"/>
        <w:gridCol w:w="685"/>
        <w:gridCol w:w="1329"/>
        <w:gridCol w:w="1679"/>
        <w:gridCol w:w="1142"/>
      </w:tblGrid>
      <w:tr w14:paraId="259D9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1393" w:type="pct"/>
            <w:tcBorders>
              <w:tl2br w:val="nil"/>
              <w:tr2bl w:val="nil"/>
            </w:tcBorders>
            <w:noWrap w:val="0"/>
            <w:vAlign w:val="center"/>
          </w:tcPr>
          <w:p w14:paraId="3359419E">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单位</w:t>
            </w:r>
          </w:p>
        </w:tc>
        <w:tc>
          <w:tcPr>
            <w:tcW w:w="473" w:type="pct"/>
            <w:tcBorders>
              <w:tl2br w:val="nil"/>
              <w:tr2bl w:val="nil"/>
            </w:tcBorders>
            <w:noWrap w:val="0"/>
            <w:vAlign w:val="center"/>
          </w:tcPr>
          <w:p w14:paraId="5CA1DC5A">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姓名</w:t>
            </w:r>
          </w:p>
        </w:tc>
        <w:tc>
          <w:tcPr>
            <w:tcW w:w="360" w:type="pct"/>
            <w:tcBorders>
              <w:tl2br w:val="nil"/>
              <w:tr2bl w:val="nil"/>
            </w:tcBorders>
            <w:noWrap w:val="0"/>
            <w:vAlign w:val="center"/>
          </w:tcPr>
          <w:p w14:paraId="50076388">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性别</w:t>
            </w:r>
          </w:p>
        </w:tc>
        <w:tc>
          <w:tcPr>
            <w:tcW w:w="392" w:type="pct"/>
            <w:tcBorders>
              <w:tl2br w:val="nil"/>
              <w:tr2bl w:val="nil"/>
            </w:tcBorders>
            <w:noWrap w:val="0"/>
            <w:vAlign w:val="center"/>
          </w:tcPr>
          <w:p w14:paraId="7EA39C28">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年龄</w:t>
            </w:r>
          </w:p>
        </w:tc>
        <w:tc>
          <w:tcPr>
            <w:tcW w:w="762" w:type="pct"/>
            <w:tcBorders>
              <w:tl2br w:val="nil"/>
              <w:tr2bl w:val="nil"/>
            </w:tcBorders>
            <w:noWrap w:val="0"/>
            <w:vAlign w:val="center"/>
          </w:tcPr>
          <w:p w14:paraId="760B6C3C">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职称或职务</w:t>
            </w:r>
          </w:p>
        </w:tc>
        <w:tc>
          <w:tcPr>
            <w:tcW w:w="962" w:type="pct"/>
            <w:tcBorders>
              <w:tl2br w:val="nil"/>
              <w:tr2bl w:val="nil"/>
            </w:tcBorders>
            <w:noWrap w:val="0"/>
            <w:vAlign w:val="center"/>
          </w:tcPr>
          <w:p w14:paraId="64183044">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所学专业</w:t>
            </w:r>
          </w:p>
        </w:tc>
        <w:tc>
          <w:tcPr>
            <w:tcW w:w="654" w:type="pct"/>
            <w:tcBorders>
              <w:tl2br w:val="nil"/>
              <w:tr2bl w:val="nil"/>
            </w:tcBorders>
            <w:noWrap w:val="0"/>
            <w:vAlign w:val="center"/>
          </w:tcPr>
          <w:p w14:paraId="2F9CA619">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从事分析工作年限（年）</w:t>
            </w:r>
          </w:p>
        </w:tc>
      </w:tr>
      <w:tr w14:paraId="70E73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restart"/>
            <w:tcBorders>
              <w:tl2br w:val="nil"/>
              <w:tr2bl w:val="nil"/>
            </w:tcBorders>
            <w:noWrap w:val="0"/>
            <w:vAlign w:val="center"/>
          </w:tcPr>
          <w:p w14:paraId="0E8A0F99">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eastAsiaTheme="majorEastAsia"/>
                <w:color w:val="000000"/>
                <w:sz w:val="18"/>
                <w:szCs w:val="18"/>
              </w:rPr>
              <w:t>湖北省生态环境监测中心站</w:t>
            </w:r>
          </w:p>
        </w:tc>
        <w:tc>
          <w:tcPr>
            <w:tcW w:w="473" w:type="pct"/>
            <w:tcBorders>
              <w:tl2br w:val="nil"/>
              <w:tr2bl w:val="nil"/>
            </w:tcBorders>
            <w:noWrap w:val="0"/>
            <w:vAlign w:val="center"/>
          </w:tcPr>
          <w:p w14:paraId="3CEE272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黄文秀</w:t>
            </w:r>
          </w:p>
        </w:tc>
        <w:tc>
          <w:tcPr>
            <w:tcW w:w="360" w:type="pct"/>
            <w:tcBorders>
              <w:tl2br w:val="nil"/>
              <w:tr2bl w:val="nil"/>
            </w:tcBorders>
            <w:noWrap w:val="0"/>
            <w:vAlign w:val="center"/>
          </w:tcPr>
          <w:p w14:paraId="07BB51D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女</w:t>
            </w:r>
          </w:p>
        </w:tc>
        <w:tc>
          <w:tcPr>
            <w:tcW w:w="392" w:type="pct"/>
            <w:tcBorders>
              <w:tl2br w:val="nil"/>
              <w:tr2bl w:val="nil"/>
            </w:tcBorders>
            <w:noWrap w:val="0"/>
            <w:vAlign w:val="center"/>
          </w:tcPr>
          <w:p w14:paraId="72041AC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28</w:t>
            </w:r>
          </w:p>
        </w:tc>
        <w:tc>
          <w:tcPr>
            <w:tcW w:w="762" w:type="pct"/>
            <w:tcBorders>
              <w:tl2br w:val="nil"/>
              <w:tr2bl w:val="nil"/>
            </w:tcBorders>
            <w:noWrap w:val="0"/>
            <w:vAlign w:val="center"/>
          </w:tcPr>
          <w:p w14:paraId="3A5278F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助理工程师</w:t>
            </w:r>
          </w:p>
        </w:tc>
        <w:tc>
          <w:tcPr>
            <w:tcW w:w="962" w:type="pct"/>
            <w:tcBorders>
              <w:tl2br w:val="nil"/>
              <w:tr2bl w:val="nil"/>
            </w:tcBorders>
            <w:noWrap w:val="0"/>
            <w:vAlign w:val="center"/>
          </w:tcPr>
          <w:p w14:paraId="1630C08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分析化学</w:t>
            </w:r>
          </w:p>
        </w:tc>
        <w:tc>
          <w:tcPr>
            <w:tcW w:w="654" w:type="pct"/>
            <w:tcBorders>
              <w:tl2br w:val="nil"/>
              <w:tr2bl w:val="nil"/>
            </w:tcBorders>
            <w:noWrap w:val="0"/>
            <w:vAlign w:val="center"/>
          </w:tcPr>
          <w:p w14:paraId="61769C2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w:t>
            </w:r>
          </w:p>
        </w:tc>
      </w:tr>
      <w:tr w14:paraId="174E2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5DC70C25">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5D120C8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唐彦</w:t>
            </w:r>
          </w:p>
        </w:tc>
        <w:tc>
          <w:tcPr>
            <w:tcW w:w="360" w:type="pct"/>
            <w:tcBorders>
              <w:tl2br w:val="nil"/>
              <w:tr2bl w:val="nil"/>
            </w:tcBorders>
            <w:noWrap w:val="0"/>
            <w:vAlign w:val="center"/>
          </w:tcPr>
          <w:p w14:paraId="4C212D0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73DE314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29</w:t>
            </w:r>
          </w:p>
        </w:tc>
        <w:tc>
          <w:tcPr>
            <w:tcW w:w="762" w:type="pct"/>
            <w:tcBorders>
              <w:tl2br w:val="nil"/>
              <w:tr2bl w:val="nil"/>
            </w:tcBorders>
            <w:noWrap w:val="0"/>
            <w:vAlign w:val="center"/>
          </w:tcPr>
          <w:p w14:paraId="31F3E02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585E5E5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化学工程与工艺</w:t>
            </w:r>
          </w:p>
        </w:tc>
        <w:tc>
          <w:tcPr>
            <w:tcW w:w="654" w:type="pct"/>
            <w:tcBorders>
              <w:tl2br w:val="nil"/>
              <w:tr2bl w:val="nil"/>
            </w:tcBorders>
            <w:noWrap w:val="0"/>
            <w:vAlign w:val="center"/>
          </w:tcPr>
          <w:p w14:paraId="7926B20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w:t>
            </w:r>
          </w:p>
        </w:tc>
      </w:tr>
      <w:tr w14:paraId="07EB7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0187F412">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6CAC6C1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吴昊</w:t>
            </w:r>
          </w:p>
        </w:tc>
        <w:tc>
          <w:tcPr>
            <w:tcW w:w="360" w:type="pct"/>
            <w:tcBorders>
              <w:tl2br w:val="nil"/>
              <w:tr2bl w:val="nil"/>
            </w:tcBorders>
            <w:noWrap w:val="0"/>
            <w:vAlign w:val="center"/>
          </w:tcPr>
          <w:p w14:paraId="4133DA3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77ECF56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35</w:t>
            </w:r>
          </w:p>
        </w:tc>
        <w:tc>
          <w:tcPr>
            <w:tcW w:w="762" w:type="pct"/>
            <w:tcBorders>
              <w:tl2br w:val="nil"/>
              <w:tr2bl w:val="nil"/>
            </w:tcBorders>
            <w:noWrap w:val="0"/>
            <w:vAlign w:val="center"/>
          </w:tcPr>
          <w:p w14:paraId="3401170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21C0ECB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分析化学</w:t>
            </w:r>
          </w:p>
        </w:tc>
        <w:tc>
          <w:tcPr>
            <w:tcW w:w="654" w:type="pct"/>
            <w:tcBorders>
              <w:tl2br w:val="nil"/>
              <w:tr2bl w:val="nil"/>
            </w:tcBorders>
            <w:noWrap w:val="0"/>
            <w:vAlign w:val="center"/>
          </w:tcPr>
          <w:p w14:paraId="5A2F9A7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10</w:t>
            </w:r>
          </w:p>
        </w:tc>
      </w:tr>
      <w:tr w14:paraId="290F9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7BB7F8AE">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336216F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郭丽</w:t>
            </w:r>
          </w:p>
        </w:tc>
        <w:tc>
          <w:tcPr>
            <w:tcW w:w="360" w:type="pct"/>
            <w:tcBorders>
              <w:tl2br w:val="nil"/>
              <w:tr2bl w:val="nil"/>
            </w:tcBorders>
            <w:noWrap w:val="0"/>
            <w:vAlign w:val="center"/>
          </w:tcPr>
          <w:p w14:paraId="17F0657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140A099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44</w:t>
            </w:r>
          </w:p>
        </w:tc>
        <w:tc>
          <w:tcPr>
            <w:tcW w:w="762" w:type="pct"/>
            <w:tcBorders>
              <w:tl2br w:val="nil"/>
              <w:tr2bl w:val="nil"/>
            </w:tcBorders>
            <w:noWrap w:val="0"/>
            <w:vAlign w:val="center"/>
          </w:tcPr>
          <w:p w14:paraId="2F8CB7F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正高级工程师</w:t>
            </w:r>
          </w:p>
        </w:tc>
        <w:tc>
          <w:tcPr>
            <w:tcW w:w="962" w:type="pct"/>
            <w:tcBorders>
              <w:tl2br w:val="nil"/>
              <w:tr2bl w:val="nil"/>
            </w:tcBorders>
            <w:noWrap w:val="0"/>
            <w:vAlign w:val="center"/>
          </w:tcPr>
          <w:p w14:paraId="36B3D20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环境科学</w:t>
            </w:r>
          </w:p>
        </w:tc>
        <w:tc>
          <w:tcPr>
            <w:tcW w:w="654" w:type="pct"/>
            <w:tcBorders>
              <w:tl2br w:val="nil"/>
              <w:tr2bl w:val="nil"/>
            </w:tcBorders>
            <w:noWrap w:val="0"/>
            <w:vAlign w:val="center"/>
          </w:tcPr>
          <w:p w14:paraId="11123AC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16</w:t>
            </w:r>
          </w:p>
        </w:tc>
      </w:tr>
      <w:tr w14:paraId="708BE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tcBorders>
              <w:tl2br w:val="nil"/>
              <w:tr2bl w:val="nil"/>
            </w:tcBorders>
            <w:noWrap w:val="0"/>
            <w:vAlign w:val="center"/>
          </w:tcPr>
          <w:p w14:paraId="0C365AD1">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eastAsia" w:cs="Times New Roman" w:eastAsiaTheme="majorEastAsia"/>
                <w:color w:val="000000"/>
                <w:sz w:val="18"/>
                <w:szCs w:val="18"/>
                <w:highlight w:val="none"/>
                <w:vertAlign w:val="baseline"/>
                <w:lang w:val="en-US" w:eastAsia="zh-CN"/>
              </w:rPr>
              <w:t>四川省生态环境监测总站</w:t>
            </w:r>
          </w:p>
        </w:tc>
        <w:tc>
          <w:tcPr>
            <w:tcW w:w="473" w:type="pct"/>
            <w:tcBorders>
              <w:tl2br w:val="nil"/>
              <w:tr2bl w:val="nil"/>
            </w:tcBorders>
            <w:noWrap w:val="0"/>
            <w:vAlign w:val="center"/>
          </w:tcPr>
          <w:p w14:paraId="49A6D36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张渝</w:t>
            </w:r>
          </w:p>
        </w:tc>
        <w:tc>
          <w:tcPr>
            <w:tcW w:w="360" w:type="pct"/>
            <w:tcBorders>
              <w:tl2br w:val="nil"/>
              <w:tr2bl w:val="nil"/>
            </w:tcBorders>
            <w:noWrap w:val="0"/>
            <w:vAlign w:val="center"/>
          </w:tcPr>
          <w:p w14:paraId="34644A9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797854F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45</w:t>
            </w:r>
          </w:p>
        </w:tc>
        <w:tc>
          <w:tcPr>
            <w:tcW w:w="762" w:type="pct"/>
            <w:tcBorders>
              <w:tl2br w:val="nil"/>
              <w:tr2bl w:val="nil"/>
            </w:tcBorders>
            <w:noWrap w:val="0"/>
            <w:vAlign w:val="center"/>
          </w:tcPr>
          <w:p w14:paraId="045438B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高级工程师</w:t>
            </w:r>
          </w:p>
        </w:tc>
        <w:tc>
          <w:tcPr>
            <w:tcW w:w="962" w:type="pct"/>
            <w:tcBorders>
              <w:tl2br w:val="nil"/>
              <w:tr2bl w:val="nil"/>
            </w:tcBorders>
            <w:noWrap w:val="0"/>
            <w:vAlign w:val="center"/>
          </w:tcPr>
          <w:p w14:paraId="1268CC4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环境科学</w:t>
            </w:r>
          </w:p>
        </w:tc>
        <w:tc>
          <w:tcPr>
            <w:tcW w:w="654" w:type="pct"/>
            <w:tcBorders>
              <w:tl2br w:val="nil"/>
              <w:tr2bl w:val="nil"/>
            </w:tcBorders>
            <w:noWrap w:val="0"/>
            <w:vAlign w:val="center"/>
          </w:tcPr>
          <w:p w14:paraId="50AD298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20</w:t>
            </w:r>
          </w:p>
        </w:tc>
      </w:tr>
      <w:tr w14:paraId="4ADC4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restart"/>
            <w:tcBorders>
              <w:tl2br w:val="nil"/>
              <w:tr2bl w:val="nil"/>
            </w:tcBorders>
            <w:noWrap w:val="0"/>
            <w:vAlign w:val="center"/>
          </w:tcPr>
          <w:p w14:paraId="0B5E3693">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辽宁省生态环境监测中心</w:t>
            </w:r>
          </w:p>
        </w:tc>
        <w:tc>
          <w:tcPr>
            <w:tcW w:w="473" w:type="pct"/>
            <w:tcBorders>
              <w:tl2br w:val="nil"/>
              <w:tr2bl w:val="nil"/>
            </w:tcBorders>
            <w:noWrap w:val="0"/>
            <w:vAlign w:val="center"/>
          </w:tcPr>
          <w:p w14:paraId="650B7D2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杨冬雷</w:t>
            </w:r>
          </w:p>
        </w:tc>
        <w:tc>
          <w:tcPr>
            <w:tcW w:w="360" w:type="pct"/>
            <w:tcBorders>
              <w:tl2br w:val="nil"/>
              <w:tr2bl w:val="nil"/>
            </w:tcBorders>
            <w:noWrap w:val="0"/>
            <w:vAlign w:val="center"/>
          </w:tcPr>
          <w:p w14:paraId="7D9E65A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3ACF2CA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34</w:t>
            </w:r>
          </w:p>
        </w:tc>
        <w:tc>
          <w:tcPr>
            <w:tcW w:w="762" w:type="pct"/>
            <w:tcBorders>
              <w:tl2br w:val="nil"/>
              <w:tr2bl w:val="nil"/>
            </w:tcBorders>
            <w:noWrap w:val="0"/>
            <w:vAlign w:val="center"/>
          </w:tcPr>
          <w:p w14:paraId="743AEC0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067293A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应用化学</w:t>
            </w:r>
          </w:p>
        </w:tc>
        <w:tc>
          <w:tcPr>
            <w:tcW w:w="654" w:type="pct"/>
            <w:tcBorders>
              <w:tl2br w:val="nil"/>
              <w:tr2bl w:val="nil"/>
            </w:tcBorders>
            <w:noWrap w:val="0"/>
            <w:vAlign w:val="center"/>
          </w:tcPr>
          <w:p w14:paraId="47CAE1C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12</w:t>
            </w:r>
          </w:p>
        </w:tc>
      </w:tr>
      <w:tr w14:paraId="058C4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continue"/>
            <w:tcBorders>
              <w:tl2br w:val="nil"/>
              <w:tr2bl w:val="nil"/>
            </w:tcBorders>
            <w:noWrap w:val="0"/>
            <w:vAlign w:val="center"/>
          </w:tcPr>
          <w:p w14:paraId="3401C800">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24F1C51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孙佳妮</w:t>
            </w:r>
          </w:p>
        </w:tc>
        <w:tc>
          <w:tcPr>
            <w:tcW w:w="360" w:type="pct"/>
            <w:tcBorders>
              <w:tl2br w:val="nil"/>
              <w:tr2bl w:val="nil"/>
            </w:tcBorders>
            <w:noWrap w:val="0"/>
            <w:vAlign w:val="center"/>
          </w:tcPr>
          <w:p w14:paraId="504EE2D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35C1992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31</w:t>
            </w:r>
          </w:p>
        </w:tc>
        <w:tc>
          <w:tcPr>
            <w:tcW w:w="762" w:type="pct"/>
            <w:tcBorders>
              <w:tl2br w:val="nil"/>
              <w:tr2bl w:val="nil"/>
            </w:tcBorders>
            <w:noWrap w:val="0"/>
            <w:vAlign w:val="center"/>
          </w:tcPr>
          <w:p w14:paraId="105685A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31E1583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高分子材料与工程</w:t>
            </w:r>
          </w:p>
        </w:tc>
        <w:tc>
          <w:tcPr>
            <w:tcW w:w="654" w:type="pct"/>
            <w:tcBorders>
              <w:tl2br w:val="nil"/>
              <w:tr2bl w:val="nil"/>
            </w:tcBorders>
            <w:noWrap w:val="0"/>
            <w:vAlign w:val="center"/>
          </w:tcPr>
          <w:p w14:paraId="145B415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w:t>
            </w:r>
          </w:p>
        </w:tc>
      </w:tr>
      <w:tr w14:paraId="721AE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restart"/>
            <w:tcBorders>
              <w:tl2br w:val="nil"/>
              <w:tr2bl w:val="nil"/>
            </w:tcBorders>
            <w:noWrap w:val="0"/>
            <w:vAlign w:val="center"/>
          </w:tcPr>
          <w:p w14:paraId="7AB7BE42">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海南省生态环境监测中心</w:t>
            </w:r>
          </w:p>
        </w:tc>
        <w:tc>
          <w:tcPr>
            <w:tcW w:w="473" w:type="pct"/>
            <w:tcBorders>
              <w:tl2br w:val="nil"/>
              <w:tr2bl w:val="nil"/>
            </w:tcBorders>
            <w:noWrap w:val="0"/>
            <w:vAlign w:val="center"/>
          </w:tcPr>
          <w:p w14:paraId="50CDD72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sz w:val="18"/>
                <w:szCs w:val="18"/>
              </w:rPr>
              <w:t>吴艳</w:t>
            </w:r>
          </w:p>
        </w:tc>
        <w:tc>
          <w:tcPr>
            <w:tcW w:w="360" w:type="pct"/>
            <w:tcBorders>
              <w:tl2br w:val="nil"/>
              <w:tr2bl w:val="nil"/>
            </w:tcBorders>
            <w:noWrap w:val="0"/>
            <w:vAlign w:val="center"/>
          </w:tcPr>
          <w:p w14:paraId="68638D3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16F35C2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34</w:t>
            </w:r>
          </w:p>
        </w:tc>
        <w:tc>
          <w:tcPr>
            <w:tcW w:w="762" w:type="pct"/>
            <w:tcBorders>
              <w:tl2br w:val="nil"/>
              <w:tr2bl w:val="nil"/>
            </w:tcBorders>
            <w:noWrap w:val="0"/>
            <w:vAlign w:val="center"/>
          </w:tcPr>
          <w:p w14:paraId="1B5053A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3224F09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环境科学</w:t>
            </w:r>
          </w:p>
        </w:tc>
        <w:tc>
          <w:tcPr>
            <w:tcW w:w="654" w:type="pct"/>
            <w:tcBorders>
              <w:tl2br w:val="nil"/>
              <w:tr2bl w:val="nil"/>
            </w:tcBorders>
            <w:noWrap w:val="0"/>
            <w:vAlign w:val="center"/>
          </w:tcPr>
          <w:p w14:paraId="0DFF732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11</w:t>
            </w:r>
          </w:p>
        </w:tc>
      </w:tr>
      <w:tr w14:paraId="1B39E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continue"/>
            <w:tcBorders>
              <w:tl2br w:val="nil"/>
              <w:tr2bl w:val="nil"/>
            </w:tcBorders>
            <w:noWrap w:val="0"/>
            <w:vAlign w:val="center"/>
          </w:tcPr>
          <w:p w14:paraId="121DD492">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795DBBA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黄丹瑜</w:t>
            </w:r>
          </w:p>
        </w:tc>
        <w:tc>
          <w:tcPr>
            <w:tcW w:w="360" w:type="pct"/>
            <w:tcBorders>
              <w:tl2br w:val="nil"/>
              <w:tr2bl w:val="nil"/>
            </w:tcBorders>
            <w:noWrap w:val="0"/>
            <w:vAlign w:val="center"/>
          </w:tcPr>
          <w:p w14:paraId="1686029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7F11160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32</w:t>
            </w:r>
          </w:p>
        </w:tc>
        <w:tc>
          <w:tcPr>
            <w:tcW w:w="762" w:type="pct"/>
            <w:tcBorders>
              <w:tl2br w:val="nil"/>
              <w:tr2bl w:val="nil"/>
            </w:tcBorders>
            <w:noWrap w:val="0"/>
            <w:vAlign w:val="center"/>
          </w:tcPr>
          <w:p w14:paraId="3D79FC8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助理工程师</w:t>
            </w:r>
          </w:p>
        </w:tc>
        <w:tc>
          <w:tcPr>
            <w:tcW w:w="962" w:type="pct"/>
            <w:tcBorders>
              <w:tl2br w:val="nil"/>
              <w:tr2bl w:val="nil"/>
            </w:tcBorders>
            <w:noWrap w:val="0"/>
            <w:vAlign w:val="center"/>
          </w:tcPr>
          <w:p w14:paraId="0D9A3F3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化学专业</w:t>
            </w:r>
          </w:p>
        </w:tc>
        <w:tc>
          <w:tcPr>
            <w:tcW w:w="654" w:type="pct"/>
            <w:tcBorders>
              <w:tl2br w:val="nil"/>
              <w:tr2bl w:val="nil"/>
            </w:tcBorders>
            <w:noWrap w:val="0"/>
            <w:vAlign w:val="center"/>
          </w:tcPr>
          <w:p w14:paraId="41F8617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w:t>
            </w:r>
          </w:p>
        </w:tc>
      </w:tr>
      <w:tr w14:paraId="1CDE3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restart"/>
            <w:tcBorders>
              <w:tl2br w:val="nil"/>
              <w:tr2bl w:val="nil"/>
            </w:tcBorders>
            <w:noWrap w:val="0"/>
            <w:vAlign w:val="center"/>
          </w:tcPr>
          <w:p w14:paraId="024C0A5D">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eastAsia" w:cs="Times New Roman" w:eastAsiaTheme="majorEastAsia"/>
                <w:color w:val="000000"/>
                <w:sz w:val="18"/>
                <w:szCs w:val="18"/>
                <w:lang w:eastAsia="zh-CN"/>
              </w:rPr>
              <w:t>四川省宜宾生态环境监测中心站</w:t>
            </w:r>
          </w:p>
        </w:tc>
        <w:tc>
          <w:tcPr>
            <w:tcW w:w="473" w:type="pct"/>
            <w:tcBorders>
              <w:tl2br w:val="nil"/>
              <w:tr2bl w:val="nil"/>
            </w:tcBorders>
            <w:noWrap w:val="0"/>
            <w:vAlign w:val="center"/>
          </w:tcPr>
          <w:p w14:paraId="6428522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苏思瑾</w:t>
            </w:r>
          </w:p>
        </w:tc>
        <w:tc>
          <w:tcPr>
            <w:tcW w:w="360" w:type="pct"/>
            <w:tcBorders>
              <w:tl2br w:val="nil"/>
              <w:tr2bl w:val="nil"/>
            </w:tcBorders>
            <w:noWrap w:val="0"/>
            <w:vAlign w:val="center"/>
          </w:tcPr>
          <w:p w14:paraId="53774B5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0D4901D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33</w:t>
            </w:r>
          </w:p>
        </w:tc>
        <w:tc>
          <w:tcPr>
            <w:tcW w:w="762" w:type="pct"/>
            <w:tcBorders>
              <w:tl2br w:val="nil"/>
              <w:tr2bl w:val="nil"/>
            </w:tcBorders>
            <w:noWrap w:val="0"/>
            <w:vAlign w:val="center"/>
          </w:tcPr>
          <w:p w14:paraId="6E63F47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高级工程师</w:t>
            </w:r>
          </w:p>
        </w:tc>
        <w:tc>
          <w:tcPr>
            <w:tcW w:w="962" w:type="pct"/>
            <w:tcBorders>
              <w:tl2br w:val="nil"/>
              <w:tr2bl w:val="nil"/>
            </w:tcBorders>
            <w:noWrap w:val="0"/>
            <w:vAlign w:val="center"/>
          </w:tcPr>
          <w:p w14:paraId="4D132F6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环境工程</w:t>
            </w:r>
          </w:p>
        </w:tc>
        <w:tc>
          <w:tcPr>
            <w:tcW w:w="654" w:type="pct"/>
            <w:tcBorders>
              <w:tl2br w:val="nil"/>
              <w:tr2bl w:val="nil"/>
            </w:tcBorders>
            <w:noWrap w:val="0"/>
            <w:vAlign w:val="center"/>
          </w:tcPr>
          <w:p w14:paraId="2C09FD8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9</w:t>
            </w:r>
          </w:p>
        </w:tc>
      </w:tr>
      <w:tr w14:paraId="2667D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1AA7FF68">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2798D73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李圣</w:t>
            </w:r>
          </w:p>
        </w:tc>
        <w:tc>
          <w:tcPr>
            <w:tcW w:w="360" w:type="pct"/>
            <w:tcBorders>
              <w:tl2br w:val="nil"/>
              <w:tr2bl w:val="nil"/>
            </w:tcBorders>
            <w:noWrap w:val="0"/>
            <w:vAlign w:val="center"/>
          </w:tcPr>
          <w:p w14:paraId="0ED6E7A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75C747E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35</w:t>
            </w:r>
          </w:p>
        </w:tc>
        <w:tc>
          <w:tcPr>
            <w:tcW w:w="762" w:type="pct"/>
            <w:tcBorders>
              <w:tl2br w:val="nil"/>
              <w:tr2bl w:val="nil"/>
            </w:tcBorders>
            <w:noWrap w:val="0"/>
            <w:vAlign w:val="center"/>
          </w:tcPr>
          <w:p w14:paraId="2689867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shd w:val="clear" w:color="auto" w:fill="auto"/>
            <w:noWrap w:val="0"/>
            <w:vAlign w:val="center"/>
          </w:tcPr>
          <w:p w14:paraId="5E3F9BA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eastAsiaTheme="majorEastAsia"/>
                <w:color w:val="000000"/>
                <w:sz w:val="18"/>
                <w:szCs w:val="18"/>
              </w:rPr>
              <w:t>环境工程</w:t>
            </w:r>
          </w:p>
        </w:tc>
        <w:tc>
          <w:tcPr>
            <w:tcW w:w="654" w:type="pct"/>
            <w:tcBorders>
              <w:tl2br w:val="nil"/>
              <w:tr2bl w:val="nil"/>
            </w:tcBorders>
            <w:shd w:val="clear" w:color="auto" w:fill="auto"/>
            <w:noWrap w:val="0"/>
            <w:vAlign w:val="center"/>
          </w:tcPr>
          <w:p w14:paraId="5AD3A52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9</w:t>
            </w:r>
          </w:p>
        </w:tc>
      </w:tr>
      <w:tr w14:paraId="10BA6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5AC79C3C">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61267DE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梁政儒</w:t>
            </w:r>
          </w:p>
        </w:tc>
        <w:tc>
          <w:tcPr>
            <w:tcW w:w="360" w:type="pct"/>
            <w:tcBorders>
              <w:tl2br w:val="nil"/>
              <w:tr2bl w:val="nil"/>
            </w:tcBorders>
            <w:noWrap w:val="0"/>
            <w:vAlign w:val="center"/>
          </w:tcPr>
          <w:p w14:paraId="26892A8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0B8B46F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22</w:t>
            </w:r>
          </w:p>
        </w:tc>
        <w:tc>
          <w:tcPr>
            <w:tcW w:w="762" w:type="pct"/>
            <w:tcBorders>
              <w:tl2br w:val="nil"/>
              <w:tr2bl w:val="nil"/>
            </w:tcBorders>
            <w:noWrap w:val="0"/>
            <w:vAlign w:val="center"/>
          </w:tcPr>
          <w:p w14:paraId="4630B87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无</w:t>
            </w:r>
          </w:p>
        </w:tc>
        <w:tc>
          <w:tcPr>
            <w:tcW w:w="962" w:type="pct"/>
            <w:tcBorders>
              <w:tl2br w:val="nil"/>
              <w:tr2bl w:val="nil"/>
            </w:tcBorders>
            <w:noWrap w:val="0"/>
            <w:vAlign w:val="center"/>
          </w:tcPr>
          <w:p w14:paraId="6E9176C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环境科学与工程</w:t>
            </w:r>
          </w:p>
        </w:tc>
        <w:tc>
          <w:tcPr>
            <w:tcW w:w="654" w:type="pct"/>
            <w:tcBorders>
              <w:tl2br w:val="nil"/>
              <w:tr2bl w:val="nil"/>
            </w:tcBorders>
            <w:noWrap w:val="0"/>
            <w:vAlign w:val="center"/>
          </w:tcPr>
          <w:p w14:paraId="78F6E1D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w:t>
            </w:r>
          </w:p>
        </w:tc>
      </w:tr>
      <w:tr w14:paraId="50DE2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restart"/>
            <w:tcBorders>
              <w:tl2br w:val="nil"/>
              <w:tr2bl w:val="nil"/>
            </w:tcBorders>
            <w:noWrap w:val="0"/>
            <w:vAlign w:val="center"/>
          </w:tcPr>
          <w:p w14:paraId="0CB42850">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eastAsia" w:cs="Times New Roman"/>
                <w:color w:val="000000"/>
                <w:sz w:val="18"/>
                <w:szCs w:val="18"/>
                <w:highlight w:val="none"/>
                <w:lang w:eastAsia="zh-CN"/>
              </w:rPr>
              <w:t>江苏省徐州生态环境监测中心</w:t>
            </w:r>
          </w:p>
        </w:tc>
        <w:tc>
          <w:tcPr>
            <w:tcW w:w="473" w:type="pct"/>
            <w:tcBorders>
              <w:tl2br w:val="nil"/>
              <w:tr2bl w:val="nil"/>
            </w:tcBorders>
            <w:noWrap w:val="0"/>
            <w:vAlign w:val="center"/>
          </w:tcPr>
          <w:p w14:paraId="35D9764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周玉娇</w:t>
            </w:r>
          </w:p>
        </w:tc>
        <w:tc>
          <w:tcPr>
            <w:tcW w:w="360" w:type="pct"/>
            <w:tcBorders>
              <w:tl2br w:val="nil"/>
              <w:tr2bl w:val="nil"/>
            </w:tcBorders>
            <w:noWrap w:val="0"/>
            <w:vAlign w:val="center"/>
          </w:tcPr>
          <w:p w14:paraId="039F018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4EFA048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35</w:t>
            </w:r>
          </w:p>
        </w:tc>
        <w:tc>
          <w:tcPr>
            <w:tcW w:w="762" w:type="pct"/>
            <w:tcBorders>
              <w:tl2br w:val="nil"/>
              <w:tr2bl w:val="nil"/>
            </w:tcBorders>
            <w:noWrap w:val="0"/>
            <w:vAlign w:val="center"/>
          </w:tcPr>
          <w:p w14:paraId="0E286CB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7B2D4E4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化学</w:t>
            </w:r>
            <w:r>
              <w:rPr>
                <w:rFonts w:hint="default" w:ascii="Times New Roman" w:hAnsi="Times New Roman" w:cs="Times New Roman"/>
                <w:color w:val="000000"/>
                <w:kern w:val="0"/>
                <w:sz w:val="18"/>
                <w:szCs w:val="18"/>
                <w:highlight w:val="none"/>
                <w:lang w:eastAsia="zh-CN"/>
              </w:rPr>
              <w:t>（</w:t>
            </w:r>
            <w:r>
              <w:rPr>
                <w:rFonts w:hint="default" w:ascii="Times New Roman" w:hAnsi="Times New Roman" w:cs="Times New Roman"/>
                <w:color w:val="000000"/>
                <w:kern w:val="0"/>
                <w:sz w:val="18"/>
                <w:szCs w:val="18"/>
                <w:highlight w:val="none"/>
              </w:rPr>
              <w:t>分析技术</w:t>
            </w:r>
            <w:r>
              <w:rPr>
                <w:rFonts w:hint="default" w:ascii="Times New Roman" w:hAnsi="Times New Roman" w:cs="Times New Roman"/>
                <w:color w:val="000000"/>
                <w:kern w:val="0"/>
                <w:sz w:val="18"/>
                <w:szCs w:val="18"/>
                <w:highlight w:val="none"/>
                <w:lang w:eastAsia="zh-CN"/>
              </w:rPr>
              <w:t>）</w:t>
            </w:r>
          </w:p>
        </w:tc>
        <w:tc>
          <w:tcPr>
            <w:tcW w:w="654" w:type="pct"/>
            <w:tcBorders>
              <w:tl2br w:val="nil"/>
              <w:tr2bl w:val="nil"/>
            </w:tcBorders>
            <w:noWrap w:val="0"/>
            <w:vAlign w:val="center"/>
          </w:tcPr>
          <w:p w14:paraId="16715EF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12</w:t>
            </w:r>
          </w:p>
        </w:tc>
      </w:tr>
      <w:tr w14:paraId="047E2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continue"/>
            <w:tcBorders>
              <w:tl2br w:val="nil"/>
              <w:tr2bl w:val="nil"/>
            </w:tcBorders>
            <w:noWrap w:val="0"/>
            <w:vAlign w:val="center"/>
          </w:tcPr>
          <w:p w14:paraId="7C8E88B8">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1A0DB19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郑新颖</w:t>
            </w:r>
          </w:p>
        </w:tc>
        <w:tc>
          <w:tcPr>
            <w:tcW w:w="360" w:type="pct"/>
            <w:tcBorders>
              <w:tl2br w:val="nil"/>
              <w:tr2bl w:val="nil"/>
            </w:tcBorders>
            <w:noWrap w:val="0"/>
            <w:vAlign w:val="center"/>
          </w:tcPr>
          <w:p w14:paraId="3363458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6A126B2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41</w:t>
            </w:r>
          </w:p>
        </w:tc>
        <w:tc>
          <w:tcPr>
            <w:tcW w:w="762" w:type="pct"/>
            <w:tcBorders>
              <w:tl2br w:val="nil"/>
              <w:tr2bl w:val="nil"/>
            </w:tcBorders>
            <w:noWrap w:val="0"/>
            <w:vAlign w:val="center"/>
          </w:tcPr>
          <w:p w14:paraId="2F54913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技术员</w:t>
            </w:r>
          </w:p>
        </w:tc>
        <w:tc>
          <w:tcPr>
            <w:tcW w:w="962" w:type="pct"/>
            <w:tcBorders>
              <w:tl2br w:val="nil"/>
              <w:tr2bl w:val="nil"/>
            </w:tcBorders>
            <w:noWrap w:val="0"/>
            <w:vAlign w:val="center"/>
          </w:tcPr>
          <w:p w14:paraId="406750B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化学工程与工艺</w:t>
            </w:r>
          </w:p>
        </w:tc>
        <w:tc>
          <w:tcPr>
            <w:tcW w:w="654" w:type="pct"/>
            <w:tcBorders>
              <w:tl2br w:val="nil"/>
              <w:tr2bl w:val="nil"/>
            </w:tcBorders>
            <w:noWrap w:val="0"/>
            <w:vAlign w:val="center"/>
          </w:tcPr>
          <w:p w14:paraId="6D5E1B5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6</w:t>
            </w:r>
          </w:p>
        </w:tc>
      </w:tr>
    </w:tbl>
    <w:p w14:paraId="29A7E88E">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7.1.2  方法验证方案</w:t>
      </w:r>
    </w:p>
    <w:p w14:paraId="69CFF098">
      <w:pPr>
        <w:widowControl/>
        <w:autoSpaceDE w:val="0"/>
        <w:autoSpaceDN w:val="0"/>
        <w:adjustRightInd w:val="0"/>
        <w:snapToGrid w:val="0"/>
        <w:spacing w:line="360" w:lineRule="exact"/>
        <w:ind w:firstLine="420" w:firstLineChars="200"/>
        <w:jc w:val="left"/>
        <w:rPr>
          <w:rFonts w:hint="default" w:ascii="Times New Roman" w:hAnsi="Times New Roman" w:cs="Times New Roman"/>
          <w:color w:val="000000"/>
          <w:highlight w:val="none"/>
        </w:rPr>
      </w:pPr>
      <w:r>
        <w:rPr>
          <w:rFonts w:hint="default" w:ascii="Times New Roman" w:hAnsi="Times New Roman" w:cs="Times New Roman"/>
          <w:color w:val="000000"/>
          <w:highlight w:val="none"/>
        </w:rPr>
        <w:t>按照《环境监测分析方法标准制订技术导则》（HJ 168-2020）的规定，组织6家有资质的实验室进行方法验证。根据影响方法的精密度和正确度的主要因素和数理统计学的要求，编制方法验证方案，确定样品类型、含量水平、分析人员、分析设备、分析时间及重复测试</w:t>
      </w:r>
      <w:r>
        <w:rPr>
          <w:rFonts w:hint="default" w:ascii="Times New Roman" w:hAnsi="Times New Roman" w:cs="Times New Roman"/>
          <w:color w:val="000000"/>
          <w:szCs w:val="21"/>
          <w:highlight w:val="none"/>
        </w:rPr>
        <w:t>次</w:t>
      </w:r>
      <w:r>
        <w:rPr>
          <w:rFonts w:hint="default" w:ascii="Times New Roman" w:hAnsi="Times New Roman" w:cs="Times New Roman"/>
          <w:color w:val="000000"/>
          <w:highlight w:val="none"/>
        </w:rPr>
        <w:t>数等，其中样品类型主要为</w:t>
      </w:r>
      <w:r>
        <w:rPr>
          <w:rFonts w:hint="default" w:ascii="Times New Roman" w:hAnsi="Times New Roman" w:cs="Times New Roman"/>
          <w:color w:val="000000"/>
          <w:szCs w:val="21"/>
          <w:highlight w:val="none"/>
        </w:rPr>
        <w:t>空白（石英砂）</w:t>
      </w:r>
      <w:r>
        <w:rPr>
          <w:rFonts w:hint="default" w:ascii="Times New Roman" w:hAnsi="Times New Roman" w:cs="Times New Roman"/>
          <w:color w:val="000000"/>
          <w:kern w:val="0"/>
          <w:szCs w:val="21"/>
          <w:highlight w:val="none"/>
          <w:lang w:eastAsia="zh-CN"/>
        </w:rPr>
        <w:t>和</w:t>
      </w:r>
      <w:r>
        <w:rPr>
          <w:rFonts w:hint="default" w:ascii="Times New Roman" w:hAnsi="Times New Roman" w:cs="Times New Roman"/>
          <w:color w:val="000000"/>
          <w:kern w:val="0"/>
          <w:szCs w:val="21"/>
          <w:highlight w:val="none"/>
        </w:rPr>
        <w:t>土壤（重庆某</w:t>
      </w:r>
      <w:r>
        <w:rPr>
          <w:rFonts w:hint="default" w:ascii="Times New Roman" w:hAnsi="Times New Roman" w:cs="Times New Roman"/>
          <w:color w:val="000000"/>
          <w:kern w:val="0"/>
          <w:szCs w:val="21"/>
          <w:highlight w:val="none"/>
          <w:lang w:val="en-US" w:eastAsia="zh-CN"/>
        </w:rPr>
        <w:t>土壤</w:t>
      </w:r>
      <w:r>
        <w:rPr>
          <w:rFonts w:hint="default" w:ascii="Times New Roman" w:hAnsi="Times New Roman" w:cs="Times New Roman"/>
          <w:color w:val="000000"/>
          <w:kern w:val="0"/>
          <w:szCs w:val="21"/>
          <w:highlight w:val="none"/>
        </w:rPr>
        <w:t>）的统一样品</w:t>
      </w:r>
      <w:r>
        <w:rPr>
          <w:rFonts w:hint="default" w:ascii="Times New Roman" w:hAnsi="Times New Roman" w:cs="Times New Roman"/>
          <w:color w:val="000000"/>
          <w:szCs w:val="21"/>
          <w:highlight w:val="none"/>
        </w:rPr>
        <w:t>。</w:t>
      </w:r>
      <w:r>
        <w:rPr>
          <w:rFonts w:hint="default" w:ascii="Times New Roman" w:hAnsi="Times New Roman" w:cs="Times New Roman"/>
          <w:color w:val="000000"/>
          <w:highlight w:val="none"/>
        </w:rPr>
        <w:t>验证单位按HJ 168-2020要求完成方法验证报告，方法验证报告主要包括检出限、精密度、正确度等验证数据。</w:t>
      </w:r>
    </w:p>
    <w:p w14:paraId="777FCC90">
      <w:pPr>
        <w:rPr>
          <w:rFonts w:hint="default" w:ascii="Times New Roman" w:hAnsi="Times New Roman" w:cs="Times New Roman"/>
          <w:color w:val="000000"/>
          <w:highlight w:val="none"/>
          <w:lang w:bidi="ar"/>
        </w:rPr>
      </w:pPr>
      <w:r>
        <w:rPr>
          <w:rFonts w:hint="default" w:ascii="Times New Roman" w:hAnsi="Times New Roman" w:cs="Times New Roman"/>
          <w:color w:val="000000"/>
          <w:highlight w:val="none"/>
          <w:lang w:bidi="ar"/>
        </w:rPr>
        <w:t>方法验证前，由编制组编写方法验证的作业指导书，使参加验证的操作人员熟悉和掌握方法原理、操作步骤及流程（必要时提供培训）。由标准制订承担单位统一准备及发放高中低浓度的标准样品和实际样品。参加验证的操作人员及编制组应按照要求如实填写《方法验证报告》中的“原始测试数据表”。编制组根据方法验证数据及统计、分析、评估结果，最终形成《方法验证报告》。</w:t>
      </w:r>
    </w:p>
    <w:p w14:paraId="79F648EB">
      <w:pPr>
        <w:autoSpaceDE w:val="0"/>
        <w:autoSpaceDN w:val="0"/>
        <w:adjustRightInd w:val="0"/>
        <w:snapToGrid w:val="0"/>
        <w:spacing w:line="360" w:lineRule="exact"/>
        <w:ind w:firstLine="420" w:firstLineChars="200"/>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lang w:eastAsia="zh-CN"/>
        </w:rPr>
        <w:t>（</w:t>
      </w:r>
      <w:r>
        <w:rPr>
          <w:rFonts w:hint="default" w:ascii="Times New Roman" w:hAnsi="Times New Roman" w:cs="Times New Roman"/>
          <w:color w:val="000000"/>
          <w:kern w:val="0"/>
          <w:szCs w:val="21"/>
          <w:highlight w:val="none"/>
          <w:lang w:val="en-US" w:eastAsia="zh-CN"/>
        </w:rPr>
        <w:t>1</w:t>
      </w:r>
      <w:r>
        <w:rPr>
          <w:rFonts w:hint="default" w:ascii="Times New Roman" w:hAnsi="Times New Roman" w:cs="Times New Roman"/>
          <w:color w:val="000000"/>
          <w:kern w:val="0"/>
          <w:szCs w:val="21"/>
          <w:highlight w:val="none"/>
          <w:lang w:eastAsia="zh-CN"/>
        </w:rPr>
        <w:t>）</w:t>
      </w:r>
      <w:r>
        <w:rPr>
          <w:rFonts w:hint="default" w:ascii="Times New Roman" w:hAnsi="Times New Roman" w:cs="Times New Roman"/>
          <w:color w:val="000000"/>
          <w:kern w:val="0"/>
          <w:szCs w:val="21"/>
          <w:highlight w:val="none"/>
        </w:rPr>
        <w:t>分析条件</w:t>
      </w:r>
    </w:p>
    <w:p w14:paraId="06EA21B5">
      <w:pPr>
        <w:pStyle w:val="7"/>
        <w:spacing w:line="360" w:lineRule="exact"/>
        <w:ind w:firstLine="420" w:firstLineChars="200"/>
        <w:outlineLvl w:val="9"/>
        <w:rPr>
          <w:rFonts w:hint="default" w:ascii="Times New Roman" w:hAnsi="Times New Roman" w:eastAsia="宋体" w:cs="Times New Roman"/>
          <w:color w:val="000000"/>
          <w:kern w:val="0"/>
          <w:szCs w:val="21"/>
          <w:highlight w:val="none"/>
          <w:lang w:eastAsia="zh-CN"/>
        </w:rPr>
      </w:pPr>
      <w:r>
        <w:rPr>
          <w:rFonts w:hint="default" w:ascii="Times New Roman" w:hAnsi="Times New Roman" w:cs="Times New Roman"/>
          <w:color w:val="000000"/>
          <w:highlight w:val="none"/>
          <w:lang w:eastAsia="zh-CN"/>
        </w:rPr>
        <w:t>气相色谱</w:t>
      </w:r>
      <w:r>
        <w:rPr>
          <w:rFonts w:hint="default" w:ascii="Times New Roman" w:hAnsi="Times New Roman" w:cs="Times New Roman"/>
          <w:color w:val="000000"/>
          <w:highlight w:val="none"/>
        </w:rPr>
        <w:t>参考条件</w:t>
      </w:r>
      <w:r>
        <w:rPr>
          <w:rFonts w:hint="default" w:ascii="Times New Roman" w:hAnsi="Times New Roman" w:cs="Times New Roman"/>
          <w:color w:val="000000"/>
          <w:highlight w:val="none"/>
          <w:lang w:eastAsia="zh-CN"/>
        </w:rPr>
        <w:t>：</w:t>
      </w:r>
    </w:p>
    <w:p w14:paraId="37018FD2">
      <w:pPr>
        <w:autoSpaceDE w:val="0"/>
        <w:autoSpaceDN w:val="0"/>
        <w:adjustRightInd w:val="0"/>
        <w:spacing w:line="360" w:lineRule="exact"/>
        <w:ind w:firstLine="420" w:firstLineChars="200"/>
        <w:outlineLvl w:val="9"/>
        <w:rPr>
          <w:rStyle w:val="24"/>
          <w:rFonts w:hint="default" w:ascii="Times New Roman" w:hAnsi="Times New Roman" w:cs="Times New Roman"/>
          <w:color w:val="000000"/>
          <w:sz w:val="21"/>
          <w:szCs w:val="21"/>
          <w:highlight w:val="none"/>
        </w:rPr>
      </w:pPr>
      <w:r>
        <w:rPr>
          <w:rFonts w:hint="default" w:ascii="Times New Roman" w:hAnsi="Times New Roman" w:cs="Times New Roman"/>
          <w:color w:val="000000"/>
          <w:highlight w:val="none"/>
        </w:rPr>
        <w:t>进样口温度：</w:t>
      </w:r>
      <w:r>
        <w:rPr>
          <w:rFonts w:hint="default" w:ascii="Times New Roman" w:hAnsi="Times New Roman" w:cs="Times New Roman"/>
          <w:color w:val="000000"/>
          <w:szCs w:val="21"/>
          <w:highlight w:val="none"/>
        </w:rPr>
        <w:t>2</w:t>
      </w:r>
      <w:r>
        <w:rPr>
          <w:rFonts w:hint="default" w:ascii="Times New Roman" w:hAnsi="Times New Roman" w:cs="Times New Roman"/>
          <w:color w:val="000000"/>
          <w:szCs w:val="21"/>
          <w:highlight w:val="none"/>
          <w:lang w:val="en-US" w:eastAsia="zh-CN"/>
        </w:rPr>
        <w:t>8</w:t>
      </w:r>
      <w:r>
        <w:rPr>
          <w:rFonts w:hint="default" w:ascii="Times New Roman" w:hAnsi="Times New Roman" w:cs="Times New Roman"/>
          <w:color w:val="000000"/>
          <w:szCs w:val="21"/>
          <w:highlight w:val="none"/>
        </w:rPr>
        <w:t>0</w:t>
      </w:r>
      <w:r>
        <w:rPr>
          <w:rFonts w:hint="default" w:ascii="Times New Roman" w:hAnsi="Times New Roman" w:cs="Times New Roman"/>
          <w:lang w:val="en-US" w:eastAsia="zh-CN"/>
        </w:rPr>
        <w:t>℃</w:t>
      </w:r>
      <w:r>
        <w:rPr>
          <w:rStyle w:val="24"/>
          <w:rFonts w:hint="default" w:ascii="Times New Roman" w:hAnsi="Times New Roman" w:cs="Times New Roman"/>
          <w:color w:val="000000"/>
          <w:sz w:val="21"/>
          <w:szCs w:val="21"/>
          <w:highlight w:val="none"/>
        </w:rPr>
        <w:t>，不分流进样；</w:t>
      </w:r>
    </w:p>
    <w:p w14:paraId="78095B67">
      <w:pPr>
        <w:autoSpaceDE w:val="0"/>
        <w:autoSpaceDN w:val="0"/>
        <w:adjustRightInd w:val="0"/>
        <w:spacing w:line="360" w:lineRule="exact"/>
        <w:ind w:firstLine="420" w:firstLineChars="200"/>
        <w:outlineLvl w:val="9"/>
        <w:rPr>
          <w:rStyle w:val="24"/>
          <w:rFonts w:hint="default" w:ascii="Times New Roman" w:hAnsi="Times New Roman" w:cs="Times New Roman"/>
          <w:color w:val="000000"/>
          <w:sz w:val="21"/>
          <w:szCs w:val="21"/>
          <w:highlight w:val="none"/>
        </w:rPr>
      </w:pPr>
      <w:r>
        <w:rPr>
          <w:rStyle w:val="24"/>
          <w:rFonts w:hint="default" w:ascii="Times New Roman" w:hAnsi="Times New Roman" w:cs="Times New Roman"/>
          <w:color w:val="000000"/>
          <w:sz w:val="21"/>
          <w:szCs w:val="21"/>
          <w:highlight w:val="none"/>
        </w:rPr>
        <w:t>载气流速：1.0 ml/min</w:t>
      </w:r>
      <w:r>
        <w:rPr>
          <w:rStyle w:val="24"/>
          <w:rFonts w:hint="default" w:ascii="Times New Roman" w:hAnsi="Times New Roman" w:cs="Times New Roman"/>
          <w:color w:val="000000"/>
          <w:sz w:val="21"/>
          <w:szCs w:val="21"/>
          <w:highlight w:val="none"/>
          <w:lang w:eastAsia="zh-CN"/>
        </w:rPr>
        <w:t>（</w:t>
      </w:r>
      <w:r>
        <w:rPr>
          <w:rStyle w:val="24"/>
          <w:rFonts w:hint="default" w:ascii="Times New Roman" w:hAnsi="Times New Roman" w:cs="Times New Roman"/>
          <w:color w:val="000000"/>
          <w:sz w:val="21"/>
          <w:szCs w:val="21"/>
          <w:highlight w:val="none"/>
          <w:lang w:val="en-US" w:eastAsia="zh-CN"/>
        </w:rPr>
        <w:t>恒流</w:t>
      </w:r>
      <w:r>
        <w:rPr>
          <w:rStyle w:val="24"/>
          <w:rFonts w:hint="default" w:ascii="Times New Roman" w:hAnsi="Times New Roman" w:cs="Times New Roman"/>
          <w:color w:val="000000"/>
          <w:sz w:val="21"/>
          <w:szCs w:val="21"/>
          <w:highlight w:val="none"/>
          <w:lang w:eastAsia="zh-CN"/>
        </w:rPr>
        <w:t>）</w:t>
      </w:r>
      <w:r>
        <w:rPr>
          <w:rStyle w:val="24"/>
          <w:rFonts w:hint="default" w:ascii="Times New Roman" w:hAnsi="Times New Roman" w:cs="Times New Roman"/>
          <w:color w:val="000000"/>
          <w:sz w:val="21"/>
          <w:szCs w:val="21"/>
          <w:highlight w:val="none"/>
        </w:rPr>
        <w:t>；</w:t>
      </w:r>
    </w:p>
    <w:p w14:paraId="4D441255">
      <w:pPr>
        <w:autoSpaceDE w:val="0"/>
        <w:autoSpaceDN w:val="0"/>
        <w:adjustRightInd w:val="0"/>
        <w:spacing w:line="360" w:lineRule="exact"/>
        <w:ind w:firstLine="420" w:firstLineChars="200"/>
        <w:outlineLvl w:val="9"/>
        <w:rPr>
          <w:rStyle w:val="24"/>
          <w:rFonts w:hint="default" w:ascii="Times New Roman" w:hAnsi="Times New Roman" w:cs="Times New Roman"/>
          <w:color w:val="000000"/>
          <w:sz w:val="21"/>
          <w:szCs w:val="21"/>
          <w:highlight w:val="none"/>
        </w:rPr>
      </w:pPr>
      <w:r>
        <w:rPr>
          <w:rStyle w:val="24"/>
          <w:rFonts w:hint="default" w:ascii="Times New Roman" w:hAnsi="Times New Roman" w:cs="Times New Roman"/>
          <w:color w:val="000000"/>
          <w:sz w:val="21"/>
          <w:szCs w:val="21"/>
          <w:highlight w:val="none"/>
        </w:rPr>
        <w:t>进样量：1.0 μl；</w:t>
      </w:r>
    </w:p>
    <w:p w14:paraId="056273F5">
      <w:pPr>
        <w:autoSpaceDE w:val="0"/>
        <w:autoSpaceDN w:val="0"/>
        <w:adjustRightInd w:val="0"/>
        <w:spacing w:line="360" w:lineRule="exact"/>
        <w:ind w:firstLine="420" w:firstLineChars="200"/>
        <w:outlineLvl w:val="9"/>
        <w:rPr>
          <w:rStyle w:val="24"/>
          <w:rFonts w:hint="default" w:ascii="Times New Roman" w:hAnsi="Times New Roman" w:cs="Times New Roman"/>
          <w:color w:val="000000"/>
          <w:sz w:val="21"/>
          <w:szCs w:val="21"/>
          <w:highlight w:val="none"/>
        </w:rPr>
      </w:pPr>
      <w:r>
        <w:rPr>
          <w:rStyle w:val="24"/>
          <w:rFonts w:hint="default" w:ascii="Times New Roman" w:hAnsi="Times New Roman" w:cs="Times New Roman"/>
          <w:color w:val="000000"/>
          <w:sz w:val="21"/>
          <w:szCs w:val="21"/>
          <w:highlight w:val="none"/>
        </w:rPr>
        <w:t>色谱柱升温程序：</w:t>
      </w:r>
      <w:r>
        <w:rPr>
          <w:rFonts w:hint="default" w:ascii="Times New Roman" w:hAnsi="Times New Roman" w:cs="Times New Roman"/>
          <w:color w:val="000000"/>
          <w:highlight w:val="none"/>
        </w:rPr>
        <w:t>初始温度40</w:t>
      </w:r>
      <w:r>
        <w:rPr>
          <w:rFonts w:hint="default" w:ascii="Times New Roman" w:hAnsi="Times New Roman" w:cs="Times New Roman"/>
          <w:lang w:val="en-US" w:eastAsia="zh-CN"/>
        </w:rPr>
        <w:t>℃</w:t>
      </w:r>
      <w:r>
        <w:rPr>
          <w:rFonts w:hint="default" w:ascii="Times New Roman" w:hAnsi="Times New Roman" w:cs="Times New Roman"/>
          <w:color w:val="000000"/>
          <w:highlight w:val="none"/>
        </w:rPr>
        <w:t>，保持2 min；以10</w:t>
      </w:r>
      <w:r>
        <w:rPr>
          <w:rFonts w:hint="default" w:ascii="Times New Roman" w:hAnsi="Times New Roman" w:cs="Times New Roman"/>
          <w:lang w:val="en-US" w:eastAsia="zh-CN"/>
        </w:rPr>
        <w:t>℃</w:t>
      </w:r>
      <w:r>
        <w:rPr>
          <w:rFonts w:hint="default" w:ascii="Times New Roman" w:hAnsi="Times New Roman" w:cs="Times New Roman"/>
          <w:color w:val="000000"/>
          <w:highlight w:val="none"/>
        </w:rPr>
        <w:t>/min速率升至90</w:t>
      </w:r>
      <w:r>
        <w:rPr>
          <w:rFonts w:hint="default" w:ascii="Times New Roman" w:hAnsi="Times New Roman" w:cs="Times New Roman"/>
          <w:lang w:val="en-US" w:eastAsia="zh-CN"/>
        </w:rPr>
        <w:t>℃</w:t>
      </w:r>
      <w:r>
        <w:rPr>
          <w:rFonts w:hint="default" w:ascii="Times New Roman" w:hAnsi="Times New Roman" w:cs="Times New Roman"/>
          <w:color w:val="000000"/>
          <w:highlight w:val="none"/>
        </w:rPr>
        <w:t>，保持2 min；以25</w:t>
      </w:r>
      <w:r>
        <w:rPr>
          <w:rFonts w:hint="default" w:ascii="Times New Roman" w:hAnsi="Times New Roman" w:cs="Times New Roman"/>
          <w:lang w:val="en-US" w:eastAsia="zh-CN"/>
        </w:rPr>
        <w:t>℃</w:t>
      </w:r>
      <w:r>
        <w:rPr>
          <w:rFonts w:hint="default" w:ascii="Times New Roman" w:hAnsi="Times New Roman" w:cs="Times New Roman"/>
          <w:color w:val="000000"/>
          <w:highlight w:val="none"/>
        </w:rPr>
        <w:t>/min速率升至180</w:t>
      </w:r>
      <w:r>
        <w:rPr>
          <w:rFonts w:hint="default" w:ascii="Times New Roman" w:hAnsi="Times New Roman" w:cs="Times New Roman"/>
          <w:lang w:val="en-US" w:eastAsia="zh-CN"/>
        </w:rPr>
        <w:t>℃</w:t>
      </w:r>
      <w:r>
        <w:rPr>
          <w:rFonts w:hint="default" w:ascii="Times New Roman" w:hAnsi="Times New Roman" w:cs="Times New Roman"/>
          <w:color w:val="000000"/>
          <w:highlight w:val="none"/>
        </w:rPr>
        <w:t>；以5</w:t>
      </w:r>
      <w:r>
        <w:rPr>
          <w:rFonts w:hint="default" w:ascii="Times New Roman" w:hAnsi="Times New Roman" w:cs="Times New Roman"/>
          <w:lang w:val="en-US" w:eastAsia="zh-CN"/>
        </w:rPr>
        <w:t>℃</w:t>
      </w:r>
      <w:r>
        <w:rPr>
          <w:rFonts w:hint="default" w:ascii="Times New Roman" w:hAnsi="Times New Roman" w:cs="Times New Roman"/>
          <w:color w:val="000000"/>
          <w:highlight w:val="none"/>
        </w:rPr>
        <w:t>/min速率升至280</w:t>
      </w:r>
      <w:r>
        <w:rPr>
          <w:rFonts w:hint="default" w:ascii="Times New Roman" w:hAnsi="Times New Roman" w:cs="Times New Roman"/>
          <w:lang w:val="en-US" w:eastAsia="zh-CN"/>
        </w:rPr>
        <w:t>℃</w:t>
      </w:r>
      <w:r>
        <w:rPr>
          <w:rFonts w:hint="default" w:ascii="Times New Roman" w:hAnsi="Times New Roman" w:cs="Times New Roman"/>
          <w:color w:val="000000"/>
          <w:highlight w:val="none"/>
        </w:rPr>
        <w:t>，保持5 min；以5</w:t>
      </w:r>
      <w:r>
        <w:rPr>
          <w:rFonts w:hint="default" w:ascii="Times New Roman" w:hAnsi="Times New Roman" w:cs="Times New Roman"/>
          <w:lang w:val="en-US" w:eastAsia="zh-CN"/>
        </w:rPr>
        <w:t>℃</w:t>
      </w:r>
      <w:r>
        <w:rPr>
          <w:rFonts w:hint="default" w:ascii="Times New Roman" w:hAnsi="Times New Roman" w:cs="Times New Roman"/>
          <w:color w:val="000000"/>
          <w:highlight w:val="none"/>
        </w:rPr>
        <w:t>/min速率升至290</w:t>
      </w:r>
      <w:r>
        <w:rPr>
          <w:rFonts w:hint="default" w:ascii="Times New Roman" w:hAnsi="Times New Roman" w:cs="Times New Roman"/>
          <w:lang w:val="en-US" w:eastAsia="zh-CN"/>
        </w:rPr>
        <w:t>℃</w:t>
      </w:r>
      <w:r>
        <w:rPr>
          <w:rFonts w:hint="default" w:ascii="Times New Roman" w:hAnsi="Times New Roman" w:cs="Times New Roman"/>
          <w:color w:val="000000"/>
          <w:highlight w:val="none"/>
        </w:rPr>
        <w:t>，保持5 min。</w:t>
      </w:r>
    </w:p>
    <w:p w14:paraId="1A5CC2FE">
      <w:pPr>
        <w:pStyle w:val="7"/>
        <w:spacing w:line="360" w:lineRule="exact"/>
        <w:ind w:firstLine="420" w:firstLineChars="200"/>
        <w:jc w:val="both"/>
        <w:outlineLvl w:val="9"/>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质谱仪参考条件</w:t>
      </w:r>
      <w:r>
        <w:rPr>
          <w:rFonts w:hint="default" w:ascii="Times New Roman" w:hAnsi="Times New Roman" w:cs="Times New Roman"/>
          <w:color w:val="000000"/>
          <w:highlight w:val="none"/>
          <w:lang w:eastAsia="zh-CN"/>
        </w:rPr>
        <w:t>：</w:t>
      </w:r>
    </w:p>
    <w:p w14:paraId="2E9EEAD9">
      <w:pPr>
        <w:autoSpaceDE w:val="0"/>
        <w:autoSpaceDN w:val="0"/>
        <w:adjustRightInd w:val="0"/>
        <w:spacing w:line="360" w:lineRule="exact"/>
        <w:ind w:firstLine="420" w:firstLineChars="200"/>
        <w:rPr>
          <w:rFonts w:hint="default" w:ascii="Times New Roman" w:hAnsi="Times New Roman" w:cs="Times New Roman"/>
          <w:color w:val="000000"/>
          <w:highlight w:val="none"/>
        </w:rPr>
      </w:pPr>
      <w:r>
        <w:rPr>
          <w:rFonts w:hint="default" w:ascii="Times New Roman" w:hAnsi="Times New Roman" w:cs="Times New Roman"/>
          <w:color w:val="000000"/>
          <w:highlight w:val="none"/>
        </w:rPr>
        <w:t>传输线温度：280</w:t>
      </w:r>
      <w:r>
        <w:rPr>
          <w:rFonts w:hint="default" w:ascii="Times New Roman" w:hAnsi="Times New Roman" w:cs="Times New Roman"/>
          <w:lang w:val="en-US" w:eastAsia="zh-CN"/>
        </w:rPr>
        <w:t>℃</w:t>
      </w:r>
      <w:r>
        <w:rPr>
          <w:rFonts w:hint="default" w:ascii="Times New Roman" w:hAnsi="Times New Roman" w:cs="Times New Roman"/>
          <w:color w:val="000000"/>
          <w:highlight w:val="none"/>
        </w:rPr>
        <w:t>；离子源温度：300</w:t>
      </w:r>
      <w:r>
        <w:rPr>
          <w:rFonts w:hint="default" w:ascii="Times New Roman" w:hAnsi="Times New Roman" w:cs="Times New Roman"/>
          <w:lang w:val="en-US" w:eastAsia="zh-CN"/>
        </w:rPr>
        <w:t>℃</w:t>
      </w:r>
      <w:r>
        <w:rPr>
          <w:rFonts w:hint="default" w:ascii="Times New Roman" w:hAnsi="Times New Roman" w:cs="Times New Roman"/>
          <w:color w:val="000000"/>
          <w:highlight w:val="none"/>
        </w:rPr>
        <w:t>；电离电压：70 eV；数据采集模式：选择离子扫描（SIM）模式</w:t>
      </w:r>
      <w:r>
        <w:rPr>
          <w:rFonts w:hint="default" w:ascii="Times New Roman" w:hAnsi="Times New Roman" w:cs="Times New Roman"/>
          <w:color w:val="000000"/>
          <w:szCs w:val="21"/>
          <w:highlight w:val="none"/>
        </w:rPr>
        <w:t>。</w:t>
      </w:r>
    </w:p>
    <w:p w14:paraId="09505796">
      <w:pPr>
        <w:autoSpaceDE w:val="0"/>
        <w:autoSpaceDN w:val="0"/>
        <w:adjustRightInd w:val="0"/>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目标物定量参数见表</w:t>
      </w:r>
      <w:r>
        <w:rPr>
          <w:rFonts w:hint="eastAsia" w:cs="Times New Roman"/>
          <w:color w:val="000000"/>
          <w:szCs w:val="21"/>
          <w:highlight w:val="none"/>
          <w:lang w:val="en-US" w:eastAsia="zh-CN"/>
        </w:rPr>
        <w:t>15</w:t>
      </w:r>
      <w:r>
        <w:rPr>
          <w:rFonts w:hint="default" w:ascii="Times New Roman" w:hAnsi="Times New Roman" w:cs="Times New Roman"/>
          <w:color w:val="000000"/>
          <w:szCs w:val="21"/>
          <w:highlight w:val="none"/>
        </w:rPr>
        <w:t>。</w:t>
      </w:r>
    </w:p>
    <w:p w14:paraId="55CCD67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表</w:t>
      </w:r>
      <w:r>
        <w:rPr>
          <w:rFonts w:hint="eastAsia" w:ascii="Times New Roman" w:hAnsi="Times New Roman" w:eastAsia="黑体" w:cs="Times New Roman"/>
          <w:color w:val="000000"/>
          <w:szCs w:val="21"/>
          <w:highlight w:val="none"/>
          <w:lang w:val="en-US" w:eastAsia="zh-CN"/>
        </w:rPr>
        <w:t>15</w:t>
      </w:r>
      <w:r>
        <w:rPr>
          <w:rFonts w:hint="default" w:ascii="Times New Roman" w:hAnsi="Times New Roman" w:eastAsia="黑体" w:cs="Times New Roman"/>
          <w:color w:val="000000"/>
          <w:szCs w:val="21"/>
          <w:highlight w:val="none"/>
          <w:lang w:val="en-US" w:eastAsia="zh-CN"/>
        </w:rPr>
        <w:t xml:space="preserve">  目标化合物的定量参数</w:t>
      </w:r>
    </w:p>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731"/>
        <w:gridCol w:w="1369"/>
        <w:gridCol w:w="1408"/>
        <w:gridCol w:w="1408"/>
        <w:gridCol w:w="1125"/>
      </w:tblGrid>
      <w:tr w14:paraId="69450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dxa"/>
            <w:tcBorders>
              <w:tl2br w:val="nil"/>
              <w:tr2bl w:val="nil"/>
            </w:tcBorders>
            <w:vAlign w:val="center"/>
          </w:tcPr>
          <w:p w14:paraId="0B9712C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序号</w:t>
            </w:r>
          </w:p>
        </w:tc>
        <w:tc>
          <w:tcPr>
            <w:tcW w:w="2731" w:type="dxa"/>
            <w:tcBorders>
              <w:tl2br w:val="nil"/>
              <w:tr2bl w:val="nil"/>
            </w:tcBorders>
            <w:vAlign w:val="center"/>
          </w:tcPr>
          <w:p w14:paraId="71E4144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目标化合物中文名称</w:t>
            </w:r>
          </w:p>
        </w:tc>
        <w:tc>
          <w:tcPr>
            <w:tcW w:w="1369" w:type="dxa"/>
            <w:tcBorders>
              <w:tl2br w:val="nil"/>
              <w:tr2bl w:val="nil"/>
            </w:tcBorders>
            <w:vAlign w:val="center"/>
          </w:tcPr>
          <w:p w14:paraId="297D505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CAS No.</w:t>
            </w:r>
          </w:p>
        </w:tc>
        <w:tc>
          <w:tcPr>
            <w:tcW w:w="1408" w:type="dxa"/>
            <w:tcBorders>
              <w:tl2br w:val="nil"/>
              <w:tr2bl w:val="nil"/>
            </w:tcBorders>
            <w:vAlign w:val="center"/>
          </w:tcPr>
          <w:p w14:paraId="1DB3541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定量离子（m/z）</w:t>
            </w:r>
          </w:p>
        </w:tc>
        <w:tc>
          <w:tcPr>
            <w:tcW w:w="1408" w:type="dxa"/>
            <w:tcBorders>
              <w:tl2br w:val="nil"/>
              <w:tr2bl w:val="nil"/>
            </w:tcBorders>
            <w:vAlign w:val="center"/>
          </w:tcPr>
          <w:p w14:paraId="2A92357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定性离子（m/z）</w:t>
            </w:r>
          </w:p>
        </w:tc>
        <w:tc>
          <w:tcPr>
            <w:tcW w:w="1125" w:type="dxa"/>
            <w:tcBorders>
              <w:tl2br w:val="nil"/>
              <w:tr2bl w:val="nil"/>
            </w:tcBorders>
            <w:vAlign w:val="center"/>
          </w:tcPr>
          <w:p w14:paraId="190D821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类型</w:t>
            </w:r>
          </w:p>
        </w:tc>
      </w:tr>
      <w:tr w14:paraId="6C3BD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dxa"/>
            <w:tcBorders>
              <w:tl2br w:val="nil"/>
              <w:tr2bl w:val="nil"/>
            </w:tcBorders>
            <w:vAlign w:val="center"/>
          </w:tcPr>
          <w:p w14:paraId="7814572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1</w:t>
            </w:r>
          </w:p>
        </w:tc>
        <w:tc>
          <w:tcPr>
            <w:tcW w:w="2731" w:type="dxa"/>
            <w:tcBorders>
              <w:tl2br w:val="nil"/>
              <w:tr2bl w:val="nil"/>
            </w:tcBorders>
            <w:vAlign w:val="center"/>
          </w:tcPr>
          <w:p w14:paraId="22F2BAA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eastAsia="宋体" w:cs="Times New Roman"/>
                <w:snapToGrid w:val="0"/>
                <w:color w:val="000000"/>
                <w:spacing w:val="7"/>
                <w:sz w:val="18"/>
                <w:szCs w:val="18"/>
                <w:lang w:val="en-US" w:eastAsia="zh-CN" w:bidi="ar-SA"/>
              </w:rPr>
              <w:t>2,4,5,6-</w:t>
            </w:r>
            <w:r>
              <w:rPr>
                <w:rFonts w:hint="default" w:ascii="Times New Roman" w:hAnsi="Times New Roman" w:cs="Times New Roman"/>
                <w:color w:val="000000"/>
                <w:sz w:val="18"/>
                <w:szCs w:val="21"/>
                <w:highlight w:val="none"/>
                <w:vertAlign w:val="baseline"/>
                <w:lang w:val="en-US" w:eastAsia="zh-CN" w:bidi="ar"/>
              </w:rPr>
              <w:t>四氯间二甲苯</w:t>
            </w:r>
          </w:p>
        </w:tc>
        <w:tc>
          <w:tcPr>
            <w:tcW w:w="1369" w:type="dxa"/>
            <w:tcBorders>
              <w:tl2br w:val="nil"/>
              <w:tr2bl w:val="nil"/>
            </w:tcBorders>
            <w:vAlign w:val="center"/>
          </w:tcPr>
          <w:p w14:paraId="7307AAF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eastAsia="宋体" w:cs="Times New Roman"/>
                <w:sz w:val="18"/>
                <w:szCs w:val="18"/>
                <w:lang w:eastAsia="zh-CN"/>
              </w:rPr>
              <w:t>877-09-8</w:t>
            </w:r>
          </w:p>
        </w:tc>
        <w:tc>
          <w:tcPr>
            <w:tcW w:w="1408" w:type="dxa"/>
            <w:tcBorders>
              <w:tl2br w:val="nil"/>
              <w:tr2bl w:val="nil"/>
            </w:tcBorders>
            <w:vAlign w:val="center"/>
          </w:tcPr>
          <w:p w14:paraId="0146EF0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207</w:t>
            </w:r>
          </w:p>
        </w:tc>
        <w:tc>
          <w:tcPr>
            <w:tcW w:w="1408" w:type="dxa"/>
            <w:tcBorders>
              <w:tl2br w:val="nil"/>
              <w:tr2bl w:val="nil"/>
            </w:tcBorders>
            <w:vAlign w:val="center"/>
          </w:tcPr>
          <w:p w14:paraId="1F51F71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244</w:t>
            </w:r>
          </w:p>
        </w:tc>
        <w:tc>
          <w:tcPr>
            <w:tcW w:w="1125" w:type="dxa"/>
            <w:tcBorders>
              <w:tl2br w:val="nil"/>
              <w:tr2bl w:val="nil"/>
            </w:tcBorders>
            <w:vAlign w:val="center"/>
          </w:tcPr>
          <w:p w14:paraId="6AEE10E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替代物</w:t>
            </w:r>
          </w:p>
        </w:tc>
      </w:tr>
      <w:tr w14:paraId="2CDB4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dxa"/>
            <w:tcBorders>
              <w:tl2br w:val="nil"/>
              <w:tr2bl w:val="nil"/>
            </w:tcBorders>
            <w:vAlign w:val="center"/>
          </w:tcPr>
          <w:p w14:paraId="2A8F091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2</w:t>
            </w:r>
          </w:p>
        </w:tc>
        <w:tc>
          <w:tcPr>
            <w:tcW w:w="2731" w:type="dxa"/>
            <w:tcBorders>
              <w:tl2br w:val="nil"/>
              <w:tr2bl w:val="nil"/>
            </w:tcBorders>
            <w:vAlign w:val="center"/>
          </w:tcPr>
          <w:p w14:paraId="5CA03A6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auto"/>
                <w:sz w:val="18"/>
                <w:szCs w:val="18"/>
                <w:vertAlign w:val="baseline"/>
                <w:lang w:val="en-US" w:eastAsia="zh-CN"/>
              </w:rPr>
              <w:t>五氯硝基苯</w:t>
            </w:r>
          </w:p>
        </w:tc>
        <w:tc>
          <w:tcPr>
            <w:tcW w:w="1369" w:type="dxa"/>
            <w:tcBorders>
              <w:tl2br w:val="nil"/>
              <w:tr2bl w:val="nil"/>
            </w:tcBorders>
            <w:vAlign w:val="center"/>
          </w:tcPr>
          <w:p w14:paraId="12AB45A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eastAsia="宋体" w:cs="Times New Roman"/>
                <w:sz w:val="18"/>
                <w:szCs w:val="18"/>
                <w:lang w:eastAsia="zh-CN"/>
              </w:rPr>
              <w:t>82-68-8</w:t>
            </w:r>
          </w:p>
        </w:tc>
        <w:tc>
          <w:tcPr>
            <w:tcW w:w="1408" w:type="dxa"/>
            <w:tcBorders>
              <w:tl2br w:val="nil"/>
              <w:tr2bl w:val="nil"/>
            </w:tcBorders>
            <w:vAlign w:val="center"/>
          </w:tcPr>
          <w:p w14:paraId="69AED45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237</w:t>
            </w:r>
          </w:p>
        </w:tc>
        <w:tc>
          <w:tcPr>
            <w:tcW w:w="1408" w:type="dxa"/>
            <w:tcBorders>
              <w:tl2br w:val="nil"/>
              <w:tr2bl w:val="nil"/>
            </w:tcBorders>
            <w:vAlign w:val="center"/>
          </w:tcPr>
          <w:p w14:paraId="3769A63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142、209</w:t>
            </w:r>
          </w:p>
        </w:tc>
        <w:tc>
          <w:tcPr>
            <w:tcW w:w="1125" w:type="dxa"/>
            <w:tcBorders>
              <w:tl2br w:val="nil"/>
              <w:tr2bl w:val="nil"/>
            </w:tcBorders>
            <w:vAlign w:val="center"/>
          </w:tcPr>
          <w:p w14:paraId="5C14B11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内标</w:t>
            </w:r>
          </w:p>
        </w:tc>
      </w:tr>
      <w:tr w14:paraId="63622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dxa"/>
            <w:tcBorders>
              <w:tl2br w:val="nil"/>
              <w:tr2bl w:val="nil"/>
            </w:tcBorders>
            <w:vAlign w:val="center"/>
          </w:tcPr>
          <w:p w14:paraId="07BEB72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3</w:t>
            </w:r>
          </w:p>
        </w:tc>
        <w:tc>
          <w:tcPr>
            <w:tcW w:w="2731" w:type="dxa"/>
            <w:tcBorders>
              <w:tl2br w:val="nil"/>
              <w:tr2bl w:val="nil"/>
            </w:tcBorders>
            <w:vAlign w:val="center"/>
          </w:tcPr>
          <w:p w14:paraId="57229BF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2,4’-二氯二苯甲酮</w:t>
            </w:r>
          </w:p>
          <w:p w14:paraId="158292F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w:t>
            </w:r>
            <w:r>
              <w:rPr>
                <w:rFonts w:hint="default" w:ascii="Times New Roman" w:hAnsi="Times New Roman" w:cs="Times New Roman"/>
                <w:spacing w:val="8"/>
                <w:sz w:val="18"/>
                <w:szCs w:val="18"/>
                <w:lang w:eastAsia="zh-CN"/>
              </w:rPr>
              <w:t>2,4</w:t>
            </w:r>
            <w:r>
              <w:rPr>
                <w:rFonts w:hint="default" w:cs="Times New Roman"/>
                <w:spacing w:val="8"/>
                <w:sz w:val="18"/>
                <w:szCs w:val="18"/>
                <w:lang w:val="en-US" w:eastAsia="zh-CN"/>
              </w:rPr>
              <w:t>’</w:t>
            </w:r>
            <w:r>
              <w:rPr>
                <w:rFonts w:hint="default" w:ascii="Times New Roman" w:hAnsi="Times New Roman" w:cs="Times New Roman"/>
                <w:spacing w:val="8"/>
                <w:sz w:val="18"/>
                <w:szCs w:val="18"/>
                <w:lang w:eastAsia="zh-CN"/>
              </w:rPr>
              <w:t>-三氯杀螨醇</w:t>
            </w:r>
            <w:r>
              <w:rPr>
                <w:rFonts w:hint="default" w:ascii="Times New Roman" w:hAnsi="Times New Roman" w:eastAsia="宋体" w:cs="Times New Roman"/>
                <w:spacing w:val="8"/>
                <w:sz w:val="18"/>
                <w:szCs w:val="18"/>
                <w:lang w:eastAsia="zh-CN"/>
              </w:rPr>
              <w:t>碱解产物</w:t>
            </w:r>
            <w:r>
              <w:rPr>
                <w:rFonts w:hint="default" w:ascii="Times New Roman" w:hAnsi="Times New Roman" w:cs="Times New Roman"/>
                <w:color w:val="auto"/>
                <w:sz w:val="18"/>
                <w:szCs w:val="18"/>
                <w:vertAlign w:val="baseline"/>
                <w:lang w:val="en-US" w:eastAsia="zh-CN"/>
              </w:rPr>
              <w:t>）</w:t>
            </w:r>
          </w:p>
        </w:tc>
        <w:tc>
          <w:tcPr>
            <w:tcW w:w="1369" w:type="dxa"/>
            <w:tcBorders>
              <w:tl2br w:val="nil"/>
              <w:tr2bl w:val="nil"/>
            </w:tcBorders>
            <w:vAlign w:val="center"/>
          </w:tcPr>
          <w:p w14:paraId="56FF020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eastAsia="宋体" w:cs="Times New Roman"/>
                <w:sz w:val="18"/>
                <w:szCs w:val="18"/>
                <w:lang w:eastAsia="zh-CN"/>
              </w:rPr>
              <w:t>19811-05-3</w:t>
            </w:r>
          </w:p>
        </w:tc>
        <w:tc>
          <w:tcPr>
            <w:tcW w:w="1408" w:type="dxa"/>
            <w:tcBorders>
              <w:tl2br w:val="nil"/>
              <w:tr2bl w:val="nil"/>
            </w:tcBorders>
            <w:vAlign w:val="center"/>
          </w:tcPr>
          <w:p w14:paraId="585CCCD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139</w:t>
            </w:r>
          </w:p>
        </w:tc>
        <w:tc>
          <w:tcPr>
            <w:tcW w:w="1408" w:type="dxa"/>
            <w:tcBorders>
              <w:tl2br w:val="nil"/>
              <w:tr2bl w:val="nil"/>
            </w:tcBorders>
            <w:vAlign w:val="center"/>
          </w:tcPr>
          <w:p w14:paraId="4DC2170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141、250</w:t>
            </w:r>
          </w:p>
        </w:tc>
        <w:tc>
          <w:tcPr>
            <w:tcW w:w="1125" w:type="dxa"/>
            <w:tcBorders>
              <w:tl2br w:val="nil"/>
              <w:tr2bl w:val="nil"/>
            </w:tcBorders>
            <w:vAlign w:val="center"/>
          </w:tcPr>
          <w:p w14:paraId="39A029C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目标化合物</w:t>
            </w:r>
          </w:p>
        </w:tc>
      </w:tr>
      <w:tr w14:paraId="42425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9" w:type="dxa"/>
            <w:tcBorders>
              <w:tl2br w:val="nil"/>
              <w:tr2bl w:val="nil"/>
            </w:tcBorders>
            <w:vAlign w:val="center"/>
          </w:tcPr>
          <w:p w14:paraId="35020B7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4</w:t>
            </w:r>
          </w:p>
        </w:tc>
        <w:tc>
          <w:tcPr>
            <w:tcW w:w="2731" w:type="dxa"/>
            <w:tcBorders>
              <w:tl2br w:val="nil"/>
              <w:tr2bl w:val="nil"/>
            </w:tcBorders>
            <w:vAlign w:val="center"/>
          </w:tcPr>
          <w:p w14:paraId="2CA199A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4,4</w:t>
            </w:r>
            <w:r>
              <w:rPr>
                <w:rFonts w:hint="default" w:cs="Times New Roman"/>
                <w:color w:val="auto"/>
                <w:sz w:val="18"/>
                <w:szCs w:val="18"/>
                <w:vertAlign w:val="baseline"/>
                <w:lang w:val="en-US" w:eastAsia="zh-CN"/>
              </w:rPr>
              <w:t>’</w:t>
            </w:r>
            <w:r>
              <w:rPr>
                <w:rFonts w:hint="default" w:ascii="Times New Roman" w:hAnsi="Times New Roman" w:cs="Times New Roman"/>
                <w:color w:val="auto"/>
                <w:sz w:val="18"/>
                <w:szCs w:val="18"/>
                <w:vertAlign w:val="baseline"/>
                <w:lang w:val="en-US" w:eastAsia="zh-CN"/>
              </w:rPr>
              <w:t>-二氯二苯甲酮</w:t>
            </w:r>
          </w:p>
          <w:p w14:paraId="3E0289D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（4,4</w:t>
            </w:r>
            <w:r>
              <w:rPr>
                <w:rFonts w:hint="default" w:cs="Times New Roman"/>
                <w:color w:val="auto"/>
                <w:sz w:val="18"/>
                <w:szCs w:val="18"/>
                <w:vertAlign w:val="baseline"/>
                <w:lang w:val="en-US" w:eastAsia="zh-CN"/>
              </w:rPr>
              <w:t>’</w:t>
            </w:r>
            <w:r>
              <w:rPr>
                <w:rFonts w:hint="default" w:ascii="Times New Roman" w:hAnsi="Times New Roman" w:cs="Times New Roman"/>
                <w:color w:val="auto"/>
                <w:sz w:val="18"/>
                <w:szCs w:val="18"/>
                <w:vertAlign w:val="baseline"/>
                <w:lang w:val="en-US" w:eastAsia="zh-CN"/>
              </w:rPr>
              <w:t>-</w:t>
            </w:r>
            <w:r>
              <w:rPr>
                <w:rFonts w:hint="default" w:ascii="Times New Roman" w:hAnsi="Times New Roman" w:eastAsia="宋体" w:cs="Times New Roman"/>
                <w:spacing w:val="8"/>
                <w:sz w:val="18"/>
                <w:szCs w:val="18"/>
                <w:lang w:eastAsia="zh-CN"/>
              </w:rPr>
              <w:t>三氯杀螨醇碱解产物</w:t>
            </w:r>
            <w:r>
              <w:rPr>
                <w:rFonts w:hint="default" w:ascii="Times New Roman" w:hAnsi="Times New Roman" w:cs="Times New Roman"/>
                <w:color w:val="auto"/>
                <w:sz w:val="18"/>
                <w:szCs w:val="18"/>
                <w:vertAlign w:val="baseline"/>
                <w:lang w:val="en-US" w:eastAsia="zh-CN"/>
              </w:rPr>
              <w:t>）</w:t>
            </w:r>
          </w:p>
        </w:tc>
        <w:tc>
          <w:tcPr>
            <w:tcW w:w="1369" w:type="dxa"/>
            <w:tcBorders>
              <w:tl2br w:val="nil"/>
              <w:tr2bl w:val="nil"/>
            </w:tcBorders>
            <w:vAlign w:val="center"/>
          </w:tcPr>
          <w:p w14:paraId="0B71B23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eastAsia="宋体" w:cs="Times New Roman"/>
                <w:sz w:val="18"/>
                <w:szCs w:val="18"/>
                <w:lang w:eastAsia="zh-CN"/>
              </w:rPr>
              <w:t>90-98-2</w:t>
            </w:r>
          </w:p>
        </w:tc>
        <w:tc>
          <w:tcPr>
            <w:tcW w:w="1408" w:type="dxa"/>
            <w:tcBorders>
              <w:tl2br w:val="nil"/>
              <w:tr2bl w:val="nil"/>
            </w:tcBorders>
            <w:vAlign w:val="center"/>
          </w:tcPr>
          <w:p w14:paraId="0705187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139</w:t>
            </w:r>
          </w:p>
        </w:tc>
        <w:tc>
          <w:tcPr>
            <w:tcW w:w="1408" w:type="dxa"/>
            <w:tcBorders>
              <w:tl2br w:val="nil"/>
              <w:tr2bl w:val="nil"/>
            </w:tcBorders>
            <w:vAlign w:val="center"/>
          </w:tcPr>
          <w:p w14:paraId="78E0B8F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141、250</w:t>
            </w:r>
          </w:p>
        </w:tc>
        <w:tc>
          <w:tcPr>
            <w:tcW w:w="1125" w:type="dxa"/>
            <w:tcBorders>
              <w:tl2br w:val="nil"/>
              <w:tr2bl w:val="nil"/>
            </w:tcBorders>
            <w:vAlign w:val="center"/>
          </w:tcPr>
          <w:p w14:paraId="35C037A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21"/>
                <w:highlight w:val="none"/>
                <w:vertAlign w:val="baseline"/>
                <w:lang w:val="en-US" w:eastAsia="zh-CN" w:bidi="ar"/>
              </w:rPr>
            </w:pPr>
            <w:r>
              <w:rPr>
                <w:rFonts w:hint="default" w:ascii="Times New Roman" w:hAnsi="Times New Roman" w:cs="Times New Roman"/>
                <w:color w:val="000000"/>
                <w:sz w:val="18"/>
                <w:szCs w:val="21"/>
                <w:highlight w:val="none"/>
                <w:vertAlign w:val="baseline"/>
                <w:lang w:val="en-US" w:eastAsia="zh-CN" w:bidi="ar"/>
              </w:rPr>
              <w:t>目标化合物</w:t>
            </w:r>
          </w:p>
        </w:tc>
      </w:tr>
    </w:tbl>
    <w:p w14:paraId="03632066">
      <w:pPr>
        <w:autoSpaceDE w:val="0"/>
        <w:autoSpaceDN w:val="0"/>
        <w:adjustRightInd w:val="0"/>
        <w:snapToGrid w:val="0"/>
        <w:spacing w:line="360" w:lineRule="exact"/>
        <w:ind w:firstLine="420" w:firstLineChars="200"/>
        <w:rPr>
          <w:rFonts w:hint="default" w:ascii="Times New Roman" w:hAnsi="Times New Roman" w:cs="Times New Roman"/>
          <w:color w:val="000000"/>
          <w:kern w:val="0"/>
          <w:szCs w:val="21"/>
          <w:highlight w:val="none"/>
          <w:lang w:val="en-US"/>
        </w:rPr>
      </w:pPr>
      <w:r>
        <w:rPr>
          <w:rFonts w:hint="default" w:ascii="Times New Roman" w:hAnsi="Times New Roman" w:cs="Times New Roman"/>
          <w:color w:val="000000"/>
          <w:kern w:val="0"/>
          <w:szCs w:val="21"/>
          <w:highlight w:val="none"/>
          <w:lang w:eastAsia="zh-CN"/>
        </w:rPr>
        <w:t>（</w:t>
      </w:r>
      <w:r>
        <w:rPr>
          <w:rFonts w:hint="default" w:ascii="Times New Roman" w:hAnsi="Times New Roman" w:cs="Times New Roman"/>
          <w:color w:val="000000"/>
          <w:kern w:val="0"/>
          <w:szCs w:val="21"/>
          <w:highlight w:val="none"/>
          <w:lang w:val="en-US" w:eastAsia="zh-CN"/>
        </w:rPr>
        <w:t>2</w:t>
      </w:r>
      <w:r>
        <w:rPr>
          <w:rFonts w:hint="default" w:ascii="Times New Roman" w:hAnsi="Times New Roman" w:cs="Times New Roman"/>
          <w:color w:val="000000"/>
          <w:kern w:val="0"/>
          <w:szCs w:val="21"/>
          <w:highlight w:val="none"/>
          <w:lang w:eastAsia="zh-CN"/>
        </w:rPr>
        <w:t>）</w:t>
      </w:r>
      <w:r>
        <w:rPr>
          <w:rFonts w:hint="default" w:ascii="Times New Roman" w:hAnsi="Times New Roman" w:cs="Times New Roman"/>
          <w:color w:val="000000"/>
          <w:kern w:val="0"/>
          <w:szCs w:val="21"/>
          <w:highlight w:val="none"/>
          <w:lang w:val="en-US" w:eastAsia="zh-CN"/>
        </w:rPr>
        <w:t>标准系列溶液配制</w:t>
      </w:r>
    </w:p>
    <w:p w14:paraId="589DC228">
      <w:pPr>
        <w:bidi w:val="0"/>
        <w:rPr>
          <w:rFonts w:hint="default" w:ascii="Times New Roman" w:hAnsi="Times New Roman" w:cs="Times New Roman"/>
          <w:lang w:eastAsia="zh-CN"/>
        </w:rPr>
      </w:pPr>
      <w:r>
        <w:rPr>
          <w:rFonts w:hint="default" w:ascii="Times New Roman" w:hAnsi="Times New Roman" w:cs="Times New Roman"/>
          <w:lang w:eastAsia="zh-CN"/>
        </w:rPr>
        <w:t>取5个10</w:t>
      </w:r>
      <w:r>
        <w:rPr>
          <w:rFonts w:hint="default" w:ascii="Times New Roman" w:hAnsi="Times New Roman" w:cs="Times New Roman"/>
          <w:lang w:val="en-US" w:eastAsia="zh-CN"/>
        </w:rPr>
        <w:t xml:space="preserve"> </w:t>
      </w:r>
      <w:r>
        <w:rPr>
          <w:rFonts w:hint="default" w:ascii="Times New Roman" w:hAnsi="Times New Roman" w:cs="Times New Roman"/>
          <w:lang w:eastAsia="zh-CN"/>
        </w:rPr>
        <w:t>ml试管，预先加入1.0</w:t>
      </w:r>
      <w:r>
        <w:rPr>
          <w:rFonts w:hint="default" w:ascii="Times New Roman" w:hAnsi="Times New Roman" w:cs="Times New Roman"/>
          <w:lang w:val="en-US" w:eastAsia="zh-CN"/>
        </w:rPr>
        <w:t xml:space="preserve"> </w:t>
      </w:r>
      <w:r>
        <w:rPr>
          <w:rFonts w:hint="default" w:ascii="Times New Roman" w:hAnsi="Times New Roman" w:cs="Times New Roman"/>
          <w:lang w:eastAsia="zh-CN"/>
        </w:rPr>
        <w:t>ml正己烷溶剂，分别量取适量的三氯杀螨醇标准中间液</w:t>
      </w:r>
      <w:r>
        <w:rPr>
          <w:rFonts w:hint="default" w:ascii="Times New Roman" w:hAnsi="Times New Roman" w:cs="Times New Roman"/>
          <w:lang w:val="en-US" w:eastAsia="zh-CN"/>
        </w:rPr>
        <w:t>和</w:t>
      </w:r>
      <w:r>
        <w:rPr>
          <w:rFonts w:hint="default" w:ascii="Times New Roman" w:hAnsi="Times New Roman" w:cs="Times New Roman"/>
          <w:lang w:eastAsia="zh-CN"/>
        </w:rPr>
        <w:t>替代物中间液，配制成至少5个浓度点的标准系列，三氯杀螨醇和替代物的质量浓度均分别为0.</w:t>
      </w:r>
      <w:r>
        <w:rPr>
          <w:rFonts w:hint="default" w:ascii="Times New Roman" w:hAnsi="Times New Roman" w:cs="Times New Roman"/>
          <w:lang w:val="en-US" w:eastAsia="zh-CN"/>
        </w:rPr>
        <w:t xml:space="preserve">5 </w:t>
      </w:r>
      <w:r>
        <w:rPr>
          <w:rFonts w:hint="default" w:ascii="Times New Roman" w:hAnsi="Times New Roman" w:cs="Times New Roman"/>
          <w:lang w:eastAsia="zh-CN"/>
        </w:rPr>
        <w:t>µg/ml、</w:t>
      </w:r>
      <w:r>
        <w:rPr>
          <w:rFonts w:hint="default" w:ascii="Times New Roman" w:hAnsi="Times New Roman" w:cs="Times New Roman"/>
          <w:lang w:val="en-US" w:eastAsia="zh-CN"/>
        </w:rPr>
        <w:t xml:space="preserve">1.0 </w:t>
      </w:r>
      <w:r>
        <w:rPr>
          <w:rFonts w:hint="default" w:ascii="Times New Roman" w:hAnsi="Times New Roman" w:cs="Times New Roman"/>
          <w:lang w:eastAsia="zh-CN"/>
        </w:rPr>
        <w:t>µg/ml、2.0</w:t>
      </w:r>
      <w:r>
        <w:rPr>
          <w:rFonts w:hint="default" w:ascii="Times New Roman" w:hAnsi="Times New Roman" w:cs="Times New Roman"/>
          <w:lang w:val="en-US" w:eastAsia="zh-CN"/>
        </w:rPr>
        <w:t xml:space="preserve"> </w:t>
      </w:r>
      <w:r>
        <w:rPr>
          <w:rFonts w:hint="default" w:ascii="Times New Roman" w:hAnsi="Times New Roman" w:cs="Times New Roman"/>
          <w:lang w:eastAsia="zh-CN"/>
        </w:rPr>
        <w:t>µg/ml、4.0</w:t>
      </w:r>
      <w:r>
        <w:rPr>
          <w:rFonts w:hint="default" w:ascii="Times New Roman" w:hAnsi="Times New Roman" w:cs="Times New Roman"/>
          <w:lang w:val="en-US" w:eastAsia="zh-CN"/>
        </w:rPr>
        <w:t xml:space="preserve"> </w:t>
      </w:r>
      <w:r>
        <w:rPr>
          <w:rFonts w:hint="default" w:ascii="Times New Roman" w:hAnsi="Times New Roman" w:cs="Times New Roman"/>
          <w:lang w:eastAsia="zh-CN"/>
        </w:rPr>
        <w:t>µg/ml、8.0</w:t>
      </w:r>
      <w:r>
        <w:rPr>
          <w:rFonts w:hint="default" w:ascii="Times New Roman" w:hAnsi="Times New Roman" w:cs="Times New Roman"/>
          <w:lang w:val="en-US" w:eastAsia="zh-CN"/>
        </w:rPr>
        <w:t xml:space="preserve"> </w:t>
      </w:r>
      <w:r>
        <w:rPr>
          <w:rFonts w:hint="default" w:ascii="Times New Roman" w:hAnsi="Times New Roman" w:cs="Times New Roman"/>
          <w:lang w:eastAsia="zh-CN"/>
        </w:rPr>
        <w:t>µg/ml</w:t>
      </w:r>
      <w:r>
        <w:rPr>
          <w:rFonts w:hint="default" w:ascii="Times New Roman" w:hAnsi="Times New Roman" w:cs="Times New Roman"/>
          <w:color w:val="000000"/>
          <w:szCs w:val="21"/>
          <w:highlight w:val="none"/>
        </w:rPr>
        <w:t>（此为参考浓度）</w:t>
      </w:r>
      <w:r>
        <w:rPr>
          <w:rFonts w:hint="default" w:ascii="Times New Roman" w:hAnsi="Times New Roman" w:cs="Times New Roman"/>
          <w:lang w:eastAsia="zh-CN"/>
        </w:rPr>
        <w:t>，按照6.</w:t>
      </w:r>
      <w:r>
        <w:rPr>
          <w:rFonts w:hint="default" w:ascii="Times New Roman" w:hAnsi="Times New Roman" w:cs="Times New Roman"/>
          <w:lang w:val="en-US" w:eastAsia="zh-CN"/>
        </w:rPr>
        <w:t>5.6</w:t>
      </w:r>
      <w:r>
        <w:rPr>
          <w:rFonts w:hint="default" w:ascii="Times New Roman" w:hAnsi="Times New Roman" w:cs="Times New Roman"/>
          <w:lang w:eastAsia="zh-CN"/>
        </w:rPr>
        <w:t>的步骤进行碱解，</w:t>
      </w:r>
      <w:r>
        <w:rPr>
          <w:rFonts w:hint="default" w:ascii="Times New Roman" w:hAnsi="Times New Roman" w:cs="Times New Roman"/>
          <w:lang w:val="en-US" w:eastAsia="zh-CN"/>
        </w:rPr>
        <w:t>最后</w:t>
      </w:r>
      <w:r>
        <w:rPr>
          <w:rFonts w:hint="default" w:ascii="Times New Roman" w:hAnsi="Times New Roman" w:cs="Times New Roman"/>
          <w:lang w:eastAsia="zh-CN"/>
        </w:rPr>
        <w:t>添加</w:t>
      </w:r>
      <w:r>
        <w:rPr>
          <w:rFonts w:hint="default" w:ascii="Times New Roman" w:hAnsi="Times New Roman" w:cs="Times New Roman"/>
          <w:lang w:val="en-US" w:eastAsia="zh-CN"/>
        </w:rPr>
        <w:t>适量的</w:t>
      </w:r>
      <w:r>
        <w:rPr>
          <w:rFonts w:hint="default" w:ascii="Times New Roman" w:hAnsi="Times New Roman" w:cs="Times New Roman"/>
          <w:lang w:eastAsia="zh-CN"/>
        </w:rPr>
        <w:t>内标</w:t>
      </w:r>
      <w:r>
        <w:rPr>
          <w:rFonts w:hint="default" w:ascii="Times New Roman" w:hAnsi="Times New Roman" w:cs="Times New Roman"/>
          <w:lang w:val="en-US" w:eastAsia="zh-CN"/>
        </w:rPr>
        <w:t>中间液，内标</w:t>
      </w:r>
      <w:r>
        <w:rPr>
          <w:rFonts w:hint="default" w:ascii="Times New Roman" w:hAnsi="Times New Roman" w:cs="Times New Roman"/>
          <w:lang w:eastAsia="zh-CN"/>
        </w:rPr>
        <w:t>质量浓度均为2.0 µg/ml。</w:t>
      </w:r>
    </w:p>
    <w:p w14:paraId="6AE1011E">
      <w:pPr>
        <w:numPr>
          <w:ilvl w:val="0"/>
          <w:numId w:val="0"/>
        </w:numPr>
        <w:bidi w:val="0"/>
        <w:ind w:firstLine="420" w:firstLineChars="200"/>
        <w:rPr>
          <w:rFonts w:hint="default" w:ascii="Times New Roman" w:hAnsi="Times New Roman" w:cs="Times New Roman"/>
          <w:lang w:val="en-US" w:eastAsia="zh-CN"/>
        </w:rPr>
      </w:pPr>
      <w:r>
        <w:rPr>
          <w:rFonts w:hint="default" w:ascii="Times New Roman" w:hAnsi="Times New Roman" w:eastAsia="宋体" w:cs="Times New Roman"/>
          <w:kern w:val="2"/>
          <w:sz w:val="21"/>
          <w:szCs w:val="24"/>
          <w:lang w:val="en-US" w:eastAsia="zh-CN" w:bidi="ar-SA"/>
        </w:rPr>
        <w:t>（3）</w:t>
      </w:r>
      <w:r>
        <w:rPr>
          <w:rFonts w:hint="default" w:ascii="Times New Roman" w:hAnsi="Times New Roman" w:cs="Times New Roman"/>
          <w:lang w:val="en-US" w:eastAsia="zh-CN"/>
        </w:rPr>
        <w:t>方法检出限、测定下限</w:t>
      </w:r>
    </w:p>
    <w:p w14:paraId="3520F5EA">
      <w:pPr>
        <w:bidi w:val="0"/>
        <w:rPr>
          <w:rFonts w:hint="default" w:ascii="Times New Roman" w:hAnsi="Times New Roman" w:cs="Times New Roman"/>
          <w:lang w:val="en-US" w:eastAsia="zh-CN"/>
        </w:rPr>
      </w:pPr>
      <w:r>
        <w:rPr>
          <w:rFonts w:hint="default" w:ascii="Times New Roman" w:hAnsi="Times New Roman" w:cs="Times New Roman"/>
          <w:lang w:val="en-US" w:eastAsia="zh-CN"/>
        </w:rPr>
        <w:t>计算平均值、标准偏差、相对标准偏差等，得到检出限和下定下限等各项参数。检出限按式（11）计算。</w:t>
      </w:r>
    </w:p>
    <w:p w14:paraId="04AB2801">
      <w:pPr>
        <w:tabs>
          <w:tab w:val="left" w:pos="2730"/>
        </w:tabs>
        <w:bidi w:val="0"/>
        <w:rPr>
          <w:rFonts w:hint="default" w:ascii="Times New Roman" w:hAnsi="Times New Roman" w:cs="Times New Roman"/>
          <w:color w:val="000000"/>
          <w:szCs w:val="21"/>
          <w:highlight w:val="none"/>
        </w:rPr>
      </w:pPr>
      <w:r>
        <w:rPr>
          <w:rFonts w:hint="default" w:ascii="Times New Roman" w:hAnsi="Times New Roman" w:cs="Times New Roman"/>
          <w:color w:val="000000"/>
          <w:szCs w:val="20"/>
          <w:highlight w:val="none"/>
          <w:lang w:val="en-US" w:eastAsia="zh-CN"/>
        </w:rPr>
        <w:tab/>
      </w:r>
      <w:r>
        <w:rPr>
          <w:rFonts w:hint="default" w:ascii="Times New Roman" w:hAnsi="Times New Roman" w:cs="Times New Roman"/>
          <w:color w:val="000000"/>
          <w:position w:val="-18"/>
          <w:szCs w:val="20"/>
          <w:highlight w:val="none"/>
        </w:rPr>
        <w:object>
          <v:shape id="_x0000_i1120" o:spt="75" type="#_x0000_t75" style="height:19pt;width:98.45pt;" o:ole="t" filled="f" o:preferrelative="t" stroked="f" coordsize="21600,21600">
            <v:path/>
            <v:fill on="f" focussize="0,0"/>
            <v:stroke on="f"/>
            <v:imagedata r:id="rId164" o:title=""/>
            <o:lock v:ext="edit" aspectratio="t"/>
            <w10:wrap type="none"/>
            <w10:anchorlock/>
          </v:shape>
          <o:OLEObject Type="Embed" ProgID="Equation.KSEE3" ShapeID="_x0000_i1120" DrawAspect="Content" ObjectID="_1468075808" r:id="rId163">
            <o:LockedField>false</o:LockedField>
          </o:OLEObject>
        </w:object>
      </w:r>
      <w:r>
        <w:rPr>
          <w:rFonts w:hint="default" w:ascii="Times New Roman" w:hAnsi="Times New Roman" w:cs="Times New Roman"/>
          <w:i/>
          <w:iCs/>
          <w:color w:val="000000"/>
          <w:szCs w:val="21"/>
          <w:highlight w:val="none"/>
        </w:rPr>
        <w:t xml:space="preserve">        </w:t>
      </w:r>
      <w:r>
        <w:rPr>
          <w:rFonts w:hint="default" w:ascii="Times New Roman" w:hAnsi="Times New Roman" w:cs="Times New Roman"/>
          <w:i/>
          <w:iCs/>
          <w:color w:val="000000"/>
          <w:szCs w:val="21"/>
          <w:highlight w:val="none"/>
          <w:lang w:val="en-US" w:eastAsia="zh-CN"/>
        </w:rPr>
        <w:t xml:space="preserve">  </w:t>
      </w:r>
      <w:r>
        <w:rPr>
          <w:rFonts w:hint="default" w:ascii="Times New Roman" w:hAnsi="Times New Roman" w:cs="Times New Roman"/>
          <w:i/>
          <w:iCs/>
          <w:color w:val="000000"/>
          <w:szCs w:val="21"/>
          <w:highlight w:val="none"/>
        </w:rPr>
        <w:t xml:space="preserve">                      </w:t>
      </w:r>
      <w:r>
        <w:rPr>
          <w:rFonts w:hint="default" w:ascii="Times New Roman" w:hAnsi="Times New Roman" w:cs="Times New Roman"/>
          <w:color w:val="000000"/>
          <w:szCs w:val="21"/>
          <w:highlight w:val="none"/>
        </w:rPr>
        <w:t xml:space="preserve"> （11）</w:t>
      </w:r>
    </w:p>
    <w:p w14:paraId="0934E06D">
      <w:pPr>
        <w:spacing w:line="360" w:lineRule="exact"/>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式中：</w:t>
      </w:r>
      <w:r>
        <w:rPr>
          <w:rFonts w:hint="default" w:ascii="Times New Roman" w:hAnsi="Times New Roman" w:cs="Times New Roman"/>
          <w:color w:val="000000"/>
          <w:position w:val="-4"/>
          <w:highlight w:val="none"/>
        </w:rPr>
        <w:object>
          <v:shape id="_x0000_i1121" o:spt="75" type="#_x0000_t75" style="height:11.7pt;width:27.9pt;" o:ole="t" filled="f" o:preferrelative="t" stroked="f" coordsize="21600,21600">
            <v:path/>
            <v:fill on="f" focussize="0,0"/>
            <v:stroke on="f"/>
            <v:imagedata r:id="rId166" o:title=""/>
            <o:lock v:ext="edit" aspectratio="t"/>
            <w10:wrap type="none"/>
            <w10:anchorlock/>
          </v:shape>
          <o:OLEObject Type="Embed" ProgID="Equation.KSEE3" ShapeID="_x0000_i1121" DrawAspect="Content" ObjectID="_1468075809" r:id="rId165">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方法检出限；</w:t>
      </w:r>
    </w:p>
    <w:p w14:paraId="664A63AA">
      <w:pPr>
        <w:tabs>
          <w:tab w:val="left" w:pos="1050"/>
        </w:tabs>
        <w:spacing w:line="360" w:lineRule="exact"/>
        <w:ind w:firstLine="630" w:firstLineChars="300"/>
        <w:rPr>
          <w:rFonts w:hint="default" w:ascii="Times New Roman" w:hAnsi="Times New Roman" w:cs="Times New Roman"/>
          <w:color w:val="000000"/>
          <w:szCs w:val="21"/>
          <w:highlight w:val="none"/>
        </w:rPr>
      </w:pPr>
      <w:r>
        <w:rPr>
          <w:rFonts w:hint="default" w:ascii="Times New Roman" w:hAnsi="Times New Roman" w:cs="Times New Roman"/>
          <w:color w:val="000000"/>
          <w:highlight w:val="none"/>
          <w:lang w:val="en-US" w:eastAsia="zh-CN"/>
        </w:rPr>
        <w:tab/>
      </w:r>
      <w:r>
        <w:rPr>
          <w:rFonts w:hint="default" w:ascii="Times New Roman" w:hAnsi="Times New Roman" w:cs="Times New Roman"/>
          <w:color w:val="000000"/>
          <w:position w:val="-6"/>
          <w:highlight w:val="none"/>
        </w:rPr>
        <w:object>
          <v:shape id="_x0000_i1122" o:spt="75" type="#_x0000_t75" style="height:9.9pt;width:9pt;" o:ole="t" filled="f" o:preferrelative="t" stroked="f" coordsize="21600,21600">
            <v:path/>
            <v:fill on="f" focussize="0,0"/>
            <v:stroke on="f"/>
            <v:imagedata r:id="rId137" o:title=""/>
            <o:lock v:ext="edit" aspectratio="t"/>
            <w10:wrap type="none"/>
            <w10:anchorlock/>
          </v:shape>
          <o:OLEObject Type="Embed" ProgID="Equation.KSEE3" ShapeID="_x0000_i1122" DrawAspect="Content" ObjectID="_1468075810" r:id="rId167">
            <o:LockedField>false</o:LockedField>
          </o:OLEObject>
        </w:object>
      </w:r>
      <w:r>
        <w:rPr>
          <w:rFonts w:hint="default" w:ascii="Times New Roman" w:hAnsi="Times New Roman" w:cs="Times New Roman"/>
          <w:color w:val="000000"/>
          <w:kern w:val="0"/>
          <w:szCs w:val="21"/>
          <w:highlight w:val="none"/>
        </w:rPr>
        <w:t>——样品的平行测定次数；</w:t>
      </w:r>
    </w:p>
    <w:p w14:paraId="16B6CA5F">
      <w:pPr>
        <w:tabs>
          <w:tab w:val="left" w:pos="1050"/>
        </w:tabs>
        <w:spacing w:line="360" w:lineRule="exact"/>
        <w:ind w:firstLine="630" w:firstLineChars="300"/>
        <w:rPr>
          <w:rFonts w:hint="default" w:ascii="Times New Roman" w:hAnsi="Times New Roman" w:cs="Times New Roman"/>
          <w:color w:val="000000"/>
          <w:szCs w:val="21"/>
          <w:highlight w:val="none"/>
        </w:rPr>
      </w:pPr>
      <w:r>
        <w:rPr>
          <w:rFonts w:hint="default" w:ascii="Times New Roman" w:hAnsi="Times New Roman" w:cs="Times New Roman"/>
          <w:i/>
          <w:iCs/>
          <w:color w:val="000000"/>
          <w:szCs w:val="21"/>
          <w:highlight w:val="none"/>
          <w:lang w:val="en-US" w:eastAsia="zh-CN"/>
        </w:rPr>
        <w:tab/>
      </w:r>
      <w:r>
        <w:rPr>
          <w:rFonts w:hint="default" w:ascii="Times New Roman" w:hAnsi="Times New Roman" w:cs="Times New Roman"/>
          <w:i/>
          <w:iCs/>
          <w:color w:val="000000"/>
          <w:position w:val="-6"/>
          <w:szCs w:val="21"/>
          <w:highlight w:val="none"/>
        </w:rPr>
        <w:object>
          <v:shape id="_x0000_i1123" o:spt="75" type="#_x0000_t75" style="height:10.75pt;width:6.25pt;" o:ole="t" filled="f" o:preferrelative="t" stroked="f" coordsize="21600,21600">
            <v:path/>
            <v:fill on="f" focussize="0,0"/>
            <v:stroke on="f"/>
            <v:imagedata r:id="rId139" o:title=""/>
            <o:lock v:ext="edit" aspectratio="t"/>
            <w10:wrap type="none"/>
            <w10:anchorlock/>
          </v:shape>
          <o:OLEObject Type="Embed" ProgID="Equation.KSEE3" ShapeID="_x0000_i1123" DrawAspect="Content" ObjectID="_1468075811" r:id="rId168">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color w:val="000000"/>
          <w:szCs w:val="21"/>
          <w:highlight w:val="none"/>
        </w:rPr>
        <w:t>自由度为</w:t>
      </w:r>
      <w:r>
        <w:rPr>
          <w:rFonts w:hint="default" w:ascii="Times New Roman" w:hAnsi="Times New Roman" w:cs="Times New Roman"/>
          <w:i/>
          <w:iCs/>
          <w:color w:val="000000"/>
          <w:szCs w:val="21"/>
          <w:highlight w:val="none"/>
        </w:rPr>
        <w:t>n</w:t>
      </w:r>
      <w:r>
        <w:rPr>
          <w:rFonts w:hint="default" w:ascii="Times New Roman" w:hAnsi="Times New Roman" w:cs="Times New Roman"/>
          <w:color w:val="000000"/>
          <w:szCs w:val="21"/>
          <w:highlight w:val="none"/>
        </w:rPr>
        <w:t>-1，置信度为99%时的</w:t>
      </w:r>
      <w:r>
        <w:rPr>
          <w:rFonts w:hint="default" w:ascii="Times New Roman" w:hAnsi="Times New Roman" w:cs="Times New Roman"/>
          <w:i/>
          <w:iCs/>
          <w:color w:val="000000"/>
          <w:szCs w:val="21"/>
          <w:highlight w:val="none"/>
        </w:rPr>
        <w:t>t</w:t>
      </w:r>
      <w:r>
        <w:rPr>
          <w:rFonts w:hint="default" w:ascii="Times New Roman" w:hAnsi="Times New Roman" w:cs="Times New Roman"/>
          <w:color w:val="000000"/>
          <w:szCs w:val="21"/>
          <w:highlight w:val="none"/>
        </w:rPr>
        <w:t>分布值（单侧）；</w:t>
      </w:r>
    </w:p>
    <w:p w14:paraId="7C320827">
      <w:pPr>
        <w:tabs>
          <w:tab w:val="left" w:pos="1050"/>
        </w:tabs>
        <w:spacing w:line="360" w:lineRule="exact"/>
        <w:ind w:firstLine="630" w:firstLineChars="300"/>
        <w:rPr>
          <w:rFonts w:hint="default" w:ascii="Times New Roman" w:hAnsi="Times New Roman" w:cs="Times New Roman"/>
          <w:color w:val="000000"/>
          <w:szCs w:val="21"/>
          <w:highlight w:val="none"/>
        </w:rPr>
      </w:pPr>
      <w:r>
        <w:rPr>
          <w:rFonts w:hint="default" w:ascii="Times New Roman" w:hAnsi="Times New Roman" w:cs="Times New Roman"/>
          <w:color w:val="000000"/>
          <w:highlight w:val="none"/>
          <w:lang w:val="en-US" w:eastAsia="zh-CN"/>
        </w:rPr>
        <w:tab/>
      </w:r>
      <w:r>
        <w:rPr>
          <w:rFonts w:hint="default" w:ascii="Times New Roman" w:hAnsi="Times New Roman" w:cs="Times New Roman"/>
          <w:color w:val="000000"/>
          <w:position w:val="-6"/>
          <w:highlight w:val="none"/>
        </w:rPr>
        <w:object>
          <v:shape id="_x0000_i1124" o:spt="75" type="#_x0000_t75" style="height:12.6pt;width:9.9pt;" o:ole="t" filled="f" o:preferrelative="t" stroked="f" coordsize="21600,21600">
            <v:path/>
            <v:fill on="f" focussize="0,0"/>
            <v:stroke on="f"/>
            <v:imagedata r:id="rId131" o:title=""/>
            <o:lock v:ext="edit" aspectratio="t"/>
            <w10:wrap type="none"/>
            <w10:anchorlock/>
          </v:shape>
          <o:OLEObject Type="Embed" ProgID="Equation.KSEE3" ShapeID="_x0000_i1124" DrawAspect="Content" ObjectID="_1468075812" r:id="rId169">
            <o:LockedField>false</o:LockedField>
          </o:OLEObject>
        </w:object>
      </w:r>
      <w:r>
        <w:rPr>
          <w:rFonts w:hint="default" w:ascii="Times New Roman" w:hAnsi="Times New Roman" w:cs="Times New Roman"/>
          <w:color w:val="000000"/>
          <w:kern w:val="0"/>
          <w:szCs w:val="21"/>
          <w:highlight w:val="none"/>
        </w:rPr>
        <w:t>——</w:t>
      </w:r>
      <w:r>
        <w:rPr>
          <w:rFonts w:hint="default" w:ascii="Times New Roman" w:hAnsi="Times New Roman" w:cs="Times New Roman"/>
          <w:i/>
          <w:iCs/>
          <w:color w:val="000000"/>
          <w:kern w:val="0"/>
          <w:szCs w:val="21"/>
          <w:highlight w:val="none"/>
        </w:rPr>
        <w:t>n</w:t>
      </w:r>
      <w:r>
        <w:rPr>
          <w:rFonts w:hint="default" w:ascii="Times New Roman" w:hAnsi="Times New Roman" w:cs="Times New Roman"/>
          <w:color w:val="000000"/>
          <w:kern w:val="0"/>
          <w:szCs w:val="21"/>
          <w:highlight w:val="none"/>
        </w:rPr>
        <w:t>次平行测定的标准偏差</w:t>
      </w:r>
      <w:r>
        <w:rPr>
          <w:rFonts w:hint="default" w:ascii="Times New Roman" w:hAnsi="Times New Roman" w:cs="Times New Roman"/>
          <w:color w:val="000000"/>
          <w:szCs w:val="21"/>
          <w:highlight w:val="none"/>
        </w:rPr>
        <w:t>。</w:t>
      </w:r>
    </w:p>
    <w:p w14:paraId="243BAE2E">
      <w:pPr>
        <w:bidi w:val="0"/>
        <w:rPr>
          <w:rFonts w:hint="default" w:ascii="Times New Roman" w:hAnsi="Times New Roman" w:cs="Times New Roman"/>
        </w:rPr>
      </w:pPr>
      <w:r>
        <w:rPr>
          <w:rFonts w:hint="default" w:ascii="Times New Roman" w:hAnsi="Times New Roman" w:cs="Times New Roman"/>
        </w:rPr>
        <w:t>方法检出限为</w:t>
      </w:r>
      <w:r>
        <w:rPr>
          <w:rFonts w:hint="eastAsia" w:cs="Times New Roman"/>
          <w:lang w:val="en-US" w:eastAsia="zh-CN"/>
        </w:rPr>
        <w:t>6</w:t>
      </w:r>
      <w:r>
        <w:rPr>
          <w:rFonts w:hint="default" w:ascii="Times New Roman" w:hAnsi="Times New Roman" w:cs="Times New Roman"/>
        </w:rPr>
        <w:t>家实验室中各目标化合物检出限的最大值。测定下限为方法检出限的4倍。</w:t>
      </w:r>
    </w:p>
    <w:p w14:paraId="0FBF10A3">
      <w:pPr>
        <w:numPr>
          <w:ilvl w:val="0"/>
          <w:numId w:val="0"/>
        </w:numPr>
        <w:tabs>
          <w:tab w:val="left" w:pos="2730"/>
        </w:tabs>
        <w:bidi w:val="0"/>
        <w:ind w:firstLine="420" w:firstLineChars="200"/>
        <w:rPr>
          <w:rFonts w:hint="default" w:ascii="Times New Roman" w:hAnsi="Times New Roman" w:cs="Times New Roman"/>
          <w:color w:val="000000"/>
          <w:szCs w:val="21"/>
          <w:highlight w:val="none"/>
          <w:lang w:val="en-US" w:eastAsia="zh-CN"/>
        </w:rPr>
      </w:pPr>
      <w:r>
        <w:rPr>
          <w:rFonts w:hint="default" w:ascii="Times New Roman" w:hAnsi="Times New Roman" w:eastAsia="宋体" w:cs="Times New Roman"/>
          <w:color w:val="000000"/>
          <w:kern w:val="2"/>
          <w:sz w:val="21"/>
          <w:szCs w:val="21"/>
          <w:lang w:val="en-US" w:eastAsia="zh-CN" w:bidi="ar-SA"/>
        </w:rPr>
        <w:t>（4）</w:t>
      </w:r>
      <w:r>
        <w:rPr>
          <w:rFonts w:hint="default" w:ascii="Times New Roman" w:hAnsi="Times New Roman" w:cs="Times New Roman"/>
          <w:color w:val="000000"/>
          <w:szCs w:val="21"/>
          <w:highlight w:val="none"/>
          <w:lang w:val="en-US" w:eastAsia="zh-CN"/>
        </w:rPr>
        <w:t>精密度</w:t>
      </w:r>
    </w:p>
    <w:p w14:paraId="5820EC53">
      <w:pPr>
        <w:spacing w:line="360" w:lineRule="exact"/>
        <w:ind w:firstLine="420" w:firstLineChars="200"/>
        <w:contextualSpacing/>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选取空白和土壤样品，对浓度为0.10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mg/kg、0.</w:t>
      </w:r>
      <w:r>
        <w:rPr>
          <w:rFonts w:hint="default" w:ascii="Times New Roman" w:hAnsi="Times New Roman" w:cs="Times New Roman"/>
          <w:color w:val="000000"/>
          <w:szCs w:val="21"/>
          <w:highlight w:val="none"/>
          <w:lang w:val="en-US" w:eastAsia="zh-CN"/>
        </w:rPr>
        <w:t>4</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mg/kg和</w:t>
      </w:r>
      <w:r>
        <w:rPr>
          <w:rFonts w:hint="default" w:ascii="Times New Roman" w:hAnsi="Times New Roman" w:cs="Times New Roman"/>
          <w:color w:val="000000"/>
          <w:szCs w:val="21"/>
          <w:highlight w:val="none"/>
          <w:lang w:val="en-US" w:eastAsia="zh-CN"/>
        </w:rPr>
        <w:t>0.7</w:t>
      </w:r>
      <w:r>
        <w:rPr>
          <w:rFonts w:hint="default" w:ascii="Times New Roman" w:hAnsi="Times New Roman" w:cs="Times New Roman"/>
          <w:color w:val="000000"/>
          <w:szCs w:val="21"/>
          <w:highlight w:val="none"/>
        </w:rPr>
        <w:t>0</w:t>
      </w:r>
      <w:r>
        <w:rPr>
          <w:rFonts w:hint="default" w:ascii="Times New Roman" w:hAnsi="Times New Roman" w:cs="Times New Roman"/>
          <w:color w:val="000000"/>
          <w:highlight w:val="none"/>
        </w:rPr>
        <w:t xml:space="preserve"> </w:t>
      </w:r>
      <w:r>
        <w:rPr>
          <w:rFonts w:hint="default" w:ascii="Times New Roman" w:hAnsi="Times New Roman" w:cs="Times New Roman"/>
          <w:color w:val="000000"/>
          <w:szCs w:val="21"/>
          <w:highlight w:val="none"/>
        </w:rPr>
        <w:t>mg/kg的加标样品进行了分析，每个浓度分别</w:t>
      </w:r>
      <w:r>
        <w:rPr>
          <w:rFonts w:hint="default" w:ascii="Times New Roman" w:hAnsi="Times New Roman" w:cs="Times New Roman"/>
          <w:color w:val="000000"/>
          <w:kern w:val="0"/>
          <w:szCs w:val="21"/>
          <w:highlight w:val="none"/>
        </w:rPr>
        <w:t>做6</w:t>
      </w:r>
      <w:r>
        <w:rPr>
          <w:rFonts w:hint="default" w:ascii="Times New Roman" w:hAnsi="Times New Roman" w:cs="Times New Roman"/>
          <w:color w:val="000000"/>
          <w:szCs w:val="21"/>
          <w:highlight w:val="none"/>
        </w:rPr>
        <w:t>次</w:t>
      </w:r>
      <w:r>
        <w:rPr>
          <w:rFonts w:hint="default" w:ascii="Times New Roman" w:hAnsi="Times New Roman" w:cs="Times New Roman"/>
          <w:color w:val="000000"/>
          <w:kern w:val="0"/>
          <w:szCs w:val="21"/>
          <w:highlight w:val="none"/>
        </w:rPr>
        <w:t>平行测定，</w:t>
      </w:r>
      <w:r>
        <w:rPr>
          <w:rFonts w:hint="default" w:ascii="Times New Roman" w:hAnsi="Times New Roman" w:cs="Times New Roman"/>
          <w:color w:val="000000"/>
          <w:szCs w:val="21"/>
          <w:highlight w:val="none"/>
        </w:rPr>
        <w:t>测定结果剔除离群值后，计算平均值、标准偏差、相对标准偏差、重复性限和再现性限等。</w:t>
      </w:r>
    </w:p>
    <w:p w14:paraId="6BB9DDEA">
      <w:pPr>
        <w:numPr>
          <w:ilvl w:val="0"/>
          <w:numId w:val="0"/>
        </w:numPr>
        <w:bidi w:val="0"/>
        <w:ind w:firstLine="420" w:firstLineChars="200"/>
        <w:rPr>
          <w:rFonts w:hint="default" w:ascii="Times New Roman" w:hAnsi="Times New Roman" w:cs="Times New Roman"/>
          <w:lang w:val="en-US" w:eastAsia="zh-CN"/>
        </w:rPr>
      </w:pPr>
      <w:r>
        <w:rPr>
          <w:rFonts w:hint="default" w:ascii="Times New Roman" w:hAnsi="Times New Roman" w:eastAsia="宋体" w:cs="Times New Roman"/>
          <w:kern w:val="2"/>
          <w:sz w:val="21"/>
          <w:szCs w:val="24"/>
          <w:lang w:val="en-US" w:eastAsia="zh-CN" w:bidi="ar-SA"/>
        </w:rPr>
        <w:t>（5）</w:t>
      </w:r>
      <w:r>
        <w:rPr>
          <w:rFonts w:hint="default" w:ascii="Times New Roman" w:hAnsi="Times New Roman" w:cs="Times New Roman"/>
          <w:lang w:val="en-US" w:eastAsia="zh-CN"/>
        </w:rPr>
        <w:t>正确度</w:t>
      </w:r>
    </w:p>
    <w:p w14:paraId="217A495B">
      <w:pPr>
        <w:bidi w:val="0"/>
        <w:rPr>
          <w:rFonts w:hint="default" w:ascii="Times New Roman" w:hAnsi="Times New Roman" w:cs="Times New Roman"/>
        </w:rPr>
      </w:pPr>
      <w:r>
        <w:rPr>
          <w:rFonts w:hint="default" w:ascii="Times New Roman" w:hAnsi="Times New Roman" w:cs="Times New Roman"/>
        </w:rPr>
        <w:t>选取空白和土壤样品，对浓度为0.10 mg/kg、0.</w:t>
      </w:r>
      <w:r>
        <w:rPr>
          <w:rFonts w:hint="default" w:ascii="Times New Roman" w:hAnsi="Times New Roman" w:cs="Times New Roman"/>
          <w:lang w:val="en-US" w:eastAsia="zh-CN"/>
        </w:rPr>
        <w:t>4</w:t>
      </w:r>
      <w:r>
        <w:rPr>
          <w:rFonts w:hint="default" w:ascii="Times New Roman" w:hAnsi="Times New Roman" w:cs="Times New Roman"/>
        </w:rPr>
        <w:t>0 mg/kg和</w:t>
      </w:r>
      <w:r>
        <w:rPr>
          <w:rFonts w:hint="default" w:ascii="Times New Roman" w:hAnsi="Times New Roman" w:cs="Times New Roman"/>
          <w:lang w:val="en-US" w:eastAsia="zh-CN"/>
        </w:rPr>
        <w:t>0.7</w:t>
      </w:r>
      <w:r>
        <w:rPr>
          <w:rFonts w:hint="default" w:ascii="Times New Roman" w:hAnsi="Times New Roman" w:cs="Times New Roman"/>
        </w:rPr>
        <w:t>0 mg/kg的加标样品进行了分析，每个浓度分别做6次平行测定，对测定结果剔除离群值后，计算平均值、加标回收率。</w:t>
      </w:r>
    </w:p>
    <w:p w14:paraId="4A0DA222">
      <w:pPr>
        <w:autoSpaceDE w:val="0"/>
        <w:autoSpaceDN w:val="0"/>
        <w:adjustRightInd w:val="0"/>
        <w:snapToGrid w:val="0"/>
        <w:spacing w:line="360" w:lineRule="exact"/>
        <w:ind w:firstLine="420" w:firstLineChars="200"/>
        <w:jc w:val="left"/>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编制组对</w:t>
      </w:r>
      <w:r>
        <w:rPr>
          <w:rFonts w:hint="eastAsia" w:cs="Times New Roman"/>
          <w:color w:val="000000"/>
          <w:kern w:val="0"/>
          <w:szCs w:val="21"/>
          <w:highlight w:val="none"/>
          <w:lang w:val="en-US" w:eastAsia="zh-CN"/>
        </w:rPr>
        <w:t>6</w:t>
      </w:r>
      <w:r>
        <w:rPr>
          <w:rFonts w:hint="default" w:ascii="Times New Roman" w:hAnsi="Times New Roman" w:cs="Times New Roman"/>
          <w:color w:val="000000"/>
          <w:kern w:val="0"/>
          <w:szCs w:val="21"/>
          <w:highlight w:val="none"/>
        </w:rPr>
        <w:t>家实验室的数据进行汇总统计分析，得到方法检出限、测定下限、精密度和正确度。</w:t>
      </w:r>
    </w:p>
    <w:p w14:paraId="377A1C8A">
      <w:pPr>
        <w:pStyle w:val="3"/>
        <w:bidi w:val="0"/>
        <w:rPr>
          <w:rFonts w:hint="default" w:ascii="Times New Roman" w:hAnsi="Times New Roman" w:cs="Times New Roman"/>
          <w:lang w:val="en-US" w:eastAsia="zh-CN"/>
        </w:rPr>
      </w:pPr>
      <w:bookmarkStart w:id="107" w:name="_Toc21653"/>
      <w:bookmarkStart w:id="108" w:name="_Toc16391"/>
      <w:bookmarkStart w:id="109" w:name="_Toc6924"/>
      <w:r>
        <w:rPr>
          <w:rFonts w:hint="default" w:ascii="Times New Roman" w:hAnsi="Times New Roman" w:cs="Times New Roman"/>
          <w:lang w:val="en-US" w:eastAsia="zh-CN"/>
        </w:rPr>
        <w:t>7.2  方法验证过程</w:t>
      </w:r>
      <w:bookmarkEnd w:id="107"/>
      <w:bookmarkEnd w:id="108"/>
      <w:bookmarkEnd w:id="109"/>
    </w:p>
    <w:p w14:paraId="140BBBC1">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7.2.1  方法验证的主要工作过程</w:t>
      </w:r>
    </w:p>
    <w:p w14:paraId="53E2423B">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（1）方法验证单位的确定</w:t>
      </w:r>
    </w:p>
    <w:p w14:paraId="3082F945">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不同品牌、不同型号的液相色谱-质谱仪的灵敏度可能会有差异。编制组综合考虑资质、仪器配备情况，筛选了不同品牌仪器、南北不同区域、不同地域级别的</w:t>
      </w:r>
      <w:r>
        <w:rPr>
          <w:rFonts w:hint="eastAsia" w:cs="Times New Roman"/>
          <w:color w:val="000000"/>
          <w:szCs w:val="21"/>
          <w:highlight w:val="none"/>
          <w:lang w:val="en-US" w:eastAsia="zh-CN"/>
        </w:rPr>
        <w:t>6</w:t>
      </w:r>
      <w:r>
        <w:rPr>
          <w:rFonts w:hint="default" w:ascii="Times New Roman" w:hAnsi="Times New Roman" w:cs="Times New Roman"/>
          <w:color w:val="000000"/>
          <w:szCs w:val="21"/>
          <w:highlight w:val="none"/>
        </w:rPr>
        <w:t xml:space="preserve">家有资质的实验室进行方法验证。在方法验证前，对参加验证的实验人员进行了必要的培训，培训内容主要为方法原理、操作步骤及流程。方法验证过程中所用的试剂和材料、仪器和设备及分析步骤均符合标准的相关要求。6家验证实验室依据《土壤  </w:t>
      </w:r>
      <w:r>
        <w:rPr>
          <w:rFonts w:hint="default" w:ascii="Times New Roman" w:hAnsi="Times New Roman" w:cs="Times New Roman"/>
          <w:color w:val="000000"/>
          <w:szCs w:val="21"/>
          <w:highlight w:val="none"/>
          <w:lang w:val="en-US" w:eastAsia="zh-CN"/>
        </w:rPr>
        <w:t>三氯杀螨醇</w:t>
      </w:r>
      <w:r>
        <w:rPr>
          <w:rFonts w:hint="default" w:ascii="Times New Roman" w:hAnsi="Times New Roman" w:cs="Times New Roman"/>
          <w:color w:val="000000"/>
          <w:szCs w:val="21"/>
          <w:highlight w:val="none"/>
        </w:rPr>
        <w:t>的测定  气相色谱-质谱法》验证方案进行</w:t>
      </w:r>
      <w:r>
        <w:rPr>
          <w:rFonts w:hint="default" w:ascii="Times New Roman" w:hAnsi="Times New Roman" w:cs="Times New Roman"/>
          <w:color w:val="000000"/>
          <w:szCs w:val="21"/>
          <w:highlight w:val="none"/>
          <w:lang w:eastAsia="zh-CN"/>
        </w:rPr>
        <w:t>了</w:t>
      </w:r>
      <w:r>
        <w:rPr>
          <w:rFonts w:hint="default" w:ascii="Times New Roman" w:hAnsi="Times New Roman" w:cs="Times New Roman"/>
          <w:color w:val="000000"/>
          <w:szCs w:val="21"/>
          <w:highlight w:val="none"/>
        </w:rPr>
        <w:t>检出限、测定下限、精密度和正确度的验证</w:t>
      </w:r>
      <w:r>
        <w:rPr>
          <w:rFonts w:hint="default" w:ascii="Times New Roman" w:hAnsi="Times New Roman" w:cs="Times New Roman"/>
          <w:color w:val="000000"/>
          <w:highlight w:val="none"/>
        </w:rPr>
        <w:t>试验</w:t>
      </w:r>
      <w:r>
        <w:rPr>
          <w:rFonts w:hint="default" w:ascii="Times New Roman" w:hAnsi="Times New Roman" w:cs="Times New Roman"/>
          <w:color w:val="000000"/>
          <w:szCs w:val="21"/>
          <w:highlight w:val="none"/>
        </w:rPr>
        <w:t>，并按照约定的时间提交了验证报告。</w:t>
      </w:r>
    </w:p>
    <w:p w14:paraId="032BDA06">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（2）《方法验证报告》见附件。</w:t>
      </w:r>
    </w:p>
    <w:p w14:paraId="65B72637">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7.2.2  方法验证数据的取舍</w:t>
      </w:r>
    </w:p>
    <w:p w14:paraId="5205A8C1">
      <w:pPr>
        <w:numPr>
          <w:ilvl w:val="0"/>
          <w:numId w:val="0"/>
        </w:num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eastAsia="宋体" w:cs="Times New Roman"/>
          <w:color w:val="000000"/>
          <w:kern w:val="2"/>
          <w:sz w:val="21"/>
          <w:szCs w:val="21"/>
          <w:lang w:val="en-US" w:eastAsia="zh-CN" w:bidi="ar-SA"/>
        </w:rPr>
        <w:t>（1）</w:t>
      </w:r>
      <w:r>
        <w:rPr>
          <w:rFonts w:hint="default" w:ascii="Times New Roman" w:hAnsi="Times New Roman" w:cs="Times New Roman"/>
          <w:color w:val="000000"/>
          <w:szCs w:val="21"/>
          <w:highlight w:val="none"/>
        </w:rPr>
        <w:t>方法检出限：方法检出限为</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家实验室中各目标化合物检出限的最大值。</w:t>
      </w:r>
    </w:p>
    <w:p w14:paraId="0BA9FC39">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（2）测定下限：方法检出限的4倍。</w:t>
      </w:r>
    </w:p>
    <w:p w14:paraId="3D25EDD9">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（3）编制组在统计</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家实验室的方法验证数据时，依照《测量方法与结果的准确度》（GB/T 6379.2-2004）进行格拉布斯检验，所有数据均无离群值，所有数据均被保留。</w:t>
      </w:r>
    </w:p>
    <w:p w14:paraId="48A750CB">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（4）精密度和正确度的统计结果能满足方法特性指标要求。</w:t>
      </w:r>
    </w:p>
    <w:p w14:paraId="53E1182F">
      <w:pPr>
        <w:pStyle w:val="3"/>
        <w:bidi w:val="0"/>
        <w:rPr>
          <w:rFonts w:hint="default" w:ascii="Times New Roman" w:hAnsi="Times New Roman" w:cs="Times New Roman"/>
          <w:lang w:val="en-US" w:eastAsia="zh-CN"/>
        </w:rPr>
      </w:pPr>
      <w:bookmarkStart w:id="110" w:name="_Toc23759"/>
      <w:bookmarkStart w:id="111" w:name="_Toc29674"/>
      <w:bookmarkStart w:id="112" w:name="_Toc12317"/>
      <w:r>
        <w:rPr>
          <w:rFonts w:hint="default" w:ascii="Times New Roman" w:hAnsi="Times New Roman" w:cs="Times New Roman"/>
          <w:lang w:val="en-US" w:eastAsia="zh-CN"/>
        </w:rPr>
        <w:t>7.3  方法验证结论</w:t>
      </w:r>
      <w:bookmarkEnd w:id="110"/>
      <w:bookmarkEnd w:id="111"/>
      <w:bookmarkEnd w:id="112"/>
    </w:p>
    <w:p w14:paraId="20D1D595">
      <w:pPr>
        <w:autoSpaceDE w:val="0"/>
        <w:autoSpaceDN w:val="0"/>
        <w:adjustRightInd w:val="0"/>
        <w:spacing w:line="360" w:lineRule="exact"/>
        <w:ind w:firstLine="420" w:firstLineChars="200"/>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编制组统计了</w:t>
      </w:r>
      <w:r>
        <w:rPr>
          <w:rFonts w:hint="eastAsia" w:cs="Times New Roman"/>
          <w:color w:val="000000"/>
          <w:kern w:val="0"/>
          <w:szCs w:val="21"/>
          <w:highlight w:val="none"/>
          <w:lang w:val="en-US" w:eastAsia="zh-CN"/>
        </w:rPr>
        <w:t>6</w:t>
      </w:r>
      <w:r>
        <w:rPr>
          <w:rFonts w:hint="default" w:ascii="Times New Roman" w:hAnsi="Times New Roman" w:cs="Times New Roman"/>
          <w:color w:val="000000"/>
          <w:kern w:val="0"/>
          <w:szCs w:val="21"/>
          <w:highlight w:val="none"/>
        </w:rPr>
        <w:t>家实验室的方法验证数据，结果如下：</w:t>
      </w:r>
    </w:p>
    <w:p w14:paraId="75C0D9A9">
      <w:pPr>
        <w:autoSpaceDE w:val="0"/>
        <w:autoSpaceDN w:val="0"/>
        <w:adjustRightInd w:val="0"/>
        <w:spacing w:line="360" w:lineRule="exact"/>
        <w:ind w:firstLine="420" w:firstLineChars="200"/>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（1）检出限及测定下限</w:t>
      </w:r>
    </w:p>
    <w:p w14:paraId="595229CD">
      <w:pPr>
        <w:autoSpaceDE w:val="0"/>
        <w:autoSpaceDN w:val="0"/>
        <w:adjustRightInd w:val="0"/>
        <w:spacing w:line="360" w:lineRule="exact"/>
        <w:ind w:firstLine="420" w:firstLineChars="200"/>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汇总了</w:t>
      </w:r>
      <w:r>
        <w:rPr>
          <w:rFonts w:hint="default" w:ascii="Times New Roman" w:hAnsi="Times New Roman" w:cs="Times New Roman"/>
          <w:color w:val="000000"/>
          <w:kern w:val="0"/>
          <w:szCs w:val="21"/>
          <w:highlight w:val="none"/>
          <w:lang w:val="en-US" w:eastAsia="zh-CN"/>
        </w:rPr>
        <w:t>6</w:t>
      </w:r>
      <w:r>
        <w:rPr>
          <w:rFonts w:hint="default" w:ascii="Times New Roman" w:hAnsi="Times New Roman" w:cs="Times New Roman"/>
          <w:color w:val="000000"/>
          <w:kern w:val="0"/>
          <w:szCs w:val="21"/>
          <w:highlight w:val="none"/>
        </w:rPr>
        <w:t>家实验室方法验证的检出限测试数据，</w:t>
      </w:r>
      <w:r>
        <w:rPr>
          <w:rFonts w:hint="default" w:ascii="Times New Roman" w:hAnsi="Times New Roman" w:cs="Times New Roman"/>
          <w:color w:val="000000"/>
          <w:szCs w:val="21"/>
          <w:highlight w:val="none"/>
        </w:rPr>
        <w:t>检出限为</w:t>
      </w:r>
      <w:bookmarkStart w:id="113" w:name="_Hlk116762417"/>
      <w:r>
        <w:rPr>
          <w:rFonts w:hint="default" w:ascii="Times New Roman" w:hAnsi="Times New Roman" w:cs="Times New Roman"/>
          <w:color w:val="000000"/>
          <w:szCs w:val="21"/>
          <w:highlight w:val="none"/>
        </w:rPr>
        <w:t>0.02 mg/kg</w:t>
      </w:r>
      <w:r>
        <w:rPr>
          <w:rFonts w:hint="default" w:ascii="Times New Roman" w:hAnsi="Times New Roman" w:cs="Times New Roman"/>
          <w:color w:val="000000"/>
          <w:highlight w:val="none"/>
        </w:rPr>
        <w:t>，</w:t>
      </w:r>
      <w:r>
        <w:rPr>
          <w:rFonts w:hint="default" w:ascii="Times New Roman" w:hAnsi="Times New Roman" w:cs="Times New Roman"/>
          <w:color w:val="000000"/>
          <w:szCs w:val="21"/>
          <w:highlight w:val="none"/>
        </w:rPr>
        <w:t>测定下限为0.08 mg/kg</w:t>
      </w:r>
      <w:bookmarkEnd w:id="113"/>
      <w:r>
        <w:rPr>
          <w:rFonts w:hint="default" w:ascii="Times New Roman" w:hAnsi="Times New Roman" w:cs="Times New Roman"/>
          <w:color w:val="000000"/>
          <w:kern w:val="0"/>
          <w:szCs w:val="21"/>
          <w:highlight w:val="none"/>
        </w:rPr>
        <w:t>。</w:t>
      </w:r>
    </w:p>
    <w:p w14:paraId="3228EDAA">
      <w:pPr>
        <w:numPr>
          <w:ilvl w:val="0"/>
          <w:numId w:val="0"/>
        </w:numPr>
        <w:ind w:firstLine="420" w:firstLineChars="200"/>
        <w:rPr>
          <w:rFonts w:hint="default" w:ascii="Times New Roman" w:hAnsi="Times New Roman" w:cs="Times New Roman"/>
          <w:lang w:val="en-US" w:eastAsia="zh-CN"/>
        </w:rPr>
      </w:pPr>
      <w:r>
        <w:rPr>
          <w:rFonts w:hint="default" w:ascii="Times New Roman" w:hAnsi="Times New Roman" w:eastAsia="宋体" w:cs="Times New Roman"/>
          <w:kern w:val="2"/>
          <w:sz w:val="21"/>
          <w:szCs w:val="24"/>
          <w:lang w:val="en-US" w:eastAsia="zh-CN" w:bidi="ar-SA"/>
        </w:rPr>
        <w:t>（2）</w:t>
      </w:r>
      <w:r>
        <w:rPr>
          <w:rFonts w:hint="default" w:ascii="Times New Roman" w:hAnsi="Times New Roman" w:cs="Times New Roman"/>
          <w:lang w:val="en-US" w:eastAsia="zh-CN"/>
        </w:rPr>
        <w:t>精密度</w:t>
      </w:r>
    </w:p>
    <w:p w14:paraId="61BD12CF">
      <w:pPr>
        <w:autoSpaceDE w:val="0"/>
        <w:autoSpaceDN w:val="0"/>
        <w:adjustRightInd w:val="0"/>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val="en-US" w:eastAsia="zh-CN"/>
        </w:rPr>
        <w:t>6</w:t>
      </w:r>
      <w:r>
        <w:rPr>
          <w:rFonts w:hint="default" w:ascii="Times New Roman" w:hAnsi="Times New Roman" w:cs="Times New Roman"/>
          <w:color w:val="000000"/>
          <w:szCs w:val="21"/>
          <w:highlight w:val="none"/>
        </w:rPr>
        <w:t>家实验室分别对加标浓度为</w:t>
      </w:r>
      <w:r>
        <w:rPr>
          <w:rFonts w:hint="default" w:ascii="Times New Roman" w:hAnsi="Times New Roman" w:cs="Times New Roman"/>
          <w:color w:val="000000"/>
          <w:kern w:val="0"/>
          <w:szCs w:val="21"/>
          <w:highlight w:val="none"/>
        </w:rPr>
        <w:t>0.10 mg/kg、0.</w:t>
      </w:r>
      <w:r>
        <w:rPr>
          <w:rFonts w:hint="default" w:ascii="Times New Roman" w:hAnsi="Times New Roman" w:cs="Times New Roman"/>
          <w:color w:val="000000"/>
          <w:kern w:val="0"/>
          <w:szCs w:val="21"/>
          <w:highlight w:val="none"/>
          <w:lang w:val="en-US" w:eastAsia="zh-CN"/>
        </w:rPr>
        <w:t>4</w:t>
      </w:r>
      <w:r>
        <w:rPr>
          <w:rFonts w:hint="default" w:ascii="Times New Roman" w:hAnsi="Times New Roman" w:cs="Times New Roman"/>
          <w:color w:val="000000"/>
          <w:kern w:val="0"/>
          <w:szCs w:val="21"/>
          <w:highlight w:val="none"/>
        </w:rPr>
        <w:t>0</w:t>
      </w:r>
      <w:r>
        <w:rPr>
          <w:rFonts w:hint="default" w:ascii="Times New Roman" w:hAnsi="Times New Roman"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mg/kg和</w:t>
      </w:r>
      <w:r>
        <w:rPr>
          <w:rFonts w:hint="default" w:ascii="Times New Roman" w:hAnsi="Times New Roman" w:cs="Times New Roman"/>
          <w:color w:val="000000"/>
          <w:kern w:val="0"/>
          <w:szCs w:val="21"/>
          <w:highlight w:val="none"/>
          <w:lang w:val="en-US" w:eastAsia="zh-CN"/>
        </w:rPr>
        <w:t>0.7</w:t>
      </w:r>
      <w:r>
        <w:rPr>
          <w:rFonts w:hint="default" w:ascii="Times New Roman" w:hAnsi="Times New Roman" w:cs="Times New Roman"/>
          <w:color w:val="000000"/>
          <w:kern w:val="0"/>
          <w:szCs w:val="21"/>
          <w:highlight w:val="none"/>
        </w:rPr>
        <w:t>0 mg/kg</w:t>
      </w:r>
      <w:r>
        <w:rPr>
          <w:rFonts w:hint="default" w:ascii="Times New Roman" w:hAnsi="Times New Roman" w:cs="Times New Roman"/>
          <w:color w:val="000000"/>
          <w:szCs w:val="21"/>
          <w:highlight w:val="none"/>
        </w:rPr>
        <w:t>的空白样品进行了6次重复测定：实验室内相对标准偏差分别为2.</w:t>
      </w:r>
      <w:r>
        <w:rPr>
          <w:rFonts w:hint="eastAsia" w:cs="Times New Roman"/>
          <w:color w:val="000000"/>
          <w:szCs w:val="21"/>
          <w:highlight w:val="none"/>
          <w:lang w:val="en-US" w:eastAsia="zh-CN"/>
        </w:rPr>
        <w:t>5</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2.7</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4.4</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4.5</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7.0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7.5</w:t>
      </w:r>
      <w:r>
        <w:rPr>
          <w:rFonts w:hint="default" w:ascii="Times New Roman" w:hAnsi="Times New Roman" w:cs="Times New Roman"/>
          <w:color w:val="000000"/>
          <w:szCs w:val="21"/>
          <w:highlight w:val="none"/>
        </w:rPr>
        <w:t>%；实验室间相对标准偏差分别为</w:t>
      </w:r>
      <w:r>
        <w:rPr>
          <w:rFonts w:hint="default" w:ascii="Times New Roman" w:hAnsi="Times New Roman" w:cs="Times New Roman"/>
          <w:szCs w:val="21"/>
          <w:lang w:val="en-US" w:eastAsia="zh-CN"/>
        </w:rPr>
        <w:t>9.0</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0.2</w:t>
      </w:r>
      <w:r>
        <w:rPr>
          <w:rFonts w:hint="default" w:ascii="Times New Roman" w:hAnsi="Times New Roman" w:cs="Times New Roman"/>
          <w:szCs w:val="21"/>
        </w:rPr>
        <w:t>%、</w:t>
      </w:r>
      <w:r>
        <w:rPr>
          <w:rFonts w:hint="default" w:ascii="Times New Roman" w:hAnsi="Times New Roman" w:cs="Times New Roman"/>
          <w:szCs w:val="21"/>
          <w:lang w:val="en-US" w:eastAsia="zh-CN"/>
        </w:rPr>
        <w:t>10.9</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13.8</w:t>
      </w:r>
      <w:r>
        <w:rPr>
          <w:rFonts w:hint="default" w:ascii="Times New Roman" w:hAnsi="Times New Roman" w:cs="Times New Roman"/>
          <w:szCs w:val="21"/>
        </w:rPr>
        <w:t>%和</w:t>
      </w:r>
      <w:r>
        <w:rPr>
          <w:rFonts w:hint="default" w:ascii="Times New Roman" w:hAnsi="Times New Roman" w:cs="Times New Roman"/>
          <w:szCs w:val="21"/>
          <w:lang w:val="en-US" w:eastAsia="zh-CN"/>
        </w:rPr>
        <w:t>8.3</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9.8</w:t>
      </w:r>
      <w:r>
        <w:rPr>
          <w:rFonts w:hint="default" w:ascii="Times New Roman" w:hAnsi="Times New Roman" w:cs="Times New Roman"/>
          <w:szCs w:val="21"/>
        </w:rPr>
        <w:t>%</w:t>
      </w:r>
      <w:r>
        <w:rPr>
          <w:rFonts w:hint="default" w:ascii="Times New Roman" w:hAnsi="Times New Roman" w:cs="Times New Roman"/>
          <w:color w:val="000000"/>
          <w:szCs w:val="21"/>
          <w:highlight w:val="none"/>
        </w:rPr>
        <w:t>；重复性限分别为0.013 mg/kg~0.014 mg/kg、0.052 mg/kg~0.060 mg/kg和0.042 mg/kg~0.057 mg/kg；再现性限分别为0.026 mg/kg~0.027 mg/kg、0.12 mg/kg~0.14 mg/kg和0.16 mg/kg~0.18 mg/kg。</w:t>
      </w:r>
    </w:p>
    <w:p w14:paraId="5A6F7332">
      <w:pPr>
        <w:bidi w:val="0"/>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val="en-US" w:eastAsia="zh-CN"/>
        </w:rPr>
        <w:t>6</w:t>
      </w:r>
      <w:r>
        <w:rPr>
          <w:rFonts w:hint="default" w:ascii="Times New Roman" w:hAnsi="Times New Roman" w:cs="Times New Roman"/>
          <w:color w:val="000000"/>
          <w:szCs w:val="21"/>
          <w:highlight w:val="none"/>
        </w:rPr>
        <w:t>家实验室分别对加标浓度为</w:t>
      </w:r>
      <w:r>
        <w:rPr>
          <w:rFonts w:hint="default" w:ascii="Times New Roman" w:hAnsi="Times New Roman" w:cs="Times New Roman"/>
          <w:color w:val="000000"/>
          <w:kern w:val="0"/>
          <w:szCs w:val="21"/>
          <w:highlight w:val="none"/>
        </w:rPr>
        <w:t>0.10 mg/kg、0.</w:t>
      </w:r>
      <w:r>
        <w:rPr>
          <w:rFonts w:hint="default" w:ascii="Times New Roman" w:hAnsi="Times New Roman" w:cs="Times New Roman"/>
          <w:color w:val="000000"/>
          <w:kern w:val="0"/>
          <w:szCs w:val="21"/>
          <w:highlight w:val="none"/>
          <w:lang w:val="en-US" w:eastAsia="zh-CN"/>
        </w:rPr>
        <w:t>4</w:t>
      </w:r>
      <w:r>
        <w:rPr>
          <w:rFonts w:hint="default" w:ascii="Times New Roman" w:hAnsi="Times New Roman" w:cs="Times New Roman"/>
          <w:color w:val="000000"/>
          <w:kern w:val="0"/>
          <w:szCs w:val="21"/>
          <w:highlight w:val="none"/>
        </w:rPr>
        <w:t>0</w:t>
      </w:r>
      <w:r>
        <w:rPr>
          <w:rFonts w:hint="default" w:ascii="Times New Roman" w:hAnsi="Times New Roman"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mg/kg和</w:t>
      </w:r>
      <w:r>
        <w:rPr>
          <w:rFonts w:hint="default" w:ascii="Times New Roman" w:hAnsi="Times New Roman" w:cs="Times New Roman"/>
          <w:color w:val="000000"/>
          <w:kern w:val="0"/>
          <w:szCs w:val="21"/>
          <w:highlight w:val="none"/>
          <w:lang w:val="en-US" w:eastAsia="zh-CN"/>
        </w:rPr>
        <w:t>0.7</w:t>
      </w:r>
      <w:r>
        <w:rPr>
          <w:rFonts w:hint="default" w:ascii="Times New Roman" w:hAnsi="Times New Roman" w:cs="Times New Roman"/>
          <w:color w:val="000000"/>
          <w:kern w:val="0"/>
          <w:szCs w:val="21"/>
          <w:highlight w:val="none"/>
        </w:rPr>
        <w:t>0 mg/kg</w:t>
      </w:r>
      <w:r>
        <w:rPr>
          <w:rFonts w:hint="default" w:ascii="Times New Roman" w:hAnsi="Times New Roman" w:cs="Times New Roman"/>
          <w:color w:val="000000"/>
          <w:szCs w:val="21"/>
          <w:highlight w:val="none"/>
        </w:rPr>
        <w:t>的土壤样品进行了6次重复测定：实验室内相对标准偏差分别为</w:t>
      </w:r>
      <w:r>
        <w:rPr>
          <w:rFonts w:hint="eastAsia" w:cs="Times New Roman"/>
          <w:color w:val="000000"/>
          <w:szCs w:val="21"/>
          <w:highlight w:val="none"/>
          <w:lang w:val="en-US" w:eastAsia="zh-CN"/>
        </w:rPr>
        <w:t>4.4</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4.7</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11.4</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1</w:t>
      </w:r>
      <w:r>
        <w:rPr>
          <w:rFonts w:hint="eastAsia" w:cs="Times New Roman"/>
          <w:color w:val="000000"/>
          <w:szCs w:val="21"/>
          <w:highlight w:val="none"/>
          <w:lang w:val="en-US" w:eastAsia="zh-CN"/>
        </w:rPr>
        <w:t>3.1</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2.6</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2.7%</w:t>
      </w:r>
      <w:r>
        <w:rPr>
          <w:rFonts w:hint="default" w:ascii="Times New Roman" w:hAnsi="Times New Roman" w:cs="Times New Roman"/>
          <w:color w:val="000000"/>
          <w:szCs w:val="21"/>
          <w:highlight w:val="none"/>
        </w:rPr>
        <w:t>；实验室间相对标准偏差分别为</w:t>
      </w:r>
      <w:r>
        <w:rPr>
          <w:rFonts w:hint="default" w:ascii="Times New Roman" w:hAnsi="Times New Roman" w:cs="Times New Roman"/>
          <w:szCs w:val="21"/>
          <w:lang w:val="en-US" w:eastAsia="zh-CN"/>
        </w:rPr>
        <w:t>9.8</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2.3</w:t>
      </w:r>
      <w:r>
        <w:rPr>
          <w:rFonts w:hint="default" w:ascii="Times New Roman" w:hAnsi="Times New Roman" w:cs="Times New Roman"/>
          <w:szCs w:val="21"/>
        </w:rPr>
        <w:t>%、</w:t>
      </w:r>
      <w:r>
        <w:rPr>
          <w:rFonts w:hint="default" w:ascii="Times New Roman" w:hAnsi="Times New Roman" w:cs="Times New Roman"/>
          <w:szCs w:val="21"/>
          <w:lang w:val="en-US" w:eastAsia="zh-CN"/>
        </w:rPr>
        <w:t>8.4</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3.1</w:t>
      </w:r>
      <w:r>
        <w:rPr>
          <w:rFonts w:hint="default" w:ascii="Times New Roman" w:hAnsi="Times New Roman" w:cs="Times New Roman"/>
          <w:szCs w:val="21"/>
        </w:rPr>
        <w:t>%和</w:t>
      </w:r>
      <w:r>
        <w:rPr>
          <w:rFonts w:hint="default" w:ascii="Times New Roman" w:hAnsi="Times New Roman" w:cs="Times New Roman"/>
          <w:szCs w:val="21"/>
          <w:lang w:val="en-US" w:eastAsia="zh-CN"/>
        </w:rPr>
        <w:t>6.5</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6.8</w:t>
      </w:r>
      <w:r>
        <w:rPr>
          <w:rFonts w:hint="default" w:ascii="Times New Roman" w:hAnsi="Times New Roman" w:cs="Times New Roman"/>
          <w:szCs w:val="21"/>
        </w:rPr>
        <w:t>%</w:t>
      </w:r>
      <w:r>
        <w:rPr>
          <w:rFonts w:hint="default" w:ascii="Times New Roman" w:hAnsi="Times New Roman" w:cs="Times New Roman"/>
          <w:color w:val="000000"/>
          <w:szCs w:val="21"/>
          <w:highlight w:val="none"/>
        </w:rPr>
        <w:t>；重复性限分别为0.0091 mg/kg~0.010 mg/kg、0.022 mg/kg~0.025 mg/kg和0.048 mg/kg~0.050 mg/kg；再现性限分别为0.024 mg/kg~0.031 mg/kg、0.093 mg/kg~0.14 mg/kg和0.14 mg/kg。</w:t>
      </w:r>
    </w:p>
    <w:p w14:paraId="49EE80A1">
      <w:pPr>
        <w:numPr>
          <w:ilvl w:val="0"/>
          <w:numId w:val="0"/>
        </w:numPr>
        <w:bidi w:val="0"/>
        <w:ind w:firstLine="420" w:firstLineChars="200"/>
        <w:rPr>
          <w:rFonts w:hint="default" w:ascii="Times New Roman" w:hAnsi="Times New Roman" w:cs="Times New Roman"/>
          <w:color w:val="000000"/>
          <w:szCs w:val="21"/>
          <w:highlight w:val="none"/>
          <w:lang w:val="en-US" w:eastAsia="zh-CN"/>
        </w:rPr>
      </w:pPr>
      <w:r>
        <w:rPr>
          <w:rFonts w:hint="default" w:ascii="Times New Roman" w:hAnsi="Times New Roman" w:eastAsia="宋体" w:cs="Times New Roman"/>
          <w:color w:val="000000"/>
          <w:kern w:val="2"/>
          <w:sz w:val="21"/>
          <w:szCs w:val="21"/>
          <w:lang w:val="en-US" w:eastAsia="zh-CN" w:bidi="ar-SA"/>
        </w:rPr>
        <w:t>（3）</w:t>
      </w:r>
      <w:r>
        <w:rPr>
          <w:rFonts w:hint="default" w:ascii="Times New Roman" w:hAnsi="Times New Roman" w:cs="Times New Roman"/>
          <w:color w:val="000000"/>
          <w:szCs w:val="21"/>
          <w:highlight w:val="none"/>
          <w:lang w:val="en-US" w:eastAsia="zh-CN"/>
        </w:rPr>
        <w:t>正确度</w:t>
      </w:r>
    </w:p>
    <w:p w14:paraId="17378CCF">
      <w:pPr>
        <w:spacing w:line="360" w:lineRule="exact"/>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lang w:val="en-US" w:eastAsia="zh-CN"/>
        </w:rPr>
        <w:t>6</w:t>
      </w:r>
      <w:r>
        <w:rPr>
          <w:rFonts w:hint="default" w:ascii="Times New Roman" w:hAnsi="Times New Roman" w:cs="Times New Roman"/>
          <w:kern w:val="0"/>
          <w:szCs w:val="21"/>
        </w:rPr>
        <w:t>家实验室分别对加标浓度为</w:t>
      </w:r>
      <w:r>
        <w:rPr>
          <w:rFonts w:hint="default" w:ascii="Times New Roman" w:hAnsi="Times New Roman" w:cs="Times New Roman"/>
          <w:color w:val="000000"/>
          <w:kern w:val="0"/>
          <w:szCs w:val="21"/>
          <w:highlight w:val="none"/>
        </w:rPr>
        <w:t>0.10 mg/kg、0.</w:t>
      </w:r>
      <w:r>
        <w:rPr>
          <w:rFonts w:hint="default" w:ascii="Times New Roman" w:hAnsi="Times New Roman" w:cs="Times New Roman"/>
          <w:color w:val="000000"/>
          <w:kern w:val="0"/>
          <w:szCs w:val="21"/>
          <w:highlight w:val="none"/>
          <w:lang w:val="en-US" w:eastAsia="zh-CN"/>
        </w:rPr>
        <w:t>4</w:t>
      </w:r>
      <w:r>
        <w:rPr>
          <w:rFonts w:hint="default" w:ascii="Times New Roman" w:hAnsi="Times New Roman" w:cs="Times New Roman"/>
          <w:color w:val="000000"/>
          <w:kern w:val="0"/>
          <w:szCs w:val="21"/>
          <w:highlight w:val="none"/>
        </w:rPr>
        <w:t>0</w:t>
      </w:r>
      <w:r>
        <w:rPr>
          <w:rFonts w:hint="default" w:ascii="Times New Roman" w:hAnsi="Times New Roman"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mg/kg和</w:t>
      </w:r>
      <w:r>
        <w:rPr>
          <w:rFonts w:hint="default" w:ascii="Times New Roman" w:hAnsi="Times New Roman" w:cs="Times New Roman"/>
          <w:color w:val="000000"/>
          <w:kern w:val="0"/>
          <w:szCs w:val="21"/>
          <w:highlight w:val="none"/>
          <w:lang w:val="en-US" w:eastAsia="zh-CN"/>
        </w:rPr>
        <w:t>0.7</w:t>
      </w:r>
      <w:r>
        <w:rPr>
          <w:rFonts w:hint="default" w:ascii="Times New Roman" w:hAnsi="Times New Roman" w:cs="Times New Roman"/>
          <w:color w:val="000000"/>
          <w:kern w:val="0"/>
          <w:szCs w:val="21"/>
          <w:highlight w:val="none"/>
        </w:rPr>
        <w:t>0 mg/kg</w:t>
      </w:r>
      <w:r>
        <w:rPr>
          <w:rFonts w:hint="default" w:ascii="Times New Roman" w:hAnsi="Times New Roman" w:cs="Times New Roman"/>
          <w:kern w:val="0"/>
          <w:szCs w:val="21"/>
        </w:rPr>
        <w:t>的空白样品进行了6</w:t>
      </w:r>
      <w:r>
        <w:rPr>
          <w:rFonts w:hint="default" w:ascii="Times New Roman" w:hAnsi="Times New Roman" w:cs="Times New Roman"/>
          <w:szCs w:val="21"/>
        </w:rPr>
        <w:t>次重复</w:t>
      </w:r>
      <w:r>
        <w:rPr>
          <w:rFonts w:hint="default" w:ascii="Times New Roman" w:hAnsi="Times New Roman" w:cs="Times New Roman"/>
          <w:kern w:val="0"/>
          <w:szCs w:val="21"/>
        </w:rPr>
        <w:t>测定：</w:t>
      </w:r>
      <w:r>
        <w:rPr>
          <w:rFonts w:hint="default" w:ascii="Times New Roman" w:hAnsi="Times New Roman" w:cs="Times New Roman"/>
          <w:color w:val="000000"/>
          <w:szCs w:val="21"/>
          <w:highlight w:val="none"/>
        </w:rPr>
        <w:t>实验室内</w:t>
      </w:r>
      <w:r>
        <w:rPr>
          <w:rFonts w:hint="default" w:ascii="Times New Roman" w:hAnsi="Times New Roman" w:cs="Times New Roman"/>
          <w:kern w:val="0"/>
          <w:szCs w:val="21"/>
        </w:rPr>
        <w:t>加标回收率</w:t>
      </w:r>
      <w:r>
        <w:rPr>
          <w:rFonts w:hint="default" w:ascii="Times New Roman" w:hAnsi="Times New Roman" w:cs="Times New Roman"/>
          <w:color w:val="000000"/>
          <w:szCs w:val="21"/>
          <w:highlight w:val="none"/>
        </w:rPr>
        <w:t>分别为</w:t>
      </w:r>
      <w:r>
        <w:rPr>
          <w:rFonts w:hint="eastAsia" w:cs="Times New Roman"/>
          <w:color w:val="000000"/>
          <w:szCs w:val="21"/>
          <w:highlight w:val="none"/>
          <w:lang w:val="en-US" w:eastAsia="zh-CN"/>
        </w:rPr>
        <w:t>58.0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61.0</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61.0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62.0</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84.8</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86.8</w:t>
      </w:r>
      <w:r>
        <w:rPr>
          <w:rFonts w:hint="default" w:ascii="Times New Roman" w:hAnsi="Times New Roman" w:cs="Times New Roman"/>
          <w:color w:val="000000"/>
          <w:szCs w:val="21"/>
          <w:highlight w:val="none"/>
        </w:rPr>
        <w:t>%；实验室间</w:t>
      </w:r>
      <w:r>
        <w:rPr>
          <w:rFonts w:hint="default" w:ascii="Times New Roman" w:hAnsi="Times New Roman" w:cs="Times New Roman"/>
          <w:kern w:val="0"/>
          <w:szCs w:val="21"/>
        </w:rPr>
        <w:t>加标回收率范围分别为</w:t>
      </w:r>
      <w:r>
        <w:rPr>
          <w:rFonts w:hint="default" w:ascii="Times New Roman" w:hAnsi="Times New Roman" w:cs="Times New Roman"/>
          <w:kern w:val="0"/>
          <w:szCs w:val="21"/>
          <w:lang w:val="en-US" w:eastAsia="zh-CN"/>
        </w:rPr>
        <w:t>74.1</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100</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71.8</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w:t>
      </w:r>
      <w:r>
        <w:rPr>
          <w:rFonts w:hint="eastAsia" w:cs="Times New Roman"/>
          <w:kern w:val="0"/>
          <w:szCs w:val="21"/>
          <w:lang w:val="en-US" w:eastAsia="zh-CN"/>
        </w:rPr>
        <w:t>02</w:t>
      </w:r>
      <w:r>
        <w:rPr>
          <w:rFonts w:hint="default" w:ascii="Times New Roman" w:hAnsi="Times New Roman" w:cs="Times New Roman"/>
          <w:kern w:val="0"/>
          <w:szCs w:val="21"/>
        </w:rPr>
        <w:t>%和</w:t>
      </w:r>
      <w:r>
        <w:rPr>
          <w:rFonts w:hint="eastAsia" w:cs="Times New Roman"/>
          <w:kern w:val="0"/>
          <w:szCs w:val="21"/>
          <w:lang w:val="en-US" w:eastAsia="zh-CN"/>
        </w:rPr>
        <w:t>81.3</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103</w:t>
      </w:r>
      <w:r>
        <w:rPr>
          <w:rFonts w:hint="default" w:ascii="Times New Roman" w:hAnsi="Times New Roman" w:cs="Times New Roman"/>
          <w:kern w:val="0"/>
          <w:szCs w:val="21"/>
        </w:rPr>
        <w:t>%，加标回收率最终值分别为</w:t>
      </w:r>
      <w:r>
        <w:rPr>
          <w:rFonts w:hint="default" w:ascii="Times New Roman" w:hAnsi="Times New Roman" w:cs="Times New Roman"/>
          <w:kern w:val="0"/>
          <w:szCs w:val="21"/>
          <w:lang w:val="en-US" w:eastAsia="zh-CN"/>
        </w:rPr>
        <w:t>86.3%</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17.4</w:t>
      </w:r>
      <w:r>
        <w:rPr>
          <w:rFonts w:hint="default" w:ascii="Times New Roman" w:hAnsi="Times New Roman" w:cs="Times New Roman"/>
          <w:kern w:val="0"/>
          <w:szCs w:val="21"/>
        </w:rPr>
        <w:t>%</w:t>
      </w:r>
      <w:r>
        <w:rPr>
          <w:rFonts w:hint="eastAsia" w:cs="Times New Roman"/>
          <w:kern w:val="0"/>
          <w:szCs w:val="21"/>
          <w:lang w:val="en-US" w:eastAsia="zh-CN"/>
        </w:rPr>
        <w:t>~</w:t>
      </w:r>
      <w:r>
        <w:rPr>
          <w:rFonts w:hint="default" w:ascii="Times New Roman" w:hAnsi="Times New Roman" w:cs="Times New Roman"/>
          <w:kern w:val="0"/>
          <w:szCs w:val="21"/>
          <w:lang w:val="en-US" w:eastAsia="zh-CN"/>
        </w:rPr>
        <w:t>8</w:t>
      </w:r>
      <w:r>
        <w:rPr>
          <w:rFonts w:hint="eastAsia" w:cs="Times New Roman"/>
          <w:kern w:val="0"/>
          <w:szCs w:val="21"/>
          <w:lang w:val="en-US" w:eastAsia="zh-CN"/>
        </w:rPr>
        <w:t>8.2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16.0</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85.4%</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18.4</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88.2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24.2</w:t>
      </w:r>
      <w:r>
        <w:rPr>
          <w:rFonts w:hint="default" w:ascii="Times New Roman" w:hAnsi="Times New Roman" w:cs="Times New Roman"/>
          <w:kern w:val="0"/>
          <w:szCs w:val="21"/>
        </w:rPr>
        <w:t>%和</w:t>
      </w:r>
      <w:r>
        <w:rPr>
          <w:rFonts w:hint="eastAsia" w:cs="Times New Roman"/>
          <w:kern w:val="0"/>
          <w:szCs w:val="21"/>
          <w:lang w:val="en-US" w:eastAsia="zh-CN"/>
        </w:rPr>
        <w:t>93.6</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18.4</w:t>
      </w:r>
      <w:r>
        <w:rPr>
          <w:rFonts w:hint="default" w:ascii="Times New Roman" w:hAnsi="Times New Roman" w:cs="Times New Roman"/>
          <w:kern w:val="0"/>
          <w:szCs w:val="21"/>
          <w:lang w:val="en-US" w:eastAsia="zh-CN"/>
        </w:rPr>
        <w:t>%</w:t>
      </w:r>
      <w:r>
        <w:rPr>
          <w:rFonts w:hint="eastAsia" w:cs="Times New Roman"/>
          <w:kern w:val="0"/>
          <w:szCs w:val="21"/>
          <w:lang w:val="en-US" w:eastAsia="zh-CN"/>
        </w:rPr>
        <w:t>~</w:t>
      </w:r>
      <w:r>
        <w:rPr>
          <w:rFonts w:hint="default" w:ascii="Times New Roman" w:hAnsi="Times New Roman" w:cs="Times New Roman"/>
          <w:kern w:val="0"/>
          <w:szCs w:val="21"/>
          <w:lang w:val="en-US" w:eastAsia="zh-CN"/>
        </w:rPr>
        <w:t>95.2%</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16.0</w:t>
      </w:r>
      <w:r>
        <w:rPr>
          <w:rFonts w:hint="default" w:ascii="Times New Roman" w:hAnsi="Times New Roman" w:cs="Times New Roman"/>
          <w:kern w:val="0"/>
          <w:szCs w:val="21"/>
        </w:rPr>
        <w:t>%。</w:t>
      </w:r>
    </w:p>
    <w:p w14:paraId="450CBC5A">
      <w:pPr>
        <w:spacing w:line="360" w:lineRule="exact"/>
        <w:ind w:firstLine="420" w:firstLineChars="200"/>
        <w:rPr>
          <w:rFonts w:hint="default" w:ascii="Times New Roman" w:hAnsi="Times New Roman" w:cs="Times New Roman"/>
          <w:kern w:val="0"/>
          <w:szCs w:val="21"/>
        </w:rPr>
      </w:pPr>
      <w:r>
        <w:rPr>
          <w:rFonts w:hint="eastAsia" w:cs="Times New Roman"/>
          <w:kern w:val="0"/>
          <w:szCs w:val="21"/>
          <w:lang w:val="en-US" w:eastAsia="zh-CN"/>
        </w:rPr>
        <w:t>6</w:t>
      </w:r>
      <w:r>
        <w:rPr>
          <w:rFonts w:hint="default" w:ascii="Times New Roman" w:hAnsi="Times New Roman" w:cs="Times New Roman"/>
          <w:kern w:val="0"/>
          <w:szCs w:val="21"/>
        </w:rPr>
        <w:t>家实验室分别对加标浓度为</w:t>
      </w:r>
      <w:r>
        <w:rPr>
          <w:rFonts w:hint="default" w:ascii="Times New Roman" w:hAnsi="Times New Roman" w:cs="Times New Roman"/>
          <w:color w:val="000000"/>
          <w:kern w:val="0"/>
          <w:szCs w:val="21"/>
          <w:highlight w:val="none"/>
        </w:rPr>
        <w:t>0.10 mg/kg、0.</w:t>
      </w:r>
      <w:r>
        <w:rPr>
          <w:rFonts w:hint="default" w:ascii="Times New Roman" w:hAnsi="Times New Roman" w:cs="Times New Roman"/>
          <w:color w:val="000000"/>
          <w:kern w:val="0"/>
          <w:szCs w:val="21"/>
          <w:highlight w:val="none"/>
          <w:lang w:val="en-US" w:eastAsia="zh-CN"/>
        </w:rPr>
        <w:t>4</w:t>
      </w:r>
      <w:r>
        <w:rPr>
          <w:rFonts w:hint="default" w:ascii="Times New Roman" w:hAnsi="Times New Roman" w:cs="Times New Roman"/>
          <w:color w:val="000000"/>
          <w:kern w:val="0"/>
          <w:szCs w:val="21"/>
          <w:highlight w:val="none"/>
        </w:rPr>
        <w:t>0</w:t>
      </w:r>
      <w:r>
        <w:rPr>
          <w:rFonts w:hint="default" w:ascii="Times New Roman" w:hAnsi="Times New Roman"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mg/kg和</w:t>
      </w:r>
      <w:r>
        <w:rPr>
          <w:rFonts w:hint="default" w:ascii="Times New Roman" w:hAnsi="Times New Roman" w:cs="Times New Roman"/>
          <w:color w:val="000000"/>
          <w:kern w:val="0"/>
          <w:szCs w:val="21"/>
          <w:highlight w:val="none"/>
          <w:lang w:val="en-US" w:eastAsia="zh-CN"/>
        </w:rPr>
        <w:t>0.7</w:t>
      </w:r>
      <w:r>
        <w:rPr>
          <w:rFonts w:hint="default" w:ascii="Times New Roman" w:hAnsi="Times New Roman" w:cs="Times New Roman"/>
          <w:color w:val="000000"/>
          <w:kern w:val="0"/>
          <w:szCs w:val="21"/>
          <w:highlight w:val="none"/>
        </w:rPr>
        <w:t>0 mg/kg</w:t>
      </w:r>
      <w:r>
        <w:rPr>
          <w:rFonts w:hint="default" w:ascii="Times New Roman" w:hAnsi="Times New Roman" w:cs="Times New Roman"/>
          <w:kern w:val="0"/>
          <w:szCs w:val="21"/>
        </w:rPr>
        <w:t>的土壤样品进行了6</w:t>
      </w:r>
      <w:r>
        <w:rPr>
          <w:rFonts w:hint="default" w:ascii="Times New Roman" w:hAnsi="Times New Roman" w:cs="Times New Roman"/>
          <w:szCs w:val="21"/>
        </w:rPr>
        <w:t>次重复</w:t>
      </w:r>
      <w:r>
        <w:rPr>
          <w:rFonts w:hint="default" w:ascii="Times New Roman" w:hAnsi="Times New Roman" w:cs="Times New Roman"/>
          <w:kern w:val="0"/>
          <w:szCs w:val="21"/>
        </w:rPr>
        <w:t>测定：</w:t>
      </w:r>
      <w:r>
        <w:rPr>
          <w:rFonts w:hint="default" w:ascii="Times New Roman" w:hAnsi="Times New Roman" w:cs="Times New Roman"/>
          <w:color w:val="000000"/>
          <w:szCs w:val="21"/>
          <w:highlight w:val="none"/>
        </w:rPr>
        <w:t>实验室内</w:t>
      </w:r>
      <w:r>
        <w:rPr>
          <w:rFonts w:hint="default" w:ascii="Times New Roman" w:hAnsi="Times New Roman" w:cs="Times New Roman"/>
          <w:kern w:val="0"/>
          <w:szCs w:val="21"/>
        </w:rPr>
        <w:t>加标回收率</w:t>
      </w:r>
      <w:r>
        <w:rPr>
          <w:rFonts w:hint="default" w:ascii="Times New Roman" w:hAnsi="Times New Roman" w:cs="Times New Roman"/>
          <w:color w:val="000000"/>
          <w:szCs w:val="21"/>
          <w:highlight w:val="none"/>
        </w:rPr>
        <w:t>分别为</w:t>
      </w:r>
      <w:r>
        <w:rPr>
          <w:rFonts w:hint="eastAsia" w:cs="Times New Roman"/>
          <w:color w:val="000000"/>
          <w:szCs w:val="21"/>
          <w:highlight w:val="none"/>
          <w:lang w:val="en-US" w:eastAsia="zh-CN"/>
        </w:rPr>
        <w:t>69.0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71.0</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90.0</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91.2</w:t>
      </w:r>
      <w:r>
        <w:rPr>
          <w:rFonts w:hint="default" w:ascii="Times New Roman" w:hAnsi="Times New Roman" w:cs="Times New Roman"/>
          <w:color w:val="000000"/>
          <w:szCs w:val="21"/>
          <w:highlight w:val="none"/>
        </w:rPr>
        <w:t>%和</w:t>
      </w:r>
      <w:r>
        <w:rPr>
          <w:rFonts w:hint="eastAsia" w:cs="Times New Roman"/>
          <w:color w:val="000000"/>
          <w:szCs w:val="21"/>
          <w:highlight w:val="none"/>
          <w:lang w:val="en-US" w:eastAsia="zh-CN"/>
        </w:rPr>
        <w:t>92.7</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eastAsia="zh-CN"/>
        </w:rPr>
        <w:t>~</w:t>
      </w:r>
      <w:r>
        <w:rPr>
          <w:rFonts w:hint="eastAsia" w:cs="Times New Roman"/>
          <w:color w:val="000000"/>
          <w:szCs w:val="21"/>
          <w:highlight w:val="none"/>
          <w:lang w:val="en-US" w:eastAsia="zh-CN"/>
        </w:rPr>
        <w:t>96.1</w:t>
      </w:r>
      <w:r>
        <w:rPr>
          <w:rFonts w:hint="default" w:ascii="Times New Roman" w:hAnsi="Times New Roman" w:cs="Times New Roman"/>
          <w:color w:val="000000"/>
          <w:szCs w:val="21"/>
          <w:highlight w:val="none"/>
        </w:rPr>
        <w:t>%；实验室间</w:t>
      </w:r>
      <w:r>
        <w:rPr>
          <w:rFonts w:hint="default" w:ascii="Times New Roman" w:hAnsi="Times New Roman" w:cs="Times New Roman"/>
          <w:kern w:val="0"/>
          <w:szCs w:val="21"/>
        </w:rPr>
        <w:t>加标回收率范围分别为</w:t>
      </w:r>
      <w:r>
        <w:rPr>
          <w:rFonts w:hint="default" w:ascii="Times New Roman" w:hAnsi="Times New Roman" w:cs="Times New Roman"/>
          <w:kern w:val="0"/>
          <w:szCs w:val="21"/>
          <w:lang w:val="en-US" w:eastAsia="zh-CN"/>
        </w:rPr>
        <w:t>71.0</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9</w:t>
      </w:r>
      <w:r>
        <w:rPr>
          <w:rFonts w:hint="eastAsia" w:cs="Times New Roman"/>
          <w:kern w:val="0"/>
          <w:szCs w:val="21"/>
          <w:lang w:val="en-US" w:eastAsia="zh-CN"/>
        </w:rPr>
        <w:t>7.8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79.8</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113</w:t>
      </w:r>
      <w:r>
        <w:rPr>
          <w:rFonts w:hint="default" w:ascii="Times New Roman" w:hAnsi="Times New Roman" w:cs="Times New Roman"/>
          <w:kern w:val="0"/>
          <w:szCs w:val="21"/>
        </w:rPr>
        <w:t>%和</w:t>
      </w:r>
      <w:r>
        <w:rPr>
          <w:rFonts w:hint="eastAsia" w:cs="Times New Roman"/>
          <w:kern w:val="0"/>
          <w:szCs w:val="21"/>
          <w:lang w:val="en-US" w:eastAsia="zh-CN"/>
        </w:rPr>
        <w:t>94.9</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113</w:t>
      </w:r>
      <w:r>
        <w:rPr>
          <w:rFonts w:hint="default" w:ascii="Times New Roman" w:hAnsi="Times New Roman" w:cs="Times New Roman"/>
          <w:kern w:val="0"/>
          <w:szCs w:val="21"/>
        </w:rPr>
        <w:t>%，加标回收率最终值分别为</w:t>
      </w:r>
      <w:r>
        <w:rPr>
          <w:rFonts w:hint="default" w:ascii="Times New Roman" w:hAnsi="Times New Roman" w:cs="Times New Roman"/>
          <w:kern w:val="0"/>
          <w:szCs w:val="21"/>
          <w:lang w:val="en-US" w:eastAsia="zh-CN"/>
        </w:rPr>
        <w:t>83.8%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w:t>
      </w:r>
      <w:r>
        <w:rPr>
          <w:rFonts w:hint="eastAsia" w:cs="Times New Roman"/>
          <w:kern w:val="0"/>
          <w:szCs w:val="21"/>
          <w:lang w:val="en-US" w:eastAsia="zh-CN"/>
        </w:rPr>
        <w:t>4</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84.0%</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20.8%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92.5%</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24.</w:t>
      </w:r>
      <w:r>
        <w:rPr>
          <w:rFonts w:hint="eastAsia" w:cs="Times New Roman"/>
          <w:kern w:val="0"/>
          <w:szCs w:val="21"/>
          <w:lang w:val="en-US" w:eastAsia="zh-CN"/>
        </w:rPr>
        <w:t>1</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96.7%</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16.5%</w:t>
      </w:r>
      <w:r>
        <w:rPr>
          <w:rFonts w:hint="default" w:ascii="Times New Roman" w:hAnsi="Times New Roman" w:cs="Times New Roman"/>
          <w:kern w:val="0"/>
          <w:szCs w:val="21"/>
        </w:rPr>
        <w:t>和</w:t>
      </w:r>
      <w:r>
        <w:rPr>
          <w:rFonts w:hint="eastAsia" w:cs="Times New Roman"/>
          <w:kern w:val="0"/>
          <w:szCs w:val="21"/>
          <w:lang w:val="en-US" w:eastAsia="zh-CN"/>
        </w:rPr>
        <w:t>102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w:t>
      </w:r>
      <w:r>
        <w:rPr>
          <w:rFonts w:hint="eastAsia" w:cs="Times New Roman"/>
          <w:kern w:val="0"/>
          <w:szCs w:val="21"/>
          <w:lang w:val="en-US" w:eastAsia="zh-CN"/>
        </w:rPr>
        <w:t>3.9</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102%</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13.3%</w:t>
      </w:r>
      <w:r>
        <w:rPr>
          <w:rFonts w:hint="default" w:ascii="Times New Roman" w:hAnsi="Times New Roman" w:cs="Times New Roman"/>
          <w:kern w:val="0"/>
          <w:szCs w:val="21"/>
        </w:rPr>
        <w:t>。</w:t>
      </w:r>
    </w:p>
    <w:p w14:paraId="3070BE9A">
      <w:pPr>
        <w:autoSpaceDE w:val="0"/>
        <w:autoSpaceDN w:val="0"/>
        <w:adjustRightInd w:val="0"/>
        <w:snapToGrid w:val="0"/>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本方法各项特性指标均达到预期要求，《方法验证报告》见附件。</w:t>
      </w:r>
    </w:p>
    <w:p w14:paraId="30437052">
      <w:pPr>
        <w:pStyle w:val="2"/>
        <w:bidi w:val="0"/>
        <w:rPr>
          <w:rFonts w:hint="default" w:ascii="Times New Roman" w:hAnsi="Times New Roman" w:cs="Times New Roman"/>
          <w:lang w:val="en-US" w:eastAsia="zh-CN"/>
        </w:rPr>
      </w:pPr>
      <w:bookmarkStart w:id="114" w:name="_Toc15630"/>
      <w:bookmarkStart w:id="115" w:name="_Toc12155"/>
      <w:bookmarkStart w:id="116" w:name="_Toc25379"/>
      <w:r>
        <w:rPr>
          <w:rFonts w:hint="default" w:ascii="Times New Roman" w:hAnsi="Times New Roman" w:cs="Times New Roman"/>
          <w:lang w:val="en-US" w:eastAsia="zh-CN"/>
        </w:rPr>
        <w:t>8  贯彻措施及预期结果</w:t>
      </w:r>
      <w:bookmarkEnd w:id="114"/>
      <w:bookmarkEnd w:id="115"/>
      <w:bookmarkEnd w:id="116"/>
    </w:p>
    <w:p w14:paraId="60C009AA">
      <w:pPr>
        <w:pStyle w:val="3"/>
        <w:bidi w:val="0"/>
        <w:rPr>
          <w:rFonts w:hint="default" w:ascii="Times New Roman" w:hAnsi="Times New Roman" w:cs="Times New Roman"/>
          <w:lang w:val="en-US" w:eastAsia="zh-CN"/>
        </w:rPr>
      </w:pPr>
      <w:bookmarkStart w:id="117" w:name="_Toc26415"/>
      <w:bookmarkStart w:id="118" w:name="_Toc17917"/>
      <w:bookmarkStart w:id="119" w:name="_Toc7018"/>
      <w:r>
        <w:rPr>
          <w:rFonts w:hint="default" w:ascii="Times New Roman" w:hAnsi="Times New Roman" w:cs="Times New Roman"/>
          <w:lang w:val="en-US" w:eastAsia="zh-CN"/>
        </w:rPr>
        <w:t>8.1  推广应用</w:t>
      </w:r>
      <w:bookmarkEnd w:id="117"/>
      <w:bookmarkEnd w:id="118"/>
      <w:bookmarkEnd w:id="119"/>
    </w:p>
    <w:p w14:paraId="52F3B698">
      <w:pP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本标准为现阶段指导性技术规范，首次制定。建议标准发布实施后，根据标准实施情况适时对本标准进行修订，同步加强相关科学研究。</w:t>
      </w:r>
    </w:p>
    <w:p w14:paraId="320167C6">
      <w:pPr>
        <w:pStyle w:val="3"/>
        <w:bidi w:val="0"/>
        <w:rPr>
          <w:rFonts w:hint="default" w:ascii="Times New Roman" w:hAnsi="Times New Roman" w:cs="Times New Roman"/>
          <w:lang w:val="en-US" w:eastAsia="zh-CN"/>
        </w:rPr>
      </w:pPr>
      <w:bookmarkStart w:id="120" w:name="_Toc1386"/>
      <w:bookmarkStart w:id="121" w:name="_Toc28831"/>
      <w:bookmarkStart w:id="122" w:name="_Toc29153"/>
      <w:r>
        <w:rPr>
          <w:rFonts w:hint="default" w:ascii="Times New Roman" w:hAnsi="Times New Roman" w:cs="Times New Roman"/>
          <w:lang w:val="en-US" w:eastAsia="zh-CN"/>
        </w:rPr>
        <w:t>8.2  预期效果</w:t>
      </w:r>
      <w:bookmarkEnd w:id="120"/>
      <w:bookmarkEnd w:id="121"/>
      <w:bookmarkEnd w:id="122"/>
    </w:p>
    <w:p w14:paraId="6AF92B14">
      <w:pPr>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default" w:ascii="Times New Roman" w:hAnsi="Times New Roman" w:cs="Times New Roman"/>
          <w:color w:val="000000"/>
          <w:highlight w:val="none"/>
          <w:lang w:val="en-US" w:eastAsia="zh-CN"/>
        </w:rPr>
        <w:t>丰富土壤中新污染物监测技术体系</w:t>
      </w:r>
    </w:p>
    <w:p w14:paraId="28E399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color w:val="000000"/>
          <w:highlight w:val="none"/>
          <w:lang w:val="en-US" w:eastAsia="zh-CN"/>
        </w:rPr>
        <w:t>《新污染物治理行动方案》的印发对完善新污染物环境监测技术体系提出了更高的要求，三氯杀螨醇被列入我国《重点管控新污染物清单》（2023年版），是《斯德哥尔摩公约》管控的的持久性有机污染物，是美国《具有内分泌干扰效应的普遍污染物清单》中86种内分泌干扰物之一，其受关注程度和管控重要性可见一斑。本标准的建立将进一步拓宽新污染物环境监测技术体系广度，提升土壤中新污染物监测技术能力。</w:t>
      </w:r>
    </w:p>
    <w:p w14:paraId="5A79B9F2">
      <w:pPr>
        <w:rPr>
          <w:rFonts w:hint="default" w:ascii="Times New Roman" w:hAnsi="Times New Roman" w:cs="Times New Roman"/>
          <w:lang w:val="en-US" w:eastAsia="zh-CN"/>
        </w:rPr>
      </w:pPr>
      <w:r>
        <w:rPr>
          <w:rFonts w:hint="default" w:ascii="Times New Roman" w:hAnsi="Times New Roman" w:cs="Times New Roman"/>
          <w:lang w:val="en-US" w:eastAsia="zh-CN"/>
        </w:rPr>
        <w:t>（2）填补土壤中三氯杀螨醇检测技术空白</w:t>
      </w:r>
    </w:p>
    <w:p w14:paraId="5134D00C">
      <w:pPr>
        <w:rPr>
          <w:rFonts w:hint="default" w:ascii="Times New Roman" w:hAnsi="Times New Roman" w:cs="Times New Roman"/>
          <w:lang w:val="en-US" w:eastAsia="zh-CN"/>
        </w:rPr>
      </w:pPr>
      <w:r>
        <w:rPr>
          <w:rFonts w:hint="default" w:ascii="Times New Roman" w:hAnsi="Times New Roman" w:cs="Times New Roman"/>
          <w:lang w:val="en-US" w:eastAsia="zh-CN"/>
        </w:rPr>
        <w:t>目前我国关于三氯杀螨醇的标准检测方法多存在于食品行业，环境行业中《水质 有机氯农药和氯苯类化合物的测定 气相色谱-质谱法》（HJ 699-2014）虽包含三氯杀螨醇，但方法存在局限性：一是检测介质局限，我国关于三氯杀螨醇的标准检测方法主要集中在食品和水质等介质中，缺乏土壤中三氯杀螨醇的标准检测方法；二是异构体检测缺失，现有的检测方法往往只针对三氯杀螨醇本身，而忽略了其异构体2,4</w:t>
      </w:r>
      <w:r>
        <w:rPr>
          <w:rFonts w:hint="default" w:cs="Times New Roman"/>
          <w:lang w:val="en-US" w:eastAsia="zh-CN"/>
        </w:rPr>
        <w:t>’</w:t>
      </w:r>
      <w:r>
        <w:rPr>
          <w:rFonts w:hint="default" w:ascii="Times New Roman" w:hAnsi="Times New Roman" w:cs="Times New Roman"/>
          <w:lang w:val="en-US" w:eastAsia="zh-CN"/>
        </w:rPr>
        <w:t>-三氯杀螨醇的存在；三是降解影响未考虑，采用气相色谱系统直接检测三氯杀螨醇，其在进样口容易降解产生新的化合物，导致检测结果的准确性受到影响。本标准的建立弥补了现有方法的不足，填补了土壤中三氯杀螨醇检测技术空白，有助于土壤中三氯杀螨醇环境污染水平调查和风险评估工作。</w:t>
      </w:r>
    </w:p>
    <w:p w14:paraId="5E78C88C">
      <w:pPr>
        <w:pStyle w:val="2"/>
        <w:bidi w:val="0"/>
        <w:rPr>
          <w:rFonts w:hint="default" w:ascii="Times New Roman" w:hAnsi="Times New Roman" w:cs="Times New Roman"/>
          <w:lang w:val="en-US" w:eastAsia="zh-CN"/>
        </w:rPr>
      </w:pPr>
      <w:bookmarkStart w:id="123" w:name="_Toc24802"/>
      <w:bookmarkStart w:id="124" w:name="_Toc3288"/>
      <w:bookmarkStart w:id="125" w:name="_Toc3856"/>
      <w:r>
        <w:rPr>
          <w:rFonts w:hint="default" w:ascii="Times New Roman" w:hAnsi="Times New Roman" w:cs="Times New Roman"/>
          <w:lang w:val="en-US" w:eastAsia="zh-CN"/>
        </w:rPr>
        <w:t>9  其他应说明事项</w:t>
      </w:r>
      <w:bookmarkEnd w:id="123"/>
      <w:bookmarkEnd w:id="124"/>
      <w:bookmarkEnd w:id="125"/>
    </w:p>
    <w:p w14:paraId="2016F8FF">
      <w:pPr>
        <w:rPr>
          <w:rFonts w:hint="default" w:ascii="Times New Roman" w:hAnsi="Times New Roman" w:cs="Times New Roman"/>
          <w:lang w:val="en-US" w:eastAsia="zh-CN"/>
        </w:rPr>
      </w:pPr>
      <w:r>
        <w:rPr>
          <w:rFonts w:hint="default" w:ascii="Times New Roman" w:hAnsi="Times New Roman" w:cs="Times New Roman"/>
          <w:lang w:val="en-US" w:eastAsia="zh-CN"/>
        </w:rPr>
        <w:t>无。</w:t>
      </w:r>
    </w:p>
    <w:p w14:paraId="27DE7E94">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CF8B94A">
      <w:pPr>
        <w:pStyle w:val="2"/>
        <w:rPr>
          <w:rFonts w:hint="eastAsia"/>
          <w:lang w:val="en-US" w:eastAsia="zh-CN"/>
        </w:rPr>
      </w:pPr>
      <w:bookmarkStart w:id="126" w:name="_Toc18431"/>
      <w:r>
        <w:rPr>
          <w:rFonts w:hint="eastAsia"/>
          <w:lang w:val="en-US" w:eastAsia="zh-CN"/>
        </w:rPr>
        <w:t>参考文献</w:t>
      </w:r>
      <w:bookmarkEnd w:id="126"/>
    </w:p>
    <w:p w14:paraId="5963D493">
      <w:pPr>
        <w:numPr>
          <w:ilvl w:val="0"/>
          <w:numId w:val="1"/>
        </w:numPr>
        <w:rPr>
          <w:rFonts w:hint="eastAsia"/>
        </w:rPr>
      </w:pPr>
      <w:bookmarkStart w:id="127" w:name="_Ref13800"/>
      <w:r>
        <w:rPr>
          <w:rFonts w:hint="eastAsia"/>
        </w:rPr>
        <w:t>王俊, 陈锋, 胡进锋, 等. 茶园土壤中三氯杀螨醇残留及胜红蓟杂草对其富集作用[J]. 福建农业学报, 2008, 23 (3): 277-280.</w:t>
      </w:r>
      <w:bookmarkEnd w:id="127"/>
    </w:p>
    <w:p w14:paraId="3F7A51EB">
      <w:pPr>
        <w:numPr>
          <w:ilvl w:val="0"/>
          <w:numId w:val="1"/>
        </w:numPr>
        <w:rPr>
          <w:rFonts w:hint="default"/>
          <w:lang w:val="en-US" w:eastAsia="zh-CN"/>
        </w:rPr>
      </w:pPr>
      <w:bookmarkStart w:id="128" w:name="_Ref13940"/>
      <w:r>
        <w:rPr>
          <w:rFonts w:hint="eastAsia"/>
        </w:rPr>
        <w:t>李丽萍, 李海侠. 气相色谱质谱法同时测定土壤中4种常见除螨剂残留[J]. 化学工程师, 2023, 335 (8): 45-47.</w:t>
      </w:r>
      <w:bookmarkEnd w:id="128"/>
    </w:p>
    <w:p w14:paraId="6F2B5D3E">
      <w:pPr>
        <w:numPr>
          <w:ilvl w:val="0"/>
          <w:numId w:val="1"/>
        </w:numPr>
        <w:rPr>
          <w:rFonts w:hint="default"/>
          <w:lang w:val="en-US" w:eastAsia="zh-CN"/>
        </w:rPr>
      </w:pPr>
      <w:bookmarkStart w:id="129" w:name="_Ref14006"/>
      <w:r>
        <w:rPr>
          <w:rFonts w:hint="eastAsia"/>
        </w:rPr>
        <w:t>何继东. 气相色谱分析中进样口温度对三氯杀螨醇响应的影响[J]. 热带农业工程, 2020, 44 (5): 51-52.</w:t>
      </w:r>
      <w:bookmarkEnd w:id="129"/>
    </w:p>
    <w:p w14:paraId="61B72EF8">
      <w:pPr>
        <w:numPr>
          <w:ilvl w:val="0"/>
          <w:numId w:val="1"/>
        </w:numPr>
        <w:rPr>
          <w:rFonts w:hint="default"/>
          <w:lang w:val="en-US" w:eastAsia="zh-CN"/>
        </w:rPr>
      </w:pPr>
      <w:bookmarkStart w:id="130" w:name="_Ref14055"/>
      <w:r>
        <w:rPr>
          <w:rFonts w:hint="eastAsia"/>
        </w:rPr>
        <w:t>钱振杰, 王宇, 赵金利, 等. 三氯杀螨醇在气相色谱系统中的降解研究[J]. 分析测试学报, 2022, 41 (12): 1765-1772.</w:t>
      </w:r>
      <w:bookmarkEnd w:id="130"/>
    </w:p>
    <w:p w14:paraId="43A1A333">
      <w:pPr>
        <w:numPr>
          <w:ilvl w:val="0"/>
          <w:numId w:val="1"/>
        </w:numPr>
        <w:rPr>
          <w:rFonts w:hint="default"/>
          <w:lang w:val="en-US" w:eastAsia="zh-CN"/>
        </w:rPr>
      </w:pPr>
      <w:bookmarkStart w:id="131" w:name="_Ref14169"/>
      <w:r>
        <w:rPr>
          <w:rFonts w:hint="eastAsia"/>
        </w:rPr>
        <w:t>朱昌寿, 陈燕. 碱解反应——气相色谱法测定三氯杀螨醇含量的研究[J]. 农药, 1984, (3): 4-6.</w:t>
      </w:r>
      <w:bookmarkEnd w:id="131"/>
    </w:p>
    <w:p w14:paraId="4574C350">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50B2EB0B">
      <w:pPr>
        <w:pStyle w:val="2"/>
        <w:bidi w:val="0"/>
        <w:ind w:left="0" w:leftChars="0" w:firstLine="0" w:firstLineChars="0"/>
        <w:outlineLvl w:val="1"/>
        <w:rPr>
          <w:rFonts w:hint="default" w:ascii="Times New Roman" w:hAnsi="Times New Roman" w:cs="Times New Roman"/>
          <w:sz w:val="28"/>
          <w:szCs w:val="28"/>
          <w:lang w:val="en-US" w:eastAsia="zh-CN"/>
        </w:rPr>
      </w:pPr>
      <w:bookmarkStart w:id="132" w:name="_Toc14947"/>
      <w:bookmarkStart w:id="133" w:name="_Toc28671"/>
      <w:bookmarkStart w:id="134" w:name="_Toc5190"/>
      <w:r>
        <w:rPr>
          <w:rFonts w:hint="default" w:ascii="Times New Roman" w:hAnsi="Times New Roman" w:cs="Times New Roman"/>
          <w:sz w:val="28"/>
          <w:szCs w:val="28"/>
          <w:lang w:val="en-US" w:eastAsia="zh-CN"/>
        </w:rPr>
        <w:t>附件一</w:t>
      </w:r>
      <w:bookmarkEnd w:id="132"/>
      <w:bookmarkEnd w:id="133"/>
      <w:bookmarkEnd w:id="134"/>
    </w:p>
    <w:p w14:paraId="711F1CEA">
      <w:pPr>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textAlignment w:val="auto"/>
        <w:outlineLvl w:val="9"/>
        <w:rPr>
          <w:rFonts w:hint="default" w:ascii="Times New Roman" w:hAnsi="Times New Roman" w:eastAsia="黑体" w:cs="Times New Roman"/>
          <w:bCs/>
          <w:color w:val="000000"/>
          <w:kern w:val="0"/>
          <w:sz w:val="28"/>
          <w:highlight w:val="none"/>
          <w:lang w:val="en-US" w:eastAsia="zh-CN"/>
        </w:rPr>
      </w:pPr>
    </w:p>
    <w:p w14:paraId="5025A45C">
      <w:pPr>
        <w:keepNext w:val="0"/>
        <w:keepLines w:val="0"/>
        <w:pageBreakBefore w:val="0"/>
        <w:widowControl w:val="0"/>
        <w:kinsoku/>
        <w:wordWrap/>
        <w:overflowPunct/>
        <w:topLinePunct/>
        <w:autoSpaceDE/>
        <w:autoSpaceDN/>
        <w:bidi w:val="0"/>
        <w:adjustRightInd/>
        <w:snapToGrid/>
        <w:spacing w:line="480" w:lineRule="auto"/>
        <w:ind w:left="0" w:leftChars="0" w:firstLine="0" w:firstLineChars="0"/>
        <w:jc w:val="center"/>
        <w:textAlignment w:val="auto"/>
        <w:outlineLvl w:val="0"/>
        <w:rPr>
          <w:rFonts w:hint="default" w:ascii="Times New Roman" w:hAnsi="Times New Roman" w:cs="Times New Roman"/>
          <w:b/>
          <w:color w:val="000000"/>
          <w:sz w:val="80"/>
          <w:szCs w:val="80"/>
          <w:highlight w:val="none"/>
        </w:rPr>
      </w:pPr>
      <w:bookmarkStart w:id="135" w:name="_Toc16127"/>
      <w:bookmarkStart w:id="136" w:name="_Toc15042"/>
      <w:bookmarkStart w:id="137" w:name="_Toc27297"/>
      <w:bookmarkStart w:id="138" w:name="_Toc13147"/>
      <w:bookmarkStart w:id="139" w:name="_Toc17619"/>
      <w:bookmarkStart w:id="140" w:name="_Toc25755"/>
      <w:bookmarkStart w:id="141" w:name="_Toc13630"/>
      <w:bookmarkStart w:id="142" w:name="_Toc24826"/>
      <w:bookmarkStart w:id="143" w:name="_Toc18242"/>
      <w:bookmarkStart w:id="144" w:name="_Toc21085"/>
      <w:bookmarkStart w:id="145" w:name="_Toc23055"/>
      <w:bookmarkStart w:id="146" w:name="_Toc32265"/>
      <w:bookmarkStart w:id="147" w:name="_Toc25622"/>
      <w:bookmarkStart w:id="148" w:name="_Toc937"/>
      <w:bookmarkStart w:id="149" w:name="_Toc25872"/>
      <w:bookmarkStart w:id="150" w:name="_Toc8886"/>
      <w:bookmarkStart w:id="151" w:name="_Toc30177"/>
      <w:bookmarkStart w:id="152" w:name="_Toc23077"/>
      <w:bookmarkStart w:id="153" w:name="_Toc25783"/>
      <w:bookmarkStart w:id="154" w:name="_Toc24922"/>
      <w:bookmarkStart w:id="155" w:name="_Toc2318"/>
      <w:bookmarkStart w:id="156" w:name="_Toc16249"/>
      <w:bookmarkStart w:id="157" w:name="_Toc32470"/>
      <w:bookmarkStart w:id="158" w:name="_Toc17974"/>
      <w:bookmarkStart w:id="159" w:name="_Toc55831896"/>
      <w:bookmarkStart w:id="160" w:name="_Toc55831727"/>
      <w:bookmarkStart w:id="161" w:name="_Toc11651"/>
      <w:bookmarkStart w:id="162" w:name="_Toc11164"/>
      <w:bookmarkStart w:id="163" w:name="_Toc10410"/>
      <w:bookmarkStart w:id="164" w:name="_Toc8198"/>
      <w:bookmarkStart w:id="165" w:name="_Toc31188"/>
      <w:bookmarkStart w:id="166" w:name="_Toc2174"/>
      <w:bookmarkStart w:id="167" w:name="_Toc28089"/>
      <w:bookmarkStart w:id="168" w:name="_Toc19112"/>
      <w:bookmarkStart w:id="169" w:name="_Toc6829"/>
      <w:bookmarkStart w:id="170" w:name="_Toc21293"/>
      <w:r>
        <w:rPr>
          <w:rFonts w:hint="default" w:ascii="Times New Roman" w:hAnsi="Times New Roman" w:cs="Times New Roman"/>
          <w:b/>
          <w:color w:val="000000"/>
          <w:sz w:val="80"/>
          <w:szCs w:val="80"/>
          <w:highlight w:val="none"/>
        </w:rPr>
        <w:t>方法验证报告</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BDF6BDF">
      <w:pPr>
        <w:rPr>
          <w:rFonts w:hint="default" w:ascii="Times New Roman" w:hAnsi="Times New Roman" w:cs="Times New Roman"/>
          <w:color w:val="000000"/>
          <w:highlight w:val="none"/>
        </w:rPr>
      </w:pPr>
    </w:p>
    <w:p w14:paraId="74A20689">
      <w:pPr>
        <w:rPr>
          <w:rFonts w:hint="default" w:ascii="Times New Roman" w:hAnsi="Times New Roman" w:cs="Times New Roman"/>
          <w:color w:val="000000"/>
          <w:highlight w:val="none"/>
        </w:rPr>
      </w:pPr>
    </w:p>
    <w:p w14:paraId="3D58677C">
      <w:pPr>
        <w:rPr>
          <w:rFonts w:hint="default" w:ascii="Times New Roman" w:hAnsi="Times New Roman" w:cs="Times New Roman"/>
          <w:color w:val="000000"/>
          <w:highlight w:val="none"/>
        </w:rPr>
      </w:pPr>
    </w:p>
    <w:p w14:paraId="7DF9AF8F">
      <w:pPr>
        <w:rPr>
          <w:rFonts w:hint="default" w:ascii="Times New Roman" w:hAnsi="Times New Roman" w:cs="Times New Roman"/>
          <w:color w:val="000000"/>
          <w:highlight w:val="none"/>
        </w:rPr>
      </w:pPr>
    </w:p>
    <w:p w14:paraId="36091590">
      <w:pPr>
        <w:rPr>
          <w:rFonts w:hint="default" w:ascii="Times New Roman" w:hAnsi="Times New Roman" w:cs="Times New Roman"/>
          <w:color w:val="000000"/>
          <w:highlight w:val="none"/>
        </w:rPr>
      </w:pPr>
    </w:p>
    <w:p w14:paraId="248F99CD">
      <w:pPr>
        <w:rPr>
          <w:rFonts w:hint="default" w:ascii="Times New Roman" w:hAnsi="Times New Roman" w:cs="Times New Roman"/>
          <w:color w:val="000000"/>
          <w:highlight w:val="none"/>
        </w:rPr>
      </w:pPr>
    </w:p>
    <w:p w14:paraId="4CA7B8C2">
      <w:pPr>
        <w:rPr>
          <w:rFonts w:hint="default" w:ascii="Times New Roman" w:hAnsi="Times New Roman" w:cs="Times New Roman"/>
          <w:color w:val="000000"/>
          <w:highlight w:val="none"/>
        </w:rPr>
      </w:pPr>
    </w:p>
    <w:p w14:paraId="0726CA3F">
      <w:pPr>
        <w:rPr>
          <w:rFonts w:hint="default" w:ascii="Times New Roman" w:hAnsi="Times New Roman" w:cs="Times New Roman"/>
          <w:color w:val="000000"/>
          <w:highlight w:val="none"/>
        </w:rPr>
      </w:pPr>
    </w:p>
    <w:p w14:paraId="5091D9A5">
      <w:pPr>
        <w:rPr>
          <w:rFonts w:hint="default" w:ascii="Times New Roman" w:hAnsi="Times New Roman" w:cs="Times New Roman"/>
          <w:color w:val="000000"/>
          <w:highlight w:val="none"/>
        </w:rPr>
      </w:pPr>
    </w:p>
    <w:p w14:paraId="15089D50">
      <w:pPr>
        <w:rPr>
          <w:rFonts w:hint="default" w:ascii="Times New Roman" w:hAnsi="Times New Roman" w:cs="Times New Roman"/>
          <w:color w:val="000000"/>
          <w:highlight w:val="none"/>
        </w:rPr>
      </w:pPr>
    </w:p>
    <w:p w14:paraId="03F439F3">
      <w:pPr>
        <w:rPr>
          <w:rFonts w:hint="default" w:ascii="Times New Roman" w:hAnsi="Times New Roman" w:cs="Times New Roman"/>
          <w:color w:val="000000"/>
          <w:highlight w:val="none"/>
        </w:rPr>
      </w:pPr>
    </w:p>
    <w:p w14:paraId="6C7CB1D6">
      <w:pPr>
        <w:rPr>
          <w:rFonts w:hint="default" w:ascii="Times New Roman" w:hAnsi="Times New Roman" w:cs="Times New Roman"/>
          <w:color w:val="000000"/>
          <w:highlight w:val="none"/>
        </w:rPr>
      </w:pPr>
    </w:p>
    <w:p w14:paraId="272EA7BB">
      <w:pPr>
        <w:rPr>
          <w:rFonts w:hint="default" w:ascii="Times New Roman" w:hAnsi="Times New Roman" w:cs="Times New Roman"/>
          <w:color w:val="000000"/>
          <w:highlight w:val="none"/>
        </w:rPr>
      </w:pPr>
    </w:p>
    <w:p w14:paraId="1C20A004">
      <w:pPr>
        <w:rPr>
          <w:rFonts w:hint="default" w:ascii="Times New Roman" w:hAnsi="Times New Roman" w:cs="Times New Roman"/>
          <w:color w:val="000000"/>
          <w:highlight w:val="none"/>
        </w:rPr>
      </w:pPr>
    </w:p>
    <w:p w14:paraId="4FFFCA11">
      <w:pPr>
        <w:keepNext w:val="0"/>
        <w:keepLines w:val="0"/>
        <w:pageBreakBefore w:val="0"/>
        <w:widowControl/>
        <w:kinsoku/>
        <w:wordWrap/>
        <w:overflowPunct/>
        <w:autoSpaceDE w:val="0"/>
        <w:autoSpaceDN w:val="0"/>
        <w:bidi w:val="0"/>
        <w:adjustRightInd w:val="0"/>
        <w:snapToGrid/>
        <w:spacing w:line="240" w:lineRule="auto"/>
        <w:ind w:firstLine="0" w:firstLineChars="0"/>
        <w:jc w:val="left"/>
        <w:textAlignment w:val="auto"/>
        <w:rPr>
          <w:rFonts w:hint="default" w:ascii="Times New Roman" w:hAnsi="Times New Roman" w:cs="Times New Roman"/>
          <w:color w:val="000000"/>
          <w:kern w:val="0"/>
          <w:sz w:val="28"/>
          <w:szCs w:val="28"/>
          <w:highlight w:val="none"/>
          <w:u w:val="single"/>
        </w:rPr>
      </w:pPr>
      <w:r>
        <w:rPr>
          <w:rFonts w:hint="default" w:ascii="Times New Roman" w:hAnsi="Times New Roman" w:cs="Times New Roman"/>
          <w:color w:val="000000"/>
          <w:sz w:val="28"/>
          <w:szCs w:val="28"/>
          <w:highlight w:val="none"/>
        </w:rPr>
        <w:t>方法名称：</w:t>
      </w:r>
      <w:r>
        <w:rPr>
          <w:rFonts w:hint="default" w:ascii="Times New Roman" w:hAnsi="Times New Roman" w:cs="Times New Roman"/>
          <w:color w:val="000000"/>
          <w:kern w:val="0"/>
          <w:sz w:val="28"/>
          <w:szCs w:val="28"/>
          <w:highlight w:val="none"/>
          <w:u w:val="single"/>
        </w:rPr>
        <w:t xml:space="preserve">   《土壤  </w:t>
      </w:r>
      <w:r>
        <w:rPr>
          <w:rFonts w:hint="default" w:ascii="Times New Roman" w:hAnsi="Times New Roman" w:cs="Times New Roman"/>
          <w:color w:val="000000"/>
          <w:kern w:val="0"/>
          <w:sz w:val="28"/>
          <w:szCs w:val="28"/>
          <w:highlight w:val="none"/>
          <w:u w:val="single"/>
          <w:lang w:val="en-US" w:eastAsia="zh-CN"/>
        </w:rPr>
        <w:t>三氯杀螨醇</w:t>
      </w:r>
      <w:r>
        <w:rPr>
          <w:rFonts w:hint="default" w:ascii="Times New Roman" w:hAnsi="Times New Roman" w:cs="Times New Roman"/>
          <w:color w:val="000000"/>
          <w:kern w:val="0"/>
          <w:sz w:val="28"/>
          <w:szCs w:val="28"/>
          <w:highlight w:val="none"/>
          <w:u w:val="single"/>
        </w:rPr>
        <w:t xml:space="preserve">的测定  气相色谱-质谱法》   </w:t>
      </w:r>
    </w:p>
    <w:p w14:paraId="54C79E1A">
      <w:pPr>
        <w:keepNext w:val="0"/>
        <w:keepLines w:val="0"/>
        <w:pageBreakBefore w:val="0"/>
        <w:kinsoku/>
        <w:wordWrap/>
        <w:overflowPunct/>
        <w:autoSpaceDE w:val="0"/>
        <w:autoSpaceDN w:val="0"/>
        <w:bidi w:val="0"/>
        <w:adjustRightInd w:val="0"/>
        <w:snapToGrid/>
        <w:spacing w:line="240" w:lineRule="auto"/>
        <w:ind w:firstLine="0" w:firstLineChars="0"/>
        <w:jc w:val="left"/>
        <w:textAlignment w:val="auto"/>
        <w:rPr>
          <w:rFonts w:hint="default" w:ascii="Times New Roman" w:hAnsi="Times New Roman" w:cs="Times New Roman"/>
          <w:color w:val="000000"/>
          <w:sz w:val="28"/>
          <w:szCs w:val="28"/>
          <w:highlight w:val="none"/>
          <w:u w:val="single"/>
        </w:rPr>
      </w:pPr>
      <w:r>
        <w:rPr>
          <w:rFonts w:hint="default" w:ascii="Times New Roman" w:hAnsi="Times New Roman" w:cs="Times New Roman"/>
          <w:color w:val="000000"/>
          <w:sz w:val="28"/>
          <w:szCs w:val="28"/>
          <w:highlight w:val="none"/>
        </w:rPr>
        <w:t>项目主编单位：</w:t>
      </w:r>
      <w:r>
        <w:rPr>
          <w:rFonts w:hint="default" w:ascii="Times New Roman" w:hAnsi="Times New Roman" w:cs="Times New Roman"/>
          <w:color w:val="000000"/>
          <w:sz w:val="28"/>
          <w:szCs w:val="28"/>
          <w:highlight w:val="none"/>
          <w:u w:val="single"/>
        </w:rPr>
        <w:t xml:space="preserve">        重庆市生态环境监测中心                </w:t>
      </w:r>
    </w:p>
    <w:p w14:paraId="4A5B8A24">
      <w:pPr>
        <w:keepNext w:val="0"/>
        <w:keepLines w:val="0"/>
        <w:pageBreakBefore w:val="0"/>
        <w:kinsoku/>
        <w:wordWrap/>
        <w:overflowPunct/>
        <w:autoSpaceDE w:val="0"/>
        <w:autoSpaceDN w:val="0"/>
        <w:bidi w:val="0"/>
        <w:adjustRightInd w:val="0"/>
        <w:snapToGrid/>
        <w:spacing w:line="240" w:lineRule="auto"/>
        <w:ind w:firstLine="0" w:firstLineChars="0"/>
        <w:jc w:val="left"/>
        <w:textAlignment w:val="auto"/>
        <w:rPr>
          <w:rFonts w:hint="default" w:ascii="Times New Roman" w:hAnsi="Times New Roman" w:cs="Times New Roman"/>
          <w:color w:val="000000"/>
          <w:sz w:val="28"/>
          <w:szCs w:val="28"/>
          <w:highlight w:val="none"/>
          <w:u w:val="single"/>
        </w:rPr>
      </w:pPr>
      <w:r>
        <w:rPr>
          <w:rFonts w:hint="default" w:ascii="Times New Roman" w:hAnsi="Times New Roman" w:cs="Times New Roman"/>
          <w:color w:val="000000"/>
          <w:sz w:val="28"/>
          <w:szCs w:val="28"/>
          <w:highlight w:val="none"/>
        </w:rPr>
        <w:t>验证单位：</w:t>
      </w:r>
      <w:r>
        <w:rPr>
          <w:rFonts w:hint="default" w:ascii="Times New Roman" w:hAnsi="Times New Roman" w:cs="Times New Roman"/>
          <w:color w:val="000000"/>
          <w:sz w:val="28"/>
          <w:szCs w:val="28"/>
          <w:highlight w:val="none"/>
          <w:u w:val="single"/>
        </w:rPr>
        <w:t xml:space="preserve">   湖北省生态环境监测中心站</w:t>
      </w:r>
      <w:r>
        <w:rPr>
          <w:rFonts w:hint="default" w:ascii="Times New Roman" w:hAnsi="Times New Roman" w:cs="Times New Roman"/>
          <w:color w:val="000000"/>
          <w:sz w:val="28"/>
          <w:szCs w:val="28"/>
          <w:highlight w:val="none"/>
          <w:u w:val="single"/>
          <w:lang w:eastAsia="zh-CN"/>
        </w:rPr>
        <w:t>、</w:t>
      </w:r>
      <w:r>
        <w:rPr>
          <w:rFonts w:hint="eastAsia" w:cs="Times New Roman"/>
          <w:color w:val="000000"/>
          <w:sz w:val="28"/>
          <w:szCs w:val="28"/>
          <w:highlight w:val="none"/>
          <w:u w:val="single"/>
          <w:lang w:eastAsia="zh-CN"/>
        </w:rPr>
        <w:t>四川省生态环境监测总站</w:t>
      </w:r>
      <w:r>
        <w:rPr>
          <w:rFonts w:hint="default" w:ascii="Times New Roman" w:hAnsi="Times New Roman" w:cs="Times New Roman"/>
          <w:color w:val="000000"/>
          <w:sz w:val="28"/>
          <w:szCs w:val="28"/>
          <w:highlight w:val="none"/>
          <w:u w:val="single"/>
          <w:lang w:eastAsia="zh-CN"/>
        </w:rPr>
        <w:t>、辽宁省生态环境监测中心、海南省生态环境监测中心</w:t>
      </w:r>
      <w:r>
        <w:rPr>
          <w:rFonts w:hint="eastAsia" w:cs="Times New Roman"/>
          <w:color w:val="000000"/>
          <w:sz w:val="28"/>
          <w:szCs w:val="28"/>
          <w:highlight w:val="none"/>
          <w:u w:val="single"/>
          <w:lang w:eastAsia="zh-CN"/>
        </w:rPr>
        <w:t>、四川省宜宾生态环境监测中心站、江苏省徐州生态环境监测中心</w:t>
      </w:r>
      <w:r>
        <w:rPr>
          <w:rFonts w:hint="default" w:ascii="Times New Roman" w:hAnsi="Times New Roman" w:cs="Times New Roman"/>
          <w:color w:val="000000"/>
          <w:sz w:val="28"/>
          <w:szCs w:val="28"/>
          <w:highlight w:val="none"/>
          <w:u w:val="single"/>
          <w:lang w:val="en-US" w:eastAsia="zh-CN"/>
        </w:rPr>
        <w:t xml:space="preserve">       </w:t>
      </w:r>
      <w:r>
        <w:rPr>
          <w:rFonts w:hint="default" w:ascii="Times New Roman" w:hAnsi="Times New Roman" w:cs="Times New Roman"/>
          <w:color w:val="000000"/>
          <w:sz w:val="28"/>
          <w:szCs w:val="28"/>
          <w:highlight w:val="none"/>
          <w:u w:val="single"/>
        </w:rPr>
        <w:t xml:space="preserve">         </w:t>
      </w:r>
    </w:p>
    <w:p w14:paraId="779257F6">
      <w:pPr>
        <w:keepNext w:val="0"/>
        <w:keepLines w:val="0"/>
        <w:pageBreakBefore w:val="0"/>
        <w:kinsoku/>
        <w:wordWrap/>
        <w:overflowPunct/>
        <w:autoSpaceDE w:val="0"/>
        <w:autoSpaceDN w:val="0"/>
        <w:bidi w:val="0"/>
        <w:adjustRightInd w:val="0"/>
        <w:snapToGrid/>
        <w:spacing w:line="240" w:lineRule="auto"/>
        <w:ind w:firstLine="0" w:firstLineChars="0"/>
        <w:jc w:val="left"/>
        <w:textAlignment w:val="auto"/>
        <w:rPr>
          <w:rFonts w:hint="default" w:ascii="Times New Roman" w:hAnsi="Times New Roman" w:cs="Times New Roman"/>
          <w:color w:val="000000"/>
          <w:sz w:val="28"/>
          <w:szCs w:val="28"/>
          <w:highlight w:val="none"/>
          <w:u w:val="single"/>
        </w:rPr>
      </w:pPr>
      <w:r>
        <w:rPr>
          <w:rFonts w:hint="default" w:ascii="Times New Roman" w:hAnsi="Times New Roman" w:cs="Times New Roman"/>
          <w:color w:val="000000"/>
          <w:sz w:val="28"/>
          <w:szCs w:val="28"/>
          <w:highlight w:val="none"/>
        </w:rPr>
        <w:t>项目负责人及职称：</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u w:val="single"/>
          <w:lang w:val="en-US" w:eastAsia="zh-CN"/>
        </w:rPr>
        <w:t xml:space="preserve">       </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u w:val="single"/>
          <w:lang w:val="en-US" w:eastAsia="zh-CN"/>
        </w:rPr>
        <w:t>皮宁宁</w:t>
      </w:r>
      <w:r>
        <w:rPr>
          <w:rFonts w:hint="eastAsia" w:cs="Times New Roman"/>
          <w:color w:val="000000"/>
          <w:sz w:val="28"/>
          <w:szCs w:val="28"/>
          <w:highlight w:val="none"/>
          <w:u w:val="single"/>
          <w:lang w:val="en-US" w:eastAsia="zh-CN"/>
        </w:rPr>
        <w:t>（</w:t>
      </w:r>
      <w:r>
        <w:rPr>
          <w:rFonts w:hint="default" w:ascii="Times New Roman" w:hAnsi="Times New Roman" w:cs="Times New Roman"/>
          <w:color w:val="000000"/>
          <w:sz w:val="28"/>
          <w:szCs w:val="28"/>
          <w:highlight w:val="none"/>
          <w:u w:val="single"/>
        </w:rPr>
        <w:t>高级工程师</w:t>
      </w:r>
      <w:r>
        <w:rPr>
          <w:rFonts w:hint="eastAsia" w:cs="Times New Roman"/>
          <w:color w:val="000000"/>
          <w:sz w:val="28"/>
          <w:szCs w:val="28"/>
          <w:highlight w:val="none"/>
          <w:u w:val="single"/>
          <w:lang w:val="en-US" w:eastAsia="zh-CN"/>
        </w:rPr>
        <w:t>）</w:t>
      </w:r>
      <w:r>
        <w:rPr>
          <w:rFonts w:hint="default" w:ascii="Times New Roman" w:hAnsi="Times New Roman" w:cs="Times New Roman"/>
          <w:color w:val="000000"/>
          <w:sz w:val="28"/>
          <w:szCs w:val="28"/>
          <w:highlight w:val="none"/>
          <w:u w:val="single"/>
        </w:rPr>
        <w:t xml:space="preserve">           </w:t>
      </w:r>
      <w:bookmarkStart w:id="298" w:name="_GoBack"/>
      <w:bookmarkEnd w:id="298"/>
    </w:p>
    <w:p w14:paraId="2C96276C">
      <w:pPr>
        <w:keepNext w:val="0"/>
        <w:keepLines w:val="0"/>
        <w:pageBreakBefore w:val="0"/>
        <w:kinsoku/>
        <w:wordWrap/>
        <w:overflowPunct/>
        <w:autoSpaceDE w:val="0"/>
        <w:autoSpaceDN w:val="0"/>
        <w:bidi w:val="0"/>
        <w:adjustRightInd w:val="0"/>
        <w:snapToGrid/>
        <w:spacing w:line="240" w:lineRule="auto"/>
        <w:ind w:firstLine="0" w:firstLineChars="0"/>
        <w:jc w:val="left"/>
        <w:textAlignment w:val="auto"/>
        <w:rPr>
          <w:rFonts w:hint="default" w:ascii="Times New Roman" w:hAnsi="Times New Roman" w:cs="Times New Roman"/>
          <w:color w:val="000000"/>
          <w:sz w:val="28"/>
          <w:szCs w:val="28"/>
          <w:highlight w:val="none"/>
        </w:rPr>
      </w:pPr>
      <w:r>
        <w:rPr>
          <w:rFonts w:hint="default" w:ascii="Times New Roman" w:hAnsi="Times New Roman" w:cs="Times New Roman"/>
          <w:color w:val="000000"/>
          <w:sz w:val="28"/>
          <w:szCs w:val="28"/>
          <w:highlight w:val="none"/>
        </w:rPr>
        <w:t>通讯地址：</w:t>
      </w:r>
      <w:r>
        <w:rPr>
          <w:rFonts w:hint="default" w:ascii="Times New Roman" w:hAnsi="Times New Roman" w:cs="Times New Roman"/>
          <w:color w:val="000000"/>
          <w:sz w:val="28"/>
          <w:szCs w:val="28"/>
          <w:highlight w:val="none"/>
          <w:u w:val="single"/>
          <w:lang w:val="en-US" w:eastAsia="zh-CN"/>
        </w:rPr>
        <w:t xml:space="preserve"> </w:t>
      </w:r>
      <w:r>
        <w:rPr>
          <w:rFonts w:hint="default" w:ascii="Times New Roman" w:hAnsi="Times New Roman" w:cs="Times New Roman"/>
          <w:color w:val="000000"/>
          <w:sz w:val="28"/>
          <w:szCs w:val="28"/>
          <w:highlight w:val="none"/>
          <w:u w:val="single"/>
        </w:rPr>
        <w:t xml:space="preserve">重庆市渝北区冉家坝旗山路252号 </w:t>
      </w:r>
      <w:r>
        <w:rPr>
          <w:rFonts w:hint="default" w:ascii="Times New Roman" w:hAnsi="Times New Roman" w:cs="Times New Roman"/>
          <w:color w:val="000000"/>
          <w:sz w:val="28"/>
          <w:szCs w:val="28"/>
          <w:highlight w:val="none"/>
        </w:rPr>
        <w:t>电话：</w:t>
      </w:r>
      <w:r>
        <w:rPr>
          <w:rFonts w:hint="default" w:ascii="Times New Roman" w:hAnsi="Times New Roman" w:cs="Times New Roman"/>
          <w:color w:val="000000"/>
          <w:sz w:val="28"/>
          <w:szCs w:val="28"/>
          <w:highlight w:val="none"/>
          <w:u w:val="single"/>
        </w:rPr>
        <w:t xml:space="preserve"> </w:t>
      </w:r>
      <w:r>
        <w:rPr>
          <w:rFonts w:hint="eastAsia" w:cs="Times New Roman"/>
          <w:color w:val="000000"/>
          <w:sz w:val="28"/>
          <w:szCs w:val="28"/>
          <w:highlight w:val="none"/>
          <w:u w:val="single"/>
          <w:lang w:val="en-US" w:eastAsia="zh-CN"/>
        </w:rPr>
        <w:t>023-67876029</w:t>
      </w:r>
      <w:r>
        <w:rPr>
          <w:rFonts w:hint="default" w:ascii="Times New Roman" w:hAnsi="Times New Roman" w:cs="Times New Roman"/>
          <w:color w:val="000000"/>
          <w:sz w:val="28"/>
          <w:szCs w:val="28"/>
          <w:highlight w:val="none"/>
          <w:u w:val="single"/>
        </w:rPr>
        <w:t xml:space="preserve"> </w:t>
      </w:r>
    </w:p>
    <w:p w14:paraId="11DAC13D">
      <w:pPr>
        <w:keepNext w:val="0"/>
        <w:keepLines w:val="0"/>
        <w:pageBreakBefore w:val="0"/>
        <w:kinsoku/>
        <w:wordWrap/>
        <w:overflowPunct/>
        <w:autoSpaceDE w:val="0"/>
        <w:autoSpaceDN w:val="0"/>
        <w:bidi w:val="0"/>
        <w:adjustRightInd w:val="0"/>
        <w:snapToGrid/>
        <w:spacing w:line="240" w:lineRule="auto"/>
        <w:ind w:firstLine="0" w:firstLineChars="0"/>
        <w:jc w:val="left"/>
        <w:textAlignment w:val="auto"/>
        <w:rPr>
          <w:rFonts w:hint="default" w:ascii="Times New Roman" w:hAnsi="Times New Roman" w:cs="Times New Roman"/>
          <w:color w:val="000000"/>
          <w:sz w:val="28"/>
          <w:szCs w:val="28"/>
          <w:highlight w:val="none"/>
          <w:u w:val="single"/>
        </w:rPr>
      </w:pPr>
      <w:r>
        <w:rPr>
          <w:rFonts w:hint="default" w:ascii="Times New Roman" w:hAnsi="Times New Roman" w:cs="Times New Roman"/>
          <w:color w:val="000000"/>
          <w:sz w:val="28"/>
          <w:szCs w:val="28"/>
          <w:highlight w:val="none"/>
        </w:rPr>
        <w:t>报告编写人及职称：</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u w:val="single"/>
          <w:lang w:val="en-US" w:eastAsia="zh-CN"/>
        </w:rPr>
        <w:t xml:space="preserve">           </w:t>
      </w:r>
      <w:r>
        <w:rPr>
          <w:rFonts w:hint="default" w:ascii="Times New Roman" w:hAnsi="Times New Roman" w:cs="Times New Roman"/>
          <w:color w:val="000000"/>
          <w:sz w:val="28"/>
          <w:szCs w:val="28"/>
          <w:highlight w:val="none"/>
          <w:u w:val="single"/>
        </w:rPr>
        <w:t xml:space="preserve">吴晓妍（工程师）              </w:t>
      </w:r>
    </w:p>
    <w:p w14:paraId="47EA75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0"/>
        <w:rPr>
          <w:rFonts w:hint="default" w:ascii="Times New Roman" w:hAnsi="Times New Roman" w:cs="Times New Roman"/>
          <w:color w:val="000000"/>
          <w:sz w:val="28"/>
          <w:szCs w:val="28"/>
          <w:highlight w:val="none"/>
        </w:rPr>
      </w:pPr>
      <w:bookmarkStart w:id="171" w:name="_Toc10501"/>
      <w:bookmarkStart w:id="172" w:name="_Toc11256"/>
      <w:bookmarkStart w:id="173" w:name="_Toc6601"/>
      <w:bookmarkStart w:id="174" w:name="_Toc27500"/>
      <w:bookmarkStart w:id="175" w:name="_Toc2747"/>
      <w:bookmarkStart w:id="176" w:name="_Toc27332"/>
      <w:r>
        <w:rPr>
          <w:rFonts w:hint="default" w:ascii="Times New Roman" w:hAnsi="Times New Roman" w:cs="Times New Roman"/>
          <w:color w:val="000000"/>
          <w:sz w:val="28"/>
          <w:szCs w:val="28"/>
          <w:highlight w:val="none"/>
        </w:rPr>
        <w:t>报告日期：</w:t>
      </w:r>
      <w:r>
        <w:rPr>
          <w:rFonts w:hint="default" w:ascii="Times New Roman" w:hAnsi="Times New Roman" w:cs="Times New Roman"/>
          <w:color w:val="000000"/>
          <w:sz w:val="28"/>
          <w:szCs w:val="28"/>
          <w:highlight w:val="none"/>
          <w:u w:val="single"/>
        </w:rPr>
        <w:t xml:space="preserve">     202</w:t>
      </w:r>
      <w:r>
        <w:rPr>
          <w:rFonts w:hint="default" w:ascii="Times New Roman" w:hAnsi="Times New Roman" w:cs="Times New Roman"/>
          <w:color w:val="000000"/>
          <w:sz w:val="28"/>
          <w:szCs w:val="28"/>
          <w:highlight w:val="none"/>
          <w:u w:val="single"/>
          <w:lang w:val="en-US" w:eastAsia="zh-CN"/>
        </w:rPr>
        <w:t>5</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rPr>
        <w:t>年</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u w:val="single"/>
          <w:lang w:val="en-US" w:eastAsia="zh-CN"/>
        </w:rPr>
        <w:t>2</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u w:val="single"/>
          <w:lang w:val="en-US" w:eastAsia="zh-CN"/>
        </w:rPr>
        <w:t xml:space="preserve"> </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rPr>
        <w:t>月</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u w:val="single"/>
          <w:lang w:val="en-US" w:eastAsia="zh-CN"/>
        </w:rPr>
        <w:t>1</w:t>
      </w:r>
      <w:r>
        <w:rPr>
          <w:rFonts w:hint="eastAsia" w:cs="Times New Roman"/>
          <w:color w:val="000000"/>
          <w:sz w:val="28"/>
          <w:szCs w:val="28"/>
          <w:highlight w:val="none"/>
          <w:u w:val="single"/>
          <w:lang w:val="en-US" w:eastAsia="zh-CN"/>
        </w:rPr>
        <w:t>0</w:t>
      </w:r>
      <w:r>
        <w:rPr>
          <w:rFonts w:hint="default" w:ascii="Times New Roman" w:hAnsi="Times New Roman" w:cs="Times New Roman"/>
          <w:color w:val="000000"/>
          <w:sz w:val="28"/>
          <w:szCs w:val="28"/>
          <w:highlight w:val="none"/>
          <w:u w:val="single"/>
        </w:rPr>
        <w:t xml:space="preserve">      </w:t>
      </w:r>
      <w:r>
        <w:rPr>
          <w:rFonts w:hint="default" w:ascii="Times New Roman" w:hAnsi="Times New Roman" w:cs="Times New Roman"/>
          <w:color w:val="000000"/>
          <w:sz w:val="28"/>
          <w:szCs w:val="28"/>
          <w:highlight w:val="none"/>
        </w:rPr>
        <w:t>日</w:t>
      </w:r>
      <w:bookmarkEnd w:id="171"/>
      <w:bookmarkEnd w:id="172"/>
      <w:bookmarkEnd w:id="173"/>
      <w:bookmarkEnd w:id="174"/>
      <w:bookmarkEnd w:id="175"/>
      <w:bookmarkEnd w:id="176"/>
    </w:p>
    <w:p w14:paraId="72B6E6B3">
      <w:pPr>
        <w:rPr>
          <w:rFonts w:hint="default" w:ascii="Times New Roman" w:hAnsi="Times New Roman" w:cs="Times New Roman"/>
          <w:color w:val="000000"/>
          <w:sz w:val="28"/>
          <w:szCs w:val="28"/>
          <w:highlight w:val="none"/>
        </w:rPr>
      </w:pPr>
      <w:r>
        <w:rPr>
          <w:rFonts w:hint="default" w:ascii="Times New Roman" w:hAnsi="Times New Roman" w:cs="Times New Roman"/>
          <w:color w:val="000000"/>
          <w:sz w:val="28"/>
          <w:szCs w:val="28"/>
          <w:highlight w:val="none"/>
        </w:rPr>
        <w:br w:type="page"/>
      </w:r>
    </w:p>
    <w:p w14:paraId="0F521EEC">
      <w:pPr>
        <w:pStyle w:val="2"/>
        <w:bidi w:val="0"/>
        <w:rPr>
          <w:rFonts w:hint="default" w:ascii="Times New Roman" w:hAnsi="Times New Roman" w:cs="Times New Roman"/>
          <w:lang w:val="en-US" w:eastAsia="zh-CN"/>
        </w:rPr>
      </w:pPr>
      <w:bookmarkStart w:id="177" w:name="_Toc8970"/>
      <w:bookmarkStart w:id="178" w:name="_Toc16818"/>
      <w:bookmarkStart w:id="179" w:name="_Toc101"/>
      <w:bookmarkStart w:id="180" w:name="_Toc6630"/>
      <w:bookmarkStart w:id="181" w:name="_Toc4531"/>
      <w:bookmarkStart w:id="182" w:name="_Toc24730"/>
      <w:r>
        <w:rPr>
          <w:rFonts w:hint="default" w:ascii="Times New Roman" w:hAnsi="Times New Roman" w:cs="Times New Roman"/>
          <w:lang w:val="en-US" w:eastAsia="zh-CN"/>
        </w:rPr>
        <w:t>1  实验室基本情况</w:t>
      </w:r>
      <w:bookmarkEnd w:id="177"/>
      <w:bookmarkEnd w:id="178"/>
      <w:bookmarkEnd w:id="179"/>
      <w:bookmarkEnd w:id="180"/>
      <w:bookmarkEnd w:id="181"/>
      <w:bookmarkEnd w:id="182"/>
    </w:p>
    <w:p w14:paraId="5F9E6199">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本标准按照</w:t>
      </w:r>
      <w:r>
        <w:rPr>
          <w:rFonts w:hint="default" w:ascii="Times New Roman" w:hAnsi="Times New Roman" w:cs="Times New Roman"/>
          <w:color w:val="000000"/>
          <w:highlight w:val="none"/>
        </w:rPr>
        <w:t>《环境监测分析方法标准制订技术导则》（</w:t>
      </w:r>
      <w:r>
        <w:rPr>
          <w:rFonts w:hint="default" w:ascii="Times New Roman" w:hAnsi="Times New Roman" w:cs="Times New Roman"/>
          <w:color w:val="000000"/>
          <w:szCs w:val="21"/>
          <w:highlight w:val="none"/>
        </w:rPr>
        <w:t>HJ 168-2020</w:t>
      </w:r>
      <w:r>
        <w:rPr>
          <w:rFonts w:hint="default" w:ascii="Times New Roman" w:hAnsi="Times New Roman" w:cs="Times New Roman"/>
          <w:color w:val="000000"/>
          <w:highlight w:val="none"/>
        </w:rPr>
        <w:t>）</w:t>
      </w:r>
      <w:r>
        <w:rPr>
          <w:rFonts w:hint="default" w:ascii="Times New Roman" w:hAnsi="Times New Roman" w:cs="Times New Roman"/>
          <w:color w:val="000000"/>
          <w:szCs w:val="21"/>
          <w:highlight w:val="none"/>
        </w:rPr>
        <w:t>的规定，选择</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家有资质的实验室进行方法验证，参与方法验证的实验室分别是：1、湖北省生态环境监测中心站，</w:t>
      </w:r>
      <w:r>
        <w:rPr>
          <w:rFonts w:hint="eastAsia" w:cs="Times New Roman"/>
          <w:color w:val="000000"/>
          <w:szCs w:val="21"/>
          <w:highlight w:val="none"/>
          <w:lang w:val="en-US" w:eastAsia="zh-CN"/>
        </w:rPr>
        <w:t>2</w:t>
      </w:r>
      <w:r>
        <w:rPr>
          <w:rFonts w:hint="default" w:ascii="Times New Roman" w:hAnsi="Times New Roman" w:cs="Times New Roman"/>
          <w:color w:val="000000"/>
          <w:szCs w:val="21"/>
          <w:highlight w:val="none"/>
        </w:rPr>
        <w:t>、</w:t>
      </w:r>
      <w:r>
        <w:rPr>
          <w:rFonts w:hint="eastAsia" w:cs="Times New Roman"/>
          <w:color w:val="000000"/>
          <w:szCs w:val="21"/>
          <w:highlight w:val="none"/>
          <w:lang w:eastAsia="zh-CN"/>
        </w:rPr>
        <w:t>四川省生态环境监测总站</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3</w:t>
      </w:r>
      <w:r>
        <w:rPr>
          <w:rFonts w:hint="default" w:ascii="Times New Roman" w:hAnsi="Times New Roman" w:cs="Times New Roman"/>
          <w:color w:val="000000"/>
          <w:szCs w:val="21"/>
          <w:highlight w:val="none"/>
        </w:rPr>
        <w:t>、辽宁省生态环境监测中心，</w:t>
      </w:r>
      <w:r>
        <w:rPr>
          <w:rFonts w:hint="eastAsia" w:cs="Times New Roman"/>
          <w:color w:val="000000"/>
          <w:szCs w:val="21"/>
          <w:highlight w:val="none"/>
          <w:lang w:val="en-US" w:eastAsia="zh-CN"/>
        </w:rPr>
        <w:t>4</w:t>
      </w:r>
      <w:r>
        <w:rPr>
          <w:rFonts w:hint="default" w:ascii="Times New Roman" w:hAnsi="Times New Roman" w:cs="Times New Roman"/>
          <w:color w:val="000000"/>
          <w:szCs w:val="21"/>
          <w:highlight w:val="none"/>
        </w:rPr>
        <w:t>、海南省生态环境监测中心</w:t>
      </w:r>
      <w:r>
        <w:rPr>
          <w:rFonts w:hint="eastAsia" w:cs="Times New Roman"/>
          <w:color w:val="000000"/>
          <w:szCs w:val="21"/>
          <w:highlight w:val="none"/>
          <w:lang w:eastAsia="zh-CN"/>
        </w:rPr>
        <w:t>，</w:t>
      </w:r>
      <w:r>
        <w:rPr>
          <w:rFonts w:hint="eastAsia" w:cs="Times New Roman"/>
          <w:color w:val="000000"/>
          <w:szCs w:val="21"/>
          <w:highlight w:val="none"/>
          <w:lang w:val="en-US" w:eastAsia="zh-CN"/>
        </w:rPr>
        <w:t>5</w:t>
      </w:r>
      <w:r>
        <w:rPr>
          <w:rFonts w:hint="default" w:ascii="Times New Roman" w:hAnsi="Times New Roman" w:cs="Times New Roman"/>
          <w:color w:val="000000"/>
          <w:szCs w:val="21"/>
          <w:highlight w:val="none"/>
        </w:rPr>
        <w:t>、</w:t>
      </w:r>
      <w:r>
        <w:rPr>
          <w:rFonts w:hint="eastAsia" w:cs="Times New Roman"/>
          <w:color w:val="000000"/>
          <w:szCs w:val="21"/>
          <w:highlight w:val="none"/>
          <w:lang w:eastAsia="zh-CN"/>
        </w:rPr>
        <w:t>四川省宜宾生态环境监测中心站</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6</w:t>
      </w:r>
      <w:r>
        <w:rPr>
          <w:rFonts w:hint="default" w:ascii="Times New Roman" w:hAnsi="Times New Roman" w:cs="Times New Roman"/>
          <w:color w:val="000000"/>
          <w:szCs w:val="21"/>
          <w:highlight w:val="none"/>
        </w:rPr>
        <w:t>、</w:t>
      </w:r>
      <w:r>
        <w:rPr>
          <w:rFonts w:hint="eastAsia" w:cs="Times New Roman"/>
          <w:color w:val="000000"/>
          <w:szCs w:val="21"/>
          <w:highlight w:val="none"/>
          <w:lang w:val="en-US" w:eastAsia="zh-CN"/>
        </w:rPr>
        <w:t>江苏省徐州生态环境监测中心</w:t>
      </w:r>
      <w:r>
        <w:rPr>
          <w:rFonts w:hint="default" w:ascii="Times New Roman" w:hAnsi="Times New Roman" w:cs="Times New Roman"/>
          <w:color w:val="000000"/>
          <w:szCs w:val="21"/>
          <w:highlight w:val="none"/>
        </w:rPr>
        <w:t>（以下编号同）。具体验证实验室及验证人员的基本情况，见附表1</w:t>
      </w:r>
      <w:r>
        <w:rPr>
          <w:rFonts w:hint="default" w:ascii="Times New Roman" w:hAnsi="Times New Roman" w:cs="Times New Roman"/>
          <w:color w:val="000000"/>
          <w:szCs w:val="21"/>
          <w:highlight w:val="none"/>
          <w:lang w:val="en-US" w:eastAsia="zh-CN"/>
        </w:rPr>
        <w:t>~</w:t>
      </w:r>
      <w:r>
        <w:rPr>
          <w:rFonts w:hint="default" w:ascii="Times New Roman" w:hAnsi="Times New Roman" w:cs="Times New Roman"/>
          <w:color w:val="000000"/>
          <w:szCs w:val="21"/>
          <w:highlight w:val="none"/>
        </w:rPr>
        <w:t>附表3。</w:t>
      </w:r>
    </w:p>
    <w:p w14:paraId="2805A05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  参与方法验证的实验室、验证人员的基本情况</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825"/>
        <w:gridCol w:w="629"/>
        <w:gridCol w:w="685"/>
        <w:gridCol w:w="1329"/>
        <w:gridCol w:w="1679"/>
        <w:gridCol w:w="1142"/>
      </w:tblGrid>
      <w:tr w14:paraId="61F81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393" w:type="pct"/>
            <w:tcBorders>
              <w:tl2br w:val="nil"/>
              <w:tr2bl w:val="nil"/>
            </w:tcBorders>
            <w:noWrap w:val="0"/>
            <w:vAlign w:val="center"/>
          </w:tcPr>
          <w:p w14:paraId="620F90DA">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单位</w:t>
            </w:r>
          </w:p>
        </w:tc>
        <w:tc>
          <w:tcPr>
            <w:tcW w:w="473" w:type="pct"/>
            <w:tcBorders>
              <w:tl2br w:val="nil"/>
              <w:tr2bl w:val="nil"/>
            </w:tcBorders>
            <w:noWrap w:val="0"/>
            <w:vAlign w:val="center"/>
          </w:tcPr>
          <w:p w14:paraId="270EDC40">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姓名</w:t>
            </w:r>
          </w:p>
        </w:tc>
        <w:tc>
          <w:tcPr>
            <w:tcW w:w="360" w:type="pct"/>
            <w:tcBorders>
              <w:tl2br w:val="nil"/>
              <w:tr2bl w:val="nil"/>
            </w:tcBorders>
            <w:noWrap w:val="0"/>
            <w:vAlign w:val="center"/>
          </w:tcPr>
          <w:p w14:paraId="1846BCEA">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性别</w:t>
            </w:r>
          </w:p>
        </w:tc>
        <w:tc>
          <w:tcPr>
            <w:tcW w:w="392" w:type="pct"/>
            <w:tcBorders>
              <w:tl2br w:val="nil"/>
              <w:tr2bl w:val="nil"/>
            </w:tcBorders>
            <w:noWrap w:val="0"/>
            <w:vAlign w:val="center"/>
          </w:tcPr>
          <w:p w14:paraId="7C86BA12">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年龄</w:t>
            </w:r>
          </w:p>
        </w:tc>
        <w:tc>
          <w:tcPr>
            <w:tcW w:w="762" w:type="pct"/>
            <w:tcBorders>
              <w:tl2br w:val="nil"/>
              <w:tr2bl w:val="nil"/>
            </w:tcBorders>
            <w:noWrap w:val="0"/>
            <w:vAlign w:val="center"/>
          </w:tcPr>
          <w:p w14:paraId="78BF813C">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职称或职务</w:t>
            </w:r>
          </w:p>
        </w:tc>
        <w:tc>
          <w:tcPr>
            <w:tcW w:w="962" w:type="pct"/>
            <w:tcBorders>
              <w:tl2br w:val="nil"/>
              <w:tr2bl w:val="nil"/>
            </w:tcBorders>
            <w:noWrap w:val="0"/>
            <w:vAlign w:val="center"/>
          </w:tcPr>
          <w:p w14:paraId="0CBCDE26">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所学专业</w:t>
            </w:r>
          </w:p>
        </w:tc>
        <w:tc>
          <w:tcPr>
            <w:tcW w:w="654" w:type="pct"/>
            <w:tcBorders>
              <w:tl2br w:val="nil"/>
              <w:tr2bl w:val="nil"/>
            </w:tcBorders>
            <w:noWrap w:val="0"/>
            <w:vAlign w:val="center"/>
          </w:tcPr>
          <w:p w14:paraId="10C4B583">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从事分析工作年限（年）</w:t>
            </w:r>
          </w:p>
        </w:tc>
      </w:tr>
      <w:tr w14:paraId="43FE5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restart"/>
            <w:tcBorders>
              <w:tl2br w:val="nil"/>
              <w:tr2bl w:val="nil"/>
            </w:tcBorders>
            <w:noWrap w:val="0"/>
            <w:vAlign w:val="center"/>
          </w:tcPr>
          <w:p w14:paraId="0C0B8E3E">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eastAsiaTheme="majorEastAsia"/>
                <w:color w:val="000000"/>
                <w:sz w:val="18"/>
                <w:szCs w:val="18"/>
              </w:rPr>
              <w:t>湖北省生态环境监测中心站</w:t>
            </w:r>
          </w:p>
        </w:tc>
        <w:tc>
          <w:tcPr>
            <w:tcW w:w="473" w:type="pct"/>
            <w:tcBorders>
              <w:tl2br w:val="nil"/>
              <w:tr2bl w:val="nil"/>
            </w:tcBorders>
            <w:noWrap w:val="0"/>
            <w:vAlign w:val="center"/>
          </w:tcPr>
          <w:p w14:paraId="4603160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黄文秀</w:t>
            </w:r>
          </w:p>
        </w:tc>
        <w:tc>
          <w:tcPr>
            <w:tcW w:w="360" w:type="pct"/>
            <w:tcBorders>
              <w:tl2br w:val="nil"/>
              <w:tr2bl w:val="nil"/>
            </w:tcBorders>
            <w:noWrap w:val="0"/>
            <w:vAlign w:val="center"/>
          </w:tcPr>
          <w:p w14:paraId="7420BD5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女</w:t>
            </w:r>
          </w:p>
        </w:tc>
        <w:tc>
          <w:tcPr>
            <w:tcW w:w="392" w:type="pct"/>
            <w:tcBorders>
              <w:tl2br w:val="nil"/>
              <w:tr2bl w:val="nil"/>
            </w:tcBorders>
            <w:noWrap w:val="0"/>
            <w:vAlign w:val="center"/>
          </w:tcPr>
          <w:p w14:paraId="2143667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28</w:t>
            </w:r>
          </w:p>
        </w:tc>
        <w:tc>
          <w:tcPr>
            <w:tcW w:w="762" w:type="pct"/>
            <w:tcBorders>
              <w:tl2br w:val="nil"/>
              <w:tr2bl w:val="nil"/>
            </w:tcBorders>
            <w:noWrap w:val="0"/>
            <w:vAlign w:val="center"/>
          </w:tcPr>
          <w:p w14:paraId="450E309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助理工程师</w:t>
            </w:r>
          </w:p>
        </w:tc>
        <w:tc>
          <w:tcPr>
            <w:tcW w:w="962" w:type="pct"/>
            <w:tcBorders>
              <w:tl2br w:val="nil"/>
              <w:tr2bl w:val="nil"/>
            </w:tcBorders>
            <w:noWrap w:val="0"/>
            <w:vAlign w:val="center"/>
          </w:tcPr>
          <w:p w14:paraId="61105F3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分析化学</w:t>
            </w:r>
          </w:p>
        </w:tc>
        <w:tc>
          <w:tcPr>
            <w:tcW w:w="654" w:type="pct"/>
            <w:tcBorders>
              <w:tl2br w:val="nil"/>
              <w:tr2bl w:val="nil"/>
            </w:tcBorders>
            <w:noWrap w:val="0"/>
            <w:vAlign w:val="center"/>
          </w:tcPr>
          <w:p w14:paraId="50E2EFD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w:t>
            </w:r>
          </w:p>
        </w:tc>
      </w:tr>
      <w:tr w14:paraId="1862E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1801C291">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5C16754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唐彦</w:t>
            </w:r>
          </w:p>
        </w:tc>
        <w:tc>
          <w:tcPr>
            <w:tcW w:w="360" w:type="pct"/>
            <w:tcBorders>
              <w:tl2br w:val="nil"/>
              <w:tr2bl w:val="nil"/>
            </w:tcBorders>
            <w:noWrap w:val="0"/>
            <w:vAlign w:val="center"/>
          </w:tcPr>
          <w:p w14:paraId="72A402E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47075DA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29</w:t>
            </w:r>
          </w:p>
        </w:tc>
        <w:tc>
          <w:tcPr>
            <w:tcW w:w="762" w:type="pct"/>
            <w:tcBorders>
              <w:tl2br w:val="nil"/>
              <w:tr2bl w:val="nil"/>
            </w:tcBorders>
            <w:noWrap w:val="0"/>
            <w:vAlign w:val="center"/>
          </w:tcPr>
          <w:p w14:paraId="4CCFC5E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50BA170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化学工程与工艺</w:t>
            </w:r>
          </w:p>
        </w:tc>
        <w:tc>
          <w:tcPr>
            <w:tcW w:w="654" w:type="pct"/>
            <w:tcBorders>
              <w:tl2br w:val="nil"/>
              <w:tr2bl w:val="nil"/>
            </w:tcBorders>
            <w:noWrap w:val="0"/>
            <w:vAlign w:val="center"/>
          </w:tcPr>
          <w:p w14:paraId="75AFC81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w:t>
            </w:r>
          </w:p>
        </w:tc>
      </w:tr>
      <w:tr w14:paraId="1A119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2817F27A">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3DA2B76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吴昊</w:t>
            </w:r>
          </w:p>
        </w:tc>
        <w:tc>
          <w:tcPr>
            <w:tcW w:w="360" w:type="pct"/>
            <w:tcBorders>
              <w:tl2br w:val="nil"/>
              <w:tr2bl w:val="nil"/>
            </w:tcBorders>
            <w:noWrap w:val="0"/>
            <w:vAlign w:val="center"/>
          </w:tcPr>
          <w:p w14:paraId="47F5B8A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36C38F6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35</w:t>
            </w:r>
          </w:p>
        </w:tc>
        <w:tc>
          <w:tcPr>
            <w:tcW w:w="762" w:type="pct"/>
            <w:tcBorders>
              <w:tl2br w:val="nil"/>
              <w:tr2bl w:val="nil"/>
            </w:tcBorders>
            <w:noWrap w:val="0"/>
            <w:vAlign w:val="center"/>
          </w:tcPr>
          <w:p w14:paraId="2CA4E37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39EBC14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分析化学</w:t>
            </w:r>
          </w:p>
        </w:tc>
        <w:tc>
          <w:tcPr>
            <w:tcW w:w="654" w:type="pct"/>
            <w:tcBorders>
              <w:tl2br w:val="nil"/>
              <w:tr2bl w:val="nil"/>
            </w:tcBorders>
            <w:noWrap w:val="0"/>
            <w:vAlign w:val="center"/>
          </w:tcPr>
          <w:p w14:paraId="262F226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10</w:t>
            </w:r>
          </w:p>
        </w:tc>
      </w:tr>
      <w:tr w14:paraId="232F2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78CCFA36">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7421709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郭丽</w:t>
            </w:r>
          </w:p>
        </w:tc>
        <w:tc>
          <w:tcPr>
            <w:tcW w:w="360" w:type="pct"/>
            <w:tcBorders>
              <w:tl2br w:val="nil"/>
              <w:tr2bl w:val="nil"/>
            </w:tcBorders>
            <w:noWrap w:val="0"/>
            <w:vAlign w:val="center"/>
          </w:tcPr>
          <w:p w14:paraId="1842720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4BA1A4D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44</w:t>
            </w:r>
          </w:p>
        </w:tc>
        <w:tc>
          <w:tcPr>
            <w:tcW w:w="762" w:type="pct"/>
            <w:tcBorders>
              <w:tl2br w:val="nil"/>
              <w:tr2bl w:val="nil"/>
            </w:tcBorders>
            <w:noWrap w:val="0"/>
            <w:vAlign w:val="center"/>
          </w:tcPr>
          <w:p w14:paraId="3DEDB36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正高级工程师</w:t>
            </w:r>
          </w:p>
        </w:tc>
        <w:tc>
          <w:tcPr>
            <w:tcW w:w="962" w:type="pct"/>
            <w:tcBorders>
              <w:tl2br w:val="nil"/>
              <w:tr2bl w:val="nil"/>
            </w:tcBorders>
            <w:noWrap w:val="0"/>
            <w:vAlign w:val="center"/>
          </w:tcPr>
          <w:p w14:paraId="545D292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sz w:val="18"/>
                <w:szCs w:val="18"/>
              </w:rPr>
              <w:t>环境科学</w:t>
            </w:r>
          </w:p>
        </w:tc>
        <w:tc>
          <w:tcPr>
            <w:tcW w:w="654" w:type="pct"/>
            <w:tcBorders>
              <w:tl2br w:val="nil"/>
              <w:tr2bl w:val="nil"/>
            </w:tcBorders>
            <w:noWrap w:val="0"/>
            <w:vAlign w:val="center"/>
          </w:tcPr>
          <w:p w14:paraId="7B9AAD5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16</w:t>
            </w:r>
          </w:p>
        </w:tc>
      </w:tr>
      <w:tr w14:paraId="3E5B9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tcBorders>
              <w:tl2br w:val="nil"/>
              <w:tr2bl w:val="nil"/>
            </w:tcBorders>
            <w:noWrap w:val="0"/>
            <w:vAlign w:val="center"/>
          </w:tcPr>
          <w:p w14:paraId="20073423">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eastAsia" w:cs="Times New Roman" w:eastAsiaTheme="majorEastAsia"/>
                <w:color w:val="000000"/>
                <w:sz w:val="18"/>
                <w:szCs w:val="18"/>
                <w:highlight w:val="none"/>
                <w:vertAlign w:val="baseline"/>
                <w:lang w:val="en-US" w:eastAsia="zh-CN"/>
              </w:rPr>
              <w:t>四川省生态环境监测总站</w:t>
            </w:r>
          </w:p>
        </w:tc>
        <w:tc>
          <w:tcPr>
            <w:tcW w:w="473" w:type="pct"/>
            <w:tcBorders>
              <w:tl2br w:val="nil"/>
              <w:tr2bl w:val="nil"/>
            </w:tcBorders>
            <w:noWrap w:val="0"/>
            <w:vAlign w:val="center"/>
          </w:tcPr>
          <w:p w14:paraId="2FD1B73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张渝</w:t>
            </w:r>
          </w:p>
        </w:tc>
        <w:tc>
          <w:tcPr>
            <w:tcW w:w="360" w:type="pct"/>
            <w:tcBorders>
              <w:tl2br w:val="nil"/>
              <w:tr2bl w:val="nil"/>
            </w:tcBorders>
            <w:noWrap w:val="0"/>
            <w:vAlign w:val="center"/>
          </w:tcPr>
          <w:p w14:paraId="253324E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495669B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45</w:t>
            </w:r>
          </w:p>
        </w:tc>
        <w:tc>
          <w:tcPr>
            <w:tcW w:w="762" w:type="pct"/>
            <w:tcBorders>
              <w:tl2br w:val="nil"/>
              <w:tr2bl w:val="nil"/>
            </w:tcBorders>
            <w:noWrap w:val="0"/>
            <w:vAlign w:val="center"/>
          </w:tcPr>
          <w:p w14:paraId="2435CF0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高级工程师</w:t>
            </w:r>
          </w:p>
        </w:tc>
        <w:tc>
          <w:tcPr>
            <w:tcW w:w="962" w:type="pct"/>
            <w:tcBorders>
              <w:tl2br w:val="nil"/>
              <w:tr2bl w:val="nil"/>
            </w:tcBorders>
            <w:noWrap w:val="0"/>
            <w:vAlign w:val="center"/>
          </w:tcPr>
          <w:p w14:paraId="672E755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环境科学</w:t>
            </w:r>
          </w:p>
        </w:tc>
        <w:tc>
          <w:tcPr>
            <w:tcW w:w="654" w:type="pct"/>
            <w:tcBorders>
              <w:tl2br w:val="nil"/>
              <w:tr2bl w:val="nil"/>
            </w:tcBorders>
            <w:noWrap w:val="0"/>
            <w:vAlign w:val="center"/>
          </w:tcPr>
          <w:p w14:paraId="29205D8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20</w:t>
            </w:r>
          </w:p>
        </w:tc>
      </w:tr>
      <w:tr w14:paraId="56B6E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restart"/>
            <w:tcBorders>
              <w:tl2br w:val="nil"/>
              <w:tr2bl w:val="nil"/>
            </w:tcBorders>
            <w:noWrap w:val="0"/>
            <w:vAlign w:val="center"/>
          </w:tcPr>
          <w:p w14:paraId="41EDFBAF">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辽宁省生态环境监测中心</w:t>
            </w:r>
          </w:p>
        </w:tc>
        <w:tc>
          <w:tcPr>
            <w:tcW w:w="473" w:type="pct"/>
            <w:tcBorders>
              <w:tl2br w:val="nil"/>
              <w:tr2bl w:val="nil"/>
            </w:tcBorders>
            <w:noWrap w:val="0"/>
            <w:vAlign w:val="center"/>
          </w:tcPr>
          <w:p w14:paraId="57449F1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杨冬雷</w:t>
            </w:r>
          </w:p>
        </w:tc>
        <w:tc>
          <w:tcPr>
            <w:tcW w:w="360" w:type="pct"/>
            <w:tcBorders>
              <w:tl2br w:val="nil"/>
              <w:tr2bl w:val="nil"/>
            </w:tcBorders>
            <w:noWrap w:val="0"/>
            <w:vAlign w:val="center"/>
          </w:tcPr>
          <w:p w14:paraId="4E63D95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559C43E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34</w:t>
            </w:r>
          </w:p>
        </w:tc>
        <w:tc>
          <w:tcPr>
            <w:tcW w:w="762" w:type="pct"/>
            <w:tcBorders>
              <w:tl2br w:val="nil"/>
              <w:tr2bl w:val="nil"/>
            </w:tcBorders>
            <w:noWrap w:val="0"/>
            <w:vAlign w:val="center"/>
          </w:tcPr>
          <w:p w14:paraId="66E3C25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6B9865B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应用化学</w:t>
            </w:r>
          </w:p>
        </w:tc>
        <w:tc>
          <w:tcPr>
            <w:tcW w:w="654" w:type="pct"/>
            <w:tcBorders>
              <w:tl2br w:val="nil"/>
              <w:tr2bl w:val="nil"/>
            </w:tcBorders>
            <w:noWrap w:val="0"/>
            <w:vAlign w:val="center"/>
          </w:tcPr>
          <w:p w14:paraId="3C5CE14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12</w:t>
            </w:r>
          </w:p>
        </w:tc>
      </w:tr>
      <w:tr w14:paraId="66C1A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continue"/>
            <w:tcBorders>
              <w:tl2br w:val="nil"/>
              <w:tr2bl w:val="nil"/>
            </w:tcBorders>
            <w:noWrap w:val="0"/>
            <w:vAlign w:val="center"/>
          </w:tcPr>
          <w:p w14:paraId="39E741D4">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0544A13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孙佳妮</w:t>
            </w:r>
          </w:p>
        </w:tc>
        <w:tc>
          <w:tcPr>
            <w:tcW w:w="360" w:type="pct"/>
            <w:tcBorders>
              <w:tl2br w:val="nil"/>
              <w:tr2bl w:val="nil"/>
            </w:tcBorders>
            <w:noWrap w:val="0"/>
            <w:vAlign w:val="center"/>
          </w:tcPr>
          <w:p w14:paraId="41794C6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7D3F9C1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31</w:t>
            </w:r>
          </w:p>
        </w:tc>
        <w:tc>
          <w:tcPr>
            <w:tcW w:w="762" w:type="pct"/>
            <w:tcBorders>
              <w:tl2br w:val="nil"/>
              <w:tr2bl w:val="nil"/>
            </w:tcBorders>
            <w:noWrap w:val="0"/>
            <w:vAlign w:val="center"/>
          </w:tcPr>
          <w:p w14:paraId="21CF6ED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7B1AEE1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高分子材料与工程</w:t>
            </w:r>
          </w:p>
        </w:tc>
        <w:tc>
          <w:tcPr>
            <w:tcW w:w="654" w:type="pct"/>
            <w:tcBorders>
              <w:tl2br w:val="nil"/>
              <w:tr2bl w:val="nil"/>
            </w:tcBorders>
            <w:noWrap w:val="0"/>
            <w:vAlign w:val="center"/>
          </w:tcPr>
          <w:p w14:paraId="4E3E6CD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w:t>
            </w:r>
          </w:p>
        </w:tc>
      </w:tr>
      <w:tr w14:paraId="322F6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restart"/>
            <w:tcBorders>
              <w:tl2br w:val="nil"/>
              <w:tr2bl w:val="nil"/>
            </w:tcBorders>
            <w:noWrap w:val="0"/>
            <w:vAlign w:val="center"/>
          </w:tcPr>
          <w:p w14:paraId="74209B2C">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海南省生态环境监测中心</w:t>
            </w:r>
          </w:p>
        </w:tc>
        <w:tc>
          <w:tcPr>
            <w:tcW w:w="473" w:type="pct"/>
            <w:tcBorders>
              <w:tl2br w:val="nil"/>
              <w:tr2bl w:val="nil"/>
            </w:tcBorders>
            <w:noWrap w:val="0"/>
            <w:vAlign w:val="center"/>
          </w:tcPr>
          <w:p w14:paraId="3F0885D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吴艳</w:t>
            </w:r>
          </w:p>
        </w:tc>
        <w:tc>
          <w:tcPr>
            <w:tcW w:w="360" w:type="pct"/>
            <w:tcBorders>
              <w:tl2br w:val="nil"/>
              <w:tr2bl w:val="nil"/>
            </w:tcBorders>
            <w:noWrap w:val="0"/>
            <w:vAlign w:val="center"/>
          </w:tcPr>
          <w:p w14:paraId="5809AFB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1243FD0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34</w:t>
            </w:r>
          </w:p>
        </w:tc>
        <w:tc>
          <w:tcPr>
            <w:tcW w:w="762" w:type="pct"/>
            <w:tcBorders>
              <w:tl2br w:val="nil"/>
              <w:tr2bl w:val="nil"/>
            </w:tcBorders>
            <w:noWrap w:val="0"/>
            <w:vAlign w:val="center"/>
          </w:tcPr>
          <w:p w14:paraId="15997D4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3900CAB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环境科学</w:t>
            </w:r>
          </w:p>
        </w:tc>
        <w:tc>
          <w:tcPr>
            <w:tcW w:w="654" w:type="pct"/>
            <w:tcBorders>
              <w:tl2br w:val="nil"/>
              <w:tr2bl w:val="nil"/>
            </w:tcBorders>
            <w:noWrap w:val="0"/>
            <w:vAlign w:val="center"/>
          </w:tcPr>
          <w:p w14:paraId="107DC6E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11</w:t>
            </w:r>
          </w:p>
        </w:tc>
      </w:tr>
      <w:tr w14:paraId="6FC84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continue"/>
            <w:tcBorders>
              <w:tl2br w:val="nil"/>
              <w:tr2bl w:val="nil"/>
            </w:tcBorders>
            <w:noWrap w:val="0"/>
            <w:vAlign w:val="center"/>
          </w:tcPr>
          <w:p w14:paraId="34F544D6">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4857768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黄丹瑜</w:t>
            </w:r>
          </w:p>
        </w:tc>
        <w:tc>
          <w:tcPr>
            <w:tcW w:w="360" w:type="pct"/>
            <w:tcBorders>
              <w:tl2br w:val="nil"/>
              <w:tr2bl w:val="nil"/>
            </w:tcBorders>
            <w:noWrap w:val="0"/>
            <w:vAlign w:val="center"/>
          </w:tcPr>
          <w:p w14:paraId="28FDC33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6237E9D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32</w:t>
            </w:r>
          </w:p>
        </w:tc>
        <w:tc>
          <w:tcPr>
            <w:tcW w:w="762" w:type="pct"/>
            <w:tcBorders>
              <w:tl2br w:val="nil"/>
              <w:tr2bl w:val="nil"/>
            </w:tcBorders>
            <w:noWrap w:val="0"/>
            <w:vAlign w:val="center"/>
          </w:tcPr>
          <w:p w14:paraId="2D7F379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助理工程师</w:t>
            </w:r>
          </w:p>
        </w:tc>
        <w:tc>
          <w:tcPr>
            <w:tcW w:w="962" w:type="pct"/>
            <w:tcBorders>
              <w:tl2br w:val="nil"/>
              <w:tr2bl w:val="nil"/>
            </w:tcBorders>
            <w:noWrap w:val="0"/>
            <w:vAlign w:val="center"/>
          </w:tcPr>
          <w:p w14:paraId="696ADBE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化学专业</w:t>
            </w:r>
          </w:p>
        </w:tc>
        <w:tc>
          <w:tcPr>
            <w:tcW w:w="654" w:type="pct"/>
            <w:tcBorders>
              <w:tl2br w:val="nil"/>
              <w:tr2bl w:val="nil"/>
            </w:tcBorders>
            <w:noWrap w:val="0"/>
            <w:vAlign w:val="center"/>
          </w:tcPr>
          <w:p w14:paraId="76D004A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w:t>
            </w:r>
          </w:p>
        </w:tc>
      </w:tr>
      <w:tr w14:paraId="479DA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restart"/>
            <w:tcBorders>
              <w:tl2br w:val="nil"/>
              <w:tr2bl w:val="nil"/>
            </w:tcBorders>
            <w:noWrap w:val="0"/>
            <w:vAlign w:val="center"/>
          </w:tcPr>
          <w:p w14:paraId="644464D4">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eastAsia" w:cs="Times New Roman" w:eastAsiaTheme="majorEastAsia"/>
                <w:color w:val="000000"/>
                <w:sz w:val="18"/>
                <w:szCs w:val="18"/>
                <w:lang w:eastAsia="zh-CN"/>
              </w:rPr>
              <w:t>四川省宜宾生态环境监测中心站</w:t>
            </w:r>
          </w:p>
        </w:tc>
        <w:tc>
          <w:tcPr>
            <w:tcW w:w="473" w:type="pct"/>
            <w:tcBorders>
              <w:tl2br w:val="nil"/>
              <w:tr2bl w:val="nil"/>
            </w:tcBorders>
            <w:noWrap w:val="0"/>
            <w:vAlign w:val="center"/>
          </w:tcPr>
          <w:p w14:paraId="38D2F15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苏思瑾</w:t>
            </w:r>
          </w:p>
        </w:tc>
        <w:tc>
          <w:tcPr>
            <w:tcW w:w="360" w:type="pct"/>
            <w:tcBorders>
              <w:tl2br w:val="nil"/>
              <w:tr2bl w:val="nil"/>
            </w:tcBorders>
            <w:noWrap w:val="0"/>
            <w:vAlign w:val="center"/>
          </w:tcPr>
          <w:p w14:paraId="26991C6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0935383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33</w:t>
            </w:r>
          </w:p>
        </w:tc>
        <w:tc>
          <w:tcPr>
            <w:tcW w:w="762" w:type="pct"/>
            <w:tcBorders>
              <w:tl2br w:val="nil"/>
              <w:tr2bl w:val="nil"/>
            </w:tcBorders>
            <w:noWrap w:val="0"/>
            <w:vAlign w:val="center"/>
          </w:tcPr>
          <w:p w14:paraId="6B5CD90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高级工程师</w:t>
            </w:r>
          </w:p>
        </w:tc>
        <w:tc>
          <w:tcPr>
            <w:tcW w:w="962" w:type="pct"/>
            <w:tcBorders>
              <w:tl2br w:val="nil"/>
              <w:tr2bl w:val="nil"/>
            </w:tcBorders>
            <w:noWrap w:val="0"/>
            <w:vAlign w:val="center"/>
          </w:tcPr>
          <w:p w14:paraId="7C87184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环境工程</w:t>
            </w:r>
          </w:p>
        </w:tc>
        <w:tc>
          <w:tcPr>
            <w:tcW w:w="654" w:type="pct"/>
            <w:tcBorders>
              <w:tl2br w:val="nil"/>
              <w:tr2bl w:val="nil"/>
            </w:tcBorders>
            <w:noWrap w:val="0"/>
            <w:vAlign w:val="center"/>
          </w:tcPr>
          <w:p w14:paraId="74C9B06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9</w:t>
            </w:r>
          </w:p>
        </w:tc>
      </w:tr>
      <w:tr w14:paraId="682CE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1A1E45C8">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042BA3A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李圣</w:t>
            </w:r>
          </w:p>
        </w:tc>
        <w:tc>
          <w:tcPr>
            <w:tcW w:w="360" w:type="pct"/>
            <w:tcBorders>
              <w:tl2br w:val="nil"/>
              <w:tr2bl w:val="nil"/>
            </w:tcBorders>
            <w:noWrap w:val="0"/>
            <w:vAlign w:val="center"/>
          </w:tcPr>
          <w:p w14:paraId="3036F92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男</w:t>
            </w:r>
          </w:p>
        </w:tc>
        <w:tc>
          <w:tcPr>
            <w:tcW w:w="392" w:type="pct"/>
            <w:tcBorders>
              <w:tl2br w:val="nil"/>
              <w:tr2bl w:val="nil"/>
            </w:tcBorders>
            <w:noWrap w:val="0"/>
            <w:vAlign w:val="center"/>
          </w:tcPr>
          <w:p w14:paraId="0CDF182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35</w:t>
            </w:r>
          </w:p>
        </w:tc>
        <w:tc>
          <w:tcPr>
            <w:tcW w:w="762" w:type="pct"/>
            <w:tcBorders>
              <w:tl2br w:val="nil"/>
              <w:tr2bl w:val="nil"/>
            </w:tcBorders>
            <w:noWrap w:val="0"/>
            <w:vAlign w:val="center"/>
          </w:tcPr>
          <w:p w14:paraId="71B6114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shd w:val="clear" w:color="auto" w:fill="auto"/>
            <w:noWrap w:val="0"/>
            <w:vAlign w:val="center"/>
          </w:tcPr>
          <w:p w14:paraId="0F5CB8A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eastAsiaTheme="majorEastAsia"/>
                <w:color w:val="000000"/>
                <w:sz w:val="18"/>
                <w:szCs w:val="18"/>
              </w:rPr>
              <w:t>环境工程</w:t>
            </w:r>
          </w:p>
        </w:tc>
        <w:tc>
          <w:tcPr>
            <w:tcW w:w="654" w:type="pct"/>
            <w:tcBorders>
              <w:tl2br w:val="nil"/>
              <w:tr2bl w:val="nil"/>
            </w:tcBorders>
            <w:shd w:val="clear" w:color="auto" w:fill="auto"/>
            <w:noWrap w:val="0"/>
            <w:vAlign w:val="center"/>
          </w:tcPr>
          <w:p w14:paraId="78627A6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9</w:t>
            </w:r>
          </w:p>
        </w:tc>
      </w:tr>
      <w:tr w14:paraId="57C0D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3" w:type="pct"/>
            <w:vMerge w:val="continue"/>
            <w:tcBorders>
              <w:tl2br w:val="nil"/>
              <w:tr2bl w:val="nil"/>
            </w:tcBorders>
            <w:noWrap w:val="0"/>
            <w:vAlign w:val="center"/>
          </w:tcPr>
          <w:p w14:paraId="65A400FF">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18"/>
                <w:szCs w:val="18"/>
                <w:highlight w:val="none"/>
              </w:rPr>
            </w:pPr>
          </w:p>
        </w:tc>
        <w:tc>
          <w:tcPr>
            <w:tcW w:w="473" w:type="pct"/>
            <w:tcBorders>
              <w:tl2br w:val="nil"/>
              <w:tr2bl w:val="nil"/>
            </w:tcBorders>
            <w:noWrap w:val="0"/>
            <w:vAlign w:val="center"/>
          </w:tcPr>
          <w:p w14:paraId="66547EF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梁政儒</w:t>
            </w:r>
          </w:p>
        </w:tc>
        <w:tc>
          <w:tcPr>
            <w:tcW w:w="360" w:type="pct"/>
            <w:tcBorders>
              <w:tl2br w:val="nil"/>
              <w:tr2bl w:val="nil"/>
            </w:tcBorders>
            <w:noWrap w:val="0"/>
            <w:vAlign w:val="center"/>
          </w:tcPr>
          <w:p w14:paraId="667225E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199623A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22</w:t>
            </w:r>
          </w:p>
        </w:tc>
        <w:tc>
          <w:tcPr>
            <w:tcW w:w="762" w:type="pct"/>
            <w:tcBorders>
              <w:tl2br w:val="nil"/>
              <w:tr2bl w:val="nil"/>
            </w:tcBorders>
            <w:noWrap w:val="0"/>
            <w:vAlign w:val="center"/>
          </w:tcPr>
          <w:p w14:paraId="7C8F1D5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无</w:t>
            </w:r>
          </w:p>
        </w:tc>
        <w:tc>
          <w:tcPr>
            <w:tcW w:w="962" w:type="pct"/>
            <w:tcBorders>
              <w:tl2br w:val="nil"/>
              <w:tr2bl w:val="nil"/>
            </w:tcBorders>
            <w:noWrap w:val="0"/>
            <w:vAlign w:val="center"/>
          </w:tcPr>
          <w:p w14:paraId="134716E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rPr>
              <w:t>环境科学与工程</w:t>
            </w:r>
          </w:p>
        </w:tc>
        <w:tc>
          <w:tcPr>
            <w:tcW w:w="654" w:type="pct"/>
            <w:tcBorders>
              <w:tl2br w:val="nil"/>
              <w:tr2bl w:val="nil"/>
            </w:tcBorders>
            <w:noWrap w:val="0"/>
            <w:vAlign w:val="center"/>
          </w:tcPr>
          <w:p w14:paraId="1FE24F8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w:t>
            </w:r>
          </w:p>
        </w:tc>
      </w:tr>
      <w:tr w14:paraId="7BBFB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restart"/>
            <w:tcBorders>
              <w:tl2br w:val="nil"/>
              <w:tr2bl w:val="nil"/>
            </w:tcBorders>
            <w:noWrap w:val="0"/>
            <w:vAlign w:val="center"/>
          </w:tcPr>
          <w:p w14:paraId="53EAFF13">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eastAsia" w:cs="Times New Roman"/>
                <w:color w:val="000000"/>
                <w:sz w:val="18"/>
                <w:szCs w:val="18"/>
                <w:highlight w:val="none"/>
                <w:lang w:eastAsia="zh-CN"/>
              </w:rPr>
              <w:t>江苏省徐州生态环境监测中心</w:t>
            </w:r>
          </w:p>
        </w:tc>
        <w:tc>
          <w:tcPr>
            <w:tcW w:w="473" w:type="pct"/>
            <w:tcBorders>
              <w:tl2br w:val="nil"/>
              <w:tr2bl w:val="nil"/>
            </w:tcBorders>
            <w:noWrap w:val="0"/>
            <w:vAlign w:val="center"/>
          </w:tcPr>
          <w:p w14:paraId="1AA4EF1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周玉娇</w:t>
            </w:r>
          </w:p>
        </w:tc>
        <w:tc>
          <w:tcPr>
            <w:tcW w:w="360" w:type="pct"/>
            <w:tcBorders>
              <w:tl2br w:val="nil"/>
              <w:tr2bl w:val="nil"/>
            </w:tcBorders>
            <w:noWrap w:val="0"/>
            <w:vAlign w:val="center"/>
          </w:tcPr>
          <w:p w14:paraId="777A6EA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女</w:t>
            </w:r>
          </w:p>
        </w:tc>
        <w:tc>
          <w:tcPr>
            <w:tcW w:w="392" w:type="pct"/>
            <w:tcBorders>
              <w:tl2br w:val="nil"/>
              <w:tr2bl w:val="nil"/>
            </w:tcBorders>
            <w:noWrap w:val="0"/>
            <w:vAlign w:val="center"/>
          </w:tcPr>
          <w:p w14:paraId="74518F6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35</w:t>
            </w:r>
          </w:p>
        </w:tc>
        <w:tc>
          <w:tcPr>
            <w:tcW w:w="762" w:type="pct"/>
            <w:tcBorders>
              <w:tl2br w:val="nil"/>
              <w:tr2bl w:val="nil"/>
            </w:tcBorders>
            <w:noWrap w:val="0"/>
            <w:vAlign w:val="center"/>
          </w:tcPr>
          <w:p w14:paraId="6A10760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工程师</w:t>
            </w:r>
          </w:p>
        </w:tc>
        <w:tc>
          <w:tcPr>
            <w:tcW w:w="962" w:type="pct"/>
            <w:tcBorders>
              <w:tl2br w:val="nil"/>
              <w:tr2bl w:val="nil"/>
            </w:tcBorders>
            <w:noWrap w:val="0"/>
            <w:vAlign w:val="center"/>
          </w:tcPr>
          <w:p w14:paraId="7516F61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化学</w:t>
            </w:r>
            <w:r>
              <w:rPr>
                <w:rFonts w:hint="default" w:ascii="Times New Roman" w:hAnsi="Times New Roman" w:cs="Times New Roman"/>
                <w:color w:val="000000"/>
                <w:kern w:val="0"/>
                <w:sz w:val="18"/>
                <w:szCs w:val="18"/>
                <w:highlight w:val="none"/>
                <w:lang w:eastAsia="zh-CN"/>
              </w:rPr>
              <w:t>（</w:t>
            </w:r>
            <w:r>
              <w:rPr>
                <w:rFonts w:hint="default" w:ascii="Times New Roman" w:hAnsi="Times New Roman" w:cs="Times New Roman"/>
                <w:color w:val="000000"/>
                <w:kern w:val="0"/>
                <w:sz w:val="18"/>
                <w:szCs w:val="18"/>
                <w:highlight w:val="none"/>
              </w:rPr>
              <w:t>分析技术</w:t>
            </w:r>
            <w:r>
              <w:rPr>
                <w:rFonts w:hint="default" w:ascii="Times New Roman" w:hAnsi="Times New Roman" w:cs="Times New Roman"/>
                <w:color w:val="000000"/>
                <w:kern w:val="0"/>
                <w:sz w:val="18"/>
                <w:szCs w:val="18"/>
                <w:highlight w:val="none"/>
                <w:lang w:eastAsia="zh-CN"/>
              </w:rPr>
              <w:t>）</w:t>
            </w:r>
          </w:p>
        </w:tc>
        <w:tc>
          <w:tcPr>
            <w:tcW w:w="654" w:type="pct"/>
            <w:tcBorders>
              <w:tl2br w:val="nil"/>
              <w:tr2bl w:val="nil"/>
            </w:tcBorders>
            <w:noWrap w:val="0"/>
            <w:vAlign w:val="center"/>
          </w:tcPr>
          <w:p w14:paraId="65A7B37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12</w:t>
            </w:r>
          </w:p>
        </w:tc>
      </w:tr>
      <w:tr w14:paraId="43C2F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3" w:type="pct"/>
            <w:vMerge w:val="continue"/>
            <w:tcBorders>
              <w:tl2br w:val="nil"/>
              <w:tr2bl w:val="nil"/>
            </w:tcBorders>
            <w:noWrap w:val="0"/>
            <w:vAlign w:val="center"/>
          </w:tcPr>
          <w:p w14:paraId="11B46DB0">
            <w:pPr>
              <w:pStyle w:val="23"/>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473" w:type="pct"/>
            <w:tcBorders>
              <w:tl2br w:val="nil"/>
              <w:tr2bl w:val="nil"/>
            </w:tcBorders>
            <w:noWrap w:val="0"/>
            <w:vAlign w:val="center"/>
          </w:tcPr>
          <w:p w14:paraId="6DC6AC0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郑新颖</w:t>
            </w:r>
          </w:p>
        </w:tc>
        <w:tc>
          <w:tcPr>
            <w:tcW w:w="360" w:type="pct"/>
            <w:tcBorders>
              <w:tl2br w:val="nil"/>
              <w:tr2bl w:val="nil"/>
            </w:tcBorders>
            <w:noWrap w:val="0"/>
            <w:vAlign w:val="center"/>
          </w:tcPr>
          <w:p w14:paraId="0750677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eastAsiaTheme="majorEastAsia"/>
                <w:color w:val="000000"/>
                <w:sz w:val="18"/>
                <w:szCs w:val="18"/>
                <w:highlight w:val="none"/>
                <w:vertAlign w:val="baseline"/>
                <w:lang w:val="en-US" w:eastAsia="zh-CN"/>
              </w:rPr>
              <w:t>女</w:t>
            </w:r>
          </w:p>
        </w:tc>
        <w:tc>
          <w:tcPr>
            <w:tcW w:w="392" w:type="pct"/>
            <w:tcBorders>
              <w:tl2br w:val="nil"/>
              <w:tr2bl w:val="nil"/>
            </w:tcBorders>
            <w:noWrap w:val="0"/>
            <w:vAlign w:val="center"/>
          </w:tcPr>
          <w:p w14:paraId="7BBC589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41</w:t>
            </w:r>
          </w:p>
        </w:tc>
        <w:tc>
          <w:tcPr>
            <w:tcW w:w="762" w:type="pct"/>
            <w:tcBorders>
              <w:tl2br w:val="nil"/>
              <w:tr2bl w:val="nil"/>
            </w:tcBorders>
            <w:noWrap w:val="0"/>
            <w:vAlign w:val="center"/>
          </w:tcPr>
          <w:p w14:paraId="5F4F432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技术员</w:t>
            </w:r>
          </w:p>
        </w:tc>
        <w:tc>
          <w:tcPr>
            <w:tcW w:w="962" w:type="pct"/>
            <w:tcBorders>
              <w:tl2br w:val="nil"/>
              <w:tr2bl w:val="nil"/>
            </w:tcBorders>
            <w:noWrap w:val="0"/>
            <w:vAlign w:val="center"/>
          </w:tcPr>
          <w:p w14:paraId="54F7747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化学工程与工艺</w:t>
            </w:r>
          </w:p>
        </w:tc>
        <w:tc>
          <w:tcPr>
            <w:tcW w:w="654" w:type="pct"/>
            <w:tcBorders>
              <w:tl2br w:val="nil"/>
              <w:tr2bl w:val="nil"/>
            </w:tcBorders>
            <w:noWrap w:val="0"/>
            <w:vAlign w:val="center"/>
          </w:tcPr>
          <w:p w14:paraId="7FBFBB8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6</w:t>
            </w:r>
          </w:p>
        </w:tc>
      </w:tr>
    </w:tbl>
    <w:p w14:paraId="19B34F9C">
      <w:pPr>
        <w:ind w:left="0" w:leftChars="0" w:firstLine="0" w:firstLineChars="0"/>
        <w:jc w:val="center"/>
        <w:rPr>
          <w:rFonts w:hint="default" w:ascii="Times New Roman" w:hAnsi="Times New Roman" w:eastAsia="黑体" w:cs="Times New Roman"/>
          <w:color w:val="000000"/>
          <w:szCs w:val="21"/>
          <w:highlight w:val="none"/>
          <w:lang w:val="en-US" w:eastAsia="zh-CN"/>
        </w:rPr>
      </w:pPr>
    </w:p>
    <w:p w14:paraId="0236D01E">
      <w:pPr>
        <w:ind w:left="0" w:leftChars="0" w:firstLine="0" w:firstLineChars="0"/>
        <w:jc w:val="center"/>
        <w:rPr>
          <w:rFonts w:hint="default" w:ascii="Times New Roman" w:hAnsi="Times New Roman" w:eastAsia="黑体" w:cs="Times New Roman"/>
          <w:color w:val="000000"/>
          <w:szCs w:val="21"/>
          <w:highlight w:val="none"/>
          <w:lang w:val="en-US" w:eastAsia="zh-CN"/>
        </w:rPr>
      </w:pPr>
    </w:p>
    <w:p w14:paraId="350EDE02">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  本方法验证所用气相色谱质谱仪一览表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2"/>
        <w:gridCol w:w="2944"/>
        <w:gridCol w:w="1236"/>
        <w:gridCol w:w="1364"/>
        <w:gridCol w:w="1572"/>
        <w:gridCol w:w="992"/>
      </w:tblGrid>
      <w:tr w14:paraId="7205C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tcBorders>
              <w:tl2br w:val="nil"/>
              <w:tr2bl w:val="nil"/>
            </w:tcBorders>
            <w:vAlign w:val="center"/>
          </w:tcPr>
          <w:p w14:paraId="02B05DE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序号</w:t>
            </w:r>
          </w:p>
        </w:tc>
        <w:tc>
          <w:tcPr>
            <w:tcW w:w="2944" w:type="dxa"/>
            <w:tcBorders>
              <w:tl2br w:val="nil"/>
              <w:tr2bl w:val="nil"/>
            </w:tcBorders>
            <w:vAlign w:val="center"/>
          </w:tcPr>
          <w:p w14:paraId="0282008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验证单位</w:t>
            </w:r>
          </w:p>
        </w:tc>
        <w:tc>
          <w:tcPr>
            <w:tcW w:w="1236" w:type="dxa"/>
            <w:tcBorders>
              <w:tl2br w:val="nil"/>
              <w:tr2bl w:val="nil"/>
            </w:tcBorders>
            <w:vAlign w:val="center"/>
          </w:tcPr>
          <w:p w14:paraId="297B450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生产厂家</w:t>
            </w:r>
          </w:p>
        </w:tc>
        <w:tc>
          <w:tcPr>
            <w:tcW w:w="1364" w:type="dxa"/>
            <w:tcBorders>
              <w:tl2br w:val="nil"/>
              <w:tr2bl w:val="nil"/>
            </w:tcBorders>
            <w:vAlign w:val="center"/>
          </w:tcPr>
          <w:p w14:paraId="47FBD60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规格型号</w:t>
            </w:r>
          </w:p>
        </w:tc>
        <w:tc>
          <w:tcPr>
            <w:tcW w:w="1572" w:type="dxa"/>
            <w:tcBorders>
              <w:tl2br w:val="nil"/>
              <w:tr2bl w:val="nil"/>
            </w:tcBorders>
            <w:vAlign w:val="center"/>
          </w:tcPr>
          <w:p w14:paraId="7684410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仪器出厂编号</w:t>
            </w:r>
          </w:p>
        </w:tc>
        <w:tc>
          <w:tcPr>
            <w:tcW w:w="992" w:type="dxa"/>
            <w:tcBorders>
              <w:tl2br w:val="nil"/>
              <w:tr2bl w:val="nil"/>
            </w:tcBorders>
            <w:vAlign w:val="center"/>
          </w:tcPr>
          <w:p w14:paraId="53646E0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性能状况</w:t>
            </w:r>
          </w:p>
        </w:tc>
      </w:tr>
      <w:tr w14:paraId="0F992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tcBorders>
              <w:tl2br w:val="nil"/>
              <w:tr2bl w:val="nil"/>
            </w:tcBorders>
            <w:vAlign w:val="center"/>
          </w:tcPr>
          <w:p w14:paraId="565E89C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1</w:t>
            </w:r>
          </w:p>
        </w:tc>
        <w:tc>
          <w:tcPr>
            <w:tcW w:w="2944" w:type="dxa"/>
            <w:tcBorders>
              <w:tl2br w:val="nil"/>
              <w:tr2bl w:val="nil"/>
            </w:tcBorders>
            <w:vAlign w:val="center"/>
          </w:tcPr>
          <w:p w14:paraId="7163CA3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rPr>
              <w:t>湖北省生态环境监测中心站</w:t>
            </w:r>
          </w:p>
        </w:tc>
        <w:tc>
          <w:tcPr>
            <w:tcW w:w="1236" w:type="dxa"/>
            <w:tcBorders>
              <w:tl2br w:val="nil"/>
              <w:tr2bl w:val="nil"/>
            </w:tcBorders>
            <w:vAlign w:val="center"/>
          </w:tcPr>
          <w:p w14:paraId="5F8231E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安捷伦</w:t>
            </w:r>
          </w:p>
        </w:tc>
        <w:tc>
          <w:tcPr>
            <w:tcW w:w="1364" w:type="dxa"/>
            <w:tcBorders>
              <w:tl2br w:val="nil"/>
              <w:tr2bl w:val="nil"/>
            </w:tcBorders>
            <w:vAlign w:val="center"/>
          </w:tcPr>
          <w:p w14:paraId="4211F0B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7890A-5975C</w:t>
            </w:r>
          </w:p>
        </w:tc>
        <w:tc>
          <w:tcPr>
            <w:tcW w:w="1572" w:type="dxa"/>
            <w:tcBorders>
              <w:tl2br w:val="nil"/>
              <w:tr2bl w:val="nil"/>
            </w:tcBorders>
            <w:vAlign w:val="center"/>
          </w:tcPr>
          <w:p w14:paraId="7D6531C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CN10805151/</w:t>
            </w:r>
          </w:p>
          <w:p w14:paraId="73BE7C9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US80648420</w:t>
            </w:r>
          </w:p>
        </w:tc>
        <w:tc>
          <w:tcPr>
            <w:tcW w:w="992" w:type="dxa"/>
            <w:tcBorders>
              <w:tl2br w:val="nil"/>
              <w:tr2bl w:val="nil"/>
            </w:tcBorders>
            <w:vAlign w:val="center"/>
          </w:tcPr>
          <w:p w14:paraId="77DF6B8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良好</w:t>
            </w:r>
          </w:p>
        </w:tc>
      </w:tr>
      <w:tr w14:paraId="15134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tcBorders>
              <w:tl2br w:val="nil"/>
              <w:tr2bl w:val="nil"/>
            </w:tcBorders>
            <w:vAlign w:val="center"/>
          </w:tcPr>
          <w:p w14:paraId="50A4EF2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2</w:t>
            </w:r>
          </w:p>
        </w:tc>
        <w:tc>
          <w:tcPr>
            <w:tcW w:w="2944" w:type="dxa"/>
            <w:tcBorders>
              <w:tl2br w:val="nil"/>
              <w:tr2bl w:val="nil"/>
            </w:tcBorders>
            <w:vAlign w:val="center"/>
          </w:tcPr>
          <w:p w14:paraId="7A73831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eastAsiaTheme="majorEastAsia"/>
                <w:color w:val="000000"/>
                <w:sz w:val="18"/>
                <w:szCs w:val="18"/>
                <w:highlight w:val="none"/>
                <w:vertAlign w:val="baseline"/>
                <w:lang w:val="en-US" w:eastAsia="zh-CN"/>
              </w:rPr>
              <w:t>四川省生态环境监测总站</w:t>
            </w:r>
          </w:p>
        </w:tc>
        <w:tc>
          <w:tcPr>
            <w:tcW w:w="1236" w:type="dxa"/>
            <w:tcBorders>
              <w:tl2br w:val="nil"/>
              <w:tr2bl w:val="nil"/>
            </w:tcBorders>
            <w:vAlign w:val="center"/>
          </w:tcPr>
          <w:p w14:paraId="3685174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安捷伦</w:t>
            </w:r>
          </w:p>
        </w:tc>
        <w:tc>
          <w:tcPr>
            <w:tcW w:w="1364" w:type="dxa"/>
            <w:tcBorders>
              <w:tl2br w:val="nil"/>
              <w:tr2bl w:val="nil"/>
            </w:tcBorders>
            <w:vAlign w:val="center"/>
          </w:tcPr>
          <w:p w14:paraId="58E7FFF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7890A-5975C</w:t>
            </w:r>
          </w:p>
        </w:tc>
        <w:tc>
          <w:tcPr>
            <w:tcW w:w="1572" w:type="dxa"/>
            <w:tcBorders>
              <w:tl2br w:val="nil"/>
              <w:tr2bl w:val="nil"/>
            </w:tcBorders>
            <w:vAlign w:val="center"/>
          </w:tcPr>
          <w:p w14:paraId="387B4D6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CN11031138/</w:t>
            </w:r>
          </w:p>
          <w:p w14:paraId="53EFFA5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US11038512</w:t>
            </w:r>
          </w:p>
        </w:tc>
        <w:tc>
          <w:tcPr>
            <w:tcW w:w="992" w:type="dxa"/>
            <w:tcBorders>
              <w:tl2br w:val="nil"/>
              <w:tr2bl w:val="nil"/>
            </w:tcBorders>
            <w:vAlign w:val="center"/>
          </w:tcPr>
          <w:p w14:paraId="14289C2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良好</w:t>
            </w:r>
          </w:p>
        </w:tc>
      </w:tr>
      <w:tr w14:paraId="74125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tcBorders>
              <w:tl2br w:val="nil"/>
              <w:tr2bl w:val="nil"/>
            </w:tcBorders>
            <w:vAlign w:val="center"/>
          </w:tcPr>
          <w:p w14:paraId="4DFC2A9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3</w:t>
            </w:r>
          </w:p>
        </w:tc>
        <w:tc>
          <w:tcPr>
            <w:tcW w:w="2944" w:type="dxa"/>
            <w:tcBorders>
              <w:tl2br w:val="nil"/>
              <w:tr2bl w:val="nil"/>
            </w:tcBorders>
            <w:vAlign w:val="center"/>
          </w:tcPr>
          <w:p w14:paraId="5B7357E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rPr>
              <w:t>辽宁省生态环境监测中心</w:t>
            </w:r>
          </w:p>
        </w:tc>
        <w:tc>
          <w:tcPr>
            <w:tcW w:w="1236" w:type="dxa"/>
            <w:tcBorders>
              <w:tl2br w:val="nil"/>
              <w:tr2bl w:val="nil"/>
            </w:tcBorders>
            <w:vAlign w:val="center"/>
          </w:tcPr>
          <w:p w14:paraId="182C5E9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赛默飞世尔</w:t>
            </w:r>
          </w:p>
        </w:tc>
        <w:tc>
          <w:tcPr>
            <w:tcW w:w="1364" w:type="dxa"/>
            <w:tcBorders>
              <w:tl2br w:val="nil"/>
              <w:tr2bl w:val="nil"/>
            </w:tcBorders>
            <w:vAlign w:val="center"/>
          </w:tcPr>
          <w:p w14:paraId="2AC77E6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TRACE1300 ISQLT</w:t>
            </w:r>
          </w:p>
        </w:tc>
        <w:tc>
          <w:tcPr>
            <w:tcW w:w="1572" w:type="dxa"/>
            <w:tcBorders>
              <w:tl2br w:val="nil"/>
              <w:tr2bl w:val="nil"/>
            </w:tcBorders>
            <w:vAlign w:val="center"/>
          </w:tcPr>
          <w:p w14:paraId="440E501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716100650</w:t>
            </w:r>
          </w:p>
        </w:tc>
        <w:tc>
          <w:tcPr>
            <w:tcW w:w="992" w:type="dxa"/>
            <w:tcBorders>
              <w:tl2br w:val="nil"/>
              <w:tr2bl w:val="nil"/>
            </w:tcBorders>
            <w:vAlign w:val="center"/>
          </w:tcPr>
          <w:p w14:paraId="07A807C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良好</w:t>
            </w:r>
          </w:p>
        </w:tc>
      </w:tr>
      <w:tr w14:paraId="3D6F6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tcBorders>
              <w:tl2br w:val="nil"/>
              <w:tr2bl w:val="nil"/>
            </w:tcBorders>
            <w:vAlign w:val="center"/>
          </w:tcPr>
          <w:p w14:paraId="6280992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4</w:t>
            </w:r>
          </w:p>
        </w:tc>
        <w:tc>
          <w:tcPr>
            <w:tcW w:w="2944" w:type="dxa"/>
            <w:tcBorders>
              <w:tl2br w:val="nil"/>
              <w:tr2bl w:val="nil"/>
            </w:tcBorders>
            <w:vAlign w:val="center"/>
          </w:tcPr>
          <w:p w14:paraId="6B8082A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rPr>
              <w:t>海南省生态环境监测中心</w:t>
            </w:r>
          </w:p>
        </w:tc>
        <w:tc>
          <w:tcPr>
            <w:tcW w:w="1236" w:type="dxa"/>
            <w:tcBorders>
              <w:tl2br w:val="nil"/>
              <w:tr2bl w:val="nil"/>
            </w:tcBorders>
            <w:vAlign w:val="center"/>
          </w:tcPr>
          <w:p w14:paraId="74F1663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岛津</w:t>
            </w:r>
          </w:p>
        </w:tc>
        <w:tc>
          <w:tcPr>
            <w:tcW w:w="1364" w:type="dxa"/>
            <w:tcBorders>
              <w:tl2br w:val="nil"/>
              <w:tr2bl w:val="nil"/>
            </w:tcBorders>
            <w:vAlign w:val="center"/>
          </w:tcPr>
          <w:p w14:paraId="5130D9C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GCMS-2020</w:t>
            </w:r>
          </w:p>
        </w:tc>
        <w:tc>
          <w:tcPr>
            <w:tcW w:w="1572" w:type="dxa"/>
            <w:tcBorders>
              <w:tl2br w:val="nil"/>
              <w:tr2bl w:val="nil"/>
            </w:tcBorders>
            <w:vAlign w:val="center"/>
          </w:tcPr>
          <w:p w14:paraId="1DD59EB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021425400454SA</w:t>
            </w:r>
          </w:p>
        </w:tc>
        <w:tc>
          <w:tcPr>
            <w:tcW w:w="992" w:type="dxa"/>
            <w:tcBorders>
              <w:tl2br w:val="nil"/>
              <w:tr2bl w:val="nil"/>
            </w:tcBorders>
            <w:vAlign w:val="center"/>
          </w:tcPr>
          <w:p w14:paraId="054B8D6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良好</w:t>
            </w:r>
          </w:p>
        </w:tc>
      </w:tr>
      <w:tr w14:paraId="4492A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tcBorders>
              <w:tl2br w:val="nil"/>
              <w:tr2bl w:val="nil"/>
            </w:tcBorders>
            <w:vAlign w:val="center"/>
          </w:tcPr>
          <w:p w14:paraId="6A416B5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5</w:t>
            </w:r>
          </w:p>
        </w:tc>
        <w:tc>
          <w:tcPr>
            <w:tcW w:w="2944" w:type="dxa"/>
            <w:tcBorders>
              <w:tl2br w:val="nil"/>
              <w:tr2bl w:val="nil"/>
            </w:tcBorders>
            <w:vAlign w:val="center"/>
          </w:tcPr>
          <w:p w14:paraId="66BE3FA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eastAsiaTheme="majorEastAsia"/>
                <w:color w:val="000000"/>
                <w:sz w:val="18"/>
                <w:szCs w:val="18"/>
                <w:lang w:eastAsia="zh-CN"/>
              </w:rPr>
              <w:t>四川省宜宾生态环境监测中心站</w:t>
            </w:r>
          </w:p>
        </w:tc>
        <w:tc>
          <w:tcPr>
            <w:tcW w:w="1236" w:type="dxa"/>
            <w:tcBorders>
              <w:tl2br w:val="nil"/>
              <w:tr2bl w:val="nil"/>
            </w:tcBorders>
            <w:vAlign w:val="center"/>
          </w:tcPr>
          <w:p w14:paraId="44F1739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安捷伦</w:t>
            </w:r>
          </w:p>
        </w:tc>
        <w:tc>
          <w:tcPr>
            <w:tcW w:w="1364" w:type="dxa"/>
            <w:tcBorders>
              <w:tl2br w:val="nil"/>
              <w:tr2bl w:val="nil"/>
            </w:tcBorders>
            <w:vAlign w:val="center"/>
          </w:tcPr>
          <w:p w14:paraId="2F1D84E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7890B-5977B</w:t>
            </w:r>
          </w:p>
        </w:tc>
        <w:tc>
          <w:tcPr>
            <w:tcW w:w="1572" w:type="dxa"/>
            <w:tcBorders>
              <w:tl2br w:val="nil"/>
              <w:tr2bl w:val="nil"/>
            </w:tcBorders>
            <w:vAlign w:val="center"/>
          </w:tcPr>
          <w:p w14:paraId="6E2D48D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CN17423187/</w:t>
            </w:r>
          </w:p>
          <w:p w14:paraId="29FF38D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US1741M047</w:t>
            </w:r>
          </w:p>
        </w:tc>
        <w:tc>
          <w:tcPr>
            <w:tcW w:w="992" w:type="dxa"/>
            <w:tcBorders>
              <w:tl2br w:val="nil"/>
              <w:tr2bl w:val="nil"/>
            </w:tcBorders>
            <w:vAlign w:val="center"/>
          </w:tcPr>
          <w:p w14:paraId="3BEA27B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良好</w:t>
            </w:r>
          </w:p>
        </w:tc>
      </w:tr>
      <w:tr w14:paraId="545CC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2" w:type="dxa"/>
            <w:tcBorders>
              <w:tl2br w:val="nil"/>
              <w:tr2bl w:val="nil"/>
            </w:tcBorders>
            <w:vAlign w:val="center"/>
          </w:tcPr>
          <w:p w14:paraId="0B19EF5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6</w:t>
            </w:r>
          </w:p>
        </w:tc>
        <w:tc>
          <w:tcPr>
            <w:tcW w:w="2944" w:type="dxa"/>
            <w:tcBorders>
              <w:tl2br w:val="nil"/>
              <w:tr2bl w:val="nil"/>
            </w:tcBorders>
            <w:vAlign w:val="center"/>
          </w:tcPr>
          <w:p w14:paraId="197E143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vertAlign w:val="baseline"/>
                <w:lang w:val="en-US" w:eastAsia="zh-CN"/>
              </w:rPr>
            </w:pPr>
            <w:r>
              <w:rPr>
                <w:rFonts w:hint="eastAsia" w:cs="Times New Roman"/>
                <w:color w:val="000000"/>
                <w:sz w:val="18"/>
                <w:szCs w:val="18"/>
                <w:highlight w:val="none"/>
                <w:lang w:eastAsia="zh-CN"/>
              </w:rPr>
              <w:t>江苏省徐州生态环境监测中心</w:t>
            </w:r>
          </w:p>
        </w:tc>
        <w:tc>
          <w:tcPr>
            <w:tcW w:w="1236" w:type="dxa"/>
            <w:tcBorders>
              <w:tl2br w:val="nil"/>
              <w:tr2bl w:val="nil"/>
            </w:tcBorders>
            <w:vAlign w:val="center"/>
          </w:tcPr>
          <w:p w14:paraId="089C3EC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安捷伦</w:t>
            </w:r>
          </w:p>
        </w:tc>
        <w:tc>
          <w:tcPr>
            <w:tcW w:w="1364" w:type="dxa"/>
            <w:tcBorders>
              <w:tl2br w:val="nil"/>
              <w:tr2bl w:val="nil"/>
            </w:tcBorders>
            <w:vAlign w:val="center"/>
          </w:tcPr>
          <w:p w14:paraId="7ACDEFD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5977A-7890B</w:t>
            </w:r>
          </w:p>
        </w:tc>
        <w:tc>
          <w:tcPr>
            <w:tcW w:w="1572" w:type="dxa"/>
            <w:tcBorders>
              <w:tl2br w:val="nil"/>
              <w:tr2bl w:val="nil"/>
            </w:tcBorders>
            <w:vAlign w:val="center"/>
          </w:tcPr>
          <w:p w14:paraId="0A2BCE0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CN14393062</w:t>
            </w:r>
          </w:p>
        </w:tc>
        <w:tc>
          <w:tcPr>
            <w:tcW w:w="992" w:type="dxa"/>
            <w:tcBorders>
              <w:tl2br w:val="nil"/>
              <w:tr2bl w:val="nil"/>
            </w:tcBorders>
            <w:vAlign w:val="center"/>
          </w:tcPr>
          <w:p w14:paraId="41821BD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良好</w:t>
            </w:r>
          </w:p>
        </w:tc>
      </w:tr>
    </w:tbl>
    <w:p w14:paraId="11398525">
      <w:pP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br w:type="page"/>
      </w:r>
    </w:p>
    <w:p w14:paraId="78707F18">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附表3  使用试剂及溶剂登记表</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2935"/>
        <w:gridCol w:w="1308"/>
        <w:gridCol w:w="2385"/>
        <w:gridCol w:w="1457"/>
      </w:tblGrid>
      <w:tr w14:paraId="46215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vAlign w:val="center"/>
          </w:tcPr>
          <w:p w14:paraId="30F2BF6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序号</w:t>
            </w:r>
          </w:p>
        </w:tc>
        <w:tc>
          <w:tcPr>
            <w:tcW w:w="2935" w:type="dxa"/>
            <w:tcBorders>
              <w:tl2br w:val="nil"/>
              <w:tr2bl w:val="nil"/>
            </w:tcBorders>
            <w:vAlign w:val="center"/>
          </w:tcPr>
          <w:p w14:paraId="6042357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验证单位</w:t>
            </w:r>
          </w:p>
        </w:tc>
        <w:tc>
          <w:tcPr>
            <w:tcW w:w="1308" w:type="dxa"/>
            <w:tcBorders>
              <w:tl2br w:val="nil"/>
              <w:tr2bl w:val="nil"/>
            </w:tcBorders>
            <w:vAlign w:val="center"/>
          </w:tcPr>
          <w:p w14:paraId="3783764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名称</w:t>
            </w:r>
          </w:p>
        </w:tc>
        <w:tc>
          <w:tcPr>
            <w:tcW w:w="2385" w:type="dxa"/>
            <w:tcBorders>
              <w:tl2br w:val="nil"/>
              <w:tr2bl w:val="nil"/>
            </w:tcBorders>
            <w:vAlign w:val="center"/>
          </w:tcPr>
          <w:p w14:paraId="10A7E67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生产厂家、规格</w:t>
            </w:r>
          </w:p>
        </w:tc>
        <w:tc>
          <w:tcPr>
            <w:tcW w:w="1457" w:type="dxa"/>
            <w:tcBorders>
              <w:tl2br w:val="nil"/>
              <w:tr2bl w:val="nil"/>
            </w:tcBorders>
            <w:vAlign w:val="center"/>
          </w:tcPr>
          <w:p w14:paraId="624957F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纯化处理方法</w:t>
            </w:r>
          </w:p>
        </w:tc>
      </w:tr>
      <w:tr w14:paraId="51FFE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restart"/>
            <w:tcBorders>
              <w:tl2br w:val="nil"/>
              <w:tr2bl w:val="nil"/>
            </w:tcBorders>
            <w:vAlign w:val="center"/>
          </w:tcPr>
          <w:p w14:paraId="4E8C2B6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1</w:t>
            </w:r>
          </w:p>
        </w:tc>
        <w:tc>
          <w:tcPr>
            <w:tcW w:w="2935" w:type="dxa"/>
            <w:vMerge w:val="restart"/>
            <w:tcBorders>
              <w:tl2br w:val="nil"/>
              <w:tr2bl w:val="nil"/>
            </w:tcBorders>
            <w:shd w:val="clear" w:color="auto" w:fill="auto"/>
            <w:vAlign w:val="center"/>
          </w:tcPr>
          <w:p w14:paraId="122A0FE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eastAsiaTheme="majorEastAsia"/>
                <w:color w:val="000000"/>
                <w:sz w:val="18"/>
                <w:szCs w:val="18"/>
              </w:rPr>
              <w:t>湖北省生态环境监测中心站</w:t>
            </w:r>
          </w:p>
        </w:tc>
        <w:tc>
          <w:tcPr>
            <w:tcW w:w="1308" w:type="dxa"/>
            <w:tcBorders>
              <w:tl2br w:val="nil"/>
              <w:tr2bl w:val="nil"/>
            </w:tcBorders>
            <w:vAlign w:val="center"/>
          </w:tcPr>
          <w:p w14:paraId="0CB6AB0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氢氧化钾</w:t>
            </w:r>
          </w:p>
        </w:tc>
        <w:tc>
          <w:tcPr>
            <w:tcW w:w="2385" w:type="dxa"/>
            <w:tcBorders>
              <w:tl2br w:val="nil"/>
              <w:tr2bl w:val="nil"/>
            </w:tcBorders>
            <w:vAlign w:val="center"/>
          </w:tcPr>
          <w:p w14:paraId="1EF2905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沪试、GR 500 g</w:t>
            </w:r>
          </w:p>
        </w:tc>
        <w:tc>
          <w:tcPr>
            <w:tcW w:w="1457" w:type="dxa"/>
            <w:tcBorders>
              <w:tl2br w:val="nil"/>
              <w:tr2bl w:val="nil"/>
            </w:tcBorders>
            <w:vAlign w:val="center"/>
          </w:tcPr>
          <w:p w14:paraId="65BFB89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67C75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3A38881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24483F8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rPr>
            </w:pPr>
          </w:p>
        </w:tc>
        <w:tc>
          <w:tcPr>
            <w:tcW w:w="1308" w:type="dxa"/>
            <w:tcBorders>
              <w:tl2br w:val="nil"/>
              <w:tr2bl w:val="nil"/>
            </w:tcBorders>
            <w:shd w:val="clear" w:color="auto" w:fill="auto"/>
            <w:vAlign w:val="center"/>
          </w:tcPr>
          <w:p w14:paraId="6D50923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无水硫酸钠</w:t>
            </w:r>
          </w:p>
        </w:tc>
        <w:tc>
          <w:tcPr>
            <w:tcW w:w="2385" w:type="dxa"/>
            <w:tcBorders>
              <w:tl2br w:val="nil"/>
              <w:tr2bl w:val="nil"/>
            </w:tcBorders>
            <w:vAlign w:val="center"/>
          </w:tcPr>
          <w:p w14:paraId="62C2D2A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沪试、GR 500 g</w:t>
            </w:r>
          </w:p>
        </w:tc>
        <w:tc>
          <w:tcPr>
            <w:tcW w:w="1457" w:type="dxa"/>
            <w:tcBorders>
              <w:tl2br w:val="nil"/>
              <w:tr2bl w:val="nil"/>
            </w:tcBorders>
            <w:shd w:val="clear" w:color="auto" w:fill="auto"/>
            <w:vAlign w:val="top"/>
          </w:tcPr>
          <w:p w14:paraId="1D7ABC6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400</w:t>
            </w:r>
            <w:r>
              <w:rPr>
                <w:rFonts w:hint="default" w:ascii="Times New Roman" w:hAnsi="Times New Roman" w:cs="Times New Roman"/>
                <w:lang w:val="en-US" w:eastAsia="zh-CN"/>
              </w:rPr>
              <w:t>℃</w:t>
            </w:r>
            <w:r>
              <w:rPr>
                <w:rFonts w:hint="default" w:ascii="Times New Roman" w:hAnsi="Times New Roman" w:cs="Times New Roman"/>
                <w:color w:val="000000"/>
                <w:sz w:val="18"/>
                <w:szCs w:val="18"/>
                <w:highlight w:val="none"/>
                <w:vertAlign w:val="baseline"/>
                <w:lang w:val="en-US" w:eastAsia="zh-CN"/>
              </w:rPr>
              <w:t>灼烧4h</w:t>
            </w:r>
          </w:p>
        </w:tc>
      </w:tr>
      <w:tr w14:paraId="28C51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420C5BD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629FD8B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rPr>
            </w:pPr>
          </w:p>
        </w:tc>
        <w:tc>
          <w:tcPr>
            <w:tcW w:w="1308" w:type="dxa"/>
            <w:tcBorders>
              <w:tl2br w:val="nil"/>
              <w:tr2bl w:val="nil"/>
            </w:tcBorders>
            <w:shd w:val="clear" w:color="auto" w:fill="auto"/>
            <w:vAlign w:val="center"/>
          </w:tcPr>
          <w:p w14:paraId="078EF99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无水乙醇</w:t>
            </w:r>
          </w:p>
        </w:tc>
        <w:tc>
          <w:tcPr>
            <w:tcW w:w="2385" w:type="dxa"/>
            <w:tcBorders>
              <w:tl2br w:val="nil"/>
              <w:tr2bl w:val="nil"/>
            </w:tcBorders>
            <w:vAlign w:val="center"/>
          </w:tcPr>
          <w:p w14:paraId="4B10BA3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沪试、GR 500 ml</w:t>
            </w:r>
          </w:p>
        </w:tc>
        <w:tc>
          <w:tcPr>
            <w:tcW w:w="1457" w:type="dxa"/>
            <w:tcBorders>
              <w:tl2br w:val="nil"/>
              <w:tr2bl w:val="nil"/>
            </w:tcBorders>
            <w:shd w:val="clear" w:color="auto" w:fill="auto"/>
            <w:vAlign w:val="top"/>
          </w:tcPr>
          <w:p w14:paraId="405614C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086F5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36E7DB4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46E19AF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rPr>
            </w:pPr>
          </w:p>
        </w:tc>
        <w:tc>
          <w:tcPr>
            <w:tcW w:w="1308" w:type="dxa"/>
            <w:tcBorders>
              <w:tl2br w:val="nil"/>
              <w:tr2bl w:val="nil"/>
            </w:tcBorders>
            <w:vAlign w:val="center"/>
          </w:tcPr>
          <w:p w14:paraId="43CB0B3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丙酮</w:t>
            </w:r>
          </w:p>
        </w:tc>
        <w:tc>
          <w:tcPr>
            <w:tcW w:w="2385" w:type="dxa"/>
            <w:tcBorders>
              <w:tl2br w:val="nil"/>
              <w:tr2bl w:val="nil"/>
            </w:tcBorders>
            <w:shd w:val="clear" w:color="auto" w:fill="auto"/>
            <w:vAlign w:val="center"/>
          </w:tcPr>
          <w:p w14:paraId="5480113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DUKSAN、农残级4 L</w:t>
            </w:r>
          </w:p>
        </w:tc>
        <w:tc>
          <w:tcPr>
            <w:tcW w:w="1457" w:type="dxa"/>
            <w:tcBorders>
              <w:tl2br w:val="nil"/>
              <w:tr2bl w:val="nil"/>
            </w:tcBorders>
            <w:vAlign w:val="center"/>
          </w:tcPr>
          <w:p w14:paraId="31425CB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39BB7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14DB9D7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7FA228B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rPr>
            </w:pPr>
          </w:p>
        </w:tc>
        <w:tc>
          <w:tcPr>
            <w:tcW w:w="1308" w:type="dxa"/>
            <w:tcBorders>
              <w:tl2br w:val="nil"/>
              <w:tr2bl w:val="nil"/>
            </w:tcBorders>
            <w:vAlign w:val="center"/>
          </w:tcPr>
          <w:p w14:paraId="02D1F86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正己烷</w:t>
            </w:r>
          </w:p>
        </w:tc>
        <w:tc>
          <w:tcPr>
            <w:tcW w:w="2385" w:type="dxa"/>
            <w:tcBorders>
              <w:tl2br w:val="nil"/>
              <w:tr2bl w:val="nil"/>
            </w:tcBorders>
            <w:shd w:val="clear" w:color="auto" w:fill="auto"/>
            <w:vAlign w:val="center"/>
          </w:tcPr>
          <w:p w14:paraId="7076196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TEDIA、农残级4 L</w:t>
            </w:r>
          </w:p>
        </w:tc>
        <w:tc>
          <w:tcPr>
            <w:tcW w:w="1457" w:type="dxa"/>
            <w:tcBorders>
              <w:tl2br w:val="nil"/>
              <w:tr2bl w:val="nil"/>
            </w:tcBorders>
            <w:vAlign w:val="center"/>
          </w:tcPr>
          <w:p w14:paraId="45716A3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3C226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07D4958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77FDBC7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rPr>
            </w:pPr>
          </w:p>
        </w:tc>
        <w:tc>
          <w:tcPr>
            <w:tcW w:w="1308" w:type="dxa"/>
            <w:tcBorders>
              <w:tl2br w:val="nil"/>
              <w:tr2bl w:val="nil"/>
            </w:tcBorders>
            <w:vAlign w:val="center"/>
          </w:tcPr>
          <w:p w14:paraId="3FBFFF1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二氯甲烷</w:t>
            </w:r>
          </w:p>
        </w:tc>
        <w:tc>
          <w:tcPr>
            <w:tcW w:w="2385" w:type="dxa"/>
            <w:tcBorders>
              <w:tl2br w:val="nil"/>
              <w:tr2bl w:val="nil"/>
            </w:tcBorders>
            <w:shd w:val="clear" w:color="auto" w:fill="auto"/>
            <w:vAlign w:val="center"/>
          </w:tcPr>
          <w:p w14:paraId="42AE32F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FISHER、农残级4 L</w:t>
            </w:r>
          </w:p>
        </w:tc>
        <w:tc>
          <w:tcPr>
            <w:tcW w:w="1457" w:type="dxa"/>
            <w:tcBorders>
              <w:tl2br w:val="nil"/>
              <w:tr2bl w:val="nil"/>
            </w:tcBorders>
            <w:vAlign w:val="center"/>
          </w:tcPr>
          <w:p w14:paraId="45B46A4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32089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restart"/>
            <w:tcBorders>
              <w:tl2br w:val="nil"/>
              <w:tr2bl w:val="nil"/>
            </w:tcBorders>
            <w:vAlign w:val="center"/>
          </w:tcPr>
          <w:p w14:paraId="1627BA0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2</w:t>
            </w:r>
          </w:p>
        </w:tc>
        <w:tc>
          <w:tcPr>
            <w:tcW w:w="2935" w:type="dxa"/>
            <w:vMerge w:val="restart"/>
            <w:tcBorders>
              <w:tl2br w:val="nil"/>
              <w:tr2bl w:val="nil"/>
            </w:tcBorders>
            <w:shd w:val="clear" w:color="auto" w:fill="auto"/>
            <w:vAlign w:val="center"/>
          </w:tcPr>
          <w:p w14:paraId="383959F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eastAsia" w:cs="Times New Roman" w:eastAsiaTheme="majorEastAsia"/>
                <w:color w:val="000000"/>
                <w:sz w:val="18"/>
                <w:szCs w:val="18"/>
                <w:highlight w:val="none"/>
                <w:vertAlign w:val="baseline"/>
                <w:lang w:val="en-US" w:eastAsia="zh-CN"/>
              </w:rPr>
              <w:t>四川省生态环境监测总站</w:t>
            </w:r>
          </w:p>
        </w:tc>
        <w:tc>
          <w:tcPr>
            <w:tcW w:w="1308" w:type="dxa"/>
            <w:tcBorders>
              <w:tl2br w:val="nil"/>
              <w:tr2bl w:val="nil"/>
            </w:tcBorders>
            <w:shd w:val="clear" w:color="auto" w:fill="auto"/>
            <w:vAlign w:val="center"/>
          </w:tcPr>
          <w:p w14:paraId="6484501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氢氧化钾</w:t>
            </w:r>
          </w:p>
        </w:tc>
        <w:tc>
          <w:tcPr>
            <w:tcW w:w="2385" w:type="dxa"/>
            <w:tcBorders>
              <w:tl2br w:val="nil"/>
              <w:tr2bl w:val="nil"/>
            </w:tcBorders>
            <w:vAlign w:val="center"/>
          </w:tcPr>
          <w:p w14:paraId="1877D89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科密欧，优级纯，500 g</w:t>
            </w:r>
          </w:p>
        </w:tc>
        <w:tc>
          <w:tcPr>
            <w:tcW w:w="1457" w:type="dxa"/>
            <w:tcBorders>
              <w:tl2br w:val="nil"/>
              <w:tr2bl w:val="nil"/>
            </w:tcBorders>
            <w:vAlign w:val="center"/>
          </w:tcPr>
          <w:p w14:paraId="31C61BA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56F2B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147FCCA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45419D9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highlight w:val="none"/>
                <w:vertAlign w:val="baseline"/>
                <w:lang w:val="en-US" w:eastAsia="zh-CN"/>
              </w:rPr>
            </w:pPr>
          </w:p>
        </w:tc>
        <w:tc>
          <w:tcPr>
            <w:tcW w:w="1308" w:type="dxa"/>
            <w:tcBorders>
              <w:tl2br w:val="nil"/>
              <w:tr2bl w:val="nil"/>
            </w:tcBorders>
            <w:shd w:val="clear" w:color="auto" w:fill="auto"/>
            <w:vAlign w:val="center"/>
          </w:tcPr>
          <w:p w14:paraId="0968A0A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无水硫酸钠</w:t>
            </w:r>
          </w:p>
        </w:tc>
        <w:tc>
          <w:tcPr>
            <w:tcW w:w="2385" w:type="dxa"/>
            <w:tcBorders>
              <w:tl2br w:val="nil"/>
              <w:tr2bl w:val="nil"/>
            </w:tcBorders>
            <w:vAlign w:val="center"/>
          </w:tcPr>
          <w:p w14:paraId="3BA7A41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科密欧，优级纯，500 g</w:t>
            </w:r>
          </w:p>
        </w:tc>
        <w:tc>
          <w:tcPr>
            <w:tcW w:w="1457" w:type="dxa"/>
            <w:tcBorders>
              <w:tl2br w:val="nil"/>
              <w:tr2bl w:val="nil"/>
            </w:tcBorders>
            <w:shd w:val="clear" w:color="auto" w:fill="auto"/>
            <w:vAlign w:val="center"/>
          </w:tcPr>
          <w:p w14:paraId="282E7BD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sz w:val="18"/>
                <w:szCs w:val="18"/>
              </w:rPr>
              <w:t>400℃灼烧4 h</w:t>
            </w:r>
          </w:p>
        </w:tc>
      </w:tr>
      <w:tr w14:paraId="02ED0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0F1CD64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351840F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highlight w:val="none"/>
                <w:vertAlign w:val="baseline"/>
                <w:lang w:val="en-US" w:eastAsia="zh-CN"/>
              </w:rPr>
            </w:pPr>
          </w:p>
        </w:tc>
        <w:tc>
          <w:tcPr>
            <w:tcW w:w="1308" w:type="dxa"/>
            <w:tcBorders>
              <w:tl2br w:val="nil"/>
              <w:tr2bl w:val="nil"/>
            </w:tcBorders>
            <w:shd w:val="clear" w:color="auto" w:fill="auto"/>
            <w:vAlign w:val="center"/>
          </w:tcPr>
          <w:p w14:paraId="1600079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无水乙醇</w:t>
            </w:r>
          </w:p>
        </w:tc>
        <w:tc>
          <w:tcPr>
            <w:tcW w:w="2385" w:type="dxa"/>
            <w:tcBorders>
              <w:tl2br w:val="nil"/>
              <w:tr2bl w:val="nil"/>
            </w:tcBorders>
            <w:vAlign w:val="center"/>
          </w:tcPr>
          <w:p w14:paraId="1AE5504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CNW，色谱纯，4 L</w:t>
            </w:r>
          </w:p>
        </w:tc>
        <w:tc>
          <w:tcPr>
            <w:tcW w:w="1457" w:type="dxa"/>
            <w:tcBorders>
              <w:tl2br w:val="nil"/>
              <w:tr2bl w:val="nil"/>
            </w:tcBorders>
            <w:vAlign w:val="center"/>
          </w:tcPr>
          <w:p w14:paraId="4E9924C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4CB1E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06E725E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7DCBF62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highlight w:val="none"/>
                <w:vertAlign w:val="baseline"/>
                <w:lang w:val="en-US" w:eastAsia="zh-CN"/>
              </w:rPr>
            </w:pPr>
          </w:p>
        </w:tc>
        <w:tc>
          <w:tcPr>
            <w:tcW w:w="1308" w:type="dxa"/>
            <w:tcBorders>
              <w:tl2br w:val="nil"/>
              <w:tr2bl w:val="nil"/>
            </w:tcBorders>
            <w:shd w:val="clear" w:color="auto" w:fill="auto"/>
            <w:vAlign w:val="center"/>
          </w:tcPr>
          <w:p w14:paraId="089A303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丙酮</w:t>
            </w:r>
          </w:p>
        </w:tc>
        <w:tc>
          <w:tcPr>
            <w:tcW w:w="2385" w:type="dxa"/>
            <w:tcBorders>
              <w:tl2br w:val="nil"/>
              <w:tr2bl w:val="nil"/>
            </w:tcBorders>
            <w:vAlign w:val="center"/>
          </w:tcPr>
          <w:p w14:paraId="4E634AB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Fisher，色谱纯，4 L</w:t>
            </w:r>
          </w:p>
        </w:tc>
        <w:tc>
          <w:tcPr>
            <w:tcW w:w="1457" w:type="dxa"/>
            <w:tcBorders>
              <w:tl2br w:val="nil"/>
              <w:tr2bl w:val="nil"/>
            </w:tcBorders>
            <w:vAlign w:val="center"/>
          </w:tcPr>
          <w:p w14:paraId="64B455F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重蒸处理</w:t>
            </w:r>
          </w:p>
        </w:tc>
      </w:tr>
      <w:tr w14:paraId="274EA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4D96277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40873E0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highlight w:val="none"/>
                <w:vertAlign w:val="baseline"/>
                <w:lang w:val="en-US" w:eastAsia="zh-CN"/>
              </w:rPr>
            </w:pPr>
          </w:p>
        </w:tc>
        <w:tc>
          <w:tcPr>
            <w:tcW w:w="1308" w:type="dxa"/>
            <w:tcBorders>
              <w:tl2br w:val="nil"/>
              <w:tr2bl w:val="nil"/>
            </w:tcBorders>
            <w:shd w:val="clear" w:color="auto" w:fill="auto"/>
            <w:vAlign w:val="center"/>
          </w:tcPr>
          <w:p w14:paraId="4901646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正己烷</w:t>
            </w:r>
          </w:p>
        </w:tc>
        <w:tc>
          <w:tcPr>
            <w:tcW w:w="2385" w:type="dxa"/>
            <w:tcBorders>
              <w:tl2br w:val="nil"/>
              <w:tr2bl w:val="nil"/>
            </w:tcBorders>
            <w:vAlign w:val="center"/>
          </w:tcPr>
          <w:p w14:paraId="04972FA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Fisher，色谱纯，4 L</w:t>
            </w:r>
          </w:p>
        </w:tc>
        <w:tc>
          <w:tcPr>
            <w:tcW w:w="1457" w:type="dxa"/>
            <w:tcBorders>
              <w:tl2br w:val="nil"/>
              <w:tr2bl w:val="nil"/>
            </w:tcBorders>
            <w:vAlign w:val="center"/>
          </w:tcPr>
          <w:p w14:paraId="5AA9520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重蒸处理</w:t>
            </w:r>
          </w:p>
        </w:tc>
      </w:tr>
      <w:tr w14:paraId="007AA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7E262E2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2FF661A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highlight w:val="none"/>
                <w:vertAlign w:val="baseline"/>
                <w:lang w:val="en-US" w:eastAsia="zh-CN"/>
              </w:rPr>
            </w:pPr>
          </w:p>
        </w:tc>
        <w:tc>
          <w:tcPr>
            <w:tcW w:w="1308" w:type="dxa"/>
            <w:tcBorders>
              <w:tl2br w:val="nil"/>
              <w:tr2bl w:val="nil"/>
            </w:tcBorders>
            <w:shd w:val="clear" w:color="auto" w:fill="auto"/>
            <w:vAlign w:val="center"/>
          </w:tcPr>
          <w:p w14:paraId="27A9B94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二氯甲烷</w:t>
            </w:r>
          </w:p>
        </w:tc>
        <w:tc>
          <w:tcPr>
            <w:tcW w:w="2385" w:type="dxa"/>
            <w:tcBorders>
              <w:tl2br w:val="nil"/>
              <w:tr2bl w:val="nil"/>
            </w:tcBorders>
            <w:vAlign w:val="center"/>
          </w:tcPr>
          <w:p w14:paraId="7BF12DD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Fisher，色谱纯，4 L</w:t>
            </w:r>
          </w:p>
        </w:tc>
        <w:tc>
          <w:tcPr>
            <w:tcW w:w="1457" w:type="dxa"/>
            <w:tcBorders>
              <w:tl2br w:val="nil"/>
              <w:tr2bl w:val="nil"/>
            </w:tcBorders>
            <w:vAlign w:val="center"/>
          </w:tcPr>
          <w:p w14:paraId="6017B07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highlight w:val="none"/>
                <w:vertAlign w:val="baseline"/>
                <w:lang w:val="en-US" w:eastAsia="zh-CN"/>
              </w:rPr>
              <w:t>重蒸处理</w:t>
            </w:r>
          </w:p>
        </w:tc>
      </w:tr>
      <w:tr w14:paraId="5C809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restart"/>
            <w:tcBorders>
              <w:tl2br w:val="nil"/>
              <w:tr2bl w:val="nil"/>
            </w:tcBorders>
            <w:vAlign w:val="center"/>
          </w:tcPr>
          <w:p w14:paraId="7EF1CCE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3</w:t>
            </w:r>
          </w:p>
        </w:tc>
        <w:tc>
          <w:tcPr>
            <w:tcW w:w="2935" w:type="dxa"/>
            <w:vMerge w:val="restart"/>
            <w:tcBorders>
              <w:tl2br w:val="nil"/>
              <w:tr2bl w:val="nil"/>
            </w:tcBorders>
            <w:shd w:val="clear" w:color="auto" w:fill="auto"/>
            <w:vAlign w:val="center"/>
          </w:tcPr>
          <w:p w14:paraId="0CE62D7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rPr>
              <w:t>辽宁省生态环境监测中心</w:t>
            </w:r>
          </w:p>
        </w:tc>
        <w:tc>
          <w:tcPr>
            <w:tcW w:w="1308" w:type="dxa"/>
            <w:tcBorders>
              <w:tl2br w:val="nil"/>
              <w:tr2bl w:val="nil"/>
            </w:tcBorders>
            <w:shd w:val="clear" w:color="auto" w:fill="auto"/>
            <w:vAlign w:val="center"/>
          </w:tcPr>
          <w:p w14:paraId="63E0D8C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氢氧化钾</w:t>
            </w:r>
          </w:p>
        </w:tc>
        <w:tc>
          <w:tcPr>
            <w:tcW w:w="2385" w:type="dxa"/>
            <w:tcBorders>
              <w:tl2br w:val="nil"/>
              <w:tr2bl w:val="nil"/>
            </w:tcBorders>
            <w:vAlign w:val="center"/>
          </w:tcPr>
          <w:p w14:paraId="3FC42A0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阿拉丁，分析纯</w:t>
            </w:r>
          </w:p>
        </w:tc>
        <w:tc>
          <w:tcPr>
            <w:tcW w:w="1457" w:type="dxa"/>
            <w:tcBorders>
              <w:tl2br w:val="nil"/>
              <w:tr2bl w:val="nil"/>
            </w:tcBorders>
            <w:vAlign w:val="center"/>
          </w:tcPr>
          <w:p w14:paraId="74AD733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7FE9C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1B093D5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78D862B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7DFC236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无水硫酸钠</w:t>
            </w:r>
          </w:p>
        </w:tc>
        <w:tc>
          <w:tcPr>
            <w:tcW w:w="2385" w:type="dxa"/>
            <w:tcBorders>
              <w:tl2br w:val="nil"/>
              <w:tr2bl w:val="nil"/>
            </w:tcBorders>
            <w:vAlign w:val="center"/>
          </w:tcPr>
          <w:p w14:paraId="2FA7046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麦克林，分析纯</w:t>
            </w:r>
          </w:p>
        </w:tc>
        <w:tc>
          <w:tcPr>
            <w:tcW w:w="1457" w:type="dxa"/>
            <w:tcBorders>
              <w:tl2br w:val="nil"/>
              <w:tr2bl w:val="nil"/>
            </w:tcBorders>
            <w:vAlign w:val="center"/>
          </w:tcPr>
          <w:p w14:paraId="20998BD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400℃灼烧4 h</w:t>
            </w:r>
          </w:p>
        </w:tc>
      </w:tr>
      <w:tr w14:paraId="71A28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7727F2F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7C9B4D5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231B13A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无水乙醇</w:t>
            </w:r>
          </w:p>
        </w:tc>
        <w:tc>
          <w:tcPr>
            <w:tcW w:w="2385" w:type="dxa"/>
            <w:tcBorders>
              <w:tl2br w:val="nil"/>
              <w:tr2bl w:val="nil"/>
            </w:tcBorders>
            <w:vAlign w:val="center"/>
          </w:tcPr>
          <w:p w14:paraId="21559BE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国药，分析纯</w:t>
            </w:r>
          </w:p>
        </w:tc>
        <w:tc>
          <w:tcPr>
            <w:tcW w:w="1457" w:type="dxa"/>
            <w:tcBorders>
              <w:tl2br w:val="nil"/>
              <w:tr2bl w:val="nil"/>
            </w:tcBorders>
            <w:vAlign w:val="center"/>
          </w:tcPr>
          <w:p w14:paraId="78ECC9E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14333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66DA47C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6FC94C8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255AD65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丙酮</w:t>
            </w:r>
          </w:p>
        </w:tc>
        <w:tc>
          <w:tcPr>
            <w:tcW w:w="2385" w:type="dxa"/>
            <w:tcBorders>
              <w:tl2br w:val="nil"/>
              <w:tr2bl w:val="nil"/>
            </w:tcBorders>
            <w:vAlign w:val="center"/>
          </w:tcPr>
          <w:p w14:paraId="6BF6CD3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安谱、农残级4 L</w:t>
            </w:r>
          </w:p>
        </w:tc>
        <w:tc>
          <w:tcPr>
            <w:tcW w:w="1457" w:type="dxa"/>
            <w:tcBorders>
              <w:tl2br w:val="nil"/>
              <w:tr2bl w:val="nil"/>
            </w:tcBorders>
            <w:vAlign w:val="center"/>
          </w:tcPr>
          <w:p w14:paraId="7FBAF80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09469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0CD2A4D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4AED404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76C40E0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正己烷</w:t>
            </w:r>
          </w:p>
        </w:tc>
        <w:tc>
          <w:tcPr>
            <w:tcW w:w="2385" w:type="dxa"/>
            <w:tcBorders>
              <w:tl2br w:val="nil"/>
              <w:tr2bl w:val="nil"/>
            </w:tcBorders>
            <w:vAlign w:val="center"/>
          </w:tcPr>
          <w:p w14:paraId="1026DAC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Fisher、农残级4 L</w:t>
            </w:r>
          </w:p>
        </w:tc>
        <w:tc>
          <w:tcPr>
            <w:tcW w:w="1457" w:type="dxa"/>
            <w:tcBorders>
              <w:tl2br w:val="nil"/>
              <w:tr2bl w:val="nil"/>
            </w:tcBorders>
            <w:vAlign w:val="center"/>
          </w:tcPr>
          <w:p w14:paraId="5C73E71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252F8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6B76330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0FD56E8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4A98833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二氯甲烷</w:t>
            </w:r>
          </w:p>
        </w:tc>
        <w:tc>
          <w:tcPr>
            <w:tcW w:w="2385" w:type="dxa"/>
            <w:tcBorders>
              <w:tl2br w:val="nil"/>
              <w:tr2bl w:val="nil"/>
            </w:tcBorders>
            <w:vAlign w:val="center"/>
          </w:tcPr>
          <w:p w14:paraId="43F03D3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Fisher、农残级4 L</w:t>
            </w:r>
          </w:p>
        </w:tc>
        <w:tc>
          <w:tcPr>
            <w:tcW w:w="1457" w:type="dxa"/>
            <w:tcBorders>
              <w:tl2br w:val="nil"/>
              <w:tr2bl w:val="nil"/>
            </w:tcBorders>
            <w:vAlign w:val="center"/>
          </w:tcPr>
          <w:p w14:paraId="7CA0010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3F443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restart"/>
            <w:tcBorders>
              <w:tl2br w:val="nil"/>
              <w:tr2bl w:val="nil"/>
            </w:tcBorders>
            <w:vAlign w:val="center"/>
          </w:tcPr>
          <w:p w14:paraId="6AE2C0D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4</w:t>
            </w:r>
          </w:p>
        </w:tc>
        <w:tc>
          <w:tcPr>
            <w:tcW w:w="2935" w:type="dxa"/>
            <w:vMerge w:val="restart"/>
            <w:tcBorders>
              <w:tl2br w:val="nil"/>
              <w:tr2bl w:val="nil"/>
            </w:tcBorders>
            <w:shd w:val="clear" w:color="auto" w:fill="auto"/>
            <w:vAlign w:val="center"/>
          </w:tcPr>
          <w:p w14:paraId="411DC4C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rPr>
              <w:t>海南省生态环境监测中心</w:t>
            </w:r>
          </w:p>
        </w:tc>
        <w:tc>
          <w:tcPr>
            <w:tcW w:w="1308" w:type="dxa"/>
            <w:tcBorders>
              <w:tl2br w:val="nil"/>
              <w:tr2bl w:val="nil"/>
            </w:tcBorders>
            <w:shd w:val="clear" w:color="auto" w:fill="auto"/>
            <w:vAlign w:val="center"/>
          </w:tcPr>
          <w:p w14:paraId="1AF2000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氢氧化钾</w:t>
            </w:r>
          </w:p>
        </w:tc>
        <w:tc>
          <w:tcPr>
            <w:tcW w:w="2385" w:type="dxa"/>
            <w:tcBorders>
              <w:tl2br w:val="nil"/>
              <w:tr2bl w:val="nil"/>
            </w:tcBorders>
            <w:vAlign w:val="center"/>
          </w:tcPr>
          <w:p w14:paraId="6616BFB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国药、优级纯</w:t>
            </w:r>
          </w:p>
        </w:tc>
        <w:tc>
          <w:tcPr>
            <w:tcW w:w="1457" w:type="dxa"/>
            <w:tcBorders>
              <w:tl2br w:val="nil"/>
              <w:tr2bl w:val="nil"/>
            </w:tcBorders>
            <w:vAlign w:val="center"/>
          </w:tcPr>
          <w:p w14:paraId="49B9AF6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6BB60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5" w:type="dxa"/>
            <w:vMerge w:val="continue"/>
            <w:tcBorders>
              <w:tl2br w:val="nil"/>
              <w:tr2bl w:val="nil"/>
            </w:tcBorders>
            <w:vAlign w:val="center"/>
          </w:tcPr>
          <w:p w14:paraId="0059B28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5838399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280452E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无水硫酸钠</w:t>
            </w:r>
          </w:p>
        </w:tc>
        <w:tc>
          <w:tcPr>
            <w:tcW w:w="2385" w:type="dxa"/>
            <w:tcBorders>
              <w:tl2br w:val="nil"/>
              <w:tr2bl w:val="nil"/>
            </w:tcBorders>
            <w:vAlign w:val="center"/>
          </w:tcPr>
          <w:p w14:paraId="48DB246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国药、优级纯</w:t>
            </w:r>
          </w:p>
        </w:tc>
        <w:tc>
          <w:tcPr>
            <w:tcW w:w="1457" w:type="dxa"/>
            <w:tcBorders>
              <w:tl2br w:val="nil"/>
              <w:tr2bl w:val="nil"/>
            </w:tcBorders>
            <w:vAlign w:val="center"/>
          </w:tcPr>
          <w:p w14:paraId="082FFCD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400℃灼烧4 h</w:t>
            </w:r>
          </w:p>
        </w:tc>
      </w:tr>
      <w:tr w14:paraId="7A339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1B77F52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2EA9767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66367AA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无水乙醇</w:t>
            </w:r>
          </w:p>
        </w:tc>
        <w:tc>
          <w:tcPr>
            <w:tcW w:w="2385" w:type="dxa"/>
            <w:tcBorders>
              <w:tl2br w:val="nil"/>
              <w:tr2bl w:val="nil"/>
            </w:tcBorders>
            <w:vAlign w:val="center"/>
          </w:tcPr>
          <w:p w14:paraId="4059B64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国药、优级纯</w:t>
            </w:r>
          </w:p>
        </w:tc>
        <w:tc>
          <w:tcPr>
            <w:tcW w:w="1457" w:type="dxa"/>
            <w:tcBorders>
              <w:tl2br w:val="nil"/>
              <w:tr2bl w:val="nil"/>
            </w:tcBorders>
            <w:vAlign w:val="center"/>
          </w:tcPr>
          <w:p w14:paraId="787C192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1F7F0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36FA90C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4814D44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0D7E7DF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丙酮</w:t>
            </w:r>
          </w:p>
        </w:tc>
        <w:tc>
          <w:tcPr>
            <w:tcW w:w="2385" w:type="dxa"/>
            <w:tcBorders>
              <w:tl2br w:val="nil"/>
              <w:tr2bl w:val="nil"/>
            </w:tcBorders>
            <w:vAlign w:val="center"/>
          </w:tcPr>
          <w:p w14:paraId="7EBAD37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霍尼韦尔、色谱纯</w:t>
            </w:r>
          </w:p>
        </w:tc>
        <w:tc>
          <w:tcPr>
            <w:tcW w:w="1457" w:type="dxa"/>
            <w:tcBorders>
              <w:tl2br w:val="nil"/>
              <w:tr2bl w:val="nil"/>
            </w:tcBorders>
            <w:vAlign w:val="center"/>
          </w:tcPr>
          <w:p w14:paraId="7269B9C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513B5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1E1B412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39EBB62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1F3A7C9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正己烷</w:t>
            </w:r>
          </w:p>
        </w:tc>
        <w:tc>
          <w:tcPr>
            <w:tcW w:w="2385" w:type="dxa"/>
            <w:tcBorders>
              <w:tl2br w:val="nil"/>
              <w:tr2bl w:val="nil"/>
            </w:tcBorders>
            <w:vAlign w:val="center"/>
          </w:tcPr>
          <w:p w14:paraId="379B540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霍尼韦尔、色谱纯</w:t>
            </w:r>
          </w:p>
        </w:tc>
        <w:tc>
          <w:tcPr>
            <w:tcW w:w="1457" w:type="dxa"/>
            <w:tcBorders>
              <w:tl2br w:val="nil"/>
              <w:tr2bl w:val="nil"/>
            </w:tcBorders>
            <w:vAlign w:val="center"/>
          </w:tcPr>
          <w:p w14:paraId="5C05228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70D59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414BCF0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1FE4755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1308" w:type="dxa"/>
            <w:tcBorders>
              <w:tl2br w:val="nil"/>
              <w:tr2bl w:val="nil"/>
            </w:tcBorders>
            <w:shd w:val="clear" w:color="auto" w:fill="auto"/>
            <w:vAlign w:val="center"/>
          </w:tcPr>
          <w:p w14:paraId="3998979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二氯甲烷</w:t>
            </w:r>
          </w:p>
        </w:tc>
        <w:tc>
          <w:tcPr>
            <w:tcW w:w="2385" w:type="dxa"/>
            <w:tcBorders>
              <w:tl2br w:val="nil"/>
              <w:tr2bl w:val="nil"/>
            </w:tcBorders>
            <w:vAlign w:val="center"/>
          </w:tcPr>
          <w:p w14:paraId="2214320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霍尼韦尔、色谱纯</w:t>
            </w:r>
          </w:p>
        </w:tc>
        <w:tc>
          <w:tcPr>
            <w:tcW w:w="1457" w:type="dxa"/>
            <w:tcBorders>
              <w:tl2br w:val="nil"/>
              <w:tr2bl w:val="nil"/>
            </w:tcBorders>
            <w:vAlign w:val="center"/>
          </w:tcPr>
          <w:p w14:paraId="72777CF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27D5E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restart"/>
            <w:tcBorders>
              <w:tl2br w:val="nil"/>
              <w:tr2bl w:val="nil"/>
            </w:tcBorders>
            <w:vAlign w:val="center"/>
          </w:tcPr>
          <w:p w14:paraId="0BA79B1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5</w:t>
            </w:r>
          </w:p>
        </w:tc>
        <w:tc>
          <w:tcPr>
            <w:tcW w:w="2935" w:type="dxa"/>
            <w:vMerge w:val="restart"/>
            <w:tcBorders>
              <w:tl2br w:val="nil"/>
              <w:tr2bl w:val="nil"/>
            </w:tcBorders>
            <w:shd w:val="clear" w:color="auto" w:fill="auto"/>
            <w:vAlign w:val="center"/>
          </w:tcPr>
          <w:p w14:paraId="6AE2483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eastAsia" w:cs="Times New Roman" w:eastAsiaTheme="majorEastAsia"/>
                <w:color w:val="000000"/>
                <w:sz w:val="18"/>
                <w:szCs w:val="18"/>
                <w:lang w:eastAsia="zh-CN"/>
              </w:rPr>
              <w:t>四川省宜宾生态环境监测中心站</w:t>
            </w:r>
          </w:p>
        </w:tc>
        <w:tc>
          <w:tcPr>
            <w:tcW w:w="1308" w:type="dxa"/>
            <w:tcBorders>
              <w:tl2br w:val="nil"/>
              <w:tr2bl w:val="nil"/>
            </w:tcBorders>
            <w:shd w:val="clear" w:color="auto" w:fill="auto"/>
            <w:vAlign w:val="center"/>
          </w:tcPr>
          <w:p w14:paraId="4596E78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氢氧化钾</w:t>
            </w:r>
          </w:p>
        </w:tc>
        <w:tc>
          <w:tcPr>
            <w:tcW w:w="2385" w:type="dxa"/>
            <w:tcBorders>
              <w:tl2br w:val="nil"/>
              <w:tr2bl w:val="nil"/>
            </w:tcBorders>
            <w:vAlign w:val="center"/>
          </w:tcPr>
          <w:p w14:paraId="3875B1F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eastAsiaTheme="majorEastAsia"/>
                <w:color w:val="000000"/>
                <w:sz w:val="18"/>
                <w:szCs w:val="18"/>
              </w:rPr>
              <w:t>天津科密欧</w:t>
            </w:r>
            <w:r>
              <w:rPr>
                <w:rFonts w:hint="default" w:ascii="Times New Roman" w:hAnsi="Times New Roman" w:cs="Times New Roman" w:eastAsiaTheme="majorEastAsia"/>
                <w:color w:val="000000"/>
                <w:sz w:val="18"/>
                <w:szCs w:val="18"/>
                <w:lang w:eastAsia="zh-CN"/>
              </w:rPr>
              <w:t>，</w:t>
            </w:r>
            <w:r>
              <w:rPr>
                <w:rFonts w:hint="default" w:ascii="Times New Roman" w:hAnsi="Times New Roman" w:cs="Times New Roman" w:eastAsiaTheme="majorEastAsia"/>
                <w:color w:val="000000"/>
                <w:sz w:val="18"/>
                <w:szCs w:val="18"/>
                <w:lang w:val="en-US" w:eastAsia="zh-CN"/>
              </w:rPr>
              <w:t>500 g，优级纯</w:t>
            </w:r>
          </w:p>
        </w:tc>
        <w:tc>
          <w:tcPr>
            <w:tcW w:w="1457" w:type="dxa"/>
            <w:tcBorders>
              <w:tl2br w:val="nil"/>
              <w:tr2bl w:val="nil"/>
            </w:tcBorders>
            <w:vAlign w:val="center"/>
          </w:tcPr>
          <w:p w14:paraId="3208C5E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1F72C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1EC1548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334FCE6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lang w:eastAsia="zh-CN"/>
              </w:rPr>
            </w:pPr>
          </w:p>
        </w:tc>
        <w:tc>
          <w:tcPr>
            <w:tcW w:w="1308" w:type="dxa"/>
            <w:tcBorders>
              <w:tl2br w:val="nil"/>
              <w:tr2bl w:val="nil"/>
            </w:tcBorders>
            <w:shd w:val="clear" w:color="auto" w:fill="auto"/>
            <w:vAlign w:val="center"/>
          </w:tcPr>
          <w:p w14:paraId="6B56434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无水硫酸钠</w:t>
            </w:r>
          </w:p>
        </w:tc>
        <w:tc>
          <w:tcPr>
            <w:tcW w:w="2385" w:type="dxa"/>
            <w:tcBorders>
              <w:tl2br w:val="nil"/>
              <w:tr2bl w:val="nil"/>
            </w:tcBorders>
            <w:vAlign w:val="center"/>
          </w:tcPr>
          <w:p w14:paraId="5505EC8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成都科隆</w:t>
            </w:r>
            <w:r>
              <w:rPr>
                <w:rFonts w:hint="default" w:ascii="Times New Roman" w:hAnsi="Times New Roman" w:cs="Times New Roman"/>
                <w:sz w:val="18"/>
                <w:szCs w:val="18"/>
                <w:lang w:eastAsia="zh-CN"/>
              </w:rPr>
              <w:t>，</w:t>
            </w:r>
            <w:r>
              <w:rPr>
                <w:rFonts w:hint="default" w:ascii="Times New Roman" w:hAnsi="Times New Roman" w:cs="Times New Roman" w:eastAsiaTheme="majorEastAsia"/>
                <w:color w:val="000000"/>
                <w:sz w:val="18"/>
                <w:szCs w:val="18"/>
                <w:lang w:val="en-US" w:eastAsia="zh-CN"/>
              </w:rPr>
              <w:t>500 g，</w:t>
            </w:r>
            <w:r>
              <w:rPr>
                <w:rFonts w:hint="default" w:ascii="Times New Roman" w:hAnsi="Times New Roman" w:cs="Times New Roman"/>
                <w:sz w:val="18"/>
                <w:szCs w:val="18"/>
              </w:rPr>
              <w:t>优级纯</w:t>
            </w:r>
          </w:p>
        </w:tc>
        <w:tc>
          <w:tcPr>
            <w:tcW w:w="1457" w:type="dxa"/>
            <w:tcBorders>
              <w:tl2br w:val="nil"/>
              <w:tr2bl w:val="nil"/>
            </w:tcBorders>
            <w:vAlign w:val="center"/>
          </w:tcPr>
          <w:p w14:paraId="4184D4B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400℃灼烧4 h，</w:t>
            </w:r>
          </w:p>
        </w:tc>
      </w:tr>
      <w:tr w14:paraId="7B9B1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31ECE06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1821BFB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lang w:eastAsia="zh-CN"/>
              </w:rPr>
            </w:pPr>
          </w:p>
        </w:tc>
        <w:tc>
          <w:tcPr>
            <w:tcW w:w="1308" w:type="dxa"/>
            <w:tcBorders>
              <w:tl2br w:val="nil"/>
              <w:tr2bl w:val="nil"/>
            </w:tcBorders>
            <w:shd w:val="clear" w:color="auto" w:fill="auto"/>
            <w:vAlign w:val="center"/>
          </w:tcPr>
          <w:p w14:paraId="4178D78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无水乙醇</w:t>
            </w:r>
          </w:p>
        </w:tc>
        <w:tc>
          <w:tcPr>
            <w:tcW w:w="2385" w:type="dxa"/>
            <w:tcBorders>
              <w:tl2br w:val="nil"/>
              <w:tr2bl w:val="nil"/>
            </w:tcBorders>
            <w:vAlign w:val="center"/>
          </w:tcPr>
          <w:p w14:paraId="410740D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天正，500 ml，优级纯</w:t>
            </w:r>
          </w:p>
        </w:tc>
        <w:tc>
          <w:tcPr>
            <w:tcW w:w="1457" w:type="dxa"/>
            <w:tcBorders>
              <w:tl2br w:val="nil"/>
              <w:tr2bl w:val="nil"/>
            </w:tcBorders>
            <w:vAlign w:val="center"/>
          </w:tcPr>
          <w:p w14:paraId="43CB1E4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3BB17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5233609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6E2CE1B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lang w:eastAsia="zh-CN"/>
              </w:rPr>
            </w:pPr>
          </w:p>
        </w:tc>
        <w:tc>
          <w:tcPr>
            <w:tcW w:w="1308" w:type="dxa"/>
            <w:tcBorders>
              <w:tl2br w:val="nil"/>
              <w:tr2bl w:val="nil"/>
            </w:tcBorders>
            <w:shd w:val="clear" w:color="auto" w:fill="auto"/>
            <w:vAlign w:val="center"/>
          </w:tcPr>
          <w:p w14:paraId="3B836F9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丙酮</w:t>
            </w:r>
          </w:p>
        </w:tc>
        <w:tc>
          <w:tcPr>
            <w:tcW w:w="2385" w:type="dxa"/>
            <w:tcBorders>
              <w:tl2br w:val="nil"/>
              <w:tr2bl w:val="nil"/>
            </w:tcBorders>
            <w:vAlign w:val="center"/>
          </w:tcPr>
          <w:p w14:paraId="003587E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Fisher</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4 L，</w:t>
            </w:r>
            <w:r>
              <w:rPr>
                <w:rFonts w:hint="default" w:ascii="Times New Roman" w:hAnsi="Times New Roman" w:cs="Times New Roman"/>
                <w:sz w:val="18"/>
                <w:szCs w:val="18"/>
              </w:rPr>
              <w:t>农残级</w:t>
            </w:r>
          </w:p>
        </w:tc>
        <w:tc>
          <w:tcPr>
            <w:tcW w:w="1457" w:type="dxa"/>
            <w:tcBorders>
              <w:tl2br w:val="nil"/>
              <w:tr2bl w:val="nil"/>
            </w:tcBorders>
            <w:vAlign w:val="center"/>
          </w:tcPr>
          <w:p w14:paraId="4B5260C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1413C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0AB8D78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1640B17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lang w:eastAsia="zh-CN"/>
              </w:rPr>
            </w:pPr>
          </w:p>
        </w:tc>
        <w:tc>
          <w:tcPr>
            <w:tcW w:w="1308" w:type="dxa"/>
            <w:tcBorders>
              <w:tl2br w:val="nil"/>
              <w:tr2bl w:val="nil"/>
            </w:tcBorders>
            <w:shd w:val="clear" w:color="auto" w:fill="auto"/>
            <w:vAlign w:val="center"/>
          </w:tcPr>
          <w:p w14:paraId="1ADC4CE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正己烷</w:t>
            </w:r>
          </w:p>
        </w:tc>
        <w:tc>
          <w:tcPr>
            <w:tcW w:w="2385" w:type="dxa"/>
            <w:tcBorders>
              <w:tl2br w:val="nil"/>
              <w:tr2bl w:val="nil"/>
            </w:tcBorders>
            <w:vAlign w:val="center"/>
          </w:tcPr>
          <w:p w14:paraId="5364C09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欧普森</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4 L，</w:t>
            </w:r>
            <w:r>
              <w:rPr>
                <w:rFonts w:hint="default" w:ascii="Times New Roman" w:hAnsi="Times New Roman" w:cs="Times New Roman"/>
                <w:sz w:val="18"/>
                <w:szCs w:val="18"/>
              </w:rPr>
              <w:t>农残级</w:t>
            </w:r>
          </w:p>
        </w:tc>
        <w:tc>
          <w:tcPr>
            <w:tcW w:w="1457" w:type="dxa"/>
            <w:tcBorders>
              <w:tl2br w:val="nil"/>
              <w:tr2bl w:val="nil"/>
            </w:tcBorders>
            <w:vAlign w:val="center"/>
          </w:tcPr>
          <w:p w14:paraId="781F29F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1B935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24B1EDD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4F73027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eastAsiaTheme="majorEastAsia"/>
                <w:color w:val="000000"/>
                <w:sz w:val="18"/>
                <w:szCs w:val="18"/>
                <w:lang w:eastAsia="zh-CN"/>
              </w:rPr>
            </w:pPr>
          </w:p>
        </w:tc>
        <w:tc>
          <w:tcPr>
            <w:tcW w:w="1308" w:type="dxa"/>
            <w:tcBorders>
              <w:tl2br w:val="nil"/>
              <w:tr2bl w:val="nil"/>
            </w:tcBorders>
            <w:shd w:val="clear" w:color="auto" w:fill="auto"/>
            <w:vAlign w:val="center"/>
          </w:tcPr>
          <w:p w14:paraId="521775D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二氯甲烷</w:t>
            </w:r>
          </w:p>
        </w:tc>
        <w:tc>
          <w:tcPr>
            <w:tcW w:w="2385" w:type="dxa"/>
            <w:tcBorders>
              <w:tl2br w:val="nil"/>
              <w:tr2bl w:val="nil"/>
            </w:tcBorders>
            <w:vAlign w:val="center"/>
          </w:tcPr>
          <w:p w14:paraId="0903A55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Oceanpak</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4 L，</w:t>
            </w:r>
            <w:r>
              <w:rPr>
                <w:rFonts w:hint="default" w:ascii="Times New Roman" w:hAnsi="Times New Roman" w:cs="Times New Roman"/>
                <w:sz w:val="18"/>
                <w:szCs w:val="18"/>
              </w:rPr>
              <w:t>农残级</w:t>
            </w:r>
          </w:p>
        </w:tc>
        <w:tc>
          <w:tcPr>
            <w:tcW w:w="1457" w:type="dxa"/>
            <w:tcBorders>
              <w:tl2br w:val="nil"/>
              <w:tr2bl w:val="nil"/>
            </w:tcBorders>
            <w:vAlign w:val="center"/>
          </w:tcPr>
          <w:p w14:paraId="035D9C1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773DA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restart"/>
            <w:tcBorders>
              <w:tl2br w:val="nil"/>
              <w:tr2bl w:val="nil"/>
            </w:tcBorders>
            <w:vAlign w:val="center"/>
          </w:tcPr>
          <w:p w14:paraId="65038A0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eastAsia" w:cs="Times New Roman"/>
                <w:color w:val="000000"/>
                <w:sz w:val="18"/>
                <w:szCs w:val="18"/>
                <w:highlight w:val="none"/>
                <w:vertAlign w:val="baseline"/>
                <w:lang w:val="en-US" w:eastAsia="zh-CN"/>
              </w:rPr>
              <w:t>6</w:t>
            </w:r>
          </w:p>
        </w:tc>
        <w:tc>
          <w:tcPr>
            <w:tcW w:w="2935" w:type="dxa"/>
            <w:vMerge w:val="restart"/>
            <w:tcBorders>
              <w:tl2br w:val="nil"/>
              <w:tr2bl w:val="nil"/>
            </w:tcBorders>
            <w:shd w:val="clear" w:color="auto" w:fill="auto"/>
            <w:vAlign w:val="center"/>
          </w:tcPr>
          <w:p w14:paraId="31818FA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eastAsia" w:cs="Times New Roman"/>
                <w:color w:val="000000"/>
                <w:sz w:val="18"/>
                <w:szCs w:val="18"/>
                <w:highlight w:val="none"/>
                <w:lang w:eastAsia="zh-CN"/>
              </w:rPr>
              <w:t>江苏省徐州生态环境监测中心</w:t>
            </w:r>
          </w:p>
        </w:tc>
        <w:tc>
          <w:tcPr>
            <w:tcW w:w="1308" w:type="dxa"/>
            <w:tcBorders>
              <w:tl2br w:val="nil"/>
              <w:tr2bl w:val="nil"/>
            </w:tcBorders>
            <w:shd w:val="clear" w:color="auto" w:fill="auto"/>
            <w:vAlign w:val="center"/>
          </w:tcPr>
          <w:p w14:paraId="3886D08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氢氧化钾</w:t>
            </w:r>
          </w:p>
        </w:tc>
        <w:tc>
          <w:tcPr>
            <w:tcW w:w="2385" w:type="dxa"/>
            <w:tcBorders>
              <w:tl2br w:val="nil"/>
              <w:tr2bl w:val="nil"/>
            </w:tcBorders>
            <w:vAlign w:val="center"/>
          </w:tcPr>
          <w:p w14:paraId="66ED941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国药</w:t>
            </w:r>
          </w:p>
        </w:tc>
        <w:tc>
          <w:tcPr>
            <w:tcW w:w="1457" w:type="dxa"/>
            <w:tcBorders>
              <w:tl2br w:val="nil"/>
              <w:tr2bl w:val="nil"/>
            </w:tcBorders>
            <w:vAlign w:val="center"/>
          </w:tcPr>
          <w:p w14:paraId="6780C6E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4EF54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51FC339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787BD08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lang w:eastAsia="zh-CN"/>
              </w:rPr>
            </w:pPr>
          </w:p>
        </w:tc>
        <w:tc>
          <w:tcPr>
            <w:tcW w:w="1308" w:type="dxa"/>
            <w:tcBorders>
              <w:tl2br w:val="nil"/>
              <w:tr2bl w:val="nil"/>
            </w:tcBorders>
            <w:shd w:val="clear" w:color="auto" w:fill="auto"/>
            <w:vAlign w:val="center"/>
          </w:tcPr>
          <w:p w14:paraId="5370665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无水硫酸钠</w:t>
            </w:r>
          </w:p>
        </w:tc>
        <w:tc>
          <w:tcPr>
            <w:tcW w:w="2385" w:type="dxa"/>
            <w:tcBorders>
              <w:tl2br w:val="nil"/>
              <w:tr2bl w:val="nil"/>
            </w:tcBorders>
            <w:vAlign w:val="center"/>
          </w:tcPr>
          <w:p w14:paraId="19B18F8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国药</w:t>
            </w:r>
          </w:p>
        </w:tc>
        <w:tc>
          <w:tcPr>
            <w:tcW w:w="1457" w:type="dxa"/>
            <w:tcBorders>
              <w:tl2br w:val="nil"/>
              <w:tr2bl w:val="nil"/>
            </w:tcBorders>
            <w:vAlign w:val="center"/>
          </w:tcPr>
          <w:p w14:paraId="7498268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sz w:val="18"/>
                <w:szCs w:val="18"/>
              </w:rPr>
              <w:t>400℃灼烧4 h</w:t>
            </w:r>
          </w:p>
        </w:tc>
      </w:tr>
      <w:tr w14:paraId="5BB0C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27BF0AC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6965B93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lang w:eastAsia="zh-CN"/>
              </w:rPr>
            </w:pPr>
          </w:p>
        </w:tc>
        <w:tc>
          <w:tcPr>
            <w:tcW w:w="1308" w:type="dxa"/>
            <w:tcBorders>
              <w:tl2br w:val="nil"/>
              <w:tr2bl w:val="nil"/>
            </w:tcBorders>
            <w:shd w:val="clear" w:color="auto" w:fill="auto"/>
            <w:vAlign w:val="center"/>
          </w:tcPr>
          <w:p w14:paraId="01A1A51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无水乙醇</w:t>
            </w:r>
          </w:p>
        </w:tc>
        <w:tc>
          <w:tcPr>
            <w:tcW w:w="2385" w:type="dxa"/>
            <w:tcBorders>
              <w:tl2br w:val="nil"/>
              <w:tr2bl w:val="nil"/>
            </w:tcBorders>
            <w:vAlign w:val="center"/>
          </w:tcPr>
          <w:p w14:paraId="59EEA90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国药</w:t>
            </w:r>
          </w:p>
        </w:tc>
        <w:tc>
          <w:tcPr>
            <w:tcW w:w="1457" w:type="dxa"/>
            <w:tcBorders>
              <w:tl2br w:val="nil"/>
              <w:tr2bl w:val="nil"/>
            </w:tcBorders>
            <w:vAlign w:val="center"/>
          </w:tcPr>
          <w:p w14:paraId="3246B22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20B6F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39A8F4B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64E2045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lang w:eastAsia="zh-CN"/>
              </w:rPr>
            </w:pPr>
          </w:p>
        </w:tc>
        <w:tc>
          <w:tcPr>
            <w:tcW w:w="1308" w:type="dxa"/>
            <w:tcBorders>
              <w:tl2br w:val="nil"/>
              <w:tr2bl w:val="nil"/>
            </w:tcBorders>
            <w:shd w:val="clear" w:color="auto" w:fill="auto"/>
            <w:vAlign w:val="center"/>
          </w:tcPr>
          <w:p w14:paraId="042EFE9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丙酮</w:t>
            </w:r>
          </w:p>
        </w:tc>
        <w:tc>
          <w:tcPr>
            <w:tcW w:w="2385" w:type="dxa"/>
            <w:tcBorders>
              <w:tl2br w:val="nil"/>
              <w:tr2bl w:val="nil"/>
            </w:tcBorders>
            <w:vAlign w:val="center"/>
          </w:tcPr>
          <w:p w14:paraId="0EB0B65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ACS</w:t>
            </w:r>
          </w:p>
        </w:tc>
        <w:tc>
          <w:tcPr>
            <w:tcW w:w="1457" w:type="dxa"/>
            <w:tcBorders>
              <w:tl2br w:val="nil"/>
              <w:tr2bl w:val="nil"/>
            </w:tcBorders>
            <w:vAlign w:val="center"/>
          </w:tcPr>
          <w:p w14:paraId="3F2ECF6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152B3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0A88339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117CCF5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lang w:eastAsia="zh-CN"/>
              </w:rPr>
            </w:pPr>
          </w:p>
        </w:tc>
        <w:tc>
          <w:tcPr>
            <w:tcW w:w="1308" w:type="dxa"/>
            <w:tcBorders>
              <w:tl2br w:val="nil"/>
              <w:tr2bl w:val="nil"/>
            </w:tcBorders>
            <w:shd w:val="clear" w:color="auto" w:fill="auto"/>
            <w:vAlign w:val="center"/>
          </w:tcPr>
          <w:p w14:paraId="263FE70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正己烷</w:t>
            </w:r>
          </w:p>
        </w:tc>
        <w:tc>
          <w:tcPr>
            <w:tcW w:w="2385" w:type="dxa"/>
            <w:tcBorders>
              <w:tl2br w:val="nil"/>
              <w:tr2bl w:val="nil"/>
            </w:tcBorders>
            <w:vAlign w:val="center"/>
          </w:tcPr>
          <w:p w14:paraId="5764B8C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ACS</w:t>
            </w:r>
          </w:p>
        </w:tc>
        <w:tc>
          <w:tcPr>
            <w:tcW w:w="1457" w:type="dxa"/>
            <w:tcBorders>
              <w:tl2br w:val="nil"/>
              <w:tr2bl w:val="nil"/>
            </w:tcBorders>
            <w:vAlign w:val="center"/>
          </w:tcPr>
          <w:p w14:paraId="65FC0B2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r w14:paraId="59D3A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5" w:type="dxa"/>
            <w:vMerge w:val="continue"/>
            <w:tcBorders>
              <w:tl2br w:val="nil"/>
              <w:tr2bl w:val="nil"/>
            </w:tcBorders>
            <w:vAlign w:val="center"/>
          </w:tcPr>
          <w:p w14:paraId="3904792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p>
        </w:tc>
        <w:tc>
          <w:tcPr>
            <w:tcW w:w="2935" w:type="dxa"/>
            <w:vMerge w:val="continue"/>
            <w:tcBorders>
              <w:tl2br w:val="nil"/>
              <w:tr2bl w:val="nil"/>
            </w:tcBorders>
            <w:shd w:val="clear" w:color="auto" w:fill="auto"/>
            <w:vAlign w:val="center"/>
          </w:tcPr>
          <w:p w14:paraId="34F7759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lang w:eastAsia="zh-CN"/>
              </w:rPr>
            </w:pPr>
          </w:p>
        </w:tc>
        <w:tc>
          <w:tcPr>
            <w:tcW w:w="1308" w:type="dxa"/>
            <w:tcBorders>
              <w:tl2br w:val="nil"/>
              <w:tr2bl w:val="nil"/>
            </w:tcBorders>
            <w:shd w:val="clear" w:color="auto" w:fill="auto"/>
            <w:vAlign w:val="center"/>
          </w:tcPr>
          <w:p w14:paraId="71C7D2C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二氯甲烷</w:t>
            </w:r>
          </w:p>
        </w:tc>
        <w:tc>
          <w:tcPr>
            <w:tcW w:w="2385" w:type="dxa"/>
            <w:tcBorders>
              <w:tl2br w:val="nil"/>
              <w:tr2bl w:val="nil"/>
            </w:tcBorders>
            <w:vAlign w:val="center"/>
          </w:tcPr>
          <w:p w14:paraId="76D187C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SUPELCO</w:t>
            </w:r>
          </w:p>
        </w:tc>
        <w:tc>
          <w:tcPr>
            <w:tcW w:w="1457" w:type="dxa"/>
            <w:tcBorders>
              <w:tl2br w:val="nil"/>
              <w:tr2bl w:val="nil"/>
            </w:tcBorders>
            <w:vAlign w:val="center"/>
          </w:tcPr>
          <w:p w14:paraId="2E66ABD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w:t>
            </w:r>
          </w:p>
        </w:tc>
      </w:tr>
    </w:tbl>
    <w:p w14:paraId="59681CD0">
      <w:pP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br w:type="page"/>
      </w:r>
    </w:p>
    <w:p w14:paraId="28315229">
      <w:pPr>
        <w:ind w:left="0" w:leftChars="0" w:firstLine="0" w:firstLineChars="0"/>
        <w:jc w:val="center"/>
        <w:rPr>
          <w:rFonts w:hint="default" w:ascii="Times New Roman" w:hAnsi="Times New Roman" w:cs="Times New Roman"/>
          <w:color w:val="000000"/>
          <w:szCs w:val="21"/>
          <w:highlight w:val="none"/>
          <w:lang w:val="en-US" w:eastAsia="zh-CN"/>
        </w:rPr>
        <w:sectPr>
          <w:pgSz w:w="11906" w:h="16838"/>
          <w:pgMar w:top="1701" w:right="1701" w:bottom="1701"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72FC4F4">
      <w:pPr>
        <w:pStyle w:val="2"/>
        <w:bidi w:val="0"/>
        <w:rPr>
          <w:rFonts w:hint="default" w:ascii="Times New Roman" w:hAnsi="Times New Roman" w:cs="Times New Roman"/>
          <w:lang w:val="en-US" w:eastAsia="zh-CN"/>
        </w:rPr>
      </w:pPr>
      <w:bookmarkStart w:id="183" w:name="_Toc13283"/>
      <w:bookmarkStart w:id="184" w:name="_Toc19916"/>
      <w:bookmarkStart w:id="185" w:name="_Toc8447"/>
      <w:bookmarkStart w:id="186" w:name="_Toc30153"/>
      <w:bookmarkStart w:id="187" w:name="_Toc2325"/>
      <w:bookmarkStart w:id="188" w:name="_Toc5308"/>
      <w:r>
        <w:rPr>
          <w:rFonts w:hint="default" w:ascii="Times New Roman" w:hAnsi="Times New Roman" w:cs="Times New Roman"/>
          <w:lang w:val="en-US" w:eastAsia="zh-CN"/>
        </w:rPr>
        <w:t>2  原始测试数据</w:t>
      </w:r>
      <w:bookmarkEnd w:id="183"/>
      <w:bookmarkEnd w:id="184"/>
      <w:bookmarkEnd w:id="185"/>
      <w:bookmarkEnd w:id="186"/>
      <w:bookmarkEnd w:id="187"/>
      <w:bookmarkEnd w:id="188"/>
    </w:p>
    <w:p w14:paraId="0017A176">
      <w:pPr>
        <w:pStyle w:val="3"/>
        <w:bidi w:val="0"/>
        <w:rPr>
          <w:rFonts w:hint="default" w:ascii="Times New Roman" w:hAnsi="Times New Roman" w:cs="Times New Roman"/>
          <w:lang w:val="en-US" w:eastAsia="zh-CN"/>
        </w:rPr>
      </w:pPr>
      <w:bookmarkStart w:id="189" w:name="_Toc21747"/>
      <w:bookmarkStart w:id="190" w:name="_Toc23616"/>
      <w:bookmarkStart w:id="191" w:name="_Toc25051"/>
      <w:bookmarkStart w:id="192" w:name="_Toc19849"/>
      <w:bookmarkStart w:id="193" w:name="_Toc1252"/>
      <w:bookmarkStart w:id="194" w:name="_Toc31806"/>
      <w:r>
        <w:rPr>
          <w:rFonts w:hint="default" w:ascii="Times New Roman" w:hAnsi="Times New Roman" w:cs="Times New Roman"/>
          <w:lang w:val="en-US" w:eastAsia="zh-CN"/>
        </w:rPr>
        <w:t>2.1  方法检出限和测定下限数据</w:t>
      </w:r>
      <w:bookmarkEnd w:id="189"/>
      <w:bookmarkEnd w:id="190"/>
      <w:bookmarkEnd w:id="191"/>
      <w:bookmarkEnd w:id="192"/>
      <w:bookmarkEnd w:id="193"/>
      <w:bookmarkEnd w:id="194"/>
    </w:p>
    <w:p w14:paraId="69DE86DA">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bidi="ar"/>
        </w:rPr>
        <w:t>附表4</w:t>
      </w:r>
      <w:r>
        <w:rPr>
          <w:rFonts w:hint="default" w:ascii="Times New Roman" w:hAnsi="Times New Roman" w:cs="Times New Roman"/>
          <w:color w:val="000000"/>
          <w:szCs w:val="21"/>
          <w:highlight w:val="none"/>
          <w:lang w:val="en-US" w:eastAsia="zh-CN" w:bidi="ar"/>
        </w:rPr>
        <w:t>~</w:t>
      </w:r>
      <w:r>
        <w:rPr>
          <w:rFonts w:hint="default" w:ascii="Times New Roman" w:hAnsi="Times New Roman" w:cs="Times New Roman"/>
          <w:color w:val="000000"/>
          <w:kern w:val="0"/>
          <w:szCs w:val="21"/>
          <w:highlight w:val="none"/>
          <w:lang w:bidi="ar"/>
        </w:rPr>
        <w:t>附表9</w:t>
      </w:r>
      <w:r>
        <w:rPr>
          <w:rFonts w:hint="default" w:ascii="Times New Roman" w:hAnsi="Times New Roman" w:cs="Times New Roman"/>
          <w:color w:val="000000"/>
          <w:szCs w:val="21"/>
          <w:highlight w:val="none"/>
        </w:rPr>
        <w:t>为</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 xml:space="preserve">家验证实验室对《土壤 </w:t>
      </w:r>
      <w:r>
        <w:rPr>
          <w:rFonts w:hint="default" w:ascii="Times New Roman" w:hAnsi="Times New Roman" w:cs="Times New Roman"/>
          <w:color w:val="000000"/>
          <w:szCs w:val="21"/>
          <w:highlight w:val="none"/>
          <w:lang w:val="en-US" w:eastAsia="zh-CN"/>
        </w:rPr>
        <w:t>三氯杀螨醇</w:t>
      </w:r>
      <w:r>
        <w:rPr>
          <w:rFonts w:hint="default" w:ascii="Times New Roman" w:hAnsi="Times New Roman" w:cs="Times New Roman"/>
          <w:color w:val="000000"/>
          <w:szCs w:val="21"/>
          <w:highlight w:val="none"/>
        </w:rPr>
        <w:t>的测定 气相色谱-质谱法》中目标化合物检出限与测定下限的测试数据。</w:t>
      </w:r>
    </w:p>
    <w:p w14:paraId="6FF2CD63">
      <w:pPr>
        <w:ind w:left="0" w:leftChars="0" w:firstLine="0" w:firstLineChars="0"/>
        <w:jc w:val="center"/>
        <w:rPr>
          <w:rFonts w:hint="default" w:ascii="Times New Roman" w:hAnsi="Times New Roman" w:eastAsia="黑体" w:cs="Times New Roman"/>
          <w:color w:val="000000"/>
          <w:szCs w:val="21"/>
          <w:highlight w:val="none"/>
          <w:lang w:val="en-US" w:eastAsia="zh-CN"/>
        </w:rPr>
      </w:pPr>
    </w:p>
    <w:p w14:paraId="35CF1B53">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附表4  检出限、测定下限测试数据表</w:t>
      </w:r>
    </w:p>
    <w:p w14:paraId="3E35C333">
      <w:pPr>
        <w:pStyle w:val="22"/>
        <w:tabs>
          <w:tab w:val="left" w:pos="9240"/>
          <w:tab w:val="left" w:pos="10920"/>
        </w:tabs>
        <w:wordWrap w:val="0"/>
        <w:spacing w:before="156" w:beforeLines="50" w:after="156" w:afterLines="50" w:line="360" w:lineRule="exact"/>
        <w:ind w:left="8820" w:leftChars="0" w:firstLine="420" w:firstLineChars="0"/>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湖北省生态环境监测中心站</w:t>
      </w:r>
      <w:r>
        <w:rPr>
          <w:rFonts w:hint="default" w:ascii="Times New Roman" w:hAnsi="Times New Roman" w:cs="Times New Roman"/>
          <w:color w:val="000000"/>
          <w:sz w:val="21"/>
          <w:szCs w:val="21"/>
          <w:u w:val="single"/>
          <w:lang w:val="en-US" w:eastAsia="zh-CN"/>
        </w:rPr>
        <w:t xml:space="preserve"> </w:t>
      </w:r>
    </w:p>
    <w:p w14:paraId="309FFA43">
      <w:pPr>
        <w:pStyle w:val="22"/>
        <w:tabs>
          <w:tab w:val="left" w:pos="9240"/>
          <w:tab w:val="left" w:pos="10920"/>
          <w:tab w:val="left" w:pos="13020"/>
        </w:tabs>
        <w:wordWrap w:val="0"/>
        <w:spacing w:before="156" w:beforeLines="50" w:after="156" w:afterLines="50" w:line="360" w:lineRule="exact"/>
        <w:ind w:left="8820" w:leftChars="0" w:right="616" w:rightChars="0" w:firstLine="420" w:firstLineChars="0"/>
        <w:jc w:val="both"/>
        <w:rPr>
          <w:rFonts w:hint="default" w:ascii="Times New Roman" w:hAnsi="Times New Roman" w:cs="Times New Roman"/>
          <w:color w:val="000000"/>
          <w:sz w:val="21"/>
          <w:szCs w:val="21"/>
          <w:u w:val="single"/>
          <w:lang w:val="en-US"/>
        </w:rPr>
      </w:pP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2024年12月10日</w:t>
      </w:r>
      <w:r>
        <w:rPr>
          <w:rFonts w:hint="default" w:ascii="Times New Roman" w:hAnsi="Times New Roman" w:cs="Times New Roman"/>
          <w:color w:val="000000"/>
          <w:sz w:val="21"/>
          <w:szCs w:val="21"/>
          <w:u w:val="single"/>
          <w:lang w:val="en-US" w:eastAsia="zh-CN"/>
        </w:rPr>
        <w:t xml:space="preserve">    </w:t>
      </w:r>
    </w:p>
    <w:tbl>
      <w:tblPr>
        <w:tblStyle w:val="15"/>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707"/>
        <w:gridCol w:w="787"/>
        <w:gridCol w:w="787"/>
        <w:gridCol w:w="782"/>
        <w:gridCol w:w="729"/>
        <w:gridCol w:w="742"/>
        <w:gridCol w:w="757"/>
        <w:gridCol w:w="808"/>
        <w:gridCol w:w="1137"/>
        <w:gridCol w:w="1161"/>
        <w:gridCol w:w="762"/>
        <w:gridCol w:w="1202"/>
        <w:gridCol w:w="1091"/>
        <w:gridCol w:w="1201"/>
      </w:tblGrid>
      <w:tr w14:paraId="3A53E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529" w:type="dxa"/>
            <w:vMerge w:val="restart"/>
            <w:tcBorders>
              <w:tl2br w:val="nil"/>
              <w:tr2bl w:val="nil"/>
            </w:tcBorders>
            <w:noWrap/>
            <w:vAlign w:val="center"/>
          </w:tcPr>
          <w:p w14:paraId="39D08B34">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目标化合物</w:t>
            </w:r>
          </w:p>
        </w:tc>
        <w:tc>
          <w:tcPr>
            <w:tcW w:w="6081" w:type="dxa"/>
            <w:gridSpan w:val="8"/>
            <w:tcBorders>
              <w:tl2br w:val="nil"/>
              <w:tr2bl w:val="nil"/>
            </w:tcBorders>
            <w:noWrap/>
            <w:vAlign w:val="center"/>
          </w:tcPr>
          <w:p w14:paraId="0EEC5017">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测定结果（mg/kg）</w:t>
            </w:r>
          </w:p>
        </w:tc>
        <w:tc>
          <w:tcPr>
            <w:tcW w:w="1139" w:type="dxa"/>
            <w:vMerge w:val="restart"/>
            <w:tcBorders>
              <w:tl2br w:val="nil"/>
              <w:tr2bl w:val="nil"/>
            </w:tcBorders>
            <w:noWrap/>
            <w:vAlign w:val="center"/>
          </w:tcPr>
          <w:p w14:paraId="7CC0B15D">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平均值</w:t>
            </w:r>
            <w:r>
              <w:rPr>
                <w:rFonts w:hint="default" w:ascii="Times New Roman" w:hAnsi="Times New Roman" w:cs="Times New Roman"/>
                <w:color w:val="000000"/>
                <w:kern w:val="0"/>
                <w:position w:val="-12"/>
                <w:sz w:val="18"/>
                <w:szCs w:val="18"/>
              </w:rPr>
              <w:object>
                <v:shape id="_x0000_i112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25" DrawAspect="Content" ObjectID="_1468075813" r:id="rId170">
                  <o:LockedField>false</o:LockedField>
                </o:OLEObject>
              </w:object>
            </w:r>
          </w:p>
          <w:p w14:paraId="02C26A82">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（mg/kg）</w:t>
            </w:r>
          </w:p>
        </w:tc>
        <w:tc>
          <w:tcPr>
            <w:tcW w:w="1163" w:type="dxa"/>
            <w:vMerge w:val="restart"/>
            <w:tcBorders>
              <w:tl2br w:val="nil"/>
              <w:tr2bl w:val="nil"/>
            </w:tcBorders>
            <w:noWrap/>
            <w:vAlign w:val="center"/>
          </w:tcPr>
          <w:p w14:paraId="2D7491C0">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标准偏差</w:t>
            </w:r>
            <w:r>
              <w:rPr>
                <w:rFonts w:hint="default" w:ascii="Times New Roman" w:hAnsi="Times New Roman" w:cs="Times New Roman"/>
                <w:color w:val="000000"/>
                <w:kern w:val="0"/>
                <w:position w:val="-12"/>
                <w:sz w:val="18"/>
                <w:szCs w:val="18"/>
              </w:rPr>
              <w:object>
                <v:shape id="_x0000_i112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26" DrawAspect="Content" ObjectID="_1468075814" r:id="rId171">
                  <o:LockedField>false</o:LockedField>
                </o:OLEObject>
              </w:object>
            </w:r>
            <w:r>
              <w:rPr>
                <w:rFonts w:hint="default" w:ascii="Times New Roman" w:hAnsi="Times New Roman" w:cs="Times New Roman"/>
                <w:color w:val="000000"/>
                <w:sz w:val="18"/>
                <w:szCs w:val="18"/>
              </w:rPr>
              <w:t>（mg/kg）</w:t>
            </w:r>
          </w:p>
        </w:tc>
        <w:tc>
          <w:tcPr>
            <w:tcW w:w="760" w:type="dxa"/>
            <w:vMerge w:val="restart"/>
            <w:tcBorders>
              <w:tl2br w:val="nil"/>
              <w:tr2bl w:val="nil"/>
            </w:tcBorders>
            <w:noWrap/>
            <w:vAlign w:val="center"/>
          </w:tcPr>
          <w:p w14:paraId="2B102F2A">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i/>
                <w:iCs/>
                <w:color w:val="000000"/>
                <w:sz w:val="18"/>
                <w:szCs w:val="18"/>
              </w:rPr>
              <w:t>t</w:t>
            </w:r>
            <w:r>
              <w:rPr>
                <w:rFonts w:hint="default" w:ascii="Times New Roman" w:hAnsi="Times New Roman" w:cs="Times New Roman"/>
                <w:color w:val="000000"/>
                <w:sz w:val="18"/>
                <w:szCs w:val="18"/>
              </w:rPr>
              <w:t>值</w:t>
            </w:r>
          </w:p>
        </w:tc>
        <w:tc>
          <w:tcPr>
            <w:tcW w:w="1205" w:type="dxa"/>
            <w:vMerge w:val="restart"/>
            <w:tcBorders>
              <w:tl2br w:val="nil"/>
              <w:tr2bl w:val="nil"/>
            </w:tcBorders>
            <w:noWrap/>
            <w:vAlign w:val="center"/>
          </w:tcPr>
          <w:p w14:paraId="42A05073">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计算的方法检出限（mg/kg）</w:t>
            </w:r>
          </w:p>
        </w:tc>
        <w:tc>
          <w:tcPr>
            <w:tcW w:w="1093" w:type="dxa"/>
            <w:vMerge w:val="restart"/>
            <w:tcBorders>
              <w:tl2br w:val="nil"/>
              <w:tr2bl w:val="nil"/>
            </w:tcBorders>
            <w:shd w:val="clear" w:color="auto" w:fill="auto"/>
            <w:noWrap/>
            <w:vAlign w:val="center"/>
          </w:tcPr>
          <w:p w14:paraId="0CA53C23">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方法检出限（mg/kg）</w:t>
            </w:r>
          </w:p>
        </w:tc>
        <w:tc>
          <w:tcPr>
            <w:tcW w:w="1204" w:type="dxa"/>
            <w:vMerge w:val="restart"/>
            <w:tcBorders>
              <w:tl2br w:val="nil"/>
              <w:tr2bl w:val="nil"/>
            </w:tcBorders>
            <w:shd w:val="clear" w:color="auto" w:fill="auto"/>
            <w:noWrap/>
            <w:vAlign w:val="center"/>
          </w:tcPr>
          <w:p w14:paraId="701F7BD6">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测定下限（mg/kg）</w:t>
            </w:r>
          </w:p>
        </w:tc>
      </w:tr>
      <w:tr w14:paraId="26BEF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 w:hRule="atLeast"/>
          <w:tblHeader/>
          <w:jc w:val="center"/>
        </w:trPr>
        <w:tc>
          <w:tcPr>
            <w:tcW w:w="1529" w:type="dxa"/>
            <w:vMerge w:val="continue"/>
            <w:tcBorders>
              <w:tl2br w:val="nil"/>
              <w:tr2bl w:val="nil"/>
            </w:tcBorders>
            <w:noWrap/>
            <w:vAlign w:val="center"/>
          </w:tcPr>
          <w:p w14:paraId="6CFB7CDF">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704" w:type="dxa"/>
            <w:tcBorders>
              <w:tl2br w:val="nil"/>
              <w:tr2bl w:val="nil"/>
            </w:tcBorders>
            <w:noWrap/>
            <w:vAlign w:val="center"/>
          </w:tcPr>
          <w:p w14:paraId="5655BC47">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空白</w:t>
            </w:r>
          </w:p>
        </w:tc>
        <w:tc>
          <w:tcPr>
            <w:tcW w:w="785" w:type="dxa"/>
            <w:tcBorders>
              <w:tl2br w:val="nil"/>
              <w:tr2bl w:val="nil"/>
            </w:tcBorders>
            <w:noWrap/>
            <w:vAlign w:val="center"/>
          </w:tcPr>
          <w:p w14:paraId="639DCE4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tc>
        <w:tc>
          <w:tcPr>
            <w:tcW w:w="785" w:type="dxa"/>
            <w:tcBorders>
              <w:tl2br w:val="nil"/>
              <w:tr2bl w:val="nil"/>
            </w:tcBorders>
            <w:noWrap/>
            <w:vAlign w:val="center"/>
          </w:tcPr>
          <w:p w14:paraId="49545296">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p>
        </w:tc>
        <w:tc>
          <w:tcPr>
            <w:tcW w:w="780" w:type="dxa"/>
            <w:tcBorders>
              <w:tl2br w:val="nil"/>
              <w:tr2bl w:val="nil"/>
            </w:tcBorders>
            <w:noWrap/>
            <w:vAlign w:val="center"/>
          </w:tcPr>
          <w:p w14:paraId="4DAE50D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w:t>
            </w:r>
          </w:p>
        </w:tc>
        <w:tc>
          <w:tcPr>
            <w:tcW w:w="726" w:type="dxa"/>
            <w:tcBorders>
              <w:tl2br w:val="nil"/>
              <w:tr2bl w:val="nil"/>
            </w:tcBorders>
            <w:noWrap/>
            <w:vAlign w:val="center"/>
          </w:tcPr>
          <w:p w14:paraId="06B1A9F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w:t>
            </w:r>
          </w:p>
        </w:tc>
        <w:tc>
          <w:tcPr>
            <w:tcW w:w="740" w:type="dxa"/>
            <w:tcBorders>
              <w:tl2br w:val="nil"/>
              <w:tr2bl w:val="nil"/>
            </w:tcBorders>
            <w:noWrap/>
            <w:vAlign w:val="center"/>
          </w:tcPr>
          <w:p w14:paraId="3EB87A35">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w:t>
            </w:r>
          </w:p>
        </w:tc>
        <w:tc>
          <w:tcPr>
            <w:tcW w:w="755" w:type="dxa"/>
            <w:tcBorders>
              <w:tl2br w:val="nil"/>
              <w:tr2bl w:val="nil"/>
            </w:tcBorders>
            <w:noWrap/>
            <w:vAlign w:val="center"/>
          </w:tcPr>
          <w:p w14:paraId="417C58A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w:t>
            </w:r>
          </w:p>
        </w:tc>
        <w:tc>
          <w:tcPr>
            <w:tcW w:w="806" w:type="dxa"/>
            <w:tcBorders>
              <w:tl2br w:val="nil"/>
              <w:tr2bl w:val="nil"/>
            </w:tcBorders>
            <w:noWrap/>
            <w:vAlign w:val="center"/>
          </w:tcPr>
          <w:p w14:paraId="2B25C39A">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w:t>
            </w:r>
          </w:p>
        </w:tc>
        <w:tc>
          <w:tcPr>
            <w:tcW w:w="1139" w:type="dxa"/>
            <w:vMerge w:val="continue"/>
            <w:tcBorders>
              <w:tl2br w:val="nil"/>
              <w:tr2bl w:val="nil"/>
            </w:tcBorders>
            <w:noWrap/>
            <w:vAlign w:val="center"/>
          </w:tcPr>
          <w:p w14:paraId="7094A56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163" w:type="dxa"/>
            <w:vMerge w:val="continue"/>
            <w:tcBorders>
              <w:tl2br w:val="nil"/>
              <w:tr2bl w:val="nil"/>
            </w:tcBorders>
            <w:noWrap/>
            <w:vAlign w:val="center"/>
          </w:tcPr>
          <w:p w14:paraId="6AD1EBB7">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760" w:type="dxa"/>
            <w:vMerge w:val="continue"/>
            <w:tcBorders>
              <w:tl2br w:val="nil"/>
              <w:tr2bl w:val="nil"/>
            </w:tcBorders>
            <w:noWrap/>
            <w:vAlign w:val="center"/>
          </w:tcPr>
          <w:p w14:paraId="5500CD2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205" w:type="dxa"/>
            <w:vMerge w:val="continue"/>
            <w:tcBorders>
              <w:tl2br w:val="nil"/>
              <w:tr2bl w:val="nil"/>
            </w:tcBorders>
            <w:noWrap/>
            <w:vAlign w:val="center"/>
          </w:tcPr>
          <w:p w14:paraId="2403438C">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093" w:type="dxa"/>
            <w:vMerge w:val="continue"/>
            <w:tcBorders>
              <w:tl2br w:val="nil"/>
              <w:tr2bl w:val="nil"/>
            </w:tcBorders>
            <w:noWrap/>
            <w:vAlign w:val="center"/>
          </w:tcPr>
          <w:p w14:paraId="07934743">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204" w:type="dxa"/>
            <w:vMerge w:val="continue"/>
            <w:tcBorders>
              <w:tl2br w:val="nil"/>
              <w:tr2bl w:val="nil"/>
            </w:tcBorders>
            <w:noWrap/>
            <w:vAlign w:val="center"/>
          </w:tcPr>
          <w:p w14:paraId="1184E8A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r>
      <w:tr w14:paraId="66D3E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tcBorders>
              <w:tl2br w:val="nil"/>
              <w:tr2bl w:val="nil"/>
            </w:tcBorders>
            <w:noWrap/>
            <w:vAlign w:val="center"/>
          </w:tcPr>
          <w:p w14:paraId="3BFC77A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704" w:type="dxa"/>
            <w:tcBorders>
              <w:tl2br w:val="nil"/>
              <w:tr2bl w:val="nil"/>
            </w:tcBorders>
            <w:noWrap/>
            <w:vAlign w:val="center"/>
          </w:tcPr>
          <w:p w14:paraId="5BC67FB1">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785" w:type="dxa"/>
            <w:tcBorders>
              <w:tl2br w:val="nil"/>
              <w:tr2bl w:val="nil"/>
            </w:tcBorders>
            <w:noWrap/>
            <w:vAlign w:val="center"/>
          </w:tcPr>
          <w:p w14:paraId="13BB3C1C">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0.046</w:t>
            </w:r>
          </w:p>
        </w:tc>
        <w:tc>
          <w:tcPr>
            <w:tcW w:w="785" w:type="dxa"/>
            <w:tcBorders>
              <w:tl2br w:val="nil"/>
              <w:tr2bl w:val="nil"/>
            </w:tcBorders>
            <w:noWrap/>
            <w:vAlign w:val="center"/>
          </w:tcPr>
          <w:p w14:paraId="1224BD9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0.038</w:t>
            </w:r>
          </w:p>
        </w:tc>
        <w:tc>
          <w:tcPr>
            <w:tcW w:w="780" w:type="dxa"/>
            <w:tcBorders>
              <w:tl2br w:val="nil"/>
              <w:tr2bl w:val="nil"/>
            </w:tcBorders>
            <w:noWrap/>
            <w:vAlign w:val="center"/>
          </w:tcPr>
          <w:p w14:paraId="097C638A">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0.039</w:t>
            </w:r>
          </w:p>
        </w:tc>
        <w:tc>
          <w:tcPr>
            <w:tcW w:w="726" w:type="dxa"/>
            <w:tcBorders>
              <w:tl2br w:val="nil"/>
              <w:tr2bl w:val="nil"/>
            </w:tcBorders>
            <w:noWrap/>
            <w:vAlign w:val="center"/>
          </w:tcPr>
          <w:p w14:paraId="2B280F05">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0.040</w:t>
            </w:r>
          </w:p>
        </w:tc>
        <w:tc>
          <w:tcPr>
            <w:tcW w:w="740" w:type="dxa"/>
            <w:tcBorders>
              <w:tl2br w:val="nil"/>
              <w:tr2bl w:val="nil"/>
            </w:tcBorders>
            <w:noWrap/>
            <w:vAlign w:val="center"/>
          </w:tcPr>
          <w:p w14:paraId="0E4A2BD2">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0.040</w:t>
            </w:r>
          </w:p>
        </w:tc>
        <w:tc>
          <w:tcPr>
            <w:tcW w:w="755" w:type="dxa"/>
            <w:tcBorders>
              <w:tl2br w:val="nil"/>
              <w:tr2bl w:val="nil"/>
            </w:tcBorders>
            <w:noWrap/>
            <w:vAlign w:val="center"/>
          </w:tcPr>
          <w:p w14:paraId="20D9797F">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0.039</w:t>
            </w:r>
          </w:p>
        </w:tc>
        <w:tc>
          <w:tcPr>
            <w:tcW w:w="806" w:type="dxa"/>
            <w:tcBorders>
              <w:tl2br w:val="nil"/>
              <w:tr2bl w:val="nil"/>
            </w:tcBorders>
            <w:noWrap/>
            <w:vAlign w:val="center"/>
          </w:tcPr>
          <w:p w14:paraId="2A18A213">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0.038</w:t>
            </w:r>
          </w:p>
        </w:tc>
        <w:tc>
          <w:tcPr>
            <w:tcW w:w="1139" w:type="dxa"/>
            <w:tcBorders>
              <w:tl2br w:val="nil"/>
              <w:tr2bl w:val="nil"/>
            </w:tcBorders>
            <w:noWrap/>
            <w:vAlign w:val="center"/>
          </w:tcPr>
          <w:p w14:paraId="5BA66A84">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0.040</w:t>
            </w:r>
          </w:p>
        </w:tc>
        <w:tc>
          <w:tcPr>
            <w:tcW w:w="1163" w:type="dxa"/>
            <w:tcBorders>
              <w:tl2br w:val="nil"/>
              <w:tr2bl w:val="nil"/>
            </w:tcBorders>
            <w:noWrap/>
            <w:vAlign w:val="center"/>
          </w:tcPr>
          <w:p w14:paraId="0DB1BE2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0.0028</w:t>
            </w:r>
          </w:p>
        </w:tc>
        <w:tc>
          <w:tcPr>
            <w:tcW w:w="760" w:type="dxa"/>
            <w:tcBorders>
              <w:tl2br w:val="nil"/>
              <w:tr2bl w:val="nil"/>
            </w:tcBorders>
            <w:noWrap/>
            <w:vAlign w:val="center"/>
          </w:tcPr>
          <w:p w14:paraId="14646374">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3.143</w:t>
            </w:r>
          </w:p>
        </w:tc>
        <w:tc>
          <w:tcPr>
            <w:tcW w:w="1205" w:type="dxa"/>
            <w:tcBorders>
              <w:tl2br w:val="nil"/>
              <w:tr2bl w:val="nil"/>
            </w:tcBorders>
            <w:noWrap/>
            <w:vAlign w:val="center"/>
          </w:tcPr>
          <w:p w14:paraId="48A3651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0.0087</w:t>
            </w:r>
          </w:p>
        </w:tc>
        <w:tc>
          <w:tcPr>
            <w:tcW w:w="1093" w:type="dxa"/>
            <w:tcBorders>
              <w:tl2br w:val="nil"/>
              <w:tr2bl w:val="nil"/>
            </w:tcBorders>
            <w:noWrap/>
            <w:vAlign w:val="center"/>
          </w:tcPr>
          <w:p w14:paraId="669B9BB9">
            <w:pPr>
              <w:keepNext w:val="0"/>
              <w:keepLines w:val="0"/>
              <w:pageBreakBefore w:val="0"/>
              <w:widowControl/>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0.01</w:t>
            </w:r>
          </w:p>
        </w:tc>
        <w:tc>
          <w:tcPr>
            <w:tcW w:w="1204" w:type="dxa"/>
            <w:tcBorders>
              <w:tl2br w:val="nil"/>
              <w:tr2bl w:val="nil"/>
            </w:tcBorders>
            <w:noWrap/>
            <w:vAlign w:val="center"/>
          </w:tcPr>
          <w:p w14:paraId="2A5C8149">
            <w:pPr>
              <w:keepNext w:val="0"/>
              <w:keepLines w:val="0"/>
              <w:pageBreakBefore w:val="0"/>
              <w:widowControl/>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0.04</w:t>
            </w:r>
          </w:p>
        </w:tc>
      </w:tr>
      <w:tr w14:paraId="4F79B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tcBorders>
              <w:tl2br w:val="nil"/>
              <w:tr2bl w:val="nil"/>
            </w:tcBorders>
            <w:noWrap/>
            <w:vAlign w:val="center"/>
          </w:tcPr>
          <w:p w14:paraId="60D96319">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704" w:type="dxa"/>
            <w:tcBorders>
              <w:tl2br w:val="nil"/>
              <w:tr2bl w:val="nil"/>
            </w:tcBorders>
            <w:noWrap/>
            <w:vAlign w:val="center"/>
          </w:tcPr>
          <w:p w14:paraId="63FE1C23">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785" w:type="dxa"/>
            <w:tcBorders>
              <w:tl2br w:val="nil"/>
              <w:tr2bl w:val="nil"/>
            </w:tcBorders>
            <w:noWrap/>
            <w:vAlign w:val="center"/>
          </w:tcPr>
          <w:p w14:paraId="03354D2F">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0.044</w:t>
            </w:r>
          </w:p>
        </w:tc>
        <w:tc>
          <w:tcPr>
            <w:tcW w:w="785" w:type="dxa"/>
            <w:tcBorders>
              <w:tl2br w:val="nil"/>
              <w:tr2bl w:val="nil"/>
            </w:tcBorders>
            <w:noWrap/>
            <w:vAlign w:val="center"/>
          </w:tcPr>
          <w:p w14:paraId="11743C2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0.040</w:t>
            </w:r>
          </w:p>
        </w:tc>
        <w:tc>
          <w:tcPr>
            <w:tcW w:w="780" w:type="dxa"/>
            <w:tcBorders>
              <w:tl2br w:val="nil"/>
              <w:tr2bl w:val="nil"/>
            </w:tcBorders>
            <w:noWrap/>
            <w:vAlign w:val="center"/>
          </w:tcPr>
          <w:p w14:paraId="7E16A0B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0.040</w:t>
            </w:r>
          </w:p>
        </w:tc>
        <w:tc>
          <w:tcPr>
            <w:tcW w:w="726" w:type="dxa"/>
            <w:tcBorders>
              <w:tl2br w:val="nil"/>
              <w:tr2bl w:val="nil"/>
            </w:tcBorders>
            <w:noWrap/>
            <w:vAlign w:val="center"/>
          </w:tcPr>
          <w:p w14:paraId="12947412">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0.038</w:t>
            </w:r>
          </w:p>
        </w:tc>
        <w:tc>
          <w:tcPr>
            <w:tcW w:w="740" w:type="dxa"/>
            <w:tcBorders>
              <w:tl2br w:val="nil"/>
              <w:tr2bl w:val="nil"/>
            </w:tcBorders>
            <w:noWrap/>
            <w:vAlign w:val="center"/>
          </w:tcPr>
          <w:p w14:paraId="3FD265A5">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0.041</w:t>
            </w:r>
          </w:p>
        </w:tc>
        <w:tc>
          <w:tcPr>
            <w:tcW w:w="755" w:type="dxa"/>
            <w:tcBorders>
              <w:tl2br w:val="nil"/>
              <w:tr2bl w:val="nil"/>
            </w:tcBorders>
            <w:noWrap/>
            <w:vAlign w:val="center"/>
          </w:tcPr>
          <w:p w14:paraId="0D4384A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0.040</w:t>
            </w:r>
          </w:p>
        </w:tc>
        <w:tc>
          <w:tcPr>
            <w:tcW w:w="806" w:type="dxa"/>
            <w:tcBorders>
              <w:tl2br w:val="nil"/>
              <w:tr2bl w:val="nil"/>
            </w:tcBorders>
            <w:noWrap/>
            <w:vAlign w:val="center"/>
          </w:tcPr>
          <w:p w14:paraId="375C88C2">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0.036</w:t>
            </w:r>
          </w:p>
        </w:tc>
        <w:tc>
          <w:tcPr>
            <w:tcW w:w="1139" w:type="dxa"/>
            <w:tcBorders>
              <w:tl2br w:val="nil"/>
              <w:tr2bl w:val="nil"/>
            </w:tcBorders>
            <w:noWrap/>
            <w:vAlign w:val="center"/>
          </w:tcPr>
          <w:p w14:paraId="1F7ABC94">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0.040</w:t>
            </w:r>
          </w:p>
        </w:tc>
        <w:tc>
          <w:tcPr>
            <w:tcW w:w="1163" w:type="dxa"/>
            <w:tcBorders>
              <w:tl2br w:val="nil"/>
              <w:tr2bl w:val="nil"/>
            </w:tcBorders>
            <w:noWrap/>
            <w:vAlign w:val="center"/>
          </w:tcPr>
          <w:p w14:paraId="59A275C5">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0.0027</w:t>
            </w:r>
          </w:p>
        </w:tc>
        <w:tc>
          <w:tcPr>
            <w:tcW w:w="760" w:type="dxa"/>
            <w:tcBorders>
              <w:tl2br w:val="nil"/>
              <w:tr2bl w:val="nil"/>
            </w:tcBorders>
            <w:noWrap/>
            <w:vAlign w:val="center"/>
          </w:tcPr>
          <w:p w14:paraId="627F73CF">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3.143</w:t>
            </w:r>
          </w:p>
        </w:tc>
        <w:tc>
          <w:tcPr>
            <w:tcW w:w="1205" w:type="dxa"/>
            <w:tcBorders>
              <w:tl2br w:val="nil"/>
              <w:tr2bl w:val="nil"/>
            </w:tcBorders>
            <w:noWrap/>
            <w:vAlign w:val="center"/>
          </w:tcPr>
          <w:p w14:paraId="00720685">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0.0085</w:t>
            </w:r>
          </w:p>
        </w:tc>
        <w:tc>
          <w:tcPr>
            <w:tcW w:w="1093" w:type="dxa"/>
            <w:tcBorders>
              <w:tl2br w:val="nil"/>
              <w:tr2bl w:val="nil"/>
            </w:tcBorders>
            <w:noWrap/>
            <w:vAlign w:val="center"/>
          </w:tcPr>
          <w:p w14:paraId="6B23564F">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0.01</w:t>
            </w:r>
          </w:p>
        </w:tc>
        <w:tc>
          <w:tcPr>
            <w:tcW w:w="1204" w:type="dxa"/>
            <w:tcBorders>
              <w:tl2br w:val="nil"/>
              <w:tr2bl w:val="nil"/>
            </w:tcBorders>
            <w:noWrap/>
            <w:vAlign w:val="center"/>
          </w:tcPr>
          <w:p w14:paraId="13B3B2B3">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0.04</w:t>
            </w:r>
          </w:p>
        </w:tc>
      </w:tr>
      <w:tr w14:paraId="0F66C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174" w:type="dxa"/>
            <w:gridSpan w:val="15"/>
            <w:tcBorders>
              <w:tl2br w:val="nil"/>
              <w:tr2bl w:val="nil"/>
            </w:tcBorders>
            <w:noWrap/>
            <w:vAlign w:val="center"/>
          </w:tcPr>
          <w:p w14:paraId="6DDAD230">
            <w:pPr>
              <w:keepNext w:val="0"/>
              <w:keepLines w:val="0"/>
              <w:pageBreakBefore w:val="0"/>
              <w:widowControl/>
              <w:tabs>
                <w:tab w:val="left" w:pos="210"/>
                <w:tab w:val="left" w:pos="420"/>
                <w:tab w:val="left" w:pos="630"/>
              </w:tabs>
              <w:kinsoku/>
              <w:wordWrap/>
              <w:overflowPunct/>
              <w:topLinePunct/>
              <w:autoSpaceDE/>
              <w:autoSpaceDN/>
              <w:bidi w:val="0"/>
              <w:adjustRightInd/>
              <w:snapToGrid/>
              <w:spacing w:line="240" w:lineRule="auto"/>
              <w:ind w:firstLine="0" w:firstLineChars="0"/>
              <w:jc w:val="left"/>
              <w:textAlignment w:val="bottom"/>
              <w:rPr>
                <w:rFonts w:hint="default" w:ascii="Times New Roman" w:hAnsi="Times New Roman" w:cs="Times New Roman"/>
                <w:color w:val="000000"/>
                <w:sz w:val="18"/>
                <w:szCs w:val="18"/>
              </w:rPr>
            </w:pPr>
            <w:r>
              <w:rPr>
                <w:rFonts w:hint="default" w:ascii="Times New Roman" w:hAnsi="Times New Roman" w:cs="Times New Roman"/>
                <w:bCs/>
                <w:color w:val="000000"/>
                <w:sz w:val="18"/>
                <w:szCs w:val="18"/>
              </w:rPr>
              <w:t>注</w:t>
            </w:r>
            <w:r>
              <w:rPr>
                <w:rFonts w:hint="default" w:ascii="Times New Roman" w:hAnsi="Times New Roman" w:cs="Times New Roman"/>
                <w:color w:val="000000"/>
                <w:sz w:val="18"/>
                <w:szCs w:val="18"/>
              </w:rPr>
              <w:t>：（1）</w:t>
            </w:r>
            <w:r>
              <w:rPr>
                <w:rFonts w:hint="default" w:ascii="Times New Roman" w:hAnsi="Times New Roman" w:cs="Times New Roman"/>
                <w:bCs/>
                <w:color w:val="000000"/>
                <w:sz w:val="18"/>
                <w:szCs w:val="18"/>
              </w:rPr>
              <w:t>ND为未检出</w:t>
            </w:r>
            <w:r>
              <w:rPr>
                <w:rFonts w:hint="default" w:ascii="Times New Roman" w:hAnsi="Times New Roman" w:cs="Times New Roman"/>
                <w:color w:val="000000"/>
                <w:sz w:val="18"/>
                <w:szCs w:val="18"/>
              </w:rPr>
              <w:t>。</w:t>
            </w:r>
          </w:p>
          <w:p w14:paraId="744283FD">
            <w:pPr>
              <w:keepNext w:val="0"/>
              <w:keepLines w:val="0"/>
              <w:pageBreakBefore w:val="0"/>
              <w:widowControl/>
              <w:kinsoku/>
              <w:wordWrap/>
              <w:overflowPunct/>
              <w:topLinePunct/>
              <w:autoSpaceDE/>
              <w:autoSpaceDN/>
              <w:bidi w:val="0"/>
              <w:adjustRightInd/>
              <w:snapToGrid/>
              <w:spacing w:line="240" w:lineRule="auto"/>
              <w:ind w:firstLine="0" w:firstLineChars="0"/>
              <w:jc w:val="lef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（2）方法检出限和测定下限保留1位有效数字，其余数据保留2位有效数字。</w:t>
            </w:r>
          </w:p>
        </w:tc>
      </w:tr>
    </w:tbl>
    <w:p w14:paraId="11BB61B6">
      <w:pPr>
        <w:ind w:left="0" w:leftChars="0" w:firstLine="0" w:firstLineChars="0"/>
        <w:jc w:val="both"/>
        <w:rPr>
          <w:rFonts w:hint="default" w:ascii="Times New Roman" w:hAnsi="Times New Roman" w:eastAsia="黑体" w:cs="Times New Roman"/>
          <w:color w:val="000000"/>
          <w:szCs w:val="21"/>
          <w:lang w:val="en-US" w:eastAsia="zh-CN"/>
        </w:rPr>
      </w:pPr>
    </w:p>
    <w:p w14:paraId="42CC75D1">
      <w:pPr>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br w:type="page"/>
      </w:r>
    </w:p>
    <w:p w14:paraId="3A99F22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附表5  检出限、测定下限测试数据表</w:t>
      </w:r>
    </w:p>
    <w:p w14:paraId="1DBEFE22">
      <w:pPr>
        <w:pStyle w:val="22"/>
        <w:tabs>
          <w:tab w:val="left" w:pos="9240"/>
          <w:tab w:val="left" w:pos="9660"/>
          <w:tab w:val="left" w:pos="10920"/>
        </w:tabs>
        <w:spacing w:before="156" w:beforeLines="50" w:after="156" w:afterLines="50" w:line="360" w:lineRule="exact"/>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eastAsia="zh-CN"/>
        </w:rPr>
        <w:t xml:space="preserve"> 四川省宜宾生态环境监测中心站</w:t>
      </w:r>
      <w:r>
        <w:rPr>
          <w:rFonts w:hint="default" w:ascii="Times New Roman" w:hAnsi="Times New Roman" w:cs="Times New Roman"/>
          <w:b/>
          <w:bCs/>
          <w:color w:val="000000"/>
          <w:sz w:val="21"/>
          <w:szCs w:val="21"/>
          <w:u w:val="single"/>
          <w:lang w:val="en-US" w:eastAsia="zh-CN"/>
        </w:rPr>
        <w:t xml:space="preserve"> </w:t>
      </w:r>
    </w:p>
    <w:p w14:paraId="7ACDFE65">
      <w:pPr>
        <w:pStyle w:val="22"/>
        <w:tabs>
          <w:tab w:val="left" w:pos="9240"/>
          <w:tab w:val="left" w:pos="10920"/>
        </w:tabs>
        <w:spacing w:before="156" w:beforeLines="50" w:after="156" w:afterLines="50" w:line="360" w:lineRule="exact"/>
        <w:ind w:right="298"/>
        <w:jc w:val="both"/>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2024.12.09-12.11     </w:t>
      </w:r>
    </w:p>
    <w:tbl>
      <w:tblPr>
        <w:tblStyle w:val="15"/>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678"/>
        <w:gridCol w:w="756"/>
        <w:gridCol w:w="756"/>
        <w:gridCol w:w="751"/>
        <w:gridCol w:w="699"/>
        <w:gridCol w:w="713"/>
        <w:gridCol w:w="727"/>
        <w:gridCol w:w="776"/>
        <w:gridCol w:w="1097"/>
        <w:gridCol w:w="1120"/>
        <w:gridCol w:w="732"/>
        <w:gridCol w:w="1161"/>
        <w:gridCol w:w="1053"/>
        <w:gridCol w:w="1160"/>
      </w:tblGrid>
      <w:tr w14:paraId="61C7E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406" w:type="dxa"/>
            <w:vMerge w:val="restart"/>
            <w:tcBorders>
              <w:tl2br w:val="nil"/>
              <w:tr2bl w:val="nil"/>
            </w:tcBorders>
            <w:vAlign w:val="center"/>
          </w:tcPr>
          <w:p w14:paraId="1309E8E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目标化合物</w:t>
            </w:r>
          </w:p>
        </w:tc>
        <w:tc>
          <w:tcPr>
            <w:tcW w:w="5590" w:type="dxa"/>
            <w:gridSpan w:val="8"/>
            <w:tcBorders>
              <w:tl2br w:val="nil"/>
              <w:tr2bl w:val="nil"/>
            </w:tcBorders>
            <w:vAlign w:val="center"/>
          </w:tcPr>
          <w:p w14:paraId="7DF8A6A5">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测定结果（mg/kg）</w:t>
            </w:r>
          </w:p>
        </w:tc>
        <w:tc>
          <w:tcPr>
            <w:tcW w:w="1047" w:type="dxa"/>
            <w:vMerge w:val="restart"/>
            <w:tcBorders>
              <w:tl2br w:val="nil"/>
              <w:tr2bl w:val="nil"/>
            </w:tcBorders>
            <w:vAlign w:val="center"/>
          </w:tcPr>
          <w:p w14:paraId="28B9F2A3">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平均值</w:t>
            </w:r>
            <w:r>
              <w:rPr>
                <w:rFonts w:hint="default" w:ascii="Times New Roman" w:hAnsi="Times New Roman" w:cs="Times New Roman"/>
                <w:color w:val="000000"/>
                <w:kern w:val="0"/>
                <w:position w:val="-12"/>
                <w:sz w:val="18"/>
                <w:szCs w:val="18"/>
              </w:rPr>
              <w:object>
                <v:shape id="_x0000_i1127" o:spt="75" type="#_x0000_t75" style="height:18pt;width:13.15pt;" o:ole="t" filled="f" o:preferrelative="t" stroked="f" coordsize="21600,21600">
                  <v:path/>
                  <v:fill on="f" focussize="0,0"/>
                  <v:stroke on="f" joinstyle="miter"/>
                  <v:imagedata r:id="rId142" o:title=""/>
                  <o:lock v:ext="edit" aspectratio="t"/>
                  <w10:wrap type="none"/>
                  <w10:anchorlock/>
                </v:shape>
                <o:OLEObject Type="Embed" ProgID="Equation.3" ShapeID="_x0000_i1127" DrawAspect="Content" ObjectID="_1468075815" r:id="rId172">
                  <o:LockedField>false</o:LockedField>
                </o:OLEObject>
              </w:object>
            </w:r>
          </w:p>
          <w:p w14:paraId="0F5FAF4C">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（mg/kg）</w:t>
            </w:r>
          </w:p>
        </w:tc>
        <w:tc>
          <w:tcPr>
            <w:tcW w:w="1069" w:type="dxa"/>
            <w:vMerge w:val="restart"/>
            <w:tcBorders>
              <w:tl2br w:val="nil"/>
              <w:tr2bl w:val="nil"/>
            </w:tcBorders>
            <w:vAlign w:val="center"/>
          </w:tcPr>
          <w:p w14:paraId="78618E59">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标准偏差</w:t>
            </w:r>
            <w:r>
              <w:rPr>
                <w:rFonts w:hint="default" w:ascii="Times New Roman" w:hAnsi="Times New Roman" w:cs="Times New Roman"/>
                <w:color w:val="000000"/>
                <w:kern w:val="0"/>
                <w:position w:val="-12"/>
                <w:sz w:val="18"/>
                <w:szCs w:val="18"/>
              </w:rPr>
              <w:object>
                <v:shape id="_x0000_i112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28" DrawAspect="Content" ObjectID="_1468075816" r:id="rId173">
                  <o:LockedField>false</o:LockedField>
                </o:OLEObject>
              </w:object>
            </w:r>
            <w:r>
              <w:rPr>
                <w:rFonts w:hint="default" w:ascii="Times New Roman" w:hAnsi="Times New Roman" w:cs="Times New Roman"/>
                <w:color w:val="000000"/>
                <w:sz w:val="18"/>
                <w:szCs w:val="18"/>
              </w:rPr>
              <w:t>（mg/kg）</w:t>
            </w:r>
          </w:p>
        </w:tc>
        <w:tc>
          <w:tcPr>
            <w:tcW w:w="699" w:type="dxa"/>
            <w:vMerge w:val="restart"/>
            <w:tcBorders>
              <w:tl2br w:val="nil"/>
              <w:tr2bl w:val="nil"/>
            </w:tcBorders>
            <w:vAlign w:val="center"/>
          </w:tcPr>
          <w:p w14:paraId="4511C986">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i/>
                <w:iCs/>
                <w:color w:val="000000"/>
                <w:sz w:val="18"/>
                <w:szCs w:val="18"/>
              </w:rPr>
              <w:t>t</w:t>
            </w:r>
            <w:r>
              <w:rPr>
                <w:rFonts w:hint="default" w:ascii="Times New Roman" w:hAnsi="Times New Roman" w:cs="Times New Roman"/>
                <w:color w:val="000000"/>
                <w:sz w:val="18"/>
                <w:szCs w:val="18"/>
              </w:rPr>
              <w:t>值</w:t>
            </w:r>
          </w:p>
        </w:tc>
        <w:tc>
          <w:tcPr>
            <w:tcW w:w="1108" w:type="dxa"/>
            <w:vMerge w:val="restart"/>
            <w:tcBorders>
              <w:tl2br w:val="nil"/>
              <w:tr2bl w:val="nil"/>
            </w:tcBorders>
            <w:vAlign w:val="center"/>
          </w:tcPr>
          <w:p w14:paraId="70D8C18A">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计算的方法检出限（mg/kg）</w:t>
            </w:r>
          </w:p>
        </w:tc>
        <w:tc>
          <w:tcPr>
            <w:tcW w:w="1005" w:type="dxa"/>
            <w:vMerge w:val="restart"/>
            <w:tcBorders>
              <w:tl2br w:val="nil"/>
              <w:tr2bl w:val="nil"/>
            </w:tcBorders>
            <w:shd w:val="clear" w:color="auto" w:fill="auto"/>
            <w:vAlign w:val="center"/>
          </w:tcPr>
          <w:p w14:paraId="25CDC4F4">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方法检出限（mg/kg）</w:t>
            </w:r>
          </w:p>
        </w:tc>
        <w:tc>
          <w:tcPr>
            <w:tcW w:w="1107" w:type="dxa"/>
            <w:vMerge w:val="restart"/>
            <w:tcBorders>
              <w:tl2br w:val="nil"/>
              <w:tr2bl w:val="nil"/>
            </w:tcBorders>
            <w:shd w:val="clear" w:color="auto" w:fill="auto"/>
            <w:vAlign w:val="center"/>
          </w:tcPr>
          <w:p w14:paraId="2DEE0E2D">
            <w:pPr>
              <w:keepNext w:val="0"/>
              <w:keepLines w:val="0"/>
              <w:pageBreakBefore w:val="0"/>
              <w:widowControl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测定下限（mg/kg）</w:t>
            </w:r>
          </w:p>
        </w:tc>
      </w:tr>
      <w:tr w14:paraId="18BC3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 w:hRule="atLeast"/>
          <w:tblHeader/>
          <w:jc w:val="center"/>
        </w:trPr>
        <w:tc>
          <w:tcPr>
            <w:tcW w:w="1406" w:type="dxa"/>
            <w:vMerge w:val="continue"/>
            <w:tcBorders>
              <w:tl2br w:val="nil"/>
              <w:tr2bl w:val="nil"/>
            </w:tcBorders>
            <w:vAlign w:val="center"/>
          </w:tcPr>
          <w:p w14:paraId="0869F91D">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647" w:type="dxa"/>
            <w:tcBorders>
              <w:tl2br w:val="nil"/>
              <w:tr2bl w:val="nil"/>
            </w:tcBorders>
            <w:vAlign w:val="center"/>
          </w:tcPr>
          <w:p w14:paraId="7E5E22A9">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空白</w:t>
            </w:r>
          </w:p>
        </w:tc>
        <w:tc>
          <w:tcPr>
            <w:tcW w:w="722" w:type="dxa"/>
            <w:tcBorders>
              <w:tl2br w:val="nil"/>
              <w:tr2bl w:val="nil"/>
            </w:tcBorders>
            <w:vAlign w:val="center"/>
          </w:tcPr>
          <w:p w14:paraId="16A533A2">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tc>
        <w:tc>
          <w:tcPr>
            <w:tcW w:w="722" w:type="dxa"/>
            <w:tcBorders>
              <w:tl2br w:val="nil"/>
              <w:tr2bl w:val="nil"/>
            </w:tcBorders>
            <w:vAlign w:val="center"/>
          </w:tcPr>
          <w:p w14:paraId="37FA5A6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p>
        </w:tc>
        <w:tc>
          <w:tcPr>
            <w:tcW w:w="717" w:type="dxa"/>
            <w:tcBorders>
              <w:tl2br w:val="nil"/>
              <w:tr2bl w:val="nil"/>
            </w:tcBorders>
            <w:vAlign w:val="center"/>
          </w:tcPr>
          <w:p w14:paraId="36362E4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w:t>
            </w:r>
          </w:p>
        </w:tc>
        <w:tc>
          <w:tcPr>
            <w:tcW w:w="667" w:type="dxa"/>
            <w:tcBorders>
              <w:tl2br w:val="nil"/>
              <w:tr2bl w:val="nil"/>
            </w:tcBorders>
            <w:vAlign w:val="center"/>
          </w:tcPr>
          <w:p w14:paraId="367FE23F">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w:t>
            </w:r>
          </w:p>
        </w:tc>
        <w:tc>
          <w:tcPr>
            <w:tcW w:w="680" w:type="dxa"/>
            <w:tcBorders>
              <w:tl2br w:val="nil"/>
              <w:tr2bl w:val="nil"/>
            </w:tcBorders>
            <w:vAlign w:val="center"/>
          </w:tcPr>
          <w:p w14:paraId="049EBF0D">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w:t>
            </w:r>
          </w:p>
        </w:tc>
        <w:tc>
          <w:tcPr>
            <w:tcW w:w="694" w:type="dxa"/>
            <w:tcBorders>
              <w:tl2br w:val="nil"/>
              <w:tr2bl w:val="nil"/>
            </w:tcBorders>
            <w:vAlign w:val="center"/>
          </w:tcPr>
          <w:p w14:paraId="226E695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w:t>
            </w:r>
          </w:p>
        </w:tc>
        <w:tc>
          <w:tcPr>
            <w:tcW w:w="741" w:type="dxa"/>
            <w:tcBorders>
              <w:tl2br w:val="nil"/>
              <w:tr2bl w:val="nil"/>
            </w:tcBorders>
            <w:vAlign w:val="center"/>
          </w:tcPr>
          <w:p w14:paraId="5B9F6713">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w:t>
            </w:r>
          </w:p>
        </w:tc>
        <w:tc>
          <w:tcPr>
            <w:tcW w:w="1047" w:type="dxa"/>
            <w:vMerge w:val="continue"/>
            <w:tcBorders>
              <w:tl2br w:val="nil"/>
              <w:tr2bl w:val="nil"/>
            </w:tcBorders>
            <w:vAlign w:val="center"/>
          </w:tcPr>
          <w:p w14:paraId="0F93B066">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069" w:type="dxa"/>
            <w:vMerge w:val="continue"/>
            <w:tcBorders>
              <w:tl2br w:val="nil"/>
              <w:tr2bl w:val="nil"/>
            </w:tcBorders>
            <w:vAlign w:val="center"/>
          </w:tcPr>
          <w:p w14:paraId="593DC80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699" w:type="dxa"/>
            <w:vMerge w:val="continue"/>
            <w:tcBorders>
              <w:tl2br w:val="nil"/>
              <w:tr2bl w:val="nil"/>
            </w:tcBorders>
            <w:vAlign w:val="center"/>
          </w:tcPr>
          <w:p w14:paraId="636C018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108" w:type="dxa"/>
            <w:vMerge w:val="continue"/>
            <w:tcBorders>
              <w:tl2br w:val="nil"/>
              <w:tr2bl w:val="nil"/>
            </w:tcBorders>
            <w:vAlign w:val="center"/>
          </w:tcPr>
          <w:p w14:paraId="098DA9F4">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005" w:type="dxa"/>
            <w:vMerge w:val="continue"/>
            <w:tcBorders>
              <w:tl2br w:val="nil"/>
              <w:tr2bl w:val="nil"/>
            </w:tcBorders>
            <w:vAlign w:val="center"/>
          </w:tcPr>
          <w:p w14:paraId="1FFB1B39">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c>
          <w:tcPr>
            <w:tcW w:w="1107" w:type="dxa"/>
            <w:vMerge w:val="continue"/>
            <w:tcBorders>
              <w:tl2br w:val="nil"/>
              <w:tr2bl w:val="nil"/>
            </w:tcBorders>
            <w:vAlign w:val="center"/>
          </w:tcPr>
          <w:p w14:paraId="39E27625">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p>
        </w:tc>
      </w:tr>
      <w:tr w14:paraId="5AA9C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06" w:type="dxa"/>
            <w:tcBorders>
              <w:tl2br w:val="nil"/>
              <w:tr2bl w:val="nil"/>
            </w:tcBorders>
            <w:vAlign w:val="center"/>
          </w:tcPr>
          <w:p w14:paraId="0455FAD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647" w:type="dxa"/>
            <w:tcBorders>
              <w:tl2br w:val="nil"/>
              <w:tr2bl w:val="nil"/>
            </w:tcBorders>
            <w:vAlign w:val="center"/>
          </w:tcPr>
          <w:p w14:paraId="0DF96815">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ND</w:t>
            </w:r>
          </w:p>
        </w:tc>
        <w:tc>
          <w:tcPr>
            <w:tcW w:w="722" w:type="dxa"/>
            <w:tcBorders>
              <w:tl2br w:val="nil"/>
              <w:tr2bl w:val="nil"/>
            </w:tcBorders>
            <w:vAlign w:val="center"/>
          </w:tcPr>
          <w:p w14:paraId="20ED77CA">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0.052</w:t>
            </w:r>
          </w:p>
        </w:tc>
        <w:tc>
          <w:tcPr>
            <w:tcW w:w="722" w:type="dxa"/>
            <w:tcBorders>
              <w:tl2br w:val="nil"/>
              <w:tr2bl w:val="nil"/>
            </w:tcBorders>
            <w:vAlign w:val="center"/>
          </w:tcPr>
          <w:p w14:paraId="662F149B">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0.050</w:t>
            </w:r>
          </w:p>
        </w:tc>
        <w:tc>
          <w:tcPr>
            <w:tcW w:w="717" w:type="dxa"/>
            <w:tcBorders>
              <w:tl2br w:val="nil"/>
              <w:tr2bl w:val="nil"/>
            </w:tcBorders>
            <w:vAlign w:val="center"/>
          </w:tcPr>
          <w:p w14:paraId="221517E0">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0.041</w:t>
            </w:r>
          </w:p>
        </w:tc>
        <w:tc>
          <w:tcPr>
            <w:tcW w:w="667" w:type="dxa"/>
            <w:tcBorders>
              <w:tl2br w:val="nil"/>
              <w:tr2bl w:val="nil"/>
            </w:tcBorders>
            <w:vAlign w:val="center"/>
          </w:tcPr>
          <w:p w14:paraId="657401E5">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0.046</w:t>
            </w:r>
          </w:p>
        </w:tc>
        <w:tc>
          <w:tcPr>
            <w:tcW w:w="680" w:type="dxa"/>
            <w:tcBorders>
              <w:tl2br w:val="nil"/>
              <w:tr2bl w:val="nil"/>
            </w:tcBorders>
            <w:vAlign w:val="center"/>
          </w:tcPr>
          <w:p w14:paraId="412564CB">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0.052</w:t>
            </w:r>
          </w:p>
        </w:tc>
        <w:tc>
          <w:tcPr>
            <w:tcW w:w="694" w:type="dxa"/>
            <w:tcBorders>
              <w:tl2br w:val="nil"/>
              <w:tr2bl w:val="nil"/>
            </w:tcBorders>
            <w:vAlign w:val="center"/>
          </w:tcPr>
          <w:p w14:paraId="3D56B8FC">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0.055</w:t>
            </w:r>
          </w:p>
        </w:tc>
        <w:tc>
          <w:tcPr>
            <w:tcW w:w="741" w:type="dxa"/>
            <w:tcBorders>
              <w:tl2br w:val="nil"/>
              <w:tr2bl w:val="nil"/>
            </w:tcBorders>
            <w:vAlign w:val="center"/>
          </w:tcPr>
          <w:p w14:paraId="1CC62580">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0.051</w:t>
            </w:r>
          </w:p>
        </w:tc>
        <w:tc>
          <w:tcPr>
            <w:tcW w:w="1047" w:type="dxa"/>
            <w:tcBorders>
              <w:tl2br w:val="nil"/>
              <w:tr2bl w:val="nil"/>
            </w:tcBorders>
            <w:vAlign w:val="center"/>
          </w:tcPr>
          <w:p w14:paraId="36516F0D">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bidi="ar"/>
              </w:rPr>
            </w:pPr>
            <w:r>
              <w:rPr>
                <w:rFonts w:hint="default" w:ascii="Times New Roman" w:hAnsi="Times New Roman" w:cs="Times New Roman"/>
                <w:color w:val="000000"/>
                <w:kern w:val="0"/>
                <w:sz w:val="18"/>
                <w:szCs w:val="18"/>
                <w:lang w:val="en-US" w:eastAsia="zh-CN" w:bidi="ar"/>
              </w:rPr>
              <w:t>0.050</w:t>
            </w:r>
          </w:p>
        </w:tc>
        <w:tc>
          <w:tcPr>
            <w:tcW w:w="1069" w:type="dxa"/>
            <w:tcBorders>
              <w:tl2br w:val="nil"/>
              <w:tr2bl w:val="nil"/>
            </w:tcBorders>
            <w:vAlign w:val="center"/>
          </w:tcPr>
          <w:p w14:paraId="0363D121">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bidi="ar"/>
              </w:rPr>
            </w:pPr>
            <w:r>
              <w:rPr>
                <w:rFonts w:hint="default" w:ascii="Times New Roman" w:hAnsi="Times New Roman" w:cs="Times New Roman"/>
                <w:color w:val="000000"/>
                <w:kern w:val="0"/>
                <w:sz w:val="18"/>
                <w:szCs w:val="18"/>
                <w:lang w:val="en-US" w:eastAsia="zh-CN" w:bidi="ar"/>
              </w:rPr>
              <w:t>0.0049</w:t>
            </w:r>
          </w:p>
        </w:tc>
        <w:tc>
          <w:tcPr>
            <w:tcW w:w="699" w:type="dxa"/>
            <w:tcBorders>
              <w:tl2br w:val="nil"/>
              <w:tr2bl w:val="nil"/>
            </w:tcBorders>
            <w:vAlign w:val="center"/>
          </w:tcPr>
          <w:p w14:paraId="06013A70">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3.143</w:t>
            </w:r>
          </w:p>
        </w:tc>
        <w:tc>
          <w:tcPr>
            <w:tcW w:w="1108" w:type="dxa"/>
            <w:tcBorders>
              <w:tl2br w:val="nil"/>
              <w:tr2bl w:val="nil"/>
            </w:tcBorders>
            <w:vAlign w:val="center"/>
          </w:tcPr>
          <w:p w14:paraId="230A255A">
            <w:pPr>
              <w:keepNext w:val="0"/>
              <w:keepLines w:val="0"/>
              <w:pageBreakBefore w:val="0"/>
              <w:widowControl/>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cs="Times New Roman"/>
                <w:color w:val="000000"/>
                <w:kern w:val="0"/>
                <w:sz w:val="18"/>
                <w:szCs w:val="18"/>
                <w:lang w:val="en-US" w:eastAsia="zh-CN"/>
              </w:rPr>
              <w:t>0.015</w:t>
            </w:r>
          </w:p>
        </w:tc>
        <w:tc>
          <w:tcPr>
            <w:tcW w:w="1005" w:type="dxa"/>
            <w:tcBorders>
              <w:tl2br w:val="nil"/>
              <w:tr2bl w:val="nil"/>
            </w:tcBorders>
            <w:vAlign w:val="center"/>
          </w:tcPr>
          <w:p w14:paraId="05A89E00">
            <w:pPr>
              <w:keepNext w:val="0"/>
              <w:keepLines w:val="0"/>
              <w:pageBreakBefore w:val="0"/>
              <w:widowControl/>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0.02</w:t>
            </w:r>
          </w:p>
        </w:tc>
        <w:tc>
          <w:tcPr>
            <w:tcW w:w="1107" w:type="dxa"/>
            <w:tcBorders>
              <w:tl2br w:val="nil"/>
              <w:tr2bl w:val="nil"/>
            </w:tcBorders>
            <w:vAlign w:val="center"/>
          </w:tcPr>
          <w:p w14:paraId="590D8D78">
            <w:pPr>
              <w:keepNext w:val="0"/>
              <w:keepLines w:val="0"/>
              <w:pageBreakBefore w:val="0"/>
              <w:widowControl/>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cs="Times New Roman"/>
                <w:color w:val="000000"/>
                <w:kern w:val="0"/>
                <w:sz w:val="18"/>
                <w:szCs w:val="18"/>
                <w:lang w:val="en-US" w:eastAsia="zh-CN"/>
              </w:rPr>
              <w:t>0.08</w:t>
            </w:r>
          </w:p>
        </w:tc>
      </w:tr>
      <w:tr w14:paraId="71257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06" w:type="dxa"/>
            <w:tcBorders>
              <w:tl2br w:val="nil"/>
              <w:tr2bl w:val="nil"/>
            </w:tcBorders>
            <w:vAlign w:val="center"/>
          </w:tcPr>
          <w:p w14:paraId="2C3A37DD">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647" w:type="dxa"/>
            <w:tcBorders>
              <w:tl2br w:val="nil"/>
              <w:tr2bl w:val="nil"/>
            </w:tcBorders>
            <w:vAlign w:val="center"/>
          </w:tcPr>
          <w:p w14:paraId="0ECAEA1B">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ND</w:t>
            </w:r>
          </w:p>
        </w:tc>
        <w:tc>
          <w:tcPr>
            <w:tcW w:w="722" w:type="dxa"/>
            <w:tcBorders>
              <w:tl2br w:val="nil"/>
              <w:tr2bl w:val="nil"/>
            </w:tcBorders>
            <w:vAlign w:val="center"/>
          </w:tcPr>
          <w:p w14:paraId="1576EFA7">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0.051</w:t>
            </w:r>
          </w:p>
        </w:tc>
        <w:tc>
          <w:tcPr>
            <w:tcW w:w="722" w:type="dxa"/>
            <w:tcBorders>
              <w:tl2br w:val="nil"/>
              <w:tr2bl w:val="nil"/>
            </w:tcBorders>
            <w:vAlign w:val="center"/>
          </w:tcPr>
          <w:p w14:paraId="250B3EFE">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0.052</w:t>
            </w:r>
          </w:p>
        </w:tc>
        <w:tc>
          <w:tcPr>
            <w:tcW w:w="717" w:type="dxa"/>
            <w:tcBorders>
              <w:tl2br w:val="nil"/>
              <w:tr2bl w:val="nil"/>
            </w:tcBorders>
            <w:vAlign w:val="center"/>
          </w:tcPr>
          <w:p w14:paraId="72570F7D">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0.040</w:t>
            </w:r>
          </w:p>
        </w:tc>
        <w:tc>
          <w:tcPr>
            <w:tcW w:w="667" w:type="dxa"/>
            <w:tcBorders>
              <w:tl2br w:val="nil"/>
              <w:tr2bl w:val="nil"/>
            </w:tcBorders>
            <w:vAlign w:val="center"/>
          </w:tcPr>
          <w:p w14:paraId="0E4C922A">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0.045</w:t>
            </w:r>
          </w:p>
        </w:tc>
        <w:tc>
          <w:tcPr>
            <w:tcW w:w="680" w:type="dxa"/>
            <w:tcBorders>
              <w:tl2br w:val="nil"/>
              <w:tr2bl w:val="nil"/>
            </w:tcBorders>
            <w:vAlign w:val="center"/>
          </w:tcPr>
          <w:p w14:paraId="2B060533">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0.054</w:t>
            </w:r>
          </w:p>
        </w:tc>
        <w:tc>
          <w:tcPr>
            <w:tcW w:w="694" w:type="dxa"/>
            <w:tcBorders>
              <w:tl2br w:val="nil"/>
              <w:tr2bl w:val="nil"/>
            </w:tcBorders>
            <w:vAlign w:val="center"/>
          </w:tcPr>
          <w:p w14:paraId="0489ED17">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0.053</w:t>
            </w:r>
          </w:p>
        </w:tc>
        <w:tc>
          <w:tcPr>
            <w:tcW w:w="741" w:type="dxa"/>
            <w:tcBorders>
              <w:tl2br w:val="nil"/>
              <w:tr2bl w:val="nil"/>
            </w:tcBorders>
            <w:vAlign w:val="center"/>
          </w:tcPr>
          <w:p w14:paraId="7643176E">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0.053</w:t>
            </w:r>
          </w:p>
        </w:tc>
        <w:tc>
          <w:tcPr>
            <w:tcW w:w="1047" w:type="dxa"/>
            <w:tcBorders>
              <w:tl2br w:val="nil"/>
              <w:tr2bl w:val="nil"/>
            </w:tcBorders>
            <w:vAlign w:val="center"/>
          </w:tcPr>
          <w:p w14:paraId="5BE19BB1">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0.050</w:t>
            </w:r>
          </w:p>
        </w:tc>
        <w:tc>
          <w:tcPr>
            <w:tcW w:w="1069" w:type="dxa"/>
            <w:tcBorders>
              <w:tl2br w:val="nil"/>
              <w:tr2bl w:val="nil"/>
            </w:tcBorders>
            <w:vAlign w:val="center"/>
          </w:tcPr>
          <w:p w14:paraId="1951E777">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0.0052</w:t>
            </w:r>
          </w:p>
        </w:tc>
        <w:tc>
          <w:tcPr>
            <w:tcW w:w="699" w:type="dxa"/>
            <w:tcBorders>
              <w:tl2br w:val="nil"/>
              <w:tr2bl w:val="nil"/>
            </w:tcBorders>
            <w:vAlign w:val="center"/>
          </w:tcPr>
          <w:p w14:paraId="56497A68">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3.143</w:t>
            </w:r>
          </w:p>
        </w:tc>
        <w:tc>
          <w:tcPr>
            <w:tcW w:w="1108" w:type="dxa"/>
            <w:tcBorders>
              <w:tl2br w:val="nil"/>
              <w:tr2bl w:val="nil"/>
            </w:tcBorders>
            <w:vAlign w:val="center"/>
          </w:tcPr>
          <w:p w14:paraId="732CE1AB">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0.016</w:t>
            </w:r>
          </w:p>
        </w:tc>
        <w:tc>
          <w:tcPr>
            <w:tcW w:w="1005" w:type="dxa"/>
            <w:tcBorders>
              <w:tl2br w:val="nil"/>
              <w:tr2bl w:val="nil"/>
            </w:tcBorders>
            <w:vAlign w:val="center"/>
          </w:tcPr>
          <w:p w14:paraId="55092AB3">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0.02</w:t>
            </w:r>
          </w:p>
        </w:tc>
        <w:tc>
          <w:tcPr>
            <w:tcW w:w="1107" w:type="dxa"/>
            <w:tcBorders>
              <w:tl2br w:val="nil"/>
              <w:tr2bl w:val="nil"/>
            </w:tcBorders>
            <w:vAlign w:val="center"/>
          </w:tcPr>
          <w:p w14:paraId="037CE846">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val="en-US" w:eastAsia="zh-CN"/>
              </w:rPr>
              <w:t>0.08</w:t>
            </w:r>
          </w:p>
        </w:tc>
      </w:tr>
      <w:tr w14:paraId="55D8A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031" w:type="dxa"/>
            <w:gridSpan w:val="15"/>
            <w:tcBorders>
              <w:tl2br w:val="nil"/>
              <w:tr2bl w:val="nil"/>
            </w:tcBorders>
            <w:vAlign w:val="center"/>
          </w:tcPr>
          <w:p w14:paraId="141CF41F">
            <w:pPr>
              <w:keepNext w:val="0"/>
              <w:keepLines w:val="0"/>
              <w:pageBreakBefore w:val="0"/>
              <w:widowControl/>
              <w:tabs>
                <w:tab w:val="left" w:pos="210"/>
                <w:tab w:val="left" w:pos="420"/>
                <w:tab w:val="left" w:pos="630"/>
              </w:tabs>
              <w:kinsoku/>
              <w:wordWrap/>
              <w:overflowPunct/>
              <w:topLinePunct/>
              <w:autoSpaceDE/>
              <w:autoSpaceDN/>
              <w:bidi w:val="0"/>
              <w:adjustRightInd/>
              <w:snapToGrid/>
              <w:spacing w:line="240" w:lineRule="auto"/>
              <w:ind w:firstLine="0" w:firstLineChars="0"/>
              <w:jc w:val="left"/>
              <w:textAlignment w:val="bottom"/>
              <w:rPr>
                <w:rFonts w:hint="default" w:ascii="Times New Roman" w:hAnsi="Times New Roman" w:cs="Times New Roman"/>
                <w:color w:val="000000"/>
                <w:sz w:val="18"/>
                <w:szCs w:val="18"/>
              </w:rPr>
            </w:pPr>
            <w:r>
              <w:rPr>
                <w:rFonts w:hint="default" w:ascii="Times New Roman" w:hAnsi="Times New Roman" w:cs="Times New Roman"/>
                <w:bCs/>
                <w:color w:val="000000"/>
                <w:sz w:val="18"/>
                <w:szCs w:val="18"/>
              </w:rPr>
              <w:t>注</w:t>
            </w:r>
            <w:r>
              <w:rPr>
                <w:rFonts w:hint="default" w:ascii="Times New Roman" w:hAnsi="Times New Roman" w:cs="Times New Roman"/>
                <w:color w:val="000000"/>
                <w:sz w:val="18"/>
                <w:szCs w:val="18"/>
              </w:rPr>
              <w:t>：（1）</w:t>
            </w:r>
            <w:r>
              <w:rPr>
                <w:rFonts w:hint="default" w:ascii="Times New Roman" w:hAnsi="Times New Roman" w:cs="Times New Roman"/>
                <w:bCs/>
                <w:color w:val="000000"/>
                <w:sz w:val="18"/>
                <w:szCs w:val="18"/>
              </w:rPr>
              <w:t>ND为未检出</w:t>
            </w:r>
            <w:r>
              <w:rPr>
                <w:rFonts w:hint="default" w:ascii="Times New Roman" w:hAnsi="Times New Roman" w:cs="Times New Roman"/>
                <w:color w:val="000000"/>
                <w:sz w:val="18"/>
                <w:szCs w:val="18"/>
              </w:rPr>
              <w:t>。</w:t>
            </w:r>
          </w:p>
          <w:p w14:paraId="089B4107">
            <w:pPr>
              <w:keepNext w:val="0"/>
              <w:keepLines w:val="0"/>
              <w:pageBreakBefore w:val="0"/>
              <w:widowControl/>
              <w:kinsoku/>
              <w:wordWrap/>
              <w:overflowPunct/>
              <w:topLinePunct/>
              <w:autoSpaceDE/>
              <w:autoSpaceDN/>
              <w:bidi w:val="0"/>
              <w:adjustRightInd/>
              <w:snapToGrid/>
              <w:spacing w:line="240" w:lineRule="auto"/>
              <w:ind w:firstLine="0" w:firstLineChars="0"/>
              <w:jc w:val="lef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（2）方法检出限和测定下限保留1位有效数字，其余数据保留2位有效数字。</w:t>
            </w:r>
          </w:p>
        </w:tc>
      </w:tr>
    </w:tbl>
    <w:p w14:paraId="1B51FDB8">
      <w:pPr>
        <w:jc w:val="center"/>
        <w:rPr>
          <w:rFonts w:hint="default" w:ascii="Times New Roman" w:hAnsi="Times New Roman" w:eastAsia="黑体" w:cs="Times New Roman"/>
          <w:color w:val="000000"/>
          <w:szCs w:val="21"/>
        </w:rPr>
      </w:pPr>
    </w:p>
    <w:p w14:paraId="49EC4294">
      <w:pPr>
        <w:jc w:val="center"/>
        <w:rPr>
          <w:rFonts w:hint="default" w:ascii="Times New Roman" w:hAnsi="Times New Roman" w:eastAsia="黑体" w:cs="Times New Roman"/>
          <w:color w:val="000000"/>
          <w:szCs w:val="21"/>
        </w:rPr>
      </w:pPr>
    </w:p>
    <w:p w14:paraId="4647E23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附表6  检出限、测定下限测试数据表</w:t>
      </w:r>
    </w:p>
    <w:p w14:paraId="5CED07CA">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vertAlign w:val="baseline"/>
          <w:lang w:val="en-US" w:eastAsia="zh-CN"/>
        </w:rPr>
        <w:t>四川省生态环境监测总站</w:t>
      </w:r>
      <w:r>
        <w:rPr>
          <w:rFonts w:hint="default" w:ascii="Times New Roman" w:hAnsi="Times New Roman" w:cs="Times New Roman"/>
          <w:color w:val="000000"/>
          <w:sz w:val="21"/>
          <w:szCs w:val="21"/>
          <w:highlight w:val="none"/>
          <w:u w:val="single"/>
          <w:vertAlign w:val="baseline"/>
          <w:lang w:val="en-US"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 </w:t>
      </w:r>
    </w:p>
    <w:p w14:paraId="3398C931">
      <w:pPr>
        <w:pStyle w:val="22"/>
        <w:tabs>
          <w:tab w:val="left" w:pos="9240"/>
          <w:tab w:val="left" w:pos="10920"/>
        </w:tabs>
        <w:spacing w:before="159" w:beforeLines="50" w:after="159" w:afterLines="50" w:line="360" w:lineRule="exact"/>
        <w:ind w:right="298" w:rightChars="0"/>
        <w:jc w:val="both"/>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2024.12.08-12.13     </w:t>
      </w:r>
    </w:p>
    <w:tbl>
      <w:tblPr>
        <w:tblStyle w:val="15"/>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678"/>
        <w:gridCol w:w="756"/>
        <w:gridCol w:w="756"/>
        <w:gridCol w:w="751"/>
        <w:gridCol w:w="699"/>
        <w:gridCol w:w="713"/>
        <w:gridCol w:w="727"/>
        <w:gridCol w:w="776"/>
        <w:gridCol w:w="1097"/>
        <w:gridCol w:w="1120"/>
        <w:gridCol w:w="732"/>
        <w:gridCol w:w="1161"/>
        <w:gridCol w:w="1053"/>
        <w:gridCol w:w="1160"/>
      </w:tblGrid>
      <w:tr w14:paraId="610E3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473" w:type="dxa"/>
            <w:vMerge w:val="restart"/>
            <w:tcBorders>
              <w:tl2br w:val="nil"/>
              <w:tr2bl w:val="nil"/>
            </w:tcBorders>
            <w:noWrap w:val="0"/>
            <w:vAlign w:val="center"/>
          </w:tcPr>
          <w:p w14:paraId="00E54B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rPr>
              <w:t>目标化合物</w:t>
            </w:r>
          </w:p>
        </w:tc>
        <w:tc>
          <w:tcPr>
            <w:tcW w:w="5856" w:type="dxa"/>
            <w:gridSpan w:val="8"/>
            <w:tcBorders>
              <w:tl2br w:val="nil"/>
              <w:tr2bl w:val="nil"/>
            </w:tcBorders>
            <w:noWrap w:val="0"/>
            <w:vAlign w:val="center"/>
          </w:tcPr>
          <w:p w14:paraId="3265A8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测定结果（mg/kg）</w:t>
            </w:r>
          </w:p>
        </w:tc>
        <w:tc>
          <w:tcPr>
            <w:tcW w:w="1097" w:type="dxa"/>
            <w:vMerge w:val="restart"/>
            <w:tcBorders>
              <w:tl2br w:val="nil"/>
              <w:tr2bl w:val="nil"/>
            </w:tcBorders>
            <w:noWrap w:val="0"/>
            <w:vAlign w:val="center"/>
          </w:tcPr>
          <w:p w14:paraId="1188B9D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29"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29" DrawAspect="Content" ObjectID="_1468075817" r:id="rId174">
                  <o:LockedField>false</o:LockedField>
                </o:OLEObject>
              </w:object>
            </w:r>
          </w:p>
          <w:p w14:paraId="1419EE5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（mg/kg）</w:t>
            </w:r>
          </w:p>
        </w:tc>
        <w:tc>
          <w:tcPr>
            <w:tcW w:w="1120" w:type="dxa"/>
            <w:vMerge w:val="restart"/>
            <w:tcBorders>
              <w:tl2br w:val="nil"/>
              <w:tr2bl w:val="nil"/>
            </w:tcBorders>
            <w:noWrap w:val="0"/>
            <w:vAlign w:val="center"/>
          </w:tcPr>
          <w:p w14:paraId="2C4524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标准偏差</w:t>
            </w:r>
            <w:r>
              <w:rPr>
                <w:rFonts w:hint="default" w:ascii="Times New Roman" w:hAnsi="Times New Roman" w:cs="Times New Roman"/>
                <w:color w:val="000000"/>
                <w:kern w:val="0"/>
                <w:position w:val="-12"/>
                <w:sz w:val="18"/>
                <w:szCs w:val="18"/>
                <w:highlight w:val="none"/>
              </w:rPr>
              <w:object>
                <v:shape id="_x0000_i1130"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30" DrawAspect="Content" ObjectID="_1468075818" r:id="rId175">
                  <o:LockedField>false</o:LockedField>
                </o:OLEObject>
              </w:object>
            </w:r>
            <w:r>
              <w:rPr>
                <w:rFonts w:hint="default" w:ascii="Times New Roman" w:hAnsi="Times New Roman" w:cs="Times New Roman"/>
                <w:color w:val="000000"/>
                <w:sz w:val="18"/>
                <w:szCs w:val="18"/>
                <w:highlight w:val="none"/>
              </w:rPr>
              <w:t>（mg/kg）</w:t>
            </w:r>
          </w:p>
        </w:tc>
        <w:tc>
          <w:tcPr>
            <w:tcW w:w="732" w:type="dxa"/>
            <w:vMerge w:val="restart"/>
            <w:tcBorders>
              <w:tl2br w:val="nil"/>
              <w:tr2bl w:val="nil"/>
            </w:tcBorders>
            <w:noWrap w:val="0"/>
            <w:vAlign w:val="center"/>
          </w:tcPr>
          <w:p w14:paraId="288377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i/>
                <w:iCs/>
                <w:color w:val="000000"/>
                <w:sz w:val="18"/>
                <w:szCs w:val="18"/>
                <w:highlight w:val="none"/>
                <w:lang w:val="en-US" w:eastAsia="zh-CN"/>
              </w:rPr>
              <w:t>t</w:t>
            </w:r>
            <w:r>
              <w:rPr>
                <w:rFonts w:hint="default" w:ascii="Times New Roman" w:hAnsi="Times New Roman" w:cs="Times New Roman"/>
                <w:color w:val="000000"/>
                <w:sz w:val="18"/>
                <w:szCs w:val="18"/>
                <w:highlight w:val="none"/>
              </w:rPr>
              <w:t>值</w:t>
            </w:r>
          </w:p>
        </w:tc>
        <w:tc>
          <w:tcPr>
            <w:tcW w:w="1161" w:type="dxa"/>
            <w:vMerge w:val="restart"/>
            <w:tcBorders>
              <w:tl2br w:val="nil"/>
              <w:tr2bl w:val="nil"/>
            </w:tcBorders>
            <w:noWrap w:val="0"/>
            <w:vAlign w:val="center"/>
          </w:tcPr>
          <w:p w14:paraId="72E1175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计算的方法检出限（mg/kg）</w:t>
            </w:r>
          </w:p>
        </w:tc>
        <w:tc>
          <w:tcPr>
            <w:tcW w:w="1053" w:type="dxa"/>
            <w:vMerge w:val="restart"/>
            <w:tcBorders>
              <w:tl2br w:val="nil"/>
              <w:tr2bl w:val="nil"/>
            </w:tcBorders>
            <w:shd w:val="clear" w:color="auto" w:fill="auto"/>
            <w:noWrap w:val="0"/>
            <w:vAlign w:val="center"/>
          </w:tcPr>
          <w:p w14:paraId="6A6965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方法检出限（mg/kg）</w:t>
            </w:r>
          </w:p>
        </w:tc>
        <w:tc>
          <w:tcPr>
            <w:tcW w:w="1160" w:type="dxa"/>
            <w:vMerge w:val="restart"/>
            <w:tcBorders>
              <w:tl2br w:val="nil"/>
              <w:tr2bl w:val="nil"/>
            </w:tcBorders>
            <w:shd w:val="clear" w:color="auto" w:fill="auto"/>
            <w:noWrap w:val="0"/>
            <w:vAlign w:val="center"/>
          </w:tcPr>
          <w:p w14:paraId="66BF75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测定</w:t>
            </w:r>
            <w:r>
              <w:rPr>
                <w:rFonts w:hint="default" w:ascii="Times New Roman" w:hAnsi="Times New Roman" w:cs="Times New Roman"/>
                <w:color w:val="000000"/>
                <w:sz w:val="18"/>
                <w:szCs w:val="18"/>
                <w:highlight w:val="none"/>
                <w:lang w:val="en-US" w:eastAsia="zh-CN"/>
              </w:rPr>
              <w:t>下</w:t>
            </w:r>
            <w:r>
              <w:rPr>
                <w:rFonts w:hint="default" w:ascii="Times New Roman" w:hAnsi="Times New Roman" w:cs="Times New Roman"/>
                <w:color w:val="000000"/>
                <w:sz w:val="18"/>
                <w:szCs w:val="18"/>
                <w:highlight w:val="none"/>
              </w:rPr>
              <w:t>限（mg/kg）</w:t>
            </w:r>
          </w:p>
        </w:tc>
      </w:tr>
      <w:tr w14:paraId="60B74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 w:hRule="atLeast"/>
          <w:tblHeader/>
          <w:jc w:val="center"/>
        </w:trPr>
        <w:tc>
          <w:tcPr>
            <w:tcW w:w="1473" w:type="dxa"/>
            <w:vMerge w:val="continue"/>
            <w:tcBorders>
              <w:tl2br w:val="nil"/>
              <w:tr2bl w:val="nil"/>
            </w:tcBorders>
            <w:noWrap w:val="0"/>
            <w:vAlign w:val="center"/>
          </w:tcPr>
          <w:p w14:paraId="4D7B27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678" w:type="dxa"/>
            <w:tcBorders>
              <w:tl2br w:val="nil"/>
              <w:tr2bl w:val="nil"/>
            </w:tcBorders>
            <w:noWrap w:val="0"/>
            <w:vAlign w:val="center"/>
          </w:tcPr>
          <w:p w14:paraId="372568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空白</w:t>
            </w:r>
          </w:p>
        </w:tc>
        <w:tc>
          <w:tcPr>
            <w:tcW w:w="756" w:type="dxa"/>
            <w:tcBorders>
              <w:tl2br w:val="nil"/>
              <w:tr2bl w:val="nil"/>
            </w:tcBorders>
            <w:noWrap w:val="0"/>
            <w:vAlign w:val="center"/>
          </w:tcPr>
          <w:p w14:paraId="43B98B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1</w:t>
            </w:r>
          </w:p>
        </w:tc>
        <w:tc>
          <w:tcPr>
            <w:tcW w:w="756" w:type="dxa"/>
            <w:tcBorders>
              <w:tl2br w:val="nil"/>
              <w:tr2bl w:val="nil"/>
            </w:tcBorders>
            <w:noWrap w:val="0"/>
            <w:vAlign w:val="center"/>
          </w:tcPr>
          <w:p w14:paraId="37CD2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p>
        </w:tc>
        <w:tc>
          <w:tcPr>
            <w:tcW w:w="751" w:type="dxa"/>
            <w:tcBorders>
              <w:tl2br w:val="nil"/>
              <w:tr2bl w:val="nil"/>
            </w:tcBorders>
            <w:noWrap w:val="0"/>
            <w:vAlign w:val="center"/>
          </w:tcPr>
          <w:p w14:paraId="6ED1C3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699" w:type="dxa"/>
            <w:tcBorders>
              <w:tl2br w:val="nil"/>
              <w:tr2bl w:val="nil"/>
            </w:tcBorders>
            <w:noWrap w:val="0"/>
            <w:vAlign w:val="center"/>
          </w:tcPr>
          <w:p w14:paraId="5D6162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713" w:type="dxa"/>
            <w:tcBorders>
              <w:tl2br w:val="nil"/>
              <w:tr2bl w:val="nil"/>
            </w:tcBorders>
            <w:noWrap w:val="0"/>
            <w:vAlign w:val="center"/>
          </w:tcPr>
          <w:p w14:paraId="0850FD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727" w:type="dxa"/>
            <w:tcBorders>
              <w:tl2br w:val="nil"/>
              <w:tr2bl w:val="nil"/>
            </w:tcBorders>
            <w:noWrap w:val="0"/>
            <w:vAlign w:val="center"/>
          </w:tcPr>
          <w:p w14:paraId="7F615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6</w:t>
            </w:r>
          </w:p>
        </w:tc>
        <w:tc>
          <w:tcPr>
            <w:tcW w:w="776" w:type="dxa"/>
            <w:tcBorders>
              <w:tl2br w:val="nil"/>
              <w:tr2bl w:val="nil"/>
            </w:tcBorders>
            <w:noWrap w:val="0"/>
            <w:vAlign w:val="center"/>
          </w:tcPr>
          <w:p w14:paraId="5FAC6E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7</w:t>
            </w:r>
          </w:p>
        </w:tc>
        <w:tc>
          <w:tcPr>
            <w:tcW w:w="1097" w:type="dxa"/>
            <w:vMerge w:val="continue"/>
            <w:tcBorders>
              <w:tl2br w:val="nil"/>
              <w:tr2bl w:val="nil"/>
            </w:tcBorders>
            <w:noWrap w:val="0"/>
            <w:vAlign w:val="center"/>
          </w:tcPr>
          <w:p w14:paraId="091858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20" w:type="dxa"/>
            <w:vMerge w:val="continue"/>
            <w:tcBorders>
              <w:tl2br w:val="nil"/>
              <w:tr2bl w:val="nil"/>
            </w:tcBorders>
            <w:noWrap w:val="0"/>
            <w:vAlign w:val="center"/>
          </w:tcPr>
          <w:p w14:paraId="0027A5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732" w:type="dxa"/>
            <w:vMerge w:val="continue"/>
            <w:tcBorders>
              <w:tl2br w:val="nil"/>
              <w:tr2bl w:val="nil"/>
            </w:tcBorders>
            <w:noWrap w:val="0"/>
            <w:vAlign w:val="center"/>
          </w:tcPr>
          <w:p w14:paraId="011A47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1" w:type="dxa"/>
            <w:vMerge w:val="continue"/>
            <w:tcBorders>
              <w:tl2br w:val="nil"/>
              <w:tr2bl w:val="nil"/>
            </w:tcBorders>
            <w:noWrap w:val="0"/>
            <w:vAlign w:val="center"/>
          </w:tcPr>
          <w:p w14:paraId="7141E0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053" w:type="dxa"/>
            <w:vMerge w:val="continue"/>
            <w:tcBorders>
              <w:tl2br w:val="nil"/>
              <w:tr2bl w:val="nil"/>
            </w:tcBorders>
            <w:noWrap w:val="0"/>
            <w:vAlign w:val="top"/>
          </w:tcPr>
          <w:p w14:paraId="64EBC7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0" w:type="dxa"/>
            <w:vMerge w:val="continue"/>
            <w:tcBorders>
              <w:tl2br w:val="nil"/>
              <w:tr2bl w:val="nil"/>
            </w:tcBorders>
            <w:noWrap w:val="0"/>
            <w:vAlign w:val="center"/>
          </w:tcPr>
          <w:p w14:paraId="7ED74B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r>
      <w:tr w14:paraId="523EA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noWrap w:val="0"/>
            <w:vAlign w:val="center"/>
          </w:tcPr>
          <w:p w14:paraId="52C8EB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678" w:type="dxa"/>
            <w:tcBorders>
              <w:tl2br w:val="nil"/>
              <w:tr2bl w:val="nil"/>
            </w:tcBorders>
            <w:noWrap w:val="0"/>
            <w:vAlign w:val="center"/>
          </w:tcPr>
          <w:p w14:paraId="4BB2E7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noWrap w:val="0"/>
            <w:vAlign w:val="center"/>
          </w:tcPr>
          <w:p w14:paraId="4CCEEF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0.041</w:t>
            </w:r>
          </w:p>
        </w:tc>
        <w:tc>
          <w:tcPr>
            <w:tcW w:w="756" w:type="dxa"/>
            <w:tcBorders>
              <w:tl2br w:val="nil"/>
              <w:tr2bl w:val="nil"/>
            </w:tcBorders>
            <w:noWrap w:val="0"/>
            <w:vAlign w:val="center"/>
          </w:tcPr>
          <w:p w14:paraId="671AF6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0.036</w:t>
            </w:r>
          </w:p>
        </w:tc>
        <w:tc>
          <w:tcPr>
            <w:tcW w:w="751" w:type="dxa"/>
            <w:tcBorders>
              <w:tl2br w:val="nil"/>
              <w:tr2bl w:val="nil"/>
            </w:tcBorders>
            <w:noWrap w:val="0"/>
            <w:vAlign w:val="center"/>
          </w:tcPr>
          <w:p w14:paraId="251B4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0.033</w:t>
            </w:r>
          </w:p>
        </w:tc>
        <w:tc>
          <w:tcPr>
            <w:tcW w:w="699" w:type="dxa"/>
            <w:tcBorders>
              <w:tl2br w:val="nil"/>
              <w:tr2bl w:val="nil"/>
            </w:tcBorders>
            <w:noWrap w:val="0"/>
            <w:vAlign w:val="center"/>
          </w:tcPr>
          <w:p w14:paraId="373EEE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0.033</w:t>
            </w:r>
          </w:p>
        </w:tc>
        <w:tc>
          <w:tcPr>
            <w:tcW w:w="713" w:type="dxa"/>
            <w:tcBorders>
              <w:tl2br w:val="nil"/>
              <w:tr2bl w:val="nil"/>
            </w:tcBorders>
            <w:noWrap w:val="0"/>
            <w:vAlign w:val="center"/>
          </w:tcPr>
          <w:p w14:paraId="7994F4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0.038</w:t>
            </w:r>
          </w:p>
        </w:tc>
        <w:tc>
          <w:tcPr>
            <w:tcW w:w="727" w:type="dxa"/>
            <w:tcBorders>
              <w:tl2br w:val="nil"/>
              <w:tr2bl w:val="nil"/>
            </w:tcBorders>
            <w:noWrap w:val="0"/>
            <w:vAlign w:val="center"/>
          </w:tcPr>
          <w:p w14:paraId="46C87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0.046</w:t>
            </w:r>
          </w:p>
        </w:tc>
        <w:tc>
          <w:tcPr>
            <w:tcW w:w="776" w:type="dxa"/>
            <w:tcBorders>
              <w:tl2br w:val="nil"/>
              <w:tr2bl w:val="nil"/>
            </w:tcBorders>
            <w:noWrap w:val="0"/>
            <w:vAlign w:val="center"/>
          </w:tcPr>
          <w:p w14:paraId="54BA6D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0.038</w:t>
            </w:r>
          </w:p>
        </w:tc>
        <w:tc>
          <w:tcPr>
            <w:tcW w:w="1097" w:type="dxa"/>
            <w:tcBorders>
              <w:tl2br w:val="nil"/>
              <w:tr2bl w:val="nil"/>
            </w:tcBorders>
            <w:noWrap w:val="0"/>
            <w:vAlign w:val="bottom"/>
          </w:tcPr>
          <w:p w14:paraId="0BDA7B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cs="Times New Roman"/>
                <w:color w:val="000000"/>
                <w:kern w:val="0"/>
                <w:sz w:val="18"/>
                <w:szCs w:val="18"/>
                <w:highlight w:val="none"/>
                <w:lang w:val="en-US" w:eastAsia="zh-CN" w:bidi="ar"/>
              </w:rPr>
              <w:t>0.038</w:t>
            </w:r>
          </w:p>
        </w:tc>
        <w:tc>
          <w:tcPr>
            <w:tcW w:w="1120" w:type="dxa"/>
            <w:tcBorders>
              <w:tl2br w:val="nil"/>
              <w:tr2bl w:val="nil"/>
            </w:tcBorders>
            <w:noWrap w:val="0"/>
            <w:vAlign w:val="bottom"/>
          </w:tcPr>
          <w:p w14:paraId="1300BA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cs="Times New Roman"/>
                <w:color w:val="000000"/>
                <w:kern w:val="0"/>
                <w:sz w:val="18"/>
                <w:szCs w:val="18"/>
                <w:highlight w:val="none"/>
                <w:lang w:val="en-US" w:eastAsia="zh-CN" w:bidi="ar"/>
              </w:rPr>
              <w:t>0.0046</w:t>
            </w:r>
          </w:p>
        </w:tc>
        <w:tc>
          <w:tcPr>
            <w:tcW w:w="732" w:type="dxa"/>
            <w:tcBorders>
              <w:tl2br w:val="nil"/>
              <w:tr2bl w:val="nil"/>
            </w:tcBorders>
            <w:noWrap w:val="0"/>
            <w:vAlign w:val="center"/>
          </w:tcPr>
          <w:p w14:paraId="1A252E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3.143</w:t>
            </w:r>
          </w:p>
        </w:tc>
        <w:tc>
          <w:tcPr>
            <w:tcW w:w="1161" w:type="dxa"/>
            <w:tcBorders>
              <w:tl2br w:val="nil"/>
              <w:tr2bl w:val="nil"/>
            </w:tcBorders>
            <w:noWrap w:val="0"/>
            <w:vAlign w:val="bottom"/>
          </w:tcPr>
          <w:p w14:paraId="7724F1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0.014</w:t>
            </w:r>
          </w:p>
        </w:tc>
        <w:tc>
          <w:tcPr>
            <w:tcW w:w="1053" w:type="dxa"/>
            <w:tcBorders>
              <w:tl2br w:val="nil"/>
              <w:tr2bl w:val="nil"/>
            </w:tcBorders>
            <w:noWrap w:val="0"/>
            <w:vAlign w:val="top"/>
          </w:tcPr>
          <w:p w14:paraId="37915D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w:t>
            </w:r>
          </w:p>
        </w:tc>
        <w:tc>
          <w:tcPr>
            <w:tcW w:w="1160" w:type="dxa"/>
            <w:tcBorders>
              <w:tl2br w:val="nil"/>
              <w:tr2bl w:val="nil"/>
            </w:tcBorders>
            <w:noWrap w:val="0"/>
            <w:vAlign w:val="bottom"/>
          </w:tcPr>
          <w:p w14:paraId="34F5D8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0.056</w:t>
            </w:r>
          </w:p>
        </w:tc>
      </w:tr>
      <w:tr w14:paraId="7F581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noWrap w:val="0"/>
            <w:vAlign w:val="center"/>
          </w:tcPr>
          <w:p w14:paraId="3D0F76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2,4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678" w:type="dxa"/>
            <w:tcBorders>
              <w:tl2br w:val="nil"/>
              <w:tr2bl w:val="nil"/>
            </w:tcBorders>
            <w:noWrap w:val="0"/>
            <w:vAlign w:val="center"/>
          </w:tcPr>
          <w:p w14:paraId="77483E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noWrap w:val="0"/>
            <w:vAlign w:val="center"/>
          </w:tcPr>
          <w:p w14:paraId="4A0564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0.043</w:t>
            </w:r>
          </w:p>
        </w:tc>
        <w:tc>
          <w:tcPr>
            <w:tcW w:w="756" w:type="dxa"/>
            <w:tcBorders>
              <w:tl2br w:val="nil"/>
              <w:tr2bl w:val="nil"/>
            </w:tcBorders>
            <w:noWrap w:val="0"/>
            <w:vAlign w:val="center"/>
          </w:tcPr>
          <w:p w14:paraId="069FD2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0.034</w:t>
            </w:r>
          </w:p>
        </w:tc>
        <w:tc>
          <w:tcPr>
            <w:tcW w:w="751" w:type="dxa"/>
            <w:tcBorders>
              <w:tl2br w:val="nil"/>
              <w:tr2bl w:val="nil"/>
            </w:tcBorders>
            <w:noWrap w:val="0"/>
            <w:vAlign w:val="center"/>
          </w:tcPr>
          <w:p w14:paraId="0EA7CB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0.035</w:t>
            </w:r>
          </w:p>
        </w:tc>
        <w:tc>
          <w:tcPr>
            <w:tcW w:w="699" w:type="dxa"/>
            <w:tcBorders>
              <w:tl2br w:val="nil"/>
              <w:tr2bl w:val="nil"/>
            </w:tcBorders>
            <w:noWrap w:val="0"/>
            <w:vAlign w:val="center"/>
          </w:tcPr>
          <w:p w14:paraId="27E33D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0.035</w:t>
            </w:r>
          </w:p>
        </w:tc>
        <w:tc>
          <w:tcPr>
            <w:tcW w:w="713" w:type="dxa"/>
            <w:tcBorders>
              <w:tl2br w:val="nil"/>
              <w:tr2bl w:val="nil"/>
            </w:tcBorders>
            <w:noWrap w:val="0"/>
            <w:vAlign w:val="center"/>
          </w:tcPr>
          <w:p w14:paraId="42D84A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0.038</w:t>
            </w:r>
          </w:p>
        </w:tc>
        <w:tc>
          <w:tcPr>
            <w:tcW w:w="727" w:type="dxa"/>
            <w:tcBorders>
              <w:tl2br w:val="nil"/>
              <w:tr2bl w:val="nil"/>
            </w:tcBorders>
            <w:noWrap w:val="0"/>
            <w:vAlign w:val="center"/>
          </w:tcPr>
          <w:p w14:paraId="7852B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0.046</w:t>
            </w:r>
          </w:p>
        </w:tc>
        <w:tc>
          <w:tcPr>
            <w:tcW w:w="776" w:type="dxa"/>
            <w:tcBorders>
              <w:tl2br w:val="nil"/>
              <w:tr2bl w:val="nil"/>
            </w:tcBorders>
            <w:noWrap w:val="0"/>
            <w:vAlign w:val="center"/>
          </w:tcPr>
          <w:p w14:paraId="0F0268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0.038</w:t>
            </w:r>
          </w:p>
        </w:tc>
        <w:tc>
          <w:tcPr>
            <w:tcW w:w="1097" w:type="dxa"/>
            <w:tcBorders>
              <w:tl2br w:val="nil"/>
              <w:tr2bl w:val="nil"/>
            </w:tcBorders>
            <w:noWrap w:val="0"/>
            <w:vAlign w:val="bottom"/>
          </w:tcPr>
          <w:p w14:paraId="516D6D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cs="Times New Roman"/>
                <w:color w:val="000000"/>
                <w:kern w:val="0"/>
                <w:sz w:val="18"/>
                <w:szCs w:val="18"/>
                <w:highlight w:val="none"/>
                <w:lang w:val="en-US" w:eastAsia="zh-CN" w:bidi="ar"/>
              </w:rPr>
              <w:t>0.038</w:t>
            </w:r>
          </w:p>
        </w:tc>
        <w:tc>
          <w:tcPr>
            <w:tcW w:w="1120" w:type="dxa"/>
            <w:tcBorders>
              <w:tl2br w:val="nil"/>
              <w:tr2bl w:val="nil"/>
            </w:tcBorders>
            <w:noWrap w:val="0"/>
            <w:vAlign w:val="bottom"/>
          </w:tcPr>
          <w:p w14:paraId="5BC6C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cs="Times New Roman"/>
                <w:color w:val="000000"/>
                <w:kern w:val="0"/>
                <w:sz w:val="18"/>
                <w:szCs w:val="18"/>
                <w:highlight w:val="none"/>
                <w:lang w:val="en-US" w:eastAsia="zh-CN" w:bidi="ar"/>
              </w:rPr>
              <w:t>0.0045</w:t>
            </w:r>
          </w:p>
        </w:tc>
        <w:tc>
          <w:tcPr>
            <w:tcW w:w="732" w:type="dxa"/>
            <w:tcBorders>
              <w:tl2br w:val="nil"/>
              <w:tr2bl w:val="nil"/>
            </w:tcBorders>
            <w:noWrap w:val="0"/>
            <w:vAlign w:val="center"/>
          </w:tcPr>
          <w:p w14:paraId="5422FA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lang w:bidi="ar"/>
              </w:rPr>
              <w:t>3.143</w:t>
            </w:r>
          </w:p>
        </w:tc>
        <w:tc>
          <w:tcPr>
            <w:tcW w:w="1161" w:type="dxa"/>
            <w:tcBorders>
              <w:tl2br w:val="nil"/>
              <w:tr2bl w:val="nil"/>
            </w:tcBorders>
            <w:noWrap w:val="0"/>
            <w:vAlign w:val="bottom"/>
          </w:tcPr>
          <w:p w14:paraId="2AC084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0.014</w:t>
            </w:r>
          </w:p>
        </w:tc>
        <w:tc>
          <w:tcPr>
            <w:tcW w:w="1053" w:type="dxa"/>
            <w:tcBorders>
              <w:tl2br w:val="nil"/>
              <w:tr2bl w:val="nil"/>
            </w:tcBorders>
            <w:noWrap w:val="0"/>
            <w:vAlign w:val="top"/>
          </w:tcPr>
          <w:p w14:paraId="3FD3F3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w:t>
            </w:r>
          </w:p>
        </w:tc>
        <w:tc>
          <w:tcPr>
            <w:tcW w:w="1160" w:type="dxa"/>
            <w:tcBorders>
              <w:tl2br w:val="nil"/>
              <w:tr2bl w:val="nil"/>
            </w:tcBorders>
            <w:noWrap w:val="0"/>
            <w:vAlign w:val="bottom"/>
          </w:tcPr>
          <w:p w14:paraId="5A294A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0.056</w:t>
            </w:r>
          </w:p>
        </w:tc>
      </w:tr>
      <w:tr w14:paraId="2BA30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652" w:type="dxa"/>
            <w:gridSpan w:val="15"/>
            <w:tcBorders>
              <w:tl2br w:val="nil"/>
              <w:tr2bl w:val="nil"/>
            </w:tcBorders>
            <w:noWrap w:val="0"/>
            <w:vAlign w:val="top"/>
          </w:tcPr>
          <w:p w14:paraId="3DBE73B7">
            <w:pPr>
              <w:keepNext w:val="0"/>
              <w:keepLines w:val="0"/>
              <w:pageBreakBefore w:val="0"/>
              <w:widowControl/>
              <w:tabs>
                <w:tab w:val="left" w:pos="210"/>
                <w:tab w:val="left" w:pos="420"/>
                <w:tab w:val="left" w:pos="630"/>
              </w:tabs>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cs="Times New Roman"/>
                <w:color w:val="000000"/>
                <w:sz w:val="18"/>
                <w:szCs w:val="18"/>
                <w:highlight w:val="none"/>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1）</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p w14:paraId="02BDC05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2）方法检出限和测定下限保留1位有效数字，其余数据保留2位有效数字。</w:t>
            </w:r>
          </w:p>
        </w:tc>
      </w:tr>
    </w:tbl>
    <w:p w14:paraId="5DBBDCEC">
      <w:pPr>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br w:type="page"/>
      </w:r>
    </w:p>
    <w:p w14:paraId="421D8338">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附表7  检出限、测定下限测试数据表</w:t>
      </w:r>
    </w:p>
    <w:p w14:paraId="241EF999">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辽宁省生态环境监测中心    </w:t>
      </w:r>
    </w:p>
    <w:p w14:paraId="0D456A9D">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2024年12月16日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678"/>
        <w:gridCol w:w="756"/>
        <w:gridCol w:w="756"/>
        <w:gridCol w:w="751"/>
        <w:gridCol w:w="699"/>
        <w:gridCol w:w="713"/>
        <w:gridCol w:w="727"/>
        <w:gridCol w:w="776"/>
        <w:gridCol w:w="1097"/>
        <w:gridCol w:w="1120"/>
        <w:gridCol w:w="732"/>
        <w:gridCol w:w="1161"/>
        <w:gridCol w:w="1053"/>
        <w:gridCol w:w="1160"/>
      </w:tblGrid>
      <w:tr w14:paraId="087DE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473" w:type="dxa"/>
            <w:vMerge w:val="restart"/>
            <w:tcBorders>
              <w:tl2br w:val="nil"/>
              <w:tr2bl w:val="nil"/>
            </w:tcBorders>
            <w:noWrap w:val="0"/>
            <w:vAlign w:val="center"/>
          </w:tcPr>
          <w:p w14:paraId="77D9A9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rPr>
              <w:t>目标化合物</w:t>
            </w:r>
          </w:p>
        </w:tc>
        <w:tc>
          <w:tcPr>
            <w:tcW w:w="5856" w:type="dxa"/>
            <w:gridSpan w:val="8"/>
            <w:tcBorders>
              <w:tl2br w:val="nil"/>
              <w:tr2bl w:val="nil"/>
            </w:tcBorders>
            <w:noWrap w:val="0"/>
            <w:vAlign w:val="center"/>
          </w:tcPr>
          <w:p w14:paraId="000E49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测定结果（mg/kg）</w:t>
            </w:r>
          </w:p>
        </w:tc>
        <w:tc>
          <w:tcPr>
            <w:tcW w:w="1097" w:type="dxa"/>
            <w:vMerge w:val="restart"/>
            <w:tcBorders>
              <w:tl2br w:val="nil"/>
              <w:tr2bl w:val="nil"/>
            </w:tcBorders>
            <w:noWrap w:val="0"/>
            <w:vAlign w:val="center"/>
          </w:tcPr>
          <w:p w14:paraId="1AD267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31"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31" DrawAspect="Content" ObjectID="_1468075819" r:id="rId176">
                  <o:LockedField>false</o:LockedField>
                </o:OLEObject>
              </w:object>
            </w:r>
          </w:p>
          <w:p w14:paraId="4A07836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（mg/kg）</w:t>
            </w:r>
          </w:p>
        </w:tc>
        <w:tc>
          <w:tcPr>
            <w:tcW w:w="1120" w:type="dxa"/>
            <w:vMerge w:val="restart"/>
            <w:tcBorders>
              <w:tl2br w:val="nil"/>
              <w:tr2bl w:val="nil"/>
            </w:tcBorders>
            <w:noWrap w:val="0"/>
            <w:vAlign w:val="center"/>
          </w:tcPr>
          <w:p w14:paraId="648FA6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标准偏差</w:t>
            </w:r>
            <w:r>
              <w:rPr>
                <w:rFonts w:hint="default" w:ascii="Times New Roman" w:hAnsi="Times New Roman" w:cs="Times New Roman"/>
                <w:color w:val="000000"/>
                <w:kern w:val="0"/>
                <w:position w:val="-12"/>
                <w:sz w:val="18"/>
                <w:szCs w:val="18"/>
                <w:highlight w:val="none"/>
              </w:rPr>
              <w:object>
                <v:shape id="_x0000_i1132"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32" DrawAspect="Content" ObjectID="_1468075820" r:id="rId177">
                  <o:LockedField>false</o:LockedField>
                </o:OLEObject>
              </w:object>
            </w:r>
            <w:r>
              <w:rPr>
                <w:rFonts w:hint="default" w:ascii="Times New Roman" w:hAnsi="Times New Roman" w:cs="Times New Roman"/>
                <w:color w:val="000000"/>
                <w:sz w:val="18"/>
                <w:szCs w:val="18"/>
                <w:highlight w:val="none"/>
              </w:rPr>
              <w:t>（mg/kg）</w:t>
            </w:r>
          </w:p>
        </w:tc>
        <w:tc>
          <w:tcPr>
            <w:tcW w:w="732" w:type="dxa"/>
            <w:vMerge w:val="restart"/>
            <w:tcBorders>
              <w:tl2br w:val="nil"/>
              <w:tr2bl w:val="nil"/>
            </w:tcBorders>
            <w:noWrap w:val="0"/>
            <w:vAlign w:val="center"/>
          </w:tcPr>
          <w:p w14:paraId="6CDDDC7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i/>
                <w:iCs/>
                <w:color w:val="000000"/>
                <w:sz w:val="18"/>
                <w:szCs w:val="18"/>
                <w:highlight w:val="none"/>
                <w:lang w:val="en-US" w:eastAsia="zh-CN"/>
              </w:rPr>
              <w:t>t</w:t>
            </w:r>
            <w:r>
              <w:rPr>
                <w:rFonts w:hint="default" w:ascii="Times New Roman" w:hAnsi="Times New Roman" w:cs="Times New Roman"/>
                <w:color w:val="000000"/>
                <w:sz w:val="18"/>
                <w:szCs w:val="18"/>
                <w:highlight w:val="none"/>
              </w:rPr>
              <w:t>值</w:t>
            </w:r>
          </w:p>
        </w:tc>
        <w:tc>
          <w:tcPr>
            <w:tcW w:w="1161" w:type="dxa"/>
            <w:vMerge w:val="restart"/>
            <w:tcBorders>
              <w:tl2br w:val="nil"/>
              <w:tr2bl w:val="nil"/>
            </w:tcBorders>
            <w:noWrap w:val="0"/>
            <w:vAlign w:val="center"/>
          </w:tcPr>
          <w:p w14:paraId="713661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计算的方法检出限（mg/kg）</w:t>
            </w:r>
          </w:p>
        </w:tc>
        <w:tc>
          <w:tcPr>
            <w:tcW w:w="1053" w:type="dxa"/>
            <w:vMerge w:val="restart"/>
            <w:tcBorders>
              <w:tl2br w:val="nil"/>
              <w:tr2bl w:val="nil"/>
            </w:tcBorders>
            <w:shd w:val="clear" w:color="auto" w:fill="auto"/>
            <w:noWrap w:val="0"/>
            <w:vAlign w:val="center"/>
          </w:tcPr>
          <w:p w14:paraId="27F61A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方法检出限（mg/kg）</w:t>
            </w:r>
          </w:p>
        </w:tc>
        <w:tc>
          <w:tcPr>
            <w:tcW w:w="1160" w:type="dxa"/>
            <w:vMerge w:val="restart"/>
            <w:tcBorders>
              <w:tl2br w:val="nil"/>
              <w:tr2bl w:val="nil"/>
            </w:tcBorders>
            <w:shd w:val="clear" w:color="auto" w:fill="auto"/>
            <w:noWrap w:val="0"/>
            <w:vAlign w:val="center"/>
          </w:tcPr>
          <w:p w14:paraId="201010F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测定</w:t>
            </w:r>
            <w:r>
              <w:rPr>
                <w:rFonts w:hint="default" w:ascii="Times New Roman" w:hAnsi="Times New Roman" w:cs="Times New Roman"/>
                <w:color w:val="000000"/>
                <w:sz w:val="18"/>
                <w:szCs w:val="18"/>
                <w:highlight w:val="none"/>
                <w:lang w:val="en-US" w:eastAsia="zh-CN"/>
              </w:rPr>
              <w:t>下</w:t>
            </w:r>
            <w:r>
              <w:rPr>
                <w:rFonts w:hint="default" w:ascii="Times New Roman" w:hAnsi="Times New Roman" w:cs="Times New Roman"/>
                <w:color w:val="000000"/>
                <w:sz w:val="18"/>
                <w:szCs w:val="18"/>
                <w:highlight w:val="none"/>
              </w:rPr>
              <w:t>限（mg/kg）</w:t>
            </w:r>
          </w:p>
        </w:tc>
      </w:tr>
      <w:tr w14:paraId="7C47E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 w:hRule="atLeast"/>
          <w:tblHeader/>
          <w:jc w:val="center"/>
        </w:trPr>
        <w:tc>
          <w:tcPr>
            <w:tcW w:w="1473" w:type="dxa"/>
            <w:vMerge w:val="continue"/>
            <w:tcBorders>
              <w:tl2br w:val="nil"/>
              <w:tr2bl w:val="nil"/>
            </w:tcBorders>
            <w:noWrap w:val="0"/>
            <w:vAlign w:val="center"/>
          </w:tcPr>
          <w:p w14:paraId="6125FE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678" w:type="dxa"/>
            <w:tcBorders>
              <w:tl2br w:val="nil"/>
              <w:tr2bl w:val="nil"/>
            </w:tcBorders>
            <w:noWrap w:val="0"/>
            <w:vAlign w:val="center"/>
          </w:tcPr>
          <w:p w14:paraId="6A96FA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空白</w:t>
            </w:r>
          </w:p>
        </w:tc>
        <w:tc>
          <w:tcPr>
            <w:tcW w:w="756" w:type="dxa"/>
            <w:tcBorders>
              <w:tl2br w:val="nil"/>
              <w:tr2bl w:val="nil"/>
            </w:tcBorders>
            <w:noWrap w:val="0"/>
            <w:vAlign w:val="center"/>
          </w:tcPr>
          <w:p w14:paraId="0BBAF0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1</w:t>
            </w:r>
          </w:p>
        </w:tc>
        <w:tc>
          <w:tcPr>
            <w:tcW w:w="756" w:type="dxa"/>
            <w:tcBorders>
              <w:tl2br w:val="nil"/>
              <w:tr2bl w:val="nil"/>
            </w:tcBorders>
            <w:noWrap w:val="0"/>
            <w:vAlign w:val="center"/>
          </w:tcPr>
          <w:p w14:paraId="4A4AB1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p>
        </w:tc>
        <w:tc>
          <w:tcPr>
            <w:tcW w:w="751" w:type="dxa"/>
            <w:tcBorders>
              <w:tl2br w:val="nil"/>
              <w:tr2bl w:val="nil"/>
            </w:tcBorders>
            <w:noWrap w:val="0"/>
            <w:vAlign w:val="center"/>
          </w:tcPr>
          <w:p w14:paraId="7AD8B0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699" w:type="dxa"/>
            <w:tcBorders>
              <w:tl2br w:val="nil"/>
              <w:tr2bl w:val="nil"/>
            </w:tcBorders>
            <w:noWrap w:val="0"/>
            <w:vAlign w:val="center"/>
          </w:tcPr>
          <w:p w14:paraId="16DEAE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713" w:type="dxa"/>
            <w:tcBorders>
              <w:tl2br w:val="nil"/>
              <w:tr2bl w:val="nil"/>
            </w:tcBorders>
            <w:noWrap w:val="0"/>
            <w:vAlign w:val="center"/>
          </w:tcPr>
          <w:p w14:paraId="1351C5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727" w:type="dxa"/>
            <w:tcBorders>
              <w:tl2br w:val="nil"/>
              <w:tr2bl w:val="nil"/>
            </w:tcBorders>
            <w:noWrap w:val="0"/>
            <w:vAlign w:val="center"/>
          </w:tcPr>
          <w:p w14:paraId="14F7F3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6</w:t>
            </w:r>
          </w:p>
        </w:tc>
        <w:tc>
          <w:tcPr>
            <w:tcW w:w="776" w:type="dxa"/>
            <w:tcBorders>
              <w:tl2br w:val="nil"/>
              <w:tr2bl w:val="nil"/>
            </w:tcBorders>
            <w:noWrap w:val="0"/>
            <w:vAlign w:val="center"/>
          </w:tcPr>
          <w:p w14:paraId="0E97C3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7</w:t>
            </w:r>
          </w:p>
        </w:tc>
        <w:tc>
          <w:tcPr>
            <w:tcW w:w="1097" w:type="dxa"/>
            <w:vMerge w:val="continue"/>
            <w:tcBorders>
              <w:tl2br w:val="nil"/>
              <w:tr2bl w:val="nil"/>
            </w:tcBorders>
            <w:noWrap w:val="0"/>
            <w:vAlign w:val="center"/>
          </w:tcPr>
          <w:p w14:paraId="0E3D44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20" w:type="dxa"/>
            <w:vMerge w:val="continue"/>
            <w:tcBorders>
              <w:tl2br w:val="nil"/>
              <w:tr2bl w:val="nil"/>
            </w:tcBorders>
            <w:noWrap w:val="0"/>
            <w:vAlign w:val="center"/>
          </w:tcPr>
          <w:p w14:paraId="170F9A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732" w:type="dxa"/>
            <w:vMerge w:val="continue"/>
            <w:tcBorders>
              <w:tl2br w:val="nil"/>
              <w:tr2bl w:val="nil"/>
            </w:tcBorders>
            <w:noWrap w:val="0"/>
            <w:vAlign w:val="center"/>
          </w:tcPr>
          <w:p w14:paraId="6C6B25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1" w:type="dxa"/>
            <w:vMerge w:val="continue"/>
            <w:tcBorders>
              <w:tl2br w:val="nil"/>
              <w:tr2bl w:val="nil"/>
            </w:tcBorders>
            <w:noWrap w:val="0"/>
            <w:vAlign w:val="center"/>
          </w:tcPr>
          <w:p w14:paraId="4774D6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053" w:type="dxa"/>
            <w:vMerge w:val="continue"/>
            <w:tcBorders>
              <w:tl2br w:val="nil"/>
              <w:tr2bl w:val="nil"/>
            </w:tcBorders>
            <w:noWrap w:val="0"/>
            <w:vAlign w:val="top"/>
          </w:tcPr>
          <w:p w14:paraId="4806F1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0" w:type="dxa"/>
            <w:vMerge w:val="continue"/>
            <w:tcBorders>
              <w:tl2br w:val="nil"/>
              <w:tr2bl w:val="nil"/>
            </w:tcBorders>
            <w:noWrap w:val="0"/>
            <w:vAlign w:val="center"/>
          </w:tcPr>
          <w:p w14:paraId="12E11E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r>
      <w:tr w14:paraId="45183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noWrap w:val="0"/>
            <w:vAlign w:val="center"/>
          </w:tcPr>
          <w:p w14:paraId="5D3F04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678" w:type="dxa"/>
            <w:tcBorders>
              <w:tl2br w:val="nil"/>
              <w:tr2bl w:val="nil"/>
            </w:tcBorders>
            <w:noWrap w:val="0"/>
            <w:vAlign w:val="center"/>
          </w:tcPr>
          <w:p w14:paraId="3EADF3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noWrap w:val="0"/>
            <w:vAlign w:val="bottom"/>
          </w:tcPr>
          <w:p w14:paraId="06229809">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0.043</w:t>
            </w:r>
          </w:p>
        </w:tc>
        <w:tc>
          <w:tcPr>
            <w:tcW w:w="756" w:type="dxa"/>
            <w:tcBorders>
              <w:tl2br w:val="nil"/>
              <w:tr2bl w:val="nil"/>
            </w:tcBorders>
            <w:noWrap w:val="0"/>
            <w:vAlign w:val="bottom"/>
          </w:tcPr>
          <w:p w14:paraId="7A09C405">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0.043</w:t>
            </w:r>
          </w:p>
        </w:tc>
        <w:tc>
          <w:tcPr>
            <w:tcW w:w="751" w:type="dxa"/>
            <w:tcBorders>
              <w:tl2br w:val="nil"/>
              <w:tr2bl w:val="nil"/>
            </w:tcBorders>
            <w:noWrap w:val="0"/>
            <w:vAlign w:val="bottom"/>
          </w:tcPr>
          <w:p w14:paraId="04F80B75">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0.040</w:t>
            </w:r>
          </w:p>
        </w:tc>
        <w:tc>
          <w:tcPr>
            <w:tcW w:w="699" w:type="dxa"/>
            <w:tcBorders>
              <w:tl2br w:val="nil"/>
              <w:tr2bl w:val="nil"/>
            </w:tcBorders>
            <w:noWrap w:val="0"/>
            <w:vAlign w:val="bottom"/>
          </w:tcPr>
          <w:p w14:paraId="6224E60C">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0.049</w:t>
            </w:r>
          </w:p>
        </w:tc>
        <w:tc>
          <w:tcPr>
            <w:tcW w:w="713" w:type="dxa"/>
            <w:tcBorders>
              <w:tl2br w:val="nil"/>
              <w:tr2bl w:val="nil"/>
            </w:tcBorders>
            <w:noWrap w:val="0"/>
            <w:vAlign w:val="bottom"/>
          </w:tcPr>
          <w:p w14:paraId="157B05D6">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0.045</w:t>
            </w:r>
          </w:p>
        </w:tc>
        <w:tc>
          <w:tcPr>
            <w:tcW w:w="727" w:type="dxa"/>
            <w:tcBorders>
              <w:tl2br w:val="nil"/>
              <w:tr2bl w:val="nil"/>
            </w:tcBorders>
            <w:noWrap w:val="0"/>
            <w:vAlign w:val="bottom"/>
          </w:tcPr>
          <w:p w14:paraId="09CAA4FF">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0.049</w:t>
            </w:r>
          </w:p>
        </w:tc>
        <w:tc>
          <w:tcPr>
            <w:tcW w:w="776" w:type="dxa"/>
            <w:tcBorders>
              <w:tl2br w:val="nil"/>
              <w:tr2bl w:val="nil"/>
            </w:tcBorders>
            <w:noWrap w:val="0"/>
            <w:vAlign w:val="bottom"/>
          </w:tcPr>
          <w:p w14:paraId="48171708">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0.048</w:t>
            </w:r>
          </w:p>
        </w:tc>
        <w:tc>
          <w:tcPr>
            <w:tcW w:w="1097" w:type="dxa"/>
            <w:tcBorders>
              <w:tl2br w:val="nil"/>
              <w:tr2bl w:val="nil"/>
            </w:tcBorders>
            <w:noWrap w:val="0"/>
            <w:vAlign w:val="bottom"/>
          </w:tcPr>
          <w:p w14:paraId="375ED171">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0.045</w:t>
            </w:r>
          </w:p>
        </w:tc>
        <w:tc>
          <w:tcPr>
            <w:tcW w:w="1120" w:type="dxa"/>
            <w:tcBorders>
              <w:tl2br w:val="nil"/>
              <w:tr2bl w:val="nil"/>
            </w:tcBorders>
            <w:noWrap w:val="0"/>
            <w:vAlign w:val="bottom"/>
          </w:tcPr>
          <w:p w14:paraId="67FA0F0C">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eastAsia="宋体" w:cs="Times New Roman"/>
                <w:i w:val="0"/>
                <w:color w:val="000000"/>
                <w:kern w:val="0"/>
                <w:sz w:val="18"/>
                <w:szCs w:val="18"/>
                <w:u w:val="none"/>
                <w:lang w:val="en-US" w:eastAsia="zh-CN" w:bidi="ar"/>
              </w:rPr>
              <w:t>0.0034</w:t>
            </w:r>
          </w:p>
        </w:tc>
        <w:tc>
          <w:tcPr>
            <w:tcW w:w="732" w:type="dxa"/>
            <w:tcBorders>
              <w:tl2br w:val="nil"/>
              <w:tr2bl w:val="nil"/>
            </w:tcBorders>
            <w:noWrap w:val="0"/>
            <w:vAlign w:val="bottom"/>
          </w:tcPr>
          <w:p w14:paraId="769BC5C4">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kern w:val="0"/>
                <w:sz w:val="18"/>
                <w:szCs w:val="18"/>
                <w:highlight w:val="none"/>
                <w:lang w:bidi="ar"/>
              </w:rPr>
              <w:t>3.143</w:t>
            </w:r>
          </w:p>
        </w:tc>
        <w:tc>
          <w:tcPr>
            <w:tcW w:w="1161" w:type="dxa"/>
            <w:tcBorders>
              <w:tl2br w:val="nil"/>
              <w:tr2bl w:val="nil"/>
            </w:tcBorders>
            <w:noWrap w:val="0"/>
            <w:vAlign w:val="bottom"/>
          </w:tcPr>
          <w:p w14:paraId="5A4139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0.011</w:t>
            </w:r>
          </w:p>
        </w:tc>
        <w:tc>
          <w:tcPr>
            <w:tcW w:w="1053" w:type="dxa"/>
            <w:tcBorders>
              <w:tl2br w:val="nil"/>
              <w:tr2bl w:val="nil"/>
            </w:tcBorders>
            <w:noWrap w:val="0"/>
            <w:vAlign w:val="top"/>
          </w:tcPr>
          <w:p w14:paraId="69528A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0.02</w:t>
            </w:r>
          </w:p>
        </w:tc>
        <w:tc>
          <w:tcPr>
            <w:tcW w:w="1160" w:type="dxa"/>
            <w:tcBorders>
              <w:tl2br w:val="nil"/>
              <w:tr2bl w:val="nil"/>
            </w:tcBorders>
            <w:noWrap w:val="0"/>
            <w:vAlign w:val="bottom"/>
          </w:tcPr>
          <w:p w14:paraId="162382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0.08</w:t>
            </w:r>
          </w:p>
        </w:tc>
      </w:tr>
      <w:tr w14:paraId="48EBE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noWrap w:val="0"/>
            <w:vAlign w:val="center"/>
          </w:tcPr>
          <w:p w14:paraId="32608D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2,4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678" w:type="dxa"/>
            <w:tcBorders>
              <w:tl2br w:val="nil"/>
              <w:tr2bl w:val="nil"/>
            </w:tcBorders>
            <w:noWrap w:val="0"/>
            <w:vAlign w:val="center"/>
          </w:tcPr>
          <w:p w14:paraId="43AF1A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noWrap w:val="0"/>
            <w:vAlign w:val="bottom"/>
          </w:tcPr>
          <w:p w14:paraId="7C8E175D">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color w:val="000000"/>
                <w:kern w:val="0"/>
                <w:sz w:val="18"/>
                <w:szCs w:val="18"/>
                <w:u w:val="none"/>
                <w:lang w:val="en-US" w:eastAsia="zh-CN" w:bidi="ar"/>
              </w:rPr>
              <w:t>0.040</w:t>
            </w:r>
          </w:p>
        </w:tc>
        <w:tc>
          <w:tcPr>
            <w:tcW w:w="756" w:type="dxa"/>
            <w:tcBorders>
              <w:tl2br w:val="nil"/>
              <w:tr2bl w:val="nil"/>
            </w:tcBorders>
            <w:noWrap w:val="0"/>
            <w:vAlign w:val="bottom"/>
          </w:tcPr>
          <w:p w14:paraId="3B356FE0">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color w:val="000000"/>
                <w:kern w:val="0"/>
                <w:sz w:val="18"/>
                <w:szCs w:val="18"/>
                <w:u w:val="none"/>
                <w:lang w:val="en-US" w:eastAsia="zh-CN" w:bidi="ar"/>
              </w:rPr>
              <w:t>0.047</w:t>
            </w:r>
          </w:p>
        </w:tc>
        <w:tc>
          <w:tcPr>
            <w:tcW w:w="751" w:type="dxa"/>
            <w:tcBorders>
              <w:tl2br w:val="nil"/>
              <w:tr2bl w:val="nil"/>
            </w:tcBorders>
            <w:noWrap w:val="0"/>
            <w:vAlign w:val="bottom"/>
          </w:tcPr>
          <w:p w14:paraId="365AD6C4">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color w:val="000000"/>
                <w:kern w:val="0"/>
                <w:sz w:val="18"/>
                <w:szCs w:val="18"/>
                <w:u w:val="none"/>
                <w:lang w:val="en-US" w:eastAsia="zh-CN" w:bidi="ar"/>
              </w:rPr>
              <w:t>0.046</w:t>
            </w:r>
          </w:p>
        </w:tc>
        <w:tc>
          <w:tcPr>
            <w:tcW w:w="699" w:type="dxa"/>
            <w:tcBorders>
              <w:tl2br w:val="nil"/>
              <w:tr2bl w:val="nil"/>
            </w:tcBorders>
            <w:noWrap w:val="0"/>
            <w:vAlign w:val="bottom"/>
          </w:tcPr>
          <w:p w14:paraId="2D9D082D">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color w:val="000000"/>
                <w:kern w:val="0"/>
                <w:sz w:val="18"/>
                <w:szCs w:val="18"/>
                <w:u w:val="none"/>
                <w:lang w:val="en-US" w:eastAsia="zh-CN" w:bidi="ar"/>
              </w:rPr>
              <w:t>0.047</w:t>
            </w:r>
          </w:p>
        </w:tc>
        <w:tc>
          <w:tcPr>
            <w:tcW w:w="713" w:type="dxa"/>
            <w:tcBorders>
              <w:tl2br w:val="nil"/>
              <w:tr2bl w:val="nil"/>
            </w:tcBorders>
            <w:noWrap w:val="0"/>
            <w:vAlign w:val="bottom"/>
          </w:tcPr>
          <w:p w14:paraId="24C40E9E">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color w:val="000000"/>
                <w:kern w:val="0"/>
                <w:sz w:val="18"/>
                <w:szCs w:val="18"/>
                <w:u w:val="none"/>
                <w:lang w:val="en-US" w:eastAsia="zh-CN" w:bidi="ar"/>
              </w:rPr>
              <w:t>0.050</w:t>
            </w:r>
          </w:p>
        </w:tc>
        <w:tc>
          <w:tcPr>
            <w:tcW w:w="727" w:type="dxa"/>
            <w:tcBorders>
              <w:tl2br w:val="nil"/>
              <w:tr2bl w:val="nil"/>
            </w:tcBorders>
            <w:noWrap w:val="0"/>
            <w:vAlign w:val="bottom"/>
          </w:tcPr>
          <w:p w14:paraId="2FC14E1C">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color w:val="000000"/>
                <w:kern w:val="0"/>
                <w:sz w:val="18"/>
                <w:szCs w:val="18"/>
                <w:u w:val="none"/>
                <w:lang w:val="en-US" w:eastAsia="zh-CN" w:bidi="ar"/>
              </w:rPr>
              <w:t>0.056</w:t>
            </w:r>
          </w:p>
        </w:tc>
        <w:tc>
          <w:tcPr>
            <w:tcW w:w="776" w:type="dxa"/>
            <w:tcBorders>
              <w:tl2br w:val="nil"/>
              <w:tr2bl w:val="nil"/>
            </w:tcBorders>
            <w:noWrap w:val="0"/>
            <w:vAlign w:val="bottom"/>
          </w:tcPr>
          <w:p w14:paraId="33DA3D87">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color w:val="000000"/>
                <w:kern w:val="0"/>
                <w:sz w:val="18"/>
                <w:szCs w:val="18"/>
                <w:u w:val="none"/>
                <w:lang w:val="en-US" w:eastAsia="zh-CN" w:bidi="ar"/>
              </w:rPr>
              <w:t>0.049</w:t>
            </w:r>
          </w:p>
        </w:tc>
        <w:tc>
          <w:tcPr>
            <w:tcW w:w="1097" w:type="dxa"/>
            <w:tcBorders>
              <w:tl2br w:val="nil"/>
              <w:tr2bl w:val="nil"/>
            </w:tcBorders>
            <w:noWrap w:val="0"/>
            <w:vAlign w:val="bottom"/>
          </w:tcPr>
          <w:p w14:paraId="72EBA92E">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eastAsia="宋体" w:cs="Times New Roman"/>
                <w:i w:val="0"/>
                <w:color w:val="000000"/>
                <w:kern w:val="0"/>
                <w:sz w:val="18"/>
                <w:szCs w:val="18"/>
                <w:u w:val="none"/>
                <w:lang w:val="en-US" w:eastAsia="zh-CN" w:bidi="ar"/>
              </w:rPr>
              <w:t>0.048</w:t>
            </w:r>
          </w:p>
        </w:tc>
        <w:tc>
          <w:tcPr>
            <w:tcW w:w="1120" w:type="dxa"/>
            <w:tcBorders>
              <w:tl2br w:val="nil"/>
              <w:tr2bl w:val="nil"/>
            </w:tcBorders>
            <w:noWrap w:val="0"/>
            <w:vAlign w:val="bottom"/>
          </w:tcPr>
          <w:p w14:paraId="3022E718">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val="en-US" w:bidi="ar"/>
              </w:rPr>
            </w:pPr>
            <w:r>
              <w:rPr>
                <w:rFonts w:hint="default" w:ascii="Times New Roman" w:hAnsi="Times New Roman" w:eastAsia="宋体" w:cs="Times New Roman"/>
                <w:i w:val="0"/>
                <w:color w:val="000000"/>
                <w:kern w:val="0"/>
                <w:sz w:val="18"/>
                <w:szCs w:val="18"/>
                <w:u w:val="none"/>
                <w:lang w:val="en-US" w:eastAsia="zh-CN" w:bidi="ar"/>
              </w:rPr>
              <w:t>0.0046</w:t>
            </w:r>
          </w:p>
        </w:tc>
        <w:tc>
          <w:tcPr>
            <w:tcW w:w="732" w:type="dxa"/>
            <w:tcBorders>
              <w:tl2br w:val="nil"/>
              <w:tr2bl w:val="nil"/>
            </w:tcBorders>
            <w:noWrap w:val="0"/>
            <w:vAlign w:val="center"/>
          </w:tcPr>
          <w:p w14:paraId="2D8076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lang w:bidi="ar"/>
              </w:rPr>
              <w:t>3.143</w:t>
            </w:r>
          </w:p>
        </w:tc>
        <w:tc>
          <w:tcPr>
            <w:tcW w:w="1161" w:type="dxa"/>
            <w:tcBorders>
              <w:tl2br w:val="nil"/>
              <w:tr2bl w:val="nil"/>
            </w:tcBorders>
            <w:noWrap w:val="0"/>
            <w:vAlign w:val="bottom"/>
          </w:tcPr>
          <w:p w14:paraId="5D8281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red"/>
                <w:lang w:val="en-US" w:eastAsia="zh-CN"/>
              </w:rPr>
            </w:pPr>
            <w:r>
              <w:rPr>
                <w:rFonts w:hint="default" w:ascii="Times New Roman" w:hAnsi="Times New Roman" w:cs="Times New Roman"/>
                <w:color w:val="000000"/>
                <w:sz w:val="18"/>
                <w:szCs w:val="18"/>
                <w:highlight w:val="none"/>
                <w:lang w:val="en-US" w:eastAsia="zh-CN"/>
              </w:rPr>
              <w:t>0.014</w:t>
            </w:r>
          </w:p>
        </w:tc>
        <w:tc>
          <w:tcPr>
            <w:tcW w:w="1053" w:type="dxa"/>
            <w:tcBorders>
              <w:tl2br w:val="nil"/>
              <w:tr2bl w:val="nil"/>
            </w:tcBorders>
            <w:noWrap w:val="0"/>
            <w:vAlign w:val="top"/>
          </w:tcPr>
          <w:p w14:paraId="31816D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w:t>
            </w:r>
          </w:p>
        </w:tc>
        <w:tc>
          <w:tcPr>
            <w:tcW w:w="1160" w:type="dxa"/>
            <w:tcBorders>
              <w:tl2br w:val="nil"/>
              <w:tr2bl w:val="nil"/>
            </w:tcBorders>
            <w:noWrap w:val="0"/>
            <w:vAlign w:val="bottom"/>
          </w:tcPr>
          <w:p w14:paraId="6FF04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0.08</w:t>
            </w:r>
          </w:p>
        </w:tc>
      </w:tr>
      <w:tr w14:paraId="61081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652" w:type="dxa"/>
            <w:gridSpan w:val="15"/>
            <w:tcBorders>
              <w:tl2br w:val="nil"/>
              <w:tr2bl w:val="nil"/>
            </w:tcBorders>
            <w:noWrap w:val="0"/>
            <w:vAlign w:val="top"/>
          </w:tcPr>
          <w:p w14:paraId="6CE7B0EF">
            <w:pPr>
              <w:keepNext w:val="0"/>
              <w:keepLines w:val="0"/>
              <w:pageBreakBefore w:val="0"/>
              <w:widowControl/>
              <w:tabs>
                <w:tab w:val="left" w:pos="210"/>
                <w:tab w:val="left" w:pos="420"/>
                <w:tab w:val="left" w:pos="630"/>
              </w:tabs>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cs="Times New Roman"/>
                <w:color w:val="000000"/>
                <w:sz w:val="18"/>
                <w:szCs w:val="18"/>
                <w:highlight w:val="none"/>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1）</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p w14:paraId="3A973BF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2）方法检出限和测定下限保留1位有效数字，其余数据保留2位有效数字。</w:t>
            </w:r>
          </w:p>
        </w:tc>
      </w:tr>
    </w:tbl>
    <w:p w14:paraId="3CC28601">
      <w:pPr>
        <w:ind w:left="0" w:leftChars="0" w:firstLine="0" w:firstLineChars="0"/>
        <w:jc w:val="center"/>
        <w:rPr>
          <w:rFonts w:hint="default" w:ascii="Times New Roman" w:hAnsi="Times New Roman" w:eastAsia="黑体" w:cs="Times New Roman"/>
          <w:color w:val="000000"/>
          <w:szCs w:val="21"/>
          <w:highlight w:val="none"/>
          <w:lang w:val="en-US" w:eastAsia="zh-CN"/>
        </w:rPr>
      </w:pPr>
    </w:p>
    <w:p w14:paraId="5FAE5626">
      <w:pPr>
        <w:ind w:left="0" w:leftChars="0" w:firstLine="0" w:firstLineChars="0"/>
        <w:jc w:val="center"/>
        <w:rPr>
          <w:rFonts w:hint="default" w:ascii="Times New Roman" w:hAnsi="Times New Roman" w:eastAsia="黑体" w:cs="Times New Roman"/>
          <w:color w:val="000000"/>
          <w:szCs w:val="21"/>
          <w:highlight w:val="none"/>
          <w:lang w:val="en-US" w:eastAsia="zh-CN"/>
        </w:rPr>
      </w:pPr>
    </w:p>
    <w:p w14:paraId="273C5C12">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附表8  检出限、测定下限测试数据表</w:t>
      </w:r>
    </w:p>
    <w:p w14:paraId="53A6CFE9">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lang w:val="en-US" w:eastAsia="zh-CN"/>
        </w:rPr>
        <w:t>江苏省徐州生态环境监测中心</w:t>
      </w:r>
      <w:r>
        <w:rPr>
          <w:rFonts w:hint="default" w:ascii="Times New Roman" w:hAnsi="Times New Roman" w:cs="Times New Roman"/>
          <w:color w:val="000000"/>
          <w:sz w:val="21"/>
          <w:szCs w:val="21"/>
          <w:highlight w:val="none"/>
          <w:u w:val="single"/>
          <w:lang w:val="en-US" w:eastAsia="zh-CN"/>
        </w:rPr>
        <w:t xml:space="preserve"> </w:t>
      </w:r>
    </w:p>
    <w:p w14:paraId="1F0013D9">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2024年12月20日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678"/>
        <w:gridCol w:w="756"/>
        <w:gridCol w:w="756"/>
        <w:gridCol w:w="751"/>
        <w:gridCol w:w="699"/>
        <w:gridCol w:w="713"/>
        <w:gridCol w:w="727"/>
        <w:gridCol w:w="776"/>
        <w:gridCol w:w="1097"/>
        <w:gridCol w:w="1120"/>
        <w:gridCol w:w="732"/>
        <w:gridCol w:w="1161"/>
        <w:gridCol w:w="1053"/>
        <w:gridCol w:w="1160"/>
      </w:tblGrid>
      <w:tr w14:paraId="71614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473" w:type="dxa"/>
            <w:vMerge w:val="restart"/>
            <w:tcBorders>
              <w:tl2br w:val="nil"/>
              <w:tr2bl w:val="nil"/>
            </w:tcBorders>
            <w:noWrap w:val="0"/>
            <w:vAlign w:val="center"/>
          </w:tcPr>
          <w:p w14:paraId="7EC7A4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rPr>
              <w:t>目标化合物</w:t>
            </w:r>
          </w:p>
        </w:tc>
        <w:tc>
          <w:tcPr>
            <w:tcW w:w="5856" w:type="dxa"/>
            <w:gridSpan w:val="8"/>
            <w:tcBorders>
              <w:tl2br w:val="nil"/>
              <w:tr2bl w:val="nil"/>
            </w:tcBorders>
            <w:noWrap w:val="0"/>
            <w:vAlign w:val="center"/>
          </w:tcPr>
          <w:p w14:paraId="2FFEAF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测定结果（mg/kg）</w:t>
            </w:r>
          </w:p>
        </w:tc>
        <w:tc>
          <w:tcPr>
            <w:tcW w:w="1097" w:type="dxa"/>
            <w:vMerge w:val="restart"/>
            <w:tcBorders>
              <w:tl2br w:val="nil"/>
              <w:tr2bl w:val="nil"/>
            </w:tcBorders>
            <w:noWrap w:val="0"/>
            <w:vAlign w:val="center"/>
          </w:tcPr>
          <w:p w14:paraId="7FCC72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33"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33" DrawAspect="Content" ObjectID="_1468075821" r:id="rId178">
                  <o:LockedField>false</o:LockedField>
                </o:OLEObject>
              </w:object>
            </w:r>
          </w:p>
          <w:p w14:paraId="5411DDD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（mg/kg）</w:t>
            </w:r>
          </w:p>
        </w:tc>
        <w:tc>
          <w:tcPr>
            <w:tcW w:w="1120" w:type="dxa"/>
            <w:vMerge w:val="restart"/>
            <w:tcBorders>
              <w:tl2br w:val="nil"/>
              <w:tr2bl w:val="nil"/>
            </w:tcBorders>
            <w:noWrap w:val="0"/>
            <w:vAlign w:val="center"/>
          </w:tcPr>
          <w:p w14:paraId="3F29BD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标准偏差</w:t>
            </w:r>
            <w:r>
              <w:rPr>
                <w:rFonts w:hint="default" w:ascii="Times New Roman" w:hAnsi="Times New Roman" w:cs="Times New Roman"/>
                <w:color w:val="000000"/>
                <w:kern w:val="0"/>
                <w:position w:val="-12"/>
                <w:sz w:val="18"/>
                <w:szCs w:val="18"/>
                <w:highlight w:val="none"/>
              </w:rPr>
              <w:object>
                <v:shape id="_x0000_i1134"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34" DrawAspect="Content" ObjectID="_1468075822" r:id="rId179">
                  <o:LockedField>false</o:LockedField>
                </o:OLEObject>
              </w:object>
            </w:r>
            <w:r>
              <w:rPr>
                <w:rFonts w:hint="default" w:ascii="Times New Roman" w:hAnsi="Times New Roman" w:cs="Times New Roman"/>
                <w:color w:val="000000"/>
                <w:sz w:val="18"/>
                <w:szCs w:val="18"/>
                <w:highlight w:val="none"/>
              </w:rPr>
              <w:t>（mg/kg）</w:t>
            </w:r>
          </w:p>
        </w:tc>
        <w:tc>
          <w:tcPr>
            <w:tcW w:w="732" w:type="dxa"/>
            <w:vMerge w:val="restart"/>
            <w:tcBorders>
              <w:tl2br w:val="nil"/>
              <w:tr2bl w:val="nil"/>
            </w:tcBorders>
            <w:noWrap w:val="0"/>
            <w:vAlign w:val="center"/>
          </w:tcPr>
          <w:p w14:paraId="3E0D4F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i/>
                <w:iCs/>
                <w:color w:val="000000"/>
                <w:sz w:val="18"/>
                <w:szCs w:val="18"/>
                <w:highlight w:val="none"/>
                <w:lang w:val="en-US" w:eastAsia="zh-CN"/>
              </w:rPr>
              <w:t>t</w:t>
            </w:r>
            <w:r>
              <w:rPr>
                <w:rFonts w:hint="default" w:ascii="Times New Roman" w:hAnsi="Times New Roman" w:cs="Times New Roman"/>
                <w:color w:val="000000"/>
                <w:sz w:val="18"/>
                <w:szCs w:val="18"/>
                <w:highlight w:val="none"/>
              </w:rPr>
              <w:t>值</w:t>
            </w:r>
          </w:p>
        </w:tc>
        <w:tc>
          <w:tcPr>
            <w:tcW w:w="1161" w:type="dxa"/>
            <w:vMerge w:val="restart"/>
            <w:tcBorders>
              <w:tl2br w:val="nil"/>
              <w:tr2bl w:val="nil"/>
            </w:tcBorders>
            <w:noWrap w:val="0"/>
            <w:vAlign w:val="center"/>
          </w:tcPr>
          <w:p w14:paraId="19E96BB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计算的方法检出限（mg/kg）</w:t>
            </w:r>
          </w:p>
        </w:tc>
        <w:tc>
          <w:tcPr>
            <w:tcW w:w="1053" w:type="dxa"/>
            <w:vMerge w:val="restart"/>
            <w:tcBorders>
              <w:tl2br w:val="nil"/>
              <w:tr2bl w:val="nil"/>
            </w:tcBorders>
            <w:shd w:val="clear" w:color="auto" w:fill="auto"/>
            <w:noWrap w:val="0"/>
            <w:vAlign w:val="center"/>
          </w:tcPr>
          <w:p w14:paraId="07BA8EA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方法检出限（mg/kg）</w:t>
            </w:r>
          </w:p>
        </w:tc>
        <w:tc>
          <w:tcPr>
            <w:tcW w:w="1160" w:type="dxa"/>
            <w:vMerge w:val="restart"/>
            <w:tcBorders>
              <w:tl2br w:val="nil"/>
              <w:tr2bl w:val="nil"/>
            </w:tcBorders>
            <w:shd w:val="clear" w:color="auto" w:fill="auto"/>
            <w:noWrap w:val="0"/>
            <w:vAlign w:val="center"/>
          </w:tcPr>
          <w:p w14:paraId="74D493E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测定</w:t>
            </w:r>
            <w:r>
              <w:rPr>
                <w:rFonts w:hint="default" w:ascii="Times New Roman" w:hAnsi="Times New Roman" w:cs="Times New Roman"/>
                <w:color w:val="000000"/>
                <w:sz w:val="18"/>
                <w:szCs w:val="18"/>
                <w:highlight w:val="none"/>
                <w:lang w:val="en-US" w:eastAsia="zh-CN"/>
              </w:rPr>
              <w:t>下</w:t>
            </w:r>
            <w:r>
              <w:rPr>
                <w:rFonts w:hint="default" w:ascii="Times New Roman" w:hAnsi="Times New Roman" w:cs="Times New Roman"/>
                <w:color w:val="000000"/>
                <w:sz w:val="18"/>
                <w:szCs w:val="18"/>
                <w:highlight w:val="none"/>
              </w:rPr>
              <w:t>限（mg/kg）</w:t>
            </w:r>
          </w:p>
        </w:tc>
      </w:tr>
      <w:tr w14:paraId="10404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 w:hRule="atLeast"/>
          <w:tblHeader/>
          <w:jc w:val="center"/>
        </w:trPr>
        <w:tc>
          <w:tcPr>
            <w:tcW w:w="1473" w:type="dxa"/>
            <w:vMerge w:val="continue"/>
            <w:tcBorders>
              <w:tl2br w:val="nil"/>
              <w:tr2bl w:val="nil"/>
            </w:tcBorders>
            <w:noWrap w:val="0"/>
            <w:vAlign w:val="center"/>
          </w:tcPr>
          <w:p w14:paraId="7470E1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678" w:type="dxa"/>
            <w:tcBorders>
              <w:tl2br w:val="nil"/>
              <w:tr2bl w:val="nil"/>
            </w:tcBorders>
            <w:noWrap w:val="0"/>
            <w:vAlign w:val="center"/>
          </w:tcPr>
          <w:p w14:paraId="4A7E3C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空白</w:t>
            </w:r>
          </w:p>
        </w:tc>
        <w:tc>
          <w:tcPr>
            <w:tcW w:w="756" w:type="dxa"/>
            <w:tcBorders>
              <w:tl2br w:val="nil"/>
              <w:tr2bl w:val="nil"/>
            </w:tcBorders>
            <w:noWrap w:val="0"/>
            <w:vAlign w:val="center"/>
          </w:tcPr>
          <w:p w14:paraId="25CDEF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1</w:t>
            </w:r>
          </w:p>
        </w:tc>
        <w:tc>
          <w:tcPr>
            <w:tcW w:w="756" w:type="dxa"/>
            <w:tcBorders>
              <w:tl2br w:val="nil"/>
              <w:tr2bl w:val="nil"/>
            </w:tcBorders>
            <w:noWrap w:val="0"/>
            <w:vAlign w:val="center"/>
          </w:tcPr>
          <w:p w14:paraId="66A943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p>
        </w:tc>
        <w:tc>
          <w:tcPr>
            <w:tcW w:w="751" w:type="dxa"/>
            <w:tcBorders>
              <w:tl2br w:val="nil"/>
              <w:tr2bl w:val="nil"/>
            </w:tcBorders>
            <w:noWrap w:val="0"/>
            <w:vAlign w:val="center"/>
          </w:tcPr>
          <w:p w14:paraId="7BFB67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699" w:type="dxa"/>
            <w:tcBorders>
              <w:tl2br w:val="nil"/>
              <w:tr2bl w:val="nil"/>
            </w:tcBorders>
            <w:noWrap w:val="0"/>
            <w:vAlign w:val="center"/>
          </w:tcPr>
          <w:p w14:paraId="1BBAB3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713" w:type="dxa"/>
            <w:tcBorders>
              <w:tl2br w:val="nil"/>
              <w:tr2bl w:val="nil"/>
            </w:tcBorders>
            <w:noWrap w:val="0"/>
            <w:vAlign w:val="center"/>
          </w:tcPr>
          <w:p w14:paraId="0D24DF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727" w:type="dxa"/>
            <w:tcBorders>
              <w:tl2br w:val="nil"/>
              <w:tr2bl w:val="nil"/>
            </w:tcBorders>
            <w:noWrap w:val="0"/>
            <w:vAlign w:val="center"/>
          </w:tcPr>
          <w:p w14:paraId="761C1D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6</w:t>
            </w:r>
          </w:p>
        </w:tc>
        <w:tc>
          <w:tcPr>
            <w:tcW w:w="776" w:type="dxa"/>
            <w:tcBorders>
              <w:tl2br w:val="nil"/>
              <w:tr2bl w:val="nil"/>
            </w:tcBorders>
            <w:noWrap w:val="0"/>
            <w:vAlign w:val="center"/>
          </w:tcPr>
          <w:p w14:paraId="2C0C63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7</w:t>
            </w:r>
          </w:p>
        </w:tc>
        <w:tc>
          <w:tcPr>
            <w:tcW w:w="1097" w:type="dxa"/>
            <w:vMerge w:val="continue"/>
            <w:tcBorders>
              <w:tl2br w:val="nil"/>
              <w:tr2bl w:val="nil"/>
            </w:tcBorders>
            <w:noWrap w:val="0"/>
            <w:vAlign w:val="center"/>
          </w:tcPr>
          <w:p w14:paraId="038297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20" w:type="dxa"/>
            <w:vMerge w:val="continue"/>
            <w:tcBorders>
              <w:tl2br w:val="nil"/>
              <w:tr2bl w:val="nil"/>
            </w:tcBorders>
            <w:noWrap w:val="0"/>
            <w:vAlign w:val="center"/>
          </w:tcPr>
          <w:p w14:paraId="6091DC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732" w:type="dxa"/>
            <w:vMerge w:val="continue"/>
            <w:tcBorders>
              <w:tl2br w:val="nil"/>
              <w:tr2bl w:val="nil"/>
            </w:tcBorders>
            <w:noWrap w:val="0"/>
            <w:vAlign w:val="center"/>
          </w:tcPr>
          <w:p w14:paraId="5011F0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1" w:type="dxa"/>
            <w:vMerge w:val="continue"/>
            <w:tcBorders>
              <w:tl2br w:val="nil"/>
              <w:tr2bl w:val="nil"/>
            </w:tcBorders>
            <w:noWrap w:val="0"/>
            <w:vAlign w:val="center"/>
          </w:tcPr>
          <w:p w14:paraId="2129B4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053" w:type="dxa"/>
            <w:vMerge w:val="continue"/>
            <w:tcBorders>
              <w:tl2br w:val="nil"/>
              <w:tr2bl w:val="nil"/>
            </w:tcBorders>
            <w:noWrap w:val="0"/>
            <w:vAlign w:val="top"/>
          </w:tcPr>
          <w:p w14:paraId="5F436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0" w:type="dxa"/>
            <w:vMerge w:val="continue"/>
            <w:tcBorders>
              <w:tl2br w:val="nil"/>
              <w:tr2bl w:val="nil"/>
            </w:tcBorders>
            <w:noWrap w:val="0"/>
            <w:vAlign w:val="center"/>
          </w:tcPr>
          <w:p w14:paraId="656FF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r>
      <w:tr w14:paraId="190F5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noWrap w:val="0"/>
            <w:vAlign w:val="center"/>
          </w:tcPr>
          <w:p w14:paraId="639208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678" w:type="dxa"/>
            <w:tcBorders>
              <w:tl2br w:val="nil"/>
              <w:tr2bl w:val="nil"/>
            </w:tcBorders>
            <w:noWrap w:val="0"/>
            <w:vAlign w:val="center"/>
          </w:tcPr>
          <w:p w14:paraId="199111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shd w:val="clear" w:color="auto" w:fill="auto"/>
            <w:noWrap w:val="0"/>
            <w:vAlign w:val="center"/>
          </w:tcPr>
          <w:p w14:paraId="541E4E96">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0.050</w:t>
            </w:r>
          </w:p>
        </w:tc>
        <w:tc>
          <w:tcPr>
            <w:tcW w:w="756" w:type="dxa"/>
            <w:tcBorders>
              <w:tl2br w:val="nil"/>
              <w:tr2bl w:val="nil"/>
            </w:tcBorders>
            <w:shd w:val="clear" w:color="auto" w:fill="auto"/>
            <w:noWrap w:val="0"/>
            <w:vAlign w:val="center"/>
          </w:tcPr>
          <w:p w14:paraId="548EFF29">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0.041</w:t>
            </w:r>
          </w:p>
        </w:tc>
        <w:tc>
          <w:tcPr>
            <w:tcW w:w="751" w:type="dxa"/>
            <w:tcBorders>
              <w:tl2br w:val="nil"/>
              <w:tr2bl w:val="nil"/>
            </w:tcBorders>
            <w:shd w:val="clear" w:color="auto" w:fill="auto"/>
            <w:noWrap w:val="0"/>
            <w:vAlign w:val="center"/>
          </w:tcPr>
          <w:p w14:paraId="15B2D6E3">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0.040</w:t>
            </w:r>
          </w:p>
        </w:tc>
        <w:tc>
          <w:tcPr>
            <w:tcW w:w="699" w:type="dxa"/>
            <w:tcBorders>
              <w:tl2br w:val="nil"/>
              <w:tr2bl w:val="nil"/>
            </w:tcBorders>
            <w:shd w:val="clear" w:color="auto" w:fill="auto"/>
            <w:noWrap w:val="0"/>
            <w:vAlign w:val="center"/>
          </w:tcPr>
          <w:p w14:paraId="0C980A5A">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0.041</w:t>
            </w:r>
          </w:p>
        </w:tc>
        <w:tc>
          <w:tcPr>
            <w:tcW w:w="713" w:type="dxa"/>
            <w:tcBorders>
              <w:tl2br w:val="nil"/>
              <w:tr2bl w:val="nil"/>
            </w:tcBorders>
            <w:shd w:val="clear" w:color="auto" w:fill="auto"/>
            <w:noWrap w:val="0"/>
            <w:vAlign w:val="center"/>
          </w:tcPr>
          <w:p w14:paraId="11A91473">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0.047</w:t>
            </w:r>
          </w:p>
        </w:tc>
        <w:tc>
          <w:tcPr>
            <w:tcW w:w="727" w:type="dxa"/>
            <w:tcBorders>
              <w:tl2br w:val="nil"/>
              <w:tr2bl w:val="nil"/>
            </w:tcBorders>
            <w:shd w:val="clear" w:color="auto" w:fill="auto"/>
            <w:noWrap w:val="0"/>
            <w:vAlign w:val="center"/>
          </w:tcPr>
          <w:p w14:paraId="41061963">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0.037</w:t>
            </w:r>
          </w:p>
        </w:tc>
        <w:tc>
          <w:tcPr>
            <w:tcW w:w="776" w:type="dxa"/>
            <w:tcBorders>
              <w:tl2br w:val="nil"/>
              <w:tr2bl w:val="nil"/>
            </w:tcBorders>
            <w:shd w:val="clear" w:color="auto" w:fill="auto"/>
            <w:noWrap w:val="0"/>
            <w:vAlign w:val="center"/>
          </w:tcPr>
          <w:p w14:paraId="66E28180">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0.042</w:t>
            </w:r>
          </w:p>
        </w:tc>
        <w:tc>
          <w:tcPr>
            <w:tcW w:w="1097" w:type="dxa"/>
            <w:tcBorders>
              <w:tl2br w:val="nil"/>
              <w:tr2bl w:val="nil"/>
            </w:tcBorders>
            <w:shd w:val="clear" w:color="auto" w:fill="auto"/>
            <w:noWrap w:val="0"/>
            <w:vAlign w:val="center"/>
          </w:tcPr>
          <w:p w14:paraId="49ED75DB">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0.043</w:t>
            </w:r>
          </w:p>
        </w:tc>
        <w:tc>
          <w:tcPr>
            <w:tcW w:w="1120" w:type="dxa"/>
            <w:tcBorders>
              <w:tl2br w:val="nil"/>
              <w:tr2bl w:val="nil"/>
            </w:tcBorders>
            <w:shd w:val="clear" w:color="auto" w:fill="auto"/>
            <w:noWrap w:val="0"/>
            <w:vAlign w:val="center"/>
          </w:tcPr>
          <w:p w14:paraId="1AF04EBD">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0.0049</w:t>
            </w:r>
          </w:p>
        </w:tc>
        <w:tc>
          <w:tcPr>
            <w:tcW w:w="732" w:type="dxa"/>
            <w:tcBorders>
              <w:tl2br w:val="nil"/>
              <w:tr2bl w:val="nil"/>
            </w:tcBorders>
            <w:shd w:val="clear" w:color="auto" w:fill="auto"/>
            <w:noWrap w:val="0"/>
            <w:vAlign w:val="center"/>
          </w:tcPr>
          <w:p w14:paraId="1D636E24">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3.143</w:t>
            </w:r>
          </w:p>
        </w:tc>
        <w:tc>
          <w:tcPr>
            <w:tcW w:w="1161" w:type="dxa"/>
            <w:tcBorders>
              <w:tl2br w:val="nil"/>
              <w:tr2bl w:val="nil"/>
            </w:tcBorders>
            <w:shd w:val="clear" w:color="auto" w:fill="auto"/>
            <w:noWrap w:val="0"/>
            <w:vAlign w:val="bottom"/>
          </w:tcPr>
          <w:p w14:paraId="183AC023">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0.015</w:t>
            </w:r>
          </w:p>
        </w:tc>
        <w:tc>
          <w:tcPr>
            <w:tcW w:w="1053" w:type="dxa"/>
            <w:tcBorders>
              <w:tl2br w:val="nil"/>
              <w:tr2bl w:val="nil"/>
            </w:tcBorders>
            <w:shd w:val="clear" w:color="auto" w:fill="auto"/>
            <w:noWrap w:val="0"/>
            <w:vAlign w:val="top"/>
          </w:tcPr>
          <w:p w14:paraId="58E87FD2">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0.02</w:t>
            </w:r>
          </w:p>
        </w:tc>
        <w:tc>
          <w:tcPr>
            <w:tcW w:w="1160" w:type="dxa"/>
            <w:tcBorders>
              <w:tl2br w:val="nil"/>
              <w:tr2bl w:val="nil"/>
            </w:tcBorders>
            <w:shd w:val="clear" w:color="auto" w:fill="auto"/>
            <w:noWrap w:val="0"/>
            <w:vAlign w:val="bottom"/>
          </w:tcPr>
          <w:p w14:paraId="03A9EFED">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0.08</w:t>
            </w:r>
          </w:p>
        </w:tc>
      </w:tr>
      <w:tr w14:paraId="65728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73" w:type="dxa"/>
            <w:tcBorders>
              <w:tl2br w:val="nil"/>
              <w:tr2bl w:val="nil"/>
            </w:tcBorders>
            <w:noWrap w:val="0"/>
            <w:vAlign w:val="center"/>
          </w:tcPr>
          <w:p w14:paraId="3A235A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2,4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678" w:type="dxa"/>
            <w:tcBorders>
              <w:tl2br w:val="nil"/>
              <w:tr2bl w:val="nil"/>
            </w:tcBorders>
            <w:noWrap w:val="0"/>
            <w:vAlign w:val="center"/>
          </w:tcPr>
          <w:p w14:paraId="08BB6F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56" w:type="dxa"/>
            <w:tcBorders>
              <w:tl2br w:val="nil"/>
              <w:tr2bl w:val="nil"/>
            </w:tcBorders>
            <w:shd w:val="clear" w:color="auto" w:fill="auto"/>
            <w:noWrap w:val="0"/>
            <w:vAlign w:val="center"/>
          </w:tcPr>
          <w:p w14:paraId="279E82AE">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0.049</w:t>
            </w:r>
          </w:p>
        </w:tc>
        <w:tc>
          <w:tcPr>
            <w:tcW w:w="756" w:type="dxa"/>
            <w:tcBorders>
              <w:tl2br w:val="nil"/>
              <w:tr2bl w:val="nil"/>
            </w:tcBorders>
            <w:shd w:val="clear" w:color="auto" w:fill="auto"/>
            <w:noWrap w:val="0"/>
            <w:vAlign w:val="center"/>
          </w:tcPr>
          <w:p w14:paraId="04EB1D13">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0.044</w:t>
            </w:r>
          </w:p>
        </w:tc>
        <w:tc>
          <w:tcPr>
            <w:tcW w:w="751" w:type="dxa"/>
            <w:tcBorders>
              <w:tl2br w:val="nil"/>
              <w:tr2bl w:val="nil"/>
            </w:tcBorders>
            <w:shd w:val="clear" w:color="auto" w:fill="auto"/>
            <w:noWrap w:val="0"/>
            <w:vAlign w:val="center"/>
          </w:tcPr>
          <w:p w14:paraId="77D70EDF">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0.043</w:t>
            </w:r>
          </w:p>
        </w:tc>
        <w:tc>
          <w:tcPr>
            <w:tcW w:w="699" w:type="dxa"/>
            <w:tcBorders>
              <w:tl2br w:val="nil"/>
              <w:tr2bl w:val="nil"/>
            </w:tcBorders>
            <w:shd w:val="clear" w:color="auto" w:fill="auto"/>
            <w:noWrap w:val="0"/>
            <w:vAlign w:val="center"/>
          </w:tcPr>
          <w:p w14:paraId="6B607472">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0.041</w:t>
            </w:r>
          </w:p>
        </w:tc>
        <w:tc>
          <w:tcPr>
            <w:tcW w:w="713" w:type="dxa"/>
            <w:tcBorders>
              <w:tl2br w:val="nil"/>
              <w:tr2bl w:val="nil"/>
            </w:tcBorders>
            <w:shd w:val="clear" w:color="auto" w:fill="auto"/>
            <w:noWrap w:val="0"/>
            <w:vAlign w:val="center"/>
          </w:tcPr>
          <w:p w14:paraId="69D2445F">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0.050</w:t>
            </w:r>
          </w:p>
        </w:tc>
        <w:tc>
          <w:tcPr>
            <w:tcW w:w="727" w:type="dxa"/>
            <w:tcBorders>
              <w:tl2br w:val="nil"/>
              <w:tr2bl w:val="nil"/>
            </w:tcBorders>
            <w:shd w:val="clear" w:color="auto" w:fill="auto"/>
            <w:noWrap w:val="0"/>
            <w:vAlign w:val="center"/>
          </w:tcPr>
          <w:p w14:paraId="3494200D">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0.037</w:t>
            </w:r>
          </w:p>
        </w:tc>
        <w:tc>
          <w:tcPr>
            <w:tcW w:w="776" w:type="dxa"/>
            <w:tcBorders>
              <w:tl2br w:val="nil"/>
              <w:tr2bl w:val="nil"/>
            </w:tcBorders>
            <w:shd w:val="clear" w:color="auto" w:fill="auto"/>
            <w:noWrap w:val="0"/>
            <w:vAlign w:val="center"/>
          </w:tcPr>
          <w:p w14:paraId="52D8A4E8">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0.043</w:t>
            </w:r>
          </w:p>
        </w:tc>
        <w:tc>
          <w:tcPr>
            <w:tcW w:w="1097" w:type="dxa"/>
            <w:tcBorders>
              <w:tl2br w:val="nil"/>
              <w:tr2bl w:val="nil"/>
            </w:tcBorders>
            <w:shd w:val="clear" w:color="auto" w:fill="auto"/>
            <w:noWrap w:val="0"/>
            <w:vAlign w:val="center"/>
          </w:tcPr>
          <w:p w14:paraId="2B7A091E">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0.044</w:t>
            </w:r>
          </w:p>
        </w:tc>
        <w:tc>
          <w:tcPr>
            <w:tcW w:w="1120" w:type="dxa"/>
            <w:tcBorders>
              <w:tl2br w:val="nil"/>
              <w:tr2bl w:val="nil"/>
            </w:tcBorders>
            <w:shd w:val="clear" w:color="auto" w:fill="auto"/>
            <w:noWrap w:val="0"/>
            <w:vAlign w:val="center"/>
          </w:tcPr>
          <w:p w14:paraId="39D85CF8">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0.0048</w:t>
            </w:r>
          </w:p>
        </w:tc>
        <w:tc>
          <w:tcPr>
            <w:tcW w:w="732" w:type="dxa"/>
            <w:tcBorders>
              <w:tl2br w:val="nil"/>
              <w:tr2bl w:val="nil"/>
            </w:tcBorders>
            <w:shd w:val="clear" w:color="auto" w:fill="auto"/>
            <w:noWrap w:val="0"/>
            <w:vAlign w:val="center"/>
          </w:tcPr>
          <w:p w14:paraId="0224EB80">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3.143</w:t>
            </w:r>
          </w:p>
        </w:tc>
        <w:tc>
          <w:tcPr>
            <w:tcW w:w="1161" w:type="dxa"/>
            <w:tcBorders>
              <w:tl2br w:val="nil"/>
              <w:tr2bl w:val="nil"/>
            </w:tcBorders>
            <w:shd w:val="clear" w:color="auto" w:fill="auto"/>
            <w:noWrap w:val="0"/>
            <w:vAlign w:val="bottom"/>
          </w:tcPr>
          <w:p w14:paraId="0AC08AFA">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0.015</w:t>
            </w:r>
          </w:p>
        </w:tc>
        <w:tc>
          <w:tcPr>
            <w:tcW w:w="1053" w:type="dxa"/>
            <w:tcBorders>
              <w:tl2br w:val="nil"/>
              <w:tr2bl w:val="nil"/>
            </w:tcBorders>
            <w:shd w:val="clear" w:color="auto" w:fill="auto"/>
            <w:noWrap w:val="0"/>
            <w:vAlign w:val="top"/>
          </w:tcPr>
          <w:p w14:paraId="79EA4991">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0.02</w:t>
            </w:r>
          </w:p>
        </w:tc>
        <w:tc>
          <w:tcPr>
            <w:tcW w:w="1160" w:type="dxa"/>
            <w:tcBorders>
              <w:tl2br w:val="nil"/>
              <w:tr2bl w:val="nil"/>
            </w:tcBorders>
            <w:shd w:val="clear" w:color="auto" w:fill="auto"/>
            <w:noWrap w:val="0"/>
            <w:vAlign w:val="bottom"/>
          </w:tcPr>
          <w:p w14:paraId="73EFA5ED">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0.08</w:t>
            </w:r>
          </w:p>
        </w:tc>
      </w:tr>
      <w:tr w14:paraId="00A76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652" w:type="dxa"/>
            <w:gridSpan w:val="15"/>
            <w:tcBorders>
              <w:tl2br w:val="nil"/>
              <w:tr2bl w:val="nil"/>
            </w:tcBorders>
            <w:noWrap w:val="0"/>
            <w:vAlign w:val="top"/>
          </w:tcPr>
          <w:p w14:paraId="2C2E5A97">
            <w:pPr>
              <w:keepNext w:val="0"/>
              <w:keepLines w:val="0"/>
              <w:pageBreakBefore w:val="0"/>
              <w:widowControl/>
              <w:tabs>
                <w:tab w:val="left" w:pos="210"/>
                <w:tab w:val="left" w:pos="420"/>
                <w:tab w:val="left" w:pos="630"/>
              </w:tabs>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cs="Times New Roman"/>
                <w:color w:val="000000"/>
                <w:sz w:val="18"/>
                <w:szCs w:val="18"/>
                <w:highlight w:val="none"/>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1）</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p w14:paraId="28C7AC1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2）方法检出限和测定下限保留1位有效数字，其余数据保留2位有效数字。</w:t>
            </w:r>
          </w:p>
        </w:tc>
      </w:tr>
    </w:tbl>
    <w:p w14:paraId="6D3F08D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附表9  检出限、测定下限测试数据表</w:t>
      </w:r>
    </w:p>
    <w:p w14:paraId="43875724">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海南省生态环境监测中心    </w:t>
      </w:r>
    </w:p>
    <w:p w14:paraId="3E33EB5A">
      <w:pPr>
        <w:tabs>
          <w:tab w:val="left" w:pos="9240"/>
        </w:tabs>
        <w:ind w:left="0" w:leftChars="0" w:firstLine="0" w:firstLineChars="0"/>
        <w:jc w:val="both"/>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 w:val="21"/>
          <w:szCs w:val="21"/>
          <w:highlight w:val="none"/>
          <w:lang w:val="en-US" w:eastAsia="zh-CN"/>
        </w:rPr>
        <w:tab/>
      </w:r>
      <w:r>
        <w:rPr>
          <w:rFonts w:hint="default" w:ascii="Times New Roman" w:hAnsi="Times New Roman" w:eastAsia="黑体" w:cs="Times New Roman"/>
          <w:color w:val="000000"/>
          <w:sz w:val="21"/>
          <w:szCs w:val="21"/>
          <w:highlight w:val="none"/>
          <w:lang w:eastAsia="zh-CN"/>
        </w:rPr>
        <w:t>验证时间：</w:t>
      </w:r>
      <w:r>
        <w:rPr>
          <w:rFonts w:hint="default" w:ascii="Times New Roman" w:hAnsi="Times New Roman" w:eastAsia="黑体" w:cs="Times New Roman"/>
          <w:color w:val="000000"/>
          <w:sz w:val="21"/>
          <w:szCs w:val="21"/>
          <w:highlight w:val="none"/>
          <w:u w:val="single"/>
          <w:lang w:val="en-US" w:eastAsia="zh-CN"/>
        </w:rPr>
        <w:t xml:space="preserve">     </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2024年12月10号        </w:t>
      </w:r>
    </w:p>
    <w:tbl>
      <w:tblPr>
        <w:tblStyle w:val="15"/>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678"/>
        <w:gridCol w:w="756"/>
        <w:gridCol w:w="756"/>
        <w:gridCol w:w="751"/>
        <w:gridCol w:w="699"/>
        <w:gridCol w:w="713"/>
        <w:gridCol w:w="727"/>
        <w:gridCol w:w="776"/>
        <w:gridCol w:w="1097"/>
        <w:gridCol w:w="1120"/>
        <w:gridCol w:w="732"/>
        <w:gridCol w:w="1161"/>
        <w:gridCol w:w="1053"/>
        <w:gridCol w:w="1160"/>
      </w:tblGrid>
      <w:tr w14:paraId="2B66C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529" w:type="dxa"/>
            <w:vMerge w:val="restart"/>
            <w:tcBorders>
              <w:tl2br w:val="nil"/>
              <w:tr2bl w:val="nil"/>
            </w:tcBorders>
            <w:noWrap w:val="0"/>
            <w:vAlign w:val="center"/>
          </w:tcPr>
          <w:p w14:paraId="39E348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rPr>
              <w:t>目标化合物</w:t>
            </w:r>
          </w:p>
        </w:tc>
        <w:tc>
          <w:tcPr>
            <w:tcW w:w="6081" w:type="dxa"/>
            <w:gridSpan w:val="8"/>
            <w:tcBorders>
              <w:tl2br w:val="nil"/>
              <w:tr2bl w:val="nil"/>
            </w:tcBorders>
            <w:noWrap w:val="0"/>
            <w:vAlign w:val="center"/>
          </w:tcPr>
          <w:p w14:paraId="4BF05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测定结果（mg/kg）</w:t>
            </w:r>
          </w:p>
        </w:tc>
        <w:tc>
          <w:tcPr>
            <w:tcW w:w="1139" w:type="dxa"/>
            <w:vMerge w:val="restart"/>
            <w:tcBorders>
              <w:tl2br w:val="nil"/>
              <w:tr2bl w:val="nil"/>
            </w:tcBorders>
            <w:noWrap w:val="0"/>
            <w:vAlign w:val="center"/>
          </w:tcPr>
          <w:p w14:paraId="5D5878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rPr>
              <w:t>平均值</w:t>
            </w:r>
            <w:r>
              <w:rPr>
                <w:rFonts w:hint="default" w:ascii="Times New Roman" w:hAnsi="Times New Roman" w:cs="Times New Roman"/>
                <w:color w:val="000000"/>
                <w:kern w:val="0"/>
                <w:position w:val="-12"/>
                <w:sz w:val="18"/>
                <w:szCs w:val="18"/>
                <w:highlight w:val="none"/>
              </w:rPr>
              <w:object>
                <v:shape id="_x0000_i1135" o:spt="75" type="#_x0000_t75" style="height:18pt;width:13.15pt;" o:ole="t" filled="f" o:preferrelative="t" stroked="f" coordsize="21600,21600">
                  <v:path/>
                  <v:fill on="f" focussize="0,0"/>
                  <v:stroke on="f"/>
                  <v:imagedata r:id="rId142" o:title=""/>
                  <o:lock v:ext="edit" aspectratio="t"/>
                  <w10:wrap type="none"/>
                  <w10:anchorlock/>
                </v:shape>
                <o:OLEObject Type="Embed" ProgID="Equation.3" ShapeID="_x0000_i1135" DrawAspect="Content" ObjectID="_1468075823" r:id="rId180">
                  <o:LockedField>false</o:LockedField>
                </o:OLEObject>
              </w:object>
            </w:r>
          </w:p>
          <w:p w14:paraId="09AA11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（mg/kg）</w:t>
            </w:r>
          </w:p>
        </w:tc>
        <w:tc>
          <w:tcPr>
            <w:tcW w:w="1163" w:type="dxa"/>
            <w:vMerge w:val="restart"/>
            <w:tcBorders>
              <w:tl2br w:val="nil"/>
              <w:tr2bl w:val="nil"/>
            </w:tcBorders>
            <w:noWrap w:val="0"/>
            <w:vAlign w:val="center"/>
          </w:tcPr>
          <w:p w14:paraId="77E16A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标准偏差</w:t>
            </w:r>
            <w:r>
              <w:rPr>
                <w:rFonts w:hint="default" w:ascii="Times New Roman" w:hAnsi="Times New Roman" w:cs="Times New Roman"/>
                <w:color w:val="000000"/>
                <w:kern w:val="0"/>
                <w:position w:val="-12"/>
                <w:sz w:val="18"/>
                <w:szCs w:val="18"/>
                <w:highlight w:val="none"/>
              </w:rPr>
              <w:object>
                <v:shape id="_x0000_i1136" o:spt="75" type="#_x0000_t75" style="height:18pt;width:12pt;" o:ole="t" filled="f" o:preferrelative="t" stroked="f" coordsize="21600,21600">
                  <v:path/>
                  <v:fill on="f" focussize="0,0"/>
                  <v:stroke on="f"/>
                  <v:imagedata r:id="rId144" o:title=""/>
                  <o:lock v:ext="edit" aspectratio="t"/>
                  <w10:wrap type="none"/>
                  <w10:anchorlock/>
                </v:shape>
                <o:OLEObject Type="Embed" ProgID="Equation.3" ShapeID="_x0000_i1136" DrawAspect="Content" ObjectID="_1468075824" r:id="rId181">
                  <o:LockedField>false</o:LockedField>
                </o:OLEObject>
              </w:object>
            </w:r>
            <w:r>
              <w:rPr>
                <w:rFonts w:hint="default" w:ascii="Times New Roman" w:hAnsi="Times New Roman" w:cs="Times New Roman"/>
                <w:color w:val="000000"/>
                <w:sz w:val="18"/>
                <w:szCs w:val="18"/>
                <w:highlight w:val="none"/>
              </w:rPr>
              <w:t>（mg/kg）</w:t>
            </w:r>
          </w:p>
        </w:tc>
        <w:tc>
          <w:tcPr>
            <w:tcW w:w="760" w:type="dxa"/>
            <w:vMerge w:val="restart"/>
            <w:tcBorders>
              <w:tl2br w:val="nil"/>
              <w:tr2bl w:val="nil"/>
            </w:tcBorders>
            <w:noWrap w:val="0"/>
            <w:vAlign w:val="center"/>
          </w:tcPr>
          <w:p w14:paraId="774A3A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i/>
                <w:iCs/>
                <w:color w:val="000000"/>
                <w:sz w:val="18"/>
                <w:szCs w:val="18"/>
                <w:highlight w:val="none"/>
                <w:lang w:val="en-US" w:eastAsia="zh-CN"/>
              </w:rPr>
              <w:t>t</w:t>
            </w:r>
            <w:r>
              <w:rPr>
                <w:rFonts w:hint="default" w:ascii="Times New Roman" w:hAnsi="Times New Roman" w:cs="Times New Roman"/>
                <w:color w:val="000000"/>
                <w:sz w:val="18"/>
                <w:szCs w:val="18"/>
                <w:highlight w:val="none"/>
              </w:rPr>
              <w:t>值</w:t>
            </w:r>
          </w:p>
        </w:tc>
        <w:tc>
          <w:tcPr>
            <w:tcW w:w="1205" w:type="dxa"/>
            <w:vMerge w:val="restart"/>
            <w:tcBorders>
              <w:tl2br w:val="nil"/>
              <w:tr2bl w:val="nil"/>
            </w:tcBorders>
            <w:noWrap w:val="0"/>
            <w:vAlign w:val="center"/>
          </w:tcPr>
          <w:p w14:paraId="0AF7EE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计算的方法检出限（mg/kg）</w:t>
            </w:r>
          </w:p>
        </w:tc>
        <w:tc>
          <w:tcPr>
            <w:tcW w:w="1093" w:type="dxa"/>
            <w:vMerge w:val="restart"/>
            <w:tcBorders>
              <w:tl2br w:val="nil"/>
              <w:tr2bl w:val="nil"/>
            </w:tcBorders>
            <w:shd w:val="clear" w:color="auto" w:fill="auto"/>
            <w:noWrap w:val="0"/>
            <w:vAlign w:val="center"/>
          </w:tcPr>
          <w:p w14:paraId="08C96F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方法检出限（mg/kg）</w:t>
            </w:r>
          </w:p>
        </w:tc>
        <w:tc>
          <w:tcPr>
            <w:tcW w:w="1204" w:type="dxa"/>
            <w:vMerge w:val="restart"/>
            <w:tcBorders>
              <w:tl2br w:val="nil"/>
              <w:tr2bl w:val="nil"/>
            </w:tcBorders>
            <w:shd w:val="clear" w:color="auto" w:fill="auto"/>
            <w:noWrap w:val="0"/>
            <w:vAlign w:val="center"/>
          </w:tcPr>
          <w:p w14:paraId="61D3F1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测定</w:t>
            </w:r>
            <w:r>
              <w:rPr>
                <w:rFonts w:hint="default" w:ascii="Times New Roman" w:hAnsi="Times New Roman" w:cs="Times New Roman"/>
                <w:color w:val="000000"/>
                <w:sz w:val="18"/>
                <w:szCs w:val="18"/>
                <w:highlight w:val="none"/>
                <w:lang w:val="en-US" w:eastAsia="zh-CN"/>
              </w:rPr>
              <w:t>下</w:t>
            </w:r>
            <w:r>
              <w:rPr>
                <w:rFonts w:hint="default" w:ascii="Times New Roman" w:hAnsi="Times New Roman" w:cs="Times New Roman"/>
                <w:color w:val="000000"/>
                <w:sz w:val="18"/>
                <w:szCs w:val="18"/>
                <w:highlight w:val="none"/>
              </w:rPr>
              <w:t>限（mg/kg）</w:t>
            </w:r>
          </w:p>
        </w:tc>
      </w:tr>
      <w:tr w14:paraId="5E001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 w:hRule="atLeast"/>
          <w:tblHeader/>
          <w:jc w:val="center"/>
        </w:trPr>
        <w:tc>
          <w:tcPr>
            <w:tcW w:w="1529" w:type="dxa"/>
            <w:vMerge w:val="continue"/>
            <w:tcBorders>
              <w:tl2br w:val="nil"/>
              <w:tr2bl w:val="nil"/>
            </w:tcBorders>
            <w:noWrap w:val="0"/>
            <w:vAlign w:val="center"/>
          </w:tcPr>
          <w:p w14:paraId="7100DF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704" w:type="dxa"/>
            <w:tcBorders>
              <w:tl2br w:val="nil"/>
              <w:tr2bl w:val="nil"/>
            </w:tcBorders>
            <w:noWrap w:val="0"/>
            <w:vAlign w:val="center"/>
          </w:tcPr>
          <w:p w14:paraId="5D6ACA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空白</w:t>
            </w:r>
          </w:p>
        </w:tc>
        <w:tc>
          <w:tcPr>
            <w:tcW w:w="785" w:type="dxa"/>
            <w:tcBorders>
              <w:tl2br w:val="nil"/>
              <w:tr2bl w:val="nil"/>
            </w:tcBorders>
            <w:noWrap w:val="0"/>
            <w:vAlign w:val="center"/>
          </w:tcPr>
          <w:p w14:paraId="39DBF4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1</w:t>
            </w:r>
          </w:p>
        </w:tc>
        <w:tc>
          <w:tcPr>
            <w:tcW w:w="785" w:type="dxa"/>
            <w:tcBorders>
              <w:tl2br w:val="nil"/>
              <w:tr2bl w:val="nil"/>
            </w:tcBorders>
            <w:noWrap w:val="0"/>
            <w:vAlign w:val="center"/>
          </w:tcPr>
          <w:p w14:paraId="6FC2BD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p>
        </w:tc>
        <w:tc>
          <w:tcPr>
            <w:tcW w:w="780" w:type="dxa"/>
            <w:tcBorders>
              <w:tl2br w:val="nil"/>
              <w:tr2bl w:val="nil"/>
            </w:tcBorders>
            <w:noWrap w:val="0"/>
            <w:vAlign w:val="center"/>
          </w:tcPr>
          <w:p w14:paraId="5A50FB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726" w:type="dxa"/>
            <w:tcBorders>
              <w:tl2br w:val="nil"/>
              <w:tr2bl w:val="nil"/>
            </w:tcBorders>
            <w:noWrap w:val="0"/>
            <w:vAlign w:val="center"/>
          </w:tcPr>
          <w:p w14:paraId="214A26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740" w:type="dxa"/>
            <w:tcBorders>
              <w:tl2br w:val="nil"/>
              <w:tr2bl w:val="nil"/>
            </w:tcBorders>
            <w:noWrap w:val="0"/>
            <w:vAlign w:val="center"/>
          </w:tcPr>
          <w:p w14:paraId="0D4D44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755" w:type="dxa"/>
            <w:tcBorders>
              <w:tl2br w:val="nil"/>
              <w:tr2bl w:val="nil"/>
            </w:tcBorders>
            <w:noWrap w:val="0"/>
            <w:vAlign w:val="center"/>
          </w:tcPr>
          <w:p w14:paraId="65C15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6</w:t>
            </w:r>
          </w:p>
        </w:tc>
        <w:tc>
          <w:tcPr>
            <w:tcW w:w="806" w:type="dxa"/>
            <w:tcBorders>
              <w:tl2br w:val="nil"/>
              <w:tr2bl w:val="nil"/>
            </w:tcBorders>
            <w:noWrap w:val="0"/>
            <w:vAlign w:val="center"/>
          </w:tcPr>
          <w:p w14:paraId="45D7A2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7</w:t>
            </w:r>
          </w:p>
        </w:tc>
        <w:tc>
          <w:tcPr>
            <w:tcW w:w="1139" w:type="dxa"/>
            <w:vMerge w:val="continue"/>
            <w:tcBorders>
              <w:tl2br w:val="nil"/>
              <w:tr2bl w:val="nil"/>
            </w:tcBorders>
            <w:noWrap w:val="0"/>
            <w:vAlign w:val="center"/>
          </w:tcPr>
          <w:p w14:paraId="25633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163" w:type="dxa"/>
            <w:vMerge w:val="continue"/>
            <w:tcBorders>
              <w:tl2br w:val="nil"/>
              <w:tr2bl w:val="nil"/>
            </w:tcBorders>
            <w:noWrap w:val="0"/>
            <w:vAlign w:val="center"/>
          </w:tcPr>
          <w:p w14:paraId="48EDF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760" w:type="dxa"/>
            <w:vMerge w:val="continue"/>
            <w:tcBorders>
              <w:tl2br w:val="nil"/>
              <w:tr2bl w:val="nil"/>
            </w:tcBorders>
            <w:noWrap w:val="0"/>
            <w:vAlign w:val="center"/>
          </w:tcPr>
          <w:p w14:paraId="458534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205" w:type="dxa"/>
            <w:vMerge w:val="continue"/>
            <w:tcBorders>
              <w:tl2br w:val="nil"/>
              <w:tr2bl w:val="nil"/>
            </w:tcBorders>
            <w:noWrap w:val="0"/>
            <w:vAlign w:val="center"/>
          </w:tcPr>
          <w:p w14:paraId="7D285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093" w:type="dxa"/>
            <w:vMerge w:val="continue"/>
            <w:tcBorders>
              <w:tl2br w:val="nil"/>
              <w:tr2bl w:val="nil"/>
            </w:tcBorders>
            <w:noWrap w:val="0"/>
            <w:vAlign w:val="top"/>
          </w:tcPr>
          <w:p w14:paraId="24BA53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c>
          <w:tcPr>
            <w:tcW w:w="1204" w:type="dxa"/>
            <w:vMerge w:val="continue"/>
            <w:tcBorders>
              <w:tl2br w:val="nil"/>
              <w:tr2bl w:val="nil"/>
            </w:tcBorders>
            <w:noWrap w:val="0"/>
            <w:vAlign w:val="center"/>
          </w:tcPr>
          <w:p w14:paraId="414D7C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p>
        </w:tc>
      </w:tr>
      <w:tr w14:paraId="5DB99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tcBorders>
              <w:tl2br w:val="nil"/>
              <w:tr2bl w:val="nil"/>
            </w:tcBorders>
            <w:noWrap w:val="0"/>
            <w:vAlign w:val="center"/>
          </w:tcPr>
          <w:p w14:paraId="344BDC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704" w:type="dxa"/>
            <w:tcBorders>
              <w:tl2br w:val="nil"/>
              <w:tr2bl w:val="nil"/>
            </w:tcBorders>
            <w:noWrap w:val="0"/>
            <w:vAlign w:val="center"/>
          </w:tcPr>
          <w:p w14:paraId="51BD9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85" w:type="dxa"/>
            <w:tcBorders>
              <w:tl2br w:val="nil"/>
              <w:tr2bl w:val="nil"/>
            </w:tcBorders>
            <w:noWrap w:val="0"/>
            <w:vAlign w:val="bottom"/>
          </w:tcPr>
          <w:p w14:paraId="6D683A17">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0.041</w:t>
            </w:r>
          </w:p>
        </w:tc>
        <w:tc>
          <w:tcPr>
            <w:tcW w:w="785" w:type="dxa"/>
            <w:tcBorders>
              <w:tl2br w:val="nil"/>
              <w:tr2bl w:val="nil"/>
            </w:tcBorders>
            <w:noWrap w:val="0"/>
            <w:vAlign w:val="bottom"/>
          </w:tcPr>
          <w:p w14:paraId="3F6B4C30">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0.049</w:t>
            </w:r>
          </w:p>
        </w:tc>
        <w:tc>
          <w:tcPr>
            <w:tcW w:w="780" w:type="dxa"/>
            <w:tcBorders>
              <w:tl2br w:val="nil"/>
              <w:tr2bl w:val="nil"/>
            </w:tcBorders>
            <w:noWrap w:val="0"/>
            <w:vAlign w:val="bottom"/>
          </w:tcPr>
          <w:p w14:paraId="5A2445B4">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0.041</w:t>
            </w:r>
          </w:p>
        </w:tc>
        <w:tc>
          <w:tcPr>
            <w:tcW w:w="726" w:type="dxa"/>
            <w:tcBorders>
              <w:tl2br w:val="nil"/>
              <w:tr2bl w:val="nil"/>
            </w:tcBorders>
            <w:noWrap w:val="0"/>
            <w:vAlign w:val="bottom"/>
          </w:tcPr>
          <w:p w14:paraId="2563B03F">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0.040</w:t>
            </w:r>
          </w:p>
        </w:tc>
        <w:tc>
          <w:tcPr>
            <w:tcW w:w="740" w:type="dxa"/>
            <w:tcBorders>
              <w:tl2br w:val="nil"/>
              <w:tr2bl w:val="nil"/>
            </w:tcBorders>
            <w:noWrap w:val="0"/>
            <w:vAlign w:val="bottom"/>
          </w:tcPr>
          <w:p w14:paraId="2C84FFC9">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0.043</w:t>
            </w:r>
          </w:p>
        </w:tc>
        <w:tc>
          <w:tcPr>
            <w:tcW w:w="755" w:type="dxa"/>
            <w:tcBorders>
              <w:tl2br w:val="nil"/>
              <w:tr2bl w:val="nil"/>
            </w:tcBorders>
            <w:noWrap w:val="0"/>
            <w:vAlign w:val="bottom"/>
          </w:tcPr>
          <w:p w14:paraId="0290DE0E">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0.042</w:t>
            </w:r>
          </w:p>
        </w:tc>
        <w:tc>
          <w:tcPr>
            <w:tcW w:w="806" w:type="dxa"/>
            <w:tcBorders>
              <w:tl2br w:val="nil"/>
              <w:tr2bl w:val="nil"/>
            </w:tcBorders>
            <w:noWrap w:val="0"/>
            <w:vAlign w:val="bottom"/>
          </w:tcPr>
          <w:p w14:paraId="594AB3C3">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0.040</w:t>
            </w:r>
          </w:p>
        </w:tc>
        <w:tc>
          <w:tcPr>
            <w:tcW w:w="1139" w:type="dxa"/>
            <w:tcBorders>
              <w:tl2br w:val="nil"/>
              <w:tr2bl w:val="nil"/>
            </w:tcBorders>
            <w:noWrap w:val="0"/>
            <w:vAlign w:val="bottom"/>
          </w:tcPr>
          <w:p w14:paraId="30E7E2C1">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eastAsia="等线" w:cs="Times New Roman"/>
                <w:i w:val="0"/>
                <w:iCs w:val="0"/>
                <w:color w:val="000000"/>
                <w:kern w:val="0"/>
                <w:sz w:val="18"/>
                <w:szCs w:val="18"/>
                <w:u w:val="none"/>
                <w:lang w:val="en-US" w:eastAsia="zh-CN" w:bidi="ar"/>
              </w:rPr>
              <w:t>0.042</w:t>
            </w:r>
          </w:p>
        </w:tc>
        <w:tc>
          <w:tcPr>
            <w:tcW w:w="1163" w:type="dxa"/>
            <w:tcBorders>
              <w:tl2br w:val="nil"/>
              <w:tr2bl w:val="nil"/>
            </w:tcBorders>
            <w:noWrap w:val="0"/>
            <w:vAlign w:val="bottom"/>
          </w:tcPr>
          <w:p w14:paraId="50CDAF01">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eastAsia="等线" w:cs="Times New Roman"/>
                <w:i w:val="0"/>
                <w:iCs w:val="0"/>
                <w:color w:val="000000"/>
                <w:kern w:val="0"/>
                <w:sz w:val="18"/>
                <w:szCs w:val="18"/>
                <w:u w:val="none"/>
                <w:lang w:val="en-US" w:eastAsia="zh-CN" w:bidi="ar"/>
              </w:rPr>
              <w:t>0.003</w:t>
            </w:r>
          </w:p>
        </w:tc>
        <w:tc>
          <w:tcPr>
            <w:tcW w:w="760" w:type="dxa"/>
            <w:tcBorders>
              <w:tl2br w:val="nil"/>
              <w:tr2bl w:val="nil"/>
            </w:tcBorders>
            <w:noWrap w:val="0"/>
            <w:vAlign w:val="bottom"/>
          </w:tcPr>
          <w:p w14:paraId="31AF3D6C">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等线" w:cs="Times New Roman"/>
                <w:i w:val="0"/>
                <w:iCs w:val="0"/>
                <w:color w:val="000000"/>
                <w:kern w:val="0"/>
                <w:sz w:val="18"/>
                <w:szCs w:val="18"/>
                <w:u w:val="none"/>
                <w:lang w:val="en-US" w:eastAsia="zh-CN" w:bidi="ar"/>
              </w:rPr>
              <w:t>3.143</w:t>
            </w:r>
          </w:p>
        </w:tc>
        <w:tc>
          <w:tcPr>
            <w:tcW w:w="1205" w:type="dxa"/>
            <w:tcBorders>
              <w:tl2br w:val="nil"/>
              <w:tr2bl w:val="nil"/>
            </w:tcBorders>
            <w:noWrap w:val="0"/>
            <w:vAlign w:val="bottom"/>
          </w:tcPr>
          <w:p w14:paraId="1EE1A211">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等线" w:cs="Times New Roman"/>
                <w:i w:val="0"/>
                <w:iCs w:val="0"/>
                <w:color w:val="000000"/>
                <w:kern w:val="0"/>
                <w:sz w:val="18"/>
                <w:szCs w:val="18"/>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0.0097</w:t>
            </w:r>
          </w:p>
        </w:tc>
        <w:tc>
          <w:tcPr>
            <w:tcW w:w="1093" w:type="dxa"/>
            <w:tcBorders>
              <w:tl2br w:val="nil"/>
              <w:tr2bl w:val="nil"/>
            </w:tcBorders>
            <w:shd w:val="clear" w:color="auto" w:fill="auto"/>
            <w:noWrap w:val="0"/>
            <w:vAlign w:val="bottom"/>
          </w:tcPr>
          <w:p w14:paraId="34ACCA07">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eastAsia="等线" w:cs="Times New Roman"/>
                <w:i w:val="0"/>
                <w:iCs w:val="0"/>
                <w:color w:val="000000"/>
                <w:kern w:val="0"/>
                <w:sz w:val="18"/>
                <w:szCs w:val="18"/>
                <w:u w:val="none"/>
                <w:lang w:val="en-US" w:eastAsia="zh-CN" w:bidi="ar"/>
              </w:rPr>
              <w:t>0.01</w:t>
            </w:r>
          </w:p>
        </w:tc>
        <w:tc>
          <w:tcPr>
            <w:tcW w:w="1204" w:type="dxa"/>
            <w:tcBorders>
              <w:tl2br w:val="nil"/>
              <w:tr2bl w:val="nil"/>
            </w:tcBorders>
            <w:shd w:val="clear" w:color="auto" w:fill="auto"/>
            <w:noWrap w:val="0"/>
            <w:vAlign w:val="bottom"/>
          </w:tcPr>
          <w:p w14:paraId="5D55425A">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等线" w:cs="Times New Roman"/>
                <w:i w:val="0"/>
                <w:iCs w:val="0"/>
                <w:color w:val="000000"/>
                <w:kern w:val="0"/>
                <w:sz w:val="18"/>
                <w:szCs w:val="18"/>
                <w:u w:val="none"/>
                <w:lang w:val="en-US" w:eastAsia="zh-CN" w:bidi="ar"/>
              </w:rPr>
              <w:t>0.04</w:t>
            </w:r>
          </w:p>
        </w:tc>
      </w:tr>
      <w:tr w14:paraId="05C91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tcBorders>
              <w:tl2br w:val="nil"/>
              <w:tr2bl w:val="nil"/>
            </w:tcBorders>
            <w:noWrap w:val="0"/>
            <w:vAlign w:val="center"/>
          </w:tcPr>
          <w:p w14:paraId="4424BA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2,4</w:t>
            </w:r>
            <w:r>
              <w:rPr>
                <w:rFonts w:hint="default" w:cs="Times New Roman"/>
                <w:color w:val="000000"/>
                <w:sz w:val="18"/>
                <w:szCs w:val="18"/>
                <w:highlight w:val="none"/>
                <w:lang w:val="en-US" w:eastAsia="zh-CN"/>
              </w:rPr>
              <w:t>’</w:t>
            </w:r>
            <w:r>
              <w:rPr>
                <w:rFonts w:hint="default" w:ascii="Times New Roman" w:hAnsi="Times New Roman" w:cs="Times New Roman"/>
                <w:color w:val="000000"/>
                <w:sz w:val="18"/>
                <w:szCs w:val="18"/>
                <w:highlight w:val="none"/>
                <w:lang w:val="en-US" w:eastAsia="zh-CN"/>
              </w:rPr>
              <w:t>-三氯杀螨醇</w:t>
            </w:r>
          </w:p>
        </w:tc>
        <w:tc>
          <w:tcPr>
            <w:tcW w:w="704" w:type="dxa"/>
            <w:tcBorders>
              <w:tl2br w:val="nil"/>
              <w:tr2bl w:val="nil"/>
            </w:tcBorders>
            <w:noWrap w:val="0"/>
            <w:vAlign w:val="center"/>
          </w:tcPr>
          <w:p w14:paraId="599E60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cs="Times New Roman"/>
                <w:color w:val="000000"/>
                <w:kern w:val="0"/>
                <w:sz w:val="18"/>
                <w:szCs w:val="18"/>
                <w:highlight w:val="none"/>
                <w:lang w:bidi="ar"/>
              </w:rPr>
              <w:t>ND</w:t>
            </w:r>
          </w:p>
        </w:tc>
        <w:tc>
          <w:tcPr>
            <w:tcW w:w="785" w:type="dxa"/>
            <w:tcBorders>
              <w:tl2br w:val="nil"/>
              <w:tr2bl w:val="nil"/>
            </w:tcBorders>
            <w:noWrap w:val="0"/>
            <w:vAlign w:val="bottom"/>
          </w:tcPr>
          <w:p w14:paraId="6746A465">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0.041</w:t>
            </w:r>
          </w:p>
        </w:tc>
        <w:tc>
          <w:tcPr>
            <w:tcW w:w="785" w:type="dxa"/>
            <w:tcBorders>
              <w:tl2br w:val="nil"/>
              <w:tr2bl w:val="nil"/>
            </w:tcBorders>
            <w:noWrap w:val="0"/>
            <w:vAlign w:val="bottom"/>
          </w:tcPr>
          <w:p w14:paraId="1FC720F1">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0.053</w:t>
            </w:r>
          </w:p>
        </w:tc>
        <w:tc>
          <w:tcPr>
            <w:tcW w:w="780" w:type="dxa"/>
            <w:tcBorders>
              <w:tl2br w:val="nil"/>
              <w:tr2bl w:val="nil"/>
            </w:tcBorders>
            <w:noWrap w:val="0"/>
            <w:vAlign w:val="bottom"/>
          </w:tcPr>
          <w:p w14:paraId="38ED5888">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0.041</w:t>
            </w:r>
          </w:p>
        </w:tc>
        <w:tc>
          <w:tcPr>
            <w:tcW w:w="726" w:type="dxa"/>
            <w:tcBorders>
              <w:tl2br w:val="nil"/>
              <w:tr2bl w:val="nil"/>
            </w:tcBorders>
            <w:noWrap w:val="0"/>
            <w:vAlign w:val="bottom"/>
          </w:tcPr>
          <w:p w14:paraId="266747C6">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0.042</w:t>
            </w:r>
          </w:p>
        </w:tc>
        <w:tc>
          <w:tcPr>
            <w:tcW w:w="740" w:type="dxa"/>
            <w:tcBorders>
              <w:tl2br w:val="nil"/>
              <w:tr2bl w:val="nil"/>
            </w:tcBorders>
            <w:noWrap w:val="0"/>
            <w:vAlign w:val="bottom"/>
          </w:tcPr>
          <w:p w14:paraId="300C9FD6">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0.044</w:t>
            </w:r>
          </w:p>
        </w:tc>
        <w:tc>
          <w:tcPr>
            <w:tcW w:w="755" w:type="dxa"/>
            <w:tcBorders>
              <w:tl2br w:val="nil"/>
              <w:tr2bl w:val="nil"/>
            </w:tcBorders>
            <w:noWrap w:val="0"/>
            <w:vAlign w:val="bottom"/>
          </w:tcPr>
          <w:p w14:paraId="6EE0017B">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0.042</w:t>
            </w:r>
          </w:p>
        </w:tc>
        <w:tc>
          <w:tcPr>
            <w:tcW w:w="806" w:type="dxa"/>
            <w:tcBorders>
              <w:tl2br w:val="nil"/>
              <w:tr2bl w:val="nil"/>
            </w:tcBorders>
            <w:noWrap w:val="0"/>
            <w:vAlign w:val="bottom"/>
          </w:tcPr>
          <w:p w14:paraId="3FD10D33">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0.043</w:t>
            </w:r>
          </w:p>
        </w:tc>
        <w:tc>
          <w:tcPr>
            <w:tcW w:w="1139" w:type="dxa"/>
            <w:tcBorders>
              <w:tl2br w:val="nil"/>
              <w:tr2bl w:val="nil"/>
            </w:tcBorders>
            <w:noWrap w:val="0"/>
            <w:vAlign w:val="bottom"/>
          </w:tcPr>
          <w:p w14:paraId="2A1566DF">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eastAsia="等线" w:cs="Times New Roman"/>
                <w:i w:val="0"/>
                <w:iCs w:val="0"/>
                <w:color w:val="000000"/>
                <w:kern w:val="0"/>
                <w:sz w:val="18"/>
                <w:szCs w:val="18"/>
                <w:u w:val="none"/>
                <w:lang w:val="en-US" w:eastAsia="zh-CN" w:bidi="ar"/>
              </w:rPr>
              <w:t>0.044</w:t>
            </w:r>
          </w:p>
        </w:tc>
        <w:tc>
          <w:tcPr>
            <w:tcW w:w="1163" w:type="dxa"/>
            <w:tcBorders>
              <w:tl2br w:val="nil"/>
              <w:tr2bl w:val="nil"/>
            </w:tcBorders>
            <w:noWrap w:val="0"/>
            <w:vAlign w:val="bottom"/>
          </w:tcPr>
          <w:p w14:paraId="5A059D2F">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kern w:val="0"/>
                <w:sz w:val="18"/>
                <w:szCs w:val="18"/>
                <w:highlight w:val="none"/>
                <w:lang w:bidi="ar"/>
              </w:rPr>
            </w:pPr>
            <w:r>
              <w:rPr>
                <w:rFonts w:hint="default" w:ascii="Times New Roman" w:hAnsi="Times New Roman" w:eastAsia="等线" w:cs="Times New Roman"/>
                <w:i w:val="0"/>
                <w:iCs w:val="0"/>
                <w:color w:val="000000"/>
                <w:kern w:val="0"/>
                <w:sz w:val="18"/>
                <w:szCs w:val="18"/>
                <w:u w:val="none"/>
                <w:lang w:val="en-US" w:eastAsia="zh-CN" w:bidi="ar"/>
              </w:rPr>
              <w:t>0.004</w:t>
            </w:r>
          </w:p>
        </w:tc>
        <w:tc>
          <w:tcPr>
            <w:tcW w:w="760" w:type="dxa"/>
            <w:tcBorders>
              <w:tl2br w:val="nil"/>
              <w:tr2bl w:val="nil"/>
            </w:tcBorders>
            <w:noWrap w:val="0"/>
            <w:vAlign w:val="bottom"/>
          </w:tcPr>
          <w:p w14:paraId="36F5CF24">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cs="Times New Roman"/>
                <w:color w:val="000000"/>
                <w:sz w:val="18"/>
                <w:szCs w:val="18"/>
                <w:highlight w:val="none"/>
              </w:rPr>
            </w:pPr>
            <w:r>
              <w:rPr>
                <w:rFonts w:hint="default" w:ascii="Times New Roman" w:hAnsi="Times New Roman" w:eastAsia="等线" w:cs="Times New Roman"/>
                <w:i w:val="0"/>
                <w:iCs w:val="0"/>
                <w:color w:val="000000"/>
                <w:kern w:val="0"/>
                <w:sz w:val="18"/>
                <w:szCs w:val="18"/>
                <w:u w:val="none"/>
                <w:lang w:val="en-US" w:eastAsia="zh-CN" w:bidi="ar"/>
              </w:rPr>
              <w:t>3.143</w:t>
            </w:r>
          </w:p>
        </w:tc>
        <w:tc>
          <w:tcPr>
            <w:tcW w:w="1205" w:type="dxa"/>
            <w:tcBorders>
              <w:tl2br w:val="nil"/>
              <w:tr2bl w:val="nil"/>
            </w:tcBorders>
            <w:noWrap w:val="0"/>
            <w:vAlign w:val="bottom"/>
          </w:tcPr>
          <w:p w14:paraId="431989CA">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等线" w:cs="Times New Roman"/>
                <w:i w:val="0"/>
                <w:iCs w:val="0"/>
                <w:color w:val="000000"/>
                <w:kern w:val="0"/>
                <w:sz w:val="18"/>
                <w:szCs w:val="18"/>
                <w:u w:val="none"/>
                <w:lang w:val="en-US" w:eastAsia="zh-CN" w:bidi="ar"/>
              </w:rPr>
            </w:pPr>
            <w:r>
              <w:rPr>
                <w:rFonts w:hint="default" w:ascii="Times New Roman" w:hAnsi="Times New Roman" w:eastAsia="等线" w:cs="Times New Roman"/>
                <w:i w:val="0"/>
                <w:iCs w:val="0"/>
                <w:color w:val="000000"/>
                <w:kern w:val="0"/>
                <w:sz w:val="18"/>
                <w:szCs w:val="18"/>
                <w:u w:val="none"/>
                <w:lang w:val="en-US" w:eastAsia="zh-CN" w:bidi="ar"/>
              </w:rPr>
              <w:t>0.013</w:t>
            </w:r>
          </w:p>
        </w:tc>
        <w:tc>
          <w:tcPr>
            <w:tcW w:w="1093" w:type="dxa"/>
            <w:tcBorders>
              <w:tl2br w:val="nil"/>
              <w:tr2bl w:val="nil"/>
            </w:tcBorders>
            <w:shd w:val="clear" w:color="auto" w:fill="auto"/>
            <w:noWrap w:val="0"/>
            <w:vAlign w:val="bottom"/>
          </w:tcPr>
          <w:p w14:paraId="4746182A">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等线" w:cs="Times New Roman"/>
                <w:i w:val="0"/>
                <w:iCs w:val="0"/>
                <w:color w:val="000000"/>
                <w:kern w:val="0"/>
                <w:sz w:val="18"/>
                <w:szCs w:val="18"/>
                <w:u w:val="none"/>
                <w:lang w:val="en-US" w:eastAsia="zh-CN" w:bidi="ar"/>
              </w:rPr>
              <w:t>0.02</w:t>
            </w:r>
          </w:p>
        </w:tc>
        <w:tc>
          <w:tcPr>
            <w:tcW w:w="1204" w:type="dxa"/>
            <w:tcBorders>
              <w:tl2br w:val="nil"/>
              <w:tr2bl w:val="nil"/>
            </w:tcBorders>
            <w:shd w:val="clear" w:color="auto" w:fill="auto"/>
            <w:noWrap w:val="0"/>
            <w:vAlign w:val="bottom"/>
          </w:tcPr>
          <w:p w14:paraId="487B08B2">
            <w:pPr>
              <w:keepNext w:val="0"/>
              <w:keepLines w:val="0"/>
              <w:pageBreakBefore w:val="0"/>
              <w:widowControl/>
              <w:suppressLineNumbers w:val="0"/>
              <w:kinsoku/>
              <w:wordWrap/>
              <w:overflow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等线" w:cs="Times New Roman"/>
                <w:i w:val="0"/>
                <w:iCs w:val="0"/>
                <w:color w:val="000000"/>
                <w:kern w:val="0"/>
                <w:sz w:val="18"/>
                <w:szCs w:val="18"/>
                <w:u w:val="none"/>
                <w:lang w:val="en-US" w:eastAsia="zh-CN" w:bidi="ar"/>
              </w:rPr>
              <w:t>0.08</w:t>
            </w:r>
          </w:p>
        </w:tc>
      </w:tr>
      <w:tr w14:paraId="40A21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174" w:type="dxa"/>
            <w:gridSpan w:val="15"/>
            <w:tcBorders>
              <w:tl2br w:val="nil"/>
              <w:tr2bl w:val="nil"/>
            </w:tcBorders>
            <w:noWrap w:val="0"/>
            <w:vAlign w:val="top"/>
          </w:tcPr>
          <w:p w14:paraId="66F7AD3D">
            <w:pPr>
              <w:keepNext w:val="0"/>
              <w:keepLines w:val="0"/>
              <w:pageBreakBefore w:val="0"/>
              <w:widowControl/>
              <w:tabs>
                <w:tab w:val="left" w:pos="210"/>
                <w:tab w:val="left" w:pos="420"/>
                <w:tab w:val="left" w:pos="630"/>
              </w:tabs>
              <w:kinsoku/>
              <w:wordWrap/>
              <w:overflowPunct/>
              <w:topLinePunct w:val="0"/>
              <w:autoSpaceDE/>
              <w:autoSpaceDN/>
              <w:bidi w:val="0"/>
              <w:adjustRightInd/>
              <w:snapToGrid/>
              <w:spacing w:line="240" w:lineRule="auto"/>
              <w:ind w:firstLine="0" w:firstLineChars="0"/>
              <w:jc w:val="both"/>
              <w:textAlignment w:val="bottom"/>
              <w:rPr>
                <w:rFonts w:hint="default" w:ascii="Times New Roman" w:hAnsi="Times New Roman" w:cs="Times New Roman"/>
                <w:color w:val="000000"/>
                <w:sz w:val="18"/>
                <w:szCs w:val="18"/>
                <w:highlight w:val="none"/>
              </w:rPr>
            </w:pPr>
            <w:r>
              <w:rPr>
                <w:rFonts w:hint="default" w:ascii="Times New Roman" w:hAnsi="Times New Roman" w:cs="Times New Roman"/>
                <w:bCs/>
                <w:color w:val="000000"/>
                <w:sz w:val="18"/>
                <w:szCs w:val="18"/>
                <w:highlight w:val="none"/>
              </w:rPr>
              <w:t>注</w:t>
            </w:r>
            <w:r>
              <w:rPr>
                <w:rFonts w:hint="default" w:ascii="Times New Roman" w:hAnsi="Times New Roman" w:cs="Times New Roman"/>
                <w:color w:val="000000"/>
                <w:sz w:val="18"/>
                <w:szCs w:val="18"/>
                <w:highlight w:val="none"/>
              </w:rPr>
              <w:t>：</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1）</w:t>
            </w:r>
            <w:r>
              <w:rPr>
                <w:rFonts w:hint="default" w:ascii="Times New Roman" w:hAnsi="Times New Roman" w:cs="Times New Roman"/>
                <w:bCs/>
                <w:color w:val="000000"/>
                <w:sz w:val="18"/>
                <w:szCs w:val="18"/>
                <w:highlight w:val="none"/>
              </w:rPr>
              <w:t>ND为未检出</w:t>
            </w:r>
            <w:r>
              <w:rPr>
                <w:rFonts w:hint="default" w:ascii="Times New Roman" w:hAnsi="Times New Roman" w:cs="Times New Roman"/>
                <w:color w:val="000000"/>
                <w:sz w:val="18"/>
                <w:szCs w:val="18"/>
                <w:highlight w:val="none"/>
              </w:rPr>
              <w:t>。</w:t>
            </w:r>
          </w:p>
          <w:p w14:paraId="1B81E10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bottom"/>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2）方法检出限和测定下限保留1位有效数字，其余数据保留2位有效数字。</w:t>
            </w:r>
          </w:p>
        </w:tc>
      </w:tr>
    </w:tbl>
    <w:p w14:paraId="5727AEF6">
      <w:pPr>
        <w:pStyle w:val="3"/>
        <w:bidi w:val="0"/>
        <w:rPr>
          <w:rFonts w:hint="default" w:ascii="Times New Roman" w:hAnsi="Times New Roman" w:cs="Times New Roman"/>
          <w:lang w:val="en-US" w:eastAsia="zh-CN"/>
        </w:rPr>
      </w:pPr>
      <w:bookmarkStart w:id="195" w:name="_Toc32411"/>
      <w:bookmarkStart w:id="196" w:name="_Toc18904"/>
      <w:bookmarkStart w:id="197" w:name="_Toc2686"/>
      <w:bookmarkStart w:id="198" w:name="_Toc20033"/>
      <w:bookmarkStart w:id="199" w:name="_Toc24271"/>
      <w:bookmarkStart w:id="200" w:name="_Toc2277"/>
      <w:r>
        <w:rPr>
          <w:rFonts w:hint="default" w:ascii="Times New Roman" w:hAnsi="Times New Roman" w:cs="Times New Roman"/>
          <w:lang w:val="en-US" w:eastAsia="zh-CN"/>
        </w:rPr>
        <w:t>2.2  方法精密度数据</w:t>
      </w:r>
      <w:bookmarkEnd w:id="195"/>
      <w:bookmarkEnd w:id="196"/>
      <w:bookmarkEnd w:id="197"/>
      <w:bookmarkEnd w:id="198"/>
      <w:bookmarkEnd w:id="199"/>
      <w:bookmarkEnd w:id="200"/>
    </w:p>
    <w:p w14:paraId="00E78110">
      <w:pPr>
        <w:bidi w:val="0"/>
        <w:rPr>
          <w:rFonts w:hint="default" w:ascii="Times New Roman" w:hAnsi="Times New Roman" w:cs="Times New Roman"/>
          <w:color w:val="000000"/>
          <w:kern w:val="0"/>
          <w:szCs w:val="21"/>
          <w:highlight w:val="none"/>
          <w:lang w:bidi="ar"/>
        </w:rPr>
      </w:pPr>
      <w:r>
        <w:rPr>
          <w:rFonts w:hint="default" w:ascii="Times New Roman" w:hAnsi="Times New Roman" w:cs="Times New Roman"/>
          <w:color w:val="000000"/>
          <w:kern w:val="0"/>
          <w:szCs w:val="21"/>
          <w:highlight w:val="none"/>
          <w:lang w:val="en-US" w:eastAsia="zh-CN" w:bidi="ar"/>
        </w:rPr>
        <w:t>6</w:t>
      </w:r>
      <w:r>
        <w:rPr>
          <w:rFonts w:hint="default" w:ascii="Times New Roman" w:hAnsi="Times New Roman" w:cs="Times New Roman"/>
          <w:color w:val="000000"/>
          <w:kern w:val="0"/>
          <w:szCs w:val="21"/>
          <w:highlight w:val="none"/>
          <w:lang w:bidi="ar"/>
        </w:rPr>
        <w:t>家验证实验室采用统一实际样品，样品类型包括空白样品和土壤样品。由于实际样品均未检出，因此采取实际样品基体加标进行验证，空白样品和土壤样品加标浓度均</w:t>
      </w:r>
      <w:r>
        <w:rPr>
          <w:rFonts w:hint="default" w:ascii="Times New Roman" w:hAnsi="Times New Roman" w:cs="Times New Roman"/>
          <w:color w:val="000000"/>
          <w:highlight w:val="none"/>
        </w:rPr>
        <w:t>0.10 mg/kg</w:t>
      </w:r>
      <w:r>
        <w:rPr>
          <w:rFonts w:hint="default" w:ascii="Times New Roman" w:hAnsi="Times New Roman" w:cs="Times New Roman"/>
          <w:color w:val="000000"/>
          <w:kern w:val="0"/>
          <w:szCs w:val="21"/>
          <w:highlight w:val="none"/>
          <w:lang w:bidi="ar"/>
        </w:rPr>
        <w:t>、</w:t>
      </w:r>
      <w:r>
        <w:rPr>
          <w:rFonts w:hint="default" w:ascii="Times New Roman" w:hAnsi="Times New Roman" w:cs="Times New Roman"/>
          <w:color w:val="000000"/>
          <w:highlight w:val="none"/>
        </w:rPr>
        <w:t>0.</w:t>
      </w:r>
      <w:r>
        <w:rPr>
          <w:rFonts w:hint="default" w:ascii="Times New Roman" w:hAnsi="Times New Roman" w:cs="Times New Roman"/>
          <w:color w:val="000000"/>
          <w:highlight w:val="none"/>
          <w:lang w:val="en-US" w:eastAsia="zh-CN"/>
        </w:rPr>
        <w:t>4</w:t>
      </w:r>
      <w:r>
        <w:rPr>
          <w:rFonts w:hint="default" w:ascii="Times New Roman" w:hAnsi="Times New Roman" w:cs="Times New Roman"/>
          <w:color w:val="000000"/>
          <w:highlight w:val="none"/>
        </w:rPr>
        <w:t>0 mg/kg</w:t>
      </w:r>
      <w:r>
        <w:rPr>
          <w:rFonts w:hint="default" w:ascii="Times New Roman" w:hAnsi="Times New Roman" w:cs="Times New Roman"/>
          <w:color w:val="000000"/>
          <w:kern w:val="0"/>
          <w:szCs w:val="21"/>
          <w:highlight w:val="none"/>
          <w:lang w:bidi="ar"/>
        </w:rPr>
        <w:t>和</w:t>
      </w:r>
      <w:r>
        <w:rPr>
          <w:rFonts w:hint="default" w:ascii="Times New Roman" w:hAnsi="Times New Roman" w:cs="Times New Roman"/>
          <w:color w:val="000000"/>
          <w:highlight w:val="none"/>
          <w:lang w:val="en-US" w:eastAsia="zh-CN"/>
        </w:rPr>
        <w:t>0.7</w:t>
      </w:r>
      <w:r>
        <w:rPr>
          <w:rFonts w:hint="default" w:ascii="Times New Roman" w:hAnsi="Times New Roman" w:cs="Times New Roman"/>
          <w:color w:val="000000"/>
          <w:highlight w:val="none"/>
        </w:rPr>
        <w:t>0 mg/kg</w:t>
      </w:r>
      <w:r>
        <w:rPr>
          <w:rFonts w:hint="default" w:ascii="Times New Roman" w:hAnsi="Times New Roman" w:cs="Times New Roman"/>
          <w:color w:val="000000"/>
          <w:kern w:val="0"/>
          <w:szCs w:val="21"/>
          <w:highlight w:val="none"/>
          <w:lang w:bidi="ar"/>
        </w:rPr>
        <w:t>。按全程序每个样品平行测定6次，分别计算各浓度样品测定的平均值、标准偏差、相对标准偏差、加标回收率等参数，测定结果见附表10-附表</w:t>
      </w:r>
      <w:r>
        <w:rPr>
          <w:rFonts w:hint="default" w:ascii="Times New Roman" w:hAnsi="Times New Roman" w:cs="Times New Roman"/>
          <w:color w:val="000000"/>
          <w:kern w:val="0"/>
          <w:szCs w:val="21"/>
          <w:highlight w:val="none"/>
          <w:lang w:val="en-US" w:eastAsia="zh-CN" w:bidi="ar"/>
        </w:rPr>
        <w:t>21</w:t>
      </w:r>
      <w:r>
        <w:rPr>
          <w:rFonts w:hint="default" w:ascii="Times New Roman" w:hAnsi="Times New Roman" w:cs="Times New Roman"/>
          <w:color w:val="000000"/>
          <w:kern w:val="0"/>
          <w:szCs w:val="21"/>
          <w:highlight w:val="none"/>
          <w:lang w:bidi="ar"/>
        </w:rPr>
        <w:t>。</w:t>
      </w:r>
    </w:p>
    <w:p w14:paraId="003616D2">
      <w:pPr>
        <w:rPr>
          <w:rFonts w:hint="default" w:ascii="Times New Roman" w:hAnsi="Times New Roman" w:cs="Times New Roman"/>
          <w:color w:val="000000"/>
          <w:kern w:val="0"/>
          <w:szCs w:val="21"/>
          <w:highlight w:val="none"/>
          <w:lang w:bidi="ar"/>
        </w:rPr>
      </w:pPr>
      <w:r>
        <w:rPr>
          <w:rFonts w:hint="default" w:ascii="Times New Roman" w:hAnsi="Times New Roman" w:cs="Times New Roman"/>
          <w:color w:val="000000"/>
          <w:kern w:val="0"/>
          <w:szCs w:val="21"/>
          <w:highlight w:val="none"/>
          <w:lang w:bidi="ar"/>
        </w:rPr>
        <w:br w:type="page"/>
      </w:r>
    </w:p>
    <w:p w14:paraId="0023F88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附表10-1  空白低浓度加标样品（0.10 mg/kg）精密度和正确度验证数据</w:t>
      </w:r>
    </w:p>
    <w:p w14:paraId="65A9F702">
      <w:pPr>
        <w:pStyle w:val="22"/>
        <w:tabs>
          <w:tab w:val="left" w:pos="9240"/>
          <w:tab w:val="left" w:pos="10920"/>
        </w:tabs>
        <w:wordWrap w:val="0"/>
        <w:spacing w:before="156" w:beforeLines="50" w:after="156" w:afterLines="50" w:line="360" w:lineRule="exact"/>
        <w:ind w:left="8820" w:leftChars="0" w:firstLine="420" w:firstLineChars="0"/>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湖北省生态环境监测中心站</w:t>
      </w:r>
      <w:r>
        <w:rPr>
          <w:rFonts w:hint="default" w:ascii="Times New Roman" w:hAnsi="Times New Roman" w:cs="Times New Roman"/>
          <w:color w:val="000000"/>
          <w:sz w:val="21"/>
          <w:szCs w:val="21"/>
          <w:u w:val="single"/>
          <w:lang w:val="en-US" w:eastAsia="zh-CN"/>
        </w:rPr>
        <w:t xml:space="preserve"> </w:t>
      </w:r>
    </w:p>
    <w:p w14:paraId="6FA47EA0">
      <w:pPr>
        <w:pStyle w:val="22"/>
        <w:tabs>
          <w:tab w:val="left" w:pos="9240"/>
          <w:tab w:val="left" w:pos="10920"/>
          <w:tab w:val="left" w:pos="13020"/>
        </w:tabs>
        <w:wordWrap w:val="0"/>
        <w:spacing w:before="156" w:beforeLines="50" w:after="156" w:afterLines="50" w:line="360" w:lineRule="exact"/>
        <w:ind w:left="8820" w:leftChars="0" w:right="616" w:rightChars="0" w:firstLine="420" w:firstLineChars="0"/>
        <w:jc w:val="both"/>
        <w:rPr>
          <w:rFonts w:hint="default" w:ascii="Times New Roman" w:hAnsi="Times New Roman" w:cs="Times New Roman"/>
          <w:color w:val="000000"/>
          <w:sz w:val="21"/>
          <w:szCs w:val="21"/>
          <w:u w:val="single"/>
          <w:lang w:val="en-US"/>
        </w:rPr>
      </w:pP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2024年12月10日</w:t>
      </w:r>
      <w:r>
        <w:rPr>
          <w:rFonts w:hint="default" w:ascii="Times New Roman" w:hAnsi="Times New Roman" w:cs="Times New Roman"/>
          <w:color w:val="000000"/>
          <w:sz w:val="21"/>
          <w:szCs w:val="21"/>
          <w:u w:val="single"/>
          <w:lang w:val="en-US" w:eastAsia="zh-CN"/>
        </w:rPr>
        <w:t xml:space="preserve">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49FAE9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1706" w:type="dxa"/>
            <w:vMerge w:val="restart"/>
            <w:tcBorders>
              <w:bottom w:val="single" w:color="auto" w:sz="4" w:space="0"/>
              <w:right w:val="single" w:color="auto" w:sz="4" w:space="0"/>
            </w:tcBorders>
            <w:noWrap/>
            <w:vAlign w:val="center"/>
          </w:tcPr>
          <w:p w14:paraId="2D05C69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left w:val="single" w:color="auto" w:sz="4" w:space="0"/>
              <w:bottom w:val="single" w:color="auto" w:sz="4" w:space="0"/>
              <w:right w:val="single" w:color="auto" w:sz="4" w:space="0"/>
            </w:tcBorders>
            <w:noWrap/>
            <w:vAlign w:val="center"/>
          </w:tcPr>
          <w:p w14:paraId="568843B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left w:val="single" w:color="auto" w:sz="4" w:space="0"/>
              <w:bottom w:val="single" w:color="auto" w:sz="4" w:space="0"/>
              <w:right w:val="single" w:color="auto" w:sz="4" w:space="0"/>
            </w:tcBorders>
            <w:noWrap/>
            <w:vAlign w:val="center"/>
          </w:tcPr>
          <w:p w14:paraId="55B1451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left w:val="single" w:color="auto" w:sz="4" w:space="0"/>
              <w:bottom w:val="single" w:color="auto" w:sz="4" w:space="0"/>
              <w:right w:val="single" w:color="auto" w:sz="4" w:space="0"/>
            </w:tcBorders>
            <w:noWrap/>
            <w:vAlign w:val="center"/>
          </w:tcPr>
          <w:p w14:paraId="587795E2">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3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37" DrawAspect="Content" ObjectID="_1468075825" r:id="rId182">
                  <o:LockedField>false</o:LockedField>
                </o:OLEObject>
              </w:object>
            </w:r>
          </w:p>
          <w:p w14:paraId="7A3FCE9B">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left w:val="single" w:color="auto" w:sz="4" w:space="0"/>
              <w:bottom w:val="single" w:color="auto" w:sz="4" w:space="0"/>
              <w:right w:val="single" w:color="auto" w:sz="4" w:space="0"/>
            </w:tcBorders>
            <w:noWrap/>
            <w:vAlign w:val="center"/>
          </w:tcPr>
          <w:p w14:paraId="1CFA356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3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38" DrawAspect="Content" ObjectID="_1468075826" r:id="rId183">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left w:val="single" w:color="auto" w:sz="4" w:space="0"/>
              <w:bottom w:val="single" w:color="auto" w:sz="4" w:space="0"/>
              <w:right w:val="single" w:color="auto" w:sz="4" w:space="0"/>
            </w:tcBorders>
            <w:noWrap/>
            <w:vAlign w:val="center"/>
          </w:tcPr>
          <w:p w14:paraId="11AB9B6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left w:val="single" w:color="auto" w:sz="4" w:space="0"/>
              <w:bottom w:val="single" w:color="auto" w:sz="4" w:space="0"/>
            </w:tcBorders>
            <w:noWrap/>
            <w:vAlign w:val="center"/>
          </w:tcPr>
          <w:p w14:paraId="2B91446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6895C8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blHeader/>
          <w:jc w:val="center"/>
        </w:trPr>
        <w:tc>
          <w:tcPr>
            <w:tcW w:w="1706" w:type="dxa"/>
            <w:vMerge w:val="continue"/>
            <w:tcBorders>
              <w:top w:val="single" w:color="auto" w:sz="4" w:space="0"/>
              <w:bottom w:val="single" w:color="auto" w:sz="4" w:space="0"/>
              <w:right w:val="single" w:color="auto" w:sz="4" w:space="0"/>
            </w:tcBorders>
            <w:noWrap/>
            <w:vAlign w:val="center"/>
          </w:tcPr>
          <w:p w14:paraId="3E0617F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op w:val="single" w:color="auto" w:sz="4" w:space="0"/>
              <w:left w:val="single" w:color="auto" w:sz="4" w:space="0"/>
              <w:bottom w:val="single" w:color="auto" w:sz="4" w:space="0"/>
              <w:right w:val="single" w:color="auto" w:sz="4" w:space="0"/>
            </w:tcBorders>
            <w:noWrap/>
            <w:vAlign w:val="center"/>
          </w:tcPr>
          <w:p w14:paraId="42783D2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op w:val="single" w:color="auto" w:sz="4" w:space="0"/>
              <w:left w:val="single" w:color="auto" w:sz="4" w:space="0"/>
              <w:bottom w:val="single" w:color="auto" w:sz="4" w:space="0"/>
              <w:right w:val="single" w:color="auto" w:sz="4" w:space="0"/>
            </w:tcBorders>
            <w:noWrap/>
            <w:vAlign w:val="center"/>
          </w:tcPr>
          <w:p w14:paraId="47F224E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op w:val="single" w:color="auto" w:sz="4" w:space="0"/>
              <w:left w:val="single" w:color="auto" w:sz="4" w:space="0"/>
              <w:bottom w:val="single" w:color="auto" w:sz="4" w:space="0"/>
              <w:right w:val="single" w:color="auto" w:sz="4" w:space="0"/>
            </w:tcBorders>
            <w:noWrap/>
            <w:vAlign w:val="center"/>
          </w:tcPr>
          <w:p w14:paraId="16C051B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op w:val="single" w:color="auto" w:sz="4" w:space="0"/>
              <w:left w:val="single" w:color="auto" w:sz="4" w:space="0"/>
              <w:bottom w:val="single" w:color="auto" w:sz="4" w:space="0"/>
              <w:right w:val="single" w:color="auto" w:sz="4" w:space="0"/>
            </w:tcBorders>
            <w:noWrap/>
            <w:vAlign w:val="center"/>
          </w:tcPr>
          <w:p w14:paraId="718C05A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op w:val="single" w:color="auto" w:sz="4" w:space="0"/>
              <w:left w:val="single" w:color="auto" w:sz="4" w:space="0"/>
              <w:bottom w:val="single" w:color="auto" w:sz="4" w:space="0"/>
              <w:right w:val="single" w:color="auto" w:sz="4" w:space="0"/>
            </w:tcBorders>
            <w:noWrap/>
            <w:vAlign w:val="center"/>
          </w:tcPr>
          <w:p w14:paraId="5D05FF3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op w:val="single" w:color="auto" w:sz="4" w:space="0"/>
              <w:left w:val="single" w:color="auto" w:sz="4" w:space="0"/>
              <w:bottom w:val="single" w:color="auto" w:sz="4" w:space="0"/>
              <w:right w:val="single" w:color="auto" w:sz="4" w:space="0"/>
            </w:tcBorders>
            <w:noWrap/>
            <w:vAlign w:val="center"/>
          </w:tcPr>
          <w:p w14:paraId="04AB475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op w:val="single" w:color="auto" w:sz="4" w:space="0"/>
              <w:left w:val="single" w:color="auto" w:sz="4" w:space="0"/>
              <w:bottom w:val="single" w:color="auto" w:sz="4" w:space="0"/>
              <w:right w:val="single" w:color="auto" w:sz="4" w:space="0"/>
            </w:tcBorders>
            <w:noWrap/>
            <w:vAlign w:val="center"/>
          </w:tcPr>
          <w:p w14:paraId="6984764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op w:val="single" w:color="auto" w:sz="4" w:space="0"/>
              <w:left w:val="single" w:color="auto" w:sz="4" w:space="0"/>
              <w:bottom w:val="single" w:color="auto" w:sz="4" w:space="0"/>
              <w:right w:val="single" w:color="auto" w:sz="4" w:space="0"/>
            </w:tcBorders>
            <w:noWrap/>
            <w:vAlign w:val="center"/>
          </w:tcPr>
          <w:p w14:paraId="0924A30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op w:val="single" w:color="auto" w:sz="4" w:space="0"/>
              <w:left w:val="single" w:color="auto" w:sz="4" w:space="0"/>
              <w:bottom w:val="single" w:color="auto" w:sz="4" w:space="0"/>
              <w:right w:val="single" w:color="auto" w:sz="4" w:space="0"/>
            </w:tcBorders>
            <w:noWrap/>
            <w:vAlign w:val="center"/>
          </w:tcPr>
          <w:p w14:paraId="5481591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op w:val="single" w:color="auto" w:sz="4" w:space="0"/>
              <w:left w:val="single" w:color="auto" w:sz="4" w:space="0"/>
              <w:bottom w:val="single" w:color="auto" w:sz="4" w:space="0"/>
              <w:right w:val="single" w:color="auto" w:sz="4" w:space="0"/>
            </w:tcBorders>
            <w:noWrap/>
            <w:vAlign w:val="center"/>
          </w:tcPr>
          <w:p w14:paraId="739D103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op w:val="single" w:color="auto" w:sz="4" w:space="0"/>
              <w:left w:val="single" w:color="auto" w:sz="4" w:space="0"/>
              <w:bottom w:val="single" w:color="auto" w:sz="4" w:space="0"/>
            </w:tcBorders>
            <w:noWrap/>
            <w:vAlign w:val="center"/>
          </w:tcPr>
          <w:p w14:paraId="1FEA237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2C7C2E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706" w:type="dxa"/>
            <w:tcBorders>
              <w:top w:val="single" w:color="auto" w:sz="4" w:space="0"/>
              <w:bottom w:val="single" w:color="auto" w:sz="4" w:space="0"/>
              <w:right w:val="single" w:color="auto" w:sz="4" w:space="0"/>
            </w:tcBorders>
            <w:shd w:val="clear" w:color="auto" w:fill="auto"/>
            <w:noWrap/>
            <w:vAlign w:val="center"/>
          </w:tcPr>
          <w:p w14:paraId="65FD0FF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op w:val="single" w:color="auto" w:sz="4" w:space="0"/>
              <w:left w:val="single" w:color="auto" w:sz="4" w:space="0"/>
              <w:bottom w:val="single" w:color="auto" w:sz="4" w:space="0"/>
              <w:right w:val="single" w:color="auto" w:sz="4" w:space="0"/>
            </w:tcBorders>
            <w:noWrap/>
            <w:vAlign w:val="center"/>
          </w:tcPr>
          <w:p w14:paraId="0316F4D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op w:val="single" w:color="auto" w:sz="4" w:space="0"/>
              <w:left w:val="single" w:color="auto" w:sz="4" w:space="0"/>
              <w:bottom w:val="single" w:color="auto" w:sz="4" w:space="0"/>
              <w:right w:val="single" w:color="auto" w:sz="4" w:space="0"/>
            </w:tcBorders>
            <w:noWrap/>
            <w:vAlign w:val="center"/>
          </w:tcPr>
          <w:p w14:paraId="0F5D7C2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0.085</w:t>
            </w:r>
          </w:p>
        </w:tc>
        <w:tc>
          <w:tcPr>
            <w:tcW w:w="862" w:type="dxa"/>
            <w:tcBorders>
              <w:top w:val="single" w:color="auto" w:sz="4" w:space="0"/>
              <w:left w:val="single" w:color="auto" w:sz="4" w:space="0"/>
              <w:bottom w:val="single" w:color="auto" w:sz="4" w:space="0"/>
              <w:right w:val="single" w:color="auto" w:sz="4" w:space="0"/>
            </w:tcBorders>
            <w:noWrap/>
            <w:vAlign w:val="center"/>
          </w:tcPr>
          <w:p w14:paraId="735844A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0.080</w:t>
            </w:r>
          </w:p>
        </w:tc>
        <w:tc>
          <w:tcPr>
            <w:tcW w:w="862" w:type="dxa"/>
            <w:tcBorders>
              <w:top w:val="single" w:color="auto" w:sz="4" w:space="0"/>
              <w:left w:val="single" w:color="auto" w:sz="4" w:space="0"/>
              <w:bottom w:val="single" w:color="auto" w:sz="4" w:space="0"/>
              <w:right w:val="single" w:color="auto" w:sz="4" w:space="0"/>
            </w:tcBorders>
            <w:noWrap/>
            <w:vAlign w:val="center"/>
          </w:tcPr>
          <w:p w14:paraId="30B07AF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0.081</w:t>
            </w:r>
          </w:p>
        </w:tc>
        <w:tc>
          <w:tcPr>
            <w:tcW w:w="862" w:type="dxa"/>
            <w:tcBorders>
              <w:top w:val="single" w:color="auto" w:sz="4" w:space="0"/>
              <w:left w:val="single" w:color="auto" w:sz="4" w:space="0"/>
              <w:bottom w:val="single" w:color="auto" w:sz="4" w:space="0"/>
              <w:right w:val="single" w:color="auto" w:sz="4" w:space="0"/>
            </w:tcBorders>
            <w:noWrap/>
            <w:vAlign w:val="center"/>
          </w:tcPr>
          <w:p w14:paraId="551C8BC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0.078</w:t>
            </w:r>
          </w:p>
        </w:tc>
        <w:tc>
          <w:tcPr>
            <w:tcW w:w="862" w:type="dxa"/>
            <w:tcBorders>
              <w:top w:val="single" w:color="auto" w:sz="4" w:space="0"/>
              <w:left w:val="single" w:color="auto" w:sz="4" w:space="0"/>
              <w:bottom w:val="single" w:color="auto" w:sz="4" w:space="0"/>
              <w:right w:val="single" w:color="auto" w:sz="4" w:space="0"/>
            </w:tcBorders>
            <w:noWrap/>
            <w:vAlign w:val="center"/>
          </w:tcPr>
          <w:p w14:paraId="6E29169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0.085</w:t>
            </w:r>
          </w:p>
        </w:tc>
        <w:tc>
          <w:tcPr>
            <w:tcW w:w="882" w:type="dxa"/>
            <w:tcBorders>
              <w:top w:val="single" w:color="auto" w:sz="4" w:space="0"/>
              <w:left w:val="single" w:color="auto" w:sz="4" w:space="0"/>
              <w:bottom w:val="single" w:color="auto" w:sz="4" w:space="0"/>
              <w:right w:val="single" w:color="auto" w:sz="4" w:space="0"/>
            </w:tcBorders>
            <w:noWrap/>
            <w:vAlign w:val="center"/>
          </w:tcPr>
          <w:p w14:paraId="36821FA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0.084</w:t>
            </w:r>
          </w:p>
        </w:tc>
        <w:tc>
          <w:tcPr>
            <w:tcW w:w="1378" w:type="dxa"/>
            <w:tcBorders>
              <w:top w:val="single" w:color="auto" w:sz="4" w:space="0"/>
              <w:left w:val="single" w:color="auto" w:sz="4" w:space="0"/>
              <w:bottom w:val="single" w:color="auto" w:sz="4" w:space="0"/>
              <w:right w:val="single" w:color="auto" w:sz="4" w:space="0"/>
            </w:tcBorders>
            <w:noWrap/>
            <w:vAlign w:val="center"/>
          </w:tcPr>
          <w:p w14:paraId="18FDB60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0.082</w:t>
            </w:r>
          </w:p>
        </w:tc>
        <w:tc>
          <w:tcPr>
            <w:tcW w:w="1378" w:type="dxa"/>
            <w:tcBorders>
              <w:top w:val="single" w:color="auto" w:sz="4" w:space="0"/>
              <w:left w:val="single" w:color="auto" w:sz="4" w:space="0"/>
              <w:bottom w:val="single" w:color="auto" w:sz="4" w:space="0"/>
              <w:right w:val="single" w:color="auto" w:sz="4" w:space="0"/>
            </w:tcBorders>
            <w:noWrap/>
            <w:vAlign w:val="center"/>
          </w:tcPr>
          <w:p w14:paraId="50C27B1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0.0031</w:t>
            </w:r>
          </w:p>
        </w:tc>
        <w:tc>
          <w:tcPr>
            <w:tcW w:w="1379" w:type="dxa"/>
            <w:tcBorders>
              <w:top w:val="single" w:color="auto" w:sz="4" w:space="0"/>
              <w:left w:val="single" w:color="auto" w:sz="4" w:space="0"/>
              <w:bottom w:val="single" w:color="auto" w:sz="4" w:space="0"/>
              <w:right w:val="single" w:color="auto" w:sz="4" w:space="0"/>
            </w:tcBorders>
            <w:noWrap/>
            <w:vAlign w:val="center"/>
          </w:tcPr>
          <w:p w14:paraId="147BBB1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3.8</w:t>
            </w:r>
          </w:p>
        </w:tc>
        <w:tc>
          <w:tcPr>
            <w:tcW w:w="1379" w:type="dxa"/>
            <w:tcBorders>
              <w:top w:val="single" w:color="auto" w:sz="4" w:space="0"/>
              <w:left w:val="single" w:color="auto" w:sz="4" w:space="0"/>
              <w:bottom w:val="single" w:color="auto" w:sz="4" w:space="0"/>
            </w:tcBorders>
            <w:noWrap/>
            <w:vAlign w:val="center"/>
          </w:tcPr>
          <w:p w14:paraId="6B1B883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82.1</w:t>
            </w:r>
          </w:p>
        </w:tc>
      </w:tr>
      <w:tr w14:paraId="512C37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706" w:type="dxa"/>
            <w:tcBorders>
              <w:top w:val="single" w:color="auto" w:sz="4" w:space="0"/>
              <w:bottom w:val="single" w:color="auto" w:sz="4" w:space="0"/>
              <w:right w:val="single" w:color="auto" w:sz="4" w:space="0"/>
            </w:tcBorders>
            <w:shd w:val="clear" w:color="auto" w:fill="auto"/>
            <w:noWrap/>
            <w:vAlign w:val="center"/>
          </w:tcPr>
          <w:p w14:paraId="69192B0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op w:val="single" w:color="auto" w:sz="4" w:space="0"/>
              <w:left w:val="single" w:color="auto" w:sz="4" w:space="0"/>
              <w:bottom w:val="single" w:color="auto" w:sz="4" w:space="0"/>
              <w:right w:val="single" w:color="auto" w:sz="4" w:space="0"/>
            </w:tcBorders>
            <w:noWrap/>
            <w:vAlign w:val="center"/>
          </w:tcPr>
          <w:p w14:paraId="37ECE97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op w:val="single" w:color="auto" w:sz="4" w:space="0"/>
              <w:left w:val="single" w:color="auto" w:sz="4" w:space="0"/>
              <w:bottom w:val="single" w:color="auto" w:sz="4" w:space="0"/>
              <w:right w:val="single" w:color="auto" w:sz="4" w:space="0"/>
            </w:tcBorders>
            <w:noWrap/>
            <w:vAlign w:val="center"/>
          </w:tcPr>
          <w:p w14:paraId="631EF4E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0.086</w:t>
            </w:r>
          </w:p>
        </w:tc>
        <w:tc>
          <w:tcPr>
            <w:tcW w:w="862" w:type="dxa"/>
            <w:tcBorders>
              <w:top w:val="single" w:color="auto" w:sz="4" w:space="0"/>
              <w:left w:val="single" w:color="auto" w:sz="4" w:space="0"/>
              <w:bottom w:val="single" w:color="auto" w:sz="4" w:space="0"/>
              <w:right w:val="single" w:color="auto" w:sz="4" w:space="0"/>
            </w:tcBorders>
            <w:noWrap/>
            <w:vAlign w:val="center"/>
          </w:tcPr>
          <w:p w14:paraId="62A2368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0.082</w:t>
            </w:r>
          </w:p>
        </w:tc>
        <w:tc>
          <w:tcPr>
            <w:tcW w:w="862" w:type="dxa"/>
            <w:tcBorders>
              <w:top w:val="single" w:color="auto" w:sz="4" w:space="0"/>
              <w:left w:val="single" w:color="auto" w:sz="4" w:space="0"/>
              <w:bottom w:val="single" w:color="auto" w:sz="4" w:space="0"/>
              <w:right w:val="single" w:color="auto" w:sz="4" w:space="0"/>
            </w:tcBorders>
            <w:noWrap/>
            <w:vAlign w:val="center"/>
          </w:tcPr>
          <w:p w14:paraId="00B7300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0.082</w:t>
            </w:r>
          </w:p>
        </w:tc>
        <w:tc>
          <w:tcPr>
            <w:tcW w:w="862" w:type="dxa"/>
            <w:tcBorders>
              <w:top w:val="single" w:color="auto" w:sz="4" w:space="0"/>
              <w:left w:val="single" w:color="auto" w:sz="4" w:space="0"/>
              <w:bottom w:val="single" w:color="auto" w:sz="4" w:space="0"/>
              <w:right w:val="single" w:color="auto" w:sz="4" w:space="0"/>
            </w:tcBorders>
            <w:noWrap/>
            <w:vAlign w:val="center"/>
          </w:tcPr>
          <w:p w14:paraId="3334864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0.077</w:t>
            </w:r>
          </w:p>
        </w:tc>
        <w:tc>
          <w:tcPr>
            <w:tcW w:w="862" w:type="dxa"/>
            <w:tcBorders>
              <w:top w:val="single" w:color="auto" w:sz="4" w:space="0"/>
              <w:left w:val="single" w:color="auto" w:sz="4" w:space="0"/>
              <w:bottom w:val="single" w:color="auto" w:sz="4" w:space="0"/>
              <w:right w:val="single" w:color="auto" w:sz="4" w:space="0"/>
            </w:tcBorders>
            <w:noWrap/>
            <w:vAlign w:val="center"/>
          </w:tcPr>
          <w:p w14:paraId="48DDBD7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0.085</w:t>
            </w:r>
          </w:p>
        </w:tc>
        <w:tc>
          <w:tcPr>
            <w:tcW w:w="882" w:type="dxa"/>
            <w:tcBorders>
              <w:top w:val="single" w:color="auto" w:sz="4" w:space="0"/>
              <w:left w:val="single" w:color="auto" w:sz="4" w:space="0"/>
              <w:bottom w:val="single" w:color="auto" w:sz="4" w:space="0"/>
              <w:right w:val="single" w:color="auto" w:sz="4" w:space="0"/>
            </w:tcBorders>
            <w:noWrap/>
            <w:vAlign w:val="center"/>
          </w:tcPr>
          <w:p w14:paraId="5ED8EF0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0.085</w:t>
            </w:r>
          </w:p>
        </w:tc>
        <w:tc>
          <w:tcPr>
            <w:tcW w:w="1378" w:type="dxa"/>
            <w:tcBorders>
              <w:top w:val="single" w:color="auto" w:sz="4" w:space="0"/>
              <w:left w:val="single" w:color="auto" w:sz="4" w:space="0"/>
              <w:bottom w:val="single" w:color="auto" w:sz="4" w:space="0"/>
              <w:right w:val="single" w:color="auto" w:sz="4" w:space="0"/>
            </w:tcBorders>
            <w:noWrap/>
            <w:vAlign w:val="center"/>
          </w:tcPr>
          <w:p w14:paraId="495FB52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0.083</w:t>
            </w:r>
          </w:p>
        </w:tc>
        <w:tc>
          <w:tcPr>
            <w:tcW w:w="1378" w:type="dxa"/>
            <w:tcBorders>
              <w:top w:val="single" w:color="auto" w:sz="4" w:space="0"/>
              <w:left w:val="single" w:color="auto" w:sz="4" w:space="0"/>
              <w:bottom w:val="single" w:color="auto" w:sz="4" w:space="0"/>
              <w:right w:val="single" w:color="auto" w:sz="4" w:space="0"/>
            </w:tcBorders>
            <w:noWrap/>
            <w:vAlign w:val="center"/>
          </w:tcPr>
          <w:p w14:paraId="4915C66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0.0034</w:t>
            </w:r>
          </w:p>
        </w:tc>
        <w:tc>
          <w:tcPr>
            <w:tcW w:w="1379" w:type="dxa"/>
            <w:tcBorders>
              <w:top w:val="single" w:color="auto" w:sz="4" w:space="0"/>
              <w:left w:val="single" w:color="auto" w:sz="4" w:space="0"/>
              <w:bottom w:val="single" w:color="auto" w:sz="4" w:space="0"/>
              <w:right w:val="single" w:color="auto" w:sz="4" w:space="0"/>
            </w:tcBorders>
            <w:noWrap/>
            <w:vAlign w:val="center"/>
          </w:tcPr>
          <w:p w14:paraId="5000B0A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4.1</w:t>
            </w:r>
          </w:p>
        </w:tc>
        <w:tc>
          <w:tcPr>
            <w:tcW w:w="1379" w:type="dxa"/>
            <w:tcBorders>
              <w:top w:val="single" w:color="auto" w:sz="4" w:space="0"/>
              <w:left w:val="single" w:color="auto" w:sz="4" w:space="0"/>
              <w:bottom w:val="single" w:color="auto" w:sz="4" w:space="0"/>
            </w:tcBorders>
            <w:noWrap/>
            <w:vAlign w:val="center"/>
          </w:tcPr>
          <w:p w14:paraId="09C3DB8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82.7</w:t>
            </w:r>
          </w:p>
        </w:tc>
      </w:tr>
      <w:tr w14:paraId="5CB45F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4174" w:type="dxa"/>
            <w:gridSpan w:val="12"/>
            <w:tcBorders>
              <w:top w:val="single" w:color="auto" w:sz="4" w:space="0"/>
            </w:tcBorders>
            <w:shd w:val="clear" w:color="auto" w:fill="auto"/>
            <w:noWrap/>
            <w:vAlign w:val="center"/>
          </w:tcPr>
          <w:p w14:paraId="55266655">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09700F9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p>
    <w:p w14:paraId="061CAE2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p>
    <w:p w14:paraId="64E86D1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附表10-2  空白中浓度加标样品（0.40 mg/kg）精密度和正确度验证数据</w:t>
      </w:r>
    </w:p>
    <w:p w14:paraId="65C88900">
      <w:pPr>
        <w:pStyle w:val="22"/>
        <w:tabs>
          <w:tab w:val="left" w:pos="9240"/>
          <w:tab w:val="left" w:pos="10920"/>
        </w:tabs>
        <w:wordWrap w:val="0"/>
        <w:spacing w:before="156" w:beforeLines="50" w:after="156" w:afterLines="50" w:line="360" w:lineRule="exact"/>
        <w:ind w:left="8820" w:leftChars="0" w:firstLine="420" w:firstLineChars="0"/>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湖北省生态环境监测中心站</w:t>
      </w:r>
      <w:r>
        <w:rPr>
          <w:rFonts w:hint="default" w:ascii="Times New Roman" w:hAnsi="Times New Roman" w:cs="Times New Roman"/>
          <w:color w:val="000000"/>
          <w:sz w:val="21"/>
          <w:szCs w:val="21"/>
          <w:u w:val="single"/>
          <w:lang w:val="en-US" w:eastAsia="zh-CN"/>
        </w:rPr>
        <w:t xml:space="preserve"> </w:t>
      </w:r>
    </w:p>
    <w:p w14:paraId="6501E26A">
      <w:pPr>
        <w:pStyle w:val="22"/>
        <w:tabs>
          <w:tab w:val="left" w:pos="9240"/>
          <w:tab w:val="left" w:pos="10920"/>
          <w:tab w:val="left" w:pos="13020"/>
        </w:tabs>
        <w:wordWrap w:val="0"/>
        <w:spacing w:before="156" w:beforeLines="50" w:after="156" w:afterLines="50" w:line="360" w:lineRule="exact"/>
        <w:ind w:left="8820" w:leftChars="0" w:right="616" w:rightChars="0" w:firstLine="420" w:firstLineChars="0"/>
        <w:jc w:val="both"/>
        <w:rPr>
          <w:rFonts w:hint="default" w:ascii="Times New Roman" w:hAnsi="Times New Roman" w:cs="Times New Roman"/>
          <w:color w:val="000000"/>
          <w:sz w:val="21"/>
          <w:szCs w:val="21"/>
          <w:u w:val="single"/>
          <w:lang w:val="en-US"/>
        </w:rPr>
      </w:pP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2024年12月10日</w:t>
      </w:r>
      <w:r>
        <w:rPr>
          <w:rFonts w:hint="default" w:ascii="Times New Roman" w:hAnsi="Times New Roman" w:cs="Times New Roman"/>
          <w:color w:val="000000"/>
          <w:sz w:val="21"/>
          <w:szCs w:val="21"/>
          <w:u w:val="single"/>
          <w:lang w:val="en-US" w:eastAsia="zh-CN"/>
        </w:rPr>
        <w:t xml:space="preserve">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10A1C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blHeader/>
          <w:jc w:val="center"/>
        </w:trPr>
        <w:tc>
          <w:tcPr>
            <w:tcW w:w="1706" w:type="dxa"/>
            <w:vMerge w:val="restart"/>
            <w:tcBorders>
              <w:tl2br w:val="nil"/>
              <w:tr2bl w:val="nil"/>
            </w:tcBorders>
            <w:noWrap/>
            <w:vAlign w:val="center"/>
          </w:tcPr>
          <w:p w14:paraId="5A50705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6FAC033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5E1AD31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6E04F9F4">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39"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39" DrawAspect="Content" ObjectID="_1468075827" r:id="rId184">
                  <o:LockedField>false</o:LockedField>
                </o:OLEObject>
              </w:object>
            </w:r>
          </w:p>
          <w:p w14:paraId="71E94938">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0073862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40"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40" DrawAspect="Content" ObjectID="_1468075828" r:id="rId185">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35652A8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07D55BF3">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0104B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231D87D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54F0E66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626FBE2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12DF71B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2CEE75F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515234D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434307B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7714828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7ADE0D9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6A684C1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09D014C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0677B9F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53FAF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7A893C0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2F9A3B6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noWrap/>
            <w:vAlign w:val="center"/>
          </w:tcPr>
          <w:p w14:paraId="52FB9A1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0.335</w:t>
            </w:r>
          </w:p>
        </w:tc>
        <w:tc>
          <w:tcPr>
            <w:tcW w:w="862" w:type="dxa"/>
            <w:tcBorders>
              <w:tl2br w:val="nil"/>
              <w:tr2bl w:val="nil"/>
            </w:tcBorders>
            <w:noWrap/>
            <w:vAlign w:val="center"/>
          </w:tcPr>
          <w:p w14:paraId="5649617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0.334</w:t>
            </w:r>
          </w:p>
        </w:tc>
        <w:tc>
          <w:tcPr>
            <w:tcW w:w="862" w:type="dxa"/>
            <w:tcBorders>
              <w:tl2br w:val="nil"/>
              <w:tr2bl w:val="nil"/>
            </w:tcBorders>
            <w:noWrap/>
            <w:vAlign w:val="center"/>
          </w:tcPr>
          <w:p w14:paraId="0C25109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0.336</w:t>
            </w:r>
          </w:p>
        </w:tc>
        <w:tc>
          <w:tcPr>
            <w:tcW w:w="862" w:type="dxa"/>
            <w:tcBorders>
              <w:tl2br w:val="nil"/>
              <w:tr2bl w:val="nil"/>
            </w:tcBorders>
            <w:noWrap/>
            <w:vAlign w:val="center"/>
          </w:tcPr>
          <w:p w14:paraId="34CB95A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0.287</w:t>
            </w:r>
          </w:p>
        </w:tc>
        <w:tc>
          <w:tcPr>
            <w:tcW w:w="862" w:type="dxa"/>
            <w:tcBorders>
              <w:tl2br w:val="nil"/>
              <w:tr2bl w:val="nil"/>
            </w:tcBorders>
            <w:noWrap/>
            <w:vAlign w:val="center"/>
          </w:tcPr>
          <w:p w14:paraId="2282FC9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0.286</w:t>
            </w:r>
          </w:p>
        </w:tc>
        <w:tc>
          <w:tcPr>
            <w:tcW w:w="882" w:type="dxa"/>
            <w:tcBorders>
              <w:tl2br w:val="nil"/>
              <w:tr2bl w:val="nil"/>
            </w:tcBorders>
            <w:noWrap/>
            <w:vAlign w:val="center"/>
          </w:tcPr>
          <w:p w14:paraId="69EE961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0.291</w:t>
            </w:r>
          </w:p>
        </w:tc>
        <w:tc>
          <w:tcPr>
            <w:tcW w:w="1378" w:type="dxa"/>
            <w:tcBorders>
              <w:tl2br w:val="nil"/>
              <w:tr2bl w:val="nil"/>
            </w:tcBorders>
            <w:noWrap/>
            <w:vAlign w:val="center"/>
          </w:tcPr>
          <w:p w14:paraId="0F5FF5B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0.311</w:t>
            </w:r>
          </w:p>
        </w:tc>
        <w:tc>
          <w:tcPr>
            <w:tcW w:w="1378" w:type="dxa"/>
            <w:tcBorders>
              <w:tl2br w:val="nil"/>
              <w:tr2bl w:val="nil"/>
            </w:tcBorders>
            <w:noWrap/>
            <w:vAlign w:val="center"/>
          </w:tcPr>
          <w:p w14:paraId="3994FF6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0.0258</w:t>
            </w:r>
          </w:p>
        </w:tc>
        <w:tc>
          <w:tcPr>
            <w:tcW w:w="1379" w:type="dxa"/>
            <w:tcBorders>
              <w:tl2br w:val="nil"/>
              <w:tr2bl w:val="nil"/>
            </w:tcBorders>
            <w:noWrap/>
            <w:vAlign w:val="center"/>
          </w:tcPr>
          <w:p w14:paraId="539391B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8.3</w:t>
            </w:r>
          </w:p>
        </w:tc>
        <w:tc>
          <w:tcPr>
            <w:tcW w:w="1379" w:type="dxa"/>
            <w:tcBorders>
              <w:tl2br w:val="nil"/>
              <w:tr2bl w:val="nil"/>
            </w:tcBorders>
            <w:noWrap/>
            <w:vAlign w:val="center"/>
          </w:tcPr>
          <w:p w14:paraId="2101A44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77.9</w:t>
            </w:r>
          </w:p>
        </w:tc>
      </w:tr>
      <w:tr w14:paraId="36A36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5C49FC1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078E30D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noWrap/>
            <w:vAlign w:val="center"/>
          </w:tcPr>
          <w:p w14:paraId="3929ED3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0.330</w:t>
            </w:r>
          </w:p>
        </w:tc>
        <w:tc>
          <w:tcPr>
            <w:tcW w:w="862" w:type="dxa"/>
            <w:tcBorders>
              <w:tl2br w:val="nil"/>
              <w:tr2bl w:val="nil"/>
            </w:tcBorders>
            <w:noWrap/>
            <w:vAlign w:val="center"/>
          </w:tcPr>
          <w:p w14:paraId="3EE9C65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0.329</w:t>
            </w:r>
          </w:p>
        </w:tc>
        <w:tc>
          <w:tcPr>
            <w:tcW w:w="862" w:type="dxa"/>
            <w:tcBorders>
              <w:tl2br w:val="nil"/>
              <w:tr2bl w:val="nil"/>
            </w:tcBorders>
            <w:noWrap/>
            <w:vAlign w:val="center"/>
          </w:tcPr>
          <w:p w14:paraId="7DA81C4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0.330</w:t>
            </w:r>
          </w:p>
        </w:tc>
        <w:tc>
          <w:tcPr>
            <w:tcW w:w="862" w:type="dxa"/>
            <w:tcBorders>
              <w:tl2br w:val="nil"/>
              <w:tr2bl w:val="nil"/>
            </w:tcBorders>
            <w:noWrap/>
            <w:vAlign w:val="center"/>
          </w:tcPr>
          <w:p w14:paraId="467FC8F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0.293</w:t>
            </w:r>
          </w:p>
        </w:tc>
        <w:tc>
          <w:tcPr>
            <w:tcW w:w="862" w:type="dxa"/>
            <w:tcBorders>
              <w:tl2br w:val="nil"/>
              <w:tr2bl w:val="nil"/>
            </w:tcBorders>
            <w:noWrap/>
            <w:vAlign w:val="center"/>
          </w:tcPr>
          <w:p w14:paraId="6F6F438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0.292</w:t>
            </w:r>
          </w:p>
        </w:tc>
        <w:tc>
          <w:tcPr>
            <w:tcW w:w="882" w:type="dxa"/>
            <w:tcBorders>
              <w:tl2br w:val="nil"/>
              <w:tr2bl w:val="nil"/>
            </w:tcBorders>
            <w:noWrap/>
            <w:vAlign w:val="center"/>
          </w:tcPr>
          <w:p w14:paraId="329C1F1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0.295</w:t>
            </w:r>
          </w:p>
        </w:tc>
        <w:tc>
          <w:tcPr>
            <w:tcW w:w="1378" w:type="dxa"/>
            <w:tcBorders>
              <w:tl2br w:val="nil"/>
              <w:tr2bl w:val="nil"/>
            </w:tcBorders>
            <w:noWrap/>
            <w:vAlign w:val="center"/>
          </w:tcPr>
          <w:p w14:paraId="76D45C3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0.311</w:t>
            </w:r>
          </w:p>
        </w:tc>
        <w:tc>
          <w:tcPr>
            <w:tcW w:w="1378" w:type="dxa"/>
            <w:tcBorders>
              <w:tl2br w:val="nil"/>
              <w:tr2bl w:val="nil"/>
            </w:tcBorders>
            <w:noWrap/>
            <w:vAlign w:val="center"/>
          </w:tcPr>
          <w:p w14:paraId="46CDE21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0.0197</w:t>
            </w:r>
          </w:p>
        </w:tc>
        <w:tc>
          <w:tcPr>
            <w:tcW w:w="1379" w:type="dxa"/>
            <w:tcBorders>
              <w:tl2br w:val="nil"/>
              <w:tr2bl w:val="nil"/>
            </w:tcBorders>
            <w:noWrap/>
            <w:vAlign w:val="center"/>
          </w:tcPr>
          <w:p w14:paraId="3A6D679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6.3</w:t>
            </w:r>
          </w:p>
        </w:tc>
        <w:tc>
          <w:tcPr>
            <w:tcW w:w="1379" w:type="dxa"/>
            <w:tcBorders>
              <w:tl2br w:val="nil"/>
              <w:tr2bl w:val="nil"/>
            </w:tcBorders>
            <w:noWrap/>
            <w:vAlign w:val="center"/>
          </w:tcPr>
          <w:p w14:paraId="26F2FB9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77.8</w:t>
            </w:r>
          </w:p>
        </w:tc>
      </w:tr>
      <w:tr w14:paraId="0C71B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31800B80">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2F59AAF4">
      <w:pPr>
        <w:bidi w:val="0"/>
        <w:ind w:left="0" w:leftChars="0" w:firstLine="0" w:firstLineChars="0"/>
        <w:jc w:val="both"/>
        <w:rPr>
          <w:rFonts w:hint="default" w:ascii="Times New Roman" w:hAnsi="Times New Roman" w:eastAsia="黑体" w:cs="Times New Roman"/>
          <w:color w:val="000000"/>
          <w:kern w:val="18"/>
          <w:sz w:val="21"/>
          <w:szCs w:val="21"/>
          <w:lang w:val="en-US" w:eastAsia="zh-CN" w:bidi="ar-SA"/>
        </w:rPr>
      </w:pPr>
    </w:p>
    <w:p w14:paraId="2A3F35E5">
      <w:pPr>
        <w:bidi w:val="0"/>
        <w:ind w:left="0" w:leftChars="0" w:firstLine="0" w:firstLineChars="0"/>
        <w:jc w:val="both"/>
        <w:rPr>
          <w:rFonts w:hint="default" w:ascii="Times New Roman" w:hAnsi="Times New Roman" w:eastAsia="黑体" w:cs="Times New Roman"/>
          <w:color w:val="000000"/>
          <w:szCs w:val="21"/>
          <w:highlight w:val="none"/>
          <w:lang w:val="en-US" w:eastAsia="zh-CN"/>
        </w:rPr>
      </w:pPr>
    </w:p>
    <w:p w14:paraId="04757373">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附表10-3  空白高浓度加标样品（0.70 mg/kg）精密度和正确度验证数据</w:t>
      </w:r>
    </w:p>
    <w:p w14:paraId="0D1A2BAF">
      <w:pPr>
        <w:pStyle w:val="22"/>
        <w:tabs>
          <w:tab w:val="left" w:pos="9240"/>
          <w:tab w:val="left" w:pos="10920"/>
        </w:tabs>
        <w:wordWrap w:val="0"/>
        <w:spacing w:before="156" w:beforeLines="50" w:after="156" w:afterLines="50" w:line="360" w:lineRule="exact"/>
        <w:ind w:left="8820" w:leftChars="0" w:firstLine="420" w:firstLineChars="0"/>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湖北省生态环境监测中心站</w:t>
      </w:r>
      <w:r>
        <w:rPr>
          <w:rFonts w:hint="default" w:ascii="Times New Roman" w:hAnsi="Times New Roman" w:cs="Times New Roman"/>
          <w:color w:val="000000"/>
          <w:sz w:val="21"/>
          <w:szCs w:val="21"/>
          <w:u w:val="single"/>
          <w:lang w:val="en-US" w:eastAsia="zh-CN"/>
        </w:rPr>
        <w:t xml:space="preserve"> </w:t>
      </w:r>
    </w:p>
    <w:p w14:paraId="0D882867">
      <w:pPr>
        <w:pStyle w:val="22"/>
        <w:tabs>
          <w:tab w:val="left" w:pos="9240"/>
          <w:tab w:val="left" w:pos="10920"/>
          <w:tab w:val="left" w:pos="13020"/>
        </w:tabs>
        <w:wordWrap w:val="0"/>
        <w:spacing w:before="156" w:beforeLines="50" w:after="156" w:afterLines="50" w:line="360" w:lineRule="exact"/>
        <w:ind w:left="8820" w:leftChars="0" w:right="616" w:rightChars="0" w:firstLine="420" w:firstLineChars="0"/>
        <w:jc w:val="both"/>
        <w:rPr>
          <w:rFonts w:hint="default" w:ascii="Times New Roman" w:hAnsi="Times New Roman" w:cs="Times New Roman"/>
          <w:color w:val="000000"/>
          <w:sz w:val="21"/>
          <w:szCs w:val="21"/>
          <w:u w:val="single"/>
          <w:lang w:val="en-US"/>
        </w:rPr>
      </w:pP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2024年12月10日</w:t>
      </w:r>
      <w:r>
        <w:rPr>
          <w:rFonts w:hint="default" w:ascii="Times New Roman" w:hAnsi="Times New Roman" w:cs="Times New Roman"/>
          <w:color w:val="000000"/>
          <w:sz w:val="21"/>
          <w:szCs w:val="21"/>
          <w:u w:val="single"/>
          <w:lang w:val="en-US" w:eastAsia="zh-CN"/>
        </w:rPr>
        <w:t xml:space="preserve">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72E2A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46905F5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02705E0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6AB2B6D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6F2A44D3">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41"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41" DrawAspect="Content" ObjectID="_1468075829" r:id="rId186">
                  <o:LockedField>false</o:LockedField>
                </o:OLEObject>
              </w:object>
            </w:r>
          </w:p>
          <w:p w14:paraId="38D0321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7FB38BE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42"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42" DrawAspect="Content" ObjectID="_1468075830" r:id="rId187">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30FC499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11D3312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735B5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773C231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1F4FCB9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0052C43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13F2432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1EC72EB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19C03AD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486F5E0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04CCD57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3CF7297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2F8E1B8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0624065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53C2626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11180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33D5818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2440AD9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44DECB7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0.633</w:t>
            </w:r>
          </w:p>
        </w:tc>
        <w:tc>
          <w:tcPr>
            <w:tcW w:w="862" w:type="dxa"/>
            <w:tcBorders>
              <w:tl2br w:val="nil"/>
              <w:tr2bl w:val="nil"/>
            </w:tcBorders>
            <w:shd w:val="clear" w:color="auto" w:fill="auto"/>
            <w:noWrap/>
            <w:vAlign w:val="center"/>
          </w:tcPr>
          <w:p w14:paraId="1AC573B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0.602</w:t>
            </w:r>
          </w:p>
        </w:tc>
        <w:tc>
          <w:tcPr>
            <w:tcW w:w="862" w:type="dxa"/>
            <w:tcBorders>
              <w:tl2br w:val="nil"/>
              <w:tr2bl w:val="nil"/>
            </w:tcBorders>
            <w:shd w:val="clear" w:color="auto" w:fill="auto"/>
            <w:noWrap/>
            <w:vAlign w:val="center"/>
          </w:tcPr>
          <w:p w14:paraId="7F469E8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0.597</w:t>
            </w:r>
          </w:p>
        </w:tc>
        <w:tc>
          <w:tcPr>
            <w:tcW w:w="862" w:type="dxa"/>
            <w:tcBorders>
              <w:tl2br w:val="nil"/>
              <w:tr2bl w:val="nil"/>
            </w:tcBorders>
            <w:shd w:val="clear" w:color="auto" w:fill="auto"/>
            <w:noWrap/>
            <w:vAlign w:val="center"/>
          </w:tcPr>
          <w:p w14:paraId="36C63A8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0.637</w:t>
            </w:r>
          </w:p>
        </w:tc>
        <w:tc>
          <w:tcPr>
            <w:tcW w:w="862" w:type="dxa"/>
            <w:tcBorders>
              <w:tl2br w:val="nil"/>
              <w:tr2bl w:val="nil"/>
            </w:tcBorders>
            <w:shd w:val="clear" w:color="auto" w:fill="auto"/>
            <w:noWrap/>
            <w:vAlign w:val="center"/>
          </w:tcPr>
          <w:p w14:paraId="4399E58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0.640</w:t>
            </w:r>
          </w:p>
        </w:tc>
        <w:tc>
          <w:tcPr>
            <w:tcW w:w="882" w:type="dxa"/>
            <w:tcBorders>
              <w:tl2br w:val="nil"/>
              <w:tr2bl w:val="nil"/>
            </w:tcBorders>
            <w:shd w:val="clear" w:color="auto" w:fill="auto"/>
            <w:noWrap/>
            <w:vAlign w:val="center"/>
          </w:tcPr>
          <w:p w14:paraId="6851088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0.643</w:t>
            </w:r>
          </w:p>
        </w:tc>
        <w:tc>
          <w:tcPr>
            <w:tcW w:w="1378" w:type="dxa"/>
            <w:tcBorders>
              <w:tl2br w:val="nil"/>
              <w:tr2bl w:val="nil"/>
            </w:tcBorders>
            <w:shd w:val="clear" w:color="auto" w:fill="auto"/>
            <w:noWrap/>
            <w:vAlign w:val="center"/>
          </w:tcPr>
          <w:p w14:paraId="4D07078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0.625</w:t>
            </w:r>
          </w:p>
        </w:tc>
        <w:tc>
          <w:tcPr>
            <w:tcW w:w="1378" w:type="dxa"/>
            <w:tcBorders>
              <w:tl2br w:val="nil"/>
              <w:tr2bl w:val="nil"/>
            </w:tcBorders>
            <w:shd w:val="clear" w:color="auto" w:fill="auto"/>
            <w:noWrap/>
            <w:vAlign w:val="center"/>
          </w:tcPr>
          <w:p w14:paraId="0AF2C5C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0.0205</w:t>
            </w:r>
          </w:p>
        </w:tc>
        <w:tc>
          <w:tcPr>
            <w:tcW w:w="1379" w:type="dxa"/>
            <w:tcBorders>
              <w:tl2br w:val="nil"/>
              <w:tr2bl w:val="nil"/>
            </w:tcBorders>
            <w:shd w:val="clear" w:color="auto" w:fill="auto"/>
            <w:noWrap/>
            <w:vAlign w:val="center"/>
          </w:tcPr>
          <w:p w14:paraId="40FD113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3.3</w:t>
            </w:r>
          </w:p>
        </w:tc>
        <w:tc>
          <w:tcPr>
            <w:tcW w:w="1379" w:type="dxa"/>
            <w:tcBorders>
              <w:tl2br w:val="nil"/>
              <w:tr2bl w:val="nil"/>
            </w:tcBorders>
            <w:shd w:val="clear" w:color="auto" w:fill="auto"/>
            <w:noWrap/>
            <w:vAlign w:val="center"/>
          </w:tcPr>
          <w:p w14:paraId="3B10C37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89.3</w:t>
            </w:r>
          </w:p>
        </w:tc>
      </w:tr>
      <w:tr w14:paraId="3E80A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64EE4DB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6CDEBC0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7BED0EE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0.588</w:t>
            </w:r>
          </w:p>
        </w:tc>
        <w:tc>
          <w:tcPr>
            <w:tcW w:w="862" w:type="dxa"/>
            <w:tcBorders>
              <w:tl2br w:val="nil"/>
              <w:tr2bl w:val="nil"/>
            </w:tcBorders>
            <w:shd w:val="clear" w:color="auto" w:fill="auto"/>
            <w:noWrap/>
            <w:vAlign w:val="center"/>
          </w:tcPr>
          <w:p w14:paraId="63E1800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0.586</w:t>
            </w:r>
          </w:p>
        </w:tc>
        <w:tc>
          <w:tcPr>
            <w:tcW w:w="862" w:type="dxa"/>
            <w:tcBorders>
              <w:tl2br w:val="nil"/>
              <w:tr2bl w:val="nil"/>
            </w:tcBorders>
            <w:shd w:val="clear" w:color="auto" w:fill="auto"/>
            <w:noWrap/>
            <w:vAlign w:val="center"/>
          </w:tcPr>
          <w:p w14:paraId="793AFCA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0.580</w:t>
            </w:r>
          </w:p>
        </w:tc>
        <w:tc>
          <w:tcPr>
            <w:tcW w:w="862" w:type="dxa"/>
            <w:tcBorders>
              <w:tl2br w:val="nil"/>
              <w:tr2bl w:val="nil"/>
            </w:tcBorders>
            <w:shd w:val="clear" w:color="auto" w:fill="auto"/>
            <w:noWrap/>
            <w:vAlign w:val="center"/>
          </w:tcPr>
          <w:p w14:paraId="5E9D84E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0.614</w:t>
            </w:r>
          </w:p>
        </w:tc>
        <w:tc>
          <w:tcPr>
            <w:tcW w:w="862" w:type="dxa"/>
            <w:tcBorders>
              <w:tl2br w:val="nil"/>
              <w:tr2bl w:val="nil"/>
            </w:tcBorders>
            <w:shd w:val="clear" w:color="auto" w:fill="auto"/>
            <w:noWrap/>
            <w:vAlign w:val="center"/>
          </w:tcPr>
          <w:p w14:paraId="15DFBF3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0.611</w:t>
            </w:r>
          </w:p>
        </w:tc>
        <w:tc>
          <w:tcPr>
            <w:tcW w:w="882" w:type="dxa"/>
            <w:tcBorders>
              <w:tl2br w:val="nil"/>
              <w:tr2bl w:val="nil"/>
            </w:tcBorders>
            <w:shd w:val="clear" w:color="auto" w:fill="auto"/>
            <w:noWrap/>
            <w:vAlign w:val="center"/>
          </w:tcPr>
          <w:p w14:paraId="742F5D1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0.596</w:t>
            </w:r>
          </w:p>
        </w:tc>
        <w:tc>
          <w:tcPr>
            <w:tcW w:w="1378" w:type="dxa"/>
            <w:tcBorders>
              <w:tl2br w:val="nil"/>
              <w:tr2bl w:val="nil"/>
            </w:tcBorders>
            <w:shd w:val="clear" w:color="auto" w:fill="auto"/>
            <w:noWrap/>
            <w:vAlign w:val="center"/>
          </w:tcPr>
          <w:p w14:paraId="6282A58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0.596</w:t>
            </w:r>
          </w:p>
        </w:tc>
        <w:tc>
          <w:tcPr>
            <w:tcW w:w="1378" w:type="dxa"/>
            <w:tcBorders>
              <w:tl2br w:val="nil"/>
              <w:tr2bl w:val="nil"/>
            </w:tcBorders>
            <w:shd w:val="clear" w:color="auto" w:fill="auto"/>
            <w:noWrap/>
            <w:vAlign w:val="center"/>
          </w:tcPr>
          <w:p w14:paraId="705AFE9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0.0141</w:t>
            </w:r>
          </w:p>
        </w:tc>
        <w:tc>
          <w:tcPr>
            <w:tcW w:w="1379" w:type="dxa"/>
            <w:tcBorders>
              <w:tl2br w:val="nil"/>
              <w:tr2bl w:val="nil"/>
            </w:tcBorders>
            <w:shd w:val="clear" w:color="auto" w:fill="auto"/>
            <w:noWrap/>
            <w:vAlign w:val="center"/>
          </w:tcPr>
          <w:p w14:paraId="151C57A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2.4</w:t>
            </w:r>
          </w:p>
        </w:tc>
        <w:tc>
          <w:tcPr>
            <w:tcW w:w="1379" w:type="dxa"/>
            <w:tcBorders>
              <w:tl2br w:val="nil"/>
              <w:tr2bl w:val="nil"/>
            </w:tcBorders>
            <w:shd w:val="clear" w:color="auto" w:fill="auto"/>
            <w:noWrap/>
            <w:vAlign w:val="center"/>
          </w:tcPr>
          <w:p w14:paraId="5AB88B6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85.1</w:t>
            </w:r>
          </w:p>
        </w:tc>
      </w:tr>
      <w:tr w14:paraId="68C17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3006BA95">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7A757DDE">
      <w:pPr>
        <w:rPr>
          <w:rFonts w:hint="default" w:ascii="Times New Roman" w:hAnsi="Times New Roman" w:eastAsia="黑体" w:cs="Times New Roman"/>
          <w:color w:val="000000"/>
          <w:kern w:val="18"/>
          <w:sz w:val="21"/>
          <w:szCs w:val="21"/>
          <w:lang w:val="en-US" w:eastAsia="zh-CN" w:bidi="ar-SA"/>
        </w:rPr>
      </w:pPr>
      <w:r>
        <w:rPr>
          <w:rFonts w:hint="default" w:ascii="Times New Roman" w:hAnsi="Times New Roman" w:eastAsia="黑体" w:cs="Times New Roman"/>
          <w:color w:val="000000"/>
          <w:kern w:val="18"/>
          <w:sz w:val="21"/>
          <w:szCs w:val="21"/>
          <w:lang w:val="en-US" w:eastAsia="zh-CN" w:bidi="ar-SA"/>
        </w:rPr>
        <w:br w:type="page"/>
      </w:r>
    </w:p>
    <w:p w14:paraId="5F8CA89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附表11-1  土壤低浓度加标样品（0.10 mg/kg）精密度和正确度验证数据</w:t>
      </w:r>
    </w:p>
    <w:p w14:paraId="15707BCD">
      <w:pPr>
        <w:pStyle w:val="22"/>
        <w:tabs>
          <w:tab w:val="left" w:pos="9240"/>
          <w:tab w:val="left" w:pos="10920"/>
        </w:tabs>
        <w:wordWrap w:val="0"/>
        <w:spacing w:before="156" w:beforeLines="50" w:after="156" w:afterLines="50" w:line="360" w:lineRule="exact"/>
        <w:ind w:left="8820" w:leftChars="0" w:firstLine="420" w:firstLineChars="0"/>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湖北省生态环境监测中心站</w:t>
      </w:r>
      <w:r>
        <w:rPr>
          <w:rFonts w:hint="default" w:ascii="Times New Roman" w:hAnsi="Times New Roman" w:cs="Times New Roman"/>
          <w:color w:val="000000"/>
          <w:sz w:val="21"/>
          <w:szCs w:val="21"/>
          <w:u w:val="single"/>
          <w:lang w:val="en-US" w:eastAsia="zh-CN"/>
        </w:rPr>
        <w:t xml:space="preserve"> </w:t>
      </w:r>
    </w:p>
    <w:p w14:paraId="420BD342">
      <w:pPr>
        <w:pStyle w:val="22"/>
        <w:tabs>
          <w:tab w:val="left" w:pos="9240"/>
          <w:tab w:val="left" w:pos="10920"/>
          <w:tab w:val="left" w:pos="13020"/>
        </w:tabs>
        <w:wordWrap w:val="0"/>
        <w:spacing w:before="156" w:beforeLines="50" w:after="156" w:afterLines="50" w:line="360" w:lineRule="exact"/>
        <w:ind w:left="8820" w:leftChars="0" w:right="616" w:rightChars="0" w:firstLine="420" w:firstLineChars="0"/>
        <w:jc w:val="both"/>
        <w:rPr>
          <w:rFonts w:hint="default" w:ascii="Times New Roman" w:hAnsi="Times New Roman" w:cs="Times New Roman"/>
          <w:color w:val="000000"/>
          <w:sz w:val="21"/>
          <w:szCs w:val="21"/>
          <w:u w:val="single"/>
          <w:lang w:val="en-US"/>
        </w:rPr>
      </w:pP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2024年12月10日</w:t>
      </w:r>
      <w:r>
        <w:rPr>
          <w:rFonts w:hint="default" w:ascii="Times New Roman" w:hAnsi="Times New Roman" w:cs="Times New Roman"/>
          <w:color w:val="000000"/>
          <w:sz w:val="21"/>
          <w:szCs w:val="21"/>
          <w:u w:val="single"/>
          <w:lang w:val="en-US" w:eastAsia="zh-CN"/>
        </w:rPr>
        <w:t xml:space="preserve">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6E8AB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45C72FB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4C2203C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4C89187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23D66FEB">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43"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43" DrawAspect="Content" ObjectID="_1468075831" r:id="rId188">
                  <o:LockedField>false</o:LockedField>
                </o:OLEObject>
              </w:object>
            </w:r>
          </w:p>
          <w:p w14:paraId="5163030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4088AFE1">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44"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44" DrawAspect="Content" ObjectID="_1468075832" r:id="rId189">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667D8BF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42CD0FF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77E0A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6D3E46C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1E68D84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1B89EF8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5FAF3ED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43200EF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7DBC077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49BB551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754BB53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4371622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4C20BF6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54AF36D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56B14C7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D618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50E543C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67E50AD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1710422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0.079</w:t>
            </w:r>
          </w:p>
        </w:tc>
        <w:tc>
          <w:tcPr>
            <w:tcW w:w="862" w:type="dxa"/>
            <w:tcBorders>
              <w:tl2br w:val="nil"/>
              <w:tr2bl w:val="nil"/>
            </w:tcBorders>
            <w:shd w:val="clear" w:color="auto" w:fill="auto"/>
            <w:noWrap/>
            <w:vAlign w:val="center"/>
          </w:tcPr>
          <w:p w14:paraId="552E13C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0.077</w:t>
            </w:r>
          </w:p>
        </w:tc>
        <w:tc>
          <w:tcPr>
            <w:tcW w:w="862" w:type="dxa"/>
            <w:tcBorders>
              <w:tl2br w:val="nil"/>
              <w:tr2bl w:val="nil"/>
            </w:tcBorders>
            <w:shd w:val="clear" w:color="auto" w:fill="auto"/>
            <w:noWrap/>
            <w:vAlign w:val="center"/>
          </w:tcPr>
          <w:p w14:paraId="166EDCC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0.083</w:t>
            </w:r>
          </w:p>
        </w:tc>
        <w:tc>
          <w:tcPr>
            <w:tcW w:w="862" w:type="dxa"/>
            <w:tcBorders>
              <w:tl2br w:val="nil"/>
              <w:tr2bl w:val="nil"/>
            </w:tcBorders>
            <w:shd w:val="clear" w:color="auto" w:fill="auto"/>
            <w:noWrap/>
            <w:vAlign w:val="center"/>
          </w:tcPr>
          <w:p w14:paraId="45EFE06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0.083</w:t>
            </w:r>
          </w:p>
        </w:tc>
        <w:tc>
          <w:tcPr>
            <w:tcW w:w="862" w:type="dxa"/>
            <w:tcBorders>
              <w:tl2br w:val="nil"/>
              <w:tr2bl w:val="nil"/>
            </w:tcBorders>
            <w:shd w:val="clear" w:color="auto" w:fill="auto"/>
            <w:noWrap/>
            <w:vAlign w:val="center"/>
          </w:tcPr>
          <w:p w14:paraId="0DAAA32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0.085</w:t>
            </w:r>
          </w:p>
        </w:tc>
        <w:tc>
          <w:tcPr>
            <w:tcW w:w="882" w:type="dxa"/>
            <w:tcBorders>
              <w:tl2br w:val="nil"/>
              <w:tr2bl w:val="nil"/>
            </w:tcBorders>
            <w:shd w:val="clear" w:color="auto" w:fill="auto"/>
            <w:noWrap/>
            <w:vAlign w:val="center"/>
          </w:tcPr>
          <w:p w14:paraId="0AF9FAB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0.085</w:t>
            </w:r>
          </w:p>
        </w:tc>
        <w:tc>
          <w:tcPr>
            <w:tcW w:w="1378" w:type="dxa"/>
            <w:tcBorders>
              <w:tl2br w:val="nil"/>
              <w:tr2bl w:val="nil"/>
            </w:tcBorders>
            <w:shd w:val="clear" w:color="auto" w:fill="auto"/>
            <w:noWrap/>
            <w:vAlign w:val="center"/>
          </w:tcPr>
          <w:p w14:paraId="2D21218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0.082</w:t>
            </w:r>
          </w:p>
        </w:tc>
        <w:tc>
          <w:tcPr>
            <w:tcW w:w="1378" w:type="dxa"/>
            <w:tcBorders>
              <w:tl2br w:val="nil"/>
              <w:tr2bl w:val="nil"/>
            </w:tcBorders>
            <w:shd w:val="clear" w:color="auto" w:fill="auto"/>
            <w:noWrap/>
            <w:vAlign w:val="center"/>
          </w:tcPr>
          <w:p w14:paraId="649E089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0.0033</w:t>
            </w:r>
          </w:p>
        </w:tc>
        <w:tc>
          <w:tcPr>
            <w:tcW w:w="1379" w:type="dxa"/>
            <w:tcBorders>
              <w:tl2br w:val="nil"/>
              <w:tr2bl w:val="nil"/>
            </w:tcBorders>
            <w:shd w:val="clear" w:color="auto" w:fill="auto"/>
            <w:noWrap/>
            <w:vAlign w:val="center"/>
          </w:tcPr>
          <w:p w14:paraId="38AA6E8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4.0</w:t>
            </w:r>
          </w:p>
        </w:tc>
        <w:tc>
          <w:tcPr>
            <w:tcW w:w="1379" w:type="dxa"/>
            <w:tcBorders>
              <w:tl2br w:val="nil"/>
              <w:tr2bl w:val="nil"/>
            </w:tcBorders>
            <w:shd w:val="clear" w:color="auto" w:fill="auto"/>
            <w:noWrap/>
            <w:vAlign w:val="center"/>
          </w:tcPr>
          <w:p w14:paraId="0523156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81.9</w:t>
            </w:r>
          </w:p>
        </w:tc>
      </w:tr>
      <w:tr w14:paraId="64372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19F0B24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6D94638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6161CB8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0.075</w:t>
            </w:r>
          </w:p>
        </w:tc>
        <w:tc>
          <w:tcPr>
            <w:tcW w:w="862" w:type="dxa"/>
            <w:tcBorders>
              <w:tl2br w:val="nil"/>
              <w:tr2bl w:val="nil"/>
            </w:tcBorders>
            <w:shd w:val="clear" w:color="auto" w:fill="auto"/>
            <w:noWrap/>
            <w:vAlign w:val="center"/>
          </w:tcPr>
          <w:p w14:paraId="1C3CADE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0.074</w:t>
            </w:r>
          </w:p>
        </w:tc>
        <w:tc>
          <w:tcPr>
            <w:tcW w:w="862" w:type="dxa"/>
            <w:tcBorders>
              <w:tl2br w:val="nil"/>
              <w:tr2bl w:val="nil"/>
            </w:tcBorders>
            <w:shd w:val="clear" w:color="auto" w:fill="auto"/>
            <w:noWrap/>
            <w:vAlign w:val="center"/>
          </w:tcPr>
          <w:p w14:paraId="49A9901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0.078</w:t>
            </w:r>
          </w:p>
        </w:tc>
        <w:tc>
          <w:tcPr>
            <w:tcW w:w="862" w:type="dxa"/>
            <w:tcBorders>
              <w:tl2br w:val="nil"/>
              <w:tr2bl w:val="nil"/>
            </w:tcBorders>
            <w:shd w:val="clear" w:color="auto" w:fill="auto"/>
            <w:noWrap/>
            <w:vAlign w:val="center"/>
          </w:tcPr>
          <w:p w14:paraId="5D3E482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0.078</w:t>
            </w:r>
          </w:p>
        </w:tc>
        <w:tc>
          <w:tcPr>
            <w:tcW w:w="862" w:type="dxa"/>
            <w:tcBorders>
              <w:tl2br w:val="nil"/>
              <w:tr2bl w:val="nil"/>
            </w:tcBorders>
            <w:shd w:val="clear" w:color="auto" w:fill="auto"/>
            <w:noWrap/>
            <w:vAlign w:val="center"/>
          </w:tcPr>
          <w:p w14:paraId="2502E6F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0.081</w:t>
            </w:r>
          </w:p>
        </w:tc>
        <w:tc>
          <w:tcPr>
            <w:tcW w:w="882" w:type="dxa"/>
            <w:tcBorders>
              <w:tl2br w:val="nil"/>
              <w:tr2bl w:val="nil"/>
            </w:tcBorders>
            <w:shd w:val="clear" w:color="auto" w:fill="auto"/>
            <w:noWrap/>
            <w:vAlign w:val="center"/>
          </w:tcPr>
          <w:p w14:paraId="398FE29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0.081</w:t>
            </w:r>
          </w:p>
        </w:tc>
        <w:tc>
          <w:tcPr>
            <w:tcW w:w="1378" w:type="dxa"/>
            <w:tcBorders>
              <w:tl2br w:val="nil"/>
              <w:tr2bl w:val="nil"/>
            </w:tcBorders>
            <w:shd w:val="clear" w:color="auto" w:fill="auto"/>
            <w:noWrap/>
            <w:vAlign w:val="center"/>
          </w:tcPr>
          <w:p w14:paraId="613E1FE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0.078</w:t>
            </w:r>
          </w:p>
        </w:tc>
        <w:tc>
          <w:tcPr>
            <w:tcW w:w="1378" w:type="dxa"/>
            <w:tcBorders>
              <w:tl2br w:val="nil"/>
              <w:tr2bl w:val="nil"/>
            </w:tcBorders>
            <w:shd w:val="clear" w:color="auto" w:fill="auto"/>
            <w:noWrap/>
            <w:vAlign w:val="center"/>
          </w:tcPr>
          <w:p w14:paraId="0560714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0.0030</w:t>
            </w:r>
          </w:p>
        </w:tc>
        <w:tc>
          <w:tcPr>
            <w:tcW w:w="1379" w:type="dxa"/>
            <w:tcBorders>
              <w:tl2br w:val="nil"/>
              <w:tr2bl w:val="nil"/>
            </w:tcBorders>
            <w:shd w:val="clear" w:color="auto" w:fill="auto"/>
            <w:noWrap/>
            <w:vAlign w:val="center"/>
          </w:tcPr>
          <w:p w14:paraId="6F4264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3.8</w:t>
            </w:r>
          </w:p>
        </w:tc>
        <w:tc>
          <w:tcPr>
            <w:tcW w:w="1379" w:type="dxa"/>
            <w:tcBorders>
              <w:tl2br w:val="nil"/>
              <w:tr2bl w:val="nil"/>
            </w:tcBorders>
            <w:shd w:val="clear" w:color="auto" w:fill="auto"/>
            <w:noWrap/>
            <w:vAlign w:val="center"/>
          </w:tcPr>
          <w:p w14:paraId="57DBE8A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77.8</w:t>
            </w:r>
          </w:p>
        </w:tc>
      </w:tr>
      <w:tr w14:paraId="0F10C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4D8AC375">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3941ECF8">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5DE48E7D">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79FAD0D7">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10AB913A">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附表11-2  土壤中浓度加标样品（0.40 mg/kg）精密度和正确度验证数据</w:t>
      </w:r>
    </w:p>
    <w:p w14:paraId="231C1697">
      <w:pPr>
        <w:pStyle w:val="22"/>
        <w:tabs>
          <w:tab w:val="left" w:pos="9240"/>
          <w:tab w:val="left" w:pos="10920"/>
        </w:tabs>
        <w:wordWrap w:val="0"/>
        <w:spacing w:before="156" w:beforeLines="50" w:after="156" w:afterLines="50" w:line="360" w:lineRule="exact"/>
        <w:ind w:left="8820" w:leftChars="0" w:firstLine="420" w:firstLineChars="0"/>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湖北省生态环境监测中心站</w:t>
      </w:r>
      <w:r>
        <w:rPr>
          <w:rFonts w:hint="default" w:ascii="Times New Roman" w:hAnsi="Times New Roman" w:cs="Times New Roman"/>
          <w:color w:val="000000"/>
          <w:sz w:val="21"/>
          <w:szCs w:val="21"/>
          <w:u w:val="single"/>
          <w:lang w:val="en-US" w:eastAsia="zh-CN"/>
        </w:rPr>
        <w:t xml:space="preserve"> </w:t>
      </w:r>
    </w:p>
    <w:p w14:paraId="136781B4">
      <w:pPr>
        <w:pStyle w:val="22"/>
        <w:tabs>
          <w:tab w:val="left" w:pos="9240"/>
          <w:tab w:val="left" w:pos="10920"/>
          <w:tab w:val="left" w:pos="13020"/>
        </w:tabs>
        <w:wordWrap w:val="0"/>
        <w:spacing w:before="156" w:beforeLines="50" w:after="156" w:afterLines="50" w:line="360" w:lineRule="exact"/>
        <w:ind w:left="8820" w:leftChars="0" w:right="616" w:rightChars="0" w:firstLine="420" w:firstLineChars="0"/>
        <w:jc w:val="both"/>
        <w:rPr>
          <w:rFonts w:hint="default" w:ascii="Times New Roman" w:hAnsi="Times New Roman" w:cs="Times New Roman"/>
          <w:color w:val="000000"/>
          <w:sz w:val="21"/>
          <w:szCs w:val="21"/>
          <w:u w:val="single"/>
          <w:lang w:val="en-US"/>
        </w:rPr>
      </w:pP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2024年12月10日</w:t>
      </w:r>
      <w:r>
        <w:rPr>
          <w:rFonts w:hint="default" w:ascii="Times New Roman" w:hAnsi="Times New Roman" w:cs="Times New Roman"/>
          <w:color w:val="000000"/>
          <w:sz w:val="21"/>
          <w:szCs w:val="21"/>
          <w:u w:val="single"/>
          <w:lang w:val="en-US" w:eastAsia="zh-CN"/>
        </w:rPr>
        <w:t xml:space="preserve">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2C8D7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2482F74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6E81DE1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69A187E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68F1D935">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4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45" DrawAspect="Content" ObjectID="_1468075833" r:id="rId190">
                  <o:LockedField>false</o:LockedField>
                </o:OLEObject>
              </w:object>
            </w:r>
          </w:p>
          <w:p w14:paraId="3507F66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10D792A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4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46" DrawAspect="Content" ObjectID="_1468075834" r:id="rId191">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58DD497E">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62DC4D1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06944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7EC7305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3A61A92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19439F8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2E2DE0D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7022821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4D7C141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69A8429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6CE06C2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0143F4E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37E6214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149CC96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19296B7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5C03E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6B91CA5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7B5D2AF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64A375F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0.362</w:t>
            </w:r>
          </w:p>
        </w:tc>
        <w:tc>
          <w:tcPr>
            <w:tcW w:w="862" w:type="dxa"/>
            <w:tcBorders>
              <w:tl2br w:val="nil"/>
              <w:tr2bl w:val="nil"/>
            </w:tcBorders>
            <w:shd w:val="clear" w:color="auto" w:fill="auto"/>
            <w:noWrap/>
            <w:vAlign w:val="center"/>
          </w:tcPr>
          <w:p w14:paraId="3B6B8E3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0.365</w:t>
            </w:r>
          </w:p>
        </w:tc>
        <w:tc>
          <w:tcPr>
            <w:tcW w:w="862" w:type="dxa"/>
            <w:tcBorders>
              <w:tl2br w:val="nil"/>
              <w:tr2bl w:val="nil"/>
            </w:tcBorders>
            <w:shd w:val="clear" w:color="auto" w:fill="auto"/>
            <w:noWrap/>
            <w:vAlign w:val="center"/>
          </w:tcPr>
          <w:p w14:paraId="43D74D7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0.357</w:t>
            </w:r>
          </w:p>
        </w:tc>
        <w:tc>
          <w:tcPr>
            <w:tcW w:w="862" w:type="dxa"/>
            <w:tcBorders>
              <w:tl2br w:val="nil"/>
              <w:tr2bl w:val="nil"/>
            </w:tcBorders>
            <w:shd w:val="clear" w:color="auto" w:fill="auto"/>
            <w:noWrap/>
            <w:vAlign w:val="center"/>
          </w:tcPr>
          <w:p w14:paraId="66CF9C9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0.358</w:t>
            </w:r>
          </w:p>
        </w:tc>
        <w:tc>
          <w:tcPr>
            <w:tcW w:w="862" w:type="dxa"/>
            <w:tcBorders>
              <w:tl2br w:val="nil"/>
              <w:tr2bl w:val="nil"/>
            </w:tcBorders>
            <w:shd w:val="clear" w:color="auto" w:fill="auto"/>
            <w:noWrap/>
            <w:vAlign w:val="center"/>
          </w:tcPr>
          <w:p w14:paraId="37F9393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0.377</w:t>
            </w:r>
          </w:p>
        </w:tc>
        <w:tc>
          <w:tcPr>
            <w:tcW w:w="882" w:type="dxa"/>
            <w:tcBorders>
              <w:tl2br w:val="nil"/>
              <w:tr2bl w:val="nil"/>
            </w:tcBorders>
            <w:shd w:val="clear" w:color="auto" w:fill="auto"/>
            <w:noWrap/>
            <w:vAlign w:val="center"/>
          </w:tcPr>
          <w:p w14:paraId="3506A27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0.377</w:t>
            </w:r>
          </w:p>
        </w:tc>
        <w:tc>
          <w:tcPr>
            <w:tcW w:w="1378" w:type="dxa"/>
            <w:tcBorders>
              <w:tl2br w:val="nil"/>
              <w:tr2bl w:val="nil"/>
            </w:tcBorders>
            <w:shd w:val="clear" w:color="auto" w:fill="auto"/>
            <w:noWrap/>
            <w:vAlign w:val="center"/>
          </w:tcPr>
          <w:p w14:paraId="389CA20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0.366</w:t>
            </w:r>
          </w:p>
        </w:tc>
        <w:tc>
          <w:tcPr>
            <w:tcW w:w="1378" w:type="dxa"/>
            <w:tcBorders>
              <w:tl2br w:val="nil"/>
              <w:tr2bl w:val="nil"/>
            </w:tcBorders>
            <w:shd w:val="clear" w:color="auto" w:fill="auto"/>
            <w:noWrap/>
            <w:vAlign w:val="center"/>
          </w:tcPr>
          <w:p w14:paraId="44C0633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0.0090</w:t>
            </w:r>
          </w:p>
        </w:tc>
        <w:tc>
          <w:tcPr>
            <w:tcW w:w="1379" w:type="dxa"/>
            <w:tcBorders>
              <w:tl2br w:val="nil"/>
              <w:tr2bl w:val="nil"/>
            </w:tcBorders>
            <w:shd w:val="clear" w:color="auto" w:fill="auto"/>
            <w:noWrap/>
            <w:vAlign w:val="center"/>
          </w:tcPr>
          <w:p w14:paraId="1C75C20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2.4</w:t>
            </w:r>
          </w:p>
        </w:tc>
        <w:tc>
          <w:tcPr>
            <w:tcW w:w="1379" w:type="dxa"/>
            <w:tcBorders>
              <w:tl2br w:val="nil"/>
              <w:tr2bl w:val="nil"/>
            </w:tcBorders>
            <w:shd w:val="clear" w:color="auto" w:fill="auto"/>
            <w:noWrap/>
            <w:vAlign w:val="center"/>
          </w:tcPr>
          <w:p w14:paraId="7036758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91.5</w:t>
            </w:r>
          </w:p>
        </w:tc>
      </w:tr>
      <w:tr w14:paraId="5409A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454E491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16DFCD0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0254138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0.362</w:t>
            </w:r>
          </w:p>
        </w:tc>
        <w:tc>
          <w:tcPr>
            <w:tcW w:w="862" w:type="dxa"/>
            <w:tcBorders>
              <w:tl2br w:val="nil"/>
              <w:tr2bl w:val="nil"/>
            </w:tcBorders>
            <w:shd w:val="clear" w:color="auto" w:fill="auto"/>
            <w:noWrap/>
            <w:vAlign w:val="center"/>
          </w:tcPr>
          <w:p w14:paraId="53B14E2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0.371</w:t>
            </w:r>
          </w:p>
        </w:tc>
        <w:tc>
          <w:tcPr>
            <w:tcW w:w="862" w:type="dxa"/>
            <w:tcBorders>
              <w:tl2br w:val="nil"/>
              <w:tr2bl w:val="nil"/>
            </w:tcBorders>
            <w:shd w:val="clear" w:color="auto" w:fill="auto"/>
            <w:noWrap/>
            <w:vAlign w:val="center"/>
          </w:tcPr>
          <w:p w14:paraId="1F2F47A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0.361</w:t>
            </w:r>
          </w:p>
        </w:tc>
        <w:tc>
          <w:tcPr>
            <w:tcW w:w="862" w:type="dxa"/>
            <w:tcBorders>
              <w:tl2br w:val="nil"/>
              <w:tr2bl w:val="nil"/>
            </w:tcBorders>
            <w:shd w:val="clear" w:color="auto" w:fill="auto"/>
            <w:noWrap/>
            <w:vAlign w:val="center"/>
          </w:tcPr>
          <w:p w14:paraId="5C7EB24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0.364</w:t>
            </w:r>
          </w:p>
        </w:tc>
        <w:tc>
          <w:tcPr>
            <w:tcW w:w="862" w:type="dxa"/>
            <w:tcBorders>
              <w:tl2br w:val="nil"/>
              <w:tr2bl w:val="nil"/>
            </w:tcBorders>
            <w:shd w:val="clear" w:color="auto" w:fill="auto"/>
            <w:noWrap/>
            <w:vAlign w:val="center"/>
          </w:tcPr>
          <w:p w14:paraId="32C8E95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0.369</w:t>
            </w:r>
          </w:p>
        </w:tc>
        <w:tc>
          <w:tcPr>
            <w:tcW w:w="882" w:type="dxa"/>
            <w:tcBorders>
              <w:tl2br w:val="nil"/>
              <w:tr2bl w:val="nil"/>
            </w:tcBorders>
            <w:shd w:val="clear" w:color="auto" w:fill="auto"/>
            <w:noWrap/>
            <w:vAlign w:val="center"/>
          </w:tcPr>
          <w:p w14:paraId="2455BA7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0.369</w:t>
            </w:r>
          </w:p>
        </w:tc>
        <w:tc>
          <w:tcPr>
            <w:tcW w:w="1378" w:type="dxa"/>
            <w:tcBorders>
              <w:tl2br w:val="nil"/>
              <w:tr2bl w:val="nil"/>
            </w:tcBorders>
            <w:shd w:val="clear" w:color="auto" w:fill="auto"/>
            <w:noWrap/>
            <w:vAlign w:val="center"/>
          </w:tcPr>
          <w:p w14:paraId="793FF9F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0.366</w:t>
            </w:r>
          </w:p>
        </w:tc>
        <w:tc>
          <w:tcPr>
            <w:tcW w:w="1378" w:type="dxa"/>
            <w:tcBorders>
              <w:tl2br w:val="nil"/>
              <w:tr2bl w:val="nil"/>
            </w:tcBorders>
            <w:shd w:val="clear" w:color="auto" w:fill="auto"/>
            <w:noWrap/>
            <w:vAlign w:val="center"/>
          </w:tcPr>
          <w:p w14:paraId="56C8EEB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0.0041</w:t>
            </w:r>
          </w:p>
        </w:tc>
        <w:tc>
          <w:tcPr>
            <w:tcW w:w="1379" w:type="dxa"/>
            <w:tcBorders>
              <w:tl2br w:val="nil"/>
              <w:tr2bl w:val="nil"/>
            </w:tcBorders>
            <w:shd w:val="clear" w:color="auto" w:fill="auto"/>
            <w:noWrap/>
            <w:vAlign w:val="center"/>
          </w:tcPr>
          <w:p w14:paraId="356F992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1.1</w:t>
            </w:r>
          </w:p>
        </w:tc>
        <w:tc>
          <w:tcPr>
            <w:tcW w:w="1379" w:type="dxa"/>
            <w:tcBorders>
              <w:tl2br w:val="nil"/>
              <w:tr2bl w:val="nil"/>
            </w:tcBorders>
            <w:shd w:val="clear" w:color="auto" w:fill="auto"/>
            <w:noWrap/>
            <w:vAlign w:val="center"/>
          </w:tcPr>
          <w:p w14:paraId="0940D2D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91.5</w:t>
            </w:r>
          </w:p>
        </w:tc>
      </w:tr>
      <w:tr w14:paraId="61F7B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30ABF896">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0E013DC3">
      <w:pPr>
        <w:rPr>
          <w:rFonts w:hint="default" w:ascii="Times New Roman" w:hAnsi="Times New Roman" w:eastAsia="黑体" w:cs="Times New Roman"/>
          <w:color w:val="000000"/>
          <w:kern w:val="18"/>
          <w:sz w:val="21"/>
          <w:szCs w:val="21"/>
          <w:lang w:val="en-US" w:eastAsia="zh-CN" w:bidi="ar-SA"/>
        </w:rPr>
      </w:pPr>
      <w:r>
        <w:rPr>
          <w:rFonts w:hint="default" w:ascii="Times New Roman" w:hAnsi="Times New Roman" w:eastAsia="黑体" w:cs="Times New Roman"/>
          <w:color w:val="000000"/>
          <w:kern w:val="18"/>
          <w:sz w:val="21"/>
          <w:szCs w:val="21"/>
          <w:lang w:val="en-US" w:eastAsia="zh-CN" w:bidi="ar-SA"/>
        </w:rPr>
        <w:br w:type="page"/>
      </w:r>
    </w:p>
    <w:p w14:paraId="4F23F3E8">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附表11-3  土壤高浓度加标样品（0.70 mg/kg）精密度和正确度验证数据</w:t>
      </w:r>
    </w:p>
    <w:p w14:paraId="50312400">
      <w:pPr>
        <w:pStyle w:val="22"/>
        <w:tabs>
          <w:tab w:val="left" w:pos="9240"/>
          <w:tab w:val="left" w:pos="10920"/>
        </w:tabs>
        <w:wordWrap w:val="0"/>
        <w:spacing w:before="156" w:beforeLines="50" w:after="156" w:afterLines="50" w:line="360" w:lineRule="exact"/>
        <w:ind w:left="8820" w:leftChars="0" w:firstLine="420" w:firstLineChars="0"/>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湖北省生态环境监测中心站</w:t>
      </w:r>
      <w:r>
        <w:rPr>
          <w:rFonts w:hint="default" w:ascii="Times New Roman" w:hAnsi="Times New Roman" w:cs="Times New Roman"/>
          <w:color w:val="000000"/>
          <w:sz w:val="21"/>
          <w:szCs w:val="21"/>
          <w:u w:val="single"/>
          <w:lang w:val="en-US" w:eastAsia="zh-CN"/>
        </w:rPr>
        <w:t xml:space="preserve"> </w:t>
      </w:r>
    </w:p>
    <w:p w14:paraId="50B21D2A">
      <w:pPr>
        <w:pStyle w:val="22"/>
        <w:tabs>
          <w:tab w:val="left" w:pos="9240"/>
          <w:tab w:val="left" w:pos="10920"/>
          <w:tab w:val="left" w:pos="13020"/>
        </w:tabs>
        <w:wordWrap w:val="0"/>
        <w:spacing w:before="156" w:beforeLines="50" w:after="156" w:afterLines="50" w:line="360" w:lineRule="exact"/>
        <w:ind w:left="8820" w:leftChars="0" w:right="616" w:rightChars="0" w:firstLine="420" w:firstLineChars="0"/>
        <w:jc w:val="both"/>
        <w:rPr>
          <w:rFonts w:hint="default" w:ascii="Times New Roman" w:hAnsi="Times New Roman" w:cs="Times New Roman"/>
          <w:color w:val="000000"/>
          <w:sz w:val="21"/>
          <w:szCs w:val="21"/>
          <w:u w:val="single"/>
          <w:lang w:val="en-US"/>
        </w:rPr>
      </w:pP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w:t>
      </w:r>
      <w:r>
        <w:rPr>
          <w:rFonts w:hint="default" w:ascii="Times New Roman" w:hAnsi="Times New Roman" w:cs="Times New Roman"/>
          <w:color w:val="000000"/>
          <w:sz w:val="21"/>
          <w:szCs w:val="21"/>
          <w:u w:val="single"/>
          <w:lang w:eastAsia="zh-CN"/>
        </w:rPr>
        <w:t>2024年12月10日</w:t>
      </w:r>
      <w:r>
        <w:rPr>
          <w:rFonts w:hint="default" w:ascii="Times New Roman" w:hAnsi="Times New Roman" w:cs="Times New Roman"/>
          <w:color w:val="000000"/>
          <w:sz w:val="21"/>
          <w:szCs w:val="21"/>
          <w:u w:val="single"/>
          <w:lang w:val="en-US" w:eastAsia="zh-CN"/>
        </w:rPr>
        <w:t xml:space="preserve">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46223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58A94BB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1BFA5B8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44585DD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236D8B70">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4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47" DrawAspect="Content" ObjectID="_1468075835" r:id="rId192">
                  <o:LockedField>false</o:LockedField>
                </o:OLEObject>
              </w:object>
            </w:r>
          </w:p>
          <w:p w14:paraId="36583B2E">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36BEC75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4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48" DrawAspect="Content" ObjectID="_1468075836" r:id="rId193">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3DEEBC7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73568C2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11504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762CDFB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417EC92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2644BF0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5E6E0FE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6614C8D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1650BEA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137D2DE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0FF38A0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7A1CCBA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065F3AF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615438E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1AA115F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96DA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1F78DCC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361542A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107890D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0.708</w:t>
            </w:r>
          </w:p>
        </w:tc>
        <w:tc>
          <w:tcPr>
            <w:tcW w:w="862" w:type="dxa"/>
            <w:tcBorders>
              <w:tl2br w:val="nil"/>
              <w:tr2bl w:val="nil"/>
            </w:tcBorders>
            <w:shd w:val="clear" w:color="auto" w:fill="auto"/>
            <w:noWrap/>
            <w:vAlign w:val="center"/>
          </w:tcPr>
          <w:p w14:paraId="468D05F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0.701</w:t>
            </w:r>
          </w:p>
        </w:tc>
        <w:tc>
          <w:tcPr>
            <w:tcW w:w="862" w:type="dxa"/>
            <w:tcBorders>
              <w:tl2br w:val="nil"/>
              <w:tr2bl w:val="nil"/>
            </w:tcBorders>
            <w:shd w:val="clear" w:color="auto" w:fill="auto"/>
            <w:noWrap/>
            <w:vAlign w:val="center"/>
          </w:tcPr>
          <w:p w14:paraId="7EAEE19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0.720</w:t>
            </w:r>
          </w:p>
        </w:tc>
        <w:tc>
          <w:tcPr>
            <w:tcW w:w="862" w:type="dxa"/>
            <w:tcBorders>
              <w:tl2br w:val="nil"/>
              <w:tr2bl w:val="nil"/>
            </w:tcBorders>
            <w:shd w:val="clear" w:color="auto" w:fill="auto"/>
            <w:noWrap/>
            <w:vAlign w:val="center"/>
          </w:tcPr>
          <w:p w14:paraId="0CB563A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0.722</w:t>
            </w:r>
          </w:p>
        </w:tc>
        <w:tc>
          <w:tcPr>
            <w:tcW w:w="862" w:type="dxa"/>
            <w:tcBorders>
              <w:tl2br w:val="nil"/>
              <w:tr2bl w:val="nil"/>
            </w:tcBorders>
            <w:shd w:val="clear" w:color="auto" w:fill="auto"/>
            <w:noWrap/>
            <w:vAlign w:val="center"/>
          </w:tcPr>
          <w:p w14:paraId="45DE34A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0.705</w:t>
            </w:r>
          </w:p>
        </w:tc>
        <w:tc>
          <w:tcPr>
            <w:tcW w:w="882" w:type="dxa"/>
            <w:tcBorders>
              <w:tl2br w:val="nil"/>
              <w:tr2bl w:val="nil"/>
            </w:tcBorders>
            <w:shd w:val="clear" w:color="auto" w:fill="auto"/>
            <w:noWrap/>
            <w:vAlign w:val="center"/>
          </w:tcPr>
          <w:p w14:paraId="4BE373C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0.702</w:t>
            </w:r>
          </w:p>
        </w:tc>
        <w:tc>
          <w:tcPr>
            <w:tcW w:w="1378" w:type="dxa"/>
            <w:tcBorders>
              <w:tl2br w:val="nil"/>
              <w:tr2bl w:val="nil"/>
            </w:tcBorders>
            <w:shd w:val="clear" w:color="auto" w:fill="auto"/>
            <w:noWrap/>
            <w:vAlign w:val="center"/>
          </w:tcPr>
          <w:p w14:paraId="27CDD03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0.710</w:t>
            </w:r>
          </w:p>
        </w:tc>
        <w:tc>
          <w:tcPr>
            <w:tcW w:w="1378" w:type="dxa"/>
            <w:tcBorders>
              <w:tl2br w:val="nil"/>
              <w:tr2bl w:val="nil"/>
            </w:tcBorders>
            <w:shd w:val="clear" w:color="auto" w:fill="auto"/>
            <w:noWrap/>
            <w:vAlign w:val="center"/>
          </w:tcPr>
          <w:p w14:paraId="42EA981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0.0092</w:t>
            </w:r>
          </w:p>
        </w:tc>
        <w:tc>
          <w:tcPr>
            <w:tcW w:w="1379" w:type="dxa"/>
            <w:tcBorders>
              <w:tl2br w:val="nil"/>
              <w:tr2bl w:val="nil"/>
            </w:tcBorders>
            <w:shd w:val="clear" w:color="auto" w:fill="auto"/>
            <w:noWrap/>
            <w:vAlign w:val="center"/>
          </w:tcPr>
          <w:p w14:paraId="0ADBE30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1.3</w:t>
            </w:r>
          </w:p>
        </w:tc>
        <w:tc>
          <w:tcPr>
            <w:tcW w:w="1379" w:type="dxa"/>
            <w:tcBorders>
              <w:tl2br w:val="nil"/>
              <w:tr2bl w:val="nil"/>
            </w:tcBorders>
            <w:shd w:val="clear" w:color="auto" w:fill="auto"/>
            <w:noWrap/>
            <w:vAlign w:val="center"/>
          </w:tcPr>
          <w:p w14:paraId="7181422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101</w:t>
            </w:r>
          </w:p>
        </w:tc>
      </w:tr>
      <w:tr w14:paraId="32B8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5035E94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61B4914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7EF10E6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0.658</w:t>
            </w:r>
          </w:p>
        </w:tc>
        <w:tc>
          <w:tcPr>
            <w:tcW w:w="862" w:type="dxa"/>
            <w:tcBorders>
              <w:tl2br w:val="nil"/>
              <w:tr2bl w:val="nil"/>
            </w:tcBorders>
            <w:shd w:val="clear" w:color="auto" w:fill="auto"/>
            <w:noWrap/>
            <w:vAlign w:val="center"/>
          </w:tcPr>
          <w:p w14:paraId="66F0895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0.651</w:t>
            </w:r>
          </w:p>
        </w:tc>
        <w:tc>
          <w:tcPr>
            <w:tcW w:w="862" w:type="dxa"/>
            <w:tcBorders>
              <w:tl2br w:val="nil"/>
              <w:tr2bl w:val="nil"/>
            </w:tcBorders>
            <w:shd w:val="clear" w:color="auto" w:fill="auto"/>
            <w:noWrap/>
            <w:vAlign w:val="center"/>
          </w:tcPr>
          <w:p w14:paraId="2FD5EE8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0.681</w:t>
            </w:r>
          </w:p>
        </w:tc>
        <w:tc>
          <w:tcPr>
            <w:tcW w:w="862" w:type="dxa"/>
            <w:tcBorders>
              <w:tl2br w:val="nil"/>
              <w:tr2bl w:val="nil"/>
            </w:tcBorders>
            <w:shd w:val="clear" w:color="auto" w:fill="auto"/>
            <w:noWrap/>
            <w:vAlign w:val="center"/>
          </w:tcPr>
          <w:p w14:paraId="64FE16B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0.692</w:t>
            </w:r>
          </w:p>
        </w:tc>
        <w:tc>
          <w:tcPr>
            <w:tcW w:w="862" w:type="dxa"/>
            <w:tcBorders>
              <w:tl2br w:val="nil"/>
              <w:tr2bl w:val="nil"/>
            </w:tcBorders>
            <w:shd w:val="clear" w:color="auto" w:fill="auto"/>
            <w:noWrap/>
            <w:vAlign w:val="center"/>
          </w:tcPr>
          <w:p w14:paraId="4DAFB20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0.676</w:t>
            </w:r>
          </w:p>
        </w:tc>
        <w:tc>
          <w:tcPr>
            <w:tcW w:w="882" w:type="dxa"/>
            <w:tcBorders>
              <w:tl2br w:val="nil"/>
              <w:tr2bl w:val="nil"/>
            </w:tcBorders>
            <w:shd w:val="clear" w:color="auto" w:fill="auto"/>
            <w:noWrap/>
            <w:vAlign w:val="center"/>
          </w:tcPr>
          <w:p w14:paraId="78612D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0.676</w:t>
            </w:r>
          </w:p>
        </w:tc>
        <w:tc>
          <w:tcPr>
            <w:tcW w:w="1378" w:type="dxa"/>
            <w:tcBorders>
              <w:tl2br w:val="nil"/>
              <w:tr2bl w:val="nil"/>
            </w:tcBorders>
            <w:shd w:val="clear" w:color="auto" w:fill="auto"/>
            <w:noWrap/>
            <w:vAlign w:val="center"/>
          </w:tcPr>
          <w:p w14:paraId="6D820B9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0.672</w:t>
            </w:r>
          </w:p>
        </w:tc>
        <w:tc>
          <w:tcPr>
            <w:tcW w:w="1378" w:type="dxa"/>
            <w:tcBorders>
              <w:tl2br w:val="nil"/>
              <w:tr2bl w:val="nil"/>
            </w:tcBorders>
            <w:shd w:val="clear" w:color="auto" w:fill="auto"/>
            <w:noWrap/>
            <w:vAlign w:val="center"/>
          </w:tcPr>
          <w:p w14:paraId="1C3B490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0.0154</w:t>
            </w:r>
          </w:p>
        </w:tc>
        <w:tc>
          <w:tcPr>
            <w:tcW w:w="1379" w:type="dxa"/>
            <w:tcBorders>
              <w:tl2br w:val="nil"/>
              <w:tr2bl w:val="nil"/>
            </w:tcBorders>
            <w:shd w:val="clear" w:color="auto" w:fill="auto"/>
            <w:noWrap/>
            <w:vAlign w:val="center"/>
          </w:tcPr>
          <w:p w14:paraId="05B0B7A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2.3</w:t>
            </w:r>
          </w:p>
        </w:tc>
        <w:tc>
          <w:tcPr>
            <w:tcW w:w="1379" w:type="dxa"/>
            <w:tcBorders>
              <w:tl2br w:val="nil"/>
              <w:tr2bl w:val="nil"/>
            </w:tcBorders>
            <w:shd w:val="clear" w:color="auto" w:fill="auto"/>
            <w:noWrap/>
            <w:vAlign w:val="center"/>
          </w:tcPr>
          <w:p w14:paraId="472D409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rPr>
              <w:t>96.0</w:t>
            </w:r>
          </w:p>
        </w:tc>
      </w:tr>
      <w:tr w14:paraId="7BCDF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 w:hRule="atLeast"/>
          <w:jc w:val="center"/>
        </w:trPr>
        <w:tc>
          <w:tcPr>
            <w:tcW w:w="14174" w:type="dxa"/>
            <w:gridSpan w:val="12"/>
            <w:tcBorders>
              <w:tl2br w:val="nil"/>
              <w:tr2bl w:val="nil"/>
            </w:tcBorders>
            <w:shd w:val="clear" w:color="auto" w:fill="auto"/>
            <w:noWrap/>
            <w:vAlign w:val="center"/>
          </w:tcPr>
          <w:p w14:paraId="3EF5792E">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60EC70FB">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4D14B631">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4B156B07">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341994F2">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附表12-1  空白低浓度加标样品（0.10 mg/kg）精密度和正确度验证数据</w:t>
      </w:r>
    </w:p>
    <w:p w14:paraId="332D9906">
      <w:pPr>
        <w:pStyle w:val="22"/>
        <w:tabs>
          <w:tab w:val="left" w:pos="9240"/>
          <w:tab w:val="left" w:pos="9660"/>
          <w:tab w:val="left" w:pos="10920"/>
        </w:tabs>
        <w:spacing w:before="156" w:beforeLines="50" w:after="156" w:afterLines="50" w:line="360" w:lineRule="exact"/>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eastAsia="zh-CN"/>
        </w:rPr>
        <w:t xml:space="preserve"> 四川省宜宾生态环境监测中心站</w:t>
      </w:r>
      <w:r>
        <w:rPr>
          <w:rFonts w:hint="default" w:ascii="Times New Roman" w:hAnsi="Times New Roman" w:cs="Times New Roman"/>
          <w:b/>
          <w:bCs/>
          <w:color w:val="000000"/>
          <w:sz w:val="21"/>
          <w:szCs w:val="21"/>
          <w:u w:val="single"/>
          <w:lang w:val="en-US" w:eastAsia="zh-CN"/>
        </w:rPr>
        <w:t xml:space="preserve"> </w:t>
      </w:r>
    </w:p>
    <w:p w14:paraId="7A1A9475">
      <w:pPr>
        <w:pStyle w:val="22"/>
        <w:tabs>
          <w:tab w:val="left" w:pos="9240"/>
          <w:tab w:val="left" w:pos="10920"/>
        </w:tabs>
        <w:spacing w:before="156" w:beforeLines="50" w:after="156" w:afterLines="50" w:line="360" w:lineRule="exact"/>
        <w:ind w:right="298"/>
        <w:jc w:val="both"/>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2024.12.09-12.11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25A0A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3824079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143E97E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71D5E9A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24C6A2F7">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49"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49" DrawAspect="Content" ObjectID="_1468075837" r:id="rId194">
                  <o:LockedField>false</o:LockedField>
                </o:OLEObject>
              </w:object>
            </w:r>
          </w:p>
          <w:p w14:paraId="460E623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6D87E25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50"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50" DrawAspect="Content" ObjectID="_1468075838" r:id="rId195">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4175FA1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5ECF6E1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6A1F9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76725DF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7D983FE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580AFA4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12067D3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62FE41A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435C276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4AEAE2C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0C2DEE4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29CC86B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2FEAEE5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0F6D6C0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295D7B7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1211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3C3077A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4493F8A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5FD1A30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0.091</w:t>
            </w:r>
          </w:p>
        </w:tc>
        <w:tc>
          <w:tcPr>
            <w:tcW w:w="862" w:type="dxa"/>
            <w:tcBorders>
              <w:tl2br w:val="nil"/>
              <w:tr2bl w:val="nil"/>
            </w:tcBorders>
            <w:shd w:val="clear" w:color="auto" w:fill="auto"/>
            <w:noWrap/>
            <w:vAlign w:val="center"/>
          </w:tcPr>
          <w:p w14:paraId="63764FB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0.087</w:t>
            </w:r>
          </w:p>
        </w:tc>
        <w:tc>
          <w:tcPr>
            <w:tcW w:w="862" w:type="dxa"/>
            <w:tcBorders>
              <w:tl2br w:val="nil"/>
              <w:tr2bl w:val="nil"/>
            </w:tcBorders>
            <w:shd w:val="clear" w:color="auto" w:fill="auto"/>
            <w:noWrap/>
            <w:vAlign w:val="center"/>
          </w:tcPr>
          <w:p w14:paraId="5641851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0.083</w:t>
            </w:r>
          </w:p>
        </w:tc>
        <w:tc>
          <w:tcPr>
            <w:tcW w:w="862" w:type="dxa"/>
            <w:tcBorders>
              <w:tl2br w:val="nil"/>
              <w:tr2bl w:val="nil"/>
            </w:tcBorders>
            <w:shd w:val="clear" w:color="auto" w:fill="auto"/>
            <w:noWrap/>
            <w:vAlign w:val="center"/>
          </w:tcPr>
          <w:p w14:paraId="7694D15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0.083</w:t>
            </w:r>
          </w:p>
        </w:tc>
        <w:tc>
          <w:tcPr>
            <w:tcW w:w="862" w:type="dxa"/>
            <w:tcBorders>
              <w:tl2br w:val="nil"/>
              <w:tr2bl w:val="nil"/>
            </w:tcBorders>
            <w:shd w:val="clear" w:color="auto" w:fill="auto"/>
            <w:noWrap/>
            <w:vAlign w:val="center"/>
          </w:tcPr>
          <w:p w14:paraId="0D0F20E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w:t>
            </w:r>
          </w:p>
        </w:tc>
        <w:tc>
          <w:tcPr>
            <w:tcW w:w="882" w:type="dxa"/>
            <w:tcBorders>
              <w:tl2br w:val="nil"/>
              <w:tr2bl w:val="nil"/>
            </w:tcBorders>
            <w:shd w:val="clear" w:color="auto" w:fill="auto"/>
            <w:noWrap/>
            <w:vAlign w:val="center"/>
          </w:tcPr>
          <w:p w14:paraId="3BA878D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0.082</w:t>
            </w:r>
          </w:p>
        </w:tc>
        <w:tc>
          <w:tcPr>
            <w:tcW w:w="1378" w:type="dxa"/>
            <w:tcBorders>
              <w:tl2br w:val="nil"/>
              <w:tr2bl w:val="nil"/>
            </w:tcBorders>
            <w:shd w:val="clear" w:color="auto" w:fill="auto"/>
            <w:noWrap/>
            <w:vAlign w:val="center"/>
          </w:tcPr>
          <w:p w14:paraId="38ACC74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0.086</w:t>
            </w:r>
          </w:p>
        </w:tc>
        <w:tc>
          <w:tcPr>
            <w:tcW w:w="1378" w:type="dxa"/>
            <w:tcBorders>
              <w:tl2br w:val="nil"/>
              <w:tr2bl w:val="nil"/>
            </w:tcBorders>
            <w:shd w:val="clear" w:color="auto" w:fill="auto"/>
            <w:noWrap/>
            <w:vAlign w:val="center"/>
          </w:tcPr>
          <w:p w14:paraId="3075AD0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0.0039</w:t>
            </w:r>
          </w:p>
        </w:tc>
        <w:tc>
          <w:tcPr>
            <w:tcW w:w="1379" w:type="dxa"/>
            <w:tcBorders>
              <w:tl2br w:val="nil"/>
              <w:tr2bl w:val="nil"/>
            </w:tcBorders>
            <w:shd w:val="clear" w:color="auto" w:fill="auto"/>
            <w:noWrap/>
            <w:vAlign w:val="center"/>
          </w:tcPr>
          <w:p w14:paraId="248C253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4.5</w:t>
            </w:r>
          </w:p>
        </w:tc>
        <w:tc>
          <w:tcPr>
            <w:tcW w:w="1379" w:type="dxa"/>
            <w:tcBorders>
              <w:tl2br w:val="nil"/>
              <w:tr2bl w:val="nil"/>
            </w:tcBorders>
            <w:shd w:val="clear" w:color="auto" w:fill="auto"/>
            <w:noWrap/>
            <w:vAlign w:val="center"/>
          </w:tcPr>
          <w:p w14:paraId="3EE504E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86.0</w:t>
            </w:r>
          </w:p>
        </w:tc>
      </w:tr>
      <w:tr w14:paraId="15009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7D7EE40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15934DD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2938985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0.098</w:t>
            </w:r>
          </w:p>
        </w:tc>
        <w:tc>
          <w:tcPr>
            <w:tcW w:w="862" w:type="dxa"/>
            <w:tcBorders>
              <w:tl2br w:val="nil"/>
              <w:tr2bl w:val="nil"/>
            </w:tcBorders>
            <w:shd w:val="clear" w:color="auto" w:fill="auto"/>
            <w:noWrap/>
            <w:vAlign w:val="center"/>
          </w:tcPr>
          <w:p w14:paraId="6D33F3C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0.092</w:t>
            </w:r>
          </w:p>
        </w:tc>
        <w:tc>
          <w:tcPr>
            <w:tcW w:w="862" w:type="dxa"/>
            <w:tcBorders>
              <w:tl2br w:val="nil"/>
              <w:tr2bl w:val="nil"/>
            </w:tcBorders>
            <w:shd w:val="clear" w:color="auto" w:fill="auto"/>
            <w:noWrap/>
            <w:vAlign w:val="center"/>
          </w:tcPr>
          <w:p w14:paraId="1F9A614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0.087</w:t>
            </w:r>
          </w:p>
        </w:tc>
        <w:tc>
          <w:tcPr>
            <w:tcW w:w="862" w:type="dxa"/>
            <w:tcBorders>
              <w:tl2br w:val="nil"/>
              <w:tr2bl w:val="nil"/>
            </w:tcBorders>
            <w:shd w:val="clear" w:color="auto" w:fill="auto"/>
            <w:noWrap/>
            <w:vAlign w:val="center"/>
          </w:tcPr>
          <w:p w14:paraId="35031D7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0.086</w:t>
            </w:r>
          </w:p>
        </w:tc>
        <w:tc>
          <w:tcPr>
            <w:tcW w:w="862" w:type="dxa"/>
            <w:tcBorders>
              <w:tl2br w:val="nil"/>
              <w:tr2bl w:val="nil"/>
            </w:tcBorders>
            <w:shd w:val="clear" w:color="auto" w:fill="auto"/>
            <w:noWrap/>
            <w:vAlign w:val="center"/>
          </w:tcPr>
          <w:p w14:paraId="7FF6459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0.095</w:t>
            </w:r>
          </w:p>
        </w:tc>
        <w:tc>
          <w:tcPr>
            <w:tcW w:w="882" w:type="dxa"/>
            <w:tcBorders>
              <w:tl2br w:val="nil"/>
              <w:tr2bl w:val="nil"/>
            </w:tcBorders>
            <w:shd w:val="clear" w:color="auto" w:fill="auto"/>
            <w:noWrap/>
            <w:vAlign w:val="center"/>
          </w:tcPr>
          <w:p w14:paraId="63D2625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0.085</w:t>
            </w:r>
          </w:p>
        </w:tc>
        <w:tc>
          <w:tcPr>
            <w:tcW w:w="1378" w:type="dxa"/>
            <w:tcBorders>
              <w:tl2br w:val="nil"/>
              <w:tr2bl w:val="nil"/>
            </w:tcBorders>
            <w:shd w:val="clear" w:color="auto" w:fill="auto"/>
            <w:noWrap/>
            <w:vAlign w:val="center"/>
          </w:tcPr>
          <w:p w14:paraId="4AE60D8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0.091</w:t>
            </w:r>
          </w:p>
        </w:tc>
        <w:tc>
          <w:tcPr>
            <w:tcW w:w="1378" w:type="dxa"/>
            <w:tcBorders>
              <w:tl2br w:val="nil"/>
              <w:tr2bl w:val="nil"/>
            </w:tcBorders>
            <w:shd w:val="clear" w:color="auto" w:fill="auto"/>
            <w:noWrap/>
            <w:vAlign w:val="center"/>
          </w:tcPr>
          <w:p w14:paraId="2D4B3F0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0.0053</w:t>
            </w:r>
          </w:p>
        </w:tc>
        <w:tc>
          <w:tcPr>
            <w:tcW w:w="1379" w:type="dxa"/>
            <w:tcBorders>
              <w:tl2br w:val="nil"/>
              <w:tr2bl w:val="nil"/>
            </w:tcBorders>
            <w:shd w:val="clear" w:color="auto" w:fill="auto"/>
            <w:noWrap/>
            <w:vAlign w:val="center"/>
          </w:tcPr>
          <w:p w14:paraId="0FDD7AC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5.9</w:t>
            </w:r>
          </w:p>
        </w:tc>
        <w:tc>
          <w:tcPr>
            <w:tcW w:w="1379" w:type="dxa"/>
            <w:tcBorders>
              <w:tl2br w:val="nil"/>
              <w:tr2bl w:val="nil"/>
            </w:tcBorders>
            <w:shd w:val="clear" w:color="auto" w:fill="auto"/>
            <w:noWrap/>
            <w:vAlign w:val="center"/>
          </w:tcPr>
          <w:p w14:paraId="60C1BFF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90.5</w:t>
            </w:r>
          </w:p>
        </w:tc>
      </w:tr>
      <w:tr w14:paraId="31012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6C15A409">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3F72768C">
      <w:pPr>
        <w:rPr>
          <w:rFonts w:hint="default" w:ascii="Times New Roman" w:hAnsi="Times New Roman" w:eastAsia="黑体" w:cs="Times New Roman"/>
          <w:color w:val="000000"/>
          <w:kern w:val="18"/>
          <w:sz w:val="21"/>
          <w:szCs w:val="21"/>
          <w:lang w:val="en-US" w:eastAsia="zh-CN" w:bidi="ar-SA"/>
        </w:rPr>
      </w:pPr>
      <w:r>
        <w:rPr>
          <w:rFonts w:hint="default" w:ascii="Times New Roman" w:hAnsi="Times New Roman" w:eastAsia="黑体" w:cs="Times New Roman"/>
          <w:color w:val="000000"/>
          <w:kern w:val="18"/>
          <w:sz w:val="21"/>
          <w:szCs w:val="21"/>
          <w:lang w:val="en-US" w:eastAsia="zh-CN" w:bidi="ar-SA"/>
        </w:rPr>
        <w:br w:type="page"/>
      </w:r>
    </w:p>
    <w:p w14:paraId="14348B0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附表12-2  空白中浓度加标样品（0.40 mg/kg）精密度和正确度验证数据</w:t>
      </w:r>
    </w:p>
    <w:p w14:paraId="69126DA9">
      <w:pPr>
        <w:pStyle w:val="22"/>
        <w:tabs>
          <w:tab w:val="left" w:pos="9240"/>
          <w:tab w:val="left" w:pos="9660"/>
          <w:tab w:val="left" w:pos="10920"/>
        </w:tabs>
        <w:spacing w:before="156" w:beforeLines="50" w:after="156" w:afterLines="50" w:line="360" w:lineRule="exact"/>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eastAsia="zh-CN"/>
        </w:rPr>
        <w:t xml:space="preserve"> 四川省宜宾生态环境监测中心站</w:t>
      </w:r>
      <w:r>
        <w:rPr>
          <w:rFonts w:hint="default" w:ascii="Times New Roman" w:hAnsi="Times New Roman" w:cs="Times New Roman"/>
          <w:b/>
          <w:bCs/>
          <w:color w:val="000000"/>
          <w:sz w:val="21"/>
          <w:szCs w:val="21"/>
          <w:u w:val="single"/>
          <w:lang w:val="en-US" w:eastAsia="zh-CN"/>
        </w:rPr>
        <w:t xml:space="preserve"> </w:t>
      </w:r>
    </w:p>
    <w:p w14:paraId="29B6740F">
      <w:pPr>
        <w:pStyle w:val="22"/>
        <w:tabs>
          <w:tab w:val="left" w:pos="9240"/>
          <w:tab w:val="left" w:pos="10920"/>
        </w:tabs>
        <w:spacing w:before="156" w:beforeLines="50" w:after="156" w:afterLines="50" w:line="360" w:lineRule="exact"/>
        <w:ind w:right="298"/>
        <w:jc w:val="both"/>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2024.12.09-12.11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4D77D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7EAB408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0E3AF3C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28A9EDB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4AABC009">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51"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51" DrawAspect="Content" ObjectID="_1468075839" r:id="rId196">
                  <o:LockedField>false</o:LockedField>
                </o:OLEObject>
              </w:object>
            </w:r>
          </w:p>
          <w:p w14:paraId="5733BE1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2F0B530F">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52"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52" DrawAspect="Content" ObjectID="_1468075840" r:id="rId197">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2E81C708">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2ED5A593">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209C2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566089F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5AEAA0E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4711FB3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244968A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71F1642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656812F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57812BB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7269CC2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3BABD57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6F53C6D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05F4BAB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48237E1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024CB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0B9EA06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650CE51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6CF97E7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0.353</w:t>
            </w:r>
          </w:p>
        </w:tc>
        <w:tc>
          <w:tcPr>
            <w:tcW w:w="862" w:type="dxa"/>
            <w:tcBorders>
              <w:tl2br w:val="nil"/>
              <w:tr2bl w:val="nil"/>
            </w:tcBorders>
            <w:shd w:val="clear" w:color="auto" w:fill="auto"/>
            <w:noWrap/>
            <w:vAlign w:val="center"/>
          </w:tcPr>
          <w:p w14:paraId="461A7CF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0.350</w:t>
            </w:r>
          </w:p>
        </w:tc>
        <w:tc>
          <w:tcPr>
            <w:tcW w:w="862" w:type="dxa"/>
            <w:tcBorders>
              <w:tl2br w:val="nil"/>
              <w:tr2bl w:val="nil"/>
            </w:tcBorders>
            <w:shd w:val="clear" w:color="auto" w:fill="auto"/>
            <w:noWrap/>
            <w:vAlign w:val="center"/>
          </w:tcPr>
          <w:p w14:paraId="69D8BA9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0.352</w:t>
            </w:r>
          </w:p>
        </w:tc>
        <w:tc>
          <w:tcPr>
            <w:tcW w:w="862" w:type="dxa"/>
            <w:tcBorders>
              <w:tl2br w:val="nil"/>
              <w:tr2bl w:val="nil"/>
            </w:tcBorders>
            <w:shd w:val="clear" w:color="auto" w:fill="auto"/>
            <w:noWrap/>
            <w:vAlign w:val="center"/>
          </w:tcPr>
          <w:p w14:paraId="2BFF6D7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0.330</w:t>
            </w:r>
          </w:p>
        </w:tc>
        <w:tc>
          <w:tcPr>
            <w:tcW w:w="862" w:type="dxa"/>
            <w:tcBorders>
              <w:tl2br w:val="nil"/>
              <w:tr2bl w:val="nil"/>
            </w:tcBorders>
            <w:shd w:val="clear" w:color="auto" w:fill="auto"/>
            <w:noWrap/>
            <w:vAlign w:val="center"/>
          </w:tcPr>
          <w:p w14:paraId="7D41062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0.341</w:t>
            </w:r>
          </w:p>
        </w:tc>
        <w:tc>
          <w:tcPr>
            <w:tcW w:w="882" w:type="dxa"/>
            <w:tcBorders>
              <w:tl2br w:val="nil"/>
              <w:tr2bl w:val="nil"/>
            </w:tcBorders>
            <w:shd w:val="clear" w:color="auto" w:fill="auto"/>
            <w:noWrap/>
            <w:vAlign w:val="center"/>
          </w:tcPr>
          <w:p w14:paraId="1D6743B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0.332</w:t>
            </w:r>
          </w:p>
        </w:tc>
        <w:tc>
          <w:tcPr>
            <w:tcW w:w="1378" w:type="dxa"/>
            <w:tcBorders>
              <w:tl2br w:val="nil"/>
              <w:tr2bl w:val="nil"/>
            </w:tcBorders>
            <w:shd w:val="clear" w:color="auto" w:fill="auto"/>
            <w:noWrap/>
            <w:vAlign w:val="center"/>
          </w:tcPr>
          <w:p w14:paraId="0815725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0.343</w:t>
            </w:r>
          </w:p>
        </w:tc>
        <w:tc>
          <w:tcPr>
            <w:tcW w:w="1378" w:type="dxa"/>
            <w:tcBorders>
              <w:tl2br w:val="nil"/>
              <w:tr2bl w:val="nil"/>
            </w:tcBorders>
            <w:shd w:val="clear" w:color="auto" w:fill="auto"/>
            <w:noWrap/>
            <w:vAlign w:val="center"/>
          </w:tcPr>
          <w:p w14:paraId="4476D4E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0.0102</w:t>
            </w:r>
          </w:p>
        </w:tc>
        <w:tc>
          <w:tcPr>
            <w:tcW w:w="1379" w:type="dxa"/>
            <w:tcBorders>
              <w:tl2br w:val="nil"/>
              <w:tr2bl w:val="nil"/>
            </w:tcBorders>
            <w:shd w:val="clear" w:color="auto" w:fill="auto"/>
            <w:noWrap/>
            <w:vAlign w:val="center"/>
          </w:tcPr>
          <w:p w14:paraId="036CBDD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3.0</w:t>
            </w:r>
          </w:p>
        </w:tc>
        <w:tc>
          <w:tcPr>
            <w:tcW w:w="1379" w:type="dxa"/>
            <w:tcBorders>
              <w:tl2br w:val="nil"/>
              <w:tr2bl w:val="nil"/>
            </w:tcBorders>
            <w:shd w:val="clear" w:color="auto" w:fill="auto"/>
            <w:noWrap/>
            <w:vAlign w:val="center"/>
          </w:tcPr>
          <w:p w14:paraId="7A753BD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85.8</w:t>
            </w:r>
          </w:p>
        </w:tc>
      </w:tr>
      <w:tr w14:paraId="04011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4F542D6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4955B10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4B9C06A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0.371</w:t>
            </w:r>
          </w:p>
        </w:tc>
        <w:tc>
          <w:tcPr>
            <w:tcW w:w="862" w:type="dxa"/>
            <w:tcBorders>
              <w:tl2br w:val="nil"/>
              <w:tr2bl w:val="nil"/>
            </w:tcBorders>
            <w:shd w:val="clear" w:color="auto" w:fill="auto"/>
            <w:noWrap/>
            <w:vAlign w:val="center"/>
          </w:tcPr>
          <w:p w14:paraId="03A5222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0.368</w:t>
            </w:r>
          </w:p>
        </w:tc>
        <w:tc>
          <w:tcPr>
            <w:tcW w:w="862" w:type="dxa"/>
            <w:tcBorders>
              <w:tl2br w:val="nil"/>
              <w:tr2bl w:val="nil"/>
            </w:tcBorders>
            <w:shd w:val="clear" w:color="auto" w:fill="auto"/>
            <w:noWrap/>
            <w:vAlign w:val="center"/>
          </w:tcPr>
          <w:p w14:paraId="68EC329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0.369</w:t>
            </w:r>
          </w:p>
        </w:tc>
        <w:tc>
          <w:tcPr>
            <w:tcW w:w="862" w:type="dxa"/>
            <w:tcBorders>
              <w:tl2br w:val="nil"/>
              <w:tr2bl w:val="nil"/>
            </w:tcBorders>
            <w:shd w:val="clear" w:color="auto" w:fill="auto"/>
            <w:noWrap/>
            <w:vAlign w:val="center"/>
          </w:tcPr>
          <w:p w14:paraId="26B9E45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0.360</w:t>
            </w:r>
          </w:p>
        </w:tc>
        <w:tc>
          <w:tcPr>
            <w:tcW w:w="862" w:type="dxa"/>
            <w:tcBorders>
              <w:tl2br w:val="nil"/>
              <w:tr2bl w:val="nil"/>
            </w:tcBorders>
            <w:shd w:val="clear" w:color="auto" w:fill="auto"/>
            <w:noWrap/>
            <w:vAlign w:val="center"/>
          </w:tcPr>
          <w:p w14:paraId="2A014FF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0.373</w:t>
            </w:r>
          </w:p>
        </w:tc>
        <w:tc>
          <w:tcPr>
            <w:tcW w:w="882" w:type="dxa"/>
            <w:tcBorders>
              <w:tl2br w:val="nil"/>
              <w:tr2bl w:val="nil"/>
            </w:tcBorders>
            <w:shd w:val="clear" w:color="auto" w:fill="auto"/>
            <w:noWrap/>
            <w:vAlign w:val="center"/>
          </w:tcPr>
          <w:p w14:paraId="51DE055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0.363</w:t>
            </w:r>
          </w:p>
        </w:tc>
        <w:tc>
          <w:tcPr>
            <w:tcW w:w="1378" w:type="dxa"/>
            <w:tcBorders>
              <w:tl2br w:val="nil"/>
              <w:tr2bl w:val="nil"/>
            </w:tcBorders>
            <w:shd w:val="clear" w:color="auto" w:fill="auto"/>
            <w:noWrap/>
            <w:vAlign w:val="center"/>
          </w:tcPr>
          <w:p w14:paraId="60CFE54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0.367</w:t>
            </w:r>
          </w:p>
        </w:tc>
        <w:tc>
          <w:tcPr>
            <w:tcW w:w="1378" w:type="dxa"/>
            <w:tcBorders>
              <w:tl2br w:val="nil"/>
              <w:tr2bl w:val="nil"/>
            </w:tcBorders>
            <w:shd w:val="clear" w:color="auto" w:fill="auto"/>
            <w:noWrap/>
            <w:vAlign w:val="center"/>
          </w:tcPr>
          <w:p w14:paraId="7459FC1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0.0049</w:t>
            </w:r>
          </w:p>
        </w:tc>
        <w:tc>
          <w:tcPr>
            <w:tcW w:w="1379" w:type="dxa"/>
            <w:tcBorders>
              <w:tl2br w:val="nil"/>
              <w:tr2bl w:val="nil"/>
            </w:tcBorders>
            <w:shd w:val="clear" w:color="auto" w:fill="auto"/>
            <w:noWrap/>
            <w:vAlign w:val="center"/>
          </w:tcPr>
          <w:p w14:paraId="1A32CF9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1.3</w:t>
            </w:r>
          </w:p>
        </w:tc>
        <w:tc>
          <w:tcPr>
            <w:tcW w:w="1379" w:type="dxa"/>
            <w:tcBorders>
              <w:tl2br w:val="nil"/>
              <w:tr2bl w:val="nil"/>
            </w:tcBorders>
            <w:shd w:val="clear" w:color="auto" w:fill="auto"/>
            <w:noWrap/>
            <w:vAlign w:val="center"/>
          </w:tcPr>
          <w:p w14:paraId="3B5E9A7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91.8</w:t>
            </w:r>
          </w:p>
        </w:tc>
      </w:tr>
      <w:tr w14:paraId="44144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2C55B85B">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07BD1617">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4B6E08DB">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5EF82F1E">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41140CE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附表12-3  空白高浓度加标样品（0.70 mg/kg）精密度和正确度验证数据</w:t>
      </w:r>
    </w:p>
    <w:p w14:paraId="3B035B2F">
      <w:pPr>
        <w:pStyle w:val="22"/>
        <w:tabs>
          <w:tab w:val="left" w:pos="9240"/>
          <w:tab w:val="left" w:pos="9660"/>
          <w:tab w:val="left" w:pos="10920"/>
        </w:tabs>
        <w:spacing w:before="156" w:beforeLines="50" w:after="156" w:afterLines="50" w:line="360" w:lineRule="exact"/>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eastAsia="zh-CN"/>
        </w:rPr>
        <w:t xml:space="preserve"> 四川省宜宾生态环境监测中心站</w:t>
      </w:r>
      <w:r>
        <w:rPr>
          <w:rFonts w:hint="default" w:ascii="Times New Roman" w:hAnsi="Times New Roman" w:cs="Times New Roman"/>
          <w:b/>
          <w:bCs/>
          <w:color w:val="000000"/>
          <w:sz w:val="21"/>
          <w:szCs w:val="21"/>
          <w:u w:val="single"/>
          <w:lang w:val="en-US" w:eastAsia="zh-CN"/>
        </w:rPr>
        <w:t xml:space="preserve"> </w:t>
      </w:r>
    </w:p>
    <w:p w14:paraId="7D2EDDF9">
      <w:pPr>
        <w:pStyle w:val="22"/>
        <w:tabs>
          <w:tab w:val="left" w:pos="9240"/>
          <w:tab w:val="left" w:pos="10920"/>
        </w:tabs>
        <w:spacing w:before="156" w:beforeLines="50" w:after="156" w:afterLines="50" w:line="360" w:lineRule="exact"/>
        <w:ind w:right="298"/>
        <w:jc w:val="both"/>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2024.12.09-12.11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06119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666B27F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5769921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6A59608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032EB68A">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53"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53" DrawAspect="Content" ObjectID="_1468075841" r:id="rId198">
                  <o:LockedField>false</o:LockedField>
                </o:OLEObject>
              </w:object>
            </w:r>
          </w:p>
          <w:p w14:paraId="1F99C8A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6308C72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54"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54" DrawAspect="Content" ObjectID="_1468075842" r:id="rId199">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4D4BBA1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08635CA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7660F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262366E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6BAF3C9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32B20A9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604F5EA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53907D0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431D2B0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61ED0C7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1C1FDDB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42FFCA6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79399816">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2A5B57F6">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4CC89A9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0945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499852A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7BD782C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67525AF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0.654</w:t>
            </w:r>
          </w:p>
        </w:tc>
        <w:tc>
          <w:tcPr>
            <w:tcW w:w="862" w:type="dxa"/>
            <w:tcBorders>
              <w:tl2br w:val="nil"/>
              <w:tr2bl w:val="nil"/>
            </w:tcBorders>
            <w:shd w:val="clear" w:color="auto" w:fill="auto"/>
            <w:noWrap/>
            <w:vAlign w:val="center"/>
          </w:tcPr>
          <w:p w14:paraId="55528CA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0.610</w:t>
            </w:r>
          </w:p>
        </w:tc>
        <w:tc>
          <w:tcPr>
            <w:tcW w:w="862" w:type="dxa"/>
            <w:tcBorders>
              <w:tl2br w:val="nil"/>
              <w:tr2bl w:val="nil"/>
            </w:tcBorders>
            <w:shd w:val="clear" w:color="auto" w:fill="auto"/>
            <w:noWrap/>
            <w:vAlign w:val="center"/>
          </w:tcPr>
          <w:p w14:paraId="35CE94B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0.604</w:t>
            </w:r>
          </w:p>
        </w:tc>
        <w:tc>
          <w:tcPr>
            <w:tcW w:w="862" w:type="dxa"/>
            <w:tcBorders>
              <w:tl2br w:val="nil"/>
              <w:tr2bl w:val="nil"/>
            </w:tcBorders>
            <w:shd w:val="clear" w:color="auto" w:fill="auto"/>
            <w:noWrap/>
            <w:vAlign w:val="center"/>
          </w:tcPr>
          <w:p w14:paraId="73EEA9B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0.627</w:t>
            </w:r>
          </w:p>
        </w:tc>
        <w:tc>
          <w:tcPr>
            <w:tcW w:w="862" w:type="dxa"/>
            <w:tcBorders>
              <w:tl2br w:val="nil"/>
              <w:tr2bl w:val="nil"/>
            </w:tcBorders>
            <w:shd w:val="clear" w:color="auto" w:fill="auto"/>
            <w:noWrap/>
            <w:vAlign w:val="center"/>
          </w:tcPr>
          <w:p w14:paraId="434EBB0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0.623</w:t>
            </w:r>
          </w:p>
        </w:tc>
        <w:tc>
          <w:tcPr>
            <w:tcW w:w="882" w:type="dxa"/>
            <w:tcBorders>
              <w:tl2br w:val="nil"/>
              <w:tr2bl w:val="nil"/>
            </w:tcBorders>
            <w:shd w:val="clear" w:color="auto" w:fill="auto"/>
            <w:noWrap/>
            <w:vAlign w:val="center"/>
          </w:tcPr>
          <w:p w14:paraId="4866ACD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0.631</w:t>
            </w:r>
          </w:p>
        </w:tc>
        <w:tc>
          <w:tcPr>
            <w:tcW w:w="1378" w:type="dxa"/>
            <w:tcBorders>
              <w:tl2br w:val="nil"/>
              <w:tr2bl w:val="nil"/>
            </w:tcBorders>
            <w:shd w:val="clear" w:color="auto" w:fill="auto"/>
            <w:noWrap/>
            <w:vAlign w:val="center"/>
          </w:tcPr>
          <w:p w14:paraId="586C93B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0.625</w:t>
            </w:r>
          </w:p>
        </w:tc>
        <w:tc>
          <w:tcPr>
            <w:tcW w:w="1378" w:type="dxa"/>
            <w:tcBorders>
              <w:tl2br w:val="nil"/>
              <w:tr2bl w:val="nil"/>
            </w:tcBorders>
            <w:shd w:val="clear" w:color="auto" w:fill="auto"/>
            <w:noWrap/>
            <w:vAlign w:val="center"/>
          </w:tcPr>
          <w:p w14:paraId="40D118D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0.0176</w:t>
            </w:r>
          </w:p>
        </w:tc>
        <w:tc>
          <w:tcPr>
            <w:tcW w:w="1379" w:type="dxa"/>
            <w:tcBorders>
              <w:tl2br w:val="nil"/>
              <w:tr2bl w:val="nil"/>
            </w:tcBorders>
            <w:shd w:val="clear" w:color="auto" w:fill="auto"/>
            <w:noWrap/>
            <w:vAlign w:val="center"/>
          </w:tcPr>
          <w:p w14:paraId="1210A59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2.8</w:t>
            </w:r>
          </w:p>
        </w:tc>
        <w:tc>
          <w:tcPr>
            <w:tcW w:w="1379" w:type="dxa"/>
            <w:tcBorders>
              <w:tl2br w:val="nil"/>
              <w:tr2bl w:val="nil"/>
            </w:tcBorders>
            <w:shd w:val="clear" w:color="auto" w:fill="auto"/>
            <w:noWrap/>
            <w:vAlign w:val="center"/>
          </w:tcPr>
          <w:p w14:paraId="35B37B5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89.3</w:t>
            </w:r>
          </w:p>
        </w:tc>
      </w:tr>
      <w:tr w14:paraId="5E1B3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1D1729A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19C8F44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333855C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0.657</w:t>
            </w:r>
          </w:p>
        </w:tc>
        <w:tc>
          <w:tcPr>
            <w:tcW w:w="862" w:type="dxa"/>
            <w:tcBorders>
              <w:tl2br w:val="nil"/>
              <w:tr2bl w:val="nil"/>
            </w:tcBorders>
            <w:shd w:val="clear" w:color="auto" w:fill="auto"/>
            <w:noWrap/>
            <w:vAlign w:val="center"/>
          </w:tcPr>
          <w:p w14:paraId="60EBE52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0.629</w:t>
            </w:r>
          </w:p>
        </w:tc>
        <w:tc>
          <w:tcPr>
            <w:tcW w:w="862" w:type="dxa"/>
            <w:tcBorders>
              <w:tl2br w:val="nil"/>
              <w:tr2bl w:val="nil"/>
            </w:tcBorders>
            <w:shd w:val="clear" w:color="auto" w:fill="auto"/>
            <w:noWrap/>
            <w:vAlign w:val="center"/>
          </w:tcPr>
          <w:p w14:paraId="309A8A6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0.623</w:t>
            </w:r>
          </w:p>
        </w:tc>
        <w:tc>
          <w:tcPr>
            <w:tcW w:w="862" w:type="dxa"/>
            <w:tcBorders>
              <w:tl2br w:val="nil"/>
              <w:tr2bl w:val="nil"/>
            </w:tcBorders>
            <w:shd w:val="clear" w:color="auto" w:fill="auto"/>
            <w:noWrap/>
            <w:vAlign w:val="center"/>
          </w:tcPr>
          <w:p w14:paraId="220C988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0.640</w:t>
            </w:r>
          </w:p>
        </w:tc>
        <w:tc>
          <w:tcPr>
            <w:tcW w:w="862" w:type="dxa"/>
            <w:tcBorders>
              <w:tl2br w:val="nil"/>
              <w:tr2bl w:val="nil"/>
            </w:tcBorders>
            <w:shd w:val="clear" w:color="auto" w:fill="auto"/>
            <w:noWrap/>
            <w:vAlign w:val="center"/>
          </w:tcPr>
          <w:p w14:paraId="26BD8FE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0.636</w:t>
            </w:r>
          </w:p>
        </w:tc>
        <w:tc>
          <w:tcPr>
            <w:tcW w:w="882" w:type="dxa"/>
            <w:tcBorders>
              <w:tl2br w:val="nil"/>
              <w:tr2bl w:val="nil"/>
            </w:tcBorders>
            <w:shd w:val="clear" w:color="auto" w:fill="auto"/>
            <w:noWrap/>
            <w:vAlign w:val="center"/>
          </w:tcPr>
          <w:p w14:paraId="7A4D6CB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0.633</w:t>
            </w:r>
          </w:p>
        </w:tc>
        <w:tc>
          <w:tcPr>
            <w:tcW w:w="1378" w:type="dxa"/>
            <w:tcBorders>
              <w:tl2br w:val="nil"/>
              <w:tr2bl w:val="nil"/>
            </w:tcBorders>
            <w:shd w:val="clear" w:color="auto" w:fill="auto"/>
            <w:noWrap/>
            <w:vAlign w:val="center"/>
          </w:tcPr>
          <w:p w14:paraId="2B9E0C2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0.636</w:t>
            </w:r>
          </w:p>
        </w:tc>
        <w:tc>
          <w:tcPr>
            <w:tcW w:w="1378" w:type="dxa"/>
            <w:tcBorders>
              <w:tl2br w:val="nil"/>
              <w:tr2bl w:val="nil"/>
            </w:tcBorders>
            <w:shd w:val="clear" w:color="auto" w:fill="auto"/>
            <w:noWrap/>
            <w:vAlign w:val="center"/>
          </w:tcPr>
          <w:p w14:paraId="786B45C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0.0117</w:t>
            </w:r>
          </w:p>
        </w:tc>
        <w:tc>
          <w:tcPr>
            <w:tcW w:w="1379" w:type="dxa"/>
            <w:tcBorders>
              <w:tl2br w:val="nil"/>
              <w:tr2bl w:val="nil"/>
            </w:tcBorders>
            <w:shd w:val="clear" w:color="auto" w:fill="auto"/>
            <w:noWrap/>
            <w:vAlign w:val="center"/>
          </w:tcPr>
          <w:p w14:paraId="70AACA4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1.8</w:t>
            </w:r>
          </w:p>
        </w:tc>
        <w:tc>
          <w:tcPr>
            <w:tcW w:w="1379" w:type="dxa"/>
            <w:tcBorders>
              <w:tl2br w:val="nil"/>
              <w:tr2bl w:val="nil"/>
            </w:tcBorders>
            <w:shd w:val="clear" w:color="auto" w:fill="auto"/>
            <w:noWrap/>
            <w:vAlign w:val="center"/>
          </w:tcPr>
          <w:p w14:paraId="5C32A48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90.9</w:t>
            </w:r>
          </w:p>
        </w:tc>
      </w:tr>
      <w:tr w14:paraId="1F477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24528798">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76EBFEF7">
      <w:pPr>
        <w:rPr>
          <w:rFonts w:hint="default" w:ascii="Times New Roman" w:hAnsi="Times New Roman" w:eastAsia="黑体" w:cs="Times New Roman"/>
          <w:color w:val="000000"/>
          <w:kern w:val="18"/>
          <w:sz w:val="21"/>
          <w:szCs w:val="21"/>
          <w:lang w:val="en-US" w:eastAsia="zh-CN" w:bidi="ar-SA"/>
        </w:rPr>
      </w:pPr>
      <w:r>
        <w:rPr>
          <w:rFonts w:hint="default" w:ascii="Times New Roman" w:hAnsi="Times New Roman" w:eastAsia="黑体" w:cs="Times New Roman"/>
          <w:color w:val="000000"/>
          <w:kern w:val="18"/>
          <w:sz w:val="21"/>
          <w:szCs w:val="21"/>
          <w:lang w:val="en-US" w:eastAsia="zh-CN" w:bidi="ar-SA"/>
        </w:rPr>
        <w:br w:type="page"/>
      </w:r>
    </w:p>
    <w:p w14:paraId="1C4FE97E">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附表13-1  土壤低浓度加标样品（0.10 mg/kg）精密度和正确度验证数据</w:t>
      </w:r>
    </w:p>
    <w:p w14:paraId="0EC3E0FE">
      <w:pPr>
        <w:pStyle w:val="22"/>
        <w:tabs>
          <w:tab w:val="left" w:pos="9240"/>
          <w:tab w:val="left" w:pos="9660"/>
          <w:tab w:val="left" w:pos="10920"/>
        </w:tabs>
        <w:spacing w:before="156" w:beforeLines="50" w:after="156" w:afterLines="50" w:line="360" w:lineRule="exact"/>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eastAsia="zh-CN"/>
        </w:rPr>
        <w:t xml:space="preserve"> 四川省宜宾生态环境监测中心站</w:t>
      </w:r>
      <w:r>
        <w:rPr>
          <w:rFonts w:hint="default" w:ascii="Times New Roman" w:hAnsi="Times New Roman" w:cs="Times New Roman"/>
          <w:b/>
          <w:bCs/>
          <w:color w:val="000000"/>
          <w:sz w:val="21"/>
          <w:szCs w:val="21"/>
          <w:u w:val="single"/>
          <w:lang w:val="en-US" w:eastAsia="zh-CN"/>
        </w:rPr>
        <w:t xml:space="preserve"> </w:t>
      </w:r>
    </w:p>
    <w:p w14:paraId="069F174A">
      <w:pPr>
        <w:pStyle w:val="22"/>
        <w:tabs>
          <w:tab w:val="left" w:pos="9240"/>
          <w:tab w:val="left" w:pos="10920"/>
        </w:tabs>
        <w:spacing w:before="156" w:beforeLines="50" w:after="156" w:afterLines="50" w:line="360" w:lineRule="exact"/>
        <w:ind w:right="298"/>
        <w:jc w:val="both"/>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2024.12.09-12.11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371D1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0464566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20FEEEA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7905DC9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59EE69ED">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5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55" DrawAspect="Content" ObjectID="_1468075843" r:id="rId200">
                  <o:LockedField>false</o:LockedField>
                </o:OLEObject>
              </w:object>
            </w:r>
          </w:p>
          <w:p w14:paraId="458C46B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7A8EEBC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5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56" DrawAspect="Content" ObjectID="_1468075844" r:id="rId201">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4D997BA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6587A3B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4322E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4F85464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3DFADDF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24BEB0A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212158A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10B4890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40D94C8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46D3C6D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7452916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328DD23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4ADFDF7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361C4A62">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65146A2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2E21C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3185D0B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4658683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1982A7E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0.081</w:t>
            </w:r>
          </w:p>
        </w:tc>
        <w:tc>
          <w:tcPr>
            <w:tcW w:w="862" w:type="dxa"/>
            <w:tcBorders>
              <w:tl2br w:val="nil"/>
              <w:tr2bl w:val="nil"/>
            </w:tcBorders>
            <w:shd w:val="clear" w:color="auto" w:fill="auto"/>
            <w:noWrap/>
            <w:vAlign w:val="center"/>
          </w:tcPr>
          <w:p w14:paraId="3D8AE13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0.081</w:t>
            </w:r>
          </w:p>
        </w:tc>
        <w:tc>
          <w:tcPr>
            <w:tcW w:w="862" w:type="dxa"/>
            <w:tcBorders>
              <w:tl2br w:val="nil"/>
              <w:tr2bl w:val="nil"/>
            </w:tcBorders>
            <w:shd w:val="clear" w:color="auto" w:fill="auto"/>
            <w:noWrap/>
            <w:vAlign w:val="center"/>
          </w:tcPr>
          <w:p w14:paraId="442E301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0.084</w:t>
            </w:r>
          </w:p>
        </w:tc>
        <w:tc>
          <w:tcPr>
            <w:tcW w:w="862" w:type="dxa"/>
            <w:tcBorders>
              <w:tl2br w:val="nil"/>
              <w:tr2bl w:val="nil"/>
            </w:tcBorders>
            <w:shd w:val="clear" w:color="auto" w:fill="auto"/>
            <w:noWrap/>
            <w:vAlign w:val="center"/>
          </w:tcPr>
          <w:p w14:paraId="3549D49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0.084</w:t>
            </w:r>
          </w:p>
        </w:tc>
        <w:tc>
          <w:tcPr>
            <w:tcW w:w="862" w:type="dxa"/>
            <w:tcBorders>
              <w:tl2br w:val="nil"/>
              <w:tr2bl w:val="nil"/>
            </w:tcBorders>
            <w:shd w:val="clear" w:color="auto" w:fill="auto"/>
            <w:noWrap/>
            <w:vAlign w:val="center"/>
          </w:tcPr>
          <w:p w14:paraId="5455AE5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0.085</w:t>
            </w:r>
          </w:p>
        </w:tc>
        <w:tc>
          <w:tcPr>
            <w:tcW w:w="882" w:type="dxa"/>
            <w:tcBorders>
              <w:tl2br w:val="nil"/>
              <w:tr2bl w:val="nil"/>
            </w:tcBorders>
            <w:shd w:val="clear" w:color="auto" w:fill="auto"/>
            <w:noWrap/>
            <w:vAlign w:val="center"/>
          </w:tcPr>
          <w:p w14:paraId="7CE5B5F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0.084</w:t>
            </w:r>
          </w:p>
        </w:tc>
        <w:tc>
          <w:tcPr>
            <w:tcW w:w="1378" w:type="dxa"/>
            <w:tcBorders>
              <w:tl2br w:val="nil"/>
              <w:tr2bl w:val="nil"/>
            </w:tcBorders>
            <w:shd w:val="clear" w:color="auto" w:fill="auto"/>
            <w:noWrap/>
            <w:vAlign w:val="center"/>
          </w:tcPr>
          <w:p w14:paraId="733E878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0.083</w:t>
            </w:r>
          </w:p>
        </w:tc>
        <w:tc>
          <w:tcPr>
            <w:tcW w:w="1378" w:type="dxa"/>
            <w:tcBorders>
              <w:tl2br w:val="nil"/>
              <w:tr2bl w:val="nil"/>
            </w:tcBorders>
            <w:shd w:val="clear" w:color="auto" w:fill="auto"/>
            <w:noWrap/>
            <w:vAlign w:val="center"/>
          </w:tcPr>
          <w:p w14:paraId="3F8D107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0.0017</w:t>
            </w:r>
          </w:p>
        </w:tc>
        <w:tc>
          <w:tcPr>
            <w:tcW w:w="1379" w:type="dxa"/>
            <w:tcBorders>
              <w:tl2br w:val="nil"/>
              <w:tr2bl w:val="nil"/>
            </w:tcBorders>
            <w:shd w:val="clear" w:color="auto" w:fill="auto"/>
            <w:noWrap/>
            <w:vAlign w:val="center"/>
          </w:tcPr>
          <w:p w14:paraId="41EE4D0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c>
          <w:tcPr>
            <w:tcW w:w="1379" w:type="dxa"/>
            <w:tcBorders>
              <w:tl2br w:val="nil"/>
              <w:tr2bl w:val="nil"/>
            </w:tcBorders>
            <w:shd w:val="clear" w:color="auto" w:fill="auto"/>
            <w:noWrap/>
            <w:vAlign w:val="center"/>
          </w:tcPr>
          <w:p w14:paraId="768231B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83.2</w:t>
            </w:r>
          </w:p>
        </w:tc>
      </w:tr>
      <w:tr w14:paraId="177EC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4B871BB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4C33FF3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2785C48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0.080</w:t>
            </w:r>
          </w:p>
        </w:tc>
        <w:tc>
          <w:tcPr>
            <w:tcW w:w="862" w:type="dxa"/>
            <w:tcBorders>
              <w:tl2br w:val="nil"/>
              <w:tr2bl w:val="nil"/>
            </w:tcBorders>
            <w:shd w:val="clear" w:color="auto" w:fill="auto"/>
            <w:noWrap/>
            <w:vAlign w:val="center"/>
          </w:tcPr>
          <w:p w14:paraId="34FA741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0.082</w:t>
            </w:r>
          </w:p>
        </w:tc>
        <w:tc>
          <w:tcPr>
            <w:tcW w:w="862" w:type="dxa"/>
            <w:tcBorders>
              <w:tl2br w:val="nil"/>
              <w:tr2bl w:val="nil"/>
            </w:tcBorders>
            <w:shd w:val="clear" w:color="auto" w:fill="auto"/>
            <w:noWrap/>
            <w:vAlign w:val="center"/>
          </w:tcPr>
          <w:p w14:paraId="7F65694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0.084</w:t>
            </w:r>
          </w:p>
        </w:tc>
        <w:tc>
          <w:tcPr>
            <w:tcW w:w="862" w:type="dxa"/>
            <w:tcBorders>
              <w:tl2br w:val="nil"/>
              <w:tr2bl w:val="nil"/>
            </w:tcBorders>
            <w:shd w:val="clear" w:color="auto" w:fill="auto"/>
            <w:noWrap/>
            <w:vAlign w:val="center"/>
          </w:tcPr>
          <w:p w14:paraId="2F109CF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0.083</w:t>
            </w:r>
          </w:p>
        </w:tc>
        <w:tc>
          <w:tcPr>
            <w:tcW w:w="862" w:type="dxa"/>
            <w:tcBorders>
              <w:tl2br w:val="nil"/>
              <w:tr2bl w:val="nil"/>
            </w:tcBorders>
            <w:shd w:val="clear" w:color="auto" w:fill="auto"/>
            <w:noWrap/>
            <w:vAlign w:val="center"/>
          </w:tcPr>
          <w:p w14:paraId="7517F88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0.085</w:t>
            </w:r>
          </w:p>
        </w:tc>
        <w:tc>
          <w:tcPr>
            <w:tcW w:w="882" w:type="dxa"/>
            <w:tcBorders>
              <w:tl2br w:val="nil"/>
              <w:tr2bl w:val="nil"/>
            </w:tcBorders>
            <w:shd w:val="clear" w:color="auto" w:fill="auto"/>
            <w:noWrap/>
            <w:vAlign w:val="center"/>
          </w:tcPr>
          <w:p w14:paraId="7964E41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0.084</w:t>
            </w:r>
          </w:p>
        </w:tc>
        <w:tc>
          <w:tcPr>
            <w:tcW w:w="1378" w:type="dxa"/>
            <w:tcBorders>
              <w:tl2br w:val="nil"/>
              <w:tr2bl w:val="nil"/>
            </w:tcBorders>
            <w:shd w:val="clear" w:color="auto" w:fill="auto"/>
            <w:noWrap/>
            <w:vAlign w:val="center"/>
          </w:tcPr>
          <w:p w14:paraId="4A1362E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0.083</w:t>
            </w:r>
          </w:p>
        </w:tc>
        <w:tc>
          <w:tcPr>
            <w:tcW w:w="1378" w:type="dxa"/>
            <w:tcBorders>
              <w:tl2br w:val="nil"/>
              <w:tr2bl w:val="nil"/>
            </w:tcBorders>
            <w:shd w:val="clear" w:color="auto" w:fill="auto"/>
            <w:noWrap/>
            <w:vAlign w:val="center"/>
          </w:tcPr>
          <w:p w14:paraId="76B751C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0.0018</w:t>
            </w:r>
          </w:p>
        </w:tc>
        <w:tc>
          <w:tcPr>
            <w:tcW w:w="1379" w:type="dxa"/>
            <w:tcBorders>
              <w:tl2br w:val="nil"/>
              <w:tr2bl w:val="nil"/>
            </w:tcBorders>
            <w:shd w:val="clear" w:color="auto" w:fill="auto"/>
            <w:noWrap/>
            <w:vAlign w:val="center"/>
          </w:tcPr>
          <w:p w14:paraId="16E27B1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2.2</w:t>
            </w:r>
          </w:p>
        </w:tc>
        <w:tc>
          <w:tcPr>
            <w:tcW w:w="1379" w:type="dxa"/>
            <w:tcBorders>
              <w:tl2br w:val="nil"/>
              <w:tr2bl w:val="nil"/>
            </w:tcBorders>
            <w:shd w:val="clear" w:color="auto" w:fill="auto"/>
            <w:noWrap/>
            <w:vAlign w:val="center"/>
          </w:tcPr>
          <w:p w14:paraId="55C8F52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83.0</w:t>
            </w:r>
          </w:p>
        </w:tc>
      </w:tr>
      <w:tr w14:paraId="40AE7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37A0F7ED">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03328865">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164E5E77">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4D0E1041">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5F05EFAF">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附表13-2  土壤中浓度加标样品（0.40 mg/kg）精密度和正确度验证数据</w:t>
      </w:r>
    </w:p>
    <w:p w14:paraId="1374A414">
      <w:pPr>
        <w:pStyle w:val="22"/>
        <w:tabs>
          <w:tab w:val="left" w:pos="9240"/>
          <w:tab w:val="left" w:pos="9660"/>
          <w:tab w:val="left" w:pos="10920"/>
        </w:tabs>
        <w:spacing w:before="156" w:beforeLines="50" w:after="156" w:afterLines="50" w:line="360" w:lineRule="exact"/>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eastAsia="zh-CN"/>
        </w:rPr>
        <w:t xml:space="preserve"> 四川省宜宾生态环境监测中心站</w:t>
      </w:r>
      <w:r>
        <w:rPr>
          <w:rFonts w:hint="default" w:ascii="Times New Roman" w:hAnsi="Times New Roman" w:cs="Times New Roman"/>
          <w:b/>
          <w:bCs/>
          <w:color w:val="000000"/>
          <w:sz w:val="21"/>
          <w:szCs w:val="21"/>
          <w:u w:val="single"/>
          <w:lang w:val="en-US" w:eastAsia="zh-CN"/>
        </w:rPr>
        <w:t xml:space="preserve"> </w:t>
      </w:r>
    </w:p>
    <w:p w14:paraId="04A08C2F">
      <w:pPr>
        <w:pStyle w:val="22"/>
        <w:tabs>
          <w:tab w:val="left" w:pos="9240"/>
          <w:tab w:val="left" w:pos="10920"/>
        </w:tabs>
        <w:spacing w:before="156" w:beforeLines="50" w:after="156" w:afterLines="50" w:line="360" w:lineRule="exact"/>
        <w:ind w:right="298"/>
        <w:jc w:val="both"/>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2024.12.09-12.11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73FCB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70FE844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05F07E4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53CC8EE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09A6D10E">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5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57" DrawAspect="Content" ObjectID="_1468075845" r:id="rId202">
                  <o:LockedField>false</o:LockedField>
                </o:OLEObject>
              </w:object>
            </w:r>
          </w:p>
          <w:p w14:paraId="7FEC6C13">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5F9637C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5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58" DrawAspect="Content" ObjectID="_1468075846" r:id="rId203">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26E29E5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6B94C5D3">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1CF58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703EDAE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11D9880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06DFCBD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31E0A8B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7986C5A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7919791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1A6C2BD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3125134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6940BE0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2E79F0A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5EE1E3E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1FB1318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F718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2CD9D48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4395F26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4DA486B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0.350</w:t>
            </w:r>
          </w:p>
        </w:tc>
        <w:tc>
          <w:tcPr>
            <w:tcW w:w="862" w:type="dxa"/>
            <w:tcBorders>
              <w:tl2br w:val="nil"/>
              <w:tr2bl w:val="nil"/>
            </w:tcBorders>
            <w:shd w:val="clear" w:color="auto" w:fill="auto"/>
            <w:noWrap/>
            <w:vAlign w:val="center"/>
          </w:tcPr>
          <w:p w14:paraId="2C4F92E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0.350</w:t>
            </w:r>
          </w:p>
        </w:tc>
        <w:tc>
          <w:tcPr>
            <w:tcW w:w="862" w:type="dxa"/>
            <w:tcBorders>
              <w:tl2br w:val="nil"/>
              <w:tr2bl w:val="nil"/>
            </w:tcBorders>
            <w:shd w:val="clear" w:color="auto" w:fill="auto"/>
            <w:noWrap/>
            <w:vAlign w:val="center"/>
          </w:tcPr>
          <w:p w14:paraId="3CEFEEB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0.342</w:t>
            </w:r>
          </w:p>
        </w:tc>
        <w:tc>
          <w:tcPr>
            <w:tcW w:w="862" w:type="dxa"/>
            <w:tcBorders>
              <w:tl2br w:val="nil"/>
              <w:tr2bl w:val="nil"/>
            </w:tcBorders>
            <w:shd w:val="clear" w:color="auto" w:fill="auto"/>
            <w:noWrap/>
            <w:vAlign w:val="center"/>
          </w:tcPr>
          <w:p w14:paraId="3F989B4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0.341</w:t>
            </w:r>
          </w:p>
        </w:tc>
        <w:tc>
          <w:tcPr>
            <w:tcW w:w="862" w:type="dxa"/>
            <w:tcBorders>
              <w:tl2br w:val="nil"/>
              <w:tr2bl w:val="nil"/>
            </w:tcBorders>
            <w:shd w:val="clear" w:color="auto" w:fill="auto"/>
            <w:noWrap/>
            <w:vAlign w:val="center"/>
          </w:tcPr>
          <w:p w14:paraId="0B4077F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0.358</w:t>
            </w:r>
          </w:p>
        </w:tc>
        <w:tc>
          <w:tcPr>
            <w:tcW w:w="882" w:type="dxa"/>
            <w:tcBorders>
              <w:tl2br w:val="nil"/>
              <w:tr2bl w:val="nil"/>
            </w:tcBorders>
            <w:shd w:val="clear" w:color="auto" w:fill="auto"/>
            <w:noWrap/>
            <w:vAlign w:val="center"/>
          </w:tcPr>
          <w:p w14:paraId="09360FF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0.357</w:t>
            </w:r>
          </w:p>
        </w:tc>
        <w:tc>
          <w:tcPr>
            <w:tcW w:w="1378" w:type="dxa"/>
            <w:tcBorders>
              <w:tl2br w:val="nil"/>
              <w:tr2bl w:val="nil"/>
            </w:tcBorders>
            <w:shd w:val="clear" w:color="auto" w:fill="auto"/>
            <w:noWrap/>
            <w:vAlign w:val="center"/>
          </w:tcPr>
          <w:p w14:paraId="10B9396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0.350</w:t>
            </w:r>
          </w:p>
        </w:tc>
        <w:tc>
          <w:tcPr>
            <w:tcW w:w="1378" w:type="dxa"/>
            <w:tcBorders>
              <w:tl2br w:val="nil"/>
              <w:tr2bl w:val="nil"/>
            </w:tcBorders>
            <w:shd w:val="clear" w:color="auto" w:fill="auto"/>
            <w:noWrap/>
            <w:vAlign w:val="center"/>
          </w:tcPr>
          <w:p w14:paraId="34E61D1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0.0072</w:t>
            </w:r>
          </w:p>
        </w:tc>
        <w:tc>
          <w:tcPr>
            <w:tcW w:w="1379" w:type="dxa"/>
            <w:tcBorders>
              <w:tl2br w:val="nil"/>
              <w:tr2bl w:val="nil"/>
            </w:tcBorders>
            <w:shd w:val="clear" w:color="auto" w:fill="auto"/>
            <w:noWrap/>
            <w:vAlign w:val="center"/>
          </w:tcPr>
          <w:p w14:paraId="5315DF3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c>
          <w:tcPr>
            <w:tcW w:w="1379" w:type="dxa"/>
            <w:tcBorders>
              <w:tl2br w:val="nil"/>
              <w:tr2bl w:val="nil"/>
            </w:tcBorders>
            <w:shd w:val="clear" w:color="auto" w:fill="auto"/>
            <w:noWrap/>
            <w:vAlign w:val="center"/>
          </w:tcPr>
          <w:p w14:paraId="0D84169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87.5</w:t>
            </w:r>
          </w:p>
        </w:tc>
      </w:tr>
      <w:tr w14:paraId="184D4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54AFCD2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3352F1D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0A7E9BC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0.374</w:t>
            </w:r>
          </w:p>
        </w:tc>
        <w:tc>
          <w:tcPr>
            <w:tcW w:w="862" w:type="dxa"/>
            <w:tcBorders>
              <w:tl2br w:val="nil"/>
              <w:tr2bl w:val="nil"/>
            </w:tcBorders>
            <w:shd w:val="clear" w:color="auto" w:fill="auto"/>
            <w:noWrap/>
            <w:vAlign w:val="center"/>
          </w:tcPr>
          <w:p w14:paraId="505F703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0.374</w:t>
            </w:r>
          </w:p>
        </w:tc>
        <w:tc>
          <w:tcPr>
            <w:tcW w:w="862" w:type="dxa"/>
            <w:tcBorders>
              <w:tl2br w:val="nil"/>
              <w:tr2bl w:val="nil"/>
            </w:tcBorders>
            <w:shd w:val="clear" w:color="auto" w:fill="auto"/>
            <w:noWrap/>
            <w:vAlign w:val="center"/>
          </w:tcPr>
          <w:p w14:paraId="7952F98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0.369</w:t>
            </w:r>
          </w:p>
        </w:tc>
        <w:tc>
          <w:tcPr>
            <w:tcW w:w="862" w:type="dxa"/>
            <w:tcBorders>
              <w:tl2br w:val="nil"/>
              <w:tr2bl w:val="nil"/>
            </w:tcBorders>
            <w:shd w:val="clear" w:color="auto" w:fill="auto"/>
            <w:noWrap/>
            <w:vAlign w:val="center"/>
          </w:tcPr>
          <w:p w14:paraId="771E8BB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0.368</w:t>
            </w:r>
          </w:p>
        </w:tc>
        <w:tc>
          <w:tcPr>
            <w:tcW w:w="862" w:type="dxa"/>
            <w:tcBorders>
              <w:tl2br w:val="nil"/>
              <w:tr2bl w:val="nil"/>
            </w:tcBorders>
            <w:shd w:val="clear" w:color="auto" w:fill="auto"/>
            <w:noWrap/>
            <w:vAlign w:val="center"/>
          </w:tcPr>
          <w:p w14:paraId="746B65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0.376</w:t>
            </w:r>
          </w:p>
        </w:tc>
        <w:tc>
          <w:tcPr>
            <w:tcW w:w="882" w:type="dxa"/>
            <w:tcBorders>
              <w:tl2br w:val="nil"/>
              <w:tr2bl w:val="nil"/>
            </w:tcBorders>
            <w:shd w:val="clear" w:color="auto" w:fill="auto"/>
            <w:noWrap/>
            <w:vAlign w:val="center"/>
          </w:tcPr>
          <w:p w14:paraId="73C4EAB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0.374</w:t>
            </w:r>
          </w:p>
        </w:tc>
        <w:tc>
          <w:tcPr>
            <w:tcW w:w="1378" w:type="dxa"/>
            <w:tcBorders>
              <w:tl2br w:val="nil"/>
              <w:tr2bl w:val="nil"/>
            </w:tcBorders>
            <w:shd w:val="clear" w:color="auto" w:fill="auto"/>
            <w:noWrap/>
            <w:vAlign w:val="center"/>
          </w:tcPr>
          <w:p w14:paraId="15B1087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0.373</w:t>
            </w:r>
          </w:p>
        </w:tc>
        <w:tc>
          <w:tcPr>
            <w:tcW w:w="1378" w:type="dxa"/>
            <w:tcBorders>
              <w:tl2br w:val="nil"/>
              <w:tr2bl w:val="nil"/>
            </w:tcBorders>
            <w:shd w:val="clear" w:color="auto" w:fill="auto"/>
            <w:noWrap/>
            <w:vAlign w:val="center"/>
          </w:tcPr>
          <w:p w14:paraId="4BFBFAE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0.0032</w:t>
            </w:r>
          </w:p>
        </w:tc>
        <w:tc>
          <w:tcPr>
            <w:tcW w:w="1379" w:type="dxa"/>
            <w:tcBorders>
              <w:tl2br w:val="nil"/>
              <w:tr2bl w:val="nil"/>
            </w:tcBorders>
            <w:shd w:val="clear" w:color="auto" w:fill="auto"/>
            <w:noWrap/>
            <w:vAlign w:val="center"/>
          </w:tcPr>
          <w:p w14:paraId="7AC8910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0.9</w:t>
            </w:r>
          </w:p>
        </w:tc>
        <w:tc>
          <w:tcPr>
            <w:tcW w:w="1379" w:type="dxa"/>
            <w:tcBorders>
              <w:tl2br w:val="nil"/>
              <w:tr2bl w:val="nil"/>
            </w:tcBorders>
            <w:shd w:val="clear" w:color="auto" w:fill="auto"/>
            <w:noWrap/>
            <w:vAlign w:val="center"/>
          </w:tcPr>
          <w:p w14:paraId="4C18F43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93.2</w:t>
            </w:r>
          </w:p>
        </w:tc>
      </w:tr>
      <w:tr w14:paraId="63117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24CC8281">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24356D2F">
      <w:pPr>
        <w:rPr>
          <w:rFonts w:hint="default" w:ascii="Times New Roman" w:hAnsi="Times New Roman" w:eastAsia="黑体" w:cs="Times New Roman"/>
          <w:color w:val="000000"/>
          <w:kern w:val="18"/>
          <w:sz w:val="21"/>
          <w:szCs w:val="21"/>
          <w:lang w:val="en-US" w:eastAsia="zh-CN" w:bidi="ar-SA"/>
        </w:rPr>
      </w:pPr>
      <w:r>
        <w:rPr>
          <w:rFonts w:hint="default" w:ascii="Times New Roman" w:hAnsi="Times New Roman" w:eastAsia="黑体" w:cs="Times New Roman"/>
          <w:color w:val="000000"/>
          <w:kern w:val="18"/>
          <w:sz w:val="21"/>
          <w:szCs w:val="21"/>
          <w:lang w:val="en-US" w:eastAsia="zh-CN" w:bidi="ar-SA"/>
        </w:rPr>
        <w:br w:type="page"/>
      </w:r>
    </w:p>
    <w:p w14:paraId="6F895E1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附表13-3  土壤高浓度加标样品（0.70 mg/kg）精密度和正确度验证数据</w:t>
      </w:r>
    </w:p>
    <w:p w14:paraId="667BB8FF">
      <w:pPr>
        <w:pStyle w:val="22"/>
        <w:tabs>
          <w:tab w:val="left" w:pos="9240"/>
          <w:tab w:val="left" w:pos="9660"/>
          <w:tab w:val="left" w:pos="10920"/>
        </w:tabs>
        <w:spacing w:before="156" w:beforeLines="50" w:after="156" w:afterLines="50" w:line="360" w:lineRule="exact"/>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验证单位：</w:t>
      </w:r>
      <w:r>
        <w:rPr>
          <w:rFonts w:hint="default" w:ascii="Times New Roman" w:hAnsi="Times New Roman" w:cs="Times New Roman"/>
          <w:color w:val="000000"/>
          <w:sz w:val="21"/>
          <w:szCs w:val="21"/>
          <w:u w:val="single"/>
          <w:lang w:eastAsia="zh-CN"/>
        </w:rPr>
        <w:t xml:space="preserve"> 四川省宜宾生态环境监测中心站</w:t>
      </w:r>
      <w:r>
        <w:rPr>
          <w:rFonts w:hint="default" w:ascii="Times New Roman" w:hAnsi="Times New Roman" w:cs="Times New Roman"/>
          <w:b/>
          <w:bCs/>
          <w:color w:val="000000"/>
          <w:sz w:val="21"/>
          <w:szCs w:val="21"/>
          <w:u w:val="single"/>
          <w:lang w:val="en-US" w:eastAsia="zh-CN"/>
        </w:rPr>
        <w:t xml:space="preserve"> </w:t>
      </w:r>
    </w:p>
    <w:p w14:paraId="378B3103">
      <w:pPr>
        <w:pStyle w:val="22"/>
        <w:tabs>
          <w:tab w:val="left" w:pos="9240"/>
          <w:tab w:val="left" w:pos="10920"/>
        </w:tabs>
        <w:spacing w:before="156" w:beforeLines="50" w:after="156" w:afterLines="50" w:line="360" w:lineRule="exact"/>
        <w:ind w:right="298"/>
        <w:jc w:val="both"/>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lang w:eastAsia="zh-CN"/>
        </w:rPr>
        <w:t>验证时间：</w:t>
      </w:r>
      <w:r>
        <w:rPr>
          <w:rFonts w:hint="default" w:ascii="Times New Roman" w:hAnsi="Times New Roman" w:cs="Times New Roman"/>
          <w:color w:val="000000"/>
          <w:sz w:val="21"/>
          <w:szCs w:val="21"/>
          <w:u w:val="single"/>
          <w:lang w:val="en-US" w:eastAsia="zh-CN"/>
        </w:rPr>
        <w:t xml:space="preserve">      2024.12.09-12.11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190CE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5F147FD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40194E8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42FDB2D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63585E97">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59"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59" DrawAspect="Content" ObjectID="_1468075847" r:id="rId204">
                  <o:LockedField>false</o:LockedField>
                </o:OLEObject>
              </w:object>
            </w:r>
          </w:p>
          <w:p w14:paraId="00FE9A7E">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027D8B38">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60"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60" DrawAspect="Content" ObjectID="_1468075848" r:id="rId205">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091C802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314B58E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432FE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035184C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07E6DFE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5CA1EF4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07907D5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1BFFD2C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46485C9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2F56967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7176EAE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100DA42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56DD1C9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320758F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7D7E77D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370D7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3619B9F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28FC38B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2643F10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0.665</w:t>
            </w:r>
          </w:p>
        </w:tc>
        <w:tc>
          <w:tcPr>
            <w:tcW w:w="862" w:type="dxa"/>
            <w:tcBorders>
              <w:tl2br w:val="nil"/>
              <w:tr2bl w:val="nil"/>
            </w:tcBorders>
            <w:shd w:val="clear" w:color="auto" w:fill="auto"/>
            <w:noWrap/>
            <w:vAlign w:val="center"/>
          </w:tcPr>
          <w:p w14:paraId="475929B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0.661</w:t>
            </w:r>
          </w:p>
        </w:tc>
        <w:tc>
          <w:tcPr>
            <w:tcW w:w="862" w:type="dxa"/>
            <w:tcBorders>
              <w:tl2br w:val="nil"/>
              <w:tr2bl w:val="nil"/>
            </w:tcBorders>
            <w:shd w:val="clear" w:color="auto" w:fill="auto"/>
            <w:noWrap/>
            <w:vAlign w:val="center"/>
          </w:tcPr>
          <w:p w14:paraId="63E8E67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0.670</w:t>
            </w:r>
          </w:p>
        </w:tc>
        <w:tc>
          <w:tcPr>
            <w:tcW w:w="862" w:type="dxa"/>
            <w:tcBorders>
              <w:tl2br w:val="nil"/>
              <w:tr2bl w:val="nil"/>
            </w:tcBorders>
            <w:shd w:val="clear" w:color="auto" w:fill="auto"/>
            <w:noWrap/>
            <w:vAlign w:val="center"/>
          </w:tcPr>
          <w:p w14:paraId="61769D6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0.672</w:t>
            </w:r>
          </w:p>
        </w:tc>
        <w:tc>
          <w:tcPr>
            <w:tcW w:w="862" w:type="dxa"/>
            <w:tcBorders>
              <w:tl2br w:val="nil"/>
              <w:tr2bl w:val="nil"/>
            </w:tcBorders>
            <w:shd w:val="clear" w:color="auto" w:fill="auto"/>
            <w:noWrap/>
            <w:vAlign w:val="center"/>
          </w:tcPr>
          <w:p w14:paraId="272D5C9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0.661</w:t>
            </w:r>
          </w:p>
        </w:tc>
        <w:tc>
          <w:tcPr>
            <w:tcW w:w="882" w:type="dxa"/>
            <w:tcBorders>
              <w:tl2br w:val="nil"/>
              <w:tr2bl w:val="nil"/>
            </w:tcBorders>
            <w:shd w:val="clear" w:color="auto" w:fill="auto"/>
            <w:noWrap/>
            <w:vAlign w:val="center"/>
          </w:tcPr>
          <w:p w14:paraId="6E292F0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0.656</w:t>
            </w:r>
          </w:p>
        </w:tc>
        <w:tc>
          <w:tcPr>
            <w:tcW w:w="1378" w:type="dxa"/>
            <w:tcBorders>
              <w:tl2br w:val="nil"/>
              <w:tr2bl w:val="nil"/>
            </w:tcBorders>
            <w:shd w:val="clear" w:color="auto" w:fill="auto"/>
            <w:noWrap/>
            <w:vAlign w:val="center"/>
          </w:tcPr>
          <w:p w14:paraId="3A0582F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0.664</w:t>
            </w:r>
          </w:p>
        </w:tc>
        <w:tc>
          <w:tcPr>
            <w:tcW w:w="1378" w:type="dxa"/>
            <w:tcBorders>
              <w:tl2br w:val="nil"/>
              <w:tr2bl w:val="nil"/>
            </w:tcBorders>
            <w:shd w:val="clear" w:color="auto" w:fill="auto"/>
            <w:noWrap/>
            <w:vAlign w:val="center"/>
          </w:tcPr>
          <w:p w14:paraId="6B903A6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0.0060</w:t>
            </w:r>
          </w:p>
        </w:tc>
        <w:tc>
          <w:tcPr>
            <w:tcW w:w="1379" w:type="dxa"/>
            <w:tcBorders>
              <w:tl2br w:val="nil"/>
              <w:tr2bl w:val="nil"/>
            </w:tcBorders>
            <w:shd w:val="clear" w:color="auto" w:fill="auto"/>
            <w:noWrap/>
            <w:vAlign w:val="center"/>
          </w:tcPr>
          <w:p w14:paraId="41E592F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0.9</w:t>
            </w:r>
          </w:p>
        </w:tc>
        <w:tc>
          <w:tcPr>
            <w:tcW w:w="1379" w:type="dxa"/>
            <w:tcBorders>
              <w:tl2br w:val="nil"/>
              <w:tr2bl w:val="nil"/>
            </w:tcBorders>
            <w:shd w:val="clear" w:color="auto" w:fill="auto"/>
            <w:noWrap/>
            <w:vAlign w:val="center"/>
          </w:tcPr>
          <w:p w14:paraId="23125E2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94.9</w:t>
            </w:r>
          </w:p>
        </w:tc>
      </w:tr>
      <w:tr w14:paraId="1F0B4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33CE605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0BFF213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11C3284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0.666</w:t>
            </w:r>
          </w:p>
        </w:tc>
        <w:tc>
          <w:tcPr>
            <w:tcW w:w="862" w:type="dxa"/>
            <w:tcBorders>
              <w:tl2br w:val="nil"/>
              <w:tr2bl w:val="nil"/>
            </w:tcBorders>
            <w:shd w:val="clear" w:color="auto" w:fill="auto"/>
            <w:noWrap/>
            <w:vAlign w:val="center"/>
          </w:tcPr>
          <w:p w14:paraId="03DD333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0.661</w:t>
            </w:r>
          </w:p>
        </w:tc>
        <w:tc>
          <w:tcPr>
            <w:tcW w:w="862" w:type="dxa"/>
            <w:tcBorders>
              <w:tl2br w:val="nil"/>
              <w:tr2bl w:val="nil"/>
            </w:tcBorders>
            <w:shd w:val="clear" w:color="auto" w:fill="auto"/>
            <w:noWrap/>
            <w:vAlign w:val="center"/>
          </w:tcPr>
          <w:p w14:paraId="2E7055F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0.685</w:t>
            </w:r>
          </w:p>
        </w:tc>
        <w:tc>
          <w:tcPr>
            <w:tcW w:w="862" w:type="dxa"/>
            <w:tcBorders>
              <w:tl2br w:val="nil"/>
              <w:tr2bl w:val="nil"/>
            </w:tcBorders>
            <w:shd w:val="clear" w:color="auto" w:fill="auto"/>
            <w:noWrap/>
            <w:vAlign w:val="center"/>
          </w:tcPr>
          <w:p w14:paraId="00B62AD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0.688</w:t>
            </w:r>
          </w:p>
        </w:tc>
        <w:tc>
          <w:tcPr>
            <w:tcW w:w="862" w:type="dxa"/>
            <w:tcBorders>
              <w:tl2br w:val="nil"/>
              <w:tr2bl w:val="nil"/>
            </w:tcBorders>
            <w:shd w:val="clear" w:color="auto" w:fill="auto"/>
            <w:noWrap/>
            <w:vAlign w:val="center"/>
          </w:tcPr>
          <w:p w14:paraId="52F8184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0.685</w:t>
            </w:r>
          </w:p>
        </w:tc>
        <w:tc>
          <w:tcPr>
            <w:tcW w:w="882" w:type="dxa"/>
            <w:tcBorders>
              <w:tl2br w:val="nil"/>
              <w:tr2bl w:val="nil"/>
            </w:tcBorders>
            <w:shd w:val="clear" w:color="auto" w:fill="auto"/>
            <w:noWrap/>
            <w:vAlign w:val="center"/>
          </w:tcPr>
          <w:p w14:paraId="3DBB22C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0.681</w:t>
            </w:r>
          </w:p>
        </w:tc>
        <w:tc>
          <w:tcPr>
            <w:tcW w:w="1378" w:type="dxa"/>
            <w:tcBorders>
              <w:tl2br w:val="nil"/>
              <w:tr2bl w:val="nil"/>
            </w:tcBorders>
            <w:shd w:val="clear" w:color="auto" w:fill="auto"/>
            <w:noWrap/>
            <w:vAlign w:val="center"/>
          </w:tcPr>
          <w:p w14:paraId="08AAC1A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0.678</w:t>
            </w:r>
          </w:p>
        </w:tc>
        <w:tc>
          <w:tcPr>
            <w:tcW w:w="1378" w:type="dxa"/>
            <w:tcBorders>
              <w:tl2br w:val="nil"/>
              <w:tr2bl w:val="nil"/>
            </w:tcBorders>
            <w:shd w:val="clear" w:color="auto" w:fill="auto"/>
            <w:noWrap/>
            <w:vAlign w:val="center"/>
          </w:tcPr>
          <w:p w14:paraId="352C4DB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0.0113</w:t>
            </w:r>
          </w:p>
        </w:tc>
        <w:tc>
          <w:tcPr>
            <w:tcW w:w="1379" w:type="dxa"/>
            <w:tcBorders>
              <w:tl2br w:val="nil"/>
              <w:tr2bl w:val="nil"/>
            </w:tcBorders>
            <w:shd w:val="clear" w:color="auto" w:fill="auto"/>
            <w:noWrap/>
            <w:vAlign w:val="center"/>
          </w:tcPr>
          <w:p w14:paraId="693EAB4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1.7</w:t>
            </w:r>
          </w:p>
        </w:tc>
        <w:tc>
          <w:tcPr>
            <w:tcW w:w="1379" w:type="dxa"/>
            <w:tcBorders>
              <w:tl2br w:val="nil"/>
              <w:tr2bl w:val="nil"/>
            </w:tcBorders>
            <w:shd w:val="clear" w:color="auto" w:fill="auto"/>
            <w:noWrap/>
            <w:vAlign w:val="center"/>
          </w:tcPr>
          <w:p w14:paraId="09FEE0A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96.9</w:t>
            </w:r>
          </w:p>
        </w:tc>
      </w:tr>
      <w:tr w14:paraId="3B2FE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7E447D86">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336E1C4A">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69A35361">
      <w:pPr>
        <w:keepNext w:val="0"/>
        <w:keepLines w:val="0"/>
        <w:pageBreakBefore w:val="0"/>
        <w:widowControl w:val="0"/>
        <w:kinsoku/>
        <w:wordWrap/>
        <w:overflowPunct/>
        <w:topLinePunct/>
        <w:autoSpaceDE/>
        <w:autoSpaceDN/>
        <w:bidi w:val="0"/>
        <w:adjustRightInd/>
        <w:snapToGrid/>
        <w:ind w:left="0" w:leftChars="0" w:firstLine="0" w:firstLineChars="0"/>
        <w:jc w:val="center"/>
        <w:textAlignment w:val="auto"/>
        <w:rPr>
          <w:rFonts w:hint="default" w:ascii="Times New Roman" w:hAnsi="Times New Roman" w:eastAsia="黑体" w:cs="Times New Roman"/>
          <w:color w:val="000000"/>
          <w:kern w:val="18"/>
          <w:sz w:val="21"/>
          <w:szCs w:val="21"/>
          <w:lang w:val="en-US" w:eastAsia="zh-CN" w:bidi="ar-SA"/>
        </w:rPr>
      </w:pPr>
    </w:p>
    <w:p w14:paraId="2CB1F61B">
      <w:pPr>
        <w:bidi w:val="0"/>
        <w:ind w:left="0" w:leftChars="0" w:firstLine="0" w:firstLineChars="0"/>
        <w:jc w:val="center"/>
        <w:rPr>
          <w:rFonts w:hint="default" w:ascii="Times New Roman" w:hAnsi="Times New Roman" w:eastAsia="黑体" w:cs="Times New Roman"/>
          <w:color w:val="000000"/>
          <w:kern w:val="18"/>
          <w:sz w:val="21"/>
          <w:szCs w:val="21"/>
          <w:lang w:val="en-US" w:eastAsia="zh-CN" w:bidi="ar-SA"/>
        </w:rPr>
      </w:pPr>
    </w:p>
    <w:p w14:paraId="76C8C8E5">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附表14-1  空白低浓度加标样品（0.10 mg/kg）精密度和正确度验证数据</w:t>
      </w:r>
    </w:p>
    <w:p w14:paraId="274F8820">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vertAlign w:val="baseline"/>
          <w:lang w:val="en-US" w:eastAsia="zh-CN"/>
        </w:rPr>
        <w:t>四川省生态环境监测总站</w:t>
      </w:r>
      <w:r>
        <w:rPr>
          <w:rFonts w:hint="default" w:ascii="Times New Roman" w:hAnsi="Times New Roman" w:cs="Times New Roman"/>
          <w:color w:val="000000"/>
          <w:sz w:val="21"/>
          <w:szCs w:val="21"/>
          <w:highlight w:val="none"/>
          <w:u w:val="single"/>
          <w:vertAlign w:val="baseline"/>
          <w:lang w:val="en-US"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 </w:t>
      </w:r>
    </w:p>
    <w:p w14:paraId="1DD336DA">
      <w:pPr>
        <w:pStyle w:val="22"/>
        <w:tabs>
          <w:tab w:val="left" w:pos="9240"/>
          <w:tab w:val="left" w:pos="10920"/>
        </w:tabs>
        <w:spacing w:before="159" w:beforeLines="50" w:after="159" w:afterLines="50" w:line="360" w:lineRule="exact"/>
        <w:ind w:right="298" w:rightChars="0"/>
        <w:jc w:val="both"/>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2024.12.08-12.13     </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753"/>
        <w:gridCol w:w="871"/>
        <w:gridCol w:w="862"/>
        <w:gridCol w:w="862"/>
        <w:gridCol w:w="862"/>
        <w:gridCol w:w="862"/>
        <w:gridCol w:w="882"/>
        <w:gridCol w:w="1378"/>
        <w:gridCol w:w="1378"/>
        <w:gridCol w:w="1379"/>
        <w:gridCol w:w="1379"/>
      </w:tblGrid>
      <w:tr w14:paraId="435B8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06" w:type="dxa"/>
            <w:vMerge w:val="restart"/>
            <w:tcBorders>
              <w:tl2br w:val="nil"/>
              <w:tr2bl w:val="nil"/>
            </w:tcBorders>
            <w:noWrap/>
            <w:vAlign w:val="center"/>
          </w:tcPr>
          <w:p w14:paraId="3063F80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753" w:type="dxa"/>
            <w:vMerge w:val="restart"/>
            <w:tcBorders>
              <w:tl2br w:val="nil"/>
              <w:tr2bl w:val="nil"/>
            </w:tcBorders>
            <w:noWrap/>
            <w:vAlign w:val="center"/>
          </w:tcPr>
          <w:p w14:paraId="37E11D9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201" w:type="dxa"/>
            <w:gridSpan w:val="6"/>
            <w:tcBorders>
              <w:tl2br w:val="nil"/>
              <w:tr2bl w:val="nil"/>
            </w:tcBorders>
            <w:noWrap/>
            <w:vAlign w:val="center"/>
          </w:tcPr>
          <w:p w14:paraId="4718998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78" w:type="dxa"/>
            <w:vMerge w:val="restart"/>
            <w:tcBorders>
              <w:tl2br w:val="nil"/>
              <w:tr2bl w:val="nil"/>
            </w:tcBorders>
            <w:noWrap/>
            <w:vAlign w:val="center"/>
          </w:tcPr>
          <w:p w14:paraId="2F0C586F">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61"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61" DrawAspect="Content" ObjectID="_1468075849" r:id="rId206">
                  <o:LockedField>false</o:LockedField>
                </o:OLEObject>
              </w:object>
            </w:r>
          </w:p>
          <w:p w14:paraId="5CC9B57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78" w:type="dxa"/>
            <w:vMerge w:val="restart"/>
            <w:tcBorders>
              <w:tl2br w:val="nil"/>
              <w:tr2bl w:val="nil"/>
            </w:tcBorders>
            <w:noWrap/>
            <w:vAlign w:val="center"/>
          </w:tcPr>
          <w:p w14:paraId="2633B86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62"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62" DrawAspect="Content" ObjectID="_1468075850" r:id="rId207">
                  <o:LockedField>false</o:LockedField>
                </o:OLEObject>
              </w:object>
            </w:r>
            <w:r>
              <w:rPr>
                <w:rFonts w:hint="default" w:ascii="Times New Roman" w:hAnsi="Times New Roman" w:cs="Times New Roman"/>
                <w:color w:val="000000"/>
                <w:kern w:val="0"/>
                <w:sz w:val="18"/>
                <w:szCs w:val="18"/>
              </w:rPr>
              <w:t>（mg/kg）</w:t>
            </w:r>
          </w:p>
        </w:tc>
        <w:tc>
          <w:tcPr>
            <w:tcW w:w="1379" w:type="dxa"/>
            <w:vMerge w:val="restart"/>
            <w:tcBorders>
              <w:tl2br w:val="nil"/>
              <w:tr2bl w:val="nil"/>
            </w:tcBorders>
            <w:noWrap/>
            <w:vAlign w:val="center"/>
          </w:tcPr>
          <w:p w14:paraId="0567FA9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79" w:type="dxa"/>
            <w:vMerge w:val="restart"/>
            <w:tcBorders>
              <w:tl2br w:val="nil"/>
              <w:tr2bl w:val="nil"/>
            </w:tcBorders>
            <w:noWrap/>
            <w:vAlign w:val="center"/>
          </w:tcPr>
          <w:p w14:paraId="47CC975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2058A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706" w:type="dxa"/>
            <w:vMerge w:val="continue"/>
            <w:tcBorders>
              <w:tl2br w:val="nil"/>
              <w:tr2bl w:val="nil"/>
            </w:tcBorders>
            <w:noWrap/>
            <w:vAlign w:val="center"/>
          </w:tcPr>
          <w:p w14:paraId="70230EF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753" w:type="dxa"/>
            <w:vMerge w:val="continue"/>
            <w:tcBorders>
              <w:tl2br w:val="nil"/>
              <w:tr2bl w:val="nil"/>
            </w:tcBorders>
            <w:noWrap/>
            <w:vAlign w:val="center"/>
          </w:tcPr>
          <w:p w14:paraId="5673A77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71" w:type="dxa"/>
            <w:tcBorders>
              <w:tl2br w:val="nil"/>
              <w:tr2bl w:val="nil"/>
            </w:tcBorders>
            <w:noWrap/>
            <w:vAlign w:val="center"/>
          </w:tcPr>
          <w:p w14:paraId="7930617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62" w:type="dxa"/>
            <w:tcBorders>
              <w:tl2br w:val="nil"/>
              <w:tr2bl w:val="nil"/>
            </w:tcBorders>
            <w:noWrap/>
            <w:vAlign w:val="center"/>
          </w:tcPr>
          <w:p w14:paraId="38DF519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62" w:type="dxa"/>
            <w:tcBorders>
              <w:tl2br w:val="nil"/>
              <w:tr2bl w:val="nil"/>
            </w:tcBorders>
            <w:noWrap/>
            <w:vAlign w:val="center"/>
          </w:tcPr>
          <w:p w14:paraId="60AC079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62" w:type="dxa"/>
            <w:tcBorders>
              <w:tl2br w:val="nil"/>
              <w:tr2bl w:val="nil"/>
            </w:tcBorders>
            <w:noWrap/>
            <w:vAlign w:val="center"/>
          </w:tcPr>
          <w:p w14:paraId="6BCB62A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62" w:type="dxa"/>
            <w:tcBorders>
              <w:tl2br w:val="nil"/>
              <w:tr2bl w:val="nil"/>
            </w:tcBorders>
            <w:noWrap/>
            <w:vAlign w:val="center"/>
          </w:tcPr>
          <w:p w14:paraId="58A63CB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82" w:type="dxa"/>
            <w:tcBorders>
              <w:tl2br w:val="nil"/>
              <w:tr2bl w:val="nil"/>
            </w:tcBorders>
            <w:noWrap/>
            <w:vAlign w:val="center"/>
          </w:tcPr>
          <w:p w14:paraId="479162C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78" w:type="dxa"/>
            <w:vMerge w:val="continue"/>
            <w:tcBorders>
              <w:tl2br w:val="nil"/>
              <w:tr2bl w:val="nil"/>
            </w:tcBorders>
            <w:noWrap/>
            <w:vAlign w:val="center"/>
          </w:tcPr>
          <w:p w14:paraId="4443C8A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8" w:type="dxa"/>
            <w:vMerge w:val="continue"/>
            <w:tcBorders>
              <w:tl2br w:val="nil"/>
              <w:tr2bl w:val="nil"/>
            </w:tcBorders>
            <w:noWrap/>
            <w:vAlign w:val="center"/>
          </w:tcPr>
          <w:p w14:paraId="70D43FD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27F5DF7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79" w:type="dxa"/>
            <w:vMerge w:val="continue"/>
            <w:tcBorders>
              <w:tl2br w:val="nil"/>
              <w:tr2bl w:val="nil"/>
            </w:tcBorders>
            <w:noWrap/>
            <w:vAlign w:val="center"/>
          </w:tcPr>
          <w:p w14:paraId="0EB66B3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3F519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3477BDF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753" w:type="dxa"/>
            <w:tcBorders>
              <w:tl2br w:val="nil"/>
              <w:tr2bl w:val="nil"/>
            </w:tcBorders>
            <w:noWrap/>
            <w:vAlign w:val="center"/>
          </w:tcPr>
          <w:p w14:paraId="7ECB878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770CEEE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0.076</w:t>
            </w:r>
          </w:p>
        </w:tc>
        <w:tc>
          <w:tcPr>
            <w:tcW w:w="862" w:type="dxa"/>
            <w:tcBorders>
              <w:tl2br w:val="nil"/>
              <w:tr2bl w:val="nil"/>
            </w:tcBorders>
            <w:shd w:val="clear" w:color="auto" w:fill="auto"/>
            <w:noWrap/>
            <w:vAlign w:val="center"/>
          </w:tcPr>
          <w:p w14:paraId="51C9A9B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0.075</w:t>
            </w:r>
          </w:p>
        </w:tc>
        <w:tc>
          <w:tcPr>
            <w:tcW w:w="862" w:type="dxa"/>
            <w:tcBorders>
              <w:tl2br w:val="nil"/>
              <w:tr2bl w:val="nil"/>
            </w:tcBorders>
            <w:shd w:val="clear" w:color="auto" w:fill="auto"/>
            <w:noWrap/>
            <w:vAlign w:val="center"/>
          </w:tcPr>
          <w:p w14:paraId="3FE1C65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0.073</w:t>
            </w:r>
          </w:p>
        </w:tc>
        <w:tc>
          <w:tcPr>
            <w:tcW w:w="862" w:type="dxa"/>
            <w:tcBorders>
              <w:tl2br w:val="nil"/>
              <w:tr2bl w:val="nil"/>
            </w:tcBorders>
            <w:shd w:val="clear" w:color="auto" w:fill="auto"/>
            <w:noWrap/>
            <w:vAlign w:val="center"/>
          </w:tcPr>
          <w:p w14:paraId="1361073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0.070</w:t>
            </w:r>
          </w:p>
        </w:tc>
        <w:tc>
          <w:tcPr>
            <w:tcW w:w="862" w:type="dxa"/>
            <w:tcBorders>
              <w:tl2br w:val="nil"/>
              <w:tr2bl w:val="nil"/>
            </w:tcBorders>
            <w:shd w:val="clear" w:color="auto" w:fill="auto"/>
            <w:noWrap/>
            <w:vAlign w:val="center"/>
          </w:tcPr>
          <w:p w14:paraId="6DAFEA6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0.075</w:t>
            </w:r>
          </w:p>
        </w:tc>
        <w:tc>
          <w:tcPr>
            <w:tcW w:w="882" w:type="dxa"/>
            <w:tcBorders>
              <w:tl2br w:val="nil"/>
              <w:tr2bl w:val="nil"/>
            </w:tcBorders>
            <w:shd w:val="clear" w:color="auto" w:fill="auto"/>
            <w:noWrap/>
            <w:vAlign w:val="center"/>
          </w:tcPr>
          <w:p w14:paraId="6A556EA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0.075</w:t>
            </w:r>
          </w:p>
        </w:tc>
        <w:tc>
          <w:tcPr>
            <w:tcW w:w="1378" w:type="dxa"/>
            <w:tcBorders>
              <w:tl2br w:val="nil"/>
              <w:tr2bl w:val="nil"/>
            </w:tcBorders>
            <w:shd w:val="clear" w:color="auto" w:fill="auto"/>
            <w:noWrap/>
            <w:vAlign w:val="center"/>
          </w:tcPr>
          <w:p w14:paraId="73DC66F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0.074</w:t>
            </w:r>
          </w:p>
        </w:tc>
        <w:tc>
          <w:tcPr>
            <w:tcW w:w="1378" w:type="dxa"/>
            <w:tcBorders>
              <w:tl2br w:val="nil"/>
              <w:tr2bl w:val="nil"/>
            </w:tcBorders>
            <w:shd w:val="clear" w:color="auto" w:fill="auto"/>
            <w:noWrap/>
            <w:vAlign w:val="center"/>
          </w:tcPr>
          <w:p w14:paraId="1EAA322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0.0021</w:t>
            </w:r>
          </w:p>
        </w:tc>
        <w:tc>
          <w:tcPr>
            <w:tcW w:w="1379" w:type="dxa"/>
            <w:tcBorders>
              <w:tl2br w:val="nil"/>
              <w:tr2bl w:val="nil"/>
            </w:tcBorders>
            <w:shd w:val="clear" w:color="auto" w:fill="auto"/>
            <w:noWrap/>
            <w:vAlign w:val="center"/>
          </w:tcPr>
          <w:p w14:paraId="57B65C6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2.9</w:t>
            </w:r>
          </w:p>
        </w:tc>
        <w:tc>
          <w:tcPr>
            <w:tcW w:w="1379" w:type="dxa"/>
            <w:tcBorders>
              <w:tl2br w:val="nil"/>
              <w:tr2bl w:val="nil"/>
            </w:tcBorders>
            <w:shd w:val="clear" w:color="auto" w:fill="auto"/>
            <w:noWrap/>
            <w:vAlign w:val="center"/>
          </w:tcPr>
          <w:p w14:paraId="2B8CBF4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74.1</w:t>
            </w:r>
          </w:p>
        </w:tc>
      </w:tr>
      <w:tr w14:paraId="1F07E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6" w:type="dxa"/>
            <w:tcBorders>
              <w:tl2br w:val="nil"/>
              <w:tr2bl w:val="nil"/>
            </w:tcBorders>
            <w:shd w:val="clear" w:color="auto" w:fill="auto"/>
            <w:noWrap/>
            <w:vAlign w:val="center"/>
          </w:tcPr>
          <w:p w14:paraId="260008E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753" w:type="dxa"/>
            <w:tcBorders>
              <w:tl2br w:val="nil"/>
              <w:tr2bl w:val="nil"/>
            </w:tcBorders>
            <w:noWrap/>
            <w:vAlign w:val="center"/>
          </w:tcPr>
          <w:p w14:paraId="351450D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71" w:type="dxa"/>
            <w:tcBorders>
              <w:tl2br w:val="nil"/>
              <w:tr2bl w:val="nil"/>
            </w:tcBorders>
            <w:shd w:val="clear" w:color="auto" w:fill="auto"/>
            <w:noWrap/>
            <w:vAlign w:val="center"/>
          </w:tcPr>
          <w:p w14:paraId="5830E02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0.077</w:t>
            </w:r>
          </w:p>
        </w:tc>
        <w:tc>
          <w:tcPr>
            <w:tcW w:w="862" w:type="dxa"/>
            <w:tcBorders>
              <w:tl2br w:val="nil"/>
              <w:tr2bl w:val="nil"/>
            </w:tcBorders>
            <w:shd w:val="clear" w:color="auto" w:fill="auto"/>
            <w:noWrap/>
            <w:vAlign w:val="center"/>
          </w:tcPr>
          <w:p w14:paraId="6C2BE5C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0.079</w:t>
            </w:r>
          </w:p>
        </w:tc>
        <w:tc>
          <w:tcPr>
            <w:tcW w:w="862" w:type="dxa"/>
            <w:tcBorders>
              <w:tl2br w:val="nil"/>
              <w:tr2bl w:val="nil"/>
            </w:tcBorders>
            <w:shd w:val="clear" w:color="auto" w:fill="auto"/>
            <w:noWrap/>
            <w:vAlign w:val="center"/>
          </w:tcPr>
          <w:p w14:paraId="78AB8EB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0.078</w:t>
            </w:r>
          </w:p>
        </w:tc>
        <w:tc>
          <w:tcPr>
            <w:tcW w:w="862" w:type="dxa"/>
            <w:tcBorders>
              <w:tl2br w:val="nil"/>
              <w:tr2bl w:val="nil"/>
            </w:tcBorders>
            <w:shd w:val="clear" w:color="auto" w:fill="auto"/>
            <w:noWrap/>
            <w:vAlign w:val="center"/>
          </w:tcPr>
          <w:p w14:paraId="57E3360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0.069</w:t>
            </w:r>
          </w:p>
        </w:tc>
        <w:tc>
          <w:tcPr>
            <w:tcW w:w="862" w:type="dxa"/>
            <w:tcBorders>
              <w:tl2br w:val="nil"/>
              <w:tr2bl w:val="nil"/>
            </w:tcBorders>
            <w:shd w:val="clear" w:color="auto" w:fill="auto"/>
            <w:noWrap/>
            <w:vAlign w:val="center"/>
          </w:tcPr>
          <w:p w14:paraId="32AB1BC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0.076</w:t>
            </w:r>
          </w:p>
        </w:tc>
        <w:tc>
          <w:tcPr>
            <w:tcW w:w="882" w:type="dxa"/>
            <w:tcBorders>
              <w:tl2br w:val="nil"/>
              <w:tr2bl w:val="nil"/>
            </w:tcBorders>
            <w:shd w:val="clear" w:color="auto" w:fill="auto"/>
            <w:noWrap/>
            <w:vAlign w:val="center"/>
          </w:tcPr>
          <w:p w14:paraId="18F25CA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0.077</w:t>
            </w:r>
          </w:p>
        </w:tc>
        <w:tc>
          <w:tcPr>
            <w:tcW w:w="1378" w:type="dxa"/>
            <w:tcBorders>
              <w:tl2br w:val="nil"/>
              <w:tr2bl w:val="nil"/>
            </w:tcBorders>
            <w:shd w:val="clear" w:color="auto" w:fill="auto"/>
            <w:noWrap/>
            <w:vAlign w:val="center"/>
          </w:tcPr>
          <w:p w14:paraId="5CAA04A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0.076</w:t>
            </w:r>
          </w:p>
        </w:tc>
        <w:tc>
          <w:tcPr>
            <w:tcW w:w="1378" w:type="dxa"/>
            <w:tcBorders>
              <w:tl2br w:val="nil"/>
              <w:tr2bl w:val="nil"/>
            </w:tcBorders>
            <w:shd w:val="clear" w:color="auto" w:fill="auto"/>
            <w:noWrap/>
            <w:vAlign w:val="center"/>
          </w:tcPr>
          <w:p w14:paraId="171AB69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0.0035</w:t>
            </w:r>
          </w:p>
        </w:tc>
        <w:tc>
          <w:tcPr>
            <w:tcW w:w="1379" w:type="dxa"/>
            <w:tcBorders>
              <w:tl2br w:val="nil"/>
              <w:tr2bl w:val="nil"/>
            </w:tcBorders>
            <w:shd w:val="clear" w:color="auto" w:fill="auto"/>
            <w:noWrap/>
            <w:vAlign w:val="center"/>
          </w:tcPr>
          <w:p w14:paraId="7B72BF0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4.6</w:t>
            </w:r>
          </w:p>
        </w:tc>
        <w:tc>
          <w:tcPr>
            <w:tcW w:w="1379" w:type="dxa"/>
            <w:tcBorders>
              <w:tl2br w:val="nil"/>
              <w:tr2bl w:val="nil"/>
            </w:tcBorders>
            <w:shd w:val="clear" w:color="auto" w:fill="auto"/>
            <w:noWrap/>
            <w:vAlign w:val="center"/>
          </w:tcPr>
          <w:p w14:paraId="4A8177F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76.0</w:t>
            </w:r>
          </w:p>
        </w:tc>
      </w:tr>
      <w:tr w14:paraId="3A1F5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174" w:type="dxa"/>
            <w:gridSpan w:val="12"/>
            <w:tcBorders>
              <w:tl2br w:val="nil"/>
              <w:tr2bl w:val="nil"/>
            </w:tcBorders>
            <w:shd w:val="clear" w:color="auto" w:fill="auto"/>
            <w:noWrap/>
            <w:vAlign w:val="center"/>
          </w:tcPr>
          <w:p w14:paraId="087308B2">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1D20E34F">
      <w:pP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br w:type="page"/>
      </w:r>
    </w:p>
    <w:p w14:paraId="426D4912">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附表14-2  空白中浓度加标样品（0.40 mg/kg）精密度和正确度验证数据</w:t>
      </w:r>
    </w:p>
    <w:p w14:paraId="095F251F">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vertAlign w:val="baseline"/>
          <w:lang w:val="en-US" w:eastAsia="zh-CN"/>
        </w:rPr>
        <w:t>四川省生态环境监测总站</w:t>
      </w:r>
      <w:r>
        <w:rPr>
          <w:rFonts w:hint="default" w:ascii="Times New Roman" w:hAnsi="Times New Roman" w:cs="Times New Roman"/>
          <w:color w:val="000000"/>
          <w:sz w:val="21"/>
          <w:szCs w:val="21"/>
          <w:highlight w:val="none"/>
          <w:u w:val="single"/>
          <w:vertAlign w:val="baseline"/>
          <w:lang w:val="en-US"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 </w:t>
      </w:r>
    </w:p>
    <w:p w14:paraId="21553E4E">
      <w:pPr>
        <w:pStyle w:val="22"/>
        <w:tabs>
          <w:tab w:val="left" w:pos="9240"/>
          <w:tab w:val="left" w:pos="10920"/>
        </w:tabs>
        <w:spacing w:before="159" w:beforeLines="50" w:after="159" w:afterLines="50" w:line="360" w:lineRule="exact"/>
        <w:ind w:right="298" w:rightChars="0"/>
        <w:jc w:val="both"/>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2024.12.08-12.13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04855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0015ADE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6C78838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62DC244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7782451E">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63"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63" DrawAspect="Content" ObjectID="_1468075851" r:id="rId208">
                  <o:LockedField>false</o:LockedField>
                </o:OLEObject>
              </w:object>
            </w:r>
          </w:p>
          <w:p w14:paraId="1E719C8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7CFE722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64"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64" DrawAspect="Content" ObjectID="_1468075852" r:id="rId209">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01D69AFB">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24F706CE">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55E06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37A06CF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2451F2A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021D6D3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3355D0D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54D725D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7D7E091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2D3643A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2C36EFA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7078BB0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15075D3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717BD9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FAA426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55004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70E8449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271EB00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78CE105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0.311</w:t>
            </w:r>
          </w:p>
        </w:tc>
        <w:tc>
          <w:tcPr>
            <w:tcW w:w="833" w:type="dxa"/>
            <w:tcBorders>
              <w:tl2br w:val="nil"/>
              <w:tr2bl w:val="nil"/>
            </w:tcBorders>
            <w:shd w:val="clear" w:color="auto" w:fill="auto"/>
            <w:noWrap/>
            <w:vAlign w:val="center"/>
          </w:tcPr>
          <w:p w14:paraId="435B95F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0.308</w:t>
            </w:r>
          </w:p>
        </w:tc>
        <w:tc>
          <w:tcPr>
            <w:tcW w:w="833" w:type="dxa"/>
            <w:tcBorders>
              <w:tl2br w:val="nil"/>
              <w:tr2bl w:val="nil"/>
            </w:tcBorders>
            <w:shd w:val="clear" w:color="auto" w:fill="auto"/>
            <w:noWrap/>
            <w:vAlign w:val="center"/>
          </w:tcPr>
          <w:p w14:paraId="1C33209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0.310</w:t>
            </w:r>
          </w:p>
        </w:tc>
        <w:tc>
          <w:tcPr>
            <w:tcW w:w="833" w:type="dxa"/>
            <w:tcBorders>
              <w:tl2br w:val="nil"/>
              <w:tr2bl w:val="nil"/>
            </w:tcBorders>
            <w:shd w:val="clear" w:color="auto" w:fill="auto"/>
            <w:noWrap/>
            <w:vAlign w:val="center"/>
          </w:tcPr>
          <w:p w14:paraId="62ADF43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0.273</w:t>
            </w:r>
          </w:p>
        </w:tc>
        <w:tc>
          <w:tcPr>
            <w:tcW w:w="833" w:type="dxa"/>
            <w:tcBorders>
              <w:tl2br w:val="nil"/>
              <w:tr2bl w:val="nil"/>
            </w:tcBorders>
            <w:shd w:val="clear" w:color="auto" w:fill="auto"/>
            <w:noWrap/>
            <w:vAlign w:val="center"/>
          </w:tcPr>
          <w:p w14:paraId="2B1C87D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0.259</w:t>
            </w:r>
          </w:p>
        </w:tc>
        <w:tc>
          <w:tcPr>
            <w:tcW w:w="852" w:type="dxa"/>
            <w:tcBorders>
              <w:tl2br w:val="nil"/>
              <w:tr2bl w:val="nil"/>
            </w:tcBorders>
            <w:shd w:val="clear" w:color="auto" w:fill="auto"/>
            <w:noWrap/>
            <w:vAlign w:val="center"/>
          </w:tcPr>
          <w:p w14:paraId="7FAC6E9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0.262</w:t>
            </w:r>
          </w:p>
        </w:tc>
        <w:tc>
          <w:tcPr>
            <w:tcW w:w="1326" w:type="dxa"/>
            <w:tcBorders>
              <w:tl2br w:val="nil"/>
              <w:tr2bl w:val="nil"/>
            </w:tcBorders>
            <w:shd w:val="clear" w:color="auto" w:fill="auto"/>
            <w:noWrap/>
            <w:vAlign w:val="center"/>
          </w:tcPr>
          <w:p w14:paraId="5FA9597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0.287</w:t>
            </w:r>
          </w:p>
        </w:tc>
        <w:tc>
          <w:tcPr>
            <w:tcW w:w="1326" w:type="dxa"/>
            <w:tcBorders>
              <w:tl2br w:val="nil"/>
              <w:tr2bl w:val="nil"/>
            </w:tcBorders>
            <w:shd w:val="clear" w:color="auto" w:fill="auto"/>
            <w:noWrap/>
            <w:vAlign w:val="center"/>
          </w:tcPr>
          <w:p w14:paraId="3918552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0.0250</w:t>
            </w:r>
          </w:p>
        </w:tc>
        <w:tc>
          <w:tcPr>
            <w:tcW w:w="1327" w:type="dxa"/>
            <w:tcBorders>
              <w:tl2br w:val="nil"/>
              <w:tr2bl w:val="nil"/>
            </w:tcBorders>
            <w:shd w:val="clear" w:color="auto" w:fill="auto"/>
            <w:noWrap/>
            <w:vAlign w:val="center"/>
          </w:tcPr>
          <w:p w14:paraId="7CF5A85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8.7</w:t>
            </w:r>
          </w:p>
        </w:tc>
        <w:tc>
          <w:tcPr>
            <w:tcW w:w="1327" w:type="dxa"/>
            <w:tcBorders>
              <w:tl2br w:val="nil"/>
              <w:tr2bl w:val="nil"/>
            </w:tcBorders>
            <w:shd w:val="clear" w:color="auto" w:fill="auto"/>
            <w:noWrap/>
            <w:vAlign w:val="center"/>
          </w:tcPr>
          <w:p w14:paraId="487A6CE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71.8</w:t>
            </w:r>
          </w:p>
        </w:tc>
      </w:tr>
      <w:tr w14:paraId="42C89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07C8D30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384A06F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40A8D75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0.313</w:t>
            </w:r>
          </w:p>
        </w:tc>
        <w:tc>
          <w:tcPr>
            <w:tcW w:w="833" w:type="dxa"/>
            <w:tcBorders>
              <w:tl2br w:val="nil"/>
              <w:tr2bl w:val="nil"/>
            </w:tcBorders>
            <w:shd w:val="clear" w:color="auto" w:fill="auto"/>
            <w:noWrap/>
            <w:vAlign w:val="center"/>
          </w:tcPr>
          <w:p w14:paraId="056944D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0.306</w:t>
            </w:r>
          </w:p>
        </w:tc>
        <w:tc>
          <w:tcPr>
            <w:tcW w:w="833" w:type="dxa"/>
            <w:tcBorders>
              <w:tl2br w:val="nil"/>
              <w:tr2bl w:val="nil"/>
            </w:tcBorders>
            <w:shd w:val="clear" w:color="auto" w:fill="auto"/>
            <w:noWrap/>
            <w:vAlign w:val="center"/>
          </w:tcPr>
          <w:p w14:paraId="23F4C74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0.305</w:t>
            </w:r>
          </w:p>
        </w:tc>
        <w:tc>
          <w:tcPr>
            <w:tcW w:w="833" w:type="dxa"/>
            <w:tcBorders>
              <w:tl2br w:val="nil"/>
              <w:tr2bl w:val="nil"/>
            </w:tcBorders>
            <w:shd w:val="clear" w:color="auto" w:fill="auto"/>
            <w:noWrap/>
            <w:vAlign w:val="center"/>
          </w:tcPr>
          <w:p w14:paraId="59EE7E3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0.283</w:t>
            </w:r>
          </w:p>
        </w:tc>
        <w:tc>
          <w:tcPr>
            <w:tcW w:w="833" w:type="dxa"/>
            <w:tcBorders>
              <w:tl2br w:val="nil"/>
              <w:tr2bl w:val="nil"/>
            </w:tcBorders>
            <w:shd w:val="clear" w:color="auto" w:fill="auto"/>
            <w:noWrap/>
            <w:vAlign w:val="center"/>
          </w:tcPr>
          <w:p w14:paraId="2270BD7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0.270</w:t>
            </w:r>
          </w:p>
        </w:tc>
        <w:tc>
          <w:tcPr>
            <w:tcW w:w="852" w:type="dxa"/>
            <w:tcBorders>
              <w:tl2br w:val="nil"/>
              <w:tr2bl w:val="nil"/>
            </w:tcBorders>
            <w:shd w:val="clear" w:color="auto" w:fill="auto"/>
            <w:noWrap/>
            <w:vAlign w:val="center"/>
          </w:tcPr>
          <w:p w14:paraId="609BA0F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0.273</w:t>
            </w:r>
          </w:p>
        </w:tc>
        <w:tc>
          <w:tcPr>
            <w:tcW w:w="1326" w:type="dxa"/>
            <w:tcBorders>
              <w:tl2br w:val="nil"/>
              <w:tr2bl w:val="nil"/>
            </w:tcBorders>
            <w:shd w:val="clear" w:color="auto" w:fill="auto"/>
            <w:noWrap/>
            <w:vAlign w:val="center"/>
          </w:tcPr>
          <w:p w14:paraId="34996F9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0.292</w:t>
            </w:r>
          </w:p>
        </w:tc>
        <w:tc>
          <w:tcPr>
            <w:tcW w:w="1326" w:type="dxa"/>
            <w:tcBorders>
              <w:tl2br w:val="nil"/>
              <w:tr2bl w:val="nil"/>
            </w:tcBorders>
            <w:shd w:val="clear" w:color="auto" w:fill="auto"/>
            <w:noWrap/>
            <w:vAlign w:val="center"/>
          </w:tcPr>
          <w:p w14:paraId="5D3CC26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0.0185</w:t>
            </w:r>
          </w:p>
        </w:tc>
        <w:tc>
          <w:tcPr>
            <w:tcW w:w="1327" w:type="dxa"/>
            <w:tcBorders>
              <w:tl2br w:val="nil"/>
              <w:tr2bl w:val="nil"/>
            </w:tcBorders>
            <w:shd w:val="clear" w:color="auto" w:fill="auto"/>
            <w:noWrap/>
            <w:vAlign w:val="center"/>
          </w:tcPr>
          <w:p w14:paraId="1C5AC41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6.3</w:t>
            </w:r>
          </w:p>
        </w:tc>
        <w:tc>
          <w:tcPr>
            <w:tcW w:w="1327" w:type="dxa"/>
            <w:tcBorders>
              <w:tl2br w:val="nil"/>
              <w:tr2bl w:val="nil"/>
            </w:tcBorders>
            <w:shd w:val="clear" w:color="auto" w:fill="auto"/>
            <w:noWrap/>
            <w:vAlign w:val="center"/>
          </w:tcPr>
          <w:p w14:paraId="17D1E14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73.0</w:t>
            </w:r>
          </w:p>
        </w:tc>
      </w:tr>
      <w:tr w14:paraId="46ED9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07AA1610">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2120CE4D">
      <w:pPr>
        <w:bidi w:val="0"/>
        <w:rPr>
          <w:rFonts w:hint="default" w:ascii="Times New Roman" w:hAnsi="Times New Roman" w:cs="Times New Roman"/>
        </w:rPr>
      </w:pPr>
    </w:p>
    <w:p w14:paraId="79E4C105">
      <w:pPr>
        <w:bidi w:val="0"/>
        <w:rPr>
          <w:rFonts w:hint="default" w:ascii="Times New Roman" w:hAnsi="Times New Roman" w:cs="Times New Roman"/>
        </w:rPr>
      </w:pPr>
    </w:p>
    <w:p w14:paraId="0C625EE4">
      <w:pPr>
        <w:bidi w:val="0"/>
        <w:rPr>
          <w:rFonts w:hint="default" w:ascii="Times New Roman" w:hAnsi="Times New Roman" w:cs="Times New Roman"/>
        </w:rPr>
      </w:pPr>
    </w:p>
    <w:p w14:paraId="537C575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附表14-3  空白高浓度加标样品（0.70 mg/kg）精密度和正确度验证数据</w:t>
      </w:r>
    </w:p>
    <w:p w14:paraId="329B899A">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vertAlign w:val="baseline"/>
          <w:lang w:val="en-US" w:eastAsia="zh-CN"/>
        </w:rPr>
        <w:t>四川省生态环境监测总站</w:t>
      </w:r>
      <w:r>
        <w:rPr>
          <w:rFonts w:hint="default" w:ascii="Times New Roman" w:hAnsi="Times New Roman" w:cs="Times New Roman"/>
          <w:color w:val="000000"/>
          <w:sz w:val="21"/>
          <w:szCs w:val="21"/>
          <w:highlight w:val="none"/>
          <w:u w:val="single"/>
          <w:vertAlign w:val="baseline"/>
          <w:lang w:val="en-US"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 </w:t>
      </w:r>
    </w:p>
    <w:p w14:paraId="3908B15B">
      <w:pPr>
        <w:pStyle w:val="22"/>
        <w:tabs>
          <w:tab w:val="left" w:pos="9240"/>
          <w:tab w:val="left" w:pos="10920"/>
        </w:tabs>
        <w:spacing w:before="159" w:beforeLines="50" w:after="159" w:afterLines="50" w:line="360" w:lineRule="exact"/>
        <w:ind w:right="298" w:rightChars="0"/>
        <w:jc w:val="both"/>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2024.12.08-12.13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5F604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68D0763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70055D9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42CA39A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7F75A0F8">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6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65" DrawAspect="Content" ObjectID="_1468075853" r:id="rId210">
                  <o:LockedField>false</o:LockedField>
                </o:OLEObject>
              </w:object>
            </w:r>
          </w:p>
          <w:p w14:paraId="73F9D9F3">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11ACF45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6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66" DrawAspect="Content" ObjectID="_1468075854" r:id="rId211">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39116CD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16532521">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5BD39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353FBC2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7335F66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65BDA3A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4F4AB76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362F858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6771D3E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13C51BE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495BE80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0386F3B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0B4B17B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4DFF08F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7CCE6A8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31AA9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4E294CB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347BA4F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6D43C57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0.611</w:t>
            </w:r>
          </w:p>
        </w:tc>
        <w:tc>
          <w:tcPr>
            <w:tcW w:w="833" w:type="dxa"/>
            <w:tcBorders>
              <w:tl2br w:val="nil"/>
              <w:tr2bl w:val="nil"/>
            </w:tcBorders>
            <w:shd w:val="clear" w:color="auto" w:fill="auto"/>
            <w:noWrap/>
            <w:vAlign w:val="center"/>
          </w:tcPr>
          <w:p w14:paraId="2A6A74F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0.584</w:t>
            </w:r>
          </w:p>
        </w:tc>
        <w:tc>
          <w:tcPr>
            <w:tcW w:w="833" w:type="dxa"/>
            <w:tcBorders>
              <w:tl2br w:val="nil"/>
              <w:tr2bl w:val="nil"/>
            </w:tcBorders>
            <w:shd w:val="clear" w:color="auto" w:fill="auto"/>
            <w:noWrap/>
            <w:vAlign w:val="center"/>
          </w:tcPr>
          <w:p w14:paraId="633F174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0.579</w:t>
            </w:r>
          </w:p>
        </w:tc>
        <w:tc>
          <w:tcPr>
            <w:tcW w:w="833" w:type="dxa"/>
            <w:tcBorders>
              <w:tl2br w:val="nil"/>
              <w:tr2bl w:val="nil"/>
            </w:tcBorders>
            <w:shd w:val="clear" w:color="auto" w:fill="auto"/>
            <w:noWrap/>
            <w:vAlign w:val="center"/>
          </w:tcPr>
          <w:p w14:paraId="17D7542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0.608</w:t>
            </w:r>
          </w:p>
        </w:tc>
        <w:tc>
          <w:tcPr>
            <w:tcW w:w="833" w:type="dxa"/>
            <w:tcBorders>
              <w:tl2br w:val="nil"/>
              <w:tr2bl w:val="nil"/>
            </w:tcBorders>
            <w:shd w:val="clear" w:color="auto" w:fill="auto"/>
            <w:noWrap/>
            <w:vAlign w:val="center"/>
          </w:tcPr>
          <w:p w14:paraId="6632C13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0.610</w:t>
            </w:r>
          </w:p>
        </w:tc>
        <w:tc>
          <w:tcPr>
            <w:tcW w:w="852" w:type="dxa"/>
            <w:tcBorders>
              <w:tl2br w:val="nil"/>
              <w:tr2bl w:val="nil"/>
            </w:tcBorders>
            <w:shd w:val="clear" w:color="auto" w:fill="auto"/>
            <w:noWrap/>
            <w:vAlign w:val="center"/>
          </w:tcPr>
          <w:p w14:paraId="4E0D185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0.597</w:t>
            </w:r>
          </w:p>
        </w:tc>
        <w:tc>
          <w:tcPr>
            <w:tcW w:w="1326" w:type="dxa"/>
            <w:tcBorders>
              <w:tl2br w:val="nil"/>
              <w:tr2bl w:val="nil"/>
            </w:tcBorders>
            <w:shd w:val="clear" w:color="auto" w:fill="auto"/>
            <w:noWrap/>
            <w:vAlign w:val="center"/>
          </w:tcPr>
          <w:p w14:paraId="1597648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0.598</w:t>
            </w:r>
          </w:p>
        </w:tc>
        <w:tc>
          <w:tcPr>
            <w:tcW w:w="1326" w:type="dxa"/>
            <w:tcBorders>
              <w:tl2br w:val="nil"/>
              <w:tr2bl w:val="nil"/>
            </w:tcBorders>
            <w:shd w:val="clear" w:color="auto" w:fill="auto"/>
            <w:noWrap/>
            <w:vAlign w:val="center"/>
          </w:tcPr>
          <w:p w14:paraId="4A3C0A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0.0139</w:t>
            </w:r>
          </w:p>
        </w:tc>
        <w:tc>
          <w:tcPr>
            <w:tcW w:w="1327" w:type="dxa"/>
            <w:tcBorders>
              <w:tl2br w:val="nil"/>
              <w:tr2bl w:val="nil"/>
            </w:tcBorders>
            <w:shd w:val="clear" w:color="auto" w:fill="auto"/>
            <w:noWrap/>
            <w:vAlign w:val="center"/>
          </w:tcPr>
          <w:p w14:paraId="3E04249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2.3</w:t>
            </w:r>
          </w:p>
        </w:tc>
        <w:tc>
          <w:tcPr>
            <w:tcW w:w="1327" w:type="dxa"/>
            <w:tcBorders>
              <w:tl2br w:val="nil"/>
              <w:tr2bl w:val="nil"/>
            </w:tcBorders>
            <w:shd w:val="clear" w:color="auto" w:fill="auto"/>
            <w:noWrap/>
            <w:vAlign w:val="center"/>
          </w:tcPr>
          <w:p w14:paraId="3386DD8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85.4</w:t>
            </w:r>
          </w:p>
        </w:tc>
      </w:tr>
      <w:tr w14:paraId="2A3C5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79C92B3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0643417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004934E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0.564</w:t>
            </w:r>
          </w:p>
        </w:tc>
        <w:tc>
          <w:tcPr>
            <w:tcW w:w="833" w:type="dxa"/>
            <w:tcBorders>
              <w:tl2br w:val="nil"/>
              <w:tr2bl w:val="nil"/>
            </w:tcBorders>
            <w:shd w:val="clear" w:color="auto" w:fill="auto"/>
            <w:noWrap/>
            <w:vAlign w:val="center"/>
          </w:tcPr>
          <w:p w14:paraId="419579D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0.570</w:t>
            </w:r>
          </w:p>
        </w:tc>
        <w:tc>
          <w:tcPr>
            <w:tcW w:w="833" w:type="dxa"/>
            <w:tcBorders>
              <w:tl2br w:val="nil"/>
              <w:tr2bl w:val="nil"/>
            </w:tcBorders>
            <w:shd w:val="clear" w:color="auto" w:fill="auto"/>
            <w:noWrap/>
            <w:vAlign w:val="center"/>
          </w:tcPr>
          <w:p w14:paraId="1FCF851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0.560</w:t>
            </w:r>
          </w:p>
        </w:tc>
        <w:tc>
          <w:tcPr>
            <w:tcW w:w="833" w:type="dxa"/>
            <w:tcBorders>
              <w:tl2br w:val="nil"/>
              <w:tr2bl w:val="nil"/>
            </w:tcBorders>
            <w:shd w:val="clear" w:color="auto" w:fill="auto"/>
            <w:noWrap/>
            <w:vAlign w:val="center"/>
          </w:tcPr>
          <w:p w14:paraId="308E1CA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0.583</w:t>
            </w:r>
          </w:p>
        </w:tc>
        <w:tc>
          <w:tcPr>
            <w:tcW w:w="833" w:type="dxa"/>
            <w:tcBorders>
              <w:tl2br w:val="nil"/>
              <w:tr2bl w:val="nil"/>
            </w:tcBorders>
            <w:shd w:val="clear" w:color="auto" w:fill="auto"/>
            <w:noWrap/>
            <w:vAlign w:val="center"/>
          </w:tcPr>
          <w:p w14:paraId="0FBDC5D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0.584</w:t>
            </w:r>
          </w:p>
        </w:tc>
        <w:tc>
          <w:tcPr>
            <w:tcW w:w="852" w:type="dxa"/>
            <w:tcBorders>
              <w:tl2br w:val="nil"/>
              <w:tr2bl w:val="nil"/>
            </w:tcBorders>
            <w:shd w:val="clear" w:color="auto" w:fill="auto"/>
            <w:noWrap/>
            <w:vAlign w:val="center"/>
          </w:tcPr>
          <w:p w14:paraId="1FD6239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0.555</w:t>
            </w:r>
          </w:p>
        </w:tc>
        <w:tc>
          <w:tcPr>
            <w:tcW w:w="1326" w:type="dxa"/>
            <w:tcBorders>
              <w:tl2br w:val="nil"/>
              <w:tr2bl w:val="nil"/>
            </w:tcBorders>
            <w:shd w:val="clear" w:color="auto" w:fill="auto"/>
            <w:noWrap/>
            <w:vAlign w:val="center"/>
          </w:tcPr>
          <w:p w14:paraId="2E106C2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0.569</w:t>
            </w:r>
          </w:p>
        </w:tc>
        <w:tc>
          <w:tcPr>
            <w:tcW w:w="1326" w:type="dxa"/>
            <w:tcBorders>
              <w:tl2br w:val="nil"/>
              <w:tr2bl w:val="nil"/>
            </w:tcBorders>
            <w:shd w:val="clear" w:color="auto" w:fill="auto"/>
            <w:noWrap/>
            <w:vAlign w:val="center"/>
          </w:tcPr>
          <w:p w14:paraId="4DCAA92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0.0121</w:t>
            </w:r>
          </w:p>
        </w:tc>
        <w:tc>
          <w:tcPr>
            <w:tcW w:w="1327" w:type="dxa"/>
            <w:tcBorders>
              <w:tl2br w:val="nil"/>
              <w:tr2bl w:val="nil"/>
            </w:tcBorders>
            <w:shd w:val="clear" w:color="auto" w:fill="auto"/>
            <w:noWrap/>
            <w:vAlign w:val="center"/>
          </w:tcPr>
          <w:p w14:paraId="51217AC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c>
          <w:tcPr>
            <w:tcW w:w="1327" w:type="dxa"/>
            <w:tcBorders>
              <w:tl2br w:val="nil"/>
              <w:tr2bl w:val="nil"/>
            </w:tcBorders>
            <w:shd w:val="clear" w:color="auto" w:fill="auto"/>
            <w:noWrap/>
            <w:vAlign w:val="center"/>
          </w:tcPr>
          <w:p w14:paraId="5405375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81.3</w:t>
            </w:r>
          </w:p>
        </w:tc>
      </w:tr>
      <w:tr w14:paraId="60692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0EFDC7F4">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2E980E95">
      <w:pPr>
        <w:rPr>
          <w:rFonts w:hint="default" w:ascii="Times New Roman" w:hAnsi="Times New Roman"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br w:type="page"/>
      </w:r>
    </w:p>
    <w:p w14:paraId="6B749B50">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附表15-1  土壤低浓度加标样品（0.10 mg/kg）精密度和正确度验证数据</w:t>
      </w:r>
    </w:p>
    <w:p w14:paraId="61CEBE47">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vertAlign w:val="baseline"/>
          <w:lang w:val="en-US" w:eastAsia="zh-CN"/>
        </w:rPr>
        <w:t>四川省生态环境监测总站</w:t>
      </w:r>
      <w:r>
        <w:rPr>
          <w:rFonts w:hint="default" w:ascii="Times New Roman" w:hAnsi="Times New Roman" w:cs="Times New Roman"/>
          <w:color w:val="000000"/>
          <w:sz w:val="21"/>
          <w:szCs w:val="21"/>
          <w:highlight w:val="none"/>
          <w:u w:val="single"/>
          <w:vertAlign w:val="baseline"/>
          <w:lang w:val="en-US"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 </w:t>
      </w:r>
    </w:p>
    <w:p w14:paraId="5F8E5FC1">
      <w:pPr>
        <w:pStyle w:val="22"/>
        <w:tabs>
          <w:tab w:val="left" w:pos="9240"/>
          <w:tab w:val="left" w:pos="10920"/>
        </w:tabs>
        <w:spacing w:before="159" w:beforeLines="50" w:after="159" w:afterLines="50" w:line="360" w:lineRule="exact"/>
        <w:ind w:right="298" w:rightChars="0"/>
        <w:jc w:val="both"/>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2024.12.08-12.13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1F04D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6715A5D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48973DB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78B1D86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7EA00FA0">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6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67" DrawAspect="Content" ObjectID="_1468075855" r:id="rId212">
                  <o:LockedField>false</o:LockedField>
                </o:OLEObject>
              </w:object>
            </w:r>
          </w:p>
          <w:p w14:paraId="72CF4D7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67249F5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6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68" DrawAspect="Content" ObjectID="_1468075856" r:id="rId213">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6776E13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01ED3B3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154AF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5D59477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1DBEB0C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5E28720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69B45E9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1B93389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45BF4B2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150E094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74993B0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426FEFA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18BA04D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36ACBB4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4BE0D7A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6522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6076F71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52B06BC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35F5E50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0.071</w:t>
            </w:r>
          </w:p>
        </w:tc>
        <w:tc>
          <w:tcPr>
            <w:tcW w:w="833" w:type="dxa"/>
            <w:tcBorders>
              <w:tl2br w:val="nil"/>
              <w:tr2bl w:val="nil"/>
            </w:tcBorders>
            <w:shd w:val="clear" w:color="auto" w:fill="auto"/>
            <w:noWrap/>
            <w:vAlign w:val="center"/>
          </w:tcPr>
          <w:p w14:paraId="11BDB2D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0.070</w:t>
            </w:r>
          </w:p>
        </w:tc>
        <w:tc>
          <w:tcPr>
            <w:tcW w:w="833" w:type="dxa"/>
            <w:tcBorders>
              <w:tl2br w:val="nil"/>
              <w:tr2bl w:val="nil"/>
            </w:tcBorders>
            <w:shd w:val="clear" w:color="auto" w:fill="auto"/>
            <w:noWrap/>
            <w:vAlign w:val="center"/>
          </w:tcPr>
          <w:p w14:paraId="2E48BC7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0.075</w:t>
            </w:r>
          </w:p>
        </w:tc>
        <w:tc>
          <w:tcPr>
            <w:tcW w:w="833" w:type="dxa"/>
            <w:tcBorders>
              <w:tl2br w:val="nil"/>
              <w:tr2bl w:val="nil"/>
            </w:tcBorders>
            <w:shd w:val="clear" w:color="auto" w:fill="auto"/>
            <w:noWrap/>
            <w:vAlign w:val="center"/>
          </w:tcPr>
          <w:p w14:paraId="3706FA5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0.074</w:t>
            </w:r>
          </w:p>
        </w:tc>
        <w:tc>
          <w:tcPr>
            <w:tcW w:w="833" w:type="dxa"/>
            <w:tcBorders>
              <w:tl2br w:val="nil"/>
              <w:tr2bl w:val="nil"/>
            </w:tcBorders>
            <w:shd w:val="clear" w:color="auto" w:fill="auto"/>
            <w:noWrap/>
            <w:vAlign w:val="center"/>
          </w:tcPr>
          <w:p w14:paraId="099FC8C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0.076</w:t>
            </w:r>
          </w:p>
        </w:tc>
        <w:tc>
          <w:tcPr>
            <w:tcW w:w="852" w:type="dxa"/>
            <w:tcBorders>
              <w:tl2br w:val="nil"/>
              <w:tr2bl w:val="nil"/>
            </w:tcBorders>
            <w:shd w:val="clear" w:color="auto" w:fill="auto"/>
            <w:noWrap/>
            <w:vAlign w:val="center"/>
          </w:tcPr>
          <w:p w14:paraId="3882962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0.075</w:t>
            </w:r>
          </w:p>
        </w:tc>
        <w:tc>
          <w:tcPr>
            <w:tcW w:w="1326" w:type="dxa"/>
            <w:tcBorders>
              <w:tl2br w:val="nil"/>
              <w:tr2bl w:val="nil"/>
            </w:tcBorders>
            <w:shd w:val="clear" w:color="auto" w:fill="auto"/>
            <w:noWrap/>
            <w:vAlign w:val="center"/>
          </w:tcPr>
          <w:p w14:paraId="3BBFD4C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0.074</w:t>
            </w:r>
          </w:p>
        </w:tc>
        <w:tc>
          <w:tcPr>
            <w:tcW w:w="1326" w:type="dxa"/>
            <w:tcBorders>
              <w:tl2br w:val="nil"/>
              <w:tr2bl w:val="nil"/>
            </w:tcBorders>
            <w:shd w:val="clear" w:color="auto" w:fill="auto"/>
            <w:noWrap/>
            <w:vAlign w:val="center"/>
          </w:tcPr>
          <w:p w14:paraId="268A451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0.0025</w:t>
            </w:r>
          </w:p>
        </w:tc>
        <w:tc>
          <w:tcPr>
            <w:tcW w:w="1327" w:type="dxa"/>
            <w:tcBorders>
              <w:tl2br w:val="nil"/>
              <w:tr2bl w:val="nil"/>
            </w:tcBorders>
            <w:shd w:val="clear" w:color="auto" w:fill="auto"/>
            <w:noWrap/>
            <w:vAlign w:val="center"/>
          </w:tcPr>
          <w:p w14:paraId="197047D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3.4</w:t>
            </w:r>
          </w:p>
        </w:tc>
        <w:tc>
          <w:tcPr>
            <w:tcW w:w="1327" w:type="dxa"/>
            <w:tcBorders>
              <w:tl2br w:val="nil"/>
              <w:tr2bl w:val="nil"/>
            </w:tcBorders>
            <w:shd w:val="clear" w:color="auto" w:fill="auto"/>
            <w:noWrap/>
            <w:vAlign w:val="center"/>
          </w:tcPr>
          <w:p w14:paraId="6ACD5BA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74.0</w:t>
            </w:r>
          </w:p>
        </w:tc>
      </w:tr>
      <w:tr w14:paraId="74814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1FA408E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790C1C7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32090BA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0.069</w:t>
            </w:r>
          </w:p>
        </w:tc>
        <w:tc>
          <w:tcPr>
            <w:tcW w:w="833" w:type="dxa"/>
            <w:tcBorders>
              <w:tl2br w:val="nil"/>
              <w:tr2bl w:val="nil"/>
            </w:tcBorders>
            <w:shd w:val="clear" w:color="auto" w:fill="auto"/>
            <w:noWrap/>
            <w:vAlign w:val="center"/>
          </w:tcPr>
          <w:p w14:paraId="53187E0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0.068</w:t>
            </w:r>
          </w:p>
        </w:tc>
        <w:tc>
          <w:tcPr>
            <w:tcW w:w="833" w:type="dxa"/>
            <w:tcBorders>
              <w:tl2br w:val="nil"/>
              <w:tr2bl w:val="nil"/>
            </w:tcBorders>
            <w:shd w:val="clear" w:color="auto" w:fill="auto"/>
            <w:noWrap/>
            <w:vAlign w:val="center"/>
          </w:tcPr>
          <w:p w14:paraId="188419B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0.071</w:t>
            </w:r>
          </w:p>
        </w:tc>
        <w:tc>
          <w:tcPr>
            <w:tcW w:w="833" w:type="dxa"/>
            <w:tcBorders>
              <w:tl2br w:val="nil"/>
              <w:tr2bl w:val="nil"/>
            </w:tcBorders>
            <w:shd w:val="clear" w:color="auto" w:fill="auto"/>
            <w:noWrap/>
            <w:vAlign w:val="center"/>
          </w:tcPr>
          <w:p w14:paraId="3940C3C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0.072</w:t>
            </w:r>
          </w:p>
        </w:tc>
        <w:tc>
          <w:tcPr>
            <w:tcW w:w="833" w:type="dxa"/>
            <w:tcBorders>
              <w:tl2br w:val="nil"/>
              <w:tr2bl w:val="nil"/>
            </w:tcBorders>
            <w:shd w:val="clear" w:color="auto" w:fill="auto"/>
            <w:noWrap/>
            <w:vAlign w:val="center"/>
          </w:tcPr>
          <w:p w14:paraId="47A00CC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0.075</w:t>
            </w:r>
          </w:p>
        </w:tc>
        <w:tc>
          <w:tcPr>
            <w:tcW w:w="852" w:type="dxa"/>
            <w:tcBorders>
              <w:tl2br w:val="nil"/>
              <w:tr2bl w:val="nil"/>
            </w:tcBorders>
            <w:shd w:val="clear" w:color="auto" w:fill="auto"/>
            <w:noWrap/>
            <w:vAlign w:val="center"/>
          </w:tcPr>
          <w:p w14:paraId="51C91C5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0.074</w:t>
            </w:r>
          </w:p>
        </w:tc>
        <w:tc>
          <w:tcPr>
            <w:tcW w:w="1326" w:type="dxa"/>
            <w:tcBorders>
              <w:tl2br w:val="nil"/>
              <w:tr2bl w:val="nil"/>
            </w:tcBorders>
            <w:shd w:val="clear" w:color="auto" w:fill="auto"/>
            <w:noWrap/>
            <w:vAlign w:val="center"/>
          </w:tcPr>
          <w:p w14:paraId="7B678D8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0.071</w:t>
            </w:r>
          </w:p>
        </w:tc>
        <w:tc>
          <w:tcPr>
            <w:tcW w:w="1326" w:type="dxa"/>
            <w:tcBorders>
              <w:tl2br w:val="nil"/>
              <w:tr2bl w:val="nil"/>
            </w:tcBorders>
            <w:shd w:val="clear" w:color="auto" w:fill="auto"/>
            <w:noWrap/>
            <w:vAlign w:val="center"/>
          </w:tcPr>
          <w:p w14:paraId="5F1621D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0.0028</w:t>
            </w:r>
          </w:p>
        </w:tc>
        <w:tc>
          <w:tcPr>
            <w:tcW w:w="1327" w:type="dxa"/>
            <w:tcBorders>
              <w:tl2br w:val="nil"/>
              <w:tr2bl w:val="nil"/>
            </w:tcBorders>
            <w:shd w:val="clear" w:color="auto" w:fill="auto"/>
            <w:noWrap/>
            <w:vAlign w:val="center"/>
          </w:tcPr>
          <w:p w14:paraId="7739078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3.9</w:t>
            </w:r>
          </w:p>
        </w:tc>
        <w:tc>
          <w:tcPr>
            <w:tcW w:w="1327" w:type="dxa"/>
            <w:tcBorders>
              <w:tl2br w:val="nil"/>
              <w:tr2bl w:val="nil"/>
            </w:tcBorders>
            <w:shd w:val="clear" w:color="auto" w:fill="auto"/>
            <w:noWrap/>
            <w:vAlign w:val="center"/>
          </w:tcPr>
          <w:p w14:paraId="5EB4060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71.0</w:t>
            </w:r>
          </w:p>
        </w:tc>
      </w:tr>
      <w:tr w14:paraId="41E4A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6AE312B0">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6E93771A">
      <w:pPr>
        <w:bidi w:val="0"/>
        <w:rPr>
          <w:rFonts w:hint="default" w:ascii="Times New Roman" w:hAnsi="Times New Roman" w:cs="Times New Roman"/>
          <w:lang w:val="en-US" w:eastAsia="zh-CN"/>
        </w:rPr>
      </w:pPr>
    </w:p>
    <w:p w14:paraId="6F0724C6">
      <w:pPr>
        <w:bidi w:val="0"/>
        <w:rPr>
          <w:rFonts w:hint="default" w:ascii="Times New Roman" w:hAnsi="Times New Roman" w:cs="Times New Roman"/>
          <w:lang w:val="en-US" w:eastAsia="zh-CN"/>
        </w:rPr>
      </w:pPr>
    </w:p>
    <w:p w14:paraId="5DB720B0">
      <w:pPr>
        <w:bidi w:val="0"/>
        <w:rPr>
          <w:rFonts w:hint="default" w:ascii="Times New Roman" w:hAnsi="Times New Roman" w:cs="Times New Roman"/>
          <w:lang w:val="en-US" w:eastAsia="zh-CN"/>
        </w:rPr>
      </w:pPr>
    </w:p>
    <w:p w14:paraId="74D3108C">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附表15-2  土壤中浓度加标样品（0.40 mg/kg）精密度和正确度验证数据</w:t>
      </w:r>
    </w:p>
    <w:p w14:paraId="7DB64BB8">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vertAlign w:val="baseline"/>
          <w:lang w:val="en-US" w:eastAsia="zh-CN"/>
        </w:rPr>
        <w:t>四川省生态环境监测总站</w:t>
      </w:r>
      <w:r>
        <w:rPr>
          <w:rFonts w:hint="default" w:ascii="Times New Roman" w:hAnsi="Times New Roman" w:cs="Times New Roman"/>
          <w:color w:val="000000"/>
          <w:sz w:val="21"/>
          <w:szCs w:val="21"/>
          <w:highlight w:val="none"/>
          <w:u w:val="single"/>
          <w:vertAlign w:val="baseline"/>
          <w:lang w:val="en-US"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 </w:t>
      </w:r>
    </w:p>
    <w:p w14:paraId="6C24ADA7">
      <w:pPr>
        <w:pStyle w:val="22"/>
        <w:tabs>
          <w:tab w:val="left" w:pos="9240"/>
          <w:tab w:val="left" w:pos="10920"/>
        </w:tabs>
        <w:spacing w:before="159" w:beforeLines="50" w:after="159" w:afterLines="50" w:line="360" w:lineRule="exact"/>
        <w:ind w:right="298" w:rightChars="0"/>
        <w:jc w:val="both"/>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2024.12.08-12.13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6C0C5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4A34A2D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41C1648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7C8851D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44214C85">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69"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69" DrawAspect="Content" ObjectID="_1468075857" r:id="rId214">
                  <o:LockedField>false</o:LockedField>
                </o:OLEObject>
              </w:object>
            </w:r>
          </w:p>
          <w:p w14:paraId="05C7D7CF">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10F61E0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70"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70" DrawAspect="Content" ObjectID="_1468075858" r:id="rId215">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6FE7F1C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07DF898B">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24034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36D4400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24E68B3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07B492D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762F04D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016F8FF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408AC9A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74AFB37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09F506D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0620A86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44E8AB0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757EE146">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CBE59E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292ED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0549FBF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69757B7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440CE04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0.330</w:t>
            </w:r>
          </w:p>
        </w:tc>
        <w:tc>
          <w:tcPr>
            <w:tcW w:w="833" w:type="dxa"/>
            <w:tcBorders>
              <w:tl2br w:val="nil"/>
              <w:tr2bl w:val="nil"/>
            </w:tcBorders>
            <w:shd w:val="clear" w:color="auto" w:fill="auto"/>
            <w:noWrap/>
            <w:vAlign w:val="center"/>
          </w:tcPr>
          <w:p w14:paraId="49D2914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0.333</w:t>
            </w:r>
          </w:p>
        </w:tc>
        <w:tc>
          <w:tcPr>
            <w:tcW w:w="833" w:type="dxa"/>
            <w:tcBorders>
              <w:tl2br w:val="nil"/>
              <w:tr2bl w:val="nil"/>
            </w:tcBorders>
            <w:shd w:val="clear" w:color="auto" w:fill="auto"/>
            <w:noWrap/>
            <w:vAlign w:val="center"/>
          </w:tcPr>
          <w:p w14:paraId="18813FF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0.320</w:t>
            </w:r>
          </w:p>
        </w:tc>
        <w:tc>
          <w:tcPr>
            <w:tcW w:w="833" w:type="dxa"/>
            <w:tcBorders>
              <w:tl2br w:val="nil"/>
              <w:tr2bl w:val="nil"/>
            </w:tcBorders>
            <w:shd w:val="clear" w:color="auto" w:fill="auto"/>
            <w:noWrap/>
            <w:vAlign w:val="center"/>
          </w:tcPr>
          <w:p w14:paraId="047C6C2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0.341</w:t>
            </w:r>
          </w:p>
        </w:tc>
        <w:tc>
          <w:tcPr>
            <w:tcW w:w="833" w:type="dxa"/>
            <w:tcBorders>
              <w:tl2br w:val="nil"/>
              <w:tr2bl w:val="nil"/>
            </w:tcBorders>
            <w:shd w:val="clear" w:color="auto" w:fill="auto"/>
            <w:noWrap/>
            <w:vAlign w:val="center"/>
          </w:tcPr>
          <w:p w14:paraId="120CADD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0.343</w:t>
            </w:r>
          </w:p>
        </w:tc>
        <w:tc>
          <w:tcPr>
            <w:tcW w:w="852" w:type="dxa"/>
            <w:tcBorders>
              <w:tl2br w:val="nil"/>
              <w:tr2bl w:val="nil"/>
            </w:tcBorders>
            <w:shd w:val="clear" w:color="auto" w:fill="auto"/>
            <w:noWrap/>
            <w:vAlign w:val="center"/>
          </w:tcPr>
          <w:p w14:paraId="200116D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0.351</w:t>
            </w:r>
          </w:p>
        </w:tc>
        <w:tc>
          <w:tcPr>
            <w:tcW w:w="1326" w:type="dxa"/>
            <w:tcBorders>
              <w:tl2br w:val="nil"/>
              <w:tr2bl w:val="nil"/>
            </w:tcBorders>
            <w:shd w:val="clear" w:color="auto" w:fill="auto"/>
            <w:noWrap/>
            <w:vAlign w:val="center"/>
          </w:tcPr>
          <w:p w14:paraId="455A4D7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0.336</w:t>
            </w:r>
          </w:p>
        </w:tc>
        <w:tc>
          <w:tcPr>
            <w:tcW w:w="1326" w:type="dxa"/>
            <w:tcBorders>
              <w:tl2br w:val="nil"/>
              <w:tr2bl w:val="nil"/>
            </w:tcBorders>
            <w:shd w:val="clear" w:color="auto" w:fill="auto"/>
            <w:noWrap/>
            <w:vAlign w:val="center"/>
          </w:tcPr>
          <w:p w14:paraId="0D436F9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0.0111</w:t>
            </w:r>
          </w:p>
        </w:tc>
        <w:tc>
          <w:tcPr>
            <w:tcW w:w="1327" w:type="dxa"/>
            <w:tcBorders>
              <w:tl2br w:val="nil"/>
              <w:tr2bl w:val="nil"/>
            </w:tcBorders>
            <w:shd w:val="clear" w:color="auto" w:fill="auto"/>
            <w:noWrap/>
            <w:vAlign w:val="center"/>
          </w:tcPr>
          <w:p w14:paraId="55A7C1C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3.3</w:t>
            </w:r>
          </w:p>
        </w:tc>
        <w:tc>
          <w:tcPr>
            <w:tcW w:w="1327" w:type="dxa"/>
            <w:tcBorders>
              <w:tl2br w:val="nil"/>
              <w:tr2bl w:val="nil"/>
            </w:tcBorders>
            <w:shd w:val="clear" w:color="auto" w:fill="auto"/>
            <w:noWrap/>
            <w:vAlign w:val="center"/>
          </w:tcPr>
          <w:p w14:paraId="26AA0BE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84.0</w:t>
            </w:r>
          </w:p>
        </w:tc>
      </w:tr>
      <w:tr w14:paraId="42934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4603646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1D9C190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40B8C72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0.335</w:t>
            </w:r>
          </w:p>
        </w:tc>
        <w:tc>
          <w:tcPr>
            <w:tcW w:w="833" w:type="dxa"/>
            <w:tcBorders>
              <w:tl2br w:val="nil"/>
              <w:tr2bl w:val="nil"/>
            </w:tcBorders>
            <w:shd w:val="clear" w:color="auto" w:fill="auto"/>
            <w:noWrap/>
            <w:vAlign w:val="center"/>
          </w:tcPr>
          <w:p w14:paraId="0E5D180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0.340</w:t>
            </w:r>
          </w:p>
        </w:tc>
        <w:tc>
          <w:tcPr>
            <w:tcW w:w="833" w:type="dxa"/>
            <w:tcBorders>
              <w:tl2br w:val="nil"/>
              <w:tr2bl w:val="nil"/>
            </w:tcBorders>
            <w:shd w:val="clear" w:color="auto" w:fill="auto"/>
            <w:noWrap/>
            <w:vAlign w:val="center"/>
          </w:tcPr>
          <w:p w14:paraId="6DF51E8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0.331</w:t>
            </w:r>
          </w:p>
        </w:tc>
        <w:tc>
          <w:tcPr>
            <w:tcW w:w="833" w:type="dxa"/>
            <w:tcBorders>
              <w:tl2br w:val="nil"/>
              <w:tr2bl w:val="nil"/>
            </w:tcBorders>
            <w:shd w:val="clear" w:color="auto" w:fill="auto"/>
            <w:noWrap/>
            <w:vAlign w:val="center"/>
          </w:tcPr>
          <w:p w14:paraId="7638977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0.362</w:t>
            </w:r>
          </w:p>
        </w:tc>
        <w:tc>
          <w:tcPr>
            <w:tcW w:w="833" w:type="dxa"/>
            <w:tcBorders>
              <w:tl2br w:val="nil"/>
              <w:tr2bl w:val="nil"/>
            </w:tcBorders>
            <w:shd w:val="clear" w:color="auto" w:fill="auto"/>
            <w:noWrap/>
            <w:vAlign w:val="center"/>
          </w:tcPr>
          <w:p w14:paraId="2C2EDFA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0.349</w:t>
            </w:r>
          </w:p>
        </w:tc>
        <w:tc>
          <w:tcPr>
            <w:tcW w:w="852" w:type="dxa"/>
            <w:tcBorders>
              <w:tl2br w:val="nil"/>
              <w:tr2bl w:val="nil"/>
            </w:tcBorders>
            <w:shd w:val="clear" w:color="auto" w:fill="auto"/>
            <w:noWrap/>
            <w:vAlign w:val="center"/>
          </w:tcPr>
          <w:p w14:paraId="0D73E43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0.356</w:t>
            </w:r>
          </w:p>
        </w:tc>
        <w:tc>
          <w:tcPr>
            <w:tcW w:w="1326" w:type="dxa"/>
            <w:tcBorders>
              <w:tl2br w:val="nil"/>
              <w:tr2bl w:val="nil"/>
            </w:tcBorders>
            <w:shd w:val="clear" w:color="auto" w:fill="auto"/>
            <w:noWrap/>
            <w:vAlign w:val="center"/>
          </w:tcPr>
          <w:p w14:paraId="1308DB3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0.346</w:t>
            </w:r>
          </w:p>
        </w:tc>
        <w:tc>
          <w:tcPr>
            <w:tcW w:w="1326" w:type="dxa"/>
            <w:tcBorders>
              <w:tl2br w:val="nil"/>
              <w:tr2bl w:val="nil"/>
            </w:tcBorders>
            <w:shd w:val="clear" w:color="auto" w:fill="auto"/>
            <w:noWrap/>
            <w:vAlign w:val="center"/>
          </w:tcPr>
          <w:p w14:paraId="15617C4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0.0122</w:t>
            </w:r>
          </w:p>
        </w:tc>
        <w:tc>
          <w:tcPr>
            <w:tcW w:w="1327" w:type="dxa"/>
            <w:tcBorders>
              <w:tl2br w:val="nil"/>
              <w:tr2bl w:val="nil"/>
            </w:tcBorders>
            <w:shd w:val="clear" w:color="auto" w:fill="auto"/>
            <w:noWrap/>
            <w:vAlign w:val="center"/>
          </w:tcPr>
          <w:p w14:paraId="7E5251F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3.5</w:t>
            </w:r>
          </w:p>
        </w:tc>
        <w:tc>
          <w:tcPr>
            <w:tcW w:w="1327" w:type="dxa"/>
            <w:tcBorders>
              <w:tl2br w:val="nil"/>
              <w:tr2bl w:val="nil"/>
            </w:tcBorders>
            <w:shd w:val="clear" w:color="auto" w:fill="auto"/>
            <w:noWrap/>
            <w:vAlign w:val="center"/>
          </w:tcPr>
          <w:p w14:paraId="57E2943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86.5</w:t>
            </w:r>
          </w:p>
        </w:tc>
      </w:tr>
      <w:tr w14:paraId="3D083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0F960D65">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2769BC9B">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3813D0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附表15-3  土壤高浓度加标样品（0.70 mg/kg）精密度和正确度验证数据</w:t>
      </w:r>
    </w:p>
    <w:p w14:paraId="1A04C3E2">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vertAlign w:val="baseline"/>
          <w:lang w:val="en-US" w:eastAsia="zh-CN"/>
        </w:rPr>
        <w:t>四川省生态环境监测总站</w:t>
      </w:r>
      <w:r>
        <w:rPr>
          <w:rFonts w:hint="default" w:ascii="Times New Roman" w:hAnsi="Times New Roman" w:cs="Times New Roman"/>
          <w:color w:val="000000"/>
          <w:sz w:val="21"/>
          <w:szCs w:val="21"/>
          <w:highlight w:val="none"/>
          <w:u w:val="single"/>
          <w:vertAlign w:val="baseline"/>
          <w:lang w:val="en-US"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 </w:t>
      </w:r>
    </w:p>
    <w:p w14:paraId="2DCE5091">
      <w:pPr>
        <w:pStyle w:val="22"/>
        <w:tabs>
          <w:tab w:val="left" w:pos="9240"/>
          <w:tab w:val="left" w:pos="10920"/>
        </w:tabs>
        <w:spacing w:before="159" w:beforeLines="50" w:after="159" w:afterLines="50" w:line="360" w:lineRule="exact"/>
        <w:ind w:right="298" w:rightChars="0"/>
        <w:jc w:val="both"/>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2024.12.08-12.13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7DA04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6E91F05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272338C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375B59F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5A29CAB3">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71"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71" DrawAspect="Content" ObjectID="_1468075859" r:id="rId216">
                  <o:LockedField>false</o:LockedField>
                </o:OLEObject>
              </w:object>
            </w:r>
          </w:p>
          <w:p w14:paraId="41DB6901">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7174B89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72"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72" DrawAspect="Content" ObjectID="_1468075860" r:id="rId217">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3BB8C2D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2F62795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4D976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2340B33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0F532F9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5A16A72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0032EF8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3126A1E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2F8BDB0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455537E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5611AB1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1652ED0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7AF28CC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5E1319D2">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891382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BCE7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0E287BD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507E4D9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35A45AD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0.697</w:t>
            </w:r>
          </w:p>
        </w:tc>
        <w:tc>
          <w:tcPr>
            <w:tcW w:w="833" w:type="dxa"/>
            <w:tcBorders>
              <w:tl2br w:val="nil"/>
              <w:tr2bl w:val="nil"/>
            </w:tcBorders>
            <w:shd w:val="clear" w:color="auto" w:fill="auto"/>
            <w:noWrap/>
            <w:vAlign w:val="center"/>
          </w:tcPr>
          <w:p w14:paraId="432D2A2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0.688</w:t>
            </w:r>
          </w:p>
        </w:tc>
        <w:tc>
          <w:tcPr>
            <w:tcW w:w="833" w:type="dxa"/>
            <w:tcBorders>
              <w:tl2br w:val="nil"/>
              <w:tr2bl w:val="nil"/>
            </w:tcBorders>
            <w:shd w:val="clear" w:color="auto" w:fill="auto"/>
            <w:noWrap/>
            <w:vAlign w:val="center"/>
          </w:tcPr>
          <w:p w14:paraId="0BC9128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0.726</w:t>
            </w:r>
          </w:p>
        </w:tc>
        <w:tc>
          <w:tcPr>
            <w:tcW w:w="833" w:type="dxa"/>
            <w:tcBorders>
              <w:tl2br w:val="nil"/>
              <w:tr2bl w:val="nil"/>
            </w:tcBorders>
            <w:shd w:val="clear" w:color="auto" w:fill="auto"/>
            <w:noWrap/>
            <w:vAlign w:val="center"/>
          </w:tcPr>
          <w:p w14:paraId="0E8CAAD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0.730</w:t>
            </w:r>
          </w:p>
        </w:tc>
        <w:tc>
          <w:tcPr>
            <w:tcW w:w="833" w:type="dxa"/>
            <w:tcBorders>
              <w:tl2br w:val="nil"/>
              <w:tr2bl w:val="nil"/>
            </w:tcBorders>
            <w:shd w:val="clear" w:color="auto" w:fill="auto"/>
            <w:noWrap/>
            <w:vAlign w:val="center"/>
          </w:tcPr>
          <w:p w14:paraId="2126BF0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0.688</w:t>
            </w:r>
          </w:p>
        </w:tc>
        <w:tc>
          <w:tcPr>
            <w:tcW w:w="852" w:type="dxa"/>
            <w:tcBorders>
              <w:tl2br w:val="nil"/>
              <w:tr2bl w:val="nil"/>
            </w:tcBorders>
            <w:shd w:val="clear" w:color="auto" w:fill="auto"/>
            <w:noWrap/>
            <w:vAlign w:val="center"/>
          </w:tcPr>
          <w:p w14:paraId="1885FF5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0.694</w:t>
            </w:r>
          </w:p>
        </w:tc>
        <w:tc>
          <w:tcPr>
            <w:tcW w:w="1326" w:type="dxa"/>
            <w:tcBorders>
              <w:tl2br w:val="nil"/>
              <w:tr2bl w:val="nil"/>
            </w:tcBorders>
            <w:shd w:val="clear" w:color="auto" w:fill="auto"/>
            <w:noWrap/>
            <w:vAlign w:val="center"/>
          </w:tcPr>
          <w:p w14:paraId="5B5C560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0.704</w:t>
            </w:r>
          </w:p>
        </w:tc>
        <w:tc>
          <w:tcPr>
            <w:tcW w:w="1326" w:type="dxa"/>
            <w:tcBorders>
              <w:tl2br w:val="nil"/>
              <w:tr2bl w:val="nil"/>
            </w:tcBorders>
            <w:shd w:val="clear" w:color="auto" w:fill="auto"/>
            <w:noWrap/>
            <w:vAlign w:val="center"/>
          </w:tcPr>
          <w:p w14:paraId="549DAED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0.0191</w:t>
            </w:r>
          </w:p>
        </w:tc>
        <w:tc>
          <w:tcPr>
            <w:tcW w:w="1327" w:type="dxa"/>
            <w:tcBorders>
              <w:tl2br w:val="nil"/>
              <w:tr2bl w:val="nil"/>
            </w:tcBorders>
            <w:shd w:val="clear" w:color="auto" w:fill="auto"/>
            <w:noWrap/>
            <w:vAlign w:val="center"/>
          </w:tcPr>
          <w:p w14:paraId="5E9D36E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2.7</w:t>
            </w:r>
          </w:p>
        </w:tc>
        <w:tc>
          <w:tcPr>
            <w:tcW w:w="1327" w:type="dxa"/>
            <w:tcBorders>
              <w:tl2br w:val="nil"/>
              <w:tr2bl w:val="nil"/>
            </w:tcBorders>
            <w:shd w:val="clear" w:color="auto" w:fill="auto"/>
            <w:noWrap/>
            <w:vAlign w:val="center"/>
          </w:tcPr>
          <w:p w14:paraId="604D306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106</w:t>
            </w:r>
          </w:p>
        </w:tc>
      </w:tr>
      <w:tr w14:paraId="6258E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1F8AED7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0B17A0B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15109B7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0.660</w:t>
            </w:r>
          </w:p>
        </w:tc>
        <w:tc>
          <w:tcPr>
            <w:tcW w:w="833" w:type="dxa"/>
            <w:tcBorders>
              <w:tl2br w:val="nil"/>
              <w:tr2bl w:val="nil"/>
            </w:tcBorders>
            <w:shd w:val="clear" w:color="auto" w:fill="auto"/>
            <w:noWrap/>
            <w:vAlign w:val="center"/>
          </w:tcPr>
          <w:p w14:paraId="7C0E999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0.646</w:t>
            </w:r>
          </w:p>
        </w:tc>
        <w:tc>
          <w:tcPr>
            <w:tcW w:w="833" w:type="dxa"/>
            <w:tcBorders>
              <w:tl2br w:val="nil"/>
              <w:tr2bl w:val="nil"/>
            </w:tcBorders>
            <w:shd w:val="clear" w:color="auto" w:fill="auto"/>
            <w:noWrap/>
            <w:vAlign w:val="center"/>
          </w:tcPr>
          <w:p w14:paraId="6E05862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0.715</w:t>
            </w:r>
          </w:p>
        </w:tc>
        <w:tc>
          <w:tcPr>
            <w:tcW w:w="833" w:type="dxa"/>
            <w:tcBorders>
              <w:tl2br w:val="nil"/>
              <w:tr2bl w:val="nil"/>
            </w:tcBorders>
            <w:shd w:val="clear" w:color="auto" w:fill="auto"/>
            <w:noWrap/>
            <w:vAlign w:val="center"/>
          </w:tcPr>
          <w:p w14:paraId="58328AE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0.722</w:t>
            </w:r>
          </w:p>
        </w:tc>
        <w:tc>
          <w:tcPr>
            <w:tcW w:w="833" w:type="dxa"/>
            <w:tcBorders>
              <w:tl2br w:val="nil"/>
              <w:tr2bl w:val="nil"/>
            </w:tcBorders>
            <w:shd w:val="clear" w:color="auto" w:fill="auto"/>
            <w:noWrap/>
            <w:vAlign w:val="center"/>
          </w:tcPr>
          <w:p w14:paraId="1F81AB9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0.666</w:t>
            </w:r>
          </w:p>
        </w:tc>
        <w:tc>
          <w:tcPr>
            <w:tcW w:w="852" w:type="dxa"/>
            <w:tcBorders>
              <w:tl2br w:val="nil"/>
              <w:tr2bl w:val="nil"/>
            </w:tcBorders>
            <w:shd w:val="clear" w:color="auto" w:fill="auto"/>
            <w:noWrap/>
            <w:vAlign w:val="center"/>
          </w:tcPr>
          <w:p w14:paraId="75617F1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0.686</w:t>
            </w:r>
          </w:p>
        </w:tc>
        <w:tc>
          <w:tcPr>
            <w:tcW w:w="1326" w:type="dxa"/>
            <w:tcBorders>
              <w:tl2br w:val="nil"/>
              <w:tr2bl w:val="nil"/>
            </w:tcBorders>
            <w:shd w:val="clear" w:color="auto" w:fill="auto"/>
            <w:noWrap/>
            <w:vAlign w:val="center"/>
          </w:tcPr>
          <w:p w14:paraId="2DF0BA7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0.683</w:t>
            </w:r>
          </w:p>
        </w:tc>
        <w:tc>
          <w:tcPr>
            <w:tcW w:w="1326" w:type="dxa"/>
            <w:tcBorders>
              <w:tl2br w:val="nil"/>
              <w:tr2bl w:val="nil"/>
            </w:tcBorders>
            <w:shd w:val="clear" w:color="auto" w:fill="auto"/>
            <w:noWrap/>
            <w:vAlign w:val="center"/>
          </w:tcPr>
          <w:p w14:paraId="2493956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0.0307</w:t>
            </w:r>
          </w:p>
        </w:tc>
        <w:tc>
          <w:tcPr>
            <w:tcW w:w="1327" w:type="dxa"/>
            <w:tcBorders>
              <w:tl2br w:val="nil"/>
              <w:tr2bl w:val="nil"/>
            </w:tcBorders>
            <w:shd w:val="clear" w:color="auto" w:fill="auto"/>
            <w:noWrap/>
            <w:vAlign w:val="center"/>
          </w:tcPr>
          <w:p w14:paraId="68F154D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4.5</w:t>
            </w:r>
          </w:p>
        </w:tc>
        <w:tc>
          <w:tcPr>
            <w:tcW w:w="1327" w:type="dxa"/>
            <w:tcBorders>
              <w:tl2br w:val="nil"/>
              <w:tr2bl w:val="nil"/>
            </w:tcBorders>
            <w:shd w:val="clear" w:color="auto" w:fill="auto"/>
            <w:noWrap/>
            <w:vAlign w:val="center"/>
          </w:tcPr>
          <w:p w14:paraId="7EDB80E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97.6</w:t>
            </w:r>
          </w:p>
        </w:tc>
      </w:tr>
      <w:tr w14:paraId="4EFB6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5151E134">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6046F60A">
      <w:pPr>
        <w:bidi w:val="0"/>
        <w:ind w:left="0" w:leftChars="0" w:firstLine="0" w:firstLineChars="0"/>
        <w:jc w:val="center"/>
        <w:rPr>
          <w:rFonts w:hint="default" w:ascii="Times New Roman" w:hAnsi="Times New Roman" w:cs="Times New Roman"/>
          <w:lang w:val="en-US" w:eastAsia="zh-CN"/>
        </w:rPr>
      </w:pPr>
    </w:p>
    <w:p w14:paraId="77D53980">
      <w:pPr>
        <w:bidi w:val="0"/>
        <w:ind w:left="0" w:leftChars="0" w:firstLine="0" w:firstLineChars="0"/>
        <w:jc w:val="center"/>
        <w:rPr>
          <w:rFonts w:hint="default" w:ascii="Times New Roman" w:hAnsi="Times New Roman" w:cs="Times New Roman"/>
          <w:lang w:val="en-US" w:eastAsia="zh-CN"/>
        </w:rPr>
      </w:pPr>
    </w:p>
    <w:p w14:paraId="25577D92">
      <w:pPr>
        <w:bidi w:val="0"/>
        <w:ind w:left="0" w:leftChars="0" w:firstLine="0" w:firstLineChars="0"/>
        <w:jc w:val="center"/>
        <w:rPr>
          <w:rFonts w:hint="default" w:ascii="Times New Roman" w:hAnsi="Times New Roman" w:cs="Times New Roman"/>
          <w:lang w:val="en-US" w:eastAsia="zh-CN"/>
        </w:rPr>
      </w:pPr>
    </w:p>
    <w:p w14:paraId="565F1CE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附表16-1  空白低浓度加标样品（0.10 mg/kg）精密度和正确度验证数据</w:t>
      </w:r>
    </w:p>
    <w:p w14:paraId="6E9A0B62">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辽宁省生态环境监测中心    </w:t>
      </w:r>
    </w:p>
    <w:p w14:paraId="225E0A56">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2024年12月16日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20CA4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01A1872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245B22B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7E070CC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042B0DED">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73"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73" DrawAspect="Content" ObjectID="_1468075861" r:id="rId218">
                  <o:LockedField>false</o:LockedField>
                </o:OLEObject>
              </w:object>
            </w:r>
          </w:p>
          <w:p w14:paraId="658A03C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3977F4D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74"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74" DrawAspect="Content" ObjectID="_1468075862" r:id="rId219">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5E079B21">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10B5098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4F2CA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4CC564C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1708564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38A23F0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3DD4367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7D77F00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2630E39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77C507C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4A36BC1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5274F35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581541D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E3E2DF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94BEA0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B332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1FB22FE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29271B8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373034D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bottom"/>
          </w:tcPr>
          <w:p w14:paraId="6BD7C37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0.094</w:t>
            </w:r>
          </w:p>
        </w:tc>
        <w:tc>
          <w:tcPr>
            <w:tcW w:w="833" w:type="dxa"/>
            <w:tcBorders>
              <w:tl2br w:val="nil"/>
              <w:tr2bl w:val="nil"/>
            </w:tcBorders>
            <w:shd w:val="clear" w:color="auto" w:fill="auto"/>
            <w:noWrap/>
            <w:vAlign w:val="bottom"/>
          </w:tcPr>
          <w:p w14:paraId="09684D6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0.097</w:t>
            </w:r>
          </w:p>
        </w:tc>
        <w:tc>
          <w:tcPr>
            <w:tcW w:w="833" w:type="dxa"/>
            <w:tcBorders>
              <w:tl2br w:val="nil"/>
              <w:tr2bl w:val="nil"/>
            </w:tcBorders>
            <w:shd w:val="clear" w:color="auto" w:fill="auto"/>
            <w:noWrap/>
            <w:vAlign w:val="bottom"/>
          </w:tcPr>
          <w:p w14:paraId="643FD2B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0.100</w:t>
            </w:r>
          </w:p>
        </w:tc>
        <w:tc>
          <w:tcPr>
            <w:tcW w:w="833" w:type="dxa"/>
            <w:tcBorders>
              <w:tl2br w:val="nil"/>
              <w:tr2bl w:val="nil"/>
            </w:tcBorders>
            <w:shd w:val="clear" w:color="auto" w:fill="auto"/>
            <w:noWrap/>
            <w:vAlign w:val="bottom"/>
          </w:tcPr>
          <w:p w14:paraId="14A960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0.106</w:t>
            </w:r>
          </w:p>
        </w:tc>
        <w:tc>
          <w:tcPr>
            <w:tcW w:w="852" w:type="dxa"/>
            <w:tcBorders>
              <w:tl2br w:val="nil"/>
              <w:tr2bl w:val="nil"/>
            </w:tcBorders>
            <w:shd w:val="clear" w:color="auto" w:fill="auto"/>
            <w:noWrap/>
            <w:vAlign w:val="bottom"/>
          </w:tcPr>
          <w:p w14:paraId="25DB854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0.108</w:t>
            </w:r>
          </w:p>
        </w:tc>
        <w:tc>
          <w:tcPr>
            <w:tcW w:w="1326" w:type="dxa"/>
            <w:tcBorders>
              <w:tl2br w:val="nil"/>
              <w:tr2bl w:val="nil"/>
            </w:tcBorders>
            <w:shd w:val="clear" w:color="auto" w:fill="auto"/>
            <w:noWrap/>
            <w:vAlign w:val="bottom"/>
          </w:tcPr>
          <w:p w14:paraId="737C262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0.100</w:t>
            </w:r>
          </w:p>
        </w:tc>
        <w:tc>
          <w:tcPr>
            <w:tcW w:w="1326" w:type="dxa"/>
            <w:tcBorders>
              <w:tl2br w:val="nil"/>
              <w:tr2bl w:val="nil"/>
            </w:tcBorders>
            <w:shd w:val="clear" w:color="auto" w:fill="auto"/>
            <w:noWrap/>
            <w:vAlign w:val="bottom"/>
          </w:tcPr>
          <w:p w14:paraId="5E5E99B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0.0061</w:t>
            </w:r>
          </w:p>
        </w:tc>
        <w:tc>
          <w:tcPr>
            <w:tcW w:w="1327" w:type="dxa"/>
            <w:tcBorders>
              <w:tl2br w:val="nil"/>
              <w:tr2bl w:val="nil"/>
            </w:tcBorders>
            <w:shd w:val="clear" w:color="auto" w:fill="auto"/>
            <w:noWrap/>
            <w:vAlign w:val="bottom"/>
          </w:tcPr>
          <w:p w14:paraId="4B6A6B7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6.1</w:t>
            </w:r>
          </w:p>
        </w:tc>
        <w:tc>
          <w:tcPr>
            <w:tcW w:w="1327" w:type="dxa"/>
            <w:tcBorders>
              <w:tl2br w:val="nil"/>
              <w:tr2bl w:val="nil"/>
            </w:tcBorders>
            <w:shd w:val="clear" w:color="auto" w:fill="auto"/>
            <w:noWrap/>
            <w:vAlign w:val="bottom"/>
          </w:tcPr>
          <w:p w14:paraId="122D406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100</w:t>
            </w:r>
          </w:p>
        </w:tc>
      </w:tr>
      <w:tr w14:paraId="77F42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4B259DE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7DFAC33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4BC9169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0.102</w:t>
            </w:r>
          </w:p>
        </w:tc>
        <w:tc>
          <w:tcPr>
            <w:tcW w:w="833" w:type="dxa"/>
            <w:tcBorders>
              <w:tl2br w:val="nil"/>
              <w:tr2bl w:val="nil"/>
            </w:tcBorders>
            <w:shd w:val="clear" w:color="auto" w:fill="auto"/>
            <w:noWrap/>
            <w:vAlign w:val="bottom"/>
          </w:tcPr>
          <w:p w14:paraId="77C5FB9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0.096</w:t>
            </w:r>
          </w:p>
        </w:tc>
        <w:tc>
          <w:tcPr>
            <w:tcW w:w="833" w:type="dxa"/>
            <w:tcBorders>
              <w:tl2br w:val="nil"/>
              <w:tr2bl w:val="nil"/>
            </w:tcBorders>
            <w:shd w:val="clear" w:color="auto" w:fill="auto"/>
            <w:noWrap/>
            <w:vAlign w:val="bottom"/>
          </w:tcPr>
          <w:p w14:paraId="75015A4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bottom"/>
          </w:tcPr>
          <w:p w14:paraId="330A29D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0.098</w:t>
            </w:r>
          </w:p>
        </w:tc>
        <w:tc>
          <w:tcPr>
            <w:tcW w:w="833" w:type="dxa"/>
            <w:tcBorders>
              <w:tl2br w:val="nil"/>
              <w:tr2bl w:val="nil"/>
            </w:tcBorders>
            <w:shd w:val="clear" w:color="auto" w:fill="auto"/>
            <w:noWrap/>
            <w:vAlign w:val="bottom"/>
          </w:tcPr>
          <w:p w14:paraId="4F1F4F5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0.101</w:t>
            </w:r>
          </w:p>
        </w:tc>
        <w:tc>
          <w:tcPr>
            <w:tcW w:w="852" w:type="dxa"/>
            <w:tcBorders>
              <w:tl2br w:val="nil"/>
              <w:tr2bl w:val="nil"/>
            </w:tcBorders>
            <w:shd w:val="clear" w:color="auto" w:fill="auto"/>
            <w:noWrap/>
            <w:vAlign w:val="bottom"/>
          </w:tcPr>
          <w:p w14:paraId="5F3DC02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0.106</w:t>
            </w:r>
          </w:p>
        </w:tc>
        <w:tc>
          <w:tcPr>
            <w:tcW w:w="1326" w:type="dxa"/>
            <w:tcBorders>
              <w:tl2br w:val="nil"/>
              <w:tr2bl w:val="nil"/>
            </w:tcBorders>
            <w:shd w:val="clear" w:color="auto" w:fill="auto"/>
            <w:noWrap/>
            <w:vAlign w:val="bottom"/>
          </w:tcPr>
          <w:p w14:paraId="675F8C9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0.099</w:t>
            </w:r>
          </w:p>
        </w:tc>
        <w:tc>
          <w:tcPr>
            <w:tcW w:w="1326" w:type="dxa"/>
            <w:tcBorders>
              <w:tl2br w:val="nil"/>
              <w:tr2bl w:val="nil"/>
            </w:tcBorders>
            <w:shd w:val="clear" w:color="auto" w:fill="auto"/>
            <w:noWrap/>
            <w:vAlign w:val="bottom"/>
          </w:tcPr>
          <w:p w14:paraId="2A15933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0.0046</w:t>
            </w:r>
          </w:p>
        </w:tc>
        <w:tc>
          <w:tcPr>
            <w:tcW w:w="1327" w:type="dxa"/>
            <w:tcBorders>
              <w:tl2br w:val="nil"/>
              <w:tr2bl w:val="nil"/>
            </w:tcBorders>
            <w:shd w:val="clear" w:color="auto" w:fill="auto"/>
            <w:noWrap/>
            <w:vAlign w:val="bottom"/>
          </w:tcPr>
          <w:p w14:paraId="5ADAC16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4.6</w:t>
            </w:r>
          </w:p>
        </w:tc>
        <w:tc>
          <w:tcPr>
            <w:tcW w:w="1327" w:type="dxa"/>
            <w:tcBorders>
              <w:tl2br w:val="nil"/>
              <w:tr2bl w:val="nil"/>
            </w:tcBorders>
            <w:shd w:val="clear" w:color="auto" w:fill="auto"/>
            <w:noWrap/>
            <w:vAlign w:val="bottom"/>
          </w:tcPr>
          <w:p w14:paraId="72768BC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99.3</w:t>
            </w:r>
          </w:p>
        </w:tc>
      </w:tr>
      <w:tr w14:paraId="14BE2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061F4E79">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432254B5">
      <w:pPr>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u w:val="single"/>
          <w:lang w:val="en-US"/>
        </w:rPr>
        <w:br w:type="page"/>
      </w:r>
    </w:p>
    <w:p w14:paraId="6174952C">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附表16-2  空白中浓度加标样品（0.40 mg/kg）精密度和正确度验证数据</w:t>
      </w:r>
    </w:p>
    <w:p w14:paraId="281B3877">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辽宁省生态环境监测中心    </w:t>
      </w:r>
    </w:p>
    <w:p w14:paraId="14F642AD">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2024年12月16日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1DE2C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6891B15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110B7BB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75F24D4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168F33DE">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7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75" DrawAspect="Content" ObjectID="_1468075863" r:id="rId220">
                  <o:LockedField>false</o:LockedField>
                </o:OLEObject>
              </w:object>
            </w:r>
          </w:p>
          <w:p w14:paraId="6A40336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1110B84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7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76" DrawAspect="Content" ObjectID="_1468075864" r:id="rId221">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11EEB14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4E4242D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53AD2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3BFF66E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4BA2F37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4CE5EF7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0AE7D45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276E92F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73C326A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502AA23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0FD5DCD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7145C21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79F1315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1F9BD48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3159367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E519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409D67F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4D9F347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7E8A2FD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0.404</w:t>
            </w:r>
          </w:p>
        </w:tc>
        <w:tc>
          <w:tcPr>
            <w:tcW w:w="833" w:type="dxa"/>
            <w:tcBorders>
              <w:tl2br w:val="nil"/>
              <w:tr2bl w:val="nil"/>
            </w:tcBorders>
            <w:shd w:val="clear" w:color="auto" w:fill="auto"/>
            <w:noWrap/>
            <w:vAlign w:val="bottom"/>
          </w:tcPr>
          <w:p w14:paraId="42BEE4D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0.392</w:t>
            </w:r>
          </w:p>
        </w:tc>
        <w:tc>
          <w:tcPr>
            <w:tcW w:w="833" w:type="dxa"/>
            <w:tcBorders>
              <w:tl2br w:val="nil"/>
              <w:tr2bl w:val="nil"/>
            </w:tcBorders>
            <w:shd w:val="clear" w:color="auto" w:fill="auto"/>
            <w:noWrap/>
            <w:vAlign w:val="bottom"/>
          </w:tcPr>
          <w:p w14:paraId="0761152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0.387</w:t>
            </w:r>
          </w:p>
        </w:tc>
        <w:tc>
          <w:tcPr>
            <w:tcW w:w="833" w:type="dxa"/>
            <w:tcBorders>
              <w:tl2br w:val="nil"/>
              <w:tr2bl w:val="nil"/>
            </w:tcBorders>
            <w:shd w:val="clear" w:color="auto" w:fill="auto"/>
            <w:noWrap/>
            <w:vAlign w:val="bottom"/>
          </w:tcPr>
          <w:p w14:paraId="78119A8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0.383</w:t>
            </w:r>
          </w:p>
        </w:tc>
        <w:tc>
          <w:tcPr>
            <w:tcW w:w="833" w:type="dxa"/>
            <w:tcBorders>
              <w:tl2br w:val="nil"/>
              <w:tr2bl w:val="nil"/>
            </w:tcBorders>
            <w:shd w:val="clear" w:color="auto" w:fill="auto"/>
            <w:noWrap/>
            <w:vAlign w:val="bottom"/>
          </w:tcPr>
          <w:p w14:paraId="1CDC9E4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0.362</w:t>
            </w:r>
          </w:p>
        </w:tc>
        <w:tc>
          <w:tcPr>
            <w:tcW w:w="852" w:type="dxa"/>
            <w:tcBorders>
              <w:tl2br w:val="nil"/>
              <w:tr2bl w:val="nil"/>
            </w:tcBorders>
            <w:shd w:val="clear" w:color="auto" w:fill="auto"/>
            <w:noWrap/>
            <w:vAlign w:val="bottom"/>
          </w:tcPr>
          <w:p w14:paraId="203ACD9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0.358</w:t>
            </w:r>
          </w:p>
        </w:tc>
        <w:tc>
          <w:tcPr>
            <w:tcW w:w="1326" w:type="dxa"/>
            <w:tcBorders>
              <w:tl2br w:val="nil"/>
              <w:tr2bl w:val="nil"/>
            </w:tcBorders>
            <w:shd w:val="clear" w:color="auto" w:fill="auto"/>
            <w:noWrap/>
            <w:vAlign w:val="bottom"/>
          </w:tcPr>
          <w:p w14:paraId="7245138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0.381</w:t>
            </w:r>
          </w:p>
        </w:tc>
        <w:tc>
          <w:tcPr>
            <w:tcW w:w="1326" w:type="dxa"/>
            <w:tcBorders>
              <w:tl2br w:val="nil"/>
              <w:tr2bl w:val="nil"/>
            </w:tcBorders>
            <w:shd w:val="clear" w:color="auto" w:fill="auto"/>
            <w:noWrap/>
            <w:vAlign w:val="bottom"/>
          </w:tcPr>
          <w:p w14:paraId="5814B60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0.0176</w:t>
            </w:r>
          </w:p>
        </w:tc>
        <w:tc>
          <w:tcPr>
            <w:tcW w:w="1327" w:type="dxa"/>
            <w:tcBorders>
              <w:tl2br w:val="nil"/>
              <w:tr2bl w:val="nil"/>
            </w:tcBorders>
            <w:shd w:val="clear" w:color="auto" w:fill="auto"/>
            <w:noWrap/>
            <w:vAlign w:val="bottom"/>
          </w:tcPr>
          <w:p w14:paraId="265B8A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4.6</w:t>
            </w:r>
          </w:p>
        </w:tc>
        <w:tc>
          <w:tcPr>
            <w:tcW w:w="1327" w:type="dxa"/>
            <w:tcBorders>
              <w:tl2br w:val="nil"/>
              <w:tr2bl w:val="nil"/>
            </w:tcBorders>
            <w:shd w:val="clear" w:color="auto" w:fill="auto"/>
            <w:noWrap/>
            <w:vAlign w:val="bottom"/>
          </w:tcPr>
          <w:p w14:paraId="1BEE499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95.2</w:t>
            </w:r>
          </w:p>
        </w:tc>
      </w:tr>
      <w:tr w14:paraId="5CB35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325DC69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04AD9E4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70C63D8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0.413</w:t>
            </w:r>
          </w:p>
        </w:tc>
        <w:tc>
          <w:tcPr>
            <w:tcW w:w="833" w:type="dxa"/>
            <w:tcBorders>
              <w:tl2br w:val="nil"/>
              <w:tr2bl w:val="nil"/>
            </w:tcBorders>
            <w:shd w:val="clear" w:color="auto" w:fill="auto"/>
            <w:noWrap/>
            <w:vAlign w:val="bottom"/>
          </w:tcPr>
          <w:p w14:paraId="067902B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0.416</w:t>
            </w:r>
          </w:p>
        </w:tc>
        <w:tc>
          <w:tcPr>
            <w:tcW w:w="833" w:type="dxa"/>
            <w:tcBorders>
              <w:tl2br w:val="nil"/>
              <w:tr2bl w:val="nil"/>
            </w:tcBorders>
            <w:shd w:val="clear" w:color="auto" w:fill="auto"/>
            <w:noWrap/>
            <w:vAlign w:val="bottom"/>
          </w:tcPr>
          <w:p w14:paraId="5FDA688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0.395</w:t>
            </w:r>
          </w:p>
        </w:tc>
        <w:tc>
          <w:tcPr>
            <w:tcW w:w="833" w:type="dxa"/>
            <w:tcBorders>
              <w:tl2br w:val="nil"/>
              <w:tr2bl w:val="nil"/>
            </w:tcBorders>
            <w:shd w:val="clear" w:color="auto" w:fill="auto"/>
            <w:noWrap/>
            <w:vAlign w:val="bottom"/>
          </w:tcPr>
          <w:p w14:paraId="52E08B5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0.417</w:t>
            </w:r>
          </w:p>
        </w:tc>
        <w:tc>
          <w:tcPr>
            <w:tcW w:w="833" w:type="dxa"/>
            <w:tcBorders>
              <w:tl2br w:val="nil"/>
              <w:tr2bl w:val="nil"/>
            </w:tcBorders>
            <w:shd w:val="clear" w:color="auto" w:fill="auto"/>
            <w:noWrap/>
            <w:vAlign w:val="bottom"/>
          </w:tcPr>
          <w:p w14:paraId="7691CA3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0.398</w:t>
            </w:r>
          </w:p>
        </w:tc>
        <w:tc>
          <w:tcPr>
            <w:tcW w:w="852" w:type="dxa"/>
            <w:tcBorders>
              <w:tl2br w:val="nil"/>
              <w:tr2bl w:val="nil"/>
            </w:tcBorders>
            <w:shd w:val="clear" w:color="auto" w:fill="auto"/>
            <w:noWrap/>
            <w:vAlign w:val="bottom"/>
          </w:tcPr>
          <w:p w14:paraId="6029C90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0.413</w:t>
            </w:r>
          </w:p>
        </w:tc>
        <w:tc>
          <w:tcPr>
            <w:tcW w:w="1326" w:type="dxa"/>
            <w:tcBorders>
              <w:tl2br w:val="nil"/>
              <w:tr2bl w:val="nil"/>
            </w:tcBorders>
            <w:shd w:val="clear" w:color="auto" w:fill="auto"/>
            <w:noWrap/>
            <w:vAlign w:val="bottom"/>
          </w:tcPr>
          <w:p w14:paraId="770D331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0.409</w:t>
            </w:r>
          </w:p>
        </w:tc>
        <w:tc>
          <w:tcPr>
            <w:tcW w:w="1326" w:type="dxa"/>
            <w:tcBorders>
              <w:tl2br w:val="nil"/>
              <w:tr2bl w:val="nil"/>
            </w:tcBorders>
            <w:shd w:val="clear" w:color="auto" w:fill="auto"/>
            <w:noWrap/>
            <w:vAlign w:val="bottom"/>
          </w:tcPr>
          <w:p w14:paraId="58F5390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0.0094</w:t>
            </w:r>
          </w:p>
        </w:tc>
        <w:tc>
          <w:tcPr>
            <w:tcW w:w="1327" w:type="dxa"/>
            <w:tcBorders>
              <w:tl2br w:val="nil"/>
              <w:tr2bl w:val="nil"/>
            </w:tcBorders>
            <w:shd w:val="clear" w:color="auto" w:fill="auto"/>
            <w:noWrap/>
            <w:vAlign w:val="bottom"/>
          </w:tcPr>
          <w:p w14:paraId="0EB901C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2.3</w:t>
            </w:r>
          </w:p>
        </w:tc>
        <w:tc>
          <w:tcPr>
            <w:tcW w:w="1327" w:type="dxa"/>
            <w:tcBorders>
              <w:tl2br w:val="nil"/>
              <w:tr2bl w:val="nil"/>
            </w:tcBorders>
            <w:shd w:val="clear" w:color="auto" w:fill="auto"/>
            <w:noWrap/>
            <w:vAlign w:val="bottom"/>
          </w:tcPr>
          <w:p w14:paraId="6175951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102</w:t>
            </w:r>
          </w:p>
        </w:tc>
      </w:tr>
      <w:tr w14:paraId="1494B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6FBF2B39">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13CF2C06">
      <w:pPr>
        <w:bidi w:val="0"/>
        <w:ind w:left="0" w:leftChars="0" w:firstLine="0" w:firstLineChars="0"/>
        <w:jc w:val="center"/>
        <w:rPr>
          <w:rFonts w:hint="default" w:ascii="Times New Roman" w:hAnsi="Times New Roman" w:cs="Times New Roman"/>
          <w:lang w:val="en-US" w:eastAsia="zh-CN"/>
        </w:rPr>
      </w:pPr>
    </w:p>
    <w:p w14:paraId="52010684">
      <w:pPr>
        <w:bidi w:val="0"/>
        <w:ind w:left="0" w:leftChars="0" w:firstLine="0" w:firstLineChars="0"/>
        <w:jc w:val="center"/>
        <w:rPr>
          <w:rFonts w:hint="default" w:ascii="Times New Roman" w:hAnsi="Times New Roman" w:cs="Times New Roman"/>
          <w:lang w:val="en-US" w:eastAsia="zh-CN"/>
        </w:rPr>
      </w:pPr>
    </w:p>
    <w:p w14:paraId="5D496A5B">
      <w:pPr>
        <w:bidi w:val="0"/>
        <w:ind w:left="0" w:leftChars="0" w:firstLine="0" w:firstLineChars="0"/>
        <w:jc w:val="center"/>
        <w:rPr>
          <w:rFonts w:hint="default" w:ascii="Times New Roman" w:hAnsi="Times New Roman" w:cs="Times New Roman"/>
          <w:lang w:val="en-US" w:eastAsia="zh-CN"/>
        </w:rPr>
      </w:pPr>
    </w:p>
    <w:p w14:paraId="18C9A0B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附表16-3  空白高浓度加标样品（0.70 mg/kg）精密度和正确度验证数据</w:t>
      </w:r>
    </w:p>
    <w:p w14:paraId="70D7D53D">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辽宁省生态环境监测中心    </w:t>
      </w:r>
    </w:p>
    <w:p w14:paraId="43373BEF">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2024年12月16日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724D8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2E35ADF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507716B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0572845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74B39653">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7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77" DrawAspect="Content" ObjectID="_1468075865" r:id="rId222">
                  <o:LockedField>false</o:LockedField>
                </o:OLEObject>
              </w:object>
            </w:r>
          </w:p>
          <w:p w14:paraId="1BE657AB">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58BEA89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7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78" DrawAspect="Content" ObjectID="_1468075866" r:id="rId223">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3202709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7C273BF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0B825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11C0050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19488F3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4625567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2FE6D4D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7374917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05FC11F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496D4C8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6470171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4C6CB652">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35EA456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32B672A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5F359ED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3C0FB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670959D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0FA9884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2C28321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0.736</w:t>
            </w:r>
          </w:p>
        </w:tc>
        <w:tc>
          <w:tcPr>
            <w:tcW w:w="833" w:type="dxa"/>
            <w:tcBorders>
              <w:tl2br w:val="nil"/>
              <w:tr2bl w:val="nil"/>
            </w:tcBorders>
            <w:shd w:val="clear" w:color="auto" w:fill="auto"/>
            <w:noWrap/>
            <w:vAlign w:val="bottom"/>
          </w:tcPr>
          <w:p w14:paraId="1957BA8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0.733</w:t>
            </w:r>
          </w:p>
        </w:tc>
        <w:tc>
          <w:tcPr>
            <w:tcW w:w="833" w:type="dxa"/>
            <w:tcBorders>
              <w:tl2br w:val="nil"/>
              <w:tr2bl w:val="nil"/>
            </w:tcBorders>
            <w:shd w:val="clear" w:color="auto" w:fill="auto"/>
            <w:noWrap/>
            <w:vAlign w:val="bottom"/>
          </w:tcPr>
          <w:p w14:paraId="6753531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0.723</w:t>
            </w:r>
          </w:p>
        </w:tc>
        <w:tc>
          <w:tcPr>
            <w:tcW w:w="833" w:type="dxa"/>
            <w:tcBorders>
              <w:tl2br w:val="nil"/>
              <w:tr2bl w:val="nil"/>
            </w:tcBorders>
            <w:shd w:val="clear" w:color="auto" w:fill="auto"/>
            <w:noWrap/>
            <w:vAlign w:val="bottom"/>
          </w:tcPr>
          <w:p w14:paraId="4F8B949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0.690</w:t>
            </w:r>
          </w:p>
        </w:tc>
        <w:tc>
          <w:tcPr>
            <w:tcW w:w="833" w:type="dxa"/>
            <w:tcBorders>
              <w:tl2br w:val="nil"/>
              <w:tr2bl w:val="nil"/>
            </w:tcBorders>
            <w:shd w:val="clear" w:color="auto" w:fill="auto"/>
            <w:noWrap/>
            <w:vAlign w:val="bottom"/>
          </w:tcPr>
          <w:p w14:paraId="0248715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0.680</w:t>
            </w:r>
          </w:p>
        </w:tc>
        <w:tc>
          <w:tcPr>
            <w:tcW w:w="852" w:type="dxa"/>
            <w:tcBorders>
              <w:tl2br w:val="nil"/>
              <w:tr2bl w:val="nil"/>
            </w:tcBorders>
            <w:shd w:val="clear" w:color="auto" w:fill="auto"/>
            <w:noWrap/>
            <w:vAlign w:val="bottom"/>
          </w:tcPr>
          <w:p w14:paraId="7C12AF5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0.714</w:t>
            </w:r>
          </w:p>
        </w:tc>
        <w:tc>
          <w:tcPr>
            <w:tcW w:w="1326" w:type="dxa"/>
            <w:tcBorders>
              <w:tl2br w:val="nil"/>
              <w:tr2bl w:val="nil"/>
            </w:tcBorders>
            <w:shd w:val="clear" w:color="auto" w:fill="auto"/>
            <w:noWrap/>
            <w:vAlign w:val="bottom"/>
          </w:tcPr>
          <w:p w14:paraId="2315C61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0.713</w:t>
            </w:r>
          </w:p>
        </w:tc>
        <w:tc>
          <w:tcPr>
            <w:tcW w:w="1326" w:type="dxa"/>
            <w:tcBorders>
              <w:tl2br w:val="nil"/>
              <w:tr2bl w:val="nil"/>
            </w:tcBorders>
            <w:shd w:val="clear" w:color="auto" w:fill="auto"/>
            <w:noWrap/>
            <w:vAlign w:val="bottom"/>
          </w:tcPr>
          <w:p w14:paraId="595A6EE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0.0229</w:t>
            </w:r>
          </w:p>
        </w:tc>
        <w:tc>
          <w:tcPr>
            <w:tcW w:w="1327" w:type="dxa"/>
            <w:tcBorders>
              <w:tl2br w:val="nil"/>
              <w:tr2bl w:val="nil"/>
            </w:tcBorders>
            <w:shd w:val="clear" w:color="auto" w:fill="auto"/>
            <w:noWrap/>
            <w:vAlign w:val="bottom"/>
          </w:tcPr>
          <w:p w14:paraId="618B3E7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3.2</w:t>
            </w:r>
          </w:p>
        </w:tc>
        <w:tc>
          <w:tcPr>
            <w:tcW w:w="1327" w:type="dxa"/>
            <w:tcBorders>
              <w:tl2br w:val="nil"/>
              <w:tr2bl w:val="nil"/>
            </w:tcBorders>
            <w:shd w:val="clear" w:color="auto" w:fill="auto"/>
            <w:noWrap/>
            <w:vAlign w:val="bottom"/>
          </w:tcPr>
          <w:p w14:paraId="4AE5F0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102</w:t>
            </w:r>
          </w:p>
        </w:tc>
      </w:tr>
      <w:tr w14:paraId="28E42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7791F8B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5B99C0E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4106293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0.695</w:t>
            </w:r>
          </w:p>
        </w:tc>
        <w:tc>
          <w:tcPr>
            <w:tcW w:w="833" w:type="dxa"/>
            <w:tcBorders>
              <w:tl2br w:val="nil"/>
              <w:tr2bl w:val="nil"/>
            </w:tcBorders>
            <w:shd w:val="clear" w:color="auto" w:fill="auto"/>
            <w:noWrap/>
            <w:vAlign w:val="bottom"/>
          </w:tcPr>
          <w:p w14:paraId="2A82BB2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0.685</w:t>
            </w:r>
          </w:p>
        </w:tc>
        <w:tc>
          <w:tcPr>
            <w:tcW w:w="833" w:type="dxa"/>
            <w:tcBorders>
              <w:tl2br w:val="nil"/>
              <w:tr2bl w:val="nil"/>
            </w:tcBorders>
            <w:shd w:val="clear" w:color="auto" w:fill="auto"/>
            <w:noWrap/>
            <w:vAlign w:val="bottom"/>
          </w:tcPr>
          <w:p w14:paraId="12907E6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0.675</w:t>
            </w:r>
          </w:p>
        </w:tc>
        <w:tc>
          <w:tcPr>
            <w:tcW w:w="833" w:type="dxa"/>
            <w:tcBorders>
              <w:tl2br w:val="nil"/>
              <w:tr2bl w:val="nil"/>
            </w:tcBorders>
            <w:shd w:val="clear" w:color="auto" w:fill="auto"/>
            <w:noWrap/>
            <w:vAlign w:val="bottom"/>
          </w:tcPr>
          <w:p w14:paraId="0F5FA19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0.699</w:t>
            </w:r>
          </w:p>
        </w:tc>
        <w:tc>
          <w:tcPr>
            <w:tcW w:w="833" w:type="dxa"/>
            <w:tcBorders>
              <w:tl2br w:val="nil"/>
              <w:tr2bl w:val="nil"/>
            </w:tcBorders>
            <w:shd w:val="clear" w:color="auto" w:fill="auto"/>
            <w:noWrap/>
            <w:vAlign w:val="bottom"/>
          </w:tcPr>
          <w:p w14:paraId="4ECDFF0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0.702</w:t>
            </w:r>
          </w:p>
        </w:tc>
        <w:tc>
          <w:tcPr>
            <w:tcW w:w="852" w:type="dxa"/>
            <w:tcBorders>
              <w:tl2br w:val="nil"/>
              <w:tr2bl w:val="nil"/>
            </w:tcBorders>
            <w:shd w:val="clear" w:color="auto" w:fill="auto"/>
            <w:noWrap/>
            <w:vAlign w:val="bottom"/>
          </w:tcPr>
          <w:p w14:paraId="3628B64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0.709</w:t>
            </w:r>
          </w:p>
        </w:tc>
        <w:tc>
          <w:tcPr>
            <w:tcW w:w="1326" w:type="dxa"/>
            <w:tcBorders>
              <w:tl2br w:val="nil"/>
              <w:tr2bl w:val="nil"/>
            </w:tcBorders>
            <w:shd w:val="clear" w:color="auto" w:fill="auto"/>
            <w:noWrap/>
            <w:vAlign w:val="bottom"/>
          </w:tcPr>
          <w:p w14:paraId="2B0795B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0.694</w:t>
            </w:r>
          </w:p>
        </w:tc>
        <w:tc>
          <w:tcPr>
            <w:tcW w:w="1326" w:type="dxa"/>
            <w:tcBorders>
              <w:tl2br w:val="nil"/>
              <w:tr2bl w:val="nil"/>
            </w:tcBorders>
            <w:shd w:val="clear" w:color="auto" w:fill="auto"/>
            <w:noWrap/>
            <w:vAlign w:val="bottom"/>
          </w:tcPr>
          <w:p w14:paraId="1AB1947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0.0123</w:t>
            </w:r>
          </w:p>
        </w:tc>
        <w:tc>
          <w:tcPr>
            <w:tcW w:w="1327" w:type="dxa"/>
            <w:tcBorders>
              <w:tl2br w:val="nil"/>
              <w:tr2bl w:val="nil"/>
            </w:tcBorders>
            <w:shd w:val="clear" w:color="auto" w:fill="auto"/>
            <w:noWrap/>
            <w:vAlign w:val="bottom"/>
          </w:tcPr>
          <w:p w14:paraId="133C5C9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1.8</w:t>
            </w:r>
          </w:p>
        </w:tc>
        <w:tc>
          <w:tcPr>
            <w:tcW w:w="1327" w:type="dxa"/>
            <w:tcBorders>
              <w:tl2br w:val="nil"/>
              <w:tr2bl w:val="nil"/>
            </w:tcBorders>
            <w:shd w:val="clear" w:color="auto" w:fill="auto"/>
            <w:noWrap/>
            <w:vAlign w:val="bottom"/>
          </w:tcPr>
          <w:p w14:paraId="0837028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99.2</w:t>
            </w:r>
          </w:p>
        </w:tc>
      </w:tr>
      <w:tr w14:paraId="49456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6DD6AC8F">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7865D634">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14A7B734">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附表17-1  土壤低浓度加标样品（0.10 mg/kg）精密度和正确度验证数据</w:t>
      </w:r>
    </w:p>
    <w:p w14:paraId="1857CB28">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辽宁省生态环境监测中心    </w:t>
      </w:r>
    </w:p>
    <w:p w14:paraId="60E009FD">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2024年12月16日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5DCB0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736784A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64EF5C8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5187CC8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66A4B9BF">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79"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79" DrawAspect="Content" ObjectID="_1468075867" r:id="rId224">
                  <o:LockedField>false</o:LockedField>
                </o:OLEObject>
              </w:object>
            </w:r>
          </w:p>
          <w:p w14:paraId="0B60A438">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5F6D6A1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80"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80" DrawAspect="Content" ObjectID="_1468075868" r:id="rId225">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04C4B5C3">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320F87D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12200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363F6C7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4359F78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46C50F4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26910BD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1500EDA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73FA8A4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427451B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4A49D4D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3D84E5F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1C16E45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330399E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2F1FE3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ABB5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1A97CE9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5530F2F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69EC63A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0.076</w:t>
            </w:r>
          </w:p>
        </w:tc>
        <w:tc>
          <w:tcPr>
            <w:tcW w:w="833" w:type="dxa"/>
            <w:tcBorders>
              <w:tl2br w:val="nil"/>
              <w:tr2bl w:val="nil"/>
            </w:tcBorders>
            <w:shd w:val="clear" w:color="auto" w:fill="auto"/>
            <w:noWrap/>
            <w:vAlign w:val="bottom"/>
          </w:tcPr>
          <w:p w14:paraId="47F562F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0.075</w:t>
            </w:r>
          </w:p>
        </w:tc>
        <w:tc>
          <w:tcPr>
            <w:tcW w:w="833" w:type="dxa"/>
            <w:tcBorders>
              <w:tl2br w:val="nil"/>
              <w:tr2bl w:val="nil"/>
            </w:tcBorders>
            <w:shd w:val="clear" w:color="auto" w:fill="auto"/>
            <w:noWrap/>
            <w:vAlign w:val="bottom"/>
          </w:tcPr>
          <w:p w14:paraId="49D1CCB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0.078</w:t>
            </w:r>
          </w:p>
        </w:tc>
        <w:tc>
          <w:tcPr>
            <w:tcW w:w="833" w:type="dxa"/>
            <w:tcBorders>
              <w:tl2br w:val="nil"/>
              <w:tr2bl w:val="nil"/>
            </w:tcBorders>
            <w:shd w:val="clear" w:color="auto" w:fill="auto"/>
            <w:noWrap/>
            <w:vAlign w:val="bottom"/>
          </w:tcPr>
          <w:p w14:paraId="636F5BA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0.073</w:t>
            </w:r>
          </w:p>
        </w:tc>
        <w:tc>
          <w:tcPr>
            <w:tcW w:w="833" w:type="dxa"/>
            <w:tcBorders>
              <w:tl2br w:val="nil"/>
              <w:tr2bl w:val="nil"/>
            </w:tcBorders>
            <w:shd w:val="clear" w:color="auto" w:fill="auto"/>
            <w:noWrap/>
            <w:vAlign w:val="bottom"/>
          </w:tcPr>
          <w:p w14:paraId="60A397D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0.082</w:t>
            </w:r>
          </w:p>
        </w:tc>
        <w:tc>
          <w:tcPr>
            <w:tcW w:w="852" w:type="dxa"/>
            <w:tcBorders>
              <w:tl2br w:val="nil"/>
              <w:tr2bl w:val="nil"/>
            </w:tcBorders>
            <w:shd w:val="clear" w:color="auto" w:fill="auto"/>
            <w:noWrap/>
            <w:vAlign w:val="bottom"/>
          </w:tcPr>
          <w:p w14:paraId="55E8DB7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0.076</w:t>
            </w:r>
          </w:p>
        </w:tc>
        <w:tc>
          <w:tcPr>
            <w:tcW w:w="1326" w:type="dxa"/>
            <w:tcBorders>
              <w:tl2br w:val="nil"/>
              <w:tr2bl w:val="nil"/>
            </w:tcBorders>
            <w:shd w:val="clear" w:color="auto" w:fill="auto"/>
            <w:noWrap/>
            <w:vAlign w:val="bottom"/>
          </w:tcPr>
          <w:p w14:paraId="267D6F9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0.077</w:t>
            </w:r>
          </w:p>
        </w:tc>
        <w:tc>
          <w:tcPr>
            <w:tcW w:w="1326" w:type="dxa"/>
            <w:tcBorders>
              <w:tl2br w:val="nil"/>
              <w:tr2bl w:val="nil"/>
            </w:tcBorders>
            <w:shd w:val="clear" w:color="auto" w:fill="auto"/>
            <w:noWrap/>
            <w:vAlign w:val="bottom"/>
          </w:tcPr>
          <w:p w14:paraId="73747E5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0.0030</w:t>
            </w:r>
          </w:p>
        </w:tc>
        <w:tc>
          <w:tcPr>
            <w:tcW w:w="1327" w:type="dxa"/>
            <w:tcBorders>
              <w:tl2br w:val="nil"/>
              <w:tr2bl w:val="nil"/>
            </w:tcBorders>
            <w:shd w:val="clear" w:color="auto" w:fill="auto"/>
            <w:noWrap/>
            <w:vAlign w:val="bottom"/>
          </w:tcPr>
          <w:p w14:paraId="42637B9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3.9</w:t>
            </w:r>
          </w:p>
        </w:tc>
        <w:tc>
          <w:tcPr>
            <w:tcW w:w="1327" w:type="dxa"/>
            <w:tcBorders>
              <w:tl2br w:val="nil"/>
              <w:tr2bl w:val="nil"/>
            </w:tcBorders>
            <w:shd w:val="clear" w:color="auto" w:fill="auto"/>
            <w:noWrap/>
            <w:vAlign w:val="bottom"/>
          </w:tcPr>
          <w:p w14:paraId="6DAA7B0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76.7</w:t>
            </w:r>
          </w:p>
        </w:tc>
      </w:tr>
      <w:tr w14:paraId="06387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3979FCC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7A2B466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0A6A2BF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0.074</w:t>
            </w:r>
          </w:p>
        </w:tc>
        <w:tc>
          <w:tcPr>
            <w:tcW w:w="833" w:type="dxa"/>
            <w:tcBorders>
              <w:tl2br w:val="nil"/>
              <w:tr2bl w:val="nil"/>
            </w:tcBorders>
            <w:shd w:val="clear" w:color="auto" w:fill="auto"/>
            <w:noWrap/>
            <w:vAlign w:val="bottom"/>
          </w:tcPr>
          <w:p w14:paraId="376DC08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0.080</w:t>
            </w:r>
          </w:p>
        </w:tc>
        <w:tc>
          <w:tcPr>
            <w:tcW w:w="833" w:type="dxa"/>
            <w:tcBorders>
              <w:tl2br w:val="nil"/>
              <w:tr2bl w:val="nil"/>
            </w:tcBorders>
            <w:shd w:val="clear" w:color="auto" w:fill="auto"/>
            <w:noWrap/>
            <w:vAlign w:val="bottom"/>
          </w:tcPr>
          <w:p w14:paraId="50A0344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0.086</w:t>
            </w:r>
          </w:p>
        </w:tc>
        <w:tc>
          <w:tcPr>
            <w:tcW w:w="833" w:type="dxa"/>
            <w:tcBorders>
              <w:tl2br w:val="nil"/>
              <w:tr2bl w:val="nil"/>
            </w:tcBorders>
            <w:shd w:val="clear" w:color="auto" w:fill="auto"/>
            <w:noWrap/>
            <w:vAlign w:val="bottom"/>
          </w:tcPr>
          <w:p w14:paraId="517040E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0.076</w:t>
            </w:r>
          </w:p>
        </w:tc>
        <w:tc>
          <w:tcPr>
            <w:tcW w:w="833" w:type="dxa"/>
            <w:tcBorders>
              <w:tl2br w:val="nil"/>
              <w:tr2bl w:val="nil"/>
            </w:tcBorders>
            <w:shd w:val="clear" w:color="auto" w:fill="auto"/>
            <w:noWrap/>
            <w:vAlign w:val="bottom"/>
          </w:tcPr>
          <w:p w14:paraId="2EA6D95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0.080</w:t>
            </w:r>
          </w:p>
        </w:tc>
        <w:tc>
          <w:tcPr>
            <w:tcW w:w="852" w:type="dxa"/>
            <w:tcBorders>
              <w:tl2br w:val="nil"/>
              <w:tr2bl w:val="nil"/>
            </w:tcBorders>
            <w:shd w:val="clear" w:color="auto" w:fill="auto"/>
            <w:noWrap/>
            <w:vAlign w:val="bottom"/>
          </w:tcPr>
          <w:p w14:paraId="7665A8D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0.080</w:t>
            </w:r>
          </w:p>
        </w:tc>
        <w:tc>
          <w:tcPr>
            <w:tcW w:w="1326" w:type="dxa"/>
            <w:tcBorders>
              <w:tl2br w:val="nil"/>
              <w:tr2bl w:val="nil"/>
            </w:tcBorders>
            <w:shd w:val="clear" w:color="auto" w:fill="auto"/>
            <w:noWrap/>
            <w:vAlign w:val="bottom"/>
          </w:tcPr>
          <w:p w14:paraId="1A22BA8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0.080</w:t>
            </w:r>
          </w:p>
        </w:tc>
        <w:tc>
          <w:tcPr>
            <w:tcW w:w="1326" w:type="dxa"/>
            <w:tcBorders>
              <w:tl2br w:val="nil"/>
              <w:tr2bl w:val="nil"/>
            </w:tcBorders>
            <w:shd w:val="clear" w:color="auto" w:fill="auto"/>
            <w:noWrap/>
            <w:vAlign w:val="bottom"/>
          </w:tcPr>
          <w:p w14:paraId="1B3B3DD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0.0041</w:t>
            </w:r>
          </w:p>
        </w:tc>
        <w:tc>
          <w:tcPr>
            <w:tcW w:w="1327" w:type="dxa"/>
            <w:tcBorders>
              <w:tl2br w:val="nil"/>
              <w:tr2bl w:val="nil"/>
            </w:tcBorders>
            <w:shd w:val="clear" w:color="auto" w:fill="auto"/>
            <w:noWrap/>
            <w:vAlign w:val="bottom"/>
          </w:tcPr>
          <w:p w14:paraId="5D642D2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5.2</w:t>
            </w:r>
          </w:p>
        </w:tc>
        <w:tc>
          <w:tcPr>
            <w:tcW w:w="1327" w:type="dxa"/>
            <w:tcBorders>
              <w:tl2br w:val="nil"/>
              <w:tr2bl w:val="nil"/>
            </w:tcBorders>
            <w:shd w:val="clear" w:color="auto" w:fill="auto"/>
            <w:noWrap/>
            <w:vAlign w:val="bottom"/>
          </w:tcPr>
          <w:p w14:paraId="405EDED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79.5</w:t>
            </w:r>
          </w:p>
        </w:tc>
      </w:tr>
      <w:tr w14:paraId="03CF9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51DAA25C">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1ADB9B0D">
      <w:pPr>
        <w:bidi w:val="0"/>
        <w:ind w:left="0" w:leftChars="0" w:firstLine="0" w:firstLineChars="0"/>
        <w:jc w:val="center"/>
        <w:rPr>
          <w:rFonts w:hint="default" w:ascii="Times New Roman" w:hAnsi="Times New Roman" w:cs="Times New Roman"/>
          <w:lang w:val="en-US" w:eastAsia="zh-CN"/>
        </w:rPr>
      </w:pPr>
    </w:p>
    <w:p w14:paraId="1A2FB75C">
      <w:pPr>
        <w:bidi w:val="0"/>
        <w:ind w:left="0" w:leftChars="0" w:firstLine="0" w:firstLineChars="0"/>
        <w:jc w:val="center"/>
        <w:rPr>
          <w:rFonts w:hint="default" w:ascii="Times New Roman" w:hAnsi="Times New Roman" w:cs="Times New Roman"/>
          <w:lang w:val="en-US" w:eastAsia="zh-CN"/>
        </w:rPr>
      </w:pPr>
    </w:p>
    <w:p w14:paraId="774BAB29">
      <w:pPr>
        <w:bidi w:val="0"/>
        <w:ind w:left="0" w:leftChars="0" w:firstLine="0" w:firstLineChars="0"/>
        <w:jc w:val="center"/>
        <w:rPr>
          <w:rFonts w:hint="default" w:ascii="Times New Roman" w:hAnsi="Times New Roman" w:cs="Times New Roman"/>
          <w:lang w:val="en-US" w:eastAsia="zh-CN"/>
        </w:rPr>
      </w:pPr>
    </w:p>
    <w:p w14:paraId="75CC9816">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附表17-2  土壤中浓度加标样品（0.40 mg/kg）精密度和正确度验证数据</w:t>
      </w:r>
    </w:p>
    <w:p w14:paraId="2021EE36">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辽宁省生态环境监测中心    </w:t>
      </w:r>
    </w:p>
    <w:p w14:paraId="4D892038">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2024年12月16日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1EF03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0CFBD9A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6FE6053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1001E35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029EAE7E">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81"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81" DrawAspect="Content" ObjectID="_1468075869" r:id="rId226">
                  <o:LockedField>false</o:LockedField>
                </o:OLEObject>
              </w:object>
            </w:r>
          </w:p>
          <w:p w14:paraId="34E9FB0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699B836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82"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82" DrawAspect="Content" ObjectID="_1468075870" r:id="rId227">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3BB46B5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4C8D000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68E0B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340434E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5CDEA4B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759B1AE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336BF54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6CC2396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45069E3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1E27179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0A04417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0E584CD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03767466">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479D359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B345E3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1571E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1489F23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106C31F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5FEBCD5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0.314</w:t>
            </w:r>
          </w:p>
        </w:tc>
        <w:tc>
          <w:tcPr>
            <w:tcW w:w="833" w:type="dxa"/>
            <w:tcBorders>
              <w:tl2br w:val="nil"/>
              <w:tr2bl w:val="nil"/>
            </w:tcBorders>
            <w:shd w:val="clear" w:color="auto" w:fill="auto"/>
            <w:noWrap/>
            <w:vAlign w:val="bottom"/>
          </w:tcPr>
          <w:p w14:paraId="5287811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0.317</w:t>
            </w:r>
          </w:p>
        </w:tc>
        <w:tc>
          <w:tcPr>
            <w:tcW w:w="833" w:type="dxa"/>
            <w:tcBorders>
              <w:tl2br w:val="nil"/>
              <w:tr2bl w:val="nil"/>
            </w:tcBorders>
            <w:shd w:val="clear" w:color="auto" w:fill="auto"/>
            <w:noWrap/>
            <w:vAlign w:val="bottom"/>
          </w:tcPr>
          <w:p w14:paraId="368524D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0.307</w:t>
            </w:r>
          </w:p>
        </w:tc>
        <w:tc>
          <w:tcPr>
            <w:tcW w:w="833" w:type="dxa"/>
            <w:tcBorders>
              <w:tl2br w:val="nil"/>
              <w:tr2bl w:val="nil"/>
            </w:tcBorders>
            <w:shd w:val="clear" w:color="auto" w:fill="auto"/>
            <w:noWrap/>
            <w:vAlign w:val="bottom"/>
          </w:tcPr>
          <w:p w14:paraId="4E63252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0.327</w:t>
            </w:r>
          </w:p>
        </w:tc>
        <w:tc>
          <w:tcPr>
            <w:tcW w:w="833" w:type="dxa"/>
            <w:tcBorders>
              <w:tl2br w:val="nil"/>
              <w:tr2bl w:val="nil"/>
            </w:tcBorders>
            <w:shd w:val="clear" w:color="auto" w:fill="auto"/>
            <w:noWrap/>
            <w:vAlign w:val="bottom"/>
          </w:tcPr>
          <w:p w14:paraId="6657EEE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0.323</w:t>
            </w:r>
          </w:p>
        </w:tc>
        <w:tc>
          <w:tcPr>
            <w:tcW w:w="852" w:type="dxa"/>
            <w:tcBorders>
              <w:tl2br w:val="nil"/>
              <w:tr2bl w:val="nil"/>
            </w:tcBorders>
            <w:shd w:val="clear" w:color="auto" w:fill="auto"/>
            <w:noWrap/>
            <w:vAlign w:val="bottom"/>
          </w:tcPr>
          <w:p w14:paraId="0112065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0.329</w:t>
            </w:r>
          </w:p>
        </w:tc>
        <w:tc>
          <w:tcPr>
            <w:tcW w:w="1326" w:type="dxa"/>
            <w:tcBorders>
              <w:tl2br w:val="nil"/>
              <w:tr2bl w:val="nil"/>
            </w:tcBorders>
            <w:shd w:val="clear" w:color="auto" w:fill="auto"/>
            <w:noWrap/>
            <w:vAlign w:val="bottom"/>
          </w:tcPr>
          <w:p w14:paraId="48CCB1A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0.319</w:t>
            </w:r>
          </w:p>
        </w:tc>
        <w:tc>
          <w:tcPr>
            <w:tcW w:w="1326" w:type="dxa"/>
            <w:tcBorders>
              <w:tl2br w:val="nil"/>
              <w:tr2bl w:val="nil"/>
            </w:tcBorders>
            <w:shd w:val="clear" w:color="auto" w:fill="auto"/>
            <w:noWrap/>
            <w:vAlign w:val="bottom"/>
          </w:tcPr>
          <w:p w14:paraId="7DBEC45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0.0081</w:t>
            </w:r>
          </w:p>
        </w:tc>
        <w:tc>
          <w:tcPr>
            <w:tcW w:w="1327" w:type="dxa"/>
            <w:tcBorders>
              <w:tl2br w:val="nil"/>
              <w:tr2bl w:val="nil"/>
            </w:tcBorders>
            <w:shd w:val="clear" w:color="auto" w:fill="auto"/>
            <w:noWrap/>
            <w:vAlign w:val="bottom"/>
          </w:tcPr>
          <w:p w14:paraId="4F1B5EA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2.5</w:t>
            </w:r>
          </w:p>
        </w:tc>
        <w:tc>
          <w:tcPr>
            <w:tcW w:w="1327" w:type="dxa"/>
            <w:tcBorders>
              <w:tl2br w:val="nil"/>
              <w:tr2bl w:val="nil"/>
            </w:tcBorders>
            <w:shd w:val="clear" w:color="auto" w:fill="auto"/>
            <w:noWrap/>
            <w:vAlign w:val="bottom"/>
          </w:tcPr>
          <w:p w14:paraId="1EF6313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79.8</w:t>
            </w:r>
          </w:p>
        </w:tc>
      </w:tr>
      <w:tr w14:paraId="28A15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1345260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0601475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185A13E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0.389</w:t>
            </w:r>
          </w:p>
        </w:tc>
        <w:tc>
          <w:tcPr>
            <w:tcW w:w="833" w:type="dxa"/>
            <w:tcBorders>
              <w:tl2br w:val="nil"/>
              <w:tr2bl w:val="nil"/>
            </w:tcBorders>
            <w:shd w:val="clear" w:color="auto" w:fill="auto"/>
            <w:noWrap/>
            <w:vAlign w:val="bottom"/>
          </w:tcPr>
          <w:p w14:paraId="19370B0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0.399</w:t>
            </w:r>
          </w:p>
        </w:tc>
        <w:tc>
          <w:tcPr>
            <w:tcW w:w="833" w:type="dxa"/>
            <w:tcBorders>
              <w:tl2br w:val="nil"/>
              <w:tr2bl w:val="nil"/>
            </w:tcBorders>
            <w:shd w:val="clear" w:color="auto" w:fill="auto"/>
            <w:noWrap/>
            <w:vAlign w:val="bottom"/>
          </w:tcPr>
          <w:p w14:paraId="6D0118C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0.390</w:t>
            </w:r>
          </w:p>
        </w:tc>
        <w:tc>
          <w:tcPr>
            <w:tcW w:w="833" w:type="dxa"/>
            <w:tcBorders>
              <w:tl2br w:val="nil"/>
              <w:tr2bl w:val="nil"/>
            </w:tcBorders>
            <w:shd w:val="clear" w:color="auto" w:fill="auto"/>
            <w:noWrap/>
            <w:vAlign w:val="bottom"/>
          </w:tcPr>
          <w:p w14:paraId="4A292F3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0.379</w:t>
            </w:r>
          </w:p>
        </w:tc>
        <w:tc>
          <w:tcPr>
            <w:tcW w:w="833" w:type="dxa"/>
            <w:tcBorders>
              <w:tl2br w:val="nil"/>
              <w:tr2bl w:val="nil"/>
            </w:tcBorders>
            <w:shd w:val="clear" w:color="auto" w:fill="auto"/>
            <w:noWrap/>
            <w:vAlign w:val="bottom"/>
          </w:tcPr>
          <w:p w14:paraId="13875B1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0.364</w:t>
            </w:r>
          </w:p>
        </w:tc>
        <w:tc>
          <w:tcPr>
            <w:tcW w:w="852" w:type="dxa"/>
            <w:tcBorders>
              <w:tl2br w:val="nil"/>
              <w:tr2bl w:val="nil"/>
            </w:tcBorders>
            <w:shd w:val="clear" w:color="auto" w:fill="auto"/>
            <w:noWrap/>
            <w:vAlign w:val="bottom"/>
          </w:tcPr>
          <w:p w14:paraId="2D6B1FB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0.383</w:t>
            </w:r>
          </w:p>
        </w:tc>
        <w:tc>
          <w:tcPr>
            <w:tcW w:w="1326" w:type="dxa"/>
            <w:tcBorders>
              <w:tl2br w:val="nil"/>
              <w:tr2bl w:val="nil"/>
            </w:tcBorders>
            <w:shd w:val="clear" w:color="auto" w:fill="auto"/>
            <w:noWrap/>
            <w:vAlign w:val="bottom"/>
          </w:tcPr>
          <w:p w14:paraId="38AF4C4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0.384</w:t>
            </w:r>
          </w:p>
        </w:tc>
        <w:tc>
          <w:tcPr>
            <w:tcW w:w="1326" w:type="dxa"/>
            <w:tcBorders>
              <w:tl2br w:val="nil"/>
              <w:tr2bl w:val="nil"/>
            </w:tcBorders>
            <w:shd w:val="clear" w:color="auto" w:fill="auto"/>
            <w:noWrap/>
            <w:vAlign w:val="bottom"/>
          </w:tcPr>
          <w:p w14:paraId="1CE8C2A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0.0117</w:t>
            </w:r>
          </w:p>
        </w:tc>
        <w:tc>
          <w:tcPr>
            <w:tcW w:w="1327" w:type="dxa"/>
            <w:tcBorders>
              <w:tl2br w:val="nil"/>
              <w:tr2bl w:val="nil"/>
            </w:tcBorders>
            <w:shd w:val="clear" w:color="auto" w:fill="auto"/>
            <w:noWrap/>
            <w:vAlign w:val="bottom"/>
          </w:tcPr>
          <w:p w14:paraId="164650B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3.1</w:t>
            </w:r>
          </w:p>
        </w:tc>
        <w:tc>
          <w:tcPr>
            <w:tcW w:w="1327" w:type="dxa"/>
            <w:tcBorders>
              <w:tl2br w:val="nil"/>
              <w:tr2bl w:val="nil"/>
            </w:tcBorders>
            <w:shd w:val="clear" w:color="auto" w:fill="auto"/>
            <w:noWrap/>
            <w:vAlign w:val="bottom"/>
          </w:tcPr>
          <w:p w14:paraId="7823B7A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96.0</w:t>
            </w:r>
          </w:p>
        </w:tc>
      </w:tr>
      <w:tr w14:paraId="373A0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433B1DEA">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7C2B1F80">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7A20E59">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附表17-3  土壤高浓度加标样品（0.70 mg/kg）精密度和正确度验证数据</w:t>
      </w:r>
    </w:p>
    <w:p w14:paraId="2535A1B2">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辽宁省生态环境监测中心    </w:t>
      </w:r>
    </w:p>
    <w:p w14:paraId="0D663B53">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2024年12月16日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46C76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0D44C4A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44BCF04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55A2117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098DA2A2">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83"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83" DrawAspect="Content" ObjectID="_1468075871" r:id="rId228">
                  <o:LockedField>false</o:LockedField>
                </o:OLEObject>
              </w:object>
            </w:r>
          </w:p>
          <w:p w14:paraId="2D488E1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241F319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84"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84" DrawAspect="Content" ObjectID="_1468075872" r:id="rId229">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1B8A745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4BA15C0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69D31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69A69D6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6243445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53FF5B2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733DF43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1134072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3F8DE31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6E748A3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029355F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1DACD5F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4B08CA7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362E43D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D7F6E1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0BCB4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1884E7F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3ECE3A1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7FB2888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0.671</w:t>
            </w:r>
          </w:p>
        </w:tc>
        <w:tc>
          <w:tcPr>
            <w:tcW w:w="833" w:type="dxa"/>
            <w:tcBorders>
              <w:tl2br w:val="nil"/>
              <w:tr2bl w:val="nil"/>
            </w:tcBorders>
            <w:shd w:val="clear" w:color="auto" w:fill="auto"/>
            <w:noWrap/>
            <w:vAlign w:val="bottom"/>
          </w:tcPr>
          <w:p w14:paraId="2ADA56A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0.671</w:t>
            </w:r>
          </w:p>
        </w:tc>
        <w:tc>
          <w:tcPr>
            <w:tcW w:w="833" w:type="dxa"/>
            <w:tcBorders>
              <w:tl2br w:val="nil"/>
              <w:tr2bl w:val="nil"/>
            </w:tcBorders>
            <w:shd w:val="clear" w:color="auto" w:fill="auto"/>
            <w:noWrap/>
            <w:vAlign w:val="bottom"/>
          </w:tcPr>
          <w:p w14:paraId="5617392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0.685</w:t>
            </w:r>
          </w:p>
        </w:tc>
        <w:tc>
          <w:tcPr>
            <w:tcW w:w="833" w:type="dxa"/>
            <w:tcBorders>
              <w:tl2br w:val="nil"/>
              <w:tr2bl w:val="nil"/>
            </w:tcBorders>
            <w:shd w:val="clear" w:color="auto" w:fill="auto"/>
            <w:noWrap/>
            <w:vAlign w:val="bottom"/>
          </w:tcPr>
          <w:p w14:paraId="1490A23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0.669</w:t>
            </w:r>
          </w:p>
        </w:tc>
        <w:tc>
          <w:tcPr>
            <w:tcW w:w="833" w:type="dxa"/>
            <w:tcBorders>
              <w:tl2br w:val="nil"/>
              <w:tr2bl w:val="nil"/>
            </w:tcBorders>
            <w:shd w:val="clear" w:color="auto" w:fill="auto"/>
            <w:noWrap/>
            <w:vAlign w:val="bottom"/>
          </w:tcPr>
          <w:p w14:paraId="362B298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0.645</w:t>
            </w:r>
          </w:p>
        </w:tc>
        <w:tc>
          <w:tcPr>
            <w:tcW w:w="852" w:type="dxa"/>
            <w:tcBorders>
              <w:tl2br w:val="nil"/>
              <w:tr2bl w:val="nil"/>
            </w:tcBorders>
            <w:shd w:val="clear" w:color="auto" w:fill="auto"/>
            <w:noWrap/>
            <w:vAlign w:val="bottom"/>
          </w:tcPr>
          <w:p w14:paraId="2B9ED9E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0.655</w:t>
            </w:r>
          </w:p>
        </w:tc>
        <w:tc>
          <w:tcPr>
            <w:tcW w:w="1326" w:type="dxa"/>
            <w:tcBorders>
              <w:tl2br w:val="nil"/>
              <w:tr2bl w:val="nil"/>
            </w:tcBorders>
            <w:shd w:val="clear" w:color="auto" w:fill="auto"/>
            <w:noWrap/>
            <w:vAlign w:val="bottom"/>
          </w:tcPr>
          <w:p w14:paraId="2606E54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0.666</w:t>
            </w:r>
          </w:p>
        </w:tc>
        <w:tc>
          <w:tcPr>
            <w:tcW w:w="1326" w:type="dxa"/>
            <w:tcBorders>
              <w:tl2br w:val="nil"/>
              <w:tr2bl w:val="nil"/>
            </w:tcBorders>
            <w:shd w:val="clear" w:color="auto" w:fill="auto"/>
            <w:noWrap/>
            <w:vAlign w:val="bottom"/>
          </w:tcPr>
          <w:p w14:paraId="136BBAC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0.0140</w:t>
            </w:r>
          </w:p>
        </w:tc>
        <w:tc>
          <w:tcPr>
            <w:tcW w:w="1327" w:type="dxa"/>
            <w:tcBorders>
              <w:tl2br w:val="nil"/>
              <w:tr2bl w:val="nil"/>
            </w:tcBorders>
            <w:shd w:val="clear" w:color="auto" w:fill="auto"/>
            <w:noWrap/>
            <w:vAlign w:val="bottom"/>
          </w:tcPr>
          <w:p w14:paraId="47F7EFB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c>
          <w:tcPr>
            <w:tcW w:w="1327" w:type="dxa"/>
            <w:tcBorders>
              <w:tl2br w:val="nil"/>
              <w:tr2bl w:val="nil"/>
            </w:tcBorders>
            <w:shd w:val="clear" w:color="auto" w:fill="auto"/>
            <w:noWrap/>
            <w:vAlign w:val="bottom"/>
          </w:tcPr>
          <w:p w14:paraId="2473A0E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95.2</w:t>
            </w:r>
          </w:p>
        </w:tc>
      </w:tr>
      <w:tr w14:paraId="483B3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63133F8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1267A49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54E7E38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0.738</w:t>
            </w:r>
          </w:p>
        </w:tc>
        <w:tc>
          <w:tcPr>
            <w:tcW w:w="833" w:type="dxa"/>
            <w:tcBorders>
              <w:tl2br w:val="nil"/>
              <w:tr2bl w:val="nil"/>
            </w:tcBorders>
            <w:shd w:val="clear" w:color="auto" w:fill="auto"/>
            <w:noWrap/>
            <w:vAlign w:val="bottom"/>
          </w:tcPr>
          <w:p w14:paraId="25C3E5E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0.738</w:t>
            </w:r>
          </w:p>
        </w:tc>
        <w:tc>
          <w:tcPr>
            <w:tcW w:w="833" w:type="dxa"/>
            <w:tcBorders>
              <w:tl2br w:val="nil"/>
              <w:tr2bl w:val="nil"/>
            </w:tcBorders>
            <w:shd w:val="clear" w:color="auto" w:fill="auto"/>
            <w:noWrap/>
            <w:vAlign w:val="bottom"/>
          </w:tcPr>
          <w:p w14:paraId="331EADD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0.714</w:t>
            </w:r>
          </w:p>
        </w:tc>
        <w:tc>
          <w:tcPr>
            <w:tcW w:w="833" w:type="dxa"/>
            <w:tcBorders>
              <w:tl2br w:val="nil"/>
              <w:tr2bl w:val="nil"/>
            </w:tcBorders>
            <w:shd w:val="clear" w:color="auto" w:fill="auto"/>
            <w:noWrap/>
            <w:vAlign w:val="bottom"/>
          </w:tcPr>
          <w:p w14:paraId="117DCA0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0.747</w:t>
            </w:r>
          </w:p>
        </w:tc>
        <w:tc>
          <w:tcPr>
            <w:tcW w:w="833" w:type="dxa"/>
            <w:tcBorders>
              <w:tl2br w:val="nil"/>
              <w:tr2bl w:val="nil"/>
            </w:tcBorders>
            <w:shd w:val="clear" w:color="auto" w:fill="auto"/>
            <w:noWrap/>
            <w:vAlign w:val="bottom"/>
          </w:tcPr>
          <w:p w14:paraId="418753E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0.734</w:t>
            </w:r>
          </w:p>
        </w:tc>
        <w:tc>
          <w:tcPr>
            <w:tcW w:w="852" w:type="dxa"/>
            <w:tcBorders>
              <w:tl2br w:val="nil"/>
              <w:tr2bl w:val="nil"/>
            </w:tcBorders>
            <w:shd w:val="clear" w:color="auto" w:fill="auto"/>
            <w:noWrap/>
            <w:vAlign w:val="bottom"/>
          </w:tcPr>
          <w:p w14:paraId="50D5198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0.752</w:t>
            </w:r>
          </w:p>
        </w:tc>
        <w:tc>
          <w:tcPr>
            <w:tcW w:w="1326" w:type="dxa"/>
            <w:tcBorders>
              <w:tl2br w:val="nil"/>
              <w:tr2bl w:val="nil"/>
            </w:tcBorders>
            <w:shd w:val="clear" w:color="auto" w:fill="auto"/>
            <w:noWrap/>
            <w:vAlign w:val="bottom"/>
          </w:tcPr>
          <w:p w14:paraId="4D88307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0.737</w:t>
            </w:r>
          </w:p>
        </w:tc>
        <w:tc>
          <w:tcPr>
            <w:tcW w:w="1326" w:type="dxa"/>
            <w:tcBorders>
              <w:tl2br w:val="nil"/>
              <w:tr2bl w:val="nil"/>
            </w:tcBorders>
            <w:shd w:val="clear" w:color="auto" w:fill="auto"/>
            <w:noWrap/>
            <w:vAlign w:val="bottom"/>
          </w:tcPr>
          <w:p w14:paraId="6C32F34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0.0130</w:t>
            </w:r>
          </w:p>
        </w:tc>
        <w:tc>
          <w:tcPr>
            <w:tcW w:w="1327" w:type="dxa"/>
            <w:tcBorders>
              <w:tl2br w:val="nil"/>
              <w:tr2bl w:val="nil"/>
            </w:tcBorders>
            <w:shd w:val="clear" w:color="auto" w:fill="auto"/>
            <w:noWrap/>
            <w:vAlign w:val="bottom"/>
          </w:tcPr>
          <w:p w14:paraId="453465C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1.8</w:t>
            </w:r>
          </w:p>
        </w:tc>
        <w:tc>
          <w:tcPr>
            <w:tcW w:w="1327" w:type="dxa"/>
            <w:tcBorders>
              <w:tl2br w:val="nil"/>
              <w:tr2bl w:val="nil"/>
            </w:tcBorders>
            <w:shd w:val="clear" w:color="auto" w:fill="auto"/>
            <w:noWrap/>
            <w:vAlign w:val="bottom"/>
          </w:tcPr>
          <w:p w14:paraId="36A893B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r>
      <w:tr w14:paraId="6418E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0C972F14">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64645AC7">
      <w:pPr>
        <w:bidi w:val="0"/>
        <w:ind w:left="0" w:leftChars="0" w:firstLine="0" w:firstLineChars="0"/>
        <w:jc w:val="center"/>
        <w:rPr>
          <w:rFonts w:hint="default" w:ascii="Times New Roman" w:hAnsi="Times New Roman" w:cs="Times New Roman"/>
          <w:lang w:val="en-US" w:eastAsia="zh-CN"/>
        </w:rPr>
      </w:pPr>
    </w:p>
    <w:p w14:paraId="430A4B78">
      <w:pPr>
        <w:bidi w:val="0"/>
        <w:ind w:left="0" w:leftChars="0" w:firstLine="0" w:firstLineChars="0"/>
        <w:jc w:val="center"/>
        <w:rPr>
          <w:rFonts w:hint="default" w:ascii="Times New Roman" w:hAnsi="Times New Roman" w:cs="Times New Roman"/>
          <w:lang w:val="en-US" w:eastAsia="zh-CN"/>
        </w:rPr>
      </w:pPr>
    </w:p>
    <w:p w14:paraId="0730ADE1">
      <w:pPr>
        <w:bidi w:val="0"/>
        <w:ind w:left="0" w:leftChars="0" w:firstLine="0" w:firstLineChars="0"/>
        <w:jc w:val="center"/>
        <w:rPr>
          <w:rFonts w:hint="default" w:ascii="Times New Roman" w:hAnsi="Times New Roman" w:cs="Times New Roman"/>
          <w:lang w:val="en-US" w:eastAsia="zh-CN"/>
        </w:rPr>
      </w:pPr>
    </w:p>
    <w:p w14:paraId="7BA183A2">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附表18-1  空白低浓度加标样品（0.10 mg/kg）精密度和正确度验证数据</w:t>
      </w:r>
    </w:p>
    <w:p w14:paraId="2E308CEF">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lang w:val="en-US" w:eastAsia="zh-CN"/>
        </w:rPr>
        <w:t>江苏省徐州生态环境监测中心</w:t>
      </w:r>
      <w:r>
        <w:rPr>
          <w:rFonts w:hint="default" w:ascii="Times New Roman" w:hAnsi="Times New Roman" w:cs="Times New Roman"/>
          <w:color w:val="000000"/>
          <w:sz w:val="21"/>
          <w:szCs w:val="21"/>
          <w:highlight w:val="none"/>
          <w:u w:val="single"/>
          <w:lang w:val="en-US" w:eastAsia="zh-CN"/>
        </w:rPr>
        <w:t xml:space="preserve"> </w:t>
      </w:r>
    </w:p>
    <w:p w14:paraId="7B16DEDD">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2024年12月20日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6A9FE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42C67E3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2863F9F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33083A7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4D6AB1BF">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8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85" DrawAspect="Content" ObjectID="_1468075873" r:id="rId230">
                  <o:LockedField>false</o:LockedField>
                </o:OLEObject>
              </w:object>
            </w:r>
          </w:p>
          <w:p w14:paraId="6C14945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200310B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8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86" DrawAspect="Content" ObjectID="_1468075874" r:id="rId231">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318A6BD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4DAFD6D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427C9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7D7F3F9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3BDE0AF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19288F8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23105D8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3216613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4B8201B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42FA106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059522A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35A5B261">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495C158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76F4815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454741C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3240C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6C5EAA9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3AFE738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03A1203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0.085</w:t>
            </w:r>
          </w:p>
        </w:tc>
        <w:tc>
          <w:tcPr>
            <w:tcW w:w="833" w:type="dxa"/>
            <w:tcBorders>
              <w:tl2br w:val="nil"/>
              <w:tr2bl w:val="nil"/>
            </w:tcBorders>
            <w:shd w:val="clear" w:color="auto" w:fill="auto"/>
            <w:noWrap/>
            <w:vAlign w:val="center"/>
          </w:tcPr>
          <w:p w14:paraId="49A8E31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0.081</w:t>
            </w:r>
          </w:p>
        </w:tc>
        <w:tc>
          <w:tcPr>
            <w:tcW w:w="833" w:type="dxa"/>
            <w:tcBorders>
              <w:tl2br w:val="nil"/>
              <w:tr2bl w:val="nil"/>
            </w:tcBorders>
            <w:shd w:val="clear" w:color="auto" w:fill="auto"/>
            <w:noWrap/>
            <w:vAlign w:val="center"/>
          </w:tcPr>
          <w:p w14:paraId="1F14A2C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0.080</w:t>
            </w:r>
          </w:p>
        </w:tc>
        <w:tc>
          <w:tcPr>
            <w:tcW w:w="833" w:type="dxa"/>
            <w:tcBorders>
              <w:tl2br w:val="nil"/>
              <w:tr2bl w:val="nil"/>
            </w:tcBorders>
            <w:shd w:val="clear" w:color="auto" w:fill="auto"/>
            <w:noWrap/>
            <w:vAlign w:val="center"/>
          </w:tcPr>
          <w:p w14:paraId="79E8543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0.077</w:t>
            </w:r>
          </w:p>
        </w:tc>
        <w:tc>
          <w:tcPr>
            <w:tcW w:w="833" w:type="dxa"/>
            <w:tcBorders>
              <w:tl2br w:val="nil"/>
              <w:tr2bl w:val="nil"/>
            </w:tcBorders>
            <w:shd w:val="clear" w:color="auto" w:fill="auto"/>
            <w:noWrap/>
            <w:vAlign w:val="center"/>
          </w:tcPr>
          <w:p w14:paraId="17C0E91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0.095</w:t>
            </w:r>
          </w:p>
        </w:tc>
        <w:tc>
          <w:tcPr>
            <w:tcW w:w="852" w:type="dxa"/>
            <w:tcBorders>
              <w:tl2br w:val="nil"/>
              <w:tr2bl w:val="nil"/>
            </w:tcBorders>
            <w:shd w:val="clear" w:color="auto" w:fill="auto"/>
            <w:noWrap/>
            <w:vAlign w:val="center"/>
          </w:tcPr>
          <w:p w14:paraId="0B91F97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0.088</w:t>
            </w:r>
          </w:p>
        </w:tc>
        <w:tc>
          <w:tcPr>
            <w:tcW w:w="1326" w:type="dxa"/>
            <w:tcBorders>
              <w:tl2br w:val="nil"/>
              <w:tr2bl w:val="nil"/>
            </w:tcBorders>
            <w:shd w:val="clear" w:color="auto" w:fill="auto"/>
            <w:noWrap/>
            <w:vAlign w:val="center"/>
          </w:tcPr>
          <w:p w14:paraId="5416FF6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0.084</w:t>
            </w:r>
          </w:p>
        </w:tc>
        <w:tc>
          <w:tcPr>
            <w:tcW w:w="1326" w:type="dxa"/>
            <w:tcBorders>
              <w:tl2br w:val="nil"/>
              <w:tr2bl w:val="nil"/>
            </w:tcBorders>
            <w:shd w:val="clear" w:color="auto" w:fill="auto"/>
            <w:noWrap/>
            <w:vAlign w:val="center"/>
          </w:tcPr>
          <w:p w14:paraId="57D7312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0.0066</w:t>
            </w:r>
          </w:p>
        </w:tc>
        <w:tc>
          <w:tcPr>
            <w:tcW w:w="1327" w:type="dxa"/>
            <w:tcBorders>
              <w:tl2br w:val="nil"/>
              <w:tr2bl w:val="nil"/>
            </w:tcBorders>
            <w:shd w:val="clear" w:color="auto" w:fill="auto"/>
            <w:noWrap/>
            <w:vAlign w:val="center"/>
          </w:tcPr>
          <w:p w14:paraId="6DEFDA6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7.8</w:t>
            </w:r>
          </w:p>
        </w:tc>
        <w:tc>
          <w:tcPr>
            <w:tcW w:w="1327" w:type="dxa"/>
            <w:tcBorders>
              <w:tl2br w:val="nil"/>
              <w:tr2bl w:val="nil"/>
            </w:tcBorders>
            <w:shd w:val="clear" w:color="auto" w:fill="auto"/>
            <w:noWrap/>
            <w:vAlign w:val="center"/>
          </w:tcPr>
          <w:p w14:paraId="60F8457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84.5</w:t>
            </w:r>
          </w:p>
        </w:tc>
      </w:tr>
      <w:tr w14:paraId="69A56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7D3517B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72AFB80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621FF96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0.092</w:t>
            </w:r>
          </w:p>
        </w:tc>
        <w:tc>
          <w:tcPr>
            <w:tcW w:w="833" w:type="dxa"/>
            <w:tcBorders>
              <w:tl2br w:val="nil"/>
              <w:tr2bl w:val="nil"/>
            </w:tcBorders>
            <w:shd w:val="clear" w:color="auto" w:fill="auto"/>
            <w:noWrap/>
            <w:vAlign w:val="center"/>
          </w:tcPr>
          <w:p w14:paraId="701062C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0.087</w:t>
            </w:r>
          </w:p>
        </w:tc>
        <w:tc>
          <w:tcPr>
            <w:tcW w:w="833" w:type="dxa"/>
            <w:tcBorders>
              <w:tl2br w:val="nil"/>
              <w:tr2bl w:val="nil"/>
            </w:tcBorders>
            <w:shd w:val="clear" w:color="auto" w:fill="auto"/>
            <w:noWrap/>
            <w:vAlign w:val="center"/>
          </w:tcPr>
          <w:p w14:paraId="020B752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0.087</w:t>
            </w:r>
          </w:p>
        </w:tc>
        <w:tc>
          <w:tcPr>
            <w:tcW w:w="833" w:type="dxa"/>
            <w:tcBorders>
              <w:tl2br w:val="nil"/>
              <w:tr2bl w:val="nil"/>
            </w:tcBorders>
            <w:shd w:val="clear" w:color="auto" w:fill="auto"/>
            <w:noWrap/>
            <w:vAlign w:val="center"/>
          </w:tcPr>
          <w:p w14:paraId="6906E08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0.082</w:t>
            </w:r>
          </w:p>
        </w:tc>
        <w:tc>
          <w:tcPr>
            <w:tcW w:w="833" w:type="dxa"/>
            <w:tcBorders>
              <w:tl2br w:val="nil"/>
              <w:tr2bl w:val="nil"/>
            </w:tcBorders>
            <w:shd w:val="clear" w:color="auto" w:fill="auto"/>
            <w:noWrap/>
            <w:vAlign w:val="center"/>
          </w:tcPr>
          <w:p w14:paraId="2828022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0.107</w:t>
            </w:r>
          </w:p>
        </w:tc>
        <w:tc>
          <w:tcPr>
            <w:tcW w:w="852" w:type="dxa"/>
            <w:tcBorders>
              <w:tl2br w:val="nil"/>
              <w:tr2bl w:val="nil"/>
            </w:tcBorders>
            <w:shd w:val="clear" w:color="auto" w:fill="auto"/>
            <w:noWrap/>
            <w:vAlign w:val="center"/>
          </w:tcPr>
          <w:p w14:paraId="277E40D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0.096</w:t>
            </w:r>
          </w:p>
        </w:tc>
        <w:tc>
          <w:tcPr>
            <w:tcW w:w="1326" w:type="dxa"/>
            <w:tcBorders>
              <w:tl2br w:val="nil"/>
              <w:tr2bl w:val="nil"/>
            </w:tcBorders>
            <w:shd w:val="clear" w:color="auto" w:fill="auto"/>
            <w:noWrap/>
            <w:vAlign w:val="center"/>
          </w:tcPr>
          <w:p w14:paraId="22EEDDF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0.092</w:t>
            </w:r>
          </w:p>
        </w:tc>
        <w:tc>
          <w:tcPr>
            <w:tcW w:w="1326" w:type="dxa"/>
            <w:tcBorders>
              <w:tl2br w:val="nil"/>
              <w:tr2bl w:val="nil"/>
            </w:tcBorders>
            <w:shd w:val="clear" w:color="auto" w:fill="auto"/>
            <w:noWrap/>
            <w:vAlign w:val="center"/>
          </w:tcPr>
          <w:p w14:paraId="7268AFB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0.0087</w:t>
            </w:r>
          </w:p>
        </w:tc>
        <w:tc>
          <w:tcPr>
            <w:tcW w:w="1327" w:type="dxa"/>
            <w:tcBorders>
              <w:tl2br w:val="nil"/>
              <w:tr2bl w:val="nil"/>
            </w:tcBorders>
            <w:shd w:val="clear" w:color="auto" w:fill="auto"/>
            <w:noWrap/>
            <w:vAlign w:val="center"/>
          </w:tcPr>
          <w:p w14:paraId="6709F01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9.5</w:t>
            </w:r>
          </w:p>
        </w:tc>
        <w:tc>
          <w:tcPr>
            <w:tcW w:w="1327" w:type="dxa"/>
            <w:tcBorders>
              <w:tl2br w:val="nil"/>
              <w:tr2bl w:val="nil"/>
            </w:tcBorders>
            <w:shd w:val="clear" w:color="auto" w:fill="auto"/>
            <w:noWrap/>
            <w:vAlign w:val="center"/>
          </w:tcPr>
          <w:p w14:paraId="343F946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91.7</w:t>
            </w:r>
          </w:p>
        </w:tc>
      </w:tr>
      <w:tr w14:paraId="5C15E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194F5DE1">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395E4DB5">
      <w:pPr>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u w:val="single"/>
          <w:lang w:val="en-US"/>
        </w:rPr>
        <w:br w:type="page"/>
      </w:r>
    </w:p>
    <w:p w14:paraId="3301E996">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附表18-2  空白中浓度加标样品（0.40 mg/kg）精密度和正确度验证数据</w:t>
      </w:r>
    </w:p>
    <w:p w14:paraId="19BDB85A">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lang w:val="en-US" w:eastAsia="zh-CN"/>
        </w:rPr>
        <w:t>江苏省徐州生态环境监测中心</w:t>
      </w:r>
      <w:r>
        <w:rPr>
          <w:rFonts w:hint="default" w:ascii="Times New Roman" w:hAnsi="Times New Roman" w:cs="Times New Roman"/>
          <w:color w:val="000000"/>
          <w:sz w:val="21"/>
          <w:szCs w:val="21"/>
          <w:highlight w:val="none"/>
          <w:u w:val="single"/>
          <w:lang w:val="en-US" w:eastAsia="zh-CN"/>
        </w:rPr>
        <w:t xml:space="preserve"> </w:t>
      </w:r>
    </w:p>
    <w:p w14:paraId="75B576EF">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2024年12月20日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6EC0B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5B58DC7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06F39ED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7EAAF73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334B38F3">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8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87" DrawAspect="Content" ObjectID="_1468075875" r:id="rId232">
                  <o:LockedField>false</o:LockedField>
                </o:OLEObject>
              </w:object>
            </w:r>
          </w:p>
          <w:p w14:paraId="41B7F2A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190FB82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8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88" DrawAspect="Content" ObjectID="_1468075876" r:id="rId233">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5ED55488">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730A4B1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565F0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037C7DD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47E5E3A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2A61309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3AD6769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3C0878D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4BFC9F2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1CC5FBF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4FC4CDF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50C97CB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40C32C46">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3C4FA54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715F72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766E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3B1FE37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1CBE97E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63C621C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0.399</w:t>
            </w:r>
          </w:p>
        </w:tc>
        <w:tc>
          <w:tcPr>
            <w:tcW w:w="833" w:type="dxa"/>
            <w:tcBorders>
              <w:tl2br w:val="nil"/>
              <w:tr2bl w:val="nil"/>
            </w:tcBorders>
            <w:shd w:val="clear" w:color="auto" w:fill="auto"/>
            <w:noWrap/>
            <w:vAlign w:val="center"/>
          </w:tcPr>
          <w:p w14:paraId="41175BB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0.395</w:t>
            </w:r>
          </w:p>
        </w:tc>
        <w:tc>
          <w:tcPr>
            <w:tcW w:w="833" w:type="dxa"/>
            <w:tcBorders>
              <w:tl2br w:val="nil"/>
              <w:tr2bl w:val="nil"/>
            </w:tcBorders>
            <w:shd w:val="clear" w:color="auto" w:fill="auto"/>
            <w:noWrap/>
            <w:vAlign w:val="center"/>
          </w:tcPr>
          <w:p w14:paraId="6C43E61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0.390</w:t>
            </w:r>
          </w:p>
        </w:tc>
        <w:tc>
          <w:tcPr>
            <w:tcW w:w="833" w:type="dxa"/>
            <w:tcBorders>
              <w:tl2br w:val="nil"/>
              <w:tr2bl w:val="nil"/>
            </w:tcBorders>
            <w:shd w:val="clear" w:color="auto" w:fill="auto"/>
            <w:noWrap/>
            <w:vAlign w:val="center"/>
          </w:tcPr>
          <w:p w14:paraId="1DBF92D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0.338</w:t>
            </w:r>
          </w:p>
        </w:tc>
        <w:tc>
          <w:tcPr>
            <w:tcW w:w="833" w:type="dxa"/>
            <w:tcBorders>
              <w:tl2br w:val="nil"/>
              <w:tr2bl w:val="nil"/>
            </w:tcBorders>
            <w:shd w:val="clear" w:color="auto" w:fill="auto"/>
            <w:noWrap/>
            <w:vAlign w:val="center"/>
          </w:tcPr>
          <w:p w14:paraId="2BBA69E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0.380</w:t>
            </w:r>
          </w:p>
        </w:tc>
        <w:tc>
          <w:tcPr>
            <w:tcW w:w="852" w:type="dxa"/>
            <w:tcBorders>
              <w:tl2br w:val="nil"/>
              <w:tr2bl w:val="nil"/>
            </w:tcBorders>
            <w:shd w:val="clear" w:color="auto" w:fill="auto"/>
            <w:noWrap/>
            <w:vAlign w:val="center"/>
          </w:tcPr>
          <w:p w14:paraId="0D2E185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0.368</w:t>
            </w:r>
          </w:p>
        </w:tc>
        <w:tc>
          <w:tcPr>
            <w:tcW w:w="1326" w:type="dxa"/>
            <w:tcBorders>
              <w:tl2br w:val="nil"/>
              <w:tr2bl w:val="nil"/>
            </w:tcBorders>
            <w:shd w:val="clear" w:color="auto" w:fill="auto"/>
            <w:noWrap/>
            <w:vAlign w:val="center"/>
          </w:tcPr>
          <w:p w14:paraId="4EBDF2F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0.379</w:t>
            </w:r>
          </w:p>
        </w:tc>
        <w:tc>
          <w:tcPr>
            <w:tcW w:w="1326" w:type="dxa"/>
            <w:tcBorders>
              <w:tl2br w:val="nil"/>
              <w:tr2bl w:val="nil"/>
            </w:tcBorders>
            <w:shd w:val="clear" w:color="auto" w:fill="auto"/>
            <w:noWrap/>
            <w:vAlign w:val="center"/>
          </w:tcPr>
          <w:p w14:paraId="3B3EA54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0.0227</w:t>
            </w:r>
          </w:p>
        </w:tc>
        <w:tc>
          <w:tcPr>
            <w:tcW w:w="1327" w:type="dxa"/>
            <w:tcBorders>
              <w:tl2br w:val="nil"/>
              <w:tr2bl w:val="nil"/>
            </w:tcBorders>
            <w:shd w:val="clear" w:color="auto" w:fill="auto"/>
            <w:noWrap/>
            <w:vAlign w:val="center"/>
          </w:tcPr>
          <w:p w14:paraId="4EA8971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6.0</w:t>
            </w:r>
          </w:p>
        </w:tc>
        <w:tc>
          <w:tcPr>
            <w:tcW w:w="1327" w:type="dxa"/>
            <w:tcBorders>
              <w:tl2br w:val="nil"/>
              <w:tr2bl w:val="nil"/>
            </w:tcBorders>
            <w:shd w:val="clear" w:color="auto" w:fill="auto"/>
            <w:noWrap/>
            <w:vAlign w:val="center"/>
          </w:tcPr>
          <w:p w14:paraId="586A491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94.6</w:t>
            </w:r>
          </w:p>
        </w:tc>
      </w:tr>
      <w:tr w14:paraId="0AD31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5597671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336E1A2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4922902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0.420</w:t>
            </w:r>
          </w:p>
        </w:tc>
        <w:tc>
          <w:tcPr>
            <w:tcW w:w="833" w:type="dxa"/>
            <w:tcBorders>
              <w:tl2br w:val="nil"/>
              <w:tr2bl w:val="nil"/>
            </w:tcBorders>
            <w:shd w:val="clear" w:color="auto" w:fill="auto"/>
            <w:noWrap/>
            <w:vAlign w:val="center"/>
          </w:tcPr>
          <w:p w14:paraId="475A26C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0.416</w:t>
            </w:r>
          </w:p>
        </w:tc>
        <w:tc>
          <w:tcPr>
            <w:tcW w:w="833" w:type="dxa"/>
            <w:tcBorders>
              <w:tl2br w:val="nil"/>
              <w:tr2bl w:val="nil"/>
            </w:tcBorders>
            <w:shd w:val="clear" w:color="auto" w:fill="auto"/>
            <w:noWrap/>
            <w:vAlign w:val="center"/>
          </w:tcPr>
          <w:p w14:paraId="5176192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0.411</w:t>
            </w:r>
          </w:p>
        </w:tc>
        <w:tc>
          <w:tcPr>
            <w:tcW w:w="833" w:type="dxa"/>
            <w:tcBorders>
              <w:tl2br w:val="nil"/>
              <w:tr2bl w:val="nil"/>
            </w:tcBorders>
            <w:shd w:val="clear" w:color="auto" w:fill="auto"/>
            <w:noWrap/>
            <w:vAlign w:val="center"/>
          </w:tcPr>
          <w:p w14:paraId="7AD7746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0.367</w:t>
            </w:r>
          </w:p>
        </w:tc>
        <w:tc>
          <w:tcPr>
            <w:tcW w:w="833" w:type="dxa"/>
            <w:tcBorders>
              <w:tl2br w:val="nil"/>
              <w:tr2bl w:val="nil"/>
            </w:tcBorders>
            <w:shd w:val="clear" w:color="auto" w:fill="auto"/>
            <w:noWrap/>
            <w:vAlign w:val="center"/>
          </w:tcPr>
          <w:p w14:paraId="7C6A696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0.412</w:t>
            </w:r>
          </w:p>
        </w:tc>
        <w:tc>
          <w:tcPr>
            <w:tcW w:w="852" w:type="dxa"/>
            <w:tcBorders>
              <w:tl2br w:val="nil"/>
              <w:tr2bl w:val="nil"/>
            </w:tcBorders>
            <w:shd w:val="clear" w:color="auto" w:fill="auto"/>
            <w:noWrap/>
            <w:vAlign w:val="center"/>
          </w:tcPr>
          <w:p w14:paraId="70612DF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0.400</w:t>
            </w:r>
          </w:p>
        </w:tc>
        <w:tc>
          <w:tcPr>
            <w:tcW w:w="1326" w:type="dxa"/>
            <w:tcBorders>
              <w:tl2br w:val="nil"/>
              <w:tr2bl w:val="nil"/>
            </w:tcBorders>
            <w:shd w:val="clear" w:color="auto" w:fill="auto"/>
            <w:noWrap/>
            <w:vAlign w:val="center"/>
          </w:tcPr>
          <w:p w14:paraId="3254B4A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0.404</w:t>
            </w:r>
          </w:p>
        </w:tc>
        <w:tc>
          <w:tcPr>
            <w:tcW w:w="1326" w:type="dxa"/>
            <w:tcBorders>
              <w:tl2br w:val="nil"/>
              <w:tr2bl w:val="nil"/>
            </w:tcBorders>
            <w:shd w:val="clear" w:color="auto" w:fill="auto"/>
            <w:noWrap/>
            <w:vAlign w:val="center"/>
          </w:tcPr>
          <w:p w14:paraId="51F2775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0.0194</w:t>
            </w:r>
          </w:p>
        </w:tc>
        <w:tc>
          <w:tcPr>
            <w:tcW w:w="1327" w:type="dxa"/>
            <w:tcBorders>
              <w:tl2br w:val="nil"/>
              <w:tr2bl w:val="nil"/>
            </w:tcBorders>
            <w:shd w:val="clear" w:color="auto" w:fill="auto"/>
            <w:noWrap/>
            <w:vAlign w:val="center"/>
          </w:tcPr>
          <w:p w14:paraId="40AD089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4.8</w:t>
            </w:r>
          </w:p>
        </w:tc>
        <w:tc>
          <w:tcPr>
            <w:tcW w:w="1327" w:type="dxa"/>
            <w:tcBorders>
              <w:tl2br w:val="nil"/>
              <w:tr2bl w:val="nil"/>
            </w:tcBorders>
            <w:shd w:val="clear" w:color="auto" w:fill="auto"/>
            <w:noWrap/>
            <w:vAlign w:val="center"/>
          </w:tcPr>
          <w:p w14:paraId="21773BF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101</w:t>
            </w:r>
          </w:p>
        </w:tc>
      </w:tr>
      <w:tr w14:paraId="6755F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134A9B2F">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6E61EFD5">
      <w:pPr>
        <w:bidi w:val="0"/>
        <w:rPr>
          <w:rFonts w:hint="default" w:ascii="Times New Roman" w:hAnsi="Times New Roman" w:cs="Times New Roman"/>
          <w:lang w:val="en-US"/>
        </w:rPr>
      </w:pPr>
    </w:p>
    <w:p w14:paraId="514066F0">
      <w:pPr>
        <w:bidi w:val="0"/>
        <w:rPr>
          <w:rFonts w:hint="default" w:ascii="Times New Roman" w:hAnsi="Times New Roman" w:cs="Times New Roman"/>
          <w:lang w:val="en-US"/>
        </w:rPr>
      </w:pPr>
    </w:p>
    <w:p w14:paraId="28459876">
      <w:pPr>
        <w:bidi w:val="0"/>
        <w:rPr>
          <w:rFonts w:hint="default" w:ascii="Times New Roman" w:hAnsi="Times New Roman" w:cs="Times New Roman"/>
          <w:lang w:val="en-US"/>
        </w:rPr>
      </w:pPr>
    </w:p>
    <w:p w14:paraId="6C32FE35">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附表18-3  空白高浓度加标样品（0.70 mg/kg）精密度和正确度验证数据</w:t>
      </w:r>
    </w:p>
    <w:p w14:paraId="1834726A">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lang w:val="en-US" w:eastAsia="zh-CN"/>
        </w:rPr>
        <w:t>江苏省徐州生态环境监测中心</w:t>
      </w:r>
      <w:r>
        <w:rPr>
          <w:rFonts w:hint="default" w:ascii="Times New Roman" w:hAnsi="Times New Roman" w:cs="Times New Roman"/>
          <w:color w:val="000000"/>
          <w:sz w:val="21"/>
          <w:szCs w:val="21"/>
          <w:highlight w:val="none"/>
          <w:u w:val="single"/>
          <w:lang w:val="en-US" w:eastAsia="zh-CN"/>
        </w:rPr>
        <w:t xml:space="preserve"> </w:t>
      </w:r>
    </w:p>
    <w:p w14:paraId="08EB63BF">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2024年12月20日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38B62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595CF13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03449B5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2A5C195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53EDAC16">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89"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89" DrawAspect="Content" ObjectID="_1468075877" r:id="rId234">
                  <o:LockedField>false</o:LockedField>
                </o:OLEObject>
              </w:object>
            </w:r>
          </w:p>
          <w:p w14:paraId="566C820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636B5C8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90"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90" DrawAspect="Content" ObjectID="_1468075878" r:id="rId235">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2007233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0D71EA97">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499F1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6A1DBC5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12934BF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697959C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5B64014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1768757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3C1CD0C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7AFAB40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518F125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23B9BFA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3F036F0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42D77C4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5581FF0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25C74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7C98065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7B65F4F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6B6E80B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0.748</w:t>
            </w:r>
          </w:p>
        </w:tc>
        <w:tc>
          <w:tcPr>
            <w:tcW w:w="833" w:type="dxa"/>
            <w:tcBorders>
              <w:tl2br w:val="nil"/>
              <w:tr2bl w:val="nil"/>
            </w:tcBorders>
            <w:shd w:val="clear" w:color="auto" w:fill="auto"/>
            <w:noWrap/>
            <w:vAlign w:val="center"/>
          </w:tcPr>
          <w:p w14:paraId="6E613C4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0.739</w:t>
            </w:r>
          </w:p>
        </w:tc>
        <w:tc>
          <w:tcPr>
            <w:tcW w:w="833" w:type="dxa"/>
            <w:tcBorders>
              <w:tl2br w:val="nil"/>
              <w:tr2bl w:val="nil"/>
            </w:tcBorders>
            <w:shd w:val="clear" w:color="auto" w:fill="auto"/>
            <w:noWrap/>
            <w:vAlign w:val="center"/>
          </w:tcPr>
          <w:p w14:paraId="1992A89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0.694</w:t>
            </w:r>
          </w:p>
        </w:tc>
        <w:tc>
          <w:tcPr>
            <w:tcW w:w="833" w:type="dxa"/>
            <w:tcBorders>
              <w:tl2br w:val="nil"/>
              <w:tr2bl w:val="nil"/>
            </w:tcBorders>
            <w:shd w:val="clear" w:color="auto" w:fill="auto"/>
            <w:noWrap/>
            <w:vAlign w:val="center"/>
          </w:tcPr>
          <w:p w14:paraId="64166CB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0.696</w:t>
            </w:r>
          </w:p>
        </w:tc>
        <w:tc>
          <w:tcPr>
            <w:tcW w:w="833" w:type="dxa"/>
            <w:tcBorders>
              <w:tl2br w:val="nil"/>
              <w:tr2bl w:val="nil"/>
            </w:tcBorders>
            <w:shd w:val="clear" w:color="auto" w:fill="auto"/>
            <w:noWrap/>
            <w:vAlign w:val="center"/>
          </w:tcPr>
          <w:p w14:paraId="1C3F34C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0.726</w:t>
            </w:r>
          </w:p>
        </w:tc>
        <w:tc>
          <w:tcPr>
            <w:tcW w:w="852" w:type="dxa"/>
            <w:tcBorders>
              <w:tl2br w:val="nil"/>
              <w:tr2bl w:val="nil"/>
            </w:tcBorders>
            <w:shd w:val="clear" w:color="auto" w:fill="auto"/>
            <w:noWrap/>
            <w:vAlign w:val="center"/>
          </w:tcPr>
          <w:p w14:paraId="236B6B8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0.728</w:t>
            </w:r>
          </w:p>
        </w:tc>
        <w:tc>
          <w:tcPr>
            <w:tcW w:w="1326" w:type="dxa"/>
            <w:tcBorders>
              <w:tl2br w:val="nil"/>
              <w:tr2bl w:val="nil"/>
            </w:tcBorders>
            <w:shd w:val="clear" w:color="auto" w:fill="auto"/>
            <w:noWrap/>
            <w:vAlign w:val="center"/>
          </w:tcPr>
          <w:p w14:paraId="5A2AF8A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0.722</w:t>
            </w:r>
          </w:p>
        </w:tc>
        <w:tc>
          <w:tcPr>
            <w:tcW w:w="1326" w:type="dxa"/>
            <w:tcBorders>
              <w:tl2br w:val="nil"/>
              <w:tr2bl w:val="nil"/>
            </w:tcBorders>
            <w:shd w:val="clear" w:color="auto" w:fill="auto"/>
            <w:noWrap/>
            <w:vAlign w:val="center"/>
          </w:tcPr>
          <w:p w14:paraId="48BAEFE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0.0224</w:t>
            </w:r>
          </w:p>
        </w:tc>
        <w:tc>
          <w:tcPr>
            <w:tcW w:w="1327" w:type="dxa"/>
            <w:tcBorders>
              <w:tl2br w:val="nil"/>
              <w:tr2bl w:val="nil"/>
            </w:tcBorders>
            <w:shd w:val="clear" w:color="auto" w:fill="auto"/>
            <w:noWrap/>
            <w:vAlign w:val="center"/>
          </w:tcPr>
          <w:p w14:paraId="629D8E8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3.1</w:t>
            </w:r>
          </w:p>
        </w:tc>
        <w:tc>
          <w:tcPr>
            <w:tcW w:w="1327" w:type="dxa"/>
            <w:tcBorders>
              <w:tl2br w:val="nil"/>
              <w:tr2bl w:val="nil"/>
            </w:tcBorders>
            <w:shd w:val="clear" w:color="auto" w:fill="auto"/>
            <w:noWrap/>
            <w:vAlign w:val="center"/>
          </w:tcPr>
          <w:p w14:paraId="5177202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103</w:t>
            </w:r>
          </w:p>
        </w:tc>
      </w:tr>
      <w:tr w14:paraId="74AFC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14B4B23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7E0510F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1201937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0.738</w:t>
            </w:r>
          </w:p>
        </w:tc>
        <w:tc>
          <w:tcPr>
            <w:tcW w:w="833" w:type="dxa"/>
            <w:tcBorders>
              <w:tl2br w:val="nil"/>
              <w:tr2bl w:val="nil"/>
            </w:tcBorders>
            <w:shd w:val="clear" w:color="auto" w:fill="auto"/>
            <w:noWrap/>
            <w:vAlign w:val="center"/>
          </w:tcPr>
          <w:p w14:paraId="32A014C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0.731</w:t>
            </w:r>
          </w:p>
        </w:tc>
        <w:tc>
          <w:tcPr>
            <w:tcW w:w="833" w:type="dxa"/>
            <w:tcBorders>
              <w:tl2br w:val="nil"/>
              <w:tr2bl w:val="nil"/>
            </w:tcBorders>
            <w:shd w:val="clear" w:color="auto" w:fill="auto"/>
            <w:noWrap/>
            <w:vAlign w:val="center"/>
          </w:tcPr>
          <w:p w14:paraId="387778D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0.702</w:t>
            </w:r>
          </w:p>
        </w:tc>
        <w:tc>
          <w:tcPr>
            <w:tcW w:w="833" w:type="dxa"/>
            <w:tcBorders>
              <w:tl2br w:val="nil"/>
              <w:tr2bl w:val="nil"/>
            </w:tcBorders>
            <w:shd w:val="clear" w:color="auto" w:fill="auto"/>
            <w:noWrap/>
            <w:vAlign w:val="center"/>
          </w:tcPr>
          <w:p w14:paraId="676F99F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0.704</w:t>
            </w:r>
          </w:p>
        </w:tc>
        <w:tc>
          <w:tcPr>
            <w:tcW w:w="833" w:type="dxa"/>
            <w:tcBorders>
              <w:tl2br w:val="nil"/>
              <w:tr2bl w:val="nil"/>
            </w:tcBorders>
            <w:shd w:val="clear" w:color="auto" w:fill="auto"/>
            <w:noWrap/>
            <w:vAlign w:val="center"/>
          </w:tcPr>
          <w:p w14:paraId="3CCFC57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0.728</w:t>
            </w:r>
          </w:p>
        </w:tc>
        <w:tc>
          <w:tcPr>
            <w:tcW w:w="852" w:type="dxa"/>
            <w:tcBorders>
              <w:tl2br w:val="nil"/>
              <w:tr2bl w:val="nil"/>
            </w:tcBorders>
            <w:shd w:val="clear" w:color="auto" w:fill="auto"/>
            <w:noWrap/>
            <w:vAlign w:val="center"/>
          </w:tcPr>
          <w:p w14:paraId="4418837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0.730</w:t>
            </w:r>
          </w:p>
        </w:tc>
        <w:tc>
          <w:tcPr>
            <w:tcW w:w="1326" w:type="dxa"/>
            <w:tcBorders>
              <w:tl2br w:val="nil"/>
              <w:tr2bl w:val="nil"/>
            </w:tcBorders>
            <w:shd w:val="clear" w:color="auto" w:fill="auto"/>
            <w:noWrap/>
            <w:vAlign w:val="center"/>
          </w:tcPr>
          <w:p w14:paraId="71BCEBF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0.722</w:t>
            </w:r>
          </w:p>
        </w:tc>
        <w:tc>
          <w:tcPr>
            <w:tcW w:w="1326" w:type="dxa"/>
            <w:tcBorders>
              <w:tl2br w:val="nil"/>
              <w:tr2bl w:val="nil"/>
            </w:tcBorders>
            <w:shd w:val="clear" w:color="auto" w:fill="auto"/>
            <w:noWrap/>
            <w:vAlign w:val="center"/>
          </w:tcPr>
          <w:p w14:paraId="7BAF53E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0.0154</w:t>
            </w:r>
          </w:p>
        </w:tc>
        <w:tc>
          <w:tcPr>
            <w:tcW w:w="1327" w:type="dxa"/>
            <w:tcBorders>
              <w:tl2br w:val="nil"/>
              <w:tr2bl w:val="nil"/>
            </w:tcBorders>
            <w:shd w:val="clear" w:color="auto" w:fill="auto"/>
            <w:noWrap/>
            <w:vAlign w:val="center"/>
          </w:tcPr>
          <w:p w14:paraId="03C6F89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c>
          <w:tcPr>
            <w:tcW w:w="1327" w:type="dxa"/>
            <w:tcBorders>
              <w:tl2br w:val="nil"/>
              <w:tr2bl w:val="nil"/>
            </w:tcBorders>
            <w:shd w:val="clear" w:color="auto" w:fill="auto"/>
            <w:noWrap/>
            <w:vAlign w:val="center"/>
          </w:tcPr>
          <w:p w14:paraId="2641200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103</w:t>
            </w:r>
          </w:p>
        </w:tc>
      </w:tr>
      <w:tr w14:paraId="7BC34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48B32125">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79C24D30">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A64844A">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附表19-1  土壤低浓度加标样品（0.10 mg/kg）精密度和正确度验证数据</w:t>
      </w:r>
    </w:p>
    <w:p w14:paraId="4804D5D6">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lang w:val="en-US" w:eastAsia="zh-CN"/>
        </w:rPr>
        <w:t>江苏省徐州生态环境监测中心</w:t>
      </w:r>
      <w:r>
        <w:rPr>
          <w:rFonts w:hint="default" w:ascii="Times New Roman" w:hAnsi="Times New Roman" w:cs="Times New Roman"/>
          <w:color w:val="000000"/>
          <w:sz w:val="21"/>
          <w:szCs w:val="21"/>
          <w:highlight w:val="none"/>
          <w:u w:val="single"/>
          <w:lang w:val="en-US" w:eastAsia="zh-CN"/>
        </w:rPr>
        <w:t xml:space="preserve"> </w:t>
      </w:r>
    </w:p>
    <w:p w14:paraId="14D50EB1">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2024年12月20日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74849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1B39613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69CF5A8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09D0108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47EE7602">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91"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91" DrawAspect="Content" ObjectID="_1468075879" r:id="rId236">
                  <o:LockedField>false</o:LockedField>
                </o:OLEObject>
              </w:object>
            </w:r>
          </w:p>
          <w:p w14:paraId="7F3EBA6F">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58E9635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92"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92" DrawAspect="Content" ObjectID="_1468075880" r:id="rId237">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2A5FCDE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37CD11C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64DE1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04F39B0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3691B60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36E1FE2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67724FE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1560E77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4FF8404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3F3F9EF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1FD93A8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66D8B66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6C94ECA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11E5185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6FC99B9">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B197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2404F21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7074F26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7306769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0.090</w:t>
            </w:r>
          </w:p>
        </w:tc>
        <w:tc>
          <w:tcPr>
            <w:tcW w:w="833" w:type="dxa"/>
            <w:tcBorders>
              <w:tl2br w:val="nil"/>
              <w:tr2bl w:val="nil"/>
            </w:tcBorders>
            <w:shd w:val="clear" w:color="auto" w:fill="auto"/>
            <w:noWrap/>
            <w:vAlign w:val="center"/>
          </w:tcPr>
          <w:p w14:paraId="0AECABA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0.096</w:t>
            </w:r>
          </w:p>
        </w:tc>
        <w:tc>
          <w:tcPr>
            <w:tcW w:w="833" w:type="dxa"/>
            <w:tcBorders>
              <w:tl2br w:val="nil"/>
              <w:tr2bl w:val="nil"/>
            </w:tcBorders>
            <w:shd w:val="clear" w:color="auto" w:fill="auto"/>
            <w:noWrap/>
            <w:vAlign w:val="center"/>
          </w:tcPr>
          <w:p w14:paraId="1F63B83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0.096</w:t>
            </w:r>
          </w:p>
        </w:tc>
        <w:tc>
          <w:tcPr>
            <w:tcW w:w="833" w:type="dxa"/>
            <w:tcBorders>
              <w:tl2br w:val="nil"/>
              <w:tr2bl w:val="nil"/>
            </w:tcBorders>
            <w:shd w:val="clear" w:color="auto" w:fill="auto"/>
            <w:noWrap/>
            <w:vAlign w:val="center"/>
          </w:tcPr>
          <w:p w14:paraId="4D296F7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center"/>
          </w:tcPr>
          <w:p w14:paraId="45EB58E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0.095</w:t>
            </w:r>
          </w:p>
        </w:tc>
        <w:tc>
          <w:tcPr>
            <w:tcW w:w="852" w:type="dxa"/>
            <w:tcBorders>
              <w:tl2br w:val="nil"/>
              <w:tr2bl w:val="nil"/>
            </w:tcBorders>
            <w:shd w:val="clear" w:color="auto" w:fill="auto"/>
            <w:noWrap/>
            <w:vAlign w:val="center"/>
          </w:tcPr>
          <w:p w14:paraId="76C274D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0.094</w:t>
            </w:r>
          </w:p>
        </w:tc>
        <w:tc>
          <w:tcPr>
            <w:tcW w:w="1326" w:type="dxa"/>
            <w:tcBorders>
              <w:tl2br w:val="nil"/>
              <w:tr2bl w:val="nil"/>
            </w:tcBorders>
            <w:shd w:val="clear" w:color="auto" w:fill="auto"/>
            <w:noWrap/>
            <w:vAlign w:val="center"/>
          </w:tcPr>
          <w:p w14:paraId="16BBF6B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0.094</w:t>
            </w:r>
          </w:p>
        </w:tc>
        <w:tc>
          <w:tcPr>
            <w:tcW w:w="1326" w:type="dxa"/>
            <w:tcBorders>
              <w:tl2br w:val="nil"/>
              <w:tr2bl w:val="nil"/>
            </w:tcBorders>
            <w:shd w:val="clear" w:color="auto" w:fill="auto"/>
            <w:noWrap/>
            <w:vAlign w:val="center"/>
          </w:tcPr>
          <w:p w14:paraId="737B3D9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0.0019</w:t>
            </w:r>
          </w:p>
        </w:tc>
        <w:tc>
          <w:tcPr>
            <w:tcW w:w="1327" w:type="dxa"/>
            <w:tcBorders>
              <w:tl2br w:val="nil"/>
              <w:tr2bl w:val="nil"/>
            </w:tcBorders>
            <w:shd w:val="clear" w:color="auto" w:fill="auto"/>
            <w:noWrap/>
            <w:vAlign w:val="center"/>
          </w:tcPr>
          <w:p w14:paraId="0E71BBA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2.0</w:t>
            </w:r>
          </w:p>
        </w:tc>
        <w:tc>
          <w:tcPr>
            <w:tcW w:w="1327" w:type="dxa"/>
            <w:tcBorders>
              <w:tl2br w:val="nil"/>
              <w:tr2bl w:val="nil"/>
            </w:tcBorders>
            <w:shd w:val="clear" w:color="auto" w:fill="auto"/>
            <w:noWrap/>
            <w:vAlign w:val="center"/>
          </w:tcPr>
          <w:p w14:paraId="3F46668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93.9</w:t>
            </w:r>
          </w:p>
        </w:tc>
      </w:tr>
      <w:tr w14:paraId="28C15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16F642C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19A883B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2A162AF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center"/>
          </w:tcPr>
          <w:p w14:paraId="675AFC0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0.106</w:t>
            </w:r>
          </w:p>
        </w:tc>
        <w:tc>
          <w:tcPr>
            <w:tcW w:w="833" w:type="dxa"/>
            <w:tcBorders>
              <w:tl2br w:val="nil"/>
              <w:tr2bl w:val="nil"/>
            </w:tcBorders>
            <w:shd w:val="clear" w:color="auto" w:fill="auto"/>
            <w:noWrap/>
            <w:vAlign w:val="center"/>
          </w:tcPr>
          <w:p w14:paraId="6B291C1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0.098</w:t>
            </w:r>
          </w:p>
        </w:tc>
        <w:tc>
          <w:tcPr>
            <w:tcW w:w="833" w:type="dxa"/>
            <w:tcBorders>
              <w:tl2br w:val="nil"/>
              <w:tr2bl w:val="nil"/>
            </w:tcBorders>
            <w:shd w:val="clear" w:color="auto" w:fill="auto"/>
            <w:noWrap/>
            <w:vAlign w:val="center"/>
          </w:tcPr>
          <w:p w14:paraId="396135C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0.096</w:t>
            </w:r>
          </w:p>
        </w:tc>
        <w:tc>
          <w:tcPr>
            <w:tcW w:w="833" w:type="dxa"/>
            <w:tcBorders>
              <w:tl2br w:val="nil"/>
              <w:tr2bl w:val="nil"/>
            </w:tcBorders>
            <w:shd w:val="clear" w:color="auto" w:fill="auto"/>
            <w:noWrap/>
            <w:vAlign w:val="center"/>
          </w:tcPr>
          <w:p w14:paraId="384F8B7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0.098</w:t>
            </w:r>
          </w:p>
        </w:tc>
        <w:tc>
          <w:tcPr>
            <w:tcW w:w="852" w:type="dxa"/>
            <w:tcBorders>
              <w:tl2br w:val="nil"/>
              <w:tr2bl w:val="nil"/>
            </w:tcBorders>
            <w:shd w:val="clear" w:color="auto" w:fill="auto"/>
            <w:noWrap/>
            <w:vAlign w:val="center"/>
          </w:tcPr>
          <w:p w14:paraId="2AA419B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0.097</w:t>
            </w:r>
          </w:p>
        </w:tc>
        <w:tc>
          <w:tcPr>
            <w:tcW w:w="1326" w:type="dxa"/>
            <w:tcBorders>
              <w:tl2br w:val="nil"/>
              <w:tr2bl w:val="nil"/>
            </w:tcBorders>
            <w:shd w:val="clear" w:color="auto" w:fill="auto"/>
            <w:noWrap/>
            <w:vAlign w:val="center"/>
          </w:tcPr>
          <w:p w14:paraId="2D1AA4E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0.098</w:t>
            </w:r>
          </w:p>
        </w:tc>
        <w:tc>
          <w:tcPr>
            <w:tcW w:w="1326" w:type="dxa"/>
            <w:tcBorders>
              <w:tl2br w:val="nil"/>
              <w:tr2bl w:val="nil"/>
            </w:tcBorders>
            <w:shd w:val="clear" w:color="auto" w:fill="auto"/>
            <w:noWrap/>
            <w:vAlign w:val="center"/>
          </w:tcPr>
          <w:p w14:paraId="500570F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0.0044</w:t>
            </w:r>
          </w:p>
        </w:tc>
        <w:tc>
          <w:tcPr>
            <w:tcW w:w="1327" w:type="dxa"/>
            <w:tcBorders>
              <w:tl2br w:val="nil"/>
              <w:tr2bl w:val="nil"/>
            </w:tcBorders>
            <w:shd w:val="clear" w:color="auto" w:fill="auto"/>
            <w:noWrap/>
            <w:vAlign w:val="center"/>
          </w:tcPr>
          <w:p w14:paraId="42FCE42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4.5</w:t>
            </w:r>
          </w:p>
        </w:tc>
        <w:tc>
          <w:tcPr>
            <w:tcW w:w="1327" w:type="dxa"/>
            <w:tcBorders>
              <w:tl2br w:val="nil"/>
              <w:tr2bl w:val="nil"/>
            </w:tcBorders>
            <w:shd w:val="clear" w:color="auto" w:fill="auto"/>
            <w:noWrap/>
            <w:vAlign w:val="center"/>
          </w:tcPr>
          <w:p w14:paraId="2A9B406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97.8</w:t>
            </w:r>
          </w:p>
        </w:tc>
      </w:tr>
      <w:tr w14:paraId="64275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0A338D67">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54968F50">
      <w:pPr>
        <w:bidi w:val="0"/>
        <w:ind w:left="0" w:leftChars="0" w:firstLine="0" w:firstLineChars="0"/>
        <w:jc w:val="both"/>
        <w:rPr>
          <w:rFonts w:hint="default" w:ascii="Times New Roman" w:hAnsi="Times New Roman" w:cs="Times New Roman"/>
          <w:lang w:val="en-US" w:eastAsia="zh-CN"/>
        </w:rPr>
      </w:pPr>
    </w:p>
    <w:p w14:paraId="4CE249D5">
      <w:pPr>
        <w:bidi w:val="0"/>
        <w:ind w:left="0" w:leftChars="0" w:firstLine="0" w:firstLineChars="0"/>
        <w:jc w:val="both"/>
        <w:rPr>
          <w:rFonts w:hint="default" w:ascii="Times New Roman" w:hAnsi="Times New Roman" w:cs="Times New Roman"/>
          <w:lang w:val="en-US" w:eastAsia="zh-CN"/>
        </w:rPr>
      </w:pPr>
    </w:p>
    <w:p w14:paraId="33C44B28">
      <w:pPr>
        <w:bidi w:val="0"/>
        <w:ind w:left="0" w:leftChars="0" w:firstLine="0" w:firstLineChars="0"/>
        <w:jc w:val="both"/>
        <w:rPr>
          <w:rFonts w:hint="default" w:ascii="Times New Roman" w:hAnsi="Times New Roman" w:cs="Times New Roman"/>
          <w:lang w:val="en-US" w:eastAsia="zh-CN"/>
        </w:rPr>
      </w:pPr>
    </w:p>
    <w:p w14:paraId="6286B2CA">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附表19-2  土壤中浓度加标样品（0.40 mg/kg）精密度和正确度验证数据</w:t>
      </w:r>
    </w:p>
    <w:p w14:paraId="7F0A16AC">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lang w:val="en-US" w:eastAsia="zh-CN"/>
        </w:rPr>
        <w:t>江苏省徐州生态环境监测中心</w:t>
      </w:r>
      <w:r>
        <w:rPr>
          <w:rFonts w:hint="default" w:ascii="Times New Roman" w:hAnsi="Times New Roman" w:cs="Times New Roman"/>
          <w:color w:val="000000"/>
          <w:sz w:val="21"/>
          <w:szCs w:val="21"/>
          <w:highlight w:val="none"/>
          <w:u w:val="single"/>
          <w:lang w:val="en-US" w:eastAsia="zh-CN"/>
        </w:rPr>
        <w:t xml:space="preserve"> </w:t>
      </w:r>
    </w:p>
    <w:p w14:paraId="4A6E23D3">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2024年12月20日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40508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1145980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367C002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0CCD0A6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72A7FAC1">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93"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93" DrawAspect="Content" ObjectID="_1468075881" r:id="rId238">
                  <o:LockedField>false</o:LockedField>
                </o:OLEObject>
              </w:object>
            </w:r>
          </w:p>
          <w:p w14:paraId="25BB75B3">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1434A41E">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94"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94" DrawAspect="Content" ObjectID="_1468075882" r:id="rId239">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535F398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32588F1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01F9B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06ADB1C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4A466E0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5050BF5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6D8DC13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52F79DF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17D74D5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6C04F40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709FC5B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10862DD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38F1895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70B8EC2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1D80390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BAF5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1BA0959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6384384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0A35FFF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0.399</w:t>
            </w:r>
          </w:p>
        </w:tc>
        <w:tc>
          <w:tcPr>
            <w:tcW w:w="833" w:type="dxa"/>
            <w:tcBorders>
              <w:tl2br w:val="nil"/>
              <w:tr2bl w:val="nil"/>
            </w:tcBorders>
            <w:shd w:val="clear" w:color="auto" w:fill="auto"/>
            <w:noWrap/>
            <w:vAlign w:val="center"/>
          </w:tcPr>
          <w:p w14:paraId="6B1798B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0.401</w:t>
            </w:r>
          </w:p>
        </w:tc>
        <w:tc>
          <w:tcPr>
            <w:tcW w:w="833" w:type="dxa"/>
            <w:tcBorders>
              <w:tl2br w:val="nil"/>
              <w:tr2bl w:val="nil"/>
            </w:tcBorders>
            <w:shd w:val="clear" w:color="auto" w:fill="auto"/>
            <w:noWrap/>
            <w:vAlign w:val="center"/>
          </w:tcPr>
          <w:p w14:paraId="1F91250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0.390</w:t>
            </w:r>
          </w:p>
        </w:tc>
        <w:tc>
          <w:tcPr>
            <w:tcW w:w="833" w:type="dxa"/>
            <w:tcBorders>
              <w:tl2br w:val="nil"/>
              <w:tr2bl w:val="nil"/>
            </w:tcBorders>
            <w:shd w:val="clear" w:color="auto" w:fill="auto"/>
            <w:noWrap/>
            <w:vAlign w:val="center"/>
          </w:tcPr>
          <w:p w14:paraId="43FF6E8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0.389</w:t>
            </w:r>
          </w:p>
        </w:tc>
        <w:tc>
          <w:tcPr>
            <w:tcW w:w="833" w:type="dxa"/>
            <w:tcBorders>
              <w:tl2br w:val="nil"/>
              <w:tr2bl w:val="nil"/>
            </w:tcBorders>
            <w:shd w:val="clear" w:color="auto" w:fill="auto"/>
            <w:noWrap/>
            <w:vAlign w:val="center"/>
          </w:tcPr>
          <w:p w14:paraId="22BA869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0.400</w:t>
            </w:r>
          </w:p>
        </w:tc>
        <w:tc>
          <w:tcPr>
            <w:tcW w:w="852" w:type="dxa"/>
            <w:tcBorders>
              <w:tl2br w:val="nil"/>
              <w:tr2bl w:val="nil"/>
            </w:tcBorders>
            <w:shd w:val="clear" w:color="auto" w:fill="auto"/>
            <w:noWrap/>
            <w:vAlign w:val="center"/>
          </w:tcPr>
          <w:p w14:paraId="410C863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0.399</w:t>
            </w:r>
          </w:p>
        </w:tc>
        <w:tc>
          <w:tcPr>
            <w:tcW w:w="1326" w:type="dxa"/>
            <w:tcBorders>
              <w:tl2br w:val="nil"/>
              <w:tr2bl w:val="nil"/>
            </w:tcBorders>
            <w:shd w:val="clear" w:color="auto" w:fill="auto"/>
            <w:noWrap/>
            <w:vAlign w:val="center"/>
          </w:tcPr>
          <w:p w14:paraId="544AB5F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0.396</w:t>
            </w:r>
          </w:p>
        </w:tc>
        <w:tc>
          <w:tcPr>
            <w:tcW w:w="1326" w:type="dxa"/>
            <w:tcBorders>
              <w:tl2br w:val="nil"/>
              <w:tr2bl w:val="nil"/>
            </w:tcBorders>
            <w:shd w:val="clear" w:color="auto" w:fill="auto"/>
            <w:noWrap/>
            <w:vAlign w:val="center"/>
          </w:tcPr>
          <w:p w14:paraId="1DDF7E8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0.0054</w:t>
            </w:r>
          </w:p>
        </w:tc>
        <w:tc>
          <w:tcPr>
            <w:tcW w:w="1327" w:type="dxa"/>
            <w:tcBorders>
              <w:tl2br w:val="nil"/>
              <w:tr2bl w:val="nil"/>
            </w:tcBorders>
            <w:shd w:val="clear" w:color="auto" w:fill="auto"/>
            <w:noWrap/>
            <w:vAlign w:val="center"/>
          </w:tcPr>
          <w:p w14:paraId="54D14F4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1.4</w:t>
            </w:r>
          </w:p>
        </w:tc>
        <w:tc>
          <w:tcPr>
            <w:tcW w:w="1327" w:type="dxa"/>
            <w:tcBorders>
              <w:tl2br w:val="nil"/>
              <w:tr2bl w:val="nil"/>
            </w:tcBorders>
            <w:shd w:val="clear" w:color="auto" w:fill="auto"/>
            <w:noWrap/>
            <w:vAlign w:val="center"/>
          </w:tcPr>
          <w:p w14:paraId="01B6011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99.1</w:t>
            </w:r>
          </w:p>
        </w:tc>
      </w:tr>
      <w:tr w14:paraId="2251C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6EC9AD1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54430F1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51532A3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0.415</w:t>
            </w:r>
          </w:p>
        </w:tc>
        <w:tc>
          <w:tcPr>
            <w:tcW w:w="833" w:type="dxa"/>
            <w:tcBorders>
              <w:tl2br w:val="nil"/>
              <w:tr2bl w:val="nil"/>
            </w:tcBorders>
            <w:shd w:val="clear" w:color="auto" w:fill="auto"/>
            <w:noWrap/>
            <w:vAlign w:val="center"/>
          </w:tcPr>
          <w:p w14:paraId="26DE4DD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0.429</w:t>
            </w:r>
          </w:p>
        </w:tc>
        <w:tc>
          <w:tcPr>
            <w:tcW w:w="833" w:type="dxa"/>
            <w:tcBorders>
              <w:tl2br w:val="nil"/>
              <w:tr2bl w:val="nil"/>
            </w:tcBorders>
            <w:shd w:val="clear" w:color="auto" w:fill="auto"/>
            <w:noWrap/>
            <w:vAlign w:val="center"/>
          </w:tcPr>
          <w:p w14:paraId="4FCFF35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0.420</w:t>
            </w:r>
          </w:p>
        </w:tc>
        <w:tc>
          <w:tcPr>
            <w:tcW w:w="833" w:type="dxa"/>
            <w:tcBorders>
              <w:tl2br w:val="nil"/>
              <w:tr2bl w:val="nil"/>
            </w:tcBorders>
            <w:shd w:val="clear" w:color="auto" w:fill="auto"/>
            <w:noWrap/>
            <w:vAlign w:val="center"/>
          </w:tcPr>
          <w:p w14:paraId="3F9137D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0.418</w:t>
            </w:r>
          </w:p>
        </w:tc>
        <w:tc>
          <w:tcPr>
            <w:tcW w:w="833" w:type="dxa"/>
            <w:tcBorders>
              <w:tl2br w:val="nil"/>
              <w:tr2bl w:val="nil"/>
            </w:tcBorders>
            <w:shd w:val="clear" w:color="auto" w:fill="auto"/>
            <w:noWrap/>
            <w:vAlign w:val="center"/>
          </w:tcPr>
          <w:p w14:paraId="1EE19F6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0.417</w:t>
            </w:r>
          </w:p>
        </w:tc>
        <w:tc>
          <w:tcPr>
            <w:tcW w:w="852" w:type="dxa"/>
            <w:tcBorders>
              <w:tl2br w:val="nil"/>
              <w:tr2bl w:val="nil"/>
            </w:tcBorders>
            <w:shd w:val="clear" w:color="auto" w:fill="auto"/>
            <w:noWrap/>
            <w:vAlign w:val="center"/>
          </w:tcPr>
          <w:p w14:paraId="3D0FEE5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0.416</w:t>
            </w:r>
          </w:p>
        </w:tc>
        <w:tc>
          <w:tcPr>
            <w:tcW w:w="1326" w:type="dxa"/>
            <w:tcBorders>
              <w:tl2br w:val="nil"/>
              <w:tr2bl w:val="nil"/>
            </w:tcBorders>
            <w:shd w:val="clear" w:color="auto" w:fill="auto"/>
            <w:noWrap/>
            <w:vAlign w:val="center"/>
          </w:tcPr>
          <w:p w14:paraId="316D819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0.419</w:t>
            </w:r>
          </w:p>
        </w:tc>
        <w:tc>
          <w:tcPr>
            <w:tcW w:w="1326" w:type="dxa"/>
            <w:tcBorders>
              <w:tl2br w:val="nil"/>
              <w:tr2bl w:val="nil"/>
            </w:tcBorders>
            <w:shd w:val="clear" w:color="auto" w:fill="auto"/>
            <w:noWrap/>
            <w:vAlign w:val="center"/>
          </w:tcPr>
          <w:p w14:paraId="1805C92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0.0051</w:t>
            </w:r>
          </w:p>
        </w:tc>
        <w:tc>
          <w:tcPr>
            <w:tcW w:w="1327" w:type="dxa"/>
            <w:tcBorders>
              <w:tl2br w:val="nil"/>
              <w:tr2bl w:val="nil"/>
            </w:tcBorders>
            <w:shd w:val="clear" w:color="auto" w:fill="auto"/>
            <w:noWrap/>
            <w:vAlign w:val="center"/>
          </w:tcPr>
          <w:p w14:paraId="08C1F33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1.2</w:t>
            </w:r>
          </w:p>
        </w:tc>
        <w:tc>
          <w:tcPr>
            <w:tcW w:w="1327" w:type="dxa"/>
            <w:tcBorders>
              <w:tl2br w:val="nil"/>
              <w:tr2bl w:val="nil"/>
            </w:tcBorders>
            <w:shd w:val="clear" w:color="auto" w:fill="auto"/>
            <w:noWrap/>
            <w:vAlign w:val="center"/>
          </w:tcPr>
          <w:p w14:paraId="0B3249C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r>
      <w:tr w14:paraId="40067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3C290242">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1258E6D9">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67B0695D">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附表19-3  土壤高浓度加标样品（0.70 mg/kg）精密度和正确度验证数据</w:t>
      </w:r>
    </w:p>
    <w:p w14:paraId="701AC11F">
      <w:pPr>
        <w:pStyle w:val="22"/>
        <w:tabs>
          <w:tab w:val="left" w:pos="9240"/>
          <w:tab w:val="left" w:pos="10920"/>
        </w:tabs>
        <w:spacing w:before="159" w:beforeLines="50" w:after="159" w:afterLines="50" w:line="360" w:lineRule="exact"/>
        <w:jc w:val="left"/>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w:t>
      </w:r>
      <w:r>
        <w:rPr>
          <w:rFonts w:hint="eastAsia" w:ascii="Times New Roman" w:hAnsi="Times New Roman" w:cs="Times New Roman"/>
          <w:color w:val="000000"/>
          <w:sz w:val="21"/>
          <w:szCs w:val="21"/>
          <w:highlight w:val="none"/>
          <w:u w:val="single"/>
          <w:lang w:val="en-US" w:eastAsia="zh-CN"/>
        </w:rPr>
        <w:t>江苏省徐州生态环境监测中心</w:t>
      </w:r>
      <w:r>
        <w:rPr>
          <w:rFonts w:hint="default" w:ascii="Times New Roman" w:hAnsi="Times New Roman" w:cs="Times New Roman"/>
          <w:color w:val="000000"/>
          <w:sz w:val="21"/>
          <w:szCs w:val="21"/>
          <w:highlight w:val="none"/>
          <w:u w:val="single"/>
          <w:lang w:val="en-US" w:eastAsia="zh-CN"/>
        </w:rPr>
        <w:t xml:space="preserve"> </w:t>
      </w:r>
    </w:p>
    <w:p w14:paraId="0890F930">
      <w:pPr>
        <w:pStyle w:val="22"/>
        <w:tabs>
          <w:tab w:val="left" w:pos="9240"/>
          <w:tab w:val="left" w:pos="10920"/>
        </w:tabs>
        <w:spacing w:before="159" w:beforeLines="50" w:after="159" w:afterLines="50" w:line="360" w:lineRule="exact"/>
        <w:ind w:right="298" w:rightChars="0"/>
        <w:jc w:val="left"/>
        <w:rPr>
          <w:rFonts w:hint="default" w:ascii="Times New Roman" w:hAnsi="Times New Roman" w:cs="Times New Roman"/>
          <w:color w:val="000000"/>
          <w:sz w:val="21"/>
          <w:szCs w:val="21"/>
          <w:highlight w:val="none"/>
          <w:u w:val="single"/>
          <w:lang w:val="en-US"/>
        </w:rPr>
      </w:pPr>
      <w:r>
        <w:rPr>
          <w:rFonts w:hint="default" w:ascii="Times New Roman" w:hAnsi="Times New Roman" w:cs="Times New Roman"/>
          <w:color w:val="000000"/>
          <w:sz w:val="21"/>
          <w:szCs w:val="21"/>
          <w:highlight w:val="none"/>
          <w:lang w:val="en-US" w:eastAsia="zh-CN"/>
        </w:rPr>
        <w:tab/>
      </w:r>
      <w:r>
        <w:rPr>
          <w:rFonts w:hint="default" w:ascii="Times New Roman" w:hAnsi="Times New Roman" w:cs="Times New Roman"/>
          <w:color w:val="000000"/>
          <w:sz w:val="21"/>
          <w:szCs w:val="21"/>
          <w:highlight w:val="none"/>
          <w:lang w:eastAsia="zh-CN"/>
        </w:rPr>
        <w:t>验证时间：</w:t>
      </w:r>
      <w:r>
        <w:rPr>
          <w:rFonts w:hint="default" w:ascii="Times New Roman" w:hAnsi="Times New Roman" w:cs="Times New Roman"/>
          <w:color w:val="000000"/>
          <w:sz w:val="21"/>
          <w:szCs w:val="21"/>
          <w:highlight w:val="none"/>
          <w:u w:val="single"/>
          <w:lang w:eastAsia="zh-CN"/>
        </w:rPr>
        <w:t xml:space="preserve"> </w:t>
      </w:r>
      <w:r>
        <w:rPr>
          <w:rFonts w:hint="default" w:ascii="Times New Roman" w:hAnsi="Times New Roman" w:cs="Times New Roman"/>
          <w:color w:val="000000"/>
          <w:sz w:val="21"/>
          <w:szCs w:val="21"/>
          <w:highlight w:val="none"/>
          <w:u w:val="single"/>
          <w:lang w:val="en-US" w:eastAsia="zh-CN"/>
        </w:rPr>
        <w:t xml:space="preserve">    2024年12月20日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537C4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6924D29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595C951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57D031F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6CE0D740">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9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95" DrawAspect="Content" ObjectID="_1468075883" r:id="rId240">
                  <o:LockedField>false</o:LockedField>
                </o:OLEObject>
              </w:object>
            </w:r>
          </w:p>
          <w:p w14:paraId="2BC79D3F">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338A2D6E">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9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96" DrawAspect="Content" ObjectID="_1468075884" r:id="rId241">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6C4D1F6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12970348">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3B0C8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20283FF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1A72E60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17351D4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33DF5F2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0D55250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4B4E886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7EF1525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61359BE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590EFFD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24B35426">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C2D98A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4475A29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76A42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1292EE6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60826F9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4572B1C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0.762</w:t>
            </w:r>
          </w:p>
        </w:tc>
        <w:tc>
          <w:tcPr>
            <w:tcW w:w="833" w:type="dxa"/>
            <w:tcBorders>
              <w:tl2br w:val="nil"/>
              <w:tr2bl w:val="nil"/>
            </w:tcBorders>
            <w:shd w:val="clear" w:color="auto" w:fill="auto"/>
            <w:noWrap/>
            <w:vAlign w:val="center"/>
          </w:tcPr>
          <w:p w14:paraId="0243529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0.751</w:t>
            </w:r>
          </w:p>
        </w:tc>
        <w:tc>
          <w:tcPr>
            <w:tcW w:w="833" w:type="dxa"/>
            <w:tcBorders>
              <w:tl2br w:val="nil"/>
              <w:tr2bl w:val="nil"/>
            </w:tcBorders>
            <w:shd w:val="clear" w:color="auto" w:fill="auto"/>
            <w:noWrap/>
            <w:vAlign w:val="center"/>
          </w:tcPr>
          <w:p w14:paraId="790EC70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0.743</w:t>
            </w:r>
          </w:p>
        </w:tc>
        <w:tc>
          <w:tcPr>
            <w:tcW w:w="833" w:type="dxa"/>
            <w:tcBorders>
              <w:tl2br w:val="nil"/>
              <w:tr2bl w:val="nil"/>
            </w:tcBorders>
            <w:shd w:val="clear" w:color="auto" w:fill="auto"/>
            <w:noWrap/>
            <w:vAlign w:val="center"/>
          </w:tcPr>
          <w:p w14:paraId="3D833FC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0.740</w:t>
            </w:r>
          </w:p>
        </w:tc>
        <w:tc>
          <w:tcPr>
            <w:tcW w:w="833" w:type="dxa"/>
            <w:tcBorders>
              <w:tl2br w:val="nil"/>
              <w:tr2bl w:val="nil"/>
            </w:tcBorders>
            <w:shd w:val="clear" w:color="auto" w:fill="auto"/>
            <w:noWrap/>
            <w:vAlign w:val="center"/>
          </w:tcPr>
          <w:p w14:paraId="68E56DA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0.713</w:t>
            </w:r>
          </w:p>
        </w:tc>
        <w:tc>
          <w:tcPr>
            <w:tcW w:w="852" w:type="dxa"/>
            <w:tcBorders>
              <w:tl2br w:val="nil"/>
              <w:tr2bl w:val="nil"/>
            </w:tcBorders>
            <w:shd w:val="clear" w:color="auto" w:fill="auto"/>
            <w:noWrap/>
            <w:vAlign w:val="center"/>
          </w:tcPr>
          <w:p w14:paraId="21829C0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0.700</w:t>
            </w:r>
          </w:p>
        </w:tc>
        <w:tc>
          <w:tcPr>
            <w:tcW w:w="1326" w:type="dxa"/>
            <w:tcBorders>
              <w:tl2br w:val="nil"/>
              <w:tr2bl w:val="nil"/>
            </w:tcBorders>
            <w:shd w:val="clear" w:color="auto" w:fill="auto"/>
            <w:noWrap/>
            <w:vAlign w:val="center"/>
          </w:tcPr>
          <w:p w14:paraId="0E4C3E1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0.735</w:t>
            </w:r>
          </w:p>
        </w:tc>
        <w:tc>
          <w:tcPr>
            <w:tcW w:w="1326" w:type="dxa"/>
            <w:tcBorders>
              <w:tl2br w:val="nil"/>
              <w:tr2bl w:val="nil"/>
            </w:tcBorders>
            <w:shd w:val="clear" w:color="auto" w:fill="auto"/>
            <w:noWrap/>
            <w:vAlign w:val="center"/>
          </w:tcPr>
          <w:p w14:paraId="7A04706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0.0235</w:t>
            </w:r>
          </w:p>
        </w:tc>
        <w:tc>
          <w:tcPr>
            <w:tcW w:w="1327" w:type="dxa"/>
            <w:tcBorders>
              <w:tl2br w:val="nil"/>
              <w:tr2bl w:val="nil"/>
            </w:tcBorders>
            <w:shd w:val="clear" w:color="auto" w:fill="auto"/>
            <w:noWrap/>
            <w:vAlign w:val="center"/>
          </w:tcPr>
          <w:p w14:paraId="18190C3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3.2</w:t>
            </w:r>
          </w:p>
        </w:tc>
        <w:tc>
          <w:tcPr>
            <w:tcW w:w="1327" w:type="dxa"/>
            <w:tcBorders>
              <w:tl2br w:val="nil"/>
              <w:tr2bl w:val="nil"/>
            </w:tcBorders>
            <w:shd w:val="clear" w:color="auto" w:fill="auto"/>
            <w:noWrap/>
            <w:vAlign w:val="center"/>
          </w:tcPr>
          <w:p w14:paraId="7F68932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r>
      <w:tr w14:paraId="117B2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6ACFE2A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3A63A4D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center"/>
          </w:tcPr>
          <w:p w14:paraId="563495F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0.748</w:t>
            </w:r>
          </w:p>
        </w:tc>
        <w:tc>
          <w:tcPr>
            <w:tcW w:w="833" w:type="dxa"/>
            <w:tcBorders>
              <w:tl2br w:val="nil"/>
              <w:tr2bl w:val="nil"/>
            </w:tcBorders>
            <w:shd w:val="clear" w:color="auto" w:fill="auto"/>
            <w:noWrap/>
            <w:vAlign w:val="center"/>
          </w:tcPr>
          <w:p w14:paraId="4F42F78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0.735</w:t>
            </w:r>
          </w:p>
        </w:tc>
        <w:tc>
          <w:tcPr>
            <w:tcW w:w="833" w:type="dxa"/>
            <w:tcBorders>
              <w:tl2br w:val="nil"/>
              <w:tr2bl w:val="nil"/>
            </w:tcBorders>
            <w:shd w:val="clear" w:color="auto" w:fill="auto"/>
            <w:noWrap/>
            <w:vAlign w:val="center"/>
          </w:tcPr>
          <w:p w14:paraId="46CB82D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0.740</w:t>
            </w:r>
          </w:p>
        </w:tc>
        <w:tc>
          <w:tcPr>
            <w:tcW w:w="833" w:type="dxa"/>
            <w:tcBorders>
              <w:tl2br w:val="nil"/>
              <w:tr2bl w:val="nil"/>
            </w:tcBorders>
            <w:shd w:val="clear" w:color="auto" w:fill="auto"/>
            <w:noWrap/>
            <w:vAlign w:val="center"/>
          </w:tcPr>
          <w:p w14:paraId="08BDA26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0.744</w:t>
            </w:r>
          </w:p>
        </w:tc>
        <w:tc>
          <w:tcPr>
            <w:tcW w:w="833" w:type="dxa"/>
            <w:tcBorders>
              <w:tl2br w:val="nil"/>
              <w:tr2bl w:val="nil"/>
            </w:tcBorders>
            <w:shd w:val="clear" w:color="auto" w:fill="auto"/>
            <w:noWrap/>
            <w:vAlign w:val="center"/>
          </w:tcPr>
          <w:p w14:paraId="54BF0C7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0.722</w:t>
            </w:r>
          </w:p>
        </w:tc>
        <w:tc>
          <w:tcPr>
            <w:tcW w:w="852" w:type="dxa"/>
            <w:tcBorders>
              <w:tl2br w:val="nil"/>
              <w:tr2bl w:val="nil"/>
            </w:tcBorders>
            <w:shd w:val="clear" w:color="auto" w:fill="auto"/>
            <w:noWrap/>
            <w:vAlign w:val="center"/>
          </w:tcPr>
          <w:p w14:paraId="2FB59DB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0.716</w:t>
            </w:r>
          </w:p>
        </w:tc>
        <w:tc>
          <w:tcPr>
            <w:tcW w:w="1326" w:type="dxa"/>
            <w:tcBorders>
              <w:tl2br w:val="nil"/>
              <w:tr2bl w:val="nil"/>
            </w:tcBorders>
            <w:shd w:val="clear" w:color="auto" w:fill="auto"/>
            <w:noWrap/>
            <w:vAlign w:val="center"/>
          </w:tcPr>
          <w:p w14:paraId="0689F77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0.734</w:t>
            </w:r>
          </w:p>
        </w:tc>
        <w:tc>
          <w:tcPr>
            <w:tcW w:w="1326" w:type="dxa"/>
            <w:tcBorders>
              <w:tl2br w:val="nil"/>
              <w:tr2bl w:val="nil"/>
            </w:tcBorders>
            <w:shd w:val="clear" w:color="auto" w:fill="auto"/>
            <w:noWrap/>
            <w:vAlign w:val="center"/>
          </w:tcPr>
          <w:p w14:paraId="4B23729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0.0128</w:t>
            </w:r>
          </w:p>
        </w:tc>
        <w:tc>
          <w:tcPr>
            <w:tcW w:w="1327" w:type="dxa"/>
            <w:tcBorders>
              <w:tl2br w:val="nil"/>
              <w:tr2bl w:val="nil"/>
            </w:tcBorders>
            <w:shd w:val="clear" w:color="auto" w:fill="auto"/>
            <w:noWrap/>
            <w:vAlign w:val="center"/>
          </w:tcPr>
          <w:p w14:paraId="2062F94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1.7</w:t>
            </w:r>
          </w:p>
        </w:tc>
        <w:tc>
          <w:tcPr>
            <w:tcW w:w="1327" w:type="dxa"/>
            <w:tcBorders>
              <w:tl2br w:val="nil"/>
              <w:tr2bl w:val="nil"/>
            </w:tcBorders>
            <w:shd w:val="clear" w:color="auto" w:fill="auto"/>
            <w:noWrap/>
            <w:vAlign w:val="center"/>
          </w:tcPr>
          <w:p w14:paraId="2A3E558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r>
      <w:tr w14:paraId="7B260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3A4991B2">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0BF01E18">
      <w:pPr>
        <w:bidi w:val="0"/>
        <w:ind w:left="0" w:leftChars="0" w:firstLine="0" w:firstLineChars="0"/>
        <w:jc w:val="both"/>
        <w:rPr>
          <w:rFonts w:hint="default" w:ascii="Times New Roman" w:hAnsi="Times New Roman" w:cs="Times New Roman"/>
          <w:lang w:val="en-US" w:eastAsia="zh-CN"/>
        </w:rPr>
      </w:pPr>
    </w:p>
    <w:p w14:paraId="13EF9564">
      <w:pPr>
        <w:bidi w:val="0"/>
        <w:ind w:left="0" w:leftChars="0" w:firstLine="0" w:firstLineChars="0"/>
        <w:jc w:val="both"/>
        <w:rPr>
          <w:rFonts w:hint="default" w:ascii="Times New Roman" w:hAnsi="Times New Roman" w:cs="Times New Roman"/>
          <w:lang w:val="en-US" w:eastAsia="zh-CN"/>
        </w:rPr>
      </w:pPr>
    </w:p>
    <w:p w14:paraId="33E1E3B5">
      <w:pPr>
        <w:bidi w:val="0"/>
        <w:ind w:left="0" w:leftChars="0" w:firstLine="0" w:firstLineChars="0"/>
        <w:jc w:val="both"/>
        <w:rPr>
          <w:rFonts w:hint="default" w:ascii="Times New Roman" w:hAnsi="Times New Roman" w:cs="Times New Roman"/>
          <w:lang w:val="en-US" w:eastAsia="zh-CN"/>
        </w:rPr>
      </w:pPr>
    </w:p>
    <w:p w14:paraId="7EFCA2B0">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附表20-1  空白低浓度加标样品（0.10 mg/kg）精密度和正确度验证数据</w:t>
      </w:r>
    </w:p>
    <w:p w14:paraId="5DA2F507">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海南省生态环境监测中心    </w:t>
      </w:r>
    </w:p>
    <w:p w14:paraId="6557093B">
      <w:pPr>
        <w:tabs>
          <w:tab w:val="left" w:pos="9240"/>
        </w:tabs>
        <w:ind w:left="0" w:leftChars="0" w:firstLine="0" w:firstLineChars="0"/>
        <w:jc w:val="both"/>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 w:val="21"/>
          <w:szCs w:val="21"/>
          <w:highlight w:val="none"/>
          <w:lang w:val="en-US" w:eastAsia="zh-CN"/>
        </w:rPr>
        <w:tab/>
      </w:r>
      <w:r>
        <w:rPr>
          <w:rFonts w:hint="default" w:ascii="Times New Roman" w:hAnsi="Times New Roman" w:eastAsia="黑体" w:cs="Times New Roman"/>
          <w:color w:val="000000"/>
          <w:sz w:val="21"/>
          <w:szCs w:val="21"/>
          <w:highlight w:val="none"/>
          <w:lang w:eastAsia="zh-CN"/>
        </w:rPr>
        <w:t>验证时间：</w:t>
      </w:r>
      <w:r>
        <w:rPr>
          <w:rFonts w:hint="default" w:ascii="Times New Roman" w:hAnsi="Times New Roman" w:eastAsia="黑体" w:cs="Times New Roman"/>
          <w:color w:val="000000"/>
          <w:sz w:val="21"/>
          <w:szCs w:val="21"/>
          <w:highlight w:val="none"/>
          <w:u w:val="single"/>
          <w:lang w:val="en-US" w:eastAsia="zh-CN"/>
        </w:rPr>
        <w:t xml:space="preserve">     </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2024年12月10号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12AA2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5DAC456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7F947F2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72F20CB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6537925E">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9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97" DrawAspect="Content" ObjectID="_1468075885" r:id="rId242">
                  <o:LockedField>false</o:LockedField>
                </o:OLEObject>
              </w:object>
            </w:r>
          </w:p>
          <w:p w14:paraId="5F52260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6D76FC6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19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198" DrawAspect="Content" ObjectID="_1468075886" r:id="rId243">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08ADC426">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32C8199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5C1AF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39AA860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630946E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6C3BE28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1A7FE3A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395C6EF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664FEDC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60D835F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0369EC5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38702C97">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559B52A0">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1FA329A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6081893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211F4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3ED9CD9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6097D1F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503B087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0.096</w:t>
            </w:r>
          </w:p>
        </w:tc>
        <w:tc>
          <w:tcPr>
            <w:tcW w:w="833" w:type="dxa"/>
            <w:tcBorders>
              <w:tl2br w:val="nil"/>
              <w:tr2bl w:val="nil"/>
            </w:tcBorders>
            <w:shd w:val="clear" w:color="auto" w:fill="auto"/>
            <w:noWrap/>
            <w:vAlign w:val="bottom"/>
          </w:tcPr>
          <w:p w14:paraId="4CCF211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bottom"/>
          </w:tcPr>
          <w:p w14:paraId="3B42E3F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bottom"/>
          </w:tcPr>
          <w:p w14:paraId="4622978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0.086</w:t>
            </w:r>
          </w:p>
        </w:tc>
        <w:tc>
          <w:tcPr>
            <w:tcW w:w="833" w:type="dxa"/>
            <w:tcBorders>
              <w:tl2br w:val="nil"/>
              <w:tr2bl w:val="nil"/>
            </w:tcBorders>
            <w:shd w:val="clear" w:color="auto" w:fill="auto"/>
            <w:noWrap/>
            <w:vAlign w:val="bottom"/>
          </w:tcPr>
          <w:p w14:paraId="682E7C6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0.086</w:t>
            </w:r>
          </w:p>
        </w:tc>
        <w:tc>
          <w:tcPr>
            <w:tcW w:w="852" w:type="dxa"/>
            <w:tcBorders>
              <w:tl2br w:val="nil"/>
              <w:tr2bl w:val="nil"/>
            </w:tcBorders>
            <w:shd w:val="clear" w:color="auto" w:fill="auto"/>
            <w:noWrap/>
            <w:vAlign w:val="bottom"/>
          </w:tcPr>
          <w:p w14:paraId="73BBAC8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0.092</w:t>
            </w:r>
          </w:p>
        </w:tc>
        <w:tc>
          <w:tcPr>
            <w:tcW w:w="1326" w:type="dxa"/>
            <w:tcBorders>
              <w:tl2br w:val="nil"/>
              <w:tr2bl w:val="nil"/>
            </w:tcBorders>
            <w:shd w:val="clear" w:color="auto" w:fill="auto"/>
            <w:noWrap/>
            <w:vAlign w:val="bottom"/>
          </w:tcPr>
          <w:p w14:paraId="28300EF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0.091</w:t>
            </w:r>
          </w:p>
        </w:tc>
        <w:tc>
          <w:tcPr>
            <w:tcW w:w="1326" w:type="dxa"/>
            <w:tcBorders>
              <w:tl2br w:val="nil"/>
              <w:tr2bl w:val="nil"/>
            </w:tcBorders>
            <w:shd w:val="clear" w:color="auto" w:fill="auto"/>
            <w:noWrap/>
            <w:vAlign w:val="bottom"/>
          </w:tcPr>
          <w:p w14:paraId="78508F5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0.0040</w:t>
            </w:r>
          </w:p>
        </w:tc>
        <w:tc>
          <w:tcPr>
            <w:tcW w:w="1327" w:type="dxa"/>
            <w:tcBorders>
              <w:tl2br w:val="nil"/>
              <w:tr2bl w:val="nil"/>
            </w:tcBorders>
            <w:shd w:val="clear" w:color="auto" w:fill="auto"/>
            <w:noWrap/>
            <w:vAlign w:val="bottom"/>
          </w:tcPr>
          <w:p w14:paraId="3B16BC3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4.4</w:t>
            </w:r>
          </w:p>
        </w:tc>
        <w:tc>
          <w:tcPr>
            <w:tcW w:w="1327" w:type="dxa"/>
            <w:tcBorders>
              <w:tl2br w:val="nil"/>
              <w:tr2bl w:val="nil"/>
            </w:tcBorders>
            <w:shd w:val="clear" w:color="auto" w:fill="auto"/>
            <w:noWrap/>
            <w:vAlign w:val="bottom"/>
          </w:tcPr>
          <w:p w14:paraId="5E77959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91.0</w:t>
            </w:r>
          </w:p>
        </w:tc>
      </w:tr>
      <w:tr w14:paraId="4B16C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7A67F95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2F9CC4D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22FF3C6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bottom"/>
          </w:tcPr>
          <w:p w14:paraId="65E8A09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0.091</w:t>
            </w:r>
          </w:p>
        </w:tc>
        <w:tc>
          <w:tcPr>
            <w:tcW w:w="833" w:type="dxa"/>
            <w:tcBorders>
              <w:tl2br w:val="nil"/>
              <w:tr2bl w:val="nil"/>
            </w:tcBorders>
            <w:shd w:val="clear" w:color="auto" w:fill="auto"/>
            <w:noWrap/>
            <w:vAlign w:val="bottom"/>
          </w:tcPr>
          <w:p w14:paraId="053F440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0.090</w:t>
            </w:r>
          </w:p>
        </w:tc>
        <w:tc>
          <w:tcPr>
            <w:tcW w:w="833" w:type="dxa"/>
            <w:tcBorders>
              <w:tl2br w:val="nil"/>
              <w:tr2bl w:val="nil"/>
            </w:tcBorders>
            <w:shd w:val="clear" w:color="auto" w:fill="auto"/>
            <w:noWrap/>
            <w:vAlign w:val="bottom"/>
          </w:tcPr>
          <w:p w14:paraId="2E7F2F9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0.086</w:t>
            </w:r>
          </w:p>
        </w:tc>
        <w:tc>
          <w:tcPr>
            <w:tcW w:w="833" w:type="dxa"/>
            <w:tcBorders>
              <w:tl2br w:val="nil"/>
              <w:tr2bl w:val="nil"/>
            </w:tcBorders>
            <w:shd w:val="clear" w:color="auto" w:fill="auto"/>
            <w:noWrap/>
            <w:vAlign w:val="bottom"/>
          </w:tcPr>
          <w:p w14:paraId="023E8C2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0.085</w:t>
            </w:r>
          </w:p>
        </w:tc>
        <w:tc>
          <w:tcPr>
            <w:tcW w:w="852" w:type="dxa"/>
            <w:tcBorders>
              <w:tl2br w:val="nil"/>
              <w:tr2bl w:val="nil"/>
            </w:tcBorders>
            <w:shd w:val="clear" w:color="auto" w:fill="auto"/>
            <w:noWrap/>
            <w:vAlign w:val="bottom"/>
          </w:tcPr>
          <w:p w14:paraId="0A0020C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0.089</w:t>
            </w:r>
          </w:p>
        </w:tc>
        <w:tc>
          <w:tcPr>
            <w:tcW w:w="1326" w:type="dxa"/>
            <w:tcBorders>
              <w:tl2br w:val="nil"/>
              <w:tr2bl w:val="nil"/>
            </w:tcBorders>
            <w:shd w:val="clear" w:color="auto" w:fill="auto"/>
            <w:noWrap/>
            <w:vAlign w:val="bottom"/>
          </w:tcPr>
          <w:p w14:paraId="6083A46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0.089</w:t>
            </w:r>
          </w:p>
        </w:tc>
        <w:tc>
          <w:tcPr>
            <w:tcW w:w="1326" w:type="dxa"/>
            <w:tcBorders>
              <w:tl2br w:val="nil"/>
              <w:tr2bl w:val="nil"/>
            </w:tcBorders>
            <w:shd w:val="clear" w:color="auto" w:fill="auto"/>
            <w:noWrap/>
            <w:vAlign w:val="bottom"/>
          </w:tcPr>
          <w:p w14:paraId="0FF4CB2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0.0030</w:t>
            </w:r>
          </w:p>
        </w:tc>
        <w:tc>
          <w:tcPr>
            <w:tcW w:w="1327" w:type="dxa"/>
            <w:tcBorders>
              <w:tl2br w:val="nil"/>
              <w:tr2bl w:val="nil"/>
            </w:tcBorders>
            <w:shd w:val="clear" w:color="auto" w:fill="auto"/>
            <w:noWrap/>
            <w:vAlign w:val="bottom"/>
          </w:tcPr>
          <w:p w14:paraId="7B81170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3.4</w:t>
            </w:r>
          </w:p>
        </w:tc>
        <w:tc>
          <w:tcPr>
            <w:tcW w:w="1327" w:type="dxa"/>
            <w:tcBorders>
              <w:tl2br w:val="nil"/>
              <w:tr2bl w:val="nil"/>
            </w:tcBorders>
            <w:shd w:val="clear" w:color="auto" w:fill="auto"/>
            <w:noWrap/>
            <w:vAlign w:val="bottom"/>
          </w:tcPr>
          <w:p w14:paraId="4CF5B5D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89.0</w:t>
            </w:r>
          </w:p>
        </w:tc>
      </w:tr>
      <w:tr w14:paraId="1FC82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26FE334A">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6C295C54">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A8E9C67">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附表20-2  空白中浓度加标样品（0.40 mg/kg）精密度和正确度验证数据</w:t>
      </w:r>
    </w:p>
    <w:p w14:paraId="433230C4">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海南省生态环境监测中心    </w:t>
      </w:r>
    </w:p>
    <w:p w14:paraId="113274DF">
      <w:pPr>
        <w:tabs>
          <w:tab w:val="left" w:pos="9240"/>
        </w:tabs>
        <w:ind w:left="0" w:leftChars="0" w:firstLine="0" w:firstLineChars="0"/>
        <w:jc w:val="both"/>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 w:val="21"/>
          <w:szCs w:val="21"/>
          <w:highlight w:val="none"/>
          <w:lang w:val="en-US" w:eastAsia="zh-CN"/>
        </w:rPr>
        <w:tab/>
      </w:r>
      <w:r>
        <w:rPr>
          <w:rFonts w:hint="default" w:ascii="Times New Roman" w:hAnsi="Times New Roman" w:eastAsia="黑体" w:cs="Times New Roman"/>
          <w:color w:val="000000"/>
          <w:sz w:val="21"/>
          <w:szCs w:val="21"/>
          <w:highlight w:val="none"/>
          <w:lang w:eastAsia="zh-CN"/>
        </w:rPr>
        <w:t>验证时间：</w:t>
      </w:r>
      <w:r>
        <w:rPr>
          <w:rFonts w:hint="default" w:ascii="Times New Roman" w:hAnsi="Times New Roman" w:eastAsia="黑体" w:cs="Times New Roman"/>
          <w:color w:val="000000"/>
          <w:sz w:val="21"/>
          <w:szCs w:val="21"/>
          <w:highlight w:val="none"/>
          <w:u w:val="single"/>
          <w:lang w:val="en-US" w:eastAsia="zh-CN"/>
        </w:rPr>
        <w:t xml:space="preserve">     </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2024年12月10号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3BB64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302BF01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56D73CE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4510E65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00A7516B">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199"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199" DrawAspect="Content" ObjectID="_1468075887" r:id="rId244">
                  <o:LockedField>false</o:LockedField>
                </o:OLEObject>
              </w:object>
            </w:r>
          </w:p>
          <w:p w14:paraId="3FC6C88E">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035CF4E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200"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200" DrawAspect="Content" ObjectID="_1468075888" r:id="rId245">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4D5D6C5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60C7BB7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2D6F3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154A9A0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6590ADF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5CB5F4E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4376567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6F8774F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7997C84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33CD864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7033BDB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26A445AD">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1B04A902">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3628173A">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C76128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1DCE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16B5775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0E98C79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5AA6E18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0.369</w:t>
            </w:r>
          </w:p>
        </w:tc>
        <w:tc>
          <w:tcPr>
            <w:tcW w:w="833" w:type="dxa"/>
            <w:tcBorders>
              <w:tl2br w:val="nil"/>
              <w:tr2bl w:val="nil"/>
            </w:tcBorders>
            <w:shd w:val="clear" w:color="auto" w:fill="auto"/>
            <w:noWrap/>
            <w:vAlign w:val="bottom"/>
          </w:tcPr>
          <w:p w14:paraId="6E7045D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0.367</w:t>
            </w:r>
          </w:p>
        </w:tc>
        <w:tc>
          <w:tcPr>
            <w:tcW w:w="833" w:type="dxa"/>
            <w:tcBorders>
              <w:tl2br w:val="nil"/>
              <w:tr2bl w:val="nil"/>
            </w:tcBorders>
            <w:shd w:val="clear" w:color="auto" w:fill="auto"/>
            <w:noWrap/>
            <w:vAlign w:val="bottom"/>
          </w:tcPr>
          <w:p w14:paraId="7FDF2D7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0.372</w:t>
            </w:r>
          </w:p>
        </w:tc>
        <w:tc>
          <w:tcPr>
            <w:tcW w:w="833" w:type="dxa"/>
            <w:tcBorders>
              <w:tl2br w:val="nil"/>
              <w:tr2bl w:val="nil"/>
            </w:tcBorders>
            <w:shd w:val="clear" w:color="auto" w:fill="auto"/>
            <w:noWrap/>
            <w:vAlign w:val="bottom"/>
          </w:tcPr>
          <w:p w14:paraId="1262F80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0.325</w:t>
            </w:r>
          </w:p>
        </w:tc>
        <w:tc>
          <w:tcPr>
            <w:tcW w:w="833" w:type="dxa"/>
            <w:tcBorders>
              <w:tl2br w:val="nil"/>
              <w:tr2bl w:val="nil"/>
            </w:tcBorders>
            <w:shd w:val="clear" w:color="auto" w:fill="auto"/>
            <w:noWrap/>
            <w:vAlign w:val="bottom"/>
          </w:tcPr>
          <w:p w14:paraId="74D4088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0.329</w:t>
            </w:r>
          </w:p>
        </w:tc>
        <w:tc>
          <w:tcPr>
            <w:tcW w:w="852" w:type="dxa"/>
            <w:tcBorders>
              <w:tl2br w:val="nil"/>
              <w:tr2bl w:val="nil"/>
            </w:tcBorders>
            <w:shd w:val="clear" w:color="auto" w:fill="auto"/>
            <w:noWrap/>
            <w:vAlign w:val="bottom"/>
          </w:tcPr>
          <w:p w14:paraId="6B93D8A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0.329</w:t>
            </w:r>
          </w:p>
        </w:tc>
        <w:tc>
          <w:tcPr>
            <w:tcW w:w="1326" w:type="dxa"/>
            <w:tcBorders>
              <w:tl2br w:val="nil"/>
              <w:tr2bl w:val="nil"/>
            </w:tcBorders>
            <w:shd w:val="clear" w:color="auto" w:fill="auto"/>
            <w:noWrap/>
            <w:vAlign w:val="bottom"/>
          </w:tcPr>
          <w:p w14:paraId="7221AC3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0.348</w:t>
            </w:r>
          </w:p>
        </w:tc>
        <w:tc>
          <w:tcPr>
            <w:tcW w:w="1326" w:type="dxa"/>
            <w:tcBorders>
              <w:tl2br w:val="nil"/>
              <w:tr2bl w:val="nil"/>
            </w:tcBorders>
            <w:shd w:val="clear" w:color="auto" w:fill="auto"/>
            <w:noWrap/>
            <w:vAlign w:val="bottom"/>
          </w:tcPr>
          <w:p w14:paraId="0390132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0.0227</w:t>
            </w:r>
          </w:p>
        </w:tc>
        <w:tc>
          <w:tcPr>
            <w:tcW w:w="1327" w:type="dxa"/>
            <w:tcBorders>
              <w:tl2br w:val="nil"/>
              <w:tr2bl w:val="nil"/>
            </w:tcBorders>
            <w:shd w:val="clear" w:color="auto" w:fill="auto"/>
            <w:noWrap/>
            <w:vAlign w:val="bottom"/>
          </w:tcPr>
          <w:p w14:paraId="056AE06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6.5</w:t>
            </w:r>
          </w:p>
        </w:tc>
        <w:tc>
          <w:tcPr>
            <w:tcW w:w="1327" w:type="dxa"/>
            <w:tcBorders>
              <w:tl2br w:val="nil"/>
              <w:tr2bl w:val="nil"/>
            </w:tcBorders>
            <w:shd w:val="clear" w:color="auto" w:fill="auto"/>
            <w:noWrap/>
            <w:vAlign w:val="bottom"/>
          </w:tcPr>
          <w:p w14:paraId="3521DE5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87.0</w:t>
            </w:r>
          </w:p>
        </w:tc>
      </w:tr>
      <w:tr w14:paraId="387FE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7386778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7BEA10A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65C5B98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0.359</w:t>
            </w:r>
          </w:p>
        </w:tc>
        <w:tc>
          <w:tcPr>
            <w:tcW w:w="833" w:type="dxa"/>
            <w:tcBorders>
              <w:tl2br w:val="nil"/>
              <w:tr2bl w:val="nil"/>
            </w:tcBorders>
            <w:shd w:val="clear" w:color="auto" w:fill="auto"/>
            <w:noWrap/>
            <w:vAlign w:val="bottom"/>
          </w:tcPr>
          <w:p w14:paraId="048A8D1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0.357</w:t>
            </w:r>
          </w:p>
        </w:tc>
        <w:tc>
          <w:tcPr>
            <w:tcW w:w="833" w:type="dxa"/>
            <w:tcBorders>
              <w:tl2br w:val="nil"/>
              <w:tr2bl w:val="nil"/>
            </w:tcBorders>
            <w:shd w:val="clear" w:color="auto" w:fill="auto"/>
            <w:noWrap/>
            <w:vAlign w:val="bottom"/>
          </w:tcPr>
          <w:p w14:paraId="307638C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0.361</w:t>
            </w:r>
          </w:p>
        </w:tc>
        <w:tc>
          <w:tcPr>
            <w:tcW w:w="833" w:type="dxa"/>
            <w:tcBorders>
              <w:tl2br w:val="nil"/>
              <w:tr2bl w:val="nil"/>
            </w:tcBorders>
            <w:shd w:val="clear" w:color="auto" w:fill="auto"/>
            <w:noWrap/>
            <w:vAlign w:val="bottom"/>
          </w:tcPr>
          <w:p w14:paraId="124943A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0.303</w:t>
            </w:r>
          </w:p>
        </w:tc>
        <w:tc>
          <w:tcPr>
            <w:tcW w:w="833" w:type="dxa"/>
            <w:tcBorders>
              <w:tl2br w:val="nil"/>
              <w:tr2bl w:val="nil"/>
            </w:tcBorders>
            <w:shd w:val="clear" w:color="auto" w:fill="auto"/>
            <w:noWrap/>
            <w:vAlign w:val="bottom"/>
          </w:tcPr>
          <w:p w14:paraId="622B563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0.308</w:t>
            </w:r>
          </w:p>
        </w:tc>
        <w:tc>
          <w:tcPr>
            <w:tcW w:w="852" w:type="dxa"/>
            <w:tcBorders>
              <w:tl2br w:val="nil"/>
              <w:tr2bl w:val="nil"/>
            </w:tcBorders>
            <w:shd w:val="clear" w:color="auto" w:fill="auto"/>
            <w:noWrap/>
            <w:vAlign w:val="bottom"/>
          </w:tcPr>
          <w:p w14:paraId="0476C7E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0.309</w:t>
            </w:r>
          </w:p>
        </w:tc>
        <w:tc>
          <w:tcPr>
            <w:tcW w:w="1326" w:type="dxa"/>
            <w:tcBorders>
              <w:tl2br w:val="nil"/>
              <w:tr2bl w:val="nil"/>
            </w:tcBorders>
            <w:shd w:val="clear" w:color="auto" w:fill="auto"/>
            <w:noWrap/>
            <w:vAlign w:val="bottom"/>
          </w:tcPr>
          <w:p w14:paraId="0BB3851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0.333</w:t>
            </w:r>
          </w:p>
        </w:tc>
        <w:tc>
          <w:tcPr>
            <w:tcW w:w="1326" w:type="dxa"/>
            <w:tcBorders>
              <w:tl2br w:val="nil"/>
              <w:tr2bl w:val="nil"/>
            </w:tcBorders>
            <w:shd w:val="clear" w:color="auto" w:fill="auto"/>
            <w:noWrap/>
            <w:vAlign w:val="bottom"/>
          </w:tcPr>
          <w:p w14:paraId="1161F3A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0.0288</w:t>
            </w:r>
          </w:p>
        </w:tc>
        <w:tc>
          <w:tcPr>
            <w:tcW w:w="1327" w:type="dxa"/>
            <w:tcBorders>
              <w:tl2br w:val="nil"/>
              <w:tr2bl w:val="nil"/>
            </w:tcBorders>
            <w:shd w:val="clear" w:color="auto" w:fill="auto"/>
            <w:noWrap/>
            <w:vAlign w:val="bottom"/>
          </w:tcPr>
          <w:p w14:paraId="1389C64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8.6</w:t>
            </w:r>
          </w:p>
        </w:tc>
        <w:tc>
          <w:tcPr>
            <w:tcW w:w="1327" w:type="dxa"/>
            <w:tcBorders>
              <w:tl2br w:val="nil"/>
              <w:tr2bl w:val="nil"/>
            </w:tcBorders>
            <w:shd w:val="clear" w:color="auto" w:fill="auto"/>
            <w:noWrap/>
            <w:vAlign w:val="bottom"/>
          </w:tcPr>
          <w:p w14:paraId="3A50A61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83.3</w:t>
            </w:r>
          </w:p>
        </w:tc>
      </w:tr>
      <w:tr w14:paraId="20D56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6CECBD1C">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365362C4">
      <w:pPr>
        <w:bidi w:val="0"/>
        <w:ind w:left="0" w:leftChars="0" w:firstLine="0" w:firstLineChars="0"/>
        <w:jc w:val="both"/>
        <w:rPr>
          <w:rFonts w:hint="default" w:ascii="Times New Roman" w:hAnsi="Times New Roman" w:cs="Times New Roman"/>
          <w:lang w:val="en-US" w:eastAsia="zh-CN"/>
        </w:rPr>
      </w:pPr>
    </w:p>
    <w:p w14:paraId="6514077A">
      <w:pPr>
        <w:bidi w:val="0"/>
        <w:ind w:left="0" w:leftChars="0" w:firstLine="0" w:firstLineChars="0"/>
        <w:jc w:val="both"/>
        <w:rPr>
          <w:rFonts w:hint="default" w:ascii="Times New Roman" w:hAnsi="Times New Roman" w:cs="Times New Roman"/>
          <w:lang w:val="en-US" w:eastAsia="zh-CN"/>
        </w:rPr>
      </w:pPr>
    </w:p>
    <w:p w14:paraId="753E8A23">
      <w:pPr>
        <w:bidi w:val="0"/>
        <w:ind w:left="0" w:leftChars="0" w:firstLine="0" w:firstLineChars="0"/>
        <w:jc w:val="both"/>
        <w:rPr>
          <w:rFonts w:hint="default" w:ascii="Times New Roman" w:hAnsi="Times New Roman" w:cs="Times New Roman"/>
          <w:lang w:val="en-US" w:eastAsia="zh-CN"/>
        </w:rPr>
      </w:pPr>
    </w:p>
    <w:p w14:paraId="5A62E7D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附表20-3  空白高浓度加标样品（0.70 mg/kg）精密度和正确度验证数据</w:t>
      </w:r>
    </w:p>
    <w:p w14:paraId="50E8C3BF">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海南省生态环境监测中心    </w:t>
      </w:r>
    </w:p>
    <w:p w14:paraId="6FA1109F">
      <w:pPr>
        <w:tabs>
          <w:tab w:val="left" w:pos="9240"/>
        </w:tabs>
        <w:ind w:left="0" w:leftChars="0" w:firstLine="0" w:firstLineChars="0"/>
        <w:jc w:val="both"/>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 w:val="21"/>
          <w:szCs w:val="21"/>
          <w:highlight w:val="none"/>
          <w:lang w:val="en-US" w:eastAsia="zh-CN"/>
        </w:rPr>
        <w:tab/>
      </w:r>
      <w:r>
        <w:rPr>
          <w:rFonts w:hint="default" w:ascii="Times New Roman" w:hAnsi="Times New Roman" w:eastAsia="黑体" w:cs="Times New Roman"/>
          <w:color w:val="000000"/>
          <w:sz w:val="21"/>
          <w:szCs w:val="21"/>
          <w:highlight w:val="none"/>
          <w:lang w:eastAsia="zh-CN"/>
        </w:rPr>
        <w:t>验证时间：</w:t>
      </w:r>
      <w:r>
        <w:rPr>
          <w:rFonts w:hint="default" w:ascii="Times New Roman" w:hAnsi="Times New Roman" w:eastAsia="黑体" w:cs="Times New Roman"/>
          <w:color w:val="000000"/>
          <w:sz w:val="21"/>
          <w:szCs w:val="21"/>
          <w:highlight w:val="none"/>
          <w:u w:val="single"/>
          <w:lang w:val="en-US" w:eastAsia="zh-CN"/>
        </w:rPr>
        <w:t xml:space="preserve">     </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2024年12月10号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79D77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6E37AFF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7F86277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231C27E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16190F63">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201"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201" DrawAspect="Content" ObjectID="_1468075889" r:id="rId246">
                  <o:LockedField>false</o:LockedField>
                </o:OLEObject>
              </w:object>
            </w:r>
          </w:p>
          <w:p w14:paraId="701051C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2EF7766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202"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202" DrawAspect="Content" ObjectID="_1468075890" r:id="rId247">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6729E6B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07454C7F">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504B4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659D706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3890DA8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158D9D1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7EA52A4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1777CDC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5FC905C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045D277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0677223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1BCE23D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1659438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18B64F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6CED117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5BA84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3A6753D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4D33672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0C4647B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0.685</w:t>
            </w:r>
          </w:p>
        </w:tc>
        <w:tc>
          <w:tcPr>
            <w:tcW w:w="833" w:type="dxa"/>
            <w:tcBorders>
              <w:tl2br w:val="nil"/>
              <w:tr2bl w:val="nil"/>
            </w:tcBorders>
            <w:shd w:val="clear" w:color="auto" w:fill="auto"/>
            <w:noWrap/>
            <w:vAlign w:val="bottom"/>
          </w:tcPr>
          <w:p w14:paraId="3C2883E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0.707</w:t>
            </w:r>
          </w:p>
        </w:tc>
        <w:tc>
          <w:tcPr>
            <w:tcW w:w="833" w:type="dxa"/>
            <w:tcBorders>
              <w:tl2br w:val="nil"/>
              <w:tr2bl w:val="nil"/>
            </w:tcBorders>
            <w:shd w:val="clear" w:color="auto" w:fill="auto"/>
            <w:noWrap/>
            <w:vAlign w:val="bottom"/>
          </w:tcPr>
          <w:p w14:paraId="2E0AD4C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0.708</w:t>
            </w:r>
          </w:p>
        </w:tc>
        <w:tc>
          <w:tcPr>
            <w:tcW w:w="833" w:type="dxa"/>
            <w:tcBorders>
              <w:tl2br w:val="nil"/>
              <w:tr2bl w:val="nil"/>
            </w:tcBorders>
            <w:shd w:val="clear" w:color="auto" w:fill="auto"/>
            <w:noWrap/>
            <w:vAlign w:val="bottom"/>
          </w:tcPr>
          <w:p w14:paraId="75F6DAC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0.695</w:t>
            </w:r>
          </w:p>
        </w:tc>
        <w:tc>
          <w:tcPr>
            <w:tcW w:w="833" w:type="dxa"/>
            <w:tcBorders>
              <w:tl2br w:val="nil"/>
              <w:tr2bl w:val="nil"/>
            </w:tcBorders>
            <w:shd w:val="clear" w:color="auto" w:fill="auto"/>
            <w:noWrap/>
            <w:vAlign w:val="bottom"/>
          </w:tcPr>
          <w:p w14:paraId="4BC98C1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0.733</w:t>
            </w:r>
          </w:p>
        </w:tc>
        <w:tc>
          <w:tcPr>
            <w:tcW w:w="852" w:type="dxa"/>
            <w:tcBorders>
              <w:tl2br w:val="nil"/>
              <w:tr2bl w:val="nil"/>
            </w:tcBorders>
            <w:shd w:val="clear" w:color="auto" w:fill="auto"/>
            <w:noWrap/>
            <w:vAlign w:val="bottom"/>
          </w:tcPr>
          <w:p w14:paraId="5A621E4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0.745</w:t>
            </w:r>
          </w:p>
        </w:tc>
        <w:tc>
          <w:tcPr>
            <w:tcW w:w="1326" w:type="dxa"/>
            <w:tcBorders>
              <w:tl2br w:val="nil"/>
              <w:tr2bl w:val="nil"/>
            </w:tcBorders>
            <w:shd w:val="clear" w:color="auto" w:fill="auto"/>
            <w:noWrap/>
            <w:vAlign w:val="bottom"/>
          </w:tcPr>
          <w:p w14:paraId="7FB7787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0.712</w:t>
            </w:r>
          </w:p>
        </w:tc>
        <w:tc>
          <w:tcPr>
            <w:tcW w:w="1326" w:type="dxa"/>
            <w:tcBorders>
              <w:tl2br w:val="nil"/>
              <w:tr2bl w:val="nil"/>
            </w:tcBorders>
            <w:shd w:val="clear" w:color="auto" w:fill="auto"/>
            <w:noWrap/>
            <w:vAlign w:val="bottom"/>
          </w:tcPr>
          <w:p w14:paraId="2B95271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0.0226</w:t>
            </w:r>
          </w:p>
        </w:tc>
        <w:tc>
          <w:tcPr>
            <w:tcW w:w="1327" w:type="dxa"/>
            <w:tcBorders>
              <w:tl2br w:val="nil"/>
              <w:tr2bl w:val="nil"/>
            </w:tcBorders>
            <w:shd w:val="clear" w:color="auto" w:fill="auto"/>
            <w:noWrap/>
            <w:vAlign w:val="bottom"/>
          </w:tcPr>
          <w:p w14:paraId="6FF0AEC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3.2</w:t>
            </w:r>
          </w:p>
        </w:tc>
        <w:tc>
          <w:tcPr>
            <w:tcW w:w="1327" w:type="dxa"/>
            <w:tcBorders>
              <w:tl2br w:val="nil"/>
              <w:tr2bl w:val="nil"/>
            </w:tcBorders>
            <w:shd w:val="clear" w:color="auto" w:fill="auto"/>
            <w:noWrap/>
            <w:vAlign w:val="bottom"/>
          </w:tcPr>
          <w:p w14:paraId="25F9D68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102</w:t>
            </w:r>
          </w:p>
        </w:tc>
      </w:tr>
      <w:tr w14:paraId="201E0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3728B5A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12152E2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1F31F0F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0.697</w:t>
            </w:r>
          </w:p>
        </w:tc>
        <w:tc>
          <w:tcPr>
            <w:tcW w:w="833" w:type="dxa"/>
            <w:tcBorders>
              <w:tl2br w:val="nil"/>
              <w:tr2bl w:val="nil"/>
            </w:tcBorders>
            <w:shd w:val="clear" w:color="auto" w:fill="auto"/>
            <w:noWrap/>
            <w:vAlign w:val="bottom"/>
          </w:tcPr>
          <w:p w14:paraId="744E5B7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0.716</w:t>
            </w:r>
          </w:p>
        </w:tc>
        <w:tc>
          <w:tcPr>
            <w:tcW w:w="833" w:type="dxa"/>
            <w:tcBorders>
              <w:tl2br w:val="nil"/>
              <w:tr2bl w:val="nil"/>
            </w:tcBorders>
            <w:shd w:val="clear" w:color="auto" w:fill="auto"/>
            <w:noWrap/>
            <w:vAlign w:val="bottom"/>
          </w:tcPr>
          <w:p w14:paraId="0E4D35C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0.699</w:t>
            </w:r>
          </w:p>
        </w:tc>
        <w:tc>
          <w:tcPr>
            <w:tcW w:w="833" w:type="dxa"/>
            <w:tcBorders>
              <w:tl2br w:val="nil"/>
              <w:tr2bl w:val="nil"/>
            </w:tcBorders>
            <w:shd w:val="clear" w:color="auto" w:fill="auto"/>
            <w:noWrap/>
            <w:vAlign w:val="bottom"/>
          </w:tcPr>
          <w:p w14:paraId="1D256F3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0.686</w:t>
            </w:r>
          </w:p>
        </w:tc>
        <w:tc>
          <w:tcPr>
            <w:tcW w:w="833" w:type="dxa"/>
            <w:tcBorders>
              <w:tl2br w:val="nil"/>
              <w:tr2bl w:val="nil"/>
            </w:tcBorders>
            <w:shd w:val="clear" w:color="auto" w:fill="auto"/>
            <w:noWrap/>
            <w:vAlign w:val="bottom"/>
          </w:tcPr>
          <w:p w14:paraId="656EF9A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0.733</w:t>
            </w:r>
          </w:p>
        </w:tc>
        <w:tc>
          <w:tcPr>
            <w:tcW w:w="852" w:type="dxa"/>
            <w:tcBorders>
              <w:tl2br w:val="nil"/>
              <w:tr2bl w:val="nil"/>
            </w:tcBorders>
            <w:shd w:val="clear" w:color="auto" w:fill="auto"/>
            <w:noWrap/>
            <w:vAlign w:val="bottom"/>
          </w:tcPr>
          <w:p w14:paraId="0DCC857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0.741</w:t>
            </w:r>
          </w:p>
        </w:tc>
        <w:tc>
          <w:tcPr>
            <w:tcW w:w="1326" w:type="dxa"/>
            <w:tcBorders>
              <w:tl2br w:val="nil"/>
              <w:tr2bl w:val="nil"/>
            </w:tcBorders>
            <w:shd w:val="clear" w:color="auto" w:fill="auto"/>
            <w:noWrap/>
            <w:vAlign w:val="bottom"/>
          </w:tcPr>
          <w:p w14:paraId="3CA3400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0.712</w:t>
            </w:r>
          </w:p>
        </w:tc>
        <w:tc>
          <w:tcPr>
            <w:tcW w:w="1326" w:type="dxa"/>
            <w:tcBorders>
              <w:tl2br w:val="nil"/>
              <w:tr2bl w:val="nil"/>
            </w:tcBorders>
            <w:shd w:val="clear" w:color="auto" w:fill="auto"/>
            <w:noWrap/>
            <w:vAlign w:val="bottom"/>
          </w:tcPr>
          <w:p w14:paraId="38E68B8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0.0218</w:t>
            </w:r>
          </w:p>
        </w:tc>
        <w:tc>
          <w:tcPr>
            <w:tcW w:w="1327" w:type="dxa"/>
            <w:tcBorders>
              <w:tl2br w:val="nil"/>
              <w:tr2bl w:val="nil"/>
            </w:tcBorders>
            <w:shd w:val="clear" w:color="auto" w:fill="auto"/>
            <w:noWrap/>
            <w:vAlign w:val="bottom"/>
          </w:tcPr>
          <w:p w14:paraId="1439BB7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3.1</w:t>
            </w:r>
          </w:p>
        </w:tc>
        <w:tc>
          <w:tcPr>
            <w:tcW w:w="1327" w:type="dxa"/>
            <w:tcBorders>
              <w:tl2br w:val="nil"/>
              <w:tr2bl w:val="nil"/>
            </w:tcBorders>
            <w:shd w:val="clear" w:color="auto" w:fill="auto"/>
            <w:noWrap/>
            <w:vAlign w:val="bottom"/>
          </w:tcPr>
          <w:p w14:paraId="3F79E4E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102</w:t>
            </w:r>
          </w:p>
        </w:tc>
      </w:tr>
      <w:tr w14:paraId="0A38E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71865EE0">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5A23D6DF">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62A684F3">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附表21-1  土壤低浓度加标样品（0.10 mg/kg）精密度和正确度验证数据</w:t>
      </w:r>
    </w:p>
    <w:p w14:paraId="4EA4DBC1">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海南省生态环境监测中心    </w:t>
      </w:r>
    </w:p>
    <w:p w14:paraId="4EDD9A0A">
      <w:pPr>
        <w:tabs>
          <w:tab w:val="left" w:pos="9240"/>
        </w:tabs>
        <w:ind w:left="0" w:leftChars="0" w:firstLine="0" w:firstLineChars="0"/>
        <w:jc w:val="both"/>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 w:val="21"/>
          <w:szCs w:val="21"/>
          <w:highlight w:val="none"/>
          <w:lang w:val="en-US" w:eastAsia="zh-CN"/>
        </w:rPr>
        <w:tab/>
      </w:r>
      <w:r>
        <w:rPr>
          <w:rFonts w:hint="default" w:ascii="Times New Roman" w:hAnsi="Times New Roman" w:eastAsia="黑体" w:cs="Times New Roman"/>
          <w:color w:val="000000"/>
          <w:sz w:val="21"/>
          <w:szCs w:val="21"/>
          <w:highlight w:val="none"/>
          <w:lang w:eastAsia="zh-CN"/>
        </w:rPr>
        <w:t>验证时间：</w:t>
      </w:r>
      <w:r>
        <w:rPr>
          <w:rFonts w:hint="default" w:ascii="Times New Roman" w:hAnsi="Times New Roman" w:eastAsia="黑体" w:cs="Times New Roman"/>
          <w:color w:val="000000"/>
          <w:sz w:val="21"/>
          <w:szCs w:val="21"/>
          <w:highlight w:val="none"/>
          <w:u w:val="single"/>
          <w:lang w:val="en-US" w:eastAsia="zh-CN"/>
        </w:rPr>
        <w:t xml:space="preserve">     </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2024年12月10号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7CB36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54D4CC2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27A12E3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21D702F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74F84793">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203"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203" DrawAspect="Content" ObjectID="_1468075891" r:id="rId248">
                  <o:LockedField>false</o:LockedField>
                </o:OLEObject>
              </w:object>
            </w:r>
          </w:p>
          <w:p w14:paraId="17B8DB2A">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443EAF9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204"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204" DrawAspect="Content" ObjectID="_1468075892" r:id="rId249">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170042D2">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27834E0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4B16E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4D85E90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539F85C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0502BAA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500A0EA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3E2F3DF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3D0BAC6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5AED015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165A5DA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568A5E9B">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76F829E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56492F4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2917483C">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732BE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766ECF6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43D9CD19">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08FF0E6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0.090</w:t>
            </w:r>
          </w:p>
        </w:tc>
        <w:tc>
          <w:tcPr>
            <w:tcW w:w="833" w:type="dxa"/>
            <w:tcBorders>
              <w:tl2br w:val="nil"/>
              <w:tr2bl w:val="nil"/>
            </w:tcBorders>
            <w:shd w:val="clear" w:color="auto" w:fill="auto"/>
            <w:noWrap/>
            <w:vAlign w:val="bottom"/>
          </w:tcPr>
          <w:p w14:paraId="3399B72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0.088</w:t>
            </w:r>
          </w:p>
        </w:tc>
        <w:tc>
          <w:tcPr>
            <w:tcW w:w="833" w:type="dxa"/>
            <w:tcBorders>
              <w:tl2br w:val="nil"/>
              <w:tr2bl w:val="nil"/>
            </w:tcBorders>
            <w:shd w:val="clear" w:color="auto" w:fill="auto"/>
            <w:noWrap/>
            <w:vAlign w:val="bottom"/>
          </w:tcPr>
          <w:p w14:paraId="00A8EC6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0.091</w:t>
            </w:r>
          </w:p>
        </w:tc>
        <w:tc>
          <w:tcPr>
            <w:tcW w:w="833" w:type="dxa"/>
            <w:tcBorders>
              <w:tl2br w:val="nil"/>
              <w:tr2bl w:val="nil"/>
            </w:tcBorders>
            <w:shd w:val="clear" w:color="auto" w:fill="auto"/>
            <w:noWrap/>
            <w:vAlign w:val="bottom"/>
          </w:tcPr>
          <w:p w14:paraId="77CCDBD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0.091</w:t>
            </w:r>
          </w:p>
        </w:tc>
        <w:tc>
          <w:tcPr>
            <w:tcW w:w="833" w:type="dxa"/>
            <w:tcBorders>
              <w:tl2br w:val="nil"/>
              <w:tr2bl w:val="nil"/>
            </w:tcBorders>
            <w:shd w:val="clear" w:color="auto" w:fill="auto"/>
            <w:noWrap/>
            <w:vAlign w:val="bottom"/>
          </w:tcPr>
          <w:p w14:paraId="06CD19D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0.096</w:t>
            </w:r>
          </w:p>
        </w:tc>
        <w:tc>
          <w:tcPr>
            <w:tcW w:w="852" w:type="dxa"/>
            <w:tcBorders>
              <w:tl2br w:val="nil"/>
              <w:tr2bl w:val="nil"/>
            </w:tcBorders>
            <w:shd w:val="clear" w:color="auto" w:fill="auto"/>
            <w:noWrap/>
            <w:vAlign w:val="bottom"/>
          </w:tcPr>
          <w:p w14:paraId="6C4731B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0.103</w:t>
            </w:r>
          </w:p>
        </w:tc>
        <w:tc>
          <w:tcPr>
            <w:tcW w:w="1326" w:type="dxa"/>
            <w:tcBorders>
              <w:tl2br w:val="nil"/>
              <w:tr2bl w:val="nil"/>
            </w:tcBorders>
            <w:shd w:val="clear" w:color="auto" w:fill="auto"/>
            <w:noWrap/>
            <w:vAlign w:val="bottom"/>
          </w:tcPr>
          <w:p w14:paraId="2B77CF2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1326" w:type="dxa"/>
            <w:tcBorders>
              <w:tl2br w:val="nil"/>
              <w:tr2bl w:val="nil"/>
            </w:tcBorders>
            <w:shd w:val="clear" w:color="auto" w:fill="auto"/>
            <w:noWrap/>
            <w:vAlign w:val="bottom"/>
          </w:tcPr>
          <w:p w14:paraId="209DFA3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0.0055</w:t>
            </w:r>
          </w:p>
        </w:tc>
        <w:tc>
          <w:tcPr>
            <w:tcW w:w="1327" w:type="dxa"/>
            <w:tcBorders>
              <w:tl2br w:val="nil"/>
              <w:tr2bl w:val="nil"/>
            </w:tcBorders>
            <w:shd w:val="clear" w:color="auto" w:fill="auto"/>
            <w:noWrap/>
            <w:vAlign w:val="bottom"/>
          </w:tcPr>
          <w:p w14:paraId="2946CE9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6.0</w:t>
            </w:r>
          </w:p>
        </w:tc>
        <w:tc>
          <w:tcPr>
            <w:tcW w:w="1327" w:type="dxa"/>
            <w:tcBorders>
              <w:tl2br w:val="nil"/>
              <w:tr2bl w:val="nil"/>
            </w:tcBorders>
            <w:shd w:val="clear" w:color="auto" w:fill="auto"/>
            <w:noWrap/>
            <w:vAlign w:val="bottom"/>
          </w:tcPr>
          <w:p w14:paraId="53EC492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93.0</w:t>
            </w:r>
          </w:p>
        </w:tc>
      </w:tr>
      <w:tr w14:paraId="4F072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5F8EA14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7FF2BB7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4ACCF31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0.092</w:t>
            </w:r>
          </w:p>
        </w:tc>
        <w:tc>
          <w:tcPr>
            <w:tcW w:w="833" w:type="dxa"/>
            <w:tcBorders>
              <w:tl2br w:val="nil"/>
              <w:tr2bl w:val="nil"/>
            </w:tcBorders>
            <w:shd w:val="clear" w:color="auto" w:fill="auto"/>
            <w:noWrap/>
            <w:vAlign w:val="bottom"/>
          </w:tcPr>
          <w:p w14:paraId="0E6DEA0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0.090</w:t>
            </w:r>
          </w:p>
        </w:tc>
        <w:tc>
          <w:tcPr>
            <w:tcW w:w="833" w:type="dxa"/>
            <w:tcBorders>
              <w:tl2br w:val="nil"/>
              <w:tr2bl w:val="nil"/>
            </w:tcBorders>
            <w:shd w:val="clear" w:color="auto" w:fill="auto"/>
            <w:noWrap/>
            <w:vAlign w:val="bottom"/>
          </w:tcPr>
          <w:p w14:paraId="1F0347D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33" w:type="dxa"/>
            <w:tcBorders>
              <w:tl2br w:val="nil"/>
              <w:tr2bl w:val="nil"/>
            </w:tcBorders>
            <w:shd w:val="clear" w:color="auto" w:fill="auto"/>
            <w:noWrap/>
            <w:vAlign w:val="bottom"/>
          </w:tcPr>
          <w:p w14:paraId="3F7062A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0.092</w:t>
            </w:r>
          </w:p>
        </w:tc>
        <w:tc>
          <w:tcPr>
            <w:tcW w:w="833" w:type="dxa"/>
            <w:tcBorders>
              <w:tl2br w:val="nil"/>
              <w:tr2bl w:val="nil"/>
            </w:tcBorders>
            <w:shd w:val="clear" w:color="auto" w:fill="auto"/>
            <w:noWrap/>
            <w:vAlign w:val="bottom"/>
          </w:tcPr>
          <w:p w14:paraId="7BD2049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0.097</w:t>
            </w:r>
          </w:p>
        </w:tc>
        <w:tc>
          <w:tcPr>
            <w:tcW w:w="852" w:type="dxa"/>
            <w:tcBorders>
              <w:tl2br w:val="nil"/>
              <w:tr2bl w:val="nil"/>
            </w:tcBorders>
            <w:shd w:val="clear" w:color="auto" w:fill="auto"/>
            <w:noWrap/>
            <w:vAlign w:val="bottom"/>
          </w:tcPr>
          <w:p w14:paraId="5AD4CF7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0.104</w:t>
            </w:r>
          </w:p>
        </w:tc>
        <w:tc>
          <w:tcPr>
            <w:tcW w:w="1326" w:type="dxa"/>
            <w:tcBorders>
              <w:tl2br w:val="nil"/>
              <w:tr2bl w:val="nil"/>
            </w:tcBorders>
            <w:shd w:val="clear" w:color="auto" w:fill="auto"/>
            <w:noWrap/>
            <w:vAlign w:val="bottom"/>
          </w:tcPr>
          <w:p w14:paraId="4706598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0.095</w:t>
            </w:r>
          </w:p>
        </w:tc>
        <w:tc>
          <w:tcPr>
            <w:tcW w:w="1326" w:type="dxa"/>
            <w:tcBorders>
              <w:tl2br w:val="nil"/>
              <w:tr2bl w:val="nil"/>
            </w:tcBorders>
            <w:shd w:val="clear" w:color="auto" w:fill="auto"/>
            <w:noWrap/>
            <w:vAlign w:val="bottom"/>
          </w:tcPr>
          <w:p w14:paraId="24DB643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0.0051</w:t>
            </w:r>
          </w:p>
        </w:tc>
        <w:tc>
          <w:tcPr>
            <w:tcW w:w="1327" w:type="dxa"/>
            <w:tcBorders>
              <w:tl2br w:val="nil"/>
              <w:tr2bl w:val="nil"/>
            </w:tcBorders>
            <w:shd w:val="clear" w:color="auto" w:fill="auto"/>
            <w:noWrap/>
            <w:vAlign w:val="bottom"/>
          </w:tcPr>
          <w:p w14:paraId="577C118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5.3</w:t>
            </w:r>
          </w:p>
        </w:tc>
        <w:tc>
          <w:tcPr>
            <w:tcW w:w="1327" w:type="dxa"/>
            <w:tcBorders>
              <w:tl2br w:val="nil"/>
              <w:tr2bl w:val="nil"/>
            </w:tcBorders>
            <w:shd w:val="clear" w:color="auto" w:fill="auto"/>
            <w:noWrap/>
            <w:vAlign w:val="bottom"/>
          </w:tcPr>
          <w:p w14:paraId="1CF0B37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95.0</w:t>
            </w:r>
          </w:p>
        </w:tc>
      </w:tr>
      <w:tr w14:paraId="7D20A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1E876C89">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63FF1EC0">
      <w:pPr>
        <w:bidi w:val="0"/>
        <w:ind w:left="0" w:leftChars="0" w:firstLine="0" w:firstLineChars="0"/>
        <w:jc w:val="both"/>
        <w:rPr>
          <w:rFonts w:hint="default" w:ascii="Times New Roman" w:hAnsi="Times New Roman" w:cs="Times New Roman"/>
          <w:lang w:val="en-US" w:eastAsia="zh-CN"/>
        </w:rPr>
      </w:pPr>
    </w:p>
    <w:p w14:paraId="45A934F5">
      <w:pPr>
        <w:bidi w:val="0"/>
        <w:ind w:left="0" w:leftChars="0" w:firstLine="0" w:firstLineChars="0"/>
        <w:jc w:val="both"/>
        <w:rPr>
          <w:rFonts w:hint="default" w:ascii="Times New Roman" w:hAnsi="Times New Roman" w:cs="Times New Roman"/>
          <w:lang w:val="en-US" w:eastAsia="zh-CN"/>
        </w:rPr>
      </w:pPr>
    </w:p>
    <w:p w14:paraId="18F557AA">
      <w:pPr>
        <w:bidi w:val="0"/>
        <w:ind w:left="0" w:leftChars="0" w:firstLine="0" w:firstLineChars="0"/>
        <w:jc w:val="both"/>
        <w:rPr>
          <w:rFonts w:hint="default" w:ascii="Times New Roman" w:hAnsi="Times New Roman" w:cs="Times New Roman"/>
          <w:lang w:val="en-US" w:eastAsia="zh-CN"/>
        </w:rPr>
      </w:pPr>
    </w:p>
    <w:p w14:paraId="10A2615F">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附表21-2  土壤中浓度加标样品（0.40 mg/kg）精密度和正确度验证数据</w:t>
      </w:r>
    </w:p>
    <w:p w14:paraId="05D4F347">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海南省生态环境监测中心    </w:t>
      </w:r>
    </w:p>
    <w:p w14:paraId="4A4DE9F0">
      <w:pPr>
        <w:tabs>
          <w:tab w:val="left" w:pos="9240"/>
        </w:tabs>
        <w:ind w:left="0" w:leftChars="0" w:firstLine="0" w:firstLineChars="0"/>
        <w:jc w:val="both"/>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 w:val="21"/>
          <w:szCs w:val="21"/>
          <w:highlight w:val="none"/>
          <w:lang w:val="en-US" w:eastAsia="zh-CN"/>
        </w:rPr>
        <w:tab/>
      </w:r>
      <w:r>
        <w:rPr>
          <w:rFonts w:hint="default" w:ascii="Times New Roman" w:hAnsi="Times New Roman" w:eastAsia="黑体" w:cs="Times New Roman"/>
          <w:color w:val="000000"/>
          <w:sz w:val="21"/>
          <w:szCs w:val="21"/>
          <w:highlight w:val="none"/>
          <w:lang w:eastAsia="zh-CN"/>
        </w:rPr>
        <w:t>验证时间：</w:t>
      </w:r>
      <w:r>
        <w:rPr>
          <w:rFonts w:hint="default" w:ascii="Times New Roman" w:hAnsi="Times New Roman" w:eastAsia="黑体" w:cs="Times New Roman"/>
          <w:color w:val="000000"/>
          <w:sz w:val="21"/>
          <w:szCs w:val="21"/>
          <w:highlight w:val="none"/>
          <w:u w:val="single"/>
          <w:lang w:val="en-US" w:eastAsia="zh-CN"/>
        </w:rPr>
        <w:t xml:space="preserve">     </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2024年12月10号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126AB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402FA99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1901BC7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64A42EDB">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19C1FE5F">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205"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205" DrawAspect="Content" ObjectID="_1468075893" r:id="rId250">
                  <o:LockedField>false</o:LockedField>
                </o:OLEObject>
              </w:object>
            </w:r>
          </w:p>
          <w:p w14:paraId="2FA805A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53F720D4">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206"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206" DrawAspect="Content" ObjectID="_1468075894" r:id="rId251">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2C0EF7FD">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7E4064B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72595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64BE166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5C2BB19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6FCDD81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067989D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560179C3">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36B38ADC">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7B055F8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6A360C84">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0DF917A5">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5EF1F893">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060A4C24">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6AC8A83F">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4B0C0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38" w:type="dxa"/>
            <w:tcBorders>
              <w:tl2br w:val="nil"/>
              <w:tr2bl w:val="nil"/>
            </w:tcBorders>
            <w:shd w:val="clear" w:color="auto" w:fill="auto"/>
            <w:noWrap/>
            <w:vAlign w:val="center"/>
          </w:tcPr>
          <w:p w14:paraId="03AE9A9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5A50403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69883CB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0.462</w:t>
            </w:r>
          </w:p>
        </w:tc>
        <w:tc>
          <w:tcPr>
            <w:tcW w:w="833" w:type="dxa"/>
            <w:tcBorders>
              <w:tl2br w:val="nil"/>
              <w:tr2bl w:val="nil"/>
            </w:tcBorders>
            <w:shd w:val="clear" w:color="auto" w:fill="auto"/>
            <w:noWrap/>
            <w:vAlign w:val="bottom"/>
          </w:tcPr>
          <w:p w14:paraId="71A037D0">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0.458</w:t>
            </w:r>
          </w:p>
        </w:tc>
        <w:tc>
          <w:tcPr>
            <w:tcW w:w="833" w:type="dxa"/>
            <w:tcBorders>
              <w:tl2br w:val="nil"/>
              <w:tr2bl w:val="nil"/>
            </w:tcBorders>
            <w:shd w:val="clear" w:color="auto" w:fill="auto"/>
            <w:noWrap/>
            <w:vAlign w:val="bottom"/>
          </w:tcPr>
          <w:p w14:paraId="656B989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0.455</w:t>
            </w:r>
          </w:p>
        </w:tc>
        <w:tc>
          <w:tcPr>
            <w:tcW w:w="833" w:type="dxa"/>
            <w:tcBorders>
              <w:tl2br w:val="nil"/>
              <w:tr2bl w:val="nil"/>
            </w:tcBorders>
            <w:shd w:val="clear" w:color="auto" w:fill="auto"/>
            <w:noWrap/>
            <w:vAlign w:val="bottom"/>
          </w:tcPr>
          <w:p w14:paraId="6DF46F6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0.460</w:t>
            </w:r>
          </w:p>
        </w:tc>
        <w:tc>
          <w:tcPr>
            <w:tcW w:w="833" w:type="dxa"/>
            <w:tcBorders>
              <w:tl2br w:val="nil"/>
              <w:tr2bl w:val="nil"/>
            </w:tcBorders>
            <w:shd w:val="clear" w:color="auto" w:fill="auto"/>
            <w:noWrap/>
            <w:vAlign w:val="bottom"/>
          </w:tcPr>
          <w:p w14:paraId="0F6981B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0.445</w:t>
            </w:r>
          </w:p>
        </w:tc>
        <w:tc>
          <w:tcPr>
            <w:tcW w:w="852" w:type="dxa"/>
            <w:tcBorders>
              <w:tl2br w:val="nil"/>
              <w:tr2bl w:val="nil"/>
            </w:tcBorders>
            <w:shd w:val="clear" w:color="auto" w:fill="auto"/>
            <w:noWrap/>
            <w:vAlign w:val="bottom"/>
          </w:tcPr>
          <w:p w14:paraId="776693D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0.435</w:t>
            </w:r>
          </w:p>
        </w:tc>
        <w:tc>
          <w:tcPr>
            <w:tcW w:w="1326" w:type="dxa"/>
            <w:tcBorders>
              <w:tl2br w:val="nil"/>
              <w:tr2bl w:val="nil"/>
            </w:tcBorders>
            <w:shd w:val="clear" w:color="auto" w:fill="auto"/>
            <w:noWrap/>
            <w:vAlign w:val="bottom"/>
          </w:tcPr>
          <w:p w14:paraId="55E0ED9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0.453</w:t>
            </w:r>
          </w:p>
        </w:tc>
        <w:tc>
          <w:tcPr>
            <w:tcW w:w="1326" w:type="dxa"/>
            <w:tcBorders>
              <w:tl2br w:val="nil"/>
              <w:tr2bl w:val="nil"/>
            </w:tcBorders>
            <w:shd w:val="clear" w:color="auto" w:fill="auto"/>
            <w:noWrap/>
            <w:vAlign w:val="bottom"/>
          </w:tcPr>
          <w:p w14:paraId="54A8432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0.0105</w:t>
            </w:r>
          </w:p>
        </w:tc>
        <w:tc>
          <w:tcPr>
            <w:tcW w:w="1327" w:type="dxa"/>
            <w:tcBorders>
              <w:tl2br w:val="nil"/>
              <w:tr2bl w:val="nil"/>
            </w:tcBorders>
            <w:shd w:val="clear" w:color="auto" w:fill="auto"/>
            <w:noWrap/>
            <w:vAlign w:val="bottom"/>
          </w:tcPr>
          <w:p w14:paraId="3692E29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2.3</w:t>
            </w:r>
          </w:p>
        </w:tc>
        <w:tc>
          <w:tcPr>
            <w:tcW w:w="1327" w:type="dxa"/>
            <w:tcBorders>
              <w:tl2br w:val="nil"/>
              <w:tr2bl w:val="nil"/>
            </w:tcBorders>
            <w:shd w:val="clear" w:color="auto" w:fill="auto"/>
            <w:noWrap/>
            <w:vAlign w:val="bottom"/>
          </w:tcPr>
          <w:p w14:paraId="5BE2D61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113</w:t>
            </w:r>
          </w:p>
        </w:tc>
      </w:tr>
      <w:tr w14:paraId="7066D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8" w:type="dxa"/>
            <w:tcBorders>
              <w:tl2br w:val="nil"/>
              <w:tr2bl w:val="nil"/>
            </w:tcBorders>
            <w:shd w:val="clear" w:color="auto" w:fill="auto"/>
            <w:noWrap/>
            <w:vAlign w:val="center"/>
          </w:tcPr>
          <w:p w14:paraId="57F30935">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3F5BBE9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2F92E2B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0.438</w:t>
            </w:r>
          </w:p>
        </w:tc>
        <w:tc>
          <w:tcPr>
            <w:tcW w:w="833" w:type="dxa"/>
            <w:tcBorders>
              <w:tl2br w:val="nil"/>
              <w:tr2bl w:val="nil"/>
            </w:tcBorders>
            <w:shd w:val="clear" w:color="auto" w:fill="auto"/>
            <w:noWrap/>
            <w:vAlign w:val="bottom"/>
          </w:tcPr>
          <w:p w14:paraId="676014A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0.433</w:t>
            </w:r>
          </w:p>
        </w:tc>
        <w:tc>
          <w:tcPr>
            <w:tcW w:w="833" w:type="dxa"/>
            <w:tcBorders>
              <w:tl2br w:val="nil"/>
              <w:tr2bl w:val="nil"/>
            </w:tcBorders>
            <w:shd w:val="clear" w:color="auto" w:fill="auto"/>
            <w:noWrap/>
            <w:vAlign w:val="bottom"/>
          </w:tcPr>
          <w:p w14:paraId="2ECDBC8D">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0.429</w:t>
            </w:r>
          </w:p>
        </w:tc>
        <w:tc>
          <w:tcPr>
            <w:tcW w:w="833" w:type="dxa"/>
            <w:tcBorders>
              <w:tl2br w:val="nil"/>
              <w:tr2bl w:val="nil"/>
            </w:tcBorders>
            <w:shd w:val="clear" w:color="auto" w:fill="auto"/>
            <w:noWrap/>
            <w:vAlign w:val="bottom"/>
          </w:tcPr>
          <w:p w14:paraId="4D42E45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0.433</w:t>
            </w:r>
          </w:p>
        </w:tc>
        <w:tc>
          <w:tcPr>
            <w:tcW w:w="833" w:type="dxa"/>
            <w:tcBorders>
              <w:tl2br w:val="nil"/>
              <w:tr2bl w:val="nil"/>
            </w:tcBorders>
            <w:shd w:val="clear" w:color="auto" w:fill="auto"/>
            <w:noWrap/>
            <w:vAlign w:val="bottom"/>
          </w:tcPr>
          <w:p w14:paraId="70C1919E">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0.431</w:t>
            </w:r>
          </w:p>
        </w:tc>
        <w:tc>
          <w:tcPr>
            <w:tcW w:w="852" w:type="dxa"/>
            <w:tcBorders>
              <w:tl2br w:val="nil"/>
              <w:tr2bl w:val="nil"/>
            </w:tcBorders>
            <w:shd w:val="clear" w:color="auto" w:fill="auto"/>
            <w:noWrap/>
            <w:vAlign w:val="bottom"/>
          </w:tcPr>
          <w:p w14:paraId="17F3427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0.422</w:t>
            </w:r>
          </w:p>
        </w:tc>
        <w:tc>
          <w:tcPr>
            <w:tcW w:w="1326" w:type="dxa"/>
            <w:tcBorders>
              <w:tl2br w:val="nil"/>
              <w:tr2bl w:val="nil"/>
            </w:tcBorders>
            <w:shd w:val="clear" w:color="auto" w:fill="auto"/>
            <w:noWrap/>
            <w:vAlign w:val="bottom"/>
          </w:tcPr>
          <w:p w14:paraId="3634B0EA">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0.431</w:t>
            </w:r>
          </w:p>
        </w:tc>
        <w:tc>
          <w:tcPr>
            <w:tcW w:w="1326" w:type="dxa"/>
            <w:tcBorders>
              <w:tl2br w:val="nil"/>
              <w:tr2bl w:val="nil"/>
            </w:tcBorders>
            <w:shd w:val="clear" w:color="auto" w:fill="auto"/>
            <w:noWrap/>
            <w:vAlign w:val="bottom"/>
          </w:tcPr>
          <w:p w14:paraId="157B1D0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0.0052</w:t>
            </w:r>
          </w:p>
        </w:tc>
        <w:tc>
          <w:tcPr>
            <w:tcW w:w="1327" w:type="dxa"/>
            <w:tcBorders>
              <w:tl2br w:val="nil"/>
              <w:tr2bl w:val="nil"/>
            </w:tcBorders>
            <w:shd w:val="clear" w:color="auto" w:fill="auto"/>
            <w:noWrap/>
            <w:vAlign w:val="bottom"/>
          </w:tcPr>
          <w:p w14:paraId="27EB9F3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1.2</w:t>
            </w:r>
          </w:p>
        </w:tc>
        <w:tc>
          <w:tcPr>
            <w:tcW w:w="1327" w:type="dxa"/>
            <w:tcBorders>
              <w:tl2br w:val="nil"/>
              <w:tr2bl w:val="nil"/>
            </w:tcBorders>
            <w:shd w:val="clear" w:color="auto" w:fill="auto"/>
            <w:noWrap/>
            <w:vAlign w:val="bottom"/>
          </w:tcPr>
          <w:p w14:paraId="747B4A5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108</w:t>
            </w:r>
          </w:p>
        </w:tc>
      </w:tr>
      <w:tr w14:paraId="0FA11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73F1CDA6">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0CB952A1">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64D9CA7A">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附表21-3  土壤高浓度加标样品（0.70 mg/kg）精密度和正确度验证数据</w:t>
      </w:r>
    </w:p>
    <w:p w14:paraId="121551C9">
      <w:pPr>
        <w:pStyle w:val="22"/>
        <w:tabs>
          <w:tab w:val="left" w:pos="9240"/>
          <w:tab w:val="left" w:pos="10920"/>
        </w:tabs>
        <w:spacing w:before="159" w:beforeLines="50" w:after="159" w:afterLines="50" w:line="360" w:lineRule="exact"/>
        <w:jc w:val="both"/>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lang w:val="en-US" w:eastAsia="zh-CN"/>
        </w:rPr>
        <w:tab/>
      </w:r>
      <w:r>
        <w:rPr>
          <w:rFonts w:hint="default" w:ascii="Times New Roman" w:hAnsi="Times New Roman" w:cs="Times New Roman"/>
          <w:color w:val="000000"/>
          <w:sz w:val="21"/>
          <w:szCs w:val="21"/>
          <w:highlight w:val="none"/>
          <w:lang w:eastAsia="zh-CN"/>
        </w:rPr>
        <w:t>验证单位：</w:t>
      </w:r>
      <w:r>
        <w:rPr>
          <w:rFonts w:hint="default" w:ascii="Times New Roman" w:hAnsi="Times New Roman" w:cs="Times New Roman"/>
          <w:color w:val="000000"/>
          <w:sz w:val="21"/>
          <w:szCs w:val="21"/>
          <w:highlight w:val="none"/>
          <w:u w:val="single"/>
          <w:lang w:val="en-US" w:eastAsia="zh-CN"/>
        </w:rPr>
        <w:t xml:space="preserve">    海南省生态环境监测中心    </w:t>
      </w:r>
    </w:p>
    <w:p w14:paraId="4E7287BA">
      <w:pPr>
        <w:tabs>
          <w:tab w:val="left" w:pos="9240"/>
        </w:tabs>
        <w:ind w:left="0" w:leftChars="0" w:firstLine="0" w:firstLineChars="0"/>
        <w:jc w:val="both"/>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 w:val="21"/>
          <w:szCs w:val="21"/>
          <w:highlight w:val="none"/>
          <w:lang w:val="en-US" w:eastAsia="zh-CN"/>
        </w:rPr>
        <w:tab/>
      </w:r>
      <w:r>
        <w:rPr>
          <w:rFonts w:hint="default" w:ascii="Times New Roman" w:hAnsi="Times New Roman" w:eastAsia="黑体" w:cs="Times New Roman"/>
          <w:color w:val="000000"/>
          <w:sz w:val="21"/>
          <w:szCs w:val="21"/>
          <w:highlight w:val="none"/>
          <w:lang w:eastAsia="zh-CN"/>
        </w:rPr>
        <w:t>验证时间：</w:t>
      </w:r>
      <w:r>
        <w:rPr>
          <w:rFonts w:hint="default" w:ascii="Times New Roman" w:hAnsi="Times New Roman" w:eastAsia="黑体" w:cs="Times New Roman"/>
          <w:color w:val="000000"/>
          <w:sz w:val="21"/>
          <w:szCs w:val="21"/>
          <w:highlight w:val="none"/>
          <w:u w:val="single"/>
          <w:lang w:val="en-US" w:eastAsia="zh-CN"/>
        </w:rPr>
        <w:t xml:space="preserve">     </w:t>
      </w:r>
      <w:r>
        <w:rPr>
          <w:rFonts w:hint="default" w:ascii="Times New Roman" w:hAnsi="Times New Roman" w:eastAsia="黑体" w:cs="Times New Roman"/>
          <w:color w:val="000000"/>
          <w:sz w:val="21"/>
          <w:szCs w:val="21"/>
          <w:highlight w:val="none"/>
          <w:u w:val="single"/>
          <w:lang w:eastAsia="zh-CN"/>
        </w:rPr>
        <w:t xml:space="preserve"> </w:t>
      </w:r>
      <w:r>
        <w:rPr>
          <w:rFonts w:hint="default" w:ascii="Times New Roman" w:hAnsi="Times New Roman" w:eastAsia="黑体" w:cs="Times New Roman"/>
          <w:color w:val="000000"/>
          <w:sz w:val="21"/>
          <w:szCs w:val="21"/>
          <w:highlight w:val="none"/>
          <w:u w:val="single"/>
          <w:lang w:val="en-US" w:eastAsia="zh-CN"/>
        </w:rPr>
        <w:t xml:space="preserve">2024年12月10号        </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683"/>
        <w:gridCol w:w="841"/>
        <w:gridCol w:w="833"/>
        <w:gridCol w:w="833"/>
        <w:gridCol w:w="833"/>
        <w:gridCol w:w="833"/>
        <w:gridCol w:w="852"/>
        <w:gridCol w:w="1326"/>
        <w:gridCol w:w="1326"/>
        <w:gridCol w:w="1327"/>
        <w:gridCol w:w="1327"/>
      </w:tblGrid>
      <w:tr w14:paraId="0F1B5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38" w:type="dxa"/>
            <w:vMerge w:val="restart"/>
            <w:tcBorders>
              <w:tl2br w:val="nil"/>
              <w:tr2bl w:val="nil"/>
            </w:tcBorders>
            <w:noWrap/>
            <w:vAlign w:val="center"/>
          </w:tcPr>
          <w:p w14:paraId="6AFF67B6">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目标化合物</w:t>
            </w:r>
          </w:p>
        </w:tc>
        <w:tc>
          <w:tcPr>
            <w:tcW w:w="1683" w:type="dxa"/>
            <w:vMerge w:val="restart"/>
            <w:tcBorders>
              <w:tl2br w:val="nil"/>
              <w:tr2bl w:val="nil"/>
            </w:tcBorders>
            <w:noWrap/>
            <w:vAlign w:val="center"/>
          </w:tcPr>
          <w:p w14:paraId="2B2FF3D7">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空白样品测定值（mg/kg）</w:t>
            </w:r>
          </w:p>
        </w:tc>
        <w:tc>
          <w:tcPr>
            <w:tcW w:w="5025" w:type="dxa"/>
            <w:gridSpan w:val="6"/>
            <w:tcBorders>
              <w:tl2br w:val="nil"/>
              <w:tr2bl w:val="nil"/>
            </w:tcBorders>
            <w:noWrap/>
            <w:vAlign w:val="center"/>
          </w:tcPr>
          <w:p w14:paraId="589F599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测定结果（mg/kg）</w:t>
            </w:r>
          </w:p>
        </w:tc>
        <w:tc>
          <w:tcPr>
            <w:tcW w:w="1326" w:type="dxa"/>
            <w:vMerge w:val="restart"/>
            <w:tcBorders>
              <w:tl2br w:val="nil"/>
              <w:tr2bl w:val="nil"/>
            </w:tcBorders>
            <w:noWrap/>
            <w:vAlign w:val="center"/>
          </w:tcPr>
          <w:p w14:paraId="78FD00EB">
            <w:pPr>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平均值</w:t>
            </w:r>
            <w:r>
              <w:rPr>
                <w:rFonts w:hint="default" w:ascii="Times New Roman" w:hAnsi="Times New Roman" w:cs="Times New Roman"/>
                <w:color w:val="000000"/>
                <w:kern w:val="0"/>
                <w:position w:val="-12"/>
                <w:sz w:val="18"/>
                <w:szCs w:val="18"/>
              </w:rPr>
              <w:object>
                <v:shape id="_x0000_i1207" o:spt="75" type="#_x0000_t75" style="height:18pt;width:13.35pt;" o:ole="t" filled="f" o:preferrelative="t" stroked="f" coordsize="21600,21600">
                  <v:path/>
                  <v:fill on="f" focussize="0,0"/>
                  <v:stroke on="f" joinstyle="miter"/>
                  <v:imagedata r:id="rId142" o:title=""/>
                  <o:lock v:ext="edit" aspectratio="t"/>
                  <w10:wrap type="none"/>
                  <w10:anchorlock/>
                </v:shape>
                <o:OLEObject Type="Embed" ProgID="Equation.3" ShapeID="_x0000_i1207" DrawAspect="Content" ObjectID="_1468075895" r:id="rId252">
                  <o:LockedField>false</o:LockedField>
                </o:OLEObject>
              </w:object>
            </w:r>
          </w:p>
          <w:p w14:paraId="63EA34FC">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（mg/kg）</w:t>
            </w:r>
          </w:p>
        </w:tc>
        <w:tc>
          <w:tcPr>
            <w:tcW w:w="1326" w:type="dxa"/>
            <w:vMerge w:val="restart"/>
            <w:tcBorders>
              <w:tl2br w:val="nil"/>
              <w:tr2bl w:val="nil"/>
            </w:tcBorders>
            <w:noWrap/>
            <w:vAlign w:val="center"/>
          </w:tcPr>
          <w:p w14:paraId="0470A715">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标准偏差</w:t>
            </w:r>
            <w:r>
              <w:rPr>
                <w:rFonts w:hint="default" w:ascii="Times New Roman" w:hAnsi="Times New Roman" w:cs="Times New Roman"/>
                <w:color w:val="000000"/>
                <w:kern w:val="0"/>
                <w:position w:val="-12"/>
                <w:sz w:val="18"/>
                <w:szCs w:val="18"/>
              </w:rPr>
              <w:object>
                <v:shape id="_x0000_i1208" o:spt="75" type="#_x0000_t75" style="height:18pt;width:12pt;" o:ole="t" filled="f" o:preferrelative="t" stroked="f" coordsize="21600,21600">
                  <v:path/>
                  <v:fill on="f" focussize="0,0"/>
                  <v:stroke on="f" joinstyle="miter"/>
                  <v:imagedata r:id="rId144" o:title=""/>
                  <o:lock v:ext="edit" aspectratio="t"/>
                  <w10:wrap type="none"/>
                  <w10:anchorlock/>
                </v:shape>
                <o:OLEObject Type="Embed" ProgID="Equation.3" ShapeID="_x0000_i1208" DrawAspect="Content" ObjectID="_1468075896" r:id="rId253">
                  <o:LockedField>false</o:LockedField>
                </o:OLEObject>
              </w:object>
            </w:r>
            <w:r>
              <w:rPr>
                <w:rFonts w:hint="default" w:ascii="Times New Roman" w:hAnsi="Times New Roman" w:cs="Times New Roman"/>
                <w:color w:val="000000"/>
                <w:kern w:val="0"/>
                <w:sz w:val="18"/>
                <w:szCs w:val="18"/>
              </w:rPr>
              <w:t>（mg/kg）</w:t>
            </w:r>
          </w:p>
        </w:tc>
        <w:tc>
          <w:tcPr>
            <w:tcW w:w="1327" w:type="dxa"/>
            <w:vMerge w:val="restart"/>
            <w:tcBorders>
              <w:tl2br w:val="nil"/>
              <w:tr2bl w:val="nil"/>
            </w:tcBorders>
            <w:noWrap/>
            <w:vAlign w:val="center"/>
          </w:tcPr>
          <w:p w14:paraId="7ECB85A9">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相对标准偏差（%）</w:t>
            </w:r>
          </w:p>
        </w:tc>
        <w:tc>
          <w:tcPr>
            <w:tcW w:w="1327" w:type="dxa"/>
            <w:vMerge w:val="restart"/>
            <w:tcBorders>
              <w:tl2br w:val="nil"/>
              <w:tr2bl w:val="nil"/>
            </w:tcBorders>
            <w:noWrap/>
            <w:vAlign w:val="center"/>
          </w:tcPr>
          <w:p w14:paraId="29996990">
            <w:pPr>
              <w:keepNext/>
              <w:keepLines/>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回收率（%）</w:t>
            </w:r>
          </w:p>
        </w:tc>
      </w:tr>
      <w:tr w14:paraId="256EB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638" w:type="dxa"/>
            <w:vMerge w:val="continue"/>
            <w:tcBorders>
              <w:tl2br w:val="nil"/>
              <w:tr2bl w:val="nil"/>
            </w:tcBorders>
            <w:noWrap/>
            <w:vAlign w:val="center"/>
          </w:tcPr>
          <w:p w14:paraId="53C38C6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1683" w:type="dxa"/>
            <w:vMerge w:val="continue"/>
            <w:tcBorders>
              <w:tl2br w:val="nil"/>
              <w:tr2bl w:val="nil"/>
            </w:tcBorders>
            <w:noWrap/>
            <w:vAlign w:val="center"/>
          </w:tcPr>
          <w:p w14:paraId="1369D7B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p>
        </w:tc>
        <w:tc>
          <w:tcPr>
            <w:tcW w:w="841" w:type="dxa"/>
            <w:tcBorders>
              <w:tl2br w:val="nil"/>
              <w:tr2bl w:val="nil"/>
            </w:tcBorders>
            <w:noWrap/>
            <w:vAlign w:val="center"/>
          </w:tcPr>
          <w:p w14:paraId="5C7F776F">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833" w:type="dxa"/>
            <w:tcBorders>
              <w:tl2br w:val="nil"/>
              <w:tr2bl w:val="nil"/>
            </w:tcBorders>
            <w:noWrap/>
            <w:vAlign w:val="center"/>
          </w:tcPr>
          <w:p w14:paraId="5AADAEC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833" w:type="dxa"/>
            <w:tcBorders>
              <w:tl2br w:val="nil"/>
              <w:tr2bl w:val="nil"/>
            </w:tcBorders>
            <w:noWrap/>
            <w:vAlign w:val="center"/>
          </w:tcPr>
          <w:p w14:paraId="60B2C4B1">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833" w:type="dxa"/>
            <w:tcBorders>
              <w:tl2br w:val="nil"/>
              <w:tr2bl w:val="nil"/>
            </w:tcBorders>
            <w:noWrap/>
            <w:vAlign w:val="center"/>
          </w:tcPr>
          <w:p w14:paraId="5AAD32A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833" w:type="dxa"/>
            <w:tcBorders>
              <w:tl2br w:val="nil"/>
              <w:tr2bl w:val="nil"/>
            </w:tcBorders>
            <w:noWrap/>
            <w:vAlign w:val="center"/>
          </w:tcPr>
          <w:p w14:paraId="7000388D">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852" w:type="dxa"/>
            <w:tcBorders>
              <w:tl2br w:val="nil"/>
              <w:tr2bl w:val="nil"/>
            </w:tcBorders>
            <w:noWrap/>
            <w:vAlign w:val="center"/>
          </w:tcPr>
          <w:p w14:paraId="7EEFA9A8">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326" w:type="dxa"/>
            <w:vMerge w:val="continue"/>
            <w:tcBorders>
              <w:tl2br w:val="nil"/>
              <w:tr2bl w:val="nil"/>
            </w:tcBorders>
            <w:noWrap/>
            <w:vAlign w:val="center"/>
          </w:tcPr>
          <w:p w14:paraId="70940F18">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6" w:type="dxa"/>
            <w:vMerge w:val="continue"/>
            <w:tcBorders>
              <w:tl2br w:val="nil"/>
              <w:tr2bl w:val="nil"/>
            </w:tcBorders>
            <w:noWrap/>
            <w:vAlign w:val="center"/>
          </w:tcPr>
          <w:p w14:paraId="1CCAC386">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7AACE98E">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c>
          <w:tcPr>
            <w:tcW w:w="1327" w:type="dxa"/>
            <w:vMerge w:val="continue"/>
            <w:tcBorders>
              <w:tl2br w:val="nil"/>
              <w:tr2bl w:val="nil"/>
            </w:tcBorders>
            <w:noWrap/>
            <w:vAlign w:val="center"/>
          </w:tcPr>
          <w:p w14:paraId="74DFAE52">
            <w:pPr>
              <w:pStyle w:val="22"/>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Cs/>
                <w:color w:val="000000"/>
                <w:kern w:val="2"/>
                <w:szCs w:val="18"/>
              </w:rPr>
            </w:pPr>
          </w:p>
        </w:tc>
      </w:tr>
      <w:tr w14:paraId="64CBD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3" w:hRule="atLeast"/>
          <w:jc w:val="center"/>
        </w:trPr>
        <w:tc>
          <w:tcPr>
            <w:tcW w:w="1638" w:type="dxa"/>
            <w:tcBorders>
              <w:tl2br w:val="nil"/>
              <w:tr2bl w:val="nil"/>
            </w:tcBorders>
            <w:shd w:val="clear" w:color="auto" w:fill="auto"/>
            <w:noWrap/>
            <w:vAlign w:val="center"/>
          </w:tcPr>
          <w:p w14:paraId="6C796DA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683" w:type="dxa"/>
            <w:tcBorders>
              <w:tl2br w:val="nil"/>
              <w:tr2bl w:val="nil"/>
            </w:tcBorders>
            <w:noWrap/>
            <w:vAlign w:val="center"/>
          </w:tcPr>
          <w:p w14:paraId="22E22A6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40E9AC89">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0.782</w:t>
            </w:r>
          </w:p>
        </w:tc>
        <w:tc>
          <w:tcPr>
            <w:tcW w:w="833" w:type="dxa"/>
            <w:tcBorders>
              <w:tl2br w:val="nil"/>
              <w:tr2bl w:val="nil"/>
            </w:tcBorders>
            <w:shd w:val="clear" w:color="auto" w:fill="auto"/>
            <w:noWrap/>
            <w:vAlign w:val="bottom"/>
          </w:tcPr>
          <w:p w14:paraId="28E2A4C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0.760</w:t>
            </w:r>
          </w:p>
        </w:tc>
        <w:tc>
          <w:tcPr>
            <w:tcW w:w="833" w:type="dxa"/>
            <w:tcBorders>
              <w:tl2br w:val="nil"/>
              <w:tr2bl w:val="nil"/>
            </w:tcBorders>
            <w:shd w:val="clear" w:color="auto" w:fill="auto"/>
            <w:noWrap/>
            <w:vAlign w:val="bottom"/>
          </w:tcPr>
          <w:p w14:paraId="3EE2A90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0.813</w:t>
            </w:r>
          </w:p>
        </w:tc>
        <w:tc>
          <w:tcPr>
            <w:tcW w:w="833" w:type="dxa"/>
            <w:tcBorders>
              <w:tl2br w:val="nil"/>
              <w:tr2bl w:val="nil"/>
            </w:tcBorders>
            <w:shd w:val="clear" w:color="auto" w:fill="auto"/>
            <w:noWrap/>
            <w:vAlign w:val="bottom"/>
          </w:tcPr>
          <w:p w14:paraId="0A2A1408">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0.811</w:t>
            </w:r>
          </w:p>
        </w:tc>
        <w:tc>
          <w:tcPr>
            <w:tcW w:w="833" w:type="dxa"/>
            <w:tcBorders>
              <w:tl2br w:val="nil"/>
              <w:tr2bl w:val="nil"/>
            </w:tcBorders>
            <w:shd w:val="clear" w:color="auto" w:fill="auto"/>
            <w:noWrap/>
            <w:vAlign w:val="bottom"/>
          </w:tcPr>
          <w:p w14:paraId="780A2C91">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0.783</w:t>
            </w:r>
          </w:p>
        </w:tc>
        <w:tc>
          <w:tcPr>
            <w:tcW w:w="852" w:type="dxa"/>
            <w:tcBorders>
              <w:tl2br w:val="nil"/>
              <w:tr2bl w:val="nil"/>
            </w:tcBorders>
            <w:shd w:val="clear" w:color="auto" w:fill="auto"/>
            <w:noWrap/>
            <w:vAlign w:val="bottom"/>
          </w:tcPr>
          <w:p w14:paraId="784AD17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0.818</w:t>
            </w:r>
          </w:p>
        </w:tc>
        <w:tc>
          <w:tcPr>
            <w:tcW w:w="1326" w:type="dxa"/>
            <w:tcBorders>
              <w:tl2br w:val="nil"/>
              <w:tr2bl w:val="nil"/>
            </w:tcBorders>
            <w:shd w:val="clear" w:color="auto" w:fill="auto"/>
            <w:noWrap/>
            <w:vAlign w:val="bottom"/>
          </w:tcPr>
          <w:p w14:paraId="7F858B3B">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0.794</w:t>
            </w:r>
          </w:p>
        </w:tc>
        <w:tc>
          <w:tcPr>
            <w:tcW w:w="1326" w:type="dxa"/>
            <w:tcBorders>
              <w:tl2br w:val="nil"/>
              <w:tr2bl w:val="nil"/>
            </w:tcBorders>
            <w:shd w:val="clear" w:color="auto" w:fill="auto"/>
            <w:noWrap/>
            <w:vAlign w:val="bottom"/>
          </w:tcPr>
          <w:p w14:paraId="3E237EA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0.0232</w:t>
            </w:r>
          </w:p>
        </w:tc>
        <w:tc>
          <w:tcPr>
            <w:tcW w:w="1327" w:type="dxa"/>
            <w:tcBorders>
              <w:tl2br w:val="nil"/>
              <w:tr2bl w:val="nil"/>
            </w:tcBorders>
            <w:shd w:val="clear" w:color="auto" w:fill="auto"/>
            <w:noWrap/>
            <w:vAlign w:val="bottom"/>
          </w:tcPr>
          <w:p w14:paraId="6013F8B2">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2.9</w:t>
            </w:r>
          </w:p>
        </w:tc>
        <w:tc>
          <w:tcPr>
            <w:tcW w:w="1327" w:type="dxa"/>
            <w:tcBorders>
              <w:tl2br w:val="nil"/>
              <w:tr2bl w:val="nil"/>
            </w:tcBorders>
            <w:shd w:val="clear" w:color="auto" w:fill="auto"/>
            <w:noWrap/>
            <w:vAlign w:val="bottom"/>
          </w:tcPr>
          <w:p w14:paraId="002A525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113</w:t>
            </w:r>
          </w:p>
        </w:tc>
      </w:tr>
      <w:tr w14:paraId="72CFD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tcBorders>
              <w:tl2br w:val="nil"/>
              <w:tr2bl w:val="nil"/>
            </w:tcBorders>
            <w:shd w:val="clear" w:color="auto" w:fill="auto"/>
            <w:noWrap/>
            <w:vAlign w:val="center"/>
          </w:tcPr>
          <w:p w14:paraId="5504BBAE">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683" w:type="dxa"/>
            <w:tcBorders>
              <w:tl2br w:val="nil"/>
              <w:tr2bl w:val="nil"/>
            </w:tcBorders>
            <w:noWrap/>
            <w:vAlign w:val="center"/>
          </w:tcPr>
          <w:p w14:paraId="0AE9CBB2">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ND</w:t>
            </w:r>
          </w:p>
        </w:tc>
        <w:tc>
          <w:tcPr>
            <w:tcW w:w="841" w:type="dxa"/>
            <w:tcBorders>
              <w:tl2br w:val="nil"/>
              <w:tr2bl w:val="nil"/>
            </w:tcBorders>
            <w:shd w:val="clear" w:color="auto" w:fill="auto"/>
            <w:noWrap/>
            <w:vAlign w:val="bottom"/>
          </w:tcPr>
          <w:p w14:paraId="262B8F9C">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0.794</w:t>
            </w:r>
          </w:p>
        </w:tc>
        <w:tc>
          <w:tcPr>
            <w:tcW w:w="833" w:type="dxa"/>
            <w:tcBorders>
              <w:tl2br w:val="nil"/>
              <w:tr2bl w:val="nil"/>
            </w:tcBorders>
            <w:shd w:val="clear" w:color="auto" w:fill="auto"/>
            <w:noWrap/>
            <w:vAlign w:val="bottom"/>
          </w:tcPr>
          <w:p w14:paraId="70DDDBF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0.772</w:t>
            </w:r>
          </w:p>
        </w:tc>
        <w:tc>
          <w:tcPr>
            <w:tcW w:w="833" w:type="dxa"/>
            <w:tcBorders>
              <w:tl2br w:val="nil"/>
              <w:tr2bl w:val="nil"/>
            </w:tcBorders>
            <w:shd w:val="clear" w:color="auto" w:fill="auto"/>
            <w:noWrap/>
            <w:vAlign w:val="bottom"/>
          </w:tcPr>
          <w:p w14:paraId="39E9ADC7">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0.804</w:t>
            </w:r>
          </w:p>
        </w:tc>
        <w:tc>
          <w:tcPr>
            <w:tcW w:w="833" w:type="dxa"/>
            <w:tcBorders>
              <w:tl2br w:val="nil"/>
              <w:tr2bl w:val="nil"/>
            </w:tcBorders>
            <w:shd w:val="clear" w:color="auto" w:fill="auto"/>
            <w:noWrap/>
            <w:vAlign w:val="bottom"/>
          </w:tcPr>
          <w:p w14:paraId="715DAF63">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0.803</w:t>
            </w:r>
          </w:p>
        </w:tc>
        <w:tc>
          <w:tcPr>
            <w:tcW w:w="833" w:type="dxa"/>
            <w:tcBorders>
              <w:tl2br w:val="nil"/>
              <w:tr2bl w:val="nil"/>
            </w:tcBorders>
            <w:shd w:val="clear" w:color="auto" w:fill="auto"/>
            <w:noWrap/>
            <w:vAlign w:val="bottom"/>
          </w:tcPr>
          <w:p w14:paraId="4F4F2F8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0.765</w:t>
            </w:r>
          </w:p>
        </w:tc>
        <w:tc>
          <w:tcPr>
            <w:tcW w:w="852" w:type="dxa"/>
            <w:tcBorders>
              <w:tl2br w:val="nil"/>
              <w:tr2bl w:val="nil"/>
            </w:tcBorders>
            <w:shd w:val="clear" w:color="auto" w:fill="auto"/>
            <w:noWrap/>
            <w:vAlign w:val="bottom"/>
          </w:tcPr>
          <w:p w14:paraId="548449F6">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0.799</w:t>
            </w:r>
          </w:p>
        </w:tc>
        <w:tc>
          <w:tcPr>
            <w:tcW w:w="1326" w:type="dxa"/>
            <w:tcBorders>
              <w:tl2br w:val="nil"/>
              <w:tr2bl w:val="nil"/>
            </w:tcBorders>
            <w:shd w:val="clear" w:color="auto" w:fill="auto"/>
            <w:noWrap/>
            <w:vAlign w:val="bottom"/>
          </w:tcPr>
          <w:p w14:paraId="530D398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0.790</w:t>
            </w:r>
          </w:p>
        </w:tc>
        <w:tc>
          <w:tcPr>
            <w:tcW w:w="1326" w:type="dxa"/>
            <w:tcBorders>
              <w:tl2br w:val="nil"/>
              <w:tr2bl w:val="nil"/>
            </w:tcBorders>
            <w:shd w:val="clear" w:color="auto" w:fill="auto"/>
            <w:noWrap/>
            <w:vAlign w:val="bottom"/>
          </w:tcPr>
          <w:p w14:paraId="6AC33FDF">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0.0168</w:t>
            </w:r>
          </w:p>
        </w:tc>
        <w:tc>
          <w:tcPr>
            <w:tcW w:w="1327" w:type="dxa"/>
            <w:tcBorders>
              <w:tl2br w:val="nil"/>
              <w:tr2bl w:val="nil"/>
            </w:tcBorders>
            <w:shd w:val="clear" w:color="auto" w:fill="auto"/>
            <w:noWrap/>
            <w:vAlign w:val="bottom"/>
          </w:tcPr>
          <w:p w14:paraId="69B65D64">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c>
          <w:tcPr>
            <w:tcW w:w="1327" w:type="dxa"/>
            <w:tcBorders>
              <w:tl2br w:val="nil"/>
              <w:tr2bl w:val="nil"/>
            </w:tcBorders>
            <w:shd w:val="clear" w:color="auto" w:fill="auto"/>
            <w:noWrap/>
            <w:vAlign w:val="bottom"/>
          </w:tcPr>
          <w:p w14:paraId="6DFAFA45">
            <w:pPr>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113</w:t>
            </w:r>
          </w:p>
        </w:tc>
      </w:tr>
      <w:tr w14:paraId="6E5FA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52" w:type="dxa"/>
            <w:gridSpan w:val="12"/>
            <w:tcBorders>
              <w:tl2br w:val="nil"/>
              <w:tr2bl w:val="nil"/>
            </w:tcBorders>
            <w:shd w:val="clear" w:color="auto" w:fill="auto"/>
            <w:noWrap/>
            <w:vAlign w:val="center"/>
          </w:tcPr>
          <w:p w14:paraId="5DC825AC">
            <w:pPr>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注：测定结果和平均值保留至小数点后3位，标准偏差保留至小数点后4位。</w:t>
            </w:r>
          </w:p>
        </w:tc>
      </w:tr>
    </w:tbl>
    <w:p w14:paraId="16C1BB3B">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E03A233">
      <w:pPr>
        <w:bidi w:val="0"/>
        <w:ind w:left="0" w:leftChars="0" w:firstLine="0" w:firstLineChars="0"/>
        <w:jc w:val="both"/>
        <w:rPr>
          <w:rFonts w:hint="default" w:ascii="Times New Roman" w:hAnsi="Times New Roman" w:cs="Times New Roman"/>
          <w:lang w:val="en-US" w:eastAsia="zh-CN"/>
        </w:rPr>
        <w:sectPr>
          <w:pgSz w:w="16838" w:h="11906" w:orient="landscape"/>
          <w:pgMar w:top="1701" w:right="1701" w:bottom="1701"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4B66BF">
      <w:pPr>
        <w:pStyle w:val="3"/>
        <w:bidi w:val="0"/>
        <w:rPr>
          <w:rFonts w:hint="default" w:ascii="Times New Roman" w:hAnsi="Times New Roman" w:cs="Times New Roman"/>
          <w:lang w:val="en-US" w:eastAsia="zh-CN"/>
        </w:rPr>
      </w:pPr>
      <w:bookmarkStart w:id="201" w:name="_Toc17932"/>
      <w:bookmarkStart w:id="202" w:name="_Toc587"/>
      <w:bookmarkStart w:id="203" w:name="_Toc3169"/>
      <w:bookmarkStart w:id="204" w:name="_Toc21640"/>
      <w:bookmarkStart w:id="205" w:name="_Toc23892"/>
      <w:bookmarkStart w:id="206" w:name="_Toc18218"/>
      <w:r>
        <w:rPr>
          <w:rFonts w:hint="default" w:ascii="Times New Roman" w:hAnsi="Times New Roman" w:cs="Times New Roman"/>
          <w:lang w:val="en-US" w:eastAsia="zh-CN"/>
        </w:rPr>
        <w:t>2.3  其他需要说明的问题</w:t>
      </w:r>
      <w:bookmarkEnd w:id="201"/>
      <w:bookmarkEnd w:id="202"/>
      <w:bookmarkEnd w:id="203"/>
      <w:bookmarkEnd w:id="204"/>
      <w:bookmarkEnd w:id="205"/>
      <w:bookmarkEnd w:id="206"/>
    </w:p>
    <w:p w14:paraId="69D795B7">
      <w:pPr>
        <w:rPr>
          <w:rFonts w:hint="default" w:ascii="Times New Roman" w:hAnsi="Times New Roman" w:cs="Times New Roman"/>
          <w:lang w:val="en-US" w:eastAsia="zh-CN"/>
        </w:rPr>
      </w:pPr>
      <w:r>
        <w:rPr>
          <w:rFonts w:hint="default" w:ascii="Times New Roman" w:hAnsi="Times New Roman" w:cs="Times New Roman"/>
          <w:lang w:val="en-US" w:eastAsia="zh-CN"/>
        </w:rPr>
        <w:t>无。</w:t>
      </w:r>
    </w:p>
    <w:p w14:paraId="0CB141BD">
      <w:pPr>
        <w:pStyle w:val="2"/>
        <w:bidi w:val="0"/>
        <w:rPr>
          <w:rFonts w:hint="default" w:ascii="Times New Roman" w:hAnsi="Times New Roman" w:cs="Times New Roman"/>
          <w:lang w:val="en-US" w:eastAsia="zh-CN"/>
        </w:rPr>
      </w:pPr>
      <w:bookmarkStart w:id="207" w:name="_Toc6945"/>
      <w:bookmarkStart w:id="208" w:name="_Toc18588"/>
      <w:bookmarkStart w:id="209" w:name="_Toc16817"/>
      <w:bookmarkStart w:id="210" w:name="_Toc18512"/>
      <w:bookmarkStart w:id="211" w:name="_Toc24056"/>
      <w:bookmarkStart w:id="212" w:name="_Toc24511"/>
      <w:r>
        <w:rPr>
          <w:rFonts w:hint="default" w:ascii="Times New Roman" w:hAnsi="Times New Roman" w:cs="Times New Roman"/>
          <w:lang w:val="en-US" w:eastAsia="zh-CN"/>
        </w:rPr>
        <w:t>3  方法验证数据汇总</w:t>
      </w:r>
      <w:bookmarkEnd w:id="207"/>
      <w:bookmarkEnd w:id="208"/>
      <w:bookmarkEnd w:id="209"/>
      <w:bookmarkEnd w:id="210"/>
      <w:bookmarkEnd w:id="211"/>
      <w:bookmarkEnd w:id="212"/>
    </w:p>
    <w:p w14:paraId="754AF93A">
      <w:pPr>
        <w:pStyle w:val="3"/>
        <w:bidi w:val="0"/>
        <w:rPr>
          <w:rFonts w:hint="default" w:ascii="Times New Roman" w:hAnsi="Times New Roman" w:cs="Times New Roman"/>
          <w:lang w:val="en-US" w:eastAsia="zh-CN"/>
        </w:rPr>
      </w:pPr>
      <w:bookmarkStart w:id="213" w:name="_Toc32460"/>
      <w:bookmarkStart w:id="214" w:name="_Toc10326"/>
      <w:bookmarkStart w:id="215" w:name="_Toc18889"/>
      <w:bookmarkStart w:id="216" w:name="_Toc13689"/>
      <w:bookmarkStart w:id="217" w:name="_Toc21619"/>
      <w:bookmarkStart w:id="218" w:name="_Toc151"/>
      <w:r>
        <w:rPr>
          <w:rFonts w:hint="default" w:ascii="Times New Roman" w:hAnsi="Times New Roman" w:cs="Times New Roman"/>
          <w:lang w:val="en-US" w:eastAsia="zh-CN"/>
        </w:rPr>
        <w:t>3.1  方法检出限、测定下限汇总</w:t>
      </w:r>
      <w:bookmarkEnd w:id="213"/>
      <w:bookmarkEnd w:id="214"/>
      <w:bookmarkEnd w:id="215"/>
      <w:bookmarkEnd w:id="216"/>
      <w:bookmarkEnd w:id="217"/>
      <w:bookmarkEnd w:id="218"/>
    </w:p>
    <w:p w14:paraId="05C16047">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方法检出限为</w:t>
      </w:r>
      <w:r>
        <w:rPr>
          <w:rFonts w:hint="eastAsia" w:cs="Times New Roman"/>
          <w:color w:val="000000"/>
          <w:szCs w:val="21"/>
          <w:highlight w:val="none"/>
          <w:lang w:val="en-US" w:eastAsia="zh-CN"/>
        </w:rPr>
        <w:t>6</w:t>
      </w:r>
      <w:r>
        <w:rPr>
          <w:rFonts w:hint="default" w:ascii="Times New Roman" w:hAnsi="Times New Roman" w:cs="Times New Roman"/>
          <w:color w:val="000000"/>
          <w:szCs w:val="21"/>
          <w:highlight w:val="none"/>
        </w:rPr>
        <w:t>家实验室检出限的最大值，测定下限为方法检出限的4倍，结果</w:t>
      </w:r>
      <w:r>
        <w:rPr>
          <w:rFonts w:hint="default" w:ascii="Times New Roman" w:hAnsi="Times New Roman" w:cs="Times New Roman"/>
          <w:color w:val="000000"/>
          <w:szCs w:val="21"/>
          <w:highlight w:val="none"/>
          <w:lang w:val="en-US" w:eastAsia="zh-CN"/>
        </w:rPr>
        <w:t>见</w:t>
      </w:r>
      <w:r>
        <w:rPr>
          <w:rFonts w:hint="default" w:ascii="Times New Roman" w:hAnsi="Times New Roman" w:cs="Times New Roman"/>
          <w:color w:val="000000"/>
          <w:szCs w:val="21"/>
          <w:highlight w:val="none"/>
        </w:rPr>
        <w:t>附表</w:t>
      </w:r>
      <w:r>
        <w:rPr>
          <w:rFonts w:hint="default" w:ascii="Times New Roman" w:hAnsi="Times New Roman" w:cs="Times New Roman"/>
          <w:color w:val="000000"/>
          <w:szCs w:val="21"/>
          <w:highlight w:val="none"/>
          <w:lang w:val="en-US" w:eastAsia="zh-CN"/>
        </w:rPr>
        <w:t>22</w:t>
      </w:r>
      <w:r>
        <w:rPr>
          <w:rFonts w:hint="default" w:ascii="Times New Roman" w:hAnsi="Times New Roman" w:cs="Times New Roman"/>
          <w:color w:val="000000"/>
          <w:szCs w:val="21"/>
          <w:highlight w:val="none"/>
        </w:rPr>
        <w:t>。</w:t>
      </w:r>
    </w:p>
    <w:p w14:paraId="5AAC82D7">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附表22  方法检出限、测定下限汇总表</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2600"/>
        <w:gridCol w:w="2575"/>
        <w:gridCol w:w="2697"/>
      </w:tblGrid>
      <w:tr w14:paraId="61AD2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8" w:type="dxa"/>
            <w:tcBorders>
              <w:tl2br w:val="nil"/>
              <w:tr2bl w:val="nil"/>
            </w:tcBorders>
            <w:vAlign w:val="top"/>
          </w:tcPr>
          <w:p w14:paraId="467F9B9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序号</w:t>
            </w:r>
          </w:p>
        </w:tc>
        <w:tc>
          <w:tcPr>
            <w:tcW w:w="2600" w:type="dxa"/>
            <w:tcBorders>
              <w:tl2br w:val="nil"/>
              <w:tr2bl w:val="nil"/>
            </w:tcBorders>
            <w:vAlign w:val="top"/>
          </w:tcPr>
          <w:p w14:paraId="35A7DAC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目标化合物</w:t>
            </w:r>
          </w:p>
        </w:tc>
        <w:tc>
          <w:tcPr>
            <w:tcW w:w="2575" w:type="dxa"/>
            <w:tcBorders>
              <w:tl2br w:val="nil"/>
              <w:tr2bl w:val="nil"/>
            </w:tcBorders>
            <w:vAlign w:val="top"/>
          </w:tcPr>
          <w:p w14:paraId="020DF52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检出限（mg/kg）</w:t>
            </w:r>
          </w:p>
        </w:tc>
        <w:tc>
          <w:tcPr>
            <w:tcW w:w="2697" w:type="dxa"/>
            <w:tcBorders>
              <w:tl2br w:val="nil"/>
              <w:tr2bl w:val="nil"/>
            </w:tcBorders>
            <w:vAlign w:val="top"/>
          </w:tcPr>
          <w:p w14:paraId="427D936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测定下限（mg/kg）</w:t>
            </w:r>
          </w:p>
        </w:tc>
      </w:tr>
      <w:tr w14:paraId="439DF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8" w:type="dxa"/>
            <w:tcBorders>
              <w:tl2br w:val="nil"/>
              <w:tr2bl w:val="nil"/>
            </w:tcBorders>
            <w:vAlign w:val="top"/>
          </w:tcPr>
          <w:p w14:paraId="77E4542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1</w:t>
            </w:r>
          </w:p>
        </w:tc>
        <w:tc>
          <w:tcPr>
            <w:tcW w:w="2600" w:type="dxa"/>
            <w:tcBorders>
              <w:tl2br w:val="nil"/>
              <w:tr2bl w:val="nil"/>
            </w:tcBorders>
            <w:shd w:val="clear" w:color="auto" w:fill="auto"/>
            <w:vAlign w:val="center"/>
          </w:tcPr>
          <w:p w14:paraId="5F8F8E1A">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2575" w:type="dxa"/>
            <w:tcBorders>
              <w:tl2br w:val="nil"/>
              <w:tr2bl w:val="nil"/>
            </w:tcBorders>
            <w:vAlign w:val="top"/>
          </w:tcPr>
          <w:p w14:paraId="419C9D3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0.02</w:t>
            </w:r>
          </w:p>
        </w:tc>
        <w:tc>
          <w:tcPr>
            <w:tcW w:w="2697" w:type="dxa"/>
            <w:tcBorders>
              <w:tl2br w:val="nil"/>
              <w:tr2bl w:val="nil"/>
            </w:tcBorders>
            <w:vAlign w:val="top"/>
          </w:tcPr>
          <w:p w14:paraId="44628EC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0.08</w:t>
            </w:r>
          </w:p>
        </w:tc>
      </w:tr>
      <w:tr w14:paraId="7B2C4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8" w:type="dxa"/>
            <w:tcBorders>
              <w:tl2br w:val="nil"/>
              <w:tr2bl w:val="nil"/>
            </w:tcBorders>
            <w:vAlign w:val="top"/>
          </w:tcPr>
          <w:p w14:paraId="2204727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vertAlign w:val="baseline"/>
                <w:lang w:val="en-US" w:eastAsia="zh-CN"/>
              </w:rPr>
            </w:pPr>
            <w:r>
              <w:rPr>
                <w:rFonts w:hint="default" w:ascii="Times New Roman" w:hAnsi="Times New Roman" w:cs="Times New Roman"/>
                <w:color w:val="000000"/>
                <w:sz w:val="18"/>
                <w:szCs w:val="18"/>
                <w:highlight w:val="none"/>
                <w:vertAlign w:val="baseline"/>
                <w:lang w:val="en-US" w:eastAsia="zh-CN"/>
              </w:rPr>
              <w:t>2</w:t>
            </w:r>
          </w:p>
        </w:tc>
        <w:tc>
          <w:tcPr>
            <w:tcW w:w="2600" w:type="dxa"/>
            <w:tcBorders>
              <w:tl2br w:val="nil"/>
              <w:tr2bl w:val="nil"/>
            </w:tcBorders>
            <w:shd w:val="clear" w:color="auto" w:fill="auto"/>
            <w:vAlign w:val="center"/>
          </w:tcPr>
          <w:p w14:paraId="04A4B370">
            <w:pPr>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2575" w:type="dxa"/>
            <w:tcBorders>
              <w:tl2br w:val="nil"/>
              <w:tr2bl w:val="nil"/>
            </w:tcBorders>
            <w:shd w:val="clear" w:color="auto" w:fill="auto"/>
            <w:vAlign w:val="top"/>
          </w:tcPr>
          <w:p w14:paraId="67115D3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0.02</w:t>
            </w:r>
          </w:p>
        </w:tc>
        <w:tc>
          <w:tcPr>
            <w:tcW w:w="2697" w:type="dxa"/>
            <w:tcBorders>
              <w:tl2br w:val="nil"/>
              <w:tr2bl w:val="nil"/>
            </w:tcBorders>
            <w:shd w:val="clear" w:color="auto" w:fill="auto"/>
            <w:vAlign w:val="top"/>
          </w:tcPr>
          <w:p w14:paraId="439669A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18"/>
                <w:szCs w:val="18"/>
                <w:highlight w:val="none"/>
                <w:vertAlign w:val="baseline"/>
                <w:lang w:val="en-US" w:eastAsia="zh-CN" w:bidi="ar-SA"/>
              </w:rPr>
            </w:pPr>
            <w:r>
              <w:rPr>
                <w:rFonts w:hint="default" w:ascii="Times New Roman" w:hAnsi="Times New Roman" w:cs="Times New Roman"/>
                <w:color w:val="000000"/>
                <w:sz w:val="18"/>
                <w:szCs w:val="18"/>
                <w:highlight w:val="none"/>
                <w:vertAlign w:val="baseline"/>
                <w:lang w:val="en-US" w:eastAsia="zh-CN"/>
              </w:rPr>
              <w:t>0.08</w:t>
            </w:r>
          </w:p>
        </w:tc>
      </w:tr>
    </w:tbl>
    <w:p w14:paraId="2618658D">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结论：通过对</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家实验室检出限数据进行汇总，使用Grubbs检验后，发现没有离群值，因此保留所有值</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 xml:space="preserve">该方法检出限为0.02 </w:t>
      </w:r>
      <w:r>
        <w:rPr>
          <w:rFonts w:hint="default" w:ascii="Times New Roman" w:hAnsi="Times New Roman" w:cs="Times New Roman"/>
          <w:color w:val="000000"/>
          <w:kern w:val="0"/>
          <w:szCs w:val="21"/>
          <w:highlight w:val="none"/>
        </w:rPr>
        <w:t>mg/kg</w:t>
      </w:r>
      <w:r>
        <w:rPr>
          <w:rFonts w:hint="default" w:ascii="Times New Roman" w:hAnsi="Times New Roman" w:cs="Times New Roman"/>
          <w:color w:val="000000"/>
          <w:szCs w:val="21"/>
          <w:highlight w:val="none"/>
        </w:rPr>
        <w:t>，测定下限为</w:t>
      </w:r>
      <w:r>
        <w:rPr>
          <w:rFonts w:hint="default" w:ascii="Times New Roman" w:hAnsi="Times New Roman" w:cs="Times New Roman"/>
          <w:color w:val="000000"/>
          <w:highlight w:val="none"/>
        </w:rPr>
        <w:t xml:space="preserve">0.08 </w:t>
      </w:r>
      <w:r>
        <w:rPr>
          <w:rFonts w:hint="default" w:ascii="Times New Roman" w:hAnsi="Times New Roman" w:cs="Times New Roman"/>
          <w:color w:val="000000"/>
          <w:kern w:val="0"/>
          <w:szCs w:val="21"/>
          <w:highlight w:val="none"/>
        </w:rPr>
        <w:t>mg/kg</w:t>
      </w:r>
      <w:r>
        <w:rPr>
          <w:rFonts w:hint="default" w:ascii="Times New Roman" w:hAnsi="Times New Roman" w:cs="Times New Roman"/>
          <w:color w:val="000000"/>
          <w:szCs w:val="21"/>
          <w:highlight w:val="none"/>
        </w:rPr>
        <w:t>。</w:t>
      </w:r>
    </w:p>
    <w:p w14:paraId="4267A027">
      <w:pPr>
        <w:pStyle w:val="3"/>
        <w:bidi w:val="0"/>
        <w:rPr>
          <w:rFonts w:hint="default" w:ascii="Times New Roman" w:hAnsi="Times New Roman" w:cs="Times New Roman"/>
          <w:lang w:val="en-US" w:eastAsia="zh-CN"/>
        </w:rPr>
      </w:pPr>
      <w:bookmarkStart w:id="219" w:name="_Toc6034"/>
      <w:bookmarkStart w:id="220" w:name="_Toc771"/>
      <w:bookmarkStart w:id="221" w:name="_Toc10943"/>
      <w:bookmarkStart w:id="222" w:name="_Toc30876"/>
      <w:bookmarkStart w:id="223" w:name="_Toc17177"/>
      <w:bookmarkStart w:id="224" w:name="_Toc1418"/>
      <w:r>
        <w:rPr>
          <w:rFonts w:hint="default" w:ascii="Times New Roman" w:hAnsi="Times New Roman" w:cs="Times New Roman"/>
          <w:lang w:val="en-US" w:eastAsia="zh-CN"/>
        </w:rPr>
        <w:t>3.2  方法精密度数据汇总</w:t>
      </w:r>
      <w:bookmarkEnd w:id="219"/>
      <w:bookmarkEnd w:id="220"/>
      <w:bookmarkEnd w:id="221"/>
      <w:bookmarkEnd w:id="222"/>
      <w:bookmarkEnd w:id="223"/>
      <w:bookmarkEnd w:id="224"/>
    </w:p>
    <w:p w14:paraId="14F5B9DD">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附表</w:t>
      </w:r>
      <w:r>
        <w:rPr>
          <w:rFonts w:hint="default" w:ascii="Times New Roman" w:hAnsi="Times New Roman" w:cs="Times New Roman"/>
          <w:color w:val="000000"/>
          <w:szCs w:val="21"/>
          <w:highlight w:val="none"/>
          <w:lang w:val="en-US" w:eastAsia="zh-CN"/>
        </w:rPr>
        <w:t>23~</w:t>
      </w:r>
      <w:r>
        <w:rPr>
          <w:rFonts w:hint="default" w:ascii="Times New Roman" w:hAnsi="Times New Roman" w:cs="Times New Roman"/>
          <w:color w:val="000000"/>
          <w:szCs w:val="21"/>
          <w:highlight w:val="none"/>
        </w:rPr>
        <w:t>附表</w:t>
      </w:r>
      <w:r>
        <w:rPr>
          <w:rFonts w:hint="default" w:ascii="Times New Roman" w:hAnsi="Times New Roman" w:cs="Times New Roman"/>
          <w:color w:val="000000"/>
          <w:szCs w:val="21"/>
          <w:highlight w:val="none"/>
          <w:lang w:val="en-US" w:eastAsia="zh-CN"/>
        </w:rPr>
        <w:t>24</w:t>
      </w:r>
      <w:r>
        <w:rPr>
          <w:rFonts w:hint="default" w:ascii="Times New Roman" w:hAnsi="Times New Roman" w:cs="Times New Roman"/>
          <w:color w:val="000000"/>
          <w:szCs w:val="21"/>
          <w:highlight w:val="none"/>
        </w:rPr>
        <w:t>为</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家实验室方法验证结果的精密度测试数据汇总表，具体如下：</w:t>
      </w:r>
    </w:p>
    <w:p w14:paraId="34EA2E6C">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br w:type="page"/>
      </w:r>
    </w:p>
    <w:p w14:paraId="5078F541">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附表23  方法精密度测试数据汇总表（空白样品加标）</w:t>
      </w:r>
    </w:p>
    <w:p w14:paraId="6044A53E">
      <w:pPr>
        <w:ind w:left="0" w:leftChars="0" w:firstLine="0" w:firstLineChars="0"/>
        <w:jc w:val="right"/>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单位：</w:t>
      </w:r>
      <w:r>
        <w:rPr>
          <w:rFonts w:hint="default" w:ascii="Times New Roman" w:hAnsi="Times New Roman" w:cs="Times New Roman"/>
          <w:color w:val="000000"/>
          <w:kern w:val="0"/>
          <w:szCs w:val="18"/>
          <w:highlight w:val="none"/>
          <w:lang w:eastAsia="zh-CN"/>
        </w:rPr>
        <w:t>mg/kg</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5"/>
        <w:gridCol w:w="615"/>
        <w:gridCol w:w="800"/>
        <w:gridCol w:w="800"/>
        <w:gridCol w:w="800"/>
        <w:gridCol w:w="800"/>
        <w:gridCol w:w="800"/>
        <w:gridCol w:w="800"/>
        <w:gridCol w:w="800"/>
        <w:gridCol w:w="800"/>
        <w:gridCol w:w="800"/>
      </w:tblGrid>
      <w:tr w14:paraId="0C17C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905" w:type="dxa"/>
            <w:vMerge w:val="restart"/>
            <w:tcBorders>
              <w:tl2br w:val="nil"/>
              <w:tr2bl w:val="nil"/>
            </w:tcBorders>
            <w:noWrap w:val="0"/>
            <w:vAlign w:val="center"/>
          </w:tcPr>
          <w:p w14:paraId="199A269D">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目标化合物</w:t>
            </w:r>
          </w:p>
        </w:tc>
        <w:tc>
          <w:tcPr>
            <w:tcW w:w="615" w:type="dxa"/>
            <w:vMerge w:val="restart"/>
            <w:tcBorders>
              <w:tl2br w:val="nil"/>
              <w:tr2bl w:val="nil"/>
            </w:tcBorders>
            <w:noWrap w:val="0"/>
            <w:vAlign w:val="center"/>
          </w:tcPr>
          <w:p w14:paraId="6D59EFF1">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实验</w:t>
            </w:r>
          </w:p>
          <w:p w14:paraId="49D5CFA3">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室号</w:t>
            </w:r>
          </w:p>
        </w:tc>
        <w:tc>
          <w:tcPr>
            <w:tcW w:w="2400" w:type="dxa"/>
            <w:gridSpan w:val="3"/>
            <w:tcBorders>
              <w:tl2br w:val="nil"/>
              <w:tr2bl w:val="nil"/>
            </w:tcBorders>
            <w:noWrap w:val="0"/>
            <w:vAlign w:val="center"/>
          </w:tcPr>
          <w:p w14:paraId="2891BD35">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低浓度（加标0.10）</w:t>
            </w:r>
          </w:p>
        </w:tc>
        <w:tc>
          <w:tcPr>
            <w:tcW w:w="2400" w:type="dxa"/>
            <w:gridSpan w:val="3"/>
            <w:tcBorders>
              <w:tl2br w:val="nil"/>
              <w:tr2bl w:val="nil"/>
            </w:tcBorders>
            <w:noWrap w:val="0"/>
            <w:vAlign w:val="center"/>
          </w:tcPr>
          <w:p w14:paraId="3E9095D3">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中浓度（加标0.</w:t>
            </w:r>
            <w:r>
              <w:rPr>
                <w:rFonts w:hint="default" w:ascii="Times New Roman" w:hAnsi="Times New Roman" w:cs="Times New Roman"/>
                <w:color w:val="000000"/>
                <w:sz w:val="18"/>
                <w:szCs w:val="18"/>
                <w:highlight w:val="none"/>
                <w:lang w:val="en-US" w:eastAsia="zh-CN"/>
              </w:rPr>
              <w:t>4</w:t>
            </w:r>
            <w:r>
              <w:rPr>
                <w:rFonts w:hint="default" w:ascii="Times New Roman" w:hAnsi="Times New Roman" w:cs="Times New Roman"/>
                <w:color w:val="000000"/>
                <w:sz w:val="18"/>
                <w:szCs w:val="18"/>
                <w:highlight w:val="none"/>
              </w:rPr>
              <w:t>0）</w:t>
            </w:r>
          </w:p>
        </w:tc>
        <w:tc>
          <w:tcPr>
            <w:tcW w:w="2400" w:type="dxa"/>
            <w:gridSpan w:val="3"/>
            <w:tcBorders>
              <w:tl2br w:val="nil"/>
              <w:tr2bl w:val="nil"/>
            </w:tcBorders>
            <w:noWrap w:val="0"/>
            <w:vAlign w:val="center"/>
          </w:tcPr>
          <w:p w14:paraId="6E8DCF00">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高浓度（加标</w:t>
            </w:r>
            <w:r>
              <w:rPr>
                <w:rFonts w:hint="default" w:ascii="Times New Roman" w:hAnsi="Times New Roman" w:cs="Times New Roman"/>
                <w:color w:val="000000"/>
                <w:sz w:val="18"/>
                <w:szCs w:val="18"/>
                <w:highlight w:val="none"/>
                <w:lang w:val="en-US" w:eastAsia="zh-CN"/>
              </w:rPr>
              <w:t>0.7</w:t>
            </w:r>
            <w:r>
              <w:rPr>
                <w:rFonts w:hint="default" w:ascii="Times New Roman" w:hAnsi="Times New Roman" w:cs="Times New Roman"/>
                <w:color w:val="000000"/>
                <w:sz w:val="18"/>
                <w:szCs w:val="18"/>
                <w:highlight w:val="none"/>
              </w:rPr>
              <w:t>0）</w:t>
            </w:r>
          </w:p>
        </w:tc>
      </w:tr>
      <w:tr w14:paraId="3996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tblHeader/>
          <w:jc w:val="center"/>
        </w:trPr>
        <w:tc>
          <w:tcPr>
            <w:tcW w:w="905" w:type="dxa"/>
            <w:vMerge w:val="continue"/>
            <w:tcBorders>
              <w:tl2br w:val="nil"/>
              <w:tr2bl w:val="nil"/>
            </w:tcBorders>
            <w:noWrap w:val="0"/>
            <w:vAlign w:val="center"/>
          </w:tcPr>
          <w:p w14:paraId="7FD9F0EE">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vMerge w:val="continue"/>
            <w:tcBorders>
              <w:tl2br w:val="nil"/>
              <w:tr2bl w:val="nil"/>
            </w:tcBorders>
            <w:noWrap w:val="0"/>
            <w:vAlign w:val="center"/>
          </w:tcPr>
          <w:p w14:paraId="55AF44A4">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800" w:type="dxa"/>
            <w:tcBorders>
              <w:tl2br w:val="nil"/>
              <w:tr2bl w:val="nil"/>
            </w:tcBorders>
            <w:noWrap w:val="0"/>
            <w:vAlign w:val="center"/>
          </w:tcPr>
          <w:p w14:paraId="0CD34A25">
            <w:pPr>
              <w:pStyle w:val="25"/>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position w:val="-6"/>
                <w:sz w:val="18"/>
                <w:szCs w:val="18"/>
                <w:highlight w:val="none"/>
              </w:rPr>
              <w:drawing>
                <wp:inline distT="0" distB="0" distL="114300" distR="114300">
                  <wp:extent cx="158750" cy="215900"/>
                  <wp:effectExtent l="0" t="0" r="0" b="0"/>
                  <wp:docPr id="2"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5"/>
                          <pic:cNvPicPr>
                            <a:picLocks noChangeAspect="1"/>
                          </pic:cNvPicPr>
                        </pic:nvPicPr>
                        <pic:blipFill>
                          <a:blip r:embed="rId254"/>
                          <a:stretch>
                            <a:fillRect/>
                          </a:stretch>
                        </pic:blipFill>
                        <pic:spPr>
                          <a:xfrm>
                            <a:off x="0" y="0"/>
                            <a:ext cx="158750" cy="215900"/>
                          </a:xfrm>
                          <a:prstGeom prst="rect">
                            <a:avLst/>
                          </a:prstGeom>
                          <a:noFill/>
                          <a:ln>
                            <a:noFill/>
                          </a:ln>
                        </pic:spPr>
                      </pic:pic>
                    </a:graphicData>
                  </a:graphic>
                </wp:inline>
              </w:drawing>
            </w:r>
          </w:p>
        </w:tc>
        <w:tc>
          <w:tcPr>
            <w:tcW w:w="800" w:type="dxa"/>
            <w:tcBorders>
              <w:tl2br w:val="nil"/>
              <w:tr2bl w:val="nil"/>
            </w:tcBorders>
            <w:noWrap w:val="0"/>
            <w:vAlign w:val="center"/>
          </w:tcPr>
          <w:p w14:paraId="7161DDC0">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r>
              <w:rPr>
                <w:rFonts w:hint="default" w:ascii="Times New Roman" w:hAnsi="Times New Roman" w:cs="Times New Roman"/>
                <w:i/>
                <w:iCs/>
                <w:color w:val="000000"/>
                <w:sz w:val="18"/>
                <w:szCs w:val="18"/>
                <w:highlight w:val="none"/>
                <w:vertAlign w:val="subscript"/>
              </w:rPr>
              <w:t>i</w:t>
            </w:r>
          </w:p>
        </w:tc>
        <w:tc>
          <w:tcPr>
            <w:tcW w:w="800" w:type="dxa"/>
            <w:tcBorders>
              <w:tl2br w:val="nil"/>
              <w:tr2bl w:val="nil"/>
            </w:tcBorders>
            <w:noWrap w:val="0"/>
            <w:vAlign w:val="center"/>
          </w:tcPr>
          <w:p w14:paraId="522D19A1">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color w:val="000000"/>
                <w:sz w:val="18"/>
                <w:szCs w:val="18"/>
                <w:highlight w:val="none"/>
                <w:vertAlign w:val="subscript"/>
              </w:rPr>
              <w:t>i</w:t>
            </w:r>
            <w:r>
              <w:rPr>
                <w:rFonts w:hint="default" w:ascii="Times New Roman" w:hAnsi="Times New Roman" w:cs="Times New Roman"/>
                <w:color w:val="000000"/>
                <w:sz w:val="18"/>
                <w:szCs w:val="18"/>
                <w:highlight w:val="none"/>
              </w:rPr>
              <w:t>（%）</w:t>
            </w:r>
          </w:p>
        </w:tc>
        <w:tc>
          <w:tcPr>
            <w:tcW w:w="800" w:type="dxa"/>
            <w:tcBorders>
              <w:tl2br w:val="nil"/>
              <w:tr2bl w:val="nil"/>
            </w:tcBorders>
            <w:noWrap w:val="0"/>
            <w:vAlign w:val="center"/>
          </w:tcPr>
          <w:p w14:paraId="1A7F978C">
            <w:pPr>
              <w:pStyle w:val="25"/>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position w:val="-8"/>
                <w:sz w:val="18"/>
                <w:szCs w:val="18"/>
                <w:highlight w:val="none"/>
              </w:rPr>
              <w:object>
                <v:shape id="_x0000_i1209" o:spt="75" type="#_x0000_t75" style="height:18pt;width:12.5pt;" o:ole="t" filled="f" o:preferrelative="t" stroked="f" coordsize="21600,21600">
                  <v:path/>
                  <v:fill on="f" focussize="0,0"/>
                  <v:stroke on="f"/>
                  <v:imagedata r:id="rId256" o:title=""/>
                  <o:lock v:ext="edit" aspectratio="t"/>
                  <w10:wrap type="none"/>
                  <w10:anchorlock/>
                </v:shape>
                <o:OLEObject Type="Embed" ProgID="Equation.3" ShapeID="_x0000_i1209" DrawAspect="Content" ObjectID="_1468075897" r:id="rId255">
                  <o:LockedField>false</o:LockedField>
                </o:OLEObject>
              </w:object>
            </w:r>
          </w:p>
        </w:tc>
        <w:tc>
          <w:tcPr>
            <w:tcW w:w="800" w:type="dxa"/>
            <w:tcBorders>
              <w:tl2br w:val="nil"/>
              <w:tr2bl w:val="nil"/>
            </w:tcBorders>
            <w:noWrap w:val="0"/>
            <w:vAlign w:val="center"/>
          </w:tcPr>
          <w:p w14:paraId="469FD99B">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r>
              <w:rPr>
                <w:rFonts w:hint="default" w:ascii="Times New Roman" w:hAnsi="Times New Roman" w:cs="Times New Roman"/>
                <w:i/>
                <w:iCs/>
                <w:color w:val="000000"/>
                <w:sz w:val="18"/>
                <w:szCs w:val="18"/>
                <w:highlight w:val="none"/>
                <w:vertAlign w:val="subscript"/>
              </w:rPr>
              <w:t>i</w:t>
            </w:r>
          </w:p>
        </w:tc>
        <w:tc>
          <w:tcPr>
            <w:tcW w:w="800" w:type="dxa"/>
            <w:tcBorders>
              <w:tl2br w:val="nil"/>
              <w:tr2bl w:val="nil"/>
            </w:tcBorders>
            <w:noWrap w:val="0"/>
            <w:vAlign w:val="center"/>
          </w:tcPr>
          <w:p w14:paraId="02C5CA6B">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color w:val="000000"/>
                <w:sz w:val="18"/>
                <w:szCs w:val="18"/>
                <w:highlight w:val="none"/>
                <w:vertAlign w:val="subscript"/>
              </w:rPr>
              <w:t>i</w:t>
            </w:r>
            <w:r>
              <w:rPr>
                <w:rFonts w:hint="default" w:ascii="Times New Roman" w:hAnsi="Times New Roman" w:cs="Times New Roman"/>
                <w:color w:val="000000"/>
                <w:sz w:val="18"/>
                <w:szCs w:val="18"/>
                <w:highlight w:val="none"/>
              </w:rPr>
              <w:t>（%）</w:t>
            </w:r>
          </w:p>
        </w:tc>
        <w:tc>
          <w:tcPr>
            <w:tcW w:w="800" w:type="dxa"/>
            <w:tcBorders>
              <w:tl2br w:val="nil"/>
              <w:tr2bl w:val="nil"/>
            </w:tcBorders>
            <w:noWrap w:val="0"/>
            <w:vAlign w:val="center"/>
          </w:tcPr>
          <w:p w14:paraId="52913A58">
            <w:pPr>
              <w:pStyle w:val="25"/>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position w:val="-6"/>
                <w:sz w:val="18"/>
                <w:szCs w:val="18"/>
                <w:highlight w:val="none"/>
              </w:rPr>
              <w:drawing>
                <wp:inline distT="0" distB="0" distL="114300" distR="114300">
                  <wp:extent cx="158750" cy="215900"/>
                  <wp:effectExtent l="0" t="0" r="0" b="0"/>
                  <wp:docPr id="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7"/>
                          <pic:cNvPicPr>
                            <a:picLocks noChangeAspect="1"/>
                          </pic:cNvPicPr>
                        </pic:nvPicPr>
                        <pic:blipFill>
                          <a:blip r:embed="rId254"/>
                          <a:stretch>
                            <a:fillRect/>
                          </a:stretch>
                        </pic:blipFill>
                        <pic:spPr>
                          <a:xfrm>
                            <a:off x="0" y="0"/>
                            <a:ext cx="158750" cy="215900"/>
                          </a:xfrm>
                          <a:prstGeom prst="rect">
                            <a:avLst/>
                          </a:prstGeom>
                          <a:noFill/>
                          <a:ln>
                            <a:noFill/>
                          </a:ln>
                        </pic:spPr>
                      </pic:pic>
                    </a:graphicData>
                  </a:graphic>
                </wp:inline>
              </w:drawing>
            </w:r>
          </w:p>
        </w:tc>
        <w:tc>
          <w:tcPr>
            <w:tcW w:w="800" w:type="dxa"/>
            <w:tcBorders>
              <w:tl2br w:val="nil"/>
              <w:tr2bl w:val="nil"/>
            </w:tcBorders>
            <w:noWrap w:val="0"/>
            <w:vAlign w:val="center"/>
          </w:tcPr>
          <w:p w14:paraId="3A081DE5">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r>
              <w:rPr>
                <w:rFonts w:hint="default" w:ascii="Times New Roman" w:hAnsi="Times New Roman" w:cs="Times New Roman"/>
                <w:i/>
                <w:iCs/>
                <w:color w:val="000000"/>
                <w:sz w:val="18"/>
                <w:szCs w:val="18"/>
                <w:highlight w:val="none"/>
                <w:vertAlign w:val="subscript"/>
              </w:rPr>
              <w:t>i</w:t>
            </w:r>
          </w:p>
        </w:tc>
        <w:tc>
          <w:tcPr>
            <w:tcW w:w="800" w:type="dxa"/>
            <w:tcBorders>
              <w:tl2br w:val="nil"/>
              <w:tr2bl w:val="nil"/>
            </w:tcBorders>
            <w:noWrap w:val="0"/>
            <w:vAlign w:val="center"/>
          </w:tcPr>
          <w:p w14:paraId="43DA4C55">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color w:val="000000"/>
                <w:sz w:val="18"/>
                <w:szCs w:val="18"/>
                <w:highlight w:val="none"/>
                <w:vertAlign w:val="subscript"/>
              </w:rPr>
              <w:t>i</w:t>
            </w:r>
            <w:r>
              <w:rPr>
                <w:rFonts w:hint="default" w:ascii="Times New Roman" w:hAnsi="Times New Roman" w:cs="Times New Roman"/>
                <w:color w:val="000000"/>
                <w:sz w:val="18"/>
                <w:szCs w:val="18"/>
                <w:highlight w:val="none"/>
              </w:rPr>
              <w:t>（%）</w:t>
            </w:r>
          </w:p>
        </w:tc>
      </w:tr>
      <w:tr w14:paraId="31207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restart"/>
            <w:tcBorders>
              <w:tl2br w:val="nil"/>
              <w:tr2bl w:val="nil"/>
            </w:tcBorders>
            <w:noWrap w:val="0"/>
            <w:vAlign w:val="center"/>
          </w:tcPr>
          <w:p w14:paraId="70DF8912">
            <w:pPr>
              <w:pStyle w:val="23"/>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615" w:type="dxa"/>
            <w:tcBorders>
              <w:tl2br w:val="nil"/>
              <w:tr2bl w:val="nil"/>
            </w:tcBorders>
            <w:noWrap w:val="0"/>
            <w:vAlign w:val="center"/>
          </w:tcPr>
          <w:p w14:paraId="0D712A50">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w:t>
            </w:r>
          </w:p>
        </w:tc>
        <w:tc>
          <w:tcPr>
            <w:tcW w:w="800" w:type="dxa"/>
            <w:tcBorders>
              <w:tl2br w:val="nil"/>
              <w:tr2bl w:val="nil"/>
            </w:tcBorders>
            <w:noWrap w:val="0"/>
            <w:vAlign w:val="center"/>
          </w:tcPr>
          <w:p w14:paraId="4EF46F0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0.082</w:t>
            </w:r>
          </w:p>
        </w:tc>
        <w:tc>
          <w:tcPr>
            <w:tcW w:w="800" w:type="dxa"/>
            <w:tcBorders>
              <w:tl2br w:val="nil"/>
              <w:tr2bl w:val="nil"/>
            </w:tcBorders>
            <w:noWrap w:val="0"/>
            <w:vAlign w:val="center"/>
          </w:tcPr>
          <w:p w14:paraId="1C30E3B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0.0031</w:t>
            </w:r>
          </w:p>
        </w:tc>
        <w:tc>
          <w:tcPr>
            <w:tcW w:w="800" w:type="dxa"/>
            <w:tcBorders>
              <w:tl2br w:val="nil"/>
              <w:tr2bl w:val="nil"/>
            </w:tcBorders>
            <w:noWrap w:val="0"/>
            <w:vAlign w:val="center"/>
          </w:tcPr>
          <w:p w14:paraId="55BFD62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3.8</w:t>
            </w:r>
          </w:p>
        </w:tc>
        <w:tc>
          <w:tcPr>
            <w:tcW w:w="800" w:type="dxa"/>
            <w:tcBorders>
              <w:tl2br w:val="nil"/>
              <w:tr2bl w:val="nil"/>
            </w:tcBorders>
            <w:noWrap w:val="0"/>
            <w:vAlign w:val="center"/>
          </w:tcPr>
          <w:p w14:paraId="4BBDDC4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0.311</w:t>
            </w:r>
          </w:p>
        </w:tc>
        <w:tc>
          <w:tcPr>
            <w:tcW w:w="800" w:type="dxa"/>
            <w:tcBorders>
              <w:tl2br w:val="nil"/>
              <w:tr2bl w:val="nil"/>
            </w:tcBorders>
            <w:noWrap w:val="0"/>
            <w:vAlign w:val="center"/>
          </w:tcPr>
          <w:p w14:paraId="0765513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0.0258</w:t>
            </w:r>
          </w:p>
        </w:tc>
        <w:tc>
          <w:tcPr>
            <w:tcW w:w="800" w:type="dxa"/>
            <w:tcBorders>
              <w:tl2br w:val="nil"/>
              <w:tr2bl w:val="nil"/>
            </w:tcBorders>
            <w:noWrap w:val="0"/>
            <w:vAlign w:val="center"/>
          </w:tcPr>
          <w:p w14:paraId="32D094E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8.3</w:t>
            </w:r>
          </w:p>
        </w:tc>
        <w:tc>
          <w:tcPr>
            <w:tcW w:w="800" w:type="dxa"/>
            <w:tcBorders>
              <w:tl2br w:val="nil"/>
              <w:tr2bl w:val="nil"/>
            </w:tcBorders>
            <w:noWrap w:val="0"/>
            <w:vAlign w:val="center"/>
          </w:tcPr>
          <w:p w14:paraId="307B1AE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0.625</w:t>
            </w:r>
          </w:p>
        </w:tc>
        <w:tc>
          <w:tcPr>
            <w:tcW w:w="800" w:type="dxa"/>
            <w:tcBorders>
              <w:tl2br w:val="nil"/>
              <w:tr2bl w:val="nil"/>
            </w:tcBorders>
            <w:noWrap w:val="0"/>
            <w:vAlign w:val="center"/>
          </w:tcPr>
          <w:p w14:paraId="313820D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0.0205</w:t>
            </w:r>
          </w:p>
        </w:tc>
        <w:tc>
          <w:tcPr>
            <w:tcW w:w="800" w:type="dxa"/>
            <w:tcBorders>
              <w:tl2br w:val="nil"/>
              <w:tr2bl w:val="nil"/>
            </w:tcBorders>
            <w:noWrap w:val="0"/>
            <w:vAlign w:val="center"/>
          </w:tcPr>
          <w:p w14:paraId="4F7D5CF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3.3</w:t>
            </w:r>
          </w:p>
        </w:tc>
      </w:tr>
      <w:tr w14:paraId="253B7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5" w:type="dxa"/>
            <w:vMerge w:val="continue"/>
            <w:tcBorders>
              <w:tl2br w:val="nil"/>
              <w:tr2bl w:val="nil"/>
            </w:tcBorders>
            <w:noWrap w:val="0"/>
            <w:vAlign w:val="center"/>
          </w:tcPr>
          <w:p w14:paraId="731D847C">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4DB90828">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2</w:t>
            </w:r>
          </w:p>
        </w:tc>
        <w:tc>
          <w:tcPr>
            <w:tcW w:w="800" w:type="dxa"/>
            <w:tcBorders>
              <w:tl2br w:val="nil"/>
              <w:tr2bl w:val="nil"/>
            </w:tcBorders>
            <w:noWrap w:val="0"/>
            <w:vAlign w:val="center"/>
          </w:tcPr>
          <w:p w14:paraId="18E10F7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0.086</w:t>
            </w:r>
          </w:p>
        </w:tc>
        <w:tc>
          <w:tcPr>
            <w:tcW w:w="800" w:type="dxa"/>
            <w:tcBorders>
              <w:tl2br w:val="nil"/>
              <w:tr2bl w:val="nil"/>
            </w:tcBorders>
            <w:noWrap w:val="0"/>
            <w:vAlign w:val="center"/>
          </w:tcPr>
          <w:p w14:paraId="1BD5806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0.0039</w:t>
            </w:r>
          </w:p>
        </w:tc>
        <w:tc>
          <w:tcPr>
            <w:tcW w:w="800" w:type="dxa"/>
            <w:tcBorders>
              <w:tl2br w:val="nil"/>
              <w:tr2bl w:val="nil"/>
            </w:tcBorders>
            <w:noWrap w:val="0"/>
            <w:vAlign w:val="center"/>
          </w:tcPr>
          <w:p w14:paraId="5D460CE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4.5</w:t>
            </w:r>
          </w:p>
        </w:tc>
        <w:tc>
          <w:tcPr>
            <w:tcW w:w="800" w:type="dxa"/>
            <w:tcBorders>
              <w:tl2br w:val="nil"/>
              <w:tr2bl w:val="nil"/>
            </w:tcBorders>
            <w:noWrap w:val="0"/>
            <w:vAlign w:val="center"/>
          </w:tcPr>
          <w:p w14:paraId="0F94AD1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0.343</w:t>
            </w:r>
          </w:p>
        </w:tc>
        <w:tc>
          <w:tcPr>
            <w:tcW w:w="800" w:type="dxa"/>
            <w:tcBorders>
              <w:tl2br w:val="nil"/>
              <w:tr2bl w:val="nil"/>
            </w:tcBorders>
            <w:noWrap w:val="0"/>
            <w:vAlign w:val="center"/>
          </w:tcPr>
          <w:p w14:paraId="0C3FDB1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0.0102</w:t>
            </w:r>
          </w:p>
        </w:tc>
        <w:tc>
          <w:tcPr>
            <w:tcW w:w="800" w:type="dxa"/>
            <w:tcBorders>
              <w:tl2br w:val="nil"/>
              <w:tr2bl w:val="nil"/>
            </w:tcBorders>
            <w:noWrap w:val="0"/>
            <w:vAlign w:val="center"/>
          </w:tcPr>
          <w:p w14:paraId="5497AD6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3.0</w:t>
            </w:r>
          </w:p>
        </w:tc>
        <w:tc>
          <w:tcPr>
            <w:tcW w:w="800" w:type="dxa"/>
            <w:tcBorders>
              <w:tl2br w:val="nil"/>
              <w:tr2bl w:val="nil"/>
            </w:tcBorders>
            <w:noWrap w:val="0"/>
            <w:vAlign w:val="center"/>
          </w:tcPr>
          <w:p w14:paraId="6DEBA78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0.625</w:t>
            </w:r>
          </w:p>
        </w:tc>
        <w:tc>
          <w:tcPr>
            <w:tcW w:w="800" w:type="dxa"/>
            <w:tcBorders>
              <w:tl2br w:val="nil"/>
              <w:tr2bl w:val="nil"/>
            </w:tcBorders>
            <w:noWrap w:val="0"/>
            <w:vAlign w:val="center"/>
          </w:tcPr>
          <w:p w14:paraId="36C7F57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0.0176</w:t>
            </w:r>
          </w:p>
        </w:tc>
        <w:tc>
          <w:tcPr>
            <w:tcW w:w="800" w:type="dxa"/>
            <w:tcBorders>
              <w:tl2br w:val="nil"/>
              <w:tr2bl w:val="nil"/>
            </w:tcBorders>
            <w:noWrap w:val="0"/>
            <w:vAlign w:val="center"/>
          </w:tcPr>
          <w:p w14:paraId="4E8C13F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2.8</w:t>
            </w:r>
          </w:p>
        </w:tc>
      </w:tr>
      <w:tr w14:paraId="00647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5" w:type="dxa"/>
            <w:vMerge w:val="continue"/>
            <w:tcBorders>
              <w:tl2br w:val="nil"/>
              <w:tr2bl w:val="nil"/>
            </w:tcBorders>
            <w:noWrap w:val="0"/>
            <w:vAlign w:val="center"/>
          </w:tcPr>
          <w:p w14:paraId="35C0A785">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0EA00886">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3</w:t>
            </w:r>
          </w:p>
        </w:tc>
        <w:tc>
          <w:tcPr>
            <w:tcW w:w="800" w:type="dxa"/>
            <w:tcBorders>
              <w:tl2br w:val="nil"/>
              <w:tr2bl w:val="nil"/>
            </w:tcBorders>
            <w:noWrap w:val="0"/>
            <w:vAlign w:val="center"/>
          </w:tcPr>
          <w:p w14:paraId="163E64C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0.074</w:t>
            </w:r>
          </w:p>
        </w:tc>
        <w:tc>
          <w:tcPr>
            <w:tcW w:w="800" w:type="dxa"/>
            <w:tcBorders>
              <w:tl2br w:val="nil"/>
              <w:tr2bl w:val="nil"/>
            </w:tcBorders>
            <w:noWrap w:val="0"/>
            <w:vAlign w:val="center"/>
          </w:tcPr>
          <w:p w14:paraId="03D094A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0.0021</w:t>
            </w:r>
          </w:p>
        </w:tc>
        <w:tc>
          <w:tcPr>
            <w:tcW w:w="800" w:type="dxa"/>
            <w:tcBorders>
              <w:tl2br w:val="nil"/>
              <w:tr2bl w:val="nil"/>
            </w:tcBorders>
            <w:noWrap w:val="0"/>
            <w:vAlign w:val="center"/>
          </w:tcPr>
          <w:p w14:paraId="4325DEC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2.9</w:t>
            </w:r>
          </w:p>
        </w:tc>
        <w:tc>
          <w:tcPr>
            <w:tcW w:w="800" w:type="dxa"/>
            <w:tcBorders>
              <w:tl2br w:val="nil"/>
              <w:tr2bl w:val="nil"/>
            </w:tcBorders>
            <w:noWrap w:val="0"/>
            <w:vAlign w:val="center"/>
          </w:tcPr>
          <w:p w14:paraId="5D7ADC0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0.287</w:t>
            </w:r>
          </w:p>
        </w:tc>
        <w:tc>
          <w:tcPr>
            <w:tcW w:w="800" w:type="dxa"/>
            <w:tcBorders>
              <w:tl2br w:val="nil"/>
              <w:tr2bl w:val="nil"/>
            </w:tcBorders>
            <w:noWrap w:val="0"/>
            <w:vAlign w:val="center"/>
          </w:tcPr>
          <w:p w14:paraId="261E146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0.0250</w:t>
            </w:r>
          </w:p>
        </w:tc>
        <w:tc>
          <w:tcPr>
            <w:tcW w:w="800" w:type="dxa"/>
            <w:tcBorders>
              <w:tl2br w:val="nil"/>
              <w:tr2bl w:val="nil"/>
            </w:tcBorders>
            <w:noWrap w:val="0"/>
            <w:vAlign w:val="center"/>
          </w:tcPr>
          <w:p w14:paraId="3E3A5F4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8.7</w:t>
            </w:r>
          </w:p>
        </w:tc>
        <w:tc>
          <w:tcPr>
            <w:tcW w:w="800" w:type="dxa"/>
            <w:tcBorders>
              <w:tl2br w:val="nil"/>
              <w:tr2bl w:val="nil"/>
            </w:tcBorders>
            <w:noWrap w:val="0"/>
            <w:vAlign w:val="center"/>
          </w:tcPr>
          <w:p w14:paraId="024BA7E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0.598</w:t>
            </w:r>
          </w:p>
        </w:tc>
        <w:tc>
          <w:tcPr>
            <w:tcW w:w="800" w:type="dxa"/>
            <w:tcBorders>
              <w:tl2br w:val="nil"/>
              <w:tr2bl w:val="nil"/>
            </w:tcBorders>
            <w:noWrap w:val="0"/>
            <w:vAlign w:val="center"/>
          </w:tcPr>
          <w:p w14:paraId="60ADAF3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0.0139</w:t>
            </w:r>
          </w:p>
        </w:tc>
        <w:tc>
          <w:tcPr>
            <w:tcW w:w="800" w:type="dxa"/>
            <w:tcBorders>
              <w:tl2br w:val="nil"/>
              <w:tr2bl w:val="nil"/>
            </w:tcBorders>
            <w:noWrap w:val="0"/>
            <w:vAlign w:val="center"/>
          </w:tcPr>
          <w:p w14:paraId="7A35D85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2.3</w:t>
            </w:r>
          </w:p>
        </w:tc>
      </w:tr>
      <w:tr w14:paraId="3AEE4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5" w:type="dxa"/>
            <w:vMerge w:val="continue"/>
            <w:tcBorders>
              <w:tl2br w:val="nil"/>
              <w:tr2bl w:val="nil"/>
            </w:tcBorders>
            <w:noWrap w:val="0"/>
            <w:vAlign w:val="center"/>
          </w:tcPr>
          <w:p w14:paraId="502382F8">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51F05803">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w:t>
            </w:r>
          </w:p>
        </w:tc>
        <w:tc>
          <w:tcPr>
            <w:tcW w:w="800" w:type="dxa"/>
            <w:tcBorders>
              <w:tl2br w:val="nil"/>
              <w:tr2bl w:val="nil"/>
            </w:tcBorders>
            <w:noWrap w:val="0"/>
            <w:vAlign w:val="center"/>
          </w:tcPr>
          <w:p w14:paraId="0BF8F92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0.100</w:t>
            </w:r>
          </w:p>
        </w:tc>
        <w:tc>
          <w:tcPr>
            <w:tcW w:w="800" w:type="dxa"/>
            <w:tcBorders>
              <w:tl2br w:val="nil"/>
              <w:tr2bl w:val="nil"/>
            </w:tcBorders>
            <w:noWrap w:val="0"/>
            <w:vAlign w:val="center"/>
          </w:tcPr>
          <w:p w14:paraId="1007EAD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0.0061</w:t>
            </w:r>
          </w:p>
        </w:tc>
        <w:tc>
          <w:tcPr>
            <w:tcW w:w="800" w:type="dxa"/>
            <w:tcBorders>
              <w:tl2br w:val="nil"/>
              <w:tr2bl w:val="nil"/>
            </w:tcBorders>
            <w:noWrap w:val="0"/>
            <w:vAlign w:val="center"/>
          </w:tcPr>
          <w:p w14:paraId="3EA3EE6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6.1</w:t>
            </w:r>
          </w:p>
        </w:tc>
        <w:tc>
          <w:tcPr>
            <w:tcW w:w="800" w:type="dxa"/>
            <w:tcBorders>
              <w:tl2br w:val="nil"/>
              <w:tr2bl w:val="nil"/>
            </w:tcBorders>
            <w:noWrap w:val="0"/>
            <w:vAlign w:val="center"/>
          </w:tcPr>
          <w:p w14:paraId="66284BC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0.381</w:t>
            </w:r>
          </w:p>
        </w:tc>
        <w:tc>
          <w:tcPr>
            <w:tcW w:w="800" w:type="dxa"/>
            <w:tcBorders>
              <w:tl2br w:val="nil"/>
              <w:tr2bl w:val="nil"/>
            </w:tcBorders>
            <w:noWrap w:val="0"/>
            <w:vAlign w:val="center"/>
          </w:tcPr>
          <w:p w14:paraId="024B266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0.0176</w:t>
            </w:r>
          </w:p>
        </w:tc>
        <w:tc>
          <w:tcPr>
            <w:tcW w:w="800" w:type="dxa"/>
            <w:tcBorders>
              <w:tl2br w:val="nil"/>
              <w:tr2bl w:val="nil"/>
            </w:tcBorders>
            <w:noWrap w:val="0"/>
            <w:vAlign w:val="center"/>
          </w:tcPr>
          <w:p w14:paraId="626E695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4.6</w:t>
            </w:r>
          </w:p>
        </w:tc>
        <w:tc>
          <w:tcPr>
            <w:tcW w:w="800" w:type="dxa"/>
            <w:tcBorders>
              <w:tl2br w:val="nil"/>
              <w:tr2bl w:val="nil"/>
            </w:tcBorders>
            <w:noWrap w:val="0"/>
            <w:vAlign w:val="center"/>
          </w:tcPr>
          <w:p w14:paraId="4439621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0.713</w:t>
            </w:r>
          </w:p>
        </w:tc>
        <w:tc>
          <w:tcPr>
            <w:tcW w:w="800" w:type="dxa"/>
            <w:tcBorders>
              <w:tl2br w:val="nil"/>
              <w:tr2bl w:val="nil"/>
            </w:tcBorders>
            <w:noWrap w:val="0"/>
            <w:vAlign w:val="center"/>
          </w:tcPr>
          <w:p w14:paraId="41F4B8D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0.0229</w:t>
            </w:r>
          </w:p>
        </w:tc>
        <w:tc>
          <w:tcPr>
            <w:tcW w:w="800" w:type="dxa"/>
            <w:tcBorders>
              <w:tl2br w:val="nil"/>
              <w:tr2bl w:val="nil"/>
            </w:tcBorders>
            <w:noWrap w:val="0"/>
            <w:vAlign w:val="center"/>
          </w:tcPr>
          <w:p w14:paraId="17A6ABC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3.2</w:t>
            </w:r>
          </w:p>
        </w:tc>
      </w:tr>
      <w:tr w14:paraId="390C2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tcBorders>
              <w:tl2br w:val="nil"/>
              <w:tr2bl w:val="nil"/>
            </w:tcBorders>
            <w:noWrap w:val="0"/>
            <w:vAlign w:val="center"/>
          </w:tcPr>
          <w:p w14:paraId="4698E53A">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758B3090">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5</w:t>
            </w:r>
          </w:p>
        </w:tc>
        <w:tc>
          <w:tcPr>
            <w:tcW w:w="800" w:type="dxa"/>
            <w:tcBorders>
              <w:tl2br w:val="nil"/>
              <w:tr2bl w:val="nil"/>
            </w:tcBorders>
            <w:noWrap w:val="0"/>
            <w:vAlign w:val="center"/>
          </w:tcPr>
          <w:p w14:paraId="17D2327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0.084</w:t>
            </w:r>
          </w:p>
        </w:tc>
        <w:tc>
          <w:tcPr>
            <w:tcW w:w="800" w:type="dxa"/>
            <w:tcBorders>
              <w:tl2br w:val="nil"/>
              <w:tr2bl w:val="nil"/>
            </w:tcBorders>
            <w:noWrap w:val="0"/>
            <w:vAlign w:val="center"/>
          </w:tcPr>
          <w:p w14:paraId="7C47AB2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0.0066</w:t>
            </w:r>
          </w:p>
        </w:tc>
        <w:tc>
          <w:tcPr>
            <w:tcW w:w="800" w:type="dxa"/>
            <w:tcBorders>
              <w:tl2br w:val="nil"/>
              <w:tr2bl w:val="nil"/>
            </w:tcBorders>
            <w:noWrap w:val="0"/>
            <w:vAlign w:val="center"/>
          </w:tcPr>
          <w:p w14:paraId="3EC6329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7.8</w:t>
            </w:r>
          </w:p>
        </w:tc>
        <w:tc>
          <w:tcPr>
            <w:tcW w:w="800" w:type="dxa"/>
            <w:tcBorders>
              <w:tl2br w:val="nil"/>
              <w:tr2bl w:val="nil"/>
            </w:tcBorders>
            <w:noWrap w:val="0"/>
            <w:vAlign w:val="center"/>
          </w:tcPr>
          <w:p w14:paraId="366CE17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0.379</w:t>
            </w:r>
          </w:p>
        </w:tc>
        <w:tc>
          <w:tcPr>
            <w:tcW w:w="800" w:type="dxa"/>
            <w:tcBorders>
              <w:tl2br w:val="nil"/>
              <w:tr2bl w:val="nil"/>
            </w:tcBorders>
            <w:noWrap w:val="0"/>
            <w:vAlign w:val="center"/>
          </w:tcPr>
          <w:p w14:paraId="16D3B1B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0.0227</w:t>
            </w:r>
          </w:p>
        </w:tc>
        <w:tc>
          <w:tcPr>
            <w:tcW w:w="800" w:type="dxa"/>
            <w:tcBorders>
              <w:tl2br w:val="nil"/>
              <w:tr2bl w:val="nil"/>
            </w:tcBorders>
            <w:noWrap w:val="0"/>
            <w:vAlign w:val="center"/>
          </w:tcPr>
          <w:p w14:paraId="5C53396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6.0</w:t>
            </w:r>
          </w:p>
        </w:tc>
        <w:tc>
          <w:tcPr>
            <w:tcW w:w="800" w:type="dxa"/>
            <w:tcBorders>
              <w:tl2br w:val="nil"/>
              <w:tr2bl w:val="nil"/>
            </w:tcBorders>
            <w:noWrap w:val="0"/>
            <w:vAlign w:val="center"/>
          </w:tcPr>
          <w:p w14:paraId="59916BB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0.722</w:t>
            </w:r>
          </w:p>
        </w:tc>
        <w:tc>
          <w:tcPr>
            <w:tcW w:w="800" w:type="dxa"/>
            <w:tcBorders>
              <w:tl2br w:val="nil"/>
              <w:tr2bl w:val="nil"/>
            </w:tcBorders>
            <w:noWrap w:val="0"/>
            <w:vAlign w:val="center"/>
          </w:tcPr>
          <w:p w14:paraId="2E68ABF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0.0224</w:t>
            </w:r>
          </w:p>
        </w:tc>
        <w:tc>
          <w:tcPr>
            <w:tcW w:w="800" w:type="dxa"/>
            <w:tcBorders>
              <w:tl2br w:val="nil"/>
              <w:tr2bl w:val="nil"/>
            </w:tcBorders>
            <w:noWrap w:val="0"/>
            <w:vAlign w:val="center"/>
          </w:tcPr>
          <w:p w14:paraId="307DFF0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3.1</w:t>
            </w:r>
          </w:p>
        </w:tc>
      </w:tr>
      <w:tr w14:paraId="0A2FC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775A0778">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734CE314">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6</w:t>
            </w:r>
          </w:p>
        </w:tc>
        <w:tc>
          <w:tcPr>
            <w:tcW w:w="800" w:type="dxa"/>
            <w:tcBorders>
              <w:tl2br w:val="nil"/>
              <w:tr2bl w:val="nil"/>
            </w:tcBorders>
            <w:noWrap w:val="0"/>
            <w:vAlign w:val="center"/>
          </w:tcPr>
          <w:p w14:paraId="2CDCB1B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0.091</w:t>
            </w:r>
          </w:p>
        </w:tc>
        <w:tc>
          <w:tcPr>
            <w:tcW w:w="800" w:type="dxa"/>
            <w:tcBorders>
              <w:tl2br w:val="nil"/>
              <w:tr2bl w:val="nil"/>
            </w:tcBorders>
            <w:noWrap w:val="0"/>
            <w:vAlign w:val="center"/>
          </w:tcPr>
          <w:p w14:paraId="19A95A7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0.0040</w:t>
            </w:r>
          </w:p>
        </w:tc>
        <w:tc>
          <w:tcPr>
            <w:tcW w:w="800" w:type="dxa"/>
            <w:tcBorders>
              <w:tl2br w:val="nil"/>
              <w:tr2bl w:val="nil"/>
            </w:tcBorders>
            <w:noWrap w:val="0"/>
            <w:vAlign w:val="center"/>
          </w:tcPr>
          <w:p w14:paraId="6AB12DE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4.4</w:t>
            </w:r>
          </w:p>
        </w:tc>
        <w:tc>
          <w:tcPr>
            <w:tcW w:w="800" w:type="dxa"/>
            <w:tcBorders>
              <w:tl2br w:val="nil"/>
              <w:tr2bl w:val="nil"/>
            </w:tcBorders>
            <w:noWrap w:val="0"/>
            <w:vAlign w:val="center"/>
          </w:tcPr>
          <w:p w14:paraId="2B084CE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0.348</w:t>
            </w:r>
          </w:p>
        </w:tc>
        <w:tc>
          <w:tcPr>
            <w:tcW w:w="800" w:type="dxa"/>
            <w:tcBorders>
              <w:tl2br w:val="nil"/>
              <w:tr2bl w:val="nil"/>
            </w:tcBorders>
            <w:noWrap w:val="0"/>
            <w:vAlign w:val="center"/>
          </w:tcPr>
          <w:p w14:paraId="31FCAAD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0.0227</w:t>
            </w:r>
          </w:p>
        </w:tc>
        <w:tc>
          <w:tcPr>
            <w:tcW w:w="800" w:type="dxa"/>
            <w:tcBorders>
              <w:tl2br w:val="nil"/>
              <w:tr2bl w:val="nil"/>
            </w:tcBorders>
            <w:noWrap w:val="0"/>
            <w:vAlign w:val="center"/>
          </w:tcPr>
          <w:p w14:paraId="0E77520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6.5</w:t>
            </w:r>
          </w:p>
        </w:tc>
        <w:tc>
          <w:tcPr>
            <w:tcW w:w="800" w:type="dxa"/>
            <w:tcBorders>
              <w:tl2br w:val="nil"/>
              <w:tr2bl w:val="nil"/>
            </w:tcBorders>
            <w:noWrap w:val="0"/>
            <w:vAlign w:val="center"/>
          </w:tcPr>
          <w:p w14:paraId="2947771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0.712</w:t>
            </w:r>
          </w:p>
        </w:tc>
        <w:tc>
          <w:tcPr>
            <w:tcW w:w="800" w:type="dxa"/>
            <w:tcBorders>
              <w:tl2br w:val="nil"/>
              <w:tr2bl w:val="nil"/>
            </w:tcBorders>
            <w:noWrap w:val="0"/>
            <w:vAlign w:val="center"/>
          </w:tcPr>
          <w:p w14:paraId="78CB262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0.0226</w:t>
            </w:r>
          </w:p>
        </w:tc>
        <w:tc>
          <w:tcPr>
            <w:tcW w:w="800" w:type="dxa"/>
            <w:tcBorders>
              <w:tl2br w:val="nil"/>
              <w:tr2bl w:val="nil"/>
            </w:tcBorders>
            <w:noWrap w:val="0"/>
            <w:vAlign w:val="center"/>
          </w:tcPr>
          <w:p w14:paraId="7DC11C6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3.2</w:t>
            </w:r>
          </w:p>
        </w:tc>
      </w:tr>
      <w:tr w14:paraId="087D1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66445198">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position w:val="-6"/>
                <w:sz w:val="18"/>
                <w:szCs w:val="18"/>
                <w:highlight w:val="none"/>
              </w:rPr>
              <w:drawing>
                <wp:inline distT="0" distB="0" distL="114300" distR="114300">
                  <wp:extent cx="120650" cy="228600"/>
                  <wp:effectExtent l="0" t="0" r="0" b="0"/>
                  <wp:docPr id="3"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8"/>
                          <pic:cNvPicPr>
                            <a:picLocks noChangeAspect="1"/>
                          </pic:cNvPicPr>
                        </pic:nvPicPr>
                        <pic:blipFill>
                          <a:blip r:embed="rId257"/>
                          <a:stretch>
                            <a:fillRect/>
                          </a:stretch>
                        </pic:blipFill>
                        <pic:spPr>
                          <a:xfrm>
                            <a:off x="0" y="0"/>
                            <a:ext cx="120650" cy="228600"/>
                          </a:xfrm>
                          <a:prstGeom prst="rect">
                            <a:avLst/>
                          </a:prstGeom>
                          <a:noFill/>
                          <a:ln>
                            <a:noFill/>
                          </a:ln>
                        </pic:spPr>
                      </pic:pic>
                    </a:graphicData>
                  </a:graphic>
                </wp:inline>
              </w:drawing>
            </w:r>
          </w:p>
        </w:tc>
        <w:tc>
          <w:tcPr>
            <w:tcW w:w="2400" w:type="dxa"/>
            <w:gridSpan w:val="3"/>
            <w:tcBorders>
              <w:tl2br w:val="nil"/>
              <w:tr2bl w:val="nil"/>
            </w:tcBorders>
            <w:noWrap w:val="0"/>
            <w:vAlign w:val="center"/>
          </w:tcPr>
          <w:p w14:paraId="7DA064CF">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0.086</w:t>
            </w:r>
          </w:p>
        </w:tc>
        <w:tc>
          <w:tcPr>
            <w:tcW w:w="2400" w:type="dxa"/>
            <w:gridSpan w:val="3"/>
            <w:tcBorders>
              <w:tl2br w:val="nil"/>
              <w:tr2bl w:val="nil"/>
            </w:tcBorders>
            <w:noWrap w:val="0"/>
            <w:vAlign w:val="center"/>
          </w:tcPr>
          <w:p w14:paraId="1B06074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0.342</w:t>
            </w:r>
          </w:p>
        </w:tc>
        <w:tc>
          <w:tcPr>
            <w:tcW w:w="2400" w:type="dxa"/>
            <w:gridSpan w:val="3"/>
            <w:tcBorders>
              <w:tl2br w:val="nil"/>
              <w:tr2bl w:val="nil"/>
            </w:tcBorders>
            <w:noWrap w:val="0"/>
            <w:vAlign w:val="center"/>
          </w:tcPr>
          <w:p w14:paraId="71AD6AC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0.666</w:t>
            </w:r>
          </w:p>
        </w:tc>
      </w:tr>
      <w:tr w14:paraId="62C11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1DB2418D">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p>
        </w:tc>
        <w:tc>
          <w:tcPr>
            <w:tcW w:w="2400" w:type="dxa"/>
            <w:gridSpan w:val="3"/>
            <w:tcBorders>
              <w:tl2br w:val="nil"/>
              <w:tr2bl w:val="nil"/>
            </w:tcBorders>
            <w:noWrap w:val="0"/>
            <w:vAlign w:val="center"/>
          </w:tcPr>
          <w:p w14:paraId="2749FA7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0.0088</w:t>
            </w:r>
          </w:p>
        </w:tc>
        <w:tc>
          <w:tcPr>
            <w:tcW w:w="2400" w:type="dxa"/>
            <w:gridSpan w:val="3"/>
            <w:tcBorders>
              <w:tl2br w:val="nil"/>
              <w:tr2bl w:val="nil"/>
            </w:tcBorders>
            <w:noWrap w:val="0"/>
            <w:vAlign w:val="center"/>
          </w:tcPr>
          <w:p w14:paraId="3C384B8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0.037</w:t>
            </w:r>
          </w:p>
        </w:tc>
        <w:tc>
          <w:tcPr>
            <w:tcW w:w="2400" w:type="dxa"/>
            <w:gridSpan w:val="3"/>
            <w:tcBorders>
              <w:tl2br w:val="nil"/>
              <w:tr2bl w:val="nil"/>
            </w:tcBorders>
            <w:noWrap w:val="0"/>
            <w:vAlign w:val="center"/>
          </w:tcPr>
          <w:p w14:paraId="11CE3BF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0.056</w:t>
            </w:r>
          </w:p>
        </w:tc>
      </w:tr>
      <w:tr w14:paraId="11947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5CDC311C">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i/>
                <w:color w:val="000000"/>
                <w:sz w:val="18"/>
                <w:szCs w:val="18"/>
                <w:highlight w:val="none"/>
              </w:rPr>
              <w:t>´</w:t>
            </w:r>
            <w:r>
              <w:rPr>
                <w:rFonts w:hint="default" w:ascii="Times New Roman" w:hAnsi="Times New Roman" w:cs="Times New Roman"/>
                <w:color w:val="000000"/>
                <w:sz w:val="18"/>
                <w:szCs w:val="18"/>
                <w:highlight w:val="none"/>
              </w:rPr>
              <w:t>（%）</w:t>
            </w:r>
          </w:p>
        </w:tc>
        <w:tc>
          <w:tcPr>
            <w:tcW w:w="2400" w:type="dxa"/>
            <w:gridSpan w:val="3"/>
            <w:tcBorders>
              <w:tl2br w:val="nil"/>
              <w:tr2bl w:val="nil"/>
            </w:tcBorders>
            <w:noWrap w:val="0"/>
            <w:vAlign w:val="center"/>
          </w:tcPr>
          <w:p w14:paraId="027DF25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10.2</w:t>
            </w:r>
          </w:p>
        </w:tc>
        <w:tc>
          <w:tcPr>
            <w:tcW w:w="2400" w:type="dxa"/>
            <w:gridSpan w:val="3"/>
            <w:tcBorders>
              <w:tl2br w:val="nil"/>
              <w:tr2bl w:val="nil"/>
            </w:tcBorders>
            <w:noWrap w:val="0"/>
            <w:vAlign w:val="center"/>
          </w:tcPr>
          <w:p w14:paraId="2A6F6D5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10.9</w:t>
            </w:r>
          </w:p>
        </w:tc>
        <w:tc>
          <w:tcPr>
            <w:tcW w:w="2400" w:type="dxa"/>
            <w:gridSpan w:val="3"/>
            <w:tcBorders>
              <w:tl2br w:val="nil"/>
              <w:tr2bl w:val="nil"/>
            </w:tcBorders>
            <w:noWrap w:val="0"/>
            <w:vAlign w:val="center"/>
          </w:tcPr>
          <w:p w14:paraId="76069D0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8.3</w:t>
            </w:r>
          </w:p>
        </w:tc>
      </w:tr>
      <w:tr w14:paraId="36EA2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0E22C8B1">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重复性限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02F8BB09">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0.013</w:t>
            </w:r>
          </w:p>
        </w:tc>
        <w:tc>
          <w:tcPr>
            <w:tcW w:w="2400" w:type="dxa"/>
            <w:gridSpan w:val="3"/>
            <w:tcBorders>
              <w:tl2br w:val="nil"/>
              <w:tr2bl w:val="nil"/>
            </w:tcBorders>
            <w:noWrap w:val="0"/>
            <w:vAlign w:val="center"/>
          </w:tcPr>
          <w:p w14:paraId="4CCAE79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0.060</w:t>
            </w:r>
          </w:p>
        </w:tc>
        <w:tc>
          <w:tcPr>
            <w:tcW w:w="2400" w:type="dxa"/>
            <w:gridSpan w:val="3"/>
            <w:tcBorders>
              <w:tl2br w:val="nil"/>
              <w:tr2bl w:val="nil"/>
            </w:tcBorders>
            <w:noWrap w:val="0"/>
            <w:vAlign w:val="center"/>
          </w:tcPr>
          <w:p w14:paraId="109FB2B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0.057</w:t>
            </w:r>
          </w:p>
        </w:tc>
      </w:tr>
      <w:tr w14:paraId="51DAE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5AFBC3E9">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再现性限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3155F4E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0.027</w:t>
            </w:r>
          </w:p>
        </w:tc>
        <w:tc>
          <w:tcPr>
            <w:tcW w:w="2400" w:type="dxa"/>
            <w:gridSpan w:val="3"/>
            <w:tcBorders>
              <w:tl2br w:val="nil"/>
              <w:tr2bl w:val="nil"/>
            </w:tcBorders>
            <w:noWrap w:val="0"/>
            <w:vAlign w:val="center"/>
          </w:tcPr>
          <w:p w14:paraId="1345C3E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0.12</w:t>
            </w:r>
          </w:p>
        </w:tc>
        <w:tc>
          <w:tcPr>
            <w:tcW w:w="2400" w:type="dxa"/>
            <w:gridSpan w:val="3"/>
            <w:tcBorders>
              <w:tl2br w:val="nil"/>
              <w:tr2bl w:val="nil"/>
            </w:tcBorders>
            <w:noWrap w:val="0"/>
            <w:vAlign w:val="center"/>
          </w:tcPr>
          <w:p w14:paraId="5326807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0.16</w:t>
            </w:r>
          </w:p>
        </w:tc>
      </w:tr>
      <w:tr w14:paraId="44E6C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restart"/>
            <w:tcBorders>
              <w:tl2br w:val="nil"/>
              <w:tr2bl w:val="nil"/>
            </w:tcBorders>
            <w:noWrap w:val="0"/>
            <w:vAlign w:val="center"/>
          </w:tcPr>
          <w:p w14:paraId="69ACD095">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615" w:type="dxa"/>
            <w:tcBorders>
              <w:tl2br w:val="nil"/>
              <w:tr2bl w:val="nil"/>
            </w:tcBorders>
            <w:noWrap w:val="0"/>
            <w:vAlign w:val="center"/>
          </w:tcPr>
          <w:p w14:paraId="477B7AE9">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1</w:t>
            </w:r>
          </w:p>
        </w:tc>
        <w:tc>
          <w:tcPr>
            <w:tcW w:w="800" w:type="dxa"/>
            <w:tcBorders>
              <w:tl2br w:val="nil"/>
              <w:tr2bl w:val="nil"/>
            </w:tcBorders>
            <w:noWrap w:val="0"/>
            <w:vAlign w:val="center"/>
          </w:tcPr>
          <w:p w14:paraId="4D95CFB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0.083</w:t>
            </w:r>
          </w:p>
        </w:tc>
        <w:tc>
          <w:tcPr>
            <w:tcW w:w="800" w:type="dxa"/>
            <w:tcBorders>
              <w:tl2br w:val="nil"/>
              <w:tr2bl w:val="nil"/>
            </w:tcBorders>
            <w:noWrap w:val="0"/>
            <w:vAlign w:val="center"/>
          </w:tcPr>
          <w:p w14:paraId="6BD4761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0.0034</w:t>
            </w:r>
          </w:p>
        </w:tc>
        <w:tc>
          <w:tcPr>
            <w:tcW w:w="800" w:type="dxa"/>
            <w:tcBorders>
              <w:tl2br w:val="nil"/>
              <w:tr2bl w:val="nil"/>
            </w:tcBorders>
            <w:noWrap w:val="0"/>
            <w:vAlign w:val="center"/>
          </w:tcPr>
          <w:p w14:paraId="080586C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4.1</w:t>
            </w:r>
          </w:p>
        </w:tc>
        <w:tc>
          <w:tcPr>
            <w:tcW w:w="800" w:type="dxa"/>
            <w:tcBorders>
              <w:tl2br w:val="nil"/>
              <w:tr2bl w:val="nil"/>
            </w:tcBorders>
            <w:noWrap w:val="0"/>
            <w:vAlign w:val="center"/>
          </w:tcPr>
          <w:p w14:paraId="505205C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0.311</w:t>
            </w:r>
          </w:p>
        </w:tc>
        <w:tc>
          <w:tcPr>
            <w:tcW w:w="800" w:type="dxa"/>
            <w:tcBorders>
              <w:tl2br w:val="nil"/>
              <w:tr2bl w:val="nil"/>
            </w:tcBorders>
            <w:noWrap w:val="0"/>
            <w:vAlign w:val="center"/>
          </w:tcPr>
          <w:p w14:paraId="60D3E60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0.0197</w:t>
            </w:r>
          </w:p>
        </w:tc>
        <w:tc>
          <w:tcPr>
            <w:tcW w:w="800" w:type="dxa"/>
            <w:tcBorders>
              <w:tl2br w:val="nil"/>
              <w:tr2bl w:val="nil"/>
            </w:tcBorders>
            <w:noWrap w:val="0"/>
            <w:vAlign w:val="center"/>
          </w:tcPr>
          <w:p w14:paraId="5C9C95B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6.3</w:t>
            </w:r>
          </w:p>
        </w:tc>
        <w:tc>
          <w:tcPr>
            <w:tcW w:w="800" w:type="dxa"/>
            <w:tcBorders>
              <w:tl2br w:val="nil"/>
              <w:tr2bl w:val="nil"/>
            </w:tcBorders>
            <w:noWrap w:val="0"/>
            <w:vAlign w:val="center"/>
          </w:tcPr>
          <w:p w14:paraId="700F0F6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0.596</w:t>
            </w:r>
          </w:p>
        </w:tc>
        <w:tc>
          <w:tcPr>
            <w:tcW w:w="800" w:type="dxa"/>
            <w:tcBorders>
              <w:tl2br w:val="nil"/>
              <w:tr2bl w:val="nil"/>
            </w:tcBorders>
            <w:noWrap w:val="0"/>
            <w:vAlign w:val="center"/>
          </w:tcPr>
          <w:p w14:paraId="2111AE1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0.0141</w:t>
            </w:r>
          </w:p>
        </w:tc>
        <w:tc>
          <w:tcPr>
            <w:tcW w:w="800" w:type="dxa"/>
            <w:tcBorders>
              <w:tl2br w:val="nil"/>
              <w:tr2bl w:val="nil"/>
            </w:tcBorders>
            <w:noWrap w:val="0"/>
            <w:vAlign w:val="center"/>
          </w:tcPr>
          <w:p w14:paraId="3EA277A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2.4</w:t>
            </w:r>
          </w:p>
        </w:tc>
      </w:tr>
      <w:tr w14:paraId="7C481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2E91ED13">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19378367">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2</w:t>
            </w:r>
          </w:p>
        </w:tc>
        <w:tc>
          <w:tcPr>
            <w:tcW w:w="800" w:type="dxa"/>
            <w:tcBorders>
              <w:tl2br w:val="nil"/>
              <w:tr2bl w:val="nil"/>
            </w:tcBorders>
            <w:noWrap w:val="0"/>
            <w:vAlign w:val="center"/>
          </w:tcPr>
          <w:p w14:paraId="7CB7D60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0.091</w:t>
            </w:r>
          </w:p>
        </w:tc>
        <w:tc>
          <w:tcPr>
            <w:tcW w:w="800" w:type="dxa"/>
            <w:tcBorders>
              <w:tl2br w:val="nil"/>
              <w:tr2bl w:val="nil"/>
            </w:tcBorders>
            <w:noWrap w:val="0"/>
            <w:vAlign w:val="center"/>
          </w:tcPr>
          <w:p w14:paraId="5B4B081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0.0053</w:t>
            </w:r>
          </w:p>
        </w:tc>
        <w:tc>
          <w:tcPr>
            <w:tcW w:w="800" w:type="dxa"/>
            <w:tcBorders>
              <w:tl2br w:val="nil"/>
              <w:tr2bl w:val="nil"/>
            </w:tcBorders>
            <w:noWrap w:val="0"/>
            <w:vAlign w:val="center"/>
          </w:tcPr>
          <w:p w14:paraId="76729B3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5.9</w:t>
            </w:r>
          </w:p>
        </w:tc>
        <w:tc>
          <w:tcPr>
            <w:tcW w:w="800" w:type="dxa"/>
            <w:tcBorders>
              <w:tl2br w:val="nil"/>
              <w:tr2bl w:val="nil"/>
            </w:tcBorders>
            <w:noWrap w:val="0"/>
            <w:vAlign w:val="center"/>
          </w:tcPr>
          <w:p w14:paraId="6DA6379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0.367</w:t>
            </w:r>
          </w:p>
        </w:tc>
        <w:tc>
          <w:tcPr>
            <w:tcW w:w="800" w:type="dxa"/>
            <w:tcBorders>
              <w:tl2br w:val="nil"/>
              <w:tr2bl w:val="nil"/>
            </w:tcBorders>
            <w:noWrap w:val="0"/>
            <w:vAlign w:val="center"/>
          </w:tcPr>
          <w:p w14:paraId="7298B10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0.0049</w:t>
            </w:r>
          </w:p>
        </w:tc>
        <w:tc>
          <w:tcPr>
            <w:tcW w:w="800" w:type="dxa"/>
            <w:tcBorders>
              <w:tl2br w:val="nil"/>
              <w:tr2bl w:val="nil"/>
            </w:tcBorders>
            <w:noWrap w:val="0"/>
            <w:vAlign w:val="center"/>
          </w:tcPr>
          <w:p w14:paraId="7E042AA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1.3</w:t>
            </w:r>
          </w:p>
        </w:tc>
        <w:tc>
          <w:tcPr>
            <w:tcW w:w="800" w:type="dxa"/>
            <w:tcBorders>
              <w:tl2br w:val="nil"/>
              <w:tr2bl w:val="nil"/>
            </w:tcBorders>
            <w:noWrap w:val="0"/>
            <w:vAlign w:val="center"/>
          </w:tcPr>
          <w:p w14:paraId="7B391DB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0.636</w:t>
            </w:r>
          </w:p>
        </w:tc>
        <w:tc>
          <w:tcPr>
            <w:tcW w:w="800" w:type="dxa"/>
            <w:tcBorders>
              <w:tl2br w:val="nil"/>
              <w:tr2bl w:val="nil"/>
            </w:tcBorders>
            <w:noWrap w:val="0"/>
            <w:vAlign w:val="center"/>
          </w:tcPr>
          <w:p w14:paraId="40EB2E8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0.0117</w:t>
            </w:r>
          </w:p>
        </w:tc>
        <w:tc>
          <w:tcPr>
            <w:tcW w:w="800" w:type="dxa"/>
            <w:tcBorders>
              <w:tl2br w:val="nil"/>
              <w:tr2bl w:val="nil"/>
            </w:tcBorders>
            <w:noWrap w:val="0"/>
            <w:vAlign w:val="center"/>
          </w:tcPr>
          <w:p w14:paraId="3B3D93C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1.8</w:t>
            </w:r>
          </w:p>
        </w:tc>
      </w:tr>
      <w:tr w14:paraId="02C7F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78DDA6FF">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64B683EE">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3</w:t>
            </w:r>
          </w:p>
        </w:tc>
        <w:tc>
          <w:tcPr>
            <w:tcW w:w="800" w:type="dxa"/>
            <w:tcBorders>
              <w:tl2br w:val="nil"/>
              <w:tr2bl w:val="nil"/>
            </w:tcBorders>
            <w:noWrap w:val="0"/>
            <w:vAlign w:val="center"/>
          </w:tcPr>
          <w:p w14:paraId="00EA330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0.076</w:t>
            </w:r>
          </w:p>
        </w:tc>
        <w:tc>
          <w:tcPr>
            <w:tcW w:w="800" w:type="dxa"/>
            <w:tcBorders>
              <w:tl2br w:val="nil"/>
              <w:tr2bl w:val="nil"/>
            </w:tcBorders>
            <w:noWrap w:val="0"/>
            <w:vAlign w:val="center"/>
          </w:tcPr>
          <w:p w14:paraId="42DA6B8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0.0035</w:t>
            </w:r>
          </w:p>
        </w:tc>
        <w:tc>
          <w:tcPr>
            <w:tcW w:w="800" w:type="dxa"/>
            <w:tcBorders>
              <w:tl2br w:val="nil"/>
              <w:tr2bl w:val="nil"/>
            </w:tcBorders>
            <w:noWrap w:val="0"/>
            <w:vAlign w:val="center"/>
          </w:tcPr>
          <w:p w14:paraId="56129E2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4.6</w:t>
            </w:r>
          </w:p>
        </w:tc>
        <w:tc>
          <w:tcPr>
            <w:tcW w:w="800" w:type="dxa"/>
            <w:tcBorders>
              <w:tl2br w:val="nil"/>
              <w:tr2bl w:val="nil"/>
            </w:tcBorders>
            <w:noWrap w:val="0"/>
            <w:vAlign w:val="center"/>
          </w:tcPr>
          <w:p w14:paraId="3C0A3D5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0.292</w:t>
            </w:r>
          </w:p>
        </w:tc>
        <w:tc>
          <w:tcPr>
            <w:tcW w:w="800" w:type="dxa"/>
            <w:tcBorders>
              <w:tl2br w:val="nil"/>
              <w:tr2bl w:val="nil"/>
            </w:tcBorders>
            <w:noWrap w:val="0"/>
            <w:vAlign w:val="center"/>
          </w:tcPr>
          <w:p w14:paraId="0BE1CC8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0.0185</w:t>
            </w:r>
          </w:p>
        </w:tc>
        <w:tc>
          <w:tcPr>
            <w:tcW w:w="800" w:type="dxa"/>
            <w:tcBorders>
              <w:tl2br w:val="nil"/>
              <w:tr2bl w:val="nil"/>
            </w:tcBorders>
            <w:noWrap w:val="0"/>
            <w:vAlign w:val="center"/>
          </w:tcPr>
          <w:p w14:paraId="2A589EE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6.3</w:t>
            </w:r>
          </w:p>
        </w:tc>
        <w:tc>
          <w:tcPr>
            <w:tcW w:w="800" w:type="dxa"/>
            <w:tcBorders>
              <w:tl2br w:val="nil"/>
              <w:tr2bl w:val="nil"/>
            </w:tcBorders>
            <w:noWrap w:val="0"/>
            <w:vAlign w:val="center"/>
          </w:tcPr>
          <w:p w14:paraId="41FD9D1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0.569</w:t>
            </w:r>
          </w:p>
        </w:tc>
        <w:tc>
          <w:tcPr>
            <w:tcW w:w="800" w:type="dxa"/>
            <w:tcBorders>
              <w:tl2br w:val="nil"/>
              <w:tr2bl w:val="nil"/>
            </w:tcBorders>
            <w:noWrap w:val="0"/>
            <w:vAlign w:val="center"/>
          </w:tcPr>
          <w:p w14:paraId="64375F8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0.0121</w:t>
            </w:r>
          </w:p>
        </w:tc>
        <w:tc>
          <w:tcPr>
            <w:tcW w:w="800" w:type="dxa"/>
            <w:tcBorders>
              <w:tl2br w:val="nil"/>
              <w:tr2bl w:val="nil"/>
            </w:tcBorders>
            <w:noWrap w:val="0"/>
            <w:vAlign w:val="center"/>
          </w:tcPr>
          <w:p w14:paraId="5264349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2.1</w:t>
            </w:r>
          </w:p>
        </w:tc>
      </w:tr>
      <w:tr w14:paraId="62250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0D18ECE3">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12708A0B">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4</w:t>
            </w:r>
          </w:p>
        </w:tc>
        <w:tc>
          <w:tcPr>
            <w:tcW w:w="800" w:type="dxa"/>
            <w:tcBorders>
              <w:tl2br w:val="nil"/>
              <w:tr2bl w:val="nil"/>
            </w:tcBorders>
            <w:noWrap w:val="0"/>
            <w:vAlign w:val="center"/>
          </w:tcPr>
          <w:p w14:paraId="22ABAEE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0.099</w:t>
            </w:r>
          </w:p>
        </w:tc>
        <w:tc>
          <w:tcPr>
            <w:tcW w:w="800" w:type="dxa"/>
            <w:tcBorders>
              <w:tl2br w:val="nil"/>
              <w:tr2bl w:val="nil"/>
            </w:tcBorders>
            <w:noWrap w:val="0"/>
            <w:vAlign w:val="center"/>
          </w:tcPr>
          <w:p w14:paraId="329367B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0.0046</w:t>
            </w:r>
          </w:p>
        </w:tc>
        <w:tc>
          <w:tcPr>
            <w:tcW w:w="800" w:type="dxa"/>
            <w:tcBorders>
              <w:tl2br w:val="nil"/>
              <w:tr2bl w:val="nil"/>
            </w:tcBorders>
            <w:noWrap w:val="0"/>
            <w:vAlign w:val="center"/>
          </w:tcPr>
          <w:p w14:paraId="074A5CD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4.6</w:t>
            </w:r>
          </w:p>
        </w:tc>
        <w:tc>
          <w:tcPr>
            <w:tcW w:w="800" w:type="dxa"/>
            <w:tcBorders>
              <w:tl2br w:val="nil"/>
              <w:tr2bl w:val="nil"/>
            </w:tcBorders>
            <w:noWrap w:val="0"/>
            <w:vAlign w:val="center"/>
          </w:tcPr>
          <w:p w14:paraId="36EB209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0.409</w:t>
            </w:r>
          </w:p>
        </w:tc>
        <w:tc>
          <w:tcPr>
            <w:tcW w:w="800" w:type="dxa"/>
            <w:tcBorders>
              <w:tl2br w:val="nil"/>
              <w:tr2bl w:val="nil"/>
            </w:tcBorders>
            <w:noWrap w:val="0"/>
            <w:vAlign w:val="center"/>
          </w:tcPr>
          <w:p w14:paraId="02AD2A3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0.0094</w:t>
            </w:r>
          </w:p>
        </w:tc>
        <w:tc>
          <w:tcPr>
            <w:tcW w:w="800" w:type="dxa"/>
            <w:tcBorders>
              <w:tl2br w:val="nil"/>
              <w:tr2bl w:val="nil"/>
            </w:tcBorders>
            <w:noWrap w:val="0"/>
            <w:vAlign w:val="center"/>
          </w:tcPr>
          <w:p w14:paraId="02632BE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2.3</w:t>
            </w:r>
          </w:p>
        </w:tc>
        <w:tc>
          <w:tcPr>
            <w:tcW w:w="800" w:type="dxa"/>
            <w:tcBorders>
              <w:tl2br w:val="nil"/>
              <w:tr2bl w:val="nil"/>
            </w:tcBorders>
            <w:noWrap w:val="0"/>
            <w:vAlign w:val="center"/>
          </w:tcPr>
          <w:p w14:paraId="466E968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0.694</w:t>
            </w:r>
          </w:p>
        </w:tc>
        <w:tc>
          <w:tcPr>
            <w:tcW w:w="800" w:type="dxa"/>
            <w:tcBorders>
              <w:tl2br w:val="nil"/>
              <w:tr2bl w:val="nil"/>
            </w:tcBorders>
            <w:noWrap w:val="0"/>
            <w:vAlign w:val="center"/>
          </w:tcPr>
          <w:p w14:paraId="3751896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0.0123</w:t>
            </w:r>
          </w:p>
        </w:tc>
        <w:tc>
          <w:tcPr>
            <w:tcW w:w="800" w:type="dxa"/>
            <w:tcBorders>
              <w:tl2br w:val="nil"/>
              <w:tr2bl w:val="nil"/>
            </w:tcBorders>
            <w:noWrap w:val="0"/>
            <w:vAlign w:val="center"/>
          </w:tcPr>
          <w:p w14:paraId="404ACDC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1.8</w:t>
            </w:r>
          </w:p>
        </w:tc>
      </w:tr>
      <w:tr w14:paraId="45946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5AD3955D">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675FBDCF">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5</w:t>
            </w:r>
          </w:p>
        </w:tc>
        <w:tc>
          <w:tcPr>
            <w:tcW w:w="800" w:type="dxa"/>
            <w:tcBorders>
              <w:tl2br w:val="nil"/>
              <w:tr2bl w:val="nil"/>
            </w:tcBorders>
            <w:noWrap w:val="0"/>
            <w:vAlign w:val="center"/>
          </w:tcPr>
          <w:p w14:paraId="0BC9474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0.092</w:t>
            </w:r>
          </w:p>
        </w:tc>
        <w:tc>
          <w:tcPr>
            <w:tcW w:w="800" w:type="dxa"/>
            <w:tcBorders>
              <w:tl2br w:val="nil"/>
              <w:tr2bl w:val="nil"/>
            </w:tcBorders>
            <w:noWrap w:val="0"/>
            <w:vAlign w:val="center"/>
          </w:tcPr>
          <w:p w14:paraId="689B822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0.0087</w:t>
            </w:r>
          </w:p>
        </w:tc>
        <w:tc>
          <w:tcPr>
            <w:tcW w:w="800" w:type="dxa"/>
            <w:tcBorders>
              <w:tl2br w:val="nil"/>
              <w:tr2bl w:val="nil"/>
            </w:tcBorders>
            <w:noWrap w:val="0"/>
            <w:vAlign w:val="center"/>
          </w:tcPr>
          <w:p w14:paraId="441F7E6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9.5</w:t>
            </w:r>
          </w:p>
        </w:tc>
        <w:tc>
          <w:tcPr>
            <w:tcW w:w="800" w:type="dxa"/>
            <w:tcBorders>
              <w:tl2br w:val="nil"/>
              <w:tr2bl w:val="nil"/>
            </w:tcBorders>
            <w:noWrap w:val="0"/>
            <w:vAlign w:val="center"/>
          </w:tcPr>
          <w:p w14:paraId="5579B1B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0.404</w:t>
            </w:r>
          </w:p>
        </w:tc>
        <w:tc>
          <w:tcPr>
            <w:tcW w:w="800" w:type="dxa"/>
            <w:tcBorders>
              <w:tl2br w:val="nil"/>
              <w:tr2bl w:val="nil"/>
            </w:tcBorders>
            <w:noWrap w:val="0"/>
            <w:vAlign w:val="center"/>
          </w:tcPr>
          <w:p w14:paraId="1DD8E3F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0.0194</w:t>
            </w:r>
          </w:p>
        </w:tc>
        <w:tc>
          <w:tcPr>
            <w:tcW w:w="800" w:type="dxa"/>
            <w:tcBorders>
              <w:tl2br w:val="nil"/>
              <w:tr2bl w:val="nil"/>
            </w:tcBorders>
            <w:noWrap w:val="0"/>
            <w:vAlign w:val="center"/>
          </w:tcPr>
          <w:p w14:paraId="0CAD271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4.8</w:t>
            </w:r>
          </w:p>
        </w:tc>
        <w:tc>
          <w:tcPr>
            <w:tcW w:w="800" w:type="dxa"/>
            <w:tcBorders>
              <w:tl2br w:val="nil"/>
              <w:tr2bl w:val="nil"/>
            </w:tcBorders>
            <w:noWrap w:val="0"/>
            <w:vAlign w:val="center"/>
          </w:tcPr>
          <w:p w14:paraId="2D50226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0.722</w:t>
            </w:r>
          </w:p>
        </w:tc>
        <w:tc>
          <w:tcPr>
            <w:tcW w:w="800" w:type="dxa"/>
            <w:tcBorders>
              <w:tl2br w:val="nil"/>
              <w:tr2bl w:val="nil"/>
            </w:tcBorders>
            <w:noWrap w:val="0"/>
            <w:vAlign w:val="center"/>
          </w:tcPr>
          <w:p w14:paraId="0D409AB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0.0154</w:t>
            </w:r>
          </w:p>
        </w:tc>
        <w:tc>
          <w:tcPr>
            <w:tcW w:w="800" w:type="dxa"/>
            <w:tcBorders>
              <w:tl2br w:val="nil"/>
              <w:tr2bl w:val="nil"/>
            </w:tcBorders>
            <w:noWrap w:val="0"/>
            <w:vAlign w:val="center"/>
          </w:tcPr>
          <w:p w14:paraId="5AB1A35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r>
      <w:tr w14:paraId="19E0C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tcBorders>
              <w:tl2br w:val="nil"/>
              <w:tr2bl w:val="nil"/>
            </w:tcBorders>
            <w:noWrap w:val="0"/>
            <w:vAlign w:val="center"/>
          </w:tcPr>
          <w:p w14:paraId="1BF20A97">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07A5F689">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6</w:t>
            </w:r>
          </w:p>
        </w:tc>
        <w:tc>
          <w:tcPr>
            <w:tcW w:w="800" w:type="dxa"/>
            <w:tcBorders>
              <w:tl2br w:val="nil"/>
              <w:tr2bl w:val="nil"/>
            </w:tcBorders>
            <w:noWrap w:val="0"/>
            <w:vAlign w:val="center"/>
          </w:tcPr>
          <w:p w14:paraId="18FC77D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0.089</w:t>
            </w:r>
          </w:p>
        </w:tc>
        <w:tc>
          <w:tcPr>
            <w:tcW w:w="800" w:type="dxa"/>
            <w:tcBorders>
              <w:tl2br w:val="nil"/>
              <w:tr2bl w:val="nil"/>
            </w:tcBorders>
            <w:noWrap w:val="0"/>
            <w:vAlign w:val="center"/>
          </w:tcPr>
          <w:p w14:paraId="718BC0A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0.0030</w:t>
            </w:r>
          </w:p>
        </w:tc>
        <w:tc>
          <w:tcPr>
            <w:tcW w:w="800" w:type="dxa"/>
            <w:tcBorders>
              <w:tl2br w:val="nil"/>
              <w:tr2bl w:val="nil"/>
            </w:tcBorders>
            <w:noWrap w:val="0"/>
            <w:vAlign w:val="center"/>
          </w:tcPr>
          <w:p w14:paraId="3C192E6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3.4</w:t>
            </w:r>
          </w:p>
        </w:tc>
        <w:tc>
          <w:tcPr>
            <w:tcW w:w="800" w:type="dxa"/>
            <w:tcBorders>
              <w:tl2br w:val="nil"/>
              <w:tr2bl w:val="nil"/>
            </w:tcBorders>
            <w:noWrap w:val="0"/>
            <w:vAlign w:val="center"/>
          </w:tcPr>
          <w:p w14:paraId="7E4F87B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0.333</w:t>
            </w:r>
          </w:p>
        </w:tc>
        <w:tc>
          <w:tcPr>
            <w:tcW w:w="800" w:type="dxa"/>
            <w:tcBorders>
              <w:tl2br w:val="nil"/>
              <w:tr2bl w:val="nil"/>
            </w:tcBorders>
            <w:noWrap w:val="0"/>
            <w:vAlign w:val="center"/>
          </w:tcPr>
          <w:p w14:paraId="32322FD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0.0288</w:t>
            </w:r>
          </w:p>
        </w:tc>
        <w:tc>
          <w:tcPr>
            <w:tcW w:w="800" w:type="dxa"/>
            <w:tcBorders>
              <w:tl2br w:val="nil"/>
              <w:tr2bl w:val="nil"/>
            </w:tcBorders>
            <w:noWrap w:val="0"/>
            <w:vAlign w:val="center"/>
          </w:tcPr>
          <w:p w14:paraId="2466B3B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8.6</w:t>
            </w:r>
          </w:p>
        </w:tc>
        <w:tc>
          <w:tcPr>
            <w:tcW w:w="800" w:type="dxa"/>
            <w:tcBorders>
              <w:tl2br w:val="nil"/>
              <w:tr2bl w:val="nil"/>
            </w:tcBorders>
            <w:noWrap w:val="0"/>
            <w:vAlign w:val="center"/>
          </w:tcPr>
          <w:p w14:paraId="77BBB7F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0.712</w:t>
            </w:r>
          </w:p>
        </w:tc>
        <w:tc>
          <w:tcPr>
            <w:tcW w:w="800" w:type="dxa"/>
            <w:tcBorders>
              <w:tl2br w:val="nil"/>
              <w:tr2bl w:val="nil"/>
            </w:tcBorders>
            <w:noWrap w:val="0"/>
            <w:vAlign w:val="center"/>
          </w:tcPr>
          <w:p w14:paraId="729AFA4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0.0218</w:t>
            </w:r>
          </w:p>
        </w:tc>
        <w:tc>
          <w:tcPr>
            <w:tcW w:w="800" w:type="dxa"/>
            <w:tcBorders>
              <w:tl2br w:val="nil"/>
              <w:tr2bl w:val="nil"/>
            </w:tcBorders>
            <w:noWrap w:val="0"/>
            <w:vAlign w:val="center"/>
          </w:tcPr>
          <w:p w14:paraId="0A5B604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3.1</w:t>
            </w:r>
          </w:p>
        </w:tc>
      </w:tr>
      <w:tr w14:paraId="03B66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37C168D5">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position w:val="-6"/>
                <w:sz w:val="18"/>
                <w:szCs w:val="18"/>
                <w:highlight w:val="none"/>
              </w:rPr>
              <w:drawing>
                <wp:inline distT="0" distB="0" distL="114300" distR="114300">
                  <wp:extent cx="120650" cy="228600"/>
                  <wp:effectExtent l="0" t="0" r="0" b="0"/>
                  <wp:docPr id="12"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9"/>
                          <pic:cNvPicPr>
                            <a:picLocks noChangeAspect="1"/>
                          </pic:cNvPicPr>
                        </pic:nvPicPr>
                        <pic:blipFill>
                          <a:blip r:embed="rId257"/>
                          <a:stretch>
                            <a:fillRect/>
                          </a:stretch>
                        </pic:blipFill>
                        <pic:spPr>
                          <a:xfrm>
                            <a:off x="0" y="0"/>
                            <a:ext cx="120650" cy="228600"/>
                          </a:xfrm>
                          <a:prstGeom prst="rect">
                            <a:avLst/>
                          </a:prstGeom>
                          <a:noFill/>
                          <a:ln>
                            <a:noFill/>
                          </a:ln>
                        </pic:spPr>
                      </pic:pic>
                    </a:graphicData>
                  </a:graphic>
                </wp:inline>
              </w:drawing>
            </w:r>
          </w:p>
        </w:tc>
        <w:tc>
          <w:tcPr>
            <w:tcW w:w="2400" w:type="dxa"/>
            <w:gridSpan w:val="3"/>
            <w:tcBorders>
              <w:tl2br w:val="nil"/>
              <w:tr2bl w:val="nil"/>
            </w:tcBorders>
            <w:noWrap w:val="0"/>
            <w:vAlign w:val="center"/>
          </w:tcPr>
          <w:p w14:paraId="723D16C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0.088</w:t>
            </w:r>
          </w:p>
        </w:tc>
        <w:tc>
          <w:tcPr>
            <w:tcW w:w="2400" w:type="dxa"/>
            <w:gridSpan w:val="3"/>
            <w:tcBorders>
              <w:tl2br w:val="nil"/>
              <w:tr2bl w:val="nil"/>
            </w:tcBorders>
            <w:noWrap w:val="0"/>
            <w:vAlign w:val="center"/>
          </w:tcPr>
          <w:p w14:paraId="76D07CB4">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0.353</w:t>
            </w:r>
          </w:p>
        </w:tc>
        <w:tc>
          <w:tcPr>
            <w:tcW w:w="2400" w:type="dxa"/>
            <w:gridSpan w:val="3"/>
            <w:tcBorders>
              <w:tl2br w:val="nil"/>
              <w:tr2bl w:val="nil"/>
            </w:tcBorders>
            <w:noWrap w:val="0"/>
            <w:vAlign w:val="center"/>
          </w:tcPr>
          <w:p w14:paraId="2F4C6E8E">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0.655</w:t>
            </w:r>
          </w:p>
        </w:tc>
      </w:tr>
      <w:tr w14:paraId="4BB59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349FE4AA">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p>
        </w:tc>
        <w:tc>
          <w:tcPr>
            <w:tcW w:w="2400" w:type="dxa"/>
            <w:gridSpan w:val="3"/>
            <w:tcBorders>
              <w:tl2br w:val="nil"/>
              <w:tr2bl w:val="nil"/>
            </w:tcBorders>
            <w:noWrap w:val="0"/>
            <w:vAlign w:val="center"/>
          </w:tcPr>
          <w:p w14:paraId="1683EF0C">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0.0079</w:t>
            </w:r>
          </w:p>
        </w:tc>
        <w:tc>
          <w:tcPr>
            <w:tcW w:w="2400" w:type="dxa"/>
            <w:gridSpan w:val="3"/>
            <w:tcBorders>
              <w:tl2br w:val="nil"/>
              <w:tr2bl w:val="nil"/>
            </w:tcBorders>
            <w:noWrap w:val="0"/>
            <w:vAlign w:val="center"/>
          </w:tcPr>
          <w:p w14:paraId="13FDA427">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0.049</w:t>
            </w:r>
          </w:p>
        </w:tc>
        <w:tc>
          <w:tcPr>
            <w:tcW w:w="2400" w:type="dxa"/>
            <w:gridSpan w:val="3"/>
            <w:tcBorders>
              <w:tl2br w:val="nil"/>
              <w:tr2bl w:val="nil"/>
            </w:tcBorders>
            <w:noWrap w:val="0"/>
            <w:vAlign w:val="center"/>
          </w:tcPr>
          <w:p w14:paraId="5482D753">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0.064</w:t>
            </w:r>
          </w:p>
        </w:tc>
      </w:tr>
      <w:tr w14:paraId="51220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2F4AC9D0">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i/>
                <w:color w:val="000000"/>
                <w:sz w:val="18"/>
                <w:szCs w:val="18"/>
                <w:highlight w:val="none"/>
              </w:rPr>
              <w:t>´</w:t>
            </w:r>
            <w:r>
              <w:rPr>
                <w:rFonts w:hint="default" w:ascii="Times New Roman" w:hAnsi="Times New Roman" w:cs="Times New Roman"/>
                <w:color w:val="000000"/>
                <w:sz w:val="18"/>
                <w:szCs w:val="18"/>
                <w:highlight w:val="none"/>
              </w:rPr>
              <w:t>（%）</w:t>
            </w:r>
          </w:p>
        </w:tc>
        <w:tc>
          <w:tcPr>
            <w:tcW w:w="2400" w:type="dxa"/>
            <w:gridSpan w:val="3"/>
            <w:tcBorders>
              <w:tl2br w:val="nil"/>
              <w:tr2bl w:val="nil"/>
            </w:tcBorders>
            <w:noWrap w:val="0"/>
            <w:vAlign w:val="center"/>
          </w:tcPr>
          <w:p w14:paraId="3DD5C3C3">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9.0</w:t>
            </w:r>
          </w:p>
        </w:tc>
        <w:tc>
          <w:tcPr>
            <w:tcW w:w="2400" w:type="dxa"/>
            <w:gridSpan w:val="3"/>
            <w:tcBorders>
              <w:tl2br w:val="nil"/>
              <w:tr2bl w:val="nil"/>
            </w:tcBorders>
            <w:noWrap w:val="0"/>
            <w:vAlign w:val="center"/>
          </w:tcPr>
          <w:p w14:paraId="7209D696">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13.8</w:t>
            </w:r>
          </w:p>
        </w:tc>
        <w:tc>
          <w:tcPr>
            <w:tcW w:w="2400" w:type="dxa"/>
            <w:gridSpan w:val="3"/>
            <w:tcBorders>
              <w:tl2br w:val="nil"/>
              <w:tr2bl w:val="nil"/>
            </w:tcBorders>
            <w:noWrap w:val="0"/>
            <w:vAlign w:val="center"/>
          </w:tcPr>
          <w:p w14:paraId="50622D56">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9.8</w:t>
            </w:r>
          </w:p>
        </w:tc>
      </w:tr>
      <w:tr w14:paraId="49FD4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723BDFD6">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重复性限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2FD1533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0.014</w:t>
            </w:r>
          </w:p>
        </w:tc>
        <w:tc>
          <w:tcPr>
            <w:tcW w:w="2400" w:type="dxa"/>
            <w:gridSpan w:val="3"/>
            <w:tcBorders>
              <w:tl2br w:val="nil"/>
              <w:tr2bl w:val="nil"/>
            </w:tcBorders>
            <w:noWrap w:val="0"/>
            <w:vAlign w:val="center"/>
          </w:tcPr>
          <w:p w14:paraId="04525649">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0.052</w:t>
            </w:r>
          </w:p>
        </w:tc>
        <w:tc>
          <w:tcPr>
            <w:tcW w:w="2400" w:type="dxa"/>
            <w:gridSpan w:val="3"/>
            <w:tcBorders>
              <w:tl2br w:val="nil"/>
              <w:tr2bl w:val="nil"/>
            </w:tcBorders>
            <w:noWrap w:val="0"/>
            <w:vAlign w:val="center"/>
          </w:tcPr>
          <w:p w14:paraId="78C885C4">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0.042</w:t>
            </w:r>
          </w:p>
        </w:tc>
      </w:tr>
      <w:tr w14:paraId="494A0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15FF69EF">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再现性限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0E9D51D1">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0.026</w:t>
            </w:r>
          </w:p>
        </w:tc>
        <w:tc>
          <w:tcPr>
            <w:tcW w:w="2400" w:type="dxa"/>
            <w:gridSpan w:val="3"/>
            <w:tcBorders>
              <w:tl2br w:val="nil"/>
              <w:tr2bl w:val="nil"/>
            </w:tcBorders>
            <w:noWrap w:val="0"/>
            <w:vAlign w:val="center"/>
          </w:tcPr>
          <w:p w14:paraId="3C0584EB">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0.14</w:t>
            </w:r>
          </w:p>
        </w:tc>
        <w:tc>
          <w:tcPr>
            <w:tcW w:w="2400" w:type="dxa"/>
            <w:gridSpan w:val="3"/>
            <w:tcBorders>
              <w:tl2br w:val="nil"/>
              <w:tr2bl w:val="nil"/>
            </w:tcBorders>
            <w:noWrap w:val="0"/>
            <w:vAlign w:val="center"/>
          </w:tcPr>
          <w:p w14:paraId="471DF0FE">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0.18</w:t>
            </w:r>
          </w:p>
        </w:tc>
      </w:tr>
    </w:tbl>
    <w:p w14:paraId="39111014">
      <w:pPr>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br w:type="page"/>
      </w:r>
    </w:p>
    <w:p w14:paraId="04569F23">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附表24  方法精密度测试数据汇总表（土壤样品加标）</w:t>
      </w:r>
    </w:p>
    <w:p w14:paraId="12C3B3BF">
      <w:pPr>
        <w:ind w:left="0" w:leftChars="0" w:firstLine="0" w:firstLineChars="0"/>
        <w:jc w:val="right"/>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单位：</w:t>
      </w:r>
      <w:r>
        <w:rPr>
          <w:rFonts w:hint="default" w:ascii="Times New Roman" w:hAnsi="Times New Roman" w:cs="Times New Roman"/>
          <w:color w:val="000000"/>
          <w:kern w:val="0"/>
          <w:szCs w:val="18"/>
          <w:highlight w:val="none"/>
          <w:lang w:eastAsia="zh-CN"/>
        </w:rPr>
        <w:t>mg/kg</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5"/>
        <w:gridCol w:w="615"/>
        <w:gridCol w:w="800"/>
        <w:gridCol w:w="800"/>
        <w:gridCol w:w="800"/>
        <w:gridCol w:w="800"/>
        <w:gridCol w:w="800"/>
        <w:gridCol w:w="800"/>
        <w:gridCol w:w="800"/>
        <w:gridCol w:w="800"/>
        <w:gridCol w:w="800"/>
      </w:tblGrid>
      <w:tr w14:paraId="20B9C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905" w:type="dxa"/>
            <w:vMerge w:val="restart"/>
            <w:tcBorders>
              <w:tl2br w:val="nil"/>
              <w:tr2bl w:val="nil"/>
            </w:tcBorders>
            <w:noWrap w:val="0"/>
            <w:vAlign w:val="center"/>
          </w:tcPr>
          <w:p w14:paraId="397F6C3C">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目标化合物</w:t>
            </w:r>
          </w:p>
        </w:tc>
        <w:tc>
          <w:tcPr>
            <w:tcW w:w="615" w:type="dxa"/>
            <w:vMerge w:val="restart"/>
            <w:tcBorders>
              <w:tl2br w:val="nil"/>
              <w:tr2bl w:val="nil"/>
            </w:tcBorders>
            <w:noWrap w:val="0"/>
            <w:vAlign w:val="center"/>
          </w:tcPr>
          <w:p w14:paraId="66235504">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实验</w:t>
            </w:r>
          </w:p>
          <w:p w14:paraId="36A91C69">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室号</w:t>
            </w:r>
          </w:p>
        </w:tc>
        <w:tc>
          <w:tcPr>
            <w:tcW w:w="2400" w:type="dxa"/>
            <w:gridSpan w:val="3"/>
            <w:tcBorders>
              <w:tl2br w:val="nil"/>
              <w:tr2bl w:val="nil"/>
            </w:tcBorders>
            <w:noWrap w:val="0"/>
            <w:vAlign w:val="center"/>
          </w:tcPr>
          <w:p w14:paraId="255BAA0E">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低浓度（加标0.10）</w:t>
            </w:r>
          </w:p>
        </w:tc>
        <w:tc>
          <w:tcPr>
            <w:tcW w:w="2400" w:type="dxa"/>
            <w:gridSpan w:val="3"/>
            <w:tcBorders>
              <w:tl2br w:val="nil"/>
              <w:tr2bl w:val="nil"/>
            </w:tcBorders>
            <w:noWrap w:val="0"/>
            <w:vAlign w:val="center"/>
          </w:tcPr>
          <w:p w14:paraId="7BAD4E6C">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中浓度（加标0.</w:t>
            </w:r>
            <w:r>
              <w:rPr>
                <w:rFonts w:hint="default" w:ascii="Times New Roman" w:hAnsi="Times New Roman" w:cs="Times New Roman"/>
                <w:color w:val="000000"/>
                <w:sz w:val="18"/>
                <w:szCs w:val="18"/>
                <w:highlight w:val="none"/>
                <w:lang w:val="en-US" w:eastAsia="zh-CN"/>
              </w:rPr>
              <w:t>4</w:t>
            </w:r>
            <w:r>
              <w:rPr>
                <w:rFonts w:hint="default" w:ascii="Times New Roman" w:hAnsi="Times New Roman" w:cs="Times New Roman"/>
                <w:color w:val="000000"/>
                <w:sz w:val="18"/>
                <w:szCs w:val="18"/>
                <w:highlight w:val="none"/>
              </w:rPr>
              <w:t>0）</w:t>
            </w:r>
          </w:p>
        </w:tc>
        <w:tc>
          <w:tcPr>
            <w:tcW w:w="2400" w:type="dxa"/>
            <w:gridSpan w:val="3"/>
            <w:tcBorders>
              <w:tl2br w:val="nil"/>
              <w:tr2bl w:val="nil"/>
            </w:tcBorders>
            <w:noWrap w:val="0"/>
            <w:vAlign w:val="center"/>
          </w:tcPr>
          <w:p w14:paraId="63CF5683">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高浓度（加标</w:t>
            </w:r>
            <w:r>
              <w:rPr>
                <w:rFonts w:hint="default" w:ascii="Times New Roman" w:hAnsi="Times New Roman" w:cs="Times New Roman"/>
                <w:color w:val="000000"/>
                <w:sz w:val="18"/>
                <w:szCs w:val="18"/>
                <w:highlight w:val="none"/>
                <w:lang w:val="en-US" w:eastAsia="zh-CN"/>
              </w:rPr>
              <w:t>0.7</w:t>
            </w:r>
            <w:r>
              <w:rPr>
                <w:rFonts w:hint="default" w:ascii="Times New Roman" w:hAnsi="Times New Roman" w:cs="Times New Roman"/>
                <w:color w:val="000000"/>
                <w:sz w:val="18"/>
                <w:szCs w:val="18"/>
                <w:highlight w:val="none"/>
              </w:rPr>
              <w:t>0）</w:t>
            </w:r>
          </w:p>
        </w:tc>
      </w:tr>
      <w:tr w14:paraId="02411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tblHeader/>
          <w:jc w:val="center"/>
        </w:trPr>
        <w:tc>
          <w:tcPr>
            <w:tcW w:w="905" w:type="dxa"/>
            <w:vMerge w:val="continue"/>
            <w:tcBorders>
              <w:tl2br w:val="nil"/>
              <w:tr2bl w:val="nil"/>
            </w:tcBorders>
            <w:noWrap w:val="0"/>
            <w:vAlign w:val="center"/>
          </w:tcPr>
          <w:p w14:paraId="07A547E7">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vMerge w:val="continue"/>
            <w:tcBorders>
              <w:tl2br w:val="nil"/>
              <w:tr2bl w:val="nil"/>
            </w:tcBorders>
            <w:noWrap w:val="0"/>
            <w:vAlign w:val="center"/>
          </w:tcPr>
          <w:p w14:paraId="44DBB1C0">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800" w:type="dxa"/>
            <w:tcBorders>
              <w:tl2br w:val="nil"/>
              <w:tr2bl w:val="nil"/>
            </w:tcBorders>
            <w:noWrap w:val="0"/>
            <w:vAlign w:val="center"/>
          </w:tcPr>
          <w:p w14:paraId="3092341B">
            <w:pPr>
              <w:pStyle w:val="25"/>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position w:val="-6"/>
                <w:sz w:val="18"/>
                <w:szCs w:val="18"/>
                <w:highlight w:val="none"/>
              </w:rPr>
              <w:drawing>
                <wp:inline distT="0" distB="0" distL="114300" distR="114300">
                  <wp:extent cx="158750" cy="215900"/>
                  <wp:effectExtent l="0" t="0" r="0" b="0"/>
                  <wp:docPr id="1"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5"/>
                          <pic:cNvPicPr>
                            <a:picLocks noChangeAspect="1"/>
                          </pic:cNvPicPr>
                        </pic:nvPicPr>
                        <pic:blipFill>
                          <a:blip r:embed="rId254"/>
                          <a:stretch>
                            <a:fillRect/>
                          </a:stretch>
                        </pic:blipFill>
                        <pic:spPr>
                          <a:xfrm>
                            <a:off x="0" y="0"/>
                            <a:ext cx="158750" cy="215900"/>
                          </a:xfrm>
                          <a:prstGeom prst="rect">
                            <a:avLst/>
                          </a:prstGeom>
                          <a:noFill/>
                          <a:ln>
                            <a:noFill/>
                          </a:ln>
                        </pic:spPr>
                      </pic:pic>
                    </a:graphicData>
                  </a:graphic>
                </wp:inline>
              </w:drawing>
            </w:r>
          </w:p>
        </w:tc>
        <w:tc>
          <w:tcPr>
            <w:tcW w:w="800" w:type="dxa"/>
            <w:tcBorders>
              <w:tl2br w:val="nil"/>
              <w:tr2bl w:val="nil"/>
            </w:tcBorders>
            <w:noWrap w:val="0"/>
            <w:vAlign w:val="center"/>
          </w:tcPr>
          <w:p w14:paraId="2CCF6AFB">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r>
              <w:rPr>
                <w:rFonts w:hint="default" w:ascii="Times New Roman" w:hAnsi="Times New Roman" w:cs="Times New Roman"/>
                <w:i/>
                <w:iCs/>
                <w:color w:val="000000"/>
                <w:sz w:val="18"/>
                <w:szCs w:val="18"/>
                <w:highlight w:val="none"/>
                <w:vertAlign w:val="subscript"/>
              </w:rPr>
              <w:t>i</w:t>
            </w:r>
          </w:p>
        </w:tc>
        <w:tc>
          <w:tcPr>
            <w:tcW w:w="800" w:type="dxa"/>
            <w:tcBorders>
              <w:tl2br w:val="nil"/>
              <w:tr2bl w:val="nil"/>
            </w:tcBorders>
            <w:noWrap w:val="0"/>
            <w:vAlign w:val="center"/>
          </w:tcPr>
          <w:p w14:paraId="603E5CBA">
            <w:pPr>
              <w:pStyle w:val="23"/>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color w:val="000000"/>
                <w:sz w:val="18"/>
                <w:szCs w:val="18"/>
                <w:highlight w:val="none"/>
                <w:vertAlign w:val="subscript"/>
              </w:rPr>
              <w:t>i</w:t>
            </w:r>
            <w:r>
              <w:rPr>
                <w:rFonts w:hint="default" w:ascii="Times New Roman" w:hAnsi="Times New Roman" w:cs="Times New Roman"/>
                <w:color w:val="000000"/>
                <w:sz w:val="18"/>
                <w:szCs w:val="18"/>
                <w:highlight w:val="none"/>
              </w:rPr>
              <w:t>（%）</w:t>
            </w:r>
          </w:p>
        </w:tc>
        <w:tc>
          <w:tcPr>
            <w:tcW w:w="800" w:type="dxa"/>
            <w:tcBorders>
              <w:tl2br w:val="nil"/>
              <w:tr2bl w:val="nil"/>
            </w:tcBorders>
            <w:noWrap w:val="0"/>
            <w:vAlign w:val="center"/>
          </w:tcPr>
          <w:p w14:paraId="0FB946E2">
            <w:pPr>
              <w:pStyle w:val="25"/>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position w:val="-8"/>
                <w:sz w:val="18"/>
                <w:szCs w:val="18"/>
                <w:highlight w:val="none"/>
              </w:rPr>
              <w:object>
                <v:shape id="_x0000_i1210" o:spt="75" type="#_x0000_t75" style="height:18pt;width:12.5pt;" o:ole="t" filled="f" o:preferrelative="t" stroked="f" coordsize="21600,21600">
                  <v:path/>
                  <v:fill on="f" focussize="0,0"/>
                  <v:stroke on="f"/>
                  <v:imagedata r:id="rId256" o:title=""/>
                  <o:lock v:ext="edit" aspectratio="t"/>
                  <w10:wrap type="none"/>
                  <w10:anchorlock/>
                </v:shape>
                <o:OLEObject Type="Embed" ProgID="Equation.3" ShapeID="_x0000_i1210" DrawAspect="Content" ObjectID="_1468075898" r:id="rId258">
                  <o:LockedField>false</o:LockedField>
                </o:OLEObject>
              </w:object>
            </w:r>
          </w:p>
        </w:tc>
        <w:tc>
          <w:tcPr>
            <w:tcW w:w="800" w:type="dxa"/>
            <w:tcBorders>
              <w:tl2br w:val="nil"/>
              <w:tr2bl w:val="nil"/>
            </w:tcBorders>
            <w:noWrap w:val="0"/>
            <w:vAlign w:val="center"/>
          </w:tcPr>
          <w:p w14:paraId="49E1D2C9">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r>
              <w:rPr>
                <w:rFonts w:hint="default" w:ascii="Times New Roman" w:hAnsi="Times New Roman" w:cs="Times New Roman"/>
                <w:i/>
                <w:iCs/>
                <w:color w:val="000000"/>
                <w:sz w:val="18"/>
                <w:szCs w:val="18"/>
                <w:highlight w:val="none"/>
                <w:vertAlign w:val="subscript"/>
              </w:rPr>
              <w:t>i</w:t>
            </w:r>
          </w:p>
        </w:tc>
        <w:tc>
          <w:tcPr>
            <w:tcW w:w="800" w:type="dxa"/>
            <w:tcBorders>
              <w:tl2br w:val="nil"/>
              <w:tr2bl w:val="nil"/>
            </w:tcBorders>
            <w:noWrap w:val="0"/>
            <w:vAlign w:val="center"/>
          </w:tcPr>
          <w:p w14:paraId="2651E986">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color w:val="000000"/>
                <w:sz w:val="18"/>
                <w:szCs w:val="18"/>
                <w:highlight w:val="none"/>
                <w:vertAlign w:val="subscript"/>
              </w:rPr>
              <w:t>i</w:t>
            </w:r>
            <w:r>
              <w:rPr>
                <w:rFonts w:hint="default" w:ascii="Times New Roman" w:hAnsi="Times New Roman" w:cs="Times New Roman"/>
                <w:color w:val="000000"/>
                <w:sz w:val="18"/>
                <w:szCs w:val="18"/>
                <w:highlight w:val="none"/>
              </w:rPr>
              <w:t>（%）</w:t>
            </w:r>
          </w:p>
        </w:tc>
        <w:tc>
          <w:tcPr>
            <w:tcW w:w="800" w:type="dxa"/>
            <w:tcBorders>
              <w:tl2br w:val="nil"/>
              <w:tr2bl w:val="nil"/>
            </w:tcBorders>
            <w:noWrap w:val="0"/>
            <w:vAlign w:val="center"/>
          </w:tcPr>
          <w:p w14:paraId="6DACBBCB">
            <w:pPr>
              <w:pStyle w:val="25"/>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position w:val="-6"/>
                <w:sz w:val="18"/>
                <w:szCs w:val="18"/>
                <w:highlight w:val="none"/>
              </w:rPr>
              <w:drawing>
                <wp:inline distT="0" distB="0" distL="114300" distR="114300">
                  <wp:extent cx="158750" cy="215900"/>
                  <wp:effectExtent l="0" t="0" r="0" b="0"/>
                  <wp:docPr id="5"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7"/>
                          <pic:cNvPicPr>
                            <a:picLocks noChangeAspect="1"/>
                          </pic:cNvPicPr>
                        </pic:nvPicPr>
                        <pic:blipFill>
                          <a:blip r:embed="rId254"/>
                          <a:stretch>
                            <a:fillRect/>
                          </a:stretch>
                        </pic:blipFill>
                        <pic:spPr>
                          <a:xfrm>
                            <a:off x="0" y="0"/>
                            <a:ext cx="158750" cy="215900"/>
                          </a:xfrm>
                          <a:prstGeom prst="rect">
                            <a:avLst/>
                          </a:prstGeom>
                          <a:noFill/>
                          <a:ln>
                            <a:noFill/>
                          </a:ln>
                        </pic:spPr>
                      </pic:pic>
                    </a:graphicData>
                  </a:graphic>
                </wp:inline>
              </w:drawing>
            </w:r>
          </w:p>
        </w:tc>
        <w:tc>
          <w:tcPr>
            <w:tcW w:w="800" w:type="dxa"/>
            <w:tcBorders>
              <w:tl2br w:val="nil"/>
              <w:tr2bl w:val="nil"/>
            </w:tcBorders>
            <w:noWrap w:val="0"/>
            <w:vAlign w:val="center"/>
          </w:tcPr>
          <w:p w14:paraId="3081E91E">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r>
              <w:rPr>
                <w:rFonts w:hint="default" w:ascii="Times New Roman" w:hAnsi="Times New Roman" w:cs="Times New Roman"/>
                <w:i/>
                <w:iCs/>
                <w:color w:val="000000"/>
                <w:sz w:val="18"/>
                <w:szCs w:val="18"/>
                <w:highlight w:val="none"/>
                <w:vertAlign w:val="subscript"/>
              </w:rPr>
              <w:t>i</w:t>
            </w:r>
          </w:p>
        </w:tc>
        <w:tc>
          <w:tcPr>
            <w:tcW w:w="800" w:type="dxa"/>
            <w:tcBorders>
              <w:tl2br w:val="nil"/>
              <w:tr2bl w:val="nil"/>
            </w:tcBorders>
            <w:noWrap w:val="0"/>
            <w:vAlign w:val="center"/>
          </w:tcPr>
          <w:p w14:paraId="7000C1D1">
            <w:pPr>
              <w:pStyle w:val="23"/>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color w:val="000000"/>
                <w:sz w:val="18"/>
                <w:szCs w:val="18"/>
                <w:highlight w:val="none"/>
                <w:vertAlign w:val="subscript"/>
              </w:rPr>
              <w:t>i</w:t>
            </w:r>
            <w:r>
              <w:rPr>
                <w:rFonts w:hint="default" w:ascii="Times New Roman" w:hAnsi="Times New Roman" w:cs="Times New Roman"/>
                <w:color w:val="000000"/>
                <w:sz w:val="18"/>
                <w:szCs w:val="18"/>
                <w:highlight w:val="none"/>
              </w:rPr>
              <w:t>（%）</w:t>
            </w:r>
          </w:p>
        </w:tc>
      </w:tr>
      <w:tr w14:paraId="39CBE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restart"/>
            <w:tcBorders>
              <w:tl2br w:val="nil"/>
              <w:tr2bl w:val="nil"/>
            </w:tcBorders>
            <w:noWrap w:val="0"/>
            <w:vAlign w:val="center"/>
          </w:tcPr>
          <w:p w14:paraId="5EA64489">
            <w:pPr>
              <w:pStyle w:val="23"/>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615" w:type="dxa"/>
            <w:tcBorders>
              <w:tl2br w:val="nil"/>
              <w:tr2bl w:val="nil"/>
            </w:tcBorders>
            <w:noWrap w:val="0"/>
            <w:vAlign w:val="center"/>
          </w:tcPr>
          <w:p w14:paraId="3C7F2267">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w:t>
            </w:r>
          </w:p>
        </w:tc>
        <w:tc>
          <w:tcPr>
            <w:tcW w:w="800" w:type="dxa"/>
            <w:tcBorders>
              <w:tl2br w:val="nil"/>
              <w:tr2bl w:val="nil"/>
            </w:tcBorders>
            <w:noWrap w:val="0"/>
            <w:vAlign w:val="center"/>
          </w:tcPr>
          <w:p w14:paraId="64C6E43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0.082</w:t>
            </w:r>
          </w:p>
        </w:tc>
        <w:tc>
          <w:tcPr>
            <w:tcW w:w="800" w:type="dxa"/>
            <w:tcBorders>
              <w:tl2br w:val="nil"/>
              <w:tr2bl w:val="nil"/>
            </w:tcBorders>
            <w:noWrap w:val="0"/>
            <w:vAlign w:val="center"/>
          </w:tcPr>
          <w:p w14:paraId="5954083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0.0033</w:t>
            </w:r>
          </w:p>
        </w:tc>
        <w:tc>
          <w:tcPr>
            <w:tcW w:w="800" w:type="dxa"/>
            <w:tcBorders>
              <w:tl2br w:val="nil"/>
              <w:tr2bl w:val="nil"/>
            </w:tcBorders>
            <w:noWrap w:val="0"/>
            <w:vAlign w:val="center"/>
          </w:tcPr>
          <w:p w14:paraId="7B843F3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4.0</w:t>
            </w:r>
          </w:p>
        </w:tc>
        <w:tc>
          <w:tcPr>
            <w:tcW w:w="800" w:type="dxa"/>
            <w:tcBorders>
              <w:tl2br w:val="nil"/>
              <w:tr2bl w:val="nil"/>
            </w:tcBorders>
            <w:noWrap w:val="0"/>
            <w:vAlign w:val="center"/>
          </w:tcPr>
          <w:p w14:paraId="0BAF0A3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0.366</w:t>
            </w:r>
          </w:p>
        </w:tc>
        <w:tc>
          <w:tcPr>
            <w:tcW w:w="800" w:type="dxa"/>
            <w:tcBorders>
              <w:tl2br w:val="nil"/>
              <w:tr2bl w:val="nil"/>
            </w:tcBorders>
            <w:noWrap w:val="0"/>
            <w:vAlign w:val="center"/>
          </w:tcPr>
          <w:p w14:paraId="2761FC4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0.0090</w:t>
            </w:r>
          </w:p>
        </w:tc>
        <w:tc>
          <w:tcPr>
            <w:tcW w:w="800" w:type="dxa"/>
            <w:tcBorders>
              <w:tl2br w:val="nil"/>
              <w:tr2bl w:val="nil"/>
            </w:tcBorders>
            <w:noWrap w:val="0"/>
            <w:vAlign w:val="center"/>
          </w:tcPr>
          <w:p w14:paraId="20C90E1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2.4</w:t>
            </w:r>
          </w:p>
        </w:tc>
        <w:tc>
          <w:tcPr>
            <w:tcW w:w="800" w:type="dxa"/>
            <w:tcBorders>
              <w:tl2br w:val="nil"/>
              <w:tr2bl w:val="nil"/>
            </w:tcBorders>
            <w:noWrap w:val="0"/>
            <w:vAlign w:val="center"/>
          </w:tcPr>
          <w:p w14:paraId="7AF89BF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0.710</w:t>
            </w:r>
          </w:p>
        </w:tc>
        <w:tc>
          <w:tcPr>
            <w:tcW w:w="800" w:type="dxa"/>
            <w:tcBorders>
              <w:tl2br w:val="nil"/>
              <w:tr2bl w:val="nil"/>
            </w:tcBorders>
            <w:noWrap w:val="0"/>
            <w:vAlign w:val="center"/>
          </w:tcPr>
          <w:p w14:paraId="634E3F4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0.0092</w:t>
            </w:r>
          </w:p>
        </w:tc>
        <w:tc>
          <w:tcPr>
            <w:tcW w:w="800" w:type="dxa"/>
            <w:tcBorders>
              <w:tl2br w:val="nil"/>
              <w:tr2bl w:val="nil"/>
            </w:tcBorders>
            <w:noWrap w:val="0"/>
            <w:vAlign w:val="center"/>
          </w:tcPr>
          <w:p w14:paraId="4CE0642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1.3</w:t>
            </w:r>
          </w:p>
        </w:tc>
      </w:tr>
      <w:tr w14:paraId="7C32E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5" w:type="dxa"/>
            <w:vMerge w:val="continue"/>
            <w:tcBorders>
              <w:tl2br w:val="nil"/>
              <w:tr2bl w:val="nil"/>
            </w:tcBorders>
            <w:noWrap w:val="0"/>
            <w:vAlign w:val="center"/>
          </w:tcPr>
          <w:p w14:paraId="7BA5EE9F">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6F022EDB">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2</w:t>
            </w:r>
          </w:p>
        </w:tc>
        <w:tc>
          <w:tcPr>
            <w:tcW w:w="800" w:type="dxa"/>
            <w:tcBorders>
              <w:tl2br w:val="nil"/>
              <w:tr2bl w:val="nil"/>
            </w:tcBorders>
            <w:noWrap w:val="0"/>
            <w:vAlign w:val="center"/>
          </w:tcPr>
          <w:p w14:paraId="32F3D99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0.083</w:t>
            </w:r>
          </w:p>
        </w:tc>
        <w:tc>
          <w:tcPr>
            <w:tcW w:w="800" w:type="dxa"/>
            <w:tcBorders>
              <w:tl2br w:val="nil"/>
              <w:tr2bl w:val="nil"/>
            </w:tcBorders>
            <w:noWrap w:val="0"/>
            <w:vAlign w:val="center"/>
          </w:tcPr>
          <w:p w14:paraId="610D12C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0.0017</w:t>
            </w:r>
          </w:p>
        </w:tc>
        <w:tc>
          <w:tcPr>
            <w:tcW w:w="800" w:type="dxa"/>
            <w:tcBorders>
              <w:tl2br w:val="nil"/>
              <w:tr2bl w:val="nil"/>
            </w:tcBorders>
            <w:noWrap w:val="0"/>
            <w:vAlign w:val="center"/>
          </w:tcPr>
          <w:p w14:paraId="7ECEDA2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2.1</w:t>
            </w:r>
          </w:p>
        </w:tc>
        <w:tc>
          <w:tcPr>
            <w:tcW w:w="800" w:type="dxa"/>
            <w:tcBorders>
              <w:tl2br w:val="nil"/>
              <w:tr2bl w:val="nil"/>
            </w:tcBorders>
            <w:noWrap w:val="0"/>
            <w:vAlign w:val="center"/>
          </w:tcPr>
          <w:p w14:paraId="4CEAB67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0.350</w:t>
            </w:r>
          </w:p>
        </w:tc>
        <w:tc>
          <w:tcPr>
            <w:tcW w:w="800" w:type="dxa"/>
            <w:tcBorders>
              <w:tl2br w:val="nil"/>
              <w:tr2bl w:val="nil"/>
            </w:tcBorders>
            <w:noWrap w:val="0"/>
            <w:vAlign w:val="center"/>
          </w:tcPr>
          <w:p w14:paraId="2171263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0.0072</w:t>
            </w:r>
          </w:p>
        </w:tc>
        <w:tc>
          <w:tcPr>
            <w:tcW w:w="800" w:type="dxa"/>
            <w:tcBorders>
              <w:tl2br w:val="nil"/>
              <w:tr2bl w:val="nil"/>
            </w:tcBorders>
            <w:noWrap w:val="0"/>
            <w:vAlign w:val="center"/>
          </w:tcPr>
          <w:p w14:paraId="50CFC4A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2.1</w:t>
            </w:r>
          </w:p>
        </w:tc>
        <w:tc>
          <w:tcPr>
            <w:tcW w:w="800" w:type="dxa"/>
            <w:tcBorders>
              <w:tl2br w:val="nil"/>
              <w:tr2bl w:val="nil"/>
            </w:tcBorders>
            <w:noWrap w:val="0"/>
            <w:vAlign w:val="center"/>
          </w:tcPr>
          <w:p w14:paraId="426D42E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0.664</w:t>
            </w:r>
          </w:p>
        </w:tc>
        <w:tc>
          <w:tcPr>
            <w:tcW w:w="800" w:type="dxa"/>
            <w:tcBorders>
              <w:tl2br w:val="nil"/>
              <w:tr2bl w:val="nil"/>
            </w:tcBorders>
            <w:noWrap w:val="0"/>
            <w:vAlign w:val="center"/>
          </w:tcPr>
          <w:p w14:paraId="27D995F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0.0060</w:t>
            </w:r>
          </w:p>
        </w:tc>
        <w:tc>
          <w:tcPr>
            <w:tcW w:w="800" w:type="dxa"/>
            <w:tcBorders>
              <w:tl2br w:val="nil"/>
              <w:tr2bl w:val="nil"/>
            </w:tcBorders>
            <w:noWrap w:val="0"/>
            <w:vAlign w:val="center"/>
          </w:tcPr>
          <w:p w14:paraId="3E6F164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0.9</w:t>
            </w:r>
          </w:p>
        </w:tc>
      </w:tr>
      <w:tr w14:paraId="1529D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5" w:type="dxa"/>
            <w:vMerge w:val="continue"/>
            <w:tcBorders>
              <w:tl2br w:val="nil"/>
              <w:tr2bl w:val="nil"/>
            </w:tcBorders>
            <w:noWrap w:val="0"/>
            <w:vAlign w:val="center"/>
          </w:tcPr>
          <w:p w14:paraId="6011CF59">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7B7BCFB5">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3</w:t>
            </w:r>
          </w:p>
        </w:tc>
        <w:tc>
          <w:tcPr>
            <w:tcW w:w="800" w:type="dxa"/>
            <w:tcBorders>
              <w:tl2br w:val="nil"/>
              <w:tr2bl w:val="nil"/>
            </w:tcBorders>
            <w:noWrap w:val="0"/>
            <w:vAlign w:val="center"/>
          </w:tcPr>
          <w:p w14:paraId="58006A2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0.074</w:t>
            </w:r>
          </w:p>
        </w:tc>
        <w:tc>
          <w:tcPr>
            <w:tcW w:w="800" w:type="dxa"/>
            <w:tcBorders>
              <w:tl2br w:val="nil"/>
              <w:tr2bl w:val="nil"/>
            </w:tcBorders>
            <w:noWrap w:val="0"/>
            <w:vAlign w:val="center"/>
          </w:tcPr>
          <w:p w14:paraId="410E0E0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0.0025</w:t>
            </w:r>
          </w:p>
        </w:tc>
        <w:tc>
          <w:tcPr>
            <w:tcW w:w="800" w:type="dxa"/>
            <w:tcBorders>
              <w:tl2br w:val="nil"/>
              <w:tr2bl w:val="nil"/>
            </w:tcBorders>
            <w:noWrap w:val="0"/>
            <w:vAlign w:val="center"/>
          </w:tcPr>
          <w:p w14:paraId="4B147A7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3.4</w:t>
            </w:r>
          </w:p>
        </w:tc>
        <w:tc>
          <w:tcPr>
            <w:tcW w:w="800" w:type="dxa"/>
            <w:tcBorders>
              <w:tl2br w:val="nil"/>
              <w:tr2bl w:val="nil"/>
            </w:tcBorders>
            <w:noWrap w:val="0"/>
            <w:vAlign w:val="center"/>
          </w:tcPr>
          <w:p w14:paraId="4301C25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0.336</w:t>
            </w:r>
          </w:p>
        </w:tc>
        <w:tc>
          <w:tcPr>
            <w:tcW w:w="800" w:type="dxa"/>
            <w:tcBorders>
              <w:tl2br w:val="nil"/>
              <w:tr2bl w:val="nil"/>
            </w:tcBorders>
            <w:noWrap w:val="0"/>
            <w:vAlign w:val="center"/>
          </w:tcPr>
          <w:p w14:paraId="3D0ECF3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0.0111</w:t>
            </w:r>
          </w:p>
        </w:tc>
        <w:tc>
          <w:tcPr>
            <w:tcW w:w="800" w:type="dxa"/>
            <w:tcBorders>
              <w:tl2br w:val="nil"/>
              <w:tr2bl w:val="nil"/>
            </w:tcBorders>
            <w:noWrap w:val="0"/>
            <w:vAlign w:val="center"/>
          </w:tcPr>
          <w:p w14:paraId="10C8AC5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3.3</w:t>
            </w:r>
          </w:p>
        </w:tc>
        <w:tc>
          <w:tcPr>
            <w:tcW w:w="800" w:type="dxa"/>
            <w:tcBorders>
              <w:tl2br w:val="nil"/>
              <w:tr2bl w:val="nil"/>
            </w:tcBorders>
            <w:noWrap w:val="0"/>
            <w:vAlign w:val="center"/>
          </w:tcPr>
          <w:p w14:paraId="625458D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0.704</w:t>
            </w:r>
          </w:p>
        </w:tc>
        <w:tc>
          <w:tcPr>
            <w:tcW w:w="800" w:type="dxa"/>
            <w:tcBorders>
              <w:tl2br w:val="nil"/>
              <w:tr2bl w:val="nil"/>
            </w:tcBorders>
            <w:noWrap w:val="0"/>
            <w:vAlign w:val="center"/>
          </w:tcPr>
          <w:p w14:paraId="30AD48B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0.0191</w:t>
            </w:r>
          </w:p>
        </w:tc>
        <w:tc>
          <w:tcPr>
            <w:tcW w:w="800" w:type="dxa"/>
            <w:tcBorders>
              <w:tl2br w:val="nil"/>
              <w:tr2bl w:val="nil"/>
            </w:tcBorders>
            <w:noWrap w:val="0"/>
            <w:vAlign w:val="center"/>
          </w:tcPr>
          <w:p w14:paraId="492C61F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2.7</w:t>
            </w:r>
          </w:p>
        </w:tc>
      </w:tr>
      <w:tr w14:paraId="002F9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5" w:type="dxa"/>
            <w:vMerge w:val="continue"/>
            <w:tcBorders>
              <w:tl2br w:val="nil"/>
              <w:tr2bl w:val="nil"/>
            </w:tcBorders>
            <w:noWrap w:val="0"/>
            <w:vAlign w:val="center"/>
          </w:tcPr>
          <w:p w14:paraId="0549BA68">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6A2DECE8">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w:t>
            </w:r>
          </w:p>
        </w:tc>
        <w:tc>
          <w:tcPr>
            <w:tcW w:w="800" w:type="dxa"/>
            <w:tcBorders>
              <w:tl2br w:val="nil"/>
              <w:tr2bl w:val="nil"/>
            </w:tcBorders>
            <w:noWrap w:val="0"/>
            <w:vAlign w:val="center"/>
          </w:tcPr>
          <w:p w14:paraId="1F4286D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0.077</w:t>
            </w:r>
          </w:p>
        </w:tc>
        <w:tc>
          <w:tcPr>
            <w:tcW w:w="800" w:type="dxa"/>
            <w:tcBorders>
              <w:tl2br w:val="nil"/>
              <w:tr2bl w:val="nil"/>
            </w:tcBorders>
            <w:noWrap w:val="0"/>
            <w:vAlign w:val="center"/>
          </w:tcPr>
          <w:p w14:paraId="3411D4F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0.0030</w:t>
            </w:r>
          </w:p>
        </w:tc>
        <w:tc>
          <w:tcPr>
            <w:tcW w:w="800" w:type="dxa"/>
            <w:tcBorders>
              <w:tl2br w:val="nil"/>
              <w:tr2bl w:val="nil"/>
            </w:tcBorders>
            <w:noWrap w:val="0"/>
            <w:vAlign w:val="center"/>
          </w:tcPr>
          <w:p w14:paraId="77617AE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3.9</w:t>
            </w:r>
          </w:p>
        </w:tc>
        <w:tc>
          <w:tcPr>
            <w:tcW w:w="800" w:type="dxa"/>
            <w:tcBorders>
              <w:tl2br w:val="nil"/>
              <w:tr2bl w:val="nil"/>
            </w:tcBorders>
            <w:noWrap w:val="0"/>
            <w:vAlign w:val="center"/>
          </w:tcPr>
          <w:p w14:paraId="24AA8B7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0.319</w:t>
            </w:r>
          </w:p>
        </w:tc>
        <w:tc>
          <w:tcPr>
            <w:tcW w:w="800" w:type="dxa"/>
            <w:tcBorders>
              <w:tl2br w:val="nil"/>
              <w:tr2bl w:val="nil"/>
            </w:tcBorders>
            <w:noWrap w:val="0"/>
            <w:vAlign w:val="center"/>
          </w:tcPr>
          <w:p w14:paraId="42323FA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0.0081</w:t>
            </w:r>
          </w:p>
        </w:tc>
        <w:tc>
          <w:tcPr>
            <w:tcW w:w="800" w:type="dxa"/>
            <w:tcBorders>
              <w:tl2br w:val="nil"/>
              <w:tr2bl w:val="nil"/>
            </w:tcBorders>
            <w:noWrap w:val="0"/>
            <w:vAlign w:val="center"/>
          </w:tcPr>
          <w:p w14:paraId="0A6F48D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2.5</w:t>
            </w:r>
          </w:p>
        </w:tc>
        <w:tc>
          <w:tcPr>
            <w:tcW w:w="800" w:type="dxa"/>
            <w:tcBorders>
              <w:tl2br w:val="nil"/>
              <w:tr2bl w:val="nil"/>
            </w:tcBorders>
            <w:noWrap w:val="0"/>
            <w:vAlign w:val="center"/>
          </w:tcPr>
          <w:p w14:paraId="6D0E9EF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0.666</w:t>
            </w:r>
          </w:p>
        </w:tc>
        <w:tc>
          <w:tcPr>
            <w:tcW w:w="800" w:type="dxa"/>
            <w:tcBorders>
              <w:tl2br w:val="nil"/>
              <w:tr2bl w:val="nil"/>
            </w:tcBorders>
            <w:noWrap w:val="0"/>
            <w:vAlign w:val="center"/>
          </w:tcPr>
          <w:p w14:paraId="09CAF2B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0.0140</w:t>
            </w:r>
          </w:p>
        </w:tc>
        <w:tc>
          <w:tcPr>
            <w:tcW w:w="800" w:type="dxa"/>
            <w:tcBorders>
              <w:tl2br w:val="nil"/>
              <w:tr2bl w:val="nil"/>
            </w:tcBorders>
            <w:noWrap w:val="0"/>
            <w:vAlign w:val="center"/>
          </w:tcPr>
          <w:p w14:paraId="1F20977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2.1</w:t>
            </w:r>
          </w:p>
        </w:tc>
      </w:tr>
      <w:tr w14:paraId="1E613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tcBorders>
              <w:tl2br w:val="nil"/>
              <w:tr2bl w:val="nil"/>
            </w:tcBorders>
            <w:noWrap w:val="0"/>
            <w:vAlign w:val="center"/>
          </w:tcPr>
          <w:p w14:paraId="45007BD9">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3E916CB5">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5</w:t>
            </w:r>
          </w:p>
        </w:tc>
        <w:tc>
          <w:tcPr>
            <w:tcW w:w="800" w:type="dxa"/>
            <w:tcBorders>
              <w:tl2br w:val="nil"/>
              <w:tr2bl w:val="nil"/>
            </w:tcBorders>
            <w:noWrap w:val="0"/>
            <w:vAlign w:val="center"/>
          </w:tcPr>
          <w:p w14:paraId="46B058E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0.094</w:t>
            </w:r>
          </w:p>
        </w:tc>
        <w:tc>
          <w:tcPr>
            <w:tcW w:w="800" w:type="dxa"/>
            <w:tcBorders>
              <w:tl2br w:val="nil"/>
              <w:tr2bl w:val="nil"/>
            </w:tcBorders>
            <w:noWrap w:val="0"/>
            <w:vAlign w:val="center"/>
          </w:tcPr>
          <w:p w14:paraId="3474018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0.0019</w:t>
            </w:r>
          </w:p>
        </w:tc>
        <w:tc>
          <w:tcPr>
            <w:tcW w:w="800" w:type="dxa"/>
            <w:tcBorders>
              <w:tl2br w:val="nil"/>
              <w:tr2bl w:val="nil"/>
            </w:tcBorders>
            <w:noWrap w:val="0"/>
            <w:vAlign w:val="center"/>
          </w:tcPr>
          <w:p w14:paraId="3402773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2.0</w:t>
            </w:r>
          </w:p>
        </w:tc>
        <w:tc>
          <w:tcPr>
            <w:tcW w:w="800" w:type="dxa"/>
            <w:tcBorders>
              <w:tl2br w:val="nil"/>
              <w:tr2bl w:val="nil"/>
            </w:tcBorders>
            <w:noWrap w:val="0"/>
            <w:vAlign w:val="center"/>
          </w:tcPr>
          <w:p w14:paraId="552644C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0.396</w:t>
            </w:r>
          </w:p>
        </w:tc>
        <w:tc>
          <w:tcPr>
            <w:tcW w:w="800" w:type="dxa"/>
            <w:tcBorders>
              <w:tl2br w:val="nil"/>
              <w:tr2bl w:val="nil"/>
            </w:tcBorders>
            <w:noWrap w:val="0"/>
            <w:vAlign w:val="center"/>
          </w:tcPr>
          <w:p w14:paraId="35014C0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0.0054</w:t>
            </w:r>
          </w:p>
        </w:tc>
        <w:tc>
          <w:tcPr>
            <w:tcW w:w="800" w:type="dxa"/>
            <w:tcBorders>
              <w:tl2br w:val="nil"/>
              <w:tr2bl w:val="nil"/>
            </w:tcBorders>
            <w:noWrap w:val="0"/>
            <w:vAlign w:val="center"/>
          </w:tcPr>
          <w:p w14:paraId="74923D3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1.4</w:t>
            </w:r>
          </w:p>
        </w:tc>
        <w:tc>
          <w:tcPr>
            <w:tcW w:w="800" w:type="dxa"/>
            <w:tcBorders>
              <w:tl2br w:val="nil"/>
              <w:tr2bl w:val="nil"/>
            </w:tcBorders>
            <w:noWrap w:val="0"/>
            <w:vAlign w:val="center"/>
          </w:tcPr>
          <w:p w14:paraId="7E32746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0.735</w:t>
            </w:r>
          </w:p>
        </w:tc>
        <w:tc>
          <w:tcPr>
            <w:tcW w:w="800" w:type="dxa"/>
            <w:tcBorders>
              <w:tl2br w:val="nil"/>
              <w:tr2bl w:val="nil"/>
            </w:tcBorders>
            <w:noWrap w:val="0"/>
            <w:vAlign w:val="center"/>
          </w:tcPr>
          <w:p w14:paraId="6AE466A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0.0235</w:t>
            </w:r>
          </w:p>
        </w:tc>
        <w:tc>
          <w:tcPr>
            <w:tcW w:w="800" w:type="dxa"/>
            <w:tcBorders>
              <w:tl2br w:val="nil"/>
              <w:tr2bl w:val="nil"/>
            </w:tcBorders>
            <w:noWrap w:val="0"/>
            <w:vAlign w:val="center"/>
          </w:tcPr>
          <w:p w14:paraId="67B54C2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3.2</w:t>
            </w:r>
          </w:p>
        </w:tc>
      </w:tr>
      <w:tr w14:paraId="7213E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11EC4FF2">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2A5F43F2">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6</w:t>
            </w:r>
          </w:p>
        </w:tc>
        <w:tc>
          <w:tcPr>
            <w:tcW w:w="800" w:type="dxa"/>
            <w:tcBorders>
              <w:tl2br w:val="nil"/>
              <w:tr2bl w:val="nil"/>
            </w:tcBorders>
            <w:noWrap w:val="0"/>
            <w:vAlign w:val="center"/>
          </w:tcPr>
          <w:p w14:paraId="7D0B4A7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0.093</w:t>
            </w:r>
          </w:p>
        </w:tc>
        <w:tc>
          <w:tcPr>
            <w:tcW w:w="800" w:type="dxa"/>
            <w:tcBorders>
              <w:tl2br w:val="nil"/>
              <w:tr2bl w:val="nil"/>
            </w:tcBorders>
            <w:noWrap w:val="0"/>
            <w:vAlign w:val="center"/>
          </w:tcPr>
          <w:p w14:paraId="2CFAB76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0.0055</w:t>
            </w:r>
          </w:p>
        </w:tc>
        <w:tc>
          <w:tcPr>
            <w:tcW w:w="800" w:type="dxa"/>
            <w:tcBorders>
              <w:tl2br w:val="nil"/>
              <w:tr2bl w:val="nil"/>
            </w:tcBorders>
            <w:noWrap w:val="0"/>
            <w:vAlign w:val="center"/>
          </w:tcPr>
          <w:p w14:paraId="42CC337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6.0</w:t>
            </w:r>
          </w:p>
        </w:tc>
        <w:tc>
          <w:tcPr>
            <w:tcW w:w="800" w:type="dxa"/>
            <w:tcBorders>
              <w:tl2br w:val="nil"/>
              <w:tr2bl w:val="nil"/>
            </w:tcBorders>
            <w:noWrap w:val="0"/>
            <w:vAlign w:val="center"/>
          </w:tcPr>
          <w:p w14:paraId="1089C9D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0.453</w:t>
            </w:r>
          </w:p>
        </w:tc>
        <w:tc>
          <w:tcPr>
            <w:tcW w:w="800" w:type="dxa"/>
            <w:tcBorders>
              <w:tl2br w:val="nil"/>
              <w:tr2bl w:val="nil"/>
            </w:tcBorders>
            <w:noWrap w:val="0"/>
            <w:vAlign w:val="center"/>
          </w:tcPr>
          <w:p w14:paraId="268ECB9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0.0105</w:t>
            </w:r>
          </w:p>
        </w:tc>
        <w:tc>
          <w:tcPr>
            <w:tcW w:w="800" w:type="dxa"/>
            <w:tcBorders>
              <w:tl2br w:val="nil"/>
              <w:tr2bl w:val="nil"/>
            </w:tcBorders>
            <w:noWrap w:val="0"/>
            <w:vAlign w:val="center"/>
          </w:tcPr>
          <w:p w14:paraId="017BB74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2.3</w:t>
            </w:r>
          </w:p>
        </w:tc>
        <w:tc>
          <w:tcPr>
            <w:tcW w:w="800" w:type="dxa"/>
            <w:tcBorders>
              <w:tl2br w:val="nil"/>
              <w:tr2bl w:val="nil"/>
            </w:tcBorders>
            <w:noWrap w:val="0"/>
            <w:vAlign w:val="center"/>
          </w:tcPr>
          <w:p w14:paraId="318B815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0.794</w:t>
            </w:r>
          </w:p>
        </w:tc>
        <w:tc>
          <w:tcPr>
            <w:tcW w:w="800" w:type="dxa"/>
            <w:tcBorders>
              <w:tl2br w:val="nil"/>
              <w:tr2bl w:val="nil"/>
            </w:tcBorders>
            <w:noWrap w:val="0"/>
            <w:vAlign w:val="center"/>
          </w:tcPr>
          <w:p w14:paraId="027CA7E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0.0232</w:t>
            </w:r>
          </w:p>
        </w:tc>
        <w:tc>
          <w:tcPr>
            <w:tcW w:w="800" w:type="dxa"/>
            <w:tcBorders>
              <w:tl2br w:val="nil"/>
              <w:tr2bl w:val="nil"/>
            </w:tcBorders>
            <w:noWrap w:val="0"/>
            <w:vAlign w:val="center"/>
          </w:tcPr>
          <w:p w14:paraId="6635873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2.9</w:t>
            </w:r>
          </w:p>
        </w:tc>
      </w:tr>
      <w:tr w14:paraId="1EA02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3037F63D">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position w:val="-6"/>
                <w:sz w:val="18"/>
                <w:szCs w:val="18"/>
                <w:highlight w:val="none"/>
              </w:rPr>
              <w:drawing>
                <wp:inline distT="0" distB="0" distL="114300" distR="114300">
                  <wp:extent cx="120650" cy="228600"/>
                  <wp:effectExtent l="0" t="0" r="0" b="0"/>
                  <wp:docPr id="6"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8"/>
                          <pic:cNvPicPr>
                            <a:picLocks noChangeAspect="1"/>
                          </pic:cNvPicPr>
                        </pic:nvPicPr>
                        <pic:blipFill>
                          <a:blip r:embed="rId257"/>
                          <a:stretch>
                            <a:fillRect/>
                          </a:stretch>
                        </pic:blipFill>
                        <pic:spPr>
                          <a:xfrm>
                            <a:off x="0" y="0"/>
                            <a:ext cx="120650" cy="228600"/>
                          </a:xfrm>
                          <a:prstGeom prst="rect">
                            <a:avLst/>
                          </a:prstGeom>
                          <a:noFill/>
                          <a:ln>
                            <a:noFill/>
                          </a:ln>
                        </pic:spPr>
                      </pic:pic>
                    </a:graphicData>
                  </a:graphic>
                </wp:inline>
              </w:drawing>
            </w:r>
          </w:p>
        </w:tc>
        <w:tc>
          <w:tcPr>
            <w:tcW w:w="2400" w:type="dxa"/>
            <w:gridSpan w:val="3"/>
            <w:tcBorders>
              <w:tl2br w:val="nil"/>
              <w:tr2bl w:val="nil"/>
            </w:tcBorders>
            <w:noWrap w:val="0"/>
            <w:vAlign w:val="center"/>
          </w:tcPr>
          <w:p w14:paraId="07FA7F7E">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0.084</w:t>
            </w:r>
          </w:p>
        </w:tc>
        <w:tc>
          <w:tcPr>
            <w:tcW w:w="2400" w:type="dxa"/>
            <w:gridSpan w:val="3"/>
            <w:tcBorders>
              <w:tl2br w:val="nil"/>
              <w:tr2bl w:val="nil"/>
            </w:tcBorders>
            <w:noWrap w:val="0"/>
            <w:vAlign w:val="center"/>
          </w:tcPr>
          <w:p w14:paraId="0F7570E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0.370</w:t>
            </w:r>
          </w:p>
        </w:tc>
        <w:tc>
          <w:tcPr>
            <w:tcW w:w="2400" w:type="dxa"/>
            <w:gridSpan w:val="3"/>
            <w:tcBorders>
              <w:tl2br w:val="nil"/>
              <w:tr2bl w:val="nil"/>
            </w:tcBorders>
            <w:noWrap w:val="0"/>
            <w:vAlign w:val="center"/>
          </w:tcPr>
          <w:p w14:paraId="107DBF6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0.712</w:t>
            </w:r>
          </w:p>
        </w:tc>
      </w:tr>
      <w:tr w14:paraId="60BFF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64CA981F">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p>
        </w:tc>
        <w:tc>
          <w:tcPr>
            <w:tcW w:w="2400" w:type="dxa"/>
            <w:gridSpan w:val="3"/>
            <w:tcBorders>
              <w:tl2br w:val="nil"/>
              <w:tr2bl w:val="nil"/>
            </w:tcBorders>
            <w:noWrap w:val="0"/>
            <w:vAlign w:val="center"/>
          </w:tcPr>
          <w:p w14:paraId="12FE46A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0.0082</w:t>
            </w:r>
          </w:p>
        </w:tc>
        <w:tc>
          <w:tcPr>
            <w:tcW w:w="2400" w:type="dxa"/>
            <w:gridSpan w:val="3"/>
            <w:tcBorders>
              <w:tl2br w:val="nil"/>
              <w:tr2bl w:val="nil"/>
            </w:tcBorders>
            <w:noWrap w:val="0"/>
            <w:vAlign w:val="center"/>
          </w:tcPr>
          <w:p w14:paraId="474D4D4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0.048</w:t>
            </w:r>
          </w:p>
        </w:tc>
        <w:tc>
          <w:tcPr>
            <w:tcW w:w="2400" w:type="dxa"/>
            <w:gridSpan w:val="3"/>
            <w:tcBorders>
              <w:tl2br w:val="nil"/>
              <w:tr2bl w:val="nil"/>
            </w:tcBorders>
            <w:noWrap w:val="0"/>
            <w:vAlign w:val="center"/>
          </w:tcPr>
          <w:p w14:paraId="34F1662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0.048</w:t>
            </w:r>
          </w:p>
        </w:tc>
      </w:tr>
      <w:tr w14:paraId="1C707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11355098">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i/>
                <w:color w:val="000000"/>
                <w:sz w:val="18"/>
                <w:szCs w:val="18"/>
                <w:highlight w:val="none"/>
              </w:rPr>
              <w:t>´</w:t>
            </w:r>
            <w:r>
              <w:rPr>
                <w:rFonts w:hint="default" w:ascii="Times New Roman" w:hAnsi="Times New Roman" w:cs="Times New Roman"/>
                <w:color w:val="000000"/>
                <w:sz w:val="18"/>
                <w:szCs w:val="18"/>
                <w:highlight w:val="none"/>
              </w:rPr>
              <w:t>（%）</w:t>
            </w:r>
          </w:p>
        </w:tc>
        <w:tc>
          <w:tcPr>
            <w:tcW w:w="2400" w:type="dxa"/>
            <w:gridSpan w:val="3"/>
            <w:tcBorders>
              <w:tl2br w:val="nil"/>
              <w:tr2bl w:val="nil"/>
            </w:tcBorders>
            <w:noWrap w:val="0"/>
            <w:vAlign w:val="center"/>
          </w:tcPr>
          <w:p w14:paraId="6978416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9.8</w:t>
            </w:r>
          </w:p>
        </w:tc>
        <w:tc>
          <w:tcPr>
            <w:tcW w:w="2400" w:type="dxa"/>
            <w:gridSpan w:val="3"/>
            <w:tcBorders>
              <w:tl2br w:val="nil"/>
              <w:tr2bl w:val="nil"/>
            </w:tcBorders>
            <w:noWrap w:val="0"/>
            <w:vAlign w:val="center"/>
          </w:tcPr>
          <w:p w14:paraId="78209B0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13.1</w:t>
            </w:r>
          </w:p>
        </w:tc>
        <w:tc>
          <w:tcPr>
            <w:tcW w:w="2400" w:type="dxa"/>
            <w:gridSpan w:val="3"/>
            <w:tcBorders>
              <w:tl2br w:val="nil"/>
              <w:tr2bl w:val="nil"/>
            </w:tcBorders>
            <w:noWrap w:val="0"/>
            <w:vAlign w:val="center"/>
          </w:tcPr>
          <w:p w14:paraId="36E0AD0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6.8</w:t>
            </w:r>
          </w:p>
        </w:tc>
      </w:tr>
      <w:tr w14:paraId="2593F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1842FC8D">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重复性限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49BF657B">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0.0091</w:t>
            </w:r>
          </w:p>
        </w:tc>
        <w:tc>
          <w:tcPr>
            <w:tcW w:w="2400" w:type="dxa"/>
            <w:gridSpan w:val="3"/>
            <w:tcBorders>
              <w:tl2br w:val="nil"/>
              <w:tr2bl w:val="nil"/>
            </w:tcBorders>
            <w:noWrap w:val="0"/>
            <w:vAlign w:val="center"/>
          </w:tcPr>
          <w:p w14:paraId="775B339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0.025</w:t>
            </w:r>
          </w:p>
        </w:tc>
        <w:tc>
          <w:tcPr>
            <w:tcW w:w="2400" w:type="dxa"/>
            <w:gridSpan w:val="3"/>
            <w:tcBorders>
              <w:tl2br w:val="nil"/>
              <w:tr2bl w:val="nil"/>
            </w:tcBorders>
            <w:noWrap w:val="0"/>
            <w:vAlign w:val="center"/>
          </w:tcPr>
          <w:p w14:paraId="2728911B">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0.048</w:t>
            </w:r>
          </w:p>
        </w:tc>
      </w:tr>
      <w:tr w14:paraId="20D77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23950CE6">
            <w:pPr>
              <w:pStyle w:val="23"/>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再现性限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7998967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0.024</w:t>
            </w:r>
          </w:p>
        </w:tc>
        <w:tc>
          <w:tcPr>
            <w:tcW w:w="2400" w:type="dxa"/>
            <w:gridSpan w:val="3"/>
            <w:tcBorders>
              <w:tl2br w:val="nil"/>
              <w:tr2bl w:val="nil"/>
            </w:tcBorders>
            <w:noWrap w:val="0"/>
            <w:vAlign w:val="center"/>
          </w:tcPr>
          <w:p w14:paraId="5C1E2CE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0.14</w:t>
            </w:r>
          </w:p>
        </w:tc>
        <w:tc>
          <w:tcPr>
            <w:tcW w:w="2400" w:type="dxa"/>
            <w:gridSpan w:val="3"/>
            <w:tcBorders>
              <w:tl2br w:val="nil"/>
              <w:tr2bl w:val="nil"/>
            </w:tcBorders>
            <w:noWrap w:val="0"/>
            <w:vAlign w:val="center"/>
          </w:tcPr>
          <w:p w14:paraId="4EF7795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0.14</w:t>
            </w:r>
          </w:p>
        </w:tc>
      </w:tr>
      <w:tr w14:paraId="2EF6A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restart"/>
            <w:tcBorders>
              <w:tl2br w:val="nil"/>
              <w:tr2bl w:val="nil"/>
            </w:tcBorders>
            <w:noWrap w:val="0"/>
            <w:vAlign w:val="center"/>
          </w:tcPr>
          <w:p w14:paraId="03475ABA">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615" w:type="dxa"/>
            <w:tcBorders>
              <w:tl2br w:val="nil"/>
              <w:tr2bl w:val="nil"/>
            </w:tcBorders>
            <w:noWrap w:val="0"/>
            <w:vAlign w:val="center"/>
          </w:tcPr>
          <w:p w14:paraId="5279ADCF">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1</w:t>
            </w:r>
          </w:p>
        </w:tc>
        <w:tc>
          <w:tcPr>
            <w:tcW w:w="800" w:type="dxa"/>
            <w:tcBorders>
              <w:tl2br w:val="nil"/>
              <w:tr2bl w:val="nil"/>
            </w:tcBorders>
            <w:noWrap w:val="0"/>
            <w:vAlign w:val="center"/>
          </w:tcPr>
          <w:p w14:paraId="5478F0A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0.078</w:t>
            </w:r>
          </w:p>
        </w:tc>
        <w:tc>
          <w:tcPr>
            <w:tcW w:w="800" w:type="dxa"/>
            <w:tcBorders>
              <w:tl2br w:val="nil"/>
              <w:tr2bl w:val="nil"/>
            </w:tcBorders>
            <w:noWrap w:val="0"/>
            <w:vAlign w:val="center"/>
          </w:tcPr>
          <w:p w14:paraId="0163B59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0.0030</w:t>
            </w:r>
          </w:p>
        </w:tc>
        <w:tc>
          <w:tcPr>
            <w:tcW w:w="800" w:type="dxa"/>
            <w:tcBorders>
              <w:tl2br w:val="nil"/>
              <w:tr2bl w:val="nil"/>
            </w:tcBorders>
            <w:noWrap w:val="0"/>
            <w:vAlign w:val="center"/>
          </w:tcPr>
          <w:p w14:paraId="63EB2D3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3.8</w:t>
            </w:r>
          </w:p>
        </w:tc>
        <w:tc>
          <w:tcPr>
            <w:tcW w:w="800" w:type="dxa"/>
            <w:tcBorders>
              <w:tl2br w:val="nil"/>
              <w:tr2bl w:val="nil"/>
            </w:tcBorders>
            <w:noWrap w:val="0"/>
            <w:vAlign w:val="center"/>
          </w:tcPr>
          <w:p w14:paraId="0B17411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0.366</w:t>
            </w:r>
          </w:p>
        </w:tc>
        <w:tc>
          <w:tcPr>
            <w:tcW w:w="800" w:type="dxa"/>
            <w:tcBorders>
              <w:tl2br w:val="nil"/>
              <w:tr2bl w:val="nil"/>
            </w:tcBorders>
            <w:noWrap w:val="0"/>
            <w:vAlign w:val="center"/>
          </w:tcPr>
          <w:p w14:paraId="77E2161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0.0041</w:t>
            </w:r>
          </w:p>
        </w:tc>
        <w:tc>
          <w:tcPr>
            <w:tcW w:w="800" w:type="dxa"/>
            <w:tcBorders>
              <w:tl2br w:val="nil"/>
              <w:tr2bl w:val="nil"/>
            </w:tcBorders>
            <w:noWrap w:val="0"/>
            <w:vAlign w:val="center"/>
          </w:tcPr>
          <w:p w14:paraId="486C0F7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1.1</w:t>
            </w:r>
          </w:p>
        </w:tc>
        <w:tc>
          <w:tcPr>
            <w:tcW w:w="800" w:type="dxa"/>
            <w:tcBorders>
              <w:tl2br w:val="nil"/>
              <w:tr2bl w:val="nil"/>
            </w:tcBorders>
            <w:noWrap w:val="0"/>
            <w:vAlign w:val="center"/>
          </w:tcPr>
          <w:p w14:paraId="0B89AC5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0.672</w:t>
            </w:r>
          </w:p>
        </w:tc>
        <w:tc>
          <w:tcPr>
            <w:tcW w:w="800" w:type="dxa"/>
            <w:tcBorders>
              <w:tl2br w:val="nil"/>
              <w:tr2bl w:val="nil"/>
            </w:tcBorders>
            <w:noWrap w:val="0"/>
            <w:vAlign w:val="center"/>
          </w:tcPr>
          <w:p w14:paraId="6B1B270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0.0154</w:t>
            </w:r>
          </w:p>
        </w:tc>
        <w:tc>
          <w:tcPr>
            <w:tcW w:w="800" w:type="dxa"/>
            <w:tcBorders>
              <w:tl2br w:val="nil"/>
              <w:tr2bl w:val="nil"/>
            </w:tcBorders>
            <w:noWrap w:val="0"/>
            <w:vAlign w:val="center"/>
          </w:tcPr>
          <w:p w14:paraId="77E2560B">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2.3</w:t>
            </w:r>
          </w:p>
        </w:tc>
      </w:tr>
      <w:tr w14:paraId="2AAEA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5AD90BBB">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5B7954AC">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2</w:t>
            </w:r>
          </w:p>
        </w:tc>
        <w:tc>
          <w:tcPr>
            <w:tcW w:w="800" w:type="dxa"/>
            <w:tcBorders>
              <w:tl2br w:val="nil"/>
              <w:tr2bl w:val="nil"/>
            </w:tcBorders>
            <w:noWrap w:val="0"/>
            <w:vAlign w:val="center"/>
          </w:tcPr>
          <w:p w14:paraId="6255D41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0.083</w:t>
            </w:r>
          </w:p>
        </w:tc>
        <w:tc>
          <w:tcPr>
            <w:tcW w:w="800" w:type="dxa"/>
            <w:tcBorders>
              <w:tl2br w:val="nil"/>
              <w:tr2bl w:val="nil"/>
            </w:tcBorders>
            <w:noWrap w:val="0"/>
            <w:vAlign w:val="center"/>
          </w:tcPr>
          <w:p w14:paraId="318A45A2">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0.0018</w:t>
            </w:r>
          </w:p>
        </w:tc>
        <w:tc>
          <w:tcPr>
            <w:tcW w:w="800" w:type="dxa"/>
            <w:tcBorders>
              <w:tl2br w:val="nil"/>
              <w:tr2bl w:val="nil"/>
            </w:tcBorders>
            <w:noWrap w:val="0"/>
            <w:vAlign w:val="center"/>
          </w:tcPr>
          <w:p w14:paraId="4DBA59A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2.2</w:t>
            </w:r>
          </w:p>
        </w:tc>
        <w:tc>
          <w:tcPr>
            <w:tcW w:w="800" w:type="dxa"/>
            <w:tcBorders>
              <w:tl2br w:val="nil"/>
              <w:tr2bl w:val="nil"/>
            </w:tcBorders>
            <w:noWrap w:val="0"/>
            <w:vAlign w:val="center"/>
          </w:tcPr>
          <w:p w14:paraId="5DD1820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0.373</w:t>
            </w:r>
          </w:p>
        </w:tc>
        <w:tc>
          <w:tcPr>
            <w:tcW w:w="800" w:type="dxa"/>
            <w:tcBorders>
              <w:tl2br w:val="nil"/>
              <w:tr2bl w:val="nil"/>
            </w:tcBorders>
            <w:noWrap w:val="0"/>
            <w:vAlign w:val="center"/>
          </w:tcPr>
          <w:p w14:paraId="13B58B4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0.0032</w:t>
            </w:r>
          </w:p>
        </w:tc>
        <w:tc>
          <w:tcPr>
            <w:tcW w:w="800" w:type="dxa"/>
            <w:tcBorders>
              <w:tl2br w:val="nil"/>
              <w:tr2bl w:val="nil"/>
            </w:tcBorders>
            <w:noWrap w:val="0"/>
            <w:vAlign w:val="center"/>
          </w:tcPr>
          <w:p w14:paraId="136964D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0.9</w:t>
            </w:r>
          </w:p>
        </w:tc>
        <w:tc>
          <w:tcPr>
            <w:tcW w:w="800" w:type="dxa"/>
            <w:tcBorders>
              <w:tl2br w:val="nil"/>
              <w:tr2bl w:val="nil"/>
            </w:tcBorders>
            <w:noWrap w:val="0"/>
            <w:vAlign w:val="center"/>
          </w:tcPr>
          <w:p w14:paraId="08F7B0C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0.678</w:t>
            </w:r>
          </w:p>
        </w:tc>
        <w:tc>
          <w:tcPr>
            <w:tcW w:w="800" w:type="dxa"/>
            <w:tcBorders>
              <w:tl2br w:val="nil"/>
              <w:tr2bl w:val="nil"/>
            </w:tcBorders>
            <w:noWrap w:val="0"/>
            <w:vAlign w:val="center"/>
          </w:tcPr>
          <w:p w14:paraId="38B6311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0.0113</w:t>
            </w:r>
          </w:p>
        </w:tc>
        <w:tc>
          <w:tcPr>
            <w:tcW w:w="800" w:type="dxa"/>
            <w:tcBorders>
              <w:tl2br w:val="nil"/>
              <w:tr2bl w:val="nil"/>
            </w:tcBorders>
            <w:noWrap w:val="0"/>
            <w:vAlign w:val="center"/>
          </w:tcPr>
          <w:p w14:paraId="7679DE6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1.7</w:t>
            </w:r>
          </w:p>
        </w:tc>
      </w:tr>
      <w:tr w14:paraId="6AB21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7385DA5D">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2444E249">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3</w:t>
            </w:r>
          </w:p>
        </w:tc>
        <w:tc>
          <w:tcPr>
            <w:tcW w:w="800" w:type="dxa"/>
            <w:tcBorders>
              <w:tl2br w:val="nil"/>
              <w:tr2bl w:val="nil"/>
            </w:tcBorders>
            <w:noWrap w:val="0"/>
            <w:vAlign w:val="center"/>
          </w:tcPr>
          <w:p w14:paraId="19C2AA7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0.071</w:t>
            </w:r>
          </w:p>
        </w:tc>
        <w:tc>
          <w:tcPr>
            <w:tcW w:w="800" w:type="dxa"/>
            <w:tcBorders>
              <w:tl2br w:val="nil"/>
              <w:tr2bl w:val="nil"/>
            </w:tcBorders>
            <w:noWrap w:val="0"/>
            <w:vAlign w:val="center"/>
          </w:tcPr>
          <w:p w14:paraId="53AE132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0.0028</w:t>
            </w:r>
          </w:p>
        </w:tc>
        <w:tc>
          <w:tcPr>
            <w:tcW w:w="800" w:type="dxa"/>
            <w:tcBorders>
              <w:tl2br w:val="nil"/>
              <w:tr2bl w:val="nil"/>
            </w:tcBorders>
            <w:noWrap w:val="0"/>
            <w:vAlign w:val="center"/>
          </w:tcPr>
          <w:p w14:paraId="14C3906C">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3.9</w:t>
            </w:r>
          </w:p>
        </w:tc>
        <w:tc>
          <w:tcPr>
            <w:tcW w:w="800" w:type="dxa"/>
            <w:tcBorders>
              <w:tl2br w:val="nil"/>
              <w:tr2bl w:val="nil"/>
            </w:tcBorders>
            <w:noWrap w:val="0"/>
            <w:vAlign w:val="center"/>
          </w:tcPr>
          <w:p w14:paraId="68B8D0B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0.346</w:t>
            </w:r>
          </w:p>
        </w:tc>
        <w:tc>
          <w:tcPr>
            <w:tcW w:w="800" w:type="dxa"/>
            <w:tcBorders>
              <w:tl2br w:val="nil"/>
              <w:tr2bl w:val="nil"/>
            </w:tcBorders>
            <w:noWrap w:val="0"/>
            <w:vAlign w:val="center"/>
          </w:tcPr>
          <w:p w14:paraId="2C658DB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0.0122</w:t>
            </w:r>
          </w:p>
        </w:tc>
        <w:tc>
          <w:tcPr>
            <w:tcW w:w="800" w:type="dxa"/>
            <w:tcBorders>
              <w:tl2br w:val="nil"/>
              <w:tr2bl w:val="nil"/>
            </w:tcBorders>
            <w:noWrap w:val="0"/>
            <w:vAlign w:val="center"/>
          </w:tcPr>
          <w:p w14:paraId="4EC80CA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3.5</w:t>
            </w:r>
          </w:p>
        </w:tc>
        <w:tc>
          <w:tcPr>
            <w:tcW w:w="800" w:type="dxa"/>
            <w:tcBorders>
              <w:tl2br w:val="nil"/>
              <w:tr2bl w:val="nil"/>
            </w:tcBorders>
            <w:noWrap w:val="0"/>
            <w:vAlign w:val="center"/>
          </w:tcPr>
          <w:p w14:paraId="1F7C484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0.683</w:t>
            </w:r>
          </w:p>
        </w:tc>
        <w:tc>
          <w:tcPr>
            <w:tcW w:w="800" w:type="dxa"/>
            <w:tcBorders>
              <w:tl2br w:val="nil"/>
              <w:tr2bl w:val="nil"/>
            </w:tcBorders>
            <w:noWrap w:val="0"/>
            <w:vAlign w:val="center"/>
          </w:tcPr>
          <w:p w14:paraId="5D8835F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0.0307</w:t>
            </w:r>
          </w:p>
        </w:tc>
        <w:tc>
          <w:tcPr>
            <w:tcW w:w="800" w:type="dxa"/>
            <w:tcBorders>
              <w:tl2br w:val="nil"/>
              <w:tr2bl w:val="nil"/>
            </w:tcBorders>
            <w:noWrap w:val="0"/>
            <w:vAlign w:val="center"/>
          </w:tcPr>
          <w:p w14:paraId="4FF9324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4.5</w:t>
            </w:r>
          </w:p>
        </w:tc>
      </w:tr>
      <w:tr w14:paraId="7DA98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4A60EC7B">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1D9E0D95">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4</w:t>
            </w:r>
          </w:p>
        </w:tc>
        <w:tc>
          <w:tcPr>
            <w:tcW w:w="800" w:type="dxa"/>
            <w:tcBorders>
              <w:tl2br w:val="nil"/>
              <w:tr2bl w:val="nil"/>
            </w:tcBorders>
            <w:noWrap w:val="0"/>
            <w:vAlign w:val="center"/>
          </w:tcPr>
          <w:p w14:paraId="74CB30F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0.080</w:t>
            </w:r>
          </w:p>
        </w:tc>
        <w:tc>
          <w:tcPr>
            <w:tcW w:w="800" w:type="dxa"/>
            <w:tcBorders>
              <w:tl2br w:val="nil"/>
              <w:tr2bl w:val="nil"/>
            </w:tcBorders>
            <w:noWrap w:val="0"/>
            <w:vAlign w:val="center"/>
          </w:tcPr>
          <w:p w14:paraId="6413C45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0.0041</w:t>
            </w:r>
          </w:p>
        </w:tc>
        <w:tc>
          <w:tcPr>
            <w:tcW w:w="800" w:type="dxa"/>
            <w:tcBorders>
              <w:tl2br w:val="nil"/>
              <w:tr2bl w:val="nil"/>
            </w:tcBorders>
            <w:noWrap w:val="0"/>
            <w:vAlign w:val="center"/>
          </w:tcPr>
          <w:p w14:paraId="51D8BCB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5.2</w:t>
            </w:r>
          </w:p>
        </w:tc>
        <w:tc>
          <w:tcPr>
            <w:tcW w:w="800" w:type="dxa"/>
            <w:tcBorders>
              <w:tl2br w:val="nil"/>
              <w:tr2bl w:val="nil"/>
            </w:tcBorders>
            <w:noWrap w:val="0"/>
            <w:vAlign w:val="center"/>
          </w:tcPr>
          <w:p w14:paraId="45988147">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0.384</w:t>
            </w:r>
          </w:p>
        </w:tc>
        <w:tc>
          <w:tcPr>
            <w:tcW w:w="800" w:type="dxa"/>
            <w:tcBorders>
              <w:tl2br w:val="nil"/>
              <w:tr2bl w:val="nil"/>
            </w:tcBorders>
            <w:noWrap w:val="0"/>
            <w:vAlign w:val="center"/>
          </w:tcPr>
          <w:p w14:paraId="28C92DD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0.0117</w:t>
            </w:r>
          </w:p>
        </w:tc>
        <w:tc>
          <w:tcPr>
            <w:tcW w:w="800" w:type="dxa"/>
            <w:tcBorders>
              <w:tl2br w:val="nil"/>
              <w:tr2bl w:val="nil"/>
            </w:tcBorders>
            <w:noWrap w:val="0"/>
            <w:vAlign w:val="center"/>
          </w:tcPr>
          <w:p w14:paraId="7DB5B24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3.1</w:t>
            </w:r>
          </w:p>
        </w:tc>
        <w:tc>
          <w:tcPr>
            <w:tcW w:w="800" w:type="dxa"/>
            <w:tcBorders>
              <w:tl2br w:val="nil"/>
              <w:tr2bl w:val="nil"/>
            </w:tcBorders>
            <w:noWrap w:val="0"/>
            <w:vAlign w:val="center"/>
          </w:tcPr>
          <w:p w14:paraId="173DCA59">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0.737</w:t>
            </w:r>
          </w:p>
        </w:tc>
        <w:tc>
          <w:tcPr>
            <w:tcW w:w="800" w:type="dxa"/>
            <w:tcBorders>
              <w:tl2br w:val="nil"/>
              <w:tr2bl w:val="nil"/>
            </w:tcBorders>
            <w:noWrap w:val="0"/>
            <w:vAlign w:val="center"/>
          </w:tcPr>
          <w:p w14:paraId="57F8F56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0.0130</w:t>
            </w:r>
          </w:p>
        </w:tc>
        <w:tc>
          <w:tcPr>
            <w:tcW w:w="800" w:type="dxa"/>
            <w:tcBorders>
              <w:tl2br w:val="nil"/>
              <w:tr2bl w:val="nil"/>
            </w:tcBorders>
            <w:noWrap w:val="0"/>
            <w:vAlign w:val="center"/>
          </w:tcPr>
          <w:p w14:paraId="079FE09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1.8</w:t>
            </w:r>
          </w:p>
        </w:tc>
      </w:tr>
      <w:tr w14:paraId="0912C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05" w:type="dxa"/>
            <w:vMerge w:val="continue"/>
            <w:tcBorders>
              <w:tl2br w:val="nil"/>
              <w:tr2bl w:val="nil"/>
            </w:tcBorders>
            <w:noWrap w:val="0"/>
            <w:vAlign w:val="center"/>
          </w:tcPr>
          <w:p w14:paraId="6CFDD4A3">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70F2EE20">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5</w:t>
            </w:r>
          </w:p>
        </w:tc>
        <w:tc>
          <w:tcPr>
            <w:tcW w:w="800" w:type="dxa"/>
            <w:tcBorders>
              <w:tl2br w:val="nil"/>
              <w:tr2bl w:val="nil"/>
            </w:tcBorders>
            <w:noWrap w:val="0"/>
            <w:vAlign w:val="center"/>
          </w:tcPr>
          <w:p w14:paraId="49B8D4E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0.098</w:t>
            </w:r>
          </w:p>
        </w:tc>
        <w:tc>
          <w:tcPr>
            <w:tcW w:w="800" w:type="dxa"/>
            <w:tcBorders>
              <w:tl2br w:val="nil"/>
              <w:tr2bl w:val="nil"/>
            </w:tcBorders>
            <w:noWrap w:val="0"/>
            <w:vAlign w:val="center"/>
          </w:tcPr>
          <w:p w14:paraId="4386865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0.0044</w:t>
            </w:r>
          </w:p>
        </w:tc>
        <w:tc>
          <w:tcPr>
            <w:tcW w:w="800" w:type="dxa"/>
            <w:tcBorders>
              <w:tl2br w:val="nil"/>
              <w:tr2bl w:val="nil"/>
            </w:tcBorders>
            <w:noWrap w:val="0"/>
            <w:vAlign w:val="center"/>
          </w:tcPr>
          <w:p w14:paraId="74E85B54">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4.5</w:t>
            </w:r>
          </w:p>
        </w:tc>
        <w:tc>
          <w:tcPr>
            <w:tcW w:w="800" w:type="dxa"/>
            <w:tcBorders>
              <w:tl2br w:val="nil"/>
              <w:tr2bl w:val="nil"/>
            </w:tcBorders>
            <w:noWrap w:val="0"/>
            <w:vAlign w:val="center"/>
          </w:tcPr>
          <w:p w14:paraId="6CABB77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0.419</w:t>
            </w:r>
          </w:p>
        </w:tc>
        <w:tc>
          <w:tcPr>
            <w:tcW w:w="800" w:type="dxa"/>
            <w:tcBorders>
              <w:tl2br w:val="nil"/>
              <w:tr2bl w:val="nil"/>
            </w:tcBorders>
            <w:noWrap w:val="0"/>
            <w:vAlign w:val="center"/>
          </w:tcPr>
          <w:p w14:paraId="2101CF8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0.0051</w:t>
            </w:r>
          </w:p>
        </w:tc>
        <w:tc>
          <w:tcPr>
            <w:tcW w:w="800" w:type="dxa"/>
            <w:tcBorders>
              <w:tl2br w:val="nil"/>
              <w:tr2bl w:val="nil"/>
            </w:tcBorders>
            <w:noWrap w:val="0"/>
            <w:vAlign w:val="center"/>
          </w:tcPr>
          <w:p w14:paraId="465D1C2F">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1.2</w:t>
            </w:r>
          </w:p>
        </w:tc>
        <w:tc>
          <w:tcPr>
            <w:tcW w:w="800" w:type="dxa"/>
            <w:tcBorders>
              <w:tl2br w:val="nil"/>
              <w:tr2bl w:val="nil"/>
            </w:tcBorders>
            <w:noWrap w:val="0"/>
            <w:vAlign w:val="center"/>
          </w:tcPr>
          <w:p w14:paraId="32F08ED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0.734</w:t>
            </w:r>
          </w:p>
        </w:tc>
        <w:tc>
          <w:tcPr>
            <w:tcW w:w="800" w:type="dxa"/>
            <w:tcBorders>
              <w:tl2br w:val="nil"/>
              <w:tr2bl w:val="nil"/>
            </w:tcBorders>
            <w:noWrap w:val="0"/>
            <w:vAlign w:val="center"/>
          </w:tcPr>
          <w:p w14:paraId="287781CA">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0.0128</w:t>
            </w:r>
          </w:p>
        </w:tc>
        <w:tc>
          <w:tcPr>
            <w:tcW w:w="800" w:type="dxa"/>
            <w:tcBorders>
              <w:tl2br w:val="nil"/>
              <w:tr2bl w:val="nil"/>
            </w:tcBorders>
            <w:noWrap w:val="0"/>
            <w:vAlign w:val="center"/>
          </w:tcPr>
          <w:p w14:paraId="7C9F9823">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1.7</w:t>
            </w:r>
          </w:p>
        </w:tc>
      </w:tr>
      <w:tr w14:paraId="42BC6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tcBorders>
              <w:tl2br w:val="nil"/>
              <w:tr2bl w:val="nil"/>
            </w:tcBorders>
            <w:noWrap w:val="0"/>
            <w:vAlign w:val="center"/>
          </w:tcPr>
          <w:p w14:paraId="6CC98FCD">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p>
        </w:tc>
        <w:tc>
          <w:tcPr>
            <w:tcW w:w="615" w:type="dxa"/>
            <w:tcBorders>
              <w:tl2br w:val="nil"/>
              <w:tr2bl w:val="nil"/>
            </w:tcBorders>
            <w:noWrap w:val="0"/>
            <w:vAlign w:val="center"/>
          </w:tcPr>
          <w:p w14:paraId="39CA1FE3">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6</w:t>
            </w:r>
          </w:p>
        </w:tc>
        <w:tc>
          <w:tcPr>
            <w:tcW w:w="800" w:type="dxa"/>
            <w:tcBorders>
              <w:tl2br w:val="nil"/>
              <w:tr2bl w:val="nil"/>
            </w:tcBorders>
            <w:noWrap w:val="0"/>
            <w:vAlign w:val="center"/>
          </w:tcPr>
          <w:p w14:paraId="0945026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0.095</w:t>
            </w:r>
          </w:p>
        </w:tc>
        <w:tc>
          <w:tcPr>
            <w:tcW w:w="800" w:type="dxa"/>
            <w:tcBorders>
              <w:tl2br w:val="nil"/>
              <w:tr2bl w:val="nil"/>
            </w:tcBorders>
            <w:noWrap w:val="0"/>
            <w:vAlign w:val="center"/>
          </w:tcPr>
          <w:p w14:paraId="7F9BBDC0">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0.0051</w:t>
            </w:r>
          </w:p>
        </w:tc>
        <w:tc>
          <w:tcPr>
            <w:tcW w:w="800" w:type="dxa"/>
            <w:tcBorders>
              <w:tl2br w:val="nil"/>
              <w:tr2bl w:val="nil"/>
            </w:tcBorders>
            <w:noWrap w:val="0"/>
            <w:vAlign w:val="center"/>
          </w:tcPr>
          <w:p w14:paraId="64BDC4E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5.3</w:t>
            </w:r>
          </w:p>
        </w:tc>
        <w:tc>
          <w:tcPr>
            <w:tcW w:w="800" w:type="dxa"/>
            <w:tcBorders>
              <w:tl2br w:val="nil"/>
              <w:tr2bl w:val="nil"/>
            </w:tcBorders>
            <w:noWrap w:val="0"/>
            <w:vAlign w:val="center"/>
          </w:tcPr>
          <w:p w14:paraId="7F5A9E3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0.431</w:t>
            </w:r>
          </w:p>
        </w:tc>
        <w:tc>
          <w:tcPr>
            <w:tcW w:w="800" w:type="dxa"/>
            <w:tcBorders>
              <w:tl2br w:val="nil"/>
              <w:tr2bl w:val="nil"/>
            </w:tcBorders>
            <w:noWrap w:val="0"/>
            <w:vAlign w:val="center"/>
          </w:tcPr>
          <w:p w14:paraId="1F1A212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0.0052</w:t>
            </w:r>
          </w:p>
        </w:tc>
        <w:tc>
          <w:tcPr>
            <w:tcW w:w="800" w:type="dxa"/>
            <w:tcBorders>
              <w:tl2br w:val="nil"/>
              <w:tr2bl w:val="nil"/>
            </w:tcBorders>
            <w:noWrap w:val="0"/>
            <w:vAlign w:val="center"/>
          </w:tcPr>
          <w:p w14:paraId="1ECF01DD">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1.2</w:t>
            </w:r>
          </w:p>
        </w:tc>
        <w:tc>
          <w:tcPr>
            <w:tcW w:w="800" w:type="dxa"/>
            <w:tcBorders>
              <w:tl2br w:val="nil"/>
              <w:tr2bl w:val="nil"/>
            </w:tcBorders>
            <w:noWrap w:val="0"/>
            <w:vAlign w:val="center"/>
          </w:tcPr>
          <w:p w14:paraId="47B9C728">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0.790</w:t>
            </w:r>
          </w:p>
        </w:tc>
        <w:tc>
          <w:tcPr>
            <w:tcW w:w="800" w:type="dxa"/>
            <w:tcBorders>
              <w:tl2br w:val="nil"/>
              <w:tr2bl w:val="nil"/>
            </w:tcBorders>
            <w:noWrap w:val="0"/>
            <w:vAlign w:val="center"/>
          </w:tcPr>
          <w:p w14:paraId="33EB72FE">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0.0168</w:t>
            </w:r>
          </w:p>
        </w:tc>
        <w:tc>
          <w:tcPr>
            <w:tcW w:w="800" w:type="dxa"/>
            <w:tcBorders>
              <w:tl2br w:val="nil"/>
              <w:tr2bl w:val="nil"/>
            </w:tcBorders>
            <w:noWrap w:val="0"/>
            <w:vAlign w:val="center"/>
          </w:tcPr>
          <w:p w14:paraId="73F4B4C5">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2.1</w:t>
            </w:r>
          </w:p>
        </w:tc>
      </w:tr>
      <w:tr w14:paraId="33019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3552DE79">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position w:val="-6"/>
                <w:sz w:val="18"/>
                <w:szCs w:val="18"/>
                <w:highlight w:val="none"/>
              </w:rPr>
              <w:drawing>
                <wp:inline distT="0" distB="0" distL="114300" distR="114300">
                  <wp:extent cx="120650" cy="228600"/>
                  <wp:effectExtent l="0" t="0" r="0" b="0"/>
                  <wp:docPr id="8"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9"/>
                          <pic:cNvPicPr>
                            <a:picLocks noChangeAspect="1"/>
                          </pic:cNvPicPr>
                        </pic:nvPicPr>
                        <pic:blipFill>
                          <a:blip r:embed="rId257"/>
                          <a:stretch>
                            <a:fillRect/>
                          </a:stretch>
                        </pic:blipFill>
                        <pic:spPr>
                          <a:xfrm>
                            <a:off x="0" y="0"/>
                            <a:ext cx="120650" cy="228600"/>
                          </a:xfrm>
                          <a:prstGeom prst="rect">
                            <a:avLst/>
                          </a:prstGeom>
                          <a:noFill/>
                          <a:ln>
                            <a:noFill/>
                          </a:ln>
                        </pic:spPr>
                      </pic:pic>
                    </a:graphicData>
                  </a:graphic>
                </wp:inline>
              </w:drawing>
            </w:r>
          </w:p>
        </w:tc>
        <w:tc>
          <w:tcPr>
            <w:tcW w:w="2400" w:type="dxa"/>
            <w:gridSpan w:val="3"/>
            <w:tcBorders>
              <w:tl2br w:val="nil"/>
              <w:tr2bl w:val="nil"/>
            </w:tcBorders>
            <w:noWrap w:val="0"/>
            <w:vAlign w:val="center"/>
          </w:tcPr>
          <w:p w14:paraId="6E9100C6">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0.084</w:t>
            </w:r>
          </w:p>
        </w:tc>
        <w:tc>
          <w:tcPr>
            <w:tcW w:w="2400" w:type="dxa"/>
            <w:gridSpan w:val="3"/>
            <w:tcBorders>
              <w:tl2br w:val="nil"/>
              <w:tr2bl w:val="nil"/>
            </w:tcBorders>
            <w:noWrap w:val="0"/>
            <w:vAlign w:val="center"/>
          </w:tcPr>
          <w:p w14:paraId="3DF81A44">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0.387</w:t>
            </w:r>
          </w:p>
        </w:tc>
        <w:tc>
          <w:tcPr>
            <w:tcW w:w="2400" w:type="dxa"/>
            <w:gridSpan w:val="3"/>
            <w:tcBorders>
              <w:tl2br w:val="nil"/>
              <w:tr2bl w:val="nil"/>
            </w:tcBorders>
            <w:noWrap w:val="0"/>
            <w:vAlign w:val="center"/>
          </w:tcPr>
          <w:p w14:paraId="610E5C36">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0.716</w:t>
            </w:r>
          </w:p>
        </w:tc>
      </w:tr>
      <w:tr w14:paraId="6E898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58DA9C62">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i/>
                <w:iCs/>
                <w:color w:val="000000"/>
                <w:sz w:val="18"/>
                <w:szCs w:val="18"/>
                <w:highlight w:val="none"/>
              </w:rPr>
            </w:pPr>
            <w:r>
              <w:rPr>
                <w:rFonts w:hint="default" w:ascii="Times New Roman" w:hAnsi="Times New Roman" w:cs="Times New Roman"/>
                <w:i/>
                <w:iCs/>
                <w:color w:val="000000"/>
                <w:sz w:val="18"/>
                <w:szCs w:val="18"/>
                <w:highlight w:val="none"/>
              </w:rPr>
              <w:t>S´</w:t>
            </w:r>
          </w:p>
        </w:tc>
        <w:tc>
          <w:tcPr>
            <w:tcW w:w="2400" w:type="dxa"/>
            <w:gridSpan w:val="3"/>
            <w:tcBorders>
              <w:tl2br w:val="nil"/>
              <w:tr2bl w:val="nil"/>
            </w:tcBorders>
            <w:noWrap w:val="0"/>
            <w:vAlign w:val="center"/>
          </w:tcPr>
          <w:p w14:paraId="31666E58">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0.010</w:t>
            </w:r>
          </w:p>
        </w:tc>
        <w:tc>
          <w:tcPr>
            <w:tcW w:w="2400" w:type="dxa"/>
            <w:gridSpan w:val="3"/>
            <w:tcBorders>
              <w:tl2br w:val="nil"/>
              <w:tr2bl w:val="nil"/>
            </w:tcBorders>
            <w:noWrap w:val="0"/>
            <w:vAlign w:val="center"/>
          </w:tcPr>
          <w:p w14:paraId="056AD577">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0.032</w:t>
            </w:r>
          </w:p>
        </w:tc>
        <w:tc>
          <w:tcPr>
            <w:tcW w:w="2400" w:type="dxa"/>
            <w:gridSpan w:val="3"/>
            <w:tcBorders>
              <w:tl2br w:val="nil"/>
              <w:tr2bl w:val="nil"/>
            </w:tcBorders>
            <w:noWrap w:val="0"/>
            <w:vAlign w:val="center"/>
          </w:tcPr>
          <w:p w14:paraId="6591F7BA">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0.046</w:t>
            </w:r>
          </w:p>
        </w:tc>
      </w:tr>
      <w:tr w14:paraId="53ECB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5999570A">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RSD</w:t>
            </w:r>
            <w:r>
              <w:rPr>
                <w:rFonts w:hint="default" w:ascii="Times New Roman" w:hAnsi="Times New Roman" w:cs="Times New Roman"/>
                <w:i/>
                <w:color w:val="000000"/>
                <w:sz w:val="18"/>
                <w:szCs w:val="18"/>
                <w:highlight w:val="none"/>
              </w:rPr>
              <w:t>´</w:t>
            </w:r>
            <w:r>
              <w:rPr>
                <w:rFonts w:hint="default" w:ascii="Times New Roman" w:hAnsi="Times New Roman" w:cs="Times New Roman"/>
                <w:color w:val="000000"/>
                <w:sz w:val="18"/>
                <w:szCs w:val="18"/>
                <w:highlight w:val="none"/>
              </w:rPr>
              <w:t>（%）</w:t>
            </w:r>
          </w:p>
        </w:tc>
        <w:tc>
          <w:tcPr>
            <w:tcW w:w="2400" w:type="dxa"/>
            <w:gridSpan w:val="3"/>
            <w:tcBorders>
              <w:tl2br w:val="nil"/>
              <w:tr2bl w:val="nil"/>
            </w:tcBorders>
            <w:noWrap w:val="0"/>
            <w:vAlign w:val="center"/>
          </w:tcPr>
          <w:p w14:paraId="22957180">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12.3</w:t>
            </w:r>
          </w:p>
        </w:tc>
        <w:tc>
          <w:tcPr>
            <w:tcW w:w="2400" w:type="dxa"/>
            <w:gridSpan w:val="3"/>
            <w:tcBorders>
              <w:tl2br w:val="nil"/>
              <w:tr2bl w:val="nil"/>
            </w:tcBorders>
            <w:noWrap w:val="0"/>
            <w:vAlign w:val="center"/>
          </w:tcPr>
          <w:p w14:paraId="01B79E3F">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8.4</w:t>
            </w:r>
          </w:p>
        </w:tc>
        <w:tc>
          <w:tcPr>
            <w:tcW w:w="2400" w:type="dxa"/>
            <w:gridSpan w:val="3"/>
            <w:tcBorders>
              <w:tl2br w:val="nil"/>
              <w:tr2bl w:val="nil"/>
            </w:tcBorders>
            <w:noWrap w:val="0"/>
            <w:vAlign w:val="center"/>
          </w:tcPr>
          <w:p w14:paraId="1CE4F385">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6.5</w:t>
            </w:r>
          </w:p>
        </w:tc>
      </w:tr>
      <w:tr w14:paraId="3FD50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5F92C335">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重复性限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098B9EF1">
            <w:pPr>
              <w:keepNext w:val="0"/>
              <w:keepLines w:val="0"/>
              <w:pageBreakBefore w:val="0"/>
              <w:widowControl/>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0.010</w:t>
            </w:r>
          </w:p>
        </w:tc>
        <w:tc>
          <w:tcPr>
            <w:tcW w:w="2400" w:type="dxa"/>
            <w:gridSpan w:val="3"/>
            <w:tcBorders>
              <w:tl2br w:val="nil"/>
              <w:tr2bl w:val="nil"/>
            </w:tcBorders>
            <w:noWrap w:val="0"/>
            <w:vAlign w:val="center"/>
          </w:tcPr>
          <w:p w14:paraId="3F90F39A">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0.022</w:t>
            </w:r>
          </w:p>
        </w:tc>
        <w:tc>
          <w:tcPr>
            <w:tcW w:w="2400" w:type="dxa"/>
            <w:gridSpan w:val="3"/>
            <w:tcBorders>
              <w:tl2br w:val="nil"/>
              <w:tr2bl w:val="nil"/>
            </w:tcBorders>
            <w:noWrap w:val="0"/>
            <w:vAlign w:val="center"/>
          </w:tcPr>
          <w:p w14:paraId="6B4D87CA">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0.050</w:t>
            </w:r>
          </w:p>
        </w:tc>
      </w:tr>
      <w:tr w14:paraId="25300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gridSpan w:val="2"/>
            <w:tcBorders>
              <w:tl2br w:val="nil"/>
              <w:tr2bl w:val="nil"/>
            </w:tcBorders>
            <w:noWrap w:val="0"/>
            <w:vAlign w:val="center"/>
          </w:tcPr>
          <w:p w14:paraId="48C19380">
            <w:pPr>
              <w:pStyle w:val="23"/>
              <w:keepNext w:val="0"/>
              <w:keepLines w:val="0"/>
              <w:pageBreakBefore w:val="0"/>
              <w:widowControl w:val="0"/>
              <w:kinsoku/>
              <w:wordWrap/>
              <w:overflowPunct/>
              <w:bidi w:val="0"/>
              <w:snapToGrid/>
              <w:spacing w:line="240" w:lineRule="auto"/>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再现性限</w:t>
            </w:r>
            <w:r>
              <w:rPr>
                <w:rFonts w:hint="default" w:ascii="Times New Roman" w:hAnsi="Times New Roman" w:cs="Times New Roman"/>
                <w:i/>
                <w:iCs/>
                <w:color w:val="000000"/>
                <w:sz w:val="18"/>
                <w:szCs w:val="18"/>
                <w:highlight w:val="none"/>
              </w:rPr>
              <w:t>R</w:t>
            </w:r>
          </w:p>
        </w:tc>
        <w:tc>
          <w:tcPr>
            <w:tcW w:w="2400" w:type="dxa"/>
            <w:gridSpan w:val="3"/>
            <w:tcBorders>
              <w:tl2br w:val="nil"/>
              <w:tr2bl w:val="nil"/>
            </w:tcBorders>
            <w:noWrap w:val="0"/>
            <w:vAlign w:val="center"/>
          </w:tcPr>
          <w:p w14:paraId="4BDED158">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0.031</w:t>
            </w:r>
          </w:p>
        </w:tc>
        <w:tc>
          <w:tcPr>
            <w:tcW w:w="2400" w:type="dxa"/>
            <w:gridSpan w:val="3"/>
            <w:tcBorders>
              <w:tl2br w:val="nil"/>
              <w:tr2bl w:val="nil"/>
            </w:tcBorders>
            <w:noWrap w:val="0"/>
            <w:vAlign w:val="center"/>
          </w:tcPr>
          <w:p w14:paraId="12A0228F">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0.093</w:t>
            </w:r>
          </w:p>
        </w:tc>
        <w:tc>
          <w:tcPr>
            <w:tcW w:w="2400" w:type="dxa"/>
            <w:gridSpan w:val="3"/>
            <w:tcBorders>
              <w:tl2br w:val="nil"/>
              <w:tr2bl w:val="nil"/>
            </w:tcBorders>
            <w:noWrap w:val="0"/>
            <w:vAlign w:val="center"/>
          </w:tcPr>
          <w:p w14:paraId="59731B62">
            <w:pPr>
              <w:keepNext w:val="0"/>
              <w:keepLines w:val="0"/>
              <w:pageBreakBefore w:val="0"/>
              <w:kinsoku/>
              <w:wordWrap/>
              <w:overflowPunct/>
              <w:bidi w:val="0"/>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0.14</w:t>
            </w:r>
          </w:p>
        </w:tc>
      </w:tr>
    </w:tbl>
    <w:p w14:paraId="15E2CF37">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结论：</w:t>
      </w:r>
    </w:p>
    <w:p w14:paraId="179A9134">
      <w:pPr>
        <w:autoSpaceDE w:val="0"/>
        <w:autoSpaceDN w:val="0"/>
        <w:adjustRightInd w:val="0"/>
        <w:spacing w:line="360" w:lineRule="exact"/>
        <w:ind w:firstLine="420" w:firstLineChars="200"/>
        <w:rPr>
          <w:rFonts w:hint="default" w:ascii="Times New Roman" w:hAnsi="Times New Roman" w:cs="Times New Roman"/>
          <w:szCs w:val="21"/>
        </w:rPr>
      </w:pPr>
      <w:r>
        <w:rPr>
          <w:rFonts w:hint="default" w:ascii="Times New Roman" w:hAnsi="Times New Roman" w:cs="Times New Roman"/>
          <w:szCs w:val="21"/>
          <w:lang w:val="en-US" w:eastAsia="zh-CN"/>
        </w:rPr>
        <w:t>6</w:t>
      </w:r>
      <w:r>
        <w:rPr>
          <w:rFonts w:hint="default" w:ascii="Times New Roman" w:hAnsi="Times New Roman" w:cs="Times New Roman"/>
          <w:szCs w:val="21"/>
        </w:rPr>
        <w:t>家实验室分别对加标浓度为</w:t>
      </w:r>
      <w:r>
        <w:rPr>
          <w:rFonts w:hint="default" w:ascii="Times New Roman" w:hAnsi="Times New Roman" w:cs="Times New Roman"/>
          <w:kern w:val="0"/>
          <w:szCs w:val="21"/>
        </w:rPr>
        <w:t>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w:t>
      </w:r>
      <w:r>
        <w:rPr>
          <w:rFonts w:hint="default" w:ascii="Times New Roman" w:hAnsi="Times New Roman" w:cs="Times New Roman"/>
          <w:szCs w:val="21"/>
        </w:rPr>
        <w:t>的空白样品进行了6次重复测定：实验室间相对标准偏差分别为</w:t>
      </w:r>
      <w:r>
        <w:rPr>
          <w:rFonts w:hint="default" w:ascii="Times New Roman" w:hAnsi="Times New Roman" w:cs="Times New Roman"/>
          <w:szCs w:val="21"/>
          <w:lang w:val="en-US" w:eastAsia="zh-CN"/>
        </w:rPr>
        <w:t>9.0</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0.2</w:t>
      </w:r>
      <w:r>
        <w:rPr>
          <w:rFonts w:hint="default" w:ascii="Times New Roman" w:hAnsi="Times New Roman" w:cs="Times New Roman"/>
          <w:szCs w:val="21"/>
        </w:rPr>
        <w:t>%、</w:t>
      </w:r>
      <w:r>
        <w:rPr>
          <w:rFonts w:hint="default" w:ascii="Times New Roman" w:hAnsi="Times New Roman" w:cs="Times New Roman"/>
          <w:szCs w:val="21"/>
          <w:lang w:val="en-US" w:eastAsia="zh-CN"/>
        </w:rPr>
        <w:t>10.9</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13.8</w:t>
      </w:r>
      <w:r>
        <w:rPr>
          <w:rFonts w:hint="default" w:ascii="Times New Roman" w:hAnsi="Times New Roman" w:cs="Times New Roman"/>
          <w:szCs w:val="21"/>
        </w:rPr>
        <w:t>%和</w:t>
      </w:r>
      <w:r>
        <w:rPr>
          <w:rFonts w:hint="default" w:ascii="Times New Roman" w:hAnsi="Times New Roman" w:cs="Times New Roman"/>
          <w:szCs w:val="21"/>
          <w:lang w:val="en-US" w:eastAsia="zh-CN"/>
        </w:rPr>
        <w:t>8.3</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9.8</w:t>
      </w:r>
      <w:r>
        <w:rPr>
          <w:rFonts w:hint="default" w:ascii="Times New Roman" w:hAnsi="Times New Roman" w:cs="Times New Roman"/>
          <w:szCs w:val="21"/>
        </w:rPr>
        <w:t>%；重复性限分别为0.01</w:t>
      </w:r>
      <w:r>
        <w:rPr>
          <w:rFonts w:hint="default" w:ascii="Times New Roman" w:hAnsi="Times New Roman" w:cs="Times New Roman"/>
          <w:szCs w:val="21"/>
          <w:lang w:val="en-US" w:eastAsia="zh-CN"/>
        </w:rPr>
        <w:t>3</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0.01</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、0.0</w:t>
      </w:r>
      <w:r>
        <w:rPr>
          <w:rFonts w:hint="default" w:ascii="Times New Roman" w:hAnsi="Times New Roman" w:cs="Times New Roman"/>
          <w:szCs w:val="21"/>
          <w:lang w:val="en-US" w:eastAsia="zh-CN"/>
        </w:rPr>
        <w:t>52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0.06</w:t>
      </w:r>
      <w:r>
        <w:rPr>
          <w:rFonts w:hint="default" w:ascii="Times New Roman" w:hAnsi="Times New Roman" w:cs="Times New Roman"/>
          <w:szCs w:val="21"/>
          <w:lang w:val="en-US" w:eastAsia="zh-CN"/>
        </w:rPr>
        <w:t>0</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和0.0</w:t>
      </w:r>
      <w:r>
        <w:rPr>
          <w:rFonts w:hint="default" w:ascii="Times New Roman" w:hAnsi="Times New Roman" w:cs="Times New Roman"/>
          <w:szCs w:val="21"/>
          <w:lang w:val="en-US" w:eastAsia="zh-CN"/>
        </w:rPr>
        <w:t>42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w:t>
      </w:r>
      <w:r>
        <w:rPr>
          <w:rFonts w:hint="default" w:ascii="Times New Roman" w:hAnsi="Times New Roman" w:cs="Times New Roman"/>
          <w:szCs w:val="21"/>
          <w:lang w:val="en-US" w:eastAsia="zh-CN"/>
        </w:rPr>
        <w:t>057</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；再现性限分别为0.0</w:t>
      </w:r>
      <w:r>
        <w:rPr>
          <w:rFonts w:hint="default" w:ascii="Times New Roman" w:hAnsi="Times New Roman" w:cs="Times New Roman"/>
          <w:szCs w:val="21"/>
          <w:lang w:val="en-US" w:eastAsia="zh-CN"/>
        </w:rPr>
        <w:t>26</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w:t>
      </w:r>
      <w:r>
        <w:rPr>
          <w:rFonts w:hint="default" w:ascii="Times New Roman" w:hAnsi="Times New Roman" w:cs="Times New Roman"/>
          <w:szCs w:val="21"/>
          <w:lang w:val="en-US" w:eastAsia="zh-CN"/>
        </w:rPr>
        <w:t>27</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w:t>
      </w:r>
      <w:r>
        <w:rPr>
          <w:rFonts w:hint="default" w:ascii="Times New Roman" w:hAnsi="Times New Roman" w:cs="Times New Roman"/>
          <w:szCs w:val="21"/>
          <w:lang w:val="en-US" w:eastAsia="zh-CN"/>
        </w:rPr>
        <w:t>12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0.1</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w:t>
      </w:r>
      <w:r>
        <w:rPr>
          <w:rFonts w:hint="default" w:ascii="Times New Roman" w:hAnsi="Times New Roman" w:cs="Times New Roman"/>
          <w:szCs w:val="21"/>
          <w:lang w:val="en-US" w:eastAsia="zh-CN"/>
        </w:rPr>
        <w:t>16</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w:t>
      </w:r>
      <w:r>
        <w:rPr>
          <w:rFonts w:hint="default" w:ascii="Times New Roman" w:hAnsi="Times New Roman" w:cs="Times New Roman"/>
          <w:szCs w:val="21"/>
          <w:lang w:val="en-US" w:eastAsia="zh-CN"/>
        </w:rPr>
        <w:t>18</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w:t>
      </w:r>
    </w:p>
    <w:p w14:paraId="17EADFA2">
      <w:pPr>
        <w:autoSpaceDE w:val="0"/>
        <w:autoSpaceDN w:val="0"/>
        <w:adjustRightInd w:val="0"/>
        <w:spacing w:line="360" w:lineRule="exact"/>
        <w:ind w:firstLine="420" w:firstLineChars="200"/>
        <w:rPr>
          <w:rFonts w:hint="default" w:ascii="Times New Roman" w:hAnsi="Times New Roman" w:cs="Times New Roman"/>
          <w:szCs w:val="21"/>
        </w:rPr>
      </w:pPr>
      <w:r>
        <w:rPr>
          <w:rFonts w:hint="default" w:ascii="Times New Roman" w:hAnsi="Times New Roman" w:cs="Times New Roman"/>
          <w:szCs w:val="21"/>
          <w:lang w:val="en-US" w:eastAsia="zh-CN"/>
        </w:rPr>
        <w:t>6</w:t>
      </w:r>
      <w:r>
        <w:rPr>
          <w:rFonts w:hint="default" w:ascii="Times New Roman" w:hAnsi="Times New Roman" w:cs="Times New Roman"/>
          <w:szCs w:val="21"/>
        </w:rPr>
        <w:t>家实验室分别对加标浓度为</w:t>
      </w:r>
      <w:r>
        <w:rPr>
          <w:rFonts w:hint="default" w:ascii="Times New Roman" w:hAnsi="Times New Roman" w:cs="Times New Roman"/>
          <w:kern w:val="0"/>
          <w:szCs w:val="21"/>
        </w:rPr>
        <w:t>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w:t>
      </w:r>
      <w:r>
        <w:rPr>
          <w:rFonts w:hint="default" w:ascii="Times New Roman" w:hAnsi="Times New Roman" w:cs="Times New Roman"/>
          <w:szCs w:val="21"/>
        </w:rPr>
        <w:t>的土壤样品进行了6次重复测定：实验室间相对标准偏差分别为</w:t>
      </w:r>
      <w:r>
        <w:rPr>
          <w:rFonts w:hint="default" w:ascii="Times New Roman" w:hAnsi="Times New Roman" w:cs="Times New Roman"/>
          <w:szCs w:val="21"/>
          <w:lang w:val="en-US" w:eastAsia="zh-CN"/>
        </w:rPr>
        <w:t>9.8</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2.3</w:t>
      </w:r>
      <w:r>
        <w:rPr>
          <w:rFonts w:hint="default" w:ascii="Times New Roman" w:hAnsi="Times New Roman" w:cs="Times New Roman"/>
          <w:szCs w:val="21"/>
        </w:rPr>
        <w:t>%、</w:t>
      </w:r>
      <w:r>
        <w:rPr>
          <w:rFonts w:hint="default" w:ascii="Times New Roman" w:hAnsi="Times New Roman" w:cs="Times New Roman"/>
          <w:szCs w:val="21"/>
          <w:lang w:val="en-US" w:eastAsia="zh-CN"/>
        </w:rPr>
        <w:t>8.4</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3.1</w:t>
      </w:r>
      <w:r>
        <w:rPr>
          <w:rFonts w:hint="default" w:ascii="Times New Roman" w:hAnsi="Times New Roman" w:cs="Times New Roman"/>
          <w:szCs w:val="21"/>
        </w:rPr>
        <w:t>%和</w:t>
      </w:r>
      <w:r>
        <w:rPr>
          <w:rFonts w:hint="default" w:ascii="Times New Roman" w:hAnsi="Times New Roman" w:cs="Times New Roman"/>
          <w:szCs w:val="21"/>
          <w:lang w:val="en-US" w:eastAsia="zh-CN"/>
        </w:rPr>
        <w:t>6.5</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6.8</w:t>
      </w:r>
      <w:r>
        <w:rPr>
          <w:rFonts w:hint="default" w:ascii="Times New Roman" w:hAnsi="Times New Roman" w:cs="Times New Roman"/>
          <w:szCs w:val="21"/>
        </w:rPr>
        <w:t>%；重复性限分别为0.0</w:t>
      </w:r>
      <w:r>
        <w:rPr>
          <w:rFonts w:hint="default" w:ascii="Times New Roman" w:hAnsi="Times New Roman" w:cs="Times New Roman"/>
          <w:szCs w:val="21"/>
          <w:lang w:val="en-US" w:eastAsia="zh-CN"/>
        </w:rPr>
        <w:t>091</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w:t>
      </w:r>
      <w:r>
        <w:rPr>
          <w:rFonts w:hint="default" w:ascii="Times New Roman" w:hAnsi="Times New Roman" w:cs="Times New Roman"/>
          <w:szCs w:val="21"/>
          <w:lang w:val="en-US" w:eastAsia="zh-CN"/>
        </w:rPr>
        <w:t>10</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、0.02</w:t>
      </w:r>
      <w:r>
        <w:rPr>
          <w:rFonts w:hint="default" w:ascii="Times New Roman" w:hAnsi="Times New Roman" w:cs="Times New Roman"/>
          <w:szCs w:val="21"/>
          <w:lang w:val="en-US" w:eastAsia="zh-CN"/>
        </w:rPr>
        <w:t>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w:t>
      </w:r>
      <w:r>
        <w:rPr>
          <w:rFonts w:hint="default" w:ascii="Times New Roman" w:hAnsi="Times New Roman" w:cs="Times New Roman"/>
          <w:szCs w:val="21"/>
          <w:lang w:val="en-US" w:eastAsia="zh-CN"/>
        </w:rPr>
        <w:t>25</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w:t>
      </w:r>
      <w:r>
        <w:rPr>
          <w:rFonts w:hint="default" w:ascii="Times New Roman" w:hAnsi="Times New Roman" w:cs="Times New Roman"/>
          <w:szCs w:val="21"/>
          <w:lang w:val="en-US" w:eastAsia="zh-CN"/>
        </w:rPr>
        <w:t>.048</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w:t>
      </w:r>
      <w:r>
        <w:rPr>
          <w:rFonts w:hint="default" w:ascii="Times New Roman" w:hAnsi="Times New Roman" w:cs="Times New Roman"/>
          <w:szCs w:val="21"/>
          <w:lang w:val="en-US" w:eastAsia="zh-CN"/>
        </w:rPr>
        <w:t>050</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；再现性限分别为0.02</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0.03</w:t>
      </w:r>
      <w:r>
        <w:rPr>
          <w:rFonts w:hint="default" w:ascii="Times New Roman" w:hAnsi="Times New Roman" w:cs="Times New Roman"/>
          <w:szCs w:val="21"/>
          <w:lang w:val="en-US" w:eastAsia="zh-CN"/>
        </w:rPr>
        <w:t>1</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w:t>
      </w:r>
      <w:r>
        <w:rPr>
          <w:rFonts w:hint="default" w:ascii="Times New Roman" w:hAnsi="Times New Roman" w:cs="Times New Roman"/>
          <w:szCs w:val="21"/>
          <w:lang w:val="en-US" w:eastAsia="zh-CN"/>
        </w:rPr>
        <w:t>093</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0.1</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w:t>
      </w:r>
      <w:r>
        <w:rPr>
          <w:rFonts w:hint="default" w:ascii="Times New Roman" w:hAnsi="Times New Roman" w:cs="Times New Roman"/>
          <w:szCs w:val="21"/>
          <w:lang w:val="en-US" w:eastAsia="zh-CN"/>
        </w:rPr>
        <w:t>14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w:t>
      </w:r>
    </w:p>
    <w:p w14:paraId="22DEB9BC">
      <w:pPr>
        <w:pStyle w:val="3"/>
        <w:bidi w:val="0"/>
        <w:rPr>
          <w:rFonts w:hint="default" w:ascii="Times New Roman" w:hAnsi="Times New Roman" w:cs="Times New Roman"/>
          <w:lang w:val="en-US" w:eastAsia="zh-CN"/>
        </w:rPr>
      </w:pPr>
      <w:bookmarkStart w:id="225" w:name="_Toc25675"/>
      <w:bookmarkStart w:id="226" w:name="_Toc8568"/>
      <w:bookmarkStart w:id="227" w:name="_Toc7149"/>
      <w:bookmarkStart w:id="228" w:name="_Toc10676"/>
      <w:bookmarkStart w:id="229" w:name="_Toc26452"/>
      <w:bookmarkStart w:id="230" w:name="_Toc7701"/>
      <w:r>
        <w:rPr>
          <w:rFonts w:hint="default" w:ascii="Times New Roman" w:hAnsi="Times New Roman" w:cs="Times New Roman"/>
          <w:lang w:val="en-US" w:eastAsia="zh-CN"/>
        </w:rPr>
        <w:t>3.3  方法正确度数据汇总</w:t>
      </w:r>
      <w:bookmarkEnd w:id="225"/>
      <w:bookmarkEnd w:id="226"/>
      <w:bookmarkEnd w:id="227"/>
      <w:bookmarkEnd w:id="228"/>
      <w:bookmarkEnd w:id="229"/>
      <w:bookmarkEnd w:id="230"/>
    </w:p>
    <w:p w14:paraId="77F443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b/>
          <w:bCs/>
          <w:color w:val="000000"/>
          <w:kern w:val="0"/>
          <w:sz w:val="23"/>
          <w:szCs w:val="23"/>
          <w:highlight w:val="none"/>
        </w:rPr>
      </w:pPr>
      <w:bookmarkStart w:id="231" w:name="_Toc29604"/>
      <w:bookmarkStart w:id="232" w:name="_Toc22510"/>
      <w:bookmarkStart w:id="233" w:name="_Toc11617"/>
      <w:bookmarkStart w:id="234" w:name="_Toc22079"/>
      <w:bookmarkStart w:id="235" w:name="_Toc11332"/>
      <w:bookmarkStart w:id="236" w:name="_Toc12883"/>
      <w:bookmarkStart w:id="237" w:name="_Toc30942"/>
      <w:r>
        <w:rPr>
          <w:rFonts w:hint="default" w:ascii="Times New Roman" w:hAnsi="Times New Roman" w:cs="Times New Roman"/>
          <w:color w:val="000000"/>
          <w:szCs w:val="21"/>
          <w:highlight w:val="none"/>
        </w:rPr>
        <w:t>附表</w:t>
      </w:r>
      <w:r>
        <w:rPr>
          <w:rFonts w:hint="default" w:ascii="Times New Roman" w:hAnsi="Times New Roman" w:cs="Times New Roman"/>
          <w:color w:val="000000"/>
          <w:szCs w:val="21"/>
          <w:highlight w:val="none"/>
          <w:lang w:val="en-US" w:eastAsia="zh-CN"/>
        </w:rPr>
        <w:t>25</w:t>
      </w:r>
      <w:r>
        <w:rPr>
          <w:rFonts w:hint="default" w:ascii="Times New Roman" w:hAnsi="Times New Roman" w:cs="Times New Roman"/>
          <w:color w:val="000000"/>
          <w:szCs w:val="21"/>
          <w:highlight w:val="none"/>
        </w:rPr>
        <w:t>为</w:t>
      </w:r>
      <w:r>
        <w:rPr>
          <w:rFonts w:hint="default" w:ascii="Times New Roman" w:hAnsi="Times New Roman" w:cs="Times New Roman"/>
          <w:color w:val="000000"/>
          <w:szCs w:val="21"/>
          <w:highlight w:val="none"/>
          <w:lang w:val="en-US" w:eastAsia="zh-CN"/>
        </w:rPr>
        <w:t>6</w:t>
      </w:r>
      <w:r>
        <w:rPr>
          <w:rFonts w:hint="default" w:ascii="Times New Roman" w:hAnsi="Times New Roman" w:cs="Times New Roman"/>
          <w:color w:val="000000"/>
          <w:szCs w:val="21"/>
          <w:highlight w:val="none"/>
        </w:rPr>
        <w:t>家实验室方法验证结果的正确度测试数据汇总表，具体如下：</w:t>
      </w:r>
      <w:bookmarkEnd w:id="231"/>
      <w:bookmarkEnd w:id="232"/>
      <w:bookmarkEnd w:id="233"/>
      <w:bookmarkEnd w:id="234"/>
      <w:bookmarkEnd w:id="235"/>
      <w:bookmarkEnd w:id="236"/>
      <w:bookmarkEnd w:id="237"/>
    </w:p>
    <w:p w14:paraId="41D2F782">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附表25  方法正确度测试数据汇总表</w:t>
      </w:r>
    </w:p>
    <w:p w14:paraId="1D8BD72A">
      <w:pPr>
        <w:ind w:left="0" w:leftChars="0" w:firstLine="0" w:firstLineChars="0"/>
        <w:jc w:val="right"/>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单位：</w:t>
      </w:r>
      <w:r>
        <w:rPr>
          <w:rFonts w:hint="default" w:ascii="Times New Roman" w:hAnsi="Times New Roman" w:cs="Times New Roman"/>
          <w:color w:val="000000"/>
          <w:kern w:val="0"/>
          <w:szCs w:val="18"/>
          <w:highlight w:val="none"/>
          <w:lang w:eastAsia="zh-CN"/>
        </w:rPr>
        <w:t>mg/kg</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43"/>
        <w:gridCol w:w="1184"/>
        <w:gridCol w:w="1184"/>
        <w:gridCol w:w="1184"/>
        <w:gridCol w:w="1184"/>
        <w:gridCol w:w="1184"/>
        <w:gridCol w:w="1184"/>
      </w:tblGrid>
      <w:tr w14:paraId="31DF8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873" w:type="dxa"/>
            <w:vMerge w:val="restart"/>
            <w:tcBorders>
              <w:tl2br w:val="nil"/>
              <w:tr2bl w:val="nil"/>
            </w:tcBorders>
            <w:noWrap w:val="0"/>
            <w:vAlign w:val="center"/>
          </w:tcPr>
          <w:p w14:paraId="1B94D7F0">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目标</w:t>
            </w:r>
          </w:p>
          <w:p w14:paraId="005F3CCB">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化合物</w:t>
            </w:r>
          </w:p>
        </w:tc>
        <w:tc>
          <w:tcPr>
            <w:tcW w:w="743" w:type="dxa"/>
            <w:vMerge w:val="restart"/>
            <w:tcBorders>
              <w:tl2br w:val="nil"/>
              <w:tr2bl w:val="nil"/>
            </w:tcBorders>
            <w:noWrap w:val="0"/>
            <w:vAlign w:val="center"/>
          </w:tcPr>
          <w:p w14:paraId="7E396B8A">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实验室编号</w:t>
            </w:r>
          </w:p>
        </w:tc>
        <w:tc>
          <w:tcPr>
            <w:tcW w:w="7104" w:type="dxa"/>
            <w:gridSpan w:val="6"/>
            <w:tcBorders>
              <w:tl2br w:val="nil"/>
              <w:tr2bl w:val="nil"/>
            </w:tcBorders>
            <w:noWrap w:val="0"/>
            <w:vAlign w:val="center"/>
          </w:tcPr>
          <w:p w14:paraId="0509EB76">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加标回收率</w:t>
            </w:r>
            <w:r>
              <w:rPr>
                <w:rFonts w:hint="default" w:ascii="Times New Roman" w:hAnsi="Times New Roman" w:cs="Times New Roman"/>
                <w:i/>
                <w:iCs/>
                <w:color w:val="000000"/>
                <w:sz w:val="18"/>
                <w:szCs w:val="18"/>
                <w:highlight w:val="none"/>
              </w:rPr>
              <w:t>P</w:t>
            </w:r>
            <w:r>
              <w:rPr>
                <w:rFonts w:hint="default" w:ascii="Times New Roman" w:hAnsi="Times New Roman" w:cs="Times New Roman"/>
                <w:i/>
                <w:iCs/>
                <w:color w:val="000000"/>
                <w:sz w:val="18"/>
                <w:szCs w:val="18"/>
                <w:highlight w:val="none"/>
                <w:vertAlign w:val="subscript"/>
              </w:rPr>
              <w:t>i</w:t>
            </w:r>
            <w:r>
              <w:rPr>
                <w:rFonts w:hint="default" w:ascii="Times New Roman" w:hAnsi="Times New Roman" w:cs="Times New Roman"/>
                <w:color w:val="000000"/>
                <w:sz w:val="18"/>
                <w:szCs w:val="18"/>
                <w:highlight w:val="none"/>
              </w:rPr>
              <w:t>（%）</w:t>
            </w:r>
          </w:p>
        </w:tc>
      </w:tr>
      <w:tr w14:paraId="64953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73" w:type="dxa"/>
            <w:vMerge w:val="continue"/>
            <w:tcBorders>
              <w:tl2br w:val="nil"/>
              <w:tr2bl w:val="nil"/>
            </w:tcBorders>
            <w:noWrap w:val="0"/>
            <w:vAlign w:val="center"/>
          </w:tcPr>
          <w:p w14:paraId="1B090C00">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p>
        </w:tc>
        <w:tc>
          <w:tcPr>
            <w:tcW w:w="743" w:type="dxa"/>
            <w:vMerge w:val="continue"/>
            <w:tcBorders>
              <w:tl2br w:val="nil"/>
              <w:tr2bl w:val="nil"/>
            </w:tcBorders>
            <w:noWrap w:val="0"/>
            <w:vAlign w:val="center"/>
          </w:tcPr>
          <w:p w14:paraId="6851BE2A">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p>
        </w:tc>
        <w:tc>
          <w:tcPr>
            <w:tcW w:w="3552" w:type="dxa"/>
            <w:gridSpan w:val="3"/>
            <w:tcBorders>
              <w:tl2br w:val="nil"/>
              <w:tr2bl w:val="nil"/>
            </w:tcBorders>
            <w:noWrap w:val="0"/>
            <w:vAlign w:val="center"/>
          </w:tcPr>
          <w:p w14:paraId="59DFB9FE">
            <w:pPr>
              <w:pStyle w:val="23"/>
              <w:keepNext w:val="0"/>
              <w:keepLines w:val="0"/>
              <w:pageBreakBefore w:val="0"/>
              <w:widowControl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空白</w:t>
            </w:r>
          </w:p>
        </w:tc>
        <w:tc>
          <w:tcPr>
            <w:tcW w:w="3552" w:type="dxa"/>
            <w:gridSpan w:val="3"/>
            <w:tcBorders>
              <w:tl2br w:val="nil"/>
              <w:tr2bl w:val="nil"/>
            </w:tcBorders>
            <w:noWrap w:val="0"/>
            <w:vAlign w:val="center"/>
          </w:tcPr>
          <w:p w14:paraId="4880BA29">
            <w:pPr>
              <w:pStyle w:val="23"/>
              <w:keepNext w:val="0"/>
              <w:keepLines w:val="0"/>
              <w:pageBreakBefore w:val="0"/>
              <w:widowControl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土壤</w:t>
            </w:r>
          </w:p>
        </w:tc>
      </w:tr>
      <w:tr w14:paraId="39BD7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9" w:hRule="atLeast"/>
          <w:tblHeader/>
          <w:jc w:val="center"/>
        </w:trPr>
        <w:tc>
          <w:tcPr>
            <w:tcW w:w="873" w:type="dxa"/>
            <w:vMerge w:val="continue"/>
            <w:tcBorders>
              <w:tl2br w:val="nil"/>
              <w:tr2bl w:val="nil"/>
            </w:tcBorders>
            <w:noWrap w:val="0"/>
            <w:vAlign w:val="center"/>
          </w:tcPr>
          <w:p w14:paraId="5531C474">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p>
        </w:tc>
        <w:tc>
          <w:tcPr>
            <w:tcW w:w="743" w:type="dxa"/>
            <w:vMerge w:val="continue"/>
            <w:tcBorders>
              <w:tl2br w:val="nil"/>
              <w:tr2bl w:val="nil"/>
            </w:tcBorders>
            <w:noWrap w:val="0"/>
            <w:vAlign w:val="center"/>
          </w:tcPr>
          <w:p w14:paraId="1BBC3C17">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p>
        </w:tc>
        <w:tc>
          <w:tcPr>
            <w:tcW w:w="1184" w:type="dxa"/>
            <w:tcBorders>
              <w:tl2br w:val="nil"/>
              <w:tr2bl w:val="nil"/>
            </w:tcBorders>
            <w:noWrap w:val="0"/>
            <w:vAlign w:val="center"/>
          </w:tcPr>
          <w:p w14:paraId="777767F6">
            <w:pPr>
              <w:pStyle w:val="23"/>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低浓度</w:t>
            </w:r>
          </w:p>
          <w:p w14:paraId="25D24056">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（加标0.10）</w:t>
            </w:r>
          </w:p>
        </w:tc>
        <w:tc>
          <w:tcPr>
            <w:tcW w:w="1184" w:type="dxa"/>
            <w:tcBorders>
              <w:tl2br w:val="nil"/>
              <w:tr2bl w:val="nil"/>
            </w:tcBorders>
            <w:noWrap w:val="0"/>
            <w:vAlign w:val="center"/>
          </w:tcPr>
          <w:p w14:paraId="2E6C9BEA">
            <w:pPr>
              <w:pStyle w:val="23"/>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中浓度</w:t>
            </w:r>
          </w:p>
          <w:p w14:paraId="4AC5F0EC">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（加标0.</w:t>
            </w:r>
            <w:r>
              <w:rPr>
                <w:rFonts w:hint="default" w:ascii="Times New Roman" w:hAnsi="Times New Roman" w:cs="Times New Roman"/>
                <w:color w:val="000000"/>
                <w:sz w:val="18"/>
                <w:szCs w:val="18"/>
                <w:highlight w:val="none"/>
                <w:lang w:val="en-US" w:eastAsia="zh-CN"/>
              </w:rPr>
              <w:t>4</w:t>
            </w:r>
            <w:r>
              <w:rPr>
                <w:rFonts w:hint="default" w:ascii="Times New Roman" w:hAnsi="Times New Roman" w:cs="Times New Roman"/>
                <w:color w:val="000000"/>
                <w:sz w:val="18"/>
                <w:szCs w:val="18"/>
                <w:highlight w:val="none"/>
              </w:rPr>
              <w:t>0）</w:t>
            </w:r>
          </w:p>
        </w:tc>
        <w:tc>
          <w:tcPr>
            <w:tcW w:w="1184" w:type="dxa"/>
            <w:tcBorders>
              <w:tl2br w:val="nil"/>
              <w:tr2bl w:val="nil"/>
            </w:tcBorders>
            <w:noWrap w:val="0"/>
            <w:vAlign w:val="center"/>
          </w:tcPr>
          <w:p w14:paraId="4EE9425B">
            <w:pPr>
              <w:pStyle w:val="23"/>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高浓度</w:t>
            </w:r>
          </w:p>
          <w:p w14:paraId="026F62D9">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（加标</w:t>
            </w:r>
            <w:r>
              <w:rPr>
                <w:rFonts w:hint="default" w:ascii="Times New Roman" w:hAnsi="Times New Roman" w:cs="Times New Roman"/>
                <w:color w:val="000000"/>
                <w:sz w:val="18"/>
                <w:szCs w:val="18"/>
                <w:highlight w:val="none"/>
                <w:lang w:val="en-US" w:eastAsia="zh-CN"/>
              </w:rPr>
              <w:t>0.7</w:t>
            </w:r>
            <w:r>
              <w:rPr>
                <w:rFonts w:hint="default" w:ascii="Times New Roman" w:hAnsi="Times New Roman" w:cs="Times New Roman"/>
                <w:color w:val="000000"/>
                <w:sz w:val="18"/>
                <w:szCs w:val="18"/>
                <w:highlight w:val="none"/>
              </w:rPr>
              <w:t>0）</w:t>
            </w:r>
          </w:p>
        </w:tc>
        <w:tc>
          <w:tcPr>
            <w:tcW w:w="1184" w:type="dxa"/>
            <w:tcBorders>
              <w:tl2br w:val="nil"/>
              <w:tr2bl w:val="nil"/>
            </w:tcBorders>
            <w:noWrap w:val="0"/>
            <w:vAlign w:val="center"/>
          </w:tcPr>
          <w:p w14:paraId="11655CA9">
            <w:pPr>
              <w:pStyle w:val="23"/>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低浓度</w:t>
            </w:r>
          </w:p>
          <w:p w14:paraId="71A0460F">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（加标0.10）</w:t>
            </w:r>
          </w:p>
        </w:tc>
        <w:tc>
          <w:tcPr>
            <w:tcW w:w="1184" w:type="dxa"/>
            <w:tcBorders>
              <w:tl2br w:val="nil"/>
              <w:tr2bl w:val="nil"/>
            </w:tcBorders>
            <w:noWrap w:val="0"/>
            <w:vAlign w:val="center"/>
          </w:tcPr>
          <w:p w14:paraId="16C45612">
            <w:pPr>
              <w:pStyle w:val="23"/>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中浓度</w:t>
            </w:r>
          </w:p>
          <w:p w14:paraId="750AE9DB">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（加标0.</w:t>
            </w:r>
            <w:r>
              <w:rPr>
                <w:rFonts w:hint="default" w:ascii="Times New Roman" w:hAnsi="Times New Roman" w:cs="Times New Roman"/>
                <w:color w:val="000000"/>
                <w:sz w:val="18"/>
                <w:szCs w:val="18"/>
                <w:highlight w:val="none"/>
                <w:lang w:val="en-US" w:eastAsia="zh-CN"/>
              </w:rPr>
              <w:t>4</w:t>
            </w:r>
            <w:r>
              <w:rPr>
                <w:rFonts w:hint="default" w:ascii="Times New Roman" w:hAnsi="Times New Roman" w:cs="Times New Roman"/>
                <w:color w:val="000000"/>
                <w:sz w:val="18"/>
                <w:szCs w:val="18"/>
                <w:highlight w:val="none"/>
              </w:rPr>
              <w:t>0）</w:t>
            </w:r>
          </w:p>
        </w:tc>
        <w:tc>
          <w:tcPr>
            <w:tcW w:w="1184" w:type="dxa"/>
            <w:tcBorders>
              <w:tl2br w:val="nil"/>
              <w:tr2bl w:val="nil"/>
            </w:tcBorders>
            <w:noWrap w:val="0"/>
            <w:vAlign w:val="center"/>
          </w:tcPr>
          <w:p w14:paraId="2EDBEC36">
            <w:pPr>
              <w:pStyle w:val="23"/>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highlight w:val="none"/>
              </w:rPr>
              <w:t>高浓度</w:t>
            </w:r>
          </w:p>
          <w:p w14:paraId="59A13B77">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（加标</w:t>
            </w:r>
            <w:r>
              <w:rPr>
                <w:rFonts w:hint="default" w:ascii="Times New Roman" w:hAnsi="Times New Roman" w:cs="Times New Roman"/>
                <w:color w:val="000000"/>
                <w:sz w:val="18"/>
                <w:szCs w:val="18"/>
                <w:highlight w:val="none"/>
                <w:lang w:val="en-US" w:eastAsia="zh-CN"/>
              </w:rPr>
              <w:t>0.7</w:t>
            </w:r>
            <w:r>
              <w:rPr>
                <w:rFonts w:hint="default" w:ascii="Times New Roman" w:hAnsi="Times New Roman" w:cs="Times New Roman"/>
                <w:color w:val="000000"/>
                <w:sz w:val="18"/>
                <w:szCs w:val="18"/>
                <w:highlight w:val="none"/>
              </w:rPr>
              <w:t>0）</w:t>
            </w:r>
          </w:p>
        </w:tc>
      </w:tr>
      <w:tr w14:paraId="60FB2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73" w:type="dxa"/>
            <w:vMerge w:val="restart"/>
            <w:tcBorders>
              <w:tl2br w:val="nil"/>
              <w:tr2bl w:val="nil"/>
            </w:tcBorders>
            <w:noWrap w:val="0"/>
            <w:vAlign w:val="center"/>
          </w:tcPr>
          <w:p w14:paraId="5C410B05">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743" w:type="dxa"/>
            <w:tcBorders>
              <w:tl2br w:val="nil"/>
              <w:tr2bl w:val="nil"/>
            </w:tcBorders>
            <w:noWrap w:val="0"/>
            <w:vAlign w:val="center"/>
          </w:tcPr>
          <w:p w14:paraId="71E5548F">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kern w:val="2"/>
                <w:sz w:val="18"/>
                <w:szCs w:val="18"/>
                <w:highlight w:val="none"/>
                <w:lang w:eastAsia="zh-CN"/>
              </w:rPr>
            </w:pPr>
            <w:r>
              <w:rPr>
                <w:rFonts w:hint="default" w:ascii="Times New Roman" w:hAnsi="Times New Roman" w:cs="Times New Roman"/>
                <w:color w:val="000000"/>
                <w:sz w:val="18"/>
                <w:szCs w:val="18"/>
                <w:highlight w:val="none"/>
                <w:lang w:val="en-US" w:eastAsia="zh-CN"/>
              </w:rPr>
              <w:t>1</w:t>
            </w:r>
          </w:p>
        </w:tc>
        <w:tc>
          <w:tcPr>
            <w:tcW w:w="1184" w:type="dxa"/>
            <w:tcBorders>
              <w:tl2br w:val="nil"/>
              <w:tr2bl w:val="nil"/>
            </w:tcBorders>
            <w:noWrap w:val="0"/>
            <w:vAlign w:val="center"/>
          </w:tcPr>
          <w:p w14:paraId="5C3A56E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82.1</w:t>
            </w:r>
          </w:p>
        </w:tc>
        <w:tc>
          <w:tcPr>
            <w:tcW w:w="1184" w:type="dxa"/>
            <w:tcBorders>
              <w:tl2br w:val="nil"/>
              <w:tr2bl w:val="nil"/>
            </w:tcBorders>
            <w:noWrap w:val="0"/>
            <w:vAlign w:val="center"/>
          </w:tcPr>
          <w:p w14:paraId="06A20AB1">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77.9</w:t>
            </w:r>
          </w:p>
        </w:tc>
        <w:tc>
          <w:tcPr>
            <w:tcW w:w="1184" w:type="dxa"/>
            <w:tcBorders>
              <w:tl2br w:val="nil"/>
              <w:tr2bl w:val="nil"/>
            </w:tcBorders>
            <w:noWrap w:val="0"/>
            <w:vAlign w:val="center"/>
          </w:tcPr>
          <w:p w14:paraId="4F3E6F53">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89.3</w:t>
            </w:r>
          </w:p>
        </w:tc>
        <w:tc>
          <w:tcPr>
            <w:tcW w:w="1184" w:type="dxa"/>
            <w:tcBorders>
              <w:tl2br w:val="nil"/>
              <w:tr2bl w:val="nil"/>
            </w:tcBorders>
            <w:noWrap w:val="0"/>
            <w:vAlign w:val="center"/>
          </w:tcPr>
          <w:p w14:paraId="2B54C72C">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81.9</w:t>
            </w:r>
          </w:p>
        </w:tc>
        <w:tc>
          <w:tcPr>
            <w:tcW w:w="1184" w:type="dxa"/>
            <w:tcBorders>
              <w:tl2br w:val="nil"/>
              <w:tr2bl w:val="nil"/>
            </w:tcBorders>
            <w:noWrap w:val="0"/>
            <w:vAlign w:val="center"/>
          </w:tcPr>
          <w:p w14:paraId="23E3D5A1">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91.5</w:t>
            </w:r>
          </w:p>
        </w:tc>
        <w:tc>
          <w:tcPr>
            <w:tcW w:w="1184" w:type="dxa"/>
            <w:tcBorders>
              <w:tl2br w:val="nil"/>
              <w:tr2bl w:val="nil"/>
            </w:tcBorders>
            <w:noWrap w:val="0"/>
            <w:vAlign w:val="center"/>
          </w:tcPr>
          <w:p w14:paraId="17327F44">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101</w:t>
            </w:r>
          </w:p>
        </w:tc>
      </w:tr>
      <w:tr w14:paraId="4E7A6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341CAF7C">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157F1166">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2</w:t>
            </w:r>
          </w:p>
        </w:tc>
        <w:tc>
          <w:tcPr>
            <w:tcW w:w="1184" w:type="dxa"/>
            <w:tcBorders>
              <w:tl2br w:val="nil"/>
              <w:tr2bl w:val="nil"/>
            </w:tcBorders>
            <w:noWrap w:val="0"/>
            <w:vAlign w:val="center"/>
          </w:tcPr>
          <w:p w14:paraId="5D5B771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86.0</w:t>
            </w:r>
          </w:p>
        </w:tc>
        <w:tc>
          <w:tcPr>
            <w:tcW w:w="1184" w:type="dxa"/>
            <w:tcBorders>
              <w:tl2br w:val="nil"/>
              <w:tr2bl w:val="nil"/>
            </w:tcBorders>
            <w:noWrap w:val="0"/>
            <w:vAlign w:val="center"/>
          </w:tcPr>
          <w:p w14:paraId="0F43FB5D">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85.8</w:t>
            </w:r>
          </w:p>
        </w:tc>
        <w:tc>
          <w:tcPr>
            <w:tcW w:w="1184" w:type="dxa"/>
            <w:tcBorders>
              <w:tl2br w:val="nil"/>
              <w:tr2bl w:val="nil"/>
            </w:tcBorders>
            <w:noWrap w:val="0"/>
            <w:vAlign w:val="center"/>
          </w:tcPr>
          <w:p w14:paraId="29F80BD6">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89.3</w:t>
            </w:r>
          </w:p>
        </w:tc>
        <w:tc>
          <w:tcPr>
            <w:tcW w:w="1184" w:type="dxa"/>
            <w:tcBorders>
              <w:tl2br w:val="nil"/>
              <w:tr2bl w:val="nil"/>
            </w:tcBorders>
            <w:noWrap w:val="0"/>
            <w:vAlign w:val="center"/>
          </w:tcPr>
          <w:p w14:paraId="2DEF65B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83.2</w:t>
            </w:r>
          </w:p>
        </w:tc>
        <w:tc>
          <w:tcPr>
            <w:tcW w:w="1184" w:type="dxa"/>
            <w:tcBorders>
              <w:tl2br w:val="nil"/>
              <w:tr2bl w:val="nil"/>
            </w:tcBorders>
            <w:noWrap w:val="0"/>
            <w:vAlign w:val="center"/>
          </w:tcPr>
          <w:p w14:paraId="2EEC696C">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87.5</w:t>
            </w:r>
          </w:p>
        </w:tc>
        <w:tc>
          <w:tcPr>
            <w:tcW w:w="1184" w:type="dxa"/>
            <w:tcBorders>
              <w:tl2br w:val="nil"/>
              <w:tr2bl w:val="nil"/>
            </w:tcBorders>
            <w:noWrap w:val="0"/>
            <w:vAlign w:val="center"/>
          </w:tcPr>
          <w:p w14:paraId="51B75A31">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94.9</w:t>
            </w:r>
          </w:p>
        </w:tc>
      </w:tr>
      <w:tr w14:paraId="4EAD2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4964E689">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1F6F1CF8">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3</w:t>
            </w:r>
          </w:p>
        </w:tc>
        <w:tc>
          <w:tcPr>
            <w:tcW w:w="1184" w:type="dxa"/>
            <w:tcBorders>
              <w:tl2br w:val="nil"/>
              <w:tr2bl w:val="nil"/>
            </w:tcBorders>
            <w:noWrap w:val="0"/>
            <w:vAlign w:val="center"/>
          </w:tcPr>
          <w:p w14:paraId="3A523131">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74.1</w:t>
            </w:r>
          </w:p>
        </w:tc>
        <w:tc>
          <w:tcPr>
            <w:tcW w:w="1184" w:type="dxa"/>
            <w:tcBorders>
              <w:tl2br w:val="nil"/>
              <w:tr2bl w:val="nil"/>
            </w:tcBorders>
            <w:noWrap w:val="0"/>
            <w:vAlign w:val="center"/>
          </w:tcPr>
          <w:p w14:paraId="53DD172E">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71.8</w:t>
            </w:r>
          </w:p>
        </w:tc>
        <w:tc>
          <w:tcPr>
            <w:tcW w:w="1184" w:type="dxa"/>
            <w:tcBorders>
              <w:tl2br w:val="nil"/>
              <w:tr2bl w:val="nil"/>
            </w:tcBorders>
            <w:noWrap w:val="0"/>
            <w:vAlign w:val="center"/>
          </w:tcPr>
          <w:p w14:paraId="3B9AD914">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85.4</w:t>
            </w:r>
          </w:p>
        </w:tc>
        <w:tc>
          <w:tcPr>
            <w:tcW w:w="1184" w:type="dxa"/>
            <w:tcBorders>
              <w:tl2br w:val="nil"/>
              <w:tr2bl w:val="nil"/>
            </w:tcBorders>
            <w:noWrap w:val="0"/>
            <w:vAlign w:val="center"/>
          </w:tcPr>
          <w:p w14:paraId="7AC66D1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74.0</w:t>
            </w:r>
          </w:p>
        </w:tc>
        <w:tc>
          <w:tcPr>
            <w:tcW w:w="1184" w:type="dxa"/>
            <w:tcBorders>
              <w:tl2br w:val="nil"/>
              <w:tr2bl w:val="nil"/>
            </w:tcBorders>
            <w:noWrap w:val="0"/>
            <w:vAlign w:val="center"/>
          </w:tcPr>
          <w:p w14:paraId="6E6B0BA9">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84.0</w:t>
            </w:r>
          </w:p>
        </w:tc>
        <w:tc>
          <w:tcPr>
            <w:tcW w:w="1184" w:type="dxa"/>
            <w:tcBorders>
              <w:tl2br w:val="nil"/>
              <w:tr2bl w:val="nil"/>
            </w:tcBorders>
            <w:noWrap w:val="0"/>
            <w:vAlign w:val="center"/>
          </w:tcPr>
          <w:p w14:paraId="10D2579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106</w:t>
            </w:r>
          </w:p>
        </w:tc>
      </w:tr>
      <w:tr w14:paraId="3EB06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6F3C6434">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44CF17CF">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4</w:t>
            </w:r>
          </w:p>
        </w:tc>
        <w:tc>
          <w:tcPr>
            <w:tcW w:w="1184" w:type="dxa"/>
            <w:tcBorders>
              <w:tl2br w:val="nil"/>
              <w:tr2bl w:val="nil"/>
            </w:tcBorders>
            <w:noWrap w:val="0"/>
            <w:vAlign w:val="center"/>
          </w:tcPr>
          <w:p w14:paraId="344E15C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100</w:t>
            </w:r>
          </w:p>
        </w:tc>
        <w:tc>
          <w:tcPr>
            <w:tcW w:w="1184" w:type="dxa"/>
            <w:tcBorders>
              <w:tl2br w:val="nil"/>
              <w:tr2bl w:val="nil"/>
            </w:tcBorders>
            <w:noWrap w:val="0"/>
            <w:vAlign w:val="center"/>
          </w:tcPr>
          <w:p w14:paraId="250CDDD5">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95.2</w:t>
            </w:r>
          </w:p>
        </w:tc>
        <w:tc>
          <w:tcPr>
            <w:tcW w:w="1184" w:type="dxa"/>
            <w:tcBorders>
              <w:tl2br w:val="nil"/>
              <w:tr2bl w:val="nil"/>
            </w:tcBorders>
            <w:noWrap w:val="0"/>
            <w:vAlign w:val="center"/>
          </w:tcPr>
          <w:p w14:paraId="7D1AB22D">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102</w:t>
            </w:r>
          </w:p>
        </w:tc>
        <w:tc>
          <w:tcPr>
            <w:tcW w:w="1184" w:type="dxa"/>
            <w:tcBorders>
              <w:tl2br w:val="nil"/>
              <w:tr2bl w:val="nil"/>
            </w:tcBorders>
            <w:noWrap w:val="0"/>
            <w:vAlign w:val="center"/>
          </w:tcPr>
          <w:p w14:paraId="1F23C42E">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76.7</w:t>
            </w:r>
          </w:p>
        </w:tc>
        <w:tc>
          <w:tcPr>
            <w:tcW w:w="1184" w:type="dxa"/>
            <w:tcBorders>
              <w:tl2br w:val="nil"/>
              <w:tr2bl w:val="nil"/>
            </w:tcBorders>
            <w:noWrap w:val="0"/>
            <w:vAlign w:val="center"/>
          </w:tcPr>
          <w:p w14:paraId="2C029060">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79.8</w:t>
            </w:r>
          </w:p>
        </w:tc>
        <w:tc>
          <w:tcPr>
            <w:tcW w:w="1184" w:type="dxa"/>
            <w:tcBorders>
              <w:tl2br w:val="nil"/>
              <w:tr2bl w:val="nil"/>
            </w:tcBorders>
            <w:noWrap w:val="0"/>
            <w:vAlign w:val="center"/>
          </w:tcPr>
          <w:p w14:paraId="5D4D897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95.2</w:t>
            </w:r>
          </w:p>
        </w:tc>
      </w:tr>
      <w:tr w14:paraId="6D6BB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1472E793">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2DF2DB4A">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5</w:t>
            </w:r>
          </w:p>
        </w:tc>
        <w:tc>
          <w:tcPr>
            <w:tcW w:w="1184" w:type="dxa"/>
            <w:tcBorders>
              <w:tl2br w:val="nil"/>
              <w:tr2bl w:val="nil"/>
            </w:tcBorders>
            <w:noWrap w:val="0"/>
            <w:vAlign w:val="center"/>
          </w:tcPr>
          <w:p w14:paraId="517C4F23">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84.5</w:t>
            </w:r>
          </w:p>
        </w:tc>
        <w:tc>
          <w:tcPr>
            <w:tcW w:w="1184" w:type="dxa"/>
            <w:tcBorders>
              <w:tl2br w:val="nil"/>
              <w:tr2bl w:val="nil"/>
            </w:tcBorders>
            <w:noWrap w:val="0"/>
            <w:vAlign w:val="center"/>
          </w:tcPr>
          <w:p w14:paraId="5BD3A8F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94.6</w:t>
            </w:r>
          </w:p>
        </w:tc>
        <w:tc>
          <w:tcPr>
            <w:tcW w:w="1184" w:type="dxa"/>
            <w:tcBorders>
              <w:tl2br w:val="nil"/>
              <w:tr2bl w:val="nil"/>
            </w:tcBorders>
            <w:noWrap w:val="0"/>
            <w:vAlign w:val="center"/>
          </w:tcPr>
          <w:p w14:paraId="55E6130F">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103</w:t>
            </w:r>
          </w:p>
        </w:tc>
        <w:tc>
          <w:tcPr>
            <w:tcW w:w="1184" w:type="dxa"/>
            <w:tcBorders>
              <w:tl2br w:val="nil"/>
              <w:tr2bl w:val="nil"/>
            </w:tcBorders>
            <w:noWrap w:val="0"/>
            <w:vAlign w:val="center"/>
          </w:tcPr>
          <w:p w14:paraId="4FDB932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93.9</w:t>
            </w:r>
          </w:p>
        </w:tc>
        <w:tc>
          <w:tcPr>
            <w:tcW w:w="1184" w:type="dxa"/>
            <w:tcBorders>
              <w:tl2br w:val="nil"/>
              <w:tr2bl w:val="nil"/>
            </w:tcBorders>
            <w:noWrap w:val="0"/>
            <w:vAlign w:val="center"/>
          </w:tcPr>
          <w:p w14:paraId="1699D3D9">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99.1</w:t>
            </w:r>
          </w:p>
        </w:tc>
        <w:tc>
          <w:tcPr>
            <w:tcW w:w="1184" w:type="dxa"/>
            <w:tcBorders>
              <w:tl2br w:val="nil"/>
              <w:tr2bl w:val="nil"/>
            </w:tcBorders>
            <w:noWrap w:val="0"/>
            <w:vAlign w:val="center"/>
          </w:tcPr>
          <w:p w14:paraId="2D3712D1">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r>
      <w:tr w14:paraId="71098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28FD4ADC">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148F3D25">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6</w:t>
            </w:r>
          </w:p>
        </w:tc>
        <w:tc>
          <w:tcPr>
            <w:tcW w:w="1184" w:type="dxa"/>
            <w:tcBorders>
              <w:tl2br w:val="nil"/>
              <w:tr2bl w:val="nil"/>
            </w:tcBorders>
            <w:noWrap w:val="0"/>
            <w:vAlign w:val="center"/>
          </w:tcPr>
          <w:p w14:paraId="5B1E01EF">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91.0</w:t>
            </w:r>
          </w:p>
        </w:tc>
        <w:tc>
          <w:tcPr>
            <w:tcW w:w="1184" w:type="dxa"/>
            <w:tcBorders>
              <w:tl2br w:val="nil"/>
              <w:tr2bl w:val="nil"/>
            </w:tcBorders>
            <w:noWrap w:val="0"/>
            <w:vAlign w:val="center"/>
          </w:tcPr>
          <w:p w14:paraId="0E30D1B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87.0</w:t>
            </w:r>
          </w:p>
        </w:tc>
        <w:tc>
          <w:tcPr>
            <w:tcW w:w="1184" w:type="dxa"/>
            <w:tcBorders>
              <w:tl2br w:val="nil"/>
              <w:tr2bl w:val="nil"/>
            </w:tcBorders>
            <w:noWrap w:val="0"/>
            <w:vAlign w:val="center"/>
          </w:tcPr>
          <w:p w14:paraId="127EC725">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102</w:t>
            </w:r>
          </w:p>
        </w:tc>
        <w:tc>
          <w:tcPr>
            <w:tcW w:w="1184" w:type="dxa"/>
            <w:tcBorders>
              <w:tl2br w:val="nil"/>
              <w:tr2bl w:val="nil"/>
            </w:tcBorders>
            <w:noWrap w:val="0"/>
            <w:vAlign w:val="center"/>
          </w:tcPr>
          <w:p w14:paraId="77455FFB">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93.0</w:t>
            </w:r>
          </w:p>
        </w:tc>
        <w:tc>
          <w:tcPr>
            <w:tcW w:w="1184" w:type="dxa"/>
            <w:tcBorders>
              <w:tl2br w:val="nil"/>
              <w:tr2bl w:val="nil"/>
            </w:tcBorders>
            <w:noWrap w:val="0"/>
            <w:vAlign w:val="center"/>
          </w:tcPr>
          <w:p w14:paraId="5F1D896B">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val="en-US" w:eastAsia="zh-CN"/>
              </w:rPr>
              <w:t>113</w:t>
            </w:r>
          </w:p>
        </w:tc>
        <w:tc>
          <w:tcPr>
            <w:tcW w:w="1184" w:type="dxa"/>
            <w:tcBorders>
              <w:tl2br w:val="nil"/>
              <w:tr2bl w:val="nil"/>
            </w:tcBorders>
            <w:noWrap w:val="0"/>
            <w:vAlign w:val="center"/>
          </w:tcPr>
          <w:p w14:paraId="1F447F9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113</w:t>
            </w:r>
          </w:p>
        </w:tc>
      </w:tr>
      <w:tr w14:paraId="6FD7E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16" w:type="dxa"/>
            <w:gridSpan w:val="2"/>
            <w:tcBorders>
              <w:tl2br w:val="nil"/>
              <w:tr2bl w:val="nil"/>
            </w:tcBorders>
            <w:noWrap w:val="0"/>
            <w:vAlign w:val="center"/>
          </w:tcPr>
          <w:p w14:paraId="1FB3FEC6">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position w:val="-4"/>
                <w:sz w:val="18"/>
                <w:szCs w:val="18"/>
                <w:highlight w:val="none"/>
              </w:rPr>
              <w:object>
                <v:shape id="_x0000_i1211" o:spt="75" type="#_x0000_t75" style="height:15pt;width:11pt;" o:ole="t" filled="f" o:preferrelative="t" stroked="f" coordsize="21600,21600">
                  <v:path/>
                  <v:fill on="f" focussize="0,0"/>
                  <v:stroke on="f"/>
                  <v:imagedata r:id="rId260" o:title=""/>
                  <o:lock v:ext="edit" aspectratio="t"/>
                  <w10:wrap type="none"/>
                  <w10:anchorlock/>
                </v:shape>
                <o:OLEObject Type="Embed" ProgID="Equation.3" ShapeID="_x0000_i1211" DrawAspect="Content" ObjectID="_1468075899" r:id="rId259">
                  <o:LockedField>false</o:LockedField>
                </o:OLEObject>
              </w:object>
            </w:r>
            <w:r>
              <w:rPr>
                <w:rFonts w:hint="default" w:ascii="Times New Roman" w:hAnsi="Times New Roman" w:cs="Times New Roman"/>
                <w:color w:val="000000"/>
                <w:sz w:val="18"/>
                <w:szCs w:val="18"/>
                <w:highlight w:val="none"/>
              </w:rPr>
              <w:t>（%）</w:t>
            </w:r>
          </w:p>
        </w:tc>
        <w:tc>
          <w:tcPr>
            <w:tcW w:w="1184" w:type="dxa"/>
            <w:tcBorders>
              <w:tl2br w:val="nil"/>
              <w:tr2bl w:val="nil"/>
            </w:tcBorders>
            <w:noWrap w:val="0"/>
            <w:vAlign w:val="center"/>
          </w:tcPr>
          <w:p w14:paraId="3F724DAA">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86.3</w:t>
            </w:r>
          </w:p>
        </w:tc>
        <w:tc>
          <w:tcPr>
            <w:tcW w:w="1184" w:type="dxa"/>
            <w:tcBorders>
              <w:tl2br w:val="nil"/>
              <w:tr2bl w:val="nil"/>
            </w:tcBorders>
            <w:noWrap w:val="0"/>
            <w:vAlign w:val="center"/>
          </w:tcPr>
          <w:p w14:paraId="1FB6835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85.4</w:t>
            </w:r>
          </w:p>
        </w:tc>
        <w:tc>
          <w:tcPr>
            <w:tcW w:w="1184" w:type="dxa"/>
            <w:tcBorders>
              <w:tl2br w:val="nil"/>
              <w:tr2bl w:val="nil"/>
            </w:tcBorders>
            <w:noWrap w:val="0"/>
            <w:vAlign w:val="center"/>
          </w:tcPr>
          <w:p w14:paraId="6D95203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95.2</w:t>
            </w:r>
          </w:p>
        </w:tc>
        <w:tc>
          <w:tcPr>
            <w:tcW w:w="1184" w:type="dxa"/>
            <w:tcBorders>
              <w:tl2br w:val="nil"/>
              <w:tr2bl w:val="nil"/>
            </w:tcBorders>
            <w:noWrap w:val="0"/>
            <w:vAlign w:val="center"/>
          </w:tcPr>
          <w:p w14:paraId="27BD160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83.8</w:t>
            </w:r>
          </w:p>
        </w:tc>
        <w:tc>
          <w:tcPr>
            <w:tcW w:w="1184" w:type="dxa"/>
            <w:tcBorders>
              <w:tl2br w:val="nil"/>
              <w:tr2bl w:val="nil"/>
            </w:tcBorders>
            <w:noWrap w:val="0"/>
            <w:vAlign w:val="center"/>
          </w:tcPr>
          <w:p w14:paraId="510446A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92.5</w:t>
            </w:r>
          </w:p>
        </w:tc>
        <w:tc>
          <w:tcPr>
            <w:tcW w:w="1184" w:type="dxa"/>
            <w:tcBorders>
              <w:tl2br w:val="nil"/>
              <w:tr2bl w:val="nil"/>
            </w:tcBorders>
            <w:noWrap w:val="0"/>
            <w:vAlign w:val="center"/>
          </w:tcPr>
          <w:p w14:paraId="74ADF91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102</w:t>
            </w:r>
          </w:p>
        </w:tc>
      </w:tr>
      <w:tr w14:paraId="09E0D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16" w:type="dxa"/>
            <w:gridSpan w:val="2"/>
            <w:tcBorders>
              <w:tl2br w:val="nil"/>
              <w:tr2bl w:val="nil"/>
            </w:tcBorders>
            <w:noWrap w:val="0"/>
            <w:vAlign w:val="center"/>
          </w:tcPr>
          <w:p w14:paraId="295CCEC6">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position w:val="-14"/>
                <w:sz w:val="18"/>
                <w:szCs w:val="18"/>
                <w:highlight w:val="none"/>
              </w:rPr>
              <w:drawing>
                <wp:inline distT="0" distB="0" distL="114300" distR="114300">
                  <wp:extent cx="177800" cy="241300"/>
                  <wp:effectExtent l="0" t="0" r="0" b="0"/>
                  <wp:docPr id="22"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8"/>
                          <pic:cNvPicPr>
                            <a:picLocks noChangeAspect="1"/>
                          </pic:cNvPicPr>
                        </pic:nvPicPr>
                        <pic:blipFill>
                          <a:blip r:embed="rId261"/>
                          <a:stretch>
                            <a:fillRect/>
                          </a:stretch>
                        </pic:blipFill>
                        <pic:spPr>
                          <a:xfrm>
                            <a:off x="0" y="0"/>
                            <a:ext cx="177800" cy="241300"/>
                          </a:xfrm>
                          <a:prstGeom prst="rect">
                            <a:avLst/>
                          </a:prstGeom>
                          <a:noFill/>
                          <a:ln>
                            <a:noFill/>
                          </a:ln>
                        </pic:spPr>
                      </pic:pic>
                    </a:graphicData>
                  </a:graphic>
                </wp:inline>
              </w:drawing>
            </w:r>
            <w:r>
              <w:rPr>
                <w:rFonts w:hint="default" w:ascii="Times New Roman" w:hAnsi="Times New Roman" w:cs="Times New Roman"/>
                <w:color w:val="000000"/>
                <w:sz w:val="18"/>
                <w:szCs w:val="18"/>
                <w:highlight w:val="none"/>
              </w:rPr>
              <w:t>（%）</w:t>
            </w:r>
          </w:p>
        </w:tc>
        <w:tc>
          <w:tcPr>
            <w:tcW w:w="1184" w:type="dxa"/>
            <w:tcBorders>
              <w:tl2br w:val="nil"/>
              <w:tr2bl w:val="nil"/>
            </w:tcBorders>
            <w:noWrap w:val="0"/>
            <w:vAlign w:val="center"/>
          </w:tcPr>
          <w:p w14:paraId="550801AB">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8.7</w:t>
            </w:r>
          </w:p>
        </w:tc>
        <w:tc>
          <w:tcPr>
            <w:tcW w:w="1184" w:type="dxa"/>
            <w:tcBorders>
              <w:tl2br w:val="nil"/>
              <w:tr2bl w:val="nil"/>
            </w:tcBorders>
            <w:noWrap w:val="0"/>
            <w:vAlign w:val="center"/>
          </w:tcPr>
          <w:p w14:paraId="2CDA4AC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9.2</w:t>
            </w:r>
          </w:p>
        </w:tc>
        <w:tc>
          <w:tcPr>
            <w:tcW w:w="1184" w:type="dxa"/>
            <w:tcBorders>
              <w:tl2br w:val="nil"/>
              <w:tr2bl w:val="nil"/>
            </w:tcBorders>
            <w:noWrap w:val="0"/>
            <w:vAlign w:val="center"/>
          </w:tcPr>
          <w:p w14:paraId="059D85B6">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8.0</w:t>
            </w:r>
          </w:p>
        </w:tc>
        <w:tc>
          <w:tcPr>
            <w:tcW w:w="1184" w:type="dxa"/>
            <w:tcBorders>
              <w:tl2br w:val="nil"/>
              <w:tr2bl w:val="nil"/>
            </w:tcBorders>
            <w:noWrap w:val="0"/>
            <w:vAlign w:val="center"/>
          </w:tcPr>
          <w:p w14:paraId="2716179F">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8.2</w:t>
            </w:r>
          </w:p>
        </w:tc>
        <w:tc>
          <w:tcPr>
            <w:tcW w:w="1184" w:type="dxa"/>
            <w:tcBorders>
              <w:tl2br w:val="nil"/>
              <w:tr2bl w:val="nil"/>
            </w:tcBorders>
            <w:noWrap w:val="0"/>
            <w:vAlign w:val="center"/>
          </w:tcPr>
          <w:p w14:paraId="33B32A4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12.0</w:t>
            </w:r>
          </w:p>
        </w:tc>
        <w:tc>
          <w:tcPr>
            <w:tcW w:w="1184" w:type="dxa"/>
            <w:tcBorders>
              <w:tl2br w:val="nil"/>
              <w:tr2bl w:val="nil"/>
            </w:tcBorders>
            <w:noWrap w:val="0"/>
            <w:vAlign w:val="center"/>
          </w:tcPr>
          <w:p w14:paraId="1781269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7.0</w:t>
            </w:r>
          </w:p>
        </w:tc>
      </w:tr>
      <w:tr w14:paraId="14E4A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16" w:type="dxa"/>
            <w:gridSpan w:val="2"/>
            <w:tcBorders>
              <w:tl2br w:val="nil"/>
              <w:tr2bl w:val="nil"/>
            </w:tcBorders>
            <w:noWrap w:val="0"/>
            <w:vAlign w:val="center"/>
          </w:tcPr>
          <w:p w14:paraId="239C1F51">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r>
              <w:rPr>
                <w:rFonts w:hint="default" w:ascii="Times New Roman" w:hAnsi="Times New Roman" w:cs="Times New Roman"/>
                <w:color w:val="000000"/>
                <w:position w:val="-14"/>
                <w:sz w:val="18"/>
                <w:szCs w:val="18"/>
                <w:highlight w:val="none"/>
              </w:rPr>
              <w:drawing>
                <wp:inline distT="0" distB="0" distL="114300" distR="114300">
                  <wp:extent cx="177800" cy="241300"/>
                  <wp:effectExtent l="0" t="0" r="0" b="0"/>
                  <wp:docPr id="23"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9"/>
                          <pic:cNvPicPr>
                            <a:picLocks noChangeAspect="1"/>
                          </pic:cNvPicPr>
                        </pic:nvPicPr>
                        <pic:blipFill>
                          <a:blip r:embed="rId261"/>
                          <a:stretch>
                            <a:fillRect/>
                          </a:stretch>
                        </pic:blipFill>
                        <pic:spPr>
                          <a:xfrm>
                            <a:off x="0" y="0"/>
                            <a:ext cx="177800" cy="241300"/>
                          </a:xfrm>
                          <a:prstGeom prst="rect">
                            <a:avLst/>
                          </a:prstGeom>
                          <a:noFill/>
                          <a:ln>
                            <a:noFill/>
                          </a:ln>
                        </pic:spPr>
                      </pic:pic>
                    </a:graphicData>
                  </a:graphic>
                </wp:inline>
              </w:drawing>
            </w:r>
            <w:r>
              <w:rPr>
                <w:rFonts w:hint="default" w:ascii="Times New Roman" w:hAnsi="Times New Roman" w:cs="Times New Roman"/>
                <w:color w:val="000000"/>
                <w:sz w:val="18"/>
                <w:szCs w:val="18"/>
                <w:highlight w:val="none"/>
              </w:rPr>
              <w:t>（%）</w:t>
            </w:r>
          </w:p>
        </w:tc>
        <w:tc>
          <w:tcPr>
            <w:tcW w:w="1184" w:type="dxa"/>
            <w:tcBorders>
              <w:tl2br w:val="nil"/>
              <w:tr2bl w:val="nil"/>
            </w:tcBorders>
            <w:noWrap w:val="0"/>
            <w:vAlign w:val="center"/>
          </w:tcPr>
          <w:p w14:paraId="038F98F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17.4</w:t>
            </w:r>
          </w:p>
        </w:tc>
        <w:tc>
          <w:tcPr>
            <w:tcW w:w="1184" w:type="dxa"/>
            <w:tcBorders>
              <w:tl2br w:val="nil"/>
              <w:tr2bl w:val="nil"/>
            </w:tcBorders>
            <w:noWrap w:val="0"/>
            <w:vAlign w:val="center"/>
          </w:tcPr>
          <w:p w14:paraId="548CFA55">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18.4</w:t>
            </w:r>
          </w:p>
        </w:tc>
        <w:tc>
          <w:tcPr>
            <w:tcW w:w="1184" w:type="dxa"/>
            <w:tcBorders>
              <w:tl2br w:val="nil"/>
              <w:tr2bl w:val="nil"/>
            </w:tcBorders>
            <w:noWrap w:val="0"/>
            <w:vAlign w:val="center"/>
          </w:tcPr>
          <w:p w14:paraId="561DF2B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16.0</w:t>
            </w:r>
          </w:p>
        </w:tc>
        <w:tc>
          <w:tcPr>
            <w:tcW w:w="1184" w:type="dxa"/>
            <w:tcBorders>
              <w:tl2br w:val="nil"/>
              <w:tr2bl w:val="nil"/>
            </w:tcBorders>
            <w:noWrap w:val="0"/>
            <w:vAlign w:val="center"/>
          </w:tcPr>
          <w:p w14:paraId="2351FAB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16.4</w:t>
            </w:r>
          </w:p>
        </w:tc>
        <w:tc>
          <w:tcPr>
            <w:tcW w:w="1184" w:type="dxa"/>
            <w:tcBorders>
              <w:tl2br w:val="nil"/>
              <w:tr2bl w:val="nil"/>
            </w:tcBorders>
            <w:noWrap w:val="0"/>
            <w:vAlign w:val="center"/>
          </w:tcPr>
          <w:p w14:paraId="6671841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24.1</w:t>
            </w:r>
          </w:p>
        </w:tc>
        <w:tc>
          <w:tcPr>
            <w:tcW w:w="1184" w:type="dxa"/>
            <w:tcBorders>
              <w:tl2br w:val="nil"/>
              <w:tr2bl w:val="nil"/>
            </w:tcBorders>
            <w:noWrap w:val="0"/>
            <w:vAlign w:val="center"/>
          </w:tcPr>
          <w:p w14:paraId="2EFA2F4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13.9</w:t>
            </w:r>
          </w:p>
        </w:tc>
      </w:tr>
      <w:tr w14:paraId="2D68B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restart"/>
            <w:tcBorders>
              <w:tl2br w:val="nil"/>
              <w:tr2bl w:val="nil"/>
            </w:tcBorders>
            <w:noWrap w:val="0"/>
            <w:vAlign w:val="center"/>
          </w:tcPr>
          <w:p w14:paraId="4C68BABB">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743" w:type="dxa"/>
            <w:tcBorders>
              <w:tl2br w:val="nil"/>
              <w:tr2bl w:val="nil"/>
            </w:tcBorders>
            <w:noWrap w:val="0"/>
            <w:vAlign w:val="center"/>
          </w:tcPr>
          <w:p w14:paraId="3520E384">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kern w:val="2"/>
                <w:sz w:val="18"/>
                <w:szCs w:val="18"/>
                <w:highlight w:val="none"/>
                <w:lang w:eastAsia="zh-CN"/>
              </w:rPr>
            </w:pPr>
            <w:r>
              <w:rPr>
                <w:rFonts w:hint="default" w:ascii="Times New Roman" w:hAnsi="Times New Roman" w:cs="Times New Roman"/>
                <w:color w:val="000000"/>
                <w:sz w:val="18"/>
                <w:szCs w:val="18"/>
                <w:highlight w:val="none"/>
                <w:lang w:val="en-US" w:eastAsia="zh-CN"/>
              </w:rPr>
              <w:t>1</w:t>
            </w:r>
          </w:p>
        </w:tc>
        <w:tc>
          <w:tcPr>
            <w:tcW w:w="1184" w:type="dxa"/>
            <w:tcBorders>
              <w:tl2br w:val="nil"/>
              <w:tr2bl w:val="nil"/>
            </w:tcBorders>
            <w:noWrap w:val="0"/>
            <w:vAlign w:val="center"/>
          </w:tcPr>
          <w:p w14:paraId="27322D19">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82.7</w:t>
            </w:r>
          </w:p>
        </w:tc>
        <w:tc>
          <w:tcPr>
            <w:tcW w:w="1184" w:type="dxa"/>
            <w:tcBorders>
              <w:tl2br w:val="nil"/>
              <w:tr2bl w:val="nil"/>
            </w:tcBorders>
            <w:noWrap w:val="0"/>
            <w:vAlign w:val="center"/>
          </w:tcPr>
          <w:p w14:paraId="113A64DA">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77.8</w:t>
            </w:r>
          </w:p>
        </w:tc>
        <w:tc>
          <w:tcPr>
            <w:tcW w:w="1184" w:type="dxa"/>
            <w:tcBorders>
              <w:tl2br w:val="nil"/>
              <w:tr2bl w:val="nil"/>
            </w:tcBorders>
            <w:noWrap w:val="0"/>
            <w:vAlign w:val="center"/>
          </w:tcPr>
          <w:p w14:paraId="3476FDF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85.1</w:t>
            </w:r>
          </w:p>
        </w:tc>
        <w:tc>
          <w:tcPr>
            <w:tcW w:w="1184" w:type="dxa"/>
            <w:tcBorders>
              <w:tl2br w:val="nil"/>
              <w:tr2bl w:val="nil"/>
            </w:tcBorders>
            <w:noWrap w:val="0"/>
            <w:vAlign w:val="center"/>
          </w:tcPr>
          <w:p w14:paraId="3BE1FF8D">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77.8</w:t>
            </w:r>
          </w:p>
        </w:tc>
        <w:tc>
          <w:tcPr>
            <w:tcW w:w="1184" w:type="dxa"/>
            <w:tcBorders>
              <w:tl2br w:val="nil"/>
              <w:tr2bl w:val="nil"/>
            </w:tcBorders>
            <w:noWrap w:val="0"/>
            <w:vAlign w:val="center"/>
          </w:tcPr>
          <w:p w14:paraId="33C68F73">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91.5</w:t>
            </w:r>
          </w:p>
        </w:tc>
        <w:tc>
          <w:tcPr>
            <w:tcW w:w="1184" w:type="dxa"/>
            <w:tcBorders>
              <w:tl2br w:val="nil"/>
              <w:tr2bl w:val="nil"/>
            </w:tcBorders>
            <w:noWrap w:val="0"/>
            <w:vAlign w:val="center"/>
          </w:tcPr>
          <w:p w14:paraId="4B614CBA">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96.0</w:t>
            </w:r>
          </w:p>
        </w:tc>
      </w:tr>
      <w:tr w14:paraId="10C36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345775E7">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6F4AB5F8">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2</w:t>
            </w:r>
          </w:p>
        </w:tc>
        <w:tc>
          <w:tcPr>
            <w:tcW w:w="1184" w:type="dxa"/>
            <w:tcBorders>
              <w:tl2br w:val="nil"/>
              <w:tr2bl w:val="nil"/>
            </w:tcBorders>
            <w:noWrap w:val="0"/>
            <w:vAlign w:val="center"/>
          </w:tcPr>
          <w:p w14:paraId="4B275DD4">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90.5</w:t>
            </w:r>
          </w:p>
        </w:tc>
        <w:tc>
          <w:tcPr>
            <w:tcW w:w="1184" w:type="dxa"/>
            <w:tcBorders>
              <w:tl2br w:val="nil"/>
              <w:tr2bl w:val="nil"/>
            </w:tcBorders>
            <w:noWrap w:val="0"/>
            <w:vAlign w:val="center"/>
          </w:tcPr>
          <w:p w14:paraId="43C0891C">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91.8</w:t>
            </w:r>
          </w:p>
        </w:tc>
        <w:tc>
          <w:tcPr>
            <w:tcW w:w="1184" w:type="dxa"/>
            <w:tcBorders>
              <w:tl2br w:val="nil"/>
              <w:tr2bl w:val="nil"/>
            </w:tcBorders>
            <w:noWrap w:val="0"/>
            <w:vAlign w:val="center"/>
          </w:tcPr>
          <w:p w14:paraId="28624780">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90.9</w:t>
            </w:r>
          </w:p>
        </w:tc>
        <w:tc>
          <w:tcPr>
            <w:tcW w:w="1184" w:type="dxa"/>
            <w:tcBorders>
              <w:tl2br w:val="nil"/>
              <w:tr2bl w:val="nil"/>
            </w:tcBorders>
            <w:noWrap w:val="0"/>
            <w:vAlign w:val="center"/>
          </w:tcPr>
          <w:p w14:paraId="4218BE73">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83.0</w:t>
            </w:r>
          </w:p>
        </w:tc>
        <w:tc>
          <w:tcPr>
            <w:tcW w:w="1184" w:type="dxa"/>
            <w:tcBorders>
              <w:tl2br w:val="nil"/>
              <w:tr2bl w:val="nil"/>
            </w:tcBorders>
            <w:noWrap w:val="0"/>
            <w:vAlign w:val="center"/>
          </w:tcPr>
          <w:p w14:paraId="35E97DD6">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93.2</w:t>
            </w:r>
          </w:p>
        </w:tc>
        <w:tc>
          <w:tcPr>
            <w:tcW w:w="1184" w:type="dxa"/>
            <w:tcBorders>
              <w:tl2br w:val="nil"/>
              <w:tr2bl w:val="nil"/>
            </w:tcBorders>
            <w:noWrap w:val="0"/>
            <w:vAlign w:val="center"/>
          </w:tcPr>
          <w:p w14:paraId="2BADBBF1">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96.9</w:t>
            </w:r>
          </w:p>
        </w:tc>
      </w:tr>
      <w:tr w14:paraId="5AA46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17A8AB3B">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3BE1270D">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3</w:t>
            </w:r>
          </w:p>
        </w:tc>
        <w:tc>
          <w:tcPr>
            <w:tcW w:w="1184" w:type="dxa"/>
            <w:tcBorders>
              <w:tl2br w:val="nil"/>
              <w:tr2bl w:val="nil"/>
            </w:tcBorders>
            <w:noWrap w:val="0"/>
            <w:vAlign w:val="center"/>
          </w:tcPr>
          <w:p w14:paraId="5E102B7E">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76.0</w:t>
            </w:r>
          </w:p>
        </w:tc>
        <w:tc>
          <w:tcPr>
            <w:tcW w:w="1184" w:type="dxa"/>
            <w:tcBorders>
              <w:tl2br w:val="nil"/>
              <w:tr2bl w:val="nil"/>
            </w:tcBorders>
            <w:noWrap w:val="0"/>
            <w:vAlign w:val="center"/>
          </w:tcPr>
          <w:p w14:paraId="0A4495DE">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73.0</w:t>
            </w:r>
          </w:p>
        </w:tc>
        <w:tc>
          <w:tcPr>
            <w:tcW w:w="1184" w:type="dxa"/>
            <w:tcBorders>
              <w:tl2br w:val="nil"/>
              <w:tr2bl w:val="nil"/>
            </w:tcBorders>
            <w:noWrap w:val="0"/>
            <w:vAlign w:val="center"/>
          </w:tcPr>
          <w:p w14:paraId="217A7CCA">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81.3</w:t>
            </w:r>
          </w:p>
        </w:tc>
        <w:tc>
          <w:tcPr>
            <w:tcW w:w="1184" w:type="dxa"/>
            <w:tcBorders>
              <w:tl2br w:val="nil"/>
              <w:tr2bl w:val="nil"/>
            </w:tcBorders>
            <w:noWrap w:val="0"/>
            <w:vAlign w:val="center"/>
          </w:tcPr>
          <w:p w14:paraId="40670B6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71.0</w:t>
            </w:r>
          </w:p>
        </w:tc>
        <w:tc>
          <w:tcPr>
            <w:tcW w:w="1184" w:type="dxa"/>
            <w:tcBorders>
              <w:tl2br w:val="nil"/>
              <w:tr2bl w:val="nil"/>
            </w:tcBorders>
            <w:noWrap w:val="0"/>
            <w:vAlign w:val="center"/>
          </w:tcPr>
          <w:p w14:paraId="2597D705">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86.5</w:t>
            </w:r>
          </w:p>
        </w:tc>
        <w:tc>
          <w:tcPr>
            <w:tcW w:w="1184" w:type="dxa"/>
            <w:tcBorders>
              <w:tl2br w:val="nil"/>
              <w:tr2bl w:val="nil"/>
            </w:tcBorders>
            <w:noWrap w:val="0"/>
            <w:vAlign w:val="center"/>
          </w:tcPr>
          <w:p w14:paraId="6619F4D0">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97.6</w:t>
            </w:r>
          </w:p>
        </w:tc>
      </w:tr>
      <w:tr w14:paraId="4BCCB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325758CE">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36930B39">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4</w:t>
            </w:r>
          </w:p>
        </w:tc>
        <w:tc>
          <w:tcPr>
            <w:tcW w:w="1184" w:type="dxa"/>
            <w:tcBorders>
              <w:tl2br w:val="nil"/>
              <w:tr2bl w:val="nil"/>
            </w:tcBorders>
            <w:noWrap w:val="0"/>
            <w:vAlign w:val="center"/>
          </w:tcPr>
          <w:p w14:paraId="427C4741">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99.3</w:t>
            </w:r>
          </w:p>
        </w:tc>
        <w:tc>
          <w:tcPr>
            <w:tcW w:w="1184" w:type="dxa"/>
            <w:tcBorders>
              <w:tl2br w:val="nil"/>
              <w:tr2bl w:val="nil"/>
            </w:tcBorders>
            <w:noWrap w:val="0"/>
            <w:vAlign w:val="center"/>
          </w:tcPr>
          <w:p w14:paraId="59960D8C">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102</w:t>
            </w:r>
          </w:p>
        </w:tc>
        <w:tc>
          <w:tcPr>
            <w:tcW w:w="1184" w:type="dxa"/>
            <w:tcBorders>
              <w:tl2br w:val="nil"/>
              <w:tr2bl w:val="nil"/>
            </w:tcBorders>
            <w:noWrap w:val="0"/>
            <w:vAlign w:val="center"/>
          </w:tcPr>
          <w:p w14:paraId="736E557F">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99.2</w:t>
            </w:r>
          </w:p>
        </w:tc>
        <w:tc>
          <w:tcPr>
            <w:tcW w:w="1184" w:type="dxa"/>
            <w:tcBorders>
              <w:tl2br w:val="nil"/>
              <w:tr2bl w:val="nil"/>
            </w:tcBorders>
            <w:noWrap w:val="0"/>
            <w:vAlign w:val="center"/>
          </w:tcPr>
          <w:p w14:paraId="2412FEFE">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79.5</w:t>
            </w:r>
          </w:p>
        </w:tc>
        <w:tc>
          <w:tcPr>
            <w:tcW w:w="1184" w:type="dxa"/>
            <w:tcBorders>
              <w:tl2br w:val="nil"/>
              <w:tr2bl w:val="nil"/>
            </w:tcBorders>
            <w:noWrap w:val="0"/>
            <w:vAlign w:val="center"/>
          </w:tcPr>
          <w:p w14:paraId="5A1C4CC6">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96.0</w:t>
            </w:r>
          </w:p>
        </w:tc>
        <w:tc>
          <w:tcPr>
            <w:tcW w:w="1184" w:type="dxa"/>
            <w:tcBorders>
              <w:tl2br w:val="nil"/>
              <w:tr2bl w:val="nil"/>
            </w:tcBorders>
            <w:noWrap w:val="0"/>
            <w:vAlign w:val="center"/>
          </w:tcPr>
          <w:p w14:paraId="189AB923">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r>
      <w:tr w14:paraId="38A83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73" w:type="dxa"/>
            <w:vMerge w:val="continue"/>
            <w:tcBorders>
              <w:tl2br w:val="nil"/>
              <w:tr2bl w:val="nil"/>
            </w:tcBorders>
            <w:noWrap w:val="0"/>
            <w:vAlign w:val="center"/>
          </w:tcPr>
          <w:p w14:paraId="16AC75F0">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188F9266">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val="en-US" w:eastAsia="zh-CN"/>
              </w:rPr>
              <w:t>5</w:t>
            </w:r>
          </w:p>
        </w:tc>
        <w:tc>
          <w:tcPr>
            <w:tcW w:w="1184" w:type="dxa"/>
            <w:tcBorders>
              <w:tl2br w:val="nil"/>
              <w:tr2bl w:val="nil"/>
            </w:tcBorders>
            <w:noWrap w:val="0"/>
            <w:vAlign w:val="center"/>
          </w:tcPr>
          <w:p w14:paraId="2FAAD8F4">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91.7</w:t>
            </w:r>
          </w:p>
        </w:tc>
        <w:tc>
          <w:tcPr>
            <w:tcW w:w="1184" w:type="dxa"/>
            <w:tcBorders>
              <w:tl2br w:val="nil"/>
              <w:tr2bl w:val="nil"/>
            </w:tcBorders>
            <w:noWrap w:val="0"/>
            <w:vAlign w:val="center"/>
          </w:tcPr>
          <w:p w14:paraId="367702C2">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101</w:t>
            </w:r>
          </w:p>
        </w:tc>
        <w:tc>
          <w:tcPr>
            <w:tcW w:w="1184" w:type="dxa"/>
            <w:tcBorders>
              <w:tl2br w:val="nil"/>
              <w:tr2bl w:val="nil"/>
            </w:tcBorders>
            <w:noWrap w:val="0"/>
            <w:vAlign w:val="center"/>
          </w:tcPr>
          <w:p w14:paraId="0F9DB51B">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103</w:t>
            </w:r>
          </w:p>
        </w:tc>
        <w:tc>
          <w:tcPr>
            <w:tcW w:w="1184" w:type="dxa"/>
            <w:tcBorders>
              <w:tl2br w:val="nil"/>
              <w:tr2bl w:val="nil"/>
            </w:tcBorders>
            <w:noWrap w:val="0"/>
            <w:vAlign w:val="center"/>
          </w:tcPr>
          <w:p w14:paraId="042E40F8">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97.8</w:t>
            </w:r>
          </w:p>
        </w:tc>
        <w:tc>
          <w:tcPr>
            <w:tcW w:w="1184" w:type="dxa"/>
            <w:tcBorders>
              <w:tl2br w:val="nil"/>
              <w:tr2bl w:val="nil"/>
            </w:tcBorders>
            <w:noWrap w:val="0"/>
            <w:vAlign w:val="center"/>
          </w:tcPr>
          <w:p w14:paraId="76E0DE0E">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c>
          <w:tcPr>
            <w:tcW w:w="1184" w:type="dxa"/>
            <w:tcBorders>
              <w:tl2br w:val="nil"/>
              <w:tr2bl w:val="nil"/>
            </w:tcBorders>
            <w:noWrap w:val="0"/>
            <w:vAlign w:val="center"/>
          </w:tcPr>
          <w:p w14:paraId="5FA087D7">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105</w:t>
            </w:r>
          </w:p>
        </w:tc>
      </w:tr>
      <w:tr w14:paraId="0B31F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73" w:type="dxa"/>
            <w:vMerge w:val="continue"/>
            <w:tcBorders>
              <w:tl2br w:val="nil"/>
              <w:tr2bl w:val="nil"/>
            </w:tcBorders>
            <w:noWrap w:val="0"/>
            <w:vAlign w:val="center"/>
          </w:tcPr>
          <w:p w14:paraId="703E7C02">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p>
        </w:tc>
        <w:tc>
          <w:tcPr>
            <w:tcW w:w="743" w:type="dxa"/>
            <w:tcBorders>
              <w:tl2br w:val="nil"/>
              <w:tr2bl w:val="nil"/>
            </w:tcBorders>
            <w:noWrap w:val="0"/>
            <w:vAlign w:val="center"/>
          </w:tcPr>
          <w:p w14:paraId="0F109560">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6</w:t>
            </w:r>
          </w:p>
        </w:tc>
        <w:tc>
          <w:tcPr>
            <w:tcW w:w="1184" w:type="dxa"/>
            <w:tcBorders>
              <w:tl2br w:val="nil"/>
              <w:tr2bl w:val="nil"/>
            </w:tcBorders>
            <w:noWrap w:val="0"/>
            <w:vAlign w:val="center"/>
          </w:tcPr>
          <w:p w14:paraId="21AA9129">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89.0</w:t>
            </w:r>
          </w:p>
        </w:tc>
        <w:tc>
          <w:tcPr>
            <w:tcW w:w="1184" w:type="dxa"/>
            <w:tcBorders>
              <w:tl2br w:val="nil"/>
              <w:tr2bl w:val="nil"/>
            </w:tcBorders>
            <w:noWrap w:val="0"/>
            <w:vAlign w:val="center"/>
          </w:tcPr>
          <w:p w14:paraId="7A3BDB18">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83.3</w:t>
            </w:r>
          </w:p>
        </w:tc>
        <w:tc>
          <w:tcPr>
            <w:tcW w:w="1184" w:type="dxa"/>
            <w:tcBorders>
              <w:tl2br w:val="nil"/>
              <w:tr2bl w:val="nil"/>
            </w:tcBorders>
            <w:noWrap w:val="0"/>
            <w:vAlign w:val="center"/>
          </w:tcPr>
          <w:p w14:paraId="0B6EA67A">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102</w:t>
            </w:r>
          </w:p>
        </w:tc>
        <w:tc>
          <w:tcPr>
            <w:tcW w:w="1184" w:type="dxa"/>
            <w:tcBorders>
              <w:tl2br w:val="nil"/>
              <w:tr2bl w:val="nil"/>
            </w:tcBorders>
            <w:noWrap w:val="0"/>
            <w:vAlign w:val="center"/>
          </w:tcPr>
          <w:p w14:paraId="53FF24E5">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95.0</w:t>
            </w:r>
          </w:p>
        </w:tc>
        <w:tc>
          <w:tcPr>
            <w:tcW w:w="1184" w:type="dxa"/>
            <w:tcBorders>
              <w:tl2br w:val="nil"/>
              <w:tr2bl w:val="nil"/>
            </w:tcBorders>
            <w:noWrap w:val="0"/>
            <w:vAlign w:val="center"/>
          </w:tcPr>
          <w:p w14:paraId="1D274ABC">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108</w:t>
            </w:r>
          </w:p>
        </w:tc>
        <w:tc>
          <w:tcPr>
            <w:tcW w:w="1184" w:type="dxa"/>
            <w:tcBorders>
              <w:tl2br w:val="nil"/>
              <w:tr2bl w:val="nil"/>
            </w:tcBorders>
            <w:noWrap w:val="0"/>
            <w:vAlign w:val="center"/>
          </w:tcPr>
          <w:p w14:paraId="22B0F830">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val="en-US" w:eastAsia="zh-CN"/>
              </w:rPr>
              <w:t>113</w:t>
            </w:r>
          </w:p>
        </w:tc>
      </w:tr>
      <w:tr w14:paraId="76CDE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616" w:type="dxa"/>
            <w:gridSpan w:val="2"/>
            <w:tcBorders>
              <w:tl2br w:val="nil"/>
              <w:tr2bl w:val="nil"/>
            </w:tcBorders>
            <w:noWrap w:val="0"/>
            <w:vAlign w:val="center"/>
          </w:tcPr>
          <w:p w14:paraId="0B42930C">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kern w:val="2"/>
                <w:sz w:val="18"/>
                <w:szCs w:val="18"/>
                <w:highlight w:val="none"/>
              </w:rPr>
            </w:pPr>
            <w:r>
              <w:rPr>
                <w:rFonts w:hint="default" w:ascii="Times New Roman" w:hAnsi="Times New Roman" w:cs="Times New Roman"/>
                <w:color w:val="000000"/>
                <w:position w:val="-4"/>
                <w:sz w:val="18"/>
                <w:szCs w:val="18"/>
                <w:highlight w:val="none"/>
              </w:rPr>
              <w:object>
                <v:shape id="_x0000_i1212" o:spt="75" type="#_x0000_t75" style="height:15pt;width:11pt;" o:ole="t" filled="f" o:preferrelative="t" stroked="f" coordsize="21600,21600">
                  <v:path/>
                  <v:fill on="f" focussize="0,0"/>
                  <v:stroke on="f"/>
                  <v:imagedata r:id="rId260" o:title=""/>
                  <o:lock v:ext="edit" aspectratio="t"/>
                  <w10:wrap type="none"/>
                  <w10:anchorlock/>
                </v:shape>
                <o:OLEObject Type="Embed" ProgID="Equation.3" ShapeID="_x0000_i1212" DrawAspect="Content" ObjectID="_1468075900" r:id="rId262">
                  <o:LockedField>false</o:LockedField>
                </o:OLEObject>
              </w:object>
            </w:r>
            <w:r>
              <w:rPr>
                <w:rFonts w:hint="default" w:ascii="Times New Roman" w:hAnsi="Times New Roman" w:cs="Times New Roman"/>
                <w:color w:val="000000"/>
                <w:sz w:val="18"/>
                <w:szCs w:val="18"/>
                <w:highlight w:val="none"/>
              </w:rPr>
              <w:t>（%）</w:t>
            </w:r>
          </w:p>
        </w:tc>
        <w:tc>
          <w:tcPr>
            <w:tcW w:w="1184" w:type="dxa"/>
            <w:tcBorders>
              <w:tl2br w:val="nil"/>
              <w:tr2bl w:val="nil"/>
            </w:tcBorders>
            <w:noWrap w:val="0"/>
            <w:vAlign w:val="center"/>
          </w:tcPr>
          <w:p w14:paraId="300FD21B">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88.2</w:t>
            </w:r>
          </w:p>
        </w:tc>
        <w:tc>
          <w:tcPr>
            <w:tcW w:w="1184" w:type="dxa"/>
            <w:tcBorders>
              <w:tl2br w:val="nil"/>
              <w:tr2bl w:val="nil"/>
            </w:tcBorders>
            <w:noWrap w:val="0"/>
            <w:vAlign w:val="center"/>
          </w:tcPr>
          <w:p w14:paraId="55F359E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88.2</w:t>
            </w:r>
          </w:p>
        </w:tc>
        <w:tc>
          <w:tcPr>
            <w:tcW w:w="1184" w:type="dxa"/>
            <w:tcBorders>
              <w:tl2br w:val="nil"/>
              <w:tr2bl w:val="nil"/>
            </w:tcBorders>
            <w:noWrap w:val="0"/>
            <w:vAlign w:val="center"/>
          </w:tcPr>
          <w:p w14:paraId="4D64A45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93.6</w:t>
            </w:r>
          </w:p>
        </w:tc>
        <w:tc>
          <w:tcPr>
            <w:tcW w:w="1184" w:type="dxa"/>
            <w:tcBorders>
              <w:tl2br w:val="nil"/>
              <w:tr2bl w:val="nil"/>
            </w:tcBorders>
            <w:noWrap w:val="0"/>
            <w:vAlign w:val="center"/>
          </w:tcPr>
          <w:p w14:paraId="71AAE077">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84.0</w:t>
            </w:r>
          </w:p>
        </w:tc>
        <w:tc>
          <w:tcPr>
            <w:tcW w:w="1184" w:type="dxa"/>
            <w:tcBorders>
              <w:tl2br w:val="nil"/>
              <w:tr2bl w:val="nil"/>
            </w:tcBorders>
            <w:noWrap w:val="0"/>
            <w:vAlign w:val="center"/>
          </w:tcPr>
          <w:p w14:paraId="187DA9DE">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96.7</w:t>
            </w:r>
          </w:p>
        </w:tc>
        <w:tc>
          <w:tcPr>
            <w:tcW w:w="1184" w:type="dxa"/>
            <w:tcBorders>
              <w:tl2br w:val="nil"/>
              <w:tr2bl w:val="nil"/>
            </w:tcBorders>
            <w:noWrap w:val="0"/>
            <w:vAlign w:val="center"/>
          </w:tcPr>
          <w:p w14:paraId="7CB6C4E2">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102</w:t>
            </w:r>
          </w:p>
        </w:tc>
      </w:tr>
      <w:tr w14:paraId="1EEBD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616" w:type="dxa"/>
            <w:gridSpan w:val="2"/>
            <w:tcBorders>
              <w:tl2br w:val="nil"/>
              <w:tr2bl w:val="nil"/>
            </w:tcBorders>
            <w:noWrap w:val="0"/>
            <w:vAlign w:val="center"/>
          </w:tcPr>
          <w:p w14:paraId="6BA5787B">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position w:val="-14"/>
                <w:sz w:val="18"/>
                <w:szCs w:val="18"/>
                <w:highlight w:val="none"/>
              </w:rPr>
              <w:drawing>
                <wp:inline distT="0" distB="0" distL="114300" distR="114300">
                  <wp:extent cx="177800" cy="241300"/>
                  <wp:effectExtent l="0" t="0" r="0" b="0"/>
                  <wp:docPr id="24"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1"/>
                          <pic:cNvPicPr>
                            <a:picLocks noChangeAspect="1"/>
                          </pic:cNvPicPr>
                        </pic:nvPicPr>
                        <pic:blipFill>
                          <a:blip r:embed="rId261"/>
                          <a:stretch>
                            <a:fillRect/>
                          </a:stretch>
                        </pic:blipFill>
                        <pic:spPr>
                          <a:xfrm>
                            <a:off x="0" y="0"/>
                            <a:ext cx="177800" cy="241300"/>
                          </a:xfrm>
                          <a:prstGeom prst="rect">
                            <a:avLst/>
                          </a:prstGeom>
                          <a:noFill/>
                          <a:ln>
                            <a:noFill/>
                          </a:ln>
                        </pic:spPr>
                      </pic:pic>
                    </a:graphicData>
                  </a:graphic>
                </wp:inline>
              </w:drawing>
            </w:r>
            <w:r>
              <w:rPr>
                <w:rFonts w:hint="default" w:ascii="Times New Roman" w:hAnsi="Times New Roman" w:cs="Times New Roman"/>
                <w:color w:val="000000"/>
                <w:sz w:val="18"/>
                <w:szCs w:val="18"/>
                <w:highlight w:val="none"/>
              </w:rPr>
              <w:t>（%）</w:t>
            </w:r>
          </w:p>
        </w:tc>
        <w:tc>
          <w:tcPr>
            <w:tcW w:w="1184" w:type="dxa"/>
            <w:tcBorders>
              <w:tl2br w:val="nil"/>
              <w:tr2bl w:val="nil"/>
            </w:tcBorders>
            <w:noWrap w:val="0"/>
            <w:vAlign w:val="center"/>
          </w:tcPr>
          <w:p w14:paraId="2D165058">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8.0</w:t>
            </w:r>
          </w:p>
        </w:tc>
        <w:tc>
          <w:tcPr>
            <w:tcW w:w="1184" w:type="dxa"/>
            <w:tcBorders>
              <w:tl2br w:val="nil"/>
              <w:tr2bl w:val="nil"/>
            </w:tcBorders>
            <w:noWrap w:val="0"/>
            <w:vAlign w:val="center"/>
          </w:tcPr>
          <w:p w14:paraId="4464035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12.1</w:t>
            </w:r>
          </w:p>
        </w:tc>
        <w:tc>
          <w:tcPr>
            <w:tcW w:w="1184" w:type="dxa"/>
            <w:tcBorders>
              <w:tl2br w:val="nil"/>
              <w:tr2bl w:val="nil"/>
            </w:tcBorders>
            <w:noWrap w:val="0"/>
            <w:vAlign w:val="center"/>
          </w:tcPr>
          <w:p w14:paraId="7CE1750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9.2</w:t>
            </w:r>
          </w:p>
        </w:tc>
        <w:tc>
          <w:tcPr>
            <w:tcW w:w="1184" w:type="dxa"/>
            <w:tcBorders>
              <w:tl2br w:val="nil"/>
              <w:tr2bl w:val="nil"/>
            </w:tcBorders>
            <w:noWrap w:val="0"/>
            <w:vAlign w:val="center"/>
          </w:tcPr>
          <w:p w14:paraId="596B2624">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10.4</w:t>
            </w:r>
          </w:p>
        </w:tc>
        <w:tc>
          <w:tcPr>
            <w:tcW w:w="1184" w:type="dxa"/>
            <w:tcBorders>
              <w:tl2br w:val="nil"/>
              <w:tr2bl w:val="nil"/>
            </w:tcBorders>
            <w:noWrap w:val="0"/>
            <w:vAlign w:val="center"/>
          </w:tcPr>
          <w:p w14:paraId="3B8E89AC">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8.3</w:t>
            </w:r>
          </w:p>
        </w:tc>
        <w:tc>
          <w:tcPr>
            <w:tcW w:w="1184" w:type="dxa"/>
            <w:tcBorders>
              <w:tl2br w:val="nil"/>
              <w:tr2bl w:val="nil"/>
            </w:tcBorders>
            <w:noWrap w:val="0"/>
            <w:vAlign w:val="center"/>
          </w:tcPr>
          <w:p w14:paraId="4A04209A">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6.6</w:t>
            </w:r>
          </w:p>
        </w:tc>
      </w:tr>
      <w:tr w14:paraId="484D8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616" w:type="dxa"/>
            <w:gridSpan w:val="2"/>
            <w:tcBorders>
              <w:tl2br w:val="nil"/>
              <w:tr2bl w:val="nil"/>
            </w:tcBorders>
            <w:noWrap w:val="0"/>
            <w:vAlign w:val="center"/>
          </w:tcPr>
          <w:p w14:paraId="338D326C">
            <w:pPr>
              <w:pStyle w:val="23"/>
              <w:keepNext w:val="0"/>
              <w:keepLines w:val="0"/>
              <w:pageBreakBefore w:val="0"/>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r>
              <w:rPr>
                <w:rFonts w:hint="default" w:ascii="Times New Roman" w:hAnsi="Times New Roman" w:cs="Times New Roman"/>
                <w:color w:val="000000"/>
                <w:position w:val="-14"/>
                <w:sz w:val="18"/>
                <w:szCs w:val="18"/>
                <w:highlight w:val="none"/>
              </w:rPr>
              <w:drawing>
                <wp:inline distT="0" distB="0" distL="114300" distR="114300">
                  <wp:extent cx="177800" cy="241300"/>
                  <wp:effectExtent l="0" t="0" r="0" b="0"/>
                  <wp:docPr id="2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2"/>
                          <pic:cNvPicPr>
                            <a:picLocks noChangeAspect="1"/>
                          </pic:cNvPicPr>
                        </pic:nvPicPr>
                        <pic:blipFill>
                          <a:blip r:embed="rId261"/>
                          <a:stretch>
                            <a:fillRect/>
                          </a:stretch>
                        </pic:blipFill>
                        <pic:spPr>
                          <a:xfrm>
                            <a:off x="0" y="0"/>
                            <a:ext cx="177800" cy="241300"/>
                          </a:xfrm>
                          <a:prstGeom prst="rect">
                            <a:avLst/>
                          </a:prstGeom>
                          <a:noFill/>
                          <a:ln>
                            <a:noFill/>
                          </a:ln>
                        </pic:spPr>
                      </pic:pic>
                    </a:graphicData>
                  </a:graphic>
                </wp:inline>
              </w:drawing>
            </w:r>
            <w:r>
              <w:rPr>
                <w:rFonts w:hint="default" w:ascii="Times New Roman" w:hAnsi="Times New Roman" w:cs="Times New Roman"/>
                <w:color w:val="000000"/>
                <w:sz w:val="18"/>
                <w:szCs w:val="18"/>
                <w:highlight w:val="none"/>
              </w:rPr>
              <w:t>（%）</w:t>
            </w:r>
          </w:p>
        </w:tc>
        <w:tc>
          <w:tcPr>
            <w:tcW w:w="1184" w:type="dxa"/>
            <w:tcBorders>
              <w:tl2br w:val="nil"/>
              <w:tr2bl w:val="nil"/>
            </w:tcBorders>
            <w:noWrap w:val="0"/>
            <w:vAlign w:val="center"/>
          </w:tcPr>
          <w:p w14:paraId="0CC4EF30">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16.0</w:t>
            </w:r>
          </w:p>
        </w:tc>
        <w:tc>
          <w:tcPr>
            <w:tcW w:w="1184" w:type="dxa"/>
            <w:tcBorders>
              <w:tl2br w:val="nil"/>
              <w:tr2bl w:val="nil"/>
            </w:tcBorders>
            <w:noWrap w:val="0"/>
            <w:vAlign w:val="center"/>
          </w:tcPr>
          <w:p w14:paraId="2209A68D">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24.2</w:t>
            </w:r>
          </w:p>
        </w:tc>
        <w:tc>
          <w:tcPr>
            <w:tcW w:w="1184" w:type="dxa"/>
            <w:tcBorders>
              <w:tl2br w:val="nil"/>
              <w:tr2bl w:val="nil"/>
            </w:tcBorders>
            <w:noWrap w:val="0"/>
            <w:vAlign w:val="center"/>
          </w:tcPr>
          <w:p w14:paraId="10D641D1">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18.4</w:t>
            </w:r>
          </w:p>
        </w:tc>
        <w:tc>
          <w:tcPr>
            <w:tcW w:w="1184" w:type="dxa"/>
            <w:tcBorders>
              <w:tl2br w:val="nil"/>
              <w:tr2bl w:val="nil"/>
            </w:tcBorders>
            <w:noWrap w:val="0"/>
            <w:vAlign w:val="center"/>
          </w:tcPr>
          <w:p w14:paraId="067888C3">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20.8</w:t>
            </w:r>
          </w:p>
        </w:tc>
        <w:tc>
          <w:tcPr>
            <w:tcW w:w="1184" w:type="dxa"/>
            <w:tcBorders>
              <w:tl2br w:val="nil"/>
              <w:tr2bl w:val="nil"/>
            </w:tcBorders>
            <w:noWrap w:val="0"/>
            <w:vAlign w:val="center"/>
          </w:tcPr>
          <w:p w14:paraId="19D59039">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16.5</w:t>
            </w:r>
          </w:p>
        </w:tc>
        <w:tc>
          <w:tcPr>
            <w:tcW w:w="1184" w:type="dxa"/>
            <w:tcBorders>
              <w:tl2br w:val="nil"/>
              <w:tr2bl w:val="nil"/>
            </w:tcBorders>
            <w:noWrap w:val="0"/>
            <w:vAlign w:val="center"/>
          </w:tcPr>
          <w:p w14:paraId="28AFB7A8">
            <w:pPr>
              <w:keepNext w:val="0"/>
              <w:keepLines w:val="0"/>
              <w:pageBreakBefore w:val="0"/>
              <w:kinsoku/>
              <w:wordWrap/>
              <w:overflow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13.3</w:t>
            </w:r>
          </w:p>
        </w:tc>
      </w:tr>
    </w:tbl>
    <w:p w14:paraId="7697990A">
      <w:pP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br w:type="page"/>
      </w:r>
    </w:p>
    <w:p w14:paraId="51B6A6A2">
      <w:pPr>
        <w:spacing w:line="360" w:lineRule="exact"/>
        <w:ind w:firstLine="420" w:firstLineChars="200"/>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结论：</w:t>
      </w:r>
    </w:p>
    <w:p w14:paraId="546F25DC">
      <w:pPr>
        <w:spacing w:line="360" w:lineRule="exact"/>
        <w:ind w:firstLine="420" w:firstLineChars="200"/>
        <w:rPr>
          <w:rFonts w:hint="default" w:ascii="Times New Roman" w:hAnsi="Times New Roman" w:cs="Times New Roman"/>
          <w:kern w:val="0"/>
          <w:szCs w:val="21"/>
        </w:rPr>
      </w:pPr>
      <w:bookmarkStart w:id="238" w:name="_Hlk116766632"/>
      <w:r>
        <w:rPr>
          <w:rFonts w:hint="default" w:ascii="Times New Roman" w:hAnsi="Times New Roman" w:cs="Times New Roman"/>
          <w:kern w:val="0"/>
          <w:szCs w:val="21"/>
          <w:lang w:val="en-US" w:eastAsia="zh-CN"/>
        </w:rPr>
        <w:t>6</w:t>
      </w:r>
      <w:r>
        <w:rPr>
          <w:rFonts w:hint="default" w:ascii="Times New Roman" w:hAnsi="Times New Roman" w:cs="Times New Roman"/>
          <w:kern w:val="0"/>
          <w:szCs w:val="21"/>
        </w:rPr>
        <w:t>家实验室分别对加标浓度为0.10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mg/kg的空白样品进行了6</w:t>
      </w:r>
      <w:r>
        <w:rPr>
          <w:rFonts w:hint="default" w:ascii="Times New Roman" w:hAnsi="Times New Roman" w:cs="Times New Roman"/>
          <w:szCs w:val="21"/>
        </w:rPr>
        <w:t>次重复</w:t>
      </w:r>
      <w:r>
        <w:rPr>
          <w:rFonts w:hint="default" w:ascii="Times New Roman" w:hAnsi="Times New Roman" w:cs="Times New Roman"/>
          <w:kern w:val="0"/>
          <w:szCs w:val="21"/>
        </w:rPr>
        <w:t>测定：加标回收率范围分别为</w:t>
      </w:r>
      <w:r>
        <w:rPr>
          <w:rFonts w:hint="default" w:ascii="Times New Roman" w:hAnsi="Times New Roman" w:cs="Times New Roman"/>
          <w:kern w:val="0"/>
          <w:szCs w:val="21"/>
          <w:lang w:val="en-US" w:eastAsia="zh-CN"/>
        </w:rPr>
        <w:t>74.1</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100</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71.8</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w:t>
      </w:r>
      <w:r>
        <w:rPr>
          <w:rFonts w:hint="eastAsia" w:cs="Times New Roman"/>
          <w:kern w:val="0"/>
          <w:szCs w:val="21"/>
          <w:lang w:val="en-US" w:eastAsia="zh-CN"/>
        </w:rPr>
        <w:t>02</w:t>
      </w:r>
      <w:r>
        <w:rPr>
          <w:rFonts w:hint="default" w:ascii="Times New Roman" w:hAnsi="Times New Roman" w:cs="Times New Roman"/>
          <w:kern w:val="0"/>
          <w:szCs w:val="21"/>
        </w:rPr>
        <w:t>%和</w:t>
      </w:r>
      <w:r>
        <w:rPr>
          <w:rFonts w:hint="eastAsia" w:cs="Times New Roman"/>
          <w:kern w:val="0"/>
          <w:szCs w:val="21"/>
          <w:lang w:val="en-US" w:eastAsia="zh-CN"/>
        </w:rPr>
        <w:t>81.3</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103</w:t>
      </w:r>
      <w:r>
        <w:rPr>
          <w:rFonts w:hint="default" w:ascii="Times New Roman" w:hAnsi="Times New Roman" w:cs="Times New Roman"/>
          <w:kern w:val="0"/>
          <w:szCs w:val="21"/>
        </w:rPr>
        <w:t>%，加标回收率最终值分别为</w:t>
      </w:r>
      <w:r>
        <w:rPr>
          <w:rFonts w:hint="default" w:ascii="Times New Roman" w:hAnsi="Times New Roman" w:cs="Times New Roman"/>
          <w:kern w:val="0"/>
          <w:szCs w:val="21"/>
          <w:lang w:val="en-US" w:eastAsia="zh-CN"/>
        </w:rPr>
        <w:t>86.3%</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17.4</w:t>
      </w:r>
      <w:r>
        <w:rPr>
          <w:rFonts w:hint="default" w:ascii="Times New Roman" w:hAnsi="Times New Roman" w:cs="Times New Roman"/>
          <w:kern w:val="0"/>
          <w:szCs w:val="21"/>
        </w:rPr>
        <w:t>%</w:t>
      </w:r>
      <w:r>
        <w:rPr>
          <w:rFonts w:hint="eastAsia" w:cs="Times New Roman"/>
          <w:kern w:val="0"/>
          <w:szCs w:val="21"/>
          <w:lang w:val="en-US" w:eastAsia="zh-CN"/>
        </w:rPr>
        <w:t>~</w:t>
      </w:r>
      <w:r>
        <w:rPr>
          <w:rFonts w:hint="default" w:ascii="Times New Roman" w:hAnsi="Times New Roman" w:cs="Times New Roman"/>
          <w:kern w:val="0"/>
          <w:szCs w:val="21"/>
          <w:lang w:val="en-US" w:eastAsia="zh-CN"/>
        </w:rPr>
        <w:t>8</w:t>
      </w:r>
      <w:r>
        <w:rPr>
          <w:rFonts w:hint="eastAsia" w:cs="Times New Roman"/>
          <w:kern w:val="0"/>
          <w:szCs w:val="21"/>
          <w:lang w:val="en-US" w:eastAsia="zh-CN"/>
        </w:rPr>
        <w:t>8.2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16.0</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85.4%</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18.4</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88.2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24.2</w:t>
      </w:r>
      <w:r>
        <w:rPr>
          <w:rFonts w:hint="default" w:ascii="Times New Roman" w:hAnsi="Times New Roman" w:cs="Times New Roman"/>
          <w:kern w:val="0"/>
          <w:szCs w:val="21"/>
        </w:rPr>
        <w:t>%和</w:t>
      </w:r>
      <w:r>
        <w:rPr>
          <w:rFonts w:hint="eastAsia" w:cs="Times New Roman"/>
          <w:kern w:val="0"/>
          <w:szCs w:val="21"/>
          <w:lang w:val="en-US" w:eastAsia="zh-CN"/>
        </w:rPr>
        <w:t>93.6</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18.4</w:t>
      </w:r>
      <w:r>
        <w:rPr>
          <w:rFonts w:hint="default" w:ascii="Times New Roman" w:hAnsi="Times New Roman" w:cs="Times New Roman"/>
          <w:kern w:val="0"/>
          <w:szCs w:val="21"/>
          <w:lang w:val="en-US" w:eastAsia="zh-CN"/>
        </w:rPr>
        <w:t>%</w:t>
      </w:r>
      <w:r>
        <w:rPr>
          <w:rFonts w:hint="eastAsia" w:cs="Times New Roman"/>
          <w:kern w:val="0"/>
          <w:szCs w:val="21"/>
          <w:lang w:val="en-US" w:eastAsia="zh-CN"/>
        </w:rPr>
        <w:t>~</w:t>
      </w:r>
      <w:r>
        <w:rPr>
          <w:rFonts w:hint="default" w:ascii="Times New Roman" w:hAnsi="Times New Roman" w:cs="Times New Roman"/>
          <w:kern w:val="0"/>
          <w:szCs w:val="21"/>
          <w:lang w:val="en-US" w:eastAsia="zh-CN"/>
        </w:rPr>
        <w:t>95.2%</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16.0</w:t>
      </w:r>
      <w:r>
        <w:rPr>
          <w:rFonts w:hint="default" w:ascii="Times New Roman" w:hAnsi="Times New Roman" w:cs="Times New Roman"/>
          <w:kern w:val="0"/>
          <w:szCs w:val="21"/>
        </w:rPr>
        <w:t>%。</w:t>
      </w:r>
    </w:p>
    <w:p w14:paraId="7F6E8390">
      <w:pPr>
        <w:spacing w:line="360" w:lineRule="exact"/>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lang w:val="en-US" w:eastAsia="zh-CN"/>
        </w:rPr>
        <w:t>6</w:t>
      </w:r>
      <w:r>
        <w:rPr>
          <w:rFonts w:hint="default" w:ascii="Times New Roman" w:hAnsi="Times New Roman" w:cs="Times New Roman"/>
          <w:kern w:val="0"/>
          <w:szCs w:val="21"/>
        </w:rPr>
        <w:t>家实验室分别对加标浓度为0.10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mg/kg的土壤样品进行了6</w:t>
      </w:r>
      <w:r>
        <w:rPr>
          <w:rFonts w:hint="default" w:ascii="Times New Roman" w:hAnsi="Times New Roman" w:cs="Times New Roman"/>
          <w:szCs w:val="21"/>
        </w:rPr>
        <w:t>次重复</w:t>
      </w:r>
      <w:r>
        <w:rPr>
          <w:rFonts w:hint="default" w:ascii="Times New Roman" w:hAnsi="Times New Roman" w:cs="Times New Roman"/>
          <w:kern w:val="0"/>
          <w:szCs w:val="21"/>
        </w:rPr>
        <w:t>测定：加标回收率范围分别为</w:t>
      </w:r>
      <w:r>
        <w:rPr>
          <w:rFonts w:hint="default" w:ascii="Times New Roman" w:hAnsi="Times New Roman" w:cs="Times New Roman"/>
          <w:kern w:val="0"/>
          <w:szCs w:val="21"/>
          <w:lang w:val="en-US" w:eastAsia="zh-CN"/>
        </w:rPr>
        <w:t>71.0</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9</w:t>
      </w:r>
      <w:r>
        <w:rPr>
          <w:rFonts w:hint="eastAsia" w:cs="Times New Roman"/>
          <w:kern w:val="0"/>
          <w:szCs w:val="21"/>
          <w:lang w:val="en-US" w:eastAsia="zh-CN"/>
        </w:rPr>
        <w:t>7.8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79.8</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113</w:t>
      </w:r>
      <w:r>
        <w:rPr>
          <w:rFonts w:hint="default" w:ascii="Times New Roman" w:hAnsi="Times New Roman" w:cs="Times New Roman"/>
          <w:kern w:val="0"/>
          <w:szCs w:val="21"/>
        </w:rPr>
        <w:t>%和</w:t>
      </w:r>
      <w:r>
        <w:rPr>
          <w:rFonts w:hint="eastAsia" w:cs="Times New Roman"/>
          <w:kern w:val="0"/>
          <w:szCs w:val="21"/>
          <w:lang w:val="en-US" w:eastAsia="zh-CN"/>
        </w:rPr>
        <w:t>94.9</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113</w:t>
      </w:r>
      <w:r>
        <w:rPr>
          <w:rFonts w:hint="default" w:ascii="Times New Roman" w:hAnsi="Times New Roman" w:cs="Times New Roman"/>
          <w:kern w:val="0"/>
          <w:szCs w:val="21"/>
        </w:rPr>
        <w:t>%，加标回收率最终值分别为</w:t>
      </w:r>
      <w:r>
        <w:rPr>
          <w:rFonts w:hint="default" w:ascii="Times New Roman" w:hAnsi="Times New Roman" w:cs="Times New Roman"/>
          <w:kern w:val="0"/>
          <w:szCs w:val="21"/>
          <w:lang w:val="en-US" w:eastAsia="zh-CN"/>
        </w:rPr>
        <w:t>83.8%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w:t>
      </w:r>
      <w:r>
        <w:rPr>
          <w:rFonts w:hint="eastAsia" w:cs="Times New Roman"/>
          <w:kern w:val="0"/>
          <w:szCs w:val="21"/>
          <w:lang w:val="en-US" w:eastAsia="zh-CN"/>
        </w:rPr>
        <w:t>4</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84.0%</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20.8%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92.5%</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24.</w:t>
      </w:r>
      <w:r>
        <w:rPr>
          <w:rFonts w:hint="eastAsia" w:cs="Times New Roman"/>
          <w:kern w:val="0"/>
          <w:szCs w:val="21"/>
          <w:lang w:val="en-US" w:eastAsia="zh-CN"/>
        </w:rPr>
        <w:t>1</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96.7%</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16.5%</w:t>
      </w:r>
      <w:r>
        <w:rPr>
          <w:rFonts w:hint="default" w:ascii="Times New Roman" w:hAnsi="Times New Roman" w:cs="Times New Roman"/>
          <w:kern w:val="0"/>
          <w:szCs w:val="21"/>
        </w:rPr>
        <w:t>和</w:t>
      </w:r>
      <w:r>
        <w:rPr>
          <w:rFonts w:hint="eastAsia" w:cs="Times New Roman"/>
          <w:kern w:val="0"/>
          <w:szCs w:val="21"/>
          <w:lang w:val="en-US" w:eastAsia="zh-CN"/>
        </w:rPr>
        <w:t>102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w:t>
      </w:r>
      <w:r>
        <w:rPr>
          <w:rFonts w:hint="eastAsia" w:cs="Times New Roman"/>
          <w:kern w:val="0"/>
          <w:szCs w:val="21"/>
          <w:lang w:val="en-US" w:eastAsia="zh-CN"/>
        </w:rPr>
        <w:t>3.9</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102%</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13.3%</w:t>
      </w:r>
      <w:r>
        <w:rPr>
          <w:rFonts w:hint="default" w:ascii="Times New Roman" w:hAnsi="Times New Roman" w:cs="Times New Roman"/>
          <w:kern w:val="0"/>
          <w:szCs w:val="21"/>
        </w:rPr>
        <w:t>。</w:t>
      </w:r>
    </w:p>
    <w:bookmarkEnd w:id="238"/>
    <w:p w14:paraId="01C7C8A6">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Times New Roman" w:hAnsi="Times New Roman" w:eastAsia="黑体" w:cs="Times New Roman"/>
          <w:color w:val="000000"/>
          <w:szCs w:val="21"/>
          <w:highlight w:val="none"/>
          <w:lang w:val="en-US" w:eastAsia="zh-CN"/>
        </w:rPr>
      </w:pPr>
      <w:r>
        <w:rPr>
          <w:rFonts w:hint="default" w:ascii="Times New Roman" w:hAnsi="Times New Roman" w:eastAsia="黑体" w:cs="Times New Roman"/>
          <w:color w:val="000000"/>
          <w:szCs w:val="21"/>
          <w:highlight w:val="none"/>
          <w:lang w:val="en-US" w:eastAsia="zh-CN"/>
        </w:rPr>
        <w:t>附表26  校准控制指标数据汇总表</w:t>
      </w:r>
    </w:p>
    <w:tbl>
      <w:tblPr>
        <w:tblStyle w:val="1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1339"/>
        <w:gridCol w:w="1134"/>
        <w:gridCol w:w="1865"/>
        <w:gridCol w:w="2415"/>
        <w:gridCol w:w="1865"/>
      </w:tblGrid>
      <w:tr w14:paraId="3CD778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56" w:hRule="atLeast"/>
          <w:tblHeader/>
          <w:jc w:val="center"/>
        </w:trPr>
        <w:tc>
          <w:tcPr>
            <w:tcW w:w="1339" w:type="dxa"/>
            <w:tcBorders>
              <w:tl2br w:val="nil"/>
              <w:tr2bl w:val="nil"/>
            </w:tcBorders>
            <w:noWrap w:val="0"/>
            <w:vAlign w:val="center"/>
          </w:tcPr>
          <w:p w14:paraId="52B99BB7">
            <w:pPr>
              <w:keepNext w:val="0"/>
              <w:keepLines w:val="0"/>
              <w:pageBreakBefore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目标化合物</w:t>
            </w:r>
          </w:p>
        </w:tc>
        <w:tc>
          <w:tcPr>
            <w:tcW w:w="1134" w:type="dxa"/>
            <w:tcBorders>
              <w:tl2br w:val="nil"/>
              <w:tr2bl w:val="nil"/>
            </w:tcBorders>
            <w:noWrap w:val="0"/>
            <w:vAlign w:val="center"/>
          </w:tcPr>
          <w:p w14:paraId="6E4BA7B9">
            <w:pPr>
              <w:keepNext w:val="0"/>
              <w:keepLines w:val="0"/>
              <w:pageBreakBefore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实验室编号</w:t>
            </w:r>
          </w:p>
        </w:tc>
        <w:tc>
          <w:tcPr>
            <w:tcW w:w="1865" w:type="dxa"/>
            <w:tcBorders>
              <w:tl2br w:val="nil"/>
              <w:tr2bl w:val="nil"/>
            </w:tcBorders>
            <w:noWrap w:val="0"/>
            <w:vAlign w:val="center"/>
          </w:tcPr>
          <w:p w14:paraId="202FEB47">
            <w:pPr>
              <w:keepNext w:val="0"/>
              <w:keepLines w:val="0"/>
              <w:pageBreakBefore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校准曲线相关系数</w:t>
            </w:r>
          </w:p>
        </w:tc>
        <w:tc>
          <w:tcPr>
            <w:tcW w:w="2415" w:type="dxa"/>
            <w:tcBorders>
              <w:tl2br w:val="nil"/>
              <w:tr2bl w:val="nil"/>
            </w:tcBorders>
            <w:noWrap w:val="0"/>
            <w:vAlign w:val="center"/>
          </w:tcPr>
          <w:p w14:paraId="046A26AF">
            <w:pPr>
              <w:keepNext w:val="0"/>
              <w:keepLines w:val="0"/>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lang w:bidi="ar"/>
              </w:rPr>
              <w:t>平均相对响应因</w:t>
            </w:r>
          </w:p>
          <w:p w14:paraId="03F44298">
            <w:pPr>
              <w:keepNext w:val="0"/>
              <w:keepLines w:val="0"/>
              <w:pageBreakBefore w:val="0"/>
              <w:widowControl/>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lang w:bidi="ar"/>
              </w:rPr>
              <w:t>子相对标准偏差</w:t>
            </w:r>
            <w:r>
              <w:rPr>
                <w:rFonts w:hint="default" w:ascii="Times New Roman" w:hAnsi="Times New Roman" w:cs="Times New Roman"/>
                <w:i/>
                <w:iCs/>
                <w:color w:val="000000"/>
                <w:kern w:val="0"/>
                <w:sz w:val="18"/>
                <w:szCs w:val="18"/>
                <w:highlight w:val="none"/>
                <w:lang w:bidi="ar"/>
              </w:rPr>
              <w:t>RSD</w:t>
            </w:r>
            <w:r>
              <w:rPr>
                <w:rFonts w:hint="default" w:ascii="Times New Roman" w:hAnsi="Times New Roman" w:cs="Times New Roman"/>
                <w:color w:val="000000"/>
                <w:kern w:val="0"/>
                <w:sz w:val="18"/>
                <w:szCs w:val="18"/>
                <w:highlight w:val="none"/>
                <w:lang w:bidi="ar"/>
              </w:rPr>
              <w:t>（%）</w:t>
            </w:r>
          </w:p>
        </w:tc>
        <w:tc>
          <w:tcPr>
            <w:tcW w:w="1865" w:type="dxa"/>
            <w:tcBorders>
              <w:tl2br w:val="nil"/>
              <w:tr2bl w:val="nil"/>
            </w:tcBorders>
            <w:noWrap w:val="0"/>
            <w:vAlign w:val="center"/>
          </w:tcPr>
          <w:p w14:paraId="3DDD271D">
            <w:pPr>
              <w:keepNext w:val="0"/>
              <w:keepLines w:val="0"/>
              <w:pageBreakBefore w:val="0"/>
              <w:kinsoku/>
              <w:wordWrap/>
              <w:overflowPunct/>
              <w:topLinePunct/>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kern w:val="0"/>
                <w:sz w:val="18"/>
                <w:szCs w:val="18"/>
                <w:highlight w:val="none"/>
              </w:rPr>
              <w:t>中间点浓度测定偏差（%）</w:t>
            </w:r>
          </w:p>
        </w:tc>
      </w:tr>
      <w:tr w14:paraId="144901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26" w:hRule="atLeast"/>
          <w:jc w:val="center"/>
        </w:trPr>
        <w:tc>
          <w:tcPr>
            <w:tcW w:w="1339" w:type="dxa"/>
            <w:vMerge w:val="restart"/>
            <w:tcBorders>
              <w:tl2br w:val="nil"/>
              <w:tr2bl w:val="nil"/>
            </w:tcBorders>
            <w:noWrap w:val="0"/>
            <w:vAlign w:val="center"/>
          </w:tcPr>
          <w:p w14:paraId="2D64F9C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sz w:val="18"/>
                <w:szCs w:val="18"/>
              </w:rPr>
              <w:t>4,4</w:t>
            </w:r>
            <w:r>
              <w:rPr>
                <w:rFonts w:hint="default" w:cs="Times New Roman"/>
                <w:color w:val="000000"/>
                <w:sz w:val="18"/>
                <w:szCs w:val="18"/>
                <w:lang w:val="en-US" w:eastAsia="zh-CN"/>
              </w:rPr>
              <w:t>’</w:t>
            </w:r>
            <w:r>
              <w:rPr>
                <w:rFonts w:hint="default" w:ascii="Times New Roman" w:hAnsi="Times New Roman" w:cs="Times New Roman"/>
                <w:color w:val="000000"/>
                <w:sz w:val="18"/>
                <w:szCs w:val="18"/>
              </w:rPr>
              <w:t>-三氯杀螨醇</w:t>
            </w:r>
          </w:p>
        </w:tc>
        <w:tc>
          <w:tcPr>
            <w:tcW w:w="1134" w:type="dxa"/>
            <w:tcBorders>
              <w:tl2br w:val="nil"/>
              <w:tr2bl w:val="nil"/>
            </w:tcBorders>
            <w:noWrap w:val="0"/>
            <w:vAlign w:val="center"/>
          </w:tcPr>
          <w:p w14:paraId="6BD031D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w:t>
            </w:r>
          </w:p>
        </w:tc>
        <w:tc>
          <w:tcPr>
            <w:tcW w:w="1865" w:type="dxa"/>
            <w:tcBorders>
              <w:tl2br w:val="nil"/>
              <w:tr2bl w:val="nil"/>
            </w:tcBorders>
            <w:noWrap w:val="0"/>
            <w:vAlign w:val="center"/>
          </w:tcPr>
          <w:p w14:paraId="33466562">
            <w:pPr>
              <w:keepNext w:val="0"/>
              <w:keepLines w:val="0"/>
              <w:pageBreakBefore w:val="0"/>
              <w:widowControl/>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0.9996</w:t>
            </w:r>
          </w:p>
        </w:tc>
        <w:tc>
          <w:tcPr>
            <w:tcW w:w="2415" w:type="dxa"/>
            <w:tcBorders>
              <w:tl2br w:val="nil"/>
              <w:tr2bl w:val="nil"/>
            </w:tcBorders>
            <w:noWrap w:val="0"/>
            <w:vAlign w:val="center"/>
          </w:tcPr>
          <w:p w14:paraId="2075D67D">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9.7</w:t>
            </w:r>
          </w:p>
        </w:tc>
        <w:tc>
          <w:tcPr>
            <w:tcW w:w="1865" w:type="dxa"/>
            <w:tcBorders>
              <w:tl2br w:val="nil"/>
              <w:tr2bl w:val="nil"/>
            </w:tcBorders>
            <w:noWrap w:val="0"/>
            <w:vAlign w:val="center"/>
          </w:tcPr>
          <w:p w14:paraId="7F190D24">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1.6</w:t>
            </w:r>
          </w:p>
        </w:tc>
      </w:tr>
      <w:tr w14:paraId="257D9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02C0042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44670A9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w:t>
            </w:r>
          </w:p>
        </w:tc>
        <w:tc>
          <w:tcPr>
            <w:tcW w:w="1865" w:type="dxa"/>
            <w:tcBorders>
              <w:tl2br w:val="nil"/>
              <w:tr2bl w:val="nil"/>
            </w:tcBorders>
            <w:noWrap w:val="0"/>
            <w:vAlign w:val="center"/>
          </w:tcPr>
          <w:p w14:paraId="4B813042">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0.9994</w:t>
            </w:r>
          </w:p>
        </w:tc>
        <w:tc>
          <w:tcPr>
            <w:tcW w:w="2415" w:type="dxa"/>
            <w:tcBorders>
              <w:tl2br w:val="nil"/>
              <w:tr2bl w:val="nil"/>
            </w:tcBorders>
            <w:noWrap w:val="0"/>
            <w:vAlign w:val="center"/>
          </w:tcPr>
          <w:p w14:paraId="634631FD">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12.1</w:t>
            </w:r>
          </w:p>
        </w:tc>
        <w:tc>
          <w:tcPr>
            <w:tcW w:w="1865" w:type="dxa"/>
            <w:tcBorders>
              <w:tl2br w:val="nil"/>
              <w:tr2bl w:val="nil"/>
            </w:tcBorders>
            <w:noWrap w:val="0"/>
            <w:vAlign w:val="center"/>
          </w:tcPr>
          <w:p w14:paraId="197BA8E3">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1.0</w:t>
            </w:r>
          </w:p>
        </w:tc>
      </w:tr>
      <w:tr w14:paraId="6A3E53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0E2F4FB9">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5B58EC12">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w:t>
            </w:r>
          </w:p>
        </w:tc>
        <w:tc>
          <w:tcPr>
            <w:tcW w:w="1865" w:type="dxa"/>
            <w:tcBorders>
              <w:tl2br w:val="nil"/>
              <w:tr2bl w:val="nil"/>
            </w:tcBorders>
            <w:noWrap w:val="0"/>
            <w:vAlign w:val="center"/>
          </w:tcPr>
          <w:p w14:paraId="49724E12">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0.9988</w:t>
            </w:r>
          </w:p>
        </w:tc>
        <w:tc>
          <w:tcPr>
            <w:tcW w:w="2415" w:type="dxa"/>
            <w:tcBorders>
              <w:tl2br w:val="nil"/>
              <w:tr2bl w:val="nil"/>
            </w:tcBorders>
            <w:noWrap w:val="0"/>
            <w:vAlign w:val="center"/>
          </w:tcPr>
          <w:p w14:paraId="77FD379F">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17.1</w:t>
            </w:r>
          </w:p>
        </w:tc>
        <w:tc>
          <w:tcPr>
            <w:tcW w:w="1865" w:type="dxa"/>
            <w:tcBorders>
              <w:tl2br w:val="nil"/>
              <w:tr2bl w:val="nil"/>
            </w:tcBorders>
            <w:noWrap w:val="0"/>
            <w:vAlign w:val="center"/>
          </w:tcPr>
          <w:p w14:paraId="5D74D7E6">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2.6</w:t>
            </w:r>
          </w:p>
        </w:tc>
      </w:tr>
      <w:tr w14:paraId="29084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598C5BB3">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2AEB897C">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w:t>
            </w:r>
          </w:p>
        </w:tc>
        <w:tc>
          <w:tcPr>
            <w:tcW w:w="1865" w:type="dxa"/>
            <w:tcBorders>
              <w:tl2br w:val="nil"/>
              <w:tr2bl w:val="nil"/>
            </w:tcBorders>
            <w:noWrap w:val="0"/>
            <w:vAlign w:val="center"/>
          </w:tcPr>
          <w:p w14:paraId="621AC00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0.9995</w:t>
            </w:r>
          </w:p>
        </w:tc>
        <w:tc>
          <w:tcPr>
            <w:tcW w:w="2415" w:type="dxa"/>
            <w:tcBorders>
              <w:tl2br w:val="nil"/>
              <w:tr2bl w:val="nil"/>
            </w:tcBorders>
            <w:noWrap w:val="0"/>
            <w:vAlign w:val="center"/>
          </w:tcPr>
          <w:p w14:paraId="73282370">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10.7</w:t>
            </w:r>
          </w:p>
        </w:tc>
        <w:tc>
          <w:tcPr>
            <w:tcW w:w="1865" w:type="dxa"/>
            <w:tcBorders>
              <w:tl2br w:val="nil"/>
              <w:tr2bl w:val="nil"/>
            </w:tcBorders>
            <w:noWrap w:val="0"/>
            <w:vAlign w:val="center"/>
          </w:tcPr>
          <w:p w14:paraId="46400DF5">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10.0</w:t>
            </w:r>
          </w:p>
        </w:tc>
      </w:tr>
      <w:tr w14:paraId="4461C5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5A7466F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78E181A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5</w:t>
            </w:r>
          </w:p>
        </w:tc>
        <w:tc>
          <w:tcPr>
            <w:tcW w:w="1865" w:type="dxa"/>
            <w:tcBorders>
              <w:tl2br w:val="nil"/>
              <w:tr2bl w:val="nil"/>
            </w:tcBorders>
            <w:noWrap w:val="0"/>
            <w:vAlign w:val="center"/>
          </w:tcPr>
          <w:p w14:paraId="77E7338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0.9990</w:t>
            </w:r>
          </w:p>
        </w:tc>
        <w:tc>
          <w:tcPr>
            <w:tcW w:w="2415" w:type="dxa"/>
            <w:tcBorders>
              <w:tl2br w:val="nil"/>
              <w:tr2bl w:val="nil"/>
            </w:tcBorders>
            <w:noWrap w:val="0"/>
            <w:vAlign w:val="center"/>
          </w:tcPr>
          <w:p w14:paraId="33E9E733">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5.2</w:t>
            </w:r>
          </w:p>
        </w:tc>
        <w:tc>
          <w:tcPr>
            <w:tcW w:w="1865" w:type="dxa"/>
            <w:tcBorders>
              <w:tl2br w:val="nil"/>
              <w:tr2bl w:val="nil"/>
            </w:tcBorders>
            <w:noWrap w:val="0"/>
            <w:vAlign w:val="center"/>
          </w:tcPr>
          <w:p w14:paraId="10695334">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4.5</w:t>
            </w:r>
          </w:p>
        </w:tc>
      </w:tr>
      <w:tr w14:paraId="0E1105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49FA5666">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26BFCCC6">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6</w:t>
            </w:r>
          </w:p>
        </w:tc>
        <w:tc>
          <w:tcPr>
            <w:tcW w:w="1865" w:type="dxa"/>
            <w:tcBorders>
              <w:tl2br w:val="nil"/>
              <w:tr2bl w:val="nil"/>
            </w:tcBorders>
            <w:noWrap w:val="0"/>
            <w:vAlign w:val="center"/>
          </w:tcPr>
          <w:p w14:paraId="17880A5D">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0.9997</w:t>
            </w:r>
          </w:p>
        </w:tc>
        <w:tc>
          <w:tcPr>
            <w:tcW w:w="2415" w:type="dxa"/>
            <w:tcBorders>
              <w:tl2br w:val="nil"/>
              <w:tr2bl w:val="nil"/>
            </w:tcBorders>
            <w:noWrap w:val="0"/>
            <w:vAlign w:val="center"/>
          </w:tcPr>
          <w:p w14:paraId="6CE101A9">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0.4</w:t>
            </w:r>
          </w:p>
        </w:tc>
        <w:tc>
          <w:tcPr>
            <w:tcW w:w="1865" w:type="dxa"/>
            <w:tcBorders>
              <w:tl2br w:val="nil"/>
              <w:tr2bl w:val="nil"/>
            </w:tcBorders>
            <w:noWrap w:val="0"/>
            <w:vAlign w:val="center"/>
          </w:tcPr>
          <w:p w14:paraId="1B65FBF2">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1.2</w:t>
            </w:r>
          </w:p>
        </w:tc>
      </w:tr>
      <w:tr w14:paraId="2CF78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restart"/>
            <w:tcBorders>
              <w:tl2br w:val="nil"/>
              <w:tr2bl w:val="nil"/>
            </w:tcBorders>
            <w:noWrap w:val="0"/>
            <w:vAlign w:val="center"/>
          </w:tcPr>
          <w:p w14:paraId="0E0EF5D9">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r>
              <w:rPr>
                <w:rFonts w:hint="default" w:ascii="Times New Roman" w:hAnsi="Times New Roman" w:cs="Times New Roman"/>
                <w:color w:val="000000"/>
                <w:sz w:val="18"/>
                <w:szCs w:val="18"/>
                <w:lang w:eastAsia="zh-CN"/>
              </w:rPr>
              <w:t>2,4</w:t>
            </w:r>
            <w:r>
              <w:rPr>
                <w:rFonts w:hint="default" w:cs="Times New Roman"/>
                <w:color w:val="000000"/>
                <w:sz w:val="18"/>
                <w:szCs w:val="18"/>
                <w:lang w:val="en-US" w:eastAsia="zh-CN"/>
              </w:rPr>
              <w:t>’</w:t>
            </w:r>
            <w:r>
              <w:rPr>
                <w:rFonts w:hint="default" w:ascii="Times New Roman" w:hAnsi="Times New Roman" w:cs="Times New Roman"/>
                <w:color w:val="000000"/>
                <w:sz w:val="18"/>
                <w:szCs w:val="18"/>
                <w:lang w:eastAsia="zh-CN"/>
              </w:rPr>
              <w:t>-三氯杀螨醇</w:t>
            </w:r>
          </w:p>
        </w:tc>
        <w:tc>
          <w:tcPr>
            <w:tcW w:w="1134" w:type="dxa"/>
            <w:tcBorders>
              <w:tl2br w:val="nil"/>
              <w:tr2bl w:val="nil"/>
            </w:tcBorders>
            <w:noWrap w:val="0"/>
            <w:vAlign w:val="center"/>
          </w:tcPr>
          <w:p w14:paraId="3D3DE547">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1</w:t>
            </w:r>
          </w:p>
        </w:tc>
        <w:tc>
          <w:tcPr>
            <w:tcW w:w="1865" w:type="dxa"/>
            <w:tcBorders>
              <w:tl2br w:val="nil"/>
              <w:tr2bl w:val="nil"/>
            </w:tcBorders>
            <w:shd w:val="clear" w:color="auto" w:fill="auto"/>
            <w:noWrap w:val="0"/>
            <w:vAlign w:val="center"/>
          </w:tcPr>
          <w:p w14:paraId="1246291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lang w:val="en-US" w:eastAsia="zh-CN"/>
              </w:rPr>
              <w:t>0.9998</w:t>
            </w:r>
          </w:p>
        </w:tc>
        <w:tc>
          <w:tcPr>
            <w:tcW w:w="2415" w:type="dxa"/>
            <w:tcBorders>
              <w:tl2br w:val="nil"/>
              <w:tr2bl w:val="nil"/>
            </w:tcBorders>
            <w:shd w:val="clear" w:color="auto" w:fill="auto"/>
            <w:noWrap w:val="0"/>
            <w:vAlign w:val="center"/>
          </w:tcPr>
          <w:p w14:paraId="22270775">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5.9</w:t>
            </w:r>
          </w:p>
        </w:tc>
        <w:tc>
          <w:tcPr>
            <w:tcW w:w="1865" w:type="dxa"/>
            <w:tcBorders>
              <w:tl2br w:val="nil"/>
              <w:tr2bl w:val="nil"/>
            </w:tcBorders>
            <w:shd w:val="clear" w:color="auto" w:fill="auto"/>
            <w:noWrap w:val="0"/>
            <w:vAlign w:val="center"/>
          </w:tcPr>
          <w:p w14:paraId="6D7E0B46">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0.3</w:t>
            </w:r>
          </w:p>
        </w:tc>
      </w:tr>
      <w:tr w14:paraId="3634C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7A2C7CA8">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14085536">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w:t>
            </w:r>
          </w:p>
        </w:tc>
        <w:tc>
          <w:tcPr>
            <w:tcW w:w="1865" w:type="dxa"/>
            <w:tcBorders>
              <w:tl2br w:val="nil"/>
              <w:tr2bl w:val="nil"/>
            </w:tcBorders>
            <w:shd w:val="clear" w:color="auto" w:fill="auto"/>
            <w:noWrap w:val="0"/>
            <w:vAlign w:val="center"/>
          </w:tcPr>
          <w:p w14:paraId="083929C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lang w:val="en-US" w:eastAsia="zh-CN"/>
              </w:rPr>
              <w:t>0.9998</w:t>
            </w:r>
          </w:p>
        </w:tc>
        <w:tc>
          <w:tcPr>
            <w:tcW w:w="2415" w:type="dxa"/>
            <w:tcBorders>
              <w:tl2br w:val="nil"/>
              <w:tr2bl w:val="nil"/>
            </w:tcBorders>
            <w:shd w:val="clear" w:color="auto" w:fill="auto"/>
            <w:noWrap w:val="0"/>
            <w:vAlign w:val="center"/>
          </w:tcPr>
          <w:p w14:paraId="1027D16C">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7.7</w:t>
            </w:r>
          </w:p>
        </w:tc>
        <w:tc>
          <w:tcPr>
            <w:tcW w:w="1865" w:type="dxa"/>
            <w:tcBorders>
              <w:tl2br w:val="nil"/>
              <w:tr2bl w:val="nil"/>
            </w:tcBorders>
            <w:shd w:val="clear" w:color="auto" w:fill="auto"/>
            <w:noWrap w:val="0"/>
            <w:vAlign w:val="center"/>
          </w:tcPr>
          <w:p w14:paraId="6065BA47">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5.5</w:t>
            </w:r>
          </w:p>
        </w:tc>
      </w:tr>
      <w:tr w14:paraId="251FCD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26FC6B7D">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1B69EA71">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3</w:t>
            </w:r>
          </w:p>
        </w:tc>
        <w:tc>
          <w:tcPr>
            <w:tcW w:w="1865" w:type="dxa"/>
            <w:tcBorders>
              <w:tl2br w:val="nil"/>
              <w:tr2bl w:val="nil"/>
            </w:tcBorders>
            <w:shd w:val="clear" w:color="auto" w:fill="auto"/>
            <w:noWrap w:val="0"/>
            <w:vAlign w:val="center"/>
          </w:tcPr>
          <w:p w14:paraId="2C56296B">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lang w:val="en-US" w:eastAsia="zh-CN"/>
              </w:rPr>
              <w:t>0.9987</w:t>
            </w:r>
          </w:p>
        </w:tc>
        <w:tc>
          <w:tcPr>
            <w:tcW w:w="2415" w:type="dxa"/>
            <w:tcBorders>
              <w:tl2br w:val="nil"/>
              <w:tr2bl w:val="nil"/>
            </w:tcBorders>
            <w:shd w:val="clear" w:color="auto" w:fill="auto"/>
            <w:noWrap w:val="0"/>
            <w:vAlign w:val="center"/>
          </w:tcPr>
          <w:p w14:paraId="6310ED34">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16.2</w:t>
            </w:r>
          </w:p>
        </w:tc>
        <w:tc>
          <w:tcPr>
            <w:tcW w:w="1865" w:type="dxa"/>
            <w:tcBorders>
              <w:tl2br w:val="nil"/>
              <w:tr2bl w:val="nil"/>
            </w:tcBorders>
            <w:shd w:val="clear" w:color="auto" w:fill="auto"/>
            <w:noWrap w:val="0"/>
            <w:vAlign w:val="center"/>
          </w:tcPr>
          <w:p w14:paraId="3A48F96E">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1.2</w:t>
            </w:r>
          </w:p>
        </w:tc>
      </w:tr>
      <w:tr w14:paraId="48476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72CDEFD6">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302D89DF">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4</w:t>
            </w:r>
          </w:p>
        </w:tc>
        <w:tc>
          <w:tcPr>
            <w:tcW w:w="1865" w:type="dxa"/>
            <w:tcBorders>
              <w:tl2br w:val="nil"/>
              <w:tr2bl w:val="nil"/>
            </w:tcBorders>
            <w:noWrap w:val="0"/>
            <w:vAlign w:val="center"/>
          </w:tcPr>
          <w:p w14:paraId="1927844C">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0.9997</w:t>
            </w:r>
          </w:p>
        </w:tc>
        <w:tc>
          <w:tcPr>
            <w:tcW w:w="2415" w:type="dxa"/>
            <w:tcBorders>
              <w:tl2br w:val="nil"/>
              <w:tr2bl w:val="nil"/>
            </w:tcBorders>
            <w:noWrap w:val="0"/>
            <w:vAlign w:val="center"/>
          </w:tcPr>
          <w:p w14:paraId="45614964">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5.0</w:t>
            </w:r>
          </w:p>
        </w:tc>
        <w:tc>
          <w:tcPr>
            <w:tcW w:w="1865" w:type="dxa"/>
            <w:tcBorders>
              <w:tl2br w:val="nil"/>
              <w:tr2bl w:val="nil"/>
            </w:tcBorders>
            <w:noWrap w:val="0"/>
            <w:vAlign w:val="center"/>
          </w:tcPr>
          <w:p w14:paraId="781AED61">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6.7</w:t>
            </w:r>
          </w:p>
        </w:tc>
      </w:tr>
      <w:tr w14:paraId="5712E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13EEE39C">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3F1C963E">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5</w:t>
            </w:r>
          </w:p>
        </w:tc>
        <w:tc>
          <w:tcPr>
            <w:tcW w:w="1865" w:type="dxa"/>
            <w:tcBorders>
              <w:tl2br w:val="nil"/>
              <w:tr2bl w:val="nil"/>
            </w:tcBorders>
            <w:noWrap w:val="0"/>
            <w:vAlign w:val="center"/>
          </w:tcPr>
          <w:p w14:paraId="355805BB">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0.9996</w:t>
            </w:r>
          </w:p>
        </w:tc>
        <w:tc>
          <w:tcPr>
            <w:tcW w:w="2415" w:type="dxa"/>
            <w:tcBorders>
              <w:tl2br w:val="nil"/>
              <w:tr2bl w:val="nil"/>
            </w:tcBorders>
            <w:noWrap w:val="0"/>
            <w:vAlign w:val="center"/>
          </w:tcPr>
          <w:p w14:paraId="513F8426">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6.7</w:t>
            </w:r>
          </w:p>
        </w:tc>
        <w:tc>
          <w:tcPr>
            <w:tcW w:w="1865" w:type="dxa"/>
            <w:tcBorders>
              <w:tl2br w:val="nil"/>
              <w:tr2bl w:val="nil"/>
            </w:tcBorders>
            <w:noWrap w:val="0"/>
            <w:vAlign w:val="center"/>
          </w:tcPr>
          <w:p w14:paraId="20225C35">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6.8</w:t>
            </w:r>
          </w:p>
        </w:tc>
      </w:tr>
      <w:tr w14:paraId="07A58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1339" w:type="dxa"/>
            <w:vMerge w:val="continue"/>
            <w:tcBorders>
              <w:tl2br w:val="nil"/>
              <w:tr2bl w:val="nil"/>
            </w:tcBorders>
            <w:noWrap w:val="0"/>
            <w:vAlign w:val="center"/>
          </w:tcPr>
          <w:p w14:paraId="648FCB4B">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cs="Times New Roman"/>
                <w:color w:val="000000"/>
                <w:kern w:val="0"/>
                <w:sz w:val="18"/>
                <w:szCs w:val="18"/>
                <w:highlight w:val="none"/>
              </w:rPr>
            </w:pPr>
          </w:p>
        </w:tc>
        <w:tc>
          <w:tcPr>
            <w:tcW w:w="1134" w:type="dxa"/>
            <w:tcBorders>
              <w:tl2br w:val="nil"/>
              <w:tr2bl w:val="nil"/>
            </w:tcBorders>
            <w:noWrap w:val="0"/>
            <w:vAlign w:val="center"/>
          </w:tcPr>
          <w:p w14:paraId="5ABC43E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6</w:t>
            </w:r>
          </w:p>
        </w:tc>
        <w:tc>
          <w:tcPr>
            <w:tcW w:w="1865" w:type="dxa"/>
            <w:tcBorders>
              <w:tl2br w:val="nil"/>
              <w:tr2bl w:val="nil"/>
            </w:tcBorders>
            <w:noWrap w:val="0"/>
            <w:vAlign w:val="center"/>
          </w:tcPr>
          <w:p w14:paraId="73CC8B20">
            <w:pPr>
              <w:keepNext w:val="0"/>
              <w:keepLines w:val="0"/>
              <w:pageBreakBefore w:val="0"/>
              <w:kinsoku/>
              <w:wordWrap/>
              <w:overflowPunct/>
              <w:topLinePunct/>
              <w:autoSpaceDE/>
              <w:autoSpaceDN/>
              <w:bidi w:val="0"/>
              <w:adjustRightInd/>
              <w:snapToGrid/>
              <w:spacing w:line="240" w:lineRule="auto"/>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0.9995</w:t>
            </w:r>
          </w:p>
        </w:tc>
        <w:tc>
          <w:tcPr>
            <w:tcW w:w="2415" w:type="dxa"/>
            <w:tcBorders>
              <w:tl2br w:val="nil"/>
              <w:tr2bl w:val="nil"/>
            </w:tcBorders>
            <w:noWrap w:val="0"/>
            <w:vAlign w:val="center"/>
          </w:tcPr>
          <w:p w14:paraId="6033191D">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0.5</w:t>
            </w:r>
          </w:p>
        </w:tc>
        <w:tc>
          <w:tcPr>
            <w:tcW w:w="1865" w:type="dxa"/>
            <w:tcBorders>
              <w:tl2br w:val="nil"/>
              <w:tr2bl w:val="nil"/>
            </w:tcBorders>
            <w:noWrap w:val="0"/>
            <w:vAlign w:val="center"/>
          </w:tcPr>
          <w:p w14:paraId="09CA2C78">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2.1</w:t>
            </w:r>
          </w:p>
        </w:tc>
      </w:tr>
    </w:tbl>
    <w:p w14:paraId="04A6D528">
      <w:pPr>
        <w:bidi w:val="0"/>
        <w:rPr>
          <w:rFonts w:hint="default" w:ascii="Times New Roman" w:hAnsi="Times New Roman" w:cs="Times New Roman"/>
        </w:rPr>
      </w:pPr>
      <w:r>
        <w:rPr>
          <w:rFonts w:hint="default" w:ascii="Times New Roman" w:hAnsi="Times New Roman" w:cs="Times New Roman"/>
        </w:rPr>
        <w:t>结论：</w:t>
      </w:r>
    </w:p>
    <w:p w14:paraId="2F41636E">
      <w:pPr>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家实验室校准曲线的相关系数均</w:t>
      </w:r>
      <w:r>
        <w:rPr>
          <w:rFonts w:hint="default" w:ascii="Times New Roman" w:hAnsi="Times New Roman" w:eastAsia="宋体" w:cs="Times New Roman"/>
          <w:lang w:eastAsia="zh-CN"/>
        </w:rPr>
        <w:t>≥</w:t>
      </w:r>
      <w:r>
        <w:rPr>
          <w:rFonts w:hint="default" w:ascii="Times New Roman" w:hAnsi="Times New Roman" w:cs="Times New Roman"/>
        </w:rPr>
        <w:t>0.995，平均相对响应因子相对标准偏差均</w:t>
      </w:r>
      <w:r>
        <w:rPr>
          <w:rFonts w:hint="default" w:ascii="Times New Roman" w:hAnsi="Times New Roman" w:cs="Times New Roman"/>
          <w:lang w:eastAsia="zh-CN"/>
        </w:rPr>
        <w:t>≤</w:t>
      </w:r>
      <w:r>
        <w:rPr>
          <w:rFonts w:hint="eastAsia" w:cs="Times New Roman"/>
          <w:lang w:val="en-US" w:eastAsia="zh-CN"/>
        </w:rPr>
        <w:t>2</w:t>
      </w:r>
      <w:r>
        <w:rPr>
          <w:rFonts w:hint="default" w:ascii="Times New Roman" w:hAnsi="Times New Roman" w:cs="Times New Roman"/>
          <w:lang w:val="en-US" w:eastAsia="zh-CN"/>
        </w:rPr>
        <w:t>0</w:t>
      </w:r>
      <w:r>
        <w:rPr>
          <w:rFonts w:hint="default" w:ascii="Times New Roman" w:hAnsi="Times New Roman" w:cs="Times New Roman"/>
        </w:rPr>
        <w:t>%，中间浓度点测定偏差均</w:t>
      </w:r>
      <w:r>
        <w:rPr>
          <w:rFonts w:hint="default" w:ascii="Times New Roman" w:hAnsi="Times New Roman" w:cs="Times New Roman"/>
          <w:lang w:eastAsia="zh-CN"/>
        </w:rPr>
        <w:t>≤</w:t>
      </w:r>
      <w:r>
        <w:rPr>
          <w:rFonts w:hint="eastAsia" w:cs="Times New Roman"/>
          <w:lang w:val="en-US" w:eastAsia="zh-CN"/>
        </w:rPr>
        <w:t>2</w:t>
      </w:r>
      <w:r>
        <w:rPr>
          <w:rFonts w:hint="default" w:ascii="Times New Roman" w:hAnsi="Times New Roman" w:cs="Times New Roman"/>
          <w:lang w:val="en-US" w:eastAsia="zh-CN"/>
        </w:rPr>
        <w:t>0</w:t>
      </w:r>
      <w:r>
        <w:rPr>
          <w:rFonts w:hint="default" w:ascii="Times New Roman" w:hAnsi="Times New Roman" w:cs="Times New Roman"/>
        </w:rPr>
        <w:t>%。</w:t>
      </w:r>
      <w:bookmarkStart w:id="239" w:name="_Toc4654"/>
      <w:bookmarkStart w:id="240" w:name="_Toc492568579"/>
      <w:bookmarkStart w:id="241" w:name="_Toc490573147"/>
      <w:bookmarkStart w:id="242" w:name="_Toc4958"/>
      <w:bookmarkStart w:id="243" w:name="_Toc490573054"/>
      <w:bookmarkStart w:id="244" w:name="_Toc490735682"/>
      <w:bookmarkStart w:id="245" w:name="_Toc490736135"/>
      <w:bookmarkStart w:id="246" w:name="_Toc21916"/>
      <w:bookmarkStart w:id="247" w:name="_Toc40538101"/>
      <w:bookmarkStart w:id="248" w:name="_Toc489458092"/>
      <w:bookmarkStart w:id="249" w:name="_Toc492570229"/>
      <w:bookmarkStart w:id="250" w:name="_Toc29506"/>
      <w:bookmarkStart w:id="251" w:name="_Toc31217"/>
      <w:bookmarkStart w:id="252" w:name="_Toc491089595"/>
      <w:bookmarkStart w:id="253" w:name="_Toc20202"/>
      <w:bookmarkStart w:id="254" w:name="_Toc490577397"/>
      <w:bookmarkStart w:id="255" w:name="_Toc489211581"/>
      <w:bookmarkStart w:id="256" w:name="_Toc492627201"/>
      <w:bookmarkStart w:id="257" w:name="_Toc32015"/>
      <w:bookmarkStart w:id="258" w:name="_Toc27755"/>
      <w:bookmarkStart w:id="259" w:name="_Toc482949672"/>
      <w:bookmarkStart w:id="260" w:name="_Toc3893"/>
      <w:bookmarkStart w:id="261" w:name="_Toc482886147"/>
      <w:bookmarkStart w:id="262" w:name="_Toc40538333"/>
      <w:bookmarkStart w:id="263" w:name="_Toc14440"/>
      <w:bookmarkStart w:id="264" w:name="_Toc482886302"/>
      <w:bookmarkStart w:id="265" w:name="_Toc491091252"/>
      <w:bookmarkStart w:id="266" w:name="_Toc40537956"/>
      <w:bookmarkStart w:id="267" w:name="_Toc492568674"/>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14:paraId="52F88C19">
      <w:pPr>
        <w:pStyle w:val="2"/>
        <w:bidi w:val="0"/>
        <w:rPr>
          <w:rFonts w:hint="default" w:ascii="Times New Roman" w:hAnsi="Times New Roman" w:cs="Times New Roman"/>
          <w:lang w:val="en-US" w:eastAsia="zh-CN"/>
        </w:rPr>
      </w:pPr>
      <w:bookmarkStart w:id="268" w:name="_Toc3925"/>
      <w:bookmarkStart w:id="269" w:name="_Toc13431"/>
      <w:bookmarkStart w:id="270" w:name="_Toc13640"/>
      <w:bookmarkStart w:id="271" w:name="_Toc23718"/>
      <w:bookmarkStart w:id="272" w:name="_Toc20150"/>
      <w:bookmarkStart w:id="273" w:name="_Toc29710"/>
      <w:r>
        <w:rPr>
          <w:rFonts w:hint="default" w:ascii="Times New Roman" w:hAnsi="Times New Roman" w:cs="Times New Roman"/>
          <w:lang w:val="en-US" w:eastAsia="zh-CN"/>
        </w:rPr>
        <w:t>4  方法验证结论</w:t>
      </w:r>
      <w:bookmarkEnd w:id="268"/>
      <w:bookmarkEnd w:id="269"/>
      <w:bookmarkEnd w:id="270"/>
      <w:bookmarkEnd w:id="271"/>
      <w:bookmarkEnd w:id="272"/>
      <w:bookmarkEnd w:id="273"/>
    </w:p>
    <w:p w14:paraId="2BA9B848">
      <w:pPr>
        <w:bidi w:val="0"/>
        <w:rPr>
          <w:rFonts w:hint="default" w:ascii="Times New Roman" w:hAnsi="Times New Roman" w:cs="Times New Roman"/>
        </w:rPr>
      </w:pPr>
      <w:r>
        <w:rPr>
          <w:rFonts w:hint="default" w:ascii="Times New Roman" w:hAnsi="Times New Roman" w:cs="Times New Roman"/>
        </w:rPr>
        <w:t>编制组在统计</w:t>
      </w:r>
      <w:r>
        <w:rPr>
          <w:rFonts w:hint="default" w:ascii="Times New Roman" w:hAnsi="Times New Roman" w:cs="Times New Roman"/>
          <w:lang w:val="en-US" w:eastAsia="zh-CN"/>
        </w:rPr>
        <w:t>6</w:t>
      </w:r>
      <w:r>
        <w:rPr>
          <w:rFonts w:hint="default" w:ascii="Times New Roman" w:hAnsi="Times New Roman" w:cs="Times New Roman"/>
        </w:rPr>
        <w:t>家方法验证数据时，所有数据全部采用，未取舍。</w:t>
      </w:r>
    </w:p>
    <w:p w14:paraId="68884096">
      <w:pPr>
        <w:bidi w:val="0"/>
        <w:outlineLvl w:val="0"/>
        <w:rPr>
          <w:rFonts w:hint="default" w:ascii="Times New Roman" w:hAnsi="Times New Roman" w:cs="Times New Roman"/>
        </w:rPr>
      </w:pPr>
      <w:bookmarkStart w:id="274" w:name="_Toc30551"/>
      <w:bookmarkStart w:id="275" w:name="_Toc24801"/>
      <w:bookmarkStart w:id="276" w:name="_Toc4618"/>
      <w:bookmarkStart w:id="277" w:name="_Toc2584"/>
      <w:bookmarkStart w:id="278" w:name="_Toc28835"/>
      <w:bookmarkStart w:id="279" w:name="_Toc11569"/>
      <w:r>
        <w:rPr>
          <w:rFonts w:hint="default" w:ascii="Times New Roman" w:hAnsi="Times New Roman" w:cs="Times New Roman"/>
        </w:rPr>
        <w:t>6家实验室验证结果如下：</w:t>
      </w:r>
      <w:bookmarkEnd w:id="274"/>
      <w:bookmarkEnd w:id="275"/>
      <w:bookmarkEnd w:id="276"/>
      <w:bookmarkEnd w:id="277"/>
      <w:bookmarkEnd w:id="278"/>
      <w:bookmarkEnd w:id="279"/>
    </w:p>
    <w:p w14:paraId="4604F058">
      <w:pPr>
        <w:bidi w:val="0"/>
        <w:outlineLvl w:val="1"/>
        <w:rPr>
          <w:rFonts w:hint="default" w:ascii="Times New Roman" w:hAnsi="Times New Roman" w:cs="Times New Roman"/>
        </w:rPr>
      </w:pPr>
      <w:bookmarkStart w:id="280" w:name="_Toc13553"/>
      <w:bookmarkStart w:id="281" w:name="_Toc32274"/>
      <w:bookmarkStart w:id="282" w:name="_Toc9244"/>
      <w:bookmarkStart w:id="283" w:name="_Toc6733"/>
      <w:bookmarkStart w:id="284" w:name="_Toc14979"/>
      <w:bookmarkStart w:id="285" w:name="_Toc15177"/>
      <w:r>
        <w:rPr>
          <w:rFonts w:hint="default" w:ascii="Times New Roman" w:hAnsi="Times New Roman" w:cs="Times New Roman"/>
        </w:rPr>
        <w:t>（1）检出限及测定下限</w:t>
      </w:r>
      <w:bookmarkEnd w:id="280"/>
      <w:bookmarkEnd w:id="281"/>
      <w:bookmarkEnd w:id="282"/>
      <w:bookmarkEnd w:id="283"/>
      <w:bookmarkEnd w:id="284"/>
      <w:bookmarkEnd w:id="285"/>
    </w:p>
    <w:p w14:paraId="2E475D15">
      <w:pPr>
        <w:bidi w:val="0"/>
        <w:rPr>
          <w:rFonts w:hint="default" w:ascii="Times New Roman" w:hAnsi="Times New Roman" w:cs="Times New Roman"/>
        </w:rPr>
      </w:pPr>
      <w:r>
        <w:rPr>
          <w:rFonts w:hint="default" w:ascii="Times New Roman" w:hAnsi="Times New Roman" w:cs="Times New Roman"/>
        </w:rPr>
        <w:t>汇总了</w:t>
      </w:r>
      <w:r>
        <w:rPr>
          <w:rFonts w:hint="default" w:ascii="Times New Roman" w:hAnsi="Times New Roman" w:cs="Times New Roman"/>
          <w:lang w:val="en-US" w:eastAsia="zh-CN"/>
        </w:rPr>
        <w:t>6</w:t>
      </w:r>
      <w:r>
        <w:rPr>
          <w:rFonts w:hint="default" w:ascii="Times New Roman" w:hAnsi="Times New Roman" w:cs="Times New Roman"/>
        </w:rPr>
        <w:t>家实验室方法验证的检出限测试数据，可得各目标化合物检出限为0.02 mg/kg，测定下限为0.08 mg/kg。</w:t>
      </w:r>
    </w:p>
    <w:p w14:paraId="4C33B4F6">
      <w:pPr>
        <w:numPr>
          <w:ilvl w:val="0"/>
          <w:numId w:val="0"/>
        </w:numPr>
        <w:ind w:firstLine="420" w:firstLineChars="200"/>
        <w:outlineLvl w:val="1"/>
        <w:rPr>
          <w:rFonts w:hint="default" w:ascii="Times New Roman" w:hAnsi="Times New Roman" w:cs="Times New Roman"/>
          <w:lang w:val="en-US" w:eastAsia="zh-CN"/>
        </w:rPr>
      </w:pPr>
      <w:bookmarkStart w:id="286" w:name="_Toc21771"/>
      <w:bookmarkStart w:id="287" w:name="_Toc9823"/>
      <w:bookmarkStart w:id="288" w:name="_Toc14251"/>
      <w:bookmarkStart w:id="289" w:name="_Toc506"/>
      <w:bookmarkStart w:id="290" w:name="_Toc30708"/>
      <w:bookmarkStart w:id="291" w:name="_Toc22439"/>
      <w:r>
        <w:rPr>
          <w:rFonts w:hint="default" w:ascii="Times New Roman" w:hAnsi="Times New Roman" w:eastAsia="宋体" w:cs="Times New Roman"/>
          <w:kern w:val="2"/>
          <w:sz w:val="21"/>
          <w:szCs w:val="24"/>
          <w:lang w:val="en-US" w:eastAsia="zh-CN" w:bidi="ar-SA"/>
        </w:rPr>
        <w:t>（2）</w:t>
      </w:r>
      <w:r>
        <w:rPr>
          <w:rFonts w:hint="default" w:ascii="Times New Roman" w:hAnsi="Times New Roman" w:cs="Times New Roman"/>
          <w:lang w:val="en-US" w:eastAsia="zh-CN"/>
        </w:rPr>
        <w:t>精密度</w:t>
      </w:r>
      <w:bookmarkEnd w:id="286"/>
      <w:bookmarkEnd w:id="287"/>
      <w:bookmarkEnd w:id="288"/>
      <w:bookmarkEnd w:id="289"/>
      <w:bookmarkEnd w:id="290"/>
      <w:bookmarkEnd w:id="291"/>
    </w:p>
    <w:p w14:paraId="24E4E031">
      <w:pPr>
        <w:autoSpaceDE w:val="0"/>
        <w:autoSpaceDN w:val="0"/>
        <w:adjustRightInd w:val="0"/>
        <w:spacing w:line="360" w:lineRule="exact"/>
        <w:ind w:firstLine="420" w:firstLineChars="200"/>
        <w:rPr>
          <w:rFonts w:hint="default" w:ascii="Times New Roman" w:hAnsi="Times New Roman" w:cs="Times New Roman"/>
          <w:szCs w:val="21"/>
        </w:rPr>
      </w:pPr>
      <w:r>
        <w:rPr>
          <w:rFonts w:hint="default" w:ascii="Times New Roman" w:hAnsi="Times New Roman" w:cs="Times New Roman"/>
          <w:szCs w:val="21"/>
          <w:lang w:val="en-US" w:eastAsia="zh-CN"/>
        </w:rPr>
        <w:t>6</w:t>
      </w:r>
      <w:r>
        <w:rPr>
          <w:rFonts w:hint="default" w:ascii="Times New Roman" w:hAnsi="Times New Roman" w:cs="Times New Roman"/>
          <w:szCs w:val="21"/>
        </w:rPr>
        <w:t>家实验室分别对加标浓度为</w:t>
      </w:r>
      <w:r>
        <w:rPr>
          <w:rFonts w:hint="default" w:ascii="Times New Roman" w:hAnsi="Times New Roman" w:cs="Times New Roman"/>
          <w:kern w:val="0"/>
          <w:szCs w:val="21"/>
        </w:rPr>
        <w:t>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w:t>
      </w:r>
      <w:r>
        <w:rPr>
          <w:rFonts w:hint="default" w:ascii="Times New Roman" w:hAnsi="Times New Roman" w:cs="Times New Roman"/>
          <w:szCs w:val="21"/>
        </w:rPr>
        <w:t>的空白样品进行了6次重复测定：实验室间相对标准偏差分别为</w:t>
      </w:r>
      <w:r>
        <w:rPr>
          <w:rFonts w:hint="default" w:ascii="Times New Roman" w:hAnsi="Times New Roman" w:cs="Times New Roman"/>
          <w:szCs w:val="21"/>
          <w:lang w:val="en-US" w:eastAsia="zh-CN"/>
        </w:rPr>
        <w:t>9.0</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0.2</w:t>
      </w:r>
      <w:r>
        <w:rPr>
          <w:rFonts w:hint="default" w:ascii="Times New Roman" w:hAnsi="Times New Roman" w:cs="Times New Roman"/>
          <w:szCs w:val="21"/>
        </w:rPr>
        <w:t>%、</w:t>
      </w:r>
      <w:r>
        <w:rPr>
          <w:rFonts w:hint="default" w:ascii="Times New Roman" w:hAnsi="Times New Roman" w:cs="Times New Roman"/>
          <w:szCs w:val="21"/>
          <w:lang w:val="en-US" w:eastAsia="zh-CN"/>
        </w:rPr>
        <w:t>10.9</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13.8</w:t>
      </w:r>
      <w:r>
        <w:rPr>
          <w:rFonts w:hint="default" w:ascii="Times New Roman" w:hAnsi="Times New Roman" w:cs="Times New Roman"/>
          <w:szCs w:val="21"/>
        </w:rPr>
        <w:t>%和</w:t>
      </w:r>
      <w:r>
        <w:rPr>
          <w:rFonts w:hint="default" w:ascii="Times New Roman" w:hAnsi="Times New Roman" w:cs="Times New Roman"/>
          <w:szCs w:val="21"/>
          <w:lang w:val="en-US" w:eastAsia="zh-CN"/>
        </w:rPr>
        <w:t>8.3</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9.8</w:t>
      </w:r>
      <w:r>
        <w:rPr>
          <w:rFonts w:hint="default" w:ascii="Times New Roman" w:hAnsi="Times New Roman" w:cs="Times New Roman"/>
          <w:szCs w:val="21"/>
        </w:rPr>
        <w:t>%；重复性限分别为0.01</w:t>
      </w:r>
      <w:r>
        <w:rPr>
          <w:rFonts w:hint="default" w:ascii="Times New Roman" w:hAnsi="Times New Roman" w:cs="Times New Roman"/>
          <w:szCs w:val="21"/>
          <w:lang w:val="en-US" w:eastAsia="zh-CN"/>
        </w:rPr>
        <w:t>3</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0.01</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、0.0</w:t>
      </w:r>
      <w:r>
        <w:rPr>
          <w:rFonts w:hint="default" w:ascii="Times New Roman" w:hAnsi="Times New Roman" w:cs="Times New Roman"/>
          <w:szCs w:val="21"/>
          <w:lang w:val="en-US" w:eastAsia="zh-CN"/>
        </w:rPr>
        <w:t>52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0.06</w:t>
      </w:r>
      <w:r>
        <w:rPr>
          <w:rFonts w:hint="default" w:ascii="Times New Roman" w:hAnsi="Times New Roman" w:cs="Times New Roman"/>
          <w:szCs w:val="21"/>
          <w:lang w:val="en-US" w:eastAsia="zh-CN"/>
        </w:rPr>
        <w:t>0</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和0.0</w:t>
      </w:r>
      <w:r>
        <w:rPr>
          <w:rFonts w:hint="default" w:ascii="Times New Roman" w:hAnsi="Times New Roman" w:cs="Times New Roman"/>
          <w:szCs w:val="21"/>
          <w:lang w:val="en-US" w:eastAsia="zh-CN"/>
        </w:rPr>
        <w:t>42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w:t>
      </w:r>
      <w:r>
        <w:rPr>
          <w:rFonts w:hint="default" w:ascii="Times New Roman" w:hAnsi="Times New Roman" w:cs="Times New Roman"/>
          <w:szCs w:val="21"/>
          <w:lang w:val="en-US" w:eastAsia="zh-CN"/>
        </w:rPr>
        <w:t>057</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；再现性限分别为0.0</w:t>
      </w:r>
      <w:r>
        <w:rPr>
          <w:rFonts w:hint="default" w:ascii="Times New Roman" w:hAnsi="Times New Roman" w:cs="Times New Roman"/>
          <w:szCs w:val="21"/>
          <w:lang w:val="en-US" w:eastAsia="zh-CN"/>
        </w:rPr>
        <w:t>26</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w:t>
      </w:r>
      <w:r>
        <w:rPr>
          <w:rFonts w:hint="default" w:ascii="Times New Roman" w:hAnsi="Times New Roman" w:cs="Times New Roman"/>
          <w:szCs w:val="21"/>
          <w:lang w:val="en-US" w:eastAsia="zh-CN"/>
        </w:rPr>
        <w:t>27</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w:t>
      </w:r>
      <w:r>
        <w:rPr>
          <w:rFonts w:hint="default" w:ascii="Times New Roman" w:hAnsi="Times New Roman" w:cs="Times New Roman"/>
          <w:szCs w:val="21"/>
          <w:lang w:val="en-US" w:eastAsia="zh-CN"/>
        </w:rPr>
        <w:t>12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0.1</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w:t>
      </w:r>
      <w:r>
        <w:rPr>
          <w:rFonts w:hint="default" w:ascii="Times New Roman" w:hAnsi="Times New Roman" w:cs="Times New Roman"/>
          <w:szCs w:val="21"/>
          <w:lang w:val="en-US" w:eastAsia="zh-CN"/>
        </w:rPr>
        <w:t>16</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w:t>
      </w:r>
      <w:r>
        <w:rPr>
          <w:rFonts w:hint="default" w:ascii="Times New Roman" w:hAnsi="Times New Roman" w:cs="Times New Roman"/>
          <w:szCs w:val="21"/>
          <w:lang w:val="en-US" w:eastAsia="zh-CN"/>
        </w:rPr>
        <w:t>18</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w:t>
      </w:r>
    </w:p>
    <w:p w14:paraId="5296ED63">
      <w:pPr>
        <w:bidi w:val="0"/>
        <w:rPr>
          <w:rFonts w:hint="default" w:ascii="Times New Roman" w:hAnsi="Times New Roman" w:cs="Times New Roman"/>
          <w:lang w:val="en-US" w:eastAsia="zh-CN"/>
        </w:rPr>
      </w:pPr>
      <w:r>
        <w:rPr>
          <w:rFonts w:hint="default" w:ascii="Times New Roman" w:hAnsi="Times New Roman" w:cs="Times New Roman"/>
          <w:szCs w:val="21"/>
          <w:lang w:val="en-US" w:eastAsia="zh-CN"/>
        </w:rPr>
        <w:t>6</w:t>
      </w:r>
      <w:r>
        <w:rPr>
          <w:rFonts w:hint="default" w:ascii="Times New Roman" w:hAnsi="Times New Roman" w:cs="Times New Roman"/>
          <w:szCs w:val="21"/>
        </w:rPr>
        <w:t>家实验室分别对加标浓度为</w:t>
      </w:r>
      <w:r>
        <w:rPr>
          <w:rFonts w:hint="default" w:ascii="Times New Roman" w:hAnsi="Times New Roman" w:cs="Times New Roman"/>
          <w:kern w:val="0"/>
          <w:szCs w:val="21"/>
        </w:rPr>
        <w:t>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w:t>
      </w:r>
      <w:r>
        <w:rPr>
          <w:rFonts w:hint="default" w:ascii="Times New Roman" w:hAnsi="Times New Roman" w:cs="Times New Roman"/>
          <w:szCs w:val="21"/>
        </w:rPr>
        <w:t>的土壤样品进行了6次重复测定：实验室间相对标准偏差分别为</w:t>
      </w:r>
      <w:r>
        <w:rPr>
          <w:rFonts w:hint="default" w:ascii="Times New Roman" w:hAnsi="Times New Roman" w:cs="Times New Roman"/>
          <w:szCs w:val="21"/>
          <w:lang w:val="en-US" w:eastAsia="zh-CN"/>
        </w:rPr>
        <w:t>9.8</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2.3</w:t>
      </w:r>
      <w:r>
        <w:rPr>
          <w:rFonts w:hint="default" w:ascii="Times New Roman" w:hAnsi="Times New Roman" w:cs="Times New Roman"/>
          <w:szCs w:val="21"/>
        </w:rPr>
        <w:t>%、</w:t>
      </w:r>
      <w:r>
        <w:rPr>
          <w:rFonts w:hint="default" w:ascii="Times New Roman" w:hAnsi="Times New Roman" w:cs="Times New Roman"/>
          <w:szCs w:val="21"/>
          <w:lang w:val="en-US" w:eastAsia="zh-CN"/>
        </w:rPr>
        <w:t>8.4</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1</w:t>
      </w:r>
      <w:r>
        <w:rPr>
          <w:rFonts w:hint="default" w:ascii="Times New Roman" w:hAnsi="Times New Roman" w:cs="Times New Roman"/>
          <w:szCs w:val="21"/>
          <w:lang w:val="en-US" w:eastAsia="zh-CN"/>
        </w:rPr>
        <w:t>3.1</w:t>
      </w:r>
      <w:r>
        <w:rPr>
          <w:rFonts w:hint="default" w:ascii="Times New Roman" w:hAnsi="Times New Roman" w:cs="Times New Roman"/>
          <w:szCs w:val="21"/>
        </w:rPr>
        <w:t>%和</w:t>
      </w:r>
      <w:r>
        <w:rPr>
          <w:rFonts w:hint="default" w:ascii="Times New Roman" w:hAnsi="Times New Roman" w:cs="Times New Roman"/>
          <w:szCs w:val="21"/>
          <w:lang w:val="en-US" w:eastAsia="zh-CN"/>
        </w:rPr>
        <w:t>6.5</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6.8</w:t>
      </w:r>
      <w:r>
        <w:rPr>
          <w:rFonts w:hint="default" w:ascii="Times New Roman" w:hAnsi="Times New Roman" w:cs="Times New Roman"/>
          <w:szCs w:val="21"/>
        </w:rPr>
        <w:t>%；重复性限分别为0.0</w:t>
      </w:r>
      <w:r>
        <w:rPr>
          <w:rFonts w:hint="default" w:ascii="Times New Roman" w:hAnsi="Times New Roman" w:cs="Times New Roman"/>
          <w:szCs w:val="21"/>
          <w:lang w:val="en-US" w:eastAsia="zh-CN"/>
        </w:rPr>
        <w:t>091</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w:t>
      </w:r>
      <w:r>
        <w:rPr>
          <w:rFonts w:hint="default" w:ascii="Times New Roman" w:hAnsi="Times New Roman" w:cs="Times New Roman"/>
          <w:szCs w:val="21"/>
          <w:lang w:val="en-US" w:eastAsia="zh-CN"/>
        </w:rPr>
        <w:t>10</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、0.02</w:t>
      </w:r>
      <w:r>
        <w:rPr>
          <w:rFonts w:hint="default" w:ascii="Times New Roman" w:hAnsi="Times New Roman" w:cs="Times New Roman"/>
          <w:szCs w:val="21"/>
          <w:lang w:val="en-US" w:eastAsia="zh-CN"/>
        </w:rPr>
        <w:t>2</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w:t>
      </w:r>
      <w:r>
        <w:rPr>
          <w:rFonts w:hint="default" w:ascii="Times New Roman" w:hAnsi="Times New Roman" w:cs="Times New Roman"/>
          <w:szCs w:val="21"/>
          <w:lang w:val="en-US" w:eastAsia="zh-CN"/>
        </w:rPr>
        <w:t>25</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w:t>
      </w:r>
      <w:r>
        <w:rPr>
          <w:rFonts w:hint="default" w:ascii="Times New Roman" w:hAnsi="Times New Roman" w:cs="Times New Roman"/>
          <w:szCs w:val="21"/>
          <w:lang w:val="en-US" w:eastAsia="zh-CN"/>
        </w:rPr>
        <w:t>.048</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w:t>
      </w:r>
      <w:r>
        <w:rPr>
          <w:rFonts w:hint="default" w:ascii="Times New Roman" w:hAnsi="Times New Roman" w:cs="Times New Roman"/>
          <w:szCs w:val="21"/>
          <w:lang w:val="en-US" w:eastAsia="zh-CN"/>
        </w:rPr>
        <w:t>050</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；再现性限分别为0.02</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0.03</w:t>
      </w:r>
      <w:r>
        <w:rPr>
          <w:rFonts w:hint="default" w:ascii="Times New Roman" w:hAnsi="Times New Roman" w:cs="Times New Roman"/>
          <w:szCs w:val="21"/>
          <w:lang w:val="en-US" w:eastAsia="zh-CN"/>
        </w:rPr>
        <w:t>1</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、0.</w:t>
      </w:r>
      <w:r>
        <w:rPr>
          <w:rFonts w:hint="default" w:ascii="Times New Roman" w:hAnsi="Times New Roman" w:cs="Times New Roman"/>
          <w:szCs w:val="21"/>
          <w:lang w:val="en-US" w:eastAsia="zh-CN"/>
        </w:rPr>
        <w:t>093</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lang w:eastAsia="zh-CN"/>
        </w:rPr>
        <w:t>~</w:t>
      </w:r>
      <w:r>
        <w:rPr>
          <w:rFonts w:hint="default" w:ascii="Times New Roman" w:hAnsi="Times New Roman" w:cs="Times New Roman"/>
          <w:szCs w:val="21"/>
        </w:rPr>
        <w:t>0.1</w:t>
      </w:r>
      <w:r>
        <w:rPr>
          <w:rFonts w:hint="default"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和0.</w:t>
      </w:r>
      <w:r>
        <w:rPr>
          <w:rFonts w:hint="default" w:ascii="Times New Roman" w:hAnsi="Times New Roman" w:cs="Times New Roman"/>
          <w:szCs w:val="21"/>
          <w:lang w:val="en-US" w:eastAsia="zh-CN"/>
        </w:rPr>
        <w:t>14</w:t>
      </w:r>
      <w:r>
        <w:rPr>
          <w:rFonts w:hint="default" w:ascii="Times New Roman" w:hAnsi="Times New Roman" w:cs="Times New Roman"/>
          <w:szCs w:val="21"/>
        </w:rPr>
        <w:t xml:space="preserve"> </w:t>
      </w:r>
      <w:r>
        <w:rPr>
          <w:rFonts w:hint="default" w:ascii="Times New Roman" w:hAnsi="Times New Roman" w:cs="Times New Roman"/>
          <w:kern w:val="0"/>
          <w:szCs w:val="21"/>
        </w:rPr>
        <w:t>mg/kg</w:t>
      </w:r>
      <w:r>
        <w:rPr>
          <w:rFonts w:hint="default" w:ascii="Times New Roman" w:hAnsi="Times New Roman" w:cs="Times New Roman"/>
          <w:szCs w:val="21"/>
        </w:rPr>
        <w:t>。</w:t>
      </w:r>
    </w:p>
    <w:p w14:paraId="31D947B8">
      <w:pPr>
        <w:numPr>
          <w:ilvl w:val="0"/>
          <w:numId w:val="0"/>
        </w:numPr>
        <w:bidi w:val="0"/>
        <w:ind w:firstLine="420" w:firstLineChars="200"/>
        <w:outlineLvl w:val="1"/>
        <w:rPr>
          <w:rFonts w:hint="default" w:ascii="Times New Roman" w:hAnsi="Times New Roman" w:cs="Times New Roman"/>
          <w:lang w:val="en-US" w:eastAsia="zh-CN"/>
        </w:rPr>
      </w:pPr>
      <w:bookmarkStart w:id="292" w:name="_Toc24599"/>
      <w:bookmarkStart w:id="293" w:name="_Toc12524"/>
      <w:bookmarkStart w:id="294" w:name="_Toc15951"/>
      <w:bookmarkStart w:id="295" w:name="_Toc8532"/>
      <w:bookmarkStart w:id="296" w:name="_Toc31664"/>
      <w:bookmarkStart w:id="297" w:name="_Toc9341"/>
      <w:r>
        <w:rPr>
          <w:rFonts w:hint="default" w:ascii="Times New Roman" w:hAnsi="Times New Roman" w:eastAsia="宋体" w:cs="Times New Roman"/>
          <w:kern w:val="2"/>
          <w:sz w:val="21"/>
          <w:szCs w:val="24"/>
          <w:lang w:val="en-US" w:eastAsia="zh-CN" w:bidi="ar-SA"/>
        </w:rPr>
        <w:t>（3）</w:t>
      </w:r>
      <w:r>
        <w:rPr>
          <w:rFonts w:hint="default" w:ascii="Times New Roman" w:hAnsi="Times New Roman" w:cs="Times New Roman"/>
          <w:lang w:val="en-US" w:eastAsia="zh-CN"/>
        </w:rPr>
        <w:t>正确度</w:t>
      </w:r>
      <w:bookmarkEnd w:id="292"/>
      <w:bookmarkEnd w:id="293"/>
      <w:bookmarkEnd w:id="294"/>
      <w:bookmarkEnd w:id="295"/>
      <w:bookmarkEnd w:id="296"/>
      <w:bookmarkEnd w:id="297"/>
    </w:p>
    <w:p w14:paraId="12363F3C">
      <w:pPr>
        <w:spacing w:line="360" w:lineRule="exact"/>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lang w:val="en-US" w:eastAsia="zh-CN"/>
        </w:rPr>
        <w:t>6</w:t>
      </w:r>
      <w:r>
        <w:rPr>
          <w:rFonts w:hint="default" w:ascii="Times New Roman" w:hAnsi="Times New Roman" w:cs="Times New Roman"/>
          <w:kern w:val="0"/>
          <w:szCs w:val="21"/>
        </w:rPr>
        <w:t>家实验室分别对加标浓度为0.10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mg/kg的空白样品进行了6</w:t>
      </w:r>
      <w:r>
        <w:rPr>
          <w:rFonts w:hint="default" w:ascii="Times New Roman" w:hAnsi="Times New Roman" w:cs="Times New Roman"/>
          <w:szCs w:val="21"/>
        </w:rPr>
        <w:t>次重复</w:t>
      </w:r>
      <w:r>
        <w:rPr>
          <w:rFonts w:hint="default" w:ascii="Times New Roman" w:hAnsi="Times New Roman" w:cs="Times New Roman"/>
          <w:kern w:val="0"/>
          <w:szCs w:val="21"/>
        </w:rPr>
        <w:t>测定：加标回收率范围分别为</w:t>
      </w:r>
      <w:r>
        <w:rPr>
          <w:rFonts w:hint="default" w:ascii="Times New Roman" w:hAnsi="Times New Roman" w:cs="Times New Roman"/>
          <w:kern w:val="0"/>
          <w:szCs w:val="21"/>
          <w:lang w:val="en-US" w:eastAsia="zh-CN"/>
        </w:rPr>
        <w:t>74.1</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100</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71.8</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w:t>
      </w:r>
      <w:r>
        <w:rPr>
          <w:rFonts w:hint="eastAsia" w:cs="Times New Roman"/>
          <w:kern w:val="0"/>
          <w:szCs w:val="21"/>
          <w:lang w:val="en-US" w:eastAsia="zh-CN"/>
        </w:rPr>
        <w:t>02</w:t>
      </w:r>
      <w:r>
        <w:rPr>
          <w:rFonts w:hint="default" w:ascii="Times New Roman" w:hAnsi="Times New Roman" w:cs="Times New Roman"/>
          <w:kern w:val="0"/>
          <w:szCs w:val="21"/>
        </w:rPr>
        <w:t>%和</w:t>
      </w:r>
      <w:r>
        <w:rPr>
          <w:rFonts w:hint="eastAsia" w:cs="Times New Roman"/>
          <w:kern w:val="0"/>
          <w:szCs w:val="21"/>
          <w:lang w:val="en-US" w:eastAsia="zh-CN"/>
        </w:rPr>
        <w:t>81.3</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103</w:t>
      </w:r>
      <w:r>
        <w:rPr>
          <w:rFonts w:hint="default" w:ascii="Times New Roman" w:hAnsi="Times New Roman" w:cs="Times New Roman"/>
          <w:kern w:val="0"/>
          <w:szCs w:val="21"/>
        </w:rPr>
        <w:t>%，加标回收率最终值分别为</w:t>
      </w:r>
      <w:r>
        <w:rPr>
          <w:rFonts w:hint="default" w:ascii="Times New Roman" w:hAnsi="Times New Roman" w:cs="Times New Roman"/>
          <w:kern w:val="0"/>
          <w:szCs w:val="21"/>
          <w:lang w:val="en-US" w:eastAsia="zh-CN"/>
        </w:rPr>
        <w:t>86.3%</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17.4</w:t>
      </w:r>
      <w:r>
        <w:rPr>
          <w:rFonts w:hint="default" w:ascii="Times New Roman" w:hAnsi="Times New Roman" w:cs="Times New Roman"/>
          <w:kern w:val="0"/>
          <w:szCs w:val="21"/>
        </w:rPr>
        <w:t>%</w:t>
      </w:r>
      <w:r>
        <w:rPr>
          <w:rFonts w:hint="eastAsia" w:cs="Times New Roman"/>
          <w:kern w:val="0"/>
          <w:szCs w:val="21"/>
          <w:lang w:val="en-US" w:eastAsia="zh-CN"/>
        </w:rPr>
        <w:t>~</w:t>
      </w:r>
      <w:r>
        <w:rPr>
          <w:rFonts w:hint="default" w:ascii="Times New Roman" w:hAnsi="Times New Roman" w:cs="Times New Roman"/>
          <w:kern w:val="0"/>
          <w:szCs w:val="21"/>
          <w:lang w:val="en-US" w:eastAsia="zh-CN"/>
        </w:rPr>
        <w:t>8</w:t>
      </w:r>
      <w:r>
        <w:rPr>
          <w:rFonts w:hint="eastAsia" w:cs="Times New Roman"/>
          <w:kern w:val="0"/>
          <w:szCs w:val="21"/>
          <w:lang w:val="en-US" w:eastAsia="zh-CN"/>
        </w:rPr>
        <w:t>8.2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16.0</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85.4%</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18.4</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88.2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24.2</w:t>
      </w:r>
      <w:r>
        <w:rPr>
          <w:rFonts w:hint="default" w:ascii="Times New Roman" w:hAnsi="Times New Roman" w:cs="Times New Roman"/>
          <w:kern w:val="0"/>
          <w:szCs w:val="21"/>
        </w:rPr>
        <w:t>%和</w:t>
      </w:r>
      <w:r>
        <w:rPr>
          <w:rFonts w:hint="eastAsia" w:cs="Times New Roman"/>
          <w:kern w:val="0"/>
          <w:szCs w:val="21"/>
          <w:lang w:val="en-US" w:eastAsia="zh-CN"/>
        </w:rPr>
        <w:t>93.6</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eastAsia" w:cs="Times New Roman"/>
          <w:kern w:val="0"/>
          <w:szCs w:val="21"/>
          <w:lang w:val="en-US" w:eastAsia="zh-CN"/>
        </w:rPr>
        <w:t>18.4</w:t>
      </w:r>
      <w:r>
        <w:rPr>
          <w:rFonts w:hint="default" w:ascii="Times New Roman" w:hAnsi="Times New Roman" w:cs="Times New Roman"/>
          <w:kern w:val="0"/>
          <w:szCs w:val="21"/>
          <w:lang w:val="en-US" w:eastAsia="zh-CN"/>
        </w:rPr>
        <w:t>%</w:t>
      </w:r>
      <w:r>
        <w:rPr>
          <w:rFonts w:hint="eastAsia" w:cs="Times New Roman"/>
          <w:kern w:val="0"/>
          <w:szCs w:val="21"/>
          <w:lang w:val="en-US" w:eastAsia="zh-CN"/>
        </w:rPr>
        <w:t>~</w:t>
      </w:r>
      <w:r>
        <w:rPr>
          <w:rFonts w:hint="default" w:ascii="Times New Roman" w:hAnsi="Times New Roman" w:cs="Times New Roman"/>
          <w:kern w:val="0"/>
          <w:szCs w:val="21"/>
          <w:lang w:val="en-US" w:eastAsia="zh-CN"/>
        </w:rPr>
        <w:t>95.2%</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16.0</w:t>
      </w:r>
      <w:r>
        <w:rPr>
          <w:rFonts w:hint="default" w:ascii="Times New Roman" w:hAnsi="Times New Roman" w:cs="Times New Roman"/>
          <w:kern w:val="0"/>
          <w:szCs w:val="21"/>
        </w:rPr>
        <w:t>%。</w:t>
      </w:r>
    </w:p>
    <w:p w14:paraId="6FE5A832">
      <w:pPr>
        <w:spacing w:line="360" w:lineRule="exact"/>
        <w:ind w:firstLine="420" w:firstLineChars="200"/>
        <w:rPr>
          <w:rFonts w:hint="default" w:ascii="Times New Roman" w:hAnsi="Times New Roman" w:cs="Times New Roman"/>
          <w:lang w:val="en-US" w:eastAsia="zh-CN"/>
        </w:rPr>
      </w:pPr>
      <w:r>
        <w:rPr>
          <w:rFonts w:hint="default" w:ascii="Times New Roman" w:hAnsi="Times New Roman" w:cs="Times New Roman"/>
          <w:kern w:val="0"/>
          <w:szCs w:val="21"/>
          <w:lang w:val="en-US" w:eastAsia="zh-CN"/>
        </w:rPr>
        <w:t>6</w:t>
      </w:r>
      <w:r>
        <w:rPr>
          <w:rFonts w:hint="default" w:ascii="Times New Roman" w:hAnsi="Times New Roman" w:cs="Times New Roman"/>
          <w:kern w:val="0"/>
          <w:szCs w:val="21"/>
        </w:rPr>
        <w:t>家实验室分别对加标浓度为0.10 mg/kg、0.</w:t>
      </w:r>
      <w:r>
        <w:rPr>
          <w:rFonts w:hint="default" w:ascii="Times New Roman" w:hAnsi="Times New Roman" w:cs="Times New Roman"/>
          <w:kern w:val="0"/>
          <w:szCs w:val="21"/>
          <w:lang w:val="en-US" w:eastAsia="zh-CN"/>
        </w:rPr>
        <w:t>4</w:t>
      </w: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mg/kg和</w:t>
      </w:r>
      <w:r>
        <w:rPr>
          <w:rFonts w:hint="default" w:ascii="Times New Roman" w:hAnsi="Times New Roman" w:cs="Times New Roman"/>
          <w:kern w:val="0"/>
          <w:szCs w:val="21"/>
          <w:lang w:val="en-US" w:eastAsia="zh-CN"/>
        </w:rPr>
        <w:t>0.7</w:t>
      </w:r>
      <w:r>
        <w:rPr>
          <w:rFonts w:hint="default" w:ascii="Times New Roman" w:hAnsi="Times New Roman" w:cs="Times New Roman"/>
          <w:kern w:val="0"/>
          <w:szCs w:val="21"/>
        </w:rPr>
        <w:t>0 mg/kg的土壤样品进行了6</w:t>
      </w:r>
      <w:r>
        <w:rPr>
          <w:rFonts w:hint="default" w:ascii="Times New Roman" w:hAnsi="Times New Roman" w:cs="Times New Roman"/>
          <w:szCs w:val="21"/>
        </w:rPr>
        <w:t>次重复</w:t>
      </w:r>
      <w:r>
        <w:rPr>
          <w:rFonts w:hint="default" w:ascii="Times New Roman" w:hAnsi="Times New Roman" w:cs="Times New Roman"/>
          <w:kern w:val="0"/>
          <w:szCs w:val="21"/>
        </w:rPr>
        <w:t>测定：加标回收率范围分别为</w:t>
      </w:r>
      <w:r>
        <w:rPr>
          <w:rFonts w:hint="default" w:ascii="Times New Roman" w:hAnsi="Times New Roman" w:cs="Times New Roman"/>
          <w:kern w:val="0"/>
          <w:szCs w:val="21"/>
          <w:lang w:val="en-US" w:eastAsia="zh-CN"/>
        </w:rPr>
        <w:t>71.0</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9</w:t>
      </w:r>
      <w:r>
        <w:rPr>
          <w:rFonts w:hint="eastAsia" w:cs="Times New Roman"/>
          <w:kern w:val="0"/>
          <w:szCs w:val="21"/>
          <w:lang w:val="en-US" w:eastAsia="zh-CN"/>
        </w:rPr>
        <w:t>7.8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79.8</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eastAsia" w:cs="Times New Roman"/>
          <w:kern w:val="0"/>
          <w:szCs w:val="21"/>
          <w:lang w:val="en-US" w:eastAsia="zh-CN"/>
        </w:rPr>
        <w:t>113</w:t>
      </w:r>
      <w:r>
        <w:rPr>
          <w:rFonts w:hint="default" w:ascii="Times New Roman" w:hAnsi="Times New Roman" w:cs="Times New Roman"/>
          <w:kern w:val="0"/>
          <w:szCs w:val="21"/>
        </w:rPr>
        <w:t>%和</w:t>
      </w:r>
      <w:r>
        <w:rPr>
          <w:rFonts w:hint="eastAsia" w:cs="Times New Roman"/>
          <w:kern w:val="0"/>
          <w:szCs w:val="21"/>
          <w:lang w:val="en-US" w:eastAsia="zh-CN"/>
        </w:rPr>
        <w:t>94.9</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113</w:t>
      </w:r>
      <w:r>
        <w:rPr>
          <w:rFonts w:hint="default" w:ascii="Times New Roman" w:hAnsi="Times New Roman" w:cs="Times New Roman"/>
          <w:kern w:val="0"/>
          <w:szCs w:val="21"/>
        </w:rPr>
        <w:t>%，加标回收率最终值分别为</w:t>
      </w:r>
      <w:r>
        <w:rPr>
          <w:rFonts w:hint="default" w:ascii="Times New Roman" w:hAnsi="Times New Roman" w:cs="Times New Roman"/>
          <w:kern w:val="0"/>
          <w:szCs w:val="21"/>
          <w:lang w:val="en-US" w:eastAsia="zh-CN"/>
        </w:rPr>
        <w:t>83.8%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w:t>
      </w:r>
      <w:r>
        <w:rPr>
          <w:rFonts w:hint="eastAsia" w:cs="Times New Roman"/>
          <w:kern w:val="0"/>
          <w:szCs w:val="21"/>
          <w:lang w:val="en-US" w:eastAsia="zh-CN"/>
        </w:rPr>
        <w:t>4</w:t>
      </w:r>
      <w:r>
        <w:rPr>
          <w:rFonts w:hint="default" w:ascii="Times New Roman" w:hAnsi="Times New Roman" w:cs="Times New Roman"/>
          <w:kern w:val="0"/>
          <w:szCs w:val="21"/>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84.0%</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20.8%</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92.5%</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24.</w:t>
      </w:r>
      <w:r>
        <w:rPr>
          <w:rFonts w:hint="eastAsia" w:cs="Times New Roman"/>
          <w:kern w:val="0"/>
          <w:szCs w:val="21"/>
          <w:lang w:val="en-US" w:eastAsia="zh-CN"/>
        </w:rPr>
        <w:t>1</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96.7%</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16.5%</w:t>
      </w:r>
      <w:r>
        <w:rPr>
          <w:rFonts w:hint="default" w:ascii="Times New Roman" w:hAnsi="Times New Roman" w:cs="Times New Roman"/>
          <w:kern w:val="0"/>
          <w:szCs w:val="21"/>
        </w:rPr>
        <w:t>和</w:t>
      </w:r>
      <w:r>
        <w:rPr>
          <w:rFonts w:hint="eastAsia" w:cs="Times New Roman"/>
          <w:kern w:val="0"/>
          <w:szCs w:val="21"/>
          <w:lang w:val="en-US" w:eastAsia="zh-CN"/>
        </w:rPr>
        <w:t>102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w:t>
      </w:r>
      <w:r>
        <w:rPr>
          <w:rFonts w:hint="eastAsia" w:cs="Times New Roman"/>
          <w:kern w:val="0"/>
          <w:szCs w:val="21"/>
          <w:lang w:val="en-US" w:eastAsia="zh-CN"/>
        </w:rPr>
        <w:t>3.9</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102%</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13.3%</w:t>
      </w:r>
      <w:r>
        <w:rPr>
          <w:rFonts w:hint="default" w:ascii="Times New Roman" w:hAnsi="Times New Roman" w:cs="Times New Roman"/>
          <w:kern w:val="0"/>
          <w:szCs w:val="21"/>
        </w:rPr>
        <w:t>。</w:t>
      </w:r>
    </w:p>
    <w:sectPr>
      <w:pgSz w:w="11906" w:h="16838"/>
      <w:pgMar w:top="1701" w:right="1701" w:bottom="1701" w:left="170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E2CB47A-C05B-4EA8-8DEE-C462600ED14A}"/>
  </w:font>
  <w:font w:name="黑体">
    <w:panose1 w:val="02010609060101010101"/>
    <w:charset w:val="86"/>
    <w:family w:val="auto"/>
    <w:pitch w:val="default"/>
    <w:sig w:usb0="800002BF" w:usb1="38CF7CFA" w:usb2="00000016" w:usb3="00000000" w:csb0="00040001" w:csb1="00000000"/>
    <w:embedRegular r:id="rId2" w:fontKey="{9BC217C0-EBAF-427B-8471-8A8734D5A2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黑体_GBK">
    <w:panose1 w:val="02010600010101010101"/>
    <w:charset w:val="86"/>
    <w:family w:val="script"/>
    <w:pitch w:val="default"/>
    <w:sig w:usb0="00000001" w:usb1="080E0000" w:usb2="00000000" w:usb3="00000000" w:csb0="00040000" w:csb1="00000000"/>
    <w:embedRegular r:id="rId3" w:fontKey="{956A5A7D-F51B-418F-89F6-140360503901}"/>
  </w:font>
  <w:font w:name="B3+CAJSymbolA">
    <w:altName w:val="Times New Roman"/>
    <w:panose1 w:val="00000000000000000000"/>
    <w:charset w:val="00"/>
    <w:family w:val="roman"/>
    <w:pitch w:val="default"/>
    <w:sig w:usb0="00000000" w:usb1="00000000" w:usb2="00000000" w:usb3="00000000" w:csb0="00040001" w:csb1="00000000"/>
  </w:font>
  <w:font w:name="Sim Sun">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4" w:fontKey="{83A1B7A2-C569-4B85-B106-5D1624C1713D}"/>
  </w:font>
  <w:font w:name="Cambria Math">
    <w:panose1 w:val="02040503050406030204"/>
    <w:charset w:val="00"/>
    <w:family w:val="roman"/>
    <w:pitch w:val="default"/>
    <w:sig w:usb0="E00006FF" w:usb1="420024FF" w:usb2="02000000" w:usb3="00000000" w:csb0="2000019F" w:csb1="00000000"/>
    <w:embedRegular r:id="rId5" w:fontKey="{04FF4366-0686-432D-BEAD-B36859652CB0}"/>
  </w:font>
  <w:font w:name="Songti SC">
    <w:altName w:val="宋体"/>
    <w:panose1 w:val="02010800040101010101"/>
    <w:charset w:val="86"/>
    <w:family w:val="auto"/>
    <w:pitch w:val="default"/>
    <w:sig w:usb0="00000000" w:usb1="00000000" w:usb2="00000000" w:usb3="00000000" w:csb0="00040000" w:csb1="00000000"/>
    <w:embedRegular r:id="rId6" w:fontKey="{3C831143-15C1-4892-9E4B-AC329A1DB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3AB73">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B4B3F">
    <w:pPr>
      <w:pStyle w:val="10"/>
      <w:jc w:val="right"/>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30287">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BE30287">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2364C5"/>
    <w:multiLevelType w:val="singleLevel"/>
    <w:tmpl w:val="0B2364C5"/>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172A27"/>
    <w:rsid w:val="00B43493"/>
    <w:rsid w:val="00F37588"/>
    <w:rsid w:val="01183974"/>
    <w:rsid w:val="02465A78"/>
    <w:rsid w:val="026D3707"/>
    <w:rsid w:val="027A7865"/>
    <w:rsid w:val="027D341D"/>
    <w:rsid w:val="04F607CB"/>
    <w:rsid w:val="05B60E85"/>
    <w:rsid w:val="062923E8"/>
    <w:rsid w:val="06C0308C"/>
    <w:rsid w:val="07F06F13"/>
    <w:rsid w:val="099512B1"/>
    <w:rsid w:val="0A3E038C"/>
    <w:rsid w:val="0A465749"/>
    <w:rsid w:val="0AB27DA5"/>
    <w:rsid w:val="0AD10B7B"/>
    <w:rsid w:val="0BEB254B"/>
    <w:rsid w:val="0CD8218E"/>
    <w:rsid w:val="0D6D25B9"/>
    <w:rsid w:val="0E684CD7"/>
    <w:rsid w:val="0F0E6445"/>
    <w:rsid w:val="0F9E5491"/>
    <w:rsid w:val="11176F4A"/>
    <w:rsid w:val="11237C24"/>
    <w:rsid w:val="128D4609"/>
    <w:rsid w:val="13E1628E"/>
    <w:rsid w:val="150F58CF"/>
    <w:rsid w:val="15EE2A4C"/>
    <w:rsid w:val="17013758"/>
    <w:rsid w:val="176540FA"/>
    <w:rsid w:val="177300D9"/>
    <w:rsid w:val="18064281"/>
    <w:rsid w:val="180E13C6"/>
    <w:rsid w:val="19003F08"/>
    <w:rsid w:val="19A13208"/>
    <w:rsid w:val="19D210B7"/>
    <w:rsid w:val="19E11C84"/>
    <w:rsid w:val="1A2A56ED"/>
    <w:rsid w:val="1ADB2D1E"/>
    <w:rsid w:val="1BEF4A45"/>
    <w:rsid w:val="1C8615B7"/>
    <w:rsid w:val="1E4B7B75"/>
    <w:rsid w:val="1EBD24D5"/>
    <w:rsid w:val="1F7DB1F0"/>
    <w:rsid w:val="1FB507EA"/>
    <w:rsid w:val="1FF236D9"/>
    <w:rsid w:val="1FF93F9D"/>
    <w:rsid w:val="202F648B"/>
    <w:rsid w:val="22660920"/>
    <w:rsid w:val="238B7D39"/>
    <w:rsid w:val="23F55F47"/>
    <w:rsid w:val="256148FD"/>
    <w:rsid w:val="25CC21FF"/>
    <w:rsid w:val="26E36BBD"/>
    <w:rsid w:val="277A0321"/>
    <w:rsid w:val="28334813"/>
    <w:rsid w:val="28AE6162"/>
    <w:rsid w:val="29D84580"/>
    <w:rsid w:val="2A0A6F5C"/>
    <w:rsid w:val="2A2B5CA6"/>
    <w:rsid w:val="2AB06E94"/>
    <w:rsid w:val="2AC7515A"/>
    <w:rsid w:val="2B5876CC"/>
    <w:rsid w:val="2B694F34"/>
    <w:rsid w:val="2B854EC1"/>
    <w:rsid w:val="2C4022AC"/>
    <w:rsid w:val="2CF46CAB"/>
    <w:rsid w:val="2D6847CD"/>
    <w:rsid w:val="2E0E01CE"/>
    <w:rsid w:val="33B8215B"/>
    <w:rsid w:val="34F85211"/>
    <w:rsid w:val="363937AA"/>
    <w:rsid w:val="376D5148"/>
    <w:rsid w:val="38C00B3D"/>
    <w:rsid w:val="3BE70191"/>
    <w:rsid w:val="3C6708CF"/>
    <w:rsid w:val="3CBF4421"/>
    <w:rsid w:val="3CF41CCF"/>
    <w:rsid w:val="3DF534A7"/>
    <w:rsid w:val="3EDD0FE7"/>
    <w:rsid w:val="3EF800C1"/>
    <w:rsid w:val="3FF666BE"/>
    <w:rsid w:val="409F4E3F"/>
    <w:rsid w:val="40BB2F39"/>
    <w:rsid w:val="41740BED"/>
    <w:rsid w:val="41FA5502"/>
    <w:rsid w:val="43007618"/>
    <w:rsid w:val="433E6A97"/>
    <w:rsid w:val="43794E0E"/>
    <w:rsid w:val="47772155"/>
    <w:rsid w:val="477A2AC4"/>
    <w:rsid w:val="47B565FD"/>
    <w:rsid w:val="47E0056E"/>
    <w:rsid w:val="482671E3"/>
    <w:rsid w:val="48DA13EF"/>
    <w:rsid w:val="4A4C4A99"/>
    <w:rsid w:val="4A7132DF"/>
    <w:rsid w:val="4AD511CF"/>
    <w:rsid w:val="4BF03972"/>
    <w:rsid w:val="4CAC0F3B"/>
    <w:rsid w:val="4D2B06C6"/>
    <w:rsid w:val="4DC523F0"/>
    <w:rsid w:val="4E146A0B"/>
    <w:rsid w:val="4FA860B9"/>
    <w:rsid w:val="4FE50BD8"/>
    <w:rsid w:val="4FED3FCA"/>
    <w:rsid w:val="52426252"/>
    <w:rsid w:val="52792C31"/>
    <w:rsid w:val="52D86961"/>
    <w:rsid w:val="539C61B8"/>
    <w:rsid w:val="53DA3295"/>
    <w:rsid w:val="53F00FFA"/>
    <w:rsid w:val="544A6CD5"/>
    <w:rsid w:val="567061D0"/>
    <w:rsid w:val="57920036"/>
    <w:rsid w:val="57EB6A68"/>
    <w:rsid w:val="57F36B5E"/>
    <w:rsid w:val="5975500A"/>
    <w:rsid w:val="59A24F47"/>
    <w:rsid w:val="59D65D96"/>
    <w:rsid w:val="5A0630CD"/>
    <w:rsid w:val="5AAC0EEA"/>
    <w:rsid w:val="5AD94128"/>
    <w:rsid w:val="5B1F4D4A"/>
    <w:rsid w:val="5B7B1457"/>
    <w:rsid w:val="5C782A1B"/>
    <w:rsid w:val="5CD15EF0"/>
    <w:rsid w:val="5CE15D9A"/>
    <w:rsid w:val="5D430869"/>
    <w:rsid w:val="5DE436AD"/>
    <w:rsid w:val="5E424982"/>
    <w:rsid w:val="5EA81246"/>
    <w:rsid w:val="5EF39F35"/>
    <w:rsid w:val="5F344C5F"/>
    <w:rsid w:val="5FD04899"/>
    <w:rsid w:val="60412E47"/>
    <w:rsid w:val="62185CC1"/>
    <w:rsid w:val="63AE1EC8"/>
    <w:rsid w:val="6642441B"/>
    <w:rsid w:val="680E60D2"/>
    <w:rsid w:val="69B0554A"/>
    <w:rsid w:val="6B3C6DF3"/>
    <w:rsid w:val="6B622055"/>
    <w:rsid w:val="6BC15A78"/>
    <w:rsid w:val="6CB47D5F"/>
    <w:rsid w:val="6F751FBC"/>
    <w:rsid w:val="6F9DE9CB"/>
    <w:rsid w:val="70942C91"/>
    <w:rsid w:val="717E0833"/>
    <w:rsid w:val="71D73407"/>
    <w:rsid w:val="724B1189"/>
    <w:rsid w:val="7284581D"/>
    <w:rsid w:val="74133D6E"/>
    <w:rsid w:val="74E56E4F"/>
    <w:rsid w:val="774655A7"/>
    <w:rsid w:val="7750431D"/>
    <w:rsid w:val="779275C6"/>
    <w:rsid w:val="797F237D"/>
    <w:rsid w:val="79EC4879"/>
    <w:rsid w:val="7A3B59E1"/>
    <w:rsid w:val="7B9B23EB"/>
    <w:rsid w:val="7CAF5CE5"/>
    <w:rsid w:val="7ED85ADC"/>
    <w:rsid w:val="7EFF3A81"/>
    <w:rsid w:val="7F153186"/>
    <w:rsid w:val="7F7249A2"/>
    <w:rsid w:val="97BFBEAA"/>
    <w:rsid w:val="AF07E48C"/>
    <w:rsid w:val="BDB7213F"/>
    <w:rsid w:val="BFE3C650"/>
    <w:rsid w:val="DDF7C509"/>
    <w:rsid w:val="DE7F9591"/>
    <w:rsid w:val="DFF6A0E2"/>
    <w:rsid w:val="EAFA9077"/>
    <w:rsid w:val="F89E330D"/>
    <w:rsid w:val="FBFD472C"/>
    <w:rsid w:val="FD172045"/>
    <w:rsid w:val="FF348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opLinePunct/>
      <w:spacing w:line="360" w:lineRule="exact"/>
      <w:ind w:firstLine="88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100" w:beforeLines="100" w:beforeAutospacing="0" w:after="100" w:afterLines="100" w:afterAutospacing="0" w:line="360" w:lineRule="exact"/>
      <w:outlineLvl w:val="0"/>
    </w:pPr>
    <w:rPr>
      <w:rFonts w:ascii="Times New Roman" w:hAnsi="Times New Roman" w:eastAsia="黑体"/>
      <w:kern w:val="44"/>
    </w:rPr>
  </w:style>
  <w:style w:type="paragraph" w:styleId="3">
    <w:name w:val="heading 2"/>
    <w:basedOn w:val="1"/>
    <w:next w:val="1"/>
    <w:unhideWhenUsed/>
    <w:qFormat/>
    <w:uiPriority w:val="0"/>
    <w:pPr>
      <w:keepNext/>
      <w:keepLines/>
      <w:spacing w:before="50" w:beforeLines="50" w:beforeAutospacing="0" w:after="50" w:afterLines="50" w:afterAutospacing="0" w:line="360" w:lineRule="exact"/>
      <w:outlineLvl w:val="1"/>
    </w:pPr>
    <w:rPr>
      <w:rFonts w:ascii="Times New Roman" w:hAnsi="Times New Roman" w:eastAsia="黑体"/>
    </w:rPr>
  </w:style>
  <w:style w:type="paragraph" w:styleId="4">
    <w:name w:val="heading 3"/>
    <w:basedOn w:val="1"/>
    <w:next w:val="1"/>
    <w:unhideWhenUsed/>
    <w:qFormat/>
    <w:uiPriority w:val="0"/>
    <w:pPr>
      <w:keepNext/>
      <w:keepLines/>
      <w:spacing w:before="50" w:beforeLines="50" w:beforeAutospacing="0" w:after="50" w:afterLines="50" w:afterAutospacing="0" w:line="360" w:lineRule="exact"/>
      <w:outlineLvl w:val="2"/>
    </w:pPr>
    <w:rPr>
      <w:rFonts w:ascii="Times New Roman" w:hAnsi="Times New Roman" w:eastAsia="黑体"/>
    </w:rPr>
  </w:style>
  <w:style w:type="paragraph" w:styleId="5">
    <w:name w:val="heading 4"/>
    <w:basedOn w:val="1"/>
    <w:next w:val="1"/>
    <w:unhideWhenUsed/>
    <w:qFormat/>
    <w:uiPriority w:val="0"/>
    <w:pPr>
      <w:keepNext/>
      <w:keepLines/>
      <w:spacing w:before="50" w:beforeLines="50" w:beforeAutospacing="0" w:after="50" w:afterLines="50" w:afterAutospacing="0" w:line="360" w:lineRule="exact"/>
      <w:outlineLvl w:val="3"/>
    </w:pPr>
    <w:rPr>
      <w:rFonts w:ascii="Times New Roman" w:hAnsi="Times New Roman" w:eastAsia="黑体"/>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tabs>
        <w:tab w:val="left" w:pos="0"/>
      </w:tabs>
      <w:jc w:val="center"/>
    </w:pPr>
    <w:rPr>
      <w:rFonts w:ascii="宋体" w:hAnsi="宋体"/>
      <w:sz w:val="28"/>
      <w:szCs w:val="28"/>
    </w:rPr>
  </w:style>
  <w:style w:type="paragraph" w:styleId="7">
    <w:name w:val="annotation text"/>
    <w:basedOn w:val="1"/>
    <w:qFormat/>
    <w:uiPriority w:val="0"/>
    <w:pPr>
      <w:suppressAutoHyphens/>
      <w:jc w:val="left"/>
    </w:pPr>
    <w:rPr>
      <w:kern w:val="1"/>
      <w:szCs w:val="20"/>
      <w:lang w:eastAsia="ar-SA"/>
    </w:rPr>
  </w:style>
  <w:style w:type="paragraph" w:styleId="8">
    <w:name w:val="toc 5"/>
    <w:basedOn w:val="1"/>
    <w:next w:val="1"/>
    <w:qFormat/>
    <w:uiPriority w:val="0"/>
    <w:pPr>
      <w:spacing w:line="600" w:lineRule="exact"/>
      <w:ind w:firstLine="200" w:firstLineChars="200"/>
    </w:pPr>
    <w:rPr>
      <w:rFonts w:ascii="方正黑体_GBK" w:hAnsi="Times New Roman" w:eastAsia="方正黑体_GBK"/>
      <w:szCs w:val="32"/>
    </w:rPr>
  </w:style>
  <w:style w:type="paragraph" w:styleId="9">
    <w:name w:val="Plain Text"/>
    <w:basedOn w:val="1"/>
    <w:qFormat/>
    <w:uiPriority w:val="99"/>
    <w:rPr>
      <w:rFonts w:ascii="宋体" w:hAnsi="Courier New"/>
      <w:szCs w:val="20"/>
    </w:rPr>
  </w:style>
  <w:style w:type="paragraph" w:styleId="10">
    <w:name w:val="footer"/>
    <w:basedOn w:val="1"/>
    <w:qFormat/>
    <w:uiPriority w:val="99"/>
    <w:pPr>
      <w:tabs>
        <w:tab w:val="center" w:pos="4153"/>
        <w:tab w:val="right" w:pos="8306"/>
      </w:tabs>
      <w:snapToGrid w:val="0"/>
      <w:jc w:val="left"/>
    </w:pPr>
    <w:rPr>
      <w:kern w:val="0"/>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qFormat/>
    <w:uiPriority w:val="0"/>
  </w:style>
  <w:style w:type="paragraph" w:styleId="13">
    <w:name w:val="footnote text"/>
    <w:basedOn w:val="1"/>
    <w:qFormat/>
    <w:uiPriority w:val="0"/>
    <w:pPr>
      <w:snapToGrid w:val="0"/>
      <w:jc w:val="left"/>
    </w:pPr>
    <w:rPr>
      <w:sz w:val="18"/>
    </w:rPr>
  </w:style>
  <w:style w:type="paragraph" w:styleId="14">
    <w:name w:val="toc 2"/>
    <w:basedOn w:val="1"/>
    <w:next w:val="1"/>
    <w:qFormat/>
    <w:uiPriority w:val="0"/>
    <w:pPr>
      <w:ind w:left="420" w:left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character" w:styleId="19">
    <w:name w:val="footnote reference"/>
    <w:basedOn w:val="17"/>
    <w:qFormat/>
    <w:uiPriority w:val="0"/>
    <w:rPr>
      <w:vertAlign w:val="superscript"/>
    </w:rPr>
  </w:style>
  <w:style w:type="paragraph" w:customStyle="1" w:styleId="20">
    <w:name w:val="Table Text"/>
    <w:basedOn w:val="1"/>
    <w:semiHidden/>
    <w:qFormat/>
    <w:uiPriority w:val="0"/>
    <w:rPr>
      <w:rFonts w:ascii="Times New Roman" w:hAnsi="Times New Roman" w:eastAsia="Times New Roman" w:cs="Times New Roman"/>
      <w:sz w:val="18"/>
      <w:szCs w:val="18"/>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图题"/>
    <w:qFormat/>
    <w:uiPriority w:val="0"/>
    <w:pPr>
      <w:widowControl w:val="0"/>
      <w:topLinePunct/>
      <w:adjustRightInd w:val="0"/>
      <w:spacing w:before="40" w:after="280"/>
      <w:jc w:val="center"/>
    </w:pPr>
    <w:rPr>
      <w:rFonts w:ascii="Arial" w:hAnsi="Arial" w:eastAsia="黑体" w:cs="Times New Roman"/>
      <w:kern w:val="18"/>
      <w:sz w:val="18"/>
      <w:lang w:val="en-US" w:eastAsia="zh-TW" w:bidi="ar-SA"/>
    </w:rPr>
  </w:style>
  <w:style w:type="paragraph" w:customStyle="1" w:styleId="23">
    <w:name w:val="表"/>
    <w:next w:val="1"/>
    <w:qFormat/>
    <w:uiPriority w:val="0"/>
    <w:pPr>
      <w:jc w:val="center"/>
    </w:pPr>
    <w:rPr>
      <w:rFonts w:ascii="Times New Roman" w:hAnsi="Times New Roman" w:eastAsia="宋体" w:cs="Times New Roman"/>
      <w:sz w:val="21"/>
      <w:lang w:val="en-US" w:eastAsia="zh-CN" w:bidi="ar-SA"/>
    </w:rPr>
  </w:style>
  <w:style w:type="character" w:customStyle="1" w:styleId="24">
    <w:name w:val="fontstyle11"/>
    <w:qFormat/>
    <w:uiPriority w:val="0"/>
    <w:rPr>
      <w:rFonts w:hint="default" w:ascii="B3+CAJSymbolA" w:hAnsi="B3+CAJSymbolA"/>
      <w:color w:val="000000"/>
      <w:sz w:val="18"/>
      <w:szCs w:val="18"/>
    </w:rPr>
  </w:style>
  <w:style w:type="paragraph" w:customStyle="1" w:styleId="25">
    <w:name w:val="Default"/>
    <w:qFormat/>
    <w:uiPriority w:val="0"/>
    <w:pPr>
      <w:widowControl w:val="0"/>
      <w:autoSpaceDE w:val="0"/>
      <w:autoSpaceDN w:val="0"/>
      <w:adjustRightInd w:val="0"/>
    </w:pPr>
    <w:rPr>
      <w:rFonts w:ascii="Sim Sun" w:hAnsi="Times New Roman" w:eastAsia="Sim Sun" w:cs="Sim Sun"/>
      <w:color w:val="000000"/>
      <w:sz w:val="24"/>
      <w:szCs w:val="24"/>
      <w:lang w:val="en-US" w:eastAsia="zh-CN" w:bidi="ar-SA"/>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8.wmf"/><Relationship Id="rId97" Type="http://schemas.openxmlformats.org/officeDocument/2006/relationships/oleObject" Target="embeddings/oleObject43.bin"/><Relationship Id="rId96" Type="http://schemas.openxmlformats.org/officeDocument/2006/relationships/image" Target="media/image47.png"/><Relationship Id="rId95" Type="http://schemas.openxmlformats.org/officeDocument/2006/relationships/image" Target="media/image46.png"/><Relationship Id="rId94" Type="http://schemas.openxmlformats.org/officeDocument/2006/relationships/image" Target="media/image45.wmf"/><Relationship Id="rId93" Type="http://schemas.openxmlformats.org/officeDocument/2006/relationships/oleObject" Target="embeddings/oleObject42.bin"/><Relationship Id="rId92" Type="http://schemas.openxmlformats.org/officeDocument/2006/relationships/image" Target="media/image44.wmf"/><Relationship Id="rId91" Type="http://schemas.openxmlformats.org/officeDocument/2006/relationships/oleObject" Target="embeddings/oleObject41.bin"/><Relationship Id="rId90" Type="http://schemas.openxmlformats.org/officeDocument/2006/relationships/image" Target="media/image43.wmf"/><Relationship Id="rId9" Type="http://schemas.openxmlformats.org/officeDocument/2006/relationships/image" Target="media/image2.png"/><Relationship Id="rId89" Type="http://schemas.openxmlformats.org/officeDocument/2006/relationships/oleObject" Target="embeddings/oleObject40.bin"/><Relationship Id="rId88" Type="http://schemas.openxmlformats.org/officeDocument/2006/relationships/image" Target="media/image42.wmf"/><Relationship Id="rId87" Type="http://schemas.openxmlformats.org/officeDocument/2006/relationships/oleObject" Target="embeddings/oleObject39.bin"/><Relationship Id="rId86" Type="http://schemas.openxmlformats.org/officeDocument/2006/relationships/image" Target="media/image41.wmf"/><Relationship Id="rId85" Type="http://schemas.openxmlformats.org/officeDocument/2006/relationships/oleObject" Target="embeddings/oleObject38.bin"/><Relationship Id="rId84" Type="http://schemas.openxmlformats.org/officeDocument/2006/relationships/image" Target="media/image40.wmf"/><Relationship Id="rId83" Type="http://schemas.openxmlformats.org/officeDocument/2006/relationships/oleObject" Target="embeddings/oleObject37.bin"/><Relationship Id="rId82" Type="http://schemas.openxmlformats.org/officeDocument/2006/relationships/image" Target="media/image39.wmf"/><Relationship Id="rId81" Type="http://schemas.openxmlformats.org/officeDocument/2006/relationships/oleObject" Target="embeddings/oleObject36.bin"/><Relationship Id="rId80" Type="http://schemas.openxmlformats.org/officeDocument/2006/relationships/oleObject" Target="embeddings/oleObject35.bin"/><Relationship Id="rId8" Type="http://schemas.openxmlformats.org/officeDocument/2006/relationships/image" Target="media/image1.png"/><Relationship Id="rId79" Type="http://schemas.openxmlformats.org/officeDocument/2006/relationships/image" Target="media/image38.wmf"/><Relationship Id="rId78" Type="http://schemas.openxmlformats.org/officeDocument/2006/relationships/oleObject" Target="embeddings/oleObject34.bin"/><Relationship Id="rId77" Type="http://schemas.openxmlformats.org/officeDocument/2006/relationships/image" Target="media/image37.wmf"/><Relationship Id="rId76" Type="http://schemas.openxmlformats.org/officeDocument/2006/relationships/oleObject" Target="embeddings/oleObject33.bin"/><Relationship Id="rId75" Type="http://schemas.openxmlformats.org/officeDocument/2006/relationships/image" Target="media/image36.wmf"/><Relationship Id="rId74" Type="http://schemas.openxmlformats.org/officeDocument/2006/relationships/oleObject" Target="embeddings/oleObject32.bin"/><Relationship Id="rId73" Type="http://schemas.openxmlformats.org/officeDocument/2006/relationships/image" Target="media/image35.wmf"/><Relationship Id="rId72" Type="http://schemas.openxmlformats.org/officeDocument/2006/relationships/oleObject" Target="embeddings/oleObject31.bin"/><Relationship Id="rId71" Type="http://schemas.openxmlformats.org/officeDocument/2006/relationships/image" Target="media/image34.wmf"/><Relationship Id="rId70" Type="http://schemas.openxmlformats.org/officeDocument/2006/relationships/oleObject" Target="embeddings/oleObject30.bin"/><Relationship Id="rId7" Type="http://schemas.openxmlformats.org/officeDocument/2006/relationships/theme" Target="theme/theme1.xml"/><Relationship Id="rId69" Type="http://schemas.openxmlformats.org/officeDocument/2006/relationships/image" Target="media/image33.wmf"/><Relationship Id="rId68" Type="http://schemas.openxmlformats.org/officeDocument/2006/relationships/oleObject" Target="embeddings/oleObject29.bin"/><Relationship Id="rId67" Type="http://schemas.openxmlformats.org/officeDocument/2006/relationships/image" Target="media/image32.wmf"/><Relationship Id="rId66" Type="http://schemas.openxmlformats.org/officeDocument/2006/relationships/oleObject" Target="embeddings/oleObject28.bin"/><Relationship Id="rId65" Type="http://schemas.openxmlformats.org/officeDocument/2006/relationships/image" Target="media/image31.wmf"/><Relationship Id="rId64" Type="http://schemas.openxmlformats.org/officeDocument/2006/relationships/oleObject" Target="embeddings/oleObject27.bin"/><Relationship Id="rId63" Type="http://schemas.openxmlformats.org/officeDocument/2006/relationships/image" Target="media/image30.wmf"/><Relationship Id="rId62" Type="http://schemas.openxmlformats.org/officeDocument/2006/relationships/oleObject" Target="embeddings/oleObject26.bin"/><Relationship Id="rId61" Type="http://schemas.openxmlformats.org/officeDocument/2006/relationships/image" Target="media/image29.wmf"/><Relationship Id="rId60" Type="http://schemas.openxmlformats.org/officeDocument/2006/relationships/oleObject" Target="embeddings/oleObject25.bin"/><Relationship Id="rId6" Type="http://schemas.openxmlformats.org/officeDocument/2006/relationships/footer" Target="footer2.xml"/><Relationship Id="rId59" Type="http://schemas.openxmlformats.org/officeDocument/2006/relationships/image" Target="media/image28.wmf"/><Relationship Id="rId58" Type="http://schemas.openxmlformats.org/officeDocument/2006/relationships/oleObject" Target="embeddings/oleObject24.bin"/><Relationship Id="rId57" Type="http://schemas.openxmlformats.org/officeDocument/2006/relationships/image" Target="media/image27.wmf"/><Relationship Id="rId56" Type="http://schemas.openxmlformats.org/officeDocument/2006/relationships/oleObject" Target="embeddings/oleObject23.bin"/><Relationship Id="rId55" Type="http://schemas.openxmlformats.org/officeDocument/2006/relationships/image" Target="media/image26.wmf"/><Relationship Id="rId54" Type="http://schemas.openxmlformats.org/officeDocument/2006/relationships/oleObject" Target="embeddings/oleObject22.bin"/><Relationship Id="rId53" Type="http://schemas.openxmlformats.org/officeDocument/2006/relationships/image" Target="media/image25.wmf"/><Relationship Id="rId52" Type="http://schemas.openxmlformats.org/officeDocument/2006/relationships/oleObject" Target="embeddings/oleObject21.bin"/><Relationship Id="rId51" Type="http://schemas.openxmlformats.org/officeDocument/2006/relationships/image" Target="media/image24.wmf"/><Relationship Id="rId50" Type="http://schemas.openxmlformats.org/officeDocument/2006/relationships/oleObject" Target="embeddings/oleObject20.bin"/><Relationship Id="rId5" Type="http://schemas.openxmlformats.org/officeDocument/2006/relationships/footer" Target="footer1.xml"/><Relationship Id="rId49" Type="http://schemas.openxmlformats.org/officeDocument/2006/relationships/image" Target="media/image23.wmf"/><Relationship Id="rId48" Type="http://schemas.openxmlformats.org/officeDocument/2006/relationships/oleObject" Target="embeddings/oleObject19.bin"/><Relationship Id="rId47" Type="http://schemas.openxmlformats.org/officeDocument/2006/relationships/oleObject" Target="embeddings/oleObject18.bin"/><Relationship Id="rId46" Type="http://schemas.openxmlformats.org/officeDocument/2006/relationships/oleObject" Target="embeddings/oleObject17.bin"/><Relationship Id="rId45" Type="http://schemas.openxmlformats.org/officeDocument/2006/relationships/oleObject" Target="embeddings/oleObject16.bin"/><Relationship Id="rId44" Type="http://schemas.openxmlformats.org/officeDocument/2006/relationships/oleObject" Target="embeddings/oleObject15.bin"/><Relationship Id="rId43" Type="http://schemas.openxmlformats.org/officeDocument/2006/relationships/oleObject" Target="embeddings/oleObject14.bin"/><Relationship Id="rId42" Type="http://schemas.openxmlformats.org/officeDocument/2006/relationships/oleObject" Target="embeddings/oleObject13.bin"/><Relationship Id="rId41" Type="http://schemas.openxmlformats.org/officeDocument/2006/relationships/image" Target="media/image22.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21.wmf"/><Relationship Id="rId38" Type="http://schemas.openxmlformats.org/officeDocument/2006/relationships/oleObject" Target="embeddings/oleObject11.bin"/><Relationship Id="rId37" Type="http://schemas.openxmlformats.org/officeDocument/2006/relationships/oleObject" Target="embeddings/oleObject10.bin"/><Relationship Id="rId36" Type="http://schemas.openxmlformats.org/officeDocument/2006/relationships/image" Target="media/image20.wmf"/><Relationship Id="rId35" Type="http://schemas.openxmlformats.org/officeDocument/2006/relationships/oleObject" Target="embeddings/oleObject9.bin"/><Relationship Id="rId34" Type="http://schemas.openxmlformats.org/officeDocument/2006/relationships/image" Target="media/image19.wmf"/><Relationship Id="rId33" Type="http://schemas.openxmlformats.org/officeDocument/2006/relationships/oleObject" Target="embeddings/oleObject8.bin"/><Relationship Id="rId32" Type="http://schemas.openxmlformats.org/officeDocument/2006/relationships/image" Target="media/image18.wmf"/><Relationship Id="rId31" Type="http://schemas.openxmlformats.org/officeDocument/2006/relationships/oleObject" Target="embeddings/oleObject7.bin"/><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5" Type="http://schemas.openxmlformats.org/officeDocument/2006/relationships/fontTable" Target="fontTable.xml"/><Relationship Id="rId264" Type="http://schemas.openxmlformats.org/officeDocument/2006/relationships/numbering" Target="numbering.xml"/><Relationship Id="rId263" Type="http://schemas.openxmlformats.org/officeDocument/2006/relationships/customXml" Target="../customXml/item1.xml"/><Relationship Id="rId262" Type="http://schemas.openxmlformats.org/officeDocument/2006/relationships/oleObject" Target="embeddings/oleObject176.bin"/><Relationship Id="rId261" Type="http://schemas.openxmlformats.org/officeDocument/2006/relationships/image" Target="media/image79.wmf"/><Relationship Id="rId260" Type="http://schemas.openxmlformats.org/officeDocument/2006/relationships/image" Target="media/image78.wmf"/><Relationship Id="rId26" Type="http://schemas.openxmlformats.org/officeDocument/2006/relationships/oleObject" Target="embeddings/oleObject5.bin"/><Relationship Id="rId259" Type="http://schemas.openxmlformats.org/officeDocument/2006/relationships/oleObject" Target="embeddings/oleObject175.bin"/><Relationship Id="rId258" Type="http://schemas.openxmlformats.org/officeDocument/2006/relationships/oleObject" Target="embeddings/oleObject174.bin"/><Relationship Id="rId257" Type="http://schemas.openxmlformats.org/officeDocument/2006/relationships/image" Target="media/image77.wmf"/><Relationship Id="rId256" Type="http://schemas.openxmlformats.org/officeDocument/2006/relationships/image" Target="media/image76.wmf"/><Relationship Id="rId255" Type="http://schemas.openxmlformats.org/officeDocument/2006/relationships/oleObject" Target="embeddings/oleObject173.bin"/><Relationship Id="rId254" Type="http://schemas.openxmlformats.org/officeDocument/2006/relationships/image" Target="media/image75.wmf"/><Relationship Id="rId253" Type="http://schemas.openxmlformats.org/officeDocument/2006/relationships/oleObject" Target="embeddings/oleObject172.bin"/><Relationship Id="rId252" Type="http://schemas.openxmlformats.org/officeDocument/2006/relationships/oleObject" Target="embeddings/oleObject171.bin"/><Relationship Id="rId251" Type="http://schemas.openxmlformats.org/officeDocument/2006/relationships/oleObject" Target="embeddings/oleObject170.bin"/><Relationship Id="rId250" Type="http://schemas.openxmlformats.org/officeDocument/2006/relationships/oleObject" Target="embeddings/oleObject169.bin"/><Relationship Id="rId25" Type="http://schemas.openxmlformats.org/officeDocument/2006/relationships/oleObject" Target="embeddings/oleObject4.bin"/><Relationship Id="rId249" Type="http://schemas.openxmlformats.org/officeDocument/2006/relationships/oleObject" Target="embeddings/oleObject168.bin"/><Relationship Id="rId248" Type="http://schemas.openxmlformats.org/officeDocument/2006/relationships/oleObject" Target="embeddings/oleObject167.bin"/><Relationship Id="rId247" Type="http://schemas.openxmlformats.org/officeDocument/2006/relationships/oleObject" Target="embeddings/oleObject166.bin"/><Relationship Id="rId246" Type="http://schemas.openxmlformats.org/officeDocument/2006/relationships/oleObject" Target="embeddings/oleObject165.bin"/><Relationship Id="rId245" Type="http://schemas.openxmlformats.org/officeDocument/2006/relationships/oleObject" Target="embeddings/oleObject164.bin"/><Relationship Id="rId244" Type="http://schemas.openxmlformats.org/officeDocument/2006/relationships/oleObject" Target="embeddings/oleObject163.bin"/><Relationship Id="rId243" Type="http://schemas.openxmlformats.org/officeDocument/2006/relationships/oleObject" Target="embeddings/oleObject162.bin"/><Relationship Id="rId242" Type="http://schemas.openxmlformats.org/officeDocument/2006/relationships/oleObject" Target="embeddings/oleObject161.bin"/><Relationship Id="rId241" Type="http://schemas.openxmlformats.org/officeDocument/2006/relationships/oleObject" Target="embeddings/oleObject160.bin"/><Relationship Id="rId240" Type="http://schemas.openxmlformats.org/officeDocument/2006/relationships/oleObject" Target="embeddings/oleObject159.bin"/><Relationship Id="rId24" Type="http://schemas.openxmlformats.org/officeDocument/2006/relationships/oleObject" Target="embeddings/oleObject3.bin"/><Relationship Id="rId239" Type="http://schemas.openxmlformats.org/officeDocument/2006/relationships/oleObject" Target="embeddings/oleObject158.bin"/><Relationship Id="rId238" Type="http://schemas.openxmlformats.org/officeDocument/2006/relationships/oleObject" Target="embeddings/oleObject157.bin"/><Relationship Id="rId237" Type="http://schemas.openxmlformats.org/officeDocument/2006/relationships/oleObject" Target="embeddings/oleObject156.bin"/><Relationship Id="rId236" Type="http://schemas.openxmlformats.org/officeDocument/2006/relationships/oleObject" Target="embeddings/oleObject155.bin"/><Relationship Id="rId235" Type="http://schemas.openxmlformats.org/officeDocument/2006/relationships/oleObject" Target="embeddings/oleObject154.bin"/><Relationship Id="rId234" Type="http://schemas.openxmlformats.org/officeDocument/2006/relationships/oleObject" Target="embeddings/oleObject153.bin"/><Relationship Id="rId233" Type="http://schemas.openxmlformats.org/officeDocument/2006/relationships/oleObject" Target="embeddings/oleObject152.bin"/><Relationship Id="rId232" Type="http://schemas.openxmlformats.org/officeDocument/2006/relationships/oleObject" Target="embeddings/oleObject151.bin"/><Relationship Id="rId231" Type="http://schemas.openxmlformats.org/officeDocument/2006/relationships/oleObject" Target="embeddings/oleObject150.bin"/><Relationship Id="rId230" Type="http://schemas.openxmlformats.org/officeDocument/2006/relationships/oleObject" Target="embeddings/oleObject149.bin"/><Relationship Id="rId23" Type="http://schemas.openxmlformats.org/officeDocument/2006/relationships/image" Target="media/image14.wmf"/><Relationship Id="rId229" Type="http://schemas.openxmlformats.org/officeDocument/2006/relationships/oleObject" Target="embeddings/oleObject148.bin"/><Relationship Id="rId228" Type="http://schemas.openxmlformats.org/officeDocument/2006/relationships/oleObject" Target="embeddings/oleObject147.bin"/><Relationship Id="rId227" Type="http://schemas.openxmlformats.org/officeDocument/2006/relationships/oleObject" Target="embeddings/oleObject146.bin"/><Relationship Id="rId226" Type="http://schemas.openxmlformats.org/officeDocument/2006/relationships/oleObject" Target="embeddings/oleObject145.bin"/><Relationship Id="rId225" Type="http://schemas.openxmlformats.org/officeDocument/2006/relationships/oleObject" Target="embeddings/oleObject144.bin"/><Relationship Id="rId224" Type="http://schemas.openxmlformats.org/officeDocument/2006/relationships/oleObject" Target="embeddings/oleObject143.bin"/><Relationship Id="rId223" Type="http://schemas.openxmlformats.org/officeDocument/2006/relationships/oleObject" Target="embeddings/oleObject142.bin"/><Relationship Id="rId222" Type="http://schemas.openxmlformats.org/officeDocument/2006/relationships/oleObject" Target="embeddings/oleObject141.bin"/><Relationship Id="rId221" Type="http://schemas.openxmlformats.org/officeDocument/2006/relationships/oleObject" Target="embeddings/oleObject140.bin"/><Relationship Id="rId220" Type="http://schemas.openxmlformats.org/officeDocument/2006/relationships/oleObject" Target="embeddings/oleObject139.bin"/><Relationship Id="rId22" Type="http://schemas.openxmlformats.org/officeDocument/2006/relationships/oleObject" Target="embeddings/oleObject2.bin"/><Relationship Id="rId219" Type="http://schemas.openxmlformats.org/officeDocument/2006/relationships/oleObject" Target="embeddings/oleObject138.bin"/><Relationship Id="rId218" Type="http://schemas.openxmlformats.org/officeDocument/2006/relationships/oleObject" Target="embeddings/oleObject137.bin"/><Relationship Id="rId217" Type="http://schemas.openxmlformats.org/officeDocument/2006/relationships/oleObject" Target="embeddings/oleObject136.bin"/><Relationship Id="rId216" Type="http://schemas.openxmlformats.org/officeDocument/2006/relationships/oleObject" Target="embeddings/oleObject135.bin"/><Relationship Id="rId215" Type="http://schemas.openxmlformats.org/officeDocument/2006/relationships/oleObject" Target="embeddings/oleObject134.bin"/><Relationship Id="rId214" Type="http://schemas.openxmlformats.org/officeDocument/2006/relationships/oleObject" Target="embeddings/oleObject133.bin"/><Relationship Id="rId213" Type="http://schemas.openxmlformats.org/officeDocument/2006/relationships/oleObject" Target="embeddings/oleObject132.bin"/><Relationship Id="rId212" Type="http://schemas.openxmlformats.org/officeDocument/2006/relationships/oleObject" Target="embeddings/oleObject131.bin"/><Relationship Id="rId211" Type="http://schemas.openxmlformats.org/officeDocument/2006/relationships/oleObject" Target="embeddings/oleObject130.bin"/><Relationship Id="rId210" Type="http://schemas.openxmlformats.org/officeDocument/2006/relationships/oleObject" Target="embeddings/oleObject129.bin"/><Relationship Id="rId21" Type="http://schemas.openxmlformats.org/officeDocument/2006/relationships/image" Target="media/image13.wmf"/><Relationship Id="rId209" Type="http://schemas.openxmlformats.org/officeDocument/2006/relationships/oleObject" Target="embeddings/oleObject128.bin"/><Relationship Id="rId208" Type="http://schemas.openxmlformats.org/officeDocument/2006/relationships/oleObject" Target="embeddings/oleObject127.bin"/><Relationship Id="rId207" Type="http://schemas.openxmlformats.org/officeDocument/2006/relationships/oleObject" Target="embeddings/oleObject126.bin"/><Relationship Id="rId206" Type="http://schemas.openxmlformats.org/officeDocument/2006/relationships/oleObject" Target="embeddings/oleObject125.bin"/><Relationship Id="rId205" Type="http://schemas.openxmlformats.org/officeDocument/2006/relationships/oleObject" Target="embeddings/oleObject124.bin"/><Relationship Id="rId204" Type="http://schemas.openxmlformats.org/officeDocument/2006/relationships/oleObject" Target="embeddings/oleObject123.bin"/><Relationship Id="rId203" Type="http://schemas.openxmlformats.org/officeDocument/2006/relationships/oleObject" Target="embeddings/oleObject122.bin"/><Relationship Id="rId202" Type="http://schemas.openxmlformats.org/officeDocument/2006/relationships/oleObject" Target="embeddings/oleObject121.bin"/><Relationship Id="rId201" Type="http://schemas.openxmlformats.org/officeDocument/2006/relationships/oleObject" Target="embeddings/oleObject120.bin"/><Relationship Id="rId200" Type="http://schemas.openxmlformats.org/officeDocument/2006/relationships/oleObject" Target="embeddings/oleObject119.bin"/><Relationship Id="rId20" Type="http://schemas.openxmlformats.org/officeDocument/2006/relationships/oleObject" Target="embeddings/oleObject1.bin"/><Relationship Id="rId2" Type="http://schemas.openxmlformats.org/officeDocument/2006/relationships/settings" Target="settings.xml"/><Relationship Id="rId199" Type="http://schemas.openxmlformats.org/officeDocument/2006/relationships/oleObject" Target="embeddings/oleObject118.bin"/><Relationship Id="rId198" Type="http://schemas.openxmlformats.org/officeDocument/2006/relationships/oleObject" Target="embeddings/oleObject117.bin"/><Relationship Id="rId197" Type="http://schemas.openxmlformats.org/officeDocument/2006/relationships/oleObject" Target="embeddings/oleObject116.bin"/><Relationship Id="rId196" Type="http://schemas.openxmlformats.org/officeDocument/2006/relationships/oleObject" Target="embeddings/oleObject115.bin"/><Relationship Id="rId195" Type="http://schemas.openxmlformats.org/officeDocument/2006/relationships/oleObject" Target="embeddings/oleObject114.bin"/><Relationship Id="rId194" Type="http://schemas.openxmlformats.org/officeDocument/2006/relationships/oleObject" Target="embeddings/oleObject113.bin"/><Relationship Id="rId193" Type="http://schemas.openxmlformats.org/officeDocument/2006/relationships/oleObject" Target="embeddings/oleObject112.bin"/><Relationship Id="rId192" Type="http://schemas.openxmlformats.org/officeDocument/2006/relationships/oleObject" Target="embeddings/oleObject111.bin"/><Relationship Id="rId191" Type="http://schemas.openxmlformats.org/officeDocument/2006/relationships/oleObject" Target="embeddings/oleObject110.bin"/><Relationship Id="rId190" Type="http://schemas.openxmlformats.org/officeDocument/2006/relationships/oleObject" Target="embeddings/oleObject109.bin"/><Relationship Id="rId19" Type="http://schemas.openxmlformats.org/officeDocument/2006/relationships/image" Target="media/image12.png"/><Relationship Id="rId189" Type="http://schemas.openxmlformats.org/officeDocument/2006/relationships/oleObject" Target="embeddings/oleObject108.bin"/><Relationship Id="rId188" Type="http://schemas.openxmlformats.org/officeDocument/2006/relationships/oleObject" Target="embeddings/oleObject107.bin"/><Relationship Id="rId187" Type="http://schemas.openxmlformats.org/officeDocument/2006/relationships/oleObject" Target="embeddings/oleObject106.bin"/><Relationship Id="rId186" Type="http://schemas.openxmlformats.org/officeDocument/2006/relationships/oleObject" Target="embeddings/oleObject105.bin"/><Relationship Id="rId185" Type="http://schemas.openxmlformats.org/officeDocument/2006/relationships/oleObject" Target="embeddings/oleObject104.bin"/><Relationship Id="rId184" Type="http://schemas.openxmlformats.org/officeDocument/2006/relationships/oleObject" Target="embeddings/oleObject103.bin"/><Relationship Id="rId183" Type="http://schemas.openxmlformats.org/officeDocument/2006/relationships/oleObject" Target="embeddings/oleObject102.bin"/><Relationship Id="rId182" Type="http://schemas.openxmlformats.org/officeDocument/2006/relationships/oleObject" Target="embeddings/oleObject101.bin"/><Relationship Id="rId181" Type="http://schemas.openxmlformats.org/officeDocument/2006/relationships/oleObject" Target="embeddings/oleObject100.bin"/><Relationship Id="rId180" Type="http://schemas.openxmlformats.org/officeDocument/2006/relationships/oleObject" Target="embeddings/oleObject99.bin"/><Relationship Id="rId18" Type="http://schemas.openxmlformats.org/officeDocument/2006/relationships/image" Target="media/image11.png"/><Relationship Id="rId179" Type="http://schemas.openxmlformats.org/officeDocument/2006/relationships/oleObject" Target="embeddings/oleObject98.bin"/><Relationship Id="rId178" Type="http://schemas.openxmlformats.org/officeDocument/2006/relationships/oleObject" Target="embeddings/oleObject97.bin"/><Relationship Id="rId177" Type="http://schemas.openxmlformats.org/officeDocument/2006/relationships/oleObject" Target="embeddings/oleObject96.bin"/><Relationship Id="rId176" Type="http://schemas.openxmlformats.org/officeDocument/2006/relationships/oleObject" Target="embeddings/oleObject95.bin"/><Relationship Id="rId175" Type="http://schemas.openxmlformats.org/officeDocument/2006/relationships/oleObject" Target="embeddings/oleObject94.bin"/><Relationship Id="rId174" Type="http://schemas.openxmlformats.org/officeDocument/2006/relationships/oleObject" Target="embeddings/oleObject93.bin"/><Relationship Id="rId173" Type="http://schemas.openxmlformats.org/officeDocument/2006/relationships/oleObject" Target="embeddings/oleObject92.bin"/><Relationship Id="rId172" Type="http://schemas.openxmlformats.org/officeDocument/2006/relationships/oleObject" Target="embeddings/oleObject91.bin"/><Relationship Id="rId171" Type="http://schemas.openxmlformats.org/officeDocument/2006/relationships/oleObject" Target="embeddings/oleObject90.bin"/><Relationship Id="rId170" Type="http://schemas.openxmlformats.org/officeDocument/2006/relationships/oleObject" Target="embeddings/oleObject89.bin"/><Relationship Id="rId17" Type="http://schemas.openxmlformats.org/officeDocument/2006/relationships/image" Target="media/image10.png"/><Relationship Id="rId169" Type="http://schemas.openxmlformats.org/officeDocument/2006/relationships/oleObject" Target="embeddings/oleObject88.bin"/><Relationship Id="rId168" Type="http://schemas.openxmlformats.org/officeDocument/2006/relationships/oleObject" Target="embeddings/oleObject87.bin"/><Relationship Id="rId167" Type="http://schemas.openxmlformats.org/officeDocument/2006/relationships/oleObject" Target="embeddings/oleObject86.bin"/><Relationship Id="rId166" Type="http://schemas.openxmlformats.org/officeDocument/2006/relationships/image" Target="media/image74.wmf"/><Relationship Id="rId165" Type="http://schemas.openxmlformats.org/officeDocument/2006/relationships/oleObject" Target="embeddings/oleObject85.bin"/><Relationship Id="rId164" Type="http://schemas.openxmlformats.org/officeDocument/2006/relationships/image" Target="media/image73.wmf"/><Relationship Id="rId163" Type="http://schemas.openxmlformats.org/officeDocument/2006/relationships/oleObject" Target="embeddings/oleObject84.bin"/><Relationship Id="rId162" Type="http://schemas.openxmlformats.org/officeDocument/2006/relationships/image" Target="media/image72.wmf"/><Relationship Id="rId161" Type="http://schemas.openxmlformats.org/officeDocument/2006/relationships/oleObject" Target="embeddings/oleObject83.bin"/><Relationship Id="rId160" Type="http://schemas.openxmlformats.org/officeDocument/2006/relationships/image" Target="media/image71.wmf"/><Relationship Id="rId16" Type="http://schemas.openxmlformats.org/officeDocument/2006/relationships/image" Target="media/image9.png"/><Relationship Id="rId159" Type="http://schemas.openxmlformats.org/officeDocument/2006/relationships/oleObject" Target="embeddings/oleObject82.bin"/><Relationship Id="rId158" Type="http://schemas.openxmlformats.org/officeDocument/2006/relationships/image" Target="media/image70.wmf"/><Relationship Id="rId157" Type="http://schemas.openxmlformats.org/officeDocument/2006/relationships/oleObject" Target="embeddings/oleObject81.bin"/><Relationship Id="rId156" Type="http://schemas.openxmlformats.org/officeDocument/2006/relationships/oleObject" Target="embeddings/oleObject80.bin"/><Relationship Id="rId155" Type="http://schemas.openxmlformats.org/officeDocument/2006/relationships/oleObject" Target="embeddings/oleObject79.bin"/><Relationship Id="rId154" Type="http://schemas.openxmlformats.org/officeDocument/2006/relationships/oleObject" Target="embeddings/oleObject78.bin"/><Relationship Id="rId153" Type="http://schemas.openxmlformats.org/officeDocument/2006/relationships/oleObject" Target="embeddings/oleObject77.bin"/><Relationship Id="rId152" Type="http://schemas.openxmlformats.org/officeDocument/2006/relationships/oleObject" Target="embeddings/oleObject76.bin"/><Relationship Id="rId151" Type="http://schemas.openxmlformats.org/officeDocument/2006/relationships/oleObject" Target="embeddings/oleObject75.bin"/><Relationship Id="rId150" Type="http://schemas.openxmlformats.org/officeDocument/2006/relationships/oleObject" Target="embeddings/oleObject74.bin"/><Relationship Id="rId15" Type="http://schemas.openxmlformats.org/officeDocument/2006/relationships/image" Target="media/image8.png"/><Relationship Id="rId149" Type="http://schemas.openxmlformats.org/officeDocument/2006/relationships/oleObject" Target="embeddings/oleObject73.bin"/><Relationship Id="rId148" Type="http://schemas.openxmlformats.org/officeDocument/2006/relationships/oleObject" Target="embeddings/oleObject72.bin"/><Relationship Id="rId147" Type="http://schemas.openxmlformats.org/officeDocument/2006/relationships/oleObject" Target="embeddings/oleObject71.bin"/><Relationship Id="rId146" Type="http://schemas.openxmlformats.org/officeDocument/2006/relationships/oleObject" Target="embeddings/oleObject70.bin"/><Relationship Id="rId145" Type="http://schemas.openxmlformats.org/officeDocument/2006/relationships/oleObject" Target="embeddings/oleObject69.bin"/><Relationship Id="rId144" Type="http://schemas.openxmlformats.org/officeDocument/2006/relationships/image" Target="media/image69.wmf"/><Relationship Id="rId143" Type="http://schemas.openxmlformats.org/officeDocument/2006/relationships/oleObject" Target="embeddings/oleObject68.bin"/><Relationship Id="rId142" Type="http://schemas.openxmlformats.org/officeDocument/2006/relationships/image" Target="media/image68.wmf"/><Relationship Id="rId141" Type="http://schemas.openxmlformats.org/officeDocument/2006/relationships/oleObject" Target="embeddings/oleObject67.bin"/><Relationship Id="rId140" Type="http://schemas.openxmlformats.org/officeDocument/2006/relationships/oleObject" Target="embeddings/oleObject66.bin"/><Relationship Id="rId14" Type="http://schemas.openxmlformats.org/officeDocument/2006/relationships/image" Target="media/image7.png"/><Relationship Id="rId139" Type="http://schemas.openxmlformats.org/officeDocument/2006/relationships/image" Target="media/image67.wmf"/><Relationship Id="rId138" Type="http://schemas.openxmlformats.org/officeDocument/2006/relationships/oleObject" Target="embeddings/oleObject65.bin"/><Relationship Id="rId137" Type="http://schemas.openxmlformats.org/officeDocument/2006/relationships/image" Target="media/image66.wmf"/><Relationship Id="rId136" Type="http://schemas.openxmlformats.org/officeDocument/2006/relationships/oleObject" Target="embeddings/oleObject64.bin"/><Relationship Id="rId135" Type="http://schemas.openxmlformats.org/officeDocument/2006/relationships/image" Target="media/image65.wmf"/><Relationship Id="rId134" Type="http://schemas.openxmlformats.org/officeDocument/2006/relationships/oleObject" Target="embeddings/oleObject63.bin"/><Relationship Id="rId133" Type="http://schemas.openxmlformats.org/officeDocument/2006/relationships/image" Target="media/image64.wmf"/><Relationship Id="rId132" Type="http://schemas.openxmlformats.org/officeDocument/2006/relationships/oleObject" Target="embeddings/oleObject62.bin"/><Relationship Id="rId131" Type="http://schemas.openxmlformats.org/officeDocument/2006/relationships/image" Target="media/image63.wmf"/><Relationship Id="rId130" Type="http://schemas.openxmlformats.org/officeDocument/2006/relationships/oleObject" Target="embeddings/oleObject61.bin"/><Relationship Id="rId13" Type="http://schemas.openxmlformats.org/officeDocument/2006/relationships/image" Target="media/image6.jpeg"/><Relationship Id="rId129" Type="http://schemas.openxmlformats.org/officeDocument/2006/relationships/oleObject" Target="embeddings/oleObject60.bin"/><Relationship Id="rId128" Type="http://schemas.openxmlformats.org/officeDocument/2006/relationships/oleObject" Target="embeddings/oleObject59.bin"/><Relationship Id="rId127" Type="http://schemas.openxmlformats.org/officeDocument/2006/relationships/oleObject" Target="embeddings/oleObject58.bin"/><Relationship Id="rId126" Type="http://schemas.openxmlformats.org/officeDocument/2006/relationships/image" Target="media/image62.wmf"/><Relationship Id="rId125" Type="http://schemas.openxmlformats.org/officeDocument/2006/relationships/oleObject" Target="embeddings/oleObject57.bin"/><Relationship Id="rId124" Type="http://schemas.openxmlformats.org/officeDocument/2006/relationships/image" Target="media/image61.wmf"/><Relationship Id="rId123" Type="http://schemas.openxmlformats.org/officeDocument/2006/relationships/oleObject" Target="embeddings/oleObject56.bin"/><Relationship Id="rId122" Type="http://schemas.openxmlformats.org/officeDocument/2006/relationships/image" Target="media/image60.wmf"/><Relationship Id="rId121" Type="http://schemas.openxmlformats.org/officeDocument/2006/relationships/oleObject" Target="embeddings/oleObject55.bin"/><Relationship Id="rId120" Type="http://schemas.openxmlformats.org/officeDocument/2006/relationships/image" Target="media/image59.wmf"/><Relationship Id="rId12" Type="http://schemas.openxmlformats.org/officeDocument/2006/relationships/image" Target="media/image5.png"/><Relationship Id="rId119" Type="http://schemas.openxmlformats.org/officeDocument/2006/relationships/oleObject" Target="embeddings/oleObject54.bin"/><Relationship Id="rId118" Type="http://schemas.openxmlformats.org/officeDocument/2006/relationships/image" Target="media/image58.wmf"/><Relationship Id="rId117" Type="http://schemas.openxmlformats.org/officeDocument/2006/relationships/oleObject" Target="embeddings/oleObject53.bin"/><Relationship Id="rId116" Type="http://schemas.openxmlformats.org/officeDocument/2006/relationships/image" Target="media/image57.wmf"/><Relationship Id="rId115" Type="http://schemas.openxmlformats.org/officeDocument/2006/relationships/oleObject" Target="embeddings/oleObject52.bin"/><Relationship Id="rId114" Type="http://schemas.openxmlformats.org/officeDocument/2006/relationships/image" Target="media/image56.wmf"/><Relationship Id="rId113" Type="http://schemas.openxmlformats.org/officeDocument/2006/relationships/oleObject" Target="embeddings/oleObject51.bin"/><Relationship Id="rId112" Type="http://schemas.openxmlformats.org/officeDocument/2006/relationships/image" Target="media/image55.wmf"/><Relationship Id="rId111" Type="http://schemas.openxmlformats.org/officeDocument/2006/relationships/oleObject" Target="embeddings/oleObject50.bin"/><Relationship Id="rId110" Type="http://schemas.openxmlformats.org/officeDocument/2006/relationships/image" Target="media/image54.wmf"/><Relationship Id="rId11" Type="http://schemas.openxmlformats.org/officeDocument/2006/relationships/image" Target="media/image4.jpeg"/><Relationship Id="rId109" Type="http://schemas.openxmlformats.org/officeDocument/2006/relationships/oleObject" Target="embeddings/oleObject49.bin"/><Relationship Id="rId108" Type="http://schemas.openxmlformats.org/officeDocument/2006/relationships/image" Target="media/image53.wmf"/><Relationship Id="rId107" Type="http://schemas.openxmlformats.org/officeDocument/2006/relationships/oleObject" Target="embeddings/oleObject48.bin"/><Relationship Id="rId106" Type="http://schemas.openxmlformats.org/officeDocument/2006/relationships/image" Target="media/image52.wmf"/><Relationship Id="rId105" Type="http://schemas.openxmlformats.org/officeDocument/2006/relationships/oleObject" Target="embeddings/oleObject47.bin"/><Relationship Id="rId104" Type="http://schemas.openxmlformats.org/officeDocument/2006/relationships/image" Target="media/image51.wmf"/><Relationship Id="rId103" Type="http://schemas.openxmlformats.org/officeDocument/2006/relationships/oleObject" Target="embeddings/oleObject46.bin"/><Relationship Id="rId102" Type="http://schemas.openxmlformats.org/officeDocument/2006/relationships/image" Target="media/image50.wmf"/><Relationship Id="rId101" Type="http://schemas.openxmlformats.org/officeDocument/2006/relationships/oleObject" Target="embeddings/oleObject45.bin"/><Relationship Id="rId100" Type="http://schemas.openxmlformats.org/officeDocument/2006/relationships/image" Target="media/image49.wmf"/><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15698</Words>
  <Characters>17951</Characters>
  <Lines>0</Lines>
  <Paragraphs>0</Paragraphs>
  <TotalTime>1</TotalTime>
  <ScaleCrop>false</ScaleCrop>
  <LinksUpToDate>false</LinksUpToDate>
  <CharactersWithSpaces>18496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2024-11-04T17:21:00Z</dcterms:created>
  <dc:creator>Ariel</dc:creator>
  <cp:lastModifiedBy>Sunshine</cp:lastModifiedBy>
  <dcterms:modified xsi:type="dcterms:W3CDTF">2025-05-09T02:16:04Z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F75ADBA2306E4E00AC6028B19C386084_11</vt:lpwstr>
  </property>
  <property fmtid="{D5CDD505-2E9C-101B-9397-08002B2CF9AE}" pid="4" name="KSOTemplateDocerSaveRecord">
    <vt:lpwstr>eyJoZGlkIjoiZjFmZWIzNDg2MmIzZjExOTIzMmViNTBmYTMwYTk0ZWYiLCJ1c2VySWQiOiIxNTgzMjM4OTgyIn0=</vt:lpwstr>
  </property>
</Properties>
</file>