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6C7C" w14:textId="77777777" w:rsidR="00C213AE" w:rsidRDefault="00C213AE">
      <w:pPr>
        <w:rPr>
          <w:rFonts w:ascii="Times New Roman" w:eastAsia="宋体" w:hAnsi="Times New Roman" w:cs="Times New Roman"/>
          <w:color w:val="FF0000"/>
        </w:rPr>
      </w:pPr>
    </w:p>
    <w:p w14:paraId="7719076F" w14:textId="77777777" w:rsidR="00C213AE" w:rsidRDefault="00C213AE">
      <w:pPr>
        <w:rPr>
          <w:rFonts w:ascii="Times New Roman" w:eastAsia="宋体" w:hAnsi="Times New Roman" w:cs="Times New Roman"/>
          <w:color w:val="FF0000"/>
        </w:rPr>
      </w:pPr>
    </w:p>
    <w:p w14:paraId="008BC521" w14:textId="77777777" w:rsidR="00C213AE" w:rsidRDefault="00C213AE">
      <w:pPr>
        <w:rPr>
          <w:rFonts w:ascii="Times New Roman" w:eastAsia="宋体" w:hAnsi="Times New Roman" w:cs="Times New Roman"/>
          <w:color w:val="FF0000"/>
        </w:rPr>
      </w:pPr>
    </w:p>
    <w:p w14:paraId="11BC7A9E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76BBACA8" w14:textId="77777777" w:rsidR="00C213AE" w:rsidRDefault="00000000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中国表面工程协会团体标准</w:t>
      </w:r>
    </w:p>
    <w:p w14:paraId="589E01AD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6EC8683F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A93E7A1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35EDEBC5" w14:textId="77777777" w:rsidR="00C213AE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《热浸镀锌钢板无铬钝化剂》</w:t>
      </w:r>
    </w:p>
    <w:p w14:paraId="3E9437ED" w14:textId="77777777" w:rsidR="00C213AE" w:rsidRDefault="00C213AE">
      <w:pPr>
        <w:jc w:val="center"/>
        <w:rPr>
          <w:rFonts w:hint="eastAsia"/>
        </w:rPr>
      </w:pPr>
    </w:p>
    <w:p w14:paraId="1BCC13CB" w14:textId="77777777" w:rsidR="00C213AE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编制说明</w:t>
      </w:r>
    </w:p>
    <w:p w14:paraId="3C0CAA96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0728D71A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195420D1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B7BA301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2729EB10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0E2B7F43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35BDD487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E8F18CE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62B787E7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35E5866E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162F7D0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0CC9B5D7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3151B353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2659562A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C4B4905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7F3D34C1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6129363A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4D45CC09" w14:textId="77777777" w:rsidR="008A53B9" w:rsidRDefault="008A53B9">
      <w:pPr>
        <w:rPr>
          <w:rFonts w:ascii="Times New Roman" w:eastAsia="宋体" w:hAnsi="Times New Roman" w:cs="Times New Roman"/>
        </w:rPr>
      </w:pPr>
    </w:p>
    <w:p w14:paraId="72EF8E6F" w14:textId="77777777" w:rsidR="008A53B9" w:rsidRDefault="008A53B9">
      <w:pPr>
        <w:rPr>
          <w:rFonts w:ascii="Times New Roman" w:eastAsia="宋体" w:hAnsi="Times New Roman" w:cs="Times New Roman"/>
        </w:rPr>
      </w:pPr>
    </w:p>
    <w:p w14:paraId="66E6047A" w14:textId="77777777" w:rsidR="008A53B9" w:rsidRPr="008A53B9" w:rsidRDefault="008A53B9">
      <w:pPr>
        <w:rPr>
          <w:rFonts w:ascii="Times New Roman" w:eastAsia="宋体" w:hAnsi="Times New Roman" w:cs="Times New Roman" w:hint="eastAsia"/>
        </w:rPr>
      </w:pPr>
    </w:p>
    <w:p w14:paraId="2B83B2AD" w14:textId="77777777" w:rsidR="00C213AE" w:rsidRDefault="00000000">
      <w:pPr>
        <w:pStyle w:val="a6"/>
        <w:rPr>
          <w:rFonts w:hint="eastAsia"/>
          <w:sz w:val="28"/>
          <w:szCs w:val="28"/>
        </w:rPr>
      </w:pPr>
      <w:bookmarkStart w:id="0" w:name="_Hlk197441423"/>
      <w:r>
        <w:rPr>
          <w:rFonts w:hint="eastAsia"/>
          <w:sz w:val="28"/>
          <w:szCs w:val="28"/>
        </w:rPr>
        <w:t>《热浸镀锌钢板无铬钝化剂》编制组</w:t>
      </w:r>
      <w:bookmarkEnd w:id="0"/>
    </w:p>
    <w:p w14:paraId="2B22B320" w14:textId="3A66EA43" w:rsidR="00C213AE" w:rsidRPr="008A53B9" w:rsidRDefault="00000000" w:rsidP="008A53B9">
      <w:pPr>
        <w:pStyle w:val="a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25年0</w:t>
      </w:r>
      <w:r w:rsidR="00714AE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14:paraId="475880A0" w14:textId="77777777" w:rsidR="00C213AE" w:rsidRDefault="00C213AE">
      <w:pPr>
        <w:rPr>
          <w:rFonts w:ascii="Times New Roman" w:eastAsia="宋体" w:hAnsi="Times New Roman" w:cs="Times New Roman"/>
        </w:rPr>
        <w:sectPr w:rsidR="00C213AE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127A817" w14:textId="77777777" w:rsidR="00C213AE" w:rsidRDefault="00C213AE">
      <w:pPr>
        <w:rPr>
          <w:rFonts w:ascii="Times New Roman" w:eastAsia="宋体" w:hAnsi="Times New Roman" w:cs="Times New Roman"/>
        </w:rPr>
      </w:pPr>
    </w:p>
    <w:p w14:paraId="6E1F2643" w14:textId="77777777" w:rsidR="000E4B6F" w:rsidRPr="000E4B6F" w:rsidRDefault="00000000" w:rsidP="000E4B6F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0E4B6F">
        <w:rPr>
          <w:rFonts w:ascii="宋体" w:eastAsia="宋体" w:hAnsi="宋体" w:cs="Times New Roman" w:hint="eastAsia"/>
          <w:b/>
          <w:sz w:val="32"/>
          <w:szCs w:val="32"/>
        </w:rPr>
        <w:t>目 录</w:t>
      </w:r>
    </w:p>
    <w:p w14:paraId="3BBB312E" w14:textId="0D5BCD4B" w:rsidR="000A1303" w:rsidRPr="000A1303" w:rsidRDefault="00000000" w:rsidP="00D4063F">
      <w:pPr>
        <w:pStyle w:val="TOC2"/>
        <w:rPr>
          <w:rFonts w:hint="eastAsia"/>
          <w:noProof/>
          <w14:ligatures w14:val="standardContextual"/>
        </w:rPr>
      </w:pPr>
      <w:r w:rsidRPr="000A1303">
        <w:rPr>
          <w:rFonts w:cs="Times New Roman"/>
        </w:rPr>
        <w:fldChar w:fldCharType="begin"/>
      </w:r>
      <w:r w:rsidRPr="000A1303">
        <w:rPr>
          <w:rFonts w:cs="Times New Roman"/>
        </w:rPr>
        <w:instrText xml:space="preserve"> TOC \o "1-2" \h \z \u </w:instrText>
      </w:r>
      <w:r w:rsidRPr="000A1303">
        <w:rPr>
          <w:rFonts w:cs="Times New Roman"/>
        </w:rPr>
        <w:fldChar w:fldCharType="separate"/>
      </w:r>
      <w:hyperlink w:anchor="_Toc197441461" w:history="1">
        <w:r w:rsidR="000A1303"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(一)</w:t>
        </w:r>
        <w:r w:rsidR="000A1303" w:rsidRPr="000A1303">
          <w:rPr>
            <w:rFonts w:hint="eastAsia"/>
            <w:noProof/>
            <w14:ligatures w14:val="standardContextual"/>
          </w:rPr>
          <w:tab/>
        </w:r>
        <w:r w:rsidR="000A1303"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工作简况(必要项）</w:t>
        </w:r>
        <w:bookmarkStart w:id="1" w:name="_Hlk197443976"/>
        <w:r w:rsidR="000A1303" w:rsidRPr="000A1303">
          <w:rPr>
            <w:rFonts w:hint="eastAsia"/>
            <w:noProof/>
            <w:webHidden/>
          </w:rPr>
          <w:tab/>
        </w:r>
        <w:bookmarkEnd w:id="1"/>
        <w:r w:rsidR="000A1303" w:rsidRPr="000A1303">
          <w:rPr>
            <w:rFonts w:hint="eastAsia"/>
            <w:noProof/>
            <w:webHidden/>
          </w:rPr>
          <w:fldChar w:fldCharType="begin"/>
        </w:r>
        <w:r w:rsidR="000A1303" w:rsidRPr="000A1303">
          <w:rPr>
            <w:rFonts w:hint="eastAsia"/>
            <w:noProof/>
            <w:webHidden/>
          </w:rPr>
          <w:instrText xml:space="preserve"> </w:instrText>
        </w:r>
        <w:r w:rsidR="000A1303" w:rsidRPr="000A1303">
          <w:rPr>
            <w:noProof/>
            <w:webHidden/>
          </w:rPr>
          <w:instrText>PAGEREF _Toc197441461 \h</w:instrText>
        </w:r>
        <w:r w:rsidR="000A1303" w:rsidRPr="000A1303">
          <w:rPr>
            <w:rFonts w:hint="eastAsia"/>
            <w:noProof/>
            <w:webHidden/>
          </w:rPr>
          <w:instrText xml:space="preserve"> </w:instrText>
        </w:r>
        <w:r w:rsidR="000A1303" w:rsidRPr="000A1303">
          <w:rPr>
            <w:rFonts w:hint="eastAsia"/>
            <w:noProof/>
            <w:webHidden/>
          </w:rPr>
        </w:r>
        <w:r w:rsidR="000A1303" w:rsidRPr="000A1303">
          <w:rPr>
            <w:rFonts w:hint="eastAsia"/>
            <w:noProof/>
            <w:webHidden/>
          </w:rPr>
          <w:fldChar w:fldCharType="separate"/>
        </w:r>
        <w:r w:rsidR="000A1303" w:rsidRPr="000A1303">
          <w:rPr>
            <w:rFonts w:hint="eastAsia"/>
            <w:noProof/>
            <w:webHidden/>
          </w:rPr>
          <w:t>1</w:t>
        </w:r>
        <w:r w:rsidR="000A1303" w:rsidRPr="000A1303">
          <w:rPr>
            <w:rFonts w:hint="eastAsia"/>
            <w:noProof/>
            <w:webHidden/>
          </w:rPr>
          <w:fldChar w:fldCharType="end"/>
        </w:r>
      </w:hyperlink>
    </w:p>
    <w:p w14:paraId="175A78E5" w14:textId="5821A952" w:rsidR="000A1303" w:rsidRPr="000A1303" w:rsidRDefault="000A1303" w:rsidP="00302AF6">
      <w:pPr>
        <w:pStyle w:val="TOC2"/>
        <w:tabs>
          <w:tab w:val="clear" w:pos="567"/>
        </w:tabs>
        <w:rPr>
          <w:rFonts w:hint="eastAsia"/>
          <w:noProof/>
          <w14:ligatures w14:val="standardContextual"/>
        </w:rPr>
      </w:pPr>
      <w:hyperlink w:anchor="_Toc197441462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(二)制定（修订）标准的必要性和意义（重要项、需充分说明）</w:t>
        </w:r>
        <w:r w:rsidR="00302AF6">
          <w:rPr>
            <w:rStyle w:val="ac"/>
            <w:rFonts w:ascii="宋体" w:eastAsia="宋体" w:hAnsi="宋体" w:hint="eastAsia"/>
            <w:noProof/>
            <w:sz w:val="28"/>
            <w:szCs w:val="28"/>
          </w:rPr>
          <w:t xml:space="preserve">   </w:t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_Toc197441462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1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04DCB21A" w14:textId="300B1458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3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(三)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主要起草过程（必要项）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_Toc197441463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3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21A938CF" w14:textId="5CB12CF5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4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(四)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制定（修订）标准的原则和依据，与现行法律、法规、标准的关系(必要项)</w:t>
        </w:r>
        <w:bookmarkStart w:id="2" w:name="_Hlk197441578"/>
        <w:r w:rsidRPr="000A1303">
          <w:rPr>
            <w:rFonts w:hint="eastAsia"/>
            <w:noProof/>
            <w:webHidden/>
          </w:rPr>
          <w:tab/>
        </w:r>
        <w:bookmarkEnd w:id="2"/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_Toc197441464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3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73F51ADD" w14:textId="5129993E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5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(五)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主要条款的说明(重要项)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_Toc197441465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4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1D147CEF" w14:textId="03F20CAE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6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(六)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重大意见分歧处理依据和结果（必要项）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_Toc197441466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5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36099EFD" w14:textId="68831C00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7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(七)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标准涉及专利的处置（必要项）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_Toc197441467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5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2A25124C" w14:textId="6DA8C8A9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8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(八)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贯彻团体标准的要求和措施建议（必要项）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_Toc197441468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5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6B3BC4E6" w14:textId="2F93EE9C" w:rsidR="000A1303" w:rsidRPr="000A1303" w:rsidRDefault="000A1303" w:rsidP="00D4063F">
      <w:pPr>
        <w:pStyle w:val="TOC2"/>
        <w:rPr>
          <w:rFonts w:hint="eastAsia"/>
          <w:noProof/>
          <w14:ligatures w14:val="standardContextual"/>
        </w:rPr>
      </w:pPr>
      <w:hyperlink w:anchor="_Toc197441469" w:history="1"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(九)</w:t>
        </w:r>
        <w:r w:rsidRPr="000A1303">
          <w:rPr>
            <w:rFonts w:hint="eastAsia"/>
            <w:noProof/>
            <w14:ligatures w14:val="standardContextual"/>
          </w:rPr>
          <w:tab/>
        </w:r>
        <w:r w:rsidRPr="000A1303">
          <w:rPr>
            <w:rStyle w:val="ac"/>
            <w:rFonts w:ascii="宋体" w:eastAsia="宋体" w:hAnsi="宋体" w:hint="eastAsia"/>
            <w:noProof/>
            <w:sz w:val="28"/>
            <w:szCs w:val="28"/>
          </w:rPr>
          <w:t>其他应说明的事项(选填项)</w:t>
        </w:r>
        <w:r w:rsidRPr="000A1303">
          <w:rPr>
            <w:rFonts w:hint="eastAsia"/>
            <w:noProof/>
            <w:webHidden/>
          </w:rPr>
          <w:tab/>
        </w:r>
        <w:r w:rsidRPr="000A1303">
          <w:rPr>
            <w:rFonts w:hint="eastAsia"/>
            <w:noProof/>
            <w:webHidden/>
          </w:rPr>
          <w:fldChar w:fldCharType="begin"/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noProof/>
            <w:webHidden/>
          </w:rPr>
          <w:instrText>PAGEREF _Toc197441469 \h</w:instrText>
        </w:r>
        <w:r w:rsidRPr="000A1303">
          <w:rPr>
            <w:rFonts w:hint="eastAsia"/>
            <w:noProof/>
            <w:webHidden/>
          </w:rPr>
          <w:instrText xml:space="preserve"> </w:instrText>
        </w:r>
        <w:r w:rsidRPr="000A1303">
          <w:rPr>
            <w:rFonts w:hint="eastAsia"/>
            <w:noProof/>
            <w:webHidden/>
          </w:rPr>
        </w:r>
        <w:r w:rsidRPr="000A1303">
          <w:rPr>
            <w:rFonts w:hint="eastAsia"/>
            <w:noProof/>
            <w:webHidden/>
          </w:rPr>
          <w:fldChar w:fldCharType="separate"/>
        </w:r>
        <w:r w:rsidRPr="000A1303">
          <w:rPr>
            <w:rFonts w:hint="eastAsia"/>
            <w:noProof/>
            <w:webHidden/>
          </w:rPr>
          <w:t>6</w:t>
        </w:r>
        <w:r w:rsidRPr="000A1303">
          <w:rPr>
            <w:rFonts w:hint="eastAsia"/>
            <w:noProof/>
            <w:webHidden/>
          </w:rPr>
          <w:fldChar w:fldCharType="end"/>
        </w:r>
      </w:hyperlink>
    </w:p>
    <w:p w14:paraId="4D9A1FA1" w14:textId="6EFD9CD8" w:rsidR="00C213AE" w:rsidRDefault="00000000" w:rsidP="000E4B6F">
      <w:pPr>
        <w:spacing w:line="360" w:lineRule="auto"/>
        <w:rPr>
          <w:rFonts w:ascii="Times New Roman" w:eastAsia="宋体" w:hAnsi="Times New Roman" w:cs="Times New Roman" w:hint="eastAsia"/>
        </w:rPr>
        <w:sectPr w:rsidR="00C213AE"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  <w:r w:rsidRPr="000A1303">
        <w:rPr>
          <w:rFonts w:ascii="宋体" w:eastAsia="宋体" w:hAnsi="宋体" w:cs="Times New Roman"/>
          <w:sz w:val="28"/>
          <w:szCs w:val="28"/>
        </w:rPr>
        <w:fldChar w:fldCharType="end"/>
      </w:r>
    </w:p>
    <w:p w14:paraId="1C479153" w14:textId="7895DAAB" w:rsidR="00C213AE" w:rsidRPr="00F03963" w:rsidRDefault="00000000" w:rsidP="00F03963">
      <w:pPr>
        <w:pStyle w:val="2"/>
        <w:numPr>
          <w:ilvl w:val="0"/>
          <w:numId w:val="10"/>
        </w:numPr>
        <w:rPr>
          <w:rFonts w:ascii="黑体" w:eastAsia="黑体" w:hAnsi="黑体" w:hint="eastAsia"/>
          <w:b w:val="0"/>
          <w:bCs w:val="0"/>
        </w:rPr>
      </w:pPr>
      <w:bookmarkStart w:id="3" w:name="_Toc197441461"/>
      <w:r w:rsidRPr="00F03963">
        <w:rPr>
          <w:rFonts w:ascii="黑体" w:eastAsia="黑体" w:hAnsi="黑体" w:hint="eastAsia"/>
          <w:b w:val="0"/>
          <w:bCs w:val="0"/>
        </w:rPr>
        <w:lastRenderedPageBreak/>
        <w:t>工作简况</w:t>
      </w:r>
      <w:r w:rsidRPr="00F03963">
        <w:rPr>
          <w:rFonts w:ascii="黑体" w:eastAsia="黑体" w:hAnsi="黑体"/>
          <w:b w:val="0"/>
          <w:bCs w:val="0"/>
        </w:rPr>
        <w:t>(必要项）</w:t>
      </w:r>
      <w:bookmarkEnd w:id="3"/>
    </w:p>
    <w:p w14:paraId="009ECEC2" w14:textId="1F437128" w:rsidR="00C213AE" w:rsidRDefault="00000000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</w:t>
      </w:r>
      <w:r w:rsidR="000E4B6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/>
          <w:sz w:val="32"/>
          <w:szCs w:val="32"/>
        </w:rPr>
        <w:t>任务来源</w:t>
      </w:r>
    </w:p>
    <w:p w14:paraId="0BC81F09" w14:textId="060CCD02" w:rsidR="00C213AE" w:rsidRDefault="006844BB">
      <w:pPr>
        <w:pStyle w:val="ad"/>
        <w:ind w:left="36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sz w:val="32"/>
          <w:szCs w:val="32"/>
        </w:rPr>
        <w:t>于2018年通过中国表面工程协会立项申请，由</w:t>
      </w:r>
      <w:r w:rsidR="00000000">
        <w:rPr>
          <w:rFonts w:ascii="仿宋" w:eastAsia="仿宋" w:hAnsi="仿宋" w:cs="仿宋" w:hint="eastAsia"/>
          <w:sz w:val="32"/>
          <w:szCs w:val="32"/>
        </w:rPr>
        <w:t>中国表面工程协会标准化技术委员会归口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武汉迪赛环保新材料股份有限公司</w:t>
      </w:r>
      <w:r>
        <w:rPr>
          <w:rFonts w:ascii="仿宋" w:eastAsia="仿宋" w:hAnsi="仿宋" w:cs="仿宋" w:hint="eastAsia"/>
          <w:sz w:val="32"/>
          <w:szCs w:val="32"/>
        </w:rPr>
        <w:t>负责起草</w:t>
      </w:r>
      <w:r w:rsidR="00000000">
        <w:rPr>
          <w:rFonts w:ascii="仿宋" w:eastAsia="仿宋" w:hAnsi="仿宋" w:cs="仿宋" w:hint="eastAsia"/>
          <w:sz w:val="32"/>
          <w:szCs w:val="32"/>
        </w:rPr>
        <w:t>。</w:t>
      </w:r>
    </w:p>
    <w:p w14:paraId="676EA564" w14:textId="5C96220B" w:rsidR="00C213AE" w:rsidRDefault="000E4B6F" w:rsidP="000E4B6F">
      <w:pPr>
        <w:spacing w:line="360" w:lineRule="auto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000000">
        <w:rPr>
          <w:rFonts w:ascii="仿宋_GB2312" w:eastAsia="仿宋_GB2312" w:hAnsi="Times New Roman" w:cs="Times New Roman"/>
          <w:sz w:val="32"/>
          <w:szCs w:val="32"/>
        </w:rPr>
        <w:t>起草单位、参编单位</w:t>
      </w:r>
    </w:p>
    <w:p w14:paraId="5EF1DF6F" w14:textId="1B135555" w:rsidR="00C213AE" w:rsidRPr="006844BB" w:rsidRDefault="00000000" w:rsidP="006844BB">
      <w:pPr>
        <w:pStyle w:val="ad"/>
        <w:ind w:left="36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武汉迪赛环保新材料股份有限公司</w:t>
      </w:r>
      <w:r w:rsidR="006844BB">
        <w:rPr>
          <w:rFonts w:ascii="仿宋" w:eastAsia="仿宋" w:hAnsi="仿宋" w:cs="仿宋" w:hint="eastAsia"/>
          <w:sz w:val="32"/>
          <w:szCs w:val="32"/>
        </w:rPr>
        <w:t>、</w:t>
      </w:r>
      <w:r w:rsidR="006844BB" w:rsidRPr="006844BB">
        <w:rPr>
          <w:rFonts w:ascii="仿宋" w:eastAsia="仿宋" w:hAnsi="仿宋" w:cs="仿宋" w:hint="eastAsia"/>
          <w:sz w:val="32"/>
          <w:szCs w:val="32"/>
        </w:rPr>
        <w:t>浙江五源科技股份有限公司、</w:t>
      </w:r>
      <w:r w:rsidRPr="006844BB">
        <w:rPr>
          <w:rFonts w:ascii="仿宋" w:eastAsia="仿宋" w:hAnsi="仿宋" w:cs="仿宋" w:hint="eastAsia"/>
          <w:sz w:val="32"/>
          <w:szCs w:val="32"/>
        </w:rPr>
        <w:t>中国机械总院集团武汉材料保护研究所有限公司、蚌埠学院。</w:t>
      </w:r>
    </w:p>
    <w:p w14:paraId="1ACBE105" w14:textId="004DD580" w:rsidR="00C213AE" w:rsidRDefault="000E4B6F" w:rsidP="000E4B6F">
      <w:pPr>
        <w:spacing w:line="360" w:lineRule="auto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000000">
        <w:rPr>
          <w:rFonts w:ascii="仿宋_GB2312" w:eastAsia="仿宋_GB2312" w:hAnsi="Times New Roman" w:cs="Times New Roman"/>
          <w:sz w:val="32"/>
          <w:szCs w:val="32"/>
        </w:rPr>
        <w:t>主要起草人</w:t>
      </w:r>
    </w:p>
    <w:p w14:paraId="59C46019" w14:textId="53E10ABE" w:rsidR="00C213AE" w:rsidRDefault="00000000">
      <w:pPr>
        <w:pStyle w:val="ad"/>
        <w:ind w:left="36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陆飚、陆国建、</w:t>
      </w:r>
      <w:r w:rsidR="006844BB">
        <w:rPr>
          <w:rFonts w:ascii="仿宋" w:eastAsia="仿宋" w:hAnsi="仿宋" w:cs="仿宋" w:hint="eastAsia"/>
          <w:sz w:val="32"/>
          <w:szCs w:val="32"/>
        </w:rPr>
        <w:t>张德忠、</w:t>
      </w:r>
      <w:r>
        <w:rPr>
          <w:rFonts w:ascii="仿宋" w:eastAsia="仿宋" w:hAnsi="仿宋" w:cs="仿宋" w:hint="eastAsia"/>
          <w:sz w:val="32"/>
          <w:szCs w:val="32"/>
        </w:rPr>
        <w:t>熊明文。</w:t>
      </w:r>
    </w:p>
    <w:p w14:paraId="146ABB1E" w14:textId="77777777" w:rsidR="00C213AE" w:rsidRPr="00F03963" w:rsidRDefault="00000000" w:rsidP="00F03963">
      <w:pPr>
        <w:pStyle w:val="2"/>
        <w:numPr>
          <w:ilvl w:val="0"/>
          <w:numId w:val="10"/>
        </w:numPr>
        <w:rPr>
          <w:rFonts w:ascii="黑体" w:eastAsia="黑体" w:hAnsi="黑体" w:hint="eastAsia"/>
          <w:b w:val="0"/>
          <w:bCs w:val="0"/>
        </w:rPr>
      </w:pPr>
      <w:bookmarkStart w:id="4" w:name="_Toc197441462"/>
      <w:r w:rsidRPr="00F03963">
        <w:rPr>
          <w:rFonts w:ascii="黑体" w:eastAsia="黑体" w:hAnsi="黑体" w:hint="eastAsia"/>
          <w:b w:val="0"/>
          <w:bCs w:val="0"/>
        </w:rPr>
        <w:t>制定（修订）标准的必要性和意义（重要项、需充分说明）</w:t>
      </w:r>
      <w:bookmarkEnd w:id="4"/>
    </w:p>
    <w:p w14:paraId="6E4C9AAA" w14:textId="77777777" w:rsidR="00C213AE" w:rsidRDefault="00000000">
      <w:pPr>
        <w:pStyle w:val="ad"/>
        <w:ind w:left="36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热浸镀锌生产工艺中,为了提高镀锌层表面的耐蚀性,需要在镀锌后进行表面钝化处理。在以前的镀锌层表面钝化处理工艺中，铬酸盐的钝化工艺是最成熟的，其形成的铬酸盐钝化膜不仅耐腐蚀性能好，而且还具有工艺操作简单，性能稳定，使用范围广等优点。然而铬酸盐不仅对人体具有强烈的致癌作用，对生态环境也有着极大的危害，已经被众多国家限制使用。所以对于铬酸盐钝化工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进行环保化替代是热浸镀锌生产领域亟待解决的急迫课题。</w:t>
      </w:r>
    </w:p>
    <w:p w14:paraId="1A618F05" w14:textId="2C188994" w:rsidR="00C213AE" w:rsidRPr="006C1DB6" w:rsidRDefault="00000000" w:rsidP="006C1DB6">
      <w:pPr>
        <w:pStyle w:val="ad"/>
        <w:ind w:left="36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为了解决热浸镀锌钝化工艺的污染问题，开发出用于热浸镀锌生产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的无铬钝化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剂，其环保无毒，耐蚀性能突出，综合性能优异，已经在20多家热浸镀锌生产企业得到应用，从近十年的使用情况看，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该无铬钝化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剂性能稳定，工艺操作简单，获得使用厂家的一致好评。</w:t>
      </w:r>
      <w:r w:rsidRPr="006C1DB6">
        <w:rPr>
          <w:rFonts w:ascii="仿宋" w:eastAsia="仿宋" w:hAnsi="仿宋" w:cs="仿宋" w:hint="eastAsia"/>
          <w:sz w:val="32"/>
          <w:szCs w:val="32"/>
        </w:rPr>
        <w:t>为了进一步推动</w:t>
      </w:r>
      <w:proofErr w:type="gramStart"/>
      <w:r w:rsidRPr="006C1DB6">
        <w:rPr>
          <w:rFonts w:ascii="仿宋" w:eastAsia="仿宋" w:hAnsi="仿宋" w:cs="仿宋" w:hint="eastAsia"/>
          <w:sz w:val="32"/>
          <w:szCs w:val="32"/>
        </w:rPr>
        <w:t>热浸镀锌无铬钝化</w:t>
      </w:r>
      <w:proofErr w:type="gramEnd"/>
      <w:r w:rsidRPr="006C1DB6">
        <w:rPr>
          <w:rFonts w:ascii="仿宋" w:eastAsia="仿宋" w:hAnsi="仿宋" w:cs="仿宋" w:hint="eastAsia"/>
          <w:sz w:val="32"/>
          <w:szCs w:val="32"/>
        </w:rPr>
        <w:t>剂在热浸镀锌领域的普及，加速该行业的环保化替代进程，需要尽快建立相关产品的技术标准。</w:t>
      </w:r>
    </w:p>
    <w:p w14:paraId="39ED3DD3" w14:textId="5853B2B3" w:rsidR="00395908" w:rsidRPr="00395908" w:rsidRDefault="00395908" w:rsidP="0039590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编制工作将产生多方面的社会效益：在技术层面，通过引入先进的性能指标和检测方法，将有效推动行业技术创新和产品质量升级；在产业发展层面，统一的技术规范有助于消除贸易技术壁垒，促进上下游产业链协同发展；在质量管控方面，修订后的标准将为产品质量评价提供更科学的依据，显著降低质量争议，提升市场运行效率；同时，通过吸收国际先进经验，将提升我国标准的国际化水平，为中国企业参与国际竞争提供有力支撑。因此，本次标准编制工作不仅能够提升热浸镀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钢板无铬钝化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剂的标准化水平，更将对促进产业链整体高质量发展起到重要作用。</w:t>
      </w:r>
    </w:p>
    <w:p w14:paraId="60902D20" w14:textId="5ABE4545" w:rsidR="00C213AE" w:rsidRPr="00F03963" w:rsidRDefault="00000000" w:rsidP="00F03963">
      <w:pPr>
        <w:pStyle w:val="2"/>
        <w:numPr>
          <w:ilvl w:val="0"/>
          <w:numId w:val="10"/>
        </w:numPr>
        <w:rPr>
          <w:rFonts w:ascii="黑体" w:eastAsia="黑体" w:hAnsi="黑体" w:hint="eastAsia"/>
          <w:b w:val="0"/>
          <w:bCs w:val="0"/>
        </w:rPr>
      </w:pPr>
      <w:bookmarkStart w:id="5" w:name="_Toc197441463"/>
      <w:r w:rsidRPr="00F03963">
        <w:rPr>
          <w:rFonts w:ascii="黑体" w:eastAsia="黑体" w:hAnsi="黑体" w:hint="eastAsia"/>
          <w:b w:val="0"/>
          <w:bCs w:val="0"/>
        </w:rPr>
        <w:t>主要起草过程（必要项）</w:t>
      </w:r>
      <w:bookmarkEnd w:id="5"/>
    </w:p>
    <w:p w14:paraId="7349161D" w14:textId="7109544C" w:rsidR="00395908" w:rsidRDefault="00886B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本项目于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20</w:t>
      </w:r>
      <w:r w:rsidR="006844BB">
        <w:rPr>
          <w:rFonts w:ascii="仿宋" w:eastAsia="仿宋" w:hAnsi="仿宋" w:cs="仿宋" w:hint="eastAsia"/>
          <w:sz w:val="32"/>
          <w:szCs w:val="32"/>
        </w:rPr>
        <w:t>18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年</w:t>
      </w:r>
      <w:r w:rsidR="006844BB">
        <w:rPr>
          <w:rFonts w:ascii="仿宋" w:eastAsia="仿宋" w:hAnsi="仿宋" w:cs="仿宋" w:hint="eastAsia"/>
          <w:sz w:val="32"/>
          <w:szCs w:val="32"/>
        </w:rPr>
        <w:t>7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经中国工程协会标准化技术委员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会审查，随后向全国征求意见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针对专家意见，结合近年钢铁镀锌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板无铬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钝化技术的发展和工业应用情况，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标准起草工作组查阅了国内外相关标准和文献，经过充分研究、讨论，于2025年2月</w:t>
      </w:r>
      <w:r>
        <w:rPr>
          <w:rFonts w:ascii="仿宋" w:eastAsia="仿宋" w:hAnsi="仿宋" w:cs="仿宋" w:hint="eastAsia"/>
          <w:sz w:val="32"/>
          <w:szCs w:val="32"/>
        </w:rPr>
        <w:t>对原标准草案进行了修改，形成本标准征求意见稿</w:t>
      </w:r>
      <w:r w:rsidR="00395908" w:rsidRPr="00395908">
        <w:rPr>
          <w:rFonts w:ascii="仿宋" w:eastAsia="仿宋" w:hAnsi="仿宋" w:cs="仿宋" w:hint="eastAsia"/>
          <w:sz w:val="32"/>
          <w:szCs w:val="32"/>
        </w:rPr>
        <w:t>。</w:t>
      </w:r>
    </w:p>
    <w:p w14:paraId="68126321" w14:textId="7E251998" w:rsidR="00C213AE" w:rsidRDefault="00000000" w:rsidP="00F03963">
      <w:pPr>
        <w:pStyle w:val="2"/>
        <w:numPr>
          <w:ilvl w:val="0"/>
          <w:numId w:val="10"/>
        </w:numPr>
        <w:rPr>
          <w:rFonts w:ascii="黑体" w:eastAsia="黑体" w:hAnsi="黑体"/>
          <w:b w:val="0"/>
          <w:bCs w:val="0"/>
        </w:rPr>
      </w:pPr>
      <w:bookmarkStart w:id="6" w:name="_Toc197441464"/>
      <w:r w:rsidRPr="00F03963">
        <w:rPr>
          <w:rFonts w:ascii="黑体" w:eastAsia="黑体" w:hAnsi="黑体" w:hint="eastAsia"/>
          <w:b w:val="0"/>
          <w:bCs w:val="0"/>
        </w:rPr>
        <w:t>制定（修订）标准的原则和依据，</w:t>
      </w:r>
      <w:bookmarkStart w:id="7" w:name="_Hlk197444194"/>
      <w:r w:rsidRPr="00F03963">
        <w:rPr>
          <w:rFonts w:ascii="黑体" w:eastAsia="黑体" w:hAnsi="黑体" w:hint="eastAsia"/>
          <w:b w:val="0"/>
          <w:bCs w:val="0"/>
        </w:rPr>
        <w:t>与现行法律、法规、标准的关系</w:t>
      </w:r>
      <w:bookmarkEnd w:id="7"/>
      <w:r w:rsidRPr="00F03963">
        <w:rPr>
          <w:rFonts w:ascii="黑体" w:eastAsia="黑体" w:hAnsi="黑体"/>
          <w:b w:val="0"/>
          <w:bCs w:val="0"/>
        </w:rPr>
        <w:t>(必要项)</w:t>
      </w:r>
      <w:bookmarkEnd w:id="6"/>
    </w:p>
    <w:p w14:paraId="38D1C124" w14:textId="5EAA3048" w:rsidR="00323ABE" w:rsidRPr="00323ABE" w:rsidRDefault="00323ABE" w:rsidP="00323ABE">
      <w:pPr>
        <w:ind w:left="440"/>
        <w:rPr>
          <w:rFonts w:ascii="仿宋" w:eastAsia="仿宋" w:hAnsi="仿宋" w:hint="eastAsia"/>
          <w:b/>
          <w:bCs/>
          <w:sz w:val="32"/>
          <w:szCs w:val="32"/>
        </w:rPr>
      </w:pPr>
      <w:bookmarkStart w:id="8" w:name="_Hlk197444155"/>
      <w:r w:rsidRPr="00323ABE">
        <w:rPr>
          <w:rFonts w:ascii="仿宋" w:eastAsia="仿宋" w:hAnsi="仿宋" w:hint="eastAsia"/>
          <w:b/>
          <w:bCs/>
          <w:sz w:val="32"/>
          <w:szCs w:val="32"/>
        </w:rPr>
        <w:t>1.原则和依据</w:t>
      </w:r>
    </w:p>
    <w:bookmarkEnd w:id="8"/>
    <w:p w14:paraId="55865791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本标准按GB/T 1.1—2020《标准化工作导则 第1部分：标准化文件的结构和起草规则》给出的规定编写。</w:t>
      </w:r>
    </w:p>
    <w:p w14:paraId="299268D7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为规范热浸镀锌钢板无铬钝化剂的应用，制订本标准，主要遵循以下原则：</w:t>
      </w:r>
    </w:p>
    <w:p w14:paraId="70CCC077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a）适应性：适应国内技术发展需求；</w:t>
      </w:r>
    </w:p>
    <w:p w14:paraId="7A00968E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b）协调性：与国际标准和国内标准协调统一；</w:t>
      </w:r>
    </w:p>
    <w:p w14:paraId="357D2E9C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c）先进性：突出关键技术指标，确保标准先进。</w:t>
      </w:r>
    </w:p>
    <w:p w14:paraId="589321A7" w14:textId="77777777" w:rsidR="00C213AE" w:rsidRDefault="00000000">
      <w:pPr>
        <w:pStyle w:val="af0"/>
        <w:spacing w:line="360" w:lineRule="auto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本标准适用于采用硅烷改性的无机盐与有机物复合组成的热浸镀锌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钢板无铬钝化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剂，其他无机盐、有机体系和无机-有机复合体系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的无铬钝化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剂可参照使用本文件。</w:t>
      </w:r>
    </w:p>
    <w:p w14:paraId="00D0976D" w14:textId="06EFEF7A" w:rsidR="00323ABE" w:rsidRDefault="00323ABE" w:rsidP="003D6B2C">
      <w:pPr>
        <w:pStyle w:val="af0"/>
        <w:widowControl w:val="0"/>
        <w:spacing w:line="360" w:lineRule="auto"/>
        <w:ind w:firstLine="643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2</w:t>
      </w:r>
      <w:r w:rsidRPr="00323ABE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.</w:t>
      </w:r>
      <w:r w:rsidRPr="00323ABE">
        <w:rPr>
          <w:rFonts w:hint="eastAsia"/>
          <w:b/>
          <w:bCs/>
        </w:rPr>
        <w:t xml:space="preserve"> </w:t>
      </w:r>
      <w:r w:rsidRPr="00323ABE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与现行法律、法规、标准的关系</w:t>
      </w:r>
    </w:p>
    <w:p w14:paraId="58A48A3C" w14:textId="32C01A90" w:rsidR="003D6B2C" w:rsidRPr="003D6B2C" w:rsidRDefault="003D6B2C" w:rsidP="003D6B2C">
      <w:pPr>
        <w:pStyle w:val="af0"/>
        <w:widowControl w:val="0"/>
        <w:spacing w:line="360" w:lineRule="auto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 w:rsidRPr="00323ABE">
        <w:rPr>
          <w:rFonts w:ascii="仿宋" w:eastAsia="仿宋" w:hAnsi="仿宋" w:cs="仿宋" w:hint="eastAsia"/>
          <w:kern w:val="2"/>
          <w:sz w:val="32"/>
          <w:szCs w:val="32"/>
        </w:rPr>
        <w:t>在标准的技术要求和试验方法等方面与国内相关标准协调一致，不违背现行相关法律、法规、条例，保持与强制</w:t>
      </w:r>
      <w:r w:rsidRPr="00323ABE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性标准的协调性。</w:t>
      </w:r>
    </w:p>
    <w:p w14:paraId="427E4EC4" w14:textId="54A0233B" w:rsidR="00C213AE" w:rsidRDefault="00000000" w:rsidP="00113D6B">
      <w:pPr>
        <w:pStyle w:val="2"/>
        <w:numPr>
          <w:ilvl w:val="0"/>
          <w:numId w:val="10"/>
        </w:numPr>
        <w:rPr>
          <w:rFonts w:ascii="黑体" w:eastAsia="黑体" w:hAnsi="黑体"/>
          <w:b w:val="0"/>
          <w:bCs w:val="0"/>
        </w:rPr>
      </w:pPr>
      <w:bookmarkStart w:id="9" w:name="_Toc197441465"/>
      <w:r w:rsidRPr="00F03963">
        <w:rPr>
          <w:rFonts w:ascii="黑体" w:eastAsia="黑体" w:hAnsi="黑体" w:hint="eastAsia"/>
          <w:b w:val="0"/>
          <w:bCs w:val="0"/>
        </w:rPr>
        <w:t>主要条款的说明</w:t>
      </w:r>
      <w:r w:rsidRPr="00F03963">
        <w:rPr>
          <w:rFonts w:ascii="黑体" w:eastAsia="黑体" w:hAnsi="黑体"/>
          <w:b w:val="0"/>
          <w:bCs w:val="0"/>
        </w:rPr>
        <w:t>(重要项)</w:t>
      </w:r>
      <w:bookmarkEnd w:id="9"/>
    </w:p>
    <w:p w14:paraId="2FA2FA40" w14:textId="7A5321DA" w:rsidR="00323ABE" w:rsidRPr="00323ABE" w:rsidRDefault="00323ABE" w:rsidP="00323AB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323ABE">
        <w:rPr>
          <w:rFonts w:ascii="仿宋" w:eastAsia="仿宋" w:hAnsi="仿宋" w:cs="仿宋" w:hint="eastAsia"/>
          <w:sz w:val="32"/>
          <w:szCs w:val="32"/>
        </w:rPr>
        <w:t>本文件规定了用于热镀锌钢板表面钝化</w:t>
      </w:r>
      <w:proofErr w:type="gramStart"/>
      <w:r w:rsidRPr="00323ABE">
        <w:rPr>
          <w:rFonts w:ascii="仿宋" w:eastAsia="仿宋" w:hAnsi="仿宋" w:cs="仿宋" w:hint="eastAsia"/>
          <w:sz w:val="32"/>
          <w:szCs w:val="32"/>
        </w:rPr>
        <w:t>的无铬钝化</w:t>
      </w:r>
      <w:proofErr w:type="gramEnd"/>
      <w:r w:rsidRPr="00323ABE">
        <w:rPr>
          <w:rFonts w:ascii="仿宋" w:eastAsia="仿宋" w:hAnsi="仿宋" w:cs="仿宋" w:hint="eastAsia"/>
          <w:sz w:val="32"/>
          <w:szCs w:val="32"/>
        </w:rPr>
        <w:t>剂的外观、理化指标、环保性以及钝化膜性能等技术要求，描述了对应的试验方法、检验规则以及标志、包装、运输和贮存等。</w:t>
      </w:r>
    </w:p>
    <w:p w14:paraId="4B1F1C13" w14:textId="600BD2C2" w:rsidR="00C213AE" w:rsidRPr="00323ABE" w:rsidRDefault="00323ABE" w:rsidP="00323ABE">
      <w:pPr>
        <w:spacing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323ABE"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000000" w:rsidRPr="00323ABE">
        <w:rPr>
          <w:rFonts w:ascii="仿宋" w:eastAsia="仿宋" w:hAnsi="仿宋" w:cs="仿宋" w:hint="eastAsia"/>
          <w:b/>
          <w:bCs/>
          <w:sz w:val="32"/>
          <w:szCs w:val="32"/>
        </w:rPr>
        <w:t>理化指标</w:t>
      </w:r>
    </w:p>
    <w:p w14:paraId="31DA5F13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pH：3.0-7.0。</w:t>
      </w:r>
    </w:p>
    <w:p w14:paraId="41B5DC5A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密度（g/mL）：1.050±0.050。</w:t>
      </w:r>
    </w:p>
    <w:p w14:paraId="09FA75A4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固含量（%）：15.0±2.0。</w:t>
      </w:r>
    </w:p>
    <w:p w14:paraId="323CECAB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粘度（mpa·s）：2.0-10.0。</w:t>
      </w:r>
    </w:p>
    <w:p w14:paraId="1F4A531D" w14:textId="39F47A24" w:rsidR="00C213AE" w:rsidRPr="00323ABE" w:rsidRDefault="00323ABE" w:rsidP="00323ABE">
      <w:pPr>
        <w:spacing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323ABE"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="00000000" w:rsidRPr="00323ABE">
        <w:rPr>
          <w:rFonts w:ascii="仿宋" w:eastAsia="仿宋" w:hAnsi="仿宋" w:cs="仿宋" w:hint="eastAsia"/>
          <w:b/>
          <w:bCs/>
          <w:sz w:val="32"/>
          <w:szCs w:val="32"/>
        </w:rPr>
        <w:t>环保性</w:t>
      </w:r>
    </w:p>
    <w:p w14:paraId="01633B08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热浸镀锌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钢板无铬钝化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剂应符合GB/T 26572的规定要求。</w:t>
      </w:r>
    </w:p>
    <w:p w14:paraId="56DC5DEC" w14:textId="22D3FF43" w:rsidR="00C213AE" w:rsidRPr="00323ABE" w:rsidRDefault="00323ABE" w:rsidP="00323ABE">
      <w:pPr>
        <w:spacing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10" w:name="_Toc193471524"/>
      <w:r w:rsidRPr="00323ABE"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proofErr w:type="gramStart"/>
      <w:r w:rsidR="00000000" w:rsidRPr="00323ABE">
        <w:rPr>
          <w:rFonts w:ascii="仿宋" w:eastAsia="仿宋" w:hAnsi="仿宋" w:cs="仿宋" w:hint="eastAsia"/>
          <w:b/>
          <w:bCs/>
          <w:sz w:val="32"/>
          <w:szCs w:val="32"/>
        </w:rPr>
        <w:t>无铬钝化膜</w:t>
      </w:r>
      <w:proofErr w:type="gramEnd"/>
      <w:r w:rsidR="00000000" w:rsidRPr="00323ABE">
        <w:rPr>
          <w:rFonts w:ascii="仿宋" w:eastAsia="仿宋" w:hAnsi="仿宋" w:cs="仿宋" w:hint="eastAsia"/>
          <w:b/>
          <w:bCs/>
          <w:sz w:val="32"/>
          <w:szCs w:val="32"/>
        </w:rPr>
        <w:t>性能</w:t>
      </w:r>
      <w:bookmarkEnd w:id="10"/>
    </w:p>
    <w:p w14:paraId="08CBF482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耐蚀性（中性盐雾试验）：96h腐蚀面积≤5%。</w:t>
      </w:r>
    </w:p>
    <w:p w14:paraId="7D23B25B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耐高温黄变性：⊿E≦3，目视无变色。</w:t>
      </w:r>
    </w:p>
    <w:p w14:paraId="7B9FCAA4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耐碱性：⊿E≦3。</w:t>
      </w:r>
    </w:p>
    <w:p w14:paraId="77E633CC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耐酸性：⊿E≦3。</w:t>
      </w:r>
    </w:p>
    <w:p w14:paraId="6521F9E1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耐黑变性：⊿E≦3。</w:t>
      </w:r>
    </w:p>
    <w:p w14:paraId="79B460A3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导电性：至少13个点的表面电阻≤1mΩ。</w:t>
      </w:r>
    </w:p>
    <w:p w14:paraId="644491F0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耐溶剂性：分别进行丁酮擦拭和80%酒精擦拭后，膜层不脱落，擦拭前后色差⊿E≦3。</w:t>
      </w:r>
    </w:p>
    <w:p w14:paraId="0B16E33F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涂装性：喷粉试验后，涂层经百格试验≥98/100。</w:t>
      </w:r>
    </w:p>
    <w:p w14:paraId="25FE6C66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表面张力：5s内不收缩。</w:t>
      </w:r>
    </w:p>
    <w:p w14:paraId="27D713F0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动摩擦系数：＜0.15。</w:t>
      </w:r>
    </w:p>
    <w:p w14:paraId="0087D806" w14:textId="77777777" w:rsidR="00C213AE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表面外观质量：</w:t>
      </w:r>
      <w:r>
        <w:rPr>
          <w:rFonts w:ascii="仿宋" w:eastAsia="仿宋" w:hAnsi="仿宋" w:cs="仿宋" w:hint="eastAsia"/>
          <w:sz w:val="32"/>
          <w:szCs w:val="32"/>
        </w:rPr>
        <w:tab/>
        <w:t>钝化前后钢板表面无明显色差。</w:t>
      </w:r>
    </w:p>
    <w:p w14:paraId="26B503C2" w14:textId="77777777" w:rsidR="00C213AE" w:rsidRPr="00F03963" w:rsidRDefault="00000000" w:rsidP="00113D6B">
      <w:pPr>
        <w:pStyle w:val="2"/>
        <w:numPr>
          <w:ilvl w:val="0"/>
          <w:numId w:val="10"/>
        </w:numPr>
        <w:rPr>
          <w:rFonts w:ascii="黑体" w:eastAsia="黑体" w:hAnsi="黑体" w:hint="eastAsia"/>
          <w:b w:val="0"/>
          <w:bCs w:val="0"/>
        </w:rPr>
      </w:pPr>
      <w:bookmarkStart w:id="11" w:name="_Toc197441466"/>
      <w:r w:rsidRPr="00F03963">
        <w:rPr>
          <w:rFonts w:ascii="黑体" w:eastAsia="黑体" w:hAnsi="黑体" w:hint="eastAsia"/>
          <w:b w:val="0"/>
          <w:bCs w:val="0"/>
        </w:rPr>
        <w:t>重大意见分歧</w:t>
      </w:r>
      <w:r w:rsidRPr="00F03963">
        <w:rPr>
          <w:rFonts w:ascii="黑体" w:eastAsia="黑体" w:hAnsi="黑体"/>
          <w:b w:val="0"/>
          <w:bCs w:val="0"/>
        </w:rPr>
        <w:t>处理依据和结果（必要项）</w:t>
      </w:r>
      <w:bookmarkEnd w:id="11"/>
    </w:p>
    <w:p w14:paraId="1ADF01C0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本标准编制过程中无重大分歧意见。</w:t>
      </w:r>
    </w:p>
    <w:p w14:paraId="7303B41D" w14:textId="7DBFA9EF" w:rsidR="00C213AE" w:rsidRDefault="00000000" w:rsidP="00113D6B">
      <w:pPr>
        <w:pStyle w:val="2"/>
        <w:numPr>
          <w:ilvl w:val="0"/>
          <w:numId w:val="10"/>
        </w:numPr>
        <w:rPr>
          <w:rFonts w:hint="eastAsia"/>
        </w:rPr>
      </w:pPr>
      <w:bookmarkStart w:id="12" w:name="_Toc197441467"/>
      <w:r w:rsidRPr="00F03963">
        <w:rPr>
          <w:rFonts w:ascii="黑体" w:eastAsia="黑体" w:hAnsi="黑体"/>
          <w:b w:val="0"/>
          <w:bCs w:val="0"/>
        </w:rPr>
        <w:t>标准涉及专利的处置</w:t>
      </w:r>
      <w:r w:rsidRPr="00F03963">
        <w:rPr>
          <w:rFonts w:ascii="黑体" w:eastAsia="黑体" w:hAnsi="黑体" w:hint="eastAsia"/>
          <w:b w:val="0"/>
          <w:bCs w:val="0"/>
        </w:rPr>
        <w:t>（必要项）</w:t>
      </w:r>
      <w:bookmarkEnd w:id="12"/>
    </w:p>
    <w:p w14:paraId="0C46AFAE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本标准不涉及专利。</w:t>
      </w:r>
    </w:p>
    <w:p w14:paraId="095DF455" w14:textId="74EB324F" w:rsidR="00C213AE" w:rsidRDefault="00000000" w:rsidP="00113D6B">
      <w:pPr>
        <w:pStyle w:val="2"/>
        <w:numPr>
          <w:ilvl w:val="0"/>
          <w:numId w:val="10"/>
        </w:numPr>
        <w:rPr>
          <w:rFonts w:hint="eastAsia"/>
        </w:rPr>
      </w:pPr>
      <w:bookmarkStart w:id="13" w:name="_Toc197441468"/>
      <w:r w:rsidRPr="00F03963">
        <w:rPr>
          <w:rFonts w:ascii="黑体" w:eastAsia="黑体" w:hAnsi="黑体" w:hint="eastAsia"/>
          <w:b w:val="0"/>
          <w:bCs w:val="0"/>
        </w:rPr>
        <w:t>贯彻团体标准的要求和措施建议（必要项）</w:t>
      </w:r>
      <w:bookmarkEnd w:id="13"/>
    </w:p>
    <w:p w14:paraId="219C5D97" w14:textId="77777777" w:rsidR="00C213AE" w:rsidRDefault="00000000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在标准发布前，应做好标准文本的印刷发行准备工作，确保各级标准化管理部门、相关企业及检测机构能够在实施前及时获取纸质及电子版标准文本。标准发布后，需针对生产企业、检测机构和监管部门等不同对象开展差异化宣贯培训：对生产企业重点解读技术内容与新旧标准差异，提供实施操作指南；对检测机构开展检测方法专项培训，统一操作规范；对监管部门则着重培训标准监管要点，并建立问题反馈机制。</w:t>
      </w:r>
    </w:p>
    <w:p w14:paraId="00843A58" w14:textId="77777777" w:rsidR="00C213AE" w:rsidRPr="00F03963" w:rsidRDefault="00000000" w:rsidP="00113D6B">
      <w:pPr>
        <w:pStyle w:val="2"/>
        <w:numPr>
          <w:ilvl w:val="0"/>
          <w:numId w:val="10"/>
        </w:numPr>
        <w:rPr>
          <w:rFonts w:ascii="黑体" w:eastAsia="黑体" w:hAnsi="黑体" w:hint="eastAsia"/>
          <w:b w:val="0"/>
          <w:bCs w:val="0"/>
        </w:rPr>
      </w:pPr>
      <w:bookmarkStart w:id="14" w:name="_Toc197441469"/>
      <w:r w:rsidRPr="00F03963">
        <w:rPr>
          <w:rFonts w:ascii="黑体" w:eastAsia="黑体" w:hAnsi="黑体" w:hint="eastAsia"/>
          <w:b w:val="0"/>
          <w:bCs w:val="0"/>
        </w:rPr>
        <w:lastRenderedPageBreak/>
        <w:t>其他应说明的事项</w:t>
      </w:r>
      <w:r w:rsidRPr="00F03963">
        <w:rPr>
          <w:rFonts w:ascii="黑体" w:eastAsia="黑体" w:hAnsi="黑体"/>
          <w:b w:val="0"/>
          <w:bCs w:val="0"/>
        </w:rPr>
        <w:t>(选填项)</w:t>
      </w:r>
      <w:bookmarkEnd w:id="14"/>
    </w:p>
    <w:p w14:paraId="6F8C659E" w14:textId="77777777" w:rsidR="00C213A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无。</w:t>
      </w:r>
    </w:p>
    <w:p w14:paraId="5434A880" w14:textId="77777777" w:rsidR="00C213AE" w:rsidRDefault="00C213AE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14:paraId="4010AC40" w14:textId="012878DC" w:rsidR="00213197" w:rsidRDefault="00213197" w:rsidP="00213197">
      <w:pPr>
        <w:spacing w:line="360" w:lineRule="auto"/>
        <w:ind w:firstLineChars="1400" w:firstLine="3920"/>
        <w:rPr>
          <w:rFonts w:ascii="仿宋_GB2312" w:eastAsia="仿宋_GB2312" w:hAnsi="Times New Roman" w:cs="Times New Roman" w:hint="eastAsia"/>
          <w:color w:val="FF0000"/>
          <w:sz w:val="32"/>
          <w:szCs w:val="32"/>
        </w:rPr>
      </w:pPr>
      <w:r>
        <w:rPr>
          <w:rFonts w:hint="eastAsia"/>
          <w:sz w:val="28"/>
          <w:szCs w:val="28"/>
        </w:rPr>
        <w:t>《热浸镀锌钢板无铬钝化剂》编制组</w:t>
      </w:r>
    </w:p>
    <w:p w14:paraId="3E65FBA9" w14:textId="65DB1D50" w:rsidR="00C213AE" w:rsidRDefault="00000000" w:rsidP="00213197">
      <w:pPr>
        <w:spacing w:line="360" w:lineRule="auto"/>
        <w:ind w:right="640" w:firstLineChars="200" w:firstLine="640"/>
        <w:jc w:val="right"/>
        <w:rPr>
          <w:rFonts w:hint="eastAsia"/>
          <w:color w:val="FF0000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2025年</w:t>
      </w:r>
      <w:r w:rsidR="0027194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7194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C213A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9EB8" w14:textId="77777777" w:rsidR="007C7817" w:rsidRDefault="007C7817">
      <w:pPr>
        <w:rPr>
          <w:rFonts w:hint="eastAsia"/>
        </w:rPr>
      </w:pPr>
      <w:r>
        <w:separator/>
      </w:r>
    </w:p>
  </w:endnote>
  <w:endnote w:type="continuationSeparator" w:id="0">
    <w:p w14:paraId="1029B297" w14:textId="77777777" w:rsidR="007C7817" w:rsidRDefault="007C78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609779"/>
    </w:sdtPr>
    <w:sdtContent>
      <w:p w14:paraId="2E566408" w14:textId="77777777" w:rsidR="00C213AE" w:rsidRDefault="0000000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554A" w14:textId="77777777" w:rsidR="007C7817" w:rsidRDefault="007C7817">
      <w:pPr>
        <w:rPr>
          <w:rFonts w:hint="eastAsia"/>
        </w:rPr>
      </w:pPr>
      <w:r>
        <w:separator/>
      </w:r>
    </w:p>
  </w:footnote>
  <w:footnote w:type="continuationSeparator" w:id="0">
    <w:p w14:paraId="1F2D4D76" w14:textId="77777777" w:rsidR="007C7817" w:rsidRDefault="007C78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81CD68"/>
    <w:multiLevelType w:val="singleLevel"/>
    <w:tmpl w:val="D581CD68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349420B"/>
    <w:multiLevelType w:val="singleLevel"/>
    <w:tmpl w:val="0349420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F97360D"/>
    <w:multiLevelType w:val="hybridMultilevel"/>
    <w:tmpl w:val="86CEF8F6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FD75BDF"/>
    <w:multiLevelType w:val="hybridMultilevel"/>
    <w:tmpl w:val="64384E30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CBE6CAA"/>
    <w:multiLevelType w:val="hybridMultilevel"/>
    <w:tmpl w:val="F0A6ADD8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A2CC503"/>
    <w:multiLevelType w:val="singleLevel"/>
    <w:tmpl w:val="2A2CC503"/>
    <w:lvl w:ilvl="0">
      <w:start w:val="2"/>
      <w:numFmt w:val="decimal"/>
      <w:suff w:val="nothing"/>
      <w:lvlText w:val="%1、"/>
      <w:lvlJc w:val="left"/>
    </w:lvl>
  </w:abstractNum>
  <w:abstractNum w:abstractNumId="6" w15:restartNumberingAfterBreak="0">
    <w:nsid w:val="4A0B493D"/>
    <w:multiLevelType w:val="hybridMultilevel"/>
    <w:tmpl w:val="58562D8C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A8B34DB"/>
    <w:multiLevelType w:val="hybridMultilevel"/>
    <w:tmpl w:val="819CDE9E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B2369B3"/>
    <w:multiLevelType w:val="hybridMultilevel"/>
    <w:tmpl w:val="39A03C5E"/>
    <w:lvl w:ilvl="0" w:tplc="04090017">
      <w:start w:val="1"/>
      <w:numFmt w:val="chineseCountingThousand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1844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1702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903106175">
    <w:abstractNumId w:val="9"/>
  </w:num>
  <w:num w:numId="2" w16cid:durableId="557253062">
    <w:abstractNumId w:val="5"/>
  </w:num>
  <w:num w:numId="3" w16cid:durableId="1003822663">
    <w:abstractNumId w:val="1"/>
  </w:num>
  <w:num w:numId="4" w16cid:durableId="963535310">
    <w:abstractNumId w:val="0"/>
  </w:num>
  <w:num w:numId="5" w16cid:durableId="477697285">
    <w:abstractNumId w:val="2"/>
  </w:num>
  <w:num w:numId="6" w16cid:durableId="1395741908">
    <w:abstractNumId w:val="3"/>
  </w:num>
  <w:num w:numId="7" w16cid:durableId="1010720999">
    <w:abstractNumId w:val="6"/>
  </w:num>
  <w:num w:numId="8" w16cid:durableId="1689066691">
    <w:abstractNumId w:val="4"/>
  </w:num>
  <w:num w:numId="9" w16cid:durableId="2021810483">
    <w:abstractNumId w:val="8"/>
  </w:num>
  <w:num w:numId="10" w16cid:durableId="1450121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04"/>
    <w:rsid w:val="00025E84"/>
    <w:rsid w:val="00066FAA"/>
    <w:rsid w:val="00081EF4"/>
    <w:rsid w:val="000A1303"/>
    <w:rsid w:val="000E4B6F"/>
    <w:rsid w:val="00100A2B"/>
    <w:rsid w:val="00113D6B"/>
    <w:rsid w:val="00116638"/>
    <w:rsid w:val="001608D5"/>
    <w:rsid w:val="00190C73"/>
    <w:rsid w:val="001C1F07"/>
    <w:rsid w:val="001D65C9"/>
    <w:rsid w:val="00200CD3"/>
    <w:rsid w:val="002119F1"/>
    <w:rsid w:val="00213197"/>
    <w:rsid w:val="00231AA3"/>
    <w:rsid w:val="0027194A"/>
    <w:rsid w:val="002A5219"/>
    <w:rsid w:val="002B4CE0"/>
    <w:rsid w:val="002E4603"/>
    <w:rsid w:val="00302AF6"/>
    <w:rsid w:val="003064E4"/>
    <w:rsid w:val="00323ABE"/>
    <w:rsid w:val="00360E70"/>
    <w:rsid w:val="00376454"/>
    <w:rsid w:val="00377939"/>
    <w:rsid w:val="00395908"/>
    <w:rsid w:val="003D6B2C"/>
    <w:rsid w:val="003E7765"/>
    <w:rsid w:val="00410289"/>
    <w:rsid w:val="004823BC"/>
    <w:rsid w:val="004C060C"/>
    <w:rsid w:val="004C3AB9"/>
    <w:rsid w:val="004C4C78"/>
    <w:rsid w:val="004D276B"/>
    <w:rsid w:val="004D7E08"/>
    <w:rsid w:val="0054306E"/>
    <w:rsid w:val="0058441C"/>
    <w:rsid w:val="00585C56"/>
    <w:rsid w:val="0058685C"/>
    <w:rsid w:val="00587CE7"/>
    <w:rsid w:val="00600FDE"/>
    <w:rsid w:val="00640700"/>
    <w:rsid w:val="00645212"/>
    <w:rsid w:val="006844BB"/>
    <w:rsid w:val="006A4471"/>
    <w:rsid w:val="006C1DB6"/>
    <w:rsid w:val="006F36FA"/>
    <w:rsid w:val="00703CB1"/>
    <w:rsid w:val="007074B6"/>
    <w:rsid w:val="00714AE0"/>
    <w:rsid w:val="00730B8B"/>
    <w:rsid w:val="00760D20"/>
    <w:rsid w:val="00767107"/>
    <w:rsid w:val="007920FF"/>
    <w:rsid w:val="007C7817"/>
    <w:rsid w:val="007F7441"/>
    <w:rsid w:val="00850F4F"/>
    <w:rsid w:val="008556C9"/>
    <w:rsid w:val="00861680"/>
    <w:rsid w:val="0086635A"/>
    <w:rsid w:val="00886BEA"/>
    <w:rsid w:val="008A53B9"/>
    <w:rsid w:val="008D1304"/>
    <w:rsid w:val="00956453"/>
    <w:rsid w:val="0098013D"/>
    <w:rsid w:val="00991E87"/>
    <w:rsid w:val="009D1F6D"/>
    <w:rsid w:val="00A12318"/>
    <w:rsid w:val="00AE4052"/>
    <w:rsid w:val="00B00F51"/>
    <w:rsid w:val="00B2243B"/>
    <w:rsid w:val="00B22A2C"/>
    <w:rsid w:val="00B57F49"/>
    <w:rsid w:val="00BD34B1"/>
    <w:rsid w:val="00BE20B4"/>
    <w:rsid w:val="00C02263"/>
    <w:rsid w:val="00C213AE"/>
    <w:rsid w:val="00D16B51"/>
    <w:rsid w:val="00D4063F"/>
    <w:rsid w:val="00D62309"/>
    <w:rsid w:val="00E0564E"/>
    <w:rsid w:val="00E43782"/>
    <w:rsid w:val="00E760E3"/>
    <w:rsid w:val="00EA0F7D"/>
    <w:rsid w:val="00EA5BF9"/>
    <w:rsid w:val="00EC7C51"/>
    <w:rsid w:val="00EF00EC"/>
    <w:rsid w:val="00EF2938"/>
    <w:rsid w:val="00EF5BA2"/>
    <w:rsid w:val="00F03963"/>
    <w:rsid w:val="00F03E87"/>
    <w:rsid w:val="00F42BAD"/>
    <w:rsid w:val="00F63B18"/>
    <w:rsid w:val="00F63E0A"/>
    <w:rsid w:val="038D16A3"/>
    <w:rsid w:val="055E50A5"/>
    <w:rsid w:val="05E530D0"/>
    <w:rsid w:val="0AC51722"/>
    <w:rsid w:val="0AFB1A29"/>
    <w:rsid w:val="0B7A69B0"/>
    <w:rsid w:val="0BAE21B6"/>
    <w:rsid w:val="0D2564A8"/>
    <w:rsid w:val="0E003E1F"/>
    <w:rsid w:val="0E745939"/>
    <w:rsid w:val="0F3155D8"/>
    <w:rsid w:val="0FC621C4"/>
    <w:rsid w:val="123E4294"/>
    <w:rsid w:val="12D90B97"/>
    <w:rsid w:val="13051255"/>
    <w:rsid w:val="138E124B"/>
    <w:rsid w:val="16493207"/>
    <w:rsid w:val="16647B79"/>
    <w:rsid w:val="1D181B85"/>
    <w:rsid w:val="1F4D55DB"/>
    <w:rsid w:val="21FE134A"/>
    <w:rsid w:val="23D5257E"/>
    <w:rsid w:val="24B93C4E"/>
    <w:rsid w:val="262A25B8"/>
    <w:rsid w:val="27BD3A55"/>
    <w:rsid w:val="284657F9"/>
    <w:rsid w:val="28B9421C"/>
    <w:rsid w:val="2CF302E4"/>
    <w:rsid w:val="2D214A86"/>
    <w:rsid w:val="2D8D3ECA"/>
    <w:rsid w:val="2FAD7ACB"/>
    <w:rsid w:val="316B2774"/>
    <w:rsid w:val="3364747B"/>
    <w:rsid w:val="33DF7227"/>
    <w:rsid w:val="37647A49"/>
    <w:rsid w:val="37732382"/>
    <w:rsid w:val="39237490"/>
    <w:rsid w:val="3A377697"/>
    <w:rsid w:val="3A9B19D4"/>
    <w:rsid w:val="3C5067EE"/>
    <w:rsid w:val="3E703177"/>
    <w:rsid w:val="3F381EE7"/>
    <w:rsid w:val="3F4721BA"/>
    <w:rsid w:val="3FB377C0"/>
    <w:rsid w:val="40E57E4D"/>
    <w:rsid w:val="41913B31"/>
    <w:rsid w:val="422C5607"/>
    <w:rsid w:val="43C56B5D"/>
    <w:rsid w:val="43CA50D8"/>
    <w:rsid w:val="43DC34BF"/>
    <w:rsid w:val="441647C1"/>
    <w:rsid w:val="45246A6A"/>
    <w:rsid w:val="45FD79E7"/>
    <w:rsid w:val="472114B3"/>
    <w:rsid w:val="48253225"/>
    <w:rsid w:val="4C9E1C8D"/>
    <w:rsid w:val="4CF136D5"/>
    <w:rsid w:val="4E960CC2"/>
    <w:rsid w:val="4E9C58C3"/>
    <w:rsid w:val="4EFA0F67"/>
    <w:rsid w:val="4FA61B8E"/>
    <w:rsid w:val="4FB31116"/>
    <w:rsid w:val="5082112D"/>
    <w:rsid w:val="50974594"/>
    <w:rsid w:val="57DF5A67"/>
    <w:rsid w:val="58816255"/>
    <w:rsid w:val="58B232E7"/>
    <w:rsid w:val="5DE824DF"/>
    <w:rsid w:val="5E7D126D"/>
    <w:rsid w:val="5FEA20BE"/>
    <w:rsid w:val="614D0474"/>
    <w:rsid w:val="62F12229"/>
    <w:rsid w:val="638B61DA"/>
    <w:rsid w:val="67BB4BB4"/>
    <w:rsid w:val="67CE48E7"/>
    <w:rsid w:val="67DB0DB2"/>
    <w:rsid w:val="6A8A438F"/>
    <w:rsid w:val="6B321631"/>
    <w:rsid w:val="6CDC3602"/>
    <w:rsid w:val="6D1A412B"/>
    <w:rsid w:val="6E10219F"/>
    <w:rsid w:val="70FF3D63"/>
    <w:rsid w:val="71312ADB"/>
    <w:rsid w:val="71B83EEA"/>
    <w:rsid w:val="72730565"/>
    <w:rsid w:val="73AB01D2"/>
    <w:rsid w:val="74343D24"/>
    <w:rsid w:val="74FF42EB"/>
    <w:rsid w:val="77147E3D"/>
    <w:rsid w:val="77D45F4A"/>
    <w:rsid w:val="78922B2F"/>
    <w:rsid w:val="79EF706B"/>
    <w:rsid w:val="7B8B7243"/>
    <w:rsid w:val="7B9559F0"/>
    <w:rsid w:val="7C921F30"/>
    <w:rsid w:val="7CD42548"/>
    <w:rsid w:val="7D07647A"/>
    <w:rsid w:val="7DAB3F44"/>
    <w:rsid w:val="7E7519CA"/>
    <w:rsid w:val="7EEF71C5"/>
    <w:rsid w:val="7F1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899A"/>
  <w15:docId w15:val="{02D129AA-F984-480E-B437-117B4E8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qFormat/>
    <w:pPr>
      <w:jc w:val="center"/>
    </w:pPr>
    <w:rPr>
      <w:rFonts w:ascii="宋体" w:eastAsia="宋体" w:hAnsi="宋体" w:cs="Times New Roman"/>
      <w:b/>
      <w:sz w:val="32"/>
      <w:szCs w:val="32"/>
    </w:rPr>
  </w:style>
  <w:style w:type="paragraph" w:styleId="a7">
    <w:name w:val="footer"/>
    <w:basedOn w:val="a2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2"/>
    <w:next w:val="a2"/>
    <w:autoRedefine/>
    <w:uiPriority w:val="39"/>
    <w:unhideWhenUsed/>
    <w:qFormat/>
  </w:style>
  <w:style w:type="paragraph" w:styleId="TOC2">
    <w:name w:val="toc 2"/>
    <w:basedOn w:val="a2"/>
    <w:next w:val="a2"/>
    <w:autoRedefine/>
    <w:uiPriority w:val="39"/>
    <w:unhideWhenUsed/>
    <w:qFormat/>
    <w:rsid w:val="00D4063F"/>
    <w:pPr>
      <w:tabs>
        <w:tab w:val="left" w:pos="567"/>
        <w:tab w:val="right" w:leader="dot" w:pos="8296"/>
      </w:tabs>
      <w:spacing w:line="360" w:lineRule="auto"/>
    </w:pPr>
  </w:style>
  <w:style w:type="table" w:styleId="ab">
    <w:name w:val="Table Grid"/>
    <w:basedOn w:val="a4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3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3"/>
    <w:link w:val="1"/>
    <w:uiPriority w:val="9"/>
    <w:qFormat/>
    <w:rPr>
      <w:b/>
      <w:bCs/>
      <w:kern w:val="44"/>
      <w:sz w:val="44"/>
      <w:szCs w:val="44"/>
    </w:rPr>
  </w:style>
  <w:style w:type="paragraph" w:styleId="ad">
    <w:name w:val="List Paragraph"/>
    <w:basedOn w:val="a2"/>
    <w:uiPriority w:val="34"/>
    <w:qFormat/>
    <w:pPr>
      <w:ind w:firstLineChars="200" w:firstLine="420"/>
    </w:pPr>
  </w:style>
  <w:style w:type="character" w:customStyle="1" w:styleId="aa">
    <w:name w:val="页眉 字符"/>
    <w:basedOn w:val="a3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3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3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1">
    <w:name w:val="标准文件_二级条标题"/>
    <w:next w:val="ae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e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0">
    <w:name w:val="标准文件_一级条标题"/>
    <w:basedOn w:val="a"/>
    <w:next w:val="a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标准文件_章标题"/>
    <w:next w:val="ae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f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paragraph" w:customStyle="1" w:styleId="af0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59A3-5D53-4006-BEB9-4A3A09E9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Dezhong Zhang</cp:lastModifiedBy>
  <cp:revision>19</cp:revision>
  <cp:lastPrinted>2021-10-27T01:45:00Z</cp:lastPrinted>
  <dcterms:created xsi:type="dcterms:W3CDTF">2025-05-06T08:23:00Z</dcterms:created>
  <dcterms:modified xsi:type="dcterms:W3CDTF">2025-05-06T09:20:00Z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eyJoZGlkIjoiYTZlNTRmOTZiYzkyZWIxMDk1NTk5YmUzYmEzN2Y3ZTkiLCJ1c2VySWQiOiI0NTU3MDY1ODcifQ==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DEB11199927247068828075A4BFF7A35_13</vt:lpwstr>
  </property>
</Properties>
</file>