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全自动一体化高效刀刮布生产成套设备</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四</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嘉兴扬鑫机械有限公司</w:t>
      </w:r>
      <w:r>
        <w:rPr>
          <w:rFonts w:hint="eastAsia" w:ascii="宋体" w:hAnsi="宋体" w:eastAsia="宋体"/>
          <w:sz w:val="28"/>
          <w:szCs w:val="28"/>
        </w:rPr>
        <w:t>等相关单位共同制定《</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947F0B5">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全自动一体化高效刀刮布生产成套设备制作标准对设备的安全性能做出规范，包括电气安全、机械安全等方面。这可以减少生产过程中的安全隐患，保护操作人员的生命安全和身体健康，同时也避免因安全事故导致的生产中断和经济损失。在市场上，有了统一的制作标准，便于对设备进行质量检测和认证，防止低质量、不合格的设备进入市场。这有助于规范市场竞争，保护消费者的合法权益，促进刀刮布生产设备市场的健康发展。</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刀刮布在广告、建筑、交通运输等领域应用广泛。随着经济发展，这些行业对刀刮布的需求持续增加，从而带动对生产设备的需求增长。在建筑领域，防火精密钢等材料的应用推动了相关刀刮布产品的需求，进而为生产设备提供了更广阔的市场空间。随着科技的不断进步，设备将朝着智能化、自动化程度更高的方向发展。通过引入先进的传感器技术、自动化控制技术，设备能够实现更精准的生产控制和质量检测，进一步提高生产效率和产品质量。科技创新还将促使设备在节能降耗、环保性能等方面不断优化，满足可持续发展的要求。</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04</w:t>
      </w:r>
      <w:r>
        <w:rPr>
          <w:rFonts w:hint="eastAsia" w:ascii="宋体" w:hAnsi="宋体" w:eastAsia="宋体"/>
          <w:sz w:val="28"/>
          <w:szCs w:val="28"/>
        </w:rPr>
        <w:t>月，</w:t>
      </w:r>
      <w:r>
        <w:rPr>
          <w:rFonts w:hint="eastAsia" w:ascii="宋体" w:hAnsi="宋体" w:eastAsia="宋体"/>
          <w:sz w:val="28"/>
          <w:szCs w:val="28"/>
          <w:lang w:val="en-US" w:eastAsia="zh-CN"/>
        </w:rPr>
        <w:t>嘉兴扬鑫机械有限公司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04</w:t>
      </w:r>
      <w:r>
        <w:rPr>
          <w:rFonts w:hint="eastAsia" w:ascii="宋体" w:hAnsi="宋体" w:eastAsia="宋体"/>
          <w:sz w:val="28"/>
          <w:szCs w:val="28"/>
        </w:rPr>
        <w:t>月提交《</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04</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嘉兴扬鑫机械有限公司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5928C24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1EC0604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1184  形状和位置公差未注公差值</w:t>
      </w:r>
    </w:p>
    <w:p w14:paraId="1A9FDA4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4208—2017  外壳防护等级（IP代码）</w:t>
      </w:r>
    </w:p>
    <w:p w14:paraId="5F47486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5226.1  机械电气安全 机械电气设备 第1部分:通用技术条件</w:t>
      </w:r>
    </w:p>
    <w:p w14:paraId="1FD8BC0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6388  运输包装收发货标志</w:t>
      </w:r>
    </w:p>
    <w:p w14:paraId="46AA1CA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7111.5  纺织机械噪声测试规范 第5部分: 机织和针织准备机械</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GB/T 13306  标牌</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外观、装配质量、性能、噪声、安全</w:t>
      </w:r>
      <w:bookmarkStart w:id="0" w:name="_GoBack"/>
      <w:bookmarkEnd w:id="0"/>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全自动一体化高效刀刮布生产成套设备</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全自动一体化高效刀刮布生产成套设备</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04</w:t>
      </w:r>
      <w:r>
        <w:rPr>
          <w:rFonts w:ascii="仿宋_GB2312" w:hAnsi="仿宋" w:eastAsia="仿宋_GB2312"/>
          <w:sz w:val="28"/>
          <w:szCs w:val="28"/>
        </w:rPr>
        <w:t>月</w:t>
      </w:r>
      <w:r>
        <w:rPr>
          <w:rFonts w:hint="eastAsia" w:ascii="仿宋_GB2312" w:hAnsi="仿宋" w:eastAsia="仿宋_GB2312"/>
          <w:sz w:val="28"/>
          <w:szCs w:val="28"/>
          <w:lang w:val="en-US" w:eastAsia="zh-CN"/>
        </w:rPr>
        <w:t>27</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DF2C9C"/>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4C32CD9"/>
    <w:rsid w:val="24D42836"/>
    <w:rsid w:val="252C4420"/>
    <w:rsid w:val="25EC054A"/>
    <w:rsid w:val="26527EB6"/>
    <w:rsid w:val="2784563B"/>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DFE1457"/>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2007</Words>
  <Characters>2071</Characters>
  <Lines>16</Lines>
  <Paragraphs>4</Paragraphs>
  <TotalTime>6</TotalTime>
  <ScaleCrop>false</ScaleCrop>
  <LinksUpToDate>false</LinksUpToDate>
  <CharactersWithSpaces>2144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2025-04-27T08:04:17Z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