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4CBD">
      <w:pPr>
        <w:pStyle w:val="30"/>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58167014">
      <w:pPr>
        <w:pStyle w:val="41"/>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12278792">
      <w:pPr>
        <w:pStyle w:val="40"/>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45EF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14:paraId="0198C9EF">
            <w:pPr>
              <w:pStyle w:val="35"/>
              <w:widowControl w:val="0"/>
              <w:bidi w:val="0"/>
              <w:jc w:val="both"/>
              <w:rPr>
                <w:rFonts w:hint="eastAsia"/>
                <w:sz w:val="10"/>
                <w:vertAlign w:val="baseline"/>
                <w:lang w:val="en-US" w:eastAsia="zh-CN"/>
              </w:rPr>
            </w:pPr>
          </w:p>
        </w:tc>
      </w:tr>
    </w:tbl>
    <w:p w14:paraId="21878ECD">
      <w:pPr>
        <w:pStyle w:val="42"/>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芦笋种植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井冈山芦笋种植技术规程</w:t>
      </w:r>
      <w:r>
        <w:rPr>
          <w:rFonts w:hint="eastAsia" w:ascii="黑体" w:hAnsi="Times New Roman" w:eastAsia="黑体" w:cs="Times New Roman"/>
          <w:sz w:val="52"/>
          <w:lang w:val="en-US" w:eastAsia="zh-CN"/>
        </w:rPr>
        <w:fldChar w:fldCharType="end"/>
      </w:r>
      <w:bookmarkEnd w:id="3"/>
    </w:p>
    <w:p w14:paraId="49208873">
      <w:pPr>
        <w:pStyle w:val="43"/>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Asparagus Planting in Jinggangshan"/>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Technical Regulations for Asparagus Planting in Jinggangshan</w:t>
      </w:r>
      <w:r>
        <w:rPr>
          <w:rFonts w:hint="eastAsia" w:ascii="Times New Roman" w:hAnsi="Times New Roman" w:eastAsia="黑体" w:cs="Times New Roman"/>
          <w:sz w:val="28"/>
          <w:lang w:val="en-US" w:eastAsia="zh-CN"/>
        </w:rPr>
        <w:fldChar w:fldCharType="end"/>
      </w:r>
      <w:bookmarkEnd w:id="4"/>
    </w:p>
    <w:p w14:paraId="7F687191">
      <w:pPr>
        <w:pStyle w:val="44"/>
        <w:bidi w:val="0"/>
        <w:rPr>
          <w:rFonts w:hint="eastAsia"/>
          <w:lang w:val="en-US" w:eastAsia="zh-CN"/>
        </w:rPr>
      </w:pPr>
      <w:r>
        <w:rPr>
          <w:rFonts w:hint="eastAsia" w:cs="Times New Roman"/>
          <w:sz w:val="28"/>
          <w:lang w:val="en-US" w:eastAsia="zh-CN"/>
        </w:rPr>
        <w:t xml:space="preserve"> </w:t>
      </w:r>
    </w:p>
    <w:p w14:paraId="77849CB8">
      <w:pPr>
        <w:pStyle w:val="45"/>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77DD3056">
      <w:pPr>
        <w:pStyle w:val="46"/>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30EBBC7">
      <w:pPr>
        <w:pStyle w:val="47"/>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B4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490BC54A">
            <w:pPr>
              <w:pStyle w:val="39"/>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D4E4927">
            <w:pPr>
              <w:pStyle w:val="39"/>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56C9BB39">
      <w:pPr>
        <w:pStyle w:val="49"/>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1"/>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B8E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0BED673">
            <w:pPr>
              <w:pStyle w:val="53"/>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7BCD37EA">
            <w:pPr>
              <w:pStyle w:val="53"/>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0F0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2506011">
            <w:pPr>
              <w:pStyle w:val="53"/>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16EA5229">
            <w:pPr>
              <w:pStyle w:val="53"/>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88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01842023">
                  <w:pPr>
                    <w:pStyle w:val="53"/>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5E5C21">
            <w:pPr>
              <w:pStyle w:val="53"/>
              <w:framePr w:w="9639"/>
              <w:bidi w:val="0"/>
              <w:jc w:val="both"/>
              <w:rPr>
                <w:rFonts w:hint="eastAsia"/>
                <w:vertAlign w:val="baseline"/>
                <w:lang w:val="en-US" w:eastAsia="zh-CN"/>
              </w:rPr>
            </w:pPr>
          </w:p>
        </w:tc>
      </w:tr>
    </w:tbl>
    <w:p w14:paraId="4B0BF0FF">
      <w:pPr>
        <w:pStyle w:val="53"/>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26E06813">
      <w:pPr>
        <w:pStyle w:val="54"/>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0B10FBB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_Toc9820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_Toc9820 \h </w:instrText>
      </w:r>
      <w:r>
        <w:fldChar w:fldCharType="separate"/>
      </w:r>
      <w:r>
        <w:t>II</w:t>
      </w:r>
      <w:r>
        <w:fldChar w:fldCharType="end"/>
      </w:r>
      <w:r>
        <w:rPr>
          <w:rFonts w:hint="eastAsia" w:ascii="宋体" w:hAnsi="宋体" w:eastAsia="宋体" w:cs="宋体"/>
          <w:spacing w:val="0"/>
          <w:lang w:val="en-US" w:eastAsia="zh-CN"/>
        </w:rPr>
        <w:fldChar w:fldCharType="end"/>
      </w:r>
    </w:p>
    <w:p w14:paraId="1F740538">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_Toc15110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_Toc15110 \h </w:instrText>
      </w:r>
      <w:r>
        <w:fldChar w:fldCharType="separate"/>
      </w:r>
      <w:r>
        <w:t>1</w:t>
      </w:r>
      <w:r>
        <w:fldChar w:fldCharType="end"/>
      </w:r>
      <w:r>
        <w:rPr>
          <w:rFonts w:hint="eastAsia" w:ascii="宋体" w:hAnsi="宋体" w:eastAsia="宋体" w:cs="宋体"/>
          <w:spacing w:val="0"/>
          <w:lang w:val="en-US" w:eastAsia="zh-CN"/>
        </w:rPr>
        <w:fldChar w:fldCharType="end"/>
      </w:r>
    </w:p>
    <w:p w14:paraId="72D12979">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_Toc13256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_Toc13256 \h </w:instrText>
      </w:r>
      <w:r>
        <w:fldChar w:fldCharType="separate"/>
      </w:r>
      <w:r>
        <w:t>1</w:t>
      </w:r>
      <w:r>
        <w:fldChar w:fldCharType="end"/>
      </w:r>
      <w:r>
        <w:rPr>
          <w:rFonts w:hint="eastAsia" w:ascii="宋体" w:hAnsi="宋体" w:eastAsia="宋体" w:cs="宋体"/>
          <w:spacing w:val="0"/>
          <w:lang w:val="en-US" w:eastAsia="zh-CN"/>
        </w:rPr>
        <w:fldChar w:fldCharType="end"/>
      </w:r>
    </w:p>
    <w:p w14:paraId="3CAFA6A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_Toc20213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_Toc20213 \h </w:instrText>
      </w:r>
      <w:r>
        <w:fldChar w:fldCharType="separate"/>
      </w:r>
      <w:r>
        <w:t>1</w:t>
      </w:r>
      <w:r>
        <w:fldChar w:fldCharType="end"/>
      </w:r>
      <w:r>
        <w:rPr>
          <w:rFonts w:hint="eastAsia" w:ascii="宋体" w:hAnsi="宋体" w:eastAsia="宋体" w:cs="宋体"/>
          <w:spacing w:val="0"/>
          <w:lang w:val="en-US" w:eastAsia="zh-CN"/>
        </w:rPr>
        <w:fldChar w:fldCharType="end"/>
      </w:r>
    </w:p>
    <w:p w14:paraId="42BB9C81">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_Toc12291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default"/>
        </w:rPr>
        <w:t>产地环境</w:t>
      </w:r>
      <w:r>
        <w:tab/>
      </w:r>
      <w:r>
        <w:fldChar w:fldCharType="begin"/>
      </w:r>
      <w:r>
        <w:instrText xml:space="preserve"> PAGEREF _Toc12291 \h </w:instrText>
      </w:r>
      <w:r>
        <w:fldChar w:fldCharType="separate"/>
      </w:r>
      <w:r>
        <w:t>1</w:t>
      </w:r>
      <w:r>
        <w:fldChar w:fldCharType="end"/>
      </w:r>
      <w:r>
        <w:rPr>
          <w:rFonts w:hint="eastAsia" w:ascii="宋体" w:hAnsi="宋体" w:eastAsia="宋体" w:cs="宋体"/>
          <w:spacing w:val="0"/>
          <w:lang w:val="en-US" w:eastAsia="zh-CN"/>
        </w:rPr>
        <w:fldChar w:fldCharType="end"/>
      </w:r>
    </w:p>
    <w:p w14:paraId="38A79B08">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_Toc27724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default"/>
        </w:rPr>
        <w:t>品种选择</w:t>
      </w:r>
      <w:r>
        <w:tab/>
      </w:r>
      <w:r>
        <w:fldChar w:fldCharType="begin"/>
      </w:r>
      <w:r>
        <w:instrText xml:space="preserve"> PAGEREF _Toc27724 \h </w:instrText>
      </w:r>
      <w:r>
        <w:fldChar w:fldCharType="separate"/>
      </w:r>
      <w:r>
        <w:t>1</w:t>
      </w:r>
      <w:r>
        <w:fldChar w:fldCharType="end"/>
      </w:r>
      <w:r>
        <w:rPr>
          <w:rFonts w:hint="eastAsia" w:ascii="宋体" w:hAnsi="宋体" w:eastAsia="宋体" w:cs="宋体"/>
          <w:spacing w:val="0"/>
          <w:lang w:val="en-US" w:eastAsia="zh-CN"/>
        </w:rPr>
        <w:fldChar w:fldCharType="end"/>
      </w:r>
    </w:p>
    <w:p w14:paraId="2B87DC00">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_Toc29573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default"/>
        </w:rPr>
        <w:t>育苗</w:t>
      </w:r>
      <w:r>
        <w:tab/>
      </w:r>
      <w:r>
        <w:fldChar w:fldCharType="begin"/>
      </w:r>
      <w:r>
        <w:instrText xml:space="preserve"> PAGEREF _Toc29573 \h </w:instrText>
      </w:r>
      <w:r>
        <w:fldChar w:fldCharType="separate"/>
      </w:r>
      <w:r>
        <w:t>2</w:t>
      </w:r>
      <w:r>
        <w:fldChar w:fldCharType="end"/>
      </w:r>
      <w:r>
        <w:rPr>
          <w:rFonts w:hint="eastAsia" w:ascii="宋体" w:hAnsi="宋体" w:eastAsia="宋体" w:cs="宋体"/>
          <w:spacing w:val="0"/>
          <w:lang w:val="en-US" w:eastAsia="zh-CN"/>
        </w:rPr>
        <w:fldChar w:fldCharType="end"/>
      </w:r>
    </w:p>
    <w:p w14:paraId="4E28DF22">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_Toc23118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定植</w:t>
      </w:r>
      <w:r>
        <w:tab/>
      </w:r>
      <w:r>
        <w:fldChar w:fldCharType="begin"/>
      </w:r>
      <w:r>
        <w:instrText xml:space="preserve"> PAGEREF _Toc23118 \h </w:instrText>
      </w:r>
      <w:r>
        <w:fldChar w:fldCharType="separate"/>
      </w:r>
      <w:r>
        <w:t>2</w:t>
      </w:r>
      <w:r>
        <w:fldChar w:fldCharType="end"/>
      </w:r>
      <w:r>
        <w:rPr>
          <w:rFonts w:hint="eastAsia" w:ascii="宋体" w:hAnsi="宋体" w:eastAsia="宋体" w:cs="宋体"/>
          <w:spacing w:val="0"/>
          <w:lang w:val="en-US" w:eastAsia="zh-CN"/>
        </w:rPr>
        <w:fldChar w:fldCharType="end"/>
      </w:r>
    </w:p>
    <w:p w14:paraId="2DCED57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_Toc24203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default"/>
        </w:rPr>
        <w:t>田间管理</w:t>
      </w:r>
      <w:r>
        <w:tab/>
      </w:r>
      <w:r>
        <w:fldChar w:fldCharType="begin"/>
      </w:r>
      <w:r>
        <w:instrText xml:space="preserve"> PAGEREF _Toc24203 \h </w:instrText>
      </w:r>
      <w:r>
        <w:fldChar w:fldCharType="separate"/>
      </w:r>
      <w:r>
        <w:t>2</w:t>
      </w:r>
      <w:r>
        <w:fldChar w:fldCharType="end"/>
      </w:r>
      <w:r>
        <w:rPr>
          <w:rFonts w:hint="eastAsia" w:ascii="宋体" w:hAnsi="宋体" w:eastAsia="宋体" w:cs="宋体"/>
          <w:spacing w:val="0"/>
          <w:lang w:val="en-US" w:eastAsia="zh-CN"/>
        </w:rPr>
        <w:fldChar w:fldCharType="end"/>
      </w:r>
    </w:p>
    <w:p w14:paraId="49814C1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_Toc24123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9 </w:t>
      </w:r>
      <w:r>
        <w:rPr>
          <w:rFonts w:hint="default"/>
        </w:rPr>
        <w:t>病虫害防治</w:t>
      </w:r>
      <w:r>
        <w:tab/>
      </w:r>
      <w:r>
        <w:fldChar w:fldCharType="begin"/>
      </w:r>
      <w:r>
        <w:instrText xml:space="preserve"> PAGEREF _Toc24123 \h </w:instrText>
      </w:r>
      <w:r>
        <w:fldChar w:fldCharType="separate"/>
      </w:r>
      <w:r>
        <w:t>3</w:t>
      </w:r>
      <w:r>
        <w:fldChar w:fldCharType="end"/>
      </w:r>
      <w:r>
        <w:rPr>
          <w:rFonts w:hint="eastAsia" w:ascii="宋体" w:hAnsi="宋体" w:eastAsia="宋体" w:cs="宋体"/>
          <w:spacing w:val="0"/>
          <w:lang w:val="en-US" w:eastAsia="zh-CN"/>
        </w:rPr>
        <w:fldChar w:fldCharType="end"/>
      </w:r>
    </w:p>
    <w:p w14:paraId="402E07E7">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_Toc22368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10 </w:t>
      </w:r>
      <w:r>
        <w:rPr>
          <w:rFonts w:hint="default"/>
        </w:rPr>
        <w:t>采收</w:t>
      </w:r>
      <w:r>
        <w:rPr>
          <w:rFonts w:hint="eastAsia"/>
          <w:lang w:val="en-US" w:eastAsia="zh-CN"/>
        </w:rPr>
        <w:t>与产后管理</w:t>
      </w:r>
      <w:r>
        <w:tab/>
      </w:r>
      <w:r>
        <w:fldChar w:fldCharType="begin"/>
      </w:r>
      <w:r>
        <w:instrText xml:space="preserve"> PAGEREF _Toc22368 \h </w:instrText>
      </w:r>
      <w:r>
        <w:fldChar w:fldCharType="separate"/>
      </w:r>
      <w:r>
        <w:t>3</w:t>
      </w:r>
      <w:r>
        <w:fldChar w:fldCharType="end"/>
      </w:r>
      <w:r>
        <w:rPr>
          <w:rFonts w:hint="eastAsia" w:ascii="宋体" w:hAnsi="宋体" w:eastAsia="宋体" w:cs="宋体"/>
          <w:spacing w:val="0"/>
          <w:lang w:val="en-US" w:eastAsia="zh-CN"/>
        </w:rPr>
        <w:fldChar w:fldCharType="end"/>
      </w:r>
    </w:p>
    <w:p w14:paraId="0FE2ABF7">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_Toc27391 </w:instrText>
      </w:r>
      <w:r>
        <w:rPr>
          <w:rFonts w:hint="eastAsia" w:ascii="宋体" w:hAnsi="宋体" w:eastAsia="宋体" w:cs="宋体"/>
          <w:spacing w:val="0"/>
          <w:lang w:val="en-US" w:eastAsia="zh-CN"/>
        </w:rPr>
        <w:fldChar w:fldCharType="separate"/>
      </w:r>
      <w:r>
        <w:rPr>
          <w:rFonts w:hint="default"/>
          <w:spacing w:val="102"/>
          <w:lang w:val="en-US" w:eastAsia="zh-CN"/>
        </w:rPr>
        <w:t>附录A</w:t>
      </w:r>
      <w:r>
        <w:rPr>
          <w:rFonts w:hint="eastAsia"/>
          <w:lang w:val="en-US" w:eastAsia="zh-CN"/>
        </w:rPr>
        <w:t>（规范性）井冈山芦笋种植区域范围图</w:t>
      </w:r>
      <w:r>
        <w:tab/>
      </w:r>
      <w:r>
        <w:fldChar w:fldCharType="begin"/>
      </w:r>
      <w:r>
        <w:instrText xml:space="preserve"> PAGEREF _Toc27391 \h </w:instrText>
      </w:r>
      <w:r>
        <w:fldChar w:fldCharType="separate"/>
      </w:r>
      <w:r>
        <w:t>5</w:t>
      </w:r>
      <w:r>
        <w:fldChar w:fldCharType="end"/>
      </w:r>
      <w:r>
        <w:rPr>
          <w:rFonts w:hint="eastAsia" w:ascii="宋体" w:hAnsi="宋体" w:eastAsia="宋体" w:cs="宋体"/>
          <w:spacing w:val="0"/>
          <w:lang w:val="en-US" w:eastAsia="zh-CN"/>
        </w:rPr>
        <w:fldChar w:fldCharType="end"/>
      </w:r>
    </w:p>
    <w:p w14:paraId="326C897F">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1560A282">
      <w:pPr>
        <w:pStyle w:val="54"/>
        <w:bidi w:val="0"/>
        <w:rPr>
          <w:rFonts w:hint="eastAsia"/>
          <w:lang w:val="en-US" w:eastAsia="zh-CN"/>
        </w:rPr>
      </w:pPr>
      <w:r>
        <w:rPr>
          <w:rFonts w:hint="eastAsia"/>
          <w:lang w:val="en-US" w:eastAsia="zh-CN"/>
        </w:rPr>
        <w:br w:type="page"/>
      </w:r>
    </w:p>
    <w:p w14:paraId="1DF1A020">
      <w:pPr>
        <w:pStyle w:val="55"/>
        <w:bidi w:val="0"/>
        <w:rPr>
          <w:rFonts w:hint="eastAsia"/>
          <w:lang w:val="en-US" w:eastAsia="zh-CN"/>
        </w:rPr>
      </w:pPr>
      <w:bookmarkStart w:id="19" w:name="_Toc9820"/>
      <w:r>
        <w:rPr>
          <w:rFonts w:hint="eastAsia"/>
          <w:spacing w:val="317"/>
          <w:lang w:val="en-US" w:eastAsia="zh-CN"/>
        </w:rPr>
        <w:t>前</w:t>
      </w:r>
      <w:bookmarkStart w:id="20" w:name="BKQY"/>
      <w:r>
        <w:rPr>
          <w:rFonts w:hint="eastAsia"/>
          <w:lang w:val="en-US" w:eastAsia="zh-CN"/>
        </w:rPr>
        <w:t>言</w:t>
      </w:r>
      <w:bookmarkEnd w:id="19"/>
    </w:p>
    <w:p w14:paraId="147686C0">
      <w:pPr>
        <w:pStyle w:val="25"/>
        <w:bidi w:val="0"/>
        <w:rPr>
          <w:rFonts w:hint="eastAsia"/>
          <w:lang w:val="en-US" w:eastAsia="zh-CN"/>
        </w:rPr>
      </w:pPr>
      <w:r>
        <w:rPr>
          <w:rFonts w:hint="eastAsia"/>
          <w:lang w:val="en-US" w:eastAsia="zh-CN"/>
        </w:rPr>
        <w:t>本文件按照GB/T 1.1—2020《标准化工作导则  第1部分：标准化文件的结构和起草规则》的规定起草。</w:t>
      </w:r>
    </w:p>
    <w:p w14:paraId="52FD66E1">
      <w:pPr>
        <w:pStyle w:val="25"/>
        <w:bidi w:val="0"/>
        <w:rPr>
          <w:rFonts w:hint="eastAsia"/>
          <w:lang w:val="en-US" w:eastAsia="zh-CN"/>
        </w:rPr>
      </w:pPr>
      <w:r>
        <w:rPr>
          <w:rFonts w:hint="eastAsia"/>
          <w:lang w:val="en-US" w:eastAsia="zh-CN"/>
        </w:rPr>
        <w:t>请注意本文件的某些内容可能涉及专利。本文件的发布机构不承担识别专利的责任。</w:t>
      </w:r>
    </w:p>
    <w:p w14:paraId="6D38B6E7">
      <w:pPr>
        <w:pStyle w:val="25"/>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453080A">
      <w:pPr>
        <w:pStyle w:val="25"/>
        <w:bidi w:val="0"/>
        <w:rPr>
          <w:rFonts w:hint="eastAsia" w:eastAsia="宋体"/>
          <w:lang w:val="en-US" w:eastAsia="zh-CN"/>
        </w:rPr>
      </w:pPr>
      <w:r>
        <w:rPr>
          <w:rFonts w:hint="eastAsia"/>
          <w:lang w:val="en-US" w:eastAsia="zh-CN"/>
        </w:rPr>
        <w:t>本文件起草单位：</w:t>
      </w:r>
    </w:p>
    <w:p w14:paraId="0FE34F4B">
      <w:pPr>
        <w:pStyle w:val="25"/>
        <w:bidi w:val="0"/>
        <w:rPr>
          <w:rFonts w:hint="eastAsia"/>
          <w:lang w:val="en-US" w:eastAsia="zh-CN"/>
        </w:rPr>
      </w:pPr>
      <w:r>
        <w:rPr>
          <w:rFonts w:hint="eastAsia"/>
          <w:lang w:val="en-US" w:eastAsia="zh-CN"/>
        </w:rPr>
        <w:t>本文件主要起草人：</w:t>
      </w:r>
    </w:p>
    <w:p w14:paraId="3195C7A8">
      <w:pPr>
        <w:pStyle w:val="25"/>
        <w:bidi w:val="0"/>
        <w:rPr>
          <w:rFonts w:hint="eastAsia"/>
          <w:lang w:val="en-US" w:eastAsia="zh-CN"/>
        </w:rPr>
      </w:pPr>
    </w:p>
    <w:bookmarkEnd w:id="20"/>
    <w:p w14:paraId="02A27F39">
      <w:pPr>
        <w:rPr>
          <w:rFonts w:hint="eastAsia"/>
          <w:lang w:val="en-US" w:eastAsia="zh-CN"/>
        </w:rPr>
      </w:pPr>
    </w:p>
    <w:p w14:paraId="3FA7CBFC">
      <w:pPr>
        <w:rPr>
          <w:rFonts w:hint="eastAsia"/>
          <w:lang w:val="en-US" w:eastAsia="zh-CN"/>
        </w:rPr>
      </w:pPr>
    </w:p>
    <w:p w14:paraId="26C1DC75">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20"/>
          <w:rFonts w:hint="eastAsia"/>
          <w:lang w:val="en-US" w:eastAsia="zh-CN"/>
        </w:rPr>
        <w:tag w:val="StandardName"/>
        <w:id w:val="147457484"/>
        <w:lock w:val="sdtLocked"/>
        <w:placeholder>
          <w:docPart w:val="{dc198fea-d184-4aa6-8509-aaf3d889285d}"/>
        </w:placeholder>
      </w:sdtPr>
      <w:sdtEndPr>
        <w:rPr>
          <w:rStyle w:val="120"/>
          <w:rFonts w:hint="eastAsia"/>
          <w:lang w:val="en-US" w:eastAsia="zh-CN"/>
        </w:rPr>
      </w:sdtEndPr>
      <w:sdtContent>
        <w:p w14:paraId="0398B871">
          <w:pPr>
            <w:pStyle w:val="56"/>
            <w:bidi w:val="0"/>
            <w:rPr>
              <w:rStyle w:val="120"/>
              <w:rFonts w:hint="eastAsia"/>
              <w:lang w:val="en-US" w:eastAsia="zh-CN"/>
            </w:rPr>
          </w:pPr>
          <w:bookmarkStart w:id="21" w:name="StandardName"/>
          <w:r>
            <w:rPr>
              <w:rStyle w:val="120"/>
              <w:rFonts w:hint="eastAsia"/>
              <w:lang w:val="en-US" w:eastAsia="zh-CN"/>
            </w:rPr>
            <w:t>井冈山芦笋种植技术规程</w:t>
          </w:r>
          <w:bookmarkEnd w:id="21"/>
        </w:p>
      </w:sdtContent>
    </w:sdt>
    <w:p w14:paraId="651D58E5">
      <w:pPr>
        <w:pStyle w:val="72"/>
        <w:bidi w:val="0"/>
        <w:rPr>
          <w:rStyle w:val="120"/>
          <w:rFonts w:hint="eastAsia"/>
          <w:lang w:val="en-US" w:eastAsia="zh-CN"/>
        </w:rPr>
      </w:pPr>
      <w:bookmarkStart w:id="22" w:name="_Toc15110"/>
      <w:r>
        <w:rPr>
          <w:rFonts w:hint="eastAsia"/>
          <w:lang w:val="en-US" w:eastAsia="zh-CN"/>
        </w:rPr>
        <w:t>范围</w:t>
      </w:r>
      <w:bookmarkEnd w:id="22"/>
    </w:p>
    <w:p w14:paraId="34D55795">
      <w:pPr>
        <w:pStyle w:val="25"/>
        <w:rPr>
          <w:rFonts w:hint="default"/>
          <w:lang w:val="en-US" w:eastAsia="zh-CN"/>
        </w:rPr>
      </w:pPr>
      <w:r>
        <w:rPr>
          <w:rFonts w:hint="eastAsia"/>
          <w:lang w:val="en-US" w:eastAsia="zh-CN"/>
        </w:rPr>
        <w:t>本文件规定了井冈山芦笋的术语和定义、产地环境、菌种选育与生产、栽培管理、病虫害防治、采收与产后管理。</w:t>
      </w:r>
    </w:p>
    <w:p w14:paraId="4FF920AA">
      <w:pPr>
        <w:pStyle w:val="25"/>
        <w:rPr>
          <w:rFonts w:hint="eastAsia"/>
          <w:lang w:val="en-US" w:eastAsia="zh-CN"/>
        </w:rPr>
      </w:pPr>
      <w:r>
        <w:rPr>
          <w:rFonts w:hint="eastAsia"/>
          <w:lang w:val="en-US" w:eastAsia="zh-CN"/>
        </w:rPr>
        <w:t>本文件适用于吉安市行政区域范围内芦笋的种植。</w:t>
      </w:r>
    </w:p>
    <w:p w14:paraId="581296F6">
      <w:pPr>
        <w:pStyle w:val="72"/>
        <w:bidi w:val="0"/>
        <w:rPr>
          <w:rFonts w:hint="eastAsia"/>
          <w:lang w:val="en-US" w:eastAsia="zh-CN"/>
        </w:rPr>
      </w:pPr>
      <w:bookmarkStart w:id="23" w:name="_Toc13256"/>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8DD537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3454EA">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47C66C2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0DB6B74E">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03D875AD">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5084 </w:t>
      </w:r>
      <w:r>
        <w:rPr>
          <w:rFonts w:hint="eastAsia" w:cs="宋体"/>
          <w:sz w:val="21"/>
          <w:lang w:val="en-US" w:eastAsia="zh-CN"/>
        </w:rPr>
        <w:t xml:space="preserve"> </w:t>
      </w:r>
      <w:r>
        <w:rPr>
          <w:rFonts w:hint="eastAsia" w:ascii="宋体" w:hAnsi="Times New Roman" w:eastAsia="宋体" w:cs="宋体"/>
          <w:sz w:val="21"/>
          <w:lang w:val="en-US" w:eastAsia="zh-CN"/>
        </w:rPr>
        <w:t>农田灌溉水质标准</w:t>
      </w:r>
    </w:p>
    <w:p w14:paraId="504C394D">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20F30E72">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8321</w:t>
      </w:r>
      <w:r>
        <w:rPr>
          <w:rFonts w:hint="eastAsia" w:cs="宋体"/>
          <w:sz w:val="21"/>
          <w:lang w:val="en-US" w:eastAsia="zh-CN"/>
        </w:rPr>
        <w:t xml:space="preserve">  </w:t>
      </w:r>
      <w:r>
        <w:rPr>
          <w:rFonts w:hint="eastAsia" w:ascii="宋体" w:hAnsi="Times New Roman" w:eastAsia="宋体" w:cs="宋体"/>
          <w:sz w:val="21"/>
          <w:lang w:val="en-US" w:eastAsia="zh-CN"/>
        </w:rPr>
        <w:t>农药合理使用准则</w:t>
      </w:r>
    </w:p>
    <w:p w14:paraId="08735AF0">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p>
    <w:p w14:paraId="53054196">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NY/T 391 </w:t>
      </w:r>
      <w:r>
        <w:rPr>
          <w:rFonts w:hint="eastAsia" w:cs="宋体"/>
          <w:sz w:val="21"/>
          <w:lang w:val="en-US" w:eastAsia="zh-CN"/>
        </w:rPr>
        <w:t xml:space="preserve"> </w:t>
      </w:r>
      <w:r>
        <w:rPr>
          <w:rFonts w:hint="eastAsia" w:ascii="宋体" w:hAnsi="Times New Roman" w:eastAsia="宋体" w:cs="宋体"/>
          <w:sz w:val="21"/>
          <w:lang w:val="en-US" w:eastAsia="zh-CN"/>
        </w:rPr>
        <w:t xml:space="preserve">绿色食品 产地环境质量 </w:t>
      </w:r>
    </w:p>
    <w:p w14:paraId="57927228">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393  绿色食品  农药使用准则</w:t>
      </w:r>
    </w:p>
    <w:p w14:paraId="4EA66FAC">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394  绿色食品  肥料使用准则</w:t>
      </w:r>
    </w:p>
    <w:p w14:paraId="01618707">
      <w:pPr>
        <w:pStyle w:val="25"/>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包装通用准则</w:t>
      </w:r>
    </w:p>
    <w:p w14:paraId="2FC35981">
      <w:pPr>
        <w:pStyle w:val="25"/>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11DA2ECA">
      <w:pPr>
        <w:pStyle w:val="72"/>
        <w:bidi w:val="0"/>
        <w:rPr>
          <w:rFonts w:hint="eastAsia" w:ascii="宋体" w:hAnsi="Times New Roman" w:eastAsia="宋体" w:cs="宋体"/>
          <w:lang w:val="en-US" w:eastAsia="zh-CN"/>
        </w:rPr>
      </w:pPr>
      <w:bookmarkStart w:id="24" w:name="_Toc20213"/>
      <w:r>
        <w:rPr>
          <w:rFonts w:hint="eastAsia"/>
          <w:lang w:val="en-US" w:eastAsia="zh-CN"/>
        </w:rPr>
        <w:t>术语和定义</w:t>
      </w:r>
      <w:bookmarkEnd w:id="24"/>
    </w:p>
    <w:sdt>
      <w:sdtPr>
        <w:rPr>
          <w:rFonts w:hint="default"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5B37831">
          <w:pPr>
            <w:pStyle w:val="25"/>
            <w:rPr>
              <w:rFonts w:hint="eastAsia"/>
              <w:lang w:val="en-US" w:eastAsia="zh-CN"/>
            </w:rPr>
          </w:pPr>
          <w:r>
            <w:rPr>
              <w:rFonts w:hint="default" w:ascii="宋体" w:hAnsi="Times New Roman" w:eastAsia="宋体" w:cs="宋体"/>
              <w:sz w:val="21"/>
              <w:lang w:val="en-US" w:eastAsia="zh-CN"/>
            </w:rPr>
            <w:t>下列术语和定义适用于本文件。</w:t>
          </w:r>
        </w:p>
      </w:sdtContent>
    </w:sdt>
    <w:p w14:paraId="679ADA87">
      <w:pPr>
        <w:pStyle w:val="83"/>
        <w:bidi w:val="0"/>
        <w:spacing w:after="0" w:afterLines="0"/>
        <w:ind w:left="420" w:hanging="420" w:hangingChars="200"/>
        <w:rPr>
          <w:rFonts w:hint="eastAsia" w:ascii="黑体" w:hAnsi="黑体" w:eastAsia="黑体" w:cs="黑体"/>
          <w:lang w:val="en-US" w:eastAsia="zh-CN"/>
        </w:rPr>
      </w:pPr>
    </w:p>
    <w:p w14:paraId="6F6DAC23">
      <w:pPr>
        <w:pStyle w:val="83"/>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井冈山芦笋 Jinggangshan Asparagus</w:t>
      </w:r>
    </w:p>
    <w:p w14:paraId="06396B40">
      <w:pPr>
        <w:pStyle w:val="25"/>
        <w:rPr>
          <w:rFonts w:hint="eastAsia"/>
          <w:lang w:val="en-US" w:eastAsia="zh-CN"/>
        </w:rPr>
      </w:pPr>
      <w:r>
        <w:rPr>
          <w:rFonts w:hint="eastAsia"/>
          <w:lang w:val="en-US" w:eastAsia="zh-CN"/>
        </w:rPr>
        <w:t>吉安市行政区域范围内生产的，符合本文件要求，并经“井冈山®”商标持有人授权的芦笋。</w:t>
      </w:r>
    </w:p>
    <w:p w14:paraId="095699F5">
      <w:pPr>
        <w:pStyle w:val="25"/>
        <w:bidi w:val="0"/>
      </w:pPr>
      <w:r>
        <w:rPr>
          <w:rFonts w:hint="eastAsia" w:ascii="宋体" w:hAnsi="Times New Roman" w:eastAsia="宋体" w:cs="宋体"/>
          <w:sz w:val="21"/>
          <w:lang w:val="en-US" w:eastAsia="zh-CN"/>
        </w:rPr>
        <w:t>井冈山</w:t>
      </w:r>
      <w:r>
        <w:rPr>
          <w:rFonts w:hint="eastAsia" w:cs="宋体"/>
          <w:sz w:val="21"/>
          <w:lang w:val="en-US" w:eastAsia="zh-CN"/>
        </w:rPr>
        <w:t>芦笋种植</w:t>
      </w:r>
      <w:r>
        <w:rPr>
          <w:rFonts w:hint="eastAsia" w:ascii="宋体" w:hAnsi="Times New Roman" w:eastAsia="宋体" w:cs="宋体"/>
          <w:sz w:val="21"/>
          <w:lang w:val="en-US" w:eastAsia="zh-CN"/>
        </w:rPr>
        <w:t>区域范围见附录A。</w:t>
      </w:r>
    </w:p>
    <w:p w14:paraId="79D601A6">
      <w:pPr>
        <w:pStyle w:val="72"/>
        <w:bidi w:val="0"/>
        <w:rPr>
          <w:rFonts w:hint="default"/>
        </w:rPr>
      </w:pPr>
      <w:bookmarkStart w:id="25" w:name="_Toc12291"/>
      <w:r>
        <w:rPr>
          <w:rFonts w:hint="default"/>
        </w:rPr>
        <w:t>产地环境</w:t>
      </w:r>
      <w:bookmarkEnd w:id="25"/>
    </w:p>
    <w:p w14:paraId="66023C62">
      <w:pPr>
        <w:pStyle w:val="25"/>
        <w:ind w:left="0" w:leftChars="0" w:firstLine="420" w:firstLineChars="200"/>
        <w:rPr>
          <w:rFonts w:hint="default"/>
        </w:rPr>
      </w:pPr>
      <w:r>
        <w:rPr>
          <w:rFonts w:hint="default"/>
          <w:lang w:val="en-US" w:eastAsia="zh-CN"/>
        </w:rPr>
        <w:t>应选择地势平坦、排灌方便、土层深厚、土质疏松、富含有机质、保水、保肥性好的壤土或沙壤土，pH 值为 6.0～6.7 的土壤较为适宜，产地环境条件应符合 NY/T</w:t>
      </w:r>
      <w:r>
        <w:rPr>
          <w:rFonts w:hint="eastAsia"/>
          <w:lang w:val="en-US" w:eastAsia="zh-CN"/>
        </w:rPr>
        <w:t xml:space="preserve"> 391</w:t>
      </w:r>
      <w:r>
        <w:rPr>
          <w:rFonts w:hint="default"/>
          <w:lang w:val="en-US" w:eastAsia="zh-CN"/>
        </w:rPr>
        <w:t>的规定，且周边无污染源，空气清新，水质良好。</w:t>
      </w:r>
    </w:p>
    <w:p w14:paraId="16561463">
      <w:pPr>
        <w:pStyle w:val="72"/>
        <w:bidi w:val="0"/>
        <w:rPr>
          <w:rFonts w:hint="default"/>
        </w:rPr>
      </w:pPr>
      <w:bookmarkStart w:id="26" w:name="_Toc27724"/>
      <w:r>
        <w:rPr>
          <w:rFonts w:hint="default"/>
        </w:rPr>
        <w:t>品种选择</w:t>
      </w:r>
      <w:bookmarkEnd w:id="26"/>
    </w:p>
    <w:p w14:paraId="4720BE66">
      <w:pPr>
        <w:pStyle w:val="25"/>
        <w:ind w:left="0" w:leftChars="0" w:firstLine="420" w:firstLineChars="200"/>
        <w:rPr>
          <w:rFonts w:hint="default"/>
        </w:rPr>
      </w:pPr>
      <w:r>
        <w:rPr>
          <w:rFonts w:hint="default"/>
          <w:lang w:val="en-US" w:eastAsia="zh-CN"/>
        </w:rPr>
        <w:t>选用抗病性强、适应性广、优质丰产、商品性好的杂交一代芦笋种子，种子质量应符合相关标准要求，纯度≥95%，净度≥97%，发芽率≥80%，水分≤8%。</w:t>
      </w:r>
    </w:p>
    <w:p w14:paraId="1A889B1B">
      <w:pPr>
        <w:pStyle w:val="72"/>
        <w:bidi w:val="0"/>
        <w:rPr>
          <w:rFonts w:hint="default"/>
        </w:rPr>
      </w:pPr>
      <w:bookmarkStart w:id="27" w:name="_Toc29573"/>
      <w:r>
        <w:rPr>
          <w:rFonts w:hint="default"/>
        </w:rPr>
        <w:t>育苗</w:t>
      </w:r>
      <w:bookmarkEnd w:id="27"/>
    </w:p>
    <w:p w14:paraId="45703FC4">
      <w:pPr>
        <w:pStyle w:val="73"/>
        <w:bidi w:val="0"/>
        <w:rPr>
          <w:rFonts w:hint="default"/>
          <w:lang w:val="en-US" w:eastAsia="zh-CN"/>
        </w:rPr>
      </w:pPr>
      <w:r>
        <w:rPr>
          <w:rFonts w:hint="default"/>
          <w:lang w:val="en-US" w:eastAsia="zh-CN"/>
        </w:rPr>
        <w:t>育苗时间</w:t>
      </w:r>
    </w:p>
    <w:p w14:paraId="16DA4B72">
      <w:pPr>
        <w:pStyle w:val="25"/>
        <w:ind w:left="0" w:leftChars="0" w:firstLine="420" w:firstLineChars="200"/>
        <w:rPr>
          <w:rFonts w:hint="default"/>
        </w:rPr>
      </w:pPr>
      <w:r>
        <w:rPr>
          <w:rFonts w:hint="default"/>
          <w:lang w:val="en-US" w:eastAsia="zh-CN"/>
        </w:rPr>
        <w:t>春播宜在 3 月～4 月份，秋播宜在 8 月份。</w:t>
      </w:r>
    </w:p>
    <w:p w14:paraId="5C23913E">
      <w:pPr>
        <w:pStyle w:val="73"/>
        <w:bidi w:val="0"/>
        <w:rPr>
          <w:rFonts w:hint="default"/>
          <w:lang w:val="en-US" w:eastAsia="zh-CN"/>
        </w:rPr>
      </w:pPr>
      <w:r>
        <w:rPr>
          <w:rFonts w:hint="default"/>
          <w:lang w:val="en-US" w:eastAsia="zh-CN"/>
        </w:rPr>
        <w:t>种子处理</w:t>
      </w:r>
    </w:p>
    <w:p w14:paraId="23ED65A9">
      <w:pPr>
        <w:pStyle w:val="25"/>
        <w:ind w:left="0" w:leftChars="0" w:firstLine="420" w:firstLineChars="200"/>
        <w:rPr>
          <w:rFonts w:hint="default"/>
        </w:rPr>
      </w:pPr>
      <w:r>
        <w:rPr>
          <w:rFonts w:hint="default"/>
          <w:lang w:val="en-US" w:eastAsia="zh-CN"/>
        </w:rPr>
        <w:t>播前对种子进行晒种、漂洗、杀菌、温汤浸种处理，然后保湿放入 25℃的恒温箱进行催芽。期间每天用清水漂洗种子一次，待20%～25% 种子露白时即可播种。</w:t>
      </w:r>
    </w:p>
    <w:p w14:paraId="3E8A1B42">
      <w:pPr>
        <w:pStyle w:val="73"/>
        <w:bidi w:val="0"/>
        <w:rPr>
          <w:rFonts w:hint="default"/>
          <w:lang w:val="en-US" w:eastAsia="zh-CN"/>
        </w:rPr>
      </w:pPr>
      <w:r>
        <w:rPr>
          <w:rFonts w:hint="default"/>
          <w:lang w:val="en-US" w:eastAsia="zh-CN"/>
        </w:rPr>
        <w:t>播种</w:t>
      </w:r>
    </w:p>
    <w:p w14:paraId="34CE04C5">
      <w:pPr>
        <w:pStyle w:val="25"/>
        <w:ind w:left="0" w:leftChars="0" w:firstLine="420" w:firstLineChars="200"/>
        <w:rPr>
          <w:rFonts w:hint="default"/>
        </w:rPr>
      </w:pPr>
      <w:r>
        <w:rPr>
          <w:rFonts w:hint="default"/>
          <w:lang w:val="en-US" w:eastAsia="zh-CN"/>
        </w:rPr>
        <w:t>可采用营养钵育苗或穴盘育苗。每钵或每穴播一粒种子，覆 1.5cm～2cm 厚基质，并覆地膜或遮荫网。</w:t>
      </w:r>
    </w:p>
    <w:p w14:paraId="6C1EAAEB">
      <w:pPr>
        <w:pStyle w:val="73"/>
        <w:bidi w:val="0"/>
        <w:rPr>
          <w:rFonts w:hint="default"/>
          <w:lang w:val="en-US" w:eastAsia="zh-CN"/>
        </w:rPr>
      </w:pPr>
      <w:r>
        <w:rPr>
          <w:rFonts w:hint="default"/>
          <w:lang w:val="en-US" w:eastAsia="zh-CN"/>
        </w:rPr>
        <w:t>苗床管理</w:t>
      </w:r>
    </w:p>
    <w:p w14:paraId="4D55C66F">
      <w:pPr>
        <w:pStyle w:val="25"/>
        <w:ind w:left="0" w:leftChars="0" w:firstLine="420" w:firstLineChars="200"/>
        <w:rPr>
          <w:rFonts w:hint="default"/>
        </w:rPr>
      </w:pPr>
      <w:r>
        <w:rPr>
          <w:rFonts w:hint="default"/>
          <w:lang w:val="en-US" w:eastAsia="zh-CN"/>
        </w:rPr>
        <w:t>白天畦内温度控制在 22℃～28℃，夜晚 15℃～18℃。适时浇水，保持 65%～75% 相对湿度。</w:t>
      </w:r>
    </w:p>
    <w:p w14:paraId="573725E8">
      <w:pPr>
        <w:pStyle w:val="73"/>
        <w:bidi w:val="0"/>
        <w:rPr>
          <w:rFonts w:hint="default"/>
          <w:lang w:val="en-US" w:eastAsia="zh-CN"/>
        </w:rPr>
      </w:pPr>
      <w:r>
        <w:rPr>
          <w:rFonts w:hint="default"/>
          <w:lang w:val="en-US" w:eastAsia="zh-CN"/>
        </w:rPr>
        <w:t>成苗标准</w:t>
      </w:r>
    </w:p>
    <w:p w14:paraId="66110AB4">
      <w:pPr>
        <w:pStyle w:val="25"/>
        <w:ind w:left="0" w:leftChars="0" w:firstLine="420" w:firstLineChars="200"/>
        <w:rPr>
          <w:rFonts w:hint="default"/>
        </w:rPr>
      </w:pPr>
      <w:r>
        <w:rPr>
          <w:rFonts w:hint="default"/>
          <w:lang w:val="en-US" w:eastAsia="zh-CN"/>
        </w:rPr>
        <w:t>苗高 20cm～30cm，有 3 个以上分枝及 5 条以上地下贮藏根。</w:t>
      </w:r>
    </w:p>
    <w:p w14:paraId="3B62E6A2">
      <w:pPr>
        <w:pStyle w:val="72"/>
        <w:bidi w:val="0"/>
        <w:rPr>
          <w:rFonts w:hint="default"/>
        </w:rPr>
      </w:pPr>
      <w:bookmarkStart w:id="28" w:name="_Toc23118"/>
      <w:r>
        <w:rPr>
          <w:rFonts w:hint="default"/>
        </w:rPr>
        <w:t>定植</w:t>
      </w:r>
      <w:bookmarkEnd w:id="28"/>
    </w:p>
    <w:p w14:paraId="065043A0">
      <w:pPr>
        <w:pStyle w:val="73"/>
        <w:bidi w:val="0"/>
        <w:rPr>
          <w:rFonts w:hint="default"/>
          <w:lang w:val="en-US" w:eastAsia="zh-CN"/>
        </w:rPr>
      </w:pPr>
      <w:r>
        <w:rPr>
          <w:rFonts w:hint="default"/>
          <w:lang w:val="en-US" w:eastAsia="zh-CN"/>
        </w:rPr>
        <w:t>定植时间</w:t>
      </w:r>
    </w:p>
    <w:p w14:paraId="67E1A4EE">
      <w:pPr>
        <w:pStyle w:val="25"/>
        <w:ind w:left="0" w:leftChars="0" w:firstLine="420" w:firstLineChars="200"/>
        <w:rPr>
          <w:rFonts w:hint="default"/>
        </w:rPr>
      </w:pPr>
      <w:r>
        <w:rPr>
          <w:rFonts w:hint="default"/>
          <w:lang w:val="en-US" w:eastAsia="zh-CN"/>
        </w:rPr>
        <w:t>春季 3 月中旬至 4 月下旬，秋季 8 月上旬。</w:t>
      </w:r>
    </w:p>
    <w:p w14:paraId="4A3FB477">
      <w:pPr>
        <w:pStyle w:val="73"/>
        <w:bidi w:val="0"/>
        <w:rPr>
          <w:rFonts w:hint="default"/>
          <w:lang w:val="en-US" w:eastAsia="zh-CN"/>
        </w:rPr>
      </w:pPr>
      <w:r>
        <w:rPr>
          <w:rFonts w:hint="default"/>
          <w:lang w:val="en-US" w:eastAsia="zh-CN"/>
        </w:rPr>
        <w:t>定植密度</w:t>
      </w:r>
    </w:p>
    <w:p w14:paraId="15BB62C4">
      <w:pPr>
        <w:pStyle w:val="25"/>
        <w:ind w:left="0" w:leftChars="0" w:firstLine="420" w:firstLineChars="200"/>
        <w:rPr>
          <w:rFonts w:hint="default"/>
        </w:rPr>
      </w:pPr>
      <w:r>
        <w:rPr>
          <w:rFonts w:hint="default"/>
          <w:lang w:val="en-US" w:eastAsia="zh-CN"/>
        </w:rPr>
        <w:t>行距 1.2m～1.3m，株距 20cm～23cm，每 667㎡定植 2200 株～2500 株。</w:t>
      </w:r>
    </w:p>
    <w:p w14:paraId="6A7EDBAB">
      <w:pPr>
        <w:pStyle w:val="73"/>
        <w:bidi w:val="0"/>
        <w:rPr>
          <w:rFonts w:hint="default"/>
          <w:lang w:val="en-US" w:eastAsia="zh-CN"/>
        </w:rPr>
      </w:pPr>
      <w:r>
        <w:rPr>
          <w:rFonts w:hint="default"/>
          <w:lang w:val="en-US" w:eastAsia="zh-CN"/>
        </w:rPr>
        <w:t>定植方法</w:t>
      </w:r>
    </w:p>
    <w:p w14:paraId="7E2757FE">
      <w:pPr>
        <w:pStyle w:val="25"/>
        <w:ind w:left="0" w:leftChars="0" w:firstLine="420" w:firstLineChars="200"/>
        <w:rPr>
          <w:rFonts w:hint="default"/>
        </w:rPr>
      </w:pPr>
      <w:r>
        <w:rPr>
          <w:rFonts w:hint="default"/>
          <w:lang w:val="en-US" w:eastAsia="zh-CN"/>
        </w:rPr>
        <w:t>定植深度为笋苗鳞茎盘低于定植沟表面 13cm～15cm，覆土 4cm～5cm。定植后及时浇足定植水和缓苗水。</w:t>
      </w:r>
    </w:p>
    <w:p w14:paraId="60C166FF">
      <w:pPr>
        <w:pStyle w:val="72"/>
        <w:bidi w:val="0"/>
        <w:rPr>
          <w:rFonts w:hint="default"/>
        </w:rPr>
      </w:pPr>
      <w:bookmarkStart w:id="29" w:name="_Toc24203"/>
      <w:r>
        <w:rPr>
          <w:rFonts w:hint="default"/>
        </w:rPr>
        <w:t>田间管理</w:t>
      </w:r>
      <w:bookmarkEnd w:id="29"/>
    </w:p>
    <w:p w14:paraId="422ACD5A">
      <w:pPr>
        <w:pStyle w:val="73"/>
        <w:bidi w:val="0"/>
        <w:rPr>
          <w:rFonts w:hint="default"/>
          <w:lang w:val="en-US" w:eastAsia="zh-CN"/>
        </w:rPr>
      </w:pPr>
      <w:r>
        <w:rPr>
          <w:rFonts w:hint="default"/>
          <w:lang w:val="en-US" w:eastAsia="zh-CN"/>
        </w:rPr>
        <w:t>水分管理</w:t>
      </w:r>
    </w:p>
    <w:p w14:paraId="57E4ACC0">
      <w:pPr>
        <w:pStyle w:val="25"/>
        <w:ind w:left="0" w:leftChars="0" w:firstLine="420" w:firstLineChars="200"/>
        <w:rPr>
          <w:rFonts w:hint="default"/>
        </w:rPr>
      </w:pPr>
      <w:r>
        <w:rPr>
          <w:rFonts w:hint="default"/>
          <w:lang w:val="en-US" w:eastAsia="zh-CN"/>
        </w:rPr>
        <w:t>缓苗期空气相对湿度为 80%～90%、留茎期和采笋期空气相对湿度为 60%～80%。采用水肥一体化技术浇水施肥，灌溉水应符合 GB 5084 的规定。</w:t>
      </w:r>
    </w:p>
    <w:p w14:paraId="4000E266">
      <w:pPr>
        <w:pStyle w:val="25"/>
        <w:ind w:left="0" w:leftChars="0" w:firstLine="0" w:firstLineChars="0"/>
        <w:rPr>
          <w:rFonts w:hint="default"/>
        </w:rPr>
      </w:pPr>
    </w:p>
    <w:p w14:paraId="7853B4AD">
      <w:pPr>
        <w:pStyle w:val="73"/>
        <w:bidi w:val="0"/>
        <w:rPr>
          <w:rFonts w:hint="default"/>
          <w:lang w:val="en-US" w:eastAsia="zh-CN"/>
        </w:rPr>
      </w:pPr>
      <w:r>
        <w:rPr>
          <w:rFonts w:hint="eastAsia"/>
          <w:lang w:val="en-US" w:eastAsia="zh-CN"/>
        </w:rPr>
        <w:t>投入品</w:t>
      </w:r>
      <w:r>
        <w:rPr>
          <w:rFonts w:hint="default"/>
          <w:lang w:val="en-US" w:eastAsia="zh-CN"/>
        </w:rPr>
        <w:t>管理</w:t>
      </w:r>
    </w:p>
    <w:p w14:paraId="3E4BDA89">
      <w:pPr>
        <w:pStyle w:val="79"/>
        <w:bidi w:val="0"/>
        <w:spacing w:before="0" w:beforeLines="0" w:after="0" w:afterLines="0"/>
        <w:rPr>
          <w:rFonts w:hint="eastAsia"/>
        </w:rPr>
      </w:pPr>
      <w:r>
        <w:rPr>
          <w:rFonts w:hint="eastAsia"/>
        </w:rPr>
        <w:t>投入品使用应遵守</w:t>
      </w:r>
      <w:bookmarkStart w:id="30" w:name="_Hlk111472201"/>
      <w:r>
        <w:rPr>
          <w:rFonts w:hint="eastAsia"/>
        </w:rPr>
        <w:t>NY/T</w:t>
      </w:r>
      <w:bookmarkEnd w:id="30"/>
      <w:r>
        <w:rPr>
          <w:rFonts w:hint="eastAsia"/>
        </w:rPr>
        <w:t xml:space="preserve"> 393、NY/T</w:t>
      </w:r>
      <w:r>
        <w:rPr>
          <w:rFonts w:hint="eastAsia"/>
          <w:lang w:val="en-US" w:eastAsia="zh-CN"/>
        </w:rPr>
        <w:t xml:space="preserve"> </w:t>
      </w:r>
      <w:r>
        <w:rPr>
          <w:rFonts w:hint="eastAsia"/>
        </w:rPr>
        <w:t>394的要求</w:t>
      </w:r>
      <w:r>
        <w:rPr>
          <w:rFonts w:hint="eastAsia"/>
          <w:lang w:eastAsia="zh-CN"/>
        </w:rPr>
        <w:t>，</w:t>
      </w:r>
      <w:r>
        <w:rPr>
          <w:rFonts w:hint="eastAsia"/>
        </w:rPr>
        <w:t>有机产品投入品应符合GB/T 19630的要求。</w:t>
      </w:r>
    </w:p>
    <w:p w14:paraId="00D19BAA">
      <w:pPr>
        <w:pStyle w:val="79"/>
        <w:bidi w:val="0"/>
        <w:spacing w:before="0" w:beforeLines="0" w:after="0" w:afterLines="0"/>
        <w:rPr>
          <w:rFonts w:hint="default"/>
        </w:rPr>
      </w:pPr>
      <w:bookmarkStart w:id="40" w:name="_GoBack"/>
      <w:bookmarkEnd w:id="40"/>
      <w:r>
        <w:rPr>
          <w:rFonts w:hint="default"/>
          <w:lang w:val="en-US" w:eastAsia="zh-CN"/>
        </w:rPr>
        <w:t>定植当年，每亩种植沟内施腐熟有机肥 2000kg 或商品有机肥 500kg、复合肥（15-15-15）20kg、过磷酸钙 50kg、5% 的辛硫磷颗粒剂 5kg。第二年及以后，早春采收前，结合翻耕在行间开沟，亩施复合肥（15-15-15）30kg～40kg，生物有机肥 100kg；秋季停采后，亩施腐熟有机肥 2000kg、复合肥（15-15-15）50kg。</w:t>
      </w:r>
    </w:p>
    <w:p w14:paraId="150AA4D1">
      <w:pPr>
        <w:pStyle w:val="73"/>
        <w:bidi w:val="0"/>
        <w:rPr>
          <w:rFonts w:hint="default"/>
          <w:lang w:val="en-US" w:eastAsia="zh-CN"/>
        </w:rPr>
      </w:pPr>
      <w:r>
        <w:rPr>
          <w:rFonts w:hint="default"/>
          <w:lang w:val="en-US" w:eastAsia="zh-CN"/>
        </w:rPr>
        <w:t>中耕除草培土</w:t>
      </w:r>
    </w:p>
    <w:p w14:paraId="4E1BED36">
      <w:pPr>
        <w:pStyle w:val="25"/>
        <w:ind w:left="0" w:leftChars="0" w:firstLine="420" w:firstLineChars="200"/>
        <w:rPr>
          <w:rFonts w:hint="default"/>
        </w:rPr>
      </w:pPr>
      <w:r>
        <w:rPr>
          <w:rFonts w:hint="default"/>
          <w:lang w:val="en-US" w:eastAsia="zh-CN"/>
        </w:rPr>
        <w:t>及时中耕除草，进行培土。在出笋前 10d～15d，分 2 次～3 次进行培土，培土高度高出地面 10cm～12cm。</w:t>
      </w:r>
    </w:p>
    <w:p w14:paraId="25D58695">
      <w:pPr>
        <w:pStyle w:val="73"/>
        <w:bidi w:val="0"/>
        <w:rPr>
          <w:rFonts w:hint="default"/>
          <w:lang w:val="en-US" w:eastAsia="zh-CN"/>
        </w:rPr>
      </w:pPr>
      <w:r>
        <w:rPr>
          <w:rFonts w:hint="default"/>
          <w:lang w:val="en-US" w:eastAsia="zh-CN"/>
        </w:rPr>
        <w:t>植株调整</w:t>
      </w:r>
    </w:p>
    <w:p w14:paraId="5D772277">
      <w:pPr>
        <w:pStyle w:val="25"/>
        <w:ind w:left="0" w:leftChars="0" w:firstLine="420" w:firstLineChars="200"/>
        <w:rPr>
          <w:rFonts w:hint="default"/>
        </w:rPr>
      </w:pPr>
      <w:r>
        <w:rPr>
          <w:rFonts w:hint="default"/>
          <w:lang w:val="en-US" w:eastAsia="zh-CN"/>
        </w:rPr>
        <w:t>营养生长期间株高控制在 1.2m 以下。在生长旺盛期应疏枝、打顶、打边心。行间安插支架，拉绳固定植株两边。</w:t>
      </w:r>
    </w:p>
    <w:p w14:paraId="6A7BC678">
      <w:pPr>
        <w:pStyle w:val="72"/>
        <w:bidi w:val="0"/>
        <w:rPr>
          <w:rFonts w:hint="default"/>
        </w:rPr>
      </w:pPr>
      <w:bookmarkStart w:id="31" w:name="_Toc24123"/>
      <w:r>
        <w:rPr>
          <w:rFonts w:hint="default"/>
        </w:rPr>
        <w:t>病虫害防治</w:t>
      </w:r>
      <w:bookmarkEnd w:id="31"/>
    </w:p>
    <w:p w14:paraId="206322FF">
      <w:pPr>
        <w:pStyle w:val="73"/>
        <w:bidi w:val="0"/>
        <w:rPr>
          <w:rFonts w:hint="default"/>
          <w:lang w:val="en-US" w:eastAsia="zh-CN"/>
        </w:rPr>
      </w:pPr>
      <w:r>
        <w:rPr>
          <w:rFonts w:hint="default"/>
          <w:lang w:val="en-US" w:eastAsia="zh-CN"/>
        </w:rPr>
        <w:t>农业防治</w:t>
      </w:r>
    </w:p>
    <w:p w14:paraId="30BC212B">
      <w:pPr>
        <w:pStyle w:val="25"/>
        <w:ind w:left="0" w:leftChars="0" w:firstLine="420" w:firstLineChars="200"/>
        <w:rPr>
          <w:rFonts w:hint="default"/>
        </w:rPr>
      </w:pPr>
      <w:r>
        <w:rPr>
          <w:rFonts w:hint="default"/>
          <w:lang w:val="en-US" w:eastAsia="zh-CN"/>
        </w:rPr>
        <w:t>选用抗病品种，培育无害壮苗，留茎换茎，及时清除枯枝落叶及病株残茬，加强中耕除草，合理施肥。</w:t>
      </w:r>
    </w:p>
    <w:p w14:paraId="75860525">
      <w:pPr>
        <w:pStyle w:val="73"/>
        <w:bidi w:val="0"/>
        <w:rPr>
          <w:rFonts w:hint="default"/>
          <w:lang w:val="en-US" w:eastAsia="zh-CN"/>
        </w:rPr>
      </w:pPr>
      <w:r>
        <w:rPr>
          <w:rFonts w:hint="default"/>
          <w:lang w:val="en-US" w:eastAsia="zh-CN"/>
        </w:rPr>
        <w:t>物理防治</w:t>
      </w:r>
    </w:p>
    <w:p w14:paraId="737FA9F7">
      <w:pPr>
        <w:pStyle w:val="25"/>
        <w:ind w:left="0" w:leftChars="0" w:firstLine="420" w:firstLineChars="200"/>
        <w:rPr>
          <w:rFonts w:hint="default"/>
        </w:rPr>
      </w:pPr>
      <w:r>
        <w:rPr>
          <w:rFonts w:hint="default"/>
          <w:lang w:val="en-US" w:eastAsia="zh-CN"/>
        </w:rPr>
        <w:t>设置杀虫灯，悬挂粘虫板，避雨栽培等。</w:t>
      </w:r>
    </w:p>
    <w:p w14:paraId="5BB7D14F">
      <w:pPr>
        <w:pStyle w:val="73"/>
        <w:bidi w:val="0"/>
        <w:rPr>
          <w:rFonts w:hint="default"/>
          <w:lang w:val="en-US" w:eastAsia="zh-CN"/>
        </w:rPr>
      </w:pPr>
      <w:r>
        <w:rPr>
          <w:rFonts w:hint="default"/>
          <w:lang w:val="en-US" w:eastAsia="zh-CN"/>
        </w:rPr>
        <w:t>生物防治</w:t>
      </w:r>
    </w:p>
    <w:p w14:paraId="06FA602E">
      <w:pPr>
        <w:pStyle w:val="25"/>
        <w:ind w:left="0" w:leftChars="0" w:firstLine="420" w:firstLineChars="200"/>
        <w:rPr>
          <w:rFonts w:hint="default"/>
        </w:rPr>
      </w:pPr>
      <w:r>
        <w:rPr>
          <w:rFonts w:hint="default"/>
          <w:lang w:val="en-US" w:eastAsia="zh-CN"/>
        </w:rPr>
        <w:t>采用 BT 杀虫性可湿性粉剂（活芽孢 100 亿 /g）500 倍～1000 倍液防治虫害。</w:t>
      </w:r>
    </w:p>
    <w:p w14:paraId="30719719">
      <w:pPr>
        <w:pStyle w:val="73"/>
        <w:bidi w:val="0"/>
        <w:rPr>
          <w:rFonts w:hint="default"/>
          <w:lang w:val="en-US" w:eastAsia="zh-CN"/>
        </w:rPr>
      </w:pPr>
      <w:r>
        <w:rPr>
          <w:rFonts w:hint="default"/>
          <w:lang w:val="en-US" w:eastAsia="zh-CN"/>
        </w:rPr>
        <w:t>化学防治</w:t>
      </w:r>
    </w:p>
    <w:p w14:paraId="567143A7">
      <w:pPr>
        <w:pStyle w:val="25"/>
        <w:ind w:left="0" w:leftChars="0" w:firstLine="420" w:firstLineChars="200"/>
        <w:rPr>
          <w:rFonts w:hint="default"/>
        </w:rPr>
      </w:pPr>
      <w:r>
        <w:rPr>
          <w:rFonts w:hint="default"/>
          <w:lang w:val="en-US" w:eastAsia="zh-CN"/>
        </w:rPr>
        <w:t>使用药剂应符合 GB/T 8321（所有部分）的要求。</w:t>
      </w:r>
    </w:p>
    <w:p w14:paraId="6100CE89">
      <w:pPr>
        <w:pStyle w:val="72"/>
        <w:bidi w:val="0"/>
        <w:rPr>
          <w:rFonts w:hint="default"/>
        </w:rPr>
      </w:pPr>
      <w:bookmarkStart w:id="32" w:name="_Toc22368"/>
      <w:r>
        <w:rPr>
          <w:rFonts w:hint="default"/>
        </w:rPr>
        <w:t>采收</w:t>
      </w:r>
      <w:r>
        <w:rPr>
          <w:rFonts w:hint="eastAsia"/>
          <w:lang w:val="en-US" w:eastAsia="zh-CN"/>
        </w:rPr>
        <w:t>与产后管理</w:t>
      </w:r>
      <w:bookmarkEnd w:id="32"/>
    </w:p>
    <w:p w14:paraId="6E129AC0">
      <w:pPr>
        <w:pStyle w:val="73"/>
        <w:bidi w:val="0"/>
        <w:rPr>
          <w:rFonts w:hint="default"/>
          <w:lang w:val="en-US" w:eastAsia="zh-CN"/>
        </w:rPr>
      </w:pPr>
      <w:r>
        <w:rPr>
          <w:rFonts w:hint="eastAsia"/>
          <w:lang w:val="en-US" w:eastAsia="zh-CN"/>
        </w:rPr>
        <w:t>采收</w:t>
      </w:r>
    </w:p>
    <w:p w14:paraId="4FC4F848">
      <w:pPr>
        <w:pStyle w:val="25"/>
        <w:ind w:left="0" w:leftChars="0" w:firstLine="420" w:firstLineChars="200"/>
        <w:rPr>
          <w:rFonts w:hint="default"/>
          <w:lang w:val="en-US" w:eastAsia="zh-CN"/>
        </w:rPr>
      </w:pPr>
      <w:r>
        <w:rPr>
          <w:rFonts w:hint="default"/>
          <w:lang w:val="en-US" w:eastAsia="zh-CN"/>
        </w:rPr>
        <w:t>当嫩茎直径达 0.6cm 以上、高 20cm 以上时，即可采笋。采笋时刀口要深入地下 1cm 剜割。芦笋质量应符合相关标准规定。</w:t>
      </w:r>
    </w:p>
    <w:p w14:paraId="0BD95A72">
      <w:pPr>
        <w:pStyle w:val="73"/>
        <w:bidi w:val="0"/>
        <w:rPr>
          <w:rFonts w:hint="default"/>
          <w:lang w:val="en-US" w:eastAsia="zh-CN"/>
        </w:rPr>
      </w:pPr>
      <w:r>
        <w:rPr>
          <w:rFonts w:hint="eastAsia"/>
          <w:lang w:val="en-US" w:eastAsia="zh-CN"/>
        </w:rPr>
        <w:t>包装</w:t>
      </w:r>
    </w:p>
    <w:p w14:paraId="35AF0F57">
      <w:pPr>
        <w:pStyle w:val="79"/>
        <w:bidi w:val="0"/>
        <w:spacing w:before="0" w:beforeLines="0" w:after="0" w:afterLines="0"/>
        <w:rPr>
          <w:rFonts w:hint="eastAsia"/>
        </w:rPr>
      </w:pPr>
      <w:bookmarkStart w:id="33" w:name="_Hlk111489077"/>
      <w:r>
        <w:rPr>
          <w:rFonts w:hint="eastAsia"/>
        </w:rPr>
        <w:t>包装应符合</w:t>
      </w:r>
      <w:bookmarkStart w:id="34" w:name="_Hlk117846728"/>
      <w:r>
        <w:t>GB 43284</w:t>
      </w:r>
      <w:bookmarkEnd w:id="34"/>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bookmarkEnd w:id="33"/>
      <w:r>
        <w:rPr>
          <w:rFonts w:hint="eastAsia"/>
        </w:rPr>
        <w:t>。</w:t>
      </w:r>
    </w:p>
    <w:p w14:paraId="23C9AE2C">
      <w:pPr>
        <w:pStyle w:val="79"/>
        <w:bidi w:val="0"/>
        <w:spacing w:before="0" w:beforeLines="0" w:after="0" w:afterLines="0"/>
        <w:rPr>
          <w:rFonts w:hint="eastAsia"/>
        </w:rPr>
      </w:pPr>
      <w:r>
        <w:rPr>
          <w:rFonts w:hint="eastAsia"/>
        </w:rPr>
        <w:t>包装材料应分别符合</w:t>
      </w:r>
      <w:bookmarkStart w:id="35" w:name="_Hlk111486485"/>
      <w:bookmarkStart w:id="36" w:name="_Hlk111488105"/>
      <w:r>
        <w:t>GB 4806.1</w:t>
      </w:r>
      <w:r>
        <w:rPr>
          <w:rFonts w:hint="eastAsia"/>
        </w:rPr>
        <w:t>、GB 4806.7</w:t>
      </w:r>
      <w:bookmarkEnd w:id="35"/>
      <w:r>
        <w:rPr>
          <w:rFonts w:hint="eastAsia"/>
        </w:rPr>
        <w:t>、</w:t>
      </w:r>
      <w:r>
        <w:t>GB 4806.8</w:t>
      </w:r>
      <w:bookmarkEnd w:id="36"/>
      <w:r>
        <w:rPr>
          <w:rFonts w:hint="eastAsia"/>
        </w:rPr>
        <w:t>的规定。</w:t>
      </w:r>
    </w:p>
    <w:p w14:paraId="62113A42">
      <w:pPr>
        <w:pStyle w:val="79"/>
        <w:bidi w:val="0"/>
        <w:spacing w:before="0" w:beforeLines="0" w:after="0" w:afterLines="0"/>
        <w:rPr>
          <w:rFonts w:hint="eastAsia"/>
        </w:rPr>
      </w:pPr>
      <w:r>
        <w:rPr>
          <w:rFonts w:hint="eastAsia"/>
        </w:rPr>
        <w:t>塑料包装容器应符合GB/T 5737的要求。</w:t>
      </w:r>
    </w:p>
    <w:p w14:paraId="0C762AFA">
      <w:pPr>
        <w:pStyle w:val="73"/>
        <w:bidi w:val="0"/>
        <w:rPr>
          <w:rFonts w:hint="default"/>
        </w:rPr>
      </w:pPr>
      <w:r>
        <w:rPr>
          <w:rFonts w:hint="eastAsia"/>
          <w:lang w:val="en-US" w:eastAsia="zh-CN"/>
        </w:rPr>
        <w:t>运输与</w:t>
      </w:r>
      <w:r>
        <w:rPr>
          <w:rFonts w:hint="default"/>
        </w:rPr>
        <w:t>贮存</w:t>
      </w:r>
    </w:p>
    <w:p w14:paraId="4FF9BD73">
      <w:pPr>
        <w:pStyle w:val="25"/>
        <w:rPr>
          <w:rFonts w:hint="default"/>
        </w:rPr>
      </w:pPr>
      <w:r>
        <w:rPr>
          <w:rFonts w:hint="default"/>
          <w:lang w:val="en-US" w:eastAsia="zh-CN"/>
        </w:rPr>
        <w:t>运输工具应具有清洁、卫生、干燥、无异味，不得与有毒有害物品混运</w:t>
      </w:r>
      <w:r>
        <w:rPr>
          <w:rFonts w:hint="eastAsia"/>
          <w:lang w:val="en-US" w:eastAsia="zh-CN"/>
        </w:rPr>
        <w:t>，</w:t>
      </w:r>
      <w:r>
        <w:rPr>
          <w:rFonts w:hint="default"/>
          <w:lang w:val="en-US" w:eastAsia="zh-CN"/>
        </w:rPr>
        <w:t>应在通风、清洁、卫生的条件下贮存，严防曝晒、雨淋、冻害及有害物质污染。绿色食品应符合 NY/T 1056 的要求；有机产品应符合 GB/T 19630 的要求。</w:t>
      </w:r>
    </w:p>
    <w:p w14:paraId="6CCB6B91">
      <w:pPr>
        <w:pStyle w:val="73"/>
        <w:bidi w:val="0"/>
        <w:rPr>
          <w:rFonts w:hint="default"/>
        </w:rPr>
      </w:pPr>
      <w:r>
        <w:rPr>
          <w:rFonts w:hint="default"/>
        </w:rPr>
        <w:t>生产档案</w:t>
      </w:r>
    </w:p>
    <w:p w14:paraId="15F227E0">
      <w:pPr>
        <w:pStyle w:val="25"/>
        <w:ind w:left="0" w:leftChars="0" w:firstLine="420" w:firstLineChars="200"/>
        <w:rPr>
          <w:rFonts w:hint="default"/>
        </w:rPr>
      </w:pPr>
      <w:r>
        <w:rPr>
          <w:rFonts w:hint="eastAsia"/>
          <w:lang w:val="en-US" w:eastAsia="zh-CN"/>
        </w:rPr>
        <w:t>应</w:t>
      </w:r>
      <w:r>
        <w:rPr>
          <w:rFonts w:hint="default"/>
          <w:lang w:val="en-US" w:eastAsia="zh-CN"/>
        </w:rPr>
        <w:t>建立生产档案，对使用肥料和农药的种类、使用时间、每次用量等进行详细记录，档案保存 3 年以上。</w:t>
      </w:r>
    </w:p>
    <w:p w14:paraId="405CBA9C">
      <w:pPr>
        <w:pStyle w:val="25"/>
      </w:pPr>
    </w:p>
    <w:p w14:paraId="121295D7">
      <w:pPr>
        <w:pStyle w:val="25"/>
      </w:pPr>
    </w:p>
    <w:p w14:paraId="734902E9">
      <w:pPr>
        <w:rPr>
          <w:rFonts w:hint="eastAsia"/>
          <w:lang w:val="en-US" w:eastAsia="zh-CN"/>
        </w:rPr>
      </w:pPr>
      <w:r>
        <w:rPr>
          <w:rFonts w:hint="eastAsia"/>
          <w:lang w:val="en-US" w:eastAsia="zh-CN"/>
        </w:rPr>
        <w:br w:type="page"/>
      </w:r>
      <w:bookmarkStart w:id="37" w:name="BKFL"/>
    </w:p>
    <w:p w14:paraId="132B296A">
      <w:pPr>
        <w:pStyle w:val="99"/>
        <w:bidi w:val="0"/>
        <w:rPr>
          <w:rFonts w:hint="eastAsia"/>
          <w:lang w:val="en-US" w:eastAsia="zh-CN"/>
        </w:rPr>
      </w:pPr>
    </w:p>
    <w:p w14:paraId="3F2EC233">
      <w:pPr>
        <w:pStyle w:val="101"/>
        <w:bidi w:val="0"/>
        <w:rPr>
          <w:rFonts w:hint="eastAsia"/>
          <w:lang w:val="en-US" w:eastAsia="zh-CN"/>
        </w:rPr>
      </w:pPr>
    </w:p>
    <w:p w14:paraId="7CEDAD29">
      <w:pPr>
        <w:pStyle w:val="88"/>
        <w:bidi w:val="0"/>
        <w:rPr>
          <w:rFonts w:hint="eastAsia"/>
          <w:lang w:val="en-US" w:eastAsia="zh-CN"/>
        </w:rPr>
      </w:pPr>
      <w:bookmarkStart w:id="38" w:name="_Toc27391"/>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井冈山芦笋种植区域范围图</w:t>
      </w:r>
      <w:bookmarkEnd w:id="38"/>
    </w:p>
    <w:p w14:paraId="514A9674">
      <w:pPr>
        <w:pStyle w:val="25"/>
        <w:rPr>
          <w:rFonts w:hint="eastAsia"/>
          <w:lang w:val="en-US" w:eastAsia="zh-CN"/>
        </w:rPr>
      </w:pPr>
    </w:p>
    <w:p w14:paraId="2A469890">
      <w:pPr>
        <w:pStyle w:val="25"/>
        <w:rPr>
          <w:rFonts w:hint="default"/>
          <w:lang w:val="en-US" w:eastAsia="zh-CN"/>
        </w:rPr>
      </w:pPr>
      <w:r>
        <w:rPr>
          <w:rFonts w:hint="eastAsia"/>
          <w:lang w:val="en-US" w:eastAsia="zh-CN"/>
        </w:rPr>
        <w:t>井冈山芦笋种植区域范围见图A.1。</w:t>
      </w:r>
    </w:p>
    <w:bookmarkEnd w:id="37"/>
    <w:p w14:paraId="42A98B50">
      <w:pPr>
        <w:pStyle w:val="25"/>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6EBB173">
      <w:pPr>
        <w:pStyle w:val="114"/>
        <w:numPr>
          <w:ilvl w:val="0"/>
          <w:numId w:val="0"/>
        </w:numPr>
        <w:bidi w:val="0"/>
        <w:ind w:leftChars="0"/>
        <w:jc w:val="center"/>
        <w:rPr>
          <w:rFonts w:hint="eastAsia"/>
          <w:lang w:val="en-US" w:eastAsia="zh-CN"/>
        </w:rPr>
      </w:pPr>
      <w:r>
        <w:rPr>
          <w:rFonts w:hint="eastAsia"/>
          <w:lang w:val="en-US" w:eastAsia="zh-CN"/>
        </w:rPr>
        <w:t>图A.1 井冈山芦笋种植区域范围图</w:t>
      </w:r>
    </w:p>
    <w:p w14:paraId="1A54DF25">
      <w:pPr>
        <w:pStyle w:val="25"/>
        <w:jc w:val="center"/>
      </w:pPr>
    </w:p>
    <w:p w14:paraId="2C25E6C9">
      <w:pPr>
        <w:pStyle w:val="25"/>
        <w:jc w:val="center"/>
      </w:pPr>
    </w:p>
    <w:p w14:paraId="53F2D277">
      <w:pPr>
        <w:pStyle w:val="25"/>
        <w:jc w:val="center"/>
      </w:pPr>
    </w:p>
    <w:p w14:paraId="026DAB6A">
      <w:pPr>
        <w:pStyle w:val="112"/>
        <w:bidi w:val="0"/>
        <w:rPr>
          <w:rFonts w:hint="default"/>
          <w:lang w:val="en-US" w:eastAsia="zh-CN"/>
        </w:rPr>
      </w:pPr>
      <w:bookmarkStart w:id="39"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9"/>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0CC3">
    <w:pPr>
      <w:pStyle w:val="31"/>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E1F">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D7E1F">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32E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D611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1D611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17DE">
    <w:pPr>
      <w:pStyle w:val="31"/>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5F37C">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5F37C">
                    <w:pPr>
                      <w:pStyle w:val="31"/>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B9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0A4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90A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70E4">
    <w:pPr>
      <w:pStyle w:val="32"/>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14:paraId="0FB1706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1C25">
    <w:pPr>
      <w:pStyle w:val="32"/>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2676A"/>
    <w:multiLevelType w:val="multilevel"/>
    <w:tmpl w:val="A762676A"/>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
    <w:nsid w:val="BBAAD453"/>
    <w:multiLevelType w:val="multilevel"/>
    <w:tmpl w:val="BBAAD453"/>
    <w:lvl w:ilvl="0" w:tentative="0">
      <w:start w:val="1"/>
      <w:numFmt w:val="lowerLetter"/>
      <w:pStyle w:val="108"/>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44E3856"/>
    <w:multiLevelType w:val="multilevel"/>
    <w:tmpl w:val="C44E3856"/>
    <w:lvl w:ilvl="0" w:tentative="0">
      <w:start w:val="1"/>
      <w:numFmt w:val="none"/>
      <w:pStyle w:val="55"/>
      <w:suff w:val="nothing"/>
      <w:lvlText w:val="%1"/>
      <w:lvlJc w:val="left"/>
      <w:pPr>
        <w:ind w:left="425" w:leftChars="0" w:hanging="425" w:firstLineChars="0"/>
      </w:pPr>
      <w:rPr>
        <w:rFonts w:hint="default"/>
      </w:rPr>
    </w:lvl>
    <w:lvl w:ilvl="1" w:tentative="0">
      <w:start w:val="1"/>
      <w:numFmt w:val="decimal"/>
      <w:pStyle w:val="62"/>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3"/>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4"/>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5"/>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6"/>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C4868788"/>
    <w:multiLevelType w:val="multilevel"/>
    <w:tmpl w:val="C4868788"/>
    <w:lvl w:ilvl="0" w:tentative="0">
      <w:start w:val="1"/>
      <w:numFmt w:val="none"/>
      <w:pStyle w:val="57"/>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8"/>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EA2DCBB7"/>
    <w:multiLevelType w:val="multilevel"/>
    <w:tmpl w:val="EA2DCBB7"/>
    <w:lvl w:ilvl="0" w:tentative="0">
      <w:start w:val="1"/>
      <w:numFmt w:val="lowerLetter"/>
      <w:pStyle w:val="60"/>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1"/>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9"/>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F057C2E0"/>
    <w:multiLevelType w:val="multilevel"/>
    <w:tmpl w:val="F057C2E0"/>
    <w:lvl w:ilvl="0" w:tentative="0">
      <w:start w:val="1"/>
      <w:numFmt w:val="decimal"/>
      <w:pStyle w:val="72"/>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3"/>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4"/>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5"/>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6"/>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7"/>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FB8BD9F8"/>
    <w:multiLevelType w:val="multilevel"/>
    <w:tmpl w:val="FB8BD9F8"/>
    <w:lvl w:ilvl="0" w:tentative="0">
      <w:start w:val="1"/>
      <w:numFmt w:val="upperLetter"/>
      <w:pStyle w:val="101"/>
      <w:lvlText w:val="%1"/>
      <w:lvlJc w:val="left"/>
      <w:pPr>
        <w:tabs>
          <w:tab w:val="left" w:pos="0"/>
        </w:tabs>
        <w:ind w:left="0" w:leftChars="0" w:firstLine="0" w:firstLineChars="0"/>
      </w:pPr>
      <w:rPr>
        <w:rFonts w:hint="default"/>
      </w:rPr>
    </w:lvl>
    <w:lvl w:ilvl="1" w:tentative="0">
      <w:start w:val="1"/>
      <w:numFmt w:val="decimal"/>
      <w:pStyle w:val="102"/>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FD2DBBD0"/>
    <w:multiLevelType w:val="multilevel"/>
    <w:tmpl w:val="FD2DBBD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A35FF4E"/>
    <w:multiLevelType w:val="multilevel"/>
    <w:tmpl w:val="0A35FF4E"/>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0AA424D3"/>
    <w:multiLevelType w:val="multilevel"/>
    <w:tmpl w:val="0AA424D3"/>
    <w:lvl w:ilvl="0" w:tentative="0">
      <w:start w:val="1"/>
      <w:numFmt w:val="decimal"/>
      <w:pStyle w:val="119"/>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14A0D622"/>
    <w:multiLevelType w:val="multilevel"/>
    <w:tmpl w:val="14A0D622"/>
    <w:lvl w:ilvl="0" w:tentative="0">
      <w:start w:val="1"/>
      <w:numFmt w:val="none"/>
      <w:pStyle w:val="106"/>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1DF9F5EC"/>
    <w:multiLevelType w:val="multilevel"/>
    <w:tmpl w:val="1DF9F5EC"/>
    <w:lvl w:ilvl="0" w:tentative="0">
      <w:start w:val="1"/>
      <w:numFmt w:val="decimal"/>
      <w:pStyle w:val="114"/>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22827D5B"/>
    <w:multiLevelType w:val="multilevel"/>
    <w:tmpl w:val="22827D5B"/>
    <w:lvl w:ilvl="0" w:tentative="0">
      <w:start w:val="1"/>
      <w:numFmt w:val="none"/>
      <w:pStyle w:val="12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4A57DC8E"/>
    <w:multiLevelType w:val="multilevel"/>
    <w:tmpl w:val="4A57DC8E"/>
    <w:lvl w:ilvl="0" w:tentative="0">
      <w:start w:val="1"/>
      <w:numFmt w:val="decimal"/>
      <w:pStyle w:val="113"/>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594CC694"/>
    <w:multiLevelType w:val="multilevel"/>
    <w:tmpl w:val="594CC694"/>
    <w:lvl w:ilvl="0" w:tentative="0">
      <w:start w:val="1"/>
      <w:numFmt w:val="none"/>
      <w:pStyle w:val="104"/>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63578A26"/>
    <w:multiLevelType w:val="multilevel"/>
    <w:tmpl w:val="63578A26"/>
    <w:lvl w:ilvl="0" w:tentative="0">
      <w:start w:val="1"/>
      <w:numFmt w:val="decimal"/>
      <w:pStyle w:val="105"/>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A5F9768"/>
    <w:multiLevelType w:val="multilevel"/>
    <w:tmpl w:val="6A5F9768"/>
    <w:lvl w:ilvl="0" w:tentative="0">
      <w:start w:val="1"/>
      <w:numFmt w:val="upperLetter"/>
      <w:pStyle w:val="88"/>
      <w:suff w:val="nothing"/>
      <w:lvlText w:val="附录%1"/>
      <w:lvlJc w:val="left"/>
      <w:pPr>
        <w:ind w:left="0" w:leftChars="0" w:firstLine="0" w:firstLineChars="0"/>
      </w:pPr>
      <w:rPr>
        <w:rFonts w:hint="default"/>
        <w:spacing w:val="102"/>
      </w:rPr>
    </w:lvl>
    <w:lvl w:ilvl="1" w:tentative="0">
      <w:start w:val="1"/>
      <w:numFmt w:val="decimal"/>
      <w:pStyle w:val="89"/>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0"/>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1"/>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2"/>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3"/>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6DBF04F4"/>
    <w:multiLevelType w:val="multilevel"/>
    <w:tmpl w:val="6DBF04F4"/>
    <w:lvl w:ilvl="0" w:tentative="0">
      <w:start w:val="1"/>
      <w:numFmt w:val="none"/>
      <w:pStyle w:val="12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6E3EDA3C"/>
    <w:multiLevelType w:val="multilevel"/>
    <w:tmpl w:val="6E3EDA3C"/>
    <w:lvl w:ilvl="0" w:tentative="0">
      <w:start w:val="1"/>
      <w:numFmt w:val="decimal"/>
      <w:pStyle w:val="107"/>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8"/>
  </w:num>
  <w:num w:numId="2">
    <w:abstractNumId w:val="0"/>
  </w:num>
  <w:num w:numId="3">
    <w:abstractNumId w:val="7"/>
  </w:num>
  <w:num w:numId="4">
    <w:abstractNumId w:val="2"/>
  </w:num>
  <w:num w:numId="5">
    <w:abstractNumId w:val="3"/>
  </w:num>
  <w:num w:numId="6">
    <w:abstractNumId w:val="4"/>
  </w:num>
  <w:num w:numId="7">
    <w:abstractNumId w:val="5"/>
  </w:num>
  <w:num w:numId="8">
    <w:abstractNumId w:val="16"/>
  </w:num>
  <w:num w:numId="9">
    <w:abstractNumId w:val="6"/>
  </w:num>
  <w:num w:numId="10">
    <w:abstractNumId w:val="14"/>
  </w:num>
  <w:num w:numId="11">
    <w:abstractNumId w:val="15"/>
  </w:num>
  <w:num w:numId="12">
    <w:abstractNumId w:val="10"/>
  </w:num>
  <w:num w:numId="13">
    <w:abstractNumId w:val="18"/>
  </w:num>
  <w:num w:numId="14">
    <w:abstractNumId w:val="1"/>
  </w:num>
  <w:num w:numId="15">
    <w:abstractNumId w:val="13"/>
  </w:num>
  <w:num w:numId="16">
    <w:abstractNumId w:val="11"/>
  </w:num>
  <w:num w:numId="17">
    <w:abstractNumId w:val="9"/>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g3Mzk1MGYzZjk4OThiYzUzOTllNjYyNGFkN2QifQ=="/>
  </w:docVars>
  <w:rsids>
    <w:rsidRoot w:val="22A65372"/>
    <w:rsid w:val="00D56753"/>
    <w:rsid w:val="0156177E"/>
    <w:rsid w:val="01F66F31"/>
    <w:rsid w:val="02C81BA2"/>
    <w:rsid w:val="02EA1F21"/>
    <w:rsid w:val="03305FFE"/>
    <w:rsid w:val="048E4B7A"/>
    <w:rsid w:val="04FD3B5A"/>
    <w:rsid w:val="054A784B"/>
    <w:rsid w:val="071E17DC"/>
    <w:rsid w:val="07231362"/>
    <w:rsid w:val="072964BD"/>
    <w:rsid w:val="09554A11"/>
    <w:rsid w:val="0A884A60"/>
    <w:rsid w:val="0B8B6BB0"/>
    <w:rsid w:val="0C754648"/>
    <w:rsid w:val="0FE32D76"/>
    <w:rsid w:val="104E6C88"/>
    <w:rsid w:val="12395B1B"/>
    <w:rsid w:val="126F2404"/>
    <w:rsid w:val="13456138"/>
    <w:rsid w:val="135E24F9"/>
    <w:rsid w:val="14C05AAC"/>
    <w:rsid w:val="15BD5E17"/>
    <w:rsid w:val="15EC72D4"/>
    <w:rsid w:val="16B512D7"/>
    <w:rsid w:val="178A6520"/>
    <w:rsid w:val="19570989"/>
    <w:rsid w:val="1A1C6A66"/>
    <w:rsid w:val="1A74451A"/>
    <w:rsid w:val="1AE03A10"/>
    <w:rsid w:val="1B4950A4"/>
    <w:rsid w:val="1B4B7903"/>
    <w:rsid w:val="1B5C3160"/>
    <w:rsid w:val="1BD45C69"/>
    <w:rsid w:val="1D57438E"/>
    <w:rsid w:val="1DE75910"/>
    <w:rsid w:val="1F8F3F65"/>
    <w:rsid w:val="1FDE5942"/>
    <w:rsid w:val="2032134B"/>
    <w:rsid w:val="20AB2536"/>
    <w:rsid w:val="21AF402D"/>
    <w:rsid w:val="22A65372"/>
    <w:rsid w:val="23027962"/>
    <w:rsid w:val="23C94DA5"/>
    <w:rsid w:val="2432254F"/>
    <w:rsid w:val="25A03D3B"/>
    <w:rsid w:val="264906B3"/>
    <w:rsid w:val="27635A18"/>
    <w:rsid w:val="283D3F3C"/>
    <w:rsid w:val="29233D8C"/>
    <w:rsid w:val="293F1394"/>
    <w:rsid w:val="29464A42"/>
    <w:rsid w:val="2C926DC2"/>
    <w:rsid w:val="2CB17636"/>
    <w:rsid w:val="2D546C0A"/>
    <w:rsid w:val="320631E0"/>
    <w:rsid w:val="32621481"/>
    <w:rsid w:val="33212825"/>
    <w:rsid w:val="334E5558"/>
    <w:rsid w:val="33C8725F"/>
    <w:rsid w:val="34637DC3"/>
    <w:rsid w:val="3510196C"/>
    <w:rsid w:val="353E23A2"/>
    <w:rsid w:val="357E174A"/>
    <w:rsid w:val="3681294D"/>
    <w:rsid w:val="36923812"/>
    <w:rsid w:val="36DA7652"/>
    <w:rsid w:val="38096F9A"/>
    <w:rsid w:val="38A5438E"/>
    <w:rsid w:val="38DB11B5"/>
    <w:rsid w:val="38F0287E"/>
    <w:rsid w:val="391B5FAD"/>
    <w:rsid w:val="3C2105FF"/>
    <w:rsid w:val="3C3A6FCB"/>
    <w:rsid w:val="3C826940"/>
    <w:rsid w:val="3C925059"/>
    <w:rsid w:val="3E301586"/>
    <w:rsid w:val="3F6B4657"/>
    <w:rsid w:val="40267F92"/>
    <w:rsid w:val="4067683A"/>
    <w:rsid w:val="409B6018"/>
    <w:rsid w:val="41367B0D"/>
    <w:rsid w:val="422406F0"/>
    <w:rsid w:val="424F74DF"/>
    <w:rsid w:val="44B14645"/>
    <w:rsid w:val="44E85E5F"/>
    <w:rsid w:val="46D80988"/>
    <w:rsid w:val="46FA335C"/>
    <w:rsid w:val="48454B9C"/>
    <w:rsid w:val="497A4C2F"/>
    <w:rsid w:val="4AA53F92"/>
    <w:rsid w:val="4C445F49"/>
    <w:rsid w:val="4D1879C1"/>
    <w:rsid w:val="4D410511"/>
    <w:rsid w:val="4D9D2C0C"/>
    <w:rsid w:val="4EBE7F2F"/>
    <w:rsid w:val="50B145A5"/>
    <w:rsid w:val="51811129"/>
    <w:rsid w:val="539C2527"/>
    <w:rsid w:val="53D936D9"/>
    <w:rsid w:val="545C7B61"/>
    <w:rsid w:val="569254F2"/>
    <w:rsid w:val="595557E4"/>
    <w:rsid w:val="5A2D7CD1"/>
    <w:rsid w:val="5BE41C93"/>
    <w:rsid w:val="5D050F60"/>
    <w:rsid w:val="5E167662"/>
    <w:rsid w:val="5E2C229D"/>
    <w:rsid w:val="5EC91604"/>
    <w:rsid w:val="5FA153D1"/>
    <w:rsid w:val="60535440"/>
    <w:rsid w:val="6098585B"/>
    <w:rsid w:val="60C62FD2"/>
    <w:rsid w:val="665E1984"/>
    <w:rsid w:val="66ED765A"/>
    <w:rsid w:val="69C05D8A"/>
    <w:rsid w:val="6B40524A"/>
    <w:rsid w:val="6C5F3E60"/>
    <w:rsid w:val="6D327D8A"/>
    <w:rsid w:val="6DCD0D4F"/>
    <w:rsid w:val="721A1187"/>
    <w:rsid w:val="728B508B"/>
    <w:rsid w:val="72B602C2"/>
    <w:rsid w:val="74546F93"/>
    <w:rsid w:val="74B01B4A"/>
    <w:rsid w:val="75082C39"/>
    <w:rsid w:val="778020AA"/>
    <w:rsid w:val="7833512C"/>
    <w:rsid w:val="78C92E11"/>
    <w:rsid w:val="7A444F15"/>
    <w:rsid w:val="7AC1097F"/>
    <w:rsid w:val="7D6514FE"/>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rPr>
      <w:rFonts w:hint="eastAsia" w:ascii="宋体" w:hAnsi="Times New Roman" w:eastAsia="宋体" w:cs="Times New Roman"/>
      <w:sz w:val="21"/>
    </w:rPr>
  </w:style>
  <w:style w:type="table" w:default="1" w:styleId="20">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otnote reference"/>
    <w:basedOn w:val="22"/>
    <w:qFormat/>
    <w:uiPriority w:val="0"/>
    <w:rPr>
      <w:rFonts w:hAnsi="宋体" w:cs="宋体"/>
      <w:sz w:val="18"/>
      <w:vertAlign w:val="superscript"/>
    </w:rPr>
  </w:style>
  <w:style w:type="paragraph" w:customStyle="1" w:styleId="25">
    <w:name w:val="标准文件_段"/>
    <w:qFormat/>
    <w:uiPriority w:val="0"/>
    <w:pPr>
      <w:ind w:firstLine="960" w:firstLineChars="200"/>
      <w:jc w:val="both"/>
    </w:pPr>
    <w:rPr>
      <w:rFonts w:hint="eastAsia" w:ascii="宋体" w:hAnsi="Times New Roman" w:eastAsia="宋体" w:cs="宋体"/>
      <w:sz w:val="21"/>
    </w:rPr>
  </w:style>
  <w:style w:type="paragraph" w:customStyle="1" w:styleId="26">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7">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8">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9">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0">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1">
    <w:name w:val="标准书脚_奇数页"/>
    <w:qFormat/>
    <w:uiPriority w:val="0"/>
    <w:pPr>
      <w:ind w:right="227"/>
      <w:jc w:val="right"/>
    </w:pPr>
    <w:rPr>
      <w:rFonts w:hint="eastAsia" w:ascii="宋体" w:hAnsi="Times New Roman" w:eastAsia="宋体" w:cs="宋体"/>
      <w:sz w:val="18"/>
    </w:rPr>
  </w:style>
  <w:style w:type="paragraph" w:customStyle="1" w:styleId="32">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3">
    <w:name w:val="标准书眉_偶数页"/>
    <w:next w:val="1"/>
    <w:qFormat/>
    <w:uiPriority w:val="0"/>
    <w:pPr>
      <w:spacing w:after="120"/>
    </w:pPr>
    <w:rPr>
      <w:rFonts w:hint="eastAsia" w:ascii="黑体" w:hAnsi="Times New Roman" w:eastAsia="黑体" w:cs="黑体"/>
      <w:sz w:val="21"/>
    </w:rPr>
  </w:style>
  <w:style w:type="paragraph" w:customStyle="1" w:styleId="34">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5">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6">
    <w:name w:val="发布部门"/>
    <w:next w:val="25"/>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7">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8">
    <w:name w:val="实施日期"/>
    <w:basedOn w:val="37"/>
    <w:qFormat/>
    <w:uiPriority w:val="0"/>
    <w:pPr>
      <w:framePr w:hSpace="0" w:wrap="around" w:vAnchor="page" w:hAnchor="page" w:x="7089" w:y="14176"/>
      <w:jc w:val="right"/>
    </w:pPr>
  </w:style>
  <w:style w:type="paragraph" w:customStyle="1" w:styleId="39">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0">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1">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2">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3">
    <w:name w:val="封面标准英文名称"/>
    <w:basedOn w:val="42"/>
    <w:qFormat/>
    <w:uiPriority w:val="0"/>
    <w:pPr>
      <w:widowControl w:val="0"/>
      <w:spacing w:before="410" w:line="360" w:lineRule="exact"/>
      <w:textAlignment w:val="bottom"/>
    </w:pPr>
    <w:rPr>
      <w:rFonts w:ascii="Times New Roman" w:hAnsi="Times New Roman" w:cs="Times New Roman"/>
      <w:sz w:val="28"/>
    </w:rPr>
  </w:style>
  <w:style w:type="paragraph" w:customStyle="1" w:styleId="44">
    <w:name w:val="封面一致性程度标识"/>
    <w:basedOn w:val="43"/>
    <w:qFormat/>
    <w:uiPriority w:val="0"/>
    <w:pPr>
      <w:spacing w:before="760"/>
    </w:pPr>
  </w:style>
  <w:style w:type="paragraph" w:customStyle="1" w:styleId="45">
    <w:name w:val="封面标准文稿类别"/>
    <w:basedOn w:val="44"/>
    <w:qFormat/>
    <w:uiPriority w:val="0"/>
    <w:pPr>
      <w:spacing w:before="440" w:after="160"/>
    </w:pPr>
    <w:rPr>
      <w:rFonts w:ascii="黑体" w:hAnsi="黑体" w:cs="黑体"/>
      <w:sz w:val="24"/>
    </w:rPr>
  </w:style>
  <w:style w:type="paragraph" w:customStyle="1" w:styleId="46">
    <w:name w:val="封面标准文稿编辑信息"/>
    <w:basedOn w:val="45"/>
    <w:qFormat/>
    <w:uiPriority w:val="0"/>
    <w:pPr>
      <w:spacing w:before="180" w:line="240" w:lineRule="atLeast"/>
    </w:pPr>
    <w:rPr>
      <w:sz w:val="21"/>
    </w:rPr>
  </w:style>
  <w:style w:type="paragraph" w:customStyle="1" w:styleId="47">
    <w:name w:val="封面标准文稿附件"/>
    <w:basedOn w:val="45"/>
    <w:qFormat/>
    <w:uiPriority w:val="0"/>
    <w:pPr>
      <w:spacing w:before="937" w:beforeLines="300" w:afterLines="30" w:line="240" w:lineRule="auto"/>
    </w:pPr>
    <w:rPr>
      <w:rFonts w:ascii="Times New Roman" w:hAnsi="Times New Roman" w:cs="Times New Roman"/>
      <w:b/>
      <w:sz w:val="21"/>
    </w:rPr>
  </w:style>
  <w:style w:type="paragraph" w:customStyle="1" w:styleId="48">
    <w:name w:val="其他发布部门"/>
    <w:basedOn w:val="36"/>
    <w:qFormat/>
    <w:uiPriority w:val="0"/>
    <w:pPr>
      <w:framePr w:wrap="around" w:y="15310"/>
      <w:spacing w:line="0" w:lineRule="atLeast"/>
    </w:pPr>
    <w:rPr>
      <w:rFonts w:ascii="黑体" w:hAnsi="黑体" w:eastAsia="黑体" w:cs="黑体"/>
    </w:rPr>
  </w:style>
  <w:style w:type="paragraph" w:customStyle="1" w:styleId="49">
    <w:name w:val="其他发布部门2"/>
    <w:basedOn w:val="36"/>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0">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1">
    <w:name w:val="其他发布日期"/>
    <w:basedOn w:val="37"/>
    <w:qFormat/>
    <w:uiPriority w:val="0"/>
    <w:pPr>
      <w:framePr w:hSpace="0" w:wrap="around" w:vAnchor="page" w:hAnchor="page" w:x="1419" w:y="14176"/>
    </w:pPr>
  </w:style>
  <w:style w:type="paragraph" w:customStyle="1" w:styleId="52">
    <w:name w:val="其他实施日期"/>
    <w:basedOn w:val="38"/>
    <w:qFormat/>
    <w:uiPriority w:val="0"/>
  </w:style>
  <w:style w:type="paragraph" w:customStyle="1" w:styleId="53">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4">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5">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6">
    <w:name w:val="标准文件_正文标准名称"/>
    <w:basedOn w:val="1"/>
    <w:link w:val="120"/>
    <w:qFormat/>
    <w:uiPriority w:val="0"/>
    <w:pPr>
      <w:widowControl/>
      <w:suppressAutoHyphens w:val="0"/>
      <w:spacing w:after="640" w:line="400" w:lineRule="exact"/>
      <w:jc w:val="center"/>
    </w:pPr>
    <w:rPr>
      <w:rFonts w:ascii="黑体" w:hAnsi="黑体" w:eastAsia="黑体" w:cs="黑体"/>
      <w:sz w:val="32"/>
    </w:rPr>
  </w:style>
  <w:style w:type="paragraph" w:customStyle="1" w:styleId="57">
    <w:name w:val="标准文件_一级项"/>
    <w:next w:val="25"/>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8">
    <w:name w:val="标准文件_二级项2"/>
    <w:basedOn w:val="25"/>
    <w:next w:val="25"/>
    <w:qFormat/>
    <w:uiPriority w:val="0"/>
    <w:pPr>
      <w:numPr>
        <w:ilvl w:val="1"/>
        <w:numId w:val="5"/>
      </w:numPr>
      <w:suppressAutoHyphens w:val="0"/>
      <w:ind w:left="1270" w:hanging="419"/>
    </w:pPr>
    <w:rPr>
      <w:rFonts w:hAnsi="Times New Roman"/>
    </w:rPr>
  </w:style>
  <w:style w:type="paragraph" w:customStyle="1" w:styleId="59">
    <w:name w:val="标准文件_三级项"/>
    <w:basedOn w:val="1"/>
    <w:next w:val="25"/>
    <w:qFormat/>
    <w:uiPriority w:val="0"/>
    <w:pPr>
      <w:numPr>
        <w:ilvl w:val="2"/>
        <w:numId w:val="6"/>
      </w:numPr>
      <w:suppressAutoHyphens w:val="0"/>
      <w:spacing w:line="300" w:lineRule="exact"/>
      <w:ind w:left="1678" w:hanging="414"/>
    </w:pPr>
    <w:rPr>
      <w:rFonts w:hAnsi="+西文正文"/>
    </w:rPr>
  </w:style>
  <w:style w:type="paragraph" w:customStyle="1" w:styleId="60">
    <w:name w:val="标准文件_字母编号列项（一级）"/>
    <w:next w:val="25"/>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1">
    <w:name w:val="标准文件_数字编号列项（二级）"/>
    <w:next w:val="25"/>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2">
    <w:name w:val="标准文件_引言一级条标题"/>
    <w:basedOn w:val="25"/>
    <w:next w:val="25"/>
    <w:qFormat/>
    <w:uiPriority w:val="0"/>
    <w:pPr>
      <w:numPr>
        <w:ilvl w:val="1"/>
        <w:numId w:val="4"/>
      </w:numPr>
      <w:spacing w:before="157" w:beforeLines="50" w:after="157" w:afterLines="50"/>
    </w:pPr>
    <w:rPr>
      <w:rFonts w:ascii="黑体" w:hAnsi="黑体" w:eastAsia="黑体" w:cs="黑体"/>
    </w:rPr>
  </w:style>
  <w:style w:type="paragraph" w:customStyle="1" w:styleId="63">
    <w:name w:val="标准文件_引言二级条标题"/>
    <w:basedOn w:val="25"/>
    <w:next w:val="25"/>
    <w:qFormat/>
    <w:uiPriority w:val="0"/>
    <w:pPr>
      <w:numPr>
        <w:ilvl w:val="2"/>
        <w:numId w:val="4"/>
      </w:numPr>
      <w:spacing w:before="157" w:beforeLines="50" w:after="157" w:afterLines="50"/>
    </w:pPr>
    <w:rPr>
      <w:rFonts w:ascii="黑体" w:hAnsi="黑体" w:eastAsia="黑体" w:cs="黑体"/>
    </w:rPr>
  </w:style>
  <w:style w:type="paragraph" w:customStyle="1" w:styleId="64">
    <w:name w:val="标准文件_引言三级条标题"/>
    <w:basedOn w:val="25"/>
    <w:next w:val="25"/>
    <w:qFormat/>
    <w:uiPriority w:val="0"/>
    <w:pPr>
      <w:numPr>
        <w:ilvl w:val="3"/>
        <w:numId w:val="4"/>
      </w:numPr>
      <w:spacing w:before="157" w:beforeLines="50" w:after="157" w:afterLines="50"/>
    </w:pPr>
    <w:rPr>
      <w:rFonts w:ascii="黑体" w:hAnsi="黑体" w:eastAsia="黑体" w:cs="黑体"/>
    </w:rPr>
  </w:style>
  <w:style w:type="paragraph" w:customStyle="1" w:styleId="65">
    <w:name w:val="标准文件_引言四级条标题"/>
    <w:basedOn w:val="25"/>
    <w:next w:val="25"/>
    <w:qFormat/>
    <w:uiPriority w:val="0"/>
    <w:pPr>
      <w:numPr>
        <w:ilvl w:val="4"/>
        <w:numId w:val="4"/>
      </w:numPr>
      <w:spacing w:before="157" w:beforeLines="50" w:after="157" w:afterLines="50"/>
    </w:pPr>
    <w:rPr>
      <w:rFonts w:ascii="黑体" w:hAnsi="黑体" w:eastAsia="黑体" w:cs="黑体"/>
    </w:rPr>
  </w:style>
  <w:style w:type="paragraph" w:customStyle="1" w:styleId="66">
    <w:name w:val="标准文件_引言五级条标题"/>
    <w:basedOn w:val="25"/>
    <w:next w:val="25"/>
    <w:qFormat/>
    <w:uiPriority w:val="0"/>
    <w:pPr>
      <w:numPr>
        <w:ilvl w:val="5"/>
        <w:numId w:val="4"/>
      </w:numPr>
      <w:spacing w:before="157" w:beforeLines="50" w:after="157" w:afterLines="50"/>
    </w:pPr>
    <w:rPr>
      <w:rFonts w:ascii="黑体" w:hAnsi="黑体" w:eastAsia="黑体" w:cs="黑体"/>
    </w:rPr>
  </w:style>
  <w:style w:type="paragraph" w:customStyle="1" w:styleId="67">
    <w:name w:val="标准文件_引言一级无标题"/>
    <w:basedOn w:val="62"/>
    <w:next w:val="25"/>
    <w:qFormat/>
    <w:uiPriority w:val="0"/>
    <w:pPr>
      <w:spacing w:before="4" w:beforeLines="1" w:after="4" w:afterLines="1" w:line="276" w:lineRule="auto"/>
    </w:pPr>
    <w:rPr>
      <w:rFonts w:ascii="宋体" w:hAnsi="宋体" w:eastAsia="宋体" w:cs="宋体"/>
    </w:rPr>
  </w:style>
  <w:style w:type="paragraph" w:customStyle="1" w:styleId="68">
    <w:name w:val="标准文件_引言二级无标题"/>
    <w:basedOn w:val="63"/>
    <w:next w:val="25"/>
    <w:qFormat/>
    <w:uiPriority w:val="0"/>
    <w:pPr>
      <w:spacing w:before="4" w:beforeLines="1" w:after="4" w:afterLines="1" w:line="276" w:lineRule="auto"/>
    </w:pPr>
    <w:rPr>
      <w:rFonts w:ascii="宋体" w:hAnsi="宋体" w:eastAsia="宋体" w:cs="宋体"/>
    </w:rPr>
  </w:style>
  <w:style w:type="paragraph" w:customStyle="1" w:styleId="69">
    <w:name w:val="标准文件_引言三级无标题"/>
    <w:basedOn w:val="64"/>
    <w:next w:val="25"/>
    <w:qFormat/>
    <w:uiPriority w:val="0"/>
    <w:pPr>
      <w:spacing w:before="4" w:beforeLines="1" w:after="4" w:afterLines="1" w:line="276" w:lineRule="auto"/>
    </w:pPr>
    <w:rPr>
      <w:rFonts w:ascii="宋体" w:hAnsi="宋体" w:eastAsia="宋体" w:cs="宋体"/>
    </w:rPr>
  </w:style>
  <w:style w:type="paragraph" w:customStyle="1" w:styleId="70">
    <w:name w:val="标准文件_引言四级无标题"/>
    <w:basedOn w:val="65"/>
    <w:next w:val="25"/>
    <w:qFormat/>
    <w:uiPriority w:val="0"/>
    <w:pPr>
      <w:spacing w:before="4" w:beforeLines="1" w:after="4" w:afterLines="1" w:line="276" w:lineRule="auto"/>
    </w:pPr>
    <w:rPr>
      <w:rFonts w:ascii="宋体" w:hAnsi="宋体" w:eastAsia="宋体" w:cs="宋体"/>
    </w:rPr>
  </w:style>
  <w:style w:type="paragraph" w:customStyle="1" w:styleId="71">
    <w:name w:val="标准文件_引言五级无标题"/>
    <w:basedOn w:val="66"/>
    <w:next w:val="25"/>
    <w:qFormat/>
    <w:uiPriority w:val="0"/>
    <w:pPr>
      <w:spacing w:before="4" w:beforeLines="1" w:after="4" w:afterLines="1" w:line="276" w:lineRule="auto"/>
    </w:pPr>
    <w:rPr>
      <w:rFonts w:ascii="宋体" w:hAnsi="宋体" w:eastAsia="宋体" w:cs="宋体"/>
    </w:rPr>
  </w:style>
  <w:style w:type="paragraph" w:customStyle="1" w:styleId="72">
    <w:name w:val="标准文件_章标题"/>
    <w:next w:val="25"/>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3">
    <w:name w:val="标准文件_一级条标题"/>
    <w:basedOn w:val="72"/>
    <w:next w:val="25"/>
    <w:qFormat/>
    <w:uiPriority w:val="0"/>
    <w:pPr>
      <w:numPr>
        <w:ilvl w:val="1"/>
      </w:numPr>
      <w:spacing w:before="157" w:beforeLines="50" w:after="157" w:afterLines="50"/>
      <w:outlineLvl w:val="1"/>
    </w:pPr>
    <w:rPr>
      <w:rFonts w:hAnsi="Times New Roman"/>
    </w:rPr>
  </w:style>
  <w:style w:type="paragraph" w:customStyle="1" w:styleId="74">
    <w:name w:val="标准文件_二级条标题"/>
    <w:next w:val="25"/>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5">
    <w:name w:val="标准文件_三级条标题"/>
    <w:basedOn w:val="74"/>
    <w:next w:val="25"/>
    <w:qFormat/>
    <w:uiPriority w:val="0"/>
    <w:pPr>
      <w:numPr>
        <w:ilvl w:val="3"/>
      </w:numPr>
      <w:spacing w:before="157" w:after="157"/>
      <w:outlineLvl w:val="3"/>
    </w:pPr>
  </w:style>
  <w:style w:type="paragraph" w:customStyle="1" w:styleId="76">
    <w:name w:val="标准文件_四级条标题"/>
    <w:next w:val="25"/>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五级条标题"/>
    <w:next w:val="25"/>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8">
    <w:name w:val="标准文件_一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二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三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四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五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术语条一"/>
    <w:basedOn w:val="78"/>
    <w:next w:val="25"/>
    <w:qFormat/>
    <w:uiPriority w:val="0"/>
    <w:pPr>
      <w:ind w:left="960" w:hanging="960" w:hangingChars="200"/>
    </w:pPr>
    <w:rPr>
      <w:rFonts w:ascii="黑体" w:hAnsi="黑体" w:eastAsia="黑体" w:cs="黑体"/>
    </w:rPr>
  </w:style>
  <w:style w:type="paragraph" w:customStyle="1" w:styleId="84">
    <w:name w:val="标准文件_术语条二"/>
    <w:basedOn w:val="79"/>
    <w:next w:val="25"/>
    <w:qFormat/>
    <w:uiPriority w:val="0"/>
    <w:pPr>
      <w:ind w:left="960" w:hanging="960" w:hangingChars="200"/>
    </w:pPr>
    <w:rPr>
      <w:rFonts w:ascii="黑体" w:hAnsi="黑体" w:eastAsia="黑体" w:cs="黑体"/>
    </w:rPr>
  </w:style>
  <w:style w:type="paragraph" w:customStyle="1" w:styleId="85">
    <w:name w:val="标准文件_术语条三"/>
    <w:basedOn w:val="80"/>
    <w:next w:val="25"/>
    <w:qFormat/>
    <w:uiPriority w:val="0"/>
    <w:pPr>
      <w:ind w:left="960" w:hanging="960" w:hangingChars="200"/>
    </w:pPr>
    <w:rPr>
      <w:rFonts w:ascii="黑体" w:hAnsi="黑体" w:eastAsia="黑体" w:cs="黑体"/>
    </w:rPr>
  </w:style>
  <w:style w:type="paragraph" w:customStyle="1" w:styleId="86">
    <w:name w:val="标准文件_术语条四"/>
    <w:basedOn w:val="81"/>
    <w:next w:val="25"/>
    <w:qFormat/>
    <w:uiPriority w:val="0"/>
    <w:pPr>
      <w:ind w:left="960" w:hanging="960" w:hangingChars="200"/>
    </w:pPr>
    <w:rPr>
      <w:rFonts w:ascii="黑体" w:hAnsi="黑体" w:eastAsia="黑体" w:cs="黑体"/>
    </w:rPr>
  </w:style>
  <w:style w:type="paragraph" w:customStyle="1" w:styleId="87">
    <w:name w:val="标准文件_术语条五"/>
    <w:basedOn w:val="82"/>
    <w:next w:val="25"/>
    <w:qFormat/>
    <w:uiPriority w:val="0"/>
    <w:pPr>
      <w:ind w:left="960" w:hanging="960" w:hangingChars="200"/>
    </w:pPr>
    <w:rPr>
      <w:rFonts w:ascii="黑体" w:hAnsi="黑体" w:eastAsia="黑体" w:cs="黑体"/>
    </w:rPr>
  </w:style>
  <w:style w:type="paragraph" w:customStyle="1" w:styleId="88">
    <w:name w:val="标准文件_附录标识"/>
    <w:basedOn w:val="1"/>
    <w:next w:val="25"/>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9">
    <w:name w:val="标准文件_附录一级条标题"/>
    <w:next w:val="25"/>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二级条标题"/>
    <w:next w:val="25"/>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三级条标题"/>
    <w:next w:val="25"/>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四级条标题"/>
    <w:next w:val="25"/>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五级条标题"/>
    <w:next w:val="25"/>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一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二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三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四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五级无标题"/>
    <w:basedOn w:val="93"/>
    <w:qFormat/>
    <w:uiPriority w:val="0"/>
    <w:pPr>
      <w:spacing w:before="4" w:beforeLines="1" w:after="4" w:afterLines="1" w:line="276" w:lineRule="auto"/>
    </w:pPr>
    <w:rPr>
      <w:rFonts w:ascii="宋体" w:hAnsi="宋体" w:eastAsia="宋体" w:cs="宋体"/>
    </w:rPr>
  </w:style>
  <w:style w:type="paragraph" w:customStyle="1" w:styleId="99">
    <w:name w:val="附录图标号"/>
    <w:basedOn w:val="25"/>
    <w:next w:val="25"/>
    <w:qFormat/>
    <w:uiPriority w:val="0"/>
    <w:pPr>
      <w:numPr>
        <w:ilvl w:val="0"/>
        <w:numId w:val="2"/>
      </w:numPr>
      <w:spacing w:line="14" w:lineRule="exact"/>
      <w:ind w:left="0"/>
      <w:jc w:val="center"/>
    </w:pPr>
    <w:rPr>
      <w:sz w:val="2"/>
    </w:rPr>
  </w:style>
  <w:style w:type="paragraph" w:customStyle="1" w:styleId="100">
    <w:name w:val="附录图标题"/>
    <w:next w:val="25"/>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1">
    <w:name w:val="附录表标号"/>
    <w:basedOn w:val="25"/>
    <w:next w:val="25"/>
    <w:qFormat/>
    <w:uiPriority w:val="0"/>
    <w:pPr>
      <w:numPr>
        <w:ilvl w:val="0"/>
        <w:numId w:val="9"/>
      </w:numPr>
      <w:spacing w:line="14" w:lineRule="exact"/>
      <w:ind w:left="0"/>
      <w:jc w:val="center"/>
    </w:pPr>
    <w:rPr>
      <w:sz w:val="2"/>
    </w:rPr>
  </w:style>
  <w:style w:type="paragraph" w:customStyle="1" w:styleId="102">
    <w:name w:val="附录表标题"/>
    <w:next w:val="25"/>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3">
    <w:name w:val="标准文件_示例内容"/>
    <w:basedOn w:val="25"/>
    <w:qFormat/>
    <w:uiPriority w:val="0"/>
    <w:pPr>
      <w:suppressAutoHyphens w:val="0"/>
    </w:pPr>
    <w:rPr>
      <w:rFonts w:hAnsi="宋体"/>
      <w:sz w:val="18"/>
    </w:rPr>
  </w:style>
  <w:style w:type="paragraph" w:customStyle="1" w:styleId="104">
    <w:name w:val="标准文件_示例"/>
    <w:next w:val="103"/>
    <w:qFormat/>
    <w:uiPriority w:val="0"/>
    <w:pPr>
      <w:numPr>
        <w:ilvl w:val="0"/>
        <w:numId w:val="10"/>
      </w:numPr>
      <w:suppressAutoHyphens w:val="0"/>
      <w:jc w:val="both"/>
    </w:pPr>
    <w:rPr>
      <w:rFonts w:hint="eastAsia" w:ascii="宋体" w:hAnsi="宋体" w:eastAsia="宋体" w:cs="宋体"/>
      <w:sz w:val="18"/>
    </w:rPr>
  </w:style>
  <w:style w:type="paragraph" w:customStyle="1" w:styleId="105">
    <w:name w:val="标准文件_示例×"/>
    <w:basedOn w:val="1"/>
    <w:next w:val="103"/>
    <w:qFormat/>
    <w:uiPriority w:val="0"/>
    <w:pPr>
      <w:widowControl/>
      <w:numPr>
        <w:ilvl w:val="0"/>
        <w:numId w:val="11"/>
      </w:numPr>
      <w:suppressAutoHyphens w:val="0"/>
      <w:ind w:firstLine="363"/>
    </w:pPr>
    <w:rPr>
      <w:rFonts w:hAnsi="Times New Roman"/>
      <w:sz w:val="18"/>
    </w:rPr>
  </w:style>
  <w:style w:type="paragraph" w:customStyle="1" w:styleId="106">
    <w:name w:val="标准文件_注"/>
    <w:next w:val="25"/>
    <w:qFormat/>
    <w:uiPriority w:val="0"/>
    <w:pPr>
      <w:numPr>
        <w:ilvl w:val="0"/>
        <w:numId w:val="12"/>
      </w:numPr>
      <w:autoSpaceDE w:val="0"/>
      <w:autoSpaceDN w:val="0"/>
      <w:jc w:val="both"/>
    </w:pPr>
    <w:rPr>
      <w:rFonts w:hint="eastAsia" w:ascii="宋体" w:hAnsi="宋体" w:eastAsia="宋体" w:cs="宋体"/>
      <w:sz w:val="18"/>
    </w:rPr>
  </w:style>
  <w:style w:type="paragraph" w:customStyle="1" w:styleId="107">
    <w:name w:val="标准文件_注×"/>
    <w:next w:val="25"/>
    <w:qFormat/>
    <w:uiPriority w:val="0"/>
    <w:pPr>
      <w:numPr>
        <w:ilvl w:val="0"/>
        <w:numId w:val="13"/>
      </w:numPr>
      <w:jc w:val="both"/>
    </w:pPr>
    <w:rPr>
      <w:rFonts w:hint="eastAsia" w:ascii="宋体" w:hAnsi="宋体" w:eastAsia="宋体" w:cs="宋体"/>
      <w:sz w:val="18"/>
    </w:rPr>
  </w:style>
  <w:style w:type="paragraph" w:customStyle="1" w:styleId="108">
    <w:name w:val="标准文件_图表脚注"/>
    <w:basedOn w:val="1"/>
    <w:next w:val="25"/>
    <w:qFormat/>
    <w:uiPriority w:val="0"/>
    <w:pPr>
      <w:numPr>
        <w:ilvl w:val="0"/>
        <w:numId w:val="14"/>
      </w:numPr>
      <w:suppressAutoHyphens w:val="0"/>
      <w:adjustRightInd w:val="0"/>
      <w:jc w:val="left"/>
    </w:pPr>
    <w:rPr>
      <w:rFonts w:hAnsi="宋体"/>
      <w:sz w:val="18"/>
    </w:rPr>
  </w:style>
  <w:style w:type="paragraph" w:customStyle="1" w:styleId="109">
    <w:name w:val="标准文件_标准正文"/>
    <w:basedOn w:val="1"/>
    <w:next w:val="25"/>
    <w:qFormat/>
    <w:uiPriority w:val="0"/>
    <w:pPr>
      <w:ind w:firstLine="960" w:firstLineChars="200"/>
    </w:pPr>
  </w:style>
  <w:style w:type="paragraph" w:customStyle="1" w:styleId="110">
    <w:name w:val="标准文件_正文公式"/>
    <w:basedOn w:val="1"/>
    <w:next w:val="109"/>
    <w:qFormat/>
    <w:uiPriority w:val="0"/>
    <w:pPr>
      <w:tabs>
        <w:tab w:val="center" w:pos="4678"/>
        <w:tab w:val="right" w:leader="middleDot" w:pos="9355"/>
      </w:tabs>
    </w:pPr>
  </w:style>
  <w:style w:type="paragraph" w:customStyle="1" w:styleId="111">
    <w:name w:val="标准文件_表格"/>
    <w:basedOn w:val="25"/>
    <w:qFormat/>
    <w:uiPriority w:val="0"/>
    <w:pPr>
      <w:jc w:val="center"/>
    </w:pPr>
    <w:rPr>
      <w:sz w:val="18"/>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3">
    <w:name w:val="标准文件_正文表标题"/>
    <w:next w:val="25"/>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4">
    <w:name w:val="标准文件_正文图标题"/>
    <w:next w:val="25"/>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5">
    <w:name w:val="标准文件_索引标题"/>
    <w:basedOn w:val="34"/>
    <w:next w:val="25"/>
    <w:qFormat/>
    <w:uiPriority w:val="0"/>
    <w:rPr>
      <w:rFonts w:hAnsi="黑体"/>
    </w:rPr>
  </w:style>
  <w:style w:type="paragraph" w:customStyle="1" w:styleId="116">
    <w:name w:val="标准文件_索引项"/>
    <w:basedOn w:val="25"/>
    <w:next w:val="25"/>
    <w:qFormat/>
    <w:uiPriority w:val="0"/>
    <w:pPr>
      <w:tabs>
        <w:tab w:val="right" w:leader="dot" w:pos="9355"/>
      </w:tabs>
      <w:autoSpaceDE w:val="0"/>
      <w:autoSpaceDN w:val="0"/>
      <w:ind w:left="177" w:hanging="177" w:hangingChars="37"/>
      <w:jc w:val="left"/>
    </w:pPr>
  </w:style>
  <w:style w:type="paragraph" w:customStyle="1" w:styleId="117">
    <w:name w:val="标准文件_索引字母"/>
    <w:next w:val="25"/>
    <w:qFormat/>
    <w:uiPriority w:val="0"/>
    <w:pPr>
      <w:jc w:val="center"/>
    </w:pPr>
    <w:rPr>
      <w:rFonts w:hint="eastAsia" w:ascii="宋体" w:hAnsi="宋体" w:eastAsia="宋体" w:cs="宋体"/>
      <w:b/>
      <w:kern w:val="2"/>
      <w:sz w:val="21"/>
    </w:rPr>
  </w:style>
  <w:style w:type="paragraph" w:customStyle="1" w:styleId="118">
    <w:name w:val="标准文件_提示"/>
    <w:basedOn w:val="1"/>
    <w:qFormat/>
    <w:uiPriority w:val="0"/>
    <w:pPr>
      <w:ind w:firstLine="960" w:firstLineChars="200"/>
    </w:pPr>
    <w:rPr>
      <w:rFonts w:ascii="黑体" w:hAnsi="黑体" w:eastAsia="黑体" w:cs="黑体"/>
    </w:rPr>
  </w:style>
  <w:style w:type="paragraph" w:customStyle="1" w:styleId="119">
    <w:name w:val="标准文件_参考文献编号"/>
    <w:basedOn w:val="25"/>
    <w:qFormat/>
    <w:uiPriority w:val="0"/>
    <w:pPr>
      <w:numPr>
        <w:ilvl w:val="0"/>
        <w:numId w:val="17"/>
      </w:numPr>
    </w:pPr>
  </w:style>
  <w:style w:type="character" w:customStyle="1" w:styleId="120">
    <w:name w:val="标准文件_正文标准名称 Char"/>
    <w:link w:val="56"/>
    <w:qFormat/>
    <w:uiPriority w:val="0"/>
    <w:rPr>
      <w:rFonts w:ascii="黑体" w:hAnsi="黑体" w:eastAsia="黑体" w:cs="黑体"/>
      <w:sz w:val="32"/>
    </w:rPr>
  </w:style>
  <w:style w:type="paragraph" w:customStyle="1" w:styleId="1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2">
    <w:name w:val="注：（正文）"/>
    <w:basedOn w:val="123"/>
    <w:next w:val="121"/>
    <w:qFormat/>
    <w:uiPriority w:val="0"/>
    <w:pPr>
      <w:numPr>
        <w:ilvl w:val="0"/>
        <w:numId w:val="18"/>
      </w:numPr>
    </w:pPr>
  </w:style>
  <w:style w:type="paragraph" w:customStyle="1" w:styleId="123">
    <w:name w:val="注："/>
    <w:next w:val="121"/>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4">
    <w:name w:val="标准文件_注："/>
    <w:next w:val="25"/>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25B5781D">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9011B7C">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0BDF6D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3318</Words>
  <Characters>3893</Characters>
  <Lines>0</Lines>
  <Paragraphs>0</Paragraphs>
  <TotalTime>1</TotalTime>
  <ScaleCrop>false</ScaleCrop>
  <LinksUpToDate>false</LinksUpToDate>
  <CharactersWithSpaces>4138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l</cp:lastModifiedBy>
  <dcterms:modified xsi:type="dcterms:W3CDTF">2025-04-18T09:25:38Z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6F9C1558C851400CA6D8C4871979E171_13</vt:lpwstr>
  </property>
  <property fmtid="{D5CDD505-2E9C-101B-9397-08002B2CF9AE}" pid="4" name="KSOTemplateDocerSaveRecord">
    <vt:lpwstr>eyJoZGlkIjoiODhkNWY1NmM2YzE4MjliNTY1ZTgzZDM3ZmU5ODdjZDIiLCJ1c2VySWQiOiI2MjI4MjQzNzQifQ==</vt:lpwstr>
  </property>
</Properties>
</file>