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04CBD">
      <w:pPr>
        <w:pStyle w:val="29"/>
        <w:bidi w:val="0"/>
        <w:rPr>
          <w:rFonts w:hint="eastAsia"/>
          <w:lang w:val="en-US" w:eastAsia="zh-CN"/>
        </w:rPr>
      </w:pPr>
      <w:bookmarkStart w:id="0" w:name="TMark1"/>
      <w:r>
        <w:rPr>
          <w:rFonts w:hint="eastAsia" w:ascii="黑体" w:hAnsi="Times New Roman" w:eastAsia="黑体" w:cs="Times New Roman"/>
          <w:sz w:val="48"/>
          <w:lang w:val="en-US" w:eastAsia="zh-CN"/>
        </w:rPr>
        <w:fldChar w:fldCharType="begin">
          <w:ffData>
            <w:name w:val="TMark1"/>
            <w:enabled/>
            <w:calcOnExit w:val="0"/>
            <w:textInput>
              <w:default w:val="吉安市绿色农产品促进会"/>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吉安市绿色农产品促进会</w:t>
      </w:r>
      <w:r>
        <w:rPr>
          <w:rFonts w:hint="eastAsia" w:ascii="黑体" w:hAnsi="Times New Roman" w:eastAsia="黑体" w:cs="Times New Roman"/>
          <w:sz w:val="48"/>
          <w:lang w:val="en-US" w:eastAsia="zh-CN"/>
        </w:rPr>
        <w:fldChar w:fldCharType="end"/>
      </w:r>
      <w:bookmarkEnd w:id="0"/>
      <w:r>
        <w:rPr>
          <w:rFonts w:hint="eastAsia"/>
          <w:lang w:val="en-US" w:eastAsia="zh-CN"/>
        </w:rPr>
        <w:t>团体标准</w:t>
      </w:r>
    </w:p>
    <w:p w14:paraId="58167014">
      <w:pPr>
        <w:pStyle w:val="40"/>
        <w:bidi w:val="0"/>
        <w:rPr>
          <w:rFonts w:hint="eastAsia"/>
          <w:lang w:val="en-US" w:eastAsia="zh-CN"/>
        </w:rPr>
      </w:pPr>
      <w:bookmarkStart w:id="1" w:name="StandNo"/>
      <w:r>
        <w:rPr>
          <w:rFonts w:hint="eastAsia" w:ascii="黑体" w:hAnsi="Times New Roman" w:eastAsia="黑体" w:cs="Times New Roman"/>
          <w:sz w:val="28"/>
          <w:lang w:val="en-US" w:eastAsia="zh-CN"/>
        </w:rPr>
        <w:fldChar w:fldCharType="begin">
          <w:ffData>
            <w:name w:val="StandNo"/>
            <w:enabled/>
            <w:calcOnExit w:val="0"/>
            <w:textInput>
              <w:default w:val="T/JALNCP X-2025"/>
            </w:textInput>
          </w:ffData>
        </w:fldChar>
      </w:r>
      <w:r>
        <w:rPr>
          <w:rFonts w:hint="eastAsia" w:ascii="黑体" w:hAnsi="Times New Roman" w:eastAsia="黑体" w:cs="Times New Roman"/>
          <w:sz w:val="28"/>
          <w:lang w:val="en-US" w:eastAsia="zh-CN"/>
        </w:rPr>
        <w:instrText xml:space="preserve">FORMTEXT</w:instrText>
      </w:r>
      <w:r>
        <w:rPr>
          <w:rFonts w:hint="eastAsia" w:ascii="黑体" w:hAnsi="Times New Roman" w:eastAsia="黑体" w:cs="Times New Roman"/>
          <w:sz w:val="28"/>
          <w:lang w:val="en-US" w:eastAsia="zh-CN"/>
        </w:rPr>
        <w:fldChar w:fldCharType="separate"/>
      </w:r>
      <w:r>
        <w:rPr>
          <w:rFonts w:hint="eastAsia" w:ascii="黑体" w:hAnsi="Times New Roman" w:eastAsia="黑体" w:cs="Times New Roman"/>
          <w:sz w:val="28"/>
          <w:lang w:val="en-US" w:eastAsia="zh-CN"/>
        </w:rPr>
        <w:t>T/JALNCP X-2025</w:t>
      </w:r>
      <w:r>
        <w:rPr>
          <w:rFonts w:hint="eastAsia" w:ascii="黑体" w:hAnsi="Times New Roman" w:eastAsia="黑体" w:cs="Times New Roman"/>
          <w:sz w:val="28"/>
          <w:lang w:val="en-US" w:eastAsia="zh-CN"/>
        </w:rPr>
        <w:fldChar w:fldCharType="end"/>
      </w:r>
      <w:bookmarkEnd w:id="1"/>
    </w:p>
    <w:p w14:paraId="12278792">
      <w:pPr>
        <w:pStyle w:val="39"/>
        <w:bidi w:val="0"/>
        <w:rPr>
          <w:rFonts w:hint="eastAsia"/>
          <w:lang w:val="en-US" w:eastAsia="zh-CN"/>
        </w:rPr>
      </w:pPr>
      <w:r>
        <w:rPr>
          <w:rFonts w:hint="eastAsia"/>
          <w:lang w:val="en-US" w:eastAsia="zh-CN"/>
        </w:rPr>
        <w:fldChar w:fldCharType="begin">
          <w:ffData>
            <w:name w:val="ReplaceT"/>
            <w:enabled/>
            <w:calcOnExit w:val="0"/>
            <w:textInput/>
          </w:ffData>
        </w:fldChar>
      </w:r>
      <w:bookmarkStart w:id="2"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45EF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41" w:type="dxa"/>
            <w:tcBorders>
              <w:top w:val="single" w:color="auto" w:sz="8" w:space="0"/>
            </w:tcBorders>
          </w:tcPr>
          <w:p w14:paraId="0198C9EF">
            <w:pPr>
              <w:pStyle w:val="34"/>
              <w:widowControl w:val="0"/>
              <w:bidi w:val="0"/>
              <w:jc w:val="both"/>
              <w:rPr>
                <w:rFonts w:hint="eastAsia"/>
                <w:sz w:val="10"/>
                <w:vertAlign w:val="baseline"/>
                <w:lang w:val="en-US" w:eastAsia="zh-CN"/>
              </w:rPr>
            </w:pPr>
          </w:p>
        </w:tc>
      </w:tr>
    </w:tbl>
    <w:p w14:paraId="21878ECD">
      <w:pPr>
        <w:pStyle w:val="41"/>
        <w:bidi w:val="0"/>
        <w:rPr>
          <w:rFonts w:hint="eastAsia"/>
          <w:lang w:val="en-US" w:eastAsia="zh-CN"/>
        </w:rPr>
      </w:pPr>
      <w:bookmarkStart w:id="3" w:name="StdName"/>
      <w:r>
        <w:rPr>
          <w:rFonts w:hint="eastAsia" w:ascii="黑体" w:hAnsi="Times New Roman" w:eastAsia="黑体" w:cs="Times New Roman"/>
          <w:sz w:val="52"/>
          <w:lang w:val="en-US" w:eastAsia="zh-CN"/>
        </w:rPr>
        <w:fldChar w:fldCharType="begin">
          <w:ffData>
            <w:name w:val="StdName"/>
            <w:enabled/>
            <w:calcOnExit w:val="0"/>
            <w:textInput>
              <w:default w:val="井冈山大叶空心菜种植技术规程"/>
            </w:textInput>
          </w:ffData>
        </w:fldChar>
      </w:r>
      <w:r>
        <w:rPr>
          <w:rFonts w:hint="eastAsia" w:ascii="黑体" w:hAnsi="Times New Roman" w:eastAsia="黑体" w:cs="Times New Roman"/>
          <w:sz w:val="52"/>
          <w:lang w:val="en-US" w:eastAsia="zh-CN"/>
        </w:rPr>
        <w:instrText xml:space="preserve">FORMTEXT</w:instrText>
      </w:r>
      <w:r>
        <w:rPr>
          <w:rFonts w:hint="eastAsia" w:ascii="黑体" w:hAnsi="Times New Roman" w:eastAsia="黑体" w:cs="Times New Roman"/>
          <w:sz w:val="52"/>
          <w:lang w:val="en-US" w:eastAsia="zh-CN"/>
        </w:rPr>
        <w:fldChar w:fldCharType="separate"/>
      </w:r>
      <w:r>
        <w:rPr>
          <w:rFonts w:hint="eastAsia" w:ascii="黑体" w:hAnsi="Times New Roman" w:eastAsia="黑体" w:cs="Times New Roman"/>
          <w:sz w:val="52"/>
          <w:lang w:val="en-US" w:eastAsia="zh-CN"/>
        </w:rPr>
        <w:t>井冈山大叶空心菜种植技术规程</w:t>
      </w:r>
      <w:r>
        <w:rPr>
          <w:rFonts w:hint="eastAsia" w:ascii="黑体" w:hAnsi="Times New Roman" w:eastAsia="黑体" w:cs="Times New Roman"/>
          <w:sz w:val="52"/>
          <w:lang w:val="en-US" w:eastAsia="zh-CN"/>
        </w:rPr>
        <w:fldChar w:fldCharType="end"/>
      </w:r>
      <w:bookmarkEnd w:id="3"/>
    </w:p>
    <w:p w14:paraId="49208873">
      <w:pPr>
        <w:pStyle w:val="42"/>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Technical regulations for planting big leaved water spinach in Jinggangshan"/>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Technical regulations for planting big leaved water spinach in Jinggangshan</w:t>
      </w:r>
      <w:r>
        <w:rPr>
          <w:rFonts w:hint="eastAsia" w:ascii="Times New Roman" w:hAnsi="Times New Roman" w:eastAsia="黑体" w:cs="Times New Roman"/>
          <w:sz w:val="28"/>
          <w:lang w:val="en-US" w:eastAsia="zh-CN"/>
        </w:rPr>
        <w:fldChar w:fldCharType="end"/>
      </w:r>
      <w:bookmarkEnd w:id="4"/>
    </w:p>
    <w:p w14:paraId="7F687191">
      <w:pPr>
        <w:pStyle w:val="43"/>
        <w:bidi w:val="0"/>
        <w:rPr>
          <w:rFonts w:hint="eastAsia"/>
          <w:lang w:val="en-US" w:eastAsia="zh-CN"/>
        </w:rPr>
      </w:pPr>
      <w:r>
        <w:rPr>
          <w:rFonts w:hint="eastAsia" w:cs="Times New Roman"/>
          <w:sz w:val="28"/>
          <w:lang w:val="en-US" w:eastAsia="zh-CN"/>
        </w:rPr>
        <w:t xml:space="preserve"> </w:t>
      </w:r>
    </w:p>
    <w:p w14:paraId="77849CB8">
      <w:pPr>
        <w:pStyle w:val="44"/>
        <w:bidi w:val="0"/>
        <w:spacing w:after="0"/>
        <w:rPr>
          <w:rFonts w:hint="eastAsia"/>
          <w:lang w:val="en-US" w:eastAsia="zh-CN"/>
        </w:rPr>
      </w:pPr>
      <w:bookmarkStart w:id="5" w:name="LB"/>
      <w:r>
        <w:rPr>
          <w:rFonts w:hint="eastAsia" w:ascii="黑体" w:hAnsi="黑体" w:eastAsia="黑体" w:cs="黑体"/>
          <w:sz w:val="24"/>
          <w:lang w:val="en-US" w:eastAsia="zh-CN"/>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5"/>
    </w:p>
    <w:p w14:paraId="77DD3056">
      <w:pPr>
        <w:pStyle w:val="45"/>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14:paraId="230EBBC7">
      <w:pPr>
        <w:pStyle w:val="46"/>
        <w:bidi w:val="0"/>
        <w:spacing w:before="687" w:beforeLines="220"/>
        <w:rPr>
          <w:rFonts w:hint="eastAsia"/>
          <w:lang w:val="en-US" w:eastAsia="zh-CN"/>
        </w:rPr>
      </w:pPr>
      <w:bookmarkStart w:id="7" w:name="FileSelect"/>
      <w:r>
        <w:rPr>
          <w:rFonts w:hint="eastAsia" w:ascii="Times New Roman" w:hAnsi="Times New Roman" w:eastAsia="黑体" w:cs="Times New Roman"/>
          <w:b/>
          <w:sz w:val="21"/>
          <w:lang w:val="en-US" w:eastAsia="zh-CN"/>
        </w:rPr>
        <w:fldChar w:fldCharType="begin">
          <w:ffData>
            <w:name w:val="FileSelect"/>
            <w:enabled/>
            <w:calcOnExit w:val="0"/>
            <w:ddList>
              <w:listEntry w:val="     "/>
              <w:listEntry w:val="在提交反馈意见时，请将您知道的相关专利连同支持性文件一并附上。"/>
            </w:ddList>
          </w:ffData>
        </w:fldChar>
      </w:r>
      <w:r>
        <w:rPr>
          <w:rFonts w:hint="eastAsia" w:ascii="Times New Roman" w:hAnsi="Times New Roman" w:eastAsia="黑体" w:cs="Times New Roman"/>
          <w:b/>
          <w:sz w:val="21"/>
          <w:lang w:val="en-US" w:eastAsia="zh-CN"/>
        </w:rPr>
        <w:instrText xml:space="preserve">FORMDROPDOWN</w:instrText>
      </w:r>
      <w:r>
        <w:rPr>
          <w:rFonts w:hint="eastAsia" w:ascii="Times New Roman" w:hAnsi="Times New Roman" w:eastAsia="黑体" w:cs="Times New Roman"/>
          <w:b/>
          <w:sz w:val="21"/>
          <w:lang w:val="en-US" w:eastAsia="zh-CN"/>
        </w:rPr>
        <w:fldChar w:fldCharType="separate"/>
      </w:r>
      <w:r>
        <w:rPr>
          <w:rFonts w:hint="eastAsia" w:ascii="Times New Roman" w:hAnsi="Times New Roman" w:eastAsia="黑体" w:cs="Times New Roman"/>
          <w:b/>
          <w:sz w:val="21"/>
          <w:lang w:val="en-US" w:eastAsia="zh-CN"/>
        </w:rPr>
        <w:fldChar w:fldCharType="end"/>
      </w:r>
      <w:bookmarkEnd w:id="7"/>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5B47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870" w:type="dxa"/>
            <w:tcBorders>
              <w:bottom w:val="single" w:color="auto" w:sz="8" w:space="0"/>
            </w:tcBorders>
            <w:tcMar>
              <w:left w:w="57" w:type="dxa"/>
              <w:bottom w:w="28" w:type="dxa"/>
            </w:tcMar>
          </w:tcPr>
          <w:p w14:paraId="490BC54A">
            <w:pPr>
              <w:pStyle w:val="38"/>
              <w:widowControl w:val="0"/>
              <w:bidi w:val="0"/>
              <w:jc w:val="both"/>
              <w:rPr>
                <w:rFonts w:hint="eastAsia"/>
                <w:vertAlign w:val="baseline"/>
                <w:lang w:val="en-US" w:eastAsia="zh-CN"/>
              </w:rPr>
            </w:pPr>
            <w:bookmarkStart w:id="8" w:name="FY"/>
            <w:r>
              <w:rPr>
                <w:rFonts w:hint="eastAsia" w:ascii="黑体" w:hAnsi="Times New Roman" w:eastAsia="黑体" w:cs="Times New Roman"/>
                <w:sz w:val="28"/>
                <w:vertAlign w:val="baseline"/>
                <w:lang w:val="en-US" w:eastAsia="zh-CN"/>
              </w:rPr>
              <w:fldChar w:fldCharType="begin">
                <w:ffData>
                  <w:name w:val="FY"/>
                  <w:enabled/>
                  <w:calcOnExit w:val="0"/>
                  <w:textInput>
                    <w:default w:val="2025"/>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2025</w:t>
            </w:r>
            <w:r>
              <w:rPr>
                <w:rFonts w:hint="eastAsia" w:ascii="黑体" w:hAnsi="Times New Roman" w:eastAsia="黑体" w:cs="Times New Roman"/>
                <w:sz w:val="28"/>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871" w:type="dxa"/>
            <w:tcBorders>
              <w:bottom w:val="single" w:color="auto" w:sz="8" w:space="0"/>
            </w:tcBorders>
            <w:tcMar>
              <w:right w:w="57" w:type="dxa"/>
            </w:tcMar>
          </w:tcPr>
          <w:p w14:paraId="6D4E4927">
            <w:pPr>
              <w:pStyle w:val="38"/>
              <w:widowControl w:val="0"/>
              <w:bidi w:val="0"/>
              <w:jc w:val="right"/>
              <w:rPr>
                <w:rFonts w:hint="eastAsia"/>
                <w:vertAlign w:val="baseline"/>
                <w:lang w:val="en-US" w:eastAsia="zh-CN"/>
              </w:rPr>
            </w:pPr>
            <w:bookmarkStart w:id="11" w:name="SY"/>
            <w:r>
              <w:rPr>
                <w:rFonts w:hint="eastAsia" w:ascii="黑体" w:hAnsi="Times New Roman" w:eastAsia="黑体" w:cs="Times New Roman"/>
                <w:sz w:val="28"/>
                <w:vertAlign w:val="baseline"/>
                <w:lang w:val="en-US" w:eastAsia="zh-CN"/>
              </w:rPr>
              <w:fldChar w:fldCharType="begin">
                <w:ffData>
                  <w:name w:val="SY"/>
                  <w:enabled/>
                  <w:calcOnExit w:val="0"/>
                  <w:textInput>
                    <w:default w:val="2025"/>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2025</w:t>
            </w:r>
            <w:r>
              <w:rPr>
                <w:rFonts w:hint="eastAsia" w:ascii="黑体" w:hAnsi="Times New Roman" w:eastAsia="黑体" w:cs="Times New Roman"/>
                <w:sz w:val="28"/>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14:paraId="56C9BB39">
      <w:pPr>
        <w:pStyle w:val="48"/>
        <w:bidi w:val="0"/>
        <w:spacing w:before="0"/>
        <w:rPr>
          <w:rFonts w:hint="eastAsia"/>
          <w:spacing w:val="0"/>
          <w:w w:val="100"/>
          <w:sz w:val="28"/>
          <w:lang w:val="en-US" w:eastAsia="zh-CN"/>
        </w:rPr>
      </w:pPr>
      <w:bookmarkStart w:id="14" w:name="FM2"/>
      <w:r>
        <w:rPr>
          <w:rFonts w:hint="eastAsia" w:ascii="黑体" w:hAnsi="黑体" w:eastAsia="黑体" w:cs="Times New Roman"/>
          <w:spacing w:val="0"/>
          <w:w w:val="100"/>
          <w:sz w:val="28"/>
          <w:lang w:val="en-US" w:eastAsia="zh-CN"/>
        </w:rPr>
        <w:fldChar w:fldCharType="begin">
          <w:ffData>
            <w:name w:val="FM2"/>
            <w:enabled/>
            <w:calcOnExit w:val="0"/>
            <w:textInput>
              <w:default w:val="吉安市绿色农产品促进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吉安市绿色农产品促进会</w:t>
      </w:r>
      <w:r>
        <w:rPr>
          <w:rFonts w:hint="eastAsia" w:ascii="黑体" w:hAnsi="黑体" w:eastAsia="黑体" w:cs="Times New Roman"/>
          <w:spacing w:val="0"/>
          <w:w w:val="100"/>
          <w:sz w:val="28"/>
          <w:lang w:val="en-US" w:eastAsia="zh-CN"/>
        </w:rPr>
        <w:fldChar w:fldCharType="end"/>
      </w:r>
      <w:bookmarkEnd w:id="14"/>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2B8E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40BED673">
            <w:pPr>
              <w:pStyle w:val="52"/>
              <w:framePr w:w="9639"/>
              <w:bidi w:val="0"/>
              <w:jc w:val="both"/>
              <w:rPr>
                <w:rFonts w:hint="eastAsia"/>
                <w:vertAlign w:val="baseline"/>
                <w:lang w:val="en-US" w:eastAsia="zh-CN"/>
              </w:rPr>
            </w:pPr>
            <w:r>
              <w:rPr>
                <w:rFonts w:hint="eastAsia"/>
                <w:vertAlign w:val="baseline"/>
                <w:lang w:val="en-US" w:eastAsia="zh-CN"/>
              </w:rPr>
              <w:t>ICS</w:t>
            </w:r>
          </w:p>
        </w:tc>
        <w:tc>
          <w:tcPr>
            <w:tcW w:w="9107" w:type="dxa"/>
          </w:tcPr>
          <w:p w14:paraId="7BCD37EA">
            <w:pPr>
              <w:pStyle w:val="52"/>
              <w:framePr w:w="9639"/>
              <w:bidi w:val="0"/>
              <w:jc w:val="both"/>
              <w:rPr>
                <w:rFonts w:hint="eastAsia"/>
                <w:vertAlign w:val="baseline"/>
                <w:lang w:val="en-US" w:eastAsia="zh-CN"/>
              </w:rPr>
            </w:pPr>
            <w:bookmarkStart w:id="15"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67.080.10"/>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67.080.10</w:t>
            </w:r>
            <w:r>
              <w:rPr>
                <w:rFonts w:hint="eastAsia" w:ascii="黑体" w:hAnsi="Times New Roman" w:eastAsia="黑体" w:cs="Times New Roman"/>
                <w:kern w:val="21"/>
                <w:sz w:val="21"/>
                <w:vertAlign w:val="baseline"/>
                <w:lang w:val="en-US" w:eastAsia="zh-CN"/>
              </w:rPr>
              <w:fldChar w:fldCharType="end"/>
            </w:r>
            <w:bookmarkEnd w:id="15"/>
          </w:p>
        </w:tc>
      </w:tr>
      <w:tr w14:paraId="0F03D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02506011">
            <w:pPr>
              <w:pStyle w:val="52"/>
              <w:framePr w:w="9639"/>
              <w:bidi w:val="0"/>
              <w:jc w:val="both"/>
              <w:rPr>
                <w:rFonts w:hint="eastAsia"/>
                <w:vertAlign w:val="baseline"/>
                <w:lang w:val="en-US" w:eastAsia="zh-CN"/>
              </w:rPr>
            </w:pPr>
            <w:r>
              <w:rPr>
                <w:rFonts w:hint="eastAsia"/>
                <w:vertAlign w:val="baseline"/>
                <w:lang w:val="en-US" w:eastAsia="zh-CN"/>
              </w:rPr>
              <w:t>CCS</w:t>
            </w:r>
          </w:p>
        </w:tc>
        <w:tc>
          <w:tcPr>
            <w:tcW w:w="9107" w:type="dxa"/>
          </w:tcPr>
          <w:p w14:paraId="16EA5229">
            <w:pPr>
              <w:pStyle w:val="52"/>
              <w:framePr w:w="9639"/>
              <w:bidi w:val="0"/>
              <w:jc w:val="both"/>
              <w:rPr>
                <w:rFonts w:hint="eastAsia"/>
                <w:vertAlign w:val="baseline"/>
                <w:lang w:val="en-US" w:eastAsia="zh-CN"/>
              </w:rPr>
            </w:pPr>
            <w:bookmarkStart w:id="16" w:name="CCS"/>
            <w:r>
              <w:rPr>
                <w:rFonts w:hint="eastAsia" w:ascii="黑体" w:hAnsi="Times New Roman" w:eastAsia="黑体" w:cs="Times New Roman"/>
                <w:kern w:val="21"/>
                <w:sz w:val="21"/>
                <w:vertAlign w:val="baseline"/>
                <w:lang w:val="en-US" w:eastAsia="zh-CN"/>
              </w:rPr>
              <w:fldChar w:fldCharType="begin">
                <w:ffData>
                  <w:name w:val="CCS"/>
                  <w:enabled/>
                  <w:calcOnExit w:val="0"/>
                  <w:textInput>
                    <w:default w:val="B 31"/>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B 31</w:t>
            </w:r>
            <w:r>
              <w:rPr>
                <w:rFonts w:hint="eastAsia" w:ascii="黑体" w:hAnsi="Times New Roman" w:eastAsia="黑体" w:cs="Times New Roman"/>
                <w:kern w:val="21"/>
                <w:sz w:val="21"/>
                <w:vertAlign w:val="baseline"/>
                <w:lang w:val="en-US" w:eastAsia="zh-CN"/>
              </w:rPr>
              <w:fldChar w:fldCharType="end"/>
            </w:r>
            <w:bookmarkEnd w:id="16"/>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7889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6662" w:type="dxa"/>
                  <w:vAlign w:val="center"/>
                </w:tcPr>
                <w:p w14:paraId="01842023">
                  <w:pPr>
                    <w:pStyle w:val="52"/>
                    <w:framePr w:w="9639"/>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fldChar w:fldCharType="begin">
                      <w:ffData>
                        <w:name w:val="TMark"/>
                        <w:enabled/>
                        <w:calcOnExit w:val="0"/>
                        <w:textInput>
                          <w:maxLength w:val="8"/>
                        </w:textInput>
                      </w:ffData>
                    </w:fldChar>
                  </w:r>
                  <w:bookmarkStart w:id="17" w:name="TMark"/>
                  <w:r>
                    <w:rPr>
                      <w:rFonts w:hint="eastAsia" w:ascii="Times New Roman" w:eastAsia="宋体" w:cs="Times New Roman"/>
                      <w:b/>
                      <w:w w:val="130"/>
                      <w:kern w:val="0"/>
                      <w:sz w:val="96"/>
                      <w:vertAlign w:val="baseline"/>
                      <w:lang w:val="en-US" w:eastAsia="zh-CN"/>
                    </w:rPr>
                    <w:instrText xml:space="preserve">FORMTEXT</w:instrText>
                  </w:r>
                  <w:r>
                    <w:rPr>
                      <w:rFonts w:hint="eastAsia" w:ascii="Times New Roman" w:eastAsia="宋体" w:cs="Times New Roman"/>
                      <w:b/>
                      <w:w w:val="130"/>
                      <w:kern w:val="0"/>
                      <w:sz w:val="96"/>
                      <w:vertAlign w:val="baseline"/>
                      <w:lang w:val="en-US" w:eastAsia="zh-CN"/>
                    </w:rPr>
                    <w:fldChar w:fldCharType="separate"/>
                  </w:r>
                  <w:r>
                    <w:rPr>
                      <w:rFonts w:hint="eastAsia" w:ascii="Times New Roman" w:eastAsia="宋体" w:cs="Times New Roman"/>
                      <w:b/>
                      <w:w w:val="130"/>
                      <w:kern w:val="0"/>
                      <w:sz w:val="96"/>
                      <w:vertAlign w:val="baseline"/>
                      <w:lang w:val="en-US" w:eastAsia="zh-CN"/>
                    </w:rPr>
                    <w:t>JALNCP</w:t>
                  </w:r>
                  <w:r>
                    <w:rPr>
                      <w:rFonts w:hint="eastAsia" w:ascii="Times New Roman" w:eastAsia="宋体" w:cs="Times New Roman"/>
                      <w:b/>
                      <w:w w:val="130"/>
                      <w:kern w:val="0"/>
                      <w:sz w:val="96"/>
                      <w:vertAlign w:val="baseline"/>
                      <w:lang w:val="en-US" w:eastAsia="zh-CN"/>
                    </w:rPr>
                    <w:fldChar w:fldCharType="end"/>
                  </w:r>
                  <w:bookmarkEnd w:id="17"/>
                </w:p>
              </w:tc>
            </w:tr>
          </w:tbl>
          <w:p w14:paraId="135E5C21">
            <w:pPr>
              <w:pStyle w:val="52"/>
              <w:framePr w:w="9639"/>
              <w:bidi w:val="0"/>
              <w:jc w:val="both"/>
              <w:rPr>
                <w:rFonts w:hint="eastAsia"/>
                <w:vertAlign w:val="baseline"/>
                <w:lang w:val="en-US" w:eastAsia="zh-CN"/>
              </w:rPr>
            </w:pPr>
          </w:p>
        </w:tc>
      </w:tr>
    </w:tbl>
    <w:p w14:paraId="4B0BF0FF">
      <w:pPr>
        <w:pStyle w:val="52"/>
        <w:framePr w:w="9639"/>
        <w:bidi w:val="0"/>
        <w:rPr>
          <w:rFonts w:hint="eastAsia"/>
          <w:lang w:val="en-US" w:eastAsia="zh-CN"/>
        </w:rPr>
        <w:sectPr>
          <w:headerReference r:id="rId3" w:type="even"/>
          <w:pgSz w:w="11906" w:h="16838"/>
          <w:pgMar w:top="-340" w:right="1134" w:bottom="1021" w:left="1134" w:header="0" w:footer="0" w:gutter="284"/>
          <w:lnNumType w:countBy="0" w:restart="continuous"/>
          <w:pgNumType w:fmt="decimal" w:start="1"/>
          <w:cols w:space="425" w:num="1"/>
          <w:titlePg/>
          <w:docGrid w:type="lines" w:linePitch="312" w:charSpace="0"/>
        </w:sectPr>
      </w:pPr>
    </w:p>
    <w:p w14:paraId="26E06813">
      <w:pPr>
        <w:pStyle w:val="53"/>
        <w:bidi w:val="0"/>
        <w:rPr>
          <w:rFonts w:hint="eastAsia"/>
          <w:lang w:val="en-US" w:eastAsia="zh-CN"/>
        </w:rPr>
      </w:pPr>
      <w:r>
        <w:rPr>
          <w:rFonts w:hint="eastAsia"/>
          <w:spacing w:val="317"/>
          <w:lang w:val="en-US" w:eastAsia="zh-CN"/>
        </w:rPr>
        <w:t>目</w:t>
      </w:r>
      <w:bookmarkStart w:id="18" w:name="BKML"/>
      <w:r>
        <w:rPr>
          <w:rFonts w:hint="eastAsia"/>
          <w:lang w:val="en-US" w:eastAsia="zh-CN"/>
        </w:rPr>
        <w:t>次</w:t>
      </w:r>
      <w:bookmarkEnd w:id="18"/>
    </w:p>
    <w:p w14:paraId="4C95980D">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_Toc6346 </w:instrText>
      </w:r>
      <w:r>
        <w:rPr>
          <w:rFonts w:hint="eastAsia" w:ascii="宋体" w:hAnsi="宋体" w:eastAsia="宋体" w:cs="宋体"/>
          <w:spacing w:val="0"/>
          <w:lang w:val="en-US" w:eastAsia="zh-CN"/>
        </w:rPr>
        <w:fldChar w:fldCharType="separate"/>
      </w:r>
      <w:r>
        <w:rPr>
          <w:rFonts w:hint="eastAsia"/>
          <w:spacing w:val="317"/>
          <w:lang w:val="en-US" w:eastAsia="zh-CN"/>
        </w:rPr>
        <w:t>前</w:t>
      </w:r>
      <w:r>
        <w:rPr>
          <w:rFonts w:hint="eastAsia"/>
          <w:lang w:val="en-US" w:eastAsia="zh-CN"/>
        </w:rPr>
        <w:t>言</w:t>
      </w:r>
      <w:r>
        <w:tab/>
      </w:r>
      <w:r>
        <w:fldChar w:fldCharType="begin"/>
      </w:r>
      <w:r>
        <w:instrText xml:space="preserve"> PAGEREF _Toc6346 \h </w:instrText>
      </w:r>
      <w:r>
        <w:fldChar w:fldCharType="separate"/>
      </w:r>
      <w:r>
        <w:t>II</w:t>
      </w:r>
      <w:r>
        <w:fldChar w:fldCharType="end"/>
      </w:r>
      <w:r>
        <w:rPr>
          <w:rFonts w:hint="eastAsia" w:ascii="宋体" w:hAnsi="宋体" w:eastAsia="宋体" w:cs="宋体"/>
          <w:spacing w:val="0"/>
          <w:lang w:val="en-US" w:eastAsia="zh-CN"/>
        </w:rPr>
        <w:fldChar w:fldCharType="end"/>
      </w:r>
    </w:p>
    <w:p w14:paraId="12F01876">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_Toc8541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1 </w:t>
      </w:r>
      <w:r>
        <w:rPr>
          <w:rFonts w:hint="eastAsia"/>
          <w:lang w:val="en-US" w:eastAsia="zh-CN"/>
        </w:rPr>
        <w:t>范围</w:t>
      </w:r>
      <w:r>
        <w:tab/>
      </w:r>
      <w:r>
        <w:fldChar w:fldCharType="begin"/>
      </w:r>
      <w:r>
        <w:instrText xml:space="preserve"> PAGEREF _Toc8541 \h </w:instrText>
      </w:r>
      <w:r>
        <w:fldChar w:fldCharType="separate"/>
      </w:r>
      <w:r>
        <w:t>1</w:t>
      </w:r>
      <w:r>
        <w:fldChar w:fldCharType="end"/>
      </w:r>
      <w:r>
        <w:rPr>
          <w:rFonts w:hint="eastAsia" w:ascii="宋体" w:hAnsi="宋体" w:eastAsia="宋体" w:cs="宋体"/>
          <w:spacing w:val="0"/>
          <w:lang w:val="en-US" w:eastAsia="zh-CN"/>
        </w:rPr>
        <w:fldChar w:fldCharType="end"/>
      </w:r>
    </w:p>
    <w:p w14:paraId="496F65EE">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_Toc30434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2 </w:t>
      </w:r>
      <w:r>
        <w:rPr>
          <w:rFonts w:hint="eastAsia"/>
          <w:lang w:val="en-US" w:eastAsia="zh-CN"/>
        </w:rPr>
        <w:t>规范性引用文件</w:t>
      </w:r>
      <w:r>
        <w:tab/>
      </w:r>
      <w:r>
        <w:fldChar w:fldCharType="begin"/>
      </w:r>
      <w:r>
        <w:instrText xml:space="preserve"> PAGEREF _Toc30434 \h </w:instrText>
      </w:r>
      <w:r>
        <w:fldChar w:fldCharType="separate"/>
      </w:r>
      <w:r>
        <w:t>1</w:t>
      </w:r>
      <w:r>
        <w:fldChar w:fldCharType="end"/>
      </w:r>
      <w:r>
        <w:rPr>
          <w:rFonts w:hint="eastAsia" w:ascii="宋体" w:hAnsi="宋体" w:eastAsia="宋体" w:cs="宋体"/>
          <w:spacing w:val="0"/>
          <w:lang w:val="en-US" w:eastAsia="zh-CN"/>
        </w:rPr>
        <w:fldChar w:fldCharType="end"/>
      </w:r>
    </w:p>
    <w:p w14:paraId="5CCEABDA">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_Toc5700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3 </w:t>
      </w:r>
      <w:r>
        <w:rPr>
          <w:rFonts w:hint="eastAsia"/>
          <w:lang w:val="en-US" w:eastAsia="zh-CN"/>
        </w:rPr>
        <w:t>术语和定义</w:t>
      </w:r>
      <w:r>
        <w:tab/>
      </w:r>
      <w:r>
        <w:fldChar w:fldCharType="begin"/>
      </w:r>
      <w:r>
        <w:instrText xml:space="preserve"> PAGEREF _Toc5700 \h </w:instrText>
      </w:r>
      <w:r>
        <w:fldChar w:fldCharType="separate"/>
      </w:r>
      <w:r>
        <w:t>1</w:t>
      </w:r>
      <w:r>
        <w:fldChar w:fldCharType="end"/>
      </w:r>
      <w:r>
        <w:rPr>
          <w:rFonts w:hint="eastAsia" w:ascii="宋体" w:hAnsi="宋体" w:eastAsia="宋体" w:cs="宋体"/>
          <w:spacing w:val="0"/>
          <w:lang w:val="en-US" w:eastAsia="zh-CN"/>
        </w:rPr>
        <w:fldChar w:fldCharType="end"/>
      </w:r>
    </w:p>
    <w:p w14:paraId="2C18E905">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_Toc20283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4 </w:t>
      </w:r>
      <w:r>
        <w:rPr>
          <w:rFonts w:hint="eastAsia"/>
          <w:lang w:val="en-US" w:eastAsia="zh-CN"/>
        </w:rPr>
        <w:t>原料</w:t>
      </w:r>
      <w:r>
        <w:rPr>
          <w:rFonts w:hint="default"/>
        </w:rPr>
        <w:t>要求</w:t>
      </w:r>
      <w:r>
        <w:tab/>
      </w:r>
      <w:r>
        <w:fldChar w:fldCharType="begin"/>
      </w:r>
      <w:r>
        <w:instrText xml:space="preserve"> PAGEREF _Toc20283 \h </w:instrText>
      </w:r>
      <w:r>
        <w:fldChar w:fldCharType="separate"/>
      </w:r>
      <w:r>
        <w:t>2</w:t>
      </w:r>
      <w:r>
        <w:fldChar w:fldCharType="end"/>
      </w:r>
      <w:r>
        <w:rPr>
          <w:rFonts w:hint="eastAsia" w:ascii="宋体" w:hAnsi="宋体" w:eastAsia="宋体" w:cs="宋体"/>
          <w:spacing w:val="0"/>
          <w:lang w:val="en-US" w:eastAsia="zh-CN"/>
        </w:rPr>
        <w:fldChar w:fldCharType="end"/>
      </w:r>
    </w:p>
    <w:p w14:paraId="6C726702">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_Toc14896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5 </w:t>
      </w:r>
      <w:r>
        <w:rPr>
          <w:rFonts w:hint="default"/>
        </w:rPr>
        <w:t>加工条件</w:t>
      </w:r>
      <w:r>
        <w:tab/>
      </w:r>
      <w:r>
        <w:fldChar w:fldCharType="begin"/>
      </w:r>
      <w:r>
        <w:instrText xml:space="preserve"> PAGEREF _Toc14896 \h </w:instrText>
      </w:r>
      <w:r>
        <w:fldChar w:fldCharType="separate"/>
      </w:r>
      <w:r>
        <w:t>2</w:t>
      </w:r>
      <w:r>
        <w:fldChar w:fldCharType="end"/>
      </w:r>
      <w:r>
        <w:rPr>
          <w:rFonts w:hint="eastAsia" w:ascii="宋体" w:hAnsi="宋体" w:eastAsia="宋体" w:cs="宋体"/>
          <w:spacing w:val="0"/>
          <w:lang w:val="en-US" w:eastAsia="zh-CN"/>
        </w:rPr>
        <w:fldChar w:fldCharType="end"/>
      </w:r>
    </w:p>
    <w:p w14:paraId="5D48F51C">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_Toc26166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6 </w:t>
      </w:r>
      <w:r>
        <w:rPr>
          <w:rFonts w:hint="default"/>
        </w:rPr>
        <w:t>加工工艺</w:t>
      </w:r>
      <w:r>
        <w:tab/>
      </w:r>
      <w:r>
        <w:fldChar w:fldCharType="begin"/>
      </w:r>
      <w:r>
        <w:instrText xml:space="preserve"> PAGEREF _Toc26166 \h </w:instrText>
      </w:r>
      <w:r>
        <w:fldChar w:fldCharType="separate"/>
      </w:r>
      <w:r>
        <w:t>2</w:t>
      </w:r>
      <w:r>
        <w:fldChar w:fldCharType="end"/>
      </w:r>
      <w:r>
        <w:rPr>
          <w:rFonts w:hint="eastAsia" w:ascii="宋体" w:hAnsi="宋体" w:eastAsia="宋体" w:cs="宋体"/>
          <w:spacing w:val="0"/>
          <w:lang w:val="en-US" w:eastAsia="zh-CN"/>
        </w:rPr>
        <w:fldChar w:fldCharType="end"/>
      </w:r>
    </w:p>
    <w:p w14:paraId="6179BA45">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_Toc20517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7 </w:t>
      </w:r>
      <w:r>
        <w:rPr>
          <w:rFonts w:hint="default"/>
        </w:rPr>
        <w:t>包装、运输和贮存</w:t>
      </w:r>
      <w:r>
        <w:tab/>
      </w:r>
      <w:r>
        <w:fldChar w:fldCharType="begin"/>
      </w:r>
      <w:r>
        <w:instrText xml:space="preserve"> PAGEREF _Toc20517 \h </w:instrText>
      </w:r>
      <w:r>
        <w:fldChar w:fldCharType="separate"/>
      </w:r>
      <w:r>
        <w:t>3</w:t>
      </w:r>
      <w:r>
        <w:fldChar w:fldCharType="end"/>
      </w:r>
      <w:r>
        <w:rPr>
          <w:rFonts w:hint="eastAsia" w:ascii="宋体" w:hAnsi="宋体" w:eastAsia="宋体" w:cs="宋体"/>
          <w:spacing w:val="0"/>
          <w:lang w:val="en-US" w:eastAsia="zh-CN"/>
        </w:rPr>
        <w:fldChar w:fldCharType="end"/>
      </w:r>
    </w:p>
    <w:p w14:paraId="11869861">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_Toc27209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8 </w:t>
      </w:r>
      <w:r>
        <w:rPr>
          <w:rFonts w:hint="default"/>
        </w:rPr>
        <w:t>质量管理</w:t>
      </w:r>
      <w:r>
        <w:tab/>
      </w:r>
      <w:r>
        <w:fldChar w:fldCharType="begin"/>
      </w:r>
      <w:r>
        <w:instrText xml:space="preserve"> PAGEREF _Toc27209 \h </w:instrText>
      </w:r>
      <w:r>
        <w:fldChar w:fldCharType="separate"/>
      </w:r>
      <w:r>
        <w:t>3</w:t>
      </w:r>
      <w:r>
        <w:fldChar w:fldCharType="end"/>
      </w:r>
      <w:r>
        <w:rPr>
          <w:rFonts w:hint="eastAsia" w:ascii="宋体" w:hAnsi="宋体" w:eastAsia="宋体" w:cs="宋体"/>
          <w:spacing w:val="0"/>
          <w:lang w:val="en-US" w:eastAsia="zh-CN"/>
        </w:rPr>
        <w:fldChar w:fldCharType="end"/>
      </w:r>
    </w:p>
    <w:p w14:paraId="008F1364">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_Toc28217 </w:instrText>
      </w:r>
      <w:r>
        <w:rPr>
          <w:rFonts w:hint="eastAsia" w:ascii="宋体" w:hAnsi="宋体" w:eastAsia="宋体" w:cs="宋体"/>
          <w:spacing w:val="0"/>
          <w:lang w:val="en-US" w:eastAsia="zh-CN"/>
        </w:rPr>
        <w:fldChar w:fldCharType="separate"/>
      </w:r>
      <w:r>
        <w:rPr>
          <w:rFonts w:hint="default"/>
          <w:spacing w:val="102"/>
          <w:lang w:val="en-US" w:eastAsia="zh-CN"/>
        </w:rPr>
        <w:t xml:space="preserve">附录A </w:t>
      </w:r>
      <w:r>
        <w:rPr>
          <w:rFonts w:hint="eastAsia"/>
          <w:lang w:val="en-US" w:eastAsia="zh-CN"/>
        </w:rPr>
        <w:t xml:space="preserve"> （规范性） 井冈山绿茶生产区域范围图</w:t>
      </w:r>
      <w:r>
        <w:tab/>
      </w:r>
      <w:r>
        <w:fldChar w:fldCharType="begin"/>
      </w:r>
      <w:r>
        <w:instrText xml:space="preserve"> PAGEREF _Toc28217 \h </w:instrText>
      </w:r>
      <w:r>
        <w:fldChar w:fldCharType="separate"/>
      </w:r>
      <w:r>
        <w:t>5</w:t>
      </w:r>
      <w:r>
        <w:fldChar w:fldCharType="end"/>
      </w:r>
      <w:r>
        <w:rPr>
          <w:rFonts w:hint="eastAsia" w:ascii="宋体" w:hAnsi="宋体" w:eastAsia="宋体" w:cs="宋体"/>
          <w:spacing w:val="0"/>
          <w:lang w:val="en-US" w:eastAsia="zh-CN"/>
        </w:rPr>
        <w:fldChar w:fldCharType="end"/>
      </w:r>
    </w:p>
    <w:p w14:paraId="326C897F">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1560A282">
      <w:pPr>
        <w:pStyle w:val="53"/>
        <w:bidi w:val="0"/>
        <w:rPr>
          <w:rFonts w:hint="eastAsia"/>
          <w:lang w:val="en-US" w:eastAsia="zh-CN"/>
        </w:rPr>
      </w:pPr>
      <w:r>
        <w:rPr>
          <w:rFonts w:hint="eastAsia"/>
          <w:lang w:val="en-US" w:eastAsia="zh-CN"/>
        </w:rPr>
        <w:br w:type="page"/>
      </w:r>
    </w:p>
    <w:p w14:paraId="1DF1A020">
      <w:pPr>
        <w:pStyle w:val="54"/>
        <w:bidi w:val="0"/>
        <w:rPr>
          <w:rFonts w:hint="eastAsia"/>
          <w:lang w:val="en-US" w:eastAsia="zh-CN"/>
        </w:rPr>
      </w:pPr>
      <w:bookmarkStart w:id="19" w:name="_Toc6346"/>
      <w:r>
        <w:rPr>
          <w:rFonts w:hint="eastAsia"/>
          <w:spacing w:val="317"/>
          <w:lang w:val="en-US" w:eastAsia="zh-CN"/>
        </w:rPr>
        <w:t>前</w:t>
      </w:r>
      <w:bookmarkStart w:id="20" w:name="BKQY"/>
      <w:r>
        <w:rPr>
          <w:rFonts w:hint="eastAsia"/>
          <w:lang w:val="en-US" w:eastAsia="zh-CN"/>
        </w:rPr>
        <w:t>言</w:t>
      </w:r>
      <w:bookmarkEnd w:id="19"/>
    </w:p>
    <w:p w14:paraId="147686C0">
      <w:pPr>
        <w:pStyle w:val="24"/>
        <w:bidi w:val="0"/>
        <w:rPr>
          <w:rFonts w:hint="eastAsia"/>
          <w:lang w:val="en-US" w:eastAsia="zh-CN"/>
        </w:rPr>
      </w:pPr>
      <w:r>
        <w:rPr>
          <w:rFonts w:hint="eastAsia"/>
          <w:lang w:val="en-US" w:eastAsia="zh-CN"/>
        </w:rPr>
        <w:t>本文件按照GB/T 1.1—2020《标准化工作导则  第1部分：标准化文件的结构和起草规则》的规定起草。</w:t>
      </w:r>
    </w:p>
    <w:p w14:paraId="52FD66E1">
      <w:pPr>
        <w:pStyle w:val="24"/>
        <w:bidi w:val="0"/>
        <w:rPr>
          <w:rFonts w:hint="eastAsia"/>
          <w:lang w:val="en-US" w:eastAsia="zh-CN"/>
        </w:rPr>
      </w:pPr>
      <w:r>
        <w:rPr>
          <w:rFonts w:hint="eastAsia"/>
          <w:lang w:val="en-US" w:eastAsia="zh-CN"/>
        </w:rPr>
        <w:t>请注意本文件的某些内容可能涉及专利。本文件的发布机构不承担识别专利的责任。</w:t>
      </w:r>
    </w:p>
    <w:p w14:paraId="6D38B6E7">
      <w:pPr>
        <w:pStyle w:val="24"/>
        <w:bidi w:val="0"/>
        <w:rPr>
          <w:rFonts w:hint="eastAsia"/>
          <w:lang w:val="en-US" w:eastAsia="zh-CN"/>
        </w:rPr>
      </w:pPr>
      <w:r>
        <w:rPr>
          <w:rFonts w:hint="eastAsia"/>
          <w:lang w:val="en-US" w:eastAsia="zh-CN"/>
        </w:rPr>
        <w:t>本文件由</w:t>
      </w:r>
      <w:r>
        <w:rPr>
          <w:rFonts w:hint="eastAsia"/>
        </w:rPr>
        <w:t>吉安市绿色农产品促进会</w:t>
      </w:r>
      <w:r>
        <w:rPr>
          <w:rFonts w:hint="eastAsia"/>
          <w:lang w:val="en-US" w:eastAsia="zh-CN"/>
        </w:rPr>
        <w:t>提出并归口。</w:t>
      </w:r>
    </w:p>
    <w:p w14:paraId="0453080A">
      <w:pPr>
        <w:pStyle w:val="24"/>
        <w:bidi w:val="0"/>
        <w:rPr>
          <w:rFonts w:hint="eastAsia" w:eastAsia="宋体"/>
          <w:lang w:val="en-US" w:eastAsia="zh-CN"/>
        </w:rPr>
      </w:pPr>
      <w:r>
        <w:rPr>
          <w:rFonts w:hint="eastAsia"/>
          <w:lang w:val="en-US" w:eastAsia="zh-CN"/>
        </w:rPr>
        <w:t>本文件起草单位：</w:t>
      </w:r>
    </w:p>
    <w:p w14:paraId="0FE34F4B">
      <w:pPr>
        <w:pStyle w:val="24"/>
        <w:bidi w:val="0"/>
        <w:rPr>
          <w:rFonts w:hint="eastAsia"/>
          <w:lang w:val="en-US" w:eastAsia="zh-CN"/>
        </w:rPr>
      </w:pPr>
      <w:r>
        <w:rPr>
          <w:rFonts w:hint="eastAsia"/>
          <w:lang w:val="en-US" w:eastAsia="zh-CN"/>
        </w:rPr>
        <w:t>本文件主要起草人：</w:t>
      </w:r>
    </w:p>
    <w:p w14:paraId="3195C7A8">
      <w:pPr>
        <w:pStyle w:val="24"/>
        <w:bidi w:val="0"/>
        <w:rPr>
          <w:rFonts w:hint="eastAsia"/>
          <w:lang w:val="en-US" w:eastAsia="zh-CN"/>
        </w:rPr>
      </w:pPr>
    </w:p>
    <w:bookmarkEnd w:id="20"/>
    <w:p w14:paraId="02A27F39">
      <w:pPr>
        <w:rPr>
          <w:rFonts w:hint="eastAsia"/>
          <w:lang w:val="en-US" w:eastAsia="zh-CN"/>
        </w:rPr>
      </w:pPr>
    </w:p>
    <w:p w14:paraId="3FA7CBFC">
      <w:pPr>
        <w:rPr>
          <w:rFonts w:hint="eastAsia"/>
          <w:lang w:val="en-US" w:eastAsia="zh-CN"/>
        </w:rPr>
      </w:pPr>
    </w:p>
    <w:p w14:paraId="26C1DC75">
      <w:pPr>
        <w:rPr>
          <w:rFonts w:hint="eastAsia"/>
          <w:lang w:val="en-US" w:eastAsia="zh-CN"/>
        </w:rPr>
        <w:sectPr>
          <w:headerReference r:id="rId4" w:type="default"/>
          <w:footerReference r:id="rId5" w:type="default"/>
          <w:footerReference r:id="rId6" w:type="even"/>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9"/>
          <w:rFonts w:hint="eastAsia"/>
          <w:lang w:val="en-US" w:eastAsia="zh-CN"/>
        </w:rPr>
        <w:tag w:val="StandardName"/>
        <w:id w:val="147457484"/>
        <w:lock w:val="sdtLocked"/>
        <w:placeholder>
          <w:docPart w:val="{dc198fea-d184-4aa6-8509-aaf3d889285d}"/>
        </w:placeholder>
      </w:sdtPr>
      <w:sdtEndPr>
        <w:rPr>
          <w:rStyle w:val="119"/>
          <w:rFonts w:hint="eastAsia"/>
          <w:lang w:val="en-US" w:eastAsia="zh-CN"/>
        </w:rPr>
      </w:sdtEndPr>
      <w:sdtContent>
        <w:p w14:paraId="0398B871">
          <w:pPr>
            <w:pStyle w:val="55"/>
            <w:bidi w:val="0"/>
            <w:rPr>
              <w:rStyle w:val="119"/>
              <w:rFonts w:hint="eastAsia"/>
              <w:lang w:val="en-US" w:eastAsia="zh-CN"/>
            </w:rPr>
          </w:pPr>
          <w:bookmarkStart w:id="21" w:name="StandardName"/>
          <w:r>
            <w:rPr>
              <w:rStyle w:val="119"/>
              <w:rFonts w:hint="eastAsia"/>
              <w:lang w:val="en-US" w:eastAsia="zh-CN"/>
            </w:rPr>
            <w:t>井冈山大叶空心菜种植技术规程</w:t>
          </w:r>
          <w:bookmarkEnd w:id="21"/>
        </w:p>
      </w:sdtContent>
    </w:sdt>
    <w:p w14:paraId="651D58E5">
      <w:pPr>
        <w:pStyle w:val="71"/>
        <w:bidi w:val="0"/>
        <w:rPr>
          <w:rStyle w:val="119"/>
          <w:rFonts w:hint="eastAsia"/>
          <w:lang w:val="en-US" w:eastAsia="zh-CN"/>
        </w:rPr>
      </w:pPr>
      <w:bookmarkStart w:id="22" w:name="_Toc8541"/>
      <w:r>
        <w:rPr>
          <w:rFonts w:hint="eastAsia"/>
          <w:lang w:val="en-US" w:eastAsia="zh-CN"/>
        </w:rPr>
        <w:t>范围</w:t>
      </w:r>
      <w:bookmarkEnd w:id="22"/>
    </w:p>
    <w:p w14:paraId="34D55795">
      <w:pPr>
        <w:pStyle w:val="24"/>
        <w:rPr>
          <w:rFonts w:hint="default"/>
          <w:lang w:val="en-US" w:eastAsia="zh-CN"/>
        </w:rPr>
      </w:pPr>
      <w:r>
        <w:rPr>
          <w:rFonts w:hint="eastAsia"/>
          <w:lang w:val="en-US" w:eastAsia="zh-CN"/>
        </w:rPr>
        <w:t>本文件规定了井冈山大叶空心菜的术语和定义、产地环境、栽培技术、病虫害防治、采收与管理。</w:t>
      </w:r>
    </w:p>
    <w:p w14:paraId="4FF920AA">
      <w:pPr>
        <w:pStyle w:val="24"/>
        <w:rPr>
          <w:rFonts w:hint="eastAsia"/>
          <w:lang w:val="en-US" w:eastAsia="zh-CN"/>
        </w:rPr>
      </w:pPr>
      <w:r>
        <w:rPr>
          <w:rFonts w:hint="eastAsia"/>
          <w:lang w:val="en-US" w:eastAsia="zh-CN"/>
        </w:rPr>
        <w:t>本文件适用于吉安市行政区域范围内大叶空心菜的种植。</w:t>
      </w:r>
    </w:p>
    <w:p w14:paraId="581296F6">
      <w:pPr>
        <w:pStyle w:val="71"/>
        <w:bidi w:val="0"/>
        <w:rPr>
          <w:rFonts w:hint="eastAsia"/>
          <w:lang w:val="en-US" w:eastAsia="zh-CN"/>
        </w:rPr>
      </w:pPr>
      <w:bookmarkStart w:id="23" w:name="_Toc30434"/>
      <w:r>
        <w:rPr>
          <w:rFonts w:hint="eastAsia"/>
          <w:lang w:val="en-US" w:eastAsia="zh-CN"/>
        </w:rPr>
        <w:t>规范性引用文件</w:t>
      </w:r>
      <w:bookmarkEnd w:id="23"/>
    </w:p>
    <w:sdt>
      <w:sdtPr>
        <w:rPr>
          <w:rFonts w:hint="eastAsia" w:ascii="宋体" w:hAnsi="Times New Roman" w:eastAsia="宋体" w:cs="宋体"/>
          <w:sz w:val="21"/>
          <w:lang w:val="en-US" w:eastAsia="zh-CN"/>
        </w:rPr>
        <w:tag w:val="StandNameFile"/>
        <w:id w:val="147458581"/>
        <w:placeholder>
          <w:docPart w:val="{e43a72de-6420-4734-a0dc-b6c3f8f378bc}"/>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68DD5370">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2209E1E">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4806.1</w:t>
      </w:r>
      <w:r>
        <w:rPr>
          <w:rFonts w:hint="eastAsia" w:cs="宋体"/>
          <w:sz w:val="21"/>
          <w:lang w:val="en-US" w:eastAsia="zh-CN"/>
        </w:rPr>
        <w:t xml:space="preserve"> </w:t>
      </w:r>
      <w:r>
        <w:rPr>
          <w:rFonts w:hint="eastAsia" w:ascii="宋体" w:hAnsi="Times New Roman" w:eastAsia="宋体" w:cs="宋体"/>
          <w:sz w:val="21"/>
          <w:lang w:val="en-US" w:eastAsia="zh-CN"/>
        </w:rPr>
        <w:t xml:space="preserve"> 食品安全国家标准</w:t>
      </w:r>
      <w:r>
        <w:rPr>
          <w:rFonts w:hint="eastAsia" w:cs="宋体"/>
          <w:sz w:val="21"/>
          <w:lang w:val="en-US" w:eastAsia="zh-CN"/>
        </w:rPr>
        <w:t xml:space="preserve"> </w:t>
      </w:r>
      <w:r>
        <w:rPr>
          <w:rFonts w:hint="eastAsia" w:ascii="宋体" w:hAnsi="Times New Roman" w:eastAsia="宋体" w:cs="宋体"/>
          <w:sz w:val="21"/>
          <w:lang w:val="en-US" w:eastAsia="zh-CN"/>
        </w:rPr>
        <w:t xml:space="preserve"> 食品接触材料及制品通用安全要求</w:t>
      </w:r>
    </w:p>
    <w:p w14:paraId="3A931BE7">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4806.7  食品安全国家标准  食品接触用塑料材料及制品</w:t>
      </w:r>
    </w:p>
    <w:p w14:paraId="4CE28A77">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4806.8  食品安全国家标准  食品接触用纸及纸制品</w:t>
      </w:r>
    </w:p>
    <w:p w14:paraId="729AAEDE">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5084</w:t>
      </w:r>
      <w:r>
        <w:rPr>
          <w:rFonts w:hint="eastAsia" w:cs="宋体"/>
          <w:sz w:val="21"/>
          <w:lang w:val="en-US" w:eastAsia="zh-CN"/>
        </w:rPr>
        <w:t xml:space="preserve"> </w:t>
      </w:r>
      <w:r>
        <w:rPr>
          <w:rFonts w:hint="eastAsia" w:ascii="宋体" w:hAnsi="Times New Roman" w:eastAsia="宋体" w:cs="宋体"/>
          <w:sz w:val="21"/>
          <w:lang w:val="en-US" w:eastAsia="zh-CN"/>
        </w:rPr>
        <w:t xml:space="preserve"> 农田灌溉水质标准</w:t>
      </w:r>
    </w:p>
    <w:p w14:paraId="7DA1733F">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5737  食品塑料周转箱</w:t>
      </w:r>
    </w:p>
    <w:p w14:paraId="2A37CE8D">
      <w:pPr>
        <w:pStyle w:val="24"/>
        <w:bidi w:val="0"/>
        <w:rPr>
          <w:rFonts w:hint="eastAsia"/>
          <w:lang w:val="en-US" w:eastAsia="zh-CN"/>
        </w:rPr>
      </w:pPr>
      <w:bookmarkStart w:id="24" w:name="_Hlk103956065"/>
      <w:r>
        <w:rPr>
          <w:rFonts w:hint="eastAsia"/>
          <w:lang w:val="en-US" w:eastAsia="zh-CN"/>
        </w:rPr>
        <w:t>GB 7718  食品安全国家标准 预包装食品标签通则</w:t>
      </w:r>
    </w:p>
    <w:p w14:paraId="39D8AEF2">
      <w:pPr>
        <w:pStyle w:val="24"/>
        <w:bidi w:val="0"/>
        <w:rPr>
          <w:rFonts w:hint="eastAsia"/>
          <w:lang w:val="en-US" w:eastAsia="zh-CN"/>
        </w:rPr>
      </w:pPr>
      <w:r>
        <w:rPr>
          <w:rFonts w:hint="eastAsia"/>
          <w:lang w:val="en-US" w:eastAsia="zh-CN"/>
        </w:rPr>
        <w:t>GB/T 8321  农药合理使用准则</w:t>
      </w:r>
    </w:p>
    <w:p w14:paraId="6B8512AF">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GB/T 19630  有机产品  生产、加工、标识与管理体系要求 </w:t>
      </w:r>
      <w:bookmarkEnd w:id="24"/>
    </w:p>
    <w:p w14:paraId="508DB93C">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43284  限制商品过度包装要求 生鲜食用农产品</w:t>
      </w:r>
    </w:p>
    <w:p w14:paraId="4F8406F8">
      <w:pPr>
        <w:autoSpaceDE w:val="0"/>
        <w:autoSpaceDN w:val="0"/>
        <w:ind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NY/T 391  绿色食品  产地环境质量</w:t>
      </w:r>
    </w:p>
    <w:p w14:paraId="57927228">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393  绿色食品  农药使用准则</w:t>
      </w:r>
    </w:p>
    <w:p w14:paraId="4EA66FAC">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394  绿色食品  肥料使用准则</w:t>
      </w:r>
    </w:p>
    <w:p w14:paraId="2F4504E9">
      <w:pPr>
        <w:pStyle w:val="24"/>
        <w:bidi w:val="0"/>
        <w:rPr>
          <w:rFonts w:hint="default" w:cs="宋体"/>
          <w:sz w:val="21"/>
          <w:lang w:val="en-US" w:eastAsia="zh-CN"/>
        </w:rPr>
      </w:pPr>
      <w:r>
        <w:rPr>
          <w:rFonts w:hint="default" w:cs="宋体"/>
          <w:sz w:val="21"/>
          <w:lang w:val="en-US" w:eastAsia="zh-CN"/>
        </w:rPr>
        <w:t>NY</w:t>
      </w:r>
      <w:r>
        <w:rPr>
          <w:rFonts w:hint="eastAsia" w:cs="宋体"/>
          <w:sz w:val="21"/>
          <w:lang w:val="en-US" w:eastAsia="zh-CN"/>
        </w:rPr>
        <w:t>/</w:t>
      </w:r>
      <w:r>
        <w:rPr>
          <w:rFonts w:hint="default" w:cs="宋体"/>
          <w:sz w:val="21"/>
          <w:lang w:val="en-US" w:eastAsia="zh-CN"/>
        </w:rPr>
        <w:t>T</w:t>
      </w:r>
      <w:r>
        <w:rPr>
          <w:rFonts w:hint="eastAsia" w:cs="宋体"/>
          <w:sz w:val="21"/>
          <w:lang w:val="en-US" w:eastAsia="zh-CN"/>
        </w:rPr>
        <w:t xml:space="preserve"> </w:t>
      </w:r>
      <w:r>
        <w:rPr>
          <w:rFonts w:hint="default" w:cs="宋体"/>
          <w:sz w:val="21"/>
          <w:lang w:val="en-US" w:eastAsia="zh-CN"/>
        </w:rPr>
        <w:t xml:space="preserve">658 </w:t>
      </w:r>
      <w:r>
        <w:rPr>
          <w:rFonts w:hint="eastAsia" w:cs="宋体"/>
          <w:sz w:val="21"/>
          <w:lang w:val="en-US" w:eastAsia="zh-CN"/>
        </w:rPr>
        <w:t xml:space="preserve"> </w:t>
      </w:r>
      <w:r>
        <w:rPr>
          <w:rFonts w:hint="default" w:cs="宋体"/>
          <w:sz w:val="21"/>
          <w:lang w:val="en-US" w:eastAsia="zh-CN"/>
        </w:rPr>
        <w:t>绿色食品</w:t>
      </w:r>
      <w:r>
        <w:rPr>
          <w:rFonts w:hint="eastAsia" w:cs="宋体"/>
          <w:sz w:val="21"/>
          <w:lang w:val="en-US" w:eastAsia="zh-CN"/>
        </w:rPr>
        <w:t xml:space="preserve"> </w:t>
      </w:r>
      <w:r>
        <w:rPr>
          <w:rFonts w:hint="default" w:cs="宋体"/>
          <w:sz w:val="21"/>
          <w:lang w:val="en-US" w:eastAsia="zh-CN"/>
        </w:rPr>
        <w:t xml:space="preserve"> 包装通用准则</w:t>
      </w:r>
    </w:p>
    <w:p w14:paraId="42663500">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1056  绿色食品  贮藏运输准则</w:t>
      </w:r>
    </w:p>
    <w:p w14:paraId="3C651FFE">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1276</w:t>
      </w:r>
      <w:r>
        <w:rPr>
          <w:rFonts w:hint="eastAsia" w:cs="宋体"/>
          <w:sz w:val="21"/>
          <w:lang w:val="en-US" w:eastAsia="zh-CN"/>
        </w:rPr>
        <w:t xml:space="preserve"> </w:t>
      </w:r>
      <w:r>
        <w:rPr>
          <w:rFonts w:hint="eastAsia" w:ascii="宋体" w:hAnsi="Times New Roman" w:eastAsia="宋体" w:cs="宋体"/>
          <w:sz w:val="21"/>
          <w:lang w:val="en-US" w:eastAsia="zh-CN"/>
        </w:rPr>
        <w:t xml:space="preserve"> 农药安全使用规范 总则</w:t>
      </w:r>
    </w:p>
    <w:p w14:paraId="11DA2ECA">
      <w:pPr>
        <w:pStyle w:val="71"/>
        <w:bidi w:val="0"/>
        <w:rPr>
          <w:rFonts w:hint="eastAsia" w:ascii="宋体" w:hAnsi="Times New Roman" w:eastAsia="宋体" w:cs="宋体"/>
          <w:lang w:val="en-US" w:eastAsia="zh-CN"/>
        </w:rPr>
      </w:pPr>
      <w:bookmarkStart w:id="25" w:name="_Toc5700"/>
      <w:r>
        <w:rPr>
          <w:rFonts w:hint="eastAsia"/>
          <w:lang w:val="en-US" w:eastAsia="zh-CN"/>
        </w:rPr>
        <w:t>术语和定义</w:t>
      </w:r>
      <w:bookmarkEnd w:id="25"/>
    </w:p>
    <w:sdt>
      <w:sdtPr>
        <w:rPr>
          <w:rFonts w:hint="eastAsia" w:ascii="宋体" w:hAnsi="Times New Roman" w:eastAsia="宋体" w:cs="宋体"/>
          <w:sz w:val="21"/>
          <w:lang w:val="en-US" w:eastAsia="zh-CN"/>
        </w:rPr>
        <w:tag w:val="TermContent"/>
        <w:id w:val="147453675"/>
        <w:placeholder>
          <w:docPart w:val="{a2b934e1-4e69-4b3d-b344-351c81d94b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25B37831">
          <w:pPr>
            <w:pStyle w:val="24"/>
            <w:rPr>
              <w:rFonts w:hint="eastAsia"/>
              <w:lang w:val="en-US" w:eastAsia="zh-CN"/>
            </w:rPr>
          </w:pPr>
          <w:r>
            <w:rPr>
              <w:rFonts w:hint="eastAsia" w:ascii="宋体" w:hAnsi="Times New Roman" w:eastAsia="宋体" w:cs="宋体"/>
              <w:sz w:val="21"/>
              <w:lang w:val="en-US" w:eastAsia="zh-CN"/>
            </w:rPr>
            <w:t>下列术语和定义适用于本文件。</w:t>
          </w:r>
        </w:p>
      </w:sdtContent>
    </w:sdt>
    <w:p w14:paraId="1FE47CAD">
      <w:pPr>
        <w:pStyle w:val="24"/>
        <w:rPr>
          <w:rFonts w:hint="eastAsia"/>
          <w:lang w:val="en-US" w:eastAsia="zh-CN"/>
        </w:rPr>
      </w:pPr>
    </w:p>
    <w:p w14:paraId="679ADA87">
      <w:pPr>
        <w:pStyle w:val="82"/>
        <w:bidi w:val="0"/>
        <w:spacing w:after="0" w:afterLines="0"/>
        <w:ind w:left="420" w:hanging="420" w:hangingChars="200"/>
        <w:rPr>
          <w:rFonts w:hint="eastAsia" w:ascii="黑体" w:hAnsi="黑体" w:eastAsia="黑体" w:cs="黑体"/>
          <w:lang w:val="en-US" w:eastAsia="zh-CN"/>
        </w:rPr>
      </w:pPr>
    </w:p>
    <w:p w14:paraId="6F6DAC23">
      <w:pPr>
        <w:pStyle w:val="82"/>
        <w:numPr>
          <w:ilvl w:val="1"/>
          <w:numId w:val="0"/>
        </w:numPr>
        <w:bidi w:val="0"/>
        <w:spacing w:after="0" w:afterLines="0"/>
        <w:ind w:leftChars="-200" w:firstLine="840" w:firstLineChars="400"/>
        <w:rPr>
          <w:rFonts w:hint="default" w:ascii="黑体" w:hAnsi="黑体" w:eastAsia="黑体" w:cs="黑体"/>
          <w:lang w:val="en-US" w:eastAsia="zh-CN"/>
        </w:rPr>
      </w:pPr>
      <w:r>
        <w:rPr>
          <w:rFonts w:hint="eastAsia" w:cs="黑体"/>
          <w:lang w:val="en-US" w:eastAsia="zh-CN"/>
        </w:rPr>
        <w:t xml:space="preserve">井冈山大叶空心菜 Jinggangshan </w:t>
      </w:r>
      <w:r>
        <w:rPr>
          <w:rFonts w:ascii="黑体" w:hAnsi="黑体" w:eastAsia="黑体" w:cs="黑体"/>
          <w:i w:val="0"/>
          <w:iCs w:val="0"/>
          <w:caps w:val="0"/>
          <w:color w:val="auto"/>
          <w:spacing w:val="0"/>
          <w:sz w:val="21"/>
          <w:szCs w:val="20"/>
          <w:shd w:val="clear" w:fill="auto"/>
          <w:lang w:val="en-US" w:eastAsia="zh-CN"/>
        </w:rPr>
        <w:t>Big leaved</w:t>
      </w:r>
      <w:r>
        <w:rPr>
          <w:rFonts w:hint="eastAsia" w:cs="黑体"/>
          <w:lang w:val="en-US" w:eastAsia="zh-CN"/>
        </w:rPr>
        <w:t xml:space="preserve"> Water spinach</w:t>
      </w:r>
    </w:p>
    <w:p w14:paraId="06396B40">
      <w:pPr>
        <w:pStyle w:val="24"/>
        <w:rPr>
          <w:rFonts w:hint="eastAsia"/>
          <w:lang w:val="en-US" w:eastAsia="zh-CN"/>
        </w:rPr>
      </w:pPr>
      <w:r>
        <w:rPr>
          <w:rFonts w:hint="eastAsia"/>
          <w:lang w:val="en-US" w:eastAsia="zh-CN"/>
        </w:rPr>
        <w:t>吉安市行政区域范围内生产的，符合本文件要求，并经“井冈山®”商标持有人授权的新鲜大叶空心菜。</w:t>
      </w:r>
    </w:p>
    <w:p w14:paraId="095699F5">
      <w:pPr>
        <w:pStyle w:val="24"/>
        <w:bidi w:val="0"/>
      </w:pPr>
      <w:r>
        <w:rPr>
          <w:rFonts w:hint="eastAsia" w:ascii="宋体" w:hAnsi="Times New Roman" w:eastAsia="宋体" w:cs="宋体"/>
          <w:sz w:val="21"/>
          <w:lang w:val="en-US" w:eastAsia="zh-CN"/>
        </w:rPr>
        <w:t>井冈山</w:t>
      </w:r>
      <w:r>
        <w:rPr>
          <w:rFonts w:hint="eastAsia" w:cs="宋体"/>
          <w:sz w:val="21"/>
          <w:lang w:val="en-US" w:eastAsia="zh-CN"/>
        </w:rPr>
        <w:t>大叶空心菜种植</w:t>
      </w:r>
      <w:r>
        <w:rPr>
          <w:rFonts w:hint="eastAsia" w:ascii="宋体" w:hAnsi="Times New Roman" w:eastAsia="宋体" w:cs="宋体"/>
          <w:sz w:val="21"/>
          <w:lang w:val="en-US" w:eastAsia="zh-CN"/>
        </w:rPr>
        <w:t>区域范围见附录A。</w:t>
      </w:r>
    </w:p>
    <w:p w14:paraId="79D601A6">
      <w:pPr>
        <w:pStyle w:val="71"/>
        <w:bidi w:val="0"/>
        <w:rPr>
          <w:rFonts w:hint="default"/>
        </w:rPr>
      </w:pPr>
      <w:bookmarkStart w:id="26" w:name="_Toc20517"/>
      <w:r>
        <w:rPr>
          <w:rFonts w:hint="default"/>
        </w:rPr>
        <w:t>产地环境</w:t>
      </w:r>
    </w:p>
    <w:p w14:paraId="3FF52ECF">
      <w:pPr>
        <w:pStyle w:val="72"/>
        <w:bidi w:val="0"/>
        <w:rPr>
          <w:rFonts w:hint="default"/>
        </w:rPr>
      </w:pPr>
      <w:r>
        <w:rPr>
          <w:rFonts w:hint="default"/>
        </w:rPr>
        <w:t>土壤条件</w:t>
      </w:r>
    </w:p>
    <w:p w14:paraId="4F6DDDC7">
      <w:pPr>
        <w:pStyle w:val="24"/>
        <w:rPr>
          <w:rFonts w:hint="default"/>
        </w:rPr>
      </w:pPr>
      <w:r>
        <w:rPr>
          <w:rFonts w:hint="default"/>
          <w:lang w:val="en-US" w:eastAsia="zh-CN"/>
        </w:rPr>
        <w:t>应符合 NY/T 391 的要求，宜选择地势高燥、排灌方便、土层深厚、疏松肥沃的土壤。土壤类型为紫沙泥田、壤土等，pH 值为微酸性至中性（pH6.5-7.0），土层厚度≥20cm，有机质含量高，氮磷钾比例均衡。</w:t>
      </w:r>
    </w:p>
    <w:p w14:paraId="3072FFFA">
      <w:pPr>
        <w:pStyle w:val="72"/>
        <w:bidi w:val="0"/>
        <w:rPr>
          <w:rFonts w:hint="default"/>
        </w:rPr>
      </w:pPr>
      <w:r>
        <w:rPr>
          <w:rFonts w:hint="default"/>
        </w:rPr>
        <w:t>气候条件</w:t>
      </w:r>
    </w:p>
    <w:p w14:paraId="1D569903">
      <w:pPr>
        <w:pStyle w:val="24"/>
        <w:rPr>
          <w:rFonts w:hint="default"/>
        </w:rPr>
      </w:pPr>
      <w:r>
        <w:rPr>
          <w:rFonts w:hint="default"/>
          <w:lang w:val="en-US" w:eastAsia="zh-CN"/>
        </w:rPr>
        <w:t>年均温 18℃～20℃，无霜期 260d～300d，昼夜温差 8℃～12℃，降雨量 1200mm～1600mm，光照时长 1500h～2000h。露地栽培适宜季节为</w:t>
      </w:r>
      <w:r>
        <w:rPr>
          <w:rFonts w:hint="eastAsia"/>
          <w:lang w:val="en-US" w:eastAsia="zh-CN"/>
        </w:rPr>
        <w:t>3</w:t>
      </w:r>
      <w:r>
        <w:rPr>
          <w:rFonts w:hint="default"/>
          <w:lang w:val="en-US" w:eastAsia="zh-CN"/>
        </w:rPr>
        <w:t>月中旬至</w:t>
      </w:r>
      <w:r>
        <w:rPr>
          <w:rFonts w:hint="eastAsia"/>
          <w:lang w:val="en-US" w:eastAsia="zh-CN"/>
        </w:rPr>
        <w:t>11</w:t>
      </w:r>
      <w:r>
        <w:rPr>
          <w:rFonts w:hint="default"/>
          <w:lang w:val="en-US" w:eastAsia="zh-CN"/>
        </w:rPr>
        <w:t>月，设施栽培（如大棚、小拱棚）可适当提前至 1 月中旬播种。</w:t>
      </w:r>
    </w:p>
    <w:p w14:paraId="0997DD67">
      <w:pPr>
        <w:pStyle w:val="72"/>
        <w:bidi w:val="0"/>
        <w:rPr>
          <w:rFonts w:hint="default"/>
        </w:rPr>
      </w:pPr>
      <w:r>
        <w:rPr>
          <w:rFonts w:hint="default"/>
        </w:rPr>
        <w:t>水质</w:t>
      </w:r>
    </w:p>
    <w:p w14:paraId="39DF6113">
      <w:pPr>
        <w:pStyle w:val="24"/>
        <w:rPr>
          <w:rFonts w:hint="default"/>
        </w:rPr>
      </w:pPr>
      <w:r>
        <w:rPr>
          <w:rFonts w:hint="default"/>
          <w:lang w:val="en-US" w:eastAsia="zh-CN"/>
        </w:rPr>
        <w:t>灌溉水应检测重金属、农药残留等指标，符合 GB 5084 的要求。</w:t>
      </w:r>
    </w:p>
    <w:p w14:paraId="2F898662">
      <w:pPr>
        <w:pStyle w:val="71"/>
        <w:bidi w:val="0"/>
        <w:rPr>
          <w:rFonts w:hint="default"/>
        </w:rPr>
      </w:pPr>
      <w:r>
        <w:rPr>
          <w:rFonts w:hint="default"/>
        </w:rPr>
        <w:t>栽培技术</w:t>
      </w:r>
    </w:p>
    <w:p w14:paraId="63C06696">
      <w:pPr>
        <w:pStyle w:val="72"/>
        <w:bidi w:val="0"/>
        <w:rPr>
          <w:rFonts w:hint="default"/>
        </w:rPr>
      </w:pPr>
      <w:r>
        <w:rPr>
          <w:rFonts w:hint="default"/>
        </w:rPr>
        <w:t>品种</w:t>
      </w:r>
    </w:p>
    <w:p w14:paraId="444B018B">
      <w:pPr>
        <w:pStyle w:val="24"/>
        <w:rPr>
          <w:rFonts w:hint="default"/>
        </w:rPr>
      </w:pPr>
      <w:r>
        <w:rPr>
          <w:rFonts w:hint="default"/>
          <w:lang w:val="en-US" w:eastAsia="zh-CN"/>
        </w:rPr>
        <w:t>选用吉安大叶空心菜品种，如吉安大叶空心菜等适合井冈山地区种植的品种。</w:t>
      </w:r>
    </w:p>
    <w:p w14:paraId="7B81059C">
      <w:pPr>
        <w:pStyle w:val="72"/>
        <w:bidi w:val="0"/>
        <w:rPr>
          <w:rFonts w:hint="default"/>
        </w:rPr>
      </w:pPr>
      <w:r>
        <w:rPr>
          <w:rFonts w:hint="default"/>
        </w:rPr>
        <w:t>种子质量</w:t>
      </w:r>
    </w:p>
    <w:p w14:paraId="382452DC">
      <w:pPr>
        <w:pStyle w:val="24"/>
        <w:rPr>
          <w:rFonts w:hint="default"/>
        </w:rPr>
      </w:pPr>
      <w:r>
        <w:rPr>
          <w:rFonts w:hint="default"/>
          <w:lang w:val="en-US" w:eastAsia="zh-CN"/>
        </w:rPr>
        <w:t>种子的纯度≥95%，净度≥99%，发芽率≥80%，含水量≤8%。</w:t>
      </w:r>
    </w:p>
    <w:p w14:paraId="6B380760">
      <w:pPr>
        <w:pStyle w:val="72"/>
        <w:bidi w:val="0"/>
        <w:rPr>
          <w:rFonts w:hint="default"/>
        </w:rPr>
      </w:pPr>
      <w:r>
        <w:rPr>
          <w:rFonts w:hint="default"/>
        </w:rPr>
        <w:t>播种与育苗</w:t>
      </w:r>
    </w:p>
    <w:p w14:paraId="7519787A">
      <w:pPr>
        <w:pStyle w:val="73"/>
        <w:bidi w:val="0"/>
        <w:rPr>
          <w:rFonts w:hint="default"/>
        </w:rPr>
      </w:pPr>
      <w:r>
        <w:rPr>
          <w:rFonts w:hint="default"/>
        </w:rPr>
        <w:t>播种方式</w:t>
      </w:r>
    </w:p>
    <w:p w14:paraId="1D06338D">
      <w:pPr>
        <w:pStyle w:val="24"/>
        <w:rPr>
          <w:rFonts w:hint="default"/>
        </w:rPr>
      </w:pPr>
      <w:r>
        <w:rPr>
          <w:rFonts w:hint="default"/>
          <w:lang w:val="en-US" w:eastAsia="zh-CN"/>
        </w:rPr>
        <w:t>采用露地栽培、设施栽培（如大棚、小拱棚）等方式。条播行距 20cm～25cm，撒播每亩用种量 10kg～13kg。</w:t>
      </w:r>
    </w:p>
    <w:p w14:paraId="2B3F2160">
      <w:pPr>
        <w:pStyle w:val="73"/>
        <w:bidi w:val="0"/>
        <w:rPr>
          <w:rFonts w:hint="default"/>
        </w:rPr>
      </w:pPr>
      <w:r>
        <w:rPr>
          <w:rFonts w:hint="default"/>
        </w:rPr>
        <w:t>育苗技术</w:t>
      </w:r>
    </w:p>
    <w:p w14:paraId="08AF6771">
      <w:pPr>
        <w:pStyle w:val="24"/>
        <w:rPr>
          <w:rFonts w:hint="default"/>
        </w:rPr>
      </w:pPr>
      <w:r>
        <w:rPr>
          <w:rFonts w:hint="default"/>
          <w:lang w:val="en-US" w:eastAsia="zh-CN"/>
        </w:rPr>
        <w:t>设施育苗温度出苗前 28℃～32℃，出苗后 20℃～25℃。基质配方选用营养丰富、透气性好的材料。炼苗方法为定植前 5d～7d 通风控水。</w:t>
      </w:r>
    </w:p>
    <w:p w14:paraId="437FC880">
      <w:pPr>
        <w:pStyle w:val="72"/>
        <w:bidi w:val="0"/>
        <w:rPr>
          <w:rFonts w:hint="default"/>
        </w:rPr>
      </w:pPr>
      <w:r>
        <w:rPr>
          <w:rFonts w:hint="default"/>
        </w:rPr>
        <w:t>整地与施肥</w:t>
      </w:r>
    </w:p>
    <w:p w14:paraId="36F4173F">
      <w:pPr>
        <w:pStyle w:val="73"/>
        <w:bidi w:val="0"/>
        <w:rPr>
          <w:rFonts w:hint="default"/>
        </w:rPr>
      </w:pPr>
      <w:r>
        <w:rPr>
          <w:rFonts w:hint="default"/>
        </w:rPr>
        <w:t>基肥施用</w:t>
      </w:r>
    </w:p>
    <w:p w14:paraId="3E4BDA89">
      <w:pPr>
        <w:pStyle w:val="78"/>
        <w:bidi w:val="0"/>
        <w:spacing w:before="0" w:beforeLines="0" w:after="0" w:afterLines="0"/>
        <w:rPr>
          <w:rFonts w:hint="eastAsia"/>
        </w:rPr>
      </w:pPr>
      <w:bookmarkStart w:id="35" w:name="_GoBack"/>
      <w:r>
        <w:rPr>
          <w:rFonts w:hint="eastAsia"/>
        </w:rPr>
        <w:t>投入品使用应遵守</w:t>
      </w:r>
      <w:bookmarkStart w:id="27" w:name="_Hlk111472201"/>
      <w:r>
        <w:rPr>
          <w:rFonts w:hint="eastAsia"/>
        </w:rPr>
        <w:t>NY/T</w:t>
      </w:r>
      <w:bookmarkEnd w:id="27"/>
      <w:r>
        <w:rPr>
          <w:rFonts w:hint="eastAsia"/>
        </w:rPr>
        <w:t xml:space="preserve"> 393、NY/T</w:t>
      </w:r>
      <w:r>
        <w:rPr>
          <w:rFonts w:hint="eastAsia"/>
          <w:lang w:val="en-US" w:eastAsia="zh-CN"/>
        </w:rPr>
        <w:t xml:space="preserve"> </w:t>
      </w:r>
      <w:r>
        <w:rPr>
          <w:rFonts w:hint="eastAsia"/>
        </w:rPr>
        <w:t>394的要求</w:t>
      </w:r>
      <w:r>
        <w:rPr>
          <w:rFonts w:hint="eastAsia"/>
          <w:lang w:eastAsia="zh-CN"/>
        </w:rPr>
        <w:t>，</w:t>
      </w:r>
      <w:r>
        <w:rPr>
          <w:rFonts w:hint="eastAsia"/>
        </w:rPr>
        <w:t>有机产品投入品应符合GB/T 19630的要求。</w:t>
      </w:r>
    </w:p>
    <w:bookmarkEnd w:id="35"/>
    <w:p w14:paraId="03E36C67">
      <w:pPr>
        <w:pStyle w:val="78"/>
        <w:bidi w:val="0"/>
        <w:spacing w:before="0" w:beforeLines="0" w:after="0" w:afterLines="0"/>
        <w:rPr>
          <w:rFonts w:hint="default"/>
        </w:rPr>
      </w:pPr>
      <w:r>
        <w:rPr>
          <w:rFonts w:hint="default"/>
          <w:lang w:val="en-US" w:eastAsia="zh-CN"/>
        </w:rPr>
        <w:t>播种前 15d 结合施基肥整地。去除前茬残留植株、田间杂草等杂物，深翻 20cm，耙碎、整平并作畦。畦宽 120cm，沟宽 30cm，畦高 20cm。每亩施用腐熟有机肥 1500kg～2000kg 和草木灰 100kg。</w:t>
      </w:r>
    </w:p>
    <w:p w14:paraId="5DD78A4A">
      <w:pPr>
        <w:pStyle w:val="73"/>
        <w:bidi w:val="0"/>
        <w:rPr>
          <w:rFonts w:hint="default"/>
        </w:rPr>
      </w:pPr>
      <w:r>
        <w:rPr>
          <w:rFonts w:hint="default"/>
        </w:rPr>
        <w:t>土壤处理</w:t>
      </w:r>
    </w:p>
    <w:p w14:paraId="01A1B5A7">
      <w:pPr>
        <w:pStyle w:val="24"/>
        <w:rPr>
          <w:rFonts w:hint="default"/>
        </w:rPr>
      </w:pPr>
      <w:r>
        <w:rPr>
          <w:rFonts w:hint="default"/>
          <w:lang w:val="en-US" w:eastAsia="zh-CN"/>
        </w:rPr>
        <w:t>与非旋花科作物轮作，实行水旱轮作。畦宽 1m～1.2m，沟深 20cm～30cm。</w:t>
      </w:r>
    </w:p>
    <w:p w14:paraId="4AC3F8CC">
      <w:pPr>
        <w:pStyle w:val="72"/>
        <w:bidi w:val="0"/>
        <w:rPr>
          <w:rFonts w:hint="default"/>
        </w:rPr>
      </w:pPr>
      <w:r>
        <w:rPr>
          <w:rFonts w:hint="default"/>
        </w:rPr>
        <w:t>田间管理</w:t>
      </w:r>
    </w:p>
    <w:p w14:paraId="1C8487B9">
      <w:pPr>
        <w:pStyle w:val="73"/>
        <w:bidi w:val="0"/>
        <w:rPr>
          <w:rFonts w:hint="default"/>
        </w:rPr>
      </w:pPr>
      <w:r>
        <w:rPr>
          <w:rFonts w:hint="default"/>
        </w:rPr>
        <w:t>水肥管理</w:t>
      </w:r>
    </w:p>
    <w:p w14:paraId="5BD34B69">
      <w:pPr>
        <w:pStyle w:val="24"/>
        <w:rPr>
          <w:rFonts w:hint="default"/>
        </w:rPr>
      </w:pPr>
      <w:r>
        <w:rPr>
          <w:rFonts w:hint="default"/>
          <w:lang w:val="en-US" w:eastAsia="zh-CN"/>
        </w:rPr>
        <w:t>灌溉频率保持土壤湿度 65%～70%，排水及时。追肥种类为尿素等，采收后追施尿素 5kg～8kg/亩。灌溉方式以喷灌为主，禁止叶面喷施未腐熟粪肥。</w:t>
      </w:r>
    </w:p>
    <w:p w14:paraId="4E38F7C3">
      <w:pPr>
        <w:pStyle w:val="73"/>
        <w:bidi w:val="0"/>
        <w:rPr>
          <w:rFonts w:hint="default"/>
        </w:rPr>
      </w:pPr>
      <w:r>
        <w:rPr>
          <w:rFonts w:hint="default"/>
        </w:rPr>
        <w:t>温度与光照</w:t>
      </w:r>
    </w:p>
    <w:p w14:paraId="64B05B0C">
      <w:pPr>
        <w:pStyle w:val="24"/>
        <w:rPr>
          <w:rFonts w:hint="default"/>
        </w:rPr>
      </w:pPr>
      <w:r>
        <w:rPr>
          <w:rFonts w:hint="default"/>
          <w:lang w:val="en-US" w:eastAsia="zh-CN"/>
        </w:rPr>
        <w:t>设施栽培冬季保温≥10℃，夏季通风降温≤35℃。遮阳网</w:t>
      </w:r>
      <w:r>
        <w:rPr>
          <w:rFonts w:hint="eastAsia"/>
          <w:lang w:val="en-US" w:eastAsia="zh-CN"/>
        </w:rPr>
        <w:t>或</w:t>
      </w:r>
      <w:r>
        <w:rPr>
          <w:rFonts w:hint="default"/>
          <w:lang w:val="en-US" w:eastAsia="zh-CN"/>
        </w:rPr>
        <w:t>防虫网使用规范为高温季节覆盖，早晚揭网。</w:t>
      </w:r>
    </w:p>
    <w:p w14:paraId="2375C464">
      <w:pPr>
        <w:pStyle w:val="73"/>
        <w:bidi w:val="0"/>
        <w:rPr>
          <w:rFonts w:hint="default"/>
        </w:rPr>
      </w:pPr>
      <w:r>
        <w:rPr>
          <w:rFonts w:hint="default"/>
        </w:rPr>
        <w:t>中期管理</w:t>
      </w:r>
    </w:p>
    <w:p w14:paraId="3F92BFB6">
      <w:pPr>
        <w:pStyle w:val="24"/>
        <w:rPr>
          <w:rFonts w:hint="default"/>
        </w:rPr>
      </w:pPr>
      <w:r>
        <w:rPr>
          <w:rFonts w:hint="default"/>
          <w:lang w:val="en-US" w:eastAsia="zh-CN"/>
        </w:rPr>
        <w:t>间苗时间在 2 片真叶期，定苗间距 4cm～7cm 见方。封垄前中耕 1 次～2 次。</w:t>
      </w:r>
    </w:p>
    <w:p w14:paraId="34500DCD">
      <w:pPr>
        <w:pStyle w:val="71"/>
        <w:bidi w:val="0"/>
        <w:rPr>
          <w:rFonts w:hint="default"/>
        </w:rPr>
      </w:pPr>
      <w:r>
        <w:rPr>
          <w:rFonts w:hint="default"/>
        </w:rPr>
        <w:t>病虫害防治</w:t>
      </w:r>
    </w:p>
    <w:p w14:paraId="4DE74470">
      <w:pPr>
        <w:pStyle w:val="72"/>
        <w:bidi w:val="0"/>
        <w:rPr>
          <w:rFonts w:hint="default"/>
        </w:rPr>
      </w:pPr>
      <w:r>
        <w:rPr>
          <w:rFonts w:hint="default"/>
        </w:rPr>
        <w:t>主要病虫害</w:t>
      </w:r>
    </w:p>
    <w:p w14:paraId="5F98CA38">
      <w:pPr>
        <w:pStyle w:val="24"/>
        <w:rPr>
          <w:rFonts w:hint="default"/>
        </w:rPr>
      </w:pPr>
      <w:r>
        <w:rPr>
          <w:rFonts w:hint="default"/>
          <w:lang w:val="en-US" w:eastAsia="zh-CN"/>
        </w:rPr>
        <w:t>高发病害：猝倒病、白锈病、褐斑病等。高发虫害：蚜虫、斜纹夜蛾、小菜蛾等。发病规律：高温高湿易发白锈病等。</w:t>
      </w:r>
    </w:p>
    <w:p w14:paraId="66A23245">
      <w:pPr>
        <w:pStyle w:val="72"/>
        <w:bidi w:val="0"/>
        <w:rPr>
          <w:rFonts w:hint="default"/>
        </w:rPr>
      </w:pPr>
      <w:r>
        <w:rPr>
          <w:rFonts w:hint="default"/>
        </w:rPr>
        <w:t>防治方法</w:t>
      </w:r>
    </w:p>
    <w:p w14:paraId="26E79B34">
      <w:pPr>
        <w:pStyle w:val="73"/>
        <w:bidi w:val="0"/>
        <w:rPr>
          <w:rFonts w:hint="default"/>
        </w:rPr>
      </w:pPr>
      <w:r>
        <w:rPr>
          <w:rFonts w:hint="default"/>
        </w:rPr>
        <w:t>农业防治</w:t>
      </w:r>
    </w:p>
    <w:p w14:paraId="6C18F86D">
      <w:pPr>
        <w:pStyle w:val="24"/>
        <w:rPr>
          <w:rFonts w:hint="default"/>
        </w:rPr>
      </w:pPr>
      <w:r>
        <w:rPr>
          <w:rFonts w:hint="eastAsia"/>
          <w:lang w:val="en-US" w:eastAsia="zh-CN"/>
        </w:rPr>
        <w:t>宜选用农业防治</w:t>
      </w:r>
      <w:r>
        <w:rPr>
          <w:rFonts w:hint="default"/>
          <w:lang w:val="en-US" w:eastAsia="zh-CN"/>
        </w:rPr>
        <w:t>，选用抗病品种、轮作周期 2 年～3 年、清洁田园等。</w:t>
      </w:r>
    </w:p>
    <w:p w14:paraId="2DD29E29">
      <w:pPr>
        <w:pStyle w:val="73"/>
        <w:bidi w:val="0"/>
        <w:rPr>
          <w:rFonts w:hint="default"/>
        </w:rPr>
      </w:pPr>
      <w:r>
        <w:rPr>
          <w:rFonts w:hint="default"/>
        </w:rPr>
        <w:t>物理防治</w:t>
      </w:r>
    </w:p>
    <w:p w14:paraId="73DD59B6">
      <w:pPr>
        <w:pStyle w:val="24"/>
        <w:rPr>
          <w:rFonts w:hint="default"/>
        </w:rPr>
      </w:pPr>
      <w:r>
        <w:rPr>
          <w:rFonts w:hint="default"/>
          <w:lang w:val="en-US" w:eastAsia="zh-CN"/>
        </w:rPr>
        <w:t>黄板诱杀每亩 30 块～40 块，高出植株 20cm。银灰膜驱蚜、防虫网阻隔（30 目～40 目）。</w:t>
      </w:r>
    </w:p>
    <w:p w14:paraId="58A0D106">
      <w:pPr>
        <w:pStyle w:val="73"/>
        <w:bidi w:val="0"/>
        <w:rPr>
          <w:rFonts w:hint="default"/>
        </w:rPr>
      </w:pPr>
      <w:r>
        <w:rPr>
          <w:rFonts w:hint="default"/>
        </w:rPr>
        <w:t>生物防治</w:t>
      </w:r>
    </w:p>
    <w:p w14:paraId="68E80F60">
      <w:pPr>
        <w:pStyle w:val="24"/>
        <w:rPr>
          <w:rFonts w:hint="default"/>
        </w:rPr>
      </w:pPr>
      <w:r>
        <w:rPr>
          <w:rFonts w:hint="eastAsia"/>
          <w:lang w:val="en-US" w:eastAsia="zh-CN"/>
        </w:rPr>
        <w:t>宜</w:t>
      </w:r>
      <w:r>
        <w:rPr>
          <w:rFonts w:hint="default"/>
          <w:lang w:val="en-US" w:eastAsia="zh-CN"/>
        </w:rPr>
        <w:t>生物农药如苏云金杆菌、苦参碱、印楝素等，使用浓度参考相关标准。</w:t>
      </w:r>
    </w:p>
    <w:p w14:paraId="4F6978F7">
      <w:pPr>
        <w:pStyle w:val="73"/>
        <w:bidi w:val="0"/>
        <w:rPr>
          <w:rFonts w:hint="default"/>
        </w:rPr>
      </w:pPr>
      <w:r>
        <w:rPr>
          <w:rFonts w:hint="default"/>
        </w:rPr>
        <w:t>化学防治</w:t>
      </w:r>
    </w:p>
    <w:p w14:paraId="75077C07">
      <w:pPr>
        <w:pStyle w:val="24"/>
        <w:rPr>
          <w:rFonts w:hint="default"/>
        </w:rPr>
      </w:pPr>
      <w:r>
        <w:rPr>
          <w:rFonts w:hint="default"/>
          <w:lang w:val="en-US" w:eastAsia="zh-CN"/>
        </w:rPr>
        <w:t>限量使用低毒农药，如 10% 吡虫啉 2000 倍液。安全间隔期为采收前 7d 停药。化学农药使用应符合 GB/T 8321（所有部分</w:t>
      </w:r>
      <w:r>
        <w:rPr>
          <w:rFonts w:hint="eastAsia"/>
          <w:lang w:val="en-US" w:eastAsia="zh-CN"/>
        </w:rPr>
        <w:t>）、</w:t>
      </w:r>
      <w:r>
        <w:rPr>
          <w:rFonts w:hint="default"/>
          <w:lang w:val="en-US" w:eastAsia="zh-CN"/>
        </w:rPr>
        <w:t>NY/T 1276 的规定。</w:t>
      </w:r>
    </w:p>
    <w:p w14:paraId="24723A7F">
      <w:pPr>
        <w:pStyle w:val="71"/>
        <w:bidi w:val="0"/>
        <w:rPr>
          <w:rFonts w:hint="default"/>
        </w:rPr>
      </w:pPr>
      <w:r>
        <w:rPr>
          <w:rFonts w:hint="default"/>
        </w:rPr>
        <w:t>采收与</w:t>
      </w:r>
      <w:r>
        <w:rPr>
          <w:rFonts w:hint="eastAsia"/>
          <w:lang w:val="en-US" w:eastAsia="zh-CN"/>
        </w:rPr>
        <w:t>管理</w:t>
      </w:r>
    </w:p>
    <w:p w14:paraId="510DD483">
      <w:pPr>
        <w:pStyle w:val="72"/>
        <w:bidi w:val="0"/>
        <w:rPr>
          <w:rFonts w:hint="default"/>
        </w:rPr>
      </w:pPr>
      <w:r>
        <w:rPr>
          <w:rFonts w:hint="default"/>
        </w:rPr>
        <w:t>采收</w:t>
      </w:r>
    </w:p>
    <w:p w14:paraId="6992D68D">
      <w:pPr>
        <w:pStyle w:val="78"/>
        <w:bidi w:val="0"/>
        <w:spacing w:before="0" w:beforeLines="0" w:after="0" w:afterLines="0"/>
        <w:rPr>
          <w:rFonts w:hint="default"/>
          <w:lang w:val="en-US" w:eastAsia="zh-CN"/>
        </w:rPr>
      </w:pPr>
      <w:r>
        <w:rPr>
          <w:rFonts w:hint="default"/>
          <w:lang w:val="en-US" w:eastAsia="zh-CN"/>
        </w:rPr>
        <w:t>采收应不超过三茬。采收期 3～11 月，特级宜在 4～6 月采收。株高 20cm～30cm 时开始采收。采收后应去掉黄叶、病虫斑叶。采收标准见表 2。</w:t>
      </w:r>
    </w:p>
    <w:p w14:paraId="49B00DF5">
      <w:pPr>
        <w:pStyle w:val="78"/>
        <w:bidi w:val="0"/>
        <w:spacing w:before="0" w:beforeLines="0" w:after="0" w:afterLines="0"/>
        <w:rPr>
          <w:rFonts w:hint="default"/>
          <w:lang w:val="en-US" w:eastAsia="zh-CN"/>
        </w:rPr>
      </w:pPr>
      <w:r>
        <w:rPr>
          <w:rFonts w:hint="default"/>
          <w:lang w:val="en-US" w:eastAsia="zh-CN"/>
        </w:rPr>
        <w:t>主蔓或侧蔓长至 30cm～40cm，茎基部留 2 或 3 个节</w:t>
      </w:r>
      <w:r>
        <w:rPr>
          <w:rFonts w:hint="eastAsia"/>
          <w:lang w:val="en-US" w:eastAsia="zh-CN"/>
        </w:rPr>
        <w:t>的为特级。</w:t>
      </w:r>
      <w:r>
        <w:rPr>
          <w:rFonts w:hint="default"/>
          <w:lang w:val="en-US" w:eastAsia="zh-CN"/>
        </w:rPr>
        <w:t>主蔓或侧蔓长至 20cm～30cm，茎基部留 1 或 2 个节</w:t>
      </w:r>
      <w:r>
        <w:rPr>
          <w:rFonts w:hint="eastAsia"/>
          <w:lang w:val="en-US" w:eastAsia="zh-CN"/>
        </w:rPr>
        <w:t>的为一级。</w:t>
      </w:r>
    </w:p>
    <w:p w14:paraId="1F651C94">
      <w:pPr>
        <w:pStyle w:val="72"/>
        <w:spacing w:before="120" w:after="120"/>
      </w:pPr>
      <w:r>
        <w:rPr>
          <w:rFonts w:hint="eastAsia"/>
        </w:rPr>
        <w:t>包装</w:t>
      </w:r>
    </w:p>
    <w:p w14:paraId="35AF0F57">
      <w:pPr>
        <w:pStyle w:val="78"/>
        <w:bidi w:val="0"/>
        <w:spacing w:before="0" w:beforeLines="0" w:after="0" w:afterLines="0"/>
        <w:rPr>
          <w:rFonts w:hint="eastAsia"/>
        </w:rPr>
      </w:pPr>
      <w:bookmarkStart w:id="28" w:name="_Hlk111489077"/>
      <w:r>
        <w:rPr>
          <w:rFonts w:hint="eastAsia"/>
        </w:rPr>
        <w:t>包装应符合</w:t>
      </w:r>
      <w:bookmarkStart w:id="29" w:name="_Hlk117846728"/>
      <w:r>
        <w:t>GB 43284</w:t>
      </w:r>
      <w:bookmarkEnd w:id="29"/>
      <w:r>
        <w:rPr>
          <w:rFonts w:hint="eastAsia"/>
        </w:rPr>
        <w:t>要求。绿色食品应符合NY/T 65</w:t>
      </w:r>
      <w:r>
        <w:rPr>
          <w:rFonts w:hint="eastAsia"/>
          <w:lang w:val="en-US" w:eastAsia="zh-CN"/>
        </w:rPr>
        <w:t>8</w:t>
      </w:r>
      <w:r>
        <w:rPr>
          <w:rFonts w:hint="eastAsia"/>
        </w:rPr>
        <w:t>的要求</w:t>
      </w:r>
      <w:r>
        <w:rPr>
          <w:rFonts w:hint="eastAsia"/>
          <w:lang w:eastAsia="zh-CN"/>
        </w:rPr>
        <w:t>，</w:t>
      </w:r>
      <w:r>
        <w:rPr>
          <w:rFonts w:hint="eastAsia"/>
        </w:rPr>
        <w:t>有机产品应符合GB/T 19630的要求</w:t>
      </w:r>
      <w:bookmarkEnd w:id="28"/>
      <w:r>
        <w:rPr>
          <w:rFonts w:hint="eastAsia"/>
        </w:rPr>
        <w:t>。</w:t>
      </w:r>
    </w:p>
    <w:p w14:paraId="23C9AE2C">
      <w:pPr>
        <w:pStyle w:val="78"/>
        <w:bidi w:val="0"/>
        <w:spacing w:before="0" w:beforeLines="0" w:after="0" w:afterLines="0"/>
        <w:rPr>
          <w:rFonts w:hint="eastAsia"/>
        </w:rPr>
      </w:pPr>
      <w:r>
        <w:rPr>
          <w:rFonts w:hint="eastAsia"/>
        </w:rPr>
        <w:t>包装材料应分别符合</w:t>
      </w:r>
      <w:bookmarkStart w:id="30" w:name="_Hlk111486485"/>
      <w:bookmarkStart w:id="31" w:name="_Hlk111488105"/>
      <w:r>
        <w:t>GB 4806.1</w:t>
      </w:r>
      <w:r>
        <w:rPr>
          <w:rFonts w:hint="eastAsia"/>
        </w:rPr>
        <w:t>、GB 4806.7</w:t>
      </w:r>
      <w:bookmarkEnd w:id="30"/>
      <w:r>
        <w:rPr>
          <w:rFonts w:hint="eastAsia"/>
        </w:rPr>
        <w:t>、</w:t>
      </w:r>
      <w:r>
        <w:t>GB 4806.8</w:t>
      </w:r>
      <w:bookmarkEnd w:id="31"/>
      <w:r>
        <w:rPr>
          <w:rFonts w:hint="eastAsia"/>
        </w:rPr>
        <w:t>的规定。</w:t>
      </w:r>
    </w:p>
    <w:p w14:paraId="62113A42">
      <w:pPr>
        <w:pStyle w:val="78"/>
        <w:bidi w:val="0"/>
        <w:spacing w:before="0" w:beforeLines="0" w:after="0" w:afterLines="0"/>
        <w:rPr>
          <w:rFonts w:hint="eastAsia"/>
        </w:rPr>
      </w:pPr>
      <w:r>
        <w:rPr>
          <w:rFonts w:hint="eastAsia"/>
        </w:rPr>
        <w:t>塑料包装容器应符合GB/T 5737的要求。</w:t>
      </w:r>
    </w:p>
    <w:p w14:paraId="0C762AFA">
      <w:pPr>
        <w:pStyle w:val="72"/>
        <w:bidi w:val="0"/>
        <w:rPr>
          <w:rFonts w:hint="default"/>
        </w:rPr>
      </w:pPr>
      <w:r>
        <w:rPr>
          <w:rFonts w:hint="default"/>
        </w:rPr>
        <w:t>贮存</w:t>
      </w:r>
    </w:p>
    <w:p w14:paraId="4FF9BD73">
      <w:pPr>
        <w:pStyle w:val="24"/>
        <w:rPr>
          <w:rFonts w:hint="default"/>
        </w:rPr>
      </w:pPr>
      <w:r>
        <w:rPr>
          <w:rFonts w:hint="default"/>
          <w:lang w:val="en-US" w:eastAsia="zh-CN"/>
        </w:rPr>
        <w:t>应在通风、清洁、卫生的条件下贮存，严防曝晒、雨淋、冻害及有害物质污染。贮藏温度宜为 3℃～5℃，湿度为 80%～85%。绿色食品应符合 NY/T 1056 的要求；有机产品应符合 GB/T 19630 的要求。</w:t>
      </w:r>
    </w:p>
    <w:p w14:paraId="0EB11AA8">
      <w:pPr>
        <w:pStyle w:val="72"/>
        <w:bidi w:val="0"/>
        <w:rPr>
          <w:rFonts w:hint="default"/>
        </w:rPr>
      </w:pPr>
      <w:r>
        <w:rPr>
          <w:rFonts w:hint="default"/>
        </w:rPr>
        <w:t>运输</w:t>
      </w:r>
    </w:p>
    <w:p w14:paraId="6EB0BE5F">
      <w:pPr>
        <w:pStyle w:val="24"/>
        <w:rPr>
          <w:rFonts w:hint="default"/>
        </w:rPr>
      </w:pPr>
      <w:r>
        <w:rPr>
          <w:rFonts w:hint="default"/>
          <w:lang w:val="en-US" w:eastAsia="zh-CN"/>
        </w:rPr>
        <w:t>运输工具应具有清洁、卫生、干燥、无异味，不得与有毒有害物品混运。运输途中应防雨、防潮、防暴晒、防污染。时间在 5h 以内，可用保温车运输，通过加冰块等方法使温度控制在 9℃～15℃；运输时间超过 5h 采用冷藏车运输，温度控制在 9℃～12℃。绿色食品应符合 NY/T 1056 的要求，有机产品应符合 GB/T 19630 的要求。</w:t>
      </w:r>
    </w:p>
    <w:p w14:paraId="65DC5F3E">
      <w:pPr>
        <w:pStyle w:val="71"/>
        <w:bidi w:val="0"/>
        <w:rPr>
          <w:rFonts w:hint="default"/>
        </w:rPr>
      </w:pPr>
      <w:r>
        <w:rPr>
          <w:rFonts w:hint="default"/>
        </w:rPr>
        <w:t>生产档案管理</w:t>
      </w:r>
    </w:p>
    <w:p w14:paraId="75AE02AA">
      <w:pPr>
        <w:pStyle w:val="24"/>
        <w:rPr>
          <w:rFonts w:hint="default"/>
        </w:rPr>
      </w:pPr>
      <w:r>
        <w:rPr>
          <w:rFonts w:hint="default"/>
          <w:lang w:val="en-US" w:eastAsia="zh-CN"/>
        </w:rPr>
        <w:t>建立生产档案，详细记录生产投入品名称、来源、用法、用量、使用范围，病虫草害发生和防治情况，收获日期。生产档案保存两年以上。</w:t>
      </w:r>
    </w:p>
    <w:p w14:paraId="46AA5E66">
      <w:pPr>
        <w:pStyle w:val="24"/>
        <w:rPr>
          <w:rFonts w:hint="default"/>
        </w:rPr>
      </w:pPr>
    </w:p>
    <w:p w14:paraId="41BBBB12">
      <w:pPr>
        <w:pStyle w:val="24"/>
        <w:rPr>
          <w:rFonts w:hint="default"/>
        </w:rPr>
      </w:pPr>
    </w:p>
    <w:bookmarkEnd w:id="26"/>
    <w:p w14:paraId="734902E9">
      <w:pPr>
        <w:rPr>
          <w:rFonts w:hint="eastAsia"/>
          <w:lang w:val="en-US" w:eastAsia="zh-CN"/>
        </w:rPr>
      </w:pPr>
      <w:r>
        <w:rPr>
          <w:rFonts w:hint="eastAsia"/>
          <w:lang w:val="en-US" w:eastAsia="zh-CN"/>
        </w:rPr>
        <w:br w:type="page"/>
      </w:r>
      <w:bookmarkStart w:id="32" w:name="BKFL"/>
    </w:p>
    <w:p w14:paraId="132B296A">
      <w:pPr>
        <w:pStyle w:val="98"/>
        <w:bidi w:val="0"/>
        <w:rPr>
          <w:rFonts w:hint="eastAsia"/>
          <w:lang w:val="en-US" w:eastAsia="zh-CN"/>
        </w:rPr>
      </w:pPr>
    </w:p>
    <w:p w14:paraId="3F2EC233">
      <w:pPr>
        <w:pStyle w:val="100"/>
        <w:bidi w:val="0"/>
        <w:rPr>
          <w:rFonts w:hint="eastAsia"/>
          <w:lang w:val="en-US" w:eastAsia="zh-CN"/>
        </w:rPr>
      </w:pPr>
    </w:p>
    <w:p w14:paraId="7CEDAD29">
      <w:pPr>
        <w:pStyle w:val="87"/>
        <w:bidi w:val="0"/>
        <w:rPr>
          <w:rFonts w:hint="eastAsia"/>
          <w:lang w:val="en-US" w:eastAsia="zh-CN"/>
        </w:rPr>
      </w:pPr>
      <w:bookmarkStart w:id="33" w:name="_Toc28217"/>
      <w:r>
        <w:rPr>
          <w:rFonts w:hint="eastAsia"/>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井冈山大叶空心菜种植区域范围图</w:t>
      </w:r>
      <w:bookmarkEnd w:id="33"/>
    </w:p>
    <w:p w14:paraId="514A9674">
      <w:pPr>
        <w:pStyle w:val="24"/>
        <w:rPr>
          <w:rFonts w:hint="eastAsia"/>
          <w:lang w:val="en-US" w:eastAsia="zh-CN"/>
        </w:rPr>
      </w:pPr>
    </w:p>
    <w:p w14:paraId="2A469890">
      <w:pPr>
        <w:pStyle w:val="24"/>
        <w:rPr>
          <w:rFonts w:hint="default"/>
          <w:lang w:val="en-US" w:eastAsia="zh-CN"/>
        </w:rPr>
      </w:pPr>
      <w:r>
        <w:rPr>
          <w:rFonts w:hint="eastAsia"/>
          <w:lang w:val="en-US" w:eastAsia="zh-CN"/>
        </w:rPr>
        <w:t>井冈山大叶空心菜种植区域范围见图A.1。</w:t>
      </w:r>
    </w:p>
    <w:bookmarkEnd w:id="32"/>
    <w:p w14:paraId="42A98B50">
      <w:pPr>
        <w:pStyle w:val="24"/>
        <w:ind w:firstLine="0" w:firstLineChars="0"/>
        <w:jc w:val="center"/>
      </w:pPr>
      <w:r>
        <w:drawing>
          <wp:inline distT="0" distB="0" distL="114300" distR="114300">
            <wp:extent cx="3604260" cy="5093335"/>
            <wp:effectExtent l="0" t="0" r="15240" b="12065"/>
            <wp:docPr id="1" name="图片 1" descr="0678208d9958eceed3b97fe5adbc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78208d9958eceed3b97fe5adbcc18"/>
                    <pic:cNvPicPr>
                      <a:picLocks noChangeAspect="1"/>
                    </pic:cNvPicPr>
                  </pic:nvPicPr>
                  <pic:blipFill>
                    <a:blip r:embed="rId10"/>
                    <a:stretch>
                      <a:fillRect/>
                    </a:stretch>
                  </pic:blipFill>
                  <pic:spPr>
                    <a:xfrm>
                      <a:off x="0" y="0"/>
                      <a:ext cx="3604260" cy="5093335"/>
                    </a:xfrm>
                    <a:prstGeom prst="rect">
                      <a:avLst/>
                    </a:prstGeom>
                  </pic:spPr>
                </pic:pic>
              </a:graphicData>
            </a:graphic>
          </wp:inline>
        </w:drawing>
      </w:r>
    </w:p>
    <w:p w14:paraId="26EBB173">
      <w:pPr>
        <w:pStyle w:val="113"/>
        <w:numPr>
          <w:ilvl w:val="0"/>
          <w:numId w:val="0"/>
        </w:numPr>
        <w:bidi w:val="0"/>
        <w:ind w:leftChars="0"/>
        <w:jc w:val="center"/>
        <w:rPr>
          <w:rFonts w:hint="eastAsia"/>
          <w:lang w:val="en-US" w:eastAsia="zh-CN"/>
        </w:rPr>
      </w:pPr>
      <w:r>
        <w:rPr>
          <w:rFonts w:hint="eastAsia"/>
          <w:lang w:val="en-US" w:eastAsia="zh-CN"/>
        </w:rPr>
        <w:t>图A.1 井冈山大叶空心菜种植区域范围图</w:t>
      </w:r>
    </w:p>
    <w:p w14:paraId="1A54DF25">
      <w:pPr>
        <w:pStyle w:val="24"/>
        <w:jc w:val="center"/>
      </w:pPr>
    </w:p>
    <w:p w14:paraId="2C25E6C9">
      <w:pPr>
        <w:pStyle w:val="24"/>
        <w:jc w:val="center"/>
      </w:pPr>
    </w:p>
    <w:p w14:paraId="53F2D277">
      <w:pPr>
        <w:pStyle w:val="24"/>
        <w:jc w:val="center"/>
      </w:pPr>
    </w:p>
    <w:p w14:paraId="026DAB6A">
      <w:pPr>
        <w:pStyle w:val="111"/>
        <w:bidi w:val="0"/>
        <w:rPr>
          <w:rFonts w:hint="default"/>
          <w:lang w:val="en-US" w:eastAsia="zh-CN"/>
        </w:rPr>
      </w:pPr>
      <w:bookmarkStart w:id="34" w:name="EndLine"/>
      <w:r>
        <w:rPr>
          <w:rFonts w:hint="default"/>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11"/>
                    <a:stretch>
                      <a:fillRect/>
                    </a:stretch>
                  </pic:blipFill>
                  <pic:spPr>
                    <a:xfrm>
                      <a:off x="0" y="0"/>
                      <a:ext cx="1485900" cy="317500"/>
                    </a:xfrm>
                    <a:prstGeom prst="rect">
                      <a:avLst/>
                    </a:prstGeom>
                  </pic:spPr>
                </pic:pic>
              </a:graphicData>
            </a:graphic>
          </wp:inline>
        </w:drawing>
      </w:r>
      <w:bookmarkEnd w:id="34"/>
    </w:p>
    <w:sectPr>
      <w:footerReference r:id="rId7" w:type="default"/>
      <w:footerReference r:id="rId8" w:type="even"/>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0CC3">
    <w:pPr>
      <w:pStyle w:val="30"/>
      <w:bidi w:val="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D7E1F">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12D7E1F">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32E0">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D6117">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E1D6117">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A17DE">
    <w:pPr>
      <w:pStyle w:val="30"/>
      <w:bidi w:val="0"/>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5F37C">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55F37C">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AB97">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90A4C">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F90A4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E70E4">
    <w:pPr>
      <w:pStyle w:val="31"/>
      <w:bidi w:val="0"/>
      <w:jc w:val="left"/>
      <w:rPr>
        <w:rFonts w:hint="default" w:eastAsia="黑体"/>
        <w:lang w:val="en-US" w:eastAsia="zh-CN"/>
      </w:rPr>
    </w:pPr>
    <w:r>
      <w:rPr>
        <w:rFonts w:hint="eastAsia"/>
        <w:lang w:eastAsia="zh-CN"/>
      </w:rPr>
      <w:t xml:space="preserve">T/JALNCP </w:t>
    </w:r>
    <w:r>
      <w:rPr>
        <w:rFonts w:hint="eastAsia"/>
        <w:lang w:val="en-US" w:eastAsia="zh-CN"/>
      </w:rPr>
      <w:t>XXX</w:t>
    </w:r>
    <w:r>
      <w:rPr>
        <w:rFonts w:hint="eastAsia"/>
        <w:lang w:eastAsia="zh-CN"/>
      </w:rPr>
      <w:t>-202</w:t>
    </w:r>
    <w:r>
      <w:rPr>
        <w:rFonts w:hint="eastAsia"/>
        <w:lang w:val="en-US" w:eastAsia="zh-CN"/>
      </w:rPr>
      <w:t>5</w:t>
    </w:r>
  </w:p>
  <w:p w14:paraId="0FB17065">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1C25">
    <w:pPr>
      <w:pStyle w:val="31"/>
      <w:bidi w:val="0"/>
      <w:rPr>
        <w:rFonts w:hint="eastAsia" w:eastAsia="黑体"/>
        <w:lang w:eastAsia="zh-CN"/>
      </w:rPr>
    </w:pPr>
    <w:r>
      <w:rPr>
        <w:rFonts w:hint="eastAsia"/>
        <w:lang w:eastAsia="zh-CN"/>
      </w:rPr>
      <w:t xml:space="preserve">T/JALNCP </w:t>
    </w:r>
    <w:r>
      <w:rPr>
        <w:rFonts w:hint="eastAsia"/>
        <w:lang w:val="en-US" w:eastAsia="zh-CN"/>
      </w:rPr>
      <w:t>X</w:t>
    </w:r>
    <w:r>
      <w:rPr>
        <w:rFonts w:hint="eastAsia"/>
        <w:lang w:eastAsia="zh-CN"/>
      </w:rPr>
      <w:t>-202</w:t>
    </w:r>
    <w:r>
      <w:rPr>
        <w:rFonts w:hint="eastAsia"/>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CCB20"/>
    <w:multiLevelType w:val="multilevel"/>
    <w:tmpl w:val="87ACCB20"/>
    <w:lvl w:ilvl="0" w:tentative="0">
      <w:start w:val="1"/>
      <w:numFmt w:val="lowerLetter"/>
      <w:pStyle w:val="107"/>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C0677DD"/>
    <w:multiLevelType w:val="multilevel"/>
    <w:tmpl w:val="9C0677DD"/>
    <w:lvl w:ilvl="0" w:tentative="0">
      <w:start w:val="1"/>
      <w:numFmt w:val="none"/>
      <w:pStyle w:val="54"/>
      <w:suff w:val="nothing"/>
      <w:lvlText w:val="%1"/>
      <w:lvlJc w:val="left"/>
      <w:pPr>
        <w:ind w:left="425" w:leftChars="0" w:hanging="425" w:firstLineChars="0"/>
      </w:pPr>
      <w:rPr>
        <w:rFonts w:hint="default"/>
      </w:rPr>
    </w:lvl>
    <w:lvl w:ilvl="1" w:tentative="0">
      <w:start w:val="1"/>
      <w:numFmt w:val="decimal"/>
      <w:pStyle w:val="61"/>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2"/>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3"/>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4"/>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5"/>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A2EB0FC3"/>
    <w:multiLevelType w:val="multilevel"/>
    <w:tmpl w:val="A2EB0FC3"/>
    <w:lvl w:ilvl="0" w:tentative="0">
      <w:start w:val="1"/>
      <w:numFmt w:val="decimal"/>
      <w:pStyle w:val="113"/>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A4A53B33"/>
    <w:multiLevelType w:val="multilevel"/>
    <w:tmpl w:val="A4A53B33"/>
    <w:lvl w:ilvl="0" w:tentative="0">
      <w:start w:val="1"/>
      <w:numFmt w:val="lowerLetter"/>
      <w:pStyle w:val="59"/>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0"/>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8"/>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B3DC1A2D"/>
    <w:multiLevelType w:val="multilevel"/>
    <w:tmpl w:val="B3DC1A2D"/>
    <w:lvl w:ilvl="0" w:tentative="0">
      <w:start w:val="1"/>
      <w:numFmt w:val="upperLetter"/>
      <w:pStyle w:val="100"/>
      <w:lvlText w:val="%1"/>
      <w:lvlJc w:val="left"/>
      <w:pPr>
        <w:tabs>
          <w:tab w:val="left" w:pos="0"/>
        </w:tabs>
        <w:ind w:left="0" w:leftChars="0" w:firstLine="0" w:firstLineChars="0"/>
      </w:pPr>
      <w:rPr>
        <w:rFonts w:hint="default"/>
      </w:rPr>
    </w:lvl>
    <w:lvl w:ilvl="1" w:tentative="0">
      <w:start w:val="1"/>
      <w:numFmt w:val="decimal"/>
      <w:pStyle w:val="101"/>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C88ED15C"/>
    <w:multiLevelType w:val="multilevel"/>
    <w:tmpl w:val="C88ED15C"/>
    <w:lvl w:ilvl="0" w:tentative="0">
      <w:start w:val="1"/>
      <w:numFmt w:val="decimal"/>
      <w:pStyle w:val="118"/>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DD19FD55"/>
    <w:multiLevelType w:val="multilevel"/>
    <w:tmpl w:val="DD19FD55"/>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DD2D1ADF"/>
    <w:multiLevelType w:val="multilevel"/>
    <w:tmpl w:val="DD2D1ADF"/>
    <w:lvl w:ilvl="0" w:tentative="0">
      <w:start w:val="1"/>
      <w:numFmt w:val="none"/>
      <w:pStyle w:val="56"/>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7"/>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E1F5246B"/>
    <w:multiLevelType w:val="multilevel"/>
    <w:tmpl w:val="E1F5246B"/>
    <w:lvl w:ilvl="0" w:tentative="0">
      <w:start w:val="1"/>
      <w:numFmt w:val="none"/>
      <w:pStyle w:val="105"/>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E6E0FB96"/>
    <w:multiLevelType w:val="multilevel"/>
    <w:tmpl w:val="E6E0FB96"/>
    <w:lvl w:ilvl="0" w:tentative="0">
      <w:start w:val="1"/>
      <w:numFmt w:val="upperLetter"/>
      <w:pStyle w:val="87"/>
      <w:suff w:val="nothing"/>
      <w:lvlText w:val="附录%1"/>
      <w:lvlJc w:val="left"/>
      <w:pPr>
        <w:ind w:left="0" w:leftChars="0" w:firstLine="0" w:firstLineChars="0"/>
      </w:pPr>
      <w:rPr>
        <w:rFonts w:hint="default"/>
        <w:spacing w:val="102"/>
      </w:rPr>
    </w:lvl>
    <w:lvl w:ilvl="1" w:tentative="0">
      <w:start w:val="1"/>
      <w:numFmt w:val="decimal"/>
      <w:pStyle w:val="88"/>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9"/>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0"/>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1"/>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2"/>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E8AC2F2F"/>
    <w:multiLevelType w:val="multilevel"/>
    <w:tmpl w:val="E8AC2F2F"/>
    <w:lvl w:ilvl="0" w:tentative="0">
      <w:start w:val="1"/>
      <w:numFmt w:val="decimal"/>
      <w:pStyle w:val="71"/>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2"/>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3"/>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4"/>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5"/>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6"/>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1">
    <w:nsid w:val="E9B14E5C"/>
    <w:multiLevelType w:val="multilevel"/>
    <w:tmpl w:val="E9B14E5C"/>
    <w:lvl w:ilvl="0" w:tentative="0">
      <w:start w:val="1"/>
      <w:numFmt w:val="upperLetter"/>
      <w:pStyle w:val="98"/>
      <w:lvlText w:val="%1"/>
      <w:lvlJc w:val="left"/>
      <w:pPr>
        <w:tabs>
          <w:tab w:val="left" w:pos="0"/>
        </w:tabs>
        <w:ind w:left="0" w:leftChars="0" w:firstLine="0" w:firstLineChars="0"/>
      </w:pPr>
      <w:rPr>
        <w:rFonts w:hint="default"/>
      </w:rPr>
    </w:lvl>
    <w:lvl w:ilvl="1" w:tentative="0">
      <w:start w:val="1"/>
      <w:numFmt w:val="decimal"/>
      <w:pStyle w:val="99"/>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2">
    <w:nsid w:val="F6AAF0DE"/>
    <w:multiLevelType w:val="multilevel"/>
    <w:tmpl w:val="F6AAF0DE"/>
    <w:lvl w:ilvl="0" w:tentative="0">
      <w:start w:val="1"/>
      <w:numFmt w:val="decimal"/>
      <w:pStyle w:val="112"/>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FB6B5B6B"/>
    <w:multiLevelType w:val="multilevel"/>
    <w:tmpl w:val="FB6B5B6B"/>
    <w:lvl w:ilvl="0" w:tentative="0">
      <w:start w:val="1"/>
      <w:numFmt w:val="none"/>
      <w:pStyle w:val="103"/>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22827D5B"/>
    <w:multiLevelType w:val="multilevel"/>
    <w:tmpl w:val="22827D5B"/>
    <w:lvl w:ilvl="0" w:tentative="0">
      <w:start w:val="1"/>
      <w:numFmt w:val="none"/>
      <w:pStyle w:val="1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5">
    <w:nsid w:val="4C48E4E3"/>
    <w:multiLevelType w:val="multilevel"/>
    <w:tmpl w:val="4C48E4E3"/>
    <w:lvl w:ilvl="0" w:tentative="0">
      <w:start w:val="1"/>
      <w:numFmt w:val="decimal"/>
      <w:pStyle w:val="106"/>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5B96A2BF"/>
    <w:multiLevelType w:val="multilevel"/>
    <w:tmpl w:val="5B96A2BF"/>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7">
    <w:nsid w:val="6DBF04F4"/>
    <w:multiLevelType w:val="multilevel"/>
    <w:tmpl w:val="6DBF04F4"/>
    <w:lvl w:ilvl="0" w:tentative="0">
      <w:start w:val="1"/>
      <w:numFmt w:val="none"/>
      <w:pStyle w:val="12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E6A4213"/>
    <w:multiLevelType w:val="multilevel"/>
    <w:tmpl w:val="7E6A4213"/>
    <w:lvl w:ilvl="0" w:tentative="0">
      <w:start w:val="1"/>
      <w:numFmt w:val="decimal"/>
      <w:pStyle w:val="104"/>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6"/>
  </w:num>
  <w:num w:numId="2">
    <w:abstractNumId w:val="11"/>
  </w:num>
  <w:num w:numId="3">
    <w:abstractNumId w:val="6"/>
  </w:num>
  <w:num w:numId="4">
    <w:abstractNumId w:val="1"/>
  </w:num>
  <w:num w:numId="5">
    <w:abstractNumId w:val="7"/>
  </w:num>
  <w:num w:numId="6">
    <w:abstractNumId w:val="3"/>
  </w:num>
  <w:num w:numId="7">
    <w:abstractNumId w:val="10"/>
  </w:num>
  <w:num w:numId="8">
    <w:abstractNumId w:val="9"/>
  </w:num>
  <w:num w:numId="9">
    <w:abstractNumId w:val="4"/>
  </w:num>
  <w:num w:numId="10">
    <w:abstractNumId w:val="13"/>
  </w:num>
  <w:num w:numId="11">
    <w:abstractNumId w:val="18"/>
  </w:num>
  <w:num w:numId="12">
    <w:abstractNumId w:val="8"/>
  </w:num>
  <w:num w:numId="13">
    <w:abstractNumId w:val="15"/>
  </w:num>
  <w:num w:numId="14">
    <w:abstractNumId w:val="0"/>
  </w:num>
  <w:num w:numId="15">
    <w:abstractNumId w:val="12"/>
  </w:num>
  <w:num w:numId="16">
    <w:abstractNumId w:val="2"/>
  </w:num>
  <w:num w:numId="17">
    <w:abstractNumId w:val="5"/>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Yzg3Mzk1MGYzZjk4OThiYzUzOTllNjYyNGFkN2QifQ=="/>
  </w:docVars>
  <w:rsids>
    <w:rsidRoot w:val="22A65372"/>
    <w:rsid w:val="00D56753"/>
    <w:rsid w:val="01F66F31"/>
    <w:rsid w:val="02C81BA2"/>
    <w:rsid w:val="02EA1F21"/>
    <w:rsid w:val="03305FFE"/>
    <w:rsid w:val="048E4B7A"/>
    <w:rsid w:val="04FD3B5A"/>
    <w:rsid w:val="071E17DC"/>
    <w:rsid w:val="07231362"/>
    <w:rsid w:val="072964BD"/>
    <w:rsid w:val="0A884A60"/>
    <w:rsid w:val="0B8B6BB0"/>
    <w:rsid w:val="0FE32D76"/>
    <w:rsid w:val="104E6C88"/>
    <w:rsid w:val="12395B1B"/>
    <w:rsid w:val="126F2404"/>
    <w:rsid w:val="13456138"/>
    <w:rsid w:val="135E24F9"/>
    <w:rsid w:val="14C05AAC"/>
    <w:rsid w:val="15BD5E17"/>
    <w:rsid w:val="15EC72D4"/>
    <w:rsid w:val="16B512D7"/>
    <w:rsid w:val="178A6520"/>
    <w:rsid w:val="19570989"/>
    <w:rsid w:val="1A1C6A66"/>
    <w:rsid w:val="1A74451A"/>
    <w:rsid w:val="1AE03A10"/>
    <w:rsid w:val="1B4950A4"/>
    <w:rsid w:val="1B4B7903"/>
    <w:rsid w:val="1B5C3160"/>
    <w:rsid w:val="1BD45C69"/>
    <w:rsid w:val="1D57438E"/>
    <w:rsid w:val="1F8F3F65"/>
    <w:rsid w:val="1FDE5942"/>
    <w:rsid w:val="2032134B"/>
    <w:rsid w:val="20AB2536"/>
    <w:rsid w:val="21AF402D"/>
    <w:rsid w:val="22A65372"/>
    <w:rsid w:val="23027962"/>
    <w:rsid w:val="23C94DA5"/>
    <w:rsid w:val="2432254F"/>
    <w:rsid w:val="25A03D3B"/>
    <w:rsid w:val="264906B3"/>
    <w:rsid w:val="27635A18"/>
    <w:rsid w:val="283D3F3C"/>
    <w:rsid w:val="29233D8C"/>
    <w:rsid w:val="293F1394"/>
    <w:rsid w:val="29464A42"/>
    <w:rsid w:val="2CB17636"/>
    <w:rsid w:val="320631E0"/>
    <w:rsid w:val="32621481"/>
    <w:rsid w:val="33212825"/>
    <w:rsid w:val="334E5558"/>
    <w:rsid w:val="33C8725F"/>
    <w:rsid w:val="34637DC3"/>
    <w:rsid w:val="3510196C"/>
    <w:rsid w:val="353E23A2"/>
    <w:rsid w:val="357E174A"/>
    <w:rsid w:val="3681294D"/>
    <w:rsid w:val="36923812"/>
    <w:rsid w:val="36DA7652"/>
    <w:rsid w:val="38096F9A"/>
    <w:rsid w:val="38A5438E"/>
    <w:rsid w:val="38DB11B5"/>
    <w:rsid w:val="38F0287E"/>
    <w:rsid w:val="391B5FAD"/>
    <w:rsid w:val="3C2105FF"/>
    <w:rsid w:val="3C826940"/>
    <w:rsid w:val="3C925059"/>
    <w:rsid w:val="3E301586"/>
    <w:rsid w:val="3F6B4657"/>
    <w:rsid w:val="40267F92"/>
    <w:rsid w:val="4067683A"/>
    <w:rsid w:val="409B6018"/>
    <w:rsid w:val="41367B0D"/>
    <w:rsid w:val="422406F0"/>
    <w:rsid w:val="424F74DF"/>
    <w:rsid w:val="44B14645"/>
    <w:rsid w:val="44E85E5F"/>
    <w:rsid w:val="46D80988"/>
    <w:rsid w:val="46FA335C"/>
    <w:rsid w:val="48454B9C"/>
    <w:rsid w:val="4AA53F92"/>
    <w:rsid w:val="4C445F49"/>
    <w:rsid w:val="4D1879C1"/>
    <w:rsid w:val="4D9D2C0C"/>
    <w:rsid w:val="4EBE7F2F"/>
    <w:rsid w:val="50B145A5"/>
    <w:rsid w:val="51811129"/>
    <w:rsid w:val="53D936D9"/>
    <w:rsid w:val="545C7B61"/>
    <w:rsid w:val="569254F2"/>
    <w:rsid w:val="5A2D7CD1"/>
    <w:rsid w:val="5AF91A81"/>
    <w:rsid w:val="5BE41C93"/>
    <w:rsid w:val="5D050F60"/>
    <w:rsid w:val="5E167662"/>
    <w:rsid w:val="5E2C229D"/>
    <w:rsid w:val="5EC91604"/>
    <w:rsid w:val="5FA153D1"/>
    <w:rsid w:val="60535440"/>
    <w:rsid w:val="6098585B"/>
    <w:rsid w:val="60C62FD2"/>
    <w:rsid w:val="665E1984"/>
    <w:rsid w:val="66ED765A"/>
    <w:rsid w:val="69C05D8A"/>
    <w:rsid w:val="6B40524A"/>
    <w:rsid w:val="6D327D8A"/>
    <w:rsid w:val="6DCD0D4F"/>
    <w:rsid w:val="721A1187"/>
    <w:rsid w:val="72B602C2"/>
    <w:rsid w:val="74546F93"/>
    <w:rsid w:val="74B01B4A"/>
    <w:rsid w:val="778020AA"/>
    <w:rsid w:val="7833512C"/>
    <w:rsid w:val="7A444F15"/>
    <w:rsid w:val="7AC1097F"/>
    <w:rsid w:val="7D6514FE"/>
    <w:rsid w:val="7E284A85"/>
    <w:rsid w:val="7EF9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otnote reference"/>
    <w:basedOn w:val="21"/>
    <w:qFormat/>
    <w:uiPriority w:val="0"/>
    <w:rPr>
      <w:rFonts w:hAnsi="宋体" w:cs="宋体"/>
      <w:sz w:val="18"/>
      <w:vertAlign w:val="superscript"/>
    </w:rPr>
  </w:style>
  <w:style w:type="paragraph" w:customStyle="1" w:styleId="24">
    <w:name w:val="标准文件_段"/>
    <w:qFormat/>
    <w:uiPriority w:val="0"/>
    <w:pPr>
      <w:ind w:firstLine="960" w:firstLineChars="200"/>
      <w:jc w:val="both"/>
    </w:pPr>
    <w:rPr>
      <w:rFonts w:hint="eastAsia" w:ascii="宋体" w:hAnsi="Times New Roman" w:eastAsia="宋体" w:cs="宋体"/>
      <w:sz w:val="21"/>
    </w:rPr>
  </w:style>
  <w:style w:type="paragraph" w:customStyle="1" w:styleId="25">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6">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7">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8">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9">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0">
    <w:name w:val="标准书脚_奇数页"/>
    <w:qFormat/>
    <w:uiPriority w:val="0"/>
    <w:pPr>
      <w:ind w:right="227"/>
      <w:jc w:val="right"/>
    </w:pPr>
    <w:rPr>
      <w:rFonts w:hint="eastAsia" w:ascii="宋体" w:hAnsi="Times New Roman" w:eastAsia="宋体" w:cs="宋体"/>
      <w:sz w:val="18"/>
    </w:rPr>
  </w:style>
  <w:style w:type="paragraph" w:customStyle="1" w:styleId="31">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2">
    <w:name w:val="标准书眉_偶数页"/>
    <w:next w:val="1"/>
    <w:qFormat/>
    <w:uiPriority w:val="0"/>
    <w:pPr>
      <w:spacing w:after="120"/>
    </w:pPr>
    <w:rPr>
      <w:rFonts w:hint="eastAsia" w:ascii="黑体" w:hAnsi="Times New Roman" w:eastAsia="黑体" w:cs="黑体"/>
      <w:sz w:val="21"/>
    </w:rPr>
  </w:style>
  <w:style w:type="paragraph" w:customStyle="1" w:styleId="33">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4">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5">
    <w:name w:val="发布部门"/>
    <w:next w:val="24"/>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6">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7">
    <w:name w:val="实施日期"/>
    <w:basedOn w:val="36"/>
    <w:qFormat/>
    <w:uiPriority w:val="0"/>
    <w:pPr>
      <w:framePr w:hSpace="0" w:wrap="around" w:vAnchor="page" w:hAnchor="page" w:x="7089" w:y="14176"/>
      <w:jc w:val="right"/>
    </w:pPr>
  </w:style>
  <w:style w:type="paragraph" w:customStyle="1" w:styleId="38">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9">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40">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1">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2">
    <w:name w:val="封面标准英文名称"/>
    <w:basedOn w:val="41"/>
    <w:qFormat/>
    <w:uiPriority w:val="0"/>
    <w:pPr>
      <w:widowControl w:val="0"/>
      <w:spacing w:before="410" w:line="360" w:lineRule="exact"/>
      <w:textAlignment w:val="bottom"/>
    </w:pPr>
    <w:rPr>
      <w:rFonts w:ascii="Times New Roman" w:hAnsi="Times New Roman" w:cs="Times New Roman"/>
      <w:sz w:val="28"/>
    </w:rPr>
  </w:style>
  <w:style w:type="paragraph" w:customStyle="1" w:styleId="43">
    <w:name w:val="封面一致性程度标识"/>
    <w:basedOn w:val="42"/>
    <w:qFormat/>
    <w:uiPriority w:val="0"/>
    <w:pPr>
      <w:spacing w:before="760"/>
    </w:pPr>
  </w:style>
  <w:style w:type="paragraph" w:customStyle="1" w:styleId="44">
    <w:name w:val="封面标准文稿类别"/>
    <w:basedOn w:val="43"/>
    <w:qFormat/>
    <w:uiPriority w:val="0"/>
    <w:pPr>
      <w:spacing w:before="440" w:after="160"/>
    </w:pPr>
    <w:rPr>
      <w:rFonts w:ascii="黑体" w:hAnsi="黑体" w:cs="黑体"/>
      <w:sz w:val="24"/>
    </w:rPr>
  </w:style>
  <w:style w:type="paragraph" w:customStyle="1" w:styleId="45">
    <w:name w:val="封面标准文稿编辑信息"/>
    <w:basedOn w:val="44"/>
    <w:qFormat/>
    <w:uiPriority w:val="0"/>
    <w:pPr>
      <w:spacing w:before="180" w:line="240" w:lineRule="atLeast"/>
    </w:pPr>
    <w:rPr>
      <w:sz w:val="21"/>
    </w:rPr>
  </w:style>
  <w:style w:type="paragraph" w:customStyle="1" w:styleId="46">
    <w:name w:val="封面标准文稿附件"/>
    <w:basedOn w:val="44"/>
    <w:qFormat/>
    <w:uiPriority w:val="0"/>
    <w:pPr>
      <w:spacing w:before="937" w:beforeLines="300" w:afterLines="30" w:line="240" w:lineRule="auto"/>
    </w:pPr>
    <w:rPr>
      <w:rFonts w:ascii="Times New Roman" w:hAnsi="Times New Roman" w:cs="Times New Roman"/>
      <w:b/>
      <w:sz w:val="21"/>
    </w:rPr>
  </w:style>
  <w:style w:type="paragraph" w:customStyle="1" w:styleId="47">
    <w:name w:val="其他发布部门"/>
    <w:basedOn w:val="35"/>
    <w:qFormat/>
    <w:uiPriority w:val="0"/>
    <w:pPr>
      <w:framePr w:wrap="around" w:y="15310"/>
      <w:spacing w:line="0" w:lineRule="atLeast"/>
    </w:pPr>
    <w:rPr>
      <w:rFonts w:ascii="黑体" w:hAnsi="黑体" w:eastAsia="黑体" w:cs="黑体"/>
    </w:rPr>
  </w:style>
  <w:style w:type="paragraph" w:customStyle="1" w:styleId="48">
    <w:name w:val="其他发布部门2"/>
    <w:basedOn w:val="35"/>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9">
    <w:name w:val="其他发布部门3"/>
    <w:qFormat/>
    <w:uiPriority w:val="0"/>
    <w:pPr>
      <w:framePr w:w="9248" w:h="1259" w:hRule="exact" w:hSpace="181" w:vSpace="181" w:wrap="around" w:vAnchor="margin" w:hAnchor="margin" w:xAlign="center" w:y="14545"/>
      <w:spacing w:line="0" w:lineRule="atLeast"/>
      <w:jc w:val="center"/>
    </w:pPr>
    <w:rPr>
      <w:rFonts w:hint="eastAsia" w:ascii="黑体" w:hAnsi="Times New Roman" w:eastAsia="黑体" w:cs="Times New Roman"/>
      <w:sz w:val="28"/>
    </w:rPr>
  </w:style>
  <w:style w:type="paragraph" w:customStyle="1" w:styleId="50">
    <w:name w:val="其他发布日期"/>
    <w:basedOn w:val="36"/>
    <w:qFormat/>
    <w:uiPriority w:val="0"/>
    <w:pPr>
      <w:framePr w:hSpace="0" w:wrap="around" w:vAnchor="page" w:hAnchor="page" w:x="1419" w:y="14176"/>
    </w:pPr>
  </w:style>
  <w:style w:type="paragraph" w:customStyle="1" w:styleId="51">
    <w:name w:val="其他实施日期"/>
    <w:basedOn w:val="37"/>
    <w:qFormat/>
    <w:uiPriority w:val="0"/>
  </w:style>
  <w:style w:type="paragraph" w:customStyle="1" w:styleId="52">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3">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4">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5">
    <w:name w:val="标准文件_正文标准名称"/>
    <w:basedOn w:val="1"/>
    <w:link w:val="119"/>
    <w:qFormat/>
    <w:uiPriority w:val="0"/>
    <w:pPr>
      <w:widowControl/>
      <w:suppressAutoHyphens w:val="0"/>
      <w:spacing w:after="640" w:line="400" w:lineRule="exact"/>
      <w:jc w:val="center"/>
    </w:pPr>
    <w:rPr>
      <w:rFonts w:ascii="黑体" w:hAnsi="黑体" w:eastAsia="黑体" w:cs="黑体"/>
      <w:sz w:val="32"/>
    </w:rPr>
  </w:style>
  <w:style w:type="paragraph" w:customStyle="1" w:styleId="56">
    <w:name w:val="标准文件_一级项"/>
    <w:next w:val="24"/>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7">
    <w:name w:val="标准文件_二级项2"/>
    <w:basedOn w:val="24"/>
    <w:next w:val="24"/>
    <w:qFormat/>
    <w:uiPriority w:val="0"/>
    <w:pPr>
      <w:numPr>
        <w:ilvl w:val="1"/>
        <w:numId w:val="5"/>
      </w:numPr>
      <w:suppressAutoHyphens w:val="0"/>
      <w:ind w:left="1270" w:hanging="419"/>
    </w:pPr>
    <w:rPr>
      <w:rFonts w:hAnsi="Times New Roman"/>
    </w:rPr>
  </w:style>
  <w:style w:type="paragraph" w:customStyle="1" w:styleId="58">
    <w:name w:val="标准文件_三级项"/>
    <w:basedOn w:val="1"/>
    <w:next w:val="24"/>
    <w:qFormat/>
    <w:uiPriority w:val="0"/>
    <w:pPr>
      <w:numPr>
        <w:ilvl w:val="2"/>
        <w:numId w:val="6"/>
      </w:numPr>
      <w:suppressAutoHyphens w:val="0"/>
      <w:spacing w:line="300" w:lineRule="exact"/>
      <w:ind w:left="1678" w:hanging="414"/>
    </w:pPr>
    <w:rPr>
      <w:rFonts w:hAnsi="+西文正文"/>
    </w:rPr>
  </w:style>
  <w:style w:type="paragraph" w:customStyle="1" w:styleId="59">
    <w:name w:val="标准文件_字母编号列项（一级）"/>
    <w:next w:val="24"/>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0">
    <w:name w:val="标准文件_数字编号列项（二级）"/>
    <w:next w:val="24"/>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1">
    <w:name w:val="标准文件_引言一级条标题"/>
    <w:basedOn w:val="24"/>
    <w:next w:val="24"/>
    <w:qFormat/>
    <w:uiPriority w:val="0"/>
    <w:pPr>
      <w:numPr>
        <w:ilvl w:val="1"/>
        <w:numId w:val="4"/>
      </w:numPr>
      <w:spacing w:before="157" w:beforeLines="50" w:after="157" w:afterLines="50"/>
    </w:pPr>
    <w:rPr>
      <w:rFonts w:ascii="黑体" w:hAnsi="黑体" w:eastAsia="黑体" w:cs="黑体"/>
    </w:rPr>
  </w:style>
  <w:style w:type="paragraph" w:customStyle="1" w:styleId="62">
    <w:name w:val="标准文件_引言二级条标题"/>
    <w:basedOn w:val="24"/>
    <w:next w:val="24"/>
    <w:qFormat/>
    <w:uiPriority w:val="0"/>
    <w:pPr>
      <w:numPr>
        <w:ilvl w:val="2"/>
        <w:numId w:val="4"/>
      </w:numPr>
      <w:spacing w:before="157" w:beforeLines="50" w:after="157" w:afterLines="50"/>
    </w:pPr>
    <w:rPr>
      <w:rFonts w:ascii="黑体" w:hAnsi="黑体" w:eastAsia="黑体" w:cs="黑体"/>
    </w:rPr>
  </w:style>
  <w:style w:type="paragraph" w:customStyle="1" w:styleId="63">
    <w:name w:val="标准文件_引言三级条标题"/>
    <w:basedOn w:val="24"/>
    <w:next w:val="24"/>
    <w:qFormat/>
    <w:uiPriority w:val="0"/>
    <w:pPr>
      <w:numPr>
        <w:ilvl w:val="3"/>
        <w:numId w:val="4"/>
      </w:numPr>
      <w:spacing w:before="157" w:beforeLines="50" w:after="157" w:afterLines="50"/>
    </w:pPr>
    <w:rPr>
      <w:rFonts w:ascii="黑体" w:hAnsi="黑体" w:eastAsia="黑体" w:cs="黑体"/>
    </w:rPr>
  </w:style>
  <w:style w:type="paragraph" w:customStyle="1" w:styleId="64">
    <w:name w:val="标准文件_引言四级条标题"/>
    <w:basedOn w:val="24"/>
    <w:next w:val="24"/>
    <w:qFormat/>
    <w:uiPriority w:val="0"/>
    <w:pPr>
      <w:numPr>
        <w:ilvl w:val="4"/>
        <w:numId w:val="4"/>
      </w:numPr>
      <w:spacing w:before="157" w:beforeLines="50" w:after="157" w:afterLines="50"/>
    </w:pPr>
    <w:rPr>
      <w:rFonts w:ascii="黑体" w:hAnsi="黑体" w:eastAsia="黑体" w:cs="黑体"/>
    </w:rPr>
  </w:style>
  <w:style w:type="paragraph" w:customStyle="1" w:styleId="65">
    <w:name w:val="标准文件_引言五级条标题"/>
    <w:basedOn w:val="24"/>
    <w:next w:val="24"/>
    <w:qFormat/>
    <w:uiPriority w:val="0"/>
    <w:pPr>
      <w:numPr>
        <w:ilvl w:val="5"/>
        <w:numId w:val="4"/>
      </w:numPr>
      <w:spacing w:before="157" w:beforeLines="50" w:after="157" w:afterLines="50"/>
    </w:pPr>
    <w:rPr>
      <w:rFonts w:ascii="黑体" w:hAnsi="黑体" w:eastAsia="黑体" w:cs="黑体"/>
    </w:rPr>
  </w:style>
  <w:style w:type="paragraph" w:customStyle="1" w:styleId="66">
    <w:name w:val="标准文件_引言一级无标题"/>
    <w:basedOn w:val="61"/>
    <w:next w:val="24"/>
    <w:qFormat/>
    <w:uiPriority w:val="0"/>
    <w:pPr>
      <w:spacing w:before="4" w:beforeLines="1" w:after="4" w:afterLines="1" w:line="276" w:lineRule="auto"/>
    </w:pPr>
    <w:rPr>
      <w:rFonts w:ascii="宋体" w:hAnsi="宋体" w:eastAsia="宋体" w:cs="宋体"/>
    </w:rPr>
  </w:style>
  <w:style w:type="paragraph" w:customStyle="1" w:styleId="67">
    <w:name w:val="标准文件_引言二级无标题"/>
    <w:basedOn w:val="62"/>
    <w:next w:val="24"/>
    <w:qFormat/>
    <w:uiPriority w:val="0"/>
    <w:pPr>
      <w:spacing w:before="4" w:beforeLines="1" w:after="4" w:afterLines="1" w:line="276" w:lineRule="auto"/>
    </w:pPr>
    <w:rPr>
      <w:rFonts w:ascii="宋体" w:hAnsi="宋体" w:eastAsia="宋体" w:cs="宋体"/>
    </w:rPr>
  </w:style>
  <w:style w:type="paragraph" w:customStyle="1" w:styleId="68">
    <w:name w:val="标准文件_引言三级无标题"/>
    <w:basedOn w:val="63"/>
    <w:next w:val="24"/>
    <w:qFormat/>
    <w:uiPriority w:val="0"/>
    <w:pPr>
      <w:spacing w:before="4" w:beforeLines="1" w:after="4" w:afterLines="1" w:line="276" w:lineRule="auto"/>
    </w:pPr>
    <w:rPr>
      <w:rFonts w:ascii="宋体" w:hAnsi="宋体" w:eastAsia="宋体" w:cs="宋体"/>
    </w:rPr>
  </w:style>
  <w:style w:type="paragraph" w:customStyle="1" w:styleId="69">
    <w:name w:val="标准文件_引言四级无标题"/>
    <w:basedOn w:val="64"/>
    <w:next w:val="24"/>
    <w:qFormat/>
    <w:uiPriority w:val="0"/>
    <w:pPr>
      <w:spacing w:before="4" w:beforeLines="1" w:after="4" w:afterLines="1" w:line="276" w:lineRule="auto"/>
    </w:pPr>
    <w:rPr>
      <w:rFonts w:ascii="宋体" w:hAnsi="宋体" w:eastAsia="宋体" w:cs="宋体"/>
    </w:rPr>
  </w:style>
  <w:style w:type="paragraph" w:customStyle="1" w:styleId="70">
    <w:name w:val="标准文件_引言五级无标题"/>
    <w:basedOn w:val="65"/>
    <w:next w:val="24"/>
    <w:qFormat/>
    <w:uiPriority w:val="0"/>
    <w:pPr>
      <w:spacing w:before="4" w:beforeLines="1" w:after="4" w:afterLines="1" w:line="276" w:lineRule="auto"/>
    </w:pPr>
    <w:rPr>
      <w:rFonts w:ascii="宋体" w:hAnsi="宋体" w:eastAsia="宋体" w:cs="宋体"/>
    </w:rPr>
  </w:style>
  <w:style w:type="paragraph" w:customStyle="1" w:styleId="71">
    <w:name w:val="标准文件_章标题"/>
    <w:next w:val="24"/>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2">
    <w:name w:val="标准文件_一级条标题"/>
    <w:basedOn w:val="71"/>
    <w:next w:val="24"/>
    <w:qFormat/>
    <w:uiPriority w:val="0"/>
    <w:pPr>
      <w:numPr>
        <w:ilvl w:val="1"/>
      </w:numPr>
      <w:spacing w:before="157" w:beforeLines="50" w:after="157" w:afterLines="50"/>
      <w:outlineLvl w:val="1"/>
    </w:pPr>
    <w:rPr>
      <w:rFonts w:hAnsi="Times New Roman"/>
    </w:rPr>
  </w:style>
  <w:style w:type="paragraph" w:customStyle="1" w:styleId="73">
    <w:name w:val="标准文件_二级条标题"/>
    <w:next w:val="24"/>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4">
    <w:name w:val="标准文件_三级条标题"/>
    <w:basedOn w:val="73"/>
    <w:next w:val="24"/>
    <w:qFormat/>
    <w:uiPriority w:val="0"/>
    <w:pPr>
      <w:numPr>
        <w:ilvl w:val="3"/>
      </w:numPr>
      <w:spacing w:before="157" w:after="157"/>
      <w:outlineLvl w:val="3"/>
    </w:pPr>
  </w:style>
  <w:style w:type="paragraph" w:customStyle="1" w:styleId="75">
    <w:name w:val="标准文件_四级条标题"/>
    <w:next w:val="24"/>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五级条标题"/>
    <w:next w:val="24"/>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7">
    <w:name w:val="标准文件_一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二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三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四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五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术语条一"/>
    <w:basedOn w:val="77"/>
    <w:next w:val="24"/>
    <w:qFormat/>
    <w:uiPriority w:val="0"/>
    <w:pPr>
      <w:ind w:left="960" w:hanging="960" w:hangingChars="200"/>
    </w:pPr>
    <w:rPr>
      <w:rFonts w:ascii="黑体" w:hAnsi="黑体" w:eastAsia="黑体" w:cs="黑体"/>
    </w:rPr>
  </w:style>
  <w:style w:type="paragraph" w:customStyle="1" w:styleId="83">
    <w:name w:val="标准文件_术语条二"/>
    <w:basedOn w:val="78"/>
    <w:next w:val="24"/>
    <w:qFormat/>
    <w:uiPriority w:val="0"/>
    <w:pPr>
      <w:ind w:left="960" w:hanging="960" w:hangingChars="200"/>
    </w:pPr>
    <w:rPr>
      <w:rFonts w:ascii="黑体" w:hAnsi="黑体" w:eastAsia="黑体" w:cs="黑体"/>
    </w:rPr>
  </w:style>
  <w:style w:type="paragraph" w:customStyle="1" w:styleId="84">
    <w:name w:val="标准文件_术语条三"/>
    <w:basedOn w:val="79"/>
    <w:next w:val="24"/>
    <w:qFormat/>
    <w:uiPriority w:val="0"/>
    <w:pPr>
      <w:ind w:left="960" w:hanging="960" w:hangingChars="200"/>
    </w:pPr>
    <w:rPr>
      <w:rFonts w:ascii="黑体" w:hAnsi="黑体" w:eastAsia="黑体" w:cs="黑体"/>
    </w:rPr>
  </w:style>
  <w:style w:type="paragraph" w:customStyle="1" w:styleId="85">
    <w:name w:val="标准文件_术语条四"/>
    <w:basedOn w:val="80"/>
    <w:next w:val="24"/>
    <w:qFormat/>
    <w:uiPriority w:val="0"/>
    <w:pPr>
      <w:ind w:left="960" w:hanging="960" w:hangingChars="200"/>
    </w:pPr>
    <w:rPr>
      <w:rFonts w:ascii="黑体" w:hAnsi="黑体" w:eastAsia="黑体" w:cs="黑体"/>
    </w:rPr>
  </w:style>
  <w:style w:type="paragraph" w:customStyle="1" w:styleId="86">
    <w:name w:val="标准文件_术语条五"/>
    <w:basedOn w:val="81"/>
    <w:next w:val="24"/>
    <w:qFormat/>
    <w:uiPriority w:val="0"/>
    <w:pPr>
      <w:ind w:left="960" w:hanging="960" w:hangingChars="200"/>
    </w:pPr>
    <w:rPr>
      <w:rFonts w:ascii="黑体" w:hAnsi="黑体" w:eastAsia="黑体" w:cs="黑体"/>
    </w:rPr>
  </w:style>
  <w:style w:type="paragraph" w:customStyle="1" w:styleId="87">
    <w:name w:val="标准文件_附录标识"/>
    <w:basedOn w:val="1"/>
    <w:next w:val="24"/>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8">
    <w:name w:val="标准文件_附录一级条标题"/>
    <w:next w:val="24"/>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二级条标题"/>
    <w:next w:val="24"/>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三级条标题"/>
    <w:next w:val="24"/>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四级条标题"/>
    <w:next w:val="24"/>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五级条标题"/>
    <w:next w:val="24"/>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一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二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三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四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五级无标题"/>
    <w:basedOn w:val="92"/>
    <w:qFormat/>
    <w:uiPriority w:val="0"/>
    <w:pPr>
      <w:spacing w:before="4" w:beforeLines="1" w:after="4" w:afterLines="1" w:line="276" w:lineRule="auto"/>
    </w:pPr>
    <w:rPr>
      <w:rFonts w:ascii="宋体" w:hAnsi="宋体" w:eastAsia="宋体" w:cs="宋体"/>
    </w:rPr>
  </w:style>
  <w:style w:type="paragraph" w:customStyle="1" w:styleId="98">
    <w:name w:val="附录图标号"/>
    <w:basedOn w:val="24"/>
    <w:next w:val="24"/>
    <w:qFormat/>
    <w:uiPriority w:val="0"/>
    <w:pPr>
      <w:numPr>
        <w:ilvl w:val="0"/>
        <w:numId w:val="2"/>
      </w:numPr>
      <w:spacing w:line="14" w:lineRule="exact"/>
      <w:ind w:left="0"/>
      <w:jc w:val="center"/>
    </w:pPr>
    <w:rPr>
      <w:sz w:val="2"/>
    </w:rPr>
  </w:style>
  <w:style w:type="paragraph" w:customStyle="1" w:styleId="99">
    <w:name w:val="附录图标题"/>
    <w:next w:val="24"/>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100">
    <w:name w:val="附录表标号"/>
    <w:basedOn w:val="24"/>
    <w:next w:val="24"/>
    <w:qFormat/>
    <w:uiPriority w:val="0"/>
    <w:pPr>
      <w:numPr>
        <w:ilvl w:val="0"/>
        <w:numId w:val="9"/>
      </w:numPr>
      <w:spacing w:line="14" w:lineRule="exact"/>
      <w:ind w:left="0"/>
      <w:jc w:val="center"/>
    </w:pPr>
    <w:rPr>
      <w:sz w:val="2"/>
    </w:rPr>
  </w:style>
  <w:style w:type="paragraph" w:customStyle="1" w:styleId="101">
    <w:name w:val="附录表标题"/>
    <w:next w:val="24"/>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2">
    <w:name w:val="标准文件_示例内容"/>
    <w:basedOn w:val="24"/>
    <w:qFormat/>
    <w:uiPriority w:val="0"/>
    <w:pPr>
      <w:suppressAutoHyphens w:val="0"/>
    </w:pPr>
    <w:rPr>
      <w:rFonts w:hAnsi="宋体"/>
      <w:sz w:val="18"/>
    </w:rPr>
  </w:style>
  <w:style w:type="paragraph" w:customStyle="1" w:styleId="103">
    <w:name w:val="标准文件_示例"/>
    <w:next w:val="102"/>
    <w:qFormat/>
    <w:uiPriority w:val="0"/>
    <w:pPr>
      <w:numPr>
        <w:ilvl w:val="0"/>
        <w:numId w:val="10"/>
      </w:numPr>
      <w:suppressAutoHyphens w:val="0"/>
      <w:jc w:val="both"/>
    </w:pPr>
    <w:rPr>
      <w:rFonts w:hint="eastAsia" w:ascii="宋体" w:hAnsi="宋体" w:eastAsia="宋体" w:cs="宋体"/>
      <w:sz w:val="18"/>
    </w:rPr>
  </w:style>
  <w:style w:type="paragraph" w:customStyle="1" w:styleId="104">
    <w:name w:val="标准文件_示例×"/>
    <w:basedOn w:val="1"/>
    <w:next w:val="102"/>
    <w:qFormat/>
    <w:uiPriority w:val="0"/>
    <w:pPr>
      <w:widowControl/>
      <w:numPr>
        <w:ilvl w:val="0"/>
        <w:numId w:val="11"/>
      </w:numPr>
      <w:suppressAutoHyphens w:val="0"/>
      <w:ind w:firstLine="363"/>
    </w:pPr>
    <w:rPr>
      <w:rFonts w:hAnsi="Times New Roman"/>
      <w:sz w:val="18"/>
    </w:rPr>
  </w:style>
  <w:style w:type="paragraph" w:customStyle="1" w:styleId="105">
    <w:name w:val="标准文件_注"/>
    <w:next w:val="24"/>
    <w:qFormat/>
    <w:uiPriority w:val="0"/>
    <w:pPr>
      <w:numPr>
        <w:ilvl w:val="0"/>
        <w:numId w:val="12"/>
      </w:numPr>
      <w:autoSpaceDE w:val="0"/>
      <w:autoSpaceDN w:val="0"/>
      <w:jc w:val="both"/>
    </w:pPr>
    <w:rPr>
      <w:rFonts w:hint="eastAsia" w:ascii="宋体" w:hAnsi="宋体" w:eastAsia="宋体" w:cs="宋体"/>
      <w:sz w:val="18"/>
    </w:rPr>
  </w:style>
  <w:style w:type="paragraph" w:customStyle="1" w:styleId="106">
    <w:name w:val="标准文件_注×"/>
    <w:next w:val="24"/>
    <w:qFormat/>
    <w:uiPriority w:val="0"/>
    <w:pPr>
      <w:numPr>
        <w:ilvl w:val="0"/>
        <w:numId w:val="13"/>
      </w:numPr>
      <w:jc w:val="both"/>
    </w:pPr>
    <w:rPr>
      <w:rFonts w:hint="eastAsia" w:ascii="宋体" w:hAnsi="宋体" w:eastAsia="宋体" w:cs="宋体"/>
      <w:sz w:val="18"/>
    </w:rPr>
  </w:style>
  <w:style w:type="paragraph" w:customStyle="1" w:styleId="107">
    <w:name w:val="标准文件_图表脚注"/>
    <w:basedOn w:val="1"/>
    <w:next w:val="24"/>
    <w:qFormat/>
    <w:uiPriority w:val="0"/>
    <w:pPr>
      <w:numPr>
        <w:ilvl w:val="0"/>
        <w:numId w:val="14"/>
      </w:numPr>
      <w:suppressAutoHyphens w:val="0"/>
      <w:adjustRightInd w:val="0"/>
      <w:jc w:val="left"/>
    </w:pPr>
    <w:rPr>
      <w:rFonts w:hAnsi="宋体"/>
      <w:sz w:val="18"/>
    </w:rPr>
  </w:style>
  <w:style w:type="paragraph" w:customStyle="1" w:styleId="108">
    <w:name w:val="标准文件_标准正文"/>
    <w:basedOn w:val="1"/>
    <w:next w:val="24"/>
    <w:qFormat/>
    <w:uiPriority w:val="0"/>
    <w:pPr>
      <w:ind w:firstLine="960" w:firstLineChars="200"/>
    </w:pPr>
  </w:style>
  <w:style w:type="paragraph" w:customStyle="1" w:styleId="109">
    <w:name w:val="标准文件_正文公式"/>
    <w:basedOn w:val="1"/>
    <w:next w:val="108"/>
    <w:qFormat/>
    <w:uiPriority w:val="0"/>
    <w:pPr>
      <w:tabs>
        <w:tab w:val="center" w:pos="4678"/>
        <w:tab w:val="right" w:leader="middleDot" w:pos="9355"/>
      </w:tabs>
    </w:pPr>
  </w:style>
  <w:style w:type="paragraph" w:customStyle="1" w:styleId="110">
    <w:name w:val="标准文件_表格"/>
    <w:basedOn w:val="24"/>
    <w:qFormat/>
    <w:uiPriority w:val="0"/>
    <w:pPr>
      <w:jc w:val="center"/>
    </w:pPr>
    <w:rPr>
      <w:sz w:val="18"/>
    </w:rPr>
  </w:style>
  <w:style w:type="paragraph" w:customStyle="1" w:styleId="111">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2">
    <w:name w:val="标准文件_正文表标题"/>
    <w:next w:val="24"/>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3">
    <w:name w:val="标准文件_正文图标题"/>
    <w:next w:val="24"/>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4">
    <w:name w:val="标准文件_索引标题"/>
    <w:basedOn w:val="33"/>
    <w:next w:val="24"/>
    <w:qFormat/>
    <w:uiPriority w:val="0"/>
    <w:rPr>
      <w:rFonts w:hAnsi="黑体"/>
    </w:rPr>
  </w:style>
  <w:style w:type="paragraph" w:customStyle="1" w:styleId="115">
    <w:name w:val="标准文件_索引项"/>
    <w:basedOn w:val="24"/>
    <w:next w:val="24"/>
    <w:qFormat/>
    <w:uiPriority w:val="0"/>
    <w:pPr>
      <w:tabs>
        <w:tab w:val="right" w:leader="dot" w:pos="9355"/>
      </w:tabs>
      <w:autoSpaceDE w:val="0"/>
      <w:autoSpaceDN w:val="0"/>
      <w:ind w:left="177" w:hanging="177" w:hangingChars="37"/>
      <w:jc w:val="left"/>
    </w:pPr>
  </w:style>
  <w:style w:type="paragraph" w:customStyle="1" w:styleId="116">
    <w:name w:val="标准文件_索引字母"/>
    <w:next w:val="24"/>
    <w:qFormat/>
    <w:uiPriority w:val="0"/>
    <w:pPr>
      <w:jc w:val="center"/>
    </w:pPr>
    <w:rPr>
      <w:rFonts w:hint="eastAsia" w:ascii="宋体" w:hAnsi="宋体" w:eastAsia="宋体" w:cs="宋体"/>
      <w:b/>
      <w:kern w:val="2"/>
      <w:sz w:val="21"/>
    </w:rPr>
  </w:style>
  <w:style w:type="paragraph" w:customStyle="1" w:styleId="117">
    <w:name w:val="标准文件_提示"/>
    <w:basedOn w:val="1"/>
    <w:qFormat/>
    <w:uiPriority w:val="0"/>
    <w:pPr>
      <w:ind w:firstLine="960" w:firstLineChars="200"/>
    </w:pPr>
    <w:rPr>
      <w:rFonts w:ascii="黑体" w:hAnsi="黑体" w:eastAsia="黑体" w:cs="黑体"/>
    </w:rPr>
  </w:style>
  <w:style w:type="paragraph" w:customStyle="1" w:styleId="118">
    <w:name w:val="标准文件_参考文献编号"/>
    <w:basedOn w:val="24"/>
    <w:qFormat/>
    <w:uiPriority w:val="0"/>
    <w:pPr>
      <w:numPr>
        <w:ilvl w:val="0"/>
        <w:numId w:val="17"/>
      </w:numPr>
    </w:pPr>
  </w:style>
  <w:style w:type="character" w:customStyle="1" w:styleId="119">
    <w:name w:val="标准文件_正文标准名称 Char"/>
    <w:link w:val="55"/>
    <w:qFormat/>
    <w:uiPriority w:val="0"/>
    <w:rPr>
      <w:rFonts w:ascii="黑体" w:hAnsi="黑体" w:eastAsia="黑体" w:cs="黑体"/>
      <w:sz w:val="32"/>
    </w:rPr>
  </w:style>
  <w:style w:type="paragraph" w:customStyle="1" w:styleId="1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1">
    <w:name w:val="注：（正文）"/>
    <w:basedOn w:val="122"/>
    <w:next w:val="120"/>
    <w:qFormat/>
    <w:uiPriority w:val="0"/>
    <w:pPr>
      <w:numPr>
        <w:ilvl w:val="0"/>
        <w:numId w:val="18"/>
      </w:numPr>
    </w:pPr>
  </w:style>
  <w:style w:type="paragraph" w:customStyle="1" w:styleId="122">
    <w:name w:val="注："/>
    <w:next w:val="120"/>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 w:type="paragraph" w:customStyle="1" w:styleId="123">
    <w:name w:val="标准文件_注："/>
    <w:next w:val="24"/>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3a72de-6420-4734-a0dc-b6c3f8f378bc}"/>
        <w:style w:val=""/>
        <w:category>
          <w:name w:val="常规"/>
          <w:gallery w:val="placeholder"/>
        </w:category>
        <w:types>
          <w:type w:val="bbPlcHdr"/>
        </w:types>
        <w:behaviors>
          <w:behavior w:val="content"/>
        </w:behaviors>
        <w:description w:val=""/>
        <w:guid w:val="{e43a72de-6420-4734-a0dc-b6c3f8f378bc}"/>
      </w:docPartPr>
      <w:docPartBody>
        <w:p w14:paraId="25B5781D">
          <w:r>
            <w:rPr>
              <w:color w:val="808080"/>
            </w:rPr>
            <w:t>选择一项。</w:t>
          </w:r>
        </w:p>
      </w:docPartBody>
    </w:docPart>
    <w:docPart>
      <w:docPartPr>
        <w:name w:val="{a2b934e1-4e69-4b3d-b344-351c81d94b35}"/>
        <w:style w:val=""/>
        <w:category>
          <w:name w:val="常规"/>
          <w:gallery w:val="placeholder"/>
        </w:category>
        <w:types>
          <w:type w:val="bbPlcHdr"/>
        </w:types>
        <w:behaviors>
          <w:behavior w:val="content"/>
        </w:behaviors>
        <w:description w:val=""/>
        <w:guid w:val="{a2b934e1-4e69-4b3d-b344-351c81d94b35}"/>
      </w:docPartPr>
      <w:docPartBody>
        <w:p w14:paraId="09011B7C">
          <w:r>
            <w:rPr>
              <w:color w:val="808080"/>
            </w:rPr>
            <w:t>选择一项。</w:t>
          </w:r>
        </w:p>
      </w:docPartBody>
    </w:docPart>
    <w:docPart>
      <w:docPartPr>
        <w:name w:val="{dc198fea-d184-4aa6-8509-aaf3d889285d}"/>
        <w:style w:val=""/>
        <w:category>
          <w:name w:val="常规"/>
          <w:gallery w:val="placeholder"/>
        </w:category>
        <w:types>
          <w:type w:val="bbPlcHdr"/>
        </w:types>
        <w:behaviors>
          <w:behavior w:val="content"/>
        </w:behaviors>
        <w:description w:val=""/>
        <w:guid w:val="{dc198fea-d184-4aa6-8509-aaf3d889285d}"/>
      </w:docPartPr>
      <w:docPartBody>
        <w:p w14:paraId="0BDF6D96">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2230</Words>
  <Characters>2746</Characters>
  <Lines>0</Lines>
  <Paragraphs>0</Paragraphs>
  <TotalTime>0</TotalTime>
  <ScaleCrop>false</ScaleCrop>
  <LinksUpToDate>false</LinksUpToDate>
  <CharactersWithSpaces>2972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2024-05-07T02:54:00Z</dcterms:created>
  <dc:creator>栗子</dc:creator>
  <cp:lastModifiedBy>l</cp:lastModifiedBy>
  <dcterms:modified xsi:type="dcterms:W3CDTF">2025-04-18T09:25:35Z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6F9C1558C851400CA6D8C4871979E171_13</vt:lpwstr>
  </property>
  <property fmtid="{D5CDD505-2E9C-101B-9397-08002B2CF9AE}" pid="4" name="KSOTemplateDocerSaveRecord">
    <vt:lpwstr>eyJoZGlkIjoiODhkNWY1NmM2YzE4MjliNTY1ZTgzZDM3ZmU5ODdjZDIiLCJ1c2VySWQiOiI2MjI4MjQzNzQifQ==</vt:lpwstr>
  </property>
</Properties>
</file>