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4CBD">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58167014">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14:paraId="12278792">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45EF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14:paraId="0198C9EF">
            <w:pPr>
              <w:pStyle w:val="34"/>
              <w:widowControl w:val="0"/>
              <w:bidi w:val="0"/>
              <w:jc w:val="both"/>
              <w:rPr>
                <w:rFonts w:hint="eastAsia"/>
                <w:sz w:val="10"/>
                <w:vertAlign w:val="baseline"/>
                <w:lang w:val="en-US" w:eastAsia="zh-CN"/>
              </w:rPr>
            </w:pPr>
          </w:p>
        </w:tc>
      </w:tr>
    </w:tbl>
    <w:p w14:paraId="21878ECD">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白茶加工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井冈山白茶加工技术规程</w:t>
      </w:r>
      <w:r>
        <w:rPr>
          <w:rFonts w:hint="eastAsia" w:ascii="黑体" w:hAnsi="Times New Roman" w:eastAsia="黑体" w:cs="Times New Roman"/>
          <w:sz w:val="52"/>
          <w:lang w:val="en-US" w:eastAsia="zh-CN"/>
        </w:rPr>
        <w:fldChar w:fldCharType="end"/>
      </w:r>
      <w:bookmarkEnd w:id="3"/>
    </w:p>
    <w:p w14:paraId="49208873">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rocessing Jinggangshan White Tea"/>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Technical Regulations for Processing Jinggangshan White Tea</w:t>
      </w:r>
      <w:r>
        <w:rPr>
          <w:rFonts w:hint="eastAsia" w:ascii="Times New Roman" w:hAnsi="Times New Roman" w:eastAsia="黑体" w:cs="Times New Roman"/>
          <w:sz w:val="28"/>
          <w:lang w:val="en-US" w:eastAsia="zh-CN"/>
        </w:rPr>
        <w:fldChar w:fldCharType="end"/>
      </w:r>
      <w:bookmarkEnd w:id="4"/>
    </w:p>
    <w:p w14:paraId="7F687191">
      <w:pPr>
        <w:pStyle w:val="43"/>
        <w:bidi w:val="0"/>
        <w:rPr>
          <w:rFonts w:hint="eastAsia"/>
          <w:lang w:val="en-US" w:eastAsia="zh-CN"/>
        </w:rPr>
      </w:pPr>
      <w:r>
        <w:rPr>
          <w:rFonts w:hint="eastAsia" w:cs="Times New Roman"/>
          <w:sz w:val="28"/>
          <w:lang w:val="en-US" w:eastAsia="zh-CN"/>
        </w:rPr>
        <w:t xml:space="preserve"> </w:t>
      </w:r>
    </w:p>
    <w:p w14:paraId="77849CB8">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77DD3056">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230EBBC7">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B4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14:paraId="490BC54A">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14:paraId="6D4E4927">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56C9BB39">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2B8E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0BED673">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14:paraId="7BCD37EA">
            <w:pPr>
              <w:pStyle w:val="52"/>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0F03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2506011">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14:paraId="16EA5229">
            <w:pPr>
              <w:pStyle w:val="52"/>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889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14:paraId="01842023">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135E5C21">
            <w:pPr>
              <w:pStyle w:val="52"/>
              <w:framePr w:w="9639"/>
              <w:bidi w:val="0"/>
              <w:jc w:val="both"/>
              <w:rPr>
                <w:rFonts w:hint="eastAsia"/>
                <w:vertAlign w:val="baseline"/>
                <w:lang w:val="en-US" w:eastAsia="zh-CN"/>
              </w:rPr>
            </w:pPr>
          </w:p>
        </w:tc>
      </w:tr>
    </w:tbl>
    <w:p w14:paraId="4B0BF0FF">
      <w:pPr>
        <w:pStyle w:val="52"/>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26E06813">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4C95980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_Toc6346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_Toc6346 \h </w:instrText>
      </w:r>
      <w:r>
        <w:fldChar w:fldCharType="separate"/>
      </w:r>
      <w:r>
        <w:t>II</w:t>
      </w:r>
      <w:r>
        <w:fldChar w:fldCharType="end"/>
      </w:r>
      <w:r>
        <w:rPr>
          <w:rFonts w:hint="eastAsia" w:ascii="宋体" w:hAnsi="宋体" w:eastAsia="宋体" w:cs="宋体"/>
          <w:spacing w:val="0"/>
          <w:lang w:val="en-US" w:eastAsia="zh-CN"/>
        </w:rPr>
        <w:fldChar w:fldCharType="end"/>
      </w:r>
    </w:p>
    <w:p w14:paraId="12F0187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_Toc8541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_Toc8541 \h </w:instrText>
      </w:r>
      <w:r>
        <w:fldChar w:fldCharType="separate"/>
      </w:r>
      <w:r>
        <w:t>1</w:t>
      </w:r>
      <w:r>
        <w:fldChar w:fldCharType="end"/>
      </w:r>
      <w:r>
        <w:rPr>
          <w:rFonts w:hint="eastAsia" w:ascii="宋体" w:hAnsi="宋体" w:eastAsia="宋体" w:cs="宋体"/>
          <w:spacing w:val="0"/>
          <w:lang w:val="en-US" w:eastAsia="zh-CN"/>
        </w:rPr>
        <w:fldChar w:fldCharType="end"/>
      </w:r>
    </w:p>
    <w:p w14:paraId="496F65EE">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_Toc30434 \h </w:instrText>
      </w:r>
      <w:r>
        <w:fldChar w:fldCharType="separate"/>
      </w:r>
      <w:r>
        <w:t>1</w:t>
      </w:r>
      <w:r>
        <w:fldChar w:fldCharType="end"/>
      </w:r>
      <w:r>
        <w:rPr>
          <w:rFonts w:hint="eastAsia" w:ascii="宋体" w:hAnsi="宋体" w:eastAsia="宋体" w:cs="宋体"/>
          <w:spacing w:val="0"/>
          <w:lang w:val="en-US" w:eastAsia="zh-CN"/>
        </w:rPr>
        <w:fldChar w:fldCharType="end"/>
      </w:r>
    </w:p>
    <w:p w14:paraId="5CCEABD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_Toc5700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_Toc5700 \h </w:instrText>
      </w:r>
      <w:r>
        <w:fldChar w:fldCharType="separate"/>
      </w:r>
      <w:r>
        <w:t>1</w:t>
      </w:r>
      <w:r>
        <w:fldChar w:fldCharType="end"/>
      </w:r>
      <w:r>
        <w:rPr>
          <w:rFonts w:hint="eastAsia" w:ascii="宋体" w:hAnsi="宋体" w:eastAsia="宋体" w:cs="宋体"/>
          <w:spacing w:val="0"/>
          <w:lang w:val="en-US" w:eastAsia="zh-CN"/>
        </w:rPr>
        <w:fldChar w:fldCharType="end"/>
      </w:r>
    </w:p>
    <w:p w14:paraId="2C18E90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_Toc20283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eastAsia"/>
          <w:lang w:val="en-US" w:eastAsia="zh-CN"/>
        </w:rPr>
        <w:t>原料</w:t>
      </w:r>
      <w:r>
        <w:rPr>
          <w:rFonts w:hint="default"/>
        </w:rPr>
        <w:t>要求</w:t>
      </w:r>
      <w:r>
        <w:tab/>
      </w:r>
      <w:r>
        <w:fldChar w:fldCharType="begin"/>
      </w:r>
      <w:r>
        <w:instrText xml:space="preserve"> PAGEREF _Toc20283 \h </w:instrText>
      </w:r>
      <w:r>
        <w:fldChar w:fldCharType="separate"/>
      </w:r>
      <w:r>
        <w:t>2</w:t>
      </w:r>
      <w:r>
        <w:fldChar w:fldCharType="end"/>
      </w:r>
      <w:r>
        <w:rPr>
          <w:rFonts w:hint="eastAsia" w:ascii="宋体" w:hAnsi="宋体" w:eastAsia="宋体" w:cs="宋体"/>
          <w:spacing w:val="0"/>
          <w:lang w:val="en-US" w:eastAsia="zh-CN"/>
        </w:rPr>
        <w:fldChar w:fldCharType="end"/>
      </w:r>
    </w:p>
    <w:p w14:paraId="6C726702">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_Toc14896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default"/>
        </w:rPr>
        <w:t>加工条件</w:t>
      </w:r>
      <w:r>
        <w:tab/>
      </w:r>
      <w:r>
        <w:fldChar w:fldCharType="begin"/>
      </w:r>
      <w:r>
        <w:instrText xml:space="preserve"> PAGEREF _Toc14896 \h </w:instrText>
      </w:r>
      <w:r>
        <w:fldChar w:fldCharType="separate"/>
      </w:r>
      <w:r>
        <w:t>2</w:t>
      </w:r>
      <w:r>
        <w:fldChar w:fldCharType="end"/>
      </w:r>
      <w:r>
        <w:rPr>
          <w:rFonts w:hint="eastAsia" w:ascii="宋体" w:hAnsi="宋体" w:eastAsia="宋体" w:cs="宋体"/>
          <w:spacing w:val="0"/>
          <w:lang w:val="en-US" w:eastAsia="zh-CN"/>
        </w:rPr>
        <w:fldChar w:fldCharType="end"/>
      </w:r>
    </w:p>
    <w:p w14:paraId="5D48F51C">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default"/>
        </w:rPr>
        <w:t>加工工艺</w:t>
      </w:r>
      <w:r>
        <w:tab/>
      </w:r>
      <w:r>
        <w:fldChar w:fldCharType="begin"/>
      </w:r>
      <w:r>
        <w:instrText xml:space="preserve"> PAGEREF _Toc26166 \h </w:instrText>
      </w:r>
      <w:r>
        <w:fldChar w:fldCharType="separate"/>
      </w:r>
      <w:r>
        <w:t>2</w:t>
      </w:r>
      <w:r>
        <w:fldChar w:fldCharType="end"/>
      </w:r>
      <w:r>
        <w:rPr>
          <w:rFonts w:hint="eastAsia" w:ascii="宋体" w:hAnsi="宋体" w:eastAsia="宋体" w:cs="宋体"/>
          <w:spacing w:val="0"/>
          <w:lang w:val="en-US" w:eastAsia="zh-CN"/>
        </w:rPr>
        <w:fldChar w:fldCharType="end"/>
      </w:r>
    </w:p>
    <w:p w14:paraId="6179BA4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_Toc20517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包装、运输和贮存</w:t>
      </w:r>
      <w:r>
        <w:tab/>
      </w:r>
      <w:r>
        <w:fldChar w:fldCharType="begin"/>
      </w:r>
      <w:r>
        <w:instrText xml:space="preserve"> PAGEREF _Toc20517 \h </w:instrText>
      </w:r>
      <w:r>
        <w:fldChar w:fldCharType="separate"/>
      </w:r>
      <w:r>
        <w:t>3</w:t>
      </w:r>
      <w:r>
        <w:fldChar w:fldCharType="end"/>
      </w:r>
      <w:r>
        <w:rPr>
          <w:rFonts w:hint="eastAsia" w:ascii="宋体" w:hAnsi="宋体" w:eastAsia="宋体" w:cs="宋体"/>
          <w:spacing w:val="0"/>
          <w:lang w:val="en-US" w:eastAsia="zh-CN"/>
        </w:rPr>
        <w:fldChar w:fldCharType="end"/>
      </w:r>
    </w:p>
    <w:p w14:paraId="11869861">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_Toc27209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rPr>
          <w:rFonts w:hint="default"/>
        </w:rPr>
        <w:t>质量管理</w:t>
      </w:r>
      <w:r>
        <w:tab/>
      </w:r>
      <w:r>
        <w:fldChar w:fldCharType="begin"/>
      </w:r>
      <w:r>
        <w:instrText xml:space="preserve"> PAGEREF _Toc27209 \h </w:instrText>
      </w:r>
      <w:r>
        <w:fldChar w:fldCharType="separate"/>
      </w:r>
      <w:r>
        <w:t>3</w:t>
      </w:r>
      <w:r>
        <w:fldChar w:fldCharType="end"/>
      </w:r>
      <w:r>
        <w:rPr>
          <w:rFonts w:hint="eastAsia" w:ascii="宋体" w:hAnsi="宋体" w:eastAsia="宋体" w:cs="宋体"/>
          <w:spacing w:val="0"/>
          <w:lang w:val="en-US" w:eastAsia="zh-CN"/>
        </w:rPr>
        <w:fldChar w:fldCharType="end"/>
      </w:r>
    </w:p>
    <w:p w14:paraId="008F136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_Toc28217 </w:instrText>
      </w:r>
      <w:r>
        <w:rPr>
          <w:rFonts w:hint="eastAsia" w:ascii="宋体" w:hAnsi="宋体" w:eastAsia="宋体" w:cs="宋体"/>
          <w:spacing w:val="0"/>
          <w:lang w:val="en-US" w:eastAsia="zh-CN"/>
        </w:rPr>
        <w:fldChar w:fldCharType="separate"/>
      </w:r>
      <w:r>
        <w:rPr>
          <w:rFonts w:hint="default"/>
          <w:spacing w:val="102"/>
          <w:lang w:val="en-US" w:eastAsia="zh-CN"/>
        </w:rPr>
        <w:t xml:space="preserve">附录A </w:t>
      </w:r>
      <w:r>
        <w:rPr>
          <w:rFonts w:hint="eastAsia"/>
          <w:lang w:val="en-US" w:eastAsia="zh-CN"/>
        </w:rPr>
        <w:t xml:space="preserve"> （规范性） 井冈山绿茶生产区域范围图</w:t>
      </w:r>
      <w:r>
        <w:tab/>
      </w:r>
      <w:r>
        <w:fldChar w:fldCharType="begin"/>
      </w:r>
      <w:r>
        <w:instrText xml:space="preserve"> PAGEREF _Toc28217 \h </w:instrText>
      </w:r>
      <w:r>
        <w:fldChar w:fldCharType="separate"/>
      </w:r>
      <w:r>
        <w:t>5</w:t>
      </w:r>
      <w:r>
        <w:fldChar w:fldCharType="end"/>
      </w:r>
      <w:r>
        <w:rPr>
          <w:rFonts w:hint="eastAsia" w:ascii="宋体" w:hAnsi="宋体" w:eastAsia="宋体" w:cs="宋体"/>
          <w:spacing w:val="0"/>
          <w:lang w:val="en-US" w:eastAsia="zh-CN"/>
        </w:rPr>
        <w:fldChar w:fldCharType="end"/>
      </w:r>
    </w:p>
    <w:p w14:paraId="326C897F">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1560A282">
      <w:pPr>
        <w:pStyle w:val="53"/>
        <w:bidi w:val="0"/>
        <w:rPr>
          <w:rFonts w:hint="eastAsia"/>
          <w:lang w:val="en-US" w:eastAsia="zh-CN"/>
        </w:rPr>
      </w:pPr>
      <w:r>
        <w:rPr>
          <w:rFonts w:hint="eastAsia"/>
          <w:lang w:val="en-US" w:eastAsia="zh-CN"/>
        </w:rPr>
        <w:br w:type="page"/>
      </w:r>
    </w:p>
    <w:p w14:paraId="1DF1A020">
      <w:pPr>
        <w:pStyle w:val="54"/>
        <w:bidi w:val="0"/>
        <w:rPr>
          <w:rFonts w:hint="eastAsia"/>
          <w:lang w:val="en-US" w:eastAsia="zh-CN"/>
        </w:rPr>
      </w:pPr>
      <w:bookmarkStart w:id="19" w:name="_Toc6346"/>
      <w:r>
        <w:rPr>
          <w:rFonts w:hint="eastAsia"/>
          <w:spacing w:val="317"/>
          <w:lang w:val="en-US" w:eastAsia="zh-CN"/>
        </w:rPr>
        <w:t>前</w:t>
      </w:r>
      <w:bookmarkStart w:id="20" w:name="BKQY"/>
      <w:r>
        <w:rPr>
          <w:rFonts w:hint="eastAsia"/>
          <w:lang w:val="en-US" w:eastAsia="zh-CN"/>
        </w:rPr>
        <w:t>言</w:t>
      </w:r>
      <w:bookmarkEnd w:id="19"/>
    </w:p>
    <w:p w14:paraId="147686C0">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52FD66E1">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6D38B6E7">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453080A">
      <w:pPr>
        <w:pStyle w:val="24"/>
        <w:bidi w:val="0"/>
        <w:rPr>
          <w:rFonts w:hint="eastAsia" w:eastAsia="宋体"/>
          <w:lang w:val="en-US" w:eastAsia="zh-CN"/>
        </w:rPr>
      </w:pPr>
      <w:r>
        <w:rPr>
          <w:rFonts w:hint="eastAsia"/>
          <w:lang w:val="en-US" w:eastAsia="zh-CN"/>
        </w:rPr>
        <w:t>本文件起草单位：</w:t>
      </w:r>
    </w:p>
    <w:p w14:paraId="0FE34F4B">
      <w:pPr>
        <w:pStyle w:val="24"/>
        <w:bidi w:val="0"/>
        <w:rPr>
          <w:rFonts w:hint="eastAsia"/>
          <w:lang w:val="en-US" w:eastAsia="zh-CN"/>
        </w:rPr>
      </w:pPr>
      <w:r>
        <w:rPr>
          <w:rFonts w:hint="eastAsia"/>
          <w:lang w:val="en-US" w:eastAsia="zh-CN"/>
        </w:rPr>
        <w:t>本文件主要起草人：</w:t>
      </w:r>
    </w:p>
    <w:p w14:paraId="3195C7A8">
      <w:pPr>
        <w:pStyle w:val="24"/>
        <w:bidi w:val="0"/>
        <w:rPr>
          <w:rFonts w:hint="eastAsia"/>
          <w:lang w:val="en-US" w:eastAsia="zh-CN"/>
        </w:rPr>
      </w:pPr>
    </w:p>
    <w:bookmarkEnd w:id="20"/>
    <w:p w14:paraId="02A27F39">
      <w:pPr>
        <w:rPr>
          <w:rFonts w:hint="eastAsia"/>
          <w:lang w:val="en-US" w:eastAsia="zh-CN"/>
        </w:rPr>
      </w:pPr>
    </w:p>
    <w:p w14:paraId="3FA7CBFC">
      <w:pPr>
        <w:rPr>
          <w:rFonts w:hint="eastAsia"/>
          <w:lang w:val="en-US" w:eastAsia="zh-CN"/>
        </w:rPr>
      </w:pPr>
    </w:p>
    <w:p w14:paraId="26C1DC75">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14:paraId="0398B871">
          <w:pPr>
            <w:pStyle w:val="55"/>
            <w:bidi w:val="0"/>
            <w:rPr>
              <w:rStyle w:val="119"/>
              <w:rFonts w:hint="eastAsia"/>
              <w:lang w:val="en-US" w:eastAsia="zh-CN"/>
            </w:rPr>
          </w:pPr>
          <w:bookmarkStart w:id="21" w:name="StandardName"/>
          <w:r>
            <w:rPr>
              <w:rStyle w:val="119"/>
              <w:rFonts w:hint="eastAsia"/>
              <w:lang w:val="en-US" w:eastAsia="zh-CN"/>
            </w:rPr>
            <w:t>井冈山白茶加工技术规程</w:t>
          </w:r>
          <w:bookmarkEnd w:id="21"/>
        </w:p>
      </w:sdtContent>
    </w:sdt>
    <w:p w14:paraId="651D58E5">
      <w:pPr>
        <w:pStyle w:val="71"/>
        <w:bidi w:val="0"/>
        <w:rPr>
          <w:rStyle w:val="119"/>
          <w:rFonts w:hint="eastAsia"/>
          <w:lang w:val="en-US" w:eastAsia="zh-CN"/>
        </w:rPr>
      </w:pPr>
      <w:bookmarkStart w:id="22" w:name="_Toc8541"/>
      <w:r>
        <w:rPr>
          <w:rFonts w:hint="eastAsia"/>
          <w:lang w:val="en-US" w:eastAsia="zh-CN"/>
        </w:rPr>
        <w:t>范围</w:t>
      </w:r>
      <w:bookmarkEnd w:id="22"/>
    </w:p>
    <w:p w14:paraId="430F6724">
      <w:pPr>
        <w:pStyle w:val="24"/>
        <w:rPr>
          <w:rFonts w:hint="eastAsia"/>
          <w:lang w:val="en-US" w:eastAsia="zh-CN"/>
        </w:rPr>
      </w:pPr>
      <w:r>
        <w:rPr>
          <w:rFonts w:hint="eastAsia"/>
          <w:lang w:val="en-US" w:eastAsia="zh-CN"/>
        </w:rPr>
        <w:t>本文件规定了井冈山白茶加工的术语和定义、原料要求、加工条件、加工工艺、包装、运输和贮存、质量管理。</w:t>
      </w:r>
    </w:p>
    <w:p w14:paraId="4FF920AA">
      <w:pPr>
        <w:pStyle w:val="24"/>
        <w:rPr>
          <w:rFonts w:hint="eastAsia"/>
          <w:lang w:val="en-US" w:eastAsia="zh-CN"/>
        </w:rPr>
      </w:pPr>
      <w:r>
        <w:rPr>
          <w:rFonts w:hint="eastAsia"/>
          <w:lang w:val="en-US" w:eastAsia="zh-CN"/>
        </w:rPr>
        <w:t>本文件适用于吉安市行政区域范围内白茶的加工。</w:t>
      </w:r>
    </w:p>
    <w:p w14:paraId="581296F6">
      <w:pPr>
        <w:pStyle w:val="71"/>
        <w:bidi w:val="0"/>
        <w:rPr>
          <w:rFonts w:hint="eastAsia"/>
          <w:lang w:val="en-US" w:eastAsia="zh-CN"/>
        </w:rPr>
      </w:pPr>
      <w:bookmarkStart w:id="23" w:name="_Toc30434"/>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68DD537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209E1E">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4806.1</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w:t>
      </w:r>
      <w:r>
        <w:rPr>
          <w:rFonts w:hint="eastAsia" w:cs="宋体"/>
          <w:sz w:val="21"/>
          <w:lang w:val="en-US" w:eastAsia="zh-CN"/>
        </w:rPr>
        <w:t xml:space="preserve"> </w:t>
      </w:r>
      <w:r>
        <w:rPr>
          <w:rFonts w:hint="eastAsia" w:ascii="宋体" w:hAnsi="Times New Roman" w:eastAsia="宋体" w:cs="宋体"/>
          <w:sz w:val="21"/>
          <w:lang w:val="en-US" w:eastAsia="zh-CN"/>
        </w:rPr>
        <w:t xml:space="preserve"> 食品接触材料及制品通用安全要求</w:t>
      </w:r>
    </w:p>
    <w:p w14:paraId="3A931BE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4CE28A7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7DA1733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5737  食品塑料周转箱</w:t>
      </w:r>
    </w:p>
    <w:p w14:paraId="2A37CE8D">
      <w:pPr>
        <w:pStyle w:val="24"/>
        <w:bidi w:val="0"/>
        <w:rPr>
          <w:rFonts w:hint="eastAsia"/>
          <w:lang w:val="en-US" w:eastAsia="zh-CN"/>
        </w:rPr>
      </w:pPr>
      <w:bookmarkStart w:id="24" w:name="_Hlk103956065"/>
      <w:r>
        <w:rPr>
          <w:rFonts w:hint="eastAsia"/>
          <w:lang w:val="en-US" w:eastAsia="zh-CN"/>
        </w:rPr>
        <w:t>GB 7718  食品安全国家标准 预包装食品标签通则</w:t>
      </w:r>
    </w:p>
    <w:p w14:paraId="361182A7">
      <w:pPr>
        <w:pStyle w:val="24"/>
        <w:bidi w:val="0"/>
        <w:rPr>
          <w:rFonts w:hint="default"/>
          <w:lang w:val="en-US" w:eastAsia="zh-CN"/>
        </w:rPr>
      </w:pPr>
      <w:r>
        <w:rPr>
          <w:rFonts w:hint="eastAsia"/>
          <w:lang w:val="en-US" w:eastAsia="zh-CN"/>
        </w:rPr>
        <w:t>GB 14881 食品安全国家标准 食品生产通用卫生规范</w:t>
      </w:r>
    </w:p>
    <w:p w14:paraId="6B8512A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19630  有机产品  生产、加工、标识与管理体系要求 </w:t>
      </w:r>
      <w:bookmarkEnd w:id="24"/>
    </w:p>
    <w:p w14:paraId="2DE45B8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30375</w:t>
      </w:r>
      <w:r>
        <w:rPr>
          <w:rFonts w:hint="eastAsia" w:cs="宋体"/>
          <w:sz w:val="21"/>
          <w:lang w:val="en-US" w:eastAsia="zh-CN"/>
        </w:rPr>
        <w:t xml:space="preserve">  </w:t>
      </w:r>
      <w:r>
        <w:rPr>
          <w:rFonts w:hint="eastAsia" w:ascii="宋体" w:hAnsi="Times New Roman" w:eastAsia="宋体" w:cs="宋体"/>
          <w:sz w:val="21"/>
          <w:lang w:val="en-US" w:eastAsia="zh-CN"/>
        </w:rPr>
        <w:t>茶叶贮存</w:t>
      </w:r>
    </w:p>
    <w:p w14:paraId="13E98C4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  鲜活农产品标签标识</w:t>
      </w:r>
    </w:p>
    <w:p w14:paraId="508DB93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2F4504E9">
      <w:pPr>
        <w:pStyle w:val="24"/>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绿色食品</w:t>
      </w:r>
      <w:r>
        <w:rPr>
          <w:rFonts w:hint="eastAsia" w:cs="宋体"/>
          <w:sz w:val="21"/>
          <w:lang w:val="en-US" w:eastAsia="zh-CN"/>
        </w:rPr>
        <w:t xml:space="preserve"> </w:t>
      </w:r>
      <w:r>
        <w:rPr>
          <w:rFonts w:hint="default" w:cs="宋体"/>
          <w:sz w:val="21"/>
          <w:lang w:val="en-US" w:eastAsia="zh-CN"/>
        </w:rPr>
        <w:t xml:space="preserve"> 包装通用准则</w:t>
      </w:r>
    </w:p>
    <w:p w14:paraId="4266350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6D97907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GH/T 1070 茶叶包装通则</w:t>
      </w:r>
    </w:p>
    <w:p w14:paraId="11DA2ECA">
      <w:pPr>
        <w:pStyle w:val="71"/>
        <w:bidi w:val="0"/>
        <w:rPr>
          <w:rFonts w:hint="eastAsia" w:ascii="宋体" w:hAnsi="Times New Roman" w:eastAsia="宋体" w:cs="宋体"/>
          <w:lang w:val="en-US" w:eastAsia="zh-CN"/>
        </w:rPr>
      </w:pPr>
      <w:bookmarkStart w:id="25" w:name="_Toc5700"/>
      <w:r>
        <w:rPr>
          <w:rFonts w:hint="eastAsia"/>
          <w:lang w:val="en-US" w:eastAsia="zh-CN"/>
        </w:rPr>
        <w:t>术语和定义</w:t>
      </w:r>
      <w:bookmarkEnd w:id="25"/>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25B37831">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FE47CAD">
      <w:pPr>
        <w:pStyle w:val="24"/>
        <w:rPr>
          <w:rFonts w:hint="eastAsia"/>
          <w:lang w:val="en-US" w:eastAsia="zh-CN"/>
        </w:rPr>
      </w:pPr>
    </w:p>
    <w:p w14:paraId="679ADA87">
      <w:pPr>
        <w:pStyle w:val="82"/>
        <w:bidi w:val="0"/>
        <w:spacing w:after="0" w:afterLines="0"/>
        <w:ind w:left="420" w:hanging="420" w:hangingChars="200"/>
        <w:rPr>
          <w:rFonts w:hint="eastAsia" w:ascii="黑体" w:hAnsi="黑体" w:eastAsia="黑体" w:cs="黑体"/>
          <w:lang w:val="en-US" w:eastAsia="zh-CN"/>
        </w:rPr>
      </w:pPr>
    </w:p>
    <w:p w14:paraId="6F6DAC23">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井冈山白茶 Jinggangshan white tea</w:t>
      </w:r>
    </w:p>
    <w:p w14:paraId="422BC0E5">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以吉安市行政区域范围内种植的中小叶种茶树的芽、叶、嫩茎为原料，按照白茶加工工艺制作而成，符合本文件要求，并经“井冈山®”商标持有人授权的白茶。</w:t>
      </w:r>
    </w:p>
    <w:p w14:paraId="095699F5">
      <w:pPr>
        <w:pStyle w:val="24"/>
        <w:bidi w:val="0"/>
      </w:pPr>
      <w:r>
        <w:rPr>
          <w:rFonts w:hint="eastAsia" w:ascii="宋体" w:hAnsi="Times New Roman" w:eastAsia="宋体" w:cs="宋体"/>
          <w:sz w:val="21"/>
          <w:lang w:val="en-US" w:eastAsia="zh-CN"/>
        </w:rPr>
        <w:t>井冈山</w:t>
      </w:r>
      <w:r>
        <w:rPr>
          <w:rFonts w:hint="eastAsia" w:cs="宋体"/>
          <w:sz w:val="21"/>
          <w:lang w:val="en-US" w:eastAsia="zh-CN"/>
        </w:rPr>
        <w:t>白</w:t>
      </w:r>
      <w:r>
        <w:rPr>
          <w:rFonts w:hint="eastAsia" w:ascii="宋体" w:hAnsi="Times New Roman" w:eastAsia="宋体" w:cs="宋体"/>
          <w:sz w:val="21"/>
          <w:lang w:val="en-US" w:eastAsia="zh-CN"/>
        </w:rPr>
        <w:t>茶生产区域范围见附录A。</w:t>
      </w:r>
    </w:p>
    <w:p w14:paraId="5A962D63">
      <w:pPr>
        <w:pStyle w:val="71"/>
        <w:bidi w:val="0"/>
        <w:rPr>
          <w:rFonts w:hint="default"/>
        </w:rPr>
      </w:pPr>
      <w:bookmarkStart w:id="26" w:name="_Toc20517"/>
      <w:r>
        <w:rPr>
          <w:rFonts w:hint="default"/>
        </w:rPr>
        <w:t>原料要求</w:t>
      </w:r>
    </w:p>
    <w:p w14:paraId="65F82654">
      <w:pPr>
        <w:pStyle w:val="72"/>
        <w:bidi w:val="0"/>
        <w:rPr>
          <w:rFonts w:hint="default"/>
        </w:rPr>
      </w:pPr>
      <w:r>
        <w:rPr>
          <w:rFonts w:hint="default"/>
        </w:rPr>
        <w:t>茶树品种</w:t>
      </w:r>
    </w:p>
    <w:p w14:paraId="7072D658">
      <w:pPr>
        <w:pStyle w:val="78"/>
        <w:numPr>
          <w:numId w:val="0"/>
        </w:numPr>
        <w:bidi w:val="0"/>
        <w:spacing w:before="0" w:beforeLines="0" w:after="0" w:afterLines="0"/>
        <w:ind w:firstLine="420" w:firstLineChars="200"/>
        <w:outlineLvl w:val="9"/>
        <w:rPr>
          <w:rFonts w:hint="default"/>
        </w:rPr>
      </w:pPr>
      <w:r>
        <w:rPr>
          <w:rFonts w:hint="default"/>
          <w:lang w:val="en-US" w:eastAsia="zh-CN"/>
        </w:rPr>
        <w:t>应选用吉安市行政区域范围内种植的中小叶种茶树。</w:t>
      </w:r>
    </w:p>
    <w:p w14:paraId="31F6B1EE">
      <w:pPr>
        <w:pStyle w:val="72"/>
        <w:bidi w:val="0"/>
        <w:rPr>
          <w:rFonts w:hint="default"/>
        </w:rPr>
      </w:pPr>
      <w:r>
        <w:rPr>
          <w:rFonts w:hint="default"/>
        </w:rPr>
        <w:t>产地环境</w:t>
      </w:r>
    </w:p>
    <w:p w14:paraId="79DEE490">
      <w:pPr>
        <w:pStyle w:val="78"/>
        <w:numPr>
          <w:numId w:val="0"/>
        </w:numPr>
        <w:bidi w:val="0"/>
        <w:spacing w:before="0" w:beforeLines="0" w:after="0" w:afterLines="0"/>
        <w:ind w:leftChars="0" w:firstLine="420" w:firstLineChars="200"/>
        <w:outlineLvl w:val="9"/>
        <w:rPr>
          <w:rFonts w:hint="default"/>
        </w:rPr>
      </w:pPr>
      <w:r>
        <w:rPr>
          <w:rFonts w:hint="default"/>
          <w:lang w:val="en-US" w:eastAsia="zh-CN"/>
        </w:rPr>
        <w:t>产地环境应符合 NY/T 391 的要求，确保茶园土壤、空气质量等无污染，为茶叶生长提供良好的生态环境。</w:t>
      </w:r>
    </w:p>
    <w:p w14:paraId="379C1E60">
      <w:pPr>
        <w:pStyle w:val="72"/>
        <w:bidi w:val="0"/>
        <w:rPr>
          <w:rFonts w:hint="default"/>
        </w:rPr>
      </w:pPr>
      <w:r>
        <w:rPr>
          <w:rFonts w:hint="default"/>
        </w:rPr>
        <w:t>鲜叶标准</w:t>
      </w:r>
    </w:p>
    <w:p w14:paraId="04F3EAEA">
      <w:pPr>
        <w:pStyle w:val="78"/>
        <w:numPr>
          <w:numId w:val="0"/>
        </w:numPr>
        <w:bidi w:val="0"/>
        <w:spacing w:before="0" w:beforeLines="0" w:after="0" w:afterLines="0"/>
        <w:ind w:leftChars="0" w:firstLine="420" w:firstLineChars="200"/>
        <w:outlineLvl w:val="9"/>
        <w:rPr>
          <w:rFonts w:hint="default"/>
          <w:lang w:val="en-US" w:eastAsia="zh-CN"/>
        </w:rPr>
      </w:pPr>
      <w:r>
        <w:rPr>
          <w:rFonts w:hint="default"/>
          <w:lang w:val="en-US" w:eastAsia="zh-CN"/>
        </w:rPr>
        <w:t>鲜叶应保持芽叶完整、新鲜、匀净，无污染、无杂物，不得收购掺假、含杂质以及品质劣变的鲜叶。鲜叶装运用清洁卫生、透气性良好的竹质等硬质专用工具。运输时避免日晒、雨淋</w:t>
      </w:r>
      <w:r>
        <w:rPr>
          <w:rFonts w:hint="eastAsia"/>
          <w:lang w:val="en-US" w:eastAsia="zh-CN"/>
        </w:rPr>
        <w:t>以及</w:t>
      </w:r>
      <w:r>
        <w:rPr>
          <w:rFonts w:hint="default"/>
          <w:lang w:val="en-US" w:eastAsia="zh-CN"/>
        </w:rPr>
        <w:t>被污染 。</w:t>
      </w:r>
    </w:p>
    <w:p w14:paraId="6042A79A">
      <w:pPr>
        <w:pStyle w:val="71"/>
        <w:bidi w:val="0"/>
        <w:rPr>
          <w:rFonts w:hint="default"/>
        </w:rPr>
      </w:pPr>
      <w:r>
        <w:rPr>
          <w:rFonts w:hint="default"/>
        </w:rPr>
        <w:t>加工条件</w:t>
      </w:r>
    </w:p>
    <w:p w14:paraId="74B5D72B">
      <w:pPr>
        <w:pStyle w:val="72"/>
        <w:bidi w:val="0"/>
        <w:rPr>
          <w:rFonts w:hint="default"/>
        </w:rPr>
      </w:pPr>
      <w:r>
        <w:rPr>
          <w:rFonts w:hint="default"/>
        </w:rPr>
        <w:t>加工场所</w:t>
      </w:r>
    </w:p>
    <w:p w14:paraId="003DEDA6">
      <w:pPr>
        <w:pStyle w:val="78"/>
        <w:numPr>
          <w:numId w:val="0"/>
        </w:numPr>
        <w:bidi w:val="0"/>
        <w:spacing w:before="0" w:beforeLines="0" w:after="0" w:afterLines="0"/>
        <w:ind w:leftChars="0" w:firstLine="420" w:firstLineChars="200"/>
        <w:outlineLvl w:val="9"/>
        <w:rPr>
          <w:rFonts w:hint="default"/>
        </w:rPr>
      </w:pPr>
      <w:r>
        <w:rPr>
          <w:rFonts w:hint="default"/>
          <w:lang w:val="en-US" w:eastAsia="zh-CN"/>
        </w:rPr>
        <w:t>加工场所应远离污染源，周围环境应清洁卫生</w:t>
      </w:r>
      <w:r>
        <w:rPr>
          <w:rFonts w:hint="eastAsia"/>
          <w:lang w:val="en-US" w:eastAsia="zh-CN"/>
        </w:rPr>
        <w:t>，应符合GB 14881的规定</w:t>
      </w:r>
      <w:r>
        <w:rPr>
          <w:rFonts w:hint="default"/>
          <w:lang w:val="en-US" w:eastAsia="zh-CN"/>
        </w:rPr>
        <w:t>。加工车间应具备良好的通风、采光条件。</w:t>
      </w:r>
    </w:p>
    <w:p w14:paraId="0B007A9F">
      <w:pPr>
        <w:pStyle w:val="72"/>
        <w:bidi w:val="0"/>
        <w:rPr>
          <w:rFonts w:hint="default"/>
        </w:rPr>
      </w:pPr>
      <w:r>
        <w:rPr>
          <w:rFonts w:hint="default"/>
        </w:rPr>
        <w:t>加工设备</w:t>
      </w:r>
    </w:p>
    <w:p w14:paraId="31B762F9">
      <w:pPr>
        <w:pStyle w:val="78"/>
        <w:numPr>
          <w:numId w:val="0"/>
        </w:numPr>
        <w:bidi w:val="0"/>
        <w:spacing w:before="0" w:beforeLines="0" w:after="0" w:afterLines="0"/>
        <w:ind w:leftChars="0" w:firstLine="420" w:firstLineChars="200"/>
        <w:outlineLvl w:val="9"/>
        <w:rPr>
          <w:rFonts w:hint="default"/>
        </w:rPr>
      </w:pPr>
      <w:r>
        <w:rPr>
          <w:rFonts w:hint="default"/>
          <w:lang w:val="en-US" w:eastAsia="zh-CN"/>
        </w:rPr>
        <w:t>配备必要的加工设备和工具，如萎凋槽、烘干机、筛分机等，并定期进行清洁和维护。禁止使用含铅及铅锑合金、铅青铜、锰黄铜、铅黄铜等可能产生重金属污染的加工零部件来接触茶叶 。</w:t>
      </w:r>
    </w:p>
    <w:p w14:paraId="3F9AD56E">
      <w:pPr>
        <w:pStyle w:val="72"/>
        <w:bidi w:val="0"/>
        <w:rPr>
          <w:rFonts w:hint="default"/>
        </w:rPr>
      </w:pPr>
      <w:r>
        <w:rPr>
          <w:rFonts w:hint="default"/>
        </w:rPr>
        <w:t>加工人员</w:t>
      </w:r>
    </w:p>
    <w:p w14:paraId="41BD5ED6">
      <w:pPr>
        <w:pStyle w:val="78"/>
        <w:numPr>
          <w:numId w:val="0"/>
        </w:numPr>
        <w:bidi w:val="0"/>
        <w:spacing w:before="0" w:beforeLines="0" w:after="0" w:afterLines="0"/>
        <w:ind w:leftChars="0" w:firstLine="420" w:firstLineChars="200"/>
        <w:outlineLvl w:val="9"/>
        <w:rPr>
          <w:rFonts w:hint="default"/>
        </w:rPr>
      </w:pPr>
      <w:r>
        <w:rPr>
          <w:rFonts w:hint="default"/>
          <w:lang w:val="en-US" w:eastAsia="zh-CN"/>
        </w:rPr>
        <w:t>加工人员应持有健康合格证。上岗前应经过井冈山白茶知识培训，掌握井冈山白茶的生产、加工要求。进入加工场所应换鞋，穿戴工作衣、帽，并保持工作服的清洁。生产、包装车间需戴口罩上岗。禁止在加工和包装场所用餐和进食食品 。</w:t>
      </w:r>
    </w:p>
    <w:p w14:paraId="253C06CE">
      <w:pPr>
        <w:pStyle w:val="71"/>
        <w:bidi w:val="0"/>
        <w:rPr>
          <w:rFonts w:hint="default"/>
        </w:rPr>
      </w:pPr>
      <w:r>
        <w:rPr>
          <w:rFonts w:hint="default"/>
        </w:rPr>
        <w:t>加工工艺</w:t>
      </w:r>
    </w:p>
    <w:p w14:paraId="05E1DA65">
      <w:pPr>
        <w:pStyle w:val="72"/>
        <w:bidi w:val="0"/>
        <w:rPr>
          <w:rFonts w:hint="default"/>
        </w:rPr>
      </w:pPr>
      <w:r>
        <w:rPr>
          <w:rFonts w:hint="default"/>
        </w:rPr>
        <w:t>工艺流程</w:t>
      </w:r>
    </w:p>
    <w:p w14:paraId="6762D427">
      <w:pPr>
        <w:pStyle w:val="73"/>
        <w:bidi w:val="0"/>
        <w:rPr>
          <w:rFonts w:hint="default"/>
        </w:rPr>
      </w:pPr>
      <w:r>
        <w:rPr>
          <w:rFonts w:hint="default"/>
        </w:rPr>
        <w:t>散茶加工工艺流程</w:t>
      </w:r>
    </w:p>
    <w:p w14:paraId="6F1FE98A">
      <w:pPr>
        <w:pStyle w:val="24"/>
        <w:ind w:firstLine="960"/>
        <w:rPr>
          <w:rFonts w:hint="default"/>
        </w:rPr>
      </w:pPr>
      <w:r>
        <w:rPr>
          <w:rFonts w:hint="default"/>
          <w:lang w:val="en-US" w:eastAsia="zh-CN"/>
        </w:rPr>
        <w:t>鲜叶→萎凋→干燥→拣剔→成品。</w:t>
      </w:r>
    </w:p>
    <w:p w14:paraId="6B57E013">
      <w:pPr>
        <w:pStyle w:val="73"/>
        <w:bidi w:val="0"/>
        <w:rPr>
          <w:rFonts w:hint="default"/>
        </w:rPr>
      </w:pPr>
      <w:r>
        <w:rPr>
          <w:rFonts w:hint="default"/>
        </w:rPr>
        <w:t>紧压茶加工工艺流程</w:t>
      </w:r>
    </w:p>
    <w:p w14:paraId="732FC831">
      <w:pPr>
        <w:pStyle w:val="24"/>
        <w:ind w:firstLine="960"/>
        <w:rPr>
          <w:rFonts w:hint="default"/>
        </w:rPr>
      </w:pPr>
      <w:r>
        <w:rPr>
          <w:rFonts w:hint="default"/>
          <w:lang w:val="en-US" w:eastAsia="zh-CN"/>
        </w:rPr>
        <w:t>散茶→称量→蒸压→定型→干燥→成品包装。</w:t>
      </w:r>
    </w:p>
    <w:p w14:paraId="56D3A168">
      <w:pPr>
        <w:pStyle w:val="72"/>
        <w:bidi w:val="0"/>
        <w:rPr>
          <w:rFonts w:hint="default"/>
          <w:lang w:val="en-US" w:eastAsia="zh-CN"/>
        </w:rPr>
      </w:pPr>
      <w:r>
        <w:rPr>
          <w:rFonts w:hint="default"/>
          <w:lang w:val="en-US" w:eastAsia="zh-CN"/>
        </w:rPr>
        <w:t>加工技术要求</w:t>
      </w:r>
    </w:p>
    <w:p w14:paraId="626FBBC2">
      <w:pPr>
        <w:pStyle w:val="73"/>
        <w:bidi w:val="0"/>
        <w:rPr>
          <w:rFonts w:hint="default"/>
          <w:lang w:val="en-US" w:eastAsia="zh-CN"/>
        </w:rPr>
      </w:pPr>
      <w:r>
        <w:rPr>
          <w:rFonts w:hint="default"/>
          <w:lang w:val="en-US" w:eastAsia="zh-CN"/>
        </w:rPr>
        <w:t>萎凋</w:t>
      </w:r>
    </w:p>
    <w:p w14:paraId="33CAF350">
      <w:pPr>
        <w:pStyle w:val="74"/>
        <w:bidi w:val="0"/>
        <w:rPr>
          <w:rFonts w:hint="default"/>
          <w:lang w:val="en-US" w:eastAsia="zh-CN"/>
        </w:rPr>
      </w:pPr>
      <w:r>
        <w:rPr>
          <w:rFonts w:hint="default"/>
          <w:lang w:val="en-US" w:eastAsia="zh-CN"/>
        </w:rPr>
        <w:t>自然萎凋</w:t>
      </w:r>
    </w:p>
    <w:p w14:paraId="3942F27A">
      <w:pPr>
        <w:pStyle w:val="24"/>
        <w:ind w:firstLine="960"/>
        <w:rPr>
          <w:rFonts w:hint="default"/>
          <w:lang w:val="en-US" w:eastAsia="zh-CN"/>
        </w:rPr>
      </w:pPr>
      <w:r>
        <w:rPr>
          <w:rFonts w:hint="default"/>
          <w:lang w:val="en-US" w:eastAsia="zh-CN"/>
        </w:rPr>
        <w:t>将鲜叶均匀摊放在萎凋槽或竹匾上，厚度一般为 3cm～4cm，萎凋时间根据气候条件而定，一般为 60h～72h。</w:t>
      </w:r>
    </w:p>
    <w:p w14:paraId="1B31AA48">
      <w:pPr>
        <w:pStyle w:val="74"/>
        <w:bidi w:val="0"/>
        <w:rPr>
          <w:rFonts w:hint="default"/>
          <w:lang w:val="en-US" w:eastAsia="zh-CN"/>
        </w:rPr>
      </w:pPr>
      <w:r>
        <w:rPr>
          <w:rFonts w:hint="default"/>
          <w:lang w:val="en-US" w:eastAsia="zh-CN"/>
        </w:rPr>
        <w:t>加温萎凋</w:t>
      </w:r>
    </w:p>
    <w:p w14:paraId="0896C33B">
      <w:pPr>
        <w:pStyle w:val="24"/>
        <w:ind w:firstLine="960"/>
        <w:rPr>
          <w:rFonts w:hint="default"/>
          <w:lang w:val="en-US" w:eastAsia="zh-CN"/>
        </w:rPr>
      </w:pPr>
      <w:r>
        <w:rPr>
          <w:rFonts w:hint="default"/>
          <w:lang w:val="en-US" w:eastAsia="zh-CN"/>
        </w:rPr>
        <w:t>通过萎凋机控制温度和湿度进行萎凋，温度一般控制在 30℃～35℃，相对湿度控制在 65%～75%。</w:t>
      </w:r>
    </w:p>
    <w:p w14:paraId="3B71A327">
      <w:pPr>
        <w:pStyle w:val="73"/>
        <w:bidi w:val="0"/>
        <w:rPr>
          <w:rFonts w:hint="default"/>
          <w:lang w:val="en-US" w:eastAsia="zh-CN"/>
        </w:rPr>
      </w:pPr>
      <w:r>
        <w:rPr>
          <w:rFonts w:hint="default"/>
          <w:lang w:val="en-US" w:eastAsia="zh-CN"/>
        </w:rPr>
        <w:t>干燥</w:t>
      </w:r>
    </w:p>
    <w:p w14:paraId="6C4047A1">
      <w:pPr>
        <w:pStyle w:val="74"/>
        <w:bidi w:val="0"/>
        <w:rPr>
          <w:rFonts w:hint="default"/>
          <w:lang w:val="en-US" w:eastAsia="zh-CN"/>
        </w:rPr>
      </w:pPr>
      <w:r>
        <w:rPr>
          <w:rFonts w:hint="default"/>
          <w:lang w:val="en-US" w:eastAsia="zh-CN"/>
        </w:rPr>
        <w:t>初烘</w:t>
      </w:r>
    </w:p>
    <w:p w14:paraId="46C1AC76">
      <w:pPr>
        <w:pStyle w:val="24"/>
        <w:ind w:firstLine="960"/>
        <w:rPr>
          <w:rFonts w:hint="default"/>
          <w:lang w:val="en-US" w:eastAsia="zh-CN"/>
        </w:rPr>
      </w:pPr>
      <w:r>
        <w:rPr>
          <w:rFonts w:hint="default"/>
          <w:lang w:val="en-US" w:eastAsia="zh-CN"/>
        </w:rPr>
        <w:t>使用烘干机进行初烘，温度一般控制在 90℃～100℃，摊叶厚度 4cm～5cm，时间 5min～6min。</w:t>
      </w:r>
    </w:p>
    <w:p w14:paraId="65556E3D">
      <w:pPr>
        <w:pStyle w:val="74"/>
        <w:bidi w:val="0"/>
        <w:rPr>
          <w:rFonts w:hint="default"/>
          <w:lang w:val="en-US" w:eastAsia="zh-CN"/>
        </w:rPr>
      </w:pPr>
      <w:r>
        <w:rPr>
          <w:rFonts w:hint="default"/>
          <w:lang w:val="en-US" w:eastAsia="zh-CN"/>
        </w:rPr>
        <w:t>复烘</w:t>
      </w:r>
    </w:p>
    <w:p w14:paraId="74E8BDEF">
      <w:pPr>
        <w:pStyle w:val="24"/>
        <w:ind w:firstLine="960"/>
        <w:rPr>
          <w:rFonts w:hint="default"/>
          <w:lang w:val="en-US" w:eastAsia="zh-CN"/>
        </w:rPr>
      </w:pPr>
      <w:r>
        <w:rPr>
          <w:rFonts w:hint="default"/>
          <w:lang w:val="en-US" w:eastAsia="zh-CN"/>
        </w:rPr>
        <w:t>初烘后的茶叶进行复烘，温度 70℃～80℃，时间 10min～15min。</w:t>
      </w:r>
    </w:p>
    <w:p w14:paraId="3E58F591">
      <w:pPr>
        <w:pStyle w:val="73"/>
        <w:bidi w:val="0"/>
        <w:rPr>
          <w:rFonts w:hint="default"/>
          <w:lang w:val="en-US" w:eastAsia="zh-CN"/>
        </w:rPr>
      </w:pPr>
      <w:r>
        <w:rPr>
          <w:rFonts w:hint="default"/>
          <w:lang w:val="en-US" w:eastAsia="zh-CN"/>
        </w:rPr>
        <w:t>拣剔</w:t>
      </w:r>
    </w:p>
    <w:p w14:paraId="3F4C4412">
      <w:pPr>
        <w:pStyle w:val="24"/>
        <w:ind w:firstLine="960"/>
        <w:rPr>
          <w:rFonts w:hint="default"/>
          <w:lang w:val="en-US" w:eastAsia="zh-CN"/>
        </w:rPr>
      </w:pPr>
      <w:r>
        <w:rPr>
          <w:rFonts w:hint="default"/>
          <w:lang w:val="en-US" w:eastAsia="zh-CN"/>
        </w:rPr>
        <w:t>拣去黄片、碎片和茶末以及非茶类夹杂物。</w:t>
      </w:r>
    </w:p>
    <w:p w14:paraId="2B76E7E6">
      <w:pPr>
        <w:pStyle w:val="73"/>
        <w:bidi w:val="0"/>
        <w:rPr>
          <w:rFonts w:hint="default"/>
          <w:lang w:val="en-US" w:eastAsia="zh-CN"/>
        </w:rPr>
      </w:pPr>
      <w:r>
        <w:rPr>
          <w:rFonts w:hint="default"/>
          <w:lang w:val="en-US" w:eastAsia="zh-CN"/>
        </w:rPr>
        <w:t>拼配</w:t>
      </w:r>
    </w:p>
    <w:p w14:paraId="008608F3">
      <w:pPr>
        <w:pStyle w:val="24"/>
        <w:ind w:firstLine="960"/>
        <w:rPr>
          <w:rFonts w:hint="default"/>
          <w:lang w:val="en-US" w:eastAsia="zh-CN"/>
        </w:rPr>
      </w:pPr>
      <w:r>
        <w:rPr>
          <w:rFonts w:hint="default"/>
          <w:lang w:val="en-US" w:eastAsia="zh-CN"/>
        </w:rPr>
        <w:t>根据产品质量要求，将不同批次、不同等级的茶叶按一定比例拼配。</w:t>
      </w:r>
    </w:p>
    <w:p w14:paraId="1CA22764">
      <w:pPr>
        <w:pStyle w:val="71"/>
        <w:bidi w:val="0"/>
        <w:rPr>
          <w:rFonts w:hint="default"/>
        </w:rPr>
      </w:pPr>
      <w:r>
        <w:rPr>
          <w:rFonts w:hint="default"/>
        </w:rPr>
        <w:t>包装、运输和贮存</w:t>
      </w:r>
      <w:bookmarkEnd w:id="26"/>
    </w:p>
    <w:p w14:paraId="621B252C">
      <w:pPr>
        <w:pStyle w:val="72"/>
        <w:bidi w:val="0"/>
        <w:rPr>
          <w:rFonts w:hint="default"/>
          <w:lang w:val="en-US" w:eastAsia="zh-CN"/>
        </w:rPr>
      </w:pPr>
      <w:r>
        <w:rPr>
          <w:rFonts w:hint="default"/>
          <w:lang w:val="en-US" w:eastAsia="zh-CN"/>
        </w:rPr>
        <w:t>包装</w:t>
      </w:r>
    </w:p>
    <w:p w14:paraId="563152D7">
      <w:pPr>
        <w:pStyle w:val="78"/>
        <w:bidi w:val="0"/>
        <w:spacing w:before="0" w:beforeLines="0" w:after="0" w:afterLines="0"/>
        <w:rPr>
          <w:rFonts w:hint="default"/>
        </w:rPr>
      </w:pPr>
      <w:r>
        <w:rPr>
          <w:rFonts w:hint="default"/>
          <w:lang w:val="en-US" w:eastAsia="zh-CN"/>
        </w:rPr>
        <w:t>根据不同的销售市场和消费群体进行包装设计，可采用盒装、罐装、袋装等方式，注明产品名称、等级、净含量、生产日期、保质期等信息。</w:t>
      </w:r>
    </w:p>
    <w:p w14:paraId="17EA8F1C">
      <w:pPr>
        <w:pStyle w:val="78"/>
        <w:bidi w:val="0"/>
        <w:spacing w:before="0" w:beforeLines="0" w:after="0" w:afterLines="0"/>
        <w:rPr>
          <w:rFonts w:hint="eastAsia"/>
        </w:rPr>
      </w:pPr>
      <w:r>
        <w:rPr>
          <w:rFonts w:hint="eastAsia"/>
        </w:rPr>
        <w:t>包装应符合</w:t>
      </w:r>
      <w:r>
        <w:rPr>
          <w:rFonts w:hint="eastAsia" w:ascii="宋体" w:hAnsi="Times New Roman" w:eastAsia="宋体" w:cs="宋体"/>
          <w:sz w:val="21"/>
          <w:lang w:val="en-US" w:eastAsia="zh-CN"/>
        </w:rPr>
        <w:t>GH/T 1070</w:t>
      </w:r>
      <w:r>
        <w:rPr>
          <w:rFonts w:hint="eastAsia" w:hAnsi="Times New Roman" w:cs="宋体"/>
          <w:sz w:val="21"/>
          <w:lang w:val="en-US" w:eastAsia="zh-CN"/>
        </w:rPr>
        <w:t>、</w:t>
      </w:r>
      <w:r>
        <w:t>GB 43284</w:t>
      </w:r>
      <w:r>
        <w:rPr>
          <w:rFonts w:hint="eastAsia"/>
          <w:lang w:eastAsia="zh-CN"/>
        </w:rPr>
        <w:t>、</w:t>
      </w:r>
      <w:r>
        <w:rPr>
          <w:rFonts w:hint="eastAsia"/>
          <w:lang w:val="en-US" w:eastAsia="zh-CN"/>
        </w:rPr>
        <w:t>GB 7718的</w:t>
      </w:r>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p>
    <w:p w14:paraId="021556C4">
      <w:pPr>
        <w:pStyle w:val="78"/>
        <w:bidi w:val="0"/>
        <w:spacing w:before="0" w:beforeLines="0" w:after="0" w:afterLines="0"/>
        <w:rPr>
          <w:rFonts w:hint="eastAsia"/>
        </w:rPr>
      </w:pPr>
      <w:r>
        <w:rPr>
          <w:rFonts w:hint="eastAsia"/>
        </w:rPr>
        <w:t>包装材料应分别符合</w:t>
      </w:r>
      <w:r>
        <w:t>GB 4806.1</w:t>
      </w:r>
      <w:r>
        <w:rPr>
          <w:rFonts w:hint="eastAsia"/>
        </w:rPr>
        <w:t>、GB 4806.7、</w:t>
      </w:r>
      <w:r>
        <w:t>GB 4806.8</w:t>
      </w:r>
      <w:r>
        <w:rPr>
          <w:rFonts w:hint="eastAsia"/>
        </w:rPr>
        <w:t>的规定。</w:t>
      </w:r>
    </w:p>
    <w:p w14:paraId="5315460C">
      <w:pPr>
        <w:pStyle w:val="78"/>
        <w:bidi w:val="0"/>
        <w:spacing w:before="0" w:beforeLines="0" w:after="0" w:afterLines="0"/>
        <w:rPr>
          <w:rFonts w:hint="eastAsia"/>
        </w:rPr>
      </w:pPr>
      <w:r>
        <w:rPr>
          <w:rFonts w:hint="eastAsia"/>
        </w:rPr>
        <w:t>塑料包装容器应符合GB/T 5737的要求。</w:t>
      </w:r>
    </w:p>
    <w:p w14:paraId="43EBBF2D">
      <w:pPr>
        <w:pStyle w:val="72"/>
        <w:bidi w:val="0"/>
        <w:rPr>
          <w:rFonts w:hint="default"/>
          <w:lang w:val="en-US" w:eastAsia="zh-CN"/>
        </w:rPr>
      </w:pPr>
      <w:r>
        <w:rPr>
          <w:rFonts w:hint="default"/>
          <w:lang w:val="en-US" w:eastAsia="zh-CN"/>
        </w:rPr>
        <w:t>运输</w:t>
      </w:r>
    </w:p>
    <w:p w14:paraId="1578AC57">
      <w:pPr>
        <w:pStyle w:val="24"/>
        <w:ind w:firstLine="960"/>
        <w:rPr>
          <w:rFonts w:hint="default"/>
        </w:rPr>
      </w:pPr>
      <w:r>
        <w:rPr>
          <w:rFonts w:hint="default"/>
          <w:lang w:val="en-US" w:eastAsia="zh-CN"/>
        </w:rPr>
        <w:t>运输工具应清洁、干燥、无异味、无污染；运输时应防雨、防潮、防暴晒，严禁与有毒、有异味等损害茶品质的货物混装运输，并避免剧烈撞击、重压。</w:t>
      </w:r>
      <w:r>
        <w:rPr>
          <w:rFonts w:hint="eastAsia"/>
        </w:rPr>
        <w:t>绿色食品应符合NY/T 1056的要求</w:t>
      </w:r>
      <w:r>
        <w:rPr>
          <w:rFonts w:hint="eastAsia"/>
          <w:lang w:eastAsia="zh-CN"/>
        </w:rPr>
        <w:t>，</w:t>
      </w:r>
      <w:r>
        <w:rPr>
          <w:rFonts w:hint="eastAsia"/>
        </w:rPr>
        <w:t>有机产品应符合GB/T 19630的要求。</w:t>
      </w:r>
    </w:p>
    <w:p w14:paraId="782F2677">
      <w:pPr>
        <w:pStyle w:val="72"/>
        <w:bidi w:val="0"/>
        <w:rPr>
          <w:rFonts w:hint="default"/>
          <w:lang w:val="en-US" w:eastAsia="zh-CN"/>
        </w:rPr>
      </w:pPr>
      <w:r>
        <w:rPr>
          <w:rFonts w:hint="default"/>
          <w:lang w:val="en-US" w:eastAsia="zh-CN"/>
        </w:rPr>
        <w:t>贮存</w:t>
      </w:r>
    </w:p>
    <w:p w14:paraId="632176B3">
      <w:pPr>
        <w:pStyle w:val="78"/>
        <w:numPr>
          <w:ilvl w:val="0"/>
          <w:numId w:val="0"/>
        </w:numPr>
        <w:spacing w:before="0" w:beforeLines="0" w:after="0" w:afterLines="0"/>
        <w:ind w:firstLine="420" w:firstLineChars="200"/>
        <w:rPr>
          <w:rFonts w:hint="default"/>
          <w:lang w:val="en-US" w:eastAsia="zh-CN"/>
        </w:rPr>
      </w:pPr>
      <w:r>
        <w:rPr>
          <w:rFonts w:hint="eastAsia"/>
          <w:highlight w:val="none"/>
          <w:lang w:val="en-US" w:eastAsia="zh-CN"/>
        </w:rPr>
        <w:t>产品贮存应符合 GB/T 30375 的规定。</w:t>
      </w:r>
      <w:r>
        <w:rPr>
          <w:rFonts w:hint="default"/>
          <w:lang w:val="en-US" w:eastAsia="zh-CN"/>
        </w:rPr>
        <w:t>产品应贮存在清洁、干燥、阴凉、通风、无异味的专用仓库中，避免在阳光直射和高温高湿处存放；严禁与有毒、有异味（气）、易污染的物品混放。</w:t>
      </w:r>
    </w:p>
    <w:p w14:paraId="2E6FBAC3">
      <w:pPr>
        <w:pStyle w:val="24"/>
        <w:ind w:firstLine="960"/>
        <w:rPr>
          <w:rFonts w:hint="default"/>
        </w:rPr>
      </w:pPr>
    </w:p>
    <w:p w14:paraId="46CF59AD">
      <w:pPr>
        <w:pStyle w:val="71"/>
        <w:bidi w:val="0"/>
        <w:rPr>
          <w:rFonts w:hint="default"/>
        </w:rPr>
      </w:pPr>
      <w:bookmarkStart w:id="27" w:name="_Toc27209"/>
      <w:r>
        <w:rPr>
          <w:rFonts w:hint="default"/>
        </w:rPr>
        <w:t>质量管理</w:t>
      </w:r>
      <w:bookmarkEnd w:id="27"/>
    </w:p>
    <w:p w14:paraId="35AB5F87">
      <w:pPr>
        <w:pStyle w:val="72"/>
        <w:bidi w:val="0"/>
        <w:rPr>
          <w:rFonts w:hint="eastAsia"/>
          <w:lang w:val="en-US" w:eastAsia="zh-CN"/>
        </w:rPr>
      </w:pPr>
      <w:r>
        <w:rPr>
          <w:rFonts w:hint="eastAsia"/>
          <w:lang w:val="en-US" w:eastAsia="zh-CN"/>
        </w:rPr>
        <w:t>过程监控</w:t>
      </w:r>
    </w:p>
    <w:p w14:paraId="7F098DD9">
      <w:pPr>
        <w:rPr>
          <w:rFonts w:hint="eastAsia"/>
          <w:lang w:val="en-US" w:eastAsia="zh-CN"/>
        </w:rPr>
      </w:pPr>
      <w:r>
        <w:rPr>
          <w:rFonts w:hint="eastAsia"/>
          <w:lang w:val="en-US" w:eastAsia="zh-CN"/>
        </w:rPr>
        <w:t>对加工过程中的关键控制点进行监控，如萎凋时间、温度等，并做好记录。</w:t>
      </w:r>
    </w:p>
    <w:p w14:paraId="53AFD7EC">
      <w:pPr>
        <w:pStyle w:val="72"/>
        <w:bidi w:val="0"/>
        <w:rPr>
          <w:rFonts w:hint="eastAsia"/>
          <w:lang w:val="en-US" w:eastAsia="zh-CN"/>
        </w:rPr>
      </w:pPr>
      <w:r>
        <w:rPr>
          <w:rFonts w:hint="eastAsia"/>
          <w:lang w:val="en-US" w:eastAsia="zh-CN"/>
        </w:rPr>
        <w:t>成品检验</w:t>
      </w:r>
    </w:p>
    <w:p w14:paraId="00A43857">
      <w:pPr>
        <w:ind w:firstLine="420" w:firstLineChars="200"/>
        <w:rPr>
          <w:rFonts w:hint="eastAsia"/>
          <w:lang w:val="en-US" w:eastAsia="zh-CN"/>
        </w:rPr>
      </w:pPr>
      <w:r>
        <w:rPr>
          <w:rFonts w:hint="eastAsia"/>
          <w:lang w:val="en-US" w:eastAsia="zh-CN"/>
        </w:rPr>
        <w:t>对成品茶进行检验，包括感官指标、理化指标、安全指标等，检验合格后方可出厂。</w:t>
      </w:r>
    </w:p>
    <w:p w14:paraId="30BBB1DB">
      <w:pPr>
        <w:pStyle w:val="72"/>
        <w:bidi w:val="0"/>
        <w:rPr>
          <w:rFonts w:hint="eastAsia"/>
          <w:lang w:val="en-US" w:eastAsia="zh-CN"/>
        </w:rPr>
      </w:pPr>
      <w:r>
        <w:rPr>
          <w:rFonts w:hint="eastAsia"/>
          <w:lang w:val="en-US" w:eastAsia="zh-CN"/>
        </w:rPr>
        <w:t>质量追溯</w:t>
      </w:r>
    </w:p>
    <w:p w14:paraId="2D2D7185">
      <w:pPr>
        <w:ind w:firstLine="420" w:firstLineChars="200"/>
        <w:rPr>
          <w:rFonts w:hint="eastAsia"/>
          <w:lang w:val="en-US" w:eastAsia="zh-CN"/>
        </w:rPr>
      </w:pPr>
      <w:bookmarkStart w:id="31" w:name="_GoBack"/>
      <w:bookmarkEnd w:id="31"/>
      <w:r>
        <w:rPr>
          <w:rFonts w:hint="eastAsia"/>
          <w:lang w:val="en-US" w:eastAsia="zh-CN"/>
        </w:rPr>
        <w:t>建立完善的质量追溯体系，对产品从原料采购到加工、贮存、运输、销售等各个环节进行记录，确保产品质量可追溯。</w:t>
      </w:r>
    </w:p>
    <w:p w14:paraId="734902E9">
      <w:pPr>
        <w:rPr>
          <w:rFonts w:hint="eastAsia"/>
          <w:lang w:val="en-US" w:eastAsia="zh-CN"/>
        </w:rPr>
      </w:pPr>
      <w:r>
        <w:rPr>
          <w:rFonts w:hint="eastAsia"/>
          <w:lang w:val="en-US" w:eastAsia="zh-CN"/>
        </w:rPr>
        <w:br w:type="page"/>
      </w:r>
      <w:bookmarkStart w:id="28" w:name="BKFL"/>
    </w:p>
    <w:p w14:paraId="132B296A">
      <w:pPr>
        <w:pStyle w:val="98"/>
        <w:bidi w:val="0"/>
        <w:rPr>
          <w:rFonts w:hint="eastAsia"/>
          <w:lang w:val="en-US" w:eastAsia="zh-CN"/>
        </w:rPr>
      </w:pPr>
    </w:p>
    <w:p w14:paraId="3F2EC233">
      <w:pPr>
        <w:pStyle w:val="100"/>
        <w:bidi w:val="0"/>
        <w:rPr>
          <w:rFonts w:hint="eastAsia"/>
          <w:lang w:val="en-US" w:eastAsia="zh-CN"/>
        </w:rPr>
      </w:pPr>
    </w:p>
    <w:p w14:paraId="7CEDAD29">
      <w:pPr>
        <w:pStyle w:val="87"/>
        <w:bidi w:val="0"/>
        <w:rPr>
          <w:rFonts w:hint="eastAsia"/>
          <w:lang w:val="en-US" w:eastAsia="zh-CN"/>
        </w:rPr>
      </w:pPr>
      <w:bookmarkStart w:id="29" w:name="_Toc28217"/>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井冈山白茶生产区域范围图</w:t>
      </w:r>
      <w:bookmarkEnd w:id="29"/>
    </w:p>
    <w:p w14:paraId="514A9674">
      <w:pPr>
        <w:pStyle w:val="24"/>
        <w:rPr>
          <w:rFonts w:hint="eastAsia"/>
          <w:lang w:val="en-US" w:eastAsia="zh-CN"/>
        </w:rPr>
      </w:pPr>
    </w:p>
    <w:p w14:paraId="2A469890">
      <w:pPr>
        <w:pStyle w:val="24"/>
        <w:rPr>
          <w:rFonts w:hint="default"/>
          <w:lang w:val="en-US" w:eastAsia="zh-CN"/>
        </w:rPr>
      </w:pPr>
      <w:r>
        <w:rPr>
          <w:rFonts w:hint="eastAsia"/>
          <w:lang w:val="en-US" w:eastAsia="zh-CN"/>
        </w:rPr>
        <w:t>井冈山白茶生产区域范围见图A.1。</w:t>
      </w:r>
    </w:p>
    <w:bookmarkEnd w:id="28"/>
    <w:p w14:paraId="42A98B50">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6EBB173">
      <w:pPr>
        <w:pStyle w:val="113"/>
        <w:numPr>
          <w:ilvl w:val="0"/>
          <w:numId w:val="0"/>
        </w:numPr>
        <w:bidi w:val="0"/>
        <w:ind w:leftChars="0"/>
        <w:jc w:val="center"/>
        <w:rPr>
          <w:rFonts w:hint="eastAsia"/>
          <w:lang w:val="en-US" w:eastAsia="zh-CN"/>
        </w:rPr>
      </w:pPr>
      <w:r>
        <w:rPr>
          <w:rFonts w:hint="eastAsia"/>
          <w:lang w:val="en-US" w:eastAsia="zh-CN"/>
        </w:rPr>
        <w:t>图A.1 井冈山白茶生产区域范围图</w:t>
      </w:r>
    </w:p>
    <w:p w14:paraId="1A54DF25">
      <w:pPr>
        <w:pStyle w:val="24"/>
        <w:jc w:val="center"/>
      </w:pPr>
    </w:p>
    <w:p w14:paraId="2C25E6C9">
      <w:pPr>
        <w:pStyle w:val="24"/>
        <w:jc w:val="center"/>
      </w:pPr>
    </w:p>
    <w:p w14:paraId="53F2D277">
      <w:pPr>
        <w:pStyle w:val="24"/>
        <w:jc w:val="center"/>
      </w:pPr>
    </w:p>
    <w:p w14:paraId="026DAB6A">
      <w:pPr>
        <w:pStyle w:val="111"/>
        <w:bidi w:val="0"/>
        <w:rPr>
          <w:rFonts w:hint="default"/>
          <w:lang w:val="en-US" w:eastAsia="zh-CN"/>
        </w:rPr>
      </w:pPr>
      <w:bookmarkStart w:id="30"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30"/>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0CC3">
    <w:pPr>
      <w:pStyle w:val="30"/>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7E1F">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D7E1F">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32E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D611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1D611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17DE">
    <w:pPr>
      <w:pStyle w:val="30"/>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5F37C">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55F37C">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AB9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0A4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90A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70E4">
    <w:pPr>
      <w:pStyle w:val="31"/>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14:paraId="0FB1706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1C25">
    <w:pPr>
      <w:pStyle w:val="31"/>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DE9DD"/>
    <w:multiLevelType w:val="multilevel"/>
    <w:tmpl w:val="80BDE9DD"/>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8AD8CCBD"/>
    <w:multiLevelType w:val="multilevel"/>
    <w:tmpl w:val="8AD8CCB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CFD3C63"/>
    <w:multiLevelType w:val="multilevel"/>
    <w:tmpl w:val="9CFD3C63"/>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779031E"/>
    <w:multiLevelType w:val="multilevel"/>
    <w:tmpl w:val="A779031E"/>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B4FF8C60"/>
    <w:multiLevelType w:val="multilevel"/>
    <w:tmpl w:val="B4FF8C60"/>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D1ED1370"/>
    <w:multiLevelType w:val="multilevel"/>
    <w:tmpl w:val="D1ED1370"/>
    <w:lvl w:ilvl="0" w:tentative="0">
      <w:start w:val="1"/>
      <w:numFmt w:val="none"/>
      <w:pStyle w:val="56"/>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DF0636A3"/>
    <w:multiLevelType w:val="multilevel"/>
    <w:tmpl w:val="DF0636A3"/>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F74E344"/>
    <w:multiLevelType w:val="multilevel"/>
    <w:tmpl w:val="EF74E344"/>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607793A"/>
    <w:multiLevelType w:val="multilevel"/>
    <w:tmpl w:val="1607793A"/>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9">
    <w:nsid w:val="172E2E88"/>
    <w:multiLevelType w:val="multilevel"/>
    <w:tmpl w:val="172E2E88"/>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1B84B8D2"/>
    <w:multiLevelType w:val="multilevel"/>
    <w:tmpl w:val="1B84B8D2"/>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24C62025"/>
    <w:multiLevelType w:val="multilevel"/>
    <w:tmpl w:val="24C62025"/>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311E21E1"/>
    <w:multiLevelType w:val="multilevel"/>
    <w:tmpl w:val="311E21E1"/>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B2BAEC8"/>
    <w:multiLevelType w:val="multilevel"/>
    <w:tmpl w:val="3B2BAEC8"/>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68512EF"/>
    <w:multiLevelType w:val="multilevel"/>
    <w:tmpl w:val="668512EF"/>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8B8DC76"/>
    <w:multiLevelType w:val="multilevel"/>
    <w:tmpl w:val="68B8DC76"/>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5CA2767"/>
    <w:multiLevelType w:val="multilevel"/>
    <w:tmpl w:val="75CA2767"/>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8"/>
  </w:num>
  <w:num w:numId="3">
    <w:abstractNumId w:val="15"/>
  </w:num>
  <w:num w:numId="4">
    <w:abstractNumId w:val="12"/>
  </w:num>
  <w:num w:numId="5">
    <w:abstractNumId w:val="5"/>
  </w:num>
  <w:num w:numId="6">
    <w:abstractNumId w:val="10"/>
  </w:num>
  <w:num w:numId="7">
    <w:abstractNumId w:val="16"/>
  </w:num>
  <w:num w:numId="8">
    <w:abstractNumId w:val="18"/>
  </w:num>
  <w:num w:numId="9">
    <w:abstractNumId w:val="3"/>
  </w:num>
  <w:num w:numId="10">
    <w:abstractNumId w:val="13"/>
  </w:num>
  <w:num w:numId="11">
    <w:abstractNumId w:val="4"/>
  </w:num>
  <w:num w:numId="12">
    <w:abstractNumId w:val="0"/>
  </w:num>
  <w:num w:numId="13">
    <w:abstractNumId w:val="2"/>
  </w:num>
  <w:num w:numId="14">
    <w:abstractNumId w:val="6"/>
  </w:num>
  <w:num w:numId="15">
    <w:abstractNumId w:val="14"/>
  </w:num>
  <w:num w:numId="16">
    <w:abstractNumId w:val="7"/>
  </w:num>
  <w:num w:numId="17">
    <w:abstractNumId w:val="9"/>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zg3Mzk1MGYzZjk4OThiYzUzOTllNjYyNGFkN2QifQ=="/>
  </w:docVars>
  <w:rsids>
    <w:rsidRoot w:val="22A65372"/>
    <w:rsid w:val="00D56753"/>
    <w:rsid w:val="01F66F31"/>
    <w:rsid w:val="02C81BA2"/>
    <w:rsid w:val="02EA1F21"/>
    <w:rsid w:val="03305FFE"/>
    <w:rsid w:val="048E4B7A"/>
    <w:rsid w:val="04FD3B5A"/>
    <w:rsid w:val="071E17DC"/>
    <w:rsid w:val="07231362"/>
    <w:rsid w:val="072964BD"/>
    <w:rsid w:val="0A884A60"/>
    <w:rsid w:val="0B8B6BB0"/>
    <w:rsid w:val="0FE32D76"/>
    <w:rsid w:val="104E6C88"/>
    <w:rsid w:val="12395B1B"/>
    <w:rsid w:val="126F2404"/>
    <w:rsid w:val="13456138"/>
    <w:rsid w:val="135E24F9"/>
    <w:rsid w:val="14C05AAC"/>
    <w:rsid w:val="15BD5E17"/>
    <w:rsid w:val="15EC72D4"/>
    <w:rsid w:val="16B512D7"/>
    <w:rsid w:val="178A6520"/>
    <w:rsid w:val="19570989"/>
    <w:rsid w:val="1A1C6A66"/>
    <w:rsid w:val="1A74451A"/>
    <w:rsid w:val="1AE03A10"/>
    <w:rsid w:val="1B4950A4"/>
    <w:rsid w:val="1B4B7903"/>
    <w:rsid w:val="1B5C3160"/>
    <w:rsid w:val="1BD45C69"/>
    <w:rsid w:val="1D57438E"/>
    <w:rsid w:val="1F8F3F65"/>
    <w:rsid w:val="1FDE5942"/>
    <w:rsid w:val="2032134B"/>
    <w:rsid w:val="20AB2536"/>
    <w:rsid w:val="21AF402D"/>
    <w:rsid w:val="22A65372"/>
    <w:rsid w:val="23027962"/>
    <w:rsid w:val="23C94DA5"/>
    <w:rsid w:val="2432254F"/>
    <w:rsid w:val="25A03D3B"/>
    <w:rsid w:val="264906B3"/>
    <w:rsid w:val="27635A18"/>
    <w:rsid w:val="283D3F3C"/>
    <w:rsid w:val="29233D8C"/>
    <w:rsid w:val="293F1394"/>
    <w:rsid w:val="29464A42"/>
    <w:rsid w:val="2CB17636"/>
    <w:rsid w:val="320631E0"/>
    <w:rsid w:val="32621481"/>
    <w:rsid w:val="33212825"/>
    <w:rsid w:val="334E5558"/>
    <w:rsid w:val="33C8725F"/>
    <w:rsid w:val="34637DC3"/>
    <w:rsid w:val="3510196C"/>
    <w:rsid w:val="353E23A2"/>
    <w:rsid w:val="357E174A"/>
    <w:rsid w:val="3681294D"/>
    <w:rsid w:val="36923812"/>
    <w:rsid w:val="36DA7652"/>
    <w:rsid w:val="38096F9A"/>
    <w:rsid w:val="38A5438E"/>
    <w:rsid w:val="38DB11B5"/>
    <w:rsid w:val="38F0287E"/>
    <w:rsid w:val="391B5FAD"/>
    <w:rsid w:val="3C2105FF"/>
    <w:rsid w:val="3C925059"/>
    <w:rsid w:val="3E301586"/>
    <w:rsid w:val="3F6B4657"/>
    <w:rsid w:val="40267F92"/>
    <w:rsid w:val="4067683A"/>
    <w:rsid w:val="409B6018"/>
    <w:rsid w:val="41367B0D"/>
    <w:rsid w:val="422406F0"/>
    <w:rsid w:val="424F74DF"/>
    <w:rsid w:val="44B14645"/>
    <w:rsid w:val="44E85E5F"/>
    <w:rsid w:val="46D80988"/>
    <w:rsid w:val="46FA335C"/>
    <w:rsid w:val="48454B9C"/>
    <w:rsid w:val="4AA53F92"/>
    <w:rsid w:val="4C445F49"/>
    <w:rsid w:val="4D1879C1"/>
    <w:rsid w:val="4D9D2C0C"/>
    <w:rsid w:val="4EBE7F2F"/>
    <w:rsid w:val="50B145A5"/>
    <w:rsid w:val="51811129"/>
    <w:rsid w:val="53D936D9"/>
    <w:rsid w:val="545C7B61"/>
    <w:rsid w:val="569254F2"/>
    <w:rsid w:val="5A2D7CD1"/>
    <w:rsid w:val="5BE41C93"/>
    <w:rsid w:val="5D050F60"/>
    <w:rsid w:val="5E167662"/>
    <w:rsid w:val="5E2C229D"/>
    <w:rsid w:val="5EC91604"/>
    <w:rsid w:val="5FA153D1"/>
    <w:rsid w:val="60535440"/>
    <w:rsid w:val="6098585B"/>
    <w:rsid w:val="60C62FD2"/>
    <w:rsid w:val="665E1984"/>
    <w:rsid w:val="66ED765A"/>
    <w:rsid w:val="69C05D8A"/>
    <w:rsid w:val="6B40524A"/>
    <w:rsid w:val="6D327D8A"/>
    <w:rsid w:val="6DCD0D4F"/>
    <w:rsid w:val="721A1187"/>
    <w:rsid w:val="72B602C2"/>
    <w:rsid w:val="74546F93"/>
    <w:rsid w:val="778020AA"/>
    <w:rsid w:val="7833512C"/>
    <w:rsid w:val="7A444F15"/>
    <w:rsid w:val="7AC1097F"/>
    <w:rsid w:val="7D6514FE"/>
    <w:rsid w:val="7E284A8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suppressAutoHyphens w:val="0"/>
      <w:ind w:firstLine="363"/>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注："/>
    <w:next w:val="2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25B5781D">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09011B7C">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0BDF6D9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2156</Words>
  <Characters>2481</Characters>
  <Lines>0</Lines>
  <Paragraphs>0</Paragraphs>
  <TotalTime>6</TotalTime>
  <ScaleCrop>false</ScaleCrop>
  <LinksUpToDate>false</LinksUpToDate>
  <CharactersWithSpaces>2638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l</cp:lastModifiedBy>
  <dcterms:modified xsi:type="dcterms:W3CDTF">2025-04-18T07:18:12Z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6F9C1558C851400CA6D8C4871979E171_13</vt:lpwstr>
  </property>
  <property fmtid="{D5CDD505-2E9C-101B-9397-08002B2CF9AE}" pid="4" name="KSOTemplateDocerSaveRecord">
    <vt:lpwstr>eyJoZGlkIjoiODhkNWY1NmM2YzE4MjliNTY1ZTgzZDM3ZmU5ODdjZDIiLCJ1c2VySWQiOiI2MjI4MjQzNzQifQ==</vt:lpwstr>
  </property>
</Properties>
</file>