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A04CBD">
      <w:pPr>
        <w:pStyle w:val="29"/>
        <w:bidi w:val="0"/>
        <w:rPr>
          <w:rFonts w:hint="eastAsia"/>
          <w:lang w:val="en-US" w:eastAsia="zh-CN"/>
        </w:rPr>
      </w:pPr>
      <w:bookmarkStart w:id="0" w:name="TMark1"/>
      <w:r>
        <w:rPr>
          <w:rFonts w:hint="eastAsia" w:ascii="黑体" w:hAnsi="Times New Roman" w:eastAsia="黑体" w:cs="Times New Roman"/>
          <w:sz w:val="48"/>
          <w:lang w:val="en-US" w:eastAsia="zh-CN"/>
        </w:rPr>
        <w:fldChar w:fldCharType="begin">
          <w:ffData>
            <w:name w:val="TMark1"/>
            <w:enabled/>
            <w:calcOnExit w:val="0"/>
            <w:textInput>
              <w:default w:val="吉安市绿色农产品促进会"/>
            </w:textInput>
          </w:ffData>
        </w:fldChar>
      </w:r>
      <w:r>
        <w:rPr>
          <w:rFonts w:hint="eastAsia" w:ascii="黑体" w:hAnsi="Times New Roman" w:eastAsia="黑体" w:cs="Times New Roman"/>
          <w:sz w:val="48"/>
          <w:lang w:val="en-US" w:eastAsia="zh-CN"/>
        </w:rPr>
        <w:instrText xml:space="preserve">FORMTEXT</w:instrText>
      </w:r>
      <w:r>
        <w:rPr>
          <w:rFonts w:hint="eastAsia" w:ascii="黑体" w:hAnsi="Times New Roman" w:eastAsia="黑体" w:cs="Times New Roman"/>
          <w:sz w:val="48"/>
          <w:lang w:val="en-US" w:eastAsia="zh-CN"/>
        </w:rPr>
        <w:fldChar w:fldCharType="separate"/>
      </w:r>
      <w:r>
        <w:rPr>
          <w:rFonts w:hint="eastAsia" w:ascii="黑体" w:hAnsi="Times New Roman" w:eastAsia="黑体" w:cs="Times New Roman"/>
          <w:sz w:val="48"/>
          <w:lang w:val="en-US" w:eastAsia="zh-CN"/>
        </w:rPr>
        <w:t>吉安市绿色农产品促进会</w:t>
      </w:r>
      <w:r>
        <w:rPr>
          <w:rFonts w:hint="eastAsia" w:ascii="黑体" w:hAnsi="Times New Roman" w:eastAsia="黑体" w:cs="Times New Roman"/>
          <w:sz w:val="48"/>
          <w:lang w:val="en-US" w:eastAsia="zh-CN"/>
        </w:rPr>
        <w:fldChar w:fldCharType="end"/>
      </w:r>
      <w:bookmarkEnd w:id="0"/>
      <w:r>
        <w:rPr>
          <w:rFonts w:hint="eastAsia"/>
          <w:lang w:val="en-US" w:eastAsia="zh-CN"/>
        </w:rPr>
        <w:t>团体标准</w:t>
      </w:r>
    </w:p>
    <w:p w14:paraId="58167014">
      <w:pPr>
        <w:pStyle w:val="40"/>
        <w:bidi w:val="0"/>
        <w:rPr>
          <w:rFonts w:hint="eastAsia"/>
          <w:lang w:val="en-US" w:eastAsia="zh-CN"/>
        </w:rPr>
      </w:pPr>
      <w:bookmarkStart w:id="1" w:name="StandNo"/>
      <w:r>
        <w:rPr>
          <w:rFonts w:hint="eastAsia" w:ascii="黑体" w:hAnsi="Times New Roman" w:eastAsia="黑体" w:cs="Times New Roman"/>
          <w:sz w:val="28"/>
          <w:lang w:val="en-US" w:eastAsia="zh-CN"/>
        </w:rPr>
        <w:fldChar w:fldCharType="begin">
          <w:ffData>
            <w:name w:val="StandNo"/>
            <w:enabled/>
            <w:calcOnExit w:val="0"/>
            <w:textInput>
              <w:default w:val="T/JALNCP X-2025"/>
            </w:textInput>
          </w:ffData>
        </w:fldChar>
      </w:r>
      <w:r>
        <w:rPr>
          <w:rFonts w:hint="eastAsia" w:ascii="黑体" w:hAnsi="Times New Roman" w:eastAsia="黑体" w:cs="Times New Roman"/>
          <w:sz w:val="28"/>
          <w:lang w:val="en-US" w:eastAsia="zh-CN"/>
        </w:rPr>
        <w:instrText xml:space="preserve">FORMTEXT</w:instrText>
      </w:r>
      <w:r>
        <w:rPr>
          <w:rFonts w:hint="eastAsia" w:ascii="黑体" w:hAnsi="Times New Roman" w:eastAsia="黑体" w:cs="Times New Roman"/>
          <w:sz w:val="28"/>
          <w:lang w:val="en-US" w:eastAsia="zh-CN"/>
        </w:rPr>
        <w:fldChar w:fldCharType="separate"/>
      </w:r>
      <w:r>
        <w:rPr>
          <w:rFonts w:hint="eastAsia" w:ascii="黑体" w:hAnsi="Times New Roman" w:eastAsia="黑体" w:cs="Times New Roman"/>
          <w:sz w:val="28"/>
          <w:lang w:val="en-US" w:eastAsia="zh-CN"/>
        </w:rPr>
        <w:t>T/JALNCP X-2025</w:t>
      </w:r>
      <w:r>
        <w:rPr>
          <w:rFonts w:hint="eastAsia" w:ascii="黑体" w:hAnsi="Times New Roman" w:eastAsia="黑体" w:cs="Times New Roman"/>
          <w:sz w:val="28"/>
          <w:lang w:val="en-US" w:eastAsia="zh-CN"/>
        </w:rPr>
        <w:fldChar w:fldCharType="end"/>
      </w:r>
      <w:bookmarkEnd w:id="1"/>
    </w:p>
    <w:p w14:paraId="12278792">
      <w:pPr>
        <w:pStyle w:val="39"/>
        <w:bidi w:val="0"/>
        <w:rPr>
          <w:rFonts w:hint="eastAsia"/>
          <w:lang w:val="en-US" w:eastAsia="zh-CN"/>
        </w:rPr>
      </w:pPr>
      <w:r>
        <w:rPr>
          <w:rFonts w:hint="eastAsia"/>
          <w:lang w:val="en-US" w:eastAsia="zh-CN"/>
        </w:rPr>
        <w:fldChar w:fldCharType="begin">
          <w:ffData>
            <w:name w:val="ReplaceT"/>
            <w:enabled/>
            <w:calcOnExit w:val="0"/>
            <w:textInput/>
          </w:ffData>
        </w:fldChar>
      </w:r>
      <w:bookmarkStart w:id="2" w:name="ReplaceT"/>
      <w:r>
        <w:rPr>
          <w:rFonts w:hint="eastAsia"/>
          <w:lang w:val="en-US" w:eastAsia="zh-CN"/>
        </w:rPr>
        <w:instrText xml:space="preserve">FORMTEXT</w:instrText>
      </w:r>
      <w:r>
        <w:rPr>
          <w:rFonts w:hint="eastAsia"/>
          <w:lang w:val="en-US" w:eastAsia="zh-CN"/>
        </w:rPr>
        <w:fldChar w:fldCharType="separate"/>
      </w:r>
      <w:r>
        <w:rPr>
          <w:rFonts w:hint="default"/>
          <w:lang w:val="en-US" w:eastAsia="zh-CN"/>
        </w:rPr>
        <w:t>     </w:t>
      </w:r>
      <w:r>
        <w:rPr>
          <w:rFonts w:hint="eastAsia"/>
          <w:lang w:val="en-US" w:eastAsia="zh-CN"/>
        </w:rPr>
        <w:fldChar w:fldCharType="end"/>
      </w:r>
      <w:bookmarkEnd w:id="2"/>
    </w:p>
    <w:tbl>
      <w:tblPr>
        <w:tblStyle w:val="20"/>
        <w:tblW w:w="974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9741"/>
      </w:tblGrid>
      <w:tr w14:paraId="45EF19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9741" w:type="dxa"/>
            <w:tcBorders>
              <w:top w:val="single" w:color="auto" w:sz="8" w:space="0"/>
            </w:tcBorders>
          </w:tcPr>
          <w:p w14:paraId="0198C9EF">
            <w:pPr>
              <w:pStyle w:val="34"/>
              <w:widowControl w:val="0"/>
              <w:bidi w:val="0"/>
              <w:jc w:val="both"/>
              <w:rPr>
                <w:rFonts w:hint="eastAsia"/>
                <w:sz w:val="10"/>
                <w:vertAlign w:val="baseline"/>
                <w:lang w:val="en-US" w:eastAsia="zh-CN"/>
              </w:rPr>
            </w:pPr>
          </w:p>
        </w:tc>
      </w:tr>
    </w:tbl>
    <w:p w14:paraId="21878ECD">
      <w:pPr>
        <w:pStyle w:val="41"/>
        <w:bidi w:val="0"/>
        <w:rPr>
          <w:rFonts w:hint="eastAsia"/>
          <w:lang w:val="en-US" w:eastAsia="zh-CN"/>
        </w:rPr>
      </w:pPr>
      <w:bookmarkStart w:id="3" w:name="StdName"/>
      <w:r>
        <w:rPr>
          <w:rFonts w:hint="eastAsia" w:ascii="黑体" w:hAnsi="Times New Roman" w:eastAsia="黑体" w:cs="Times New Roman"/>
          <w:sz w:val="52"/>
          <w:lang w:val="en-US" w:eastAsia="zh-CN"/>
        </w:rPr>
        <w:fldChar w:fldCharType="begin">
          <w:ffData>
            <w:name w:val="StdName"/>
            <w:enabled/>
            <w:calcOnExit w:val="0"/>
            <w:textInput>
              <w:default w:val="井冈山绿茶加工技术规程"/>
            </w:textInput>
          </w:ffData>
        </w:fldChar>
      </w:r>
      <w:r>
        <w:rPr>
          <w:rFonts w:hint="eastAsia" w:ascii="黑体" w:hAnsi="Times New Roman" w:eastAsia="黑体" w:cs="Times New Roman"/>
          <w:sz w:val="52"/>
          <w:lang w:val="en-US" w:eastAsia="zh-CN"/>
        </w:rPr>
        <w:instrText xml:space="preserve">FORMTEXT</w:instrText>
      </w:r>
      <w:r>
        <w:rPr>
          <w:rFonts w:hint="eastAsia" w:ascii="黑体" w:hAnsi="Times New Roman" w:eastAsia="黑体" w:cs="Times New Roman"/>
          <w:sz w:val="52"/>
          <w:lang w:val="en-US" w:eastAsia="zh-CN"/>
        </w:rPr>
        <w:fldChar w:fldCharType="separate"/>
      </w:r>
      <w:r>
        <w:rPr>
          <w:rFonts w:hint="eastAsia" w:ascii="黑体" w:hAnsi="Times New Roman" w:eastAsia="黑体" w:cs="Times New Roman"/>
          <w:sz w:val="52"/>
          <w:lang w:val="en-US" w:eastAsia="zh-CN"/>
        </w:rPr>
        <w:t>井冈山绿茶加工技术规程</w:t>
      </w:r>
      <w:r>
        <w:rPr>
          <w:rFonts w:hint="eastAsia" w:ascii="黑体" w:hAnsi="Times New Roman" w:eastAsia="黑体" w:cs="Times New Roman"/>
          <w:sz w:val="52"/>
          <w:lang w:val="en-US" w:eastAsia="zh-CN"/>
        </w:rPr>
        <w:fldChar w:fldCharType="end"/>
      </w:r>
      <w:bookmarkEnd w:id="3"/>
    </w:p>
    <w:p w14:paraId="49208873">
      <w:pPr>
        <w:pStyle w:val="42"/>
        <w:bidi w:val="0"/>
        <w:rPr>
          <w:rFonts w:hint="eastAsia"/>
          <w:lang w:val="en-US" w:eastAsia="zh-CN"/>
        </w:rPr>
      </w:pPr>
      <w:bookmarkStart w:id="4" w:name="StdEnglishName"/>
      <w:r>
        <w:rPr>
          <w:rFonts w:hint="eastAsia" w:ascii="Times New Roman" w:hAnsi="Times New Roman" w:eastAsia="黑体" w:cs="Times New Roman"/>
          <w:sz w:val="28"/>
          <w:lang w:val="en-US" w:eastAsia="zh-CN"/>
        </w:rPr>
        <w:fldChar w:fldCharType="begin">
          <w:ffData>
            <w:name w:val="StdEnglishName"/>
            <w:enabled/>
            <w:calcOnExit w:val="0"/>
            <w:textInput>
              <w:default w:val="Technical Regulations for Processing Jinggangshan Green Tea"/>
            </w:textInput>
          </w:ffData>
        </w:fldChar>
      </w:r>
      <w:r>
        <w:rPr>
          <w:rFonts w:hint="eastAsia" w:ascii="Times New Roman" w:hAnsi="Times New Roman" w:eastAsia="黑体" w:cs="Times New Roman"/>
          <w:sz w:val="28"/>
          <w:lang w:val="en-US" w:eastAsia="zh-CN"/>
        </w:rPr>
        <w:instrText xml:space="preserve">FORMTEXT</w:instrText>
      </w:r>
      <w:r>
        <w:rPr>
          <w:rFonts w:hint="eastAsia" w:ascii="Times New Roman" w:hAnsi="Times New Roman" w:eastAsia="黑体" w:cs="Times New Roman"/>
          <w:sz w:val="28"/>
          <w:lang w:val="en-US" w:eastAsia="zh-CN"/>
        </w:rPr>
        <w:fldChar w:fldCharType="separate"/>
      </w:r>
      <w:r>
        <w:rPr>
          <w:rFonts w:hint="eastAsia" w:ascii="Times New Roman" w:hAnsi="Times New Roman" w:eastAsia="黑体" w:cs="Times New Roman"/>
          <w:sz w:val="28"/>
          <w:lang w:val="en-US" w:eastAsia="zh-CN"/>
        </w:rPr>
        <w:t>Technical Regulations for Processing Jinggangshan Green Tea</w:t>
      </w:r>
      <w:r>
        <w:rPr>
          <w:rFonts w:hint="eastAsia" w:ascii="Times New Roman" w:hAnsi="Times New Roman" w:eastAsia="黑体" w:cs="Times New Roman"/>
          <w:sz w:val="28"/>
          <w:lang w:val="en-US" w:eastAsia="zh-CN"/>
        </w:rPr>
        <w:fldChar w:fldCharType="end"/>
      </w:r>
      <w:bookmarkEnd w:id="4"/>
    </w:p>
    <w:p w14:paraId="7F687191">
      <w:pPr>
        <w:pStyle w:val="43"/>
        <w:bidi w:val="0"/>
        <w:rPr>
          <w:rFonts w:hint="eastAsia"/>
          <w:lang w:val="en-US" w:eastAsia="zh-CN"/>
        </w:rPr>
      </w:pPr>
      <w:r>
        <w:rPr>
          <w:rFonts w:hint="eastAsia" w:cs="Times New Roman"/>
          <w:sz w:val="28"/>
          <w:lang w:val="en-US" w:eastAsia="zh-CN"/>
        </w:rPr>
        <w:t xml:space="preserve"> </w:t>
      </w:r>
    </w:p>
    <w:p w14:paraId="77849CB8">
      <w:pPr>
        <w:pStyle w:val="44"/>
        <w:bidi w:val="0"/>
        <w:spacing w:after="0"/>
        <w:rPr>
          <w:rFonts w:hint="eastAsia"/>
          <w:lang w:val="en-US" w:eastAsia="zh-CN"/>
        </w:rPr>
      </w:pPr>
      <w:bookmarkStart w:id="5" w:name="LB"/>
      <w:r>
        <w:rPr>
          <w:rFonts w:hint="eastAsia" w:ascii="黑体" w:hAnsi="黑体" w:eastAsia="黑体" w:cs="黑体"/>
          <w:sz w:val="24"/>
          <w:lang w:val="en-US" w:eastAsia="zh-CN"/>
        </w:rPr>
        <w:fldChar w:fldCharType="begin">
          <w:ffData>
            <w:name w:val="LB"/>
            <w:enabled/>
            <w:calcOnExit w:val="0"/>
            <w:ddList>
              <w:listEntry w:val="     "/>
              <w:listEntry w:val="草案版次选择"/>
              <w:listEntry w:val="（工作组讨论稿）"/>
              <w:listEntry w:val="（征求意见稿）"/>
              <w:listEntry w:val="（送审讨论稿）"/>
              <w:listEntry w:val="（送审稿）"/>
              <w:listEntry w:val="（报批稿）"/>
            </w:ddList>
          </w:ffData>
        </w:fldChar>
      </w:r>
      <w:r>
        <w:rPr>
          <w:rFonts w:hint="eastAsia" w:ascii="黑体" w:hAnsi="黑体" w:eastAsia="黑体" w:cs="黑体"/>
          <w:sz w:val="24"/>
          <w:lang w:val="en-US" w:eastAsia="zh-CN"/>
        </w:rPr>
        <w:instrText xml:space="preserve">FORMDROPDOWN</w:instrText>
      </w:r>
      <w:r>
        <w:rPr>
          <w:rFonts w:hint="eastAsia" w:ascii="黑体" w:hAnsi="黑体" w:eastAsia="黑体" w:cs="黑体"/>
          <w:sz w:val="24"/>
          <w:lang w:val="en-US" w:eastAsia="zh-CN"/>
        </w:rPr>
        <w:fldChar w:fldCharType="separate"/>
      </w:r>
      <w:r>
        <w:rPr>
          <w:rFonts w:hint="eastAsia" w:ascii="黑体" w:hAnsi="黑体" w:eastAsia="黑体" w:cs="黑体"/>
          <w:sz w:val="24"/>
          <w:lang w:val="en-US" w:eastAsia="zh-CN"/>
        </w:rPr>
        <w:fldChar w:fldCharType="end"/>
      </w:r>
      <w:bookmarkEnd w:id="5"/>
    </w:p>
    <w:p w14:paraId="77DD3056">
      <w:pPr>
        <w:pStyle w:val="45"/>
        <w:bidi w:val="0"/>
        <w:spacing w:before="100"/>
        <w:rPr>
          <w:rFonts w:hint="eastAsia"/>
          <w:lang w:val="en-US" w:eastAsia="zh-CN"/>
        </w:rPr>
      </w:pPr>
      <w:r>
        <w:rPr>
          <w:rFonts w:hint="eastAsia"/>
          <w:lang w:val="en-US" w:eastAsia="zh-CN"/>
        </w:rPr>
        <w:fldChar w:fldCharType="begin">
          <w:ffData>
            <w:name w:val="WCRQ"/>
            <w:enabled/>
            <w:calcOnExit w:val="0"/>
            <w:textInput/>
          </w:ffData>
        </w:fldChar>
      </w:r>
      <w:bookmarkStart w:id="6" w:name="WCRQ"/>
      <w:r>
        <w:rPr>
          <w:rFonts w:hint="eastAsia"/>
          <w:lang w:val="en-US" w:eastAsia="zh-CN"/>
        </w:rPr>
        <w:instrText xml:space="preserve">FORMTEXT</w:instrText>
      </w:r>
      <w:r>
        <w:rPr>
          <w:rFonts w:hint="eastAsia"/>
          <w:lang w:val="en-US" w:eastAsia="zh-CN"/>
        </w:rPr>
        <w:fldChar w:fldCharType="separate"/>
      </w:r>
      <w:r>
        <w:rPr>
          <w:rFonts w:hint="default"/>
          <w:lang w:val="en-US" w:eastAsia="zh-CN"/>
        </w:rPr>
        <w:t>     </w:t>
      </w:r>
      <w:r>
        <w:rPr>
          <w:rFonts w:hint="eastAsia"/>
          <w:lang w:val="en-US" w:eastAsia="zh-CN"/>
        </w:rPr>
        <w:fldChar w:fldCharType="end"/>
      </w:r>
      <w:bookmarkEnd w:id="6"/>
    </w:p>
    <w:p w14:paraId="230EBBC7">
      <w:pPr>
        <w:pStyle w:val="46"/>
        <w:bidi w:val="0"/>
        <w:spacing w:before="687" w:beforeLines="220"/>
        <w:rPr>
          <w:rFonts w:hint="eastAsia"/>
          <w:lang w:val="en-US" w:eastAsia="zh-CN"/>
        </w:rPr>
      </w:pPr>
      <w:bookmarkStart w:id="7" w:name="FileSelect"/>
      <w:r>
        <w:rPr>
          <w:rFonts w:hint="eastAsia" w:ascii="Times New Roman" w:hAnsi="Times New Roman" w:eastAsia="黑体" w:cs="Times New Roman"/>
          <w:b/>
          <w:sz w:val="21"/>
          <w:lang w:val="en-US" w:eastAsia="zh-CN"/>
        </w:rPr>
        <w:fldChar w:fldCharType="begin">
          <w:ffData>
            <w:name w:val="FileSelect"/>
            <w:enabled/>
            <w:calcOnExit w:val="0"/>
            <w:ddList>
              <w:listEntry w:val="     "/>
              <w:listEntry w:val="在提交反馈意见时，请将您知道的相关专利连同支持性文件一并附上。"/>
            </w:ddList>
          </w:ffData>
        </w:fldChar>
      </w:r>
      <w:r>
        <w:rPr>
          <w:rFonts w:hint="eastAsia" w:ascii="Times New Roman" w:hAnsi="Times New Roman" w:eastAsia="黑体" w:cs="Times New Roman"/>
          <w:b/>
          <w:sz w:val="21"/>
          <w:lang w:val="en-US" w:eastAsia="zh-CN"/>
        </w:rPr>
        <w:instrText xml:space="preserve">FORMDROPDOWN</w:instrText>
      </w:r>
      <w:r>
        <w:rPr>
          <w:rFonts w:hint="eastAsia" w:ascii="Times New Roman" w:hAnsi="Times New Roman" w:eastAsia="黑体" w:cs="Times New Roman"/>
          <w:b/>
          <w:sz w:val="21"/>
          <w:lang w:val="en-US" w:eastAsia="zh-CN"/>
        </w:rPr>
        <w:fldChar w:fldCharType="separate"/>
      </w:r>
      <w:r>
        <w:rPr>
          <w:rFonts w:hint="eastAsia" w:ascii="Times New Roman" w:hAnsi="Times New Roman" w:eastAsia="黑体" w:cs="Times New Roman"/>
          <w:b/>
          <w:sz w:val="21"/>
          <w:lang w:val="en-US" w:eastAsia="zh-CN"/>
        </w:rPr>
        <w:fldChar w:fldCharType="end"/>
      </w:r>
      <w:bookmarkEnd w:id="7"/>
    </w:p>
    <w:tbl>
      <w:tblPr>
        <w:tblStyle w:val="20"/>
        <w:tblW w:w="974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870"/>
        <w:gridCol w:w="4871"/>
      </w:tblGrid>
      <w:tr w14:paraId="5B4707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3" w:hRule="exact"/>
        </w:trPr>
        <w:tc>
          <w:tcPr>
            <w:tcW w:w="4870" w:type="dxa"/>
            <w:tcBorders>
              <w:bottom w:val="single" w:color="auto" w:sz="8" w:space="0"/>
            </w:tcBorders>
            <w:tcMar>
              <w:left w:w="57" w:type="dxa"/>
              <w:bottom w:w="28" w:type="dxa"/>
            </w:tcMar>
          </w:tcPr>
          <w:p w14:paraId="490BC54A">
            <w:pPr>
              <w:pStyle w:val="38"/>
              <w:widowControl w:val="0"/>
              <w:bidi w:val="0"/>
              <w:jc w:val="both"/>
              <w:rPr>
                <w:rFonts w:hint="eastAsia"/>
                <w:vertAlign w:val="baseline"/>
                <w:lang w:val="en-US" w:eastAsia="zh-CN"/>
              </w:rPr>
            </w:pPr>
            <w:bookmarkStart w:id="8" w:name="FY"/>
            <w:r>
              <w:rPr>
                <w:rFonts w:hint="eastAsia" w:ascii="黑体" w:hAnsi="Times New Roman" w:eastAsia="黑体" w:cs="Times New Roman"/>
                <w:sz w:val="28"/>
                <w:vertAlign w:val="baseline"/>
                <w:lang w:val="en-US" w:eastAsia="zh-CN"/>
              </w:rPr>
              <w:fldChar w:fldCharType="begin">
                <w:ffData>
                  <w:name w:val="FY"/>
                  <w:enabled/>
                  <w:calcOnExit w:val="0"/>
                  <w:textInput>
                    <w:default w:val="2025"/>
                    <w:maxLength w:val="4"/>
                  </w:textInput>
                </w:ffData>
              </w:fldChar>
            </w:r>
            <w:r>
              <w:rPr>
                <w:rFonts w:hint="eastAsia" w:ascii="黑体" w:hAnsi="Times New Roman" w:eastAsia="黑体" w:cs="Times New Roman"/>
                <w:sz w:val="28"/>
                <w:vertAlign w:val="baseline"/>
                <w:lang w:val="en-US" w:eastAsia="zh-CN"/>
              </w:rPr>
              <w:instrText xml:space="preserve">FORMTEXT</w:instrText>
            </w:r>
            <w:r>
              <w:rPr>
                <w:rFonts w:hint="eastAsia" w:ascii="黑体" w:hAnsi="Times New Roman" w:eastAsia="黑体" w:cs="Times New Roman"/>
                <w:sz w:val="28"/>
                <w:vertAlign w:val="baseline"/>
                <w:lang w:val="en-US" w:eastAsia="zh-CN"/>
              </w:rPr>
              <w:fldChar w:fldCharType="separate"/>
            </w:r>
            <w:r>
              <w:rPr>
                <w:rFonts w:hint="eastAsia" w:ascii="黑体" w:hAnsi="Times New Roman" w:eastAsia="黑体" w:cs="Times New Roman"/>
                <w:sz w:val="28"/>
                <w:vertAlign w:val="baseline"/>
                <w:lang w:val="en-US" w:eastAsia="zh-CN"/>
              </w:rPr>
              <w:t>2025</w:t>
            </w:r>
            <w:r>
              <w:rPr>
                <w:rFonts w:hint="eastAsia" w:ascii="黑体" w:hAnsi="Times New Roman" w:eastAsia="黑体" w:cs="Times New Roman"/>
                <w:sz w:val="28"/>
                <w:vertAlign w:val="baseline"/>
                <w:lang w:val="en-US" w:eastAsia="zh-CN"/>
              </w:rPr>
              <w:fldChar w:fldCharType="end"/>
            </w:r>
            <w:bookmarkEnd w:id="8"/>
            <w:r>
              <w:rPr>
                <w:rFonts w:hint="eastAsia"/>
                <w:vertAlign w:val="baseline"/>
                <w:lang w:val="en-US" w:eastAsia="zh-CN"/>
              </w:rPr>
              <w:t xml:space="preserve"> - </w:t>
            </w:r>
            <w:r>
              <w:rPr>
                <w:rFonts w:hint="eastAsia"/>
                <w:vertAlign w:val="baseline"/>
                <w:lang w:val="en-US" w:eastAsia="zh-CN"/>
              </w:rPr>
              <w:fldChar w:fldCharType="begin">
                <w:ffData>
                  <w:name w:val="FM"/>
                  <w:enabled/>
                  <w:calcOnExit w:val="0"/>
                  <w:textInput>
                    <w:default w:val="XX"/>
                    <w:maxLength w:val="2"/>
                  </w:textInput>
                </w:ffData>
              </w:fldChar>
            </w:r>
            <w:bookmarkStart w:id="9" w:name="FM"/>
            <w:r>
              <w:rPr>
                <w:rFonts w:hint="eastAsia"/>
                <w:vertAlign w:val="baseline"/>
                <w:lang w:val="en-US" w:eastAsia="zh-CN"/>
              </w:rPr>
              <w:instrText xml:space="preserve">FORMTEXT</w:instrText>
            </w:r>
            <w:r>
              <w:rPr>
                <w:rFonts w:hint="eastAsia"/>
                <w:vertAlign w:val="baseline"/>
                <w:lang w:val="en-US" w:eastAsia="zh-CN"/>
              </w:rPr>
              <w:fldChar w:fldCharType="separate"/>
            </w:r>
            <w:r>
              <w:rPr>
                <w:rFonts w:hint="eastAsia"/>
                <w:vertAlign w:val="baseline"/>
                <w:lang w:val="en-US" w:eastAsia="zh-CN"/>
              </w:rPr>
              <w:t>XX</w:t>
            </w:r>
            <w:r>
              <w:rPr>
                <w:rFonts w:hint="eastAsia"/>
                <w:vertAlign w:val="baseline"/>
                <w:lang w:val="en-US" w:eastAsia="zh-CN"/>
              </w:rPr>
              <w:fldChar w:fldCharType="end"/>
            </w:r>
            <w:bookmarkEnd w:id="9"/>
            <w:r>
              <w:rPr>
                <w:rFonts w:hint="eastAsia"/>
                <w:vertAlign w:val="baseline"/>
                <w:lang w:val="en-US" w:eastAsia="zh-CN"/>
              </w:rPr>
              <w:t xml:space="preserve"> - </w:t>
            </w:r>
            <w:r>
              <w:rPr>
                <w:rFonts w:hint="eastAsia"/>
                <w:vertAlign w:val="baseline"/>
                <w:lang w:val="en-US" w:eastAsia="zh-CN"/>
              </w:rPr>
              <w:fldChar w:fldCharType="begin">
                <w:ffData>
                  <w:name w:val="FD"/>
                  <w:enabled/>
                  <w:calcOnExit w:val="0"/>
                  <w:textInput>
                    <w:default w:val="XX"/>
                    <w:maxLength w:val="2"/>
                  </w:textInput>
                </w:ffData>
              </w:fldChar>
            </w:r>
            <w:bookmarkStart w:id="10" w:name="FD"/>
            <w:r>
              <w:rPr>
                <w:rFonts w:hint="eastAsia"/>
                <w:vertAlign w:val="baseline"/>
                <w:lang w:val="en-US" w:eastAsia="zh-CN"/>
              </w:rPr>
              <w:instrText xml:space="preserve">FORMTEXT</w:instrText>
            </w:r>
            <w:r>
              <w:rPr>
                <w:rFonts w:hint="eastAsia"/>
                <w:vertAlign w:val="baseline"/>
                <w:lang w:val="en-US" w:eastAsia="zh-CN"/>
              </w:rPr>
              <w:fldChar w:fldCharType="separate"/>
            </w:r>
            <w:r>
              <w:rPr>
                <w:rFonts w:hint="eastAsia"/>
                <w:vertAlign w:val="baseline"/>
                <w:lang w:val="en-US" w:eastAsia="zh-CN"/>
              </w:rPr>
              <w:t>XX</w:t>
            </w:r>
            <w:r>
              <w:rPr>
                <w:rFonts w:hint="eastAsia"/>
                <w:vertAlign w:val="baseline"/>
                <w:lang w:val="en-US" w:eastAsia="zh-CN"/>
              </w:rPr>
              <w:fldChar w:fldCharType="end"/>
            </w:r>
            <w:bookmarkEnd w:id="10"/>
            <w:r>
              <w:rPr>
                <w:rFonts w:hint="eastAsia"/>
                <w:vertAlign w:val="baseline"/>
                <w:lang w:val="en-US" w:eastAsia="zh-CN"/>
              </w:rPr>
              <w:t xml:space="preserve"> 发布</w:t>
            </w:r>
          </w:p>
        </w:tc>
        <w:tc>
          <w:tcPr>
            <w:tcW w:w="4871" w:type="dxa"/>
            <w:tcBorders>
              <w:bottom w:val="single" w:color="auto" w:sz="8" w:space="0"/>
            </w:tcBorders>
            <w:tcMar>
              <w:right w:w="57" w:type="dxa"/>
            </w:tcMar>
          </w:tcPr>
          <w:p w14:paraId="6D4E4927">
            <w:pPr>
              <w:pStyle w:val="38"/>
              <w:widowControl w:val="0"/>
              <w:bidi w:val="0"/>
              <w:jc w:val="right"/>
              <w:rPr>
                <w:rFonts w:hint="eastAsia"/>
                <w:vertAlign w:val="baseline"/>
                <w:lang w:val="en-US" w:eastAsia="zh-CN"/>
              </w:rPr>
            </w:pPr>
            <w:bookmarkStart w:id="11" w:name="SY"/>
            <w:r>
              <w:rPr>
                <w:rFonts w:hint="eastAsia" w:ascii="黑体" w:hAnsi="Times New Roman" w:eastAsia="黑体" w:cs="Times New Roman"/>
                <w:sz w:val="28"/>
                <w:vertAlign w:val="baseline"/>
                <w:lang w:val="en-US" w:eastAsia="zh-CN"/>
              </w:rPr>
              <w:fldChar w:fldCharType="begin">
                <w:ffData>
                  <w:name w:val="SY"/>
                  <w:enabled/>
                  <w:calcOnExit w:val="0"/>
                  <w:textInput>
                    <w:default w:val="2025"/>
                    <w:maxLength w:val="4"/>
                  </w:textInput>
                </w:ffData>
              </w:fldChar>
            </w:r>
            <w:r>
              <w:rPr>
                <w:rFonts w:hint="eastAsia" w:ascii="黑体" w:hAnsi="Times New Roman" w:eastAsia="黑体" w:cs="Times New Roman"/>
                <w:sz w:val="28"/>
                <w:vertAlign w:val="baseline"/>
                <w:lang w:val="en-US" w:eastAsia="zh-CN"/>
              </w:rPr>
              <w:instrText xml:space="preserve">FORMTEXT</w:instrText>
            </w:r>
            <w:r>
              <w:rPr>
                <w:rFonts w:hint="eastAsia" w:ascii="黑体" w:hAnsi="Times New Roman" w:eastAsia="黑体" w:cs="Times New Roman"/>
                <w:sz w:val="28"/>
                <w:vertAlign w:val="baseline"/>
                <w:lang w:val="en-US" w:eastAsia="zh-CN"/>
              </w:rPr>
              <w:fldChar w:fldCharType="separate"/>
            </w:r>
            <w:r>
              <w:rPr>
                <w:rFonts w:hint="eastAsia" w:ascii="黑体" w:hAnsi="Times New Roman" w:eastAsia="黑体" w:cs="Times New Roman"/>
                <w:sz w:val="28"/>
                <w:vertAlign w:val="baseline"/>
                <w:lang w:val="en-US" w:eastAsia="zh-CN"/>
              </w:rPr>
              <w:t>2025</w:t>
            </w:r>
            <w:r>
              <w:rPr>
                <w:rFonts w:hint="eastAsia" w:ascii="黑体" w:hAnsi="Times New Roman" w:eastAsia="黑体" w:cs="Times New Roman"/>
                <w:sz w:val="28"/>
                <w:vertAlign w:val="baseline"/>
                <w:lang w:val="en-US" w:eastAsia="zh-CN"/>
              </w:rPr>
              <w:fldChar w:fldCharType="end"/>
            </w:r>
            <w:bookmarkEnd w:id="11"/>
            <w:r>
              <w:rPr>
                <w:rFonts w:hint="eastAsia"/>
                <w:vertAlign w:val="baseline"/>
                <w:lang w:val="en-US" w:eastAsia="zh-CN"/>
              </w:rPr>
              <w:t xml:space="preserve"> - </w:t>
            </w:r>
            <w:r>
              <w:rPr>
                <w:rFonts w:hint="eastAsia"/>
                <w:vertAlign w:val="baseline"/>
                <w:lang w:val="en-US" w:eastAsia="zh-CN"/>
              </w:rPr>
              <w:fldChar w:fldCharType="begin">
                <w:ffData>
                  <w:name w:val="SM"/>
                  <w:enabled/>
                  <w:calcOnExit w:val="0"/>
                  <w:textInput>
                    <w:default w:val="XX"/>
                    <w:maxLength w:val="2"/>
                  </w:textInput>
                </w:ffData>
              </w:fldChar>
            </w:r>
            <w:bookmarkStart w:id="12" w:name="SM"/>
            <w:r>
              <w:rPr>
                <w:rFonts w:hint="eastAsia"/>
                <w:vertAlign w:val="baseline"/>
                <w:lang w:val="en-US" w:eastAsia="zh-CN"/>
              </w:rPr>
              <w:instrText xml:space="preserve">FORMTEXT</w:instrText>
            </w:r>
            <w:r>
              <w:rPr>
                <w:rFonts w:hint="eastAsia"/>
                <w:vertAlign w:val="baseline"/>
                <w:lang w:val="en-US" w:eastAsia="zh-CN"/>
              </w:rPr>
              <w:fldChar w:fldCharType="separate"/>
            </w:r>
            <w:r>
              <w:rPr>
                <w:rFonts w:hint="eastAsia"/>
                <w:vertAlign w:val="baseline"/>
                <w:lang w:val="en-US" w:eastAsia="zh-CN"/>
              </w:rPr>
              <w:t>XX</w:t>
            </w:r>
            <w:r>
              <w:rPr>
                <w:rFonts w:hint="eastAsia"/>
                <w:vertAlign w:val="baseline"/>
                <w:lang w:val="en-US" w:eastAsia="zh-CN"/>
              </w:rPr>
              <w:fldChar w:fldCharType="end"/>
            </w:r>
            <w:bookmarkEnd w:id="12"/>
            <w:r>
              <w:rPr>
                <w:rFonts w:hint="eastAsia"/>
                <w:vertAlign w:val="baseline"/>
                <w:lang w:val="en-US" w:eastAsia="zh-CN"/>
              </w:rPr>
              <w:t xml:space="preserve"> - </w:t>
            </w:r>
            <w:r>
              <w:rPr>
                <w:rFonts w:hint="eastAsia"/>
                <w:vertAlign w:val="baseline"/>
                <w:lang w:val="en-US" w:eastAsia="zh-CN"/>
              </w:rPr>
              <w:fldChar w:fldCharType="begin">
                <w:ffData>
                  <w:name w:val="SD"/>
                  <w:enabled/>
                  <w:calcOnExit w:val="0"/>
                  <w:textInput>
                    <w:default w:val="XX"/>
                    <w:maxLength w:val="2"/>
                  </w:textInput>
                </w:ffData>
              </w:fldChar>
            </w:r>
            <w:bookmarkStart w:id="13" w:name="SD"/>
            <w:r>
              <w:rPr>
                <w:rFonts w:hint="eastAsia"/>
                <w:vertAlign w:val="baseline"/>
                <w:lang w:val="en-US" w:eastAsia="zh-CN"/>
              </w:rPr>
              <w:instrText xml:space="preserve">FORMTEXT</w:instrText>
            </w:r>
            <w:r>
              <w:rPr>
                <w:rFonts w:hint="eastAsia"/>
                <w:vertAlign w:val="baseline"/>
                <w:lang w:val="en-US" w:eastAsia="zh-CN"/>
              </w:rPr>
              <w:fldChar w:fldCharType="separate"/>
            </w:r>
            <w:r>
              <w:rPr>
                <w:rFonts w:hint="eastAsia"/>
                <w:vertAlign w:val="baseline"/>
                <w:lang w:val="en-US" w:eastAsia="zh-CN"/>
              </w:rPr>
              <w:t>XX</w:t>
            </w:r>
            <w:r>
              <w:rPr>
                <w:rFonts w:hint="eastAsia"/>
                <w:vertAlign w:val="baseline"/>
                <w:lang w:val="en-US" w:eastAsia="zh-CN"/>
              </w:rPr>
              <w:fldChar w:fldCharType="end"/>
            </w:r>
            <w:bookmarkEnd w:id="13"/>
            <w:r>
              <w:rPr>
                <w:rFonts w:hint="eastAsia"/>
                <w:vertAlign w:val="baseline"/>
                <w:lang w:val="en-US" w:eastAsia="zh-CN"/>
              </w:rPr>
              <w:t xml:space="preserve"> 实施</w:t>
            </w:r>
          </w:p>
        </w:tc>
      </w:tr>
    </w:tbl>
    <w:p w14:paraId="56C9BB39">
      <w:pPr>
        <w:pStyle w:val="48"/>
        <w:bidi w:val="0"/>
        <w:spacing w:before="0"/>
        <w:rPr>
          <w:rFonts w:hint="eastAsia"/>
          <w:spacing w:val="0"/>
          <w:w w:val="100"/>
          <w:sz w:val="28"/>
          <w:lang w:val="en-US" w:eastAsia="zh-CN"/>
        </w:rPr>
      </w:pPr>
      <w:bookmarkStart w:id="14" w:name="FM2"/>
      <w:r>
        <w:rPr>
          <w:rFonts w:hint="eastAsia" w:ascii="黑体" w:hAnsi="黑体" w:eastAsia="黑体" w:cs="Times New Roman"/>
          <w:spacing w:val="0"/>
          <w:w w:val="100"/>
          <w:sz w:val="28"/>
          <w:lang w:val="en-US" w:eastAsia="zh-CN"/>
        </w:rPr>
        <w:fldChar w:fldCharType="begin">
          <w:ffData>
            <w:name w:val="FM2"/>
            <w:enabled/>
            <w:calcOnExit w:val="0"/>
            <w:textInput>
              <w:default w:val="吉安市绿色农产品促进会"/>
            </w:textInput>
          </w:ffData>
        </w:fldChar>
      </w:r>
      <w:r>
        <w:rPr>
          <w:rFonts w:hint="eastAsia" w:ascii="黑体" w:hAnsi="黑体" w:eastAsia="黑体" w:cs="Times New Roman"/>
          <w:spacing w:val="0"/>
          <w:w w:val="100"/>
          <w:sz w:val="28"/>
          <w:lang w:val="en-US" w:eastAsia="zh-CN"/>
        </w:rPr>
        <w:instrText xml:space="preserve">FORMTEXT</w:instrText>
      </w:r>
      <w:r>
        <w:rPr>
          <w:rFonts w:hint="eastAsia" w:ascii="黑体" w:hAnsi="黑体" w:eastAsia="黑体" w:cs="Times New Roman"/>
          <w:spacing w:val="0"/>
          <w:w w:val="100"/>
          <w:sz w:val="28"/>
          <w:lang w:val="en-US" w:eastAsia="zh-CN"/>
        </w:rPr>
        <w:fldChar w:fldCharType="separate"/>
      </w:r>
      <w:r>
        <w:rPr>
          <w:rFonts w:hint="eastAsia" w:ascii="黑体" w:hAnsi="黑体" w:eastAsia="黑体" w:cs="Times New Roman"/>
          <w:spacing w:val="0"/>
          <w:w w:val="100"/>
          <w:sz w:val="28"/>
          <w:lang w:val="en-US" w:eastAsia="zh-CN"/>
        </w:rPr>
        <w:t>吉安市绿色农产品促进会</w:t>
      </w:r>
      <w:r>
        <w:rPr>
          <w:rFonts w:hint="eastAsia" w:ascii="黑体" w:hAnsi="黑体" w:eastAsia="黑体" w:cs="Times New Roman"/>
          <w:spacing w:val="0"/>
          <w:w w:val="100"/>
          <w:sz w:val="28"/>
          <w:lang w:val="en-US" w:eastAsia="zh-CN"/>
        </w:rPr>
        <w:fldChar w:fldCharType="end"/>
      </w:r>
      <w:bookmarkEnd w:id="14"/>
      <w:r>
        <w:rPr>
          <w:rFonts w:hint="eastAsia"/>
          <w:sz w:val="28"/>
          <w:lang w:val="en-US" w:eastAsia="zh-CN"/>
        </w:rPr>
        <w:t>  </w:t>
      </w:r>
      <w:r>
        <w:rPr>
          <w:rFonts w:hint="eastAsia"/>
          <w:spacing w:val="85"/>
          <w:w w:val="100"/>
          <w:sz w:val="28"/>
          <w:lang w:val="en-US" w:eastAsia="zh-CN"/>
        </w:rPr>
        <w:t>发</w:t>
      </w:r>
      <w:r>
        <w:rPr>
          <w:rFonts w:hint="eastAsia"/>
          <w:spacing w:val="0"/>
          <w:w w:val="100"/>
          <w:sz w:val="28"/>
          <w:lang w:val="en-US" w:eastAsia="zh-CN"/>
        </w:rPr>
        <w:t>布</w:t>
      </w:r>
    </w:p>
    <w:tbl>
      <w:tblPr>
        <w:tblStyle w:val="20"/>
        <w:tblW w:w="957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63"/>
        <w:gridCol w:w="9107"/>
      </w:tblGrid>
      <w:tr w14:paraId="2B8ECE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63" w:type="dxa"/>
          </w:tcPr>
          <w:p w14:paraId="40BED673">
            <w:pPr>
              <w:pStyle w:val="52"/>
              <w:framePr w:w="9639"/>
              <w:bidi w:val="0"/>
              <w:jc w:val="both"/>
              <w:rPr>
                <w:rFonts w:hint="eastAsia"/>
                <w:vertAlign w:val="baseline"/>
                <w:lang w:val="en-US" w:eastAsia="zh-CN"/>
              </w:rPr>
            </w:pPr>
            <w:r>
              <w:rPr>
                <w:rFonts w:hint="eastAsia"/>
                <w:vertAlign w:val="baseline"/>
                <w:lang w:val="en-US" w:eastAsia="zh-CN"/>
              </w:rPr>
              <w:t>ICS</w:t>
            </w:r>
          </w:p>
        </w:tc>
        <w:tc>
          <w:tcPr>
            <w:tcW w:w="9107" w:type="dxa"/>
          </w:tcPr>
          <w:p w14:paraId="7BCD37EA">
            <w:pPr>
              <w:pStyle w:val="52"/>
              <w:framePr w:w="9639"/>
              <w:bidi w:val="0"/>
              <w:jc w:val="both"/>
              <w:rPr>
                <w:rFonts w:hint="eastAsia"/>
                <w:vertAlign w:val="baseline"/>
                <w:lang w:val="en-US" w:eastAsia="zh-CN"/>
              </w:rPr>
            </w:pPr>
            <w:bookmarkStart w:id="15" w:name="ICS"/>
            <w:r>
              <w:rPr>
                <w:rFonts w:hint="eastAsia" w:ascii="黑体" w:hAnsi="Times New Roman" w:eastAsia="黑体" w:cs="Times New Roman"/>
                <w:kern w:val="21"/>
                <w:sz w:val="21"/>
                <w:vertAlign w:val="baseline"/>
                <w:lang w:val="en-US" w:eastAsia="zh-CN"/>
              </w:rPr>
              <w:fldChar w:fldCharType="begin">
                <w:ffData>
                  <w:name w:val="ICS"/>
                  <w:enabled/>
                  <w:calcOnExit w:val="0"/>
                  <w:textInput>
                    <w:default w:val="67.080.10"/>
                  </w:textInput>
                </w:ffData>
              </w:fldChar>
            </w:r>
            <w:r>
              <w:rPr>
                <w:rFonts w:hint="eastAsia" w:ascii="黑体" w:hAnsi="Times New Roman" w:eastAsia="黑体" w:cs="Times New Roman"/>
                <w:kern w:val="21"/>
                <w:sz w:val="21"/>
                <w:vertAlign w:val="baseline"/>
                <w:lang w:val="en-US" w:eastAsia="zh-CN"/>
              </w:rPr>
              <w:instrText xml:space="preserve">FORMTEXT</w:instrText>
            </w:r>
            <w:r>
              <w:rPr>
                <w:rFonts w:hint="eastAsia" w:ascii="黑体" w:hAnsi="Times New Roman" w:eastAsia="黑体" w:cs="Times New Roman"/>
                <w:kern w:val="21"/>
                <w:sz w:val="21"/>
                <w:vertAlign w:val="baseline"/>
                <w:lang w:val="en-US" w:eastAsia="zh-CN"/>
              </w:rPr>
              <w:fldChar w:fldCharType="separate"/>
            </w:r>
            <w:r>
              <w:rPr>
                <w:rFonts w:hint="eastAsia" w:ascii="黑体" w:hAnsi="Times New Roman" w:eastAsia="黑体" w:cs="Times New Roman"/>
                <w:kern w:val="21"/>
                <w:sz w:val="21"/>
                <w:vertAlign w:val="baseline"/>
                <w:lang w:val="en-US" w:eastAsia="zh-CN"/>
              </w:rPr>
              <w:t>67.080.10</w:t>
            </w:r>
            <w:r>
              <w:rPr>
                <w:rFonts w:hint="eastAsia" w:ascii="黑体" w:hAnsi="Times New Roman" w:eastAsia="黑体" w:cs="Times New Roman"/>
                <w:kern w:val="21"/>
                <w:sz w:val="21"/>
                <w:vertAlign w:val="baseline"/>
                <w:lang w:val="en-US" w:eastAsia="zh-CN"/>
              </w:rPr>
              <w:fldChar w:fldCharType="end"/>
            </w:r>
            <w:bookmarkEnd w:id="15"/>
          </w:p>
        </w:tc>
      </w:tr>
      <w:tr w14:paraId="0F03D5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63" w:type="dxa"/>
          </w:tcPr>
          <w:p w14:paraId="02506011">
            <w:pPr>
              <w:pStyle w:val="52"/>
              <w:framePr w:w="9639"/>
              <w:bidi w:val="0"/>
              <w:jc w:val="both"/>
              <w:rPr>
                <w:rFonts w:hint="eastAsia"/>
                <w:vertAlign w:val="baseline"/>
                <w:lang w:val="en-US" w:eastAsia="zh-CN"/>
              </w:rPr>
            </w:pPr>
            <w:r>
              <w:rPr>
                <w:rFonts w:hint="eastAsia"/>
                <w:vertAlign w:val="baseline"/>
                <w:lang w:val="en-US" w:eastAsia="zh-CN"/>
              </w:rPr>
              <w:t>CCS</w:t>
            </w:r>
          </w:p>
        </w:tc>
        <w:tc>
          <w:tcPr>
            <w:tcW w:w="9107" w:type="dxa"/>
          </w:tcPr>
          <w:p w14:paraId="16EA5229">
            <w:pPr>
              <w:pStyle w:val="52"/>
              <w:framePr w:w="9639"/>
              <w:bidi w:val="0"/>
              <w:jc w:val="both"/>
              <w:rPr>
                <w:rFonts w:hint="eastAsia"/>
                <w:vertAlign w:val="baseline"/>
                <w:lang w:val="en-US" w:eastAsia="zh-CN"/>
              </w:rPr>
            </w:pPr>
            <w:bookmarkStart w:id="16" w:name="CCS"/>
            <w:r>
              <w:rPr>
                <w:rFonts w:hint="eastAsia" w:ascii="黑体" w:hAnsi="Times New Roman" w:eastAsia="黑体" w:cs="Times New Roman"/>
                <w:kern w:val="21"/>
                <w:sz w:val="21"/>
                <w:vertAlign w:val="baseline"/>
                <w:lang w:val="en-US" w:eastAsia="zh-CN"/>
              </w:rPr>
              <w:fldChar w:fldCharType="begin">
                <w:ffData>
                  <w:name w:val="CCS"/>
                  <w:enabled/>
                  <w:calcOnExit w:val="0"/>
                  <w:textInput>
                    <w:default w:val="B 31"/>
                  </w:textInput>
                </w:ffData>
              </w:fldChar>
            </w:r>
            <w:r>
              <w:rPr>
                <w:rFonts w:hint="eastAsia" w:ascii="黑体" w:hAnsi="Times New Roman" w:eastAsia="黑体" w:cs="Times New Roman"/>
                <w:kern w:val="21"/>
                <w:sz w:val="21"/>
                <w:vertAlign w:val="baseline"/>
                <w:lang w:val="en-US" w:eastAsia="zh-CN"/>
              </w:rPr>
              <w:instrText xml:space="preserve">FORMTEXT</w:instrText>
            </w:r>
            <w:r>
              <w:rPr>
                <w:rFonts w:hint="eastAsia" w:ascii="黑体" w:hAnsi="Times New Roman" w:eastAsia="黑体" w:cs="Times New Roman"/>
                <w:kern w:val="21"/>
                <w:sz w:val="21"/>
                <w:vertAlign w:val="baseline"/>
                <w:lang w:val="en-US" w:eastAsia="zh-CN"/>
              </w:rPr>
              <w:fldChar w:fldCharType="separate"/>
            </w:r>
            <w:r>
              <w:rPr>
                <w:rFonts w:hint="eastAsia" w:ascii="黑体" w:hAnsi="Times New Roman" w:eastAsia="黑体" w:cs="Times New Roman"/>
                <w:kern w:val="21"/>
                <w:sz w:val="21"/>
                <w:vertAlign w:val="baseline"/>
                <w:lang w:val="en-US" w:eastAsia="zh-CN"/>
              </w:rPr>
              <w:t>B 31</w:t>
            </w:r>
            <w:r>
              <w:rPr>
                <w:rFonts w:hint="eastAsia" w:ascii="黑体" w:hAnsi="Times New Roman" w:eastAsia="黑体" w:cs="Times New Roman"/>
                <w:kern w:val="21"/>
                <w:sz w:val="21"/>
                <w:vertAlign w:val="baseline"/>
                <w:lang w:val="en-US" w:eastAsia="zh-CN"/>
              </w:rPr>
              <w:fldChar w:fldCharType="end"/>
            </w:r>
            <w:bookmarkEnd w:id="16"/>
          </w:p>
          <w:tbl>
            <w:tblPr>
              <w:tblStyle w:val="20"/>
              <w:tblpPr w:vertAnchor="page" w:horzAnchor="margin" w:tblpXSpec="right" w:tblpY="114"/>
              <w:tblOverlap w:val="never"/>
              <w:tblW w:w="666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662"/>
            </w:tblGrid>
            <w:tr w14:paraId="788960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81" w:hRule="atLeast"/>
              </w:trPr>
              <w:tc>
                <w:tcPr>
                  <w:tcW w:w="6662" w:type="dxa"/>
                  <w:vAlign w:val="center"/>
                </w:tcPr>
                <w:p w14:paraId="01842023">
                  <w:pPr>
                    <w:pStyle w:val="52"/>
                    <w:framePr w:w="9639"/>
                    <w:bidi w:val="0"/>
                    <w:jc w:val="right"/>
                    <w:rPr>
                      <w:rFonts w:hint="eastAsia" w:ascii="Times New Roman" w:hAnsi="Times New Roman" w:eastAsia="宋体" w:cs="Times New Roman"/>
                      <w:b/>
                      <w:w w:val="130"/>
                      <w:kern w:val="0"/>
                      <w:sz w:val="21"/>
                      <w:vertAlign w:val="baseline"/>
                      <w:lang w:val="en-US" w:eastAsia="zh-CN"/>
                    </w:rPr>
                  </w:pPr>
                  <w:r>
                    <w:rPr>
                      <w:rFonts w:hint="eastAsia" w:ascii="楷体" w:hAnsi="楷体" w:eastAsia="楷体" w:cs="楷体"/>
                      <w:b/>
                      <w:w w:val="130"/>
                      <w:kern w:val="0"/>
                      <w:sz w:val="96"/>
                      <w:vertAlign w:val="baseline"/>
                      <w:lang w:val="en-US" w:eastAsia="zh-CN"/>
                    </w:rPr>
                    <w:t>T</w:t>
                  </w:r>
                  <w:r>
                    <w:rPr>
                      <w:rFonts w:hint="eastAsia" w:ascii="Times New Roman" w:eastAsia="宋体" w:cs="Times New Roman"/>
                      <w:b/>
                      <w:w w:val="130"/>
                      <w:kern w:val="0"/>
                      <w:sz w:val="96"/>
                      <w:vertAlign w:val="baseline"/>
                      <w:lang w:val="en-US" w:eastAsia="zh-CN"/>
                    </w:rPr>
                    <w:t>/</w:t>
                  </w:r>
                  <w:r>
                    <w:rPr>
                      <w:rFonts w:hint="eastAsia" w:ascii="Times New Roman" w:eastAsia="宋体" w:cs="Times New Roman"/>
                      <w:b/>
                      <w:w w:val="130"/>
                      <w:kern w:val="0"/>
                      <w:sz w:val="21"/>
                      <w:vertAlign w:val="baseline"/>
                      <w:lang w:val="en-US" w:eastAsia="zh-CN"/>
                    </w:rPr>
                    <w:t xml:space="preserve"> </w:t>
                  </w:r>
                  <w:r>
                    <w:rPr>
                      <w:rFonts w:hint="eastAsia" w:ascii="Times New Roman" w:eastAsia="宋体" w:cs="Times New Roman"/>
                      <w:b/>
                      <w:w w:val="130"/>
                      <w:kern w:val="0"/>
                      <w:sz w:val="96"/>
                      <w:vertAlign w:val="baseline"/>
                      <w:lang w:val="en-US" w:eastAsia="zh-CN"/>
                    </w:rPr>
                    <w:fldChar w:fldCharType="begin">
                      <w:ffData>
                        <w:name w:val="TMark"/>
                        <w:enabled/>
                        <w:calcOnExit w:val="0"/>
                        <w:textInput>
                          <w:maxLength w:val="8"/>
                        </w:textInput>
                      </w:ffData>
                    </w:fldChar>
                  </w:r>
                  <w:bookmarkStart w:id="17" w:name="TMark"/>
                  <w:r>
                    <w:rPr>
                      <w:rFonts w:hint="eastAsia" w:ascii="Times New Roman" w:eastAsia="宋体" w:cs="Times New Roman"/>
                      <w:b/>
                      <w:w w:val="130"/>
                      <w:kern w:val="0"/>
                      <w:sz w:val="96"/>
                      <w:vertAlign w:val="baseline"/>
                      <w:lang w:val="en-US" w:eastAsia="zh-CN"/>
                    </w:rPr>
                    <w:instrText xml:space="preserve">FORMTEXT</w:instrText>
                  </w:r>
                  <w:r>
                    <w:rPr>
                      <w:rFonts w:hint="eastAsia" w:ascii="Times New Roman" w:eastAsia="宋体" w:cs="Times New Roman"/>
                      <w:b/>
                      <w:w w:val="130"/>
                      <w:kern w:val="0"/>
                      <w:sz w:val="96"/>
                      <w:vertAlign w:val="baseline"/>
                      <w:lang w:val="en-US" w:eastAsia="zh-CN"/>
                    </w:rPr>
                    <w:fldChar w:fldCharType="separate"/>
                  </w:r>
                  <w:r>
                    <w:rPr>
                      <w:rFonts w:hint="eastAsia" w:ascii="Times New Roman" w:eastAsia="宋体" w:cs="Times New Roman"/>
                      <w:b/>
                      <w:w w:val="130"/>
                      <w:kern w:val="0"/>
                      <w:sz w:val="96"/>
                      <w:vertAlign w:val="baseline"/>
                      <w:lang w:val="en-US" w:eastAsia="zh-CN"/>
                    </w:rPr>
                    <w:t>JALNCP</w:t>
                  </w:r>
                  <w:r>
                    <w:rPr>
                      <w:rFonts w:hint="eastAsia" w:ascii="Times New Roman" w:eastAsia="宋体" w:cs="Times New Roman"/>
                      <w:b/>
                      <w:w w:val="130"/>
                      <w:kern w:val="0"/>
                      <w:sz w:val="96"/>
                      <w:vertAlign w:val="baseline"/>
                      <w:lang w:val="en-US" w:eastAsia="zh-CN"/>
                    </w:rPr>
                    <w:fldChar w:fldCharType="end"/>
                  </w:r>
                  <w:bookmarkEnd w:id="17"/>
                </w:p>
              </w:tc>
            </w:tr>
          </w:tbl>
          <w:p w14:paraId="135E5C21">
            <w:pPr>
              <w:pStyle w:val="52"/>
              <w:framePr w:w="9639"/>
              <w:bidi w:val="0"/>
              <w:jc w:val="both"/>
              <w:rPr>
                <w:rFonts w:hint="eastAsia"/>
                <w:vertAlign w:val="baseline"/>
                <w:lang w:val="en-US" w:eastAsia="zh-CN"/>
              </w:rPr>
            </w:pPr>
          </w:p>
        </w:tc>
      </w:tr>
    </w:tbl>
    <w:p w14:paraId="4B0BF0FF">
      <w:pPr>
        <w:pStyle w:val="52"/>
        <w:framePr w:w="9639"/>
        <w:bidi w:val="0"/>
        <w:rPr>
          <w:rFonts w:hint="eastAsia"/>
          <w:lang w:val="en-US" w:eastAsia="zh-CN"/>
        </w:rPr>
        <w:sectPr>
          <w:headerReference r:id="rId3" w:type="even"/>
          <w:pgSz w:w="11906" w:h="16838"/>
          <w:pgMar w:top="-340" w:right="1134" w:bottom="1021" w:left="1134" w:header="0" w:footer="0" w:gutter="284"/>
          <w:lnNumType w:countBy="0" w:restart="continuous"/>
          <w:pgNumType w:fmt="decimal" w:start="1"/>
          <w:cols w:space="425" w:num="1"/>
          <w:titlePg/>
          <w:docGrid w:type="lines" w:linePitch="312" w:charSpace="0"/>
        </w:sectPr>
      </w:pPr>
    </w:p>
    <w:p w14:paraId="26E06813">
      <w:pPr>
        <w:pStyle w:val="53"/>
        <w:bidi w:val="0"/>
        <w:rPr>
          <w:rFonts w:hint="eastAsia"/>
          <w:lang w:val="en-US" w:eastAsia="zh-CN"/>
        </w:rPr>
      </w:pPr>
      <w:r>
        <w:rPr>
          <w:rFonts w:hint="eastAsia"/>
          <w:spacing w:val="317"/>
          <w:lang w:val="en-US" w:eastAsia="zh-CN"/>
        </w:rPr>
        <w:t>目</w:t>
      </w:r>
      <w:bookmarkStart w:id="18" w:name="BKML"/>
      <w:r>
        <w:rPr>
          <w:rFonts w:hint="eastAsia"/>
          <w:lang w:val="en-US" w:eastAsia="zh-CN"/>
        </w:rPr>
        <w:t>次</w:t>
      </w:r>
      <w:bookmarkEnd w:id="18"/>
    </w:p>
    <w:p w14:paraId="4C95980D">
      <w:pPr>
        <w:pStyle w:val="14"/>
        <w:tabs>
          <w:tab w:val="right" w:leader="dot" w:pos="9354"/>
        </w:tabs>
      </w:pPr>
      <w:r>
        <w:rPr>
          <w:rFonts w:hint="eastAsia" w:ascii="宋体" w:hAnsi="宋体" w:eastAsia="宋体" w:cs="宋体"/>
          <w:spacing w:val="0"/>
          <w:lang w:val="en-US" w:eastAsia="zh-CN"/>
        </w:rPr>
        <w:fldChar w:fldCharType="begin"/>
      </w:r>
      <w:r>
        <w:rPr>
          <w:rFonts w:hint="eastAsia" w:ascii="宋体" w:hAnsi="宋体" w:eastAsia="宋体" w:cs="宋体"/>
          <w:spacing w:val="0"/>
          <w:lang w:val="en-US" w:eastAsia="zh-CN"/>
        </w:rPr>
        <w:instrText xml:space="preserve">TOC \t "标准文件_前言、引言标题,1,标准文件_章标题,1,标准文件_附录标识,1,标准文件_参考文献标题,1,标准文件_索引标题,1" \h</w:instrText>
      </w:r>
      <w:r>
        <w:rPr>
          <w:rFonts w:hint="eastAsia" w:ascii="宋体" w:hAnsi="宋体" w:eastAsia="宋体" w:cs="宋体"/>
          <w:spacing w:val="0"/>
          <w:lang w:val="en-US" w:eastAsia="zh-CN"/>
        </w:rPr>
        <w:fldChar w:fldCharType="separate"/>
      </w:r>
      <w:r>
        <w:rPr>
          <w:rFonts w:hint="eastAsia" w:ascii="宋体" w:hAnsi="宋体" w:eastAsia="宋体" w:cs="宋体"/>
          <w:spacing w:val="0"/>
          <w:lang w:val="en-US" w:eastAsia="zh-CN"/>
        </w:rPr>
        <w:fldChar w:fldCharType="begin"/>
      </w:r>
      <w:r>
        <w:rPr>
          <w:rFonts w:hint="eastAsia" w:ascii="宋体" w:hAnsi="宋体" w:eastAsia="宋体" w:cs="宋体"/>
          <w:spacing w:val="0"/>
          <w:lang w:val="en-US" w:eastAsia="zh-CN"/>
        </w:rPr>
        <w:instrText xml:space="preserve"> HYPERLINK \l _Toc6346 </w:instrText>
      </w:r>
      <w:r>
        <w:rPr>
          <w:rFonts w:hint="eastAsia" w:ascii="宋体" w:hAnsi="宋体" w:eastAsia="宋体" w:cs="宋体"/>
          <w:spacing w:val="0"/>
          <w:lang w:val="en-US" w:eastAsia="zh-CN"/>
        </w:rPr>
        <w:fldChar w:fldCharType="separate"/>
      </w:r>
      <w:r>
        <w:rPr>
          <w:rFonts w:hint="eastAsia"/>
          <w:spacing w:val="317"/>
          <w:lang w:val="en-US" w:eastAsia="zh-CN"/>
        </w:rPr>
        <w:t>前</w:t>
      </w:r>
      <w:r>
        <w:rPr>
          <w:rFonts w:hint="eastAsia"/>
          <w:lang w:val="en-US" w:eastAsia="zh-CN"/>
        </w:rPr>
        <w:t>言</w:t>
      </w:r>
      <w:r>
        <w:tab/>
      </w:r>
      <w:r>
        <w:fldChar w:fldCharType="begin"/>
      </w:r>
      <w:r>
        <w:instrText xml:space="preserve"> PAGEREF _Toc6346 \h </w:instrText>
      </w:r>
      <w:r>
        <w:fldChar w:fldCharType="separate"/>
      </w:r>
      <w:r>
        <w:t>II</w:t>
      </w:r>
      <w:r>
        <w:fldChar w:fldCharType="end"/>
      </w:r>
      <w:r>
        <w:rPr>
          <w:rFonts w:hint="eastAsia" w:ascii="宋体" w:hAnsi="宋体" w:eastAsia="宋体" w:cs="宋体"/>
          <w:spacing w:val="0"/>
          <w:lang w:val="en-US" w:eastAsia="zh-CN"/>
        </w:rPr>
        <w:fldChar w:fldCharType="end"/>
      </w:r>
    </w:p>
    <w:p w14:paraId="12F01876">
      <w:pPr>
        <w:pStyle w:val="14"/>
        <w:tabs>
          <w:tab w:val="right" w:leader="dot" w:pos="9354"/>
        </w:tabs>
      </w:pPr>
      <w:r>
        <w:rPr>
          <w:rFonts w:hint="eastAsia" w:ascii="宋体" w:hAnsi="宋体" w:eastAsia="宋体" w:cs="宋体"/>
          <w:spacing w:val="0"/>
          <w:lang w:val="en-US" w:eastAsia="zh-CN"/>
        </w:rPr>
        <w:fldChar w:fldCharType="begin"/>
      </w:r>
      <w:r>
        <w:rPr>
          <w:rFonts w:hint="eastAsia" w:ascii="宋体" w:hAnsi="宋体" w:eastAsia="宋体" w:cs="宋体"/>
          <w:spacing w:val="0"/>
          <w:lang w:val="en-US" w:eastAsia="zh-CN"/>
        </w:rPr>
        <w:instrText xml:space="preserve"> HYPERLINK \l _Toc8541 </w:instrText>
      </w:r>
      <w:r>
        <w:rPr>
          <w:rFonts w:hint="eastAsia" w:ascii="宋体" w:hAnsi="宋体" w:eastAsia="宋体" w:cs="宋体"/>
          <w:spacing w:val="0"/>
          <w:lang w:val="en-US" w:eastAsia="zh-CN"/>
        </w:rPr>
        <w:fldChar w:fldCharType="separate"/>
      </w:r>
      <w:r>
        <w:rPr>
          <w:rFonts w:hint="default" w:ascii="黑体" w:hAnsi="黑体" w:eastAsia="黑体" w:cs="黑体"/>
          <w:lang w:val="en-US" w:eastAsia="zh-CN"/>
        </w:rPr>
        <w:t xml:space="preserve">1 </w:t>
      </w:r>
      <w:r>
        <w:rPr>
          <w:rFonts w:hint="eastAsia"/>
          <w:lang w:val="en-US" w:eastAsia="zh-CN"/>
        </w:rPr>
        <w:t>范围</w:t>
      </w:r>
      <w:r>
        <w:tab/>
      </w:r>
      <w:r>
        <w:fldChar w:fldCharType="begin"/>
      </w:r>
      <w:r>
        <w:instrText xml:space="preserve"> PAGEREF _Toc8541 \h </w:instrText>
      </w:r>
      <w:r>
        <w:fldChar w:fldCharType="separate"/>
      </w:r>
      <w:r>
        <w:t>1</w:t>
      </w:r>
      <w:r>
        <w:fldChar w:fldCharType="end"/>
      </w:r>
      <w:r>
        <w:rPr>
          <w:rFonts w:hint="eastAsia" w:ascii="宋体" w:hAnsi="宋体" w:eastAsia="宋体" w:cs="宋体"/>
          <w:spacing w:val="0"/>
          <w:lang w:val="en-US" w:eastAsia="zh-CN"/>
        </w:rPr>
        <w:fldChar w:fldCharType="end"/>
      </w:r>
    </w:p>
    <w:p w14:paraId="496F65EE">
      <w:pPr>
        <w:pStyle w:val="14"/>
        <w:tabs>
          <w:tab w:val="right" w:leader="dot" w:pos="9354"/>
        </w:tabs>
      </w:pPr>
      <w:r>
        <w:rPr>
          <w:rFonts w:hint="eastAsia" w:ascii="宋体" w:hAnsi="宋体" w:eastAsia="宋体" w:cs="宋体"/>
          <w:spacing w:val="0"/>
          <w:lang w:val="en-US" w:eastAsia="zh-CN"/>
        </w:rPr>
        <w:fldChar w:fldCharType="begin"/>
      </w:r>
      <w:r>
        <w:rPr>
          <w:rFonts w:hint="eastAsia" w:ascii="宋体" w:hAnsi="宋体" w:eastAsia="宋体" w:cs="宋体"/>
          <w:spacing w:val="0"/>
          <w:lang w:val="en-US" w:eastAsia="zh-CN"/>
        </w:rPr>
        <w:instrText xml:space="preserve"> HYPERLINK \l _Toc30434 </w:instrText>
      </w:r>
      <w:r>
        <w:rPr>
          <w:rFonts w:hint="eastAsia" w:ascii="宋体" w:hAnsi="宋体" w:eastAsia="宋体" w:cs="宋体"/>
          <w:spacing w:val="0"/>
          <w:lang w:val="en-US" w:eastAsia="zh-CN"/>
        </w:rPr>
        <w:fldChar w:fldCharType="separate"/>
      </w:r>
      <w:r>
        <w:rPr>
          <w:rFonts w:hint="default" w:ascii="黑体" w:hAnsi="黑体" w:eastAsia="黑体" w:cs="黑体"/>
          <w:lang w:val="en-US" w:eastAsia="zh-CN"/>
        </w:rPr>
        <w:t xml:space="preserve">2 </w:t>
      </w:r>
      <w:r>
        <w:rPr>
          <w:rFonts w:hint="eastAsia"/>
          <w:lang w:val="en-US" w:eastAsia="zh-CN"/>
        </w:rPr>
        <w:t>规范性引用文件</w:t>
      </w:r>
      <w:r>
        <w:tab/>
      </w:r>
      <w:r>
        <w:fldChar w:fldCharType="begin"/>
      </w:r>
      <w:r>
        <w:instrText xml:space="preserve"> PAGEREF _Toc30434 \h </w:instrText>
      </w:r>
      <w:r>
        <w:fldChar w:fldCharType="separate"/>
      </w:r>
      <w:r>
        <w:t>1</w:t>
      </w:r>
      <w:r>
        <w:fldChar w:fldCharType="end"/>
      </w:r>
      <w:r>
        <w:rPr>
          <w:rFonts w:hint="eastAsia" w:ascii="宋体" w:hAnsi="宋体" w:eastAsia="宋体" w:cs="宋体"/>
          <w:spacing w:val="0"/>
          <w:lang w:val="en-US" w:eastAsia="zh-CN"/>
        </w:rPr>
        <w:fldChar w:fldCharType="end"/>
      </w:r>
    </w:p>
    <w:p w14:paraId="5CCEABDA">
      <w:pPr>
        <w:pStyle w:val="14"/>
        <w:tabs>
          <w:tab w:val="right" w:leader="dot" w:pos="9354"/>
        </w:tabs>
      </w:pPr>
      <w:r>
        <w:rPr>
          <w:rFonts w:hint="eastAsia" w:ascii="宋体" w:hAnsi="宋体" w:eastAsia="宋体" w:cs="宋体"/>
          <w:spacing w:val="0"/>
          <w:lang w:val="en-US" w:eastAsia="zh-CN"/>
        </w:rPr>
        <w:fldChar w:fldCharType="begin"/>
      </w:r>
      <w:r>
        <w:rPr>
          <w:rFonts w:hint="eastAsia" w:ascii="宋体" w:hAnsi="宋体" w:eastAsia="宋体" w:cs="宋体"/>
          <w:spacing w:val="0"/>
          <w:lang w:val="en-US" w:eastAsia="zh-CN"/>
        </w:rPr>
        <w:instrText xml:space="preserve"> HYPERLINK \l _Toc5700 </w:instrText>
      </w:r>
      <w:r>
        <w:rPr>
          <w:rFonts w:hint="eastAsia" w:ascii="宋体" w:hAnsi="宋体" w:eastAsia="宋体" w:cs="宋体"/>
          <w:spacing w:val="0"/>
          <w:lang w:val="en-US" w:eastAsia="zh-CN"/>
        </w:rPr>
        <w:fldChar w:fldCharType="separate"/>
      </w:r>
      <w:r>
        <w:rPr>
          <w:rFonts w:hint="default" w:ascii="黑体" w:hAnsi="黑体" w:eastAsia="黑体" w:cs="黑体"/>
          <w:lang w:val="en-US" w:eastAsia="zh-CN"/>
        </w:rPr>
        <w:t xml:space="preserve">3 </w:t>
      </w:r>
      <w:r>
        <w:rPr>
          <w:rFonts w:hint="eastAsia"/>
          <w:lang w:val="en-US" w:eastAsia="zh-CN"/>
        </w:rPr>
        <w:t>术语和定义</w:t>
      </w:r>
      <w:r>
        <w:tab/>
      </w:r>
      <w:r>
        <w:fldChar w:fldCharType="begin"/>
      </w:r>
      <w:r>
        <w:instrText xml:space="preserve"> PAGEREF _Toc5700 \h </w:instrText>
      </w:r>
      <w:r>
        <w:fldChar w:fldCharType="separate"/>
      </w:r>
      <w:r>
        <w:t>1</w:t>
      </w:r>
      <w:r>
        <w:fldChar w:fldCharType="end"/>
      </w:r>
      <w:r>
        <w:rPr>
          <w:rFonts w:hint="eastAsia" w:ascii="宋体" w:hAnsi="宋体" w:eastAsia="宋体" w:cs="宋体"/>
          <w:spacing w:val="0"/>
          <w:lang w:val="en-US" w:eastAsia="zh-CN"/>
        </w:rPr>
        <w:fldChar w:fldCharType="end"/>
      </w:r>
    </w:p>
    <w:p w14:paraId="2C18E905">
      <w:pPr>
        <w:pStyle w:val="14"/>
        <w:tabs>
          <w:tab w:val="right" w:leader="dot" w:pos="9354"/>
        </w:tabs>
      </w:pPr>
      <w:r>
        <w:rPr>
          <w:rFonts w:hint="eastAsia" w:ascii="宋体" w:hAnsi="宋体" w:eastAsia="宋体" w:cs="宋体"/>
          <w:spacing w:val="0"/>
          <w:lang w:val="en-US" w:eastAsia="zh-CN"/>
        </w:rPr>
        <w:fldChar w:fldCharType="begin"/>
      </w:r>
      <w:r>
        <w:rPr>
          <w:rFonts w:hint="eastAsia" w:ascii="宋体" w:hAnsi="宋体" w:eastAsia="宋体" w:cs="宋体"/>
          <w:spacing w:val="0"/>
          <w:lang w:val="en-US" w:eastAsia="zh-CN"/>
        </w:rPr>
        <w:instrText xml:space="preserve"> HYPERLINK \l _Toc20283 </w:instrText>
      </w:r>
      <w:r>
        <w:rPr>
          <w:rFonts w:hint="eastAsia" w:ascii="宋体" w:hAnsi="宋体" w:eastAsia="宋体" w:cs="宋体"/>
          <w:spacing w:val="0"/>
          <w:lang w:val="en-US" w:eastAsia="zh-CN"/>
        </w:rPr>
        <w:fldChar w:fldCharType="separate"/>
      </w:r>
      <w:r>
        <w:rPr>
          <w:rFonts w:hint="default" w:ascii="黑体" w:hAnsi="黑体" w:eastAsia="黑体" w:cs="黑体"/>
        </w:rPr>
        <w:t xml:space="preserve">4 </w:t>
      </w:r>
      <w:r>
        <w:rPr>
          <w:rFonts w:hint="eastAsia"/>
          <w:lang w:val="en-US" w:eastAsia="zh-CN"/>
        </w:rPr>
        <w:t>原料</w:t>
      </w:r>
      <w:r>
        <w:rPr>
          <w:rFonts w:hint="default"/>
        </w:rPr>
        <w:t>要求</w:t>
      </w:r>
      <w:r>
        <w:tab/>
      </w:r>
      <w:r>
        <w:fldChar w:fldCharType="begin"/>
      </w:r>
      <w:r>
        <w:instrText xml:space="preserve"> PAGEREF _Toc20283 \h </w:instrText>
      </w:r>
      <w:r>
        <w:fldChar w:fldCharType="separate"/>
      </w:r>
      <w:r>
        <w:t>1</w:t>
      </w:r>
      <w:r>
        <w:fldChar w:fldCharType="end"/>
      </w:r>
      <w:r>
        <w:rPr>
          <w:rFonts w:hint="eastAsia" w:ascii="宋体" w:hAnsi="宋体" w:eastAsia="宋体" w:cs="宋体"/>
          <w:spacing w:val="0"/>
          <w:lang w:val="en-US" w:eastAsia="zh-CN"/>
        </w:rPr>
        <w:fldChar w:fldCharType="end"/>
      </w:r>
    </w:p>
    <w:p w14:paraId="6C726702">
      <w:pPr>
        <w:pStyle w:val="14"/>
        <w:tabs>
          <w:tab w:val="right" w:leader="dot" w:pos="9354"/>
        </w:tabs>
      </w:pPr>
      <w:r>
        <w:rPr>
          <w:rFonts w:hint="eastAsia" w:ascii="宋体" w:hAnsi="宋体" w:eastAsia="宋体" w:cs="宋体"/>
          <w:spacing w:val="0"/>
          <w:lang w:val="en-US" w:eastAsia="zh-CN"/>
        </w:rPr>
        <w:fldChar w:fldCharType="begin"/>
      </w:r>
      <w:r>
        <w:rPr>
          <w:rFonts w:hint="eastAsia" w:ascii="宋体" w:hAnsi="宋体" w:eastAsia="宋体" w:cs="宋体"/>
          <w:spacing w:val="0"/>
          <w:lang w:val="en-US" w:eastAsia="zh-CN"/>
        </w:rPr>
        <w:instrText xml:space="preserve"> HYPERLINK \l _Toc14896 </w:instrText>
      </w:r>
      <w:r>
        <w:rPr>
          <w:rFonts w:hint="eastAsia" w:ascii="宋体" w:hAnsi="宋体" w:eastAsia="宋体" w:cs="宋体"/>
          <w:spacing w:val="0"/>
          <w:lang w:val="en-US" w:eastAsia="zh-CN"/>
        </w:rPr>
        <w:fldChar w:fldCharType="separate"/>
      </w:r>
      <w:r>
        <w:rPr>
          <w:rFonts w:hint="default" w:ascii="黑体" w:hAnsi="黑体" w:eastAsia="黑体" w:cs="黑体"/>
        </w:rPr>
        <w:t xml:space="preserve">5 </w:t>
      </w:r>
      <w:r>
        <w:rPr>
          <w:rFonts w:hint="default"/>
        </w:rPr>
        <w:t>加工条件</w:t>
      </w:r>
      <w:r>
        <w:tab/>
      </w:r>
      <w:r>
        <w:fldChar w:fldCharType="begin"/>
      </w:r>
      <w:r>
        <w:instrText xml:space="preserve"> PAGEREF _Toc14896 \h </w:instrText>
      </w:r>
      <w:r>
        <w:fldChar w:fldCharType="separate"/>
      </w:r>
      <w:r>
        <w:t>2</w:t>
      </w:r>
      <w:r>
        <w:fldChar w:fldCharType="end"/>
      </w:r>
      <w:r>
        <w:rPr>
          <w:rFonts w:hint="eastAsia" w:ascii="宋体" w:hAnsi="宋体" w:eastAsia="宋体" w:cs="宋体"/>
          <w:spacing w:val="0"/>
          <w:lang w:val="en-US" w:eastAsia="zh-CN"/>
        </w:rPr>
        <w:fldChar w:fldCharType="end"/>
      </w:r>
    </w:p>
    <w:p w14:paraId="5D48F51C">
      <w:pPr>
        <w:pStyle w:val="14"/>
        <w:tabs>
          <w:tab w:val="right" w:leader="dot" w:pos="9354"/>
        </w:tabs>
      </w:pPr>
      <w:r>
        <w:rPr>
          <w:rFonts w:hint="eastAsia" w:ascii="宋体" w:hAnsi="宋体" w:eastAsia="宋体" w:cs="宋体"/>
          <w:spacing w:val="0"/>
          <w:lang w:val="en-US" w:eastAsia="zh-CN"/>
        </w:rPr>
        <w:fldChar w:fldCharType="begin"/>
      </w:r>
      <w:r>
        <w:rPr>
          <w:rFonts w:hint="eastAsia" w:ascii="宋体" w:hAnsi="宋体" w:eastAsia="宋体" w:cs="宋体"/>
          <w:spacing w:val="0"/>
          <w:lang w:val="en-US" w:eastAsia="zh-CN"/>
        </w:rPr>
        <w:instrText xml:space="preserve"> HYPERLINK \l _Toc26166 </w:instrText>
      </w:r>
      <w:r>
        <w:rPr>
          <w:rFonts w:hint="eastAsia" w:ascii="宋体" w:hAnsi="宋体" w:eastAsia="宋体" w:cs="宋体"/>
          <w:spacing w:val="0"/>
          <w:lang w:val="en-US" w:eastAsia="zh-CN"/>
        </w:rPr>
        <w:fldChar w:fldCharType="separate"/>
      </w:r>
      <w:r>
        <w:rPr>
          <w:rFonts w:hint="default" w:ascii="黑体" w:hAnsi="黑体" w:eastAsia="黑体" w:cs="黑体"/>
        </w:rPr>
        <w:t xml:space="preserve">6 </w:t>
      </w:r>
      <w:r>
        <w:rPr>
          <w:rFonts w:hint="default"/>
        </w:rPr>
        <w:t>加工工艺</w:t>
      </w:r>
      <w:r>
        <w:tab/>
      </w:r>
      <w:r>
        <w:fldChar w:fldCharType="begin"/>
      </w:r>
      <w:r>
        <w:instrText xml:space="preserve"> PAGEREF _Toc26166 \h </w:instrText>
      </w:r>
      <w:r>
        <w:fldChar w:fldCharType="separate"/>
      </w:r>
      <w:r>
        <w:t>2</w:t>
      </w:r>
      <w:r>
        <w:fldChar w:fldCharType="end"/>
      </w:r>
      <w:r>
        <w:rPr>
          <w:rFonts w:hint="eastAsia" w:ascii="宋体" w:hAnsi="宋体" w:eastAsia="宋体" w:cs="宋体"/>
          <w:spacing w:val="0"/>
          <w:lang w:val="en-US" w:eastAsia="zh-CN"/>
        </w:rPr>
        <w:fldChar w:fldCharType="end"/>
      </w:r>
    </w:p>
    <w:p w14:paraId="6179BA45">
      <w:pPr>
        <w:pStyle w:val="14"/>
        <w:tabs>
          <w:tab w:val="right" w:leader="dot" w:pos="9354"/>
        </w:tabs>
      </w:pPr>
      <w:r>
        <w:rPr>
          <w:rFonts w:hint="eastAsia" w:ascii="宋体" w:hAnsi="宋体" w:eastAsia="宋体" w:cs="宋体"/>
          <w:spacing w:val="0"/>
          <w:lang w:val="en-US" w:eastAsia="zh-CN"/>
        </w:rPr>
        <w:fldChar w:fldCharType="begin"/>
      </w:r>
      <w:r>
        <w:rPr>
          <w:rFonts w:hint="eastAsia" w:ascii="宋体" w:hAnsi="宋体" w:eastAsia="宋体" w:cs="宋体"/>
          <w:spacing w:val="0"/>
          <w:lang w:val="en-US" w:eastAsia="zh-CN"/>
        </w:rPr>
        <w:instrText xml:space="preserve"> HYPERLINK \l _Toc20517 </w:instrText>
      </w:r>
      <w:r>
        <w:rPr>
          <w:rFonts w:hint="eastAsia" w:ascii="宋体" w:hAnsi="宋体" w:eastAsia="宋体" w:cs="宋体"/>
          <w:spacing w:val="0"/>
          <w:lang w:val="en-US" w:eastAsia="zh-CN"/>
        </w:rPr>
        <w:fldChar w:fldCharType="separate"/>
      </w:r>
      <w:r>
        <w:rPr>
          <w:rFonts w:hint="default" w:ascii="黑体" w:hAnsi="黑体" w:eastAsia="黑体" w:cs="黑体"/>
        </w:rPr>
        <w:t xml:space="preserve">7 </w:t>
      </w:r>
      <w:r>
        <w:rPr>
          <w:rFonts w:hint="default"/>
        </w:rPr>
        <w:t>包装、运输和贮存</w:t>
      </w:r>
      <w:r>
        <w:tab/>
      </w:r>
      <w:r>
        <w:fldChar w:fldCharType="begin"/>
      </w:r>
      <w:r>
        <w:instrText xml:space="preserve"> PAGEREF _Toc20517 \h </w:instrText>
      </w:r>
      <w:r>
        <w:fldChar w:fldCharType="separate"/>
      </w:r>
      <w:r>
        <w:t>3</w:t>
      </w:r>
      <w:r>
        <w:fldChar w:fldCharType="end"/>
      </w:r>
      <w:r>
        <w:rPr>
          <w:rFonts w:hint="eastAsia" w:ascii="宋体" w:hAnsi="宋体" w:eastAsia="宋体" w:cs="宋体"/>
          <w:spacing w:val="0"/>
          <w:lang w:val="en-US" w:eastAsia="zh-CN"/>
        </w:rPr>
        <w:fldChar w:fldCharType="end"/>
      </w:r>
    </w:p>
    <w:p w14:paraId="11869861">
      <w:pPr>
        <w:pStyle w:val="14"/>
        <w:tabs>
          <w:tab w:val="right" w:leader="dot" w:pos="9354"/>
        </w:tabs>
      </w:pPr>
      <w:r>
        <w:rPr>
          <w:rFonts w:hint="eastAsia" w:ascii="宋体" w:hAnsi="宋体" w:eastAsia="宋体" w:cs="宋体"/>
          <w:spacing w:val="0"/>
          <w:lang w:val="en-US" w:eastAsia="zh-CN"/>
        </w:rPr>
        <w:fldChar w:fldCharType="begin"/>
      </w:r>
      <w:r>
        <w:rPr>
          <w:rFonts w:hint="eastAsia" w:ascii="宋体" w:hAnsi="宋体" w:eastAsia="宋体" w:cs="宋体"/>
          <w:spacing w:val="0"/>
          <w:lang w:val="en-US" w:eastAsia="zh-CN"/>
        </w:rPr>
        <w:instrText xml:space="preserve"> HYPERLINK \l _Toc27209 </w:instrText>
      </w:r>
      <w:r>
        <w:rPr>
          <w:rFonts w:hint="eastAsia" w:ascii="宋体" w:hAnsi="宋体" w:eastAsia="宋体" w:cs="宋体"/>
          <w:spacing w:val="0"/>
          <w:lang w:val="en-US" w:eastAsia="zh-CN"/>
        </w:rPr>
        <w:fldChar w:fldCharType="separate"/>
      </w:r>
      <w:r>
        <w:rPr>
          <w:rFonts w:hint="default" w:ascii="黑体" w:hAnsi="黑体" w:eastAsia="黑体" w:cs="黑体"/>
        </w:rPr>
        <w:t xml:space="preserve">8 </w:t>
      </w:r>
      <w:r>
        <w:rPr>
          <w:rFonts w:hint="default"/>
        </w:rPr>
        <w:t>质量管理</w:t>
      </w:r>
      <w:r>
        <w:tab/>
      </w:r>
      <w:r>
        <w:fldChar w:fldCharType="begin"/>
      </w:r>
      <w:r>
        <w:instrText xml:space="preserve"> PAGEREF _Toc27209 \h </w:instrText>
      </w:r>
      <w:r>
        <w:fldChar w:fldCharType="separate"/>
      </w:r>
      <w:r>
        <w:t>3</w:t>
      </w:r>
      <w:r>
        <w:fldChar w:fldCharType="end"/>
      </w:r>
      <w:r>
        <w:rPr>
          <w:rFonts w:hint="eastAsia" w:ascii="宋体" w:hAnsi="宋体" w:eastAsia="宋体" w:cs="宋体"/>
          <w:spacing w:val="0"/>
          <w:lang w:val="en-US" w:eastAsia="zh-CN"/>
        </w:rPr>
        <w:fldChar w:fldCharType="end"/>
      </w:r>
    </w:p>
    <w:p w14:paraId="008F1364">
      <w:pPr>
        <w:pStyle w:val="14"/>
        <w:tabs>
          <w:tab w:val="right" w:leader="dot" w:pos="9354"/>
        </w:tabs>
      </w:pPr>
      <w:r>
        <w:rPr>
          <w:rFonts w:hint="eastAsia" w:ascii="宋体" w:hAnsi="宋体" w:eastAsia="宋体" w:cs="宋体"/>
          <w:spacing w:val="0"/>
          <w:lang w:val="en-US" w:eastAsia="zh-CN"/>
        </w:rPr>
        <w:fldChar w:fldCharType="begin"/>
      </w:r>
      <w:r>
        <w:rPr>
          <w:rFonts w:hint="eastAsia" w:ascii="宋体" w:hAnsi="宋体" w:eastAsia="宋体" w:cs="宋体"/>
          <w:spacing w:val="0"/>
          <w:lang w:val="en-US" w:eastAsia="zh-CN"/>
        </w:rPr>
        <w:instrText xml:space="preserve"> HYPERLINK \l _Toc28217 </w:instrText>
      </w:r>
      <w:r>
        <w:rPr>
          <w:rFonts w:hint="eastAsia" w:ascii="宋体" w:hAnsi="宋体" w:eastAsia="宋体" w:cs="宋体"/>
          <w:spacing w:val="0"/>
          <w:lang w:val="en-US" w:eastAsia="zh-CN"/>
        </w:rPr>
        <w:fldChar w:fldCharType="separate"/>
      </w:r>
      <w:r>
        <w:rPr>
          <w:rFonts w:hint="default"/>
          <w:spacing w:val="102"/>
          <w:lang w:val="en-US" w:eastAsia="zh-CN"/>
        </w:rPr>
        <w:t xml:space="preserve">附录A </w:t>
      </w:r>
      <w:r>
        <w:rPr>
          <w:rFonts w:hint="eastAsia"/>
          <w:lang w:val="en-US" w:eastAsia="zh-CN"/>
        </w:rPr>
        <w:t xml:space="preserve"> （规范性） 井冈山绿茶生产区域范围图</w:t>
      </w:r>
      <w:r>
        <w:tab/>
      </w:r>
      <w:r>
        <w:fldChar w:fldCharType="begin"/>
      </w:r>
      <w:r>
        <w:instrText xml:space="preserve"> PAGEREF _Toc28217 \h </w:instrText>
      </w:r>
      <w:r>
        <w:fldChar w:fldCharType="separate"/>
      </w:r>
      <w:r>
        <w:t>5</w:t>
      </w:r>
      <w:r>
        <w:fldChar w:fldCharType="end"/>
      </w:r>
      <w:r>
        <w:rPr>
          <w:rFonts w:hint="eastAsia" w:ascii="宋体" w:hAnsi="宋体" w:eastAsia="宋体" w:cs="宋体"/>
          <w:spacing w:val="0"/>
          <w:lang w:val="en-US" w:eastAsia="zh-CN"/>
        </w:rPr>
        <w:fldChar w:fldCharType="end"/>
      </w:r>
    </w:p>
    <w:p w14:paraId="326C897F">
      <w:pPr>
        <w:bidi w:val="0"/>
        <w:ind w:left="0" w:leftChars="0" w:firstLine="0" w:firstLineChars="0"/>
        <w:rPr>
          <w:rFonts w:hint="eastAsia"/>
          <w:lang w:val="en-US" w:eastAsia="zh-CN"/>
        </w:rPr>
      </w:pPr>
      <w:r>
        <w:rPr>
          <w:rFonts w:hint="eastAsia" w:ascii="宋体" w:hAnsi="宋体" w:eastAsia="宋体" w:cs="宋体"/>
          <w:spacing w:val="0"/>
          <w:lang w:val="en-US" w:eastAsia="zh-CN"/>
        </w:rPr>
        <w:fldChar w:fldCharType="end"/>
      </w:r>
    </w:p>
    <w:p w14:paraId="1560A282">
      <w:pPr>
        <w:pStyle w:val="53"/>
        <w:bidi w:val="0"/>
        <w:rPr>
          <w:rFonts w:hint="eastAsia"/>
          <w:lang w:val="en-US" w:eastAsia="zh-CN"/>
        </w:rPr>
      </w:pPr>
      <w:r>
        <w:rPr>
          <w:rFonts w:hint="eastAsia"/>
          <w:lang w:val="en-US" w:eastAsia="zh-CN"/>
        </w:rPr>
        <w:br w:type="page"/>
      </w:r>
    </w:p>
    <w:p w14:paraId="1DF1A020">
      <w:pPr>
        <w:pStyle w:val="54"/>
        <w:bidi w:val="0"/>
        <w:rPr>
          <w:rFonts w:hint="eastAsia"/>
          <w:lang w:val="en-US" w:eastAsia="zh-CN"/>
        </w:rPr>
      </w:pPr>
      <w:bookmarkStart w:id="19" w:name="_Toc6346"/>
      <w:r>
        <w:rPr>
          <w:rFonts w:hint="eastAsia"/>
          <w:spacing w:val="317"/>
          <w:lang w:val="en-US" w:eastAsia="zh-CN"/>
        </w:rPr>
        <w:t>前</w:t>
      </w:r>
      <w:bookmarkStart w:id="20" w:name="BKQY"/>
      <w:r>
        <w:rPr>
          <w:rFonts w:hint="eastAsia"/>
          <w:lang w:val="en-US" w:eastAsia="zh-CN"/>
        </w:rPr>
        <w:t>言</w:t>
      </w:r>
      <w:bookmarkEnd w:id="19"/>
    </w:p>
    <w:p w14:paraId="147686C0">
      <w:pPr>
        <w:pStyle w:val="24"/>
        <w:bidi w:val="0"/>
        <w:rPr>
          <w:rFonts w:hint="eastAsia"/>
          <w:lang w:val="en-US" w:eastAsia="zh-CN"/>
        </w:rPr>
      </w:pPr>
      <w:r>
        <w:rPr>
          <w:rFonts w:hint="eastAsia"/>
          <w:lang w:val="en-US" w:eastAsia="zh-CN"/>
        </w:rPr>
        <w:t>本文件按照GB/T 1.1—2020《标准化工作导则  第1部分：标准化文件的结构和起草规则》的规定起草。</w:t>
      </w:r>
    </w:p>
    <w:p w14:paraId="52FD66E1">
      <w:pPr>
        <w:pStyle w:val="24"/>
        <w:bidi w:val="0"/>
        <w:rPr>
          <w:rFonts w:hint="eastAsia"/>
          <w:lang w:val="en-US" w:eastAsia="zh-CN"/>
        </w:rPr>
      </w:pPr>
      <w:r>
        <w:rPr>
          <w:rFonts w:hint="eastAsia"/>
          <w:lang w:val="en-US" w:eastAsia="zh-CN"/>
        </w:rPr>
        <w:t>请注意本文件的某些内容可能涉及专利。本文件的发布机构不承担识别专利的责任。</w:t>
      </w:r>
    </w:p>
    <w:p w14:paraId="6D38B6E7">
      <w:pPr>
        <w:pStyle w:val="24"/>
        <w:bidi w:val="0"/>
        <w:rPr>
          <w:rFonts w:hint="eastAsia"/>
          <w:lang w:val="en-US" w:eastAsia="zh-CN"/>
        </w:rPr>
      </w:pPr>
      <w:r>
        <w:rPr>
          <w:rFonts w:hint="eastAsia"/>
          <w:lang w:val="en-US" w:eastAsia="zh-CN"/>
        </w:rPr>
        <w:t>本文件由</w:t>
      </w:r>
      <w:r>
        <w:rPr>
          <w:rFonts w:hint="eastAsia"/>
        </w:rPr>
        <w:t>吉安市绿色农产品促进会</w:t>
      </w:r>
      <w:r>
        <w:rPr>
          <w:rFonts w:hint="eastAsia"/>
          <w:lang w:val="en-US" w:eastAsia="zh-CN"/>
        </w:rPr>
        <w:t>提出并归口。</w:t>
      </w:r>
    </w:p>
    <w:p w14:paraId="0453080A">
      <w:pPr>
        <w:pStyle w:val="24"/>
        <w:bidi w:val="0"/>
        <w:rPr>
          <w:rFonts w:hint="eastAsia" w:eastAsia="宋体"/>
          <w:lang w:val="en-US" w:eastAsia="zh-CN"/>
        </w:rPr>
      </w:pPr>
      <w:r>
        <w:rPr>
          <w:rFonts w:hint="eastAsia"/>
          <w:lang w:val="en-US" w:eastAsia="zh-CN"/>
        </w:rPr>
        <w:t>本文件起草单位：</w:t>
      </w:r>
    </w:p>
    <w:p w14:paraId="0FE34F4B">
      <w:pPr>
        <w:pStyle w:val="24"/>
        <w:bidi w:val="0"/>
        <w:rPr>
          <w:rFonts w:hint="eastAsia"/>
          <w:lang w:val="en-US" w:eastAsia="zh-CN"/>
        </w:rPr>
      </w:pPr>
      <w:r>
        <w:rPr>
          <w:rFonts w:hint="eastAsia"/>
          <w:lang w:val="en-US" w:eastAsia="zh-CN"/>
        </w:rPr>
        <w:t>本文件主要起草人：</w:t>
      </w:r>
    </w:p>
    <w:p w14:paraId="3195C7A8">
      <w:pPr>
        <w:pStyle w:val="24"/>
        <w:bidi w:val="0"/>
        <w:rPr>
          <w:rFonts w:hint="eastAsia"/>
          <w:lang w:val="en-US" w:eastAsia="zh-CN"/>
        </w:rPr>
      </w:pPr>
    </w:p>
    <w:bookmarkEnd w:id="20"/>
    <w:p w14:paraId="02A27F39">
      <w:pPr>
        <w:rPr>
          <w:rFonts w:hint="eastAsia"/>
          <w:lang w:val="en-US" w:eastAsia="zh-CN"/>
        </w:rPr>
      </w:pPr>
    </w:p>
    <w:p w14:paraId="3FA7CBFC">
      <w:pPr>
        <w:rPr>
          <w:rFonts w:hint="eastAsia"/>
          <w:lang w:val="en-US" w:eastAsia="zh-CN"/>
        </w:rPr>
      </w:pPr>
    </w:p>
    <w:p w14:paraId="26C1DC75">
      <w:pPr>
        <w:rPr>
          <w:rFonts w:hint="eastAsia"/>
          <w:lang w:val="en-US" w:eastAsia="zh-CN"/>
        </w:rPr>
        <w:sectPr>
          <w:headerReference r:id="rId4" w:type="default"/>
          <w:footerReference r:id="rId5" w:type="default"/>
          <w:footerReference r:id="rId6" w:type="even"/>
          <w:pgSz w:w="11906" w:h="16838"/>
          <w:pgMar w:top="2410" w:right="1134" w:bottom="1134" w:left="1134" w:header="1418" w:footer="1134" w:gutter="284"/>
          <w:lnNumType w:countBy="0" w:restart="continuous"/>
          <w:pgNumType w:fmt="upperRoman" w:start="1"/>
          <w:cols w:space="425" w:num="1"/>
          <w:docGrid w:type="lines" w:linePitch="312" w:charSpace="0"/>
        </w:sectPr>
      </w:pPr>
    </w:p>
    <w:sdt>
      <w:sdtPr>
        <w:rPr>
          <w:rStyle w:val="119"/>
          <w:rFonts w:hint="eastAsia"/>
          <w:lang w:val="en-US" w:eastAsia="zh-CN"/>
        </w:rPr>
        <w:tag w:val="StandardName"/>
        <w:id w:val="147457484"/>
        <w:lock w:val="sdtLocked"/>
        <w:placeholder>
          <w:docPart w:val="{dc198fea-d184-4aa6-8509-aaf3d889285d}"/>
        </w:placeholder>
      </w:sdtPr>
      <w:sdtEndPr>
        <w:rPr>
          <w:rStyle w:val="119"/>
          <w:rFonts w:hint="eastAsia"/>
          <w:lang w:val="en-US" w:eastAsia="zh-CN"/>
        </w:rPr>
      </w:sdtEndPr>
      <w:sdtContent>
        <w:p w14:paraId="0398B871">
          <w:pPr>
            <w:pStyle w:val="55"/>
            <w:bidi w:val="0"/>
            <w:rPr>
              <w:rStyle w:val="119"/>
              <w:rFonts w:hint="eastAsia"/>
              <w:lang w:val="en-US" w:eastAsia="zh-CN"/>
            </w:rPr>
          </w:pPr>
          <w:bookmarkStart w:id="21" w:name="StandardName"/>
          <w:r>
            <w:rPr>
              <w:rStyle w:val="119"/>
              <w:rFonts w:hint="eastAsia"/>
              <w:lang w:val="en-US" w:eastAsia="zh-CN"/>
            </w:rPr>
            <w:t>井冈山绿茶加工技术规程</w:t>
          </w:r>
          <w:bookmarkEnd w:id="21"/>
        </w:p>
      </w:sdtContent>
    </w:sdt>
    <w:p w14:paraId="651D58E5">
      <w:pPr>
        <w:pStyle w:val="71"/>
        <w:bidi w:val="0"/>
        <w:rPr>
          <w:rStyle w:val="119"/>
          <w:rFonts w:hint="eastAsia"/>
          <w:lang w:val="en-US" w:eastAsia="zh-CN"/>
        </w:rPr>
      </w:pPr>
      <w:bookmarkStart w:id="22" w:name="_Toc8541"/>
      <w:r>
        <w:rPr>
          <w:rFonts w:hint="eastAsia"/>
          <w:lang w:val="en-US" w:eastAsia="zh-CN"/>
        </w:rPr>
        <w:t>范围</w:t>
      </w:r>
      <w:bookmarkEnd w:id="22"/>
    </w:p>
    <w:p w14:paraId="430F6724">
      <w:pPr>
        <w:pStyle w:val="24"/>
        <w:rPr>
          <w:rFonts w:hint="eastAsia"/>
          <w:lang w:val="en-US" w:eastAsia="zh-CN"/>
        </w:rPr>
      </w:pPr>
      <w:r>
        <w:rPr>
          <w:rFonts w:hint="eastAsia"/>
          <w:lang w:val="en-US" w:eastAsia="zh-CN"/>
        </w:rPr>
        <w:t>本文件规定了井冈山绿茶加工的术语和定义、原料要求、加工条件、加工工艺、包装、运输和贮存、质量管理。</w:t>
      </w:r>
    </w:p>
    <w:p w14:paraId="4FF920AA">
      <w:pPr>
        <w:pStyle w:val="24"/>
        <w:rPr>
          <w:rFonts w:hint="eastAsia"/>
          <w:lang w:val="en-US" w:eastAsia="zh-CN"/>
        </w:rPr>
      </w:pPr>
      <w:r>
        <w:rPr>
          <w:rFonts w:hint="eastAsia"/>
          <w:lang w:val="en-US" w:eastAsia="zh-CN"/>
        </w:rPr>
        <w:t>本文件适用于吉安市行政区域范围内绿茶的加工。</w:t>
      </w:r>
    </w:p>
    <w:p w14:paraId="581296F6">
      <w:pPr>
        <w:pStyle w:val="71"/>
        <w:bidi w:val="0"/>
        <w:rPr>
          <w:rFonts w:hint="eastAsia"/>
          <w:lang w:val="en-US" w:eastAsia="zh-CN"/>
        </w:rPr>
      </w:pPr>
      <w:bookmarkStart w:id="23" w:name="_Toc30434"/>
      <w:r>
        <w:rPr>
          <w:rFonts w:hint="eastAsia"/>
          <w:lang w:val="en-US" w:eastAsia="zh-CN"/>
        </w:rPr>
        <w:t>规范性引用文件</w:t>
      </w:r>
      <w:bookmarkEnd w:id="23"/>
      <w:bookmarkStart w:id="34" w:name="_GoBack"/>
      <w:bookmarkEnd w:id="34"/>
    </w:p>
    <w:sdt>
      <w:sdtPr>
        <w:rPr>
          <w:rFonts w:hint="eastAsia" w:ascii="宋体" w:hAnsi="Times New Roman" w:eastAsia="宋体" w:cs="宋体"/>
          <w:sz w:val="21"/>
          <w:lang w:val="en-US" w:eastAsia="zh-CN"/>
        </w:rPr>
        <w:tag w:val="StandNameFile"/>
        <w:id w:val="147458581"/>
        <w:placeholder>
          <w:docPart w:val="{e43a72de-6420-4734-a0dc-b6c3f8f378bc}"/>
        </w:placeholder>
        <w:comboBox>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comboBox>
      </w:sdtPr>
      <w:sdtEndPr>
        <w:rPr>
          <w:rFonts w:hint="eastAsia" w:ascii="宋体" w:hAnsi="Times New Roman" w:eastAsia="宋体" w:cs="宋体"/>
          <w:sz w:val="21"/>
          <w:lang w:val="en-US" w:eastAsia="zh-CN"/>
        </w:rPr>
      </w:sdtEndPr>
      <w:sdtContent>
        <w:p w14:paraId="68DD5370">
          <w:pPr>
            <w:pStyle w:val="24"/>
            <w:bidi w:val="0"/>
            <w:rPr>
              <w:rFonts w:hint="eastAsia" w:ascii="宋体" w:hAnsi="Times New Roman" w:eastAsia="宋体" w:cs="宋体"/>
              <w:sz w:val="21"/>
              <w:lang w:val="en-US" w:eastAsia="zh-CN"/>
            </w:rPr>
          </w:pPr>
          <w:r>
            <w:rPr>
              <w:rFonts w:hint="eastAsia" w:ascii="宋体" w:hAnsi="Times New Roman" w:eastAsia="宋体" w:cs="宋体"/>
              <w:sz w:val="21"/>
              <w:lang w:val="en-US" w:eastAsia="zh-CN"/>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42209E1E">
      <w:pPr>
        <w:pStyle w:val="24"/>
        <w:bidi w:val="0"/>
        <w:rPr>
          <w:rFonts w:hint="eastAsia" w:ascii="宋体" w:hAnsi="Times New Roman" w:eastAsia="宋体" w:cs="宋体"/>
          <w:sz w:val="21"/>
          <w:lang w:val="en-US" w:eastAsia="zh-CN"/>
        </w:rPr>
      </w:pPr>
      <w:r>
        <w:rPr>
          <w:rFonts w:hint="eastAsia" w:ascii="宋体" w:hAnsi="Times New Roman" w:eastAsia="宋体" w:cs="宋体"/>
          <w:sz w:val="21"/>
          <w:lang w:val="en-US" w:eastAsia="zh-CN"/>
        </w:rPr>
        <w:t>GB 4806.1</w:t>
      </w:r>
      <w:r>
        <w:rPr>
          <w:rFonts w:hint="eastAsia" w:cs="宋体"/>
          <w:sz w:val="21"/>
          <w:lang w:val="en-US" w:eastAsia="zh-CN"/>
        </w:rPr>
        <w:t xml:space="preserve"> </w:t>
      </w:r>
      <w:r>
        <w:rPr>
          <w:rFonts w:hint="eastAsia" w:ascii="宋体" w:hAnsi="Times New Roman" w:eastAsia="宋体" w:cs="宋体"/>
          <w:sz w:val="21"/>
          <w:lang w:val="en-US" w:eastAsia="zh-CN"/>
        </w:rPr>
        <w:t xml:space="preserve"> 食品安全国家标准</w:t>
      </w:r>
      <w:r>
        <w:rPr>
          <w:rFonts w:hint="eastAsia" w:cs="宋体"/>
          <w:sz w:val="21"/>
          <w:lang w:val="en-US" w:eastAsia="zh-CN"/>
        </w:rPr>
        <w:t xml:space="preserve"> </w:t>
      </w:r>
      <w:r>
        <w:rPr>
          <w:rFonts w:hint="eastAsia" w:ascii="宋体" w:hAnsi="Times New Roman" w:eastAsia="宋体" w:cs="宋体"/>
          <w:sz w:val="21"/>
          <w:lang w:val="en-US" w:eastAsia="zh-CN"/>
        </w:rPr>
        <w:t xml:space="preserve"> 食品接触材料及制品通用安全要求</w:t>
      </w:r>
    </w:p>
    <w:p w14:paraId="3A931BE7">
      <w:pPr>
        <w:pStyle w:val="24"/>
        <w:bidi w:val="0"/>
        <w:rPr>
          <w:rFonts w:hint="eastAsia" w:ascii="宋体" w:hAnsi="Times New Roman" w:eastAsia="宋体" w:cs="宋体"/>
          <w:sz w:val="21"/>
          <w:lang w:val="en-US" w:eastAsia="zh-CN"/>
        </w:rPr>
      </w:pPr>
      <w:r>
        <w:rPr>
          <w:rFonts w:hint="eastAsia" w:ascii="宋体" w:hAnsi="Times New Roman" w:eastAsia="宋体" w:cs="宋体"/>
          <w:sz w:val="21"/>
          <w:lang w:val="en-US" w:eastAsia="zh-CN"/>
        </w:rPr>
        <w:t>GB 4806.7  食品安全国家标准  食品接触用塑料材料及制品</w:t>
      </w:r>
    </w:p>
    <w:p w14:paraId="4CE28A77">
      <w:pPr>
        <w:pStyle w:val="24"/>
        <w:bidi w:val="0"/>
        <w:rPr>
          <w:rFonts w:hint="eastAsia" w:ascii="宋体" w:hAnsi="Times New Roman" w:eastAsia="宋体" w:cs="宋体"/>
          <w:sz w:val="21"/>
          <w:lang w:val="en-US" w:eastAsia="zh-CN"/>
        </w:rPr>
      </w:pPr>
      <w:r>
        <w:rPr>
          <w:rFonts w:hint="eastAsia" w:ascii="宋体" w:hAnsi="Times New Roman" w:eastAsia="宋体" w:cs="宋体"/>
          <w:sz w:val="21"/>
          <w:lang w:val="en-US" w:eastAsia="zh-CN"/>
        </w:rPr>
        <w:t>GB 4806.8  食品安全国家标准  食品接触用纸及纸制品</w:t>
      </w:r>
    </w:p>
    <w:p w14:paraId="7DA1733F">
      <w:pPr>
        <w:pStyle w:val="24"/>
        <w:bidi w:val="0"/>
        <w:rPr>
          <w:rFonts w:hint="eastAsia" w:ascii="宋体" w:hAnsi="Times New Roman" w:eastAsia="宋体" w:cs="宋体"/>
          <w:sz w:val="21"/>
          <w:lang w:val="en-US" w:eastAsia="zh-CN"/>
        </w:rPr>
      </w:pPr>
      <w:r>
        <w:rPr>
          <w:rFonts w:hint="eastAsia" w:ascii="宋体" w:hAnsi="Times New Roman" w:eastAsia="宋体" w:cs="宋体"/>
          <w:sz w:val="21"/>
          <w:lang w:val="en-US" w:eastAsia="zh-CN"/>
        </w:rPr>
        <w:t>GB/T 5737  食品塑料周转箱</w:t>
      </w:r>
    </w:p>
    <w:p w14:paraId="2A37CE8D">
      <w:pPr>
        <w:pStyle w:val="24"/>
        <w:bidi w:val="0"/>
        <w:rPr>
          <w:rFonts w:hint="default"/>
          <w:lang w:val="en-US" w:eastAsia="zh-CN"/>
        </w:rPr>
      </w:pPr>
      <w:bookmarkStart w:id="24" w:name="_Hlk103956065"/>
      <w:r>
        <w:rPr>
          <w:rFonts w:hint="eastAsia"/>
          <w:lang w:val="en-US" w:eastAsia="zh-CN"/>
        </w:rPr>
        <w:t>GB 7718  食品安全国家标准 预包装食品标签通则</w:t>
      </w:r>
    </w:p>
    <w:p w14:paraId="361182A7">
      <w:pPr>
        <w:pStyle w:val="24"/>
        <w:bidi w:val="0"/>
        <w:rPr>
          <w:rFonts w:hint="default"/>
          <w:lang w:val="en-US" w:eastAsia="zh-CN"/>
        </w:rPr>
      </w:pPr>
      <w:r>
        <w:rPr>
          <w:rFonts w:hint="eastAsia"/>
          <w:lang w:val="en-US" w:eastAsia="zh-CN"/>
        </w:rPr>
        <w:t>GB 14881 食品安全国家标准 食品生产通用卫生规范</w:t>
      </w:r>
    </w:p>
    <w:p w14:paraId="6B8512AF">
      <w:pPr>
        <w:pStyle w:val="24"/>
        <w:bidi w:val="0"/>
        <w:rPr>
          <w:rFonts w:hint="eastAsia" w:ascii="宋体" w:hAnsi="Times New Roman" w:eastAsia="宋体" w:cs="宋体"/>
          <w:sz w:val="21"/>
          <w:lang w:val="en-US" w:eastAsia="zh-CN"/>
        </w:rPr>
      </w:pPr>
      <w:r>
        <w:rPr>
          <w:rFonts w:hint="eastAsia" w:ascii="宋体" w:hAnsi="Times New Roman" w:eastAsia="宋体" w:cs="宋体"/>
          <w:sz w:val="21"/>
          <w:lang w:val="en-US" w:eastAsia="zh-CN"/>
        </w:rPr>
        <w:t xml:space="preserve">GB/T 19630  有机产品  生产、加工、标识与管理体系要求 </w:t>
      </w:r>
      <w:bookmarkEnd w:id="24"/>
    </w:p>
    <w:p w14:paraId="2DE45B80">
      <w:pPr>
        <w:pStyle w:val="24"/>
        <w:bidi w:val="0"/>
        <w:rPr>
          <w:rFonts w:hint="eastAsia" w:ascii="宋体" w:hAnsi="Times New Roman" w:eastAsia="宋体" w:cs="宋体"/>
          <w:sz w:val="21"/>
          <w:lang w:val="en-US" w:eastAsia="zh-CN"/>
        </w:rPr>
      </w:pPr>
      <w:r>
        <w:rPr>
          <w:rFonts w:hint="eastAsia" w:ascii="宋体" w:hAnsi="Times New Roman" w:eastAsia="宋体" w:cs="宋体"/>
          <w:sz w:val="21"/>
          <w:lang w:val="en-US" w:eastAsia="zh-CN"/>
        </w:rPr>
        <w:t>GB/T 30375</w:t>
      </w:r>
      <w:r>
        <w:rPr>
          <w:rFonts w:hint="eastAsia" w:cs="宋体"/>
          <w:sz w:val="21"/>
          <w:lang w:val="en-US" w:eastAsia="zh-CN"/>
        </w:rPr>
        <w:t xml:space="preserve">  </w:t>
      </w:r>
      <w:r>
        <w:rPr>
          <w:rFonts w:hint="eastAsia" w:ascii="宋体" w:hAnsi="Times New Roman" w:eastAsia="宋体" w:cs="宋体"/>
          <w:sz w:val="21"/>
          <w:lang w:val="en-US" w:eastAsia="zh-CN"/>
        </w:rPr>
        <w:t>茶叶贮存</w:t>
      </w:r>
    </w:p>
    <w:p w14:paraId="13E98C4C">
      <w:pPr>
        <w:pStyle w:val="24"/>
        <w:bidi w:val="0"/>
        <w:rPr>
          <w:rFonts w:hint="eastAsia" w:ascii="宋体" w:hAnsi="Times New Roman" w:eastAsia="宋体" w:cs="宋体"/>
          <w:sz w:val="21"/>
          <w:lang w:val="en-US" w:eastAsia="zh-CN"/>
        </w:rPr>
      </w:pPr>
      <w:r>
        <w:rPr>
          <w:rFonts w:hint="eastAsia" w:ascii="宋体" w:hAnsi="Times New Roman" w:eastAsia="宋体" w:cs="宋体"/>
          <w:sz w:val="21"/>
          <w:lang w:val="en-US" w:eastAsia="zh-CN"/>
        </w:rPr>
        <w:t>GB/T 32950  鲜活农产品标签标识</w:t>
      </w:r>
    </w:p>
    <w:p w14:paraId="508DB93C">
      <w:pPr>
        <w:pStyle w:val="24"/>
        <w:bidi w:val="0"/>
        <w:rPr>
          <w:rFonts w:hint="eastAsia" w:ascii="宋体" w:hAnsi="Times New Roman" w:eastAsia="宋体" w:cs="宋体"/>
          <w:sz w:val="21"/>
          <w:lang w:val="en-US" w:eastAsia="zh-CN"/>
        </w:rPr>
      </w:pPr>
      <w:r>
        <w:rPr>
          <w:rFonts w:hint="eastAsia" w:ascii="宋体" w:hAnsi="Times New Roman" w:eastAsia="宋体" w:cs="宋体"/>
          <w:sz w:val="21"/>
          <w:lang w:val="en-US" w:eastAsia="zh-CN"/>
        </w:rPr>
        <w:t>GB 43284  限制商品过度包装要求 生鲜食用农产品</w:t>
      </w:r>
    </w:p>
    <w:p w14:paraId="2F4504E9">
      <w:pPr>
        <w:pStyle w:val="24"/>
        <w:bidi w:val="0"/>
        <w:rPr>
          <w:rFonts w:hint="default" w:cs="宋体"/>
          <w:sz w:val="21"/>
          <w:lang w:val="en-US" w:eastAsia="zh-CN"/>
        </w:rPr>
      </w:pPr>
      <w:r>
        <w:rPr>
          <w:rFonts w:hint="default" w:cs="宋体"/>
          <w:sz w:val="21"/>
          <w:lang w:val="en-US" w:eastAsia="zh-CN"/>
        </w:rPr>
        <w:t>NY</w:t>
      </w:r>
      <w:r>
        <w:rPr>
          <w:rFonts w:hint="eastAsia" w:cs="宋体"/>
          <w:sz w:val="21"/>
          <w:lang w:val="en-US" w:eastAsia="zh-CN"/>
        </w:rPr>
        <w:t>/</w:t>
      </w:r>
      <w:r>
        <w:rPr>
          <w:rFonts w:hint="default" w:cs="宋体"/>
          <w:sz w:val="21"/>
          <w:lang w:val="en-US" w:eastAsia="zh-CN"/>
        </w:rPr>
        <w:t>T</w:t>
      </w:r>
      <w:r>
        <w:rPr>
          <w:rFonts w:hint="eastAsia" w:cs="宋体"/>
          <w:sz w:val="21"/>
          <w:lang w:val="en-US" w:eastAsia="zh-CN"/>
        </w:rPr>
        <w:t xml:space="preserve"> </w:t>
      </w:r>
      <w:r>
        <w:rPr>
          <w:rFonts w:hint="default" w:cs="宋体"/>
          <w:sz w:val="21"/>
          <w:lang w:val="en-US" w:eastAsia="zh-CN"/>
        </w:rPr>
        <w:t xml:space="preserve">658 </w:t>
      </w:r>
      <w:r>
        <w:rPr>
          <w:rFonts w:hint="eastAsia" w:cs="宋体"/>
          <w:sz w:val="21"/>
          <w:lang w:val="en-US" w:eastAsia="zh-CN"/>
        </w:rPr>
        <w:t xml:space="preserve"> </w:t>
      </w:r>
      <w:r>
        <w:rPr>
          <w:rFonts w:hint="default" w:cs="宋体"/>
          <w:sz w:val="21"/>
          <w:lang w:val="en-US" w:eastAsia="zh-CN"/>
        </w:rPr>
        <w:t>绿色食品</w:t>
      </w:r>
      <w:r>
        <w:rPr>
          <w:rFonts w:hint="eastAsia" w:cs="宋体"/>
          <w:sz w:val="21"/>
          <w:lang w:val="en-US" w:eastAsia="zh-CN"/>
        </w:rPr>
        <w:t xml:space="preserve"> </w:t>
      </w:r>
      <w:r>
        <w:rPr>
          <w:rFonts w:hint="default" w:cs="宋体"/>
          <w:sz w:val="21"/>
          <w:lang w:val="en-US" w:eastAsia="zh-CN"/>
        </w:rPr>
        <w:t xml:space="preserve"> 包装通用准则</w:t>
      </w:r>
    </w:p>
    <w:p w14:paraId="42663500">
      <w:pPr>
        <w:pStyle w:val="24"/>
        <w:bidi w:val="0"/>
        <w:rPr>
          <w:rFonts w:hint="eastAsia" w:ascii="宋体" w:hAnsi="Times New Roman" w:eastAsia="宋体" w:cs="宋体"/>
          <w:sz w:val="21"/>
          <w:lang w:val="en-US" w:eastAsia="zh-CN"/>
        </w:rPr>
      </w:pPr>
      <w:r>
        <w:rPr>
          <w:rFonts w:hint="eastAsia" w:ascii="宋体" w:hAnsi="Times New Roman" w:eastAsia="宋体" w:cs="宋体"/>
          <w:sz w:val="21"/>
          <w:lang w:val="en-US" w:eastAsia="zh-CN"/>
        </w:rPr>
        <w:t>NY/T 1056  绿色食品  贮藏运输准则</w:t>
      </w:r>
    </w:p>
    <w:p w14:paraId="6D979077">
      <w:pPr>
        <w:pStyle w:val="24"/>
        <w:bidi w:val="0"/>
        <w:rPr>
          <w:rFonts w:hint="eastAsia" w:ascii="宋体" w:hAnsi="Times New Roman" w:eastAsia="宋体" w:cs="宋体"/>
          <w:sz w:val="21"/>
          <w:lang w:val="en-US" w:eastAsia="zh-CN"/>
        </w:rPr>
      </w:pPr>
      <w:r>
        <w:rPr>
          <w:rFonts w:hint="eastAsia" w:ascii="宋体" w:hAnsi="Times New Roman" w:eastAsia="宋体" w:cs="宋体"/>
          <w:sz w:val="21"/>
          <w:lang w:val="en-US" w:eastAsia="zh-CN"/>
        </w:rPr>
        <w:t>GH/T 1070 茶叶包装通则</w:t>
      </w:r>
    </w:p>
    <w:p w14:paraId="11DA2ECA">
      <w:pPr>
        <w:pStyle w:val="71"/>
        <w:bidi w:val="0"/>
        <w:rPr>
          <w:rFonts w:hint="eastAsia" w:ascii="宋体" w:hAnsi="Times New Roman" w:eastAsia="宋体" w:cs="宋体"/>
          <w:lang w:val="en-US" w:eastAsia="zh-CN"/>
        </w:rPr>
      </w:pPr>
      <w:bookmarkStart w:id="25" w:name="_Toc5700"/>
      <w:r>
        <w:rPr>
          <w:rFonts w:hint="eastAsia"/>
          <w:lang w:val="en-US" w:eastAsia="zh-CN"/>
        </w:rPr>
        <w:t>术语和定义</w:t>
      </w:r>
      <w:bookmarkEnd w:id="25"/>
    </w:p>
    <w:sdt>
      <w:sdtPr>
        <w:rPr>
          <w:rFonts w:hint="eastAsia" w:ascii="宋体" w:hAnsi="Times New Roman" w:eastAsia="宋体" w:cs="宋体"/>
          <w:sz w:val="21"/>
          <w:lang w:val="en-US" w:eastAsia="zh-CN"/>
        </w:rPr>
        <w:tag w:val="TermContent"/>
        <w:id w:val="147453675"/>
        <w:placeholder>
          <w:docPart w:val="{a2b934e1-4e69-4b3d-b344-351c81d94b35}"/>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rPr>
          <w:rFonts w:hint="eastAsia" w:ascii="宋体" w:hAnsi="Times New Roman" w:eastAsia="宋体" w:cs="宋体"/>
          <w:sz w:val="21"/>
          <w:lang w:val="en-US" w:eastAsia="zh-CN"/>
        </w:rPr>
      </w:sdtEndPr>
      <w:sdtContent>
        <w:p w14:paraId="25B37831">
          <w:pPr>
            <w:pStyle w:val="24"/>
            <w:rPr>
              <w:rFonts w:hint="eastAsia"/>
              <w:lang w:val="en-US" w:eastAsia="zh-CN"/>
            </w:rPr>
          </w:pPr>
          <w:r>
            <w:rPr>
              <w:rFonts w:hint="eastAsia" w:ascii="宋体" w:hAnsi="Times New Roman" w:eastAsia="宋体" w:cs="宋体"/>
              <w:sz w:val="21"/>
              <w:lang w:val="en-US" w:eastAsia="zh-CN"/>
            </w:rPr>
            <w:t>下列术语和定义适用于本文件。</w:t>
          </w:r>
        </w:p>
      </w:sdtContent>
    </w:sdt>
    <w:p w14:paraId="1FE47CAD">
      <w:pPr>
        <w:pStyle w:val="24"/>
        <w:rPr>
          <w:rFonts w:hint="eastAsia"/>
          <w:lang w:val="en-US" w:eastAsia="zh-CN"/>
        </w:rPr>
      </w:pPr>
    </w:p>
    <w:p w14:paraId="679ADA87">
      <w:pPr>
        <w:pStyle w:val="82"/>
        <w:bidi w:val="0"/>
        <w:spacing w:after="0" w:afterLines="0"/>
        <w:ind w:left="420" w:hanging="420" w:hangingChars="200"/>
        <w:rPr>
          <w:rFonts w:hint="eastAsia" w:ascii="黑体" w:hAnsi="黑体" w:eastAsia="黑体" w:cs="黑体"/>
          <w:lang w:val="en-US" w:eastAsia="zh-CN"/>
        </w:rPr>
      </w:pPr>
    </w:p>
    <w:p w14:paraId="6F6DAC23">
      <w:pPr>
        <w:pStyle w:val="82"/>
        <w:numPr>
          <w:ilvl w:val="1"/>
          <w:numId w:val="0"/>
        </w:numPr>
        <w:bidi w:val="0"/>
        <w:spacing w:after="0" w:afterLines="0"/>
        <w:ind w:leftChars="-200" w:firstLine="840" w:firstLineChars="400"/>
        <w:rPr>
          <w:rFonts w:hint="default" w:ascii="黑体" w:hAnsi="黑体" w:eastAsia="黑体" w:cs="黑体"/>
          <w:lang w:val="en-US" w:eastAsia="zh-CN"/>
        </w:rPr>
      </w:pPr>
      <w:r>
        <w:rPr>
          <w:rFonts w:hint="eastAsia" w:cs="黑体"/>
          <w:lang w:val="en-US" w:eastAsia="zh-CN"/>
        </w:rPr>
        <w:t>井冈山绿茶 Jinggangshan green tea</w:t>
      </w:r>
    </w:p>
    <w:p w14:paraId="0F4A80B7">
      <w:pPr>
        <w:pStyle w:val="24"/>
        <w:bidi w:val="0"/>
        <w:rPr>
          <w:rFonts w:hint="eastAsia" w:cs="宋体"/>
          <w:sz w:val="21"/>
          <w:lang w:val="en-US" w:eastAsia="zh-CN"/>
        </w:rPr>
      </w:pPr>
      <w:r>
        <w:rPr>
          <w:rFonts w:hint="eastAsia" w:cs="宋体"/>
          <w:sz w:val="21"/>
          <w:lang w:val="en-US" w:eastAsia="zh-CN"/>
        </w:rPr>
        <w:t>以吉安市行政区域范围内种植的茶树的芽、叶、嫩茎为原料，按照特定加工工艺制作而成，符合本文件要求，并经“井冈山®”商标持有人授权的绿茶。</w:t>
      </w:r>
    </w:p>
    <w:p w14:paraId="66E18DFA">
      <w:pPr>
        <w:pStyle w:val="24"/>
        <w:bidi w:val="0"/>
        <w:rPr>
          <w:rFonts w:hint="eastAsia" w:ascii="宋体" w:hAnsi="Times New Roman" w:eastAsia="宋体" w:cs="宋体"/>
          <w:sz w:val="21"/>
          <w:lang w:val="en-US" w:eastAsia="zh-CN"/>
        </w:rPr>
      </w:pPr>
      <w:r>
        <w:rPr>
          <w:rFonts w:hint="eastAsia" w:ascii="宋体" w:hAnsi="Times New Roman" w:eastAsia="宋体" w:cs="宋体"/>
          <w:sz w:val="21"/>
          <w:lang w:val="en-US" w:eastAsia="zh-CN"/>
        </w:rPr>
        <w:t>井冈山绿茶生产区域范围见附录A。</w:t>
      </w:r>
    </w:p>
    <w:p w14:paraId="095699F5">
      <w:pPr>
        <w:pStyle w:val="71"/>
      </w:pPr>
      <w:bookmarkStart w:id="26" w:name="_Toc20283"/>
      <w:r>
        <w:rPr>
          <w:rFonts w:hint="eastAsia"/>
          <w:lang w:val="en-US" w:eastAsia="zh-CN"/>
        </w:rPr>
        <w:t>原料</w:t>
      </w:r>
      <w:r>
        <w:rPr>
          <w:rFonts w:hint="default"/>
        </w:rPr>
        <w:t>要求</w:t>
      </w:r>
      <w:bookmarkEnd w:id="26"/>
    </w:p>
    <w:p w14:paraId="76D262A9">
      <w:pPr>
        <w:pStyle w:val="72"/>
        <w:bidi w:val="0"/>
        <w:rPr>
          <w:rFonts w:hint="default"/>
        </w:rPr>
      </w:pPr>
      <w:r>
        <w:rPr>
          <w:rFonts w:hint="default"/>
          <w:lang w:val="en-US" w:eastAsia="zh-CN"/>
        </w:rPr>
        <w:t>采摘时间</w:t>
      </w:r>
    </w:p>
    <w:p w14:paraId="2559795A">
      <w:pPr>
        <w:pStyle w:val="24"/>
        <w:ind w:firstLine="960"/>
        <w:rPr>
          <w:rFonts w:hint="default"/>
        </w:rPr>
      </w:pPr>
      <w:r>
        <w:rPr>
          <w:rFonts w:hint="default"/>
          <w:lang w:val="en-US" w:eastAsia="zh-CN"/>
        </w:rPr>
        <w:t>特级茶通常在清明至谷雨期间采摘，具体时间应根据茶叶生长情况和气候条件确定，以确保鲜叶品质。</w:t>
      </w:r>
    </w:p>
    <w:p w14:paraId="1D1DE901">
      <w:pPr>
        <w:pStyle w:val="72"/>
        <w:bidi w:val="0"/>
        <w:rPr>
          <w:rFonts w:hint="default"/>
          <w:lang w:val="en-US" w:eastAsia="zh-CN"/>
        </w:rPr>
      </w:pPr>
      <w:r>
        <w:rPr>
          <w:rFonts w:hint="default"/>
          <w:lang w:val="en-US" w:eastAsia="zh-CN"/>
        </w:rPr>
        <w:t>采摘标准</w:t>
      </w:r>
    </w:p>
    <w:p w14:paraId="12B4409B">
      <w:pPr>
        <w:pStyle w:val="24"/>
        <w:ind w:firstLine="960"/>
        <w:rPr>
          <w:rFonts w:hint="default"/>
        </w:rPr>
      </w:pPr>
      <w:r>
        <w:rPr>
          <w:rFonts w:hint="default"/>
          <w:lang w:val="en-US" w:eastAsia="zh-CN"/>
        </w:rPr>
        <w:t>特级为一芽一叶至一芽二叶初展；一级为一芽二叶；二级为一芽二叶至一芽三叶初展。</w:t>
      </w:r>
    </w:p>
    <w:p w14:paraId="1DF2DCE4">
      <w:pPr>
        <w:pStyle w:val="72"/>
        <w:bidi w:val="0"/>
        <w:rPr>
          <w:rFonts w:hint="default"/>
          <w:lang w:val="en-US" w:eastAsia="zh-CN"/>
        </w:rPr>
      </w:pPr>
      <w:r>
        <w:rPr>
          <w:rFonts w:hint="default"/>
          <w:lang w:val="en-US" w:eastAsia="zh-CN"/>
        </w:rPr>
        <w:t>采摘方法</w:t>
      </w:r>
    </w:p>
    <w:p w14:paraId="791A29DF">
      <w:pPr>
        <w:pStyle w:val="24"/>
        <w:ind w:firstLine="960"/>
        <w:rPr>
          <w:rFonts w:hint="default"/>
        </w:rPr>
      </w:pPr>
      <w:r>
        <w:rPr>
          <w:rFonts w:hint="default"/>
          <w:lang w:val="en-US" w:eastAsia="zh-CN"/>
        </w:rPr>
        <w:t>宜采用提手采，保持鲜叶完整、新鲜、匀净。采摘时应避免损伤芽叶，去除病虫叶、老叶和杂物。</w:t>
      </w:r>
    </w:p>
    <w:p w14:paraId="297D316D">
      <w:pPr>
        <w:pStyle w:val="71"/>
        <w:bidi w:val="0"/>
        <w:rPr>
          <w:rFonts w:hint="default"/>
        </w:rPr>
      </w:pPr>
      <w:bookmarkStart w:id="27" w:name="_Toc14896"/>
      <w:r>
        <w:rPr>
          <w:rFonts w:hint="default"/>
        </w:rPr>
        <w:t>加工条件</w:t>
      </w:r>
      <w:bookmarkEnd w:id="27"/>
    </w:p>
    <w:p w14:paraId="3CAA08B4">
      <w:pPr>
        <w:pStyle w:val="72"/>
        <w:bidi w:val="0"/>
        <w:rPr>
          <w:rFonts w:hint="default"/>
          <w:lang w:val="en-US" w:eastAsia="zh-CN"/>
        </w:rPr>
      </w:pPr>
      <w:r>
        <w:rPr>
          <w:rFonts w:hint="default"/>
          <w:lang w:val="en-US" w:eastAsia="zh-CN"/>
        </w:rPr>
        <w:t>加工场所</w:t>
      </w:r>
    </w:p>
    <w:p w14:paraId="32290A2A">
      <w:pPr>
        <w:pStyle w:val="78"/>
        <w:bidi w:val="0"/>
        <w:spacing w:before="0" w:beforeLines="0" w:after="0" w:afterLines="0"/>
        <w:rPr>
          <w:rFonts w:hint="default"/>
          <w:lang w:val="en-US" w:eastAsia="zh-CN"/>
        </w:rPr>
      </w:pPr>
      <w:r>
        <w:rPr>
          <w:rFonts w:hint="eastAsia"/>
          <w:lang w:val="en-US" w:eastAsia="zh-CN"/>
        </w:rPr>
        <w:t>应符合GB 14881的规定，</w:t>
      </w:r>
      <w:r>
        <w:rPr>
          <w:rFonts w:hint="default"/>
          <w:lang w:val="en-US" w:eastAsia="zh-CN"/>
        </w:rPr>
        <w:t>远离污染源，交通便利。厂房布局合理，贮青区、加工区、包装区应相互隔离，避免交叉污染。</w:t>
      </w:r>
    </w:p>
    <w:p w14:paraId="7B6298F5">
      <w:pPr>
        <w:pStyle w:val="78"/>
        <w:bidi w:val="0"/>
        <w:spacing w:before="0" w:beforeLines="0" w:after="0" w:afterLines="0"/>
        <w:rPr>
          <w:rFonts w:hint="default"/>
        </w:rPr>
      </w:pPr>
      <w:r>
        <w:rPr>
          <w:rFonts w:hint="default"/>
          <w:lang w:val="en-US" w:eastAsia="zh-CN"/>
        </w:rPr>
        <w:t>配备完善的卫生设施，如更衣间、洗手池、防蝇鼠措施等。</w:t>
      </w:r>
    </w:p>
    <w:p w14:paraId="68CDB587">
      <w:pPr>
        <w:pStyle w:val="72"/>
        <w:bidi w:val="0"/>
        <w:rPr>
          <w:rFonts w:hint="default"/>
          <w:lang w:val="en-US" w:eastAsia="zh-CN"/>
        </w:rPr>
      </w:pPr>
      <w:r>
        <w:rPr>
          <w:rFonts w:hint="default"/>
          <w:lang w:val="en-US" w:eastAsia="zh-CN"/>
        </w:rPr>
        <w:t>设施与设备</w:t>
      </w:r>
    </w:p>
    <w:p w14:paraId="6877DB9C">
      <w:pPr>
        <w:pStyle w:val="78"/>
        <w:bidi w:val="0"/>
        <w:spacing w:before="0" w:beforeLines="0" w:after="0" w:afterLines="0"/>
        <w:rPr>
          <w:rFonts w:hint="default"/>
          <w:lang w:val="en-US" w:eastAsia="zh-CN"/>
        </w:rPr>
      </w:pPr>
      <w:r>
        <w:rPr>
          <w:rFonts w:hint="default"/>
          <w:lang w:val="en-US" w:eastAsia="zh-CN"/>
        </w:rPr>
        <w:t>应具备滚筒炒干机、揉捻机、萎凋机、烘干机等加工设备，以及必要的辅助设备。</w:t>
      </w:r>
    </w:p>
    <w:p w14:paraId="176FDE19">
      <w:pPr>
        <w:pStyle w:val="78"/>
        <w:bidi w:val="0"/>
        <w:spacing w:before="0" w:beforeLines="0" w:after="0" w:afterLines="0"/>
        <w:rPr>
          <w:rFonts w:hint="default"/>
          <w:lang w:val="en-US" w:eastAsia="zh-CN"/>
        </w:rPr>
      </w:pPr>
      <w:r>
        <w:rPr>
          <w:rFonts w:hint="default"/>
          <w:lang w:val="en-US" w:eastAsia="zh-CN"/>
        </w:rPr>
        <w:t>设备材质应符合食品安全要求，禁用铅、铝合金接触茶叶，推荐使用不锈钢、竹制工具。</w:t>
      </w:r>
    </w:p>
    <w:p w14:paraId="32623B1A">
      <w:pPr>
        <w:pStyle w:val="78"/>
        <w:bidi w:val="0"/>
        <w:spacing w:before="0" w:beforeLines="0" w:after="0" w:afterLines="0"/>
        <w:rPr>
          <w:rFonts w:hint="default"/>
        </w:rPr>
      </w:pPr>
      <w:r>
        <w:rPr>
          <w:rFonts w:hint="default"/>
          <w:lang w:val="en-US" w:eastAsia="zh-CN"/>
        </w:rPr>
        <w:t>设备型号应与加工产能匹配。</w:t>
      </w:r>
    </w:p>
    <w:p w14:paraId="3584E8AD">
      <w:pPr>
        <w:pStyle w:val="72"/>
        <w:bidi w:val="0"/>
        <w:rPr>
          <w:rFonts w:hint="default"/>
          <w:lang w:val="en-US" w:eastAsia="zh-CN"/>
        </w:rPr>
      </w:pPr>
      <w:r>
        <w:rPr>
          <w:rFonts w:hint="default"/>
          <w:lang w:val="en-US" w:eastAsia="zh-CN"/>
        </w:rPr>
        <w:t>加工人员</w:t>
      </w:r>
    </w:p>
    <w:p w14:paraId="59AF3951">
      <w:pPr>
        <w:pStyle w:val="78"/>
        <w:bidi w:val="0"/>
        <w:spacing w:before="0" w:beforeLines="0" w:after="0" w:afterLines="0"/>
        <w:rPr>
          <w:rFonts w:hint="default"/>
          <w:lang w:val="en-US" w:eastAsia="zh-CN"/>
        </w:rPr>
      </w:pPr>
      <w:r>
        <w:rPr>
          <w:rFonts w:hint="default"/>
          <w:lang w:val="en-US" w:eastAsia="zh-CN"/>
        </w:rPr>
        <w:t>加工人员数量应满足生产需求，人员结构合理。</w:t>
      </w:r>
    </w:p>
    <w:p w14:paraId="04DCAA2F">
      <w:pPr>
        <w:pStyle w:val="78"/>
        <w:bidi w:val="0"/>
        <w:spacing w:before="0" w:beforeLines="0" w:after="0" w:afterLines="0"/>
        <w:rPr>
          <w:rFonts w:hint="default"/>
        </w:rPr>
      </w:pPr>
      <w:r>
        <w:rPr>
          <w:rFonts w:hint="default"/>
          <w:lang w:val="en-US" w:eastAsia="zh-CN"/>
        </w:rPr>
        <w:t>加工人员应经过专业培训，熟悉工艺操作和卫生规范，取得健康证明后方可上岗，工作时应穿戴整洁的工作服、帽，禁止吸烟。</w:t>
      </w:r>
    </w:p>
    <w:p w14:paraId="591174B1">
      <w:pPr>
        <w:pStyle w:val="71"/>
        <w:bidi w:val="0"/>
        <w:rPr>
          <w:rFonts w:hint="default"/>
        </w:rPr>
      </w:pPr>
      <w:bookmarkStart w:id="28" w:name="_Toc26166"/>
      <w:r>
        <w:rPr>
          <w:rFonts w:hint="default"/>
        </w:rPr>
        <w:t>加工工艺</w:t>
      </w:r>
      <w:bookmarkEnd w:id="28"/>
    </w:p>
    <w:p w14:paraId="19158252">
      <w:pPr>
        <w:pStyle w:val="72"/>
        <w:bidi w:val="0"/>
        <w:rPr>
          <w:rFonts w:hint="default"/>
          <w:lang w:val="en-US" w:eastAsia="zh-CN"/>
        </w:rPr>
      </w:pPr>
      <w:r>
        <w:rPr>
          <w:rFonts w:hint="default"/>
          <w:lang w:val="en-US" w:eastAsia="zh-CN"/>
        </w:rPr>
        <w:t>传统工艺流程</w:t>
      </w:r>
    </w:p>
    <w:p w14:paraId="1034B897">
      <w:pPr>
        <w:pStyle w:val="24"/>
        <w:ind w:firstLine="960"/>
        <w:rPr>
          <w:rFonts w:hint="default"/>
        </w:rPr>
      </w:pPr>
      <w:r>
        <w:rPr>
          <w:rFonts w:hint="default"/>
          <w:lang w:val="en-US" w:eastAsia="zh-CN"/>
        </w:rPr>
        <w:t>摊青→杀青→揉捻→做形→干燥→提香。</w:t>
      </w:r>
    </w:p>
    <w:p w14:paraId="1F8127C5">
      <w:pPr>
        <w:pStyle w:val="72"/>
        <w:bidi w:val="0"/>
        <w:rPr>
          <w:rFonts w:hint="default"/>
          <w:lang w:val="en-US" w:eastAsia="zh-CN"/>
        </w:rPr>
      </w:pPr>
      <w:r>
        <w:rPr>
          <w:rFonts w:hint="default"/>
          <w:lang w:val="en-US" w:eastAsia="zh-CN"/>
        </w:rPr>
        <w:t>摊青</w:t>
      </w:r>
    </w:p>
    <w:p w14:paraId="6AF743B0">
      <w:pPr>
        <w:pStyle w:val="24"/>
        <w:ind w:firstLine="960"/>
        <w:rPr>
          <w:rFonts w:hint="default"/>
        </w:rPr>
      </w:pPr>
      <w:r>
        <w:rPr>
          <w:rFonts w:hint="default"/>
          <w:lang w:val="en-US" w:eastAsia="zh-CN"/>
        </w:rPr>
        <w:t>鲜叶进厂后应及时摊放在清洁卫生、通风良好的摊青设施上，厚度 1cm～3cm，时间 6h～12h，至鲜叶含水量降至 65%～70%，芽叶柔软、色泽暗绿、青气部分散失，略显清香。</w:t>
      </w:r>
    </w:p>
    <w:p w14:paraId="3340D592">
      <w:pPr>
        <w:pStyle w:val="72"/>
        <w:bidi w:val="0"/>
        <w:rPr>
          <w:rFonts w:hint="default"/>
          <w:lang w:val="en-US" w:eastAsia="zh-CN"/>
        </w:rPr>
      </w:pPr>
      <w:r>
        <w:rPr>
          <w:rFonts w:hint="default"/>
          <w:lang w:val="en-US" w:eastAsia="zh-CN"/>
        </w:rPr>
        <w:t>杀青</w:t>
      </w:r>
    </w:p>
    <w:p w14:paraId="062326B8">
      <w:pPr>
        <w:pStyle w:val="24"/>
        <w:ind w:firstLine="960"/>
        <w:rPr>
          <w:rFonts w:hint="default"/>
        </w:rPr>
      </w:pPr>
      <w:r>
        <w:rPr>
          <w:rFonts w:hint="default"/>
          <w:lang w:val="en-US" w:eastAsia="zh-CN"/>
        </w:rPr>
        <w:t>采用滚筒杀青机，温度控制在 240℃～280℃，投叶量稳定，杀透、杀匀。杀青叶含水量 58%～62%，叶色由鲜绿转为暗绿，叶质变软，手捏成团，叶梗不易折断，稍有弹性，无生青、焦边、爆点，清香显露。</w:t>
      </w:r>
    </w:p>
    <w:p w14:paraId="002E835C">
      <w:pPr>
        <w:pStyle w:val="72"/>
        <w:bidi w:val="0"/>
        <w:rPr>
          <w:rFonts w:hint="default"/>
          <w:lang w:val="en-US" w:eastAsia="zh-CN"/>
        </w:rPr>
      </w:pPr>
      <w:r>
        <w:rPr>
          <w:rFonts w:hint="default"/>
          <w:lang w:val="en-US" w:eastAsia="zh-CN"/>
        </w:rPr>
        <w:t>揉捻</w:t>
      </w:r>
    </w:p>
    <w:p w14:paraId="64B9A242">
      <w:pPr>
        <w:pStyle w:val="24"/>
        <w:ind w:firstLine="960"/>
        <w:rPr>
          <w:rFonts w:hint="default"/>
        </w:rPr>
      </w:pPr>
      <w:r>
        <w:rPr>
          <w:rFonts w:hint="default"/>
          <w:lang w:val="en-US" w:eastAsia="zh-CN"/>
        </w:rPr>
        <w:t>使用揉捻机，将摊凉后杀青叶装入揉桶内，装叶量以自然装满揉桶为宜。揉捻时间不宜超过 45min，鲜叶等级越高，揉捻时间越短、加压越小。直至芽叶均匀成条状，成条率达 80% 以上，茶汁溢出，有粘手感为宜。</w:t>
      </w:r>
    </w:p>
    <w:p w14:paraId="4DA96325">
      <w:pPr>
        <w:pStyle w:val="72"/>
        <w:bidi w:val="0"/>
        <w:rPr>
          <w:rFonts w:hint="default"/>
          <w:lang w:val="en-US" w:eastAsia="zh-CN"/>
        </w:rPr>
      </w:pPr>
      <w:r>
        <w:rPr>
          <w:rFonts w:hint="default"/>
          <w:lang w:val="en-US" w:eastAsia="zh-CN"/>
        </w:rPr>
        <w:t>做形</w:t>
      </w:r>
    </w:p>
    <w:p w14:paraId="2F026DE4">
      <w:pPr>
        <w:pStyle w:val="24"/>
        <w:ind w:firstLine="960"/>
        <w:rPr>
          <w:rFonts w:hint="default"/>
        </w:rPr>
      </w:pPr>
      <w:r>
        <w:rPr>
          <w:rFonts w:hint="default"/>
          <w:lang w:val="en-US" w:eastAsia="zh-CN"/>
        </w:rPr>
        <w:t>根据所需产品形态，采用相应的做形设备和工艺，如曲毫机、炒干机等，使茶叶形成卷曲、珠形、扁形等特定形状。</w:t>
      </w:r>
    </w:p>
    <w:p w14:paraId="1A0E7DDE">
      <w:pPr>
        <w:pStyle w:val="72"/>
        <w:bidi w:val="0"/>
        <w:rPr>
          <w:rFonts w:hint="default"/>
          <w:lang w:val="en-US" w:eastAsia="zh-CN"/>
        </w:rPr>
      </w:pPr>
      <w:r>
        <w:rPr>
          <w:rFonts w:hint="default"/>
          <w:lang w:val="en-US" w:eastAsia="zh-CN"/>
        </w:rPr>
        <w:t>干燥</w:t>
      </w:r>
    </w:p>
    <w:p w14:paraId="0D0CF7EB">
      <w:pPr>
        <w:pStyle w:val="24"/>
        <w:ind w:firstLine="960"/>
        <w:rPr>
          <w:rFonts w:hint="default"/>
        </w:rPr>
      </w:pPr>
      <w:r>
        <w:rPr>
          <w:rFonts w:hint="default"/>
          <w:lang w:val="en-US" w:eastAsia="zh-CN"/>
        </w:rPr>
        <w:t>采用烘干机或烘焙机进行干燥，温度控制在 80℃～100℃，至茶叶含水量低于 6.5%，手捻茶叶成粉末。</w:t>
      </w:r>
    </w:p>
    <w:p w14:paraId="2EE26D69">
      <w:pPr>
        <w:pStyle w:val="72"/>
        <w:bidi w:val="0"/>
        <w:rPr>
          <w:rFonts w:hint="default"/>
          <w:lang w:val="en-US" w:eastAsia="zh-CN"/>
        </w:rPr>
      </w:pPr>
      <w:r>
        <w:rPr>
          <w:rFonts w:hint="default"/>
          <w:lang w:val="en-US" w:eastAsia="zh-CN"/>
        </w:rPr>
        <w:t>提香</w:t>
      </w:r>
    </w:p>
    <w:p w14:paraId="4FD4C142">
      <w:pPr>
        <w:pStyle w:val="24"/>
        <w:ind w:firstLine="960"/>
        <w:rPr>
          <w:rFonts w:hint="default"/>
        </w:rPr>
      </w:pPr>
      <w:r>
        <w:rPr>
          <w:rFonts w:hint="default"/>
          <w:lang w:val="en-US" w:eastAsia="zh-CN"/>
        </w:rPr>
        <w:t>温度 90℃～110℃，时间不超过 30min，直至闻到干茶香气扑鼻即可下机冷却。</w:t>
      </w:r>
    </w:p>
    <w:p w14:paraId="1CA22764">
      <w:pPr>
        <w:pStyle w:val="71"/>
        <w:bidi w:val="0"/>
        <w:rPr>
          <w:rFonts w:hint="default"/>
        </w:rPr>
      </w:pPr>
      <w:bookmarkStart w:id="29" w:name="_Toc20517"/>
      <w:r>
        <w:rPr>
          <w:rFonts w:hint="default"/>
        </w:rPr>
        <w:t>包装、运输和贮存</w:t>
      </w:r>
      <w:bookmarkEnd w:id="29"/>
    </w:p>
    <w:p w14:paraId="621B252C">
      <w:pPr>
        <w:pStyle w:val="72"/>
        <w:bidi w:val="0"/>
        <w:rPr>
          <w:rFonts w:hint="default"/>
          <w:lang w:val="en-US" w:eastAsia="zh-CN"/>
        </w:rPr>
      </w:pPr>
      <w:r>
        <w:rPr>
          <w:rFonts w:hint="default"/>
          <w:lang w:val="en-US" w:eastAsia="zh-CN"/>
        </w:rPr>
        <w:t>包装</w:t>
      </w:r>
    </w:p>
    <w:p w14:paraId="563152D7">
      <w:pPr>
        <w:pStyle w:val="78"/>
        <w:bidi w:val="0"/>
        <w:spacing w:before="0" w:beforeLines="0" w:after="0" w:afterLines="0"/>
        <w:rPr>
          <w:rFonts w:hint="default"/>
        </w:rPr>
      </w:pPr>
      <w:r>
        <w:rPr>
          <w:rFonts w:hint="default"/>
          <w:lang w:val="en-US" w:eastAsia="zh-CN"/>
        </w:rPr>
        <w:t>根据不同的销售市场和消费群体进行包装设计，可采用盒装、罐装、袋装等方式，注明产品名称、等级、净含量、生产日期、保质期等信息。</w:t>
      </w:r>
    </w:p>
    <w:p w14:paraId="17EA8F1C">
      <w:pPr>
        <w:pStyle w:val="78"/>
        <w:bidi w:val="0"/>
        <w:spacing w:before="0" w:beforeLines="0" w:after="0" w:afterLines="0"/>
        <w:rPr>
          <w:rFonts w:hint="eastAsia"/>
        </w:rPr>
      </w:pPr>
      <w:r>
        <w:rPr>
          <w:rFonts w:hint="eastAsia"/>
        </w:rPr>
        <w:t>包装应符合</w:t>
      </w:r>
      <w:r>
        <w:rPr>
          <w:rFonts w:hint="eastAsia" w:ascii="宋体" w:hAnsi="Times New Roman" w:eastAsia="宋体" w:cs="宋体"/>
          <w:sz w:val="21"/>
          <w:lang w:val="en-US" w:eastAsia="zh-CN"/>
        </w:rPr>
        <w:t>GH/T 1070</w:t>
      </w:r>
      <w:r>
        <w:rPr>
          <w:rFonts w:hint="eastAsia" w:hAnsi="Times New Roman" w:cs="宋体"/>
          <w:sz w:val="21"/>
          <w:lang w:val="en-US" w:eastAsia="zh-CN"/>
        </w:rPr>
        <w:t>、</w:t>
      </w:r>
      <w:r>
        <w:t>GB 43284</w:t>
      </w:r>
      <w:r>
        <w:rPr>
          <w:rFonts w:hint="eastAsia"/>
          <w:lang w:eastAsia="zh-CN"/>
        </w:rPr>
        <w:t>、</w:t>
      </w:r>
      <w:r>
        <w:rPr>
          <w:rFonts w:hint="eastAsia"/>
          <w:lang w:val="en-US" w:eastAsia="zh-CN"/>
        </w:rPr>
        <w:t>GB 7718的</w:t>
      </w:r>
      <w:r>
        <w:rPr>
          <w:rFonts w:hint="eastAsia"/>
        </w:rPr>
        <w:t>要求。绿色食品应符合NY/T 65</w:t>
      </w:r>
      <w:r>
        <w:rPr>
          <w:rFonts w:hint="eastAsia"/>
          <w:lang w:val="en-US" w:eastAsia="zh-CN"/>
        </w:rPr>
        <w:t>8</w:t>
      </w:r>
      <w:r>
        <w:rPr>
          <w:rFonts w:hint="eastAsia"/>
        </w:rPr>
        <w:t>的要求</w:t>
      </w:r>
      <w:r>
        <w:rPr>
          <w:rFonts w:hint="eastAsia"/>
          <w:lang w:eastAsia="zh-CN"/>
        </w:rPr>
        <w:t>，</w:t>
      </w:r>
      <w:r>
        <w:rPr>
          <w:rFonts w:hint="eastAsia"/>
        </w:rPr>
        <w:t>有机产品应符合GB/T 19630的要求。</w:t>
      </w:r>
    </w:p>
    <w:p w14:paraId="021556C4">
      <w:pPr>
        <w:pStyle w:val="78"/>
        <w:bidi w:val="0"/>
        <w:spacing w:before="0" w:beforeLines="0" w:after="0" w:afterLines="0"/>
        <w:rPr>
          <w:rFonts w:hint="eastAsia"/>
        </w:rPr>
      </w:pPr>
      <w:r>
        <w:rPr>
          <w:rFonts w:hint="eastAsia"/>
        </w:rPr>
        <w:t>包装材料应分别符合</w:t>
      </w:r>
      <w:r>
        <w:t>GB 4806.1</w:t>
      </w:r>
      <w:r>
        <w:rPr>
          <w:rFonts w:hint="eastAsia"/>
        </w:rPr>
        <w:t>、GB 4806.7、</w:t>
      </w:r>
      <w:r>
        <w:t>GB 4806.8</w:t>
      </w:r>
      <w:r>
        <w:rPr>
          <w:rFonts w:hint="eastAsia"/>
        </w:rPr>
        <w:t>的规定。</w:t>
      </w:r>
    </w:p>
    <w:p w14:paraId="5315460C">
      <w:pPr>
        <w:pStyle w:val="78"/>
        <w:bidi w:val="0"/>
        <w:spacing w:before="0" w:beforeLines="0" w:after="0" w:afterLines="0"/>
        <w:rPr>
          <w:rFonts w:hint="eastAsia"/>
        </w:rPr>
      </w:pPr>
      <w:r>
        <w:rPr>
          <w:rFonts w:hint="eastAsia"/>
        </w:rPr>
        <w:t>塑料包装容器应符合GB/T 5737的要求。</w:t>
      </w:r>
    </w:p>
    <w:p w14:paraId="43EBBF2D">
      <w:pPr>
        <w:pStyle w:val="72"/>
        <w:bidi w:val="0"/>
        <w:rPr>
          <w:rFonts w:hint="default"/>
          <w:lang w:val="en-US" w:eastAsia="zh-CN"/>
        </w:rPr>
      </w:pPr>
      <w:r>
        <w:rPr>
          <w:rFonts w:hint="default"/>
          <w:lang w:val="en-US" w:eastAsia="zh-CN"/>
        </w:rPr>
        <w:t>运输</w:t>
      </w:r>
    </w:p>
    <w:p w14:paraId="1578AC57">
      <w:pPr>
        <w:pStyle w:val="24"/>
        <w:ind w:firstLine="960"/>
        <w:rPr>
          <w:rFonts w:hint="default"/>
        </w:rPr>
      </w:pPr>
      <w:r>
        <w:rPr>
          <w:rFonts w:hint="default"/>
          <w:lang w:val="en-US" w:eastAsia="zh-CN"/>
        </w:rPr>
        <w:t>运输工具应清洁、干燥、无异味、无污染；运输时应防雨、防潮、防暴晒，严禁与有毒、有异味等损害茶品质的货物混装运输，并避免剧烈撞击、重压。</w:t>
      </w:r>
      <w:r>
        <w:rPr>
          <w:rFonts w:hint="eastAsia"/>
        </w:rPr>
        <w:t>绿色食品应符合NY/T 1056的要求</w:t>
      </w:r>
      <w:r>
        <w:rPr>
          <w:rFonts w:hint="eastAsia"/>
          <w:lang w:eastAsia="zh-CN"/>
        </w:rPr>
        <w:t>，</w:t>
      </w:r>
      <w:r>
        <w:rPr>
          <w:rFonts w:hint="eastAsia"/>
        </w:rPr>
        <w:t>有机产品应符合GB/T 19630的要求。</w:t>
      </w:r>
    </w:p>
    <w:p w14:paraId="782F2677">
      <w:pPr>
        <w:pStyle w:val="72"/>
        <w:bidi w:val="0"/>
        <w:rPr>
          <w:rFonts w:hint="default"/>
          <w:lang w:val="en-US" w:eastAsia="zh-CN"/>
        </w:rPr>
      </w:pPr>
      <w:r>
        <w:rPr>
          <w:rFonts w:hint="default"/>
          <w:lang w:val="en-US" w:eastAsia="zh-CN"/>
        </w:rPr>
        <w:t>贮存</w:t>
      </w:r>
    </w:p>
    <w:p w14:paraId="632176B3">
      <w:pPr>
        <w:pStyle w:val="78"/>
        <w:numPr>
          <w:ilvl w:val="0"/>
          <w:numId w:val="0"/>
        </w:numPr>
        <w:spacing w:before="0" w:beforeLines="0" w:after="0" w:afterLines="0"/>
        <w:ind w:firstLine="420" w:firstLineChars="200"/>
        <w:rPr>
          <w:rFonts w:hint="default"/>
          <w:lang w:val="en-US" w:eastAsia="zh-CN"/>
        </w:rPr>
      </w:pPr>
      <w:r>
        <w:rPr>
          <w:rFonts w:hint="eastAsia"/>
          <w:highlight w:val="none"/>
          <w:lang w:val="en-US" w:eastAsia="zh-CN"/>
        </w:rPr>
        <w:t>产品贮存应符合 GB/T 30375 的规定。</w:t>
      </w:r>
      <w:r>
        <w:rPr>
          <w:rFonts w:hint="default"/>
          <w:lang w:val="en-US" w:eastAsia="zh-CN"/>
        </w:rPr>
        <w:t>产品应贮存在清洁、干燥、阴凉、通风、无异味的专用仓库中，避免在阳光直射和高温高湿处存放；严禁与有毒、有异味（气）、易污染的物品混放。</w:t>
      </w:r>
    </w:p>
    <w:p w14:paraId="46CF59AD">
      <w:pPr>
        <w:pStyle w:val="71"/>
        <w:bidi w:val="0"/>
        <w:rPr>
          <w:rFonts w:hint="default"/>
        </w:rPr>
      </w:pPr>
      <w:bookmarkStart w:id="30" w:name="_Toc27209"/>
      <w:r>
        <w:rPr>
          <w:rFonts w:hint="default"/>
        </w:rPr>
        <w:t>质量管理</w:t>
      </w:r>
      <w:bookmarkEnd w:id="30"/>
    </w:p>
    <w:p w14:paraId="35AB5F87">
      <w:pPr>
        <w:pStyle w:val="72"/>
        <w:bidi w:val="0"/>
        <w:rPr>
          <w:rFonts w:hint="eastAsia"/>
          <w:lang w:val="en-US" w:eastAsia="zh-CN"/>
        </w:rPr>
      </w:pPr>
      <w:r>
        <w:rPr>
          <w:rFonts w:hint="eastAsia"/>
          <w:lang w:val="en-US" w:eastAsia="zh-CN"/>
        </w:rPr>
        <w:t>过程监控</w:t>
      </w:r>
    </w:p>
    <w:p w14:paraId="7F098DD9">
      <w:pPr>
        <w:ind w:firstLine="420" w:firstLineChars="200"/>
        <w:rPr>
          <w:rFonts w:hint="eastAsia"/>
          <w:lang w:val="en-US" w:eastAsia="zh-CN"/>
        </w:rPr>
      </w:pPr>
      <w:r>
        <w:rPr>
          <w:rFonts w:hint="eastAsia"/>
          <w:lang w:val="en-US" w:eastAsia="zh-CN"/>
        </w:rPr>
        <w:t>对加工过程中的关键控制点进行监控，如萎凋时间、温度等，并做好记录。</w:t>
      </w:r>
    </w:p>
    <w:p w14:paraId="53AFD7EC">
      <w:pPr>
        <w:pStyle w:val="72"/>
        <w:bidi w:val="0"/>
        <w:rPr>
          <w:rFonts w:hint="eastAsia"/>
          <w:lang w:val="en-US" w:eastAsia="zh-CN"/>
        </w:rPr>
      </w:pPr>
      <w:r>
        <w:rPr>
          <w:rFonts w:hint="eastAsia"/>
          <w:lang w:val="en-US" w:eastAsia="zh-CN"/>
        </w:rPr>
        <w:t>成品检验</w:t>
      </w:r>
    </w:p>
    <w:p w14:paraId="00A43857">
      <w:pPr>
        <w:ind w:firstLine="420" w:firstLineChars="200"/>
        <w:rPr>
          <w:rFonts w:hint="eastAsia"/>
          <w:lang w:val="en-US" w:eastAsia="zh-CN"/>
        </w:rPr>
      </w:pPr>
      <w:r>
        <w:rPr>
          <w:rFonts w:hint="eastAsia"/>
          <w:lang w:val="en-US" w:eastAsia="zh-CN"/>
        </w:rPr>
        <w:t>对成品茶进行检验，包括感官指标、理化指标、安全指标等，检验合格后方可出厂。</w:t>
      </w:r>
    </w:p>
    <w:p w14:paraId="30BBB1DB">
      <w:pPr>
        <w:pStyle w:val="72"/>
        <w:bidi w:val="0"/>
        <w:rPr>
          <w:rFonts w:hint="eastAsia"/>
          <w:lang w:val="en-US" w:eastAsia="zh-CN"/>
        </w:rPr>
      </w:pPr>
      <w:r>
        <w:rPr>
          <w:rFonts w:hint="eastAsia"/>
          <w:lang w:val="en-US" w:eastAsia="zh-CN"/>
        </w:rPr>
        <w:t>质量追溯</w:t>
      </w:r>
    </w:p>
    <w:p w14:paraId="2D2D7185">
      <w:pPr>
        <w:ind w:firstLine="420" w:firstLineChars="200"/>
        <w:rPr>
          <w:rFonts w:hint="eastAsia"/>
          <w:lang w:val="en-US" w:eastAsia="zh-CN"/>
        </w:rPr>
      </w:pPr>
      <w:r>
        <w:rPr>
          <w:rFonts w:hint="eastAsia"/>
          <w:lang w:val="en-US" w:eastAsia="zh-CN"/>
        </w:rPr>
        <w:t>建立完善的质量追溯体系，对产品从原料采购到加工、贮存、运输、销售等各个环节进行记录，确保产品质量可追溯。</w:t>
      </w:r>
    </w:p>
    <w:p w14:paraId="734902E9">
      <w:pPr>
        <w:rPr>
          <w:rFonts w:hint="eastAsia"/>
          <w:lang w:val="en-US" w:eastAsia="zh-CN"/>
        </w:rPr>
      </w:pPr>
      <w:r>
        <w:rPr>
          <w:rFonts w:hint="eastAsia"/>
          <w:lang w:val="en-US" w:eastAsia="zh-CN"/>
        </w:rPr>
        <w:br w:type="page"/>
      </w:r>
      <w:bookmarkStart w:id="31" w:name="BKFL"/>
    </w:p>
    <w:p w14:paraId="132B296A">
      <w:pPr>
        <w:pStyle w:val="98"/>
        <w:bidi w:val="0"/>
        <w:rPr>
          <w:rFonts w:hint="eastAsia"/>
          <w:lang w:val="en-US" w:eastAsia="zh-CN"/>
        </w:rPr>
      </w:pPr>
    </w:p>
    <w:p w14:paraId="3F2EC233">
      <w:pPr>
        <w:pStyle w:val="100"/>
        <w:bidi w:val="0"/>
        <w:rPr>
          <w:rFonts w:hint="eastAsia"/>
          <w:lang w:val="en-US" w:eastAsia="zh-CN"/>
        </w:rPr>
      </w:pPr>
    </w:p>
    <w:p w14:paraId="7CEDAD29">
      <w:pPr>
        <w:pStyle w:val="87"/>
        <w:bidi w:val="0"/>
        <w:rPr>
          <w:rFonts w:hint="eastAsia"/>
          <w:lang w:val="en-US" w:eastAsia="zh-CN"/>
        </w:rPr>
      </w:pPr>
      <w:bookmarkStart w:id="32" w:name="_Toc28217"/>
      <w:r>
        <w:rPr>
          <w:rFonts w:hint="eastAsia"/>
          <w:lang w:val="en-US" w:eastAsia="zh-CN"/>
        </w:rPr>
        <w:br w:type="textWrapping"/>
      </w:r>
      <w:r>
        <w:rPr>
          <w:rFonts w:hint="eastAsia"/>
          <w:lang w:val="en-US" w:eastAsia="zh-CN"/>
        </w:rPr>
        <w:t>（规范性）</w:t>
      </w:r>
      <w:r>
        <w:rPr>
          <w:rFonts w:hint="eastAsia"/>
          <w:lang w:val="en-US" w:eastAsia="zh-CN"/>
        </w:rPr>
        <w:br w:type="textWrapping"/>
      </w:r>
      <w:r>
        <w:rPr>
          <w:rFonts w:hint="eastAsia"/>
          <w:lang w:val="en-US" w:eastAsia="zh-CN"/>
        </w:rPr>
        <w:t>井冈山绿茶生产区域范围图</w:t>
      </w:r>
      <w:bookmarkEnd w:id="32"/>
    </w:p>
    <w:p w14:paraId="514A9674">
      <w:pPr>
        <w:pStyle w:val="24"/>
        <w:rPr>
          <w:rFonts w:hint="eastAsia"/>
          <w:lang w:val="en-US" w:eastAsia="zh-CN"/>
        </w:rPr>
      </w:pPr>
    </w:p>
    <w:p w14:paraId="2A469890">
      <w:pPr>
        <w:pStyle w:val="24"/>
        <w:rPr>
          <w:rFonts w:hint="default"/>
          <w:lang w:val="en-US" w:eastAsia="zh-CN"/>
        </w:rPr>
      </w:pPr>
      <w:r>
        <w:rPr>
          <w:rFonts w:hint="eastAsia"/>
          <w:lang w:val="en-US" w:eastAsia="zh-CN"/>
        </w:rPr>
        <w:t>井冈山绿茶生产区域范围见图A.1。</w:t>
      </w:r>
    </w:p>
    <w:bookmarkEnd w:id="31"/>
    <w:p w14:paraId="42A98B50">
      <w:pPr>
        <w:pStyle w:val="24"/>
        <w:ind w:firstLine="0" w:firstLineChars="0"/>
        <w:jc w:val="center"/>
      </w:pPr>
      <w:r>
        <w:drawing>
          <wp:inline distT="0" distB="0" distL="114300" distR="114300">
            <wp:extent cx="3604260" cy="5093335"/>
            <wp:effectExtent l="0" t="0" r="15240" b="12065"/>
            <wp:docPr id="1" name="图片 1" descr="0678208d9958eceed3b97fe5adbcc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0678208d9958eceed3b97fe5adbcc18"/>
                    <pic:cNvPicPr>
                      <a:picLocks noChangeAspect="1"/>
                    </pic:cNvPicPr>
                  </pic:nvPicPr>
                  <pic:blipFill>
                    <a:blip r:embed="rId10"/>
                    <a:stretch>
                      <a:fillRect/>
                    </a:stretch>
                  </pic:blipFill>
                  <pic:spPr>
                    <a:xfrm>
                      <a:off x="0" y="0"/>
                      <a:ext cx="3604260" cy="5093335"/>
                    </a:xfrm>
                    <a:prstGeom prst="rect">
                      <a:avLst/>
                    </a:prstGeom>
                  </pic:spPr>
                </pic:pic>
              </a:graphicData>
            </a:graphic>
          </wp:inline>
        </w:drawing>
      </w:r>
    </w:p>
    <w:p w14:paraId="26EBB173">
      <w:pPr>
        <w:pStyle w:val="113"/>
        <w:numPr>
          <w:ilvl w:val="0"/>
          <w:numId w:val="0"/>
        </w:numPr>
        <w:bidi w:val="0"/>
        <w:ind w:leftChars="0"/>
        <w:jc w:val="center"/>
        <w:rPr>
          <w:rFonts w:hint="eastAsia"/>
          <w:lang w:val="en-US" w:eastAsia="zh-CN"/>
        </w:rPr>
      </w:pPr>
      <w:r>
        <w:rPr>
          <w:rFonts w:hint="eastAsia"/>
          <w:lang w:val="en-US" w:eastAsia="zh-CN"/>
        </w:rPr>
        <w:t>图A.1 井冈山绿茶生产区域范围图</w:t>
      </w:r>
    </w:p>
    <w:p w14:paraId="1A54DF25">
      <w:pPr>
        <w:pStyle w:val="24"/>
        <w:jc w:val="center"/>
      </w:pPr>
    </w:p>
    <w:p w14:paraId="2C25E6C9">
      <w:pPr>
        <w:pStyle w:val="24"/>
        <w:jc w:val="center"/>
      </w:pPr>
    </w:p>
    <w:p w14:paraId="53F2D277">
      <w:pPr>
        <w:pStyle w:val="24"/>
        <w:jc w:val="center"/>
      </w:pPr>
    </w:p>
    <w:p w14:paraId="026DAB6A">
      <w:pPr>
        <w:pStyle w:val="111"/>
        <w:bidi w:val="0"/>
        <w:rPr>
          <w:rFonts w:hint="default"/>
          <w:lang w:val="en-US" w:eastAsia="zh-CN"/>
        </w:rPr>
      </w:pPr>
      <w:bookmarkStart w:id="33" w:name="EndLine"/>
      <w:r>
        <w:rPr>
          <w:rFonts w:hint="default"/>
          <w:lang w:val="en-US" w:eastAsia="zh-CN"/>
        </w:rPr>
        <w:drawing>
          <wp:inline distT="0" distB="0" distL="114300" distR="114300">
            <wp:extent cx="1485900" cy="317500"/>
            <wp:effectExtent l="0" t="0" r="0" b="6350"/>
            <wp:docPr id="2" name="图片 2" descr="EndLine"/>
            <wp:cNvGraphicFramePr/>
            <a:graphic xmlns:a="http://schemas.openxmlformats.org/drawingml/2006/main">
              <a:graphicData uri="http://schemas.openxmlformats.org/drawingml/2006/picture">
                <pic:pic xmlns:pic="http://schemas.openxmlformats.org/drawingml/2006/picture">
                  <pic:nvPicPr>
                    <pic:cNvPr id="2" name="图片 2" descr="EndLine"/>
                    <pic:cNvPicPr/>
                  </pic:nvPicPr>
                  <pic:blipFill>
                    <a:blip r:embed="rId11"/>
                    <a:stretch>
                      <a:fillRect/>
                    </a:stretch>
                  </pic:blipFill>
                  <pic:spPr>
                    <a:xfrm>
                      <a:off x="0" y="0"/>
                      <a:ext cx="1485900" cy="317500"/>
                    </a:xfrm>
                    <a:prstGeom prst="rect">
                      <a:avLst/>
                    </a:prstGeom>
                  </pic:spPr>
                </pic:pic>
              </a:graphicData>
            </a:graphic>
          </wp:inline>
        </w:drawing>
      </w:r>
      <w:bookmarkEnd w:id="33"/>
    </w:p>
    <w:sectPr>
      <w:footerReference r:id="rId7" w:type="default"/>
      <w:footerReference r:id="rId8" w:type="even"/>
      <w:pgSz w:w="11906" w:h="16838"/>
      <w:pgMar w:top="2410" w:right="1134" w:bottom="1134" w:left="1134" w:header="1418" w:footer="1134" w:gutter="284"/>
      <w:lnNumType w:countBy="0" w:restart="continuous"/>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西文正文">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 w:name="Symbol">
    <w:panose1 w:val="050501020107060205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D80CC3">
    <w:pPr>
      <w:pStyle w:val="30"/>
      <w:bidi w:val="0"/>
      <w:rPr>
        <w:rFonts w:hint="eastAsia" w:eastAsia="宋体"/>
        <w:lang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2D7E1F">
                          <w:pPr>
                            <w:pStyle w:val="30"/>
                            <w:bidi w:val="0"/>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012D7E1F">
                    <w:pPr>
                      <w:pStyle w:val="30"/>
                      <w:bidi w:val="0"/>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9C32E0">
    <w:pPr>
      <w:pStyle w:val="12"/>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1D6117">
                          <w:pPr>
                            <w:pStyle w:val="12"/>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7E1D6117">
                    <w:pPr>
                      <w:pStyle w:val="12"/>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3A17DE">
    <w:pPr>
      <w:pStyle w:val="30"/>
      <w:bidi w:val="0"/>
      <w:rPr>
        <w:rFonts w:hint="eastAsia" w:eastAsia="宋体"/>
        <w:lang w:eastAsia="zh-CN"/>
      </w:rPr>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55F37C">
                          <w:pPr>
                            <w:pStyle w:val="30"/>
                            <w:bidi w:val="0"/>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4955F37C">
                    <w:pPr>
                      <w:pStyle w:val="30"/>
                      <w:bidi w:val="0"/>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01AB97">
    <w:pPr>
      <w:pStyle w:val="12"/>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F90A4C">
                          <w:pPr>
                            <w:pStyle w:val="12"/>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2FF90A4C">
                    <w:pPr>
                      <w:pStyle w:val="12"/>
                    </w:pPr>
                    <w:r>
                      <w:fldChar w:fldCharType="begin"/>
                    </w:r>
                    <w:r>
                      <w:instrText xml:space="preserve"> PAGE  \* MERGEFORMAT </w:instrText>
                    </w:r>
                    <w:r>
                      <w:fldChar w:fldCharType="separate"/>
                    </w:r>
                    <w:r>
                      <w:t>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1E70E4">
    <w:pPr>
      <w:pStyle w:val="31"/>
      <w:bidi w:val="0"/>
      <w:jc w:val="left"/>
      <w:rPr>
        <w:rFonts w:hint="default" w:eastAsia="黑体"/>
        <w:lang w:val="en-US" w:eastAsia="zh-CN"/>
      </w:rPr>
    </w:pPr>
    <w:r>
      <w:rPr>
        <w:rFonts w:hint="eastAsia"/>
        <w:lang w:eastAsia="zh-CN"/>
      </w:rPr>
      <w:t xml:space="preserve">T/JALNCP </w:t>
    </w:r>
    <w:r>
      <w:rPr>
        <w:rFonts w:hint="eastAsia"/>
        <w:lang w:val="en-US" w:eastAsia="zh-CN"/>
      </w:rPr>
      <w:t>XXX</w:t>
    </w:r>
    <w:r>
      <w:rPr>
        <w:rFonts w:hint="eastAsia"/>
        <w:lang w:eastAsia="zh-CN"/>
      </w:rPr>
      <w:t>-202</w:t>
    </w:r>
    <w:r>
      <w:rPr>
        <w:rFonts w:hint="eastAsia"/>
        <w:lang w:val="en-US" w:eastAsia="zh-CN"/>
      </w:rPr>
      <w:t>5</w:t>
    </w:r>
  </w:p>
  <w:p w14:paraId="0FB17065">
    <w:pPr>
      <w:pStyle w:val="1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2A1C25">
    <w:pPr>
      <w:pStyle w:val="31"/>
      <w:bidi w:val="0"/>
      <w:rPr>
        <w:rFonts w:hint="eastAsia" w:eastAsia="黑体"/>
        <w:lang w:eastAsia="zh-CN"/>
      </w:rPr>
    </w:pPr>
    <w:r>
      <w:rPr>
        <w:rFonts w:hint="eastAsia"/>
        <w:lang w:eastAsia="zh-CN"/>
      </w:rPr>
      <w:t xml:space="preserve">T/JALNCP </w:t>
    </w:r>
    <w:r>
      <w:rPr>
        <w:rFonts w:hint="eastAsia"/>
        <w:lang w:val="en-US" w:eastAsia="zh-CN"/>
      </w:rPr>
      <w:t>X</w:t>
    </w:r>
    <w:r>
      <w:rPr>
        <w:rFonts w:hint="eastAsia"/>
        <w:lang w:eastAsia="zh-CN"/>
      </w:rPr>
      <w:t>-202</w:t>
    </w:r>
    <w:r>
      <w:rPr>
        <w:rFonts w:hint="eastAsia"/>
        <w:lang w:val="en-US" w:eastAsia="zh-CN"/>
      </w:rPr>
      <w:t>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506DB5"/>
    <w:multiLevelType w:val="multilevel"/>
    <w:tmpl w:val="83506DB5"/>
    <w:lvl w:ilvl="0" w:tentative="0">
      <w:start w:val="1"/>
      <w:numFmt w:val="upperLetter"/>
      <w:lvlText w:val="%1"/>
      <w:lvlJc w:val="left"/>
      <w:pPr>
        <w:tabs>
          <w:tab w:val="left" w:pos="0"/>
        </w:tabs>
        <w:ind w:left="0" w:leftChars="0" w:firstLine="0" w:firstLineChars="0"/>
      </w:pPr>
      <w:rPr>
        <w:rFonts w:hint="default"/>
      </w:rPr>
    </w:lvl>
    <w:lvl w:ilvl="1" w:tentative="0">
      <w:start w:val="1"/>
      <w:numFmt w:val="decimal"/>
      <w:pStyle w:val="2"/>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1">
    <w:nsid w:val="A173C618"/>
    <w:multiLevelType w:val="multilevel"/>
    <w:tmpl w:val="A173C618"/>
    <w:lvl w:ilvl="0" w:tentative="0">
      <w:start w:val="1"/>
      <w:numFmt w:val="none"/>
      <w:pStyle w:val="56"/>
      <w:lvlText w:val="%1——"/>
      <w:lvlJc w:val="left"/>
      <w:pPr>
        <w:tabs>
          <w:tab w:val="left" w:pos="851"/>
        </w:tabs>
        <w:ind w:left="851" w:leftChars="0" w:hanging="426" w:firstLineChars="0"/>
      </w:pPr>
      <w:rPr>
        <w:rFonts w:hint="default" w:ascii="Times New Roman" w:hAnsi="Times New Roman" w:cs="Times New Roman"/>
        <w:sz w:val="20"/>
      </w:rPr>
    </w:lvl>
    <w:lvl w:ilvl="1" w:tentative="0">
      <w:start w:val="1"/>
      <w:numFmt w:val="bullet"/>
      <w:pStyle w:val="57"/>
      <w:lvlText w:val=""/>
      <w:lvlJc w:val="left"/>
      <w:pPr>
        <w:tabs>
          <w:tab w:val="left" w:pos="851"/>
        </w:tabs>
        <w:ind w:left="1270" w:leftChars="0" w:hanging="419" w:firstLineChars="0"/>
      </w:pPr>
      <w:rPr>
        <w:rFonts w:hint="default" w:ascii="Symbol" w:hAnsi="Symbol" w:cs="Symbol"/>
      </w:rPr>
    </w:lvl>
    <w:lvl w:ilvl="2" w:tentative="0">
      <w:start w:val="1"/>
      <w:numFmt w:val="bullet"/>
      <w:lvlText w:val=""/>
      <w:lvlJc w:val="left"/>
      <w:pPr>
        <w:tabs>
          <w:tab w:val="left" w:pos="1678"/>
        </w:tabs>
        <w:ind w:left="1678" w:leftChars="0" w:hanging="414" w:firstLineChars="0"/>
      </w:pPr>
      <w:rPr>
        <w:rFonts w:hint="default" w:ascii="Symbol" w:hAnsi="Symbol" w:cs="Symbol"/>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upp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2">
    <w:nsid w:val="A2E19707"/>
    <w:multiLevelType w:val="multilevel"/>
    <w:tmpl w:val="A2E19707"/>
    <w:lvl w:ilvl="0" w:tentative="0">
      <w:start w:val="1"/>
      <w:numFmt w:val="none"/>
      <w:pStyle w:val="103"/>
      <w:suff w:val="nothing"/>
      <w:lvlText w:val="示例："/>
      <w:lvlJc w:val="left"/>
      <w:pPr>
        <w:ind w:left="0" w:leftChars="0" w:firstLine="363" w:firstLineChars="0"/>
      </w:pPr>
      <w:rPr>
        <w:rFonts w:hint="eastAsia" w:ascii="黑体" w:hAnsi="黑体" w:eastAsia="黑体" w:cs="黑体"/>
        <w:sz w:val="18"/>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3">
    <w:nsid w:val="A52F0134"/>
    <w:multiLevelType w:val="multilevel"/>
    <w:tmpl w:val="A52F0134"/>
    <w:lvl w:ilvl="0" w:tentative="0">
      <w:start w:val="1"/>
      <w:numFmt w:val="upperLetter"/>
      <w:pStyle w:val="87"/>
      <w:suff w:val="nothing"/>
      <w:lvlText w:val="附录%1"/>
      <w:lvlJc w:val="left"/>
      <w:pPr>
        <w:ind w:left="0" w:leftChars="0" w:firstLine="0" w:firstLineChars="0"/>
      </w:pPr>
      <w:rPr>
        <w:rFonts w:hint="default"/>
        <w:spacing w:val="102"/>
      </w:rPr>
    </w:lvl>
    <w:lvl w:ilvl="1" w:tentative="0">
      <w:start w:val="1"/>
      <w:numFmt w:val="decimal"/>
      <w:pStyle w:val="88"/>
      <w:suff w:val="nothing"/>
      <w:lvlText w:val="%1.%2　"/>
      <w:lvlJc w:val="left"/>
      <w:pPr>
        <w:ind w:left="0" w:leftChars="0" w:firstLine="0" w:firstLineChars="0"/>
      </w:pPr>
      <w:rPr>
        <w:rFonts w:hint="default" w:ascii="黑体" w:hAnsi="黑体" w:eastAsia="黑体" w:cs="黑体"/>
        <w:sz w:val="20"/>
      </w:rPr>
    </w:lvl>
    <w:lvl w:ilvl="2" w:tentative="0">
      <w:start w:val="1"/>
      <w:numFmt w:val="decimal"/>
      <w:pStyle w:val="89"/>
      <w:suff w:val="nothing"/>
      <w:lvlText w:val="%1.%2.%3　"/>
      <w:lvlJc w:val="left"/>
      <w:pPr>
        <w:ind w:left="0" w:leftChars="0" w:firstLine="0" w:firstLineChars="0"/>
      </w:pPr>
      <w:rPr>
        <w:rFonts w:hint="default" w:ascii="黑体" w:hAnsi="黑体" w:eastAsia="黑体" w:cs="黑体"/>
        <w:sz w:val="20"/>
      </w:rPr>
    </w:lvl>
    <w:lvl w:ilvl="3" w:tentative="0">
      <w:start w:val="1"/>
      <w:numFmt w:val="decimal"/>
      <w:pStyle w:val="90"/>
      <w:suff w:val="nothing"/>
      <w:lvlText w:val="%1.%2.%3.%4　"/>
      <w:lvlJc w:val="left"/>
      <w:pPr>
        <w:ind w:left="0" w:leftChars="0" w:firstLine="0" w:firstLineChars="0"/>
      </w:pPr>
      <w:rPr>
        <w:rFonts w:hint="default" w:ascii="黑体" w:hAnsi="黑体" w:eastAsia="黑体" w:cs="黑体"/>
        <w:sz w:val="20"/>
      </w:rPr>
    </w:lvl>
    <w:lvl w:ilvl="4" w:tentative="0">
      <w:start w:val="1"/>
      <w:numFmt w:val="decimal"/>
      <w:pStyle w:val="91"/>
      <w:suff w:val="nothing"/>
      <w:lvlText w:val="%1.%2.%3.%4.%5　"/>
      <w:lvlJc w:val="left"/>
      <w:pPr>
        <w:ind w:left="0" w:leftChars="0" w:firstLine="0" w:firstLineChars="0"/>
      </w:pPr>
      <w:rPr>
        <w:rFonts w:hint="default" w:ascii="黑体" w:hAnsi="黑体" w:eastAsia="黑体" w:cs="黑体"/>
        <w:sz w:val="20"/>
      </w:rPr>
    </w:lvl>
    <w:lvl w:ilvl="5" w:tentative="0">
      <w:start w:val="1"/>
      <w:numFmt w:val="decimal"/>
      <w:pStyle w:val="92"/>
      <w:suff w:val="nothing"/>
      <w:lvlText w:val="%1.%2.%3.%4.%5.%6　"/>
      <w:lvlJc w:val="left"/>
      <w:pPr>
        <w:ind w:left="0" w:leftChars="0" w:firstLine="0" w:firstLineChars="0"/>
      </w:pPr>
      <w:rPr>
        <w:rFonts w:hint="default" w:ascii="黑体" w:hAnsi="黑体" w:eastAsia="黑体" w:cs="黑体"/>
        <w:sz w:val="20"/>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4">
    <w:nsid w:val="B90C819A"/>
    <w:multiLevelType w:val="multilevel"/>
    <w:tmpl w:val="B90C819A"/>
    <w:lvl w:ilvl="0" w:tentative="0">
      <w:start w:val="1"/>
      <w:numFmt w:val="decimal"/>
      <w:pStyle w:val="71"/>
      <w:suff w:val="nothing"/>
      <w:lvlText w:val="%1　"/>
      <w:lvlJc w:val="left"/>
      <w:pPr>
        <w:ind w:left="0" w:leftChars="0" w:firstLine="0" w:firstLineChars="0"/>
      </w:pPr>
      <w:rPr>
        <w:rFonts w:hint="default" w:ascii="黑体" w:hAnsi="黑体" w:eastAsia="黑体" w:cs="黑体"/>
        <w:sz w:val="20"/>
      </w:rPr>
    </w:lvl>
    <w:lvl w:ilvl="1" w:tentative="0">
      <w:start w:val="1"/>
      <w:numFmt w:val="decimal"/>
      <w:pStyle w:val="72"/>
      <w:suff w:val="nothing"/>
      <w:lvlText w:val="%1.%2　"/>
      <w:lvlJc w:val="left"/>
      <w:pPr>
        <w:ind w:left="0" w:leftChars="0" w:firstLine="0" w:firstLineChars="0"/>
      </w:pPr>
      <w:rPr>
        <w:rFonts w:hint="default" w:ascii="黑体" w:hAnsi="黑体" w:eastAsia="黑体" w:cs="黑体"/>
        <w:sz w:val="20"/>
      </w:rPr>
    </w:lvl>
    <w:lvl w:ilvl="2" w:tentative="0">
      <w:start w:val="1"/>
      <w:numFmt w:val="decimal"/>
      <w:pStyle w:val="73"/>
      <w:suff w:val="nothing"/>
      <w:lvlText w:val="%1.%2.%3　"/>
      <w:lvlJc w:val="left"/>
      <w:pPr>
        <w:ind w:left="0" w:leftChars="0" w:firstLine="0" w:firstLineChars="0"/>
      </w:pPr>
      <w:rPr>
        <w:rFonts w:hint="default" w:ascii="黑体" w:hAnsi="黑体" w:eastAsia="黑体" w:cs="黑体"/>
        <w:sz w:val="20"/>
      </w:rPr>
    </w:lvl>
    <w:lvl w:ilvl="3" w:tentative="0">
      <w:start w:val="1"/>
      <w:numFmt w:val="decimal"/>
      <w:pStyle w:val="74"/>
      <w:suff w:val="nothing"/>
      <w:lvlText w:val="%1.%2.%3.%4　"/>
      <w:lvlJc w:val="left"/>
      <w:pPr>
        <w:ind w:left="0" w:leftChars="0" w:firstLine="0" w:firstLineChars="0"/>
      </w:pPr>
      <w:rPr>
        <w:rFonts w:hint="default" w:ascii="黑体" w:hAnsi="黑体" w:eastAsia="黑体" w:cs="黑体"/>
        <w:sz w:val="20"/>
      </w:rPr>
    </w:lvl>
    <w:lvl w:ilvl="4" w:tentative="0">
      <w:start w:val="1"/>
      <w:numFmt w:val="decimal"/>
      <w:pStyle w:val="75"/>
      <w:suff w:val="nothing"/>
      <w:lvlText w:val="%1.%2.%3.%4.%5　"/>
      <w:lvlJc w:val="left"/>
      <w:pPr>
        <w:ind w:left="0" w:leftChars="0" w:firstLine="0" w:firstLineChars="0"/>
      </w:pPr>
      <w:rPr>
        <w:rFonts w:hint="default" w:ascii="黑体" w:hAnsi="黑体" w:eastAsia="黑体" w:cs="黑体"/>
        <w:sz w:val="20"/>
      </w:rPr>
    </w:lvl>
    <w:lvl w:ilvl="5" w:tentative="0">
      <w:start w:val="1"/>
      <w:numFmt w:val="decimal"/>
      <w:pStyle w:val="76"/>
      <w:suff w:val="nothing"/>
      <w:lvlText w:val="%1.%2.%3.%4.%5.%6　"/>
      <w:lvlJc w:val="left"/>
      <w:pPr>
        <w:ind w:left="0" w:leftChars="0" w:firstLine="0" w:firstLineChars="0"/>
      </w:pPr>
      <w:rPr>
        <w:rFonts w:hint="default" w:ascii="黑体" w:hAnsi="黑体" w:eastAsia="黑体" w:cs="黑体"/>
        <w:sz w:val="20"/>
      </w:rPr>
    </w:lvl>
    <w:lvl w:ilvl="6" w:tentative="0">
      <w:start w:val="1"/>
      <w:numFmt w:val="lowerLetter"/>
      <w:suff w:val="nothing"/>
      <w:lvlText w:val="%7）"/>
      <w:lvlJc w:val="left"/>
      <w:pPr>
        <w:ind w:left="0" w:firstLine="402"/>
      </w:pPr>
      <w:rPr>
        <w:rFonts w:hint="eastAsia"/>
      </w:rPr>
    </w:lvl>
    <w:lvl w:ilvl="7" w:tentative="0">
      <w:start w:val="1"/>
      <w:numFmt w:val="lowerRoman"/>
      <w:suff w:val="nothing"/>
      <w:lvlText w:val="%8. "/>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5">
    <w:nsid w:val="C0777F62"/>
    <w:multiLevelType w:val="multilevel"/>
    <w:tmpl w:val="C0777F62"/>
    <w:lvl w:ilvl="0" w:tentative="0">
      <w:start w:val="1"/>
      <w:numFmt w:val="decimal"/>
      <w:pStyle w:val="112"/>
      <w:suff w:val="nothing"/>
      <w:lvlText w:val="表%1  "/>
      <w:lvlJc w:val="left"/>
      <w:pPr>
        <w:tabs>
          <w:tab w:val="left" w:pos="539"/>
        </w:tabs>
        <w:ind w:left="0" w:leftChars="0" w:firstLine="0" w:firstLineChars="0"/>
      </w:pPr>
      <w:rPr>
        <w:rFonts w:hint="eastAsia" w:ascii="黑体" w:hAnsi="黑体" w:eastAsia="黑体" w:cs="黑体"/>
        <w:sz w:val="21"/>
        <w:vertAlign w:val="baseline"/>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6">
    <w:nsid w:val="E065AB2D"/>
    <w:multiLevelType w:val="multilevel"/>
    <w:tmpl w:val="E065AB2D"/>
    <w:lvl w:ilvl="0" w:tentative="0">
      <w:start w:val="1"/>
      <w:numFmt w:val="decimal"/>
      <w:pStyle w:val="106"/>
      <w:suff w:val="nothing"/>
      <w:lvlText w:val="注%1："/>
      <w:lvlJc w:val="left"/>
      <w:pPr>
        <w:ind w:left="811" w:leftChars="0" w:hanging="448" w:firstLineChars="0"/>
      </w:pPr>
      <w:rPr>
        <w:rFonts w:hint="eastAsia" w:ascii="黑体" w:hAnsi="黑体" w:eastAsia="黑体" w:cs="黑体"/>
        <w:sz w:val="18"/>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7">
    <w:nsid w:val="E31B39B2"/>
    <w:multiLevelType w:val="multilevel"/>
    <w:tmpl w:val="E31B39B2"/>
    <w:lvl w:ilvl="0" w:tentative="0">
      <w:start w:val="1"/>
      <w:numFmt w:val="lowerLetter"/>
      <w:pStyle w:val="59"/>
      <w:lvlText w:val="%1)"/>
      <w:lvlJc w:val="left"/>
      <w:pPr>
        <w:tabs>
          <w:tab w:val="left" w:pos="851"/>
        </w:tabs>
        <w:ind w:left="851" w:leftChars="0" w:hanging="426" w:firstLineChars="0"/>
      </w:pPr>
      <w:rPr>
        <w:rFonts w:hint="default" w:ascii="宋体" w:hAnsi="宋体" w:eastAsia="宋体" w:cs="宋体"/>
        <w:sz w:val="20"/>
      </w:rPr>
    </w:lvl>
    <w:lvl w:ilvl="1" w:tentative="0">
      <w:start w:val="1"/>
      <w:numFmt w:val="decimal"/>
      <w:pStyle w:val="60"/>
      <w:lvlText w:val="%2)"/>
      <w:lvlJc w:val="left"/>
      <w:pPr>
        <w:tabs>
          <w:tab w:val="left" w:pos="1276"/>
        </w:tabs>
        <w:ind w:left="1276" w:leftChars="0" w:hanging="425" w:firstLineChars="0"/>
      </w:pPr>
      <w:rPr>
        <w:rFonts w:hint="default" w:ascii="宋体" w:hAnsi="Times New Roman" w:eastAsia="宋体" w:cs="Times New Roman"/>
        <w:sz w:val="21"/>
      </w:rPr>
    </w:lvl>
    <w:lvl w:ilvl="2" w:tentative="0">
      <w:start w:val="1"/>
      <w:numFmt w:val="bullet"/>
      <w:pStyle w:val="58"/>
      <w:lvlText w:val=""/>
      <w:lvlJc w:val="left"/>
      <w:pPr>
        <w:tabs>
          <w:tab w:val="left" w:pos="1678"/>
        </w:tabs>
        <w:ind w:left="1678" w:leftChars="0" w:hanging="414" w:firstLineChars="0"/>
      </w:pPr>
      <w:rPr>
        <w:rFonts w:hint="default" w:ascii="Symbol" w:hAnsi="Symbol" w:cs="Symbol"/>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upp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8">
    <w:nsid w:val="E4A9941D"/>
    <w:multiLevelType w:val="multilevel"/>
    <w:tmpl w:val="E4A9941D"/>
    <w:lvl w:ilvl="0" w:tentative="0">
      <w:start w:val="1"/>
      <w:numFmt w:val="decimal"/>
      <w:pStyle w:val="118"/>
      <w:suff w:val="nothing"/>
      <w:lvlText w:val="[%1]  "/>
      <w:lvlJc w:val="left"/>
      <w:pPr>
        <w:ind w:left="0" w:leftChars="0" w:firstLine="363" w:firstLineChars="0"/>
      </w:pPr>
      <w:rPr>
        <w:rFonts w:hint="eastAsia" w:ascii="黑体" w:hAnsi="黑体" w:eastAsia="黑体" w:cs="黑体"/>
        <w:sz w:val="18"/>
      </w:rPr>
    </w:lvl>
    <w:lvl w:ilvl="1" w:tentative="0">
      <w:start w:val="1"/>
      <w:numFmt w:val="chineseCounting"/>
      <w:suff w:val="nothing"/>
      <w:lvlText w:val="第%2节　"/>
      <w:lvlJc w:val="left"/>
      <w:pPr>
        <w:ind w:left="0" w:firstLine="402"/>
      </w:pPr>
      <w:rPr>
        <w:rFonts w:hint="eastAsia"/>
      </w:rPr>
    </w:lvl>
    <w:lvl w:ilvl="2" w:tentative="0">
      <w:start w:val="1"/>
      <w:numFmt w:val="chineseCounting"/>
      <w:suff w:val="nothing"/>
      <w:lvlText w:val="第%3条　"/>
      <w:lvlJc w:val="left"/>
      <w:pPr>
        <w:ind w:left="0" w:firstLine="402"/>
      </w:pPr>
      <w:rPr>
        <w:rFonts w:hint="eastAsia"/>
      </w:rPr>
    </w:lvl>
    <w:lvl w:ilvl="3" w:tentative="0">
      <w:start w:val="1"/>
      <w:numFmt w:val="chineseCounting"/>
      <w:suff w:val="nothing"/>
      <w:lvlText w:val="（%4）"/>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decimalEnclosedCircleChinese"/>
      <w:suff w:val="nothing"/>
      <w:lvlText w:val="%7 "/>
      <w:lvlJc w:val="left"/>
      <w:pPr>
        <w:ind w:left="0" w:firstLine="402"/>
      </w:pPr>
      <w:rPr>
        <w:rFonts w:hint="eastAsia"/>
      </w:rPr>
    </w:lvl>
    <w:lvl w:ilvl="7" w:tentative="0">
      <w:start w:val="1"/>
      <w:numFmt w:val="decimal"/>
      <w:suff w:val="nothing"/>
      <w:lvlText w:val="%8）"/>
      <w:lvlJc w:val="left"/>
      <w:pPr>
        <w:ind w:left="0" w:firstLine="402"/>
      </w:pPr>
      <w:rPr>
        <w:rFonts w:hint="eastAsia"/>
      </w:rPr>
    </w:lvl>
    <w:lvl w:ilvl="8" w:tentative="0">
      <w:start w:val="1"/>
      <w:numFmt w:val="lowerLetter"/>
      <w:suff w:val="nothing"/>
      <w:lvlText w:val="%9．"/>
      <w:lvlJc w:val="left"/>
      <w:pPr>
        <w:ind w:left="0" w:firstLine="402"/>
      </w:pPr>
      <w:rPr>
        <w:rFonts w:hint="eastAsia"/>
      </w:rPr>
    </w:lvl>
  </w:abstractNum>
  <w:abstractNum w:abstractNumId="9">
    <w:nsid w:val="FAF8B29E"/>
    <w:multiLevelType w:val="multilevel"/>
    <w:tmpl w:val="FAF8B29E"/>
    <w:lvl w:ilvl="0" w:tentative="0">
      <w:start w:val="1"/>
      <w:numFmt w:val="decimal"/>
      <w:pStyle w:val="113"/>
      <w:suff w:val="nothing"/>
      <w:lvlText w:val="图%1  "/>
      <w:lvlJc w:val="left"/>
      <w:pPr>
        <w:tabs>
          <w:tab w:val="left" w:pos="539"/>
        </w:tabs>
        <w:ind w:left="0" w:leftChars="0" w:firstLine="0" w:firstLineChars="0"/>
      </w:pPr>
      <w:rPr>
        <w:rFonts w:hint="eastAsia" w:ascii="黑体" w:hAnsi="黑体" w:eastAsia="黑体" w:cs="黑体"/>
        <w:sz w:val="21"/>
        <w:vertAlign w:val="baseline"/>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0">
    <w:nsid w:val="0196A672"/>
    <w:multiLevelType w:val="multilevel"/>
    <w:tmpl w:val="0196A672"/>
    <w:lvl w:ilvl="0" w:tentative="0">
      <w:start w:val="1"/>
      <w:numFmt w:val="decimal"/>
      <w:pStyle w:val="104"/>
      <w:suff w:val="nothing"/>
      <w:lvlText w:val="示例%1："/>
      <w:lvlJc w:val="left"/>
      <w:pPr>
        <w:ind w:left="0" w:leftChars="0" w:firstLine="363" w:firstLineChars="0"/>
      </w:pPr>
      <w:rPr>
        <w:rFonts w:hint="eastAsia" w:ascii="黑体" w:hAnsi="黑体" w:eastAsia="黑体" w:cs="黑体"/>
        <w:sz w:val="18"/>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1">
    <w:nsid w:val="02E29276"/>
    <w:multiLevelType w:val="multilevel"/>
    <w:tmpl w:val="02E29276"/>
    <w:lvl w:ilvl="0" w:tentative="0">
      <w:start w:val="1"/>
      <w:numFmt w:val="lowerLetter"/>
      <w:pStyle w:val="107"/>
      <w:lvlText w:val="%1"/>
      <w:lvlJc w:val="left"/>
      <w:pPr>
        <w:tabs>
          <w:tab w:val="left" w:pos="539"/>
        </w:tabs>
        <w:ind w:left="539" w:leftChars="0" w:hanging="119" w:firstLineChars="0"/>
      </w:pPr>
      <w:rPr>
        <w:rFonts w:hint="eastAsia" w:ascii="宋体" w:hAnsi="宋体" w:eastAsia="宋体" w:cs="宋体"/>
        <w:sz w:val="15"/>
        <w:vertAlign w:val="superscript"/>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2">
    <w:nsid w:val="087F8283"/>
    <w:multiLevelType w:val="multilevel"/>
    <w:tmpl w:val="087F8283"/>
    <w:lvl w:ilvl="0" w:tentative="0">
      <w:start w:val="1"/>
      <w:numFmt w:val="decimal"/>
      <w:pStyle w:val="16"/>
      <w:lvlText w:val="%1)"/>
      <w:lvlJc w:val="left"/>
      <w:pPr>
        <w:tabs>
          <w:tab w:val="left" w:pos="0"/>
        </w:tabs>
        <w:ind w:left="720" w:leftChars="0" w:hanging="357" w:firstLineChars="0"/>
      </w:pPr>
      <w:rPr>
        <w:rFonts w:hint="eastAsia" w:ascii="宋体" w:hAnsi="宋体" w:eastAsia="宋体" w:cs="宋体"/>
        <w:sz w:val="15"/>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3">
    <w:nsid w:val="17AECDBE"/>
    <w:multiLevelType w:val="multilevel"/>
    <w:tmpl w:val="17AECDBE"/>
    <w:lvl w:ilvl="0" w:tentative="0">
      <w:start w:val="1"/>
      <w:numFmt w:val="none"/>
      <w:pStyle w:val="105"/>
      <w:suff w:val="nothing"/>
      <w:lvlText w:val="注："/>
      <w:lvlJc w:val="left"/>
      <w:pPr>
        <w:ind w:left="737" w:leftChars="0" w:hanging="374" w:firstLineChars="0"/>
      </w:pPr>
      <w:rPr>
        <w:rFonts w:hint="eastAsia" w:ascii="黑体" w:hAnsi="黑体" w:eastAsia="黑体" w:cs="黑体"/>
        <w:sz w:val="18"/>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4">
    <w:nsid w:val="1D60AA4C"/>
    <w:multiLevelType w:val="multilevel"/>
    <w:tmpl w:val="1D60AA4C"/>
    <w:lvl w:ilvl="0" w:tentative="0">
      <w:start w:val="1"/>
      <w:numFmt w:val="upperLetter"/>
      <w:pStyle w:val="98"/>
      <w:lvlText w:val="%1"/>
      <w:lvlJc w:val="left"/>
      <w:pPr>
        <w:tabs>
          <w:tab w:val="left" w:pos="0"/>
        </w:tabs>
        <w:ind w:left="0" w:leftChars="0" w:firstLine="0" w:firstLineChars="0"/>
      </w:pPr>
      <w:rPr>
        <w:rFonts w:hint="default"/>
      </w:rPr>
    </w:lvl>
    <w:lvl w:ilvl="1" w:tentative="0">
      <w:start w:val="1"/>
      <w:numFmt w:val="decimal"/>
      <w:pStyle w:val="99"/>
      <w:suff w:val="nothing"/>
      <w:lvlText w:val="图%1.%2　"/>
      <w:lvlJc w:val="left"/>
      <w:pPr>
        <w:ind w:left="0" w:leftChars="0" w:firstLine="0" w:firstLineChars="0"/>
      </w:pPr>
      <w:rPr>
        <w:rFonts w:hint="default"/>
      </w:rPr>
    </w:lvl>
    <w:lvl w:ilvl="2" w:tentative="0">
      <w:start w:val="1"/>
      <w:numFmt w:val="decimal"/>
      <w:pStyle w:val="3"/>
      <w:lvlText w:val="%1.%2.%3."/>
      <w:lvlJc w:val="left"/>
      <w:pPr>
        <w:ind w:left="720" w:hanging="720"/>
      </w:pPr>
      <w:rPr>
        <w:rFonts w:hint="default"/>
      </w:rPr>
    </w:lvl>
    <w:lvl w:ilvl="3" w:tentative="0">
      <w:start w:val="1"/>
      <w:numFmt w:val="decimal"/>
      <w:pStyle w:val="4"/>
      <w:lvlText w:val="%1.%2.%3.%4."/>
      <w:lvlJc w:val="left"/>
      <w:pPr>
        <w:ind w:left="864" w:hanging="864"/>
      </w:pPr>
      <w:rPr>
        <w:rFonts w:hint="default"/>
      </w:rPr>
    </w:lvl>
    <w:lvl w:ilvl="4" w:tentative="0">
      <w:start w:val="1"/>
      <w:numFmt w:val="decimal"/>
      <w:pStyle w:val="5"/>
      <w:lvlText w:val="%1.%2.%3.%4.%5."/>
      <w:lvlJc w:val="left"/>
      <w:pPr>
        <w:ind w:left="1008" w:hanging="1008"/>
      </w:pPr>
      <w:rPr>
        <w:rFonts w:hint="default"/>
      </w:rPr>
    </w:lvl>
    <w:lvl w:ilvl="5" w:tentative="0">
      <w:start w:val="1"/>
      <w:numFmt w:val="decimal"/>
      <w:pStyle w:val="6"/>
      <w:lvlText w:val="%1.%2.%3.%4.%5.%6."/>
      <w:lvlJc w:val="left"/>
      <w:pPr>
        <w:ind w:left="1151" w:hanging="1151"/>
      </w:pPr>
      <w:rPr>
        <w:rFonts w:hint="default"/>
      </w:rPr>
    </w:lvl>
    <w:lvl w:ilvl="6" w:tentative="0">
      <w:start w:val="1"/>
      <w:numFmt w:val="decimal"/>
      <w:pStyle w:val="7"/>
      <w:lvlText w:val="%1.%2.%3.%4.%5.%6.%7."/>
      <w:lvlJc w:val="left"/>
      <w:pPr>
        <w:ind w:left="1296" w:hanging="1296"/>
      </w:pPr>
      <w:rPr>
        <w:rFonts w:hint="default"/>
      </w:rPr>
    </w:lvl>
    <w:lvl w:ilvl="7" w:tentative="0">
      <w:start w:val="1"/>
      <w:numFmt w:val="decimal"/>
      <w:pStyle w:val="8"/>
      <w:lvlText w:val="%1.%2.%3.%4.%5.%6.%7.%8."/>
      <w:lvlJc w:val="left"/>
      <w:pPr>
        <w:ind w:left="1440" w:hanging="1440"/>
      </w:pPr>
      <w:rPr>
        <w:rFonts w:hint="default"/>
      </w:rPr>
    </w:lvl>
    <w:lvl w:ilvl="8" w:tentative="0">
      <w:start w:val="1"/>
      <w:numFmt w:val="decimal"/>
      <w:pStyle w:val="9"/>
      <w:lvlText w:val="%1.%2.%3.%4.%5.%6.%7.%8.%9."/>
      <w:lvlJc w:val="left"/>
      <w:pPr>
        <w:ind w:left="1583" w:hanging="1583"/>
      </w:pPr>
      <w:rPr>
        <w:rFonts w:hint="default"/>
      </w:rPr>
    </w:lvl>
  </w:abstractNum>
  <w:abstractNum w:abstractNumId="15">
    <w:nsid w:val="22827D5B"/>
    <w:multiLevelType w:val="multilevel"/>
    <w:tmpl w:val="22827D5B"/>
    <w:lvl w:ilvl="0" w:tentative="0">
      <w:start w:val="1"/>
      <w:numFmt w:val="none"/>
      <w:pStyle w:val="121"/>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16">
    <w:nsid w:val="471C86C0"/>
    <w:multiLevelType w:val="multilevel"/>
    <w:tmpl w:val="471C86C0"/>
    <w:lvl w:ilvl="0" w:tentative="0">
      <w:start w:val="1"/>
      <w:numFmt w:val="upperLetter"/>
      <w:pStyle w:val="100"/>
      <w:lvlText w:val="%1"/>
      <w:lvlJc w:val="left"/>
      <w:pPr>
        <w:tabs>
          <w:tab w:val="left" w:pos="0"/>
        </w:tabs>
        <w:ind w:left="0" w:leftChars="0" w:firstLine="0" w:firstLineChars="0"/>
      </w:pPr>
      <w:rPr>
        <w:rFonts w:hint="default"/>
      </w:rPr>
    </w:lvl>
    <w:lvl w:ilvl="1" w:tentative="0">
      <w:start w:val="1"/>
      <w:numFmt w:val="decimal"/>
      <w:pStyle w:val="101"/>
      <w:suff w:val="nothing"/>
      <w:lvlText w:val="表%1.%2　"/>
      <w:lvlJc w:val="left"/>
      <w:pPr>
        <w:ind w:left="0" w:leftChars="0" w:firstLine="0" w:firstLineChars="0"/>
      </w:pPr>
      <w:rPr>
        <w:rFonts w:hint="default"/>
      </w:rPr>
    </w:lvl>
    <w:lvl w:ilvl="2" w:tentative="0">
      <w:start w:val="1"/>
      <w:numFmt w:val="decimal"/>
      <w:lvlText w:val="%1.%2.%3."/>
      <w:lvlJc w:val="left"/>
      <w:pPr>
        <w:ind w:left="1508" w:hanging="708"/>
      </w:pPr>
      <w:rPr>
        <w:rFonts w:hint="default"/>
      </w:rPr>
    </w:lvl>
    <w:lvl w:ilvl="3" w:tentative="0">
      <w:start w:val="1"/>
      <w:numFmt w:val="decimal"/>
      <w:lvlText w:val="%1.%2.%3.%4."/>
      <w:lvlJc w:val="left"/>
      <w:pPr>
        <w:ind w:left="2053" w:hanging="853"/>
      </w:pPr>
      <w:rPr>
        <w:rFonts w:hint="default"/>
      </w:rPr>
    </w:lvl>
    <w:lvl w:ilvl="4" w:tentative="0">
      <w:start w:val="1"/>
      <w:numFmt w:val="decimal"/>
      <w:lvlText w:val="%1.%2.%3.%4.%5."/>
      <w:lvlJc w:val="left"/>
      <w:pPr>
        <w:ind w:left="2495" w:hanging="895"/>
      </w:pPr>
      <w:rPr>
        <w:rFonts w:hint="default"/>
      </w:rPr>
    </w:lvl>
    <w:lvl w:ilvl="5" w:tentative="0">
      <w:start w:val="1"/>
      <w:numFmt w:val="decimal"/>
      <w:lvlText w:val="%1.%2.%3.%4.%5.%6."/>
      <w:lvlJc w:val="left"/>
      <w:pPr>
        <w:ind w:left="3136" w:hanging="1136"/>
      </w:pPr>
      <w:rPr>
        <w:rFonts w:hint="default"/>
      </w:rPr>
    </w:lvl>
    <w:lvl w:ilvl="6" w:tentative="0">
      <w:start w:val="1"/>
      <w:numFmt w:val="decimal"/>
      <w:lvlText w:val="%1.%2.%3.%4.%5.%6.%7."/>
      <w:lvlJc w:val="left"/>
      <w:pPr>
        <w:ind w:left="3673" w:hanging="1273"/>
      </w:pPr>
      <w:rPr>
        <w:rFonts w:hint="default"/>
      </w:rPr>
    </w:lvl>
    <w:lvl w:ilvl="7" w:tentative="0">
      <w:start w:val="1"/>
      <w:numFmt w:val="decimal"/>
      <w:lvlText w:val="%1.%2.%3.%4.%5.%6.%7.%8."/>
      <w:lvlJc w:val="left"/>
      <w:pPr>
        <w:ind w:left="4218" w:hanging="1418"/>
      </w:pPr>
      <w:rPr>
        <w:rFonts w:hint="default"/>
      </w:rPr>
    </w:lvl>
    <w:lvl w:ilvl="8" w:tentative="0">
      <w:start w:val="1"/>
      <w:numFmt w:val="decimal"/>
      <w:lvlText w:val="%1.%2.%3.%4.%5.%6.%7.%8.%9."/>
      <w:lvlJc w:val="left"/>
      <w:pPr>
        <w:ind w:left="4648" w:hanging="1448"/>
      </w:pPr>
      <w:rPr>
        <w:rFonts w:hint="default"/>
      </w:rPr>
    </w:lvl>
  </w:abstractNum>
  <w:abstractNum w:abstractNumId="17">
    <w:nsid w:val="672E8268"/>
    <w:multiLevelType w:val="multilevel"/>
    <w:tmpl w:val="672E8268"/>
    <w:lvl w:ilvl="0" w:tentative="0">
      <w:start w:val="1"/>
      <w:numFmt w:val="none"/>
      <w:pStyle w:val="54"/>
      <w:suff w:val="nothing"/>
      <w:lvlText w:val="%1"/>
      <w:lvlJc w:val="left"/>
      <w:pPr>
        <w:ind w:left="425" w:leftChars="0" w:hanging="425" w:firstLineChars="0"/>
      </w:pPr>
      <w:rPr>
        <w:rFonts w:hint="default"/>
      </w:rPr>
    </w:lvl>
    <w:lvl w:ilvl="1" w:tentative="0">
      <w:start w:val="1"/>
      <w:numFmt w:val="decimal"/>
      <w:pStyle w:val="61"/>
      <w:suff w:val="nothing"/>
      <w:lvlText w:val="%10.%2 "/>
      <w:lvlJc w:val="left"/>
      <w:pPr>
        <w:ind w:left="0" w:leftChars="0" w:firstLine="0" w:firstLineChars="0"/>
      </w:pPr>
      <w:rPr>
        <w:rFonts w:hint="default" w:ascii="黑体" w:hAnsi="黑体" w:eastAsia="黑体" w:cs="黑体"/>
        <w:sz w:val="20"/>
      </w:rPr>
    </w:lvl>
    <w:lvl w:ilvl="2" w:tentative="0">
      <w:start w:val="1"/>
      <w:numFmt w:val="decimal"/>
      <w:pStyle w:val="62"/>
      <w:suff w:val="nothing"/>
      <w:lvlText w:val="%10.%2.%3 "/>
      <w:lvlJc w:val="left"/>
      <w:pPr>
        <w:ind w:left="0" w:leftChars="0" w:firstLine="0" w:firstLineChars="0"/>
      </w:pPr>
      <w:rPr>
        <w:rFonts w:hint="default" w:ascii="黑体" w:hAnsi="黑体" w:eastAsia="黑体" w:cs="黑体"/>
        <w:sz w:val="20"/>
      </w:rPr>
    </w:lvl>
    <w:lvl w:ilvl="3" w:tentative="0">
      <w:start w:val="1"/>
      <w:numFmt w:val="decimal"/>
      <w:pStyle w:val="63"/>
      <w:suff w:val="nothing"/>
      <w:lvlText w:val="%10.%2.%3.%4 "/>
      <w:lvlJc w:val="left"/>
      <w:pPr>
        <w:ind w:left="0" w:leftChars="0" w:firstLine="0" w:firstLineChars="0"/>
      </w:pPr>
      <w:rPr>
        <w:rFonts w:hint="default" w:ascii="黑体" w:hAnsi="黑体" w:eastAsia="黑体" w:cs="黑体"/>
        <w:sz w:val="20"/>
      </w:rPr>
    </w:lvl>
    <w:lvl w:ilvl="4" w:tentative="0">
      <w:start w:val="1"/>
      <w:numFmt w:val="decimal"/>
      <w:pStyle w:val="64"/>
      <w:suff w:val="nothing"/>
      <w:lvlText w:val="%10.%2.%3.%4.%5 "/>
      <w:lvlJc w:val="left"/>
      <w:pPr>
        <w:ind w:left="0" w:leftChars="0" w:firstLine="0" w:firstLineChars="0"/>
      </w:pPr>
      <w:rPr>
        <w:rFonts w:hint="default" w:ascii="黑体" w:hAnsi="黑体" w:eastAsia="黑体" w:cs="黑体"/>
        <w:sz w:val="20"/>
      </w:rPr>
    </w:lvl>
    <w:lvl w:ilvl="5" w:tentative="0">
      <w:start w:val="1"/>
      <w:numFmt w:val="decimal"/>
      <w:pStyle w:val="65"/>
      <w:suff w:val="nothing"/>
      <w:lvlText w:val="%10.%2.%3.%4.%5.%6 "/>
      <w:lvlJc w:val="left"/>
      <w:pPr>
        <w:ind w:left="0" w:leftChars="0" w:firstLine="0" w:firstLineChars="0"/>
      </w:pPr>
      <w:rPr>
        <w:rFonts w:hint="default" w:ascii="黑体" w:hAnsi="黑体" w:eastAsia="黑体" w:cs="黑体"/>
        <w:sz w:val="20"/>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8">
    <w:nsid w:val="6DBF04F4"/>
    <w:multiLevelType w:val="multilevel"/>
    <w:tmpl w:val="6DBF04F4"/>
    <w:lvl w:ilvl="0" w:tentative="0">
      <w:start w:val="1"/>
      <w:numFmt w:val="none"/>
      <w:pStyle w:val="123"/>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num w:numId="1">
    <w:abstractNumId w:val="0"/>
  </w:num>
  <w:num w:numId="2">
    <w:abstractNumId w:val="14"/>
  </w:num>
  <w:num w:numId="3">
    <w:abstractNumId w:val="12"/>
  </w:num>
  <w:num w:numId="4">
    <w:abstractNumId w:val="17"/>
  </w:num>
  <w:num w:numId="5">
    <w:abstractNumId w:val="1"/>
  </w:num>
  <w:num w:numId="6">
    <w:abstractNumId w:val="7"/>
  </w:num>
  <w:num w:numId="7">
    <w:abstractNumId w:val="4"/>
  </w:num>
  <w:num w:numId="8">
    <w:abstractNumId w:val="3"/>
  </w:num>
  <w:num w:numId="9">
    <w:abstractNumId w:val="16"/>
  </w:num>
  <w:num w:numId="10">
    <w:abstractNumId w:val="2"/>
  </w:num>
  <w:num w:numId="11">
    <w:abstractNumId w:val="10"/>
  </w:num>
  <w:num w:numId="12">
    <w:abstractNumId w:val="13"/>
  </w:num>
  <w:num w:numId="13">
    <w:abstractNumId w:val="6"/>
  </w:num>
  <w:num w:numId="14">
    <w:abstractNumId w:val="11"/>
  </w:num>
  <w:num w:numId="15">
    <w:abstractNumId w:val="5"/>
  </w:num>
  <w:num w:numId="16">
    <w:abstractNumId w:val="9"/>
  </w:num>
  <w:num w:numId="17">
    <w:abstractNumId w:val="8"/>
  </w:num>
  <w:num w:numId="18">
    <w:abstractNumId w:val="15"/>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evenAndOddHeaders w:val="1"/>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I2Yzg3Mzk1MGYzZjk4OThiYzUzOTllNjYyNGFkN2QifQ=="/>
  </w:docVars>
  <w:rsids>
    <w:rsidRoot w:val="22A65372"/>
    <w:rsid w:val="00D56753"/>
    <w:rsid w:val="01F66F31"/>
    <w:rsid w:val="02C81BA2"/>
    <w:rsid w:val="02EA1F21"/>
    <w:rsid w:val="03305FFE"/>
    <w:rsid w:val="048E4B7A"/>
    <w:rsid w:val="04FD3B5A"/>
    <w:rsid w:val="07231362"/>
    <w:rsid w:val="072964BD"/>
    <w:rsid w:val="0A884A60"/>
    <w:rsid w:val="0B8B6BB0"/>
    <w:rsid w:val="0FE32D76"/>
    <w:rsid w:val="104E6C88"/>
    <w:rsid w:val="12395B1B"/>
    <w:rsid w:val="126F2404"/>
    <w:rsid w:val="13456138"/>
    <w:rsid w:val="135E24F9"/>
    <w:rsid w:val="14C05AAC"/>
    <w:rsid w:val="15BD5E17"/>
    <w:rsid w:val="15EC72D4"/>
    <w:rsid w:val="16B512D7"/>
    <w:rsid w:val="178A6520"/>
    <w:rsid w:val="19570989"/>
    <w:rsid w:val="1A1C6A66"/>
    <w:rsid w:val="1A74451A"/>
    <w:rsid w:val="1B4950A4"/>
    <w:rsid w:val="1B4B7903"/>
    <w:rsid w:val="1B5C3160"/>
    <w:rsid w:val="1BD45C69"/>
    <w:rsid w:val="1D57438E"/>
    <w:rsid w:val="1F8F3F65"/>
    <w:rsid w:val="1FDE5942"/>
    <w:rsid w:val="2032134B"/>
    <w:rsid w:val="20AB2536"/>
    <w:rsid w:val="216D51E3"/>
    <w:rsid w:val="21AF402D"/>
    <w:rsid w:val="22A65372"/>
    <w:rsid w:val="23027962"/>
    <w:rsid w:val="23C94DA5"/>
    <w:rsid w:val="2432254F"/>
    <w:rsid w:val="25A03D3B"/>
    <w:rsid w:val="264906B3"/>
    <w:rsid w:val="27635A18"/>
    <w:rsid w:val="283D3F3C"/>
    <w:rsid w:val="28A644E9"/>
    <w:rsid w:val="293F1394"/>
    <w:rsid w:val="29464A42"/>
    <w:rsid w:val="2E5261A0"/>
    <w:rsid w:val="320631E0"/>
    <w:rsid w:val="33212825"/>
    <w:rsid w:val="334E5558"/>
    <w:rsid w:val="33C8725F"/>
    <w:rsid w:val="34637DC3"/>
    <w:rsid w:val="3510196C"/>
    <w:rsid w:val="353E23A2"/>
    <w:rsid w:val="357E174A"/>
    <w:rsid w:val="3681294D"/>
    <w:rsid w:val="36923812"/>
    <w:rsid w:val="36A81089"/>
    <w:rsid w:val="36DA7652"/>
    <w:rsid w:val="38096F9A"/>
    <w:rsid w:val="38A5438E"/>
    <w:rsid w:val="38DB11B5"/>
    <w:rsid w:val="38F0287E"/>
    <w:rsid w:val="391B5FAD"/>
    <w:rsid w:val="3C2105FF"/>
    <w:rsid w:val="3C925059"/>
    <w:rsid w:val="3E301586"/>
    <w:rsid w:val="3F6B4657"/>
    <w:rsid w:val="40267F92"/>
    <w:rsid w:val="4067683A"/>
    <w:rsid w:val="409B6018"/>
    <w:rsid w:val="41367B0D"/>
    <w:rsid w:val="422406F0"/>
    <w:rsid w:val="44E85E5F"/>
    <w:rsid w:val="46D80988"/>
    <w:rsid w:val="46FA335C"/>
    <w:rsid w:val="480C4D01"/>
    <w:rsid w:val="48454B9C"/>
    <w:rsid w:val="4AA53F92"/>
    <w:rsid w:val="4C445F49"/>
    <w:rsid w:val="4D1879C1"/>
    <w:rsid w:val="4D9D2C0C"/>
    <w:rsid w:val="4EBE7F2F"/>
    <w:rsid w:val="4F0E056F"/>
    <w:rsid w:val="50B145A5"/>
    <w:rsid w:val="51811129"/>
    <w:rsid w:val="53D936D9"/>
    <w:rsid w:val="545C7B61"/>
    <w:rsid w:val="569254F2"/>
    <w:rsid w:val="5A2D7CD1"/>
    <w:rsid w:val="5BE41C93"/>
    <w:rsid w:val="5D050F60"/>
    <w:rsid w:val="5E167662"/>
    <w:rsid w:val="5E2C229D"/>
    <w:rsid w:val="5EC91604"/>
    <w:rsid w:val="5FA153D1"/>
    <w:rsid w:val="60535440"/>
    <w:rsid w:val="6098585B"/>
    <w:rsid w:val="60C62FD2"/>
    <w:rsid w:val="665E1984"/>
    <w:rsid w:val="66ED765A"/>
    <w:rsid w:val="69C05D8A"/>
    <w:rsid w:val="6B40524A"/>
    <w:rsid w:val="6D327D8A"/>
    <w:rsid w:val="6DCD0D4F"/>
    <w:rsid w:val="721A1187"/>
    <w:rsid w:val="72B602C2"/>
    <w:rsid w:val="74546F93"/>
    <w:rsid w:val="778020AA"/>
    <w:rsid w:val="7833512C"/>
    <w:rsid w:val="7A444F15"/>
    <w:rsid w:val="7AC1097F"/>
    <w:rsid w:val="7D6514FE"/>
    <w:rsid w:val="7E284A85"/>
    <w:rsid w:val="7EF962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iPriority="0" w:semiHidden="0" w:name="heading 7"/>
    <w:lsdException w:qFormat="1" w:uiPriority="0" w:semiHidden="0" w:name="heading 8"/>
    <w:lsdException w:qFormat="1"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hint="eastAsia" w:ascii="宋体" w:hAnsi="Times New Roman" w:eastAsia="宋体" w:cs="宋体"/>
      <w:kern w:val="2"/>
      <w:sz w:val="21"/>
      <w:szCs w:val="24"/>
      <w:lang w:val="en-US" w:eastAsia="zh-CN" w:bidi="ar-SA"/>
    </w:rPr>
  </w:style>
  <w:style w:type="paragraph" w:styleId="2">
    <w:name w:val="heading 2"/>
    <w:basedOn w:val="1"/>
    <w:next w:val="1"/>
    <w:unhideWhenUsed/>
    <w:qFormat/>
    <w:uiPriority w:val="0"/>
    <w:pPr>
      <w:keepNext/>
      <w:keepLines/>
      <w:numPr>
        <w:ilvl w:val="1"/>
        <w:numId w:val="1"/>
      </w:numPr>
      <w:spacing w:before="260" w:beforeLines="0" w:beforeAutospacing="0" w:after="260" w:afterLines="0" w:afterAutospacing="0" w:line="413" w:lineRule="auto"/>
      <w:ind w:left="575" w:hanging="575"/>
      <w:outlineLvl w:val="1"/>
    </w:pPr>
    <w:rPr>
      <w:rFonts w:ascii="Arial" w:hAnsi="Arial" w:eastAsia="黑体"/>
      <w:b/>
      <w:sz w:val="32"/>
    </w:rPr>
  </w:style>
  <w:style w:type="paragraph" w:styleId="3">
    <w:name w:val="heading 3"/>
    <w:basedOn w:val="1"/>
    <w:next w:val="1"/>
    <w:unhideWhenUsed/>
    <w:qFormat/>
    <w:uiPriority w:val="0"/>
    <w:pPr>
      <w:keepNext/>
      <w:keepLines/>
      <w:numPr>
        <w:ilvl w:val="2"/>
        <w:numId w:val="2"/>
      </w:numPr>
      <w:spacing w:before="260" w:beforeLines="0" w:beforeAutospacing="0" w:after="260" w:afterLines="0" w:afterAutospacing="0" w:line="413" w:lineRule="auto"/>
      <w:ind w:left="720" w:hanging="720"/>
      <w:outlineLvl w:val="2"/>
    </w:pPr>
    <w:rPr>
      <w:b/>
      <w:sz w:val="32"/>
    </w:rPr>
  </w:style>
  <w:style w:type="paragraph" w:styleId="4">
    <w:name w:val="heading 4"/>
    <w:basedOn w:val="1"/>
    <w:next w:val="1"/>
    <w:unhideWhenUsed/>
    <w:qFormat/>
    <w:uiPriority w:val="0"/>
    <w:pPr>
      <w:keepNext/>
      <w:keepLines/>
      <w:numPr>
        <w:ilvl w:val="3"/>
        <w:numId w:val="2"/>
      </w:numPr>
      <w:spacing w:before="280" w:beforeLines="0" w:beforeAutospacing="0" w:after="290" w:afterLines="0" w:afterAutospacing="0" w:line="372" w:lineRule="auto"/>
      <w:ind w:left="864" w:hanging="864"/>
      <w:outlineLvl w:val="3"/>
    </w:pPr>
    <w:rPr>
      <w:rFonts w:ascii="Arial" w:hAnsi="Arial" w:eastAsia="黑体"/>
      <w:b/>
      <w:sz w:val="28"/>
    </w:rPr>
  </w:style>
  <w:style w:type="paragraph" w:styleId="5">
    <w:name w:val="heading 5"/>
    <w:basedOn w:val="1"/>
    <w:next w:val="1"/>
    <w:unhideWhenUsed/>
    <w:qFormat/>
    <w:uiPriority w:val="0"/>
    <w:pPr>
      <w:keepNext/>
      <w:keepLines/>
      <w:numPr>
        <w:ilvl w:val="4"/>
        <w:numId w:val="2"/>
      </w:numPr>
      <w:spacing w:before="280" w:beforeLines="0" w:beforeAutospacing="0" w:after="290" w:afterLines="0" w:afterAutospacing="0" w:line="372" w:lineRule="auto"/>
      <w:ind w:left="1008" w:hanging="1008"/>
      <w:outlineLvl w:val="4"/>
    </w:pPr>
    <w:rPr>
      <w:b/>
      <w:sz w:val="28"/>
    </w:rPr>
  </w:style>
  <w:style w:type="paragraph" w:styleId="6">
    <w:name w:val="heading 6"/>
    <w:basedOn w:val="1"/>
    <w:next w:val="1"/>
    <w:unhideWhenUsed/>
    <w:qFormat/>
    <w:uiPriority w:val="0"/>
    <w:pPr>
      <w:keepNext/>
      <w:keepLines/>
      <w:numPr>
        <w:ilvl w:val="5"/>
        <w:numId w:val="2"/>
      </w:numPr>
      <w:spacing w:before="240" w:beforeLines="0" w:beforeAutospacing="0" w:after="64" w:afterLines="0" w:afterAutospacing="0" w:line="317" w:lineRule="auto"/>
      <w:ind w:left="1151" w:hanging="1151"/>
      <w:outlineLvl w:val="5"/>
    </w:pPr>
    <w:rPr>
      <w:rFonts w:ascii="Arial" w:hAnsi="Arial" w:eastAsia="黑体"/>
      <w:b/>
      <w:sz w:val="24"/>
    </w:rPr>
  </w:style>
  <w:style w:type="paragraph" w:styleId="7">
    <w:name w:val="heading 7"/>
    <w:basedOn w:val="1"/>
    <w:next w:val="1"/>
    <w:unhideWhenUsed/>
    <w:qFormat/>
    <w:uiPriority w:val="0"/>
    <w:pPr>
      <w:keepNext/>
      <w:keepLines/>
      <w:numPr>
        <w:ilvl w:val="6"/>
        <w:numId w:val="2"/>
      </w:numPr>
      <w:spacing w:before="240" w:beforeLines="0" w:beforeAutospacing="0" w:after="64" w:afterLines="0" w:afterAutospacing="0" w:line="317" w:lineRule="auto"/>
      <w:ind w:left="1296" w:hanging="1296"/>
      <w:outlineLvl w:val="6"/>
    </w:pPr>
    <w:rPr>
      <w:b/>
      <w:sz w:val="24"/>
    </w:rPr>
  </w:style>
  <w:style w:type="paragraph" w:styleId="8">
    <w:name w:val="heading 8"/>
    <w:basedOn w:val="1"/>
    <w:next w:val="1"/>
    <w:unhideWhenUsed/>
    <w:qFormat/>
    <w:uiPriority w:val="0"/>
    <w:pPr>
      <w:keepNext/>
      <w:keepLines/>
      <w:numPr>
        <w:ilvl w:val="7"/>
        <w:numId w:val="2"/>
      </w:numPr>
      <w:spacing w:before="240" w:beforeLines="0" w:beforeAutospacing="0" w:after="64" w:afterLines="0" w:afterAutospacing="0" w:line="317" w:lineRule="auto"/>
      <w:ind w:left="1440" w:hanging="1440"/>
      <w:outlineLvl w:val="7"/>
    </w:pPr>
    <w:rPr>
      <w:rFonts w:ascii="Arial" w:hAnsi="Arial" w:eastAsia="黑体"/>
      <w:sz w:val="24"/>
    </w:rPr>
  </w:style>
  <w:style w:type="paragraph" w:styleId="9">
    <w:name w:val="heading 9"/>
    <w:basedOn w:val="1"/>
    <w:next w:val="1"/>
    <w:unhideWhenUsed/>
    <w:qFormat/>
    <w:uiPriority w:val="0"/>
    <w:pPr>
      <w:keepNext/>
      <w:keepLines/>
      <w:numPr>
        <w:ilvl w:val="8"/>
        <w:numId w:val="2"/>
      </w:numPr>
      <w:spacing w:before="240" w:beforeLines="0" w:beforeAutospacing="0" w:after="64" w:afterLines="0" w:afterAutospacing="0" w:line="317" w:lineRule="auto"/>
      <w:ind w:left="1583" w:hanging="1583"/>
      <w:outlineLvl w:val="8"/>
    </w:pPr>
    <w:rPr>
      <w:rFonts w:ascii="Arial" w:hAnsi="Arial" w:eastAsia="黑体"/>
      <w:sz w:val="21"/>
    </w:rPr>
  </w:style>
  <w:style w:type="character" w:default="1" w:styleId="21">
    <w:name w:val="Default Paragraph Font"/>
    <w:semiHidden/>
    <w:qFormat/>
    <w:uiPriority w:val="0"/>
    <w:rPr>
      <w:rFonts w:hint="eastAsia" w:ascii="宋体" w:hAnsi="Times New Roman" w:eastAsia="宋体" w:cs="Times New Roman"/>
      <w:sz w:val="21"/>
    </w:rPr>
  </w:style>
  <w:style w:type="table" w:default="1" w:styleId="19">
    <w:name w:val="Normal Table"/>
    <w:semiHidden/>
    <w:qFormat/>
    <w:uiPriority w:val="0"/>
    <w:tblPr>
      <w:tblCellMar>
        <w:top w:w="0" w:type="dxa"/>
        <w:left w:w="108" w:type="dxa"/>
        <w:bottom w:w="0" w:type="dxa"/>
        <w:right w:w="108" w:type="dxa"/>
      </w:tblCellMar>
    </w:tblPr>
  </w:style>
  <w:style w:type="paragraph" w:styleId="10">
    <w:name w:val="toc 5"/>
    <w:basedOn w:val="1"/>
    <w:next w:val="1"/>
    <w:qFormat/>
    <w:uiPriority w:val="0"/>
    <w:pPr>
      <w:spacing w:line="300" w:lineRule="exact"/>
      <w:ind w:left="1680" w:leftChars="800"/>
    </w:pPr>
    <w:rPr>
      <w:rFonts w:hAnsi="宋体"/>
    </w:rPr>
  </w:style>
  <w:style w:type="paragraph" w:styleId="11">
    <w:name w:val="toc 3"/>
    <w:basedOn w:val="1"/>
    <w:next w:val="1"/>
    <w:qFormat/>
    <w:uiPriority w:val="0"/>
    <w:pPr>
      <w:spacing w:line="300" w:lineRule="exact"/>
      <w:ind w:left="840" w:leftChars="400"/>
    </w:pPr>
    <w:rPr>
      <w:rFonts w:hAnsi="宋体"/>
    </w:rPr>
  </w:style>
  <w:style w:type="paragraph" w:styleId="12">
    <w:name w:val="footer"/>
    <w:basedOn w:val="1"/>
    <w:qFormat/>
    <w:uiPriority w:val="0"/>
    <w:pPr>
      <w:tabs>
        <w:tab w:val="center" w:pos="4153"/>
        <w:tab w:val="right" w:pos="8306"/>
      </w:tabs>
      <w:snapToGrid w:val="0"/>
      <w:jc w:val="left"/>
    </w:pPr>
    <w:rPr>
      <w:sz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4">
    <w:name w:val="toc 1"/>
    <w:basedOn w:val="1"/>
    <w:next w:val="1"/>
    <w:qFormat/>
    <w:uiPriority w:val="0"/>
    <w:pPr>
      <w:spacing w:line="400" w:lineRule="exact"/>
    </w:pPr>
    <w:rPr>
      <w:rFonts w:hAnsi="宋体"/>
    </w:rPr>
  </w:style>
  <w:style w:type="paragraph" w:styleId="15">
    <w:name w:val="toc 4"/>
    <w:basedOn w:val="1"/>
    <w:next w:val="1"/>
    <w:qFormat/>
    <w:uiPriority w:val="0"/>
    <w:pPr>
      <w:spacing w:line="300" w:lineRule="exact"/>
      <w:ind w:left="1260" w:leftChars="600"/>
    </w:pPr>
    <w:rPr>
      <w:rFonts w:hAnsi="宋体"/>
    </w:rPr>
  </w:style>
  <w:style w:type="paragraph" w:styleId="16">
    <w:name w:val="footnote text"/>
    <w:basedOn w:val="1"/>
    <w:qFormat/>
    <w:uiPriority w:val="0"/>
    <w:pPr>
      <w:widowControl/>
      <w:numPr>
        <w:ilvl w:val="0"/>
        <w:numId w:val="3"/>
      </w:numPr>
      <w:autoSpaceDE w:val="0"/>
      <w:autoSpaceDN w:val="0"/>
      <w:snapToGrid/>
      <w:ind w:left="1380" w:leftChars="200" w:hanging="960" w:hangingChars="200"/>
      <w:jc w:val="both"/>
    </w:pPr>
    <w:rPr>
      <w:rFonts w:hAnsi="宋体"/>
      <w:sz w:val="15"/>
    </w:rPr>
  </w:style>
  <w:style w:type="paragraph" w:styleId="17">
    <w:name w:val="toc 6"/>
    <w:basedOn w:val="1"/>
    <w:next w:val="1"/>
    <w:qFormat/>
    <w:uiPriority w:val="0"/>
    <w:pPr>
      <w:spacing w:line="300" w:lineRule="exact"/>
      <w:ind w:left="2100" w:leftChars="1000"/>
    </w:pPr>
    <w:rPr>
      <w:rFonts w:hAnsi="宋体"/>
    </w:rPr>
  </w:style>
  <w:style w:type="paragraph" w:styleId="18">
    <w:name w:val="toc 2"/>
    <w:basedOn w:val="1"/>
    <w:next w:val="1"/>
    <w:qFormat/>
    <w:uiPriority w:val="0"/>
    <w:pPr>
      <w:spacing w:line="300" w:lineRule="exact"/>
      <w:ind w:left="420" w:leftChars="200"/>
    </w:pPr>
    <w:rPr>
      <w:rFonts w:hAnsi="宋体"/>
    </w:r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basedOn w:val="21"/>
    <w:qFormat/>
    <w:uiPriority w:val="0"/>
    <w:rPr>
      <w:b/>
    </w:rPr>
  </w:style>
  <w:style w:type="character" w:styleId="23">
    <w:name w:val="footnote reference"/>
    <w:basedOn w:val="21"/>
    <w:qFormat/>
    <w:uiPriority w:val="0"/>
    <w:rPr>
      <w:rFonts w:hAnsi="宋体" w:cs="宋体"/>
      <w:sz w:val="18"/>
      <w:vertAlign w:val="superscript"/>
    </w:rPr>
  </w:style>
  <w:style w:type="paragraph" w:customStyle="1" w:styleId="24">
    <w:name w:val="标准文件_段"/>
    <w:qFormat/>
    <w:uiPriority w:val="0"/>
    <w:pPr>
      <w:ind w:firstLine="960" w:firstLineChars="200"/>
      <w:jc w:val="both"/>
    </w:pPr>
    <w:rPr>
      <w:rFonts w:hint="eastAsia" w:ascii="宋体" w:hAnsi="Times New Roman" w:eastAsia="宋体" w:cs="宋体"/>
      <w:sz w:val="21"/>
    </w:rPr>
  </w:style>
  <w:style w:type="paragraph" w:customStyle="1" w:styleId="25">
    <w:name w:val="标准标志"/>
    <w:next w:val="1"/>
    <w:qFormat/>
    <w:uiPriority w:val="0"/>
    <w:pPr>
      <w:framePr w:w="2546" w:h="1134" w:hRule="exact" w:hSpace="181" w:wrap="around" w:vAnchor="margin" w:hAnchor="margin" w:x="6521" w:y="421" w:anchorLock="1"/>
      <w:shd w:val="clear" w:fill="FFFFFF"/>
      <w:spacing w:line="0" w:lineRule="atLeast"/>
      <w:jc w:val="right"/>
    </w:pPr>
    <w:rPr>
      <w:rFonts w:hint="eastAsia" w:ascii="Times New Roman" w:hAnsi="Times New Roman" w:eastAsia="宋体" w:cs="Times New Roman"/>
      <w:b/>
      <w:w w:val="170"/>
      <w:sz w:val="96"/>
    </w:rPr>
  </w:style>
  <w:style w:type="paragraph" w:customStyle="1" w:styleId="26">
    <w:name w:val="标准标志2"/>
    <w:next w:val="1"/>
    <w:qFormat/>
    <w:uiPriority w:val="0"/>
    <w:pPr>
      <w:framePr w:wrap="around" w:vAnchor="margin" w:hAnchor="margin" w:x="5614" w:y="398" w:anchorLock="1"/>
      <w:spacing w:line="0" w:lineRule="atLeast"/>
      <w:jc w:val="right"/>
    </w:pPr>
    <w:rPr>
      <w:rFonts w:hint="eastAsia" w:ascii="Times New Roman" w:hAnsi="Times New Roman" w:eastAsia="宋体" w:cs="Times New Roman"/>
      <w:b/>
      <w:w w:val="130"/>
      <w:sz w:val="96"/>
    </w:rPr>
  </w:style>
  <w:style w:type="paragraph" w:customStyle="1" w:styleId="27">
    <w:name w:val="标准称谓"/>
    <w:next w:val="1"/>
    <w:qFormat/>
    <w:uiPriority w:val="0"/>
    <w:pPr>
      <w:framePr w:w="9639" w:h="624" w:hRule="exact" w:hSpace="181" w:vSpace="181" w:wrap="around" w:vAnchor="page" w:hAnchor="page" w:x="1305" w:y="2269" w:anchorLock="1"/>
      <w:widowControl w:val="0"/>
      <w:kinsoku w:val="0"/>
      <w:overflowPunct w:val="0"/>
      <w:autoSpaceDE w:val="0"/>
      <w:autoSpaceDN w:val="0"/>
      <w:spacing w:line="0" w:lineRule="atLeast"/>
      <w:jc w:val="distribute"/>
    </w:pPr>
    <w:rPr>
      <w:rFonts w:hint="eastAsia" w:ascii="宋体" w:hAnsi="Times New Roman" w:eastAsia="宋体" w:cs="Times New Roman"/>
      <w:b/>
      <w:w w:val="148"/>
      <w:sz w:val="48"/>
    </w:rPr>
  </w:style>
  <w:style w:type="paragraph" w:customStyle="1" w:styleId="28">
    <w:name w:val="标准称谓2"/>
    <w:next w:val="1"/>
    <w:qFormat/>
    <w:uiPriority w:val="0"/>
    <w:pPr>
      <w:framePr w:w="6781" w:h="907" w:hRule="exact" w:hSpace="181" w:vSpace="181" w:wrap="around" w:vAnchor="page" w:hAnchor="page" w:xAlign="center" w:y="2269" w:anchorLock="1"/>
      <w:widowControl w:val="0"/>
      <w:kinsoku w:val="0"/>
      <w:overflowPunct w:val="0"/>
      <w:autoSpaceDE w:val="0"/>
      <w:autoSpaceDN w:val="0"/>
      <w:spacing w:line="0" w:lineRule="atLeast"/>
      <w:jc w:val="distribute"/>
    </w:pPr>
    <w:rPr>
      <w:rFonts w:hint="eastAsia" w:ascii="Times New Roman" w:hAnsi="Times New Roman" w:eastAsia="黑体" w:cs="Times New Roman"/>
      <w:spacing w:val="-40"/>
      <w:kern w:val="2"/>
      <w:sz w:val="72"/>
      <w:szCs w:val="72"/>
    </w:rPr>
  </w:style>
  <w:style w:type="paragraph" w:customStyle="1" w:styleId="29">
    <w:name w:val="标准称谓3"/>
    <w:next w:val="1"/>
    <w:qFormat/>
    <w:uiPriority w:val="0"/>
    <w:pPr>
      <w:framePr w:w="9639" w:h="624" w:hRule="exact" w:hSpace="181" w:vSpace="181" w:wrap="around" w:vAnchor="page" w:hAnchor="page" w:x="1305" w:y="2269" w:anchorLock="1"/>
      <w:widowControl w:val="0"/>
      <w:kinsoku w:val="0"/>
      <w:overflowPunct w:val="0"/>
      <w:autoSpaceDE w:val="0"/>
      <w:autoSpaceDN w:val="0"/>
      <w:spacing w:line="0" w:lineRule="atLeast"/>
      <w:jc w:val="distribute"/>
    </w:pPr>
    <w:rPr>
      <w:rFonts w:hint="eastAsia" w:ascii="黑体" w:hAnsi="Times New Roman" w:eastAsia="黑体" w:cs="Times New Roman"/>
      <w:sz w:val="48"/>
    </w:rPr>
  </w:style>
  <w:style w:type="paragraph" w:customStyle="1" w:styleId="30">
    <w:name w:val="标准书脚_奇数页"/>
    <w:qFormat/>
    <w:uiPriority w:val="0"/>
    <w:pPr>
      <w:ind w:right="227"/>
      <w:jc w:val="right"/>
    </w:pPr>
    <w:rPr>
      <w:rFonts w:hint="eastAsia" w:ascii="宋体" w:hAnsi="Times New Roman" w:eastAsia="宋体" w:cs="宋体"/>
      <w:sz w:val="18"/>
    </w:rPr>
  </w:style>
  <w:style w:type="paragraph" w:customStyle="1" w:styleId="31">
    <w:name w:val="标准书眉_奇数页"/>
    <w:next w:val="1"/>
    <w:qFormat/>
    <w:uiPriority w:val="0"/>
    <w:pPr>
      <w:tabs>
        <w:tab w:val="center" w:pos="4153"/>
        <w:tab w:val="right" w:pos="8306"/>
      </w:tabs>
      <w:spacing w:after="120"/>
      <w:jc w:val="right"/>
    </w:pPr>
    <w:rPr>
      <w:rFonts w:hint="eastAsia" w:ascii="黑体" w:hAnsi="Times New Roman" w:eastAsia="黑体" w:cs="黑体"/>
      <w:sz w:val="21"/>
    </w:rPr>
  </w:style>
  <w:style w:type="paragraph" w:customStyle="1" w:styleId="32">
    <w:name w:val="标准书眉_偶数页"/>
    <w:next w:val="1"/>
    <w:qFormat/>
    <w:uiPriority w:val="0"/>
    <w:pPr>
      <w:spacing w:after="120"/>
    </w:pPr>
    <w:rPr>
      <w:rFonts w:hint="eastAsia" w:ascii="黑体" w:hAnsi="Times New Roman" w:eastAsia="黑体" w:cs="黑体"/>
      <w:sz w:val="21"/>
    </w:rPr>
  </w:style>
  <w:style w:type="paragraph" w:customStyle="1" w:styleId="33">
    <w:name w:val="标准文件_参考文献标题"/>
    <w:basedOn w:val="1"/>
    <w:next w:val="1"/>
    <w:qFormat/>
    <w:uiPriority w:val="0"/>
    <w:pPr>
      <w:widowControl/>
      <w:spacing w:before="126" w:beforeLines="40" w:after="157" w:afterLines="50"/>
      <w:jc w:val="center"/>
      <w:outlineLvl w:val="0"/>
    </w:pPr>
    <w:rPr>
      <w:rFonts w:ascii="黑体" w:hAnsi="Times New Roman" w:eastAsia="黑体" w:cs="黑体"/>
      <w:kern w:val="0"/>
    </w:rPr>
  </w:style>
  <w:style w:type="paragraph" w:customStyle="1" w:styleId="34">
    <w:name w:val="封面标准顶部线"/>
    <w:qFormat/>
    <w:uiPriority w:val="0"/>
    <w:pPr>
      <w:framePr w:w="9673" w:hSpace="181" w:wrap="around" w:vAnchor="page" w:hAnchor="page" w:x="1390" w:y="4242"/>
      <w:spacing w:line="0" w:lineRule="atLeast"/>
    </w:pPr>
    <w:rPr>
      <w:rFonts w:hint="eastAsia" w:ascii="宋体" w:hAnsi="Times New Roman" w:eastAsia="宋体" w:cs="Times New Roman"/>
      <w:sz w:val="21"/>
    </w:rPr>
  </w:style>
  <w:style w:type="paragraph" w:customStyle="1" w:styleId="35">
    <w:name w:val="发布部门"/>
    <w:next w:val="24"/>
    <w:qFormat/>
    <w:uiPriority w:val="0"/>
    <w:pPr>
      <w:framePr w:w="7938" w:h="1134" w:hRule="exact" w:hSpace="125" w:vSpace="181" w:wrap="around" w:vAnchor="page" w:hAnchor="page" w:x="2150" w:y="14630" w:anchorLock="1"/>
      <w:spacing w:before="100"/>
      <w:jc w:val="center"/>
    </w:pPr>
    <w:rPr>
      <w:rFonts w:hint="eastAsia" w:ascii="宋体" w:hAnsi="Times New Roman" w:eastAsia="宋体" w:cs="Times New Roman"/>
      <w:spacing w:val="20"/>
      <w:w w:val="135"/>
      <w:sz w:val="28"/>
    </w:rPr>
  </w:style>
  <w:style w:type="paragraph" w:customStyle="1" w:styleId="36">
    <w:name w:val="发布日期"/>
    <w:qFormat/>
    <w:uiPriority w:val="0"/>
    <w:pPr>
      <w:framePr w:w="3997" w:h="471" w:hRule="exact" w:hSpace="181" w:vSpace="181" w:wrap="around" w:vAnchor="margin" w:hAnchor="page" w:y="14080" w:anchorLock="1"/>
      <w:spacing w:line="360" w:lineRule="exact"/>
    </w:pPr>
    <w:rPr>
      <w:rFonts w:hint="eastAsia" w:ascii="黑体" w:hAnsi="Times New Roman" w:eastAsia="黑体" w:cs="Times New Roman"/>
      <w:sz w:val="28"/>
    </w:rPr>
  </w:style>
  <w:style w:type="paragraph" w:customStyle="1" w:styleId="37">
    <w:name w:val="实施日期"/>
    <w:basedOn w:val="36"/>
    <w:qFormat/>
    <w:uiPriority w:val="0"/>
    <w:pPr>
      <w:framePr w:hSpace="0" w:wrap="around" w:vAnchor="page" w:hAnchor="page" w:x="7089" w:y="14176"/>
      <w:jc w:val="right"/>
    </w:pPr>
  </w:style>
  <w:style w:type="paragraph" w:customStyle="1" w:styleId="38">
    <w:name w:val="封面日期"/>
    <w:qFormat/>
    <w:uiPriority w:val="0"/>
    <w:pPr>
      <w:framePr w:w="9673" w:vSpace="181" w:wrap="around" w:vAnchor="page" w:hAnchor="page" w:x="1419" w:y="14176" w:anchorLock="1"/>
      <w:spacing w:line="360" w:lineRule="exact"/>
    </w:pPr>
    <w:rPr>
      <w:rFonts w:hint="eastAsia" w:ascii="黑体" w:hAnsi="Times New Roman" w:eastAsia="黑体" w:cs="Times New Roman"/>
      <w:sz w:val="28"/>
    </w:rPr>
  </w:style>
  <w:style w:type="paragraph" w:customStyle="1" w:styleId="39">
    <w:name w:val="封面标准代替信息"/>
    <w:qFormat/>
    <w:uiPriority w:val="0"/>
    <w:pPr>
      <w:framePr w:w="9355" w:h="624" w:hRule="exact" w:hSpace="181" w:vSpace="181" w:wrap="around" w:vAnchor="page" w:hAnchor="page" w:x="1419" w:y="3284"/>
      <w:spacing w:before="57" w:line="280" w:lineRule="exact"/>
      <w:jc w:val="right"/>
    </w:pPr>
    <w:rPr>
      <w:rFonts w:hint="eastAsia" w:ascii="黑体" w:hAnsi="Times New Roman" w:eastAsia="黑体" w:cs="Times New Roman"/>
      <w:sz w:val="21"/>
    </w:rPr>
  </w:style>
  <w:style w:type="paragraph" w:customStyle="1" w:styleId="40">
    <w:name w:val="封面标准号2"/>
    <w:qFormat/>
    <w:uiPriority w:val="0"/>
    <w:pPr>
      <w:framePr w:w="9355" w:h="624" w:hRule="exact" w:hSpace="181" w:vSpace="181" w:wrap="around" w:vAnchor="page" w:hAnchor="page" w:x="1419" w:y="3284"/>
      <w:spacing w:line="280" w:lineRule="exact"/>
      <w:jc w:val="right"/>
    </w:pPr>
    <w:rPr>
      <w:rFonts w:hint="eastAsia" w:ascii="黑体" w:hAnsi="Times New Roman" w:eastAsia="黑体" w:cs="Times New Roman"/>
      <w:sz w:val="28"/>
    </w:rPr>
  </w:style>
  <w:style w:type="paragraph" w:customStyle="1" w:styleId="41">
    <w:name w:val="封面标准名称"/>
    <w:qFormat/>
    <w:uiPriority w:val="0"/>
    <w:pPr>
      <w:framePr w:w="9639" w:h="6974" w:hRule="exact" w:wrap="around" w:vAnchor="page" w:hAnchor="page" w:x="1419" w:y="6408"/>
      <w:spacing w:line="700" w:lineRule="exact"/>
      <w:jc w:val="center"/>
    </w:pPr>
    <w:rPr>
      <w:rFonts w:hint="eastAsia" w:ascii="黑体" w:hAnsi="Times New Roman" w:eastAsia="黑体" w:cs="Times New Roman"/>
      <w:sz w:val="52"/>
    </w:rPr>
  </w:style>
  <w:style w:type="paragraph" w:customStyle="1" w:styleId="42">
    <w:name w:val="封面标准英文名称"/>
    <w:basedOn w:val="41"/>
    <w:qFormat/>
    <w:uiPriority w:val="0"/>
    <w:pPr>
      <w:widowControl w:val="0"/>
      <w:spacing w:before="410" w:line="360" w:lineRule="exact"/>
      <w:textAlignment w:val="bottom"/>
    </w:pPr>
    <w:rPr>
      <w:rFonts w:ascii="Times New Roman" w:hAnsi="Times New Roman" w:cs="Times New Roman"/>
      <w:sz w:val="28"/>
    </w:rPr>
  </w:style>
  <w:style w:type="paragraph" w:customStyle="1" w:styleId="43">
    <w:name w:val="封面一致性程度标识"/>
    <w:basedOn w:val="42"/>
    <w:qFormat/>
    <w:uiPriority w:val="0"/>
    <w:pPr>
      <w:spacing w:before="760"/>
    </w:pPr>
  </w:style>
  <w:style w:type="paragraph" w:customStyle="1" w:styleId="44">
    <w:name w:val="封面标准文稿类别"/>
    <w:basedOn w:val="43"/>
    <w:qFormat/>
    <w:uiPriority w:val="0"/>
    <w:pPr>
      <w:spacing w:before="440" w:after="160"/>
    </w:pPr>
    <w:rPr>
      <w:rFonts w:ascii="黑体" w:hAnsi="黑体" w:cs="黑体"/>
      <w:sz w:val="24"/>
    </w:rPr>
  </w:style>
  <w:style w:type="paragraph" w:customStyle="1" w:styleId="45">
    <w:name w:val="封面标准文稿编辑信息"/>
    <w:basedOn w:val="44"/>
    <w:qFormat/>
    <w:uiPriority w:val="0"/>
    <w:pPr>
      <w:spacing w:before="180" w:line="240" w:lineRule="atLeast"/>
    </w:pPr>
    <w:rPr>
      <w:sz w:val="21"/>
    </w:rPr>
  </w:style>
  <w:style w:type="paragraph" w:customStyle="1" w:styleId="46">
    <w:name w:val="封面标准文稿附件"/>
    <w:basedOn w:val="44"/>
    <w:qFormat/>
    <w:uiPriority w:val="0"/>
    <w:pPr>
      <w:spacing w:before="937" w:beforeLines="300" w:afterLines="30" w:line="240" w:lineRule="auto"/>
    </w:pPr>
    <w:rPr>
      <w:rFonts w:ascii="Times New Roman" w:hAnsi="Times New Roman" w:cs="Times New Roman"/>
      <w:b/>
      <w:sz w:val="21"/>
    </w:rPr>
  </w:style>
  <w:style w:type="paragraph" w:customStyle="1" w:styleId="47">
    <w:name w:val="其他发布部门"/>
    <w:basedOn w:val="35"/>
    <w:qFormat/>
    <w:uiPriority w:val="0"/>
    <w:pPr>
      <w:framePr w:wrap="around" w:y="15310"/>
      <w:spacing w:line="0" w:lineRule="atLeast"/>
    </w:pPr>
    <w:rPr>
      <w:rFonts w:ascii="黑体" w:hAnsi="黑体" w:eastAsia="黑体" w:cs="黑体"/>
    </w:rPr>
  </w:style>
  <w:style w:type="paragraph" w:customStyle="1" w:styleId="48">
    <w:name w:val="其他发布部门2"/>
    <w:basedOn w:val="35"/>
    <w:qFormat/>
    <w:uiPriority w:val="0"/>
    <w:pPr>
      <w:framePr w:w="7433" w:h="584" w:hRule="exact" w:hSpace="181" w:wrap="around" w:vAnchor="margin" w:hAnchor="margin" w:xAlign="center" w:y="15027"/>
      <w:spacing w:line="0" w:lineRule="atLeast"/>
    </w:pPr>
    <w:rPr>
      <w:rFonts w:ascii="黑体" w:hAnsi="黑体" w:eastAsia="黑体" w:cs="Times New Roman"/>
      <w:spacing w:val="0"/>
      <w:w w:val="100"/>
    </w:rPr>
  </w:style>
  <w:style w:type="paragraph" w:customStyle="1" w:styleId="49">
    <w:name w:val="其他发布部门3"/>
    <w:qFormat/>
    <w:uiPriority w:val="0"/>
    <w:pPr>
      <w:framePr w:w="9248" w:h="1259" w:hRule="exact" w:hSpace="181" w:vSpace="181" w:wrap="around" w:vAnchor="margin" w:hAnchor="margin" w:xAlign="center" w:y="14545"/>
      <w:spacing w:line="0" w:lineRule="atLeast"/>
      <w:jc w:val="center"/>
    </w:pPr>
    <w:rPr>
      <w:rFonts w:hint="eastAsia" w:ascii="黑体" w:hAnsi="Times New Roman" w:eastAsia="黑体" w:cs="Times New Roman"/>
      <w:sz w:val="28"/>
    </w:rPr>
  </w:style>
  <w:style w:type="paragraph" w:customStyle="1" w:styleId="50">
    <w:name w:val="其他发布日期"/>
    <w:basedOn w:val="36"/>
    <w:qFormat/>
    <w:uiPriority w:val="0"/>
    <w:pPr>
      <w:framePr w:hSpace="0" w:wrap="around" w:vAnchor="page" w:hAnchor="page" w:x="1419" w:y="14176"/>
    </w:pPr>
  </w:style>
  <w:style w:type="paragraph" w:customStyle="1" w:styleId="51">
    <w:name w:val="其他实施日期"/>
    <w:basedOn w:val="37"/>
    <w:qFormat/>
    <w:uiPriority w:val="0"/>
  </w:style>
  <w:style w:type="paragraph" w:customStyle="1" w:styleId="52">
    <w:name w:val="文献分类号"/>
    <w:qFormat/>
    <w:uiPriority w:val="0"/>
    <w:pPr>
      <w:framePr w:wrap="around" w:vAnchor="page" w:hAnchor="page" w:x="1373" w:y="568"/>
      <w:widowControl w:val="0"/>
      <w:textAlignment w:val="center"/>
    </w:pPr>
    <w:rPr>
      <w:rFonts w:hint="eastAsia" w:ascii="黑体" w:hAnsi="Times New Roman" w:eastAsia="黑体" w:cs="Times New Roman"/>
      <w:kern w:val="21"/>
      <w:sz w:val="21"/>
    </w:rPr>
  </w:style>
  <w:style w:type="paragraph" w:customStyle="1" w:styleId="53">
    <w:name w:val="标准文件_目录标题"/>
    <w:basedOn w:val="1"/>
    <w:qFormat/>
    <w:uiPriority w:val="0"/>
    <w:pPr>
      <w:shd w:val="clear" w:fill="FFFFFF"/>
      <w:spacing w:after="469" w:afterLines="150"/>
      <w:jc w:val="center"/>
    </w:pPr>
    <w:rPr>
      <w:rFonts w:ascii="黑体" w:hAnsi="Times New Roman" w:eastAsia="黑体" w:cs="黑体"/>
      <w:kern w:val="0"/>
      <w:sz w:val="32"/>
    </w:rPr>
  </w:style>
  <w:style w:type="paragraph" w:customStyle="1" w:styleId="54">
    <w:name w:val="标准文件_前言、引言标题"/>
    <w:next w:val="1"/>
    <w:qFormat/>
    <w:uiPriority w:val="0"/>
    <w:pPr>
      <w:numPr>
        <w:ilvl w:val="0"/>
        <w:numId w:val="4"/>
      </w:numPr>
      <w:suppressAutoHyphens w:val="0"/>
      <w:spacing w:after="469" w:afterLines="150"/>
      <w:ind w:left="425" w:hanging="425"/>
      <w:jc w:val="center"/>
      <w:outlineLvl w:val="0"/>
    </w:pPr>
    <w:rPr>
      <w:rFonts w:hint="eastAsia" w:ascii="黑体" w:hAnsi="Times New Roman" w:eastAsia="黑体" w:cs="黑体"/>
      <w:sz w:val="32"/>
    </w:rPr>
  </w:style>
  <w:style w:type="paragraph" w:customStyle="1" w:styleId="55">
    <w:name w:val="标准文件_正文标准名称"/>
    <w:basedOn w:val="1"/>
    <w:link w:val="119"/>
    <w:qFormat/>
    <w:uiPriority w:val="0"/>
    <w:pPr>
      <w:widowControl/>
      <w:suppressAutoHyphens w:val="0"/>
      <w:spacing w:after="640" w:line="400" w:lineRule="exact"/>
      <w:jc w:val="center"/>
    </w:pPr>
    <w:rPr>
      <w:rFonts w:ascii="黑体" w:hAnsi="黑体" w:eastAsia="黑体" w:cs="黑体"/>
      <w:sz w:val="32"/>
    </w:rPr>
  </w:style>
  <w:style w:type="paragraph" w:customStyle="1" w:styleId="56">
    <w:name w:val="标准文件_一级项"/>
    <w:next w:val="24"/>
    <w:qFormat/>
    <w:uiPriority w:val="0"/>
    <w:pPr>
      <w:numPr>
        <w:ilvl w:val="0"/>
        <w:numId w:val="5"/>
      </w:numPr>
      <w:suppressAutoHyphens w:val="0"/>
      <w:ind w:left="851" w:hanging="426"/>
    </w:pPr>
    <w:rPr>
      <w:rFonts w:hint="eastAsia" w:ascii="宋体" w:hAnsi="Times New Roman" w:eastAsia="宋体" w:cs="宋体"/>
      <w:sz w:val="21"/>
    </w:rPr>
  </w:style>
  <w:style w:type="paragraph" w:customStyle="1" w:styleId="57">
    <w:name w:val="标准文件_二级项2"/>
    <w:basedOn w:val="24"/>
    <w:next w:val="24"/>
    <w:qFormat/>
    <w:uiPriority w:val="0"/>
    <w:pPr>
      <w:numPr>
        <w:ilvl w:val="1"/>
        <w:numId w:val="5"/>
      </w:numPr>
      <w:suppressAutoHyphens w:val="0"/>
      <w:ind w:left="1270" w:hanging="419"/>
    </w:pPr>
    <w:rPr>
      <w:rFonts w:hAnsi="Times New Roman"/>
    </w:rPr>
  </w:style>
  <w:style w:type="paragraph" w:customStyle="1" w:styleId="58">
    <w:name w:val="标准文件_三级项"/>
    <w:basedOn w:val="1"/>
    <w:next w:val="24"/>
    <w:qFormat/>
    <w:uiPriority w:val="0"/>
    <w:pPr>
      <w:numPr>
        <w:ilvl w:val="2"/>
        <w:numId w:val="6"/>
      </w:numPr>
      <w:suppressAutoHyphens w:val="0"/>
      <w:spacing w:line="300" w:lineRule="exact"/>
      <w:ind w:left="1678" w:hanging="414"/>
    </w:pPr>
    <w:rPr>
      <w:rFonts w:hAnsi="+西文正文"/>
    </w:rPr>
  </w:style>
  <w:style w:type="paragraph" w:customStyle="1" w:styleId="59">
    <w:name w:val="标准文件_字母编号列项（一级）"/>
    <w:next w:val="24"/>
    <w:qFormat/>
    <w:uiPriority w:val="0"/>
    <w:pPr>
      <w:numPr>
        <w:ilvl w:val="0"/>
        <w:numId w:val="6"/>
      </w:numPr>
      <w:tabs>
        <w:tab w:val="left" w:pos="839"/>
      </w:tabs>
      <w:ind w:left="851" w:hanging="426"/>
      <w:jc w:val="both"/>
    </w:pPr>
    <w:rPr>
      <w:rFonts w:hint="eastAsia" w:ascii="宋体" w:hAnsi="Times New Roman" w:eastAsia="宋体" w:cs="宋体"/>
      <w:sz w:val="21"/>
    </w:rPr>
  </w:style>
  <w:style w:type="paragraph" w:customStyle="1" w:styleId="60">
    <w:name w:val="标准文件_数字编号列项（二级）"/>
    <w:next w:val="24"/>
    <w:qFormat/>
    <w:uiPriority w:val="0"/>
    <w:pPr>
      <w:numPr>
        <w:ilvl w:val="1"/>
        <w:numId w:val="6"/>
      </w:numPr>
      <w:tabs>
        <w:tab w:val="left" w:pos="1259"/>
        <w:tab w:val="clear" w:pos="1276"/>
      </w:tabs>
      <w:ind w:left="1259" w:hanging="419"/>
      <w:jc w:val="both"/>
    </w:pPr>
    <w:rPr>
      <w:rFonts w:hint="eastAsia" w:ascii="宋体" w:hAnsi="Times New Roman" w:eastAsia="宋体" w:cs="Times New Roman"/>
      <w:sz w:val="21"/>
    </w:rPr>
  </w:style>
  <w:style w:type="paragraph" w:customStyle="1" w:styleId="61">
    <w:name w:val="标准文件_引言一级条标题"/>
    <w:basedOn w:val="24"/>
    <w:next w:val="24"/>
    <w:qFormat/>
    <w:uiPriority w:val="0"/>
    <w:pPr>
      <w:numPr>
        <w:ilvl w:val="1"/>
        <w:numId w:val="4"/>
      </w:numPr>
      <w:spacing w:before="157" w:beforeLines="50" w:after="157" w:afterLines="50"/>
    </w:pPr>
    <w:rPr>
      <w:rFonts w:ascii="黑体" w:hAnsi="黑体" w:eastAsia="黑体" w:cs="黑体"/>
    </w:rPr>
  </w:style>
  <w:style w:type="paragraph" w:customStyle="1" w:styleId="62">
    <w:name w:val="标准文件_引言二级条标题"/>
    <w:basedOn w:val="24"/>
    <w:next w:val="24"/>
    <w:qFormat/>
    <w:uiPriority w:val="0"/>
    <w:pPr>
      <w:numPr>
        <w:ilvl w:val="2"/>
        <w:numId w:val="4"/>
      </w:numPr>
      <w:spacing w:before="157" w:beforeLines="50" w:after="157" w:afterLines="50"/>
    </w:pPr>
    <w:rPr>
      <w:rFonts w:ascii="黑体" w:hAnsi="黑体" w:eastAsia="黑体" w:cs="黑体"/>
    </w:rPr>
  </w:style>
  <w:style w:type="paragraph" w:customStyle="1" w:styleId="63">
    <w:name w:val="标准文件_引言三级条标题"/>
    <w:basedOn w:val="24"/>
    <w:next w:val="24"/>
    <w:qFormat/>
    <w:uiPriority w:val="0"/>
    <w:pPr>
      <w:numPr>
        <w:ilvl w:val="3"/>
        <w:numId w:val="4"/>
      </w:numPr>
      <w:spacing w:before="157" w:beforeLines="50" w:after="157" w:afterLines="50"/>
    </w:pPr>
    <w:rPr>
      <w:rFonts w:ascii="黑体" w:hAnsi="黑体" w:eastAsia="黑体" w:cs="黑体"/>
    </w:rPr>
  </w:style>
  <w:style w:type="paragraph" w:customStyle="1" w:styleId="64">
    <w:name w:val="标准文件_引言四级条标题"/>
    <w:basedOn w:val="24"/>
    <w:next w:val="24"/>
    <w:qFormat/>
    <w:uiPriority w:val="0"/>
    <w:pPr>
      <w:numPr>
        <w:ilvl w:val="4"/>
        <w:numId w:val="4"/>
      </w:numPr>
      <w:spacing w:before="157" w:beforeLines="50" w:after="157" w:afterLines="50"/>
    </w:pPr>
    <w:rPr>
      <w:rFonts w:ascii="黑体" w:hAnsi="黑体" w:eastAsia="黑体" w:cs="黑体"/>
    </w:rPr>
  </w:style>
  <w:style w:type="paragraph" w:customStyle="1" w:styleId="65">
    <w:name w:val="标准文件_引言五级条标题"/>
    <w:basedOn w:val="24"/>
    <w:next w:val="24"/>
    <w:qFormat/>
    <w:uiPriority w:val="0"/>
    <w:pPr>
      <w:numPr>
        <w:ilvl w:val="5"/>
        <w:numId w:val="4"/>
      </w:numPr>
      <w:spacing w:before="157" w:beforeLines="50" w:after="157" w:afterLines="50"/>
    </w:pPr>
    <w:rPr>
      <w:rFonts w:ascii="黑体" w:hAnsi="黑体" w:eastAsia="黑体" w:cs="黑体"/>
    </w:rPr>
  </w:style>
  <w:style w:type="paragraph" w:customStyle="1" w:styleId="66">
    <w:name w:val="标准文件_引言一级无标题"/>
    <w:basedOn w:val="61"/>
    <w:next w:val="24"/>
    <w:qFormat/>
    <w:uiPriority w:val="0"/>
    <w:pPr>
      <w:spacing w:before="4" w:beforeLines="1" w:after="4" w:afterLines="1" w:line="276" w:lineRule="auto"/>
    </w:pPr>
    <w:rPr>
      <w:rFonts w:ascii="宋体" w:hAnsi="宋体" w:eastAsia="宋体" w:cs="宋体"/>
    </w:rPr>
  </w:style>
  <w:style w:type="paragraph" w:customStyle="1" w:styleId="67">
    <w:name w:val="标准文件_引言二级无标题"/>
    <w:basedOn w:val="62"/>
    <w:next w:val="24"/>
    <w:qFormat/>
    <w:uiPriority w:val="0"/>
    <w:pPr>
      <w:spacing w:before="4" w:beforeLines="1" w:after="4" w:afterLines="1" w:line="276" w:lineRule="auto"/>
    </w:pPr>
    <w:rPr>
      <w:rFonts w:ascii="宋体" w:hAnsi="宋体" w:eastAsia="宋体" w:cs="宋体"/>
    </w:rPr>
  </w:style>
  <w:style w:type="paragraph" w:customStyle="1" w:styleId="68">
    <w:name w:val="标准文件_引言三级无标题"/>
    <w:basedOn w:val="63"/>
    <w:next w:val="24"/>
    <w:qFormat/>
    <w:uiPriority w:val="0"/>
    <w:pPr>
      <w:spacing w:before="4" w:beforeLines="1" w:after="4" w:afterLines="1" w:line="276" w:lineRule="auto"/>
    </w:pPr>
    <w:rPr>
      <w:rFonts w:ascii="宋体" w:hAnsi="宋体" w:eastAsia="宋体" w:cs="宋体"/>
    </w:rPr>
  </w:style>
  <w:style w:type="paragraph" w:customStyle="1" w:styleId="69">
    <w:name w:val="标准文件_引言四级无标题"/>
    <w:basedOn w:val="64"/>
    <w:next w:val="24"/>
    <w:qFormat/>
    <w:uiPriority w:val="0"/>
    <w:pPr>
      <w:spacing w:before="4" w:beforeLines="1" w:after="4" w:afterLines="1" w:line="276" w:lineRule="auto"/>
    </w:pPr>
    <w:rPr>
      <w:rFonts w:ascii="宋体" w:hAnsi="宋体" w:eastAsia="宋体" w:cs="宋体"/>
    </w:rPr>
  </w:style>
  <w:style w:type="paragraph" w:customStyle="1" w:styleId="70">
    <w:name w:val="标准文件_引言五级无标题"/>
    <w:basedOn w:val="65"/>
    <w:next w:val="24"/>
    <w:qFormat/>
    <w:uiPriority w:val="0"/>
    <w:pPr>
      <w:spacing w:before="4" w:beforeLines="1" w:after="4" w:afterLines="1" w:line="276" w:lineRule="auto"/>
    </w:pPr>
    <w:rPr>
      <w:rFonts w:ascii="宋体" w:hAnsi="宋体" w:eastAsia="宋体" w:cs="宋体"/>
    </w:rPr>
  </w:style>
  <w:style w:type="paragraph" w:customStyle="1" w:styleId="71">
    <w:name w:val="标准文件_章标题"/>
    <w:next w:val="24"/>
    <w:qFormat/>
    <w:uiPriority w:val="0"/>
    <w:pPr>
      <w:numPr>
        <w:ilvl w:val="0"/>
        <w:numId w:val="7"/>
      </w:numPr>
      <w:suppressAutoHyphens w:val="0"/>
      <w:spacing w:before="313" w:beforeLines="100" w:after="313" w:afterLines="100"/>
      <w:jc w:val="both"/>
      <w:outlineLvl w:val="0"/>
    </w:pPr>
    <w:rPr>
      <w:rFonts w:hint="eastAsia" w:ascii="黑体" w:hAnsi="Times New Roman" w:eastAsia="黑体" w:cs="黑体"/>
      <w:sz w:val="21"/>
    </w:rPr>
  </w:style>
  <w:style w:type="paragraph" w:customStyle="1" w:styleId="72">
    <w:name w:val="标准文件_一级条标题"/>
    <w:basedOn w:val="71"/>
    <w:next w:val="24"/>
    <w:qFormat/>
    <w:uiPriority w:val="0"/>
    <w:pPr>
      <w:numPr>
        <w:ilvl w:val="1"/>
      </w:numPr>
      <w:spacing w:before="157" w:beforeLines="50" w:after="157" w:afterLines="50"/>
      <w:ind w:firstLine="0"/>
      <w:outlineLvl w:val="1"/>
    </w:pPr>
    <w:rPr>
      <w:rFonts w:hAnsi="Times New Roman"/>
    </w:rPr>
  </w:style>
  <w:style w:type="paragraph" w:customStyle="1" w:styleId="73">
    <w:name w:val="标准文件_二级条标题"/>
    <w:next w:val="24"/>
    <w:qFormat/>
    <w:uiPriority w:val="0"/>
    <w:pPr>
      <w:numPr>
        <w:ilvl w:val="2"/>
        <w:numId w:val="7"/>
      </w:numPr>
      <w:suppressAutoHyphens w:val="0"/>
      <w:spacing w:before="157" w:beforeLines="50" w:after="157" w:afterLines="50"/>
      <w:jc w:val="both"/>
      <w:outlineLvl w:val="2"/>
    </w:pPr>
    <w:rPr>
      <w:rFonts w:hint="eastAsia" w:ascii="黑体" w:hAnsi="黑体" w:eastAsia="黑体" w:cs="黑体"/>
      <w:sz w:val="21"/>
    </w:rPr>
  </w:style>
  <w:style w:type="paragraph" w:customStyle="1" w:styleId="74">
    <w:name w:val="标准文件_三级条标题"/>
    <w:basedOn w:val="73"/>
    <w:next w:val="24"/>
    <w:qFormat/>
    <w:uiPriority w:val="0"/>
    <w:pPr>
      <w:numPr>
        <w:ilvl w:val="3"/>
      </w:numPr>
      <w:spacing w:before="157" w:after="157"/>
      <w:ind w:firstLine="0"/>
      <w:outlineLvl w:val="3"/>
    </w:pPr>
  </w:style>
  <w:style w:type="paragraph" w:customStyle="1" w:styleId="75">
    <w:name w:val="标准文件_四级条标题"/>
    <w:next w:val="24"/>
    <w:qFormat/>
    <w:uiPriority w:val="0"/>
    <w:pPr>
      <w:numPr>
        <w:ilvl w:val="4"/>
        <w:numId w:val="7"/>
      </w:numPr>
      <w:suppressAutoHyphens w:val="0"/>
      <w:spacing w:before="157" w:beforeLines="50" w:after="157" w:afterLines="50"/>
      <w:jc w:val="both"/>
      <w:outlineLvl w:val="4"/>
    </w:pPr>
    <w:rPr>
      <w:rFonts w:hint="eastAsia" w:ascii="黑体" w:hAnsi="黑体" w:eastAsia="黑体" w:cs="黑体"/>
      <w:sz w:val="21"/>
    </w:rPr>
  </w:style>
  <w:style w:type="paragraph" w:customStyle="1" w:styleId="76">
    <w:name w:val="标准文件_五级条标题"/>
    <w:next w:val="24"/>
    <w:qFormat/>
    <w:uiPriority w:val="0"/>
    <w:pPr>
      <w:numPr>
        <w:ilvl w:val="5"/>
        <w:numId w:val="7"/>
      </w:numPr>
      <w:suppressAutoHyphens w:val="0"/>
      <w:spacing w:before="157" w:beforeLines="50" w:after="157" w:afterLines="50"/>
      <w:jc w:val="both"/>
      <w:outlineLvl w:val="4"/>
    </w:pPr>
    <w:rPr>
      <w:rFonts w:hint="eastAsia" w:ascii="黑体" w:hAnsi="黑体" w:eastAsia="黑体" w:cs="黑体"/>
      <w:sz w:val="21"/>
    </w:rPr>
  </w:style>
  <w:style w:type="paragraph" w:customStyle="1" w:styleId="77">
    <w:name w:val="标准文件_一级无标题"/>
    <w:basedOn w:val="72"/>
    <w:qFormat/>
    <w:uiPriority w:val="0"/>
    <w:pPr>
      <w:spacing w:before="4" w:beforeLines="1" w:after="4" w:afterLines="1"/>
      <w:outlineLvl w:val="9"/>
    </w:pPr>
    <w:rPr>
      <w:rFonts w:ascii="宋体" w:hAnsi="宋体" w:eastAsia="宋体" w:cs="宋体"/>
    </w:rPr>
  </w:style>
  <w:style w:type="paragraph" w:customStyle="1" w:styleId="78">
    <w:name w:val="标准文件_二级无标题"/>
    <w:basedOn w:val="73"/>
    <w:qFormat/>
    <w:uiPriority w:val="0"/>
    <w:pPr>
      <w:spacing w:before="4" w:beforeLines="1" w:after="4" w:afterLines="1"/>
      <w:outlineLvl w:val="9"/>
    </w:pPr>
    <w:rPr>
      <w:rFonts w:ascii="宋体" w:hAnsi="宋体" w:eastAsia="宋体" w:cs="宋体"/>
    </w:rPr>
  </w:style>
  <w:style w:type="paragraph" w:customStyle="1" w:styleId="79">
    <w:name w:val="标准文件_三级无标题"/>
    <w:basedOn w:val="74"/>
    <w:qFormat/>
    <w:uiPriority w:val="0"/>
    <w:pPr>
      <w:spacing w:before="4" w:beforeLines="1" w:after="4" w:afterLines="1"/>
      <w:outlineLvl w:val="9"/>
    </w:pPr>
    <w:rPr>
      <w:rFonts w:ascii="宋体" w:hAnsi="宋体" w:eastAsia="宋体" w:cs="宋体"/>
    </w:rPr>
  </w:style>
  <w:style w:type="paragraph" w:customStyle="1" w:styleId="80">
    <w:name w:val="标准文件_四级无标题"/>
    <w:basedOn w:val="75"/>
    <w:qFormat/>
    <w:uiPriority w:val="0"/>
    <w:pPr>
      <w:spacing w:before="4" w:beforeLines="1" w:after="4" w:afterLines="1"/>
      <w:outlineLvl w:val="9"/>
    </w:pPr>
    <w:rPr>
      <w:rFonts w:ascii="宋体" w:hAnsi="宋体" w:eastAsia="宋体" w:cs="宋体"/>
    </w:rPr>
  </w:style>
  <w:style w:type="paragraph" w:customStyle="1" w:styleId="81">
    <w:name w:val="标准文件_五级无标题"/>
    <w:basedOn w:val="76"/>
    <w:qFormat/>
    <w:uiPriority w:val="0"/>
    <w:pPr>
      <w:spacing w:before="4" w:beforeLines="1" w:after="4" w:afterLines="1"/>
      <w:outlineLvl w:val="9"/>
    </w:pPr>
    <w:rPr>
      <w:rFonts w:ascii="宋体" w:hAnsi="宋体" w:eastAsia="宋体" w:cs="宋体"/>
    </w:rPr>
  </w:style>
  <w:style w:type="paragraph" w:customStyle="1" w:styleId="82">
    <w:name w:val="标准文件_术语条一"/>
    <w:basedOn w:val="77"/>
    <w:next w:val="24"/>
    <w:qFormat/>
    <w:uiPriority w:val="0"/>
    <w:pPr>
      <w:ind w:left="960" w:hanging="960" w:hangingChars="200"/>
    </w:pPr>
    <w:rPr>
      <w:rFonts w:ascii="黑体" w:hAnsi="黑体" w:eastAsia="黑体" w:cs="黑体"/>
    </w:rPr>
  </w:style>
  <w:style w:type="paragraph" w:customStyle="1" w:styleId="83">
    <w:name w:val="标准文件_术语条二"/>
    <w:basedOn w:val="78"/>
    <w:next w:val="24"/>
    <w:qFormat/>
    <w:uiPriority w:val="0"/>
    <w:pPr>
      <w:ind w:left="960" w:hanging="960" w:hangingChars="200"/>
    </w:pPr>
    <w:rPr>
      <w:rFonts w:ascii="黑体" w:hAnsi="黑体" w:eastAsia="黑体" w:cs="黑体"/>
    </w:rPr>
  </w:style>
  <w:style w:type="paragraph" w:customStyle="1" w:styleId="84">
    <w:name w:val="标准文件_术语条三"/>
    <w:basedOn w:val="79"/>
    <w:next w:val="24"/>
    <w:qFormat/>
    <w:uiPriority w:val="0"/>
    <w:pPr>
      <w:ind w:left="960" w:hanging="960" w:hangingChars="200"/>
    </w:pPr>
    <w:rPr>
      <w:rFonts w:ascii="黑体" w:hAnsi="黑体" w:eastAsia="黑体" w:cs="黑体"/>
    </w:rPr>
  </w:style>
  <w:style w:type="paragraph" w:customStyle="1" w:styleId="85">
    <w:name w:val="标准文件_术语条四"/>
    <w:basedOn w:val="80"/>
    <w:next w:val="24"/>
    <w:qFormat/>
    <w:uiPriority w:val="0"/>
    <w:pPr>
      <w:ind w:left="960" w:hanging="960" w:hangingChars="200"/>
    </w:pPr>
    <w:rPr>
      <w:rFonts w:ascii="黑体" w:hAnsi="黑体" w:eastAsia="黑体" w:cs="黑体"/>
    </w:rPr>
  </w:style>
  <w:style w:type="paragraph" w:customStyle="1" w:styleId="86">
    <w:name w:val="标准文件_术语条五"/>
    <w:basedOn w:val="81"/>
    <w:next w:val="24"/>
    <w:qFormat/>
    <w:uiPriority w:val="0"/>
    <w:pPr>
      <w:ind w:left="960" w:hanging="960" w:hangingChars="200"/>
    </w:pPr>
    <w:rPr>
      <w:rFonts w:ascii="黑体" w:hAnsi="黑体" w:eastAsia="黑体" w:cs="黑体"/>
    </w:rPr>
  </w:style>
  <w:style w:type="paragraph" w:customStyle="1" w:styleId="87">
    <w:name w:val="标准文件_附录标识"/>
    <w:basedOn w:val="1"/>
    <w:next w:val="24"/>
    <w:qFormat/>
    <w:uiPriority w:val="0"/>
    <w:pPr>
      <w:widowControl/>
      <w:numPr>
        <w:ilvl w:val="0"/>
        <w:numId w:val="8"/>
      </w:numPr>
      <w:suppressAutoHyphens w:val="0"/>
      <w:spacing w:before="79" w:beforeLines="25" w:after="157" w:afterLines="50"/>
      <w:jc w:val="center"/>
      <w:outlineLvl w:val="0"/>
    </w:pPr>
    <w:rPr>
      <w:rFonts w:ascii="黑体" w:hAnsi="黑体" w:eastAsia="黑体" w:cs="黑体"/>
    </w:rPr>
  </w:style>
  <w:style w:type="paragraph" w:customStyle="1" w:styleId="88">
    <w:name w:val="标准文件_附录一级条标题"/>
    <w:next w:val="24"/>
    <w:qFormat/>
    <w:uiPriority w:val="0"/>
    <w:pPr>
      <w:numPr>
        <w:ilvl w:val="1"/>
        <w:numId w:val="8"/>
      </w:numPr>
      <w:suppressAutoHyphens w:val="0"/>
      <w:spacing w:before="157" w:beforeLines="50" w:after="157" w:afterLines="50"/>
      <w:jc w:val="both"/>
      <w:outlineLvl w:val="2"/>
    </w:pPr>
    <w:rPr>
      <w:rFonts w:hint="eastAsia" w:ascii="黑体" w:hAnsi="黑体" w:eastAsia="黑体" w:cs="黑体"/>
      <w:sz w:val="21"/>
    </w:rPr>
  </w:style>
  <w:style w:type="paragraph" w:customStyle="1" w:styleId="89">
    <w:name w:val="标准文件_附录二级条标题"/>
    <w:next w:val="24"/>
    <w:qFormat/>
    <w:uiPriority w:val="0"/>
    <w:pPr>
      <w:numPr>
        <w:ilvl w:val="2"/>
        <w:numId w:val="8"/>
      </w:numPr>
      <w:suppressAutoHyphens w:val="0"/>
      <w:spacing w:before="157" w:beforeLines="50" w:after="157" w:afterLines="50"/>
      <w:jc w:val="both"/>
      <w:outlineLvl w:val="2"/>
    </w:pPr>
    <w:rPr>
      <w:rFonts w:hint="eastAsia" w:ascii="黑体" w:hAnsi="黑体" w:eastAsia="黑体" w:cs="黑体"/>
      <w:sz w:val="21"/>
    </w:rPr>
  </w:style>
  <w:style w:type="paragraph" w:customStyle="1" w:styleId="90">
    <w:name w:val="标准文件_附录三级条标题"/>
    <w:next w:val="24"/>
    <w:qFormat/>
    <w:uiPriority w:val="0"/>
    <w:pPr>
      <w:numPr>
        <w:ilvl w:val="3"/>
        <w:numId w:val="8"/>
      </w:numPr>
      <w:suppressAutoHyphens w:val="0"/>
      <w:spacing w:before="157" w:beforeLines="50" w:after="157" w:afterLines="50"/>
      <w:jc w:val="both"/>
      <w:outlineLvl w:val="2"/>
    </w:pPr>
    <w:rPr>
      <w:rFonts w:hint="eastAsia" w:ascii="黑体" w:hAnsi="黑体" w:eastAsia="黑体" w:cs="黑体"/>
      <w:sz w:val="21"/>
    </w:rPr>
  </w:style>
  <w:style w:type="paragraph" w:customStyle="1" w:styleId="91">
    <w:name w:val="标准文件_附录四级条标题"/>
    <w:next w:val="24"/>
    <w:qFormat/>
    <w:uiPriority w:val="0"/>
    <w:pPr>
      <w:numPr>
        <w:ilvl w:val="4"/>
        <w:numId w:val="8"/>
      </w:numPr>
      <w:suppressAutoHyphens w:val="0"/>
      <w:spacing w:before="157" w:beforeLines="50" w:after="157" w:afterLines="50"/>
      <w:jc w:val="both"/>
      <w:outlineLvl w:val="2"/>
    </w:pPr>
    <w:rPr>
      <w:rFonts w:hint="eastAsia" w:ascii="黑体" w:hAnsi="黑体" w:eastAsia="黑体" w:cs="黑体"/>
      <w:sz w:val="21"/>
    </w:rPr>
  </w:style>
  <w:style w:type="paragraph" w:customStyle="1" w:styleId="92">
    <w:name w:val="标准文件_附录五级条标题"/>
    <w:next w:val="24"/>
    <w:qFormat/>
    <w:uiPriority w:val="0"/>
    <w:pPr>
      <w:numPr>
        <w:ilvl w:val="5"/>
        <w:numId w:val="8"/>
      </w:numPr>
      <w:suppressAutoHyphens w:val="0"/>
      <w:spacing w:before="157" w:beforeLines="50" w:after="157" w:afterLines="50"/>
      <w:jc w:val="both"/>
      <w:outlineLvl w:val="2"/>
    </w:pPr>
    <w:rPr>
      <w:rFonts w:hint="eastAsia" w:ascii="黑体" w:hAnsi="黑体" w:eastAsia="黑体" w:cs="黑体"/>
      <w:sz w:val="21"/>
    </w:rPr>
  </w:style>
  <w:style w:type="paragraph" w:customStyle="1" w:styleId="93">
    <w:name w:val="标准文件_附录一级无标题"/>
    <w:basedOn w:val="88"/>
    <w:qFormat/>
    <w:uiPriority w:val="0"/>
    <w:pPr>
      <w:spacing w:before="4" w:beforeLines="1" w:after="4" w:afterLines="1" w:line="276" w:lineRule="auto"/>
    </w:pPr>
    <w:rPr>
      <w:rFonts w:ascii="宋体" w:hAnsi="宋体" w:eastAsia="宋体" w:cs="宋体"/>
    </w:rPr>
  </w:style>
  <w:style w:type="paragraph" w:customStyle="1" w:styleId="94">
    <w:name w:val="标准文件_附录二级无标题"/>
    <w:basedOn w:val="89"/>
    <w:qFormat/>
    <w:uiPriority w:val="0"/>
    <w:pPr>
      <w:spacing w:before="4" w:beforeLines="1" w:after="4" w:afterLines="1" w:line="276" w:lineRule="auto"/>
    </w:pPr>
    <w:rPr>
      <w:rFonts w:ascii="宋体" w:hAnsi="宋体" w:eastAsia="宋体" w:cs="宋体"/>
    </w:rPr>
  </w:style>
  <w:style w:type="paragraph" w:customStyle="1" w:styleId="95">
    <w:name w:val="标准文件_附录三级无标题"/>
    <w:basedOn w:val="90"/>
    <w:qFormat/>
    <w:uiPriority w:val="0"/>
    <w:pPr>
      <w:spacing w:before="4" w:beforeLines="1" w:after="4" w:afterLines="1" w:line="276" w:lineRule="auto"/>
    </w:pPr>
    <w:rPr>
      <w:rFonts w:ascii="宋体" w:hAnsi="宋体" w:eastAsia="宋体" w:cs="宋体"/>
    </w:rPr>
  </w:style>
  <w:style w:type="paragraph" w:customStyle="1" w:styleId="96">
    <w:name w:val="标准文件_附录四级无标题"/>
    <w:basedOn w:val="91"/>
    <w:qFormat/>
    <w:uiPriority w:val="0"/>
    <w:pPr>
      <w:spacing w:before="4" w:beforeLines="1" w:after="4" w:afterLines="1" w:line="276" w:lineRule="auto"/>
    </w:pPr>
    <w:rPr>
      <w:rFonts w:ascii="宋体" w:hAnsi="宋体" w:eastAsia="宋体" w:cs="宋体"/>
    </w:rPr>
  </w:style>
  <w:style w:type="paragraph" w:customStyle="1" w:styleId="97">
    <w:name w:val="标准文件_附录五级无标题"/>
    <w:basedOn w:val="92"/>
    <w:qFormat/>
    <w:uiPriority w:val="0"/>
    <w:pPr>
      <w:spacing w:before="4" w:beforeLines="1" w:after="4" w:afterLines="1" w:line="276" w:lineRule="auto"/>
    </w:pPr>
    <w:rPr>
      <w:rFonts w:ascii="宋体" w:hAnsi="宋体" w:eastAsia="宋体" w:cs="宋体"/>
    </w:rPr>
  </w:style>
  <w:style w:type="paragraph" w:customStyle="1" w:styleId="98">
    <w:name w:val="附录图标号"/>
    <w:basedOn w:val="24"/>
    <w:next w:val="24"/>
    <w:qFormat/>
    <w:uiPriority w:val="0"/>
    <w:pPr>
      <w:numPr>
        <w:ilvl w:val="0"/>
        <w:numId w:val="2"/>
      </w:numPr>
      <w:spacing w:line="14" w:lineRule="exact"/>
      <w:ind w:left="0"/>
      <w:jc w:val="center"/>
    </w:pPr>
    <w:rPr>
      <w:sz w:val="2"/>
    </w:rPr>
  </w:style>
  <w:style w:type="paragraph" w:customStyle="1" w:styleId="99">
    <w:name w:val="附录图标题"/>
    <w:next w:val="24"/>
    <w:qFormat/>
    <w:uiPriority w:val="0"/>
    <w:pPr>
      <w:numPr>
        <w:ilvl w:val="1"/>
        <w:numId w:val="2"/>
      </w:numPr>
      <w:spacing w:before="157" w:beforeLines="50" w:after="157" w:afterLines="50"/>
      <w:jc w:val="center"/>
    </w:pPr>
    <w:rPr>
      <w:rFonts w:hint="eastAsia" w:ascii="黑体" w:hAnsi="黑体" w:eastAsia="黑体" w:cs="黑体"/>
      <w:sz w:val="21"/>
    </w:rPr>
  </w:style>
  <w:style w:type="paragraph" w:customStyle="1" w:styleId="100">
    <w:name w:val="附录表标号"/>
    <w:basedOn w:val="24"/>
    <w:next w:val="24"/>
    <w:qFormat/>
    <w:uiPriority w:val="0"/>
    <w:pPr>
      <w:numPr>
        <w:ilvl w:val="0"/>
        <w:numId w:val="9"/>
      </w:numPr>
      <w:spacing w:line="14" w:lineRule="exact"/>
      <w:ind w:left="0"/>
      <w:jc w:val="center"/>
    </w:pPr>
    <w:rPr>
      <w:sz w:val="2"/>
    </w:rPr>
  </w:style>
  <w:style w:type="paragraph" w:customStyle="1" w:styleId="101">
    <w:name w:val="附录表标题"/>
    <w:next w:val="24"/>
    <w:qFormat/>
    <w:uiPriority w:val="0"/>
    <w:pPr>
      <w:numPr>
        <w:ilvl w:val="1"/>
        <w:numId w:val="9"/>
      </w:numPr>
      <w:spacing w:before="157" w:beforeLines="50" w:after="157" w:afterLines="50"/>
      <w:jc w:val="center"/>
    </w:pPr>
    <w:rPr>
      <w:rFonts w:hint="eastAsia" w:ascii="黑体" w:hAnsi="黑体" w:eastAsia="黑体" w:cs="黑体"/>
      <w:sz w:val="21"/>
    </w:rPr>
  </w:style>
  <w:style w:type="paragraph" w:customStyle="1" w:styleId="102">
    <w:name w:val="标准文件_示例内容"/>
    <w:basedOn w:val="24"/>
    <w:qFormat/>
    <w:uiPriority w:val="0"/>
    <w:pPr>
      <w:suppressAutoHyphens w:val="0"/>
    </w:pPr>
    <w:rPr>
      <w:rFonts w:hAnsi="宋体"/>
      <w:sz w:val="18"/>
    </w:rPr>
  </w:style>
  <w:style w:type="paragraph" w:customStyle="1" w:styleId="103">
    <w:name w:val="标准文件_示例"/>
    <w:next w:val="102"/>
    <w:qFormat/>
    <w:uiPriority w:val="0"/>
    <w:pPr>
      <w:numPr>
        <w:ilvl w:val="0"/>
        <w:numId w:val="10"/>
      </w:numPr>
      <w:tabs>
        <w:tab w:val="left" w:pos="539"/>
      </w:tabs>
      <w:suppressAutoHyphens w:val="0"/>
      <w:jc w:val="both"/>
    </w:pPr>
    <w:rPr>
      <w:rFonts w:hint="eastAsia" w:ascii="宋体" w:hAnsi="宋体" w:eastAsia="宋体" w:cs="宋体"/>
      <w:sz w:val="18"/>
    </w:rPr>
  </w:style>
  <w:style w:type="paragraph" w:customStyle="1" w:styleId="104">
    <w:name w:val="标准文件_示例×"/>
    <w:basedOn w:val="1"/>
    <w:next w:val="102"/>
    <w:qFormat/>
    <w:uiPriority w:val="0"/>
    <w:pPr>
      <w:widowControl/>
      <w:numPr>
        <w:ilvl w:val="0"/>
        <w:numId w:val="11"/>
      </w:numPr>
      <w:tabs>
        <w:tab w:val="left" w:pos="539"/>
      </w:tabs>
      <w:suppressAutoHyphens w:val="0"/>
      <w:ind w:firstLine="363"/>
    </w:pPr>
    <w:rPr>
      <w:rFonts w:hAnsi="Times New Roman"/>
      <w:sz w:val="18"/>
    </w:rPr>
  </w:style>
  <w:style w:type="paragraph" w:customStyle="1" w:styleId="105">
    <w:name w:val="标准文件_注"/>
    <w:next w:val="24"/>
    <w:qFormat/>
    <w:uiPriority w:val="0"/>
    <w:pPr>
      <w:numPr>
        <w:ilvl w:val="0"/>
        <w:numId w:val="12"/>
      </w:numPr>
      <w:tabs>
        <w:tab w:val="left" w:pos="539"/>
      </w:tabs>
      <w:autoSpaceDE w:val="0"/>
      <w:autoSpaceDN w:val="0"/>
      <w:jc w:val="both"/>
    </w:pPr>
    <w:rPr>
      <w:rFonts w:hint="eastAsia" w:ascii="宋体" w:hAnsi="宋体" w:eastAsia="宋体" w:cs="宋体"/>
      <w:sz w:val="18"/>
    </w:rPr>
  </w:style>
  <w:style w:type="paragraph" w:customStyle="1" w:styleId="106">
    <w:name w:val="标准文件_注×"/>
    <w:next w:val="24"/>
    <w:qFormat/>
    <w:uiPriority w:val="0"/>
    <w:pPr>
      <w:numPr>
        <w:ilvl w:val="0"/>
        <w:numId w:val="13"/>
      </w:numPr>
      <w:tabs>
        <w:tab w:val="left" w:pos="539"/>
      </w:tabs>
      <w:jc w:val="both"/>
    </w:pPr>
    <w:rPr>
      <w:rFonts w:hint="eastAsia" w:ascii="宋体" w:hAnsi="宋体" w:eastAsia="宋体" w:cs="宋体"/>
      <w:sz w:val="18"/>
    </w:rPr>
  </w:style>
  <w:style w:type="paragraph" w:customStyle="1" w:styleId="107">
    <w:name w:val="标准文件_图表脚注"/>
    <w:basedOn w:val="1"/>
    <w:next w:val="24"/>
    <w:qFormat/>
    <w:uiPriority w:val="0"/>
    <w:pPr>
      <w:numPr>
        <w:ilvl w:val="0"/>
        <w:numId w:val="14"/>
      </w:numPr>
      <w:suppressAutoHyphens w:val="0"/>
      <w:adjustRightInd w:val="0"/>
      <w:jc w:val="left"/>
    </w:pPr>
    <w:rPr>
      <w:rFonts w:hAnsi="宋体"/>
      <w:sz w:val="18"/>
    </w:rPr>
  </w:style>
  <w:style w:type="paragraph" w:customStyle="1" w:styleId="108">
    <w:name w:val="标准文件_标准正文"/>
    <w:basedOn w:val="1"/>
    <w:next w:val="24"/>
    <w:qFormat/>
    <w:uiPriority w:val="0"/>
    <w:pPr>
      <w:ind w:firstLine="960" w:firstLineChars="200"/>
    </w:pPr>
  </w:style>
  <w:style w:type="paragraph" w:customStyle="1" w:styleId="109">
    <w:name w:val="标准文件_正文公式"/>
    <w:basedOn w:val="1"/>
    <w:next w:val="108"/>
    <w:qFormat/>
    <w:uiPriority w:val="0"/>
    <w:pPr>
      <w:tabs>
        <w:tab w:val="center" w:pos="4678"/>
        <w:tab w:val="right" w:leader="middleDot" w:pos="9355"/>
      </w:tabs>
    </w:pPr>
  </w:style>
  <w:style w:type="paragraph" w:customStyle="1" w:styleId="110">
    <w:name w:val="标准文件_表格"/>
    <w:basedOn w:val="24"/>
    <w:qFormat/>
    <w:uiPriority w:val="0"/>
    <w:pPr>
      <w:jc w:val="center"/>
    </w:pPr>
    <w:rPr>
      <w:sz w:val="18"/>
    </w:rPr>
  </w:style>
  <w:style w:type="paragraph" w:customStyle="1" w:styleId="111">
    <w:name w:val="终结线"/>
    <w:basedOn w:val="1"/>
    <w:qFormat/>
    <w:uiPriority w:val="0"/>
    <w:pPr>
      <w:framePr w:hSpace="181" w:vSpace="181" w:wrap="around" w:vAnchor="text" w:hAnchor="margin" w:xAlign="center" w:y="285"/>
    </w:pPr>
    <w:rPr>
      <w:rFonts w:ascii="Times New Roman" w:hAnsi="Times New Roman" w:cs="Times New Roman"/>
      <w:b/>
      <w:sz w:val="34"/>
    </w:rPr>
  </w:style>
  <w:style w:type="paragraph" w:customStyle="1" w:styleId="112">
    <w:name w:val="标准文件_正文表标题"/>
    <w:next w:val="24"/>
    <w:qFormat/>
    <w:uiPriority w:val="0"/>
    <w:pPr>
      <w:numPr>
        <w:ilvl w:val="0"/>
        <w:numId w:val="15"/>
      </w:numPr>
      <w:spacing w:before="157" w:beforeLines="50" w:after="157" w:afterLines="50"/>
      <w:jc w:val="center"/>
    </w:pPr>
    <w:rPr>
      <w:rFonts w:hint="eastAsia" w:ascii="黑体" w:hAnsi="黑体" w:eastAsia="黑体" w:cs="黑体"/>
      <w:sz w:val="21"/>
    </w:rPr>
  </w:style>
  <w:style w:type="paragraph" w:customStyle="1" w:styleId="113">
    <w:name w:val="标准文件_正文图标题"/>
    <w:next w:val="24"/>
    <w:qFormat/>
    <w:uiPriority w:val="0"/>
    <w:pPr>
      <w:numPr>
        <w:ilvl w:val="0"/>
        <w:numId w:val="16"/>
      </w:numPr>
      <w:spacing w:before="157" w:beforeLines="50" w:after="157" w:afterLines="50"/>
      <w:jc w:val="center"/>
    </w:pPr>
    <w:rPr>
      <w:rFonts w:hint="eastAsia" w:ascii="黑体" w:hAnsi="黑体" w:eastAsia="黑体" w:cs="黑体"/>
      <w:sz w:val="21"/>
    </w:rPr>
  </w:style>
  <w:style w:type="paragraph" w:customStyle="1" w:styleId="114">
    <w:name w:val="标准文件_索引标题"/>
    <w:basedOn w:val="33"/>
    <w:next w:val="24"/>
    <w:qFormat/>
    <w:uiPriority w:val="0"/>
    <w:rPr>
      <w:rFonts w:hAnsi="黑体"/>
    </w:rPr>
  </w:style>
  <w:style w:type="paragraph" w:customStyle="1" w:styleId="115">
    <w:name w:val="标准文件_索引项"/>
    <w:basedOn w:val="24"/>
    <w:next w:val="24"/>
    <w:qFormat/>
    <w:uiPriority w:val="0"/>
    <w:pPr>
      <w:tabs>
        <w:tab w:val="right" w:leader="dot" w:pos="9355"/>
      </w:tabs>
      <w:autoSpaceDE w:val="0"/>
      <w:autoSpaceDN w:val="0"/>
      <w:ind w:left="177" w:hanging="177" w:hangingChars="37"/>
      <w:jc w:val="left"/>
    </w:pPr>
  </w:style>
  <w:style w:type="paragraph" w:customStyle="1" w:styleId="116">
    <w:name w:val="标准文件_索引字母"/>
    <w:next w:val="24"/>
    <w:qFormat/>
    <w:uiPriority w:val="0"/>
    <w:pPr>
      <w:jc w:val="center"/>
    </w:pPr>
    <w:rPr>
      <w:rFonts w:hint="eastAsia" w:ascii="宋体" w:hAnsi="宋体" w:eastAsia="宋体" w:cs="宋体"/>
      <w:b/>
      <w:kern w:val="2"/>
      <w:sz w:val="21"/>
    </w:rPr>
  </w:style>
  <w:style w:type="paragraph" w:customStyle="1" w:styleId="117">
    <w:name w:val="标准文件_提示"/>
    <w:basedOn w:val="1"/>
    <w:qFormat/>
    <w:uiPriority w:val="0"/>
    <w:pPr>
      <w:ind w:firstLine="960" w:firstLineChars="200"/>
    </w:pPr>
    <w:rPr>
      <w:rFonts w:ascii="黑体" w:hAnsi="黑体" w:eastAsia="黑体" w:cs="黑体"/>
    </w:rPr>
  </w:style>
  <w:style w:type="paragraph" w:customStyle="1" w:styleId="118">
    <w:name w:val="标准文件_参考文献编号"/>
    <w:basedOn w:val="24"/>
    <w:qFormat/>
    <w:uiPriority w:val="0"/>
    <w:pPr>
      <w:numPr>
        <w:ilvl w:val="0"/>
        <w:numId w:val="17"/>
      </w:numPr>
    </w:pPr>
  </w:style>
  <w:style w:type="character" w:customStyle="1" w:styleId="119">
    <w:name w:val="标准文件_正文标准名称 Char"/>
    <w:link w:val="55"/>
    <w:qFormat/>
    <w:uiPriority w:val="0"/>
    <w:rPr>
      <w:rFonts w:ascii="黑体" w:hAnsi="黑体" w:eastAsia="黑体" w:cs="黑体"/>
      <w:sz w:val="32"/>
    </w:rPr>
  </w:style>
  <w:style w:type="paragraph" w:customStyle="1" w:styleId="120">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121">
    <w:name w:val="注：（正文）"/>
    <w:basedOn w:val="122"/>
    <w:next w:val="120"/>
    <w:qFormat/>
    <w:uiPriority w:val="0"/>
    <w:pPr>
      <w:numPr>
        <w:ilvl w:val="0"/>
        <w:numId w:val="18"/>
      </w:numPr>
    </w:pPr>
  </w:style>
  <w:style w:type="paragraph" w:customStyle="1" w:styleId="122">
    <w:name w:val="注："/>
    <w:next w:val="120"/>
    <w:qFormat/>
    <w:uiPriority w:val="0"/>
    <w:pPr>
      <w:widowControl w:val="0"/>
      <w:numPr>
        <w:ilvl w:val="0"/>
        <w:numId w:val="19"/>
      </w:numPr>
      <w:autoSpaceDE w:val="0"/>
      <w:autoSpaceDN w:val="0"/>
      <w:jc w:val="both"/>
    </w:pPr>
    <w:rPr>
      <w:rFonts w:ascii="宋体" w:hAnsi="Times New Roman" w:eastAsia="宋体" w:cs="Times New Roman"/>
      <w:sz w:val="18"/>
      <w:szCs w:val="18"/>
      <w:lang w:val="en-US" w:eastAsia="zh-CN" w:bidi="ar-SA"/>
    </w:rPr>
  </w:style>
  <w:style w:type="paragraph" w:customStyle="1" w:styleId="123">
    <w:name w:val="标准文件_注："/>
    <w:next w:val="24"/>
    <w:qFormat/>
    <w:uiPriority w:val="0"/>
    <w:pPr>
      <w:widowControl w:val="0"/>
      <w:numPr>
        <w:ilvl w:val="0"/>
        <w:numId w:val="19"/>
      </w:numPr>
      <w:autoSpaceDE w:val="0"/>
      <w:autoSpaceDN w:val="0"/>
      <w:jc w:val="both"/>
    </w:pPr>
    <w:rPr>
      <w:rFonts w:ascii="宋体" w:hAnsi="Times New Roman" w:eastAsia="宋体" w:cs="Times New Roman"/>
      <w:sz w:val="18"/>
      <w:szCs w:val="1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glossaryDocument" Target="glossary/document.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2.jpeg"/><Relationship Id="rId10" Type="http://schemas.openxmlformats.org/officeDocument/2006/relationships/image" Target="media/image1.png"/><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e43a72de-6420-4734-a0dc-b6c3f8f378bc}"/>
        <w:style w:val=""/>
        <w:category>
          <w:name w:val="常规"/>
          <w:gallery w:val="placeholder"/>
        </w:category>
        <w:types>
          <w:type w:val="bbPlcHdr"/>
        </w:types>
        <w:behaviors>
          <w:behavior w:val="content"/>
        </w:behaviors>
        <w:description w:val=""/>
        <w:guid w:val="{e43a72de-6420-4734-a0dc-b6c3f8f378bc}"/>
      </w:docPartPr>
      <w:docPartBody>
        <w:p w14:paraId="25B5781D">
          <w:r>
            <w:rPr>
              <w:color w:val="808080"/>
            </w:rPr>
            <w:t>选择一项。</w:t>
          </w:r>
        </w:p>
      </w:docPartBody>
    </w:docPart>
    <w:docPart>
      <w:docPartPr>
        <w:name w:val="{a2b934e1-4e69-4b3d-b344-351c81d94b35}"/>
        <w:style w:val=""/>
        <w:category>
          <w:name w:val="常规"/>
          <w:gallery w:val="placeholder"/>
        </w:category>
        <w:types>
          <w:type w:val="bbPlcHdr"/>
        </w:types>
        <w:behaviors>
          <w:behavior w:val="content"/>
        </w:behaviors>
        <w:description w:val=""/>
        <w:guid w:val="{a2b934e1-4e69-4b3d-b344-351c81d94b35}"/>
      </w:docPartPr>
      <w:docPartBody>
        <w:p w14:paraId="09011B7C">
          <w:r>
            <w:rPr>
              <w:color w:val="808080"/>
            </w:rPr>
            <w:t>选择一项。</w:t>
          </w:r>
        </w:p>
      </w:docPartBody>
    </w:docPart>
    <w:docPart>
      <w:docPartPr>
        <w:name w:val="{dc198fea-d184-4aa6-8509-aaf3d889285d}"/>
        <w:style w:val=""/>
        <w:category>
          <w:name w:val="常规"/>
          <w:gallery w:val="placeholder"/>
        </w:category>
        <w:types>
          <w:type w:val="bbPlcHdr"/>
        </w:types>
        <w:behaviors>
          <w:behavior w:val="content"/>
        </w:behaviors>
        <w:description w:val=""/>
        <w:guid w:val="{dc198fea-d184-4aa6-8509-aaf3d889285d}"/>
      </w:docPartPr>
      <w:docPartBody>
        <w:p w14:paraId="0BDF6D96">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style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2092</Words>
  <Characters>2414</Characters>
  <Lines>0</Lines>
  <Paragraphs>0</Paragraphs>
  <TotalTime>0</TotalTime>
  <ScaleCrop>false</ScaleCrop>
  <LinksUpToDate>false</LinksUpToDate>
  <CharactersWithSpaces>2542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2024-05-07T02:54:00Z</dcterms:created>
  <dc:creator>栗子</dc:creator>
  <cp:lastModifiedBy>l</cp:lastModifiedBy>
  <dcterms:modified xsi:type="dcterms:W3CDTF">2025-04-18T09:28:32Z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6F9C1558C851400CA6D8C4871979E171_13</vt:lpwstr>
  </property>
  <property fmtid="{D5CDD505-2E9C-101B-9397-08002B2CF9AE}" pid="4" name="KSOTemplateDocerSaveRecord">
    <vt:lpwstr>eyJoZGlkIjoiODhkNWY1NmM2YzE4MjliNTY1ZTgzZDM3ZmU5ODdjZDIiLCJ1c2VySWQiOiI2MjI4MjQzNzQifQ==</vt:lpwstr>
  </property>
</Properties>
</file>