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pPr>
    </w:p>
    <w:p w14:paraId="0E9E6FD3">
      <w:pPr>
        <w:jc w:val="center"/>
      </w:pPr>
    </w:p>
    <w:p w14:paraId="6F34B203">
      <w:pPr>
        <w:jc w:val="center"/>
      </w:pPr>
    </w:p>
    <w:p w14:paraId="539E1E6A">
      <w:pPr>
        <w:jc w:val="center"/>
      </w:pPr>
    </w:p>
    <w:p w14:paraId="7401B620">
      <w:pPr>
        <w:jc w:val="center"/>
      </w:pPr>
    </w:p>
    <w:p w14:paraId="00B4DFDE">
      <w:pPr>
        <w:jc w:val="center"/>
      </w:pPr>
    </w:p>
    <w:p w14:paraId="35FCED0A">
      <w:pPr>
        <w:jc w:val="center"/>
      </w:pPr>
    </w:p>
    <w:p w14:paraId="431E649D">
      <w:pPr>
        <w:jc w:val="center"/>
      </w:pPr>
    </w:p>
    <w:p w14:paraId="0006A106">
      <w:pPr>
        <w:jc w:val="center"/>
      </w:pPr>
    </w:p>
    <w:p w14:paraId="195C0952">
      <w:pPr>
        <w:jc w:val="center"/>
      </w:pPr>
    </w:p>
    <w:p w14:paraId="7ADE53B9">
      <w:pPr>
        <w:jc w:val="center"/>
      </w:pPr>
    </w:p>
    <w:p w14:paraId="3E3ECBE6">
      <w:pPr>
        <w:jc w:val="center"/>
      </w:pPr>
    </w:p>
    <w:p w14:paraId="0A21095B">
      <w:pPr>
        <w:jc w:val="center"/>
      </w:pPr>
    </w:p>
    <w:p w14:paraId="30709085">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val="en-US" w:eastAsia="zh-CN"/>
        </w:rPr>
        <w:t>电子式三相多费率预付费电能表</w:t>
      </w:r>
      <w:r>
        <w:rPr>
          <w:rFonts w:hint="eastAsia" w:ascii="迷你简小标宋" w:hAnsi="宋体" w:eastAsia="迷你简小标宋"/>
          <w:w w:val="90"/>
          <w:sz w:val="44"/>
          <w:szCs w:val="44"/>
        </w:rPr>
        <w:t>》</w:t>
      </w:r>
    </w:p>
    <w:p w14:paraId="69651B73">
      <w:pPr>
        <w:jc w:val="center"/>
        <w:rPr>
          <w:rFonts w:ascii="迷你简小标宋" w:hAnsi="宋体" w:eastAsia="迷你简小标宋"/>
          <w:sz w:val="44"/>
          <w:szCs w:val="44"/>
        </w:rPr>
      </w:pPr>
    </w:p>
    <w:p w14:paraId="66DB0283">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pPr>
    </w:p>
    <w:p w14:paraId="3A1BBD4E">
      <w:pPr>
        <w:jc w:val="center"/>
      </w:pPr>
    </w:p>
    <w:p w14:paraId="553A2397">
      <w:pPr>
        <w:jc w:val="center"/>
      </w:pPr>
    </w:p>
    <w:p w14:paraId="327431EC">
      <w:pPr>
        <w:jc w:val="center"/>
      </w:pPr>
    </w:p>
    <w:p w14:paraId="2EABEAF3">
      <w:pPr>
        <w:jc w:val="center"/>
      </w:pPr>
    </w:p>
    <w:p w14:paraId="1461394E">
      <w:pPr>
        <w:jc w:val="center"/>
      </w:pPr>
    </w:p>
    <w:p w14:paraId="70E034AF">
      <w:pPr>
        <w:jc w:val="center"/>
      </w:pPr>
    </w:p>
    <w:p w14:paraId="64520520">
      <w:pPr>
        <w:jc w:val="center"/>
      </w:pPr>
    </w:p>
    <w:p w14:paraId="399B77AA">
      <w:pPr>
        <w:jc w:val="center"/>
      </w:pPr>
    </w:p>
    <w:p w14:paraId="1C4A82D6">
      <w:pPr>
        <w:jc w:val="center"/>
      </w:pPr>
    </w:p>
    <w:p w14:paraId="718A098E">
      <w:pPr>
        <w:jc w:val="center"/>
      </w:pPr>
    </w:p>
    <w:p w14:paraId="579D872B">
      <w:pPr>
        <w:jc w:val="center"/>
      </w:pPr>
    </w:p>
    <w:p w14:paraId="51575CC1">
      <w:pPr>
        <w:jc w:val="center"/>
      </w:pPr>
    </w:p>
    <w:p w14:paraId="1F8E33AE">
      <w:pPr>
        <w:jc w:val="center"/>
      </w:pPr>
    </w:p>
    <w:p w14:paraId="2D614C57">
      <w:pPr>
        <w:jc w:val="center"/>
      </w:pPr>
    </w:p>
    <w:p w14:paraId="08BA6CF1">
      <w:pPr>
        <w:jc w:val="center"/>
      </w:pPr>
    </w:p>
    <w:p w14:paraId="72F20A07">
      <w:pPr>
        <w:jc w:val="center"/>
        <w:rPr>
          <w:rFonts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ascii="宋体" w:hAnsi="宋体" w:eastAsia="宋体"/>
          <w:sz w:val="28"/>
          <w:szCs w:val="28"/>
        </w:rPr>
      </w:pPr>
    </w:p>
    <w:p w14:paraId="69B766E4">
      <w:pPr>
        <w:jc w:val="center"/>
        <w:rPr>
          <w:rFonts w:ascii="宋体" w:hAnsi="宋体" w:eastAsia="宋体"/>
          <w:sz w:val="28"/>
          <w:szCs w:val="28"/>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四</w:t>
      </w:r>
      <w:r>
        <w:rPr>
          <w:rFonts w:hint="eastAsia" w:ascii="宋体" w:hAnsi="宋体" w:eastAsia="宋体"/>
          <w:sz w:val="28"/>
          <w:szCs w:val="28"/>
        </w:rPr>
        <w:t>月</w:t>
      </w:r>
    </w:p>
    <w:p w14:paraId="3BF32C5E">
      <w:pPr>
        <w:jc w:val="center"/>
        <w:rPr>
          <w:rFonts w:ascii="宋体" w:hAnsi="宋体" w:eastAsia="宋体"/>
          <w:sz w:val="28"/>
          <w:szCs w:val="28"/>
        </w:rPr>
      </w:pPr>
    </w:p>
    <w:p w14:paraId="7AF9EF6E">
      <w:pPr>
        <w:jc w:val="center"/>
        <w:rPr>
          <w:rFonts w:ascii="宋体" w:hAnsi="宋体" w:eastAsia="宋体"/>
          <w:sz w:val="28"/>
          <w:szCs w:val="28"/>
        </w:rPr>
      </w:pPr>
    </w:p>
    <w:p w14:paraId="616354A2">
      <w:pPr>
        <w:jc w:val="center"/>
        <w:rPr>
          <w:rFonts w:ascii="宋体" w:hAnsi="宋体" w:eastAsia="宋体"/>
          <w:sz w:val="28"/>
          <w:szCs w:val="28"/>
        </w:rPr>
      </w:pPr>
    </w:p>
    <w:p w14:paraId="70875990">
      <w:pPr>
        <w:jc w:val="center"/>
        <w:rPr>
          <w:rFonts w:ascii="宋体" w:hAnsi="宋体" w:eastAsia="宋体"/>
          <w:sz w:val="28"/>
          <w:szCs w:val="28"/>
        </w:rPr>
      </w:pPr>
    </w:p>
    <w:p w14:paraId="44B6B4BD">
      <w:pPr>
        <w:jc w:val="center"/>
        <w:rPr>
          <w:rFonts w:ascii="宋体" w:hAnsi="宋体" w:eastAsia="宋体"/>
          <w:sz w:val="28"/>
          <w:szCs w:val="28"/>
        </w:rPr>
      </w:pPr>
    </w:p>
    <w:p w14:paraId="3AB2A67D">
      <w:pPr>
        <w:jc w:val="center"/>
        <w:rPr>
          <w:rFonts w:ascii="宋体" w:hAnsi="宋体" w:eastAsia="宋体"/>
          <w:sz w:val="28"/>
          <w:szCs w:val="28"/>
        </w:rPr>
      </w:pPr>
    </w:p>
    <w:p w14:paraId="7D1A3655">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一、工作简况</w:t>
      </w:r>
    </w:p>
    <w:p w14:paraId="5B2AA26D">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
        </w:rPr>
        <w:t>（一）任务来源</w:t>
      </w:r>
    </w:p>
    <w:p w14:paraId="72B5AD8B">
      <w:pPr>
        <w:keepNext w:val="0"/>
        <w:keepLines w:val="0"/>
        <w:widowControl w:val="0"/>
        <w:suppressLineNumbers w:val="0"/>
        <w:autoSpaceDE w:val="0"/>
        <w:autoSpaceDN w:val="0"/>
        <w:spacing w:before="0" w:beforeAutospacing="0" w:after="0" w:afterAutospacing="0" w:line="360" w:lineRule="auto"/>
        <w:ind w:left="0" w:right="0" w:firstLine="560" w:firstLineChars="2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根据2020年全国标准化工作要点，大力推动实施标准化战略，持续深化标准化工作改革，加强标准体系建设，提升引领高质量发展的能力。依据《中华人民标准化法》，以及《团体标准管理规定》相关规定，中国中小企业协会决定立项并联合浙江松夏仪表有限公司等相关单位共同制定《电子式三相多费率预付费电能表》团体标准。于2025年04月10日，中国中小企业协会发布了《电子式三相多费率预付费电能表》团体标准立项通知，正式立项。为响应市场需求，需要制定完善的关于电子式三相多费率预付费电能表的标准，满足市场对其需求。</w:t>
      </w:r>
    </w:p>
    <w:p w14:paraId="69634EDD">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（二）编制背景及目的</w:t>
      </w:r>
    </w:p>
    <w:p w14:paraId="6A8CFEEA">
      <w:pPr>
        <w:keepNext w:val="0"/>
        <w:keepLines w:val="0"/>
        <w:widowControl w:val="0"/>
        <w:suppressLineNumbers w:val="0"/>
        <w:autoSpaceDE w:val="0"/>
        <w:autoSpaceDN w:val="0"/>
        <w:spacing w:before="0" w:beforeAutospacing="0" w:after="0" w:afterAutospacing="0" w:line="360" w:lineRule="auto"/>
        <w:ind w:left="0" w:right="0" w:firstLine="560" w:firstLineChars="200"/>
        <w:jc w:val="both"/>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电子式三相多费率预付费电能表是一种用于计量三相交流电能消耗的智能设备，主要应用于工商业及高负荷用电场景。其核心功能包括：1）多费率计量，支持峰谷平电价分段计费，满足阶梯电价政策需求；2）预付费管理，用户需提前充值购电，余额不足时自动断电，保障电费回收效率；3）智能监测，集成物联网通信模块，实时采集电压、电流、功率等数据，支持远程抄表与异常报警；4）安全防护，采用国密加密技术确保数据传输安全，具备防窃电、防电磁干扰等防护功能。该设备通过统一通信协议实现与电力管理系统的无缝对接，可有效提升用电管理智能化水平，助力电力市场化改革与“双碳”目标达成。</w:t>
      </w:r>
    </w:p>
    <w:p w14:paraId="11BE270D">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sz w:val="28"/>
          <w:szCs w:val="28"/>
        </w:rPr>
      </w:pPr>
      <w:r>
        <w:rPr>
          <w:rFonts w:hint="eastAsia" w:ascii="宋体" w:hAnsi="宋体" w:eastAsia="宋体" w:cs="宋体"/>
          <w:b/>
          <w:bCs w:val="0"/>
          <w:kern w:val="0"/>
          <w:sz w:val="28"/>
          <w:szCs w:val="28"/>
          <w:lang w:val="en-US" w:eastAsia="zh-CN" w:bidi="ar"/>
        </w:rPr>
        <w:t>（三）编制过程</w:t>
      </w:r>
    </w:p>
    <w:p w14:paraId="4FA603F6">
      <w:pPr>
        <w:pStyle w:val="3"/>
        <w:widowControl/>
        <w:spacing w:before="0" w:beforeAutospacing="1" w:after="0" w:afterAutospacing="1" w:line="360" w:lineRule="auto"/>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1、项目立项阶段</w:t>
      </w:r>
    </w:p>
    <w:p w14:paraId="67B592DE">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left="0" w:right="0" w:firstLine="561"/>
        <w:jc w:val="both"/>
        <w:textAlignment w:val="auto"/>
        <w:rPr>
          <w:rFonts w:hint="eastAsia" w:ascii="宋体" w:hAnsi="宋体" w:eastAsia="宋体" w:cs="宋体"/>
          <w:sz w:val="28"/>
          <w:szCs w:val="28"/>
          <w:lang w:eastAsia="zh-CN"/>
        </w:rPr>
      </w:pPr>
      <w:r>
        <w:rPr>
          <w:rFonts w:hint="eastAsia" w:cs="宋体"/>
          <w:sz w:val="28"/>
          <w:szCs w:val="28"/>
          <w:lang w:eastAsia="zh-CN"/>
        </w:rPr>
        <w:t>普通电能表功能较为单一，仅具备基础计量能力，无法实现峰谷平多时段分段计费，因而难以适配阶梯电价政策及用户个性化用电成本管理需求。在管理模式上，普通电能表依赖人工抄表和事后催费，且缺乏预付费管控机制，这导致电费回收滞后、欠费纠纷等问题频发，管理效率与资金流转安全性较低。在监测能力方面，普通电能表不具备实时数据采集与远程通信功能，无法动态监测电压、电流、功率等用电参数，当出现负荷过载、接线故障等电力异常时难以及时预警，故障排查只能依赖人工巡检，响应速度缓慢。安全防护层面，普通电能表缺乏开盖检测、相位异常识别等防窃电技术，也未配备数据加密防护，计量数据易受外部干扰或篡改，且抗电磁干扰能力较弱，严重影响计量准确性与系统安全性。此外，普通电能表未集成标准化通信模块，难以与电力管理系统实现无缝对接，无法为智能电网的负荷调控、能效分析等提供实时数据支撑。</w:t>
      </w:r>
    </w:p>
    <w:p w14:paraId="00F458C5">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z w:val="28"/>
          <w:szCs w:val="28"/>
        </w:rPr>
        <w:t>鉴于以上原因，标准起草组参考了</w:t>
      </w:r>
      <w:r>
        <w:rPr>
          <w:rFonts w:hint="eastAsia" w:cs="宋体"/>
          <w:sz w:val="28"/>
          <w:szCs w:val="28"/>
          <w:lang w:eastAsia="zh-CN"/>
        </w:rPr>
        <w:t>浙江松夏仪表有限公司</w:t>
      </w:r>
      <w:r>
        <w:rPr>
          <w:rFonts w:hint="eastAsia" w:ascii="宋体" w:hAnsi="宋体" w:eastAsia="宋体" w:cs="宋体"/>
          <w:sz w:val="28"/>
          <w:szCs w:val="28"/>
        </w:rPr>
        <w:t>的</w:t>
      </w:r>
      <w:r>
        <w:rPr>
          <w:rFonts w:hint="eastAsia" w:cs="宋体"/>
          <w:sz w:val="28"/>
          <w:szCs w:val="28"/>
          <w:lang w:val="en-US" w:eastAsia="zh-CN"/>
        </w:rPr>
        <w:t>电子式三相多费率预付费电能表</w:t>
      </w:r>
      <w:r>
        <w:rPr>
          <w:rFonts w:hint="eastAsia" w:ascii="宋体" w:hAnsi="宋体" w:eastAsia="宋体" w:cs="宋体"/>
          <w:sz w:val="28"/>
          <w:szCs w:val="28"/>
        </w:rPr>
        <w:t>的</w:t>
      </w:r>
      <w:r>
        <w:rPr>
          <w:rFonts w:hint="eastAsia" w:cs="宋体"/>
          <w:sz w:val="28"/>
          <w:szCs w:val="28"/>
          <w:lang w:val="en-US" w:eastAsia="zh-CN"/>
        </w:rPr>
        <w:t>产品</w:t>
      </w:r>
      <w:r>
        <w:rPr>
          <w:rFonts w:hint="eastAsia" w:ascii="宋体" w:hAnsi="宋体" w:eastAsia="宋体" w:cs="宋体"/>
          <w:sz w:val="28"/>
          <w:szCs w:val="28"/>
        </w:rPr>
        <w:t>提出立项。</w:t>
      </w:r>
    </w:p>
    <w:p w14:paraId="1ADF89F3">
      <w:pPr>
        <w:pStyle w:val="3"/>
        <w:widowControl/>
        <w:spacing w:before="0" w:beforeAutospacing="1" w:after="0" w:afterAutospacing="1" w:line="360" w:lineRule="auto"/>
        <w:ind w:left="567" w:right="0"/>
        <w:jc w:val="both"/>
        <w:rPr>
          <w:rFonts w:hint="eastAsia" w:ascii="宋体" w:hAnsi="宋体" w:eastAsia="宋体" w:cs="宋体"/>
          <w:sz w:val="28"/>
          <w:szCs w:val="28"/>
        </w:rPr>
      </w:pPr>
      <w:r>
        <w:rPr>
          <w:rFonts w:hint="eastAsia" w:ascii="宋体" w:hAnsi="宋体" w:eastAsia="宋体" w:cs="宋体"/>
          <w:sz w:val="28"/>
          <w:szCs w:val="28"/>
        </w:rPr>
        <w:t>2、理论研究阶段</w:t>
      </w:r>
    </w:p>
    <w:p w14:paraId="5F906392">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pacing w:val="-3"/>
          <w:sz w:val="28"/>
          <w:szCs w:val="28"/>
        </w:rPr>
        <w:t>标准起草组成立伊始就</w:t>
      </w:r>
      <w:r>
        <w:rPr>
          <w:rFonts w:hint="eastAsia" w:cs="宋体"/>
          <w:spacing w:val="-3"/>
          <w:sz w:val="28"/>
          <w:szCs w:val="28"/>
          <w:lang w:val="en-US" w:eastAsia="zh-CN"/>
        </w:rPr>
        <w:t>电子式三相多费率预付费电能表</w:t>
      </w:r>
      <w:r>
        <w:rPr>
          <w:rFonts w:hint="eastAsia" w:ascii="宋体" w:hAnsi="宋体" w:eastAsia="宋体" w:cs="宋体"/>
          <w:spacing w:val="-3"/>
          <w:sz w:val="28"/>
          <w:szCs w:val="28"/>
        </w:rPr>
        <w:t>现状进行了深入的调查研</w:t>
      </w:r>
      <w:r>
        <w:rPr>
          <w:rFonts w:hint="eastAsia" w:ascii="宋体" w:hAnsi="宋体" w:eastAsia="宋体" w:cs="宋体"/>
          <w:spacing w:val="-4"/>
          <w:sz w:val="28"/>
          <w:szCs w:val="28"/>
        </w:rPr>
        <w:t>究，同时广泛搜集相关标准和国外技术资料，进行了大量的研究分析、资料查证工作，确定了标准的制定原则，结合现有</w:t>
      </w:r>
      <w:r>
        <w:rPr>
          <w:rFonts w:hint="eastAsia" w:cs="宋体"/>
          <w:spacing w:val="-3"/>
          <w:sz w:val="28"/>
          <w:szCs w:val="28"/>
          <w:lang w:val="en-US" w:eastAsia="zh-CN"/>
        </w:rPr>
        <w:t>电子式三相多费率预付费电能表</w:t>
      </w:r>
      <w:r>
        <w:rPr>
          <w:rFonts w:hint="eastAsia" w:ascii="宋体" w:hAnsi="宋体" w:eastAsia="宋体" w:cs="宋体"/>
          <w:spacing w:val="-3"/>
          <w:sz w:val="28"/>
          <w:szCs w:val="28"/>
        </w:rPr>
        <w:t>实际应用经验，为标准的起草奠定了基础。</w:t>
      </w:r>
    </w:p>
    <w:p w14:paraId="41FF4565">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z w:val="28"/>
          <w:szCs w:val="28"/>
        </w:rPr>
        <w:t>标准起草组进一步研究了</w:t>
      </w:r>
      <w:r>
        <w:rPr>
          <w:rFonts w:hint="eastAsia" w:cs="宋体"/>
          <w:spacing w:val="-3"/>
          <w:sz w:val="28"/>
          <w:szCs w:val="28"/>
          <w:lang w:val="en-US" w:eastAsia="zh-CN"/>
        </w:rPr>
        <w:t>电子式三相多费率预付费电能表</w:t>
      </w:r>
      <w:r>
        <w:rPr>
          <w:rFonts w:hint="eastAsia" w:ascii="宋体" w:hAnsi="宋体" w:eastAsia="宋体" w:cs="宋体"/>
          <w:sz w:val="28"/>
          <w:szCs w:val="28"/>
        </w:rPr>
        <w:t>的技术与管理，明确了</w:t>
      </w:r>
      <w:r>
        <w:rPr>
          <w:rFonts w:hint="eastAsia" w:cs="宋体"/>
          <w:sz w:val="28"/>
          <w:szCs w:val="28"/>
          <w:lang w:val="en-US" w:eastAsia="zh-CN"/>
        </w:rPr>
        <w:t>技术要求</w:t>
      </w:r>
      <w:r>
        <w:rPr>
          <w:rFonts w:hint="eastAsia" w:ascii="宋体" w:hAnsi="宋体" w:eastAsia="宋体" w:cs="宋体"/>
          <w:sz w:val="28"/>
          <w:szCs w:val="28"/>
        </w:rPr>
        <w:t>，为标准的具体起草指明方向。</w:t>
      </w:r>
    </w:p>
    <w:p w14:paraId="79460FAC">
      <w:pPr>
        <w:pStyle w:val="3"/>
        <w:widowControl/>
        <w:spacing w:before="0" w:beforeAutospacing="1" w:after="0" w:afterAutospacing="1" w:line="360" w:lineRule="auto"/>
        <w:ind w:left="567" w:right="0"/>
        <w:jc w:val="both"/>
        <w:rPr>
          <w:rFonts w:hint="eastAsia" w:ascii="宋体" w:hAnsi="宋体" w:eastAsia="宋体" w:cs="宋体"/>
          <w:sz w:val="28"/>
          <w:szCs w:val="28"/>
        </w:rPr>
      </w:pPr>
      <w:r>
        <w:rPr>
          <w:rFonts w:hint="eastAsia" w:ascii="宋体" w:hAnsi="宋体" w:eastAsia="宋体" w:cs="宋体"/>
          <w:sz w:val="28"/>
          <w:szCs w:val="28"/>
        </w:rPr>
        <w:t>3、标准起草阶段</w:t>
      </w:r>
    </w:p>
    <w:p w14:paraId="11AE4D99">
      <w:pPr>
        <w:pStyle w:val="3"/>
        <w:widowControl/>
        <w:spacing w:before="0" w:beforeAutospacing="1" w:after="0" w:afterAutospacing="1" w:line="360" w:lineRule="auto"/>
        <w:ind w:left="0" w:right="0" w:firstLine="559"/>
        <w:jc w:val="both"/>
        <w:rPr>
          <w:rFonts w:hint="eastAsia" w:ascii="宋体" w:hAnsi="宋体" w:eastAsia="宋体" w:cs="宋体"/>
          <w:spacing w:val="-3"/>
          <w:sz w:val="28"/>
          <w:szCs w:val="28"/>
        </w:rPr>
      </w:pPr>
      <w:r>
        <w:rPr>
          <w:rFonts w:hint="eastAsia" w:ascii="宋体" w:hAnsi="宋体" w:eastAsia="宋体" w:cs="宋体"/>
          <w:sz w:val="28"/>
          <w:szCs w:val="28"/>
        </w:rPr>
        <w:t>在理论研究基础上，起草组在标准编制过程中充分借鉴已有的理论研究和实践成果，基于</w:t>
      </w:r>
      <w:r>
        <w:rPr>
          <w:rFonts w:hint="eastAsia" w:cs="宋体"/>
          <w:sz w:val="28"/>
          <w:szCs w:val="28"/>
          <w:lang w:eastAsia="zh-CN"/>
        </w:rPr>
        <w:t>我国基本国情</w:t>
      </w:r>
      <w:r>
        <w:rPr>
          <w:rFonts w:hint="eastAsia" w:ascii="宋体" w:hAnsi="宋体" w:eastAsia="宋体" w:cs="宋体"/>
          <w:sz w:val="28"/>
          <w:szCs w:val="28"/>
        </w:rPr>
        <w:t>，经过数次修改，形成了</w:t>
      </w:r>
      <w:r>
        <w:rPr>
          <w:rFonts w:hint="eastAsia" w:ascii="宋体" w:hAnsi="宋体" w:eastAsia="宋体" w:cs="宋体"/>
          <w:spacing w:val="-3"/>
          <w:sz w:val="28"/>
          <w:szCs w:val="28"/>
        </w:rPr>
        <w:t>《</w:t>
      </w:r>
      <w:r>
        <w:rPr>
          <w:rFonts w:hint="eastAsia" w:cs="宋体"/>
          <w:color w:val="000000"/>
          <w:sz w:val="28"/>
          <w:szCs w:val="28"/>
          <w:lang w:eastAsia="zh-CN"/>
        </w:rPr>
        <w:t>电子式三相多费率预付费电能表</w:t>
      </w:r>
      <w:r>
        <w:rPr>
          <w:rFonts w:hint="eastAsia" w:ascii="宋体" w:hAnsi="宋体" w:eastAsia="宋体" w:cs="宋体"/>
          <w:spacing w:val="-3"/>
          <w:sz w:val="28"/>
          <w:szCs w:val="28"/>
        </w:rPr>
        <w:t>》标准草案稿。</w:t>
      </w:r>
    </w:p>
    <w:p w14:paraId="741E8CD4">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pacing w:val="-3"/>
          <w:sz w:val="28"/>
          <w:szCs w:val="28"/>
        </w:rPr>
        <w:t>4、标准征求意见阶段</w:t>
      </w:r>
    </w:p>
    <w:p w14:paraId="046AEBE3">
      <w:pPr>
        <w:pStyle w:val="3"/>
        <w:widowControl/>
        <w:spacing w:before="0" w:beforeAutospacing="1" w:after="0" w:afterAutospacing="1" w:line="360" w:lineRule="auto"/>
        <w:ind w:left="0" w:right="0" w:firstLine="559"/>
        <w:jc w:val="both"/>
        <w:rPr>
          <w:rFonts w:hint="eastAsia" w:ascii="宋体" w:hAnsi="宋体" w:eastAsia="宋体" w:cs="宋体"/>
          <w:sz w:val="28"/>
          <w:szCs w:val="28"/>
          <w:lang w:eastAsia="zh-CN"/>
        </w:rPr>
      </w:pPr>
      <w:r>
        <w:rPr>
          <w:rFonts w:hint="eastAsia" w:ascii="宋体" w:hAnsi="宋体" w:eastAsia="宋体" w:cs="宋体"/>
          <w:spacing w:val="-3"/>
          <w:sz w:val="28"/>
          <w:szCs w:val="28"/>
        </w:rPr>
        <w:t>形成标准草案稿之后，起草组召开了多次专家研讨会，从标准框架、标准起草等角度广泛征求多方意见，从理论完善和实践应用方面提升标准的适用性和实用性。经过理论研究和方法验证，明确</w:t>
      </w:r>
      <w:r>
        <w:rPr>
          <w:rFonts w:hint="eastAsia" w:ascii="宋体" w:hAnsi="宋体" w:eastAsia="宋体" w:cs="宋体"/>
          <w:spacing w:val="-9"/>
          <w:sz w:val="28"/>
          <w:szCs w:val="28"/>
        </w:rPr>
        <w:t>和规范</w:t>
      </w:r>
      <w:r>
        <w:rPr>
          <w:rFonts w:hint="eastAsia" w:cs="宋体"/>
          <w:color w:val="000000"/>
          <w:sz w:val="28"/>
          <w:szCs w:val="28"/>
          <w:lang w:val="en-US" w:eastAsia="zh-CN"/>
        </w:rPr>
        <w:t>电子式三相多费率预付费电能表相关</w:t>
      </w:r>
      <w:r>
        <w:rPr>
          <w:rFonts w:hint="eastAsia" w:ascii="宋体" w:hAnsi="宋体" w:eastAsia="宋体" w:cs="宋体"/>
          <w:color w:val="000000"/>
          <w:sz w:val="28"/>
          <w:szCs w:val="28"/>
        </w:rPr>
        <w:t>技术</w:t>
      </w:r>
      <w:r>
        <w:rPr>
          <w:rFonts w:hint="eastAsia" w:cs="宋体"/>
          <w:color w:val="000000"/>
          <w:sz w:val="28"/>
          <w:szCs w:val="28"/>
          <w:lang w:val="en-US" w:eastAsia="zh-CN"/>
        </w:rPr>
        <w:t>要求</w:t>
      </w:r>
      <w:r>
        <w:rPr>
          <w:rFonts w:hint="eastAsia" w:ascii="宋体" w:hAnsi="宋体" w:eastAsia="宋体" w:cs="宋体"/>
          <w:spacing w:val="-9"/>
          <w:sz w:val="28"/>
          <w:szCs w:val="28"/>
        </w:rPr>
        <w:t>。起草组形成了《</w:t>
      </w:r>
      <w:r>
        <w:rPr>
          <w:rFonts w:hint="eastAsia" w:cs="宋体"/>
          <w:color w:val="000000"/>
          <w:sz w:val="28"/>
          <w:szCs w:val="28"/>
          <w:lang w:eastAsia="zh-CN"/>
        </w:rPr>
        <w:t>电子式三相多费率预付费电能表</w:t>
      </w:r>
      <w:r>
        <w:rPr>
          <w:rFonts w:hint="eastAsia" w:ascii="宋体" w:hAnsi="宋体" w:eastAsia="宋体" w:cs="宋体"/>
          <w:spacing w:val="-9"/>
          <w:sz w:val="28"/>
          <w:szCs w:val="28"/>
        </w:rPr>
        <w:t>》</w:t>
      </w:r>
      <w:r>
        <w:rPr>
          <w:rFonts w:hint="eastAsia" w:ascii="宋体" w:hAnsi="宋体" w:eastAsia="宋体" w:cs="宋体"/>
          <w:sz w:val="28"/>
          <w:szCs w:val="28"/>
        </w:rPr>
        <w:t>（征求</w:t>
      </w:r>
      <w:r>
        <w:rPr>
          <w:rFonts w:hint="eastAsia" w:ascii="宋体" w:hAnsi="宋体" w:eastAsia="宋体" w:cs="宋体"/>
          <w:spacing w:val="-1"/>
          <w:sz w:val="28"/>
          <w:szCs w:val="28"/>
        </w:rPr>
        <w:t>意见稿</w:t>
      </w:r>
      <w:r>
        <w:rPr>
          <w:rFonts w:hint="eastAsia" w:cs="宋体"/>
          <w:spacing w:val="-1"/>
          <w:sz w:val="28"/>
          <w:szCs w:val="28"/>
          <w:lang w:eastAsia="zh-CN"/>
        </w:rPr>
        <w:t>）。</w:t>
      </w:r>
    </w:p>
    <w:p w14:paraId="210806FA">
      <w:pPr>
        <w:pStyle w:val="3"/>
        <w:widowControl/>
        <w:spacing w:before="0" w:beforeAutospacing="1" w:after="0" w:afterAutospacing="1" w:line="360" w:lineRule="auto"/>
        <w:ind w:left="567" w:right="0"/>
        <w:jc w:val="both"/>
        <w:rPr>
          <w:rFonts w:hint="eastAsia" w:ascii="宋体" w:hAnsi="宋体" w:eastAsia="宋体" w:cs="宋体"/>
          <w:sz w:val="28"/>
          <w:szCs w:val="28"/>
        </w:rPr>
      </w:pPr>
      <w:r>
        <w:rPr>
          <w:rFonts w:hint="eastAsia" w:ascii="宋体" w:hAnsi="宋体" w:eastAsia="宋体" w:cs="宋体"/>
          <w:sz w:val="28"/>
          <w:szCs w:val="28"/>
        </w:rPr>
        <w:t>5、专家审核阶段</w:t>
      </w:r>
    </w:p>
    <w:p w14:paraId="74227F67">
      <w:pPr>
        <w:pStyle w:val="3"/>
        <w:widowControl/>
        <w:spacing w:before="0" w:beforeAutospacing="1" w:after="0" w:afterAutospacing="1" w:line="360" w:lineRule="auto"/>
        <w:ind w:left="0" w:right="0" w:firstLine="559"/>
        <w:jc w:val="both"/>
        <w:rPr>
          <w:rFonts w:hint="eastAsia" w:ascii="宋体" w:hAnsi="宋体" w:eastAsia="宋体" w:cs="宋体"/>
          <w:spacing w:val="-3"/>
          <w:sz w:val="28"/>
          <w:szCs w:val="28"/>
        </w:rPr>
      </w:pPr>
      <w:r>
        <w:rPr>
          <w:rFonts w:hint="eastAsia" w:ascii="宋体" w:hAnsi="宋体" w:eastAsia="宋体" w:cs="宋体"/>
          <w:spacing w:val="-3"/>
          <w:sz w:val="28"/>
          <w:szCs w:val="28"/>
        </w:rPr>
        <w:t>拟定于202</w:t>
      </w:r>
      <w:r>
        <w:rPr>
          <w:rFonts w:hint="eastAsia" w:cs="宋体"/>
          <w:spacing w:val="-3"/>
          <w:sz w:val="28"/>
          <w:szCs w:val="28"/>
          <w:lang w:val="en-US" w:eastAsia="zh-CN"/>
        </w:rPr>
        <w:t>5</w:t>
      </w:r>
      <w:r>
        <w:rPr>
          <w:rFonts w:hint="eastAsia" w:ascii="宋体" w:hAnsi="宋体" w:eastAsia="宋体" w:cs="宋体"/>
          <w:spacing w:val="-3"/>
          <w:sz w:val="28"/>
          <w:szCs w:val="28"/>
        </w:rPr>
        <w:t>年0</w:t>
      </w:r>
      <w:r>
        <w:rPr>
          <w:rFonts w:hint="eastAsia" w:cs="宋体"/>
          <w:spacing w:val="-3"/>
          <w:sz w:val="28"/>
          <w:szCs w:val="28"/>
          <w:lang w:val="en-US" w:eastAsia="zh-CN"/>
        </w:rPr>
        <w:t>5</w:t>
      </w:r>
      <w:r>
        <w:rPr>
          <w:rFonts w:hint="eastAsia" w:ascii="宋体" w:hAnsi="宋体" w:eastAsia="宋体" w:cs="宋体"/>
          <w:spacing w:val="-3"/>
          <w:sz w:val="28"/>
          <w:szCs w:val="28"/>
        </w:rPr>
        <w:t>月召集专家审核标准，汇总专家审核意见之后，修改标准并发布。</w:t>
      </w:r>
    </w:p>
    <w:p w14:paraId="6A999090">
      <w:pPr>
        <w:pStyle w:val="2"/>
        <w:widowControl/>
        <w:spacing w:line="360" w:lineRule="auto"/>
        <w:ind w:left="0"/>
        <w:jc w:val="both"/>
        <w:rPr>
          <w:rFonts w:hint="eastAsia" w:ascii="宋体" w:hAnsi="宋体" w:eastAsia="宋体" w:cs="宋体"/>
          <w:b w:val="0"/>
          <w:bCs/>
          <w:sz w:val="28"/>
          <w:szCs w:val="28"/>
        </w:rPr>
      </w:pPr>
      <w:r>
        <w:rPr>
          <w:rFonts w:hint="eastAsia" w:ascii="宋体" w:hAnsi="宋体" w:eastAsia="宋体" w:cs="宋体"/>
          <w:b/>
          <w:bCs/>
          <w:sz w:val="28"/>
          <w:szCs w:val="28"/>
        </w:rPr>
        <w:t>（四）主要起草单位及起草人所做的工作</w:t>
      </w:r>
    </w:p>
    <w:p w14:paraId="438F8AEC">
      <w:pPr>
        <w:pStyle w:val="3"/>
        <w:widowControl/>
        <w:spacing w:before="0" w:beforeAutospacing="1" w:after="0" w:afterAutospacing="1" w:line="360" w:lineRule="auto"/>
        <w:ind w:left="0" w:right="0" w:firstLine="559"/>
        <w:jc w:val="both"/>
        <w:rPr>
          <w:rFonts w:hint="eastAsia" w:ascii="宋体" w:hAnsi="宋体" w:eastAsia="宋体" w:cs="宋体"/>
          <w:spacing w:val="-3"/>
          <w:sz w:val="28"/>
          <w:szCs w:val="28"/>
        </w:rPr>
      </w:pPr>
      <w:r>
        <w:rPr>
          <w:rFonts w:hint="eastAsia" w:ascii="宋体" w:hAnsi="宋体" w:eastAsia="宋体" w:cs="宋体"/>
          <w:spacing w:val="-3"/>
          <w:sz w:val="28"/>
          <w:szCs w:val="28"/>
        </w:rPr>
        <w:t>主要起草单位：</w:t>
      </w:r>
      <w:r>
        <w:rPr>
          <w:rFonts w:hint="eastAsia" w:cs="宋体"/>
          <w:spacing w:val="-3"/>
          <w:sz w:val="28"/>
          <w:szCs w:val="28"/>
          <w:lang w:eastAsia="zh-CN"/>
        </w:rPr>
        <w:t>浙江松夏仪表有限公司</w:t>
      </w:r>
      <w:r>
        <w:rPr>
          <w:rFonts w:hint="eastAsia" w:ascii="宋体" w:hAnsi="宋体" w:eastAsia="宋体" w:cs="宋体"/>
          <w:spacing w:val="-3"/>
          <w:sz w:val="28"/>
          <w:szCs w:val="28"/>
        </w:rPr>
        <w:t>等多家单位的专家成立了规范起草小组，开展标准的编制工作。经工作组的不懈努力，在202</w:t>
      </w:r>
      <w:r>
        <w:rPr>
          <w:rFonts w:hint="eastAsia" w:cs="宋体"/>
          <w:spacing w:val="-3"/>
          <w:sz w:val="28"/>
          <w:szCs w:val="28"/>
          <w:lang w:val="en-US" w:eastAsia="zh-CN"/>
        </w:rPr>
        <w:t>5</w:t>
      </w:r>
      <w:r>
        <w:rPr>
          <w:rFonts w:hint="eastAsia" w:ascii="宋体" w:hAnsi="宋体" w:eastAsia="宋体" w:cs="宋体"/>
          <w:spacing w:val="-3"/>
          <w:sz w:val="28"/>
          <w:szCs w:val="28"/>
        </w:rPr>
        <w:t>年0</w:t>
      </w:r>
      <w:r>
        <w:rPr>
          <w:rFonts w:hint="eastAsia" w:ascii="宋体" w:hAnsi="宋体" w:eastAsia="宋体" w:cs="宋体"/>
          <w:spacing w:val="-3"/>
          <w:sz w:val="28"/>
          <w:szCs w:val="28"/>
          <w:lang w:val="en-US" w:eastAsia="zh-CN"/>
        </w:rPr>
        <w:t>4</w:t>
      </w:r>
      <w:r>
        <w:rPr>
          <w:rFonts w:hint="eastAsia" w:ascii="宋体" w:hAnsi="宋体" w:eastAsia="宋体" w:cs="宋体"/>
          <w:spacing w:val="-3"/>
          <w:sz w:val="28"/>
          <w:szCs w:val="28"/>
        </w:rPr>
        <w:t>月，完成了标准征求意见稿的编写工作。</w:t>
      </w:r>
    </w:p>
    <w:p w14:paraId="20B83F1E">
      <w:pPr>
        <w:pStyle w:val="3"/>
        <w:widowControl/>
        <w:spacing w:before="0" w:beforeAutospacing="1" w:after="0" w:afterAutospacing="1" w:line="360" w:lineRule="auto"/>
        <w:ind w:left="567" w:right="0"/>
        <w:jc w:val="both"/>
        <w:rPr>
          <w:rFonts w:hint="eastAsia" w:ascii="宋体" w:hAnsi="宋体" w:eastAsia="宋体" w:cs="宋体"/>
          <w:sz w:val="28"/>
          <w:szCs w:val="28"/>
        </w:rPr>
      </w:pPr>
      <w:r>
        <w:rPr>
          <w:rFonts w:hint="eastAsia" w:ascii="宋体" w:hAnsi="宋体" w:eastAsia="宋体" w:cs="宋体"/>
          <w:sz w:val="28"/>
          <w:szCs w:val="28"/>
        </w:rPr>
        <w:t>2、广泛收集相关资料。</w:t>
      </w:r>
    </w:p>
    <w:p w14:paraId="70BB5943">
      <w:pPr>
        <w:pStyle w:val="3"/>
        <w:widowControl/>
        <w:spacing w:before="0" w:beforeAutospacing="1" w:after="0" w:afterAutospacing="1" w:line="360" w:lineRule="auto"/>
        <w:ind w:left="0" w:right="0" w:firstLine="559"/>
        <w:jc w:val="both"/>
        <w:rPr>
          <w:rFonts w:hint="eastAsia" w:ascii="宋体" w:hAnsi="宋体" w:eastAsia="宋体" w:cs="宋体"/>
          <w:spacing w:val="-3"/>
          <w:sz w:val="28"/>
          <w:szCs w:val="28"/>
        </w:rPr>
      </w:pPr>
      <w:r>
        <w:rPr>
          <w:rFonts w:hint="eastAsia" w:ascii="宋体" w:hAnsi="宋体" w:eastAsia="宋体" w:cs="宋体"/>
          <w:spacing w:val="-3"/>
          <w:sz w:val="28"/>
          <w:szCs w:val="28"/>
        </w:rPr>
        <w:t>在广泛调研、查阅和研究国际标准、国家标准、行业标准的基础之上，形成本标准征求意见稿。本标准的制定引用的标准如下：</w:t>
      </w:r>
    </w:p>
    <w:p w14:paraId="4575D234">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2423.5—2019  环境试验 第2部分:试验方法 试验Ea和导则：冲击</w:t>
      </w:r>
    </w:p>
    <w:p w14:paraId="2A885B90">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2423.43—2008  电工电子产品环境试验 第2部分：试验方法 振动、冲击和类似动力学试验样品的安装</w:t>
      </w:r>
    </w:p>
    <w:p w14:paraId="1D481BEE">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4798.1  环境条件分类 环境参数组分类及其严酷程度分级 第1部分：贮存</w:t>
      </w:r>
    </w:p>
    <w:p w14:paraId="30E78EC2">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4798.2  环境条件分类 环境参数组分类及其严酷程度分级 第2部分：运输和装卸</w:t>
      </w:r>
    </w:p>
    <w:p w14:paraId="1AF65968">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16935.1—2023  低压供电系统内设备的绝缘配合 第1部分:原理、要求和试验</w:t>
      </w:r>
    </w:p>
    <w:p w14:paraId="18C21D0D">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17215.211—2021  电测量设备（交流） 通用要求、试验和试验条件 第11部分：测量设备</w:t>
      </w:r>
    </w:p>
    <w:p w14:paraId="518C1D06">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17215.231—2021  电测量设备（交流） 通用要求、试验和试验条件 第31部分：产品安全要求和试验</w:t>
      </w:r>
    </w:p>
    <w:p w14:paraId="443DE274">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17215.321—2021  电测量设备（交流） 特殊要求 第21部分：静止式有功电能表（A级、B级、C级、D级和E级）</w:t>
      </w:r>
    </w:p>
    <w:p w14:paraId="4FBFD853">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17215.323—2022  电测量设备（交流） 特殊要求 第23部分:静止式无功电能表（2级和3级）</w:t>
      </w:r>
    </w:p>
    <w:p w14:paraId="006968B0">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17215.324—2022  电测量设备（交流） 特殊要求 第24部分：静止式基波分量无功电能表（0.5S级、1S级、1级、2级和3级）</w:t>
      </w:r>
    </w:p>
    <w:p w14:paraId="03F5C9CB">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JJF 1245.2—2019  安装式交流电能表型式评价大纲—软件要求</w:t>
      </w:r>
    </w:p>
    <w:p w14:paraId="0756B8BA">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DL/T 1490—2015  智能电能表功能规范</w:t>
      </w:r>
    </w:p>
    <w:p w14:paraId="37A19ACA">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 xml:space="preserve">二、 标准编制原则和主要内容 </w:t>
      </w:r>
    </w:p>
    <w:p w14:paraId="27A1A63A">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
        </w:rPr>
        <w:t xml:space="preserve">（一）标准制定原则 </w:t>
      </w:r>
    </w:p>
    <w:p w14:paraId="628E3DAC">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z w:val="28"/>
          <w:szCs w:val="28"/>
        </w:rPr>
        <w:t>本标准依据相关行业标准，标准编制遵循“前瞻性、实用性、统一性、规范性”的原则，注重标准的可操作性，严格按照GB/T 1.1最新版本的要求进行编写。</w:t>
      </w:r>
    </w:p>
    <w:p w14:paraId="1EEB63FB">
      <w:pPr>
        <w:pStyle w:val="2"/>
        <w:widowControl/>
        <w:spacing w:line="360" w:lineRule="auto"/>
        <w:ind w:left="0"/>
        <w:jc w:val="both"/>
        <w:rPr>
          <w:rFonts w:hint="eastAsia" w:ascii="宋体" w:hAnsi="宋体" w:eastAsia="宋体" w:cs="宋体"/>
          <w:b w:val="0"/>
          <w:bCs/>
          <w:sz w:val="28"/>
          <w:szCs w:val="28"/>
        </w:rPr>
      </w:pPr>
      <w:r>
        <w:rPr>
          <w:rFonts w:hint="eastAsia" w:ascii="宋体" w:hAnsi="宋体" w:eastAsia="宋体" w:cs="宋体"/>
          <w:b/>
          <w:bCs/>
          <w:sz w:val="28"/>
          <w:szCs w:val="28"/>
        </w:rPr>
        <w:t>（二） 标准主要技术内容</w:t>
      </w:r>
    </w:p>
    <w:p w14:paraId="1F2A7692">
      <w:pPr>
        <w:pStyle w:val="3"/>
        <w:widowControl/>
        <w:spacing w:before="0" w:beforeAutospacing="1" w:after="0" w:afterAutospacing="1" w:line="360" w:lineRule="auto"/>
        <w:ind w:left="0" w:right="0" w:firstLine="432" w:firstLineChars="150"/>
        <w:jc w:val="both"/>
        <w:rPr>
          <w:rFonts w:hint="eastAsia" w:ascii="宋体" w:hAnsi="宋体" w:eastAsia="宋体" w:cs="宋体"/>
          <w:spacing w:val="3"/>
          <w:sz w:val="28"/>
          <w:szCs w:val="28"/>
        </w:rPr>
      </w:pPr>
      <w:r>
        <w:rPr>
          <w:rFonts w:hint="eastAsia" w:ascii="宋体" w:hAnsi="宋体" w:eastAsia="宋体" w:cs="宋体"/>
          <w:spacing w:val="4"/>
          <w:sz w:val="28"/>
          <w:szCs w:val="28"/>
        </w:rPr>
        <w:t>本标准征求意见稿</w:t>
      </w:r>
      <w:r>
        <w:rPr>
          <w:rFonts w:hint="eastAsia" w:ascii="宋体" w:hAnsi="宋体" w:eastAsia="宋体" w:cs="宋体"/>
          <w:spacing w:val="4"/>
          <w:sz w:val="28"/>
          <w:szCs w:val="28"/>
          <w:highlight w:val="none"/>
        </w:rPr>
        <w:t>包括</w:t>
      </w:r>
      <w:r>
        <w:rPr>
          <w:rFonts w:hint="eastAsia" w:cs="宋体"/>
          <w:spacing w:val="4"/>
          <w:sz w:val="28"/>
          <w:szCs w:val="28"/>
          <w:highlight w:val="none"/>
          <w:lang w:val="en-US" w:eastAsia="zh-CN"/>
        </w:rPr>
        <w:t>9</w:t>
      </w:r>
      <w:r>
        <w:rPr>
          <w:rFonts w:hint="eastAsia" w:ascii="宋体" w:hAnsi="宋体" w:eastAsia="宋体" w:cs="宋体"/>
          <w:spacing w:val="3"/>
          <w:sz w:val="28"/>
          <w:szCs w:val="28"/>
        </w:rPr>
        <w:t>个部分，主要内容如下：</w:t>
      </w:r>
    </w:p>
    <w:p w14:paraId="1949C75A">
      <w:pPr>
        <w:pStyle w:val="3"/>
        <w:widowControl/>
        <w:spacing w:before="0" w:beforeAutospacing="1" w:after="0" w:afterAutospacing="1" w:line="360" w:lineRule="auto"/>
        <w:ind w:left="0" w:right="0" w:firstLine="429" w:firstLineChars="150"/>
        <w:jc w:val="both"/>
        <w:rPr>
          <w:rFonts w:hint="eastAsia" w:ascii="宋体" w:hAnsi="宋体" w:eastAsia="宋体" w:cs="宋体"/>
          <w:sz w:val="28"/>
          <w:szCs w:val="28"/>
        </w:rPr>
      </w:pPr>
      <w:r>
        <w:rPr>
          <w:rFonts w:hint="eastAsia" w:ascii="宋体" w:hAnsi="宋体" w:eastAsia="宋体" w:cs="宋体"/>
          <w:spacing w:val="3"/>
          <w:sz w:val="28"/>
          <w:szCs w:val="28"/>
        </w:rPr>
        <w:t>1</w:t>
      </w:r>
      <w:r>
        <w:rPr>
          <w:rFonts w:hint="eastAsia" w:ascii="宋体" w:hAnsi="宋体" w:eastAsia="宋体" w:cs="宋体"/>
          <w:sz w:val="28"/>
          <w:szCs w:val="28"/>
        </w:rPr>
        <w:t>、范围</w:t>
      </w:r>
    </w:p>
    <w:p w14:paraId="1A5C82D7">
      <w:pPr>
        <w:keepNext w:val="0"/>
        <w:keepLines w:val="0"/>
        <w:widowControl w:val="0"/>
        <w:suppressLineNumbers w:val="0"/>
        <w:autoSpaceDE w:val="0"/>
        <w:autoSpaceDN w:val="0"/>
        <w:spacing w:before="0" w:beforeAutospacing="0" w:after="0" w:afterAutospacing="0" w:line="360" w:lineRule="auto"/>
        <w:ind w:left="0" w:right="0" w:firstLine="548" w:firstLineChars="200"/>
        <w:jc w:val="left"/>
        <w:rPr>
          <w:rFonts w:hint="eastAsia" w:ascii="宋体" w:hAnsi="宋体" w:eastAsia="宋体" w:cs="宋体"/>
          <w:spacing w:val="-3"/>
          <w:kern w:val="0"/>
          <w:sz w:val="28"/>
          <w:szCs w:val="28"/>
          <w:lang w:val="en-US" w:eastAsia="zh-CN" w:bidi="ar"/>
        </w:rPr>
      </w:pPr>
      <w:r>
        <w:rPr>
          <w:rFonts w:hint="eastAsia" w:ascii="宋体" w:hAnsi="宋体" w:eastAsia="宋体" w:cs="宋体"/>
          <w:spacing w:val="-3"/>
          <w:kern w:val="0"/>
          <w:sz w:val="28"/>
          <w:szCs w:val="28"/>
          <w:lang w:val="en-US" w:eastAsia="zh-CN" w:bidi="ar"/>
        </w:rPr>
        <w:t>本文件规定了电子式三相多费率预付费电能表（以下简称“电能表”）的术语和定义、分类、标准电量值，技术要求、试验方法、检验规则、标志、包装、贮存、运输。</w:t>
      </w:r>
    </w:p>
    <w:p w14:paraId="602E6A77">
      <w:pPr>
        <w:keepNext w:val="0"/>
        <w:keepLines w:val="0"/>
        <w:widowControl w:val="0"/>
        <w:suppressLineNumbers w:val="0"/>
        <w:autoSpaceDE w:val="0"/>
        <w:autoSpaceDN w:val="0"/>
        <w:spacing w:before="0" w:beforeAutospacing="0" w:after="0" w:afterAutospacing="0" w:line="360" w:lineRule="auto"/>
        <w:ind w:left="0" w:right="0" w:firstLine="548" w:firstLineChars="200"/>
        <w:jc w:val="left"/>
        <w:rPr>
          <w:rFonts w:hint="eastAsia" w:ascii="宋体" w:hAnsi="宋体" w:eastAsia="宋体" w:cs="宋体"/>
          <w:spacing w:val="-3"/>
          <w:kern w:val="0"/>
          <w:sz w:val="28"/>
          <w:szCs w:val="28"/>
          <w:lang w:val="en-US" w:eastAsia="zh-CN" w:bidi="ar"/>
        </w:rPr>
      </w:pPr>
      <w:r>
        <w:rPr>
          <w:rFonts w:hint="eastAsia" w:ascii="宋体" w:hAnsi="宋体" w:eastAsia="宋体" w:cs="宋体"/>
          <w:spacing w:val="-3"/>
          <w:kern w:val="0"/>
          <w:sz w:val="28"/>
          <w:szCs w:val="28"/>
          <w:lang w:val="en-US" w:eastAsia="zh-CN" w:bidi="ar"/>
        </w:rPr>
        <w:t>本文件适用于三相具有预付费功能的电能表设计、生产、检测和验收。</w:t>
      </w:r>
    </w:p>
    <w:p w14:paraId="67262357">
      <w:pPr>
        <w:pStyle w:val="3"/>
        <w:widowControl/>
        <w:spacing w:before="0" w:beforeAutospacing="1" w:after="0" w:afterAutospacing="1" w:line="360" w:lineRule="auto"/>
        <w:ind w:left="0" w:right="0" w:firstLine="420" w:firstLineChars="150"/>
        <w:jc w:val="both"/>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pacing w:val="-3"/>
          <w:sz w:val="28"/>
          <w:szCs w:val="28"/>
        </w:rPr>
        <w:t>、规范性引用文件</w:t>
      </w:r>
    </w:p>
    <w:p w14:paraId="5DDF0988">
      <w:pPr>
        <w:keepNext w:val="0"/>
        <w:keepLines w:val="0"/>
        <w:widowControl w:val="0"/>
        <w:suppressLineNumbers w:val="0"/>
        <w:autoSpaceDE w:val="0"/>
        <w:autoSpaceDN w:val="0"/>
        <w:spacing w:before="0" w:beforeAutospacing="0" w:after="0" w:afterAutospacing="0" w:line="360" w:lineRule="auto"/>
        <w:ind w:left="0" w:right="0" w:firstLine="548" w:firstLineChars="200"/>
        <w:jc w:val="left"/>
        <w:rPr>
          <w:rFonts w:hint="eastAsia" w:ascii="宋体" w:hAnsi="宋体" w:eastAsia="宋体" w:cs="宋体"/>
          <w:spacing w:val="-3"/>
          <w:kern w:val="0"/>
          <w:sz w:val="28"/>
          <w:szCs w:val="28"/>
          <w:lang w:val="en-US" w:eastAsia="zh-CN" w:bidi="ar"/>
        </w:rPr>
      </w:pPr>
      <w:r>
        <w:rPr>
          <w:rFonts w:hint="eastAsia" w:ascii="宋体" w:hAnsi="宋体" w:eastAsia="宋体" w:cs="宋体"/>
          <w:spacing w:val="-3"/>
          <w:kern w:val="0"/>
          <w:sz w:val="28"/>
          <w:szCs w:val="28"/>
          <w:lang w:val="en-US" w:eastAsia="zh-CN" w:bidi="ar"/>
        </w:rPr>
        <w:t>列出了本文件引用的标准文件。</w:t>
      </w:r>
    </w:p>
    <w:p w14:paraId="116D8D2F">
      <w:pPr>
        <w:pStyle w:val="3"/>
        <w:widowControl/>
        <w:spacing w:before="0" w:beforeAutospacing="1" w:after="0" w:afterAutospacing="1" w:line="360" w:lineRule="auto"/>
        <w:ind w:left="0" w:right="0" w:firstLine="420" w:firstLineChars="150"/>
        <w:jc w:val="both"/>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pacing w:val="-3"/>
          <w:sz w:val="28"/>
          <w:szCs w:val="28"/>
        </w:rPr>
        <w:t>、术语和定义</w:t>
      </w:r>
    </w:p>
    <w:p w14:paraId="78C888C7">
      <w:pPr>
        <w:keepNext w:val="0"/>
        <w:keepLines w:val="0"/>
        <w:widowControl w:val="0"/>
        <w:suppressLineNumbers w:val="0"/>
        <w:autoSpaceDE w:val="0"/>
        <w:autoSpaceDN w:val="0"/>
        <w:spacing w:before="0" w:beforeAutospacing="0" w:after="0" w:afterAutospacing="0" w:line="360" w:lineRule="auto"/>
        <w:ind w:left="0" w:right="0" w:firstLine="548" w:firstLineChars="200"/>
        <w:jc w:val="left"/>
        <w:rPr>
          <w:rFonts w:hint="eastAsia" w:ascii="宋体" w:hAnsi="宋体" w:eastAsia="宋体" w:cs="宋体"/>
          <w:spacing w:val="-3"/>
          <w:kern w:val="0"/>
          <w:sz w:val="28"/>
          <w:szCs w:val="28"/>
          <w:lang w:val="en-US" w:eastAsia="zh-CN" w:bidi="ar"/>
        </w:rPr>
      </w:pPr>
      <w:r>
        <w:rPr>
          <w:rFonts w:hint="eastAsia" w:ascii="宋体" w:hAnsi="宋体" w:eastAsia="宋体" w:cs="宋体"/>
          <w:spacing w:val="-3"/>
          <w:kern w:val="0"/>
          <w:sz w:val="28"/>
          <w:szCs w:val="28"/>
          <w:lang w:val="en-US" w:eastAsia="zh-CN" w:bidi="ar"/>
        </w:rPr>
        <w:t>GB/T 17215.211—2021和DL/T 1490—2015界定的术语和定义适用于本文件。</w:t>
      </w:r>
    </w:p>
    <w:p w14:paraId="6EAEF121">
      <w:pPr>
        <w:pStyle w:val="3"/>
        <w:widowControl/>
        <w:spacing w:before="0" w:beforeAutospacing="1" w:after="0" w:afterAutospacing="1" w:line="360" w:lineRule="auto"/>
        <w:ind w:left="0" w:right="0" w:firstLine="420" w:firstLineChars="150"/>
        <w:jc w:val="both"/>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pacing w:val="-2"/>
          <w:sz w:val="28"/>
          <w:szCs w:val="28"/>
        </w:rPr>
        <w:t>、</w:t>
      </w:r>
      <w:r>
        <w:rPr>
          <w:rFonts w:hint="eastAsia" w:cs="宋体"/>
          <w:spacing w:val="-2"/>
          <w:sz w:val="28"/>
          <w:szCs w:val="28"/>
          <w:lang w:val="en-US" w:eastAsia="zh-CN"/>
        </w:rPr>
        <w:t>分类</w:t>
      </w:r>
    </w:p>
    <w:p w14:paraId="30E6CD83">
      <w:pPr>
        <w:pStyle w:val="3"/>
        <w:widowControl/>
        <w:spacing w:before="0" w:beforeAutospacing="1" w:after="0" w:afterAutospacing="1" w:line="360" w:lineRule="auto"/>
        <w:ind w:left="0" w:right="0" w:firstLine="411" w:firstLineChars="150"/>
        <w:jc w:val="both"/>
        <w:rPr>
          <w:rFonts w:hint="default" w:ascii="宋体" w:hAnsi="宋体" w:eastAsia="宋体" w:cs="宋体"/>
          <w:spacing w:val="-3"/>
          <w:sz w:val="28"/>
          <w:szCs w:val="28"/>
          <w:lang w:val="en-US" w:eastAsia="zh-CN"/>
        </w:rPr>
      </w:pPr>
      <w:r>
        <w:rPr>
          <w:rFonts w:hint="eastAsia" w:ascii="宋体" w:hAnsi="宋体" w:eastAsia="宋体" w:cs="宋体"/>
          <w:spacing w:val="-3"/>
          <w:sz w:val="28"/>
          <w:szCs w:val="28"/>
        </w:rPr>
        <w:t>本章节主要规定了</w:t>
      </w:r>
      <w:r>
        <w:rPr>
          <w:rFonts w:hint="eastAsia" w:cs="宋体"/>
          <w:spacing w:val="-3"/>
          <w:sz w:val="28"/>
          <w:szCs w:val="28"/>
          <w:lang w:val="en-US" w:eastAsia="zh-CN"/>
        </w:rPr>
        <w:t>电子式三相多费率预付费电能表的</w:t>
      </w:r>
      <w:r>
        <w:rPr>
          <w:rFonts w:hint="eastAsia" w:cs="宋体"/>
          <w:spacing w:val="-2"/>
          <w:sz w:val="28"/>
          <w:szCs w:val="28"/>
          <w:lang w:val="en-US" w:eastAsia="zh-CN"/>
        </w:rPr>
        <w:t>分类，包括：按接入电路的方式和测量电能量的类别、按测量电能的准确度等级、按费率方案设置的位置、按有无双向测量电能的功能。</w:t>
      </w:r>
    </w:p>
    <w:p w14:paraId="77D245C6">
      <w:pPr>
        <w:pStyle w:val="3"/>
        <w:widowControl/>
        <w:numPr>
          <w:ilvl w:val="0"/>
          <w:numId w:val="2"/>
        </w:numPr>
        <w:spacing w:before="0" w:beforeAutospacing="1" w:after="0" w:afterAutospacing="1" w:line="360" w:lineRule="auto"/>
        <w:ind w:left="420" w:leftChars="0" w:right="0" w:firstLineChars="0"/>
        <w:jc w:val="both"/>
        <w:rPr>
          <w:rFonts w:hint="eastAsia" w:cs="宋体"/>
          <w:spacing w:val="-3"/>
          <w:sz w:val="28"/>
          <w:szCs w:val="28"/>
          <w:lang w:val="en-US" w:eastAsia="zh-CN"/>
        </w:rPr>
      </w:pPr>
      <w:r>
        <w:rPr>
          <w:rFonts w:hint="eastAsia" w:cs="宋体"/>
          <w:spacing w:val="-3"/>
          <w:sz w:val="28"/>
          <w:szCs w:val="28"/>
          <w:lang w:val="en-US" w:eastAsia="zh-CN"/>
        </w:rPr>
        <w:t>标准电量值</w:t>
      </w:r>
    </w:p>
    <w:p w14:paraId="02B1D934">
      <w:pPr>
        <w:pStyle w:val="3"/>
        <w:widowControl/>
        <w:spacing w:before="0" w:beforeAutospacing="1" w:after="0" w:afterAutospacing="1" w:line="360" w:lineRule="auto"/>
        <w:ind w:left="0" w:right="0" w:firstLine="411" w:firstLineChars="150"/>
        <w:jc w:val="both"/>
        <w:rPr>
          <w:rFonts w:hint="default" w:ascii="宋体" w:hAnsi="宋体" w:eastAsia="宋体" w:cs="宋体"/>
          <w:spacing w:val="-3"/>
          <w:sz w:val="28"/>
          <w:szCs w:val="28"/>
          <w:lang w:val="en-US" w:eastAsia="zh-CN"/>
        </w:rPr>
      </w:pPr>
      <w:r>
        <w:rPr>
          <w:rFonts w:hint="eastAsia" w:ascii="宋体" w:hAnsi="宋体" w:eastAsia="宋体" w:cs="宋体"/>
          <w:spacing w:val="-3"/>
          <w:sz w:val="28"/>
          <w:szCs w:val="28"/>
        </w:rPr>
        <w:t>本章节主要规定了</w:t>
      </w:r>
      <w:r>
        <w:rPr>
          <w:rFonts w:hint="eastAsia" w:ascii="宋体" w:hAnsi="宋体" w:eastAsia="宋体" w:cs="宋体"/>
          <w:spacing w:val="-3"/>
          <w:sz w:val="28"/>
          <w:szCs w:val="28"/>
          <w:lang w:val="en-US" w:eastAsia="zh-CN"/>
        </w:rPr>
        <w:t>电子式三相多费率预付费电能表的标准电量值，包括：电压、电流、频率和功率消耗。</w:t>
      </w:r>
    </w:p>
    <w:p w14:paraId="14D612A4">
      <w:pPr>
        <w:pStyle w:val="3"/>
        <w:widowControl/>
        <w:numPr>
          <w:ilvl w:val="0"/>
          <w:numId w:val="2"/>
        </w:numPr>
        <w:spacing w:before="0" w:beforeAutospacing="1" w:after="0" w:afterAutospacing="1" w:line="360" w:lineRule="auto"/>
        <w:ind w:left="420" w:leftChars="0" w:right="0" w:firstLineChars="0"/>
        <w:jc w:val="both"/>
        <w:rPr>
          <w:rFonts w:hint="eastAsia" w:ascii="宋体" w:hAnsi="宋体" w:eastAsia="宋体" w:cs="宋体"/>
          <w:sz w:val="28"/>
          <w:szCs w:val="28"/>
          <w:lang w:val="en-US" w:eastAsia="zh-CN"/>
        </w:rPr>
      </w:pPr>
      <w:r>
        <w:rPr>
          <w:rFonts w:hint="eastAsia" w:cs="宋体"/>
          <w:spacing w:val="-3"/>
          <w:sz w:val="28"/>
          <w:szCs w:val="28"/>
          <w:lang w:val="en-US" w:eastAsia="zh-CN"/>
        </w:rPr>
        <w:t>技术要求</w:t>
      </w:r>
    </w:p>
    <w:p w14:paraId="4D373F15">
      <w:pPr>
        <w:pStyle w:val="3"/>
        <w:widowControl/>
        <w:spacing w:before="0" w:beforeAutospacing="1" w:after="0" w:afterAutospacing="1" w:line="360" w:lineRule="auto"/>
        <w:ind w:left="0" w:right="0" w:firstLine="411" w:firstLineChars="150"/>
        <w:jc w:val="both"/>
        <w:rPr>
          <w:rFonts w:hint="default" w:ascii="宋体" w:hAnsi="宋体" w:eastAsia="宋体" w:cs="宋体"/>
          <w:spacing w:val="-3"/>
          <w:sz w:val="28"/>
          <w:szCs w:val="28"/>
          <w:lang w:val="en-US" w:eastAsia="zh-CN"/>
        </w:rPr>
      </w:pPr>
      <w:r>
        <w:rPr>
          <w:rFonts w:hint="eastAsia" w:ascii="宋体" w:hAnsi="宋体" w:eastAsia="宋体" w:cs="宋体"/>
          <w:spacing w:val="-3"/>
          <w:sz w:val="28"/>
          <w:szCs w:val="28"/>
        </w:rPr>
        <w:t>本章节主要规定了</w:t>
      </w:r>
      <w:r>
        <w:rPr>
          <w:rFonts w:hint="eastAsia" w:ascii="宋体" w:hAnsi="宋体" w:eastAsia="宋体" w:cs="宋体"/>
          <w:spacing w:val="-3"/>
          <w:sz w:val="28"/>
          <w:szCs w:val="28"/>
          <w:lang w:val="en-US" w:eastAsia="zh-CN"/>
        </w:rPr>
        <w:t>电子式三相多费率预付费电能表的</w:t>
      </w:r>
      <w:r>
        <w:rPr>
          <w:rFonts w:hint="eastAsia" w:cs="宋体"/>
          <w:spacing w:val="-3"/>
          <w:sz w:val="28"/>
          <w:szCs w:val="28"/>
          <w:lang w:val="en-US" w:eastAsia="zh-CN"/>
        </w:rPr>
        <w:t>功能要求、机械与结构要求、气候条件、外部影响、计量性能保护、电气要求、计量性能要求。</w:t>
      </w:r>
    </w:p>
    <w:p w14:paraId="1FC72F3F">
      <w:pPr>
        <w:pStyle w:val="3"/>
        <w:widowControl/>
        <w:spacing w:before="0" w:beforeAutospacing="1" w:after="0" w:afterAutospacing="1" w:line="360" w:lineRule="auto"/>
        <w:ind w:left="0" w:right="0" w:firstLine="411" w:firstLineChars="150"/>
        <w:jc w:val="both"/>
        <w:rPr>
          <w:rFonts w:hint="default"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7</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试验方法</w:t>
      </w:r>
    </w:p>
    <w:p w14:paraId="7D998A3E">
      <w:pPr>
        <w:pStyle w:val="3"/>
        <w:widowControl/>
        <w:spacing w:before="0" w:beforeAutospacing="1" w:after="0" w:afterAutospacing="1" w:line="360" w:lineRule="auto"/>
        <w:ind w:left="0" w:right="0" w:firstLine="411" w:firstLineChars="150"/>
        <w:jc w:val="both"/>
        <w:rPr>
          <w:rFonts w:hint="default" w:ascii="宋体" w:hAnsi="宋体" w:eastAsia="宋体" w:cs="宋体"/>
          <w:spacing w:val="-3"/>
          <w:sz w:val="28"/>
          <w:szCs w:val="28"/>
          <w:lang w:val="en-US" w:eastAsia="zh-CN"/>
        </w:rPr>
      </w:pPr>
      <w:r>
        <w:rPr>
          <w:rFonts w:hint="eastAsia" w:ascii="宋体" w:hAnsi="宋体" w:eastAsia="宋体" w:cs="宋体"/>
          <w:spacing w:val="-3"/>
          <w:sz w:val="28"/>
          <w:szCs w:val="28"/>
        </w:rPr>
        <w:t>本章节主要规定了</w:t>
      </w:r>
      <w:r>
        <w:rPr>
          <w:rFonts w:hint="eastAsia" w:ascii="宋体" w:hAnsi="宋体" w:eastAsia="宋体" w:cs="宋体"/>
          <w:spacing w:val="-3"/>
          <w:sz w:val="28"/>
          <w:szCs w:val="28"/>
          <w:lang w:val="en-US" w:eastAsia="zh-CN"/>
        </w:rPr>
        <w:t>电子式三相多费率预付费电能表的技术要求指标的相关试验方法。</w:t>
      </w:r>
    </w:p>
    <w:p w14:paraId="4B8008ED">
      <w:pPr>
        <w:pStyle w:val="3"/>
        <w:widowControl/>
        <w:numPr>
          <w:ilvl w:val="0"/>
          <w:numId w:val="0"/>
        </w:numPr>
        <w:spacing w:before="0" w:beforeAutospacing="1" w:after="0" w:afterAutospacing="1" w:line="360" w:lineRule="auto"/>
        <w:ind w:left="160" w:leftChars="0" w:right="0" w:rightChars="0" w:firstLine="280" w:firstLineChars="0"/>
        <w:jc w:val="both"/>
        <w:rPr>
          <w:rFonts w:hint="eastAsia" w:ascii="宋体" w:hAnsi="宋体" w:eastAsia="宋体" w:cs="宋体"/>
          <w:sz w:val="28"/>
          <w:szCs w:val="28"/>
        </w:rPr>
      </w:pPr>
      <w:r>
        <w:rPr>
          <w:rFonts w:hint="eastAsia" w:ascii="Times New Roman" w:hAnsi="Times New Roman" w:cs="Times New Roman"/>
          <w:kern w:val="0"/>
          <w:sz w:val="28"/>
          <w:szCs w:val="28"/>
          <w:lang w:val="en-US" w:eastAsia="zh-CN" w:bidi="ar"/>
        </w:rPr>
        <w:t>8</w:t>
      </w:r>
      <w:r>
        <w:rPr>
          <w:rFonts w:hint="default" w:ascii="Times New Roman" w:hAnsi="Times New Roman" w:eastAsia="宋体" w:cs="Times New Roman"/>
          <w:kern w:val="0"/>
          <w:sz w:val="28"/>
          <w:szCs w:val="28"/>
          <w:lang w:val="en-US" w:eastAsia="zh-CN" w:bidi="ar"/>
        </w:rPr>
        <w:t>、</w:t>
      </w:r>
      <w:r>
        <w:rPr>
          <w:rFonts w:hint="eastAsia" w:cs="宋体"/>
          <w:sz w:val="28"/>
          <w:szCs w:val="28"/>
          <w:lang w:val="en-US" w:eastAsia="zh-CN"/>
        </w:rPr>
        <w:t>检验规则</w:t>
      </w:r>
    </w:p>
    <w:p w14:paraId="0AA01A32">
      <w:pPr>
        <w:pStyle w:val="3"/>
        <w:widowControl/>
        <w:spacing w:before="0" w:beforeAutospacing="1" w:after="0" w:afterAutospacing="1" w:line="360" w:lineRule="auto"/>
        <w:ind w:left="0" w:right="0" w:firstLine="411" w:firstLineChars="150"/>
        <w:jc w:val="both"/>
        <w:rPr>
          <w:rFonts w:hint="eastAsia" w:ascii="宋体" w:hAnsi="宋体" w:eastAsia="宋体" w:cs="宋体"/>
          <w:spacing w:val="-3"/>
          <w:sz w:val="28"/>
          <w:szCs w:val="28"/>
        </w:rPr>
      </w:pPr>
      <w:r>
        <w:rPr>
          <w:rFonts w:hint="eastAsia" w:ascii="宋体" w:hAnsi="宋体" w:eastAsia="宋体" w:cs="宋体"/>
          <w:spacing w:val="-3"/>
          <w:sz w:val="28"/>
          <w:szCs w:val="28"/>
        </w:rPr>
        <w:t>本章节规定了</w:t>
      </w:r>
      <w:r>
        <w:rPr>
          <w:rFonts w:hint="eastAsia" w:ascii="宋体" w:hAnsi="宋体" w:eastAsia="宋体" w:cs="宋体"/>
          <w:spacing w:val="-3"/>
          <w:sz w:val="28"/>
          <w:szCs w:val="28"/>
          <w:lang w:val="en-US" w:eastAsia="zh-CN"/>
        </w:rPr>
        <w:t>电子式三相多费率预付费电能表的出厂检验、型式检验和检验项目</w:t>
      </w:r>
      <w:r>
        <w:rPr>
          <w:rFonts w:hint="eastAsia" w:ascii="宋体" w:hAnsi="宋体" w:eastAsia="宋体" w:cs="宋体"/>
          <w:spacing w:val="-3"/>
          <w:sz w:val="28"/>
          <w:szCs w:val="28"/>
        </w:rPr>
        <w:t>。</w:t>
      </w:r>
    </w:p>
    <w:p w14:paraId="0993DB1F">
      <w:pPr>
        <w:pStyle w:val="3"/>
        <w:widowControl/>
        <w:numPr>
          <w:ilvl w:val="0"/>
          <w:numId w:val="0"/>
        </w:numPr>
        <w:spacing w:before="0" w:beforeAutospacing="1" w:after="0" w:afterAutospacing="1" w:line="360" w:lineRule="auto"/>
        <w:ind w:left="160" w:leftChars="0" w:right="0" w:rightChars="0" w:firstLine="280" w:firstLineChars="0"/>
        <w:jc w:val="both"/>
        <w:rPr>
          <w:rFonts w:hint="eastAsia" w:ascii="宋体" w:hAnsi="宋体" w:eastAsia="宋体" w:cs="宋体"/>
          <w:sz w:val="28"/>
          <w:szCs w:val="28"/>
        </w:rPr>
      </w:pPr>
      <w:r>
        <w:rPr>
          <w:rFonts w:hint="eastAsia" w:ascii="Times New Roman" w:hAnsi="Times New Roman" w:cs="Times New Roman"/>
          <w:kern w:val="0"/>
          <w:sz w:val="28"/>
          <w:szCs w:val="28"/>
          <w:lang w:val="en-US" w:eastAsia="zh-CN" w:bidi="ar"/>
        </w:rPr>
        <w:t>9</w:t>
      </w:r>
      <w:r>
        <w:rPr>
          <w:rFonts w:hint="default" w:ascii="Times New Roman" w:hAnsi="Times New Roman" w:eastAsia="宋体" w:cs="Times New Roman"/>
          <w:kern w:val="0"/>
          <w:sz w:val="28"/>
          <w:szCs w:val="28"/>
          <w:lang w:val="en-US" w:eastAsia="zh-CN" w:bidi="ar"/>
        </w:rPr>
        <w:t>、</w:t>
      </w:r>
      <w:r>
        <w:rPr>
          <w:rFonts w:hint="eastAsia" w:cs="宋体"/>
          <w:sz w:val="28"/>
          <w:szCs w:val="28"/>
          <w:lang w:val="en-US" w:eastAsia="zh-CN"/>
        </w:rPr>
        <w:t>标志、包装、运输和贮存</w:t>
      </w:r>
    </w:p>
    <w:p w14:paraId="5E44D725">
      <w:pPr>
        <w:pStyle w:val="3"/>
        <w:widowControl/>
        <w:spacing w:before="0" w:beforeAutospacing="1" w:after="0" w:afterAutospacing="1" w:line="360" w:lineRule="auto"/>
        <w:ind w:left="0" w:right="0" w:firstLine="411" w:firstLineChars="150"/>
        <w:jc w:val="both"/>
        <w:rPr>
          <w:rFonts w:hint="eastAsia" w:ascii="宋体" w:hAnsi="宋体" w:eastAsia="宋体" w:cs="宋体"/>
          <w:spacing w:val="-3"/>
          <w:sz w:val="28"/>
          <w:szCs w:val="28"/>
        </w:rPr>
      </w:pPr>
      <w:r>
        <w:rPr>
          <w:rFonts w:hint="eastAsia" w:ascii="宋体" w:hAnsi="宋体" w:eastAsia="宋体" w:cs="宋体"/>
          <w:spacing w:val="-3"/>
          <w:sz w:val="28"/>
          <w:szCs w:val="28"/>
        </w:rPr>
        <w:t>本章节规定了</w:t>
      </w:r>
      <w:r>
        <w:rPr>
          <w:rFonts w:hint="eastAsia" w:ascii="宋体" w:hAnsi="宋体" w:eastAsia="宋体" w:cs="宋体"/>
          <w:spacing w:val="-3"/>
          <w:sz w:val="28"/>
          <w:szCs w:val="28"/>
          <w:lang w:val="en-US" w:eastAsia="zh-CN"/>
        </w:rPr>
        <w:t>电子式三相多费率预付费电能表的标志、包装、运输和贮存。</w:t>
      </w:r>
    </w:p>
    <w:p w14:paraId="5D361065">
      <w:pPr>
        <w:pStyle w:val="2"/>
        <w:widowControl/>
        <w:spacing w:line="360" w:lineRule="auto"/>
        <w:ind w:left="0"/>
        <w:jc w:val="both"/>
        <w:rPr>
          <w:rFonts w:hint="eastAsia" w:ascii="宋体" w:hAnsi="宋体" w:eastAsia="宋体" w:cs="宋体"/>
          <w:b w:val="0"/>
          <w:bCs/>
          <w:sz w:val="28"/>
          <w:szCs w:val="28"/>
        </w:rPr>
      </w:pPr>
      <w:r>
        <w:rPr>
          <w:rFonts w:hint="eastAsia" w:ascii="宋体" w:hAnsi="宋体" w:eastAsia="宋体" w:cs="宋体"/>
          <w:b/>
          <w:bCs/>
          <w:sz w:val="28"/>
          <w:szCs w:val="28"/>
        </w:rPr>
        <w:t>（三）主要试验（或验证）情况分析</w:t>
      </w:r>
    </w:p>
    <w:p w14:paraId="16F2ACF6">
      <w:pPr>
        <w:pStyle w:val="3"/>
        <w:widowControl/>
        <w:spacing w:before="0" w:beforeAutospacing="1" w:after="0" w:afterAutospacing="1" w:line="360" w:lineRule="auto"/>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结合国内外的国家标准和企业内部管控的项目进行要求规定和试验验证。</w:t>
      </w:r>
    </w:p>
    <w:p w14:paraId="2D66B65F">
      <w:pPr>
        <w:pStyle w:val="2"/>
        <w:widowControl/>
        <w:spacing w:line="360" w:lineRule="auto"/>
        <w:ind w:left="0" w:firstLine="7"/>
        <w:jc w:val="both"/>
        <w:rPr>
          <w:rFonts w:hint="eastAsia" w:ascii="宋体" w:hAnsi="宋体" w:eastAsia="宋体" w:cs="宋体"/>
          <w:b/>
          <w:bCs/>
          <w:sz w:val="28"/>
          <w:szCs w:val="28"/>
        </w:rPr>
      </w:pPr>
      <w:r>
        <w:rPr>
          <w:rFonts w:hint="eastAsia" w:ascii="宋体" w:hAnsi="宋体" w:eastAsia="宋体" w:cs="宋体"/>
          <w:b/>
          <w:bCs/>
          <w:sz w:val="28"/>
          <w:szCs w:val="28"/>
        </w:rPr>
        <w:t>（四）标准中涉及专利的情况</w:t>
      </w:r>
    </w:p>
    <w:p w14:paraId="0BDFB82A">
      <w:pPr>
        <w:pStyle w:val="2"/>
        <w:widowControl/>
        <w:spacing w:line="360" w:lineRule="auto"/>
        <w:ind w:left="0" w:firstLine="552" w:firstLineChars="200"/>
        <w:jc w:val="both"/>
        <w:rPr>
          <w:rFonts w:hint="eastAsia" w:ascii="宋体" w:hAnsi="宋体" w:eastAsia="宋体" w:cs="宋体"/>
          <w:b w:val="0"/>
          <w:bCs/>
          <w:sz w:val="28"/>
          <w:szCs w:val="28"/>
        </w:rPr>
      </w:pPr>
      <w:r>
        <w:rPr>
          <w:rFonts w:hint="eastAsia" w:ascii="宋体" w:hAnsi="宋体" w:eastAsia="宋体" w:cs="宋体"/>
          <w:b w:val="0"/>
          <w:bCs/>
          <w:spacing w:val="-2"/>
          <w:sz w:val="28"/>
          <w:szCs w:val="28"/>
        </w:rPr>
        <w:t>无。</w:t>
      </w:r>
    </w:p>
    <w:p w14:paraId="297E43A9">
      <w:pPr>
        <w:pStyle w:val="2"/>
        <w:widowControl/>
        <w:spacing w:line="360" w:lineRule="auto"/>
        <w:ind w:left="0" w:firstLine="7"/>
        <w:jc w:val="both"/>
        <w:rPr>
          <w:rFonts w:hint="eastAsia" w:ascii="宋体" w:hAnsi="宋体" w:eastAsia="宋体" w:cs="宋体"/>
          <w:b/>
          <w:bCs/>
          <w:sz w:val="28"/>
          <w:szCs w:val="28"/>
        </w:rPr>
      </w:pPr>
      <w:r>
        <w:rPr>
          <w:rFonts w:hint="eastAsia" w:ascii="宋体" w:hAnsi="宋体" w:eastAsia="宋体" w:cs="宋体"/>
          <w:b/>
          <w:bCs/>
          <w:sz w:val="28"/>
          <w:szCs w:val="28"/>
          <w:lang w:val="en-US" w:eastAsia="zh-CN"/>
        </w:rPr>
        <w:t>（五）预期达到的效益（经济、效益、生态等）对产业发展的作用的情况</w:t>
      </w:r>
    </w:p>
    <w:p w14:paraId="122E70C3">
      <w:pPr>
        <w:pStyle w:val="3"/>
        <w:widowControl/>
        <w:spacing w:before="0" w:beforeAutospacing="1" w:after="0" w:afterAutospacing="1" w:line="360" w:lineRule="auto"/>
        <w:ind w:left="0" w:right="0" w:firstLine="565" w:firstLineChars="202"/>
        <w:jc w:val="both"/>
        <w:rPr>
          <w:rFonts w:hint="eastAsia" w:ascii="宋体" w:hAnsi="宋体" w:eastAsia="宋体" w:cs="宋体"/>
          <w:sz w:val="28"/>
          <w:szCs w:val="28"/>
          <w:lang w:eastAsia="zh-CN"/>
        </w:rPr>
      </w:pPr>
      <w:r>
        <w:rPr>
          <w:rFonts w:hint="eastAsia" w:ascii="宋体" w:hAnsi="宋体" w:eastAsia="宋体" w:cs="宋体"/>
          <w:sz w:val="28"/>
          <w:szCs w:val="28"/>
        </w:rPr>
        <w:t>标准通过建立统一的技术规范与质量评价体系，有效提升产品可靠性，降低设备故障引发的停电风险，增强用户用电稳定性。标准化生产流程与市场准入机制促进行业公平竞争，显著减少用户投诉。数据安全防护机制的强化保障用户隐私，提升公共数据安全水平。标准化设计降低企业研发与生产成本，提升生产效率并缩短产品上市周期。统一通信协议减少设备与系统对接成本，降低运维负担。预付费模式有效减少坏账损失，提升电费回收效率。多费率计量与智能监测引导错峰用电，大幅减少化石能源消耗与温室气体排放。长寿命设计与可回收结构促进资源循环利用，减少电子废弃物产生。标准支撑分布式能源接入与微电网协同，推动可再生能源消纳，助力能源结构低碳化转型</w:t>
      </w:r>
      <w:r>
        <w:rPr>
          <w:rFonts w:hint="eastAsia" w:cs="宋体"/>
          <w:sz w:val="28"/>
          <w:szCs w:val="28"/>
          <w:lang w:eastAsia="zh-CN"/>
        </w:rPr>
        <w:t>。</w:t>
      </w:r>
      <w:bookmarkStart w:id="0" w:name="_GoBack"/>
      <w:bookmarkEnd w:id="0"/>
    </w:p>
    <w:p w14:paraId="74F4680F">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（六）在标准体系中的位置，与现行相关</w:t>
      </w:r>
      <w:r>
        <w:rPr>
          <w:rFonts w:hint="eastAsia" w:cs="宋体"/>
          <w:b/>
          <w:bCs/>
          <w:sz w:val="28"/>
          <w:szCs w:val="28"/>
          <w:lang w:eastAsia="zh-CN"/>
        </w:rPr>
        <w:t>法律法规</w:t>
      </w:r>
      <w:r>
        <w:rPr>
          <w:rFonts w:hint="eastAsia" w:ascii="宋体" w:hAnsi="宋体" w:eastAsia="宋体" w:cs="宋体"/>
          <w:b/>
          <w:bCs/>
          <w:sz w:val="28"/>
          <w:szCs w:val="28"/>
        </w:rPr>
        <w:t>、规章及相关标准，特别是强制性标准的协调性</w:t>
      </w:r>
    </w:p>
    <w:p w14:paraId="7BFD5A61">
      <w:pPr>
        <w:pStyle w:val="3"/>
        <w:widowControl/>
        <w:spacing w:before="0" w:beforeAutospacing="1" w:after="0" w:afterAutospacing="1" w:line="360" w:lineRule="auto"/>
        <w:ind w:left="0" w:right="0" w:firstLine="557" w:firstLineChars="202"/>
        <w:jc w:val="both"/>
        <w:rPr>
          <w:rFonts w:hint="eastAsia" w:ascii="宋体" w:hAnsi="宋体" w:eastAsia="宋体" w:cs="宋体"/>
          <w:sz w:val="28"/>
          <w:szCs w:val="28"/>
        </w:rPr>
      </w:pPr>
      <w:r>
        <w:rPr>
          <w:rFonts w:hint="eastAsia" w:ascii="宋体" w:hAnsi="宋体" w:eastAsia="宋体" w:cs="宋体"/>
          <w:spacing w:val="-2"/>
          <w:sz w:val="28"/>
          <w:szCs w:val="28"/>
        </w:rPr>
        <w:t>无。</w:t>
      </w:r>
    </w:p>
    <w:p w14:paraId="1D3A4854">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（七）重大分歧意见的处理经过和依据</w:t>
      </w:r>
    </w:p>
    <w:p w14:paraId="35CA4AE6">
      <w:pPr>
        <w:pStyle w:val="2"/>
        <w:widowControl/>
        <w:spacing w:line="360" w:lineRule="auto"/>
        <w:ind w:left="0" w:firstLine="557" w:firstLineChars="202"/>
        <w:jc w:val="both"/>
        <w:rPr>
          <w:rFonts w:hint="eastAsia" w:ascii="宋体" w:hAnsi="宋体" w:eastAsia="宋体" w:cs="宋体"/>
          <w:b w:val="0"/>
          <w:bCs/>
          <w:sz w:val="28"/>
          <w:szCs w:val="28"/>
        </w:rPr>
      </w:pPr>
      <w:r>
        <w:rPr>
          <w:rFonts w:hint="eastAsia" w:ascii="宋体" w:hAnsi="宋体" w:eastAsia="宋体" w:cs="宋体"/>
          <w:b w:val="0"/>
          <w:bCs/>
          <w:spacing w:val="-2"/>
          <w:sz w:val="28"/>
          <w:szCs w:val="28"/>
        </w:rPr>
        <w:t>无。</w:t>
      </w:r>
    </w:p>
    <w:p w14:paraId="697802C1">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
        </w:rPr>
        <w:t xml:space="preserve">（八）标准性质的建议说明 </w:t>
      </w:r>
    </w:p>
    <w:p w14:paraId="3571729A">
      <w:pPr>
        <w:pStyle w:val="3"/>
        <w:widowControl/>
        <w:spacing w:before="0" w:beforeAutospacing="1" w:after="0" w:afterAutospacing="1" w:line="360" w:lineRule="auto"/>
        <w:ind w:left="0" w:right="0" w:firstLine="565" w:firstLineChars="202"/>
        <w:jc w:val="both"/>
        <w:rPr>
          <w:rFonts w:hint="eastAsia" w:ascii="宋体" w:hAnsi="宋体" w:eastAsia="宋体" w:cs="宋体"/>
          <w:sz w:val="28"/>
          <w:szCs w:val="28"/>
        </w:rPr>
      </w:pPr>
      <w:r>
        <w:rPr>
          <w:rFonts w:hint="eastAsia" w:ascii="宋体" w:hAnsi="宋体" w:eastAsia="宋体" w:cs="宋体"/>
          <w:sz w:val="28"/>
          <w:szCs w:val="28"/>
        </w:rPr>
        <w:t>本标准为团体标准，供社会各界自愿使用。</w:t>
      </w:r>
    </w:p>
    <w:p w14:paraId="69D35BE8">
      <w:pPr>
        <w:pStyle w:val="2"/>
        <w:widowControl/>
        <w:spacing w:line="360" w:lineRule="auto"/>
        <w:ind w:left="0" w:firstLine="7"/>
        <w:jc w:val="both"/>
        <w:rPr>
          <w:rFonts w:hint="eastAsia" w:ascii="宋体" w:hAnsi="宋体" w:eastAsia="宋体" w:cs="宋体"/>
          <w:b/>
          <w:bCs/>
          <w:sz w:val="28"/>
          <w:szCs w:val="28"/>
        </w:rPr>
      </w:pPr>
      <w:r>
        <w:rPr>
          <w:rFonts w:hint="eastAsia" w:ascii="宋体" w:hAnsi="宋体" w:eastAsia="宋体" w:cs="宋体"/>
          <w:b/>
          <w:bCs/>
          <w:sz w:val="28"/>
          <w:szCs w:val="28"/>
        </w:rPr>
        <w:t>（九）贯彻标准的要求和措施建议</w:t>
      </w:r>
    </w:p>
    <w:p w14:paraId="58C2001C">
      <w:pPr>
        <w:pStyle w:val="2"/>
        <w:widowControl/>
        <w:spacing w:line="360" w:lineRule="auto"/>
        <w:ind w:left="0" w:firstLine="560" w:firstLineChars="200"/>
        <w:jc w:val="both"/>
        <w:rPr>
          <w:rFonts w:hint="eastAsia" w:ascii="宋体" w:hAnsi="宋体" w:eastAsia="宋体" w:cs="宋体"/>
          <w:b w:val="0"/>
          <w:bCs/>
          <w:sz w:val="28"/>
          <w:szCs w:val="28"/>
        </w:rPr>
      </w:pPr>
      <w:r>
        <w:rPr>
          <w:rFonts w:hint="eastAsia" w:ascii="宋体" w:hAnsi="宋体" w:eastAsia="宋体" w:cs="宋体"/>
          <w:b w:val="0"/>
          <w:bCs/>
          <w:sz w:val="28"/>
          <w:szCs w:val="28"/>
        </w:rPr>
        <w:t>无。</w:t>
      </w:r>
    </w:p>
    <w:p w14:paraId="0A55F208">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
        </w:rPr>
        <w:t>（十）废止现行相关标准的建议</w:t>
      </w:r>
    </w:p>
    <w:p w14:paraId="57C2DD89">
      <w:pPr>
        <w:keepNext w:val="0"/>
        <w:keepLines w:val="0"/>
        <w:widowControl w:val="0"/>
        <w:suppressLineNumbers w:val="0"/>
        <w:autoSpaceDE w:val="0"/>
        <w:autoSpaceDN w:val="0"/>
        <w:spacing w:before="0" w:beforeAutospacing="0" w:after="0" w:afterAutospacing="0" w:line="360" w:lineRule="auto"/>
        <w:ind w:left="0" w:right="0" w:firstLine="560" w:firstLineChars="200"/>
        <w:jc w:val="both"/>
        <w:rPr>
          <w:rFonts w:hint="eastAsia" w:ascii="宋体" w:hAnsi="宋体" w:eastAsia="宋体" w:cs="宋体"/>
          <w:sz w:val="28"/>
          <w:szCs w:val="28"/>
        </w:rPr>
      </w:pPr>
      <w:r>
        <w:rPr>
          <w:rFonts w:hint="eastAsia" w:ascii="宋体" w:hAnsi="宋体" w:eastAsia="宋体" w:cs="宋体"/>
          <w:kern w:val="0"/>
          <w:sz w:val="28"/>
          <w:szCs w:val="28"/>
          <w:lang w:val="en-US" w:eastAsia="zh-CN" w:bidi="ar"/>
        </w:rPr>
        <w:t>本标准为首次发布。</w:t>
      </w:r>
    </w:p>
    <w:p w14:paraId="586DC08D">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（十一）其他应予说明的事项</w:t>
      </w:r>
    </w:p>
    <w:p w14:paraId="2C296F5B">
      <w:pPr>
        <w:pStyle w:val="2"/>
        <w:widowControl/>
        <w:spacing w:line="360" w:lineRule="auto"/>
        <w:ind w:left="0" w:firstLine="560" w:firstLineChars="200"/>
        <w:jc w:val="both"/>
        <w:rPr>
          <w:rFonts w:hint="eastAsia" w:ascii="宋体" w:hAnsi="宋体" w:eastAsia="宋体" w:cs="宋体"/>
          <w:b w:val="0"/>
          <w:bCs/>
          <w:sz w:val="28"/>
          <w:szCs w:val="28"/>
        </w:rPr>
      </w:pPr>
      <w:r>
        <w:rPr>
          <w:rFonts w:hint="eastAsia" w:ascii="宋体" w:hAnsi="宋体" w:eastAsia="宋体" w:cs="宋体"/>
          <w:b w:val="0"/>
          <w:bCs/>
          <w:sz w:val="28"/>
          <w:szCs w:val="28"/>
        </w:rPr>
        <w:t>无。</w:t>
      </w:r>
    </w:p>
    <w:p w14:paraId="5CCE0FC1">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电子式三相多费率预付费电能表</w:t>
      </w:r>
      <w:r>
        <w:rPr>
          <w:rFonts w:hint="eastAsia" w:ascii="宋体" w:hAnsi="宋体" w:eastAsia="宋体"/>
          <w:sz w:val="28"/>
          <w:szCs w:val="28"/>
        </w:rPr>
        <w:t>》起草组</w:t>
      </w:r>
      <w:r>
        <w:rPr>
          <w:rFonts w:ascii="宋体" w:hAnsi="宋体" w:eastAsia="宋体"/>
          <w:sz w:val="28"/>
          <w:szCs w:val="28"/>
        </w:rPr>
        <w:t xml:space="preserve"> </w:t>
      </w:r>
    </w:p>
    <w:p w14:paraId="5CBDB735">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lang w:val="en-US" w:eastAsia="zh-CN"/>
        </w:rPr>
        <w:t>2025</w:t>
      </w:r>
      <w:r>
        <w:rPr>
          <w:rFonts w:ascii="宋体" w:hAnsi="宋体" w:eastAsia="宋体"/>
          <w:sz w:val="28"/>
          <w:szCs w:val="28"/>
        </w:rPr>
        <w:t>年</w:t>
      </w:r>
      <w:r>
        <w:rPr>
          <w:rFonts w:hint="eastAsia" w:ascii="宋体" w:hAnsi="宋体" w:eastAsia="宋体"/>
          <w:sz w:val="28"/>
          <w:szCs w:val="28"/>
          <w:lang w:val="en-US" w:eastAsia="zh-CN"/>
        </w:rPr>
        <w:t>4</w:t>
      </w:r>
      <w:r>
        <w:rPr>
          <w:rFonts w:ascii="宋体" w:hAnsi="宋体" w:eastAsia="宋体"/>
          <w:sz w:val="28"/>
          <w:szCs w:val="28"/>
        </w:rPr>
        <w:t>月</w:t>
      </w:r>
      <w:r>
        <w:rPr>
          <w:rFonts w:hint="eastAsia" w:ascii="宋体" w:hAnsi="宋体" w:eastAsia="宋体"/>
          <w:sz w:val="28"/>
          <w:szCs w:val="28"/>
          <w:lang w:val="en-US" w:eastAsia="zh-CN"/>
        </w:rPr>
        <w:t>25</w:t>
      </w:r>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1"/>
      <w:suff w:val="nothing"/>
      <w:lvlText w:val="%1%2　"/>
      <w:lvlJc w:val="left"/>
      <w:pPr>
        <w:ind w:left="0" w:firstLine="0"/>
      </w:pPr>
      <w:rPr>
        <w:rFonts w:hint="eastAsia" w:ascii="黑体" w:eastAsia="黑体"/>
        <w:b w:val="0"/>
        <w:i w:val="0"/>
        <w:sz w:val="21"/>
      </w:rPr>
    </w:lvl>
    <w:lvl w:ilvl="2" w:tentative="0">
      <w:start w:val="1"/>
      <w:numFmt w:val="decimal"/>
      <w:pStyle w:val="2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1315A23"/>
    <w:multiLevelType w:val="singleLevel"/>
    <w:tmpl w:val="71315A23"/>
    <w:lvl w:ilvl="0" w:tentative="0">
      <w:start w:val="5"/>
      <w:numFmt w:val="decimal"/>
      <w:suff w:val="nothing"/>
      <w:lvlText w:val="%1、"/>
      <w:lvlJc w:val="left"/>
      <w:pPr>
        <w:ind w:left="-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10"/>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30F401E0"/>
    <w:rsid w:val="3E4D23BA"/>
    <w:rsid w:val="4E226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val="0"/>
      <w:keepLines w:val="0"/>
      <w:widowControl w:val="0"/>
      <w:suppressLineNumbers w:val="0"/>
      <w:autoSpaceDE w:val="0"/>
      <w:autoSpaceDN w:val="0"/>
      <w:spacing w:before="0" w:beforeAutospacing="1" w:after="0" w:afterAutospacing="1"/>
      <w:ind w:left="240"/>
      <w:jc w:val="left"/>
      <w:outlineLvl w:val="1"/>
    </w:pPr>
    <w:rPr>
      <w:rFonts w:hint="eastAsia" w:ascii="宋体" w:hAnsi="宋体" w:eastAsia="宋体" w:cs="宋体"/>
      <w:b/>
      <w:bCs/>
      <w:kern w:val="0"/>
      <w:sz w:val="28"/>
      <w:szCs w:val="2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Body Text"/>
    <w:basedOn w:val="1"/>
    <w:unhideWhenUsed/>
    <w:qFormat/>
    <w:uiPriority w:val="99"/>
    <w:pPr>
      <w:keepNext w:val="0"/>
      <w:keepLines w:val="0"/>
      <w:widowControl w:val="0"/>
      <w:suppressLineNumbers w:val="0"/>
      <w:autoSpaceDE w:val="0"/>
      <w:autoSpaceDN w:val="0"/>
      <w:ind w:left="240"/>
      <w:jc w:val="left"/>
    </w:pPr>
    <w:rPr>
      <w:rFonts w:hint="eastAsia" w:ascii="宋体" w:hAnsi="宋体" w:eastAsia="宋体" w:cs="宋体"/>
      <w:kern w:val="0"/>
      <w:sz w:val="28"/>
      <w:szCs w:val="28"/>
      <w:lang w:val="en-US" w:eastAsia="zh-CN" w:bidi="ar"/>
    </w:r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rPr>
      <w:sz w:val="24"/>
    </w:rPr>
  </w:style>
  <w:style w:type="character" w:styleId="11">
    <w:name w:val="Strong"/>
    <w:basedOn w:val="10"/>
    <w:qFormat/>
    <w:uiPriority w:val="22"/>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日期 字符"/>
    <w:basedOn w:val="10"/>
    <w:link w:val="4"/>
    <w:semiHidden/>
    <w:qFormat/>
    <w:uiPriority w:val="99"/>
  </w:style>
  <w:style w:type="character" w:customStyle="1" w:styleId="14">
    <w:name w:val="未处理的提及1"/>
    <w:basedOn w:val="10"/>
    <w:semiHidden/>
    <w:unhideWhenUsed/>
    <w:qFormat/>
    <w:uiPriority w:val="99"/>
    <w:rPr>
      <w:color w:val="605E5C"/>
      <w:shd w:val="clear" w:color="auto" w:fill="E1DFDD"/>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character" w:customStyle="1" w:styleId="17">
    <w:name w:val="批注框文本 字符"/>
    <w:basedOn w:val="10"/>
    <w:link w:val="5"/>
    <w:semiHidden/>
    <w:qFormat/>
    <w:uiPriority w:val="99"/>
    <w:rPr>
      <w:sz w:val="18"/>
      <w:szCs w:val="18"/>
    </w:rPr>
  </w:style>
  <w:style w:type="paragraph" w:customStyle="1" w:styleId="18">
    <w:name w:val="段"/>
    <w:basedOn w:val="1"/>
    <w:qFormat/>
    <w:uiPriority w:val="0"/>
    <w:pPr>
      <w:widowControl/>
      <w:tabs>
        <w:tab w:val="center" w:pos="4201"/>
        <w:tab w:val="right" w:leader="dot" w:pos="9298"/>
      </w:tabs>
      <w:autoSpaceDE w:val="0"/>
      <w:autoSpaceDN w:val="0"/>
      <w:spacing w:before="0" w:beforeAutospacing="0" w:after="0" w:afterAutospacing="0"/>
      <w:ind w:left="0" w:right="0" w:firstLine="420" w:firstLineChars="200"/>
      <w:jc w:val="both"/>
    </w:pPr>
    <w:rPr>
      <w:rFonts w:hint="eastAsia" w:ascii="宋体" w:hAnsi="Times New Roman" w:eastAsia="宋体" w:cs="Times New Roman"/>
      <w:kern w:val="0"/>
      <w:sz w:val="21"/>
      <w:szCs w:val="21"/>
      <w:lang w:val="en-US" w:eastAsia="zh-CN" w:bidi="ar"/>
    </w:rPr>
  </w:style>
  <w:style w:type="paragraph" w:customStyle="1" w:styleId="1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标准文件_一级条标题"/>
    <w:basedOn w:val="21"/>
    <w:next w:val="19"/>
    <w:qFormat/>
    <w:uiPriority w:val="0"/>
    <w:pPr>
      <w:numPr>
        <w:ilvl w:val="2"/>
      </w:numPr>
      <w:spacing w:before="50" w:beforeLines="50" w:after="50" w:afterLines="50"/>
      <w:outlineLvl w:val="1"/>
    </w:pPr>
  </w:style>
  <w:style w:type="paragraph" w:customStyle="1" w:styleId="21">
    <w:name w:val="标准文件_章标题"/>
    <w:next w:val="19"/>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character" w:styleId="22">
    <w:name w:val="Placeholder Text"/>
    <w:basedOn w:val="10"/>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3173</Words>
  <Characters>3391</Characters>
  <Lines>2</Lines>
  <Paragraphs>1</Paragraphs>
  <TotalTime>1</TotalTime>
  <ScaleCrop>false</ScaleCrop>
  <LinksUpToDate>false</LinksUpToDate>
  <CharactersWithSpaces>3476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徐君言</cp:lastModifiedBy>
  <cp:lastPrinted>2022-05-11T05:51:00Z</cp:lastPrinted>
  <dcterms:modified xsi:type="dcterms:W3CDTF">2025-04-25T07:36:04Z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eyJoZGlkIjoiZWNlMDAzNWQyNzVkOThhY2NhZTA1Zjc3OGQ5NmI0YzUiLCJ1c2VySWQiOiIxNjE5NDQ4OTkzIn0=</vt:lpwstr>
  </property>
  <property fmtid="{D5CDD505-2E9C-101B-9397-08002B2CF9AE}" pid="3" name="KSOProductBuildVer">
    <vt:lpwstr>2052-12.1.0.19302</vt:lpwstr>
  </property>
  <property fmtid="{D5CDD505-2E9C-101B-9397-08002B2CF9AE}" pid="4" name="ICV">
    <vt:lpwstr>E1B01D8DD9634E3D907A573FA85703AC_12</vt:lpwstr>
  </property>
</Properties>
</file>