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2AE89">
      <w:pPr>
        <w:jc w:val="center"/>
      </w:pPr>
    </w:p>
    <w:p w14:paraId="0E9E6FD3">
      <w:pPr>
        <w:jc w:val="center"/>
      </w:pPr>
    </w:p>
    <w:p w14:paraId="6F34B203">
      <w:pPr>
        <w:jc w:val="center"/>
      </w:pPr>
    </w:p>
    <w:p w14:paraId="539E1E6A">
      <w:pPr>
        <w:jc w:val="center"/>
      </w:pPr>
    </w:p>
    <w:p w14:paraId="7401B620">
      <w:pPr>
        <w:jc w:val="center"/>
      </w:pPr>
    </w:p>
    <w:p w14:paraId="00B4DFDE">
      <w:pPr>
        <w:jc w:val="center"/>
      </w:pPr>
    </w:p>
    <w:p w14:paraId="35FCED0A">
      <w:pPr>
        <w:jc w:val="center"/>
      </w:pPr>
    </w:p>
    <w:p w14:paraId="431E649D">
      <w:pPr>
        <w:jc w:val="center"/>
      </w:pPr>
    </w:p>
    <w:p w14:paraId="0006A106">
      <w:pPr>
        <w:jc w:val="center"/>
      </w:pPr>
    </w:p>
    <w:p w14:paraId="195C0952">
      <w:pPr>
        <w:jc w:val="center"/>
      </w:pPr>
    </w:p>
    <w:p w14:paraId="7ADE53B9">
      <w:pPr>
        <w:jc w:val="center"/>
      </w:pPr>
    </w:p>
    <w:p w14:paraId="3E3ECBE6">
      <w:pPr>
        <w:jc w:val="center"/>
      </w:pPr>
    </w:p>
    <w:p w14:paraId="0A21095B">
      <w:pPr>
        <w:jc w:val="center"/>
      </w:pPr>
    </w:p>
    <w:p w14:paraId="30709085">
      <w:pPr>
        <w:jc w:val="center"/>
        <w:rPr>
          <w:rFonts w:ascii="迷你简小标宋" w:hAnsi="宋体" w:eastAsia="迷你简小标宋"/>
          <w:w w:val="90"/>
          <w:sz w:val="44"/>
          <w:szCs w:val="44"/>
        </w:rPr>
      </w:pPr>
      <w:r>
        <w:rPr>
          <w:rFonts w:hint="eastAsia" w:ascii="迷你简小标宋" w:hAnsi="宋体" w:eastAsia="迷你简小标宋"/>
          <w:w w:val="90"/>
          <w:sz w:val="44"/>
          <w:szCs w:val="44"/>
        </w:rPr>
        <w:t>《</w:t>
      </w:r>
      <w:r>
        <w:rPr>
          <w:rFonts w:hint="eastAsia" w:ascii="迷你简小标宋" w:hAnsi="宋体" w:eastAsia="迷你简小标宋"/>
          <w:w w:val="90"/>
          <w:sz w:val="44"/>
          <w:szCs w:val="44"/>
          <w:lang w:val="en-US" w:eastAsia="zh-CN"/>
        </w:rPr>
        <w:t>模块化防窃电能计量箱</w:t>
      </w:r>
      <w:r>
        <w:rPr>
          <w:rFonts w:hint="eastAsia" w:ascii="迷你简小标宋" w:hAnsi="宋体" w:eastAsia="迷你简小标宋"/>
          <w:w w:val="90"/>
          <w:sz w:val="44"/>
          <w:szCs w:val="44"/>
        </w:rPr>
        <w:t>》</w:t>
      </w:r>
    </w:p>
    <w:p w14:paraId="69651B73">
      <w:pPr>
        <w:jc w:val="center"/>
        <w:rPr>
          <w:rFonts w:ascii="迷你简小标宋" w:hAnsi="宋体" w:eastAsia="迷你简小标宋"/>
          <w:sz w:val="44"/>
          <w:szCs w:val="44"/>
        </w:rPr>
      </w:pPr>
    </w:p>
    <w:p w14:paraId="66DB0283">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7AFC3F77">
      <w:pPr>
        <w:jc w:val="center"/>
      </w:pPr>
    </w:p>
    <w:p w14:paraId="3A1BBD4E">
      <w:pPr>
        <w:jc w:val="center"/>
      </w:pPr>
    </w:p>
    <w:p w14:paraId="553A2397">
      <w:pPr>
        <w:jc w:val="center"/>
      </w:pPr>
    </w:p>
    <w:p w14:paraId="327431EC">
      <w:pPr>
        <w:jc w:val="center"/>
      </w:pPr>
    </w:p>
    <w:p w14:paraId="2EABEAF3">
      <w:pPr>
        <w:jc w:val="center"/>
      </w:pPr>
    </w:p>
    <w:p w14:paraId="1461394E">
      <w:pPr>
        <w:jc w:val="center"/>
      </w:pPr>
    </w:p>
    <w:p w14:paraId="70E034AF">
      <w:pPr>
        <w:jc w:val="center"/>
      </w:pPr>
    </w:p>
    <w:p w14:paraId="64520520">
      <w:pPr>
        <w:jc w:val="center"/>
      </w:pPr>
    </w:p>
    <w:p w14:paraId="399B77AA">
      <w:pPr>
        <w:jc w:val="center"/>
      </w:pPr>
    </w:p>
    <w:p w14:paraId="1C4A82D6">
      <w:pPr>
        <w:jc w:val="center"/>
      </w:pPr>
    </w:p>
    <w:p w14:paraId="718A098E">
      <w:pPr>
        <w:jc w:val="center"/>
      </w:pPr>
    </w:p>
    <w:p w14:paraId="579D872B">
      <w:pPr>
        <w:jc w:val="center"/>
      </w:pPr>
    </w:p>
    <w:p w14:paraId="51575CC1">
      <w:pPr>
        <w:jc w:val="center"/>
      </w:pPr>
    </w:p>
    <w:p w14:paraId="1F8E33AE">
      <w:pPr>
        <w:jc w:val="center"/>
      </w:pPr>
    </w:p>
    <w:p w14:paraId="2D614C57">
      <w:pPr>
        <w:jc w:val="center"/>
      </w:pPr>
    </w:p>
    <w:p w14:paraId="08BA6CF1">
      <w:pPr>
        <w:jc w:val="center"/>
      </w:pPr>
    </w:p>
    <w:p w14:paraId="72F20A07">
      <w:pPr>
        <w:jc w:val="center"/>
        <w:rPr>
          <w:rFonts w:ascii="宋体" w:hAnsi="宋体" w:eastAsia="宋体"/>
          <w:sz w:val="28"/>
          <w:szCs w:val="28"/>
        </w:rPr>
      </w:pPr>
      <w:r>
        <w:rPr>
          <w:rFonts w:hint="eastAsia" w:ascii="宋体" w:hAnsi="宋体" w:eastAsia="宋体"/>
          <w:sz w:val="28"/>
          <w:szCs w:val="28"/>
        </w:rPr>
        <w:t xml:space="preserve">团标制定工作组 </w:t>
      </w:r>
    </w:p>
    <w:p w14:paraId="4A779C63">
      <w:pPr>
        <w:jc w:val="center"/>
        <w:rPr>
          <w:rFonts w:ascii="宋体" w:hAnsi="宋体" w:eastAsia="宋体"/>
          <w:sz w:val="28"/>
          <w:szCs w:val="28"/>
        </w:rPr>
      </w:pPr>
    </w:p>
    <w:p w14:paraId="69B766E4">
      <w:pPr>
        <w:jc w:val="center"/>
        <w:rPr>
          <w:rFonts w:ascii="宋体" w:hAnsi="宋体" w:eastAsia="宋体"/>
          <w:sz w:val="28"/>
          <w:szCs w:val="28"/>
        </w:rPr>
      </w:pPr>
      <w:r>
        <w:rPr>
          <w:rFonts w:hint="eastAsia" w:ascii="宋体" w:hAnsi="宋体" w:eastAsia="宋体"/>
          <w:sz w:val="28"/>
          <w:szCs w:val="28"/>
        </w:rPr>
        <w:t>二零二</w:t>
      </w:r>
      <w:r>
        <w:rPr>
          <w:rFonts w:hint="eastAsia" w:ascii="宋体" w:hAnsi="宋体" w:eastAsia="宋体"/>
          <w:sz w:val="28"/>
          <w:szCs w:val="28"/>
          <w:lang w:val="en-US" w:eastAsia="zh-CN"/>
        </w:rPr>
        <w:t>五</w:t>
      </w:r>
      <w:r>
        <w:rPr>
          <w:rFonts w:hint="eastAsia" w:ascii="宋体" w:hAnsi="宋体" w:eastAsia="宋体"/>
          <w:sz w:val="28"/>
          <w:szCs w:val="28"/>
        </w:rPr>
        <w:t>年</w:t>
      </w:r>
      <w:r>
        <w:rPr>
          <w:rFonts w:hint="eastAsia" w:ascii="宋体" w:hAnsi="宋体" w:eastAsia="宋体"/>
          <w:sz w:val="28"/>
          <w:szCs w:val="28"/>
          <w:lang w:val="en-US" w:eastAsia="zh-CN"/>
        </w:rPr>
        <w:t>四</w:t>
      </w:r>
      <w:r>
        <w:rPr>
          <w:rFonts w:hint="eastAsia" w:ascii="宋体" w:hAnsi="宋体" w:eastAsia="宋体"/>
          <w:sz w:val="28"/>
          <w:szCs w:val="28"/>
        </w:rPr>
        <w:t>月</w:t>
      </w:r>
    </w:p>
    <w:p w14:paraId="3BF32C5E">
      <w:pPr>
        <w:jc w:val="center"/>
        <w:rPr>
          <w:rFonts w:ascii="宋体" w:hAnsi="宋体" w:eastAsia="宋体"/>
          <w:sz w:val="28"/>
          <w:szCs w:val="28"/>
        </w:rPr>
      </w:pPr>
    </w:p>
    <w:p w14:paraId="7AF9EF6E">
      <w:pPr>
        <w:jc w:val="center"/>
        <w:rPr>
          <w:rFonts w:ascii="宋体" w:hAnsi="宋体" w:eastAsia="宋体"/>
          <w:sz w:val="28"/>
          <w:szCs w:val="28"/>
        </w:rPr>
      </w:pPr>
    </w:p>
    <w:p w14:paraId="616354A2">
      <w:pPr>
        <w:jc w:val="center"/>
        <w:rPr>
          <w:rFonts w:ascii="宋体" w:hAnsi="宋体" w:eastAsia="宋体"/>
          <w:sz w:val="28"/>
          <w:szCs w:val="28"/>
        </w:rPr>
      </w:pPr>
    </w:p>
    <w:p w14:paraId="70875990">
      <w:pPr>
        <w:jc w:val="center"/>
        <w:rPr>
          <w:rFonts w:ascii="宋体" w:hAnsi="宋体" w:eastAsia="宋体"/>
          <w:sz w:val="28"/>
          <w:szCs w:val="28"/>
        </w:rPr>
      </w:pPr>
    </w:p>
    <w:p w14:paraId="44B6B4BD">
      <w:pPr>
        <w:jc w:val="center"/>
        <w:rPr>
          <w:rFonts w:ascii="宋体" w:hAnsi="宋体" w:eastAsia="宋体"/>
          <w:sz w:val="28"/>
          <w:szCs w:val="28"/>
        </w:rPr>
      </w:pPr>
    </w:p>
    <w:p w14:paraId="3AB2A67D">
      <w:pPr>
        <w:jc w:val="center"/>
        <w:rPr>
          <w:rFonts w:ascii="宋体" w:hAnsi="宋体" w:eastAsia="宋体"/>
          <w:sz w:val="28"/>
          <w:szCs w:val="28"/>
        </w:rPr>
      </w:pPr>
    </w:p>
    <w:p w14:paraId="7D1A3655">
      <w:pPr>
        <w:pStyle w:val="2"/>
        <w:widowControl/>
        <w:spacing w:line="360" w:lineRule="auto"/>
        <w:ind w:left="0"/>
        <w:jc w:val="both"/>
        <w:rPr>
          <w:rFonts w:hint="eastAsia" w:ascii="宋体" w:hAnsi="宋体" w:eastAsia="宋体" w:cs="宋体"/>
          <w:b/>
          <w:bCs/>
          <w:sz w:val="28"/>
          <w:szCs w:val="28"/>
        </w:rPr>
      </w:pPr>
      <w:r>
        <w:rPr>
          <w:rFonts w:hint="eastAsia" w:ascii="宋体" w:hAnsi="宋体" w:eastAsia="宋体" w:cs="宋体"/>
          <w:b/>
          <w:bCs/>
          <w:sz w:val="28"/>
          <w:szCs w:val="28"/>
        </w:rPr>
        <w:t>一、工作简况</w:t>
      </w:r>
    </w:p>
    <w:p w14:paraId="5B2AA26D">
      <w:pPr>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sz w:val="28"/>
          <w:szCs w:val="28"/>
        </w:rPr>
      </w:pPr>
      <w:r>
        <w:rPr>
          <w:rFonts w:hint="eastAsia" w:ascii="宋体" w:hAnsi="宋体" w:eastAsia="宋体" w:cs="宋体"/>
          <w:b/>
          <w:bCs w:val="0"/>
          <w:kern w:val="0"/>
          <w:sz w:val="28"/>
          <w:szCs w:val="28"/>
          <w:lang w:val="en-US" w:eastAsia="zh-CN" w:bidi="ar"/>
        </w:rPr>
        <w:t>（一）任务来源</w:t>
      </w:r>
    </w:p>
    <w:p w14:paraId="72B5AD8B">
      <w:pPr>
        <w:keepNext w:val="0"/>
        <w:keepLines w:val="0"/>
        <w:widowControl w:val="0"/>
        <w:suppressLineNumbers w:val="0"/>
        <w:autoSpaceDE w:val="0"/>
        <w:autoSpaceDN w:val="0"/>
        <w:spacing w:before="0" w:beforeAutospacing="0" w:after="0" w:afterAutospacing="0" w:line="360" w:lineRule="auto"/>
        <w:ind w:left="0" w:right="0" w:firstLine="560" w:firstLineChars="200"/>
        <w:jc w:val="both"/>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根据2020年全国标准化工作要点，大力推动实施标准化战略，持续深化标准化工作改革，加强标准体系建设，提升引领高质量发展的能力。依据《中华人民标准化法》，以及《团体标准管理规定》相关规定，中国中小企业协会决定立项并联合万沙电气有限公司等相关单位共同制定《模块化防窃电能计量箱》团体标准。于2025年04月10日，中国中小企业协会发布了《模块化防窃电能计量箱》团体标准立项通知，正式立项。为响应市场需求，需要制定完善的模块化防窃电能计量箱，满足市场对具备物联功能的电能计量箱的要求。</w:t>
      </w:r>
    </w:p>
    <w:p w14:paraId="69634EDD">
      <w:pPr>
        <w:pStyle w:val="2"/>
        <w:widowControl/>
        <w:spacing w:line="360" w:lineRule="auto"/>
        <w:ind w:left="0"/>
        <w:jc w:val="both"/>
        <w:rPr>
          <w:rFonts w:hint="eastAsia" w:ascii="宋体" w:hAnsi="宋体" w:eastAsia="宋体" w:cs="宋体"/>
          <w:b/>
          <w:bCs/>
          <w:sz w:val="28"/>
          <w:szCs w:val="28"/>
        </w:rPr>
      </w:pPr>
      <w:r>
        <w:rPr>
          <w:rFonts w:hint="eastAsia" w:ascii="宋体" w:hAnsi="宋体" w:eastAsia="宋体" w:cs="宋体"/>
          <w:b/>
          <w:bCs/>
          <w:sz w:val="28"/>
          <w:szCs w:val="28"/>
        </w:rPr>
        <w:t>（二）编制背景及目的</w:t>
      </w:r>
    </w:p>
    <w:p w14:paraId="0E5CB9B6">
      <w:pPr>
        <w:keepNext w:val="0"/>
        <w:keepLines w:val="0"/>
        <w:widowControl w:val="0"/>
        <w:suppressLineNumbers w:val="0"/>
        <w:autoSpaceDE w:val="0"/>
        <w:autoSpaceDN w:val="0"/>
        <w:spacing w:before="0" w:beforeAutospacing="0" w:after="0" w:afterAutospacing="0" w:line="360" w:lineRule="auto"/>
        <w:ind w:left="0" w:right="0" w:firstLine="560" w:firstLineChars="200"/>
        <w:jc w:val="both"/>
        <w:rPr>
          <w:rFonts w:hint="default"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窃电行为长期存在且技术手段不断升级，如通过强磁场干扰、伪造封印、远程控制等方式非法篡改计量数据。据统计，全国每年因窃电造成的经济损失超百亿元，且呈现隐蔽性强、查处难度大的特点。传统计量箱依赖物理封印和人工巡检，难以应对新型窃电手段，导致供电企业面临巨大经济损失和电网安全风险。《模块化防窃电能计量箱》团体标准的编制是应对窃电技术升级、推动行业智能化转型的关键举措。通过标准化防窃电技术、模块化设计和数据安全规范，该标准将提升电网可靠性、降低运维成本、促进产业协同，并为全球能源互联网建设提供中国方案。其实施不仅能有效遏制窃电行为，更将推动电能计量设备从“单一计量”向“智能服务”转型，为“双碳”目标和新型电力系统建设提供坚实支撑。</w:t>
      </w:r>
    </w:p>
    <w:p w14:paraId="11BE270D">
      <w:pPr>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sz w:val="28"/>
          <w:szCs w:val="28"/>
        </w:rPr>
      </w:pPr>
      <w:r>
        <w:rPr>
          <w:rFonts w:hint="eastAsia" w:ascii="宋体" w:hAnsi="宋体" w:eastAsia="宋体" w:cs="宋体"/>
          <w:b/>
          <w:bCs w:val="0"/>
          <w:kern w:val="0"/>
          <w:sz w:val="28"/>
          <w:szCs w:val="28"/>
          <w:lang w:val="en-US" w:eastAsia="zh-CN" w:bidi="ar"/>
        </w:rPr>
        <w:t>（三）编制过程</w:t>
      </w:r>
    </w:p>
    <w:p w14:paraId="4FA603F6">
      <w:pPr>
        <w:pStyle w:val="3"/>
        <w:widowControl/>
        <w:spacing w:before="0" w:beforeAutospacing="1" w:after="0" w:afterAutospacing="1" w:line="360" w:lineRule="auto"/>
        <w:ind w:left="0" w:right="0" w:firstLine="560" w:firstLineChars="200"/>
        <w:jc w:val="both"/>
        <w:rPr>
          <w:rFonts w:hint="eastAsia" w:ascii="宋体" w:hAnsi="宋体" w:eastAsia="宋体" w:cs="宋体"/>
          <w:sz w:val="28"/>
          <w:szCs w:val="28"/>
        </w:rPr>
      </w:pPr>
      <w:r>
        <w:rPr>
          <w:rFonts w:hint="eastAsia" w:ascii="宋体" w:hAnsi="宋体" w:eastAsia="宋体" w:cs="宋体"/>
          <w:sz w:val="28"/>
          <w:szCs w:val="28"/>
        </w:rPr>
        <w:t>1、项目立项阶段</w:t>
      </w:r>
    </w:p>
    <w:p w14:paraId="39CB49BB">
      <w:pPr>
        <w:pStyle w:val="3"/>
        <w:widowControl/>
        <w:spacing w:before="0" w:beforeAutospacing="1" w:after="0" w:afterAutospacing="1" w:line="360" w:lineRule="auto"/>
        <w:ind w:left="0" w:right="0" w:firstLine="559"/>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随着电力行业及科学技术的发展，电能计量箱的生产和应用越来越广泛，同时对于新技术融合的需求也越来越强烈。模块化防窃电计量箱通过模块化设计和防窃电措施，确保电力计量的准确性和安全性。其主要构成包括箱体、功能分区、模块化预安装接头、电能表和安防设备。箱体提供物理保护，功能分区便于管理和维护，模块化预安装接头提高安装效率，电能表用于计量电能，安防设备防止非法开启和窃电行为。应用场景上，适用于低压配电装置中的电能计量，可有效防止窃电行为，保障电力供应的安全和稳定。户外模块化防窃电电能计量箱适用于户外环境，具有较高的防护等级，能够适应不同的气候条件。作为智能电网的一部分，可以通过远程监控和数据传输，实现对电力计量的实时监测和管理。通过制定《模块化防窃电能计量箱》团体标准，能够明确其功能要求、性能指标、试验方法等，规范企业的生产行为，防止低质量、不合格产品进入市场，有助于营造公平竞争的市场环境，促进模块化防窃电能计量箱市场的健康有序发展。同时会对相关新技术进行研究和规范，引导企业加大技术创新投入，推动模块化防窃电能计量箱技术的不断进步，提高整个行业的技术水平。</w:t>
      </w:r>
    </w:p>
    <w:p w14:paraId="00F458C5">
      <w:pPr>
        <w:pStyle w:val="3"/>
        <w:widowControl/>
        <w:spacing w:before="0" w:beforeAutospacing="1" w:after="0" w:afterAutospacing="1" w:line="360" w:lineRule="auto"/>
        <w:ind w:left="0" w:right="0" w:firstLine="559"/>
        <w:jc w:val="both"/>
        <w:rPr>
          <w:rFonts w:hint="eastAsia" w:ascii="宋体" w:hAnsi="宋体" w:eastAsia="宋体" w:cs="宋体"/>
          <w:sz w:val="28"/>
          <w:szCs w:val="28"/>
        </w:rPr>
      </w:pPr>
      <w:r>
        <w:rPr>
          <w:rFonts w:hint="eastAsia" w:ascii="宋体" w:hAnsi="宋体" w:eastAsia="宋体" w:cs="宋体"/>
          <w:sz w:val="28"/>
          <w:szCs w:val="28"/>
        </w:rPr>
        <w:t>鉴于以上原因，标准起草组参考了</w:t>
      </w:r>
      <w:r>
        <w:rPr>
          <w:rFonts w:hint="eastAsia" w:cs="宋体"/>
          <w:sz w:val="28"/>
          <w:szCs w:val="28"/>
          <w:lang w:eastAsia="zh-CN"/>
        </w:rPr>
        <w:t>万沙电气有限公司</w:t>
      </w:r>
      <w:r>
        <w:rPr>
          <w:rFonts w:hint="eastAsia" w:ascii="宋体" w:hAnsi="宋体" w:eastAsia="宋体" w:cs="宋体"/>
          <w:sz w:val="28"/>
          <w:szCs w:val="28"/>
        </w:rPr>
        <w:t>的</w:t>
      </w:r>
      <w:r>
        <w:rPr>
          <w:rFonts w:hint="eastAsia" w:cs="宋体"/>
          <w:sz w:val="28"/>
          <w:szCs w:val="28"/>
          <w:lang w:val="en-US" w:eastAsia="zh-CN"/>
        </w:rPr>
        <w:t>模块化防窃电能计量箱</w:t>
      </w:r>
      <w:r>
        <w:rPr>
          <w:rFonts w:hint="eastAsia" w:ascii="宋体" w:hAnsi="宋体" w:eastAsia="宋体" w:cs="宋体"/>
          <w:sz w:val="28"/>
          <w:szCs w:val="28"/>
        </w:rPr>
        <w:t>的</w:t>
      </w:r>
      <w:r>
        <w:rPr>
          <w:rFonts w:hint="eastAsia" w:cs="宋体"/>
          <w:sz w:val="28"/>
          <w:szCs w:val="28"/>
          <w:lang w:val="en-US" w:eastAsia="zh-CN"/>
        </w:rPr>
        <w:t>产品</w:t>
      </w:r>
      <w:r>
        <w:rPr>
          <w:rFonts w:hint="eastAsia" w:ascii="宋体" w:hAnsi="宋体" w:eastAsia="宋体" w:cs="宋体"/>
          <w:sz w:val="28"/>
          <w:szCs w:val="28"/>
        </w:rPr>
        <w:t>提出立项。</w:t>
      </w:r>
    </w:p>
    <w:p w14:paraId="1ADF89F3">
      <w:pPr>
        <w:pStyle w:val="3"/>
        <w:widowControl/>
        <w:spacing w:before="0" w:beforeAutospacing="1" w:after="0" w:afterAutospacing="1" w:line="360" w:lineRule="auto"/>
        <w:ind w:left="567" w:right="0"/>
        <w:jc w:val="both"/>
        <w:rPr>
          <w:rFonts w:hint="eastAsia" w:ascii="宋体" w:hAnsi="宋体" w:eastAsia="宋体" w:cs="宋体"/>
          <w:sz w:val="28"/>
          <w:szCs w:val="28"/>
        </w:rPr>
      </w:pPr>
      <w:r>
        <w:rPr>
          <w:rFonts w:hint="eastAsia" w:ascii="宋体" w:hAnsi="宋体" w:eastAsia="宋体" w:cs="宋体"/>
          <w:sz w:val="28"/>
          <w:szCs w:val="28"/>
        </w:rPr>
        <w:t>2、理论研究阶段</w:t>
      </w:r>
    </w:p>
    <w:p w14:paraId="5F906392">
      <w:pPr>
        <w:pStyle w:val="3"/>
        <w:widowControl/>
        <w:spacing w:before="0" w:beforeAutospacing="1" w:after="0" w:afterAutospacing="1" w:line="360" w:lineRule="auto"/>
        <w:ind w:left="0" w:right="0" w:firstLine="559"/>
        <w:jc w:val="both"/>
        <w:rPr>
          <w:rFonts w:hint="eastAsia" w:ascii="宋体" w:hAnsi="宋体" w:eastAsia="宋体" w:cs="宋体"/>
          <w:sz w:val="28"/>
          <w:szCs w:val="28"/>
        </w:rPr>
      </w:pPr>
      <w:r>
        <w:rPr>
          <w:rFonts w:hint="eastAsia" w:ascii="宋体" w:hAnsi="宋体" w:eastAsia="宋体" w:cs="宋体"/>
          <w:spacing w:val="-3"/>
          <w:sz w:val="28"/>
          <w:szCs w:val="28"/>
        </w:rPr>
        <w:t>标准起草组成立伊始就</w:t>
      </w:r>
      <w:r>
        <w:rPr>
          <w:rFonts w:hint="eastAsia" w:cs="宋体"/>
          <w:spacing w:val="-3"/>
          <w:sz w:val="28"/>
          <w:szCs w:val="28"/>
          <w:lang w:val="en-US" w:eastAsia="zh-CN"/>
        </w:rPr>
        <w:t>模块化防窃电能计量箱</w:t>
      </w:r>
      <w:r>
        <w:rPr>
          <w:rFonts w:hint="eastAsia" w:ascii="宋体" w:hAnsi="宋体" w:eastAsia="宋体" w:cs="宋体"/>
          <w:spacing w:val="-3"/>
          <w:sz w:val="28"/>
          <w:szCs w:val="28"/>
        </w:rPr>
        <w:t>现状进行了深入的调查研</w:t>
      </w:r>
      <w:r>
        <w:rPr>
          <w:rFonts w:hint="eastAsia" w:ascii="宋体" w:hAnsi="宋体" w:eastAsia="宋体" w:cs="宋体"/>
          <w:spacing w:val="-4"/>
          <w:sz w:val="28"/>
          <w:szCs w:val="28"/>
        </w:rPr>
        <w:t>究，同时广泛搜集相关标准和国外技术资料，进行了大量的研究分析、资料查证工作，确定了标准的制定原则，结合现有</w:t>
      </w:r>
      <w:r>
        <w:rPr>
          <w:rFonts w:hint="eastAsia" w:cs="宋体"/>
          <w:spacing w:val="-3"/>
          <w:sz w:val="28"/>
          <w:szCs w:val="28"/>
          <w:lang w:val="en-US" w:eastAsia="zh-CN"/>
        </w:rPr>
        <w:t>模块化防窃电能计量箱</w:t>
      </w:r>
      <w:r>
        <w:rPr>
          <w:rFonts w:hint="eastAsia" w:ascii="宋体" w:hAnsi="宋体" w:eastAsia="宋体" w:cs="宋体"/>
          <w:spacing w:val="-3"/>
          <w:sz w:val="28"/>
          <w:szCs w:val="28"/>
        </w:rPr>
        <w:t>实际应用经验，为标准的起草奠定了基础。</w:t>
      </w:r>
    </w:p>
    <w:p w14:paraId="41FF4565">
      <w:pPr>
        <w:pStyle w:val="3"/>
        <w:widowControl/>
        <w:spacing w:before="0" w:beforeAutospacing="1" w:after="0" w:afterAutospacing="1" w:line="360" w:lineRule="auto"/>
        <w:ind w:left="0" w:right="0" w:firstLine="559"/>
        <w:jc w:val="both"/>
        <w:rPr>
          <w:rFonts w:hint="eastAsia" w:ascii="宋体" w:hAnsi="宋体" w:eastAsia="宋体" w:cs="宋体"/>
          <w:sz w:val="28"/>
          <w:szCs w:val="28"/>
        </w:rPr>
      </w:pPr>
      <w:r>
        <w:rPr>
          <w:rFonts w:hint="eastAsia" w:ascii="宋体" w:hAnsi="宋体" w:eastAsia="宋体" w:cs="宋体"/>
          <w:sz w:val="28"/>
          <w:szCs w:val="28"/>
        </w:rPr>
        <w:t>标准起草组进一步研究了</w:t>
      </w:r>
      <w:r>
        <w:rPr>
          <w:rFonts w:hint="eastAsia" w:cs="宋体"/>
          <w:spacing w:val="-3"/>
          <w:sz w:val="28"/>
          <w:szCs w:val="28"/>
          <w:lang w:val="en-US" w:eastAsia="zh-CN"/>
        </w:rPr>
        <w:t>模块化防窃电能计量箱</w:t>
      </w:r>
      <w:r>
        <w:rPr>
          <w:rFonts w:hint="eastAsia" w:ascii="宋体" w:hAnsi="宋体" w:eastAsia="宋体" w:cs="宋体"/>
          <w:sz w:val="28"/>
          <w:szCs w:val="28"/>
        </w:rPr>
        <w:t>的技术与管理，明确了</w:t>
      </w:r>
      <w:r>
        <w:rPr>
          <w:rFonts w:hint="eastAsia" w:cs="宋体"/>
          <w:sz w:val="28"/>
          <w:szCs w:val="28"/>
          <w:lang w:val="en-US" w:eastAsia="zh-CN"/>
        </w:rPr>
        <w:t>技术要求</w:t>
      </w:r>
      <w:r>
        <w:rPr>
          <w:rFonts w:hint="eastAsia" w:ascii="宋体" w:hAnsi="宋体" w:eastAsia="宋体" w:cs="宋体"/>
          <w:sz w:val="28"/>
          <w:szCs w:val="28"/>
        </w:rPr>
        <w:t>，为标准的具体起草指明方向。</w:t>
      </w:r>
    </w:p>
    <w:p w14:paraId="79460FAC">
      <w:pPr>
        <w:pStyle w:val="3"/>
        <w:widowControl/>
        <w:spacing w:before="0" w:beforeAutospacing="1" w:after="0" w:afterAutospacing="1" w:line="360" w:lineRule="auto"/>
        <w:ind w:left="567" w:right="0"/>
        <w:jc w:val="both"/>
        <w:rPr>
          <w:rFonts w:hint="eastAsia" w:ascii="宋体" w:hAnsi="宋体" w:eastAsia="宋体" w:cs="宋体"/>
          <w:sz w:val="28"/>
          <w:szCs w:val="28"/>
        </w:rPr>
      </w:pPr>
      <w:r>
        <w:rPr>
          <w:rFonts w:hint="eastAsia" w:ascii="宋体" w:hAnsi="宋体" w:eastAsia="宋体" w:cs="宋体"/>
          <w:sz w:val="28"/>
          <w:szCs w:val="28"/>
        </w:rPr>
        <w:t>3、标准起草阶段</w:t>
      </w:r>
    </w:p>
    <w:p w14:paraId="11AE4D99">
      <w:pPr>
        <w:pStyle w:val="3"/>
        <w:widowControl/>
        <w:spacing w:before="0" w:beforeAutospacing="1" w:after="0" w:afterAutospacing="1" w:line="360" w:lineRule="auto"/>
        <w:ind w:left="0" w:right="0" w:firstLine="559"/>
        <w:jc w:val="both"/>
        <w:rPr>
          <w:rFonts w:hint="eastAsia" w:ascii="宋体" w:hAnsi="宋体" w:eastAsia="宋体" w:cs="宋体"/>
          <w:spacing w:val="-3"/>
          <w:sz w:val="28"/>
          <w:szCs w:val="28"/>
        </w:rPr>
      </w:pPr>
      <w:r>
        <w:rPr>
          <w:rFonts w:hint="eastAsia" w:ascii="宋体" w:hAnsi="宋体" w:eastAsia="宋体" w:cs="宋体"/>
          <w:sz w:val="28"/>
          <w:szCs w:val="28"/>
        </w:rPr>
        <w:t>在理论研究基础上，起草组在标准编制过程中充分借鉴已有的理论研究和实践成果，基于</w:t>
      </w:r>
      <w:r>
        <w:rPr>
          <w:rFonts w:hint="eastAsia" w:cs="宋体"/>
          <w:sz w:val="28"/>
          <w:szCs w:val="28"/>
          <w:lang w:eastAsia="zh-CN"/>
        </w:rPr>
        <w:t>我国基本国情</w:t>
      </w:r>
      <w:r>
        <w:rPr>
          <w:rFonts w:hint="eastAsia" w:ascii="宋体" w:hAnsi="宋体" w:eastAsia="宋体" w:cs="宋体"/>
          <w:sz w:val="28"/>
          <w:szCs w:val="28"/>
        </w:rPr>
        <w:t>，经过数次修改，形成了</w:t>
      </w:r>
      <w:r>
        <w:rPr>
          <w:rFonts w:hint="eastAsia" w:ascii="宋体" w:hAnsi="宋体" w:eastAsia="宋体" w:cs="宋体"/>
          <w:spacing w:val="-3"/>
          <w:sz w:val="28"/>
          <w:szCs w:val="28"/>
        </w:rPr>
        <w:t>《</w:t>
      </w:r>
      <w:r>
        <w:rPr>
          <w:rFonts w:hint="eastAsia" w:cs="宋体"/>
          <w:color w:val="000000"/>
          <w:sz w:val="28"/>
          <w:szCs w:val="28"/>
          <w:lang w:eastAsia="zh-CN"/>
        </w:rPr>
        <w:t>模块化防窃电能计量箱</w:t>
      </w:r>
      <w:r>
        <w:rPr>
          <w:rFonts w:hint="eastAsia" w:ascii="宋体" w:hAnsi="宋体" w:eastAsia="宋体" w:cs="宋体"/>
          <w:spacing w:val="-3"/>
          <w:sz w:val="28"/>
          <w:szCs w:val="28"/>
        </w:rPr>
        <w:t>》标准草案稿。</w:t>
      </w:r>
    </w:p>
    <w:p w14:paraId="741E8CD4">
      <w:pPr>
        <w:pStyle w:val="3"/>
        <w:widowControl/>
        <w:spacing w:before="0" w:beforeAutospacing="1" w:after="0" w:afterAutospacing="1" w:line="360" w:lineRule="auto"/>
        <w:ind w:left="0" w:right="0" w:firstLine="559"/>
        <w:jc w:val="both"/>
        <w:rPr>
          <w:rFonts w:hint="eastAsia" w:ascii="宋体" w:hAnsi="宋体" w:eastAsia="宋体" w:cs="宋体"/>
          <w:sz w:val="28"/>
          <w:szCs w:val="28"/>
        </w:rPr>
      </w:pPr>
      <w:r>
        <w:rPr>
          <w:rFonts w:hint="eastAsia" w:ascii="宋体" w:hAnsi="宋体" w:eastAsia="宋体" w:cs="宋体"/>
          <w:spacing w:val="-3"/>
          <w:sz w:val="28"/>
          <w:szCs w:val="28"/>
        </w:rPr>
        <w:t>4、标准征求意见阶段</w:t>
      </w:r>
    </w:p>
    <w:p w14:paraId="046AEBE3">
      <w:pPr>
        <w:pStyle w:val="3"/>
        <w:widowControl/>
        <w:spacing w:before="0" w:beforeAutospacing="1" w:after="0" w:afterAutospacing="1" w:line="360" w:lineRule="auto"/>
        <w:ind w:left="0" w:right="0" w:firstLine="559"/>
        <w:jc w:val="both"/>
        <w:rPr>
          <w:rFonts w:hint="eastAsia" w:ascii="宋体" w:hAnsi="宋体" w:eastAsia="宋体" w:cs="宋体"/>
          <w:sz w:val="28"/>
          <w:szCs w:val="28"/>
          <w:lang w:eastAsia="zh-CN"/>
        </w:rPr>
      </w:pPr>
      <w:r>
        <w:rPr>
          <w:rFonts w:hint="eastAsia" w:ascii="宋体" w:hAnsi="宋体" w:eastAsia="宋体" w:cs="宋体"/>
          <w:spacing w:val="-3"/>
          <w:sz w:val="28"/>
          <w:szCs w:val="28"/>
        </w:rPr>
        <w:t>形成标准草案稿之后，起草组召开了多次专家研讨会，从标准框架、标准起草等角度广泛征求多方意见，从理论完善和实践应用方面提升标准的适用性和实用性。经过理论研究和方法验证，明确</w:t>
      </w:r>
      <w:r>
        <w:rPr>
          <w:rFonts w:hint="eastAsia" w:ascii="宋体" w:hAnsi="宋体" w:eastAsia="宋体" w:cs="宋体"/>
          <w:spacing w:val="-9"/>
          <w:sz w:val="28"/>
          <w:szCs w:val="28"/>
        </w:rPr>
        <w:t>和规范</w:t>
      </w:r>
      <w:r>
        <w:rPr>
          <w:rFonts w:hint="eastAsia" w:cs="宋体"/>
          <w:color w:val="000000"/>
          <w:sz w:val="28"/>
          <w:szCs w:val="28"/>
          <w:lang w:val="en-US" w:eastAsia="zh-CN"/>
        </w:rPr>
        <w:t>模块化防窃电能计量箱相关</w:t>
      </w:r>
      <w:r>
        <w:rPr>
          <w:rFonts w:hint="eastAsia" w:ascii="宋体" w:hAnsi="宋体" w:eastAsia="宋体" w:cs="宋体"/>
          <w:color w:val="000000"/>
          <w:sz w:val="28"/>
          <w:szCs w:val="28"/>
        </w:rPr>
        <w:t>技术</w:t>
      </w:r>
      <w:r>
        <w:rPr>
          <w:rFonts w:hint="eastAsia" w:cs="宋体"/>
          <w:color w:val="000000"/>
          <w:sz w:val="28"/>
          <w:szCs w:val="28"/>
          <w:lang w:val="en-US" w:eastAsia="zh-CN"/>
        </w:rPr>
        <w:t>要求</w:t>
      </w:r>
      <w:r>
        <w:rPr>
          <w:rFonts w:hint="eastAsia" w:ascii="宋体" w:hAnsi="宋体" w:eastAsia="宋体" w:cs="宋体"/>
          <w:spacing w:val="-9"/>
          <w:sz w:val="28"/>
          <w:szCs w:val="28"/>
        </w:rPr>
        <w:t>。起草组形成了《</w:t>
      </w:r>
      <w:r>
        <w:rPr>
          <w:rFonts w:hint="eastAsia" w:cs="宋体"/>
          <w:color w:val="000000"/>
          <w:sz w:val="28"/>
          <w:szCs w:val="28"/>
          <w:lang w:eastAsia="zh-CN"/>
        </w:rPr>
        <w:t>模块化防窃电能计量箱</w:t>
      </w:r>
      <w:r>
        <w:rPr>
          <w:rFonts w:hint="eastAsia" w:ascii="宋体" w:hAnsi="宋体" w:eastAsia="宋体" w:cs="宋体"/>
          <w:spacing w:val="-9"/>
          <w:sz w:val="28"/>
          <w:szCs w:val="28"/>
        </w:rPr>
        <w:t>》</w:t>
      </w:r>
      <w:r>
        <w:rPr>
          <w:rFonts w:hint="eastAsia" w:ascii="宋体" w:hAnsi="宋体" w:eastAsia="宋体" w:cs="宋体"/>
          <w:sz w:val="28"/>
          <w:szCs w:val="28"/>
        </w:rPr>
        <w:t>（征求</w:t>
      </w:r>
      <w:r>
        <w:rPr>
          <w:rFonts w:hint="eastAsia" w:ascii="宋体" w:hAnsi="宋体" w:eastAsia="宋体" w:cs="宋体"/>
          <w:spacing w:val="-1"/>
          <w:sz w:val="28"/>
          <w:szCs w:val="28"/>
        </w:rPr>
        <w:t>意见稿</w:t>
      </w:r>
      <w:r>
        <w:rPr>
          <w:rFonts w:hint="eastAsia" w:cs="宋体"/>
          <w:spacing w:val="-1"/>
          <w:sz w:val="28"/>
          <w:szCs w:val="28"/>
          <w:lang w:eastAsia="zh-CN"/>
        </w:rPr>
        <w:t>）。</w:t>
      </w:r>
    </w:p>
    <w:p w14:paraId="210806FA">
      <w:pPr>
        <w:pStyle w:val="3"/>
        <w:widowControl/>
        <w:spacing w:before="0" w:beforeAutospacing="1" w:after="0" w:afterAutospacing="1" w:line="360" w:lineRule="auto"/>
        <w:ind w:left="567" w:right="0"/>
        <w:jc w:val="both"/>
        <w:rPr>
          <w:rFonts w:hint="eastAsia" w:ascii="宋体" w:hAnsi="宋体" w:eastAsia="宋体" w:cs="宋体"/>
          <w:sz w:val="28"/>
          <w:szCs w:val="28"/>
        </w:rPr>
      </w:pPr>
      <w:r>
        <w:rPr>
          <w:rFonts w:hint="eastAsia" w:ascii="宋体" w:hAnsi="宋体" w:eastAsia="宋体" w:cs="宋体"/>
          <w:sz w:val="28"/>
          <w:szCs w:val="28"/>
        </w:rPr>
        <w:t>5、专家审核阶段</w:t>
      </w:r>
    </w:p>
    <w:p w14:paraId="74227F67">
      <w:pPr>
        <w:pStyle w:val="3"/>
        <w:widowControl/>
        <w:spacing w:before="0" w:beforeAutospacing="1" w:after="0" w:afterAutospacing="1" w:line="360" w:lineRule="auto"/>
        <w:ind w:left="0" w:right="0" w:firstLine="559"/>
        <w:jc w:val="both"/>
        <w:rPr>
          <w:rFonts w:hint="eastAsia" w:ascii="宋体" w:hAnsi="宋体" w:eastAsia="宋体" w:cs="宋体"/>
          <w:spacing w:val="-3"/>
          <w:sz w:val="28"/>
          <w:szCs w:val="28"/>
        </w:rPr>
      </w:pPr>
      <w:r>
        <w:rPr>
          <w:rFonts w:hint="eastAsia" w:ascii="宋体" w:hAnsi="宋体" w:eastAsia="宋体" w:cs="宋体"/>
          <w:spacing w:val="-3"/>
          <w:sz w:val="28"/>
          <w:szCs w:val="28"/>
        </w:rPr>
        <w:t>拟定于202</w:t>
      </w:r>
      <w:r>
        <w:rPr>
          <w:rFonts w:hint="eastAsia" w:cs="宋体"/>
          <w:spacing w:val="-3"/>
          <w:sz w:val="28"/>
          <w:szCs w:val="28"/>
          <w:lang w:val="en-US" w:eastAsia="zh-CN"/>
        </w:rPr>
        <w:t>5</w:t>
      </w:r>
      <w:r>
        <w:rPr>
          <w:rFonts w:hint="eastAsia" w:ascii="宋体" w:hAnsi="宋体" w:eastAsia="宋体" w:cs="宋体"/>
          <w:spacing w:val="-3"/>
          <w:sz w:val="28"/>
          <w:szCs w:val="28"/>
        </w:rPr>
        <w:t>年0</w:t>
      </w:r>
      <w:r>
        <w:rPr>
          <w:rFonts w:hint="eastAsia" w:cs="宋体"/>
          <w:spacing w:val="-3"/>
          <w:sz w:val="28"/>
          <w:szCs w:val="28"/>
          <w:lang w:val="en-US" w:eastAsia="zh-CN"/>
        </w:rPr>
        <w:t>5</w:t>
      </w:r>
      <w:r>
        <w:rPr>
          <w:rFonts w:hint="eastAsia" w:ascii="宋体" w:hAnsi="宋体" w:eastAsia="宋体" w:cs="宋体"/>
          <w:spacing w:val="-3"/>
          <w:sz w:val="28"/>
          <w:szCs w:val="28"/>
        </w:rPr>
        <w:t>月召集专家审核标准，汇总专家审核意见之后，修改标准并发布。</w:t>
      </w:r>
    </w:p>
    <w:p w14:paraId="6A999090">
      <w:pPr>
        <w:pStyle w:val="2"/>
        <w:widowControl/>
        <w:spacing w:line="360" w:lineRule="auto"/>
        <w:ind w:left="0"/>
        <w:jc w:val="both"/>
        <w:rPr>
          <w:rFonts w:hint="eastAsia" w:ascii="宋体" w:hAnsi="宋体" w:eastAsia="宋体" w:cs="宋体"/>
          <w:b w:val="0"/>
          <w:bCs/>
          <w:sz w:val="28"/>
          <w:szCs w:val="28"/>
        </w:rPr>
      </w:pPr>
      <w:r>
        <w:rPr>
          <w:rFonts w:hint="eastAsia" w:ascii="宋体" w:hAnsi="宋体" w:eastAsia="宋体" w:cs="宋体"/>
          <w:b/>
          <w:bCs/>
          <w:sz w:val="28"/>
          <w:szCs w:val="28"/>
        </w:rPr>
        <w:t>（四）主要起草单位及起草人所做的工作</w:t>
      </w:r>
    </w:p>
    <w:p w14:paraId="438F8AEC">
      <w:pPr>
        <w:pStyle w:val="3"/>
        <w:widowControl/>
        <w:spacing w:before="0" w:beforeAutospacing="1" w:after="0" w:afterAutospacing="1" w:line="360" w:lineRule="auto"/>
        <w:ind w:left="0" w:right="0" w:firstLine="559"/>
        <w:jc w:val="both"/>
        <w:rPr>
          <w:rFonts w:hint="eastAsia" w:ascii="宋体" w:hAnsi="宋体" w:eastAsia="宋体" w:cs="宋体"/>
          <w:spacing w:val="-3"/>
          <w:sz w:val="28"/>
          <w:szCs w:val="28"/>
        </w:rPr>
      </w:pPr>
      <w:r>
        <w:rPr>
          <w:rFonts w:hint="eastAsia" w:ascii="宋体" w:hAnsi="宋体" w:eastAsia="宋体" w:cs="宋体"/>
          <w:spacing w:val="-3"/>
          <w:sz w:val="28"/>
          <w:szCs w:val="28"/>
        </w:rPr>
        <w:t>主要起草单位：</w:t>
      </w:r>
      <w:r>
        <w:rPr>
          <w:rFonts w:hint="eastAsia" w:cs="宋体"/>
          <w:spacing w:val="-3"/>
          <w:sz w:val="28"/>
          <w:szCs w:val="28"/>
          <w:lang w:eastAsia="zh-CN"/>
        </w:rPr>
        <w:t>万沙电气有限公司</w:t>
      </w:r>
      <w:r>
        <w:rPr>
          <w:rFonts w:hint="eastAsia" w:ascii="宋体" w:hAnsi="宋体" w:eastAsia="宋体" w:cs="宋体"/>
          <w:spacing w:val="-3"/>
          <w:sz w:val="28"/>
          <w:szCs w:val="28"/>
        </w:rPr>
        <w:t>等多家单位的专家成立了规范起草小组，开展标准的编制工作。经工作组的不懈努力，在202</w:t>
      </w:r>
      <w:r>
        <w:rPr>
          <w:rFonts w:hint="eastAsia" w:cs="宋体"/>
          <w:spacing w:val="-3"/>
          <w:sz w:val="28"/>
          <w:szCs w:val="28"/>
          <w:lang w:val="en-US" w:eastAsia="zh-CN"/>
        </w:rPr>
        <w:t>5</w:t>
      </w:r>
      <w:r>
        <w:rPr>
          <w:rFonts w:hint="eastAsia" w:ascii="宋体" w:hAnsi="宋体" w:eastAsia="宋体" w:cs="宋体"/>
          <w:spacing w:val="-3"/>
          <w:sz w:val="28"/>
          <w:szCs w:val="28"/>
        </w:rPr>
        <w:t>年0</w:t>
      </w:r>
      <w:r>
        <w:rPr>
          <w:rFonts w:hint="eastAsia" w:ascii="宋体" w:hAnsi="宋体" w:eastAsia="宋体" w:cs="宋体"/>
          <w:spacing w:val="-3"/>
          <w:sz w:val="28"/>
          <w:szCs w:val="28"/>
          <w:lang w:val="en-US" w:eastAsia="zh-CN"/>
        </w:rPr>
        <w:t>4</w:t>
      </w:r>
      <w:r>
        <w:rPr>
          <w:rFonts w:hint="eastAsia" w:ascii="宋体" w:hAnsi="宋体" w:eastAsia="宋体" w:cs="宋体"/>
          <w:spacing w:val="-3"/>
          <w:sz w:val="28"/>
          <w:szCs w:val="28"/>
        </w:rPr>
        <w:t>月，完成了标准征求意见稿的编写工作。</w:t>
      </w:r>
    </w:p>
    <w:p w14:paraId="20B83F1E">
      <w:pPr>
        <w:pStyle w:val="3"/>
        <w:widowControl/>
        <w:spacing w:before="0" w:beforeAutospacing="1" w:after="0" w:afterAutospacing="1" w:line="360" w:lineRule="auto"/>
        <w:ind w:left="567" w:right="0"/>
        <w:jc w:val="both"/>
        <w:rPr>
          <w:rFonts w:hint="eastAsia" w:ascii="宋体" w:hAnsi="宋体" w:eastAsia="宋体" w:cs="宋体"/>
          <w:sz w:val="28"/>
          <w:szCs w:val="28"/>
        </w:rPr>
      </w:pPr>
      <w:r>
        <w:rPr>
          <w:rFonts w:hint="eastAsia" w:ascii="宋体" w:hAnsi="宋体" w:eastAsia="宋体" w:cs="宋体"/>
          <w:sz w:val="28"/>
          <w:szCs w:val="28"/>
        </w:rPr>
        <w:t>2、广泛收集相关资料。</w:t>
      </w:r>
    </w:p>
    <w:p w14:paraId="70BB5943">
      <w:pPr>
        <w:pStyle w:val="3"/>
        <w:widowControl/>
        <w:spacing w:before="0" w:beforeAutospacing="1" w:after="0" w:afterAutospacing="1" w:line="360" w:lineRule="auto"/>
        <w:ind w:left="0" w:right="0" w:firstLine="559"/>
        <w:jc w:val="both"/>
        <w:rPr>
          <w:rFonts w:hint="eastAsia" w:ascii="宋体" w:hAnsi="宋体" w:eastAsia="宋体" w:cs="宋体"/>
          <w:spacing w:val="-3"/>
          <w:sz w:val="28"/>
          <w:szCs w:val="28"/>
        </w:rPr>
      </w:pPr>
      <w:r>
        <w:rPr>
          <w:rFonts w:hint="eastAsia" w:ascii="宋体" w:hAnsi="宋体" w:eastAsia="宋体" w:cs="宋体"/>
          <w:spacing w:val="-3"/>
          <w:sz w:val="28"/>
          <w:szCs w:val="28"/>
        </w:rPr>
        <w:t>在广泛调研、查阅和研究国际标准、国家标准、行业标准的基础之上，形成本标准征求意见稿。本标准的制定引用的标准如下：</w:t>
      </w:r>
    </w:p>
    <w:p w14:paraId="1BCAF067">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191  包装储运图示标志</w:t>
      </w:r>
    </w:p>
    <w:p w14:paraId="3943E43A">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1043.1  塑料 简支梁冲击性能的测定 第1部分：非仪器化冲击试验</w:t>
      </w:r>
    </w:p>
    <w:p w14:paraId="720301A6">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2423.22  环境试验 第2部分：试验方法 试验N：温度变化</w:t>
      </w:r>
    </w:p>
    <w:p w14:paraId="61038A52">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4207  固体绝缘材料耐电痕化指数和相比电痕化指数的测定方法</w:t>
      </w:r>
    </w:p>
    <w:p w14:paraId="6C54A21E">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7251.1—2023  低压成套开关设备和控制设备 第1部分：总则</w:t>
      </w:r>
    </w:p>
    <w:p w14:paraId="543DBF32">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7251.5—2017  低压成套开关设备和控制设备 第5部分：公用电网电力配电成套设备</w:t>
      </w:r>
    </w:p>
    <w:p w14:paraId="1A596600">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9341  塑料 弯曲性能的测定</w:t>
      </w:r>
    </w:p>
    <w:p w14:paraId="00AB21A2">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10963.1  电气附件 家用及类似场所用过电流保护断路器 第1部分：用于交流的断路器</w:t>
      </w:r>
    </w:p>
    <w:p w14:paraId="76D6B955">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13384  机电产品包装通用技术条件</w:t>
      </w:r>
    </w:p>
    <w:p w14:paraId="073EA635">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14048.2  低压开关设备和控制设备 第2部分：断路器</w:t>
      </w:r>
    </w:p>
    <w:p w14:paraId="6E310A8C">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14048.3  低压开关设备和控制设备 第3部分：开关、隔离器、隔离开关及熔断器组合电器</w:t>
      </w:r>
    </w:p>
    <w:p w14:paraId="72A9BBF4">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16917.1  家用和类似用途的带过电流保护的剩余电流动作断路器（RCBO） 第1部分：一般规则</w:t>
      </w:r>
    </w:p>
    <w:p w14:paraId="3562D9B1">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18663.1—2008  电子设备机械结构 公制系列和英制系列的试验 第1部分：机柜、机架、插箱和机箱的气候、机械试验及安全要求</w:t>
      </w:r>
    </w:p>
    <w:p w14:paraId="1DBE7F85">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20138-2023  电器设备外壳对外界机械碰撞的防护等级（IK代码）</w:t>
      </w:r>
    </w:p>
    <w:p w14:paraId="3C91E943">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20641-2014  低压成套开关设备和控制设备 空壳体的一般要求</w:t>
      </w:r>
    </w:p>
    <w:p w14:paraId="25BC6A76">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20645—2021  特殊环境条件 高原用低压电器技术要求</w:t>
      </w:r>
    </w:p>
    <w:p w14:paraId="5F9763DF">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20840.3—2013  互感器 第3部分：电磁式电压互感器的补充技术要求</w:t>
      </w:r>
    </w:p>
    <w:p w14:paraId="566A9038">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43918—2024  交流标准电能表</w:t>
      </w:r>
    </w:p>
    <w:p w14:paraId="0CEBBDC1">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DL/T 1745—2017  低压电能计量箱技术条件</w:t>
      </w:r>
    </w:p>
    <w:p w14:paraId="37A19ACA">
      <w:pPr>
        <w:pStyle w:val="2"/>
        <w:widowControl/>
        <w:spacing w:line="360" w:lineRule="auto"/>
        <w:ind w:left="0"/>
        <w:jc w:val="both"/>
        <w:rPr>
          <w:rFonts w:hint="eastAsia" w:ascii="宋体" w:hAnsi="宋体" w:eastAsia="宋体" w:cs="宋体"/>
          <w:b/>
          <w:bCs/>
          <w:sz w:val="28"/>
          <w:szCs w:val="28"/>
        </w:rPr>
      </w:pPr>
      <w:r>
        <w:rPr>
          <w:rFonts w:hint="eastAsia" w:ascii="宋体" w:hAnsi="宋体" w:eastAsia="宋体" w:cs="宋体"/>
          <w:b/>
          <w:bCs/>
          <w:sz w:val="28"/>
          <w:szCs w:val="28"/>
        </w:rPr>
        <w:t xml:space="preserve">二、 标准编制原则和主要内容 </w:t>
      </w:r>
    </w:p>
    <w:p w14:paraId="27A1A63A">
      <w:pPr>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sz w:val="28"/>
          <w:szCs w:val="28"/>
        </w:rPr>
      </w:pPr>
      <w:r>
        <w:rPr>
          <w:rFonts w:hint="eastAsia" w:ascii="宋体" w:hAnsi="宋体" w:eastAsia="宋体" w:cs="宋体"/>
          <w:b/>
          <w:bCs w:val="0"/>
          <w:kern w:val="0"/>
          <w:sz w:val="28"/>
          <w:szCs w:val="28"/>
          <w:lang w:val="en-US" w:eastAsia="zh-CN" w:bidi="ar"/>
        </w:rPr>
        <w:t xml:space="preserve">（一）标准制定原则 </w:t>
      </w:r>
    </w:p>
    <w:p w14:paraId="628E3DAC">
      <w:pPr>
        <w:pStyle w:val="3"/>
        <w:widowControl/>
        <w:spacing w:before="0" w:beforeAutospacing="1" w:after="0" w:afterAutospacing="1" w:line="360" w:lineRule="auto"/>
        <w:ind w:left="0" w:right="0" w:firstLine="559"/>
        <w:jc w:val="both"/>
        <w:rPr>
          <w:rFonts w:hint="eastAsia" w:ascii="宋体" w:hAnsi="宋体" w:eastAsia="宋体" w:cs="宋体"/>
          <w:sz w:val="28"/>
          <w:szCs w:val="28"/>
        </w:rPr>
      </w:pPr>
      <w:r>
        <w:rPr>
          <w:rFonts w:hint="eastAsia" w:ascii="宋体" w:hAnsi="宋体" w:eastAsia="宋体" w:cs="宋体"/>
          <w:sz w:val="28"/>
          <w:szCs w:val="28"/>
        </w:rPr>
        <w:t>本标准依据相关行业标准，标准编制遵循“前瞻性、实用性、统一性、规范性”的原则，注重标准的可操作性，严格按照GB/T 1.1最新版本的要求进行编写。</w:t>
      </w:r>
    </w:p>
    <w:p w14:paraId="1EEB63FB">
      <w:pPr>
        <w:pStyle w:val="2"/>
        <w:widowControl/>
        <w:spacing w:line="360" w:lineRule="auto"/>
        <w:ind w:left="0"/>
        <w:jc w:val="both"/>
        <w:rPr>
          <w:rFonts w:hint="eastAsia" w:ascii="宋体" w:hAnsi="宋体" w:eastAsia="宋体" w:cs="宋体"/>
          <w:b w:val="0"/>
          <w:bCs/>
          <w:sz w:val="28"/>
          <w:szCs w:val="28"/>
        </w:rPr>
      </w:pPr>
      <w:r>
        <w:rPr>
          <w:rFonts w:hint="eastAsia" w:ascii="宋体" w:hAnsi="宋体" w:eastAsia="宋体" w:cs="宋体"/>
          <w:b/>
          <w:bCs/>
          <w:sz w:val="28"/>
          <w:szCs w:val="28"/>
        </w:rPr>
        <w:t>（二） 标准主要技术内容</w:t>
      </w:r>
    </w:p>
    <w:p w14:paraId="1F2A7692">
      <w:pPr>
        <w:pStyle w:val="3"/>
        <w:widowControl/>
        <w:spacing w:before="0" w:beforeAutospacing="1" w:after="0" w:afterAutospacing="1" w:line="360" w:lineRule="auto"/>
        <w:ind w:left="0" w:right="0" w:firstLine="432" w:firstLineChars="150"/>
        <w:jc w:val="both"/>
        <w:rPr>
          <w:rFonts w:hint="eastAsia" w:ascii="宋体" w:hAnsi="宋体" w:eastAsia="宋体" w:cs="宋体"/>
          <w:spacing w:val="3"/>
          <w:sz w:val="28"/>
          <w:szCs w:val="28"/>
        </w:rPr>
      </w:pPr>
      <w:r>
        <w:rPr>
          <w:rFonts w:hint="eastAsia" w:ascii="宋体" w:hAnsi="宋体" w:eastAsia="宋体" w:cs="宋体"/>
          <w:spacing w:val="4"/>
          <w:sz w:val="28"/>
          <w:szCs w:val="28"/>
        </w:rPr>
        <w:t>本标准征求意见稿</w:t>
      </w:r>
      <w:r>
        <w:rPr>
          <w:rFonts w:hint="eastAsia" w:ascii="宋体" w:hAnsi="宋体" w:eastAsia="宋体" w:cs="宋体"/>
          <w:spacing w:val="4"/>
          <w:sz w:val="28"/>
          <w:szCs w:val="28"/>
          <w:highlight w:val="none"/>
        </w:rPr>
        <w:t>包括</w:t>
      </w:r>
      <w:r>
        <w:rPr>
          <w:rFonts w:hint="eastAsia" w:cs="宋体"/>
          <w:spacing w:val="4"/>
          <w:sz w:val="28"/>
          <w:szCs w:val="28"/>
          <w:highlight w:val="none"/>
          <w:lang w:val="en-US" w:eastAsia="zh-CN"/>
        </w:rPr>
        <w:t>8</w:t>
      </w:r>
      <w:r>
        <w:rPr>
          <w:rFonts w:hint="eastAsia" w:ascii="宋体" w:hAnsi="宋体" w:eastAsia="宋体" w:cs="宋体"/>
          <w:spacing w:val="3"/>
          <w:sz w:val="28"/>
          <w:szCs w:val="28"/>
        </w:rPr>
        <w:t>个部分，主要内容如下：</w:t>
      </w:r>
    </w:p>
    <w:p w14:paraId="1949C75A">
      <w:pPr>
        <w:pStyle w:val="3"/>
        <w:widowControl/>
        <w:spacing w:before="0" w:beforeAutospacing="1" w:after="0" w:afterAutospacing="1" w:line="360" w:lineRule="auto"/>
        <w:ind w:left="0" w:right="0" w:firstLine="429" w:firstLineChars="150"/>
        <w:jc w:val="both"/>
        <w:rPr>
          <w:rFonts w:hint="eastAsia" w:ascii="宋体" w:hAnsi="宋体" w:eastAsia="宋体" w:cs="宋体"/>
          <w:sz w:val="28"/>
          <w:szCs w:val="28"/>
        </w:rPr>
      </w:pPr>
      <w:r>
        <w:rPr>
          <w:rFonts w:hint="eastAsia" w:ascii="宋体" w:hAnsi="宋体" w:eastAsia="宋体" w:cs="宋体"/>
          <w:spacing w:val="3"/>
          <w:sz w:val="28"/>
          <w:szCs w:val="28"/>
        </w:rPr>
        <w:t>1</w:t>
      </w:r>
      <w:r>
        <w:rPr>
          <w:rFonts w:hint="eastAsia" w:ascii="宋体" w:hAnsi="宋体" w:eastAsia="宋体" w:cs="宋体"/>
          <w:sz w:val="28"/>
          <w:szCs w:val="28"/>
        </w:rPr>
        <w:t>、范围</w:t>
      </w:r>
    </w:p>
    <w:p w14:paraId="06791277">
      <w:pPr>
        <w:keepNext w:val="0"/>
        <w:keepLines w:val="0"/>
        <w:widowControl w:val="0"/>
        <w:suppressLineNumbers w:val="0"/>
        <w:autoSpaceDE w:val="0"/>
        <w:autoSpaceDN w:val="0"/>
        <w:spacing w:before="0" w:beforeAutospacing="0" w:after="0" w:afterAutospacing="0" w:line="360" w:lineRule="auto"/>
        <w:ind w:left="0" w:right="0"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本文件规定了模块化防窃电能计量箱(简称“计量箱”)的分类、基本要求、基本参数、技术要求、试验方法、检验规则和包装、贮存、运输。</w:t>
      </w:r>
    </w:p>
    <w:p w14:paraId="7A1E672F">
      <w:pPr>
        <w:keepNext w:val="0"/>
        <w:keepLines w:val="0"/>
        <w:widowControl w:val="0"/>
        <w:suppressLineNumbers w:val="0"/>
        <w:autoSpaceDE w:val="0"/>
        <w:autoSpaceDN w:val="0"/>
        <w:spacing w:before="0" w:beforeAutospacing="0" w:after="0" w:afterAutospacing="0" w:line="360" w:lineRule="auto"/>
        <w:ind w:left="0" w:right="0" w:firstLine="560" w:firstLineChars="20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本文件适用于采用模块化设计、具备防窃电功能，且额定电压不超过400 V的交流低压供配电系统计量箱的设计、制造和验收。</w:t>
      </w:r>
    </w:p>
    <w:p w14:paraId="67262357">
      <w:pPr>
        <w:pStyle w:val="3"/>
        <w:widowControl/>
        <w:spacing w:before="0" w:beforeAutospacing="1" w:after="0" w:afterAutospacing="1" w:line="360" w:lineRule="auto"/>
        <w:ind w:left="0" w:right="0" w:firstLine="420" w:firstLineChars="150"/>
        <w:jc w:val="both"/>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pacing w:val="-3"/>
          <w:sz w:val="28"/>
          <w:szCs w:val="28"/>
        </w:rPr>
        <w:t>、规范性引用文件</w:t>
      </w:r>
    </w:p>
    <w:p w14:paraId="5DDF0988">
      <w:pPr>
        <w:pStyle w:val="3"/>
        <w:widowControl/>
        <w:spacing w:before="0" w:beforeAutospacing="1" w:after="0" w:afterAutospacing="1" w:line="360" w:lineRule="auto"/>
        <w:ind w:left="0" w:right="0" w:firstLine="959" w:firstLineChars="350"/>
        <w:jc w:val="both"/>
        <w:rPr>
          <w:rFonts w:hint="eastAsia" w:ascii="宋体" w:hAnsi="宋体" w:eastAsia="宋体" w:cs="宋体"/>
          <w:spacing w:val="134"/>
          <w:sz w:val="28"/>
          <w:szCs w:val="28"/>
        </w:rPr>
      </w:pPr>
      <w:r>
        <w:rPr>
          <w:rFonts w:hint="eastAsia" w:ascii="宋体" w:hAnsi="宋体" w:eastAsia="宋体" w:cs="宋体"/>
          <w:spacing w:val="-3"/>
          <w:sz w:val="28"/>
          <w:szCs w:val="28"/>
        </w:rPr>
        <w:t>列出了本文件引用的标准文件。</w:t>
      </w:r>
    </w:p>
    <w:p w14:paraId="116D8D2F">
      <w:pPr>
        <w:pStyle w:val="3"/>
        <w:widowControl/>
        <w:spacing w:before="0" w:beforeAutospacing="1" w:after="0" w:afterAutospacing="1" w:line="360" w:lineRule="auto"/>
        <w:ind w:left="0" w:right="0" w:firstLine="420" w:firstLineChars="150"/>
        <w:jc w:val="both"/>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pacing w:val="-3"/>
          <w:sz w:val="28"/>
          <w:szCs w:val="28"/>
        </w:rPr>
        <w:t>、术语和定义</w:t>
      </w:r>
    </w:p>
    <w:p w14:paraId="4DC8A508">
      <w:pPr>
        <w:pStyle w:val="18"/>
        <w:keepNext w:val="0"/>
        <w:keepLines w:val="0"/>
        <w:widowControl/>
        <w:suppressLineNumbers w:val="0"/>
        <w:autoSpaceDE w:val="0"/>
        <w:autoSpaceDN w:val="0"/>
        <w:spacing w:line="360" w:lineRule="auto"/>
        <w:ind w:left="0" w:firstLine="959" w:firstLineChars="350"/>
        <w:rPr>
          <w:rFonts w:hint="eastAsia" w:ascii="宋体" w:hAnsi="宋体" w:eastAsia="宋体" w:cs="宋体"/>
          <w:spacing w:val="-3"/>
          <w:sz w:val="28"/>
          <w:szCs w:val="28"/>
        </w:rPr>
      </w:pPr>
      <w:r>
        <w:rPr>
          <w:rFonts w:hint="eastAsia" w:ascii="宋体" w:hAnsi="宋体" w:eastAsia="宋体" w:cs="宋体"/>
          <w:spacing w:val="-3"/>
          <w:sz w:val="28"/>
          <w:szCs w:val="28"/>
        </w:rPr>
        <w:t>DL/T 1745—2017界定的以及下列术语和定义适用于本文件。</w:t>
      </w:r>
    </w:p>
    <w:p w14:paraId="6EAEF121">
      <w:pPr>
        <w:pStyle w:val="3"/>
        <w:widowControl/>
        <w:spacing w:before="0" w:beforeAutospacing="1" w:after="0" w:afterAutospacing="1" w:line="360" w:lineRule="auto"/>
        <w:ind w:left="0" w:right="0" w:firstLine="420" w:firstLineChars="150"/>
        <w:jc w:val="both"/>
        <w:rPr>
          <w:rFonts w:hint="default" w:ascii="宋体" w:hAnsi="宋体" w:eastAsia="宋体" w:cs="宋体"/>
          <w:sz w:val="28"/>
          <w:szCs w:val="28"/>
          <w:lang w:val="en-US" w:eastAsia="zh-CN"/>
        </w:rPr>
      </w:pPr>
      <w:r>
        <w:rPr>
          <w:rFonts w:hint="eastAsia" w:ascii="宋体" w:hAnsi="宋体" w:eastAsia="宋体" w:cs="宋体"/>
          <w:sz w:val="28"/>
          <w:szCs w:val="28"/>
        </w:rPr>
        <w:t>4</w:t>
      </w:r>
      <w:r>
        <w:rPr>
          <w:rFonts w:hint="eastAsia" w:ascii="宋体" w:hAnsi="宋体" w:eastAsia="宋体" w:cs="宋体"/>
          <w:spacing w:val="-2"/>
          <w:sz w:val="28"/>
          <w:szCs w:val="28"/>
        </w:rPr>
        <w:t>、</w:t>
      </w:r>
      <w:r>
        <w:rPr>
          <w:rFonts w:hint="eastAsia" w:cs="宋体"/>
          <w:spacing w:val="-2"/>
          <w:sz w:val="28"/>
          <w:szCs w:val="28"/>
          <w:lang w:val="en-US" w:eastAsia="zh-CN"/>
        </w:rPr>
        <w:t>分类、基本要求、基本参数</w:t>
      </w:r>
    </w:p>
    <w:p w14:paraId="6576C654">
      <w:pPr>
        <w:pStyle w:val="3"/>
        <w:widowControl/>
        <w:spacing w:before="0" w:beforeAutospacing="1" w:after="0" w:afterAutospacing="1" w:line="360" w:lineRule="auto"/>
        <w:ind w:left="0" w:right="0" w:firstLine="411" w:firstLineChars="150"/>
        <w:jc w:val="both"/>
        <w:rPr>
          <w:rFonts w:hint="default" w:ascii="宋体" w:hAnsi="宋体" w:eastAsia="宋体" w:cs="宋体"/>
          <w:spacing w:val="-3"/>
          <w:sz w:val="28"/>
          <w:szCs w:val="28"/>
          <w:lang w:val="en-US" w:eastAsia="zh-CN"/>
        </w:rPr>
      </w:pPr>
      <w:r>
        <w:rPr>
          <w:rFonts w:hint="eastAsia" w:ascii="宋体" w:hAnsi="宋体" w:eastAsia="宋体" w:cs="宋体"/>
          <w:spacing w:val="-3"/>
          <w:sz w:val="28"/>
          <w:szCs w:val="28"/>
        </w:rPr>
        <w:t>本章节主要规定了</w:t>
      </w:r>
      <w:r>
        <w:rPr>
          <w:rFonts w:hint="eastAsia" w:cs="宋体"/>
          <w:spacing w:val="-3"/>
          <w:sz w:val="28"/>
          <w:szCs w:val="28"/>
          <w:lang w:val="en-US" w:eastAsia="zh-CN"/>
        </w:rPr>
        <w:t>模块化防窃电能计量箱的</w:t>
      </w:r>
      <w:r>
        <w:rPr>
          <w:rFonts w:hint="eastAsia" w:cs="宋体"/>
          <w:spacing w:val="-2"/>
          <w:sz w:val="28"/>
          <w:szCs w:val="28"/>
          <w:lang w:val="en-US" w:eastAsia="zh-CN"/>
        </w:rPr>
        <w:t>分类、基本要求、基本参数</w:t>
      </w:r>
      <w:r>
        <w:rPr>
          <w:rFonts w:hint="eastAsia" w:cs="宋体"/>
          <w:spacing w:val="-3"/>
          <w:sz w:val="28"/>
          <w:szCs w:val="28"/>
          <w:lang w:val="en-US" w:eastAsia="zh-CN"/>
        </w:rPr>
        <w:t>。</w:t>
      </w:r>
    </w:p>
    <w:p w14:paraId="14D612A4">
      <w:pPr>
        <w:pStyle w:val="3"/>
        <w:widowControl/>
        <w:spacing w:before="0" w:beforeAutospacing="1" w:after="0" w:afterAutospacing="1" w:line="360" w:lineRule="auto"/>
        <w:ind w:left="426" w:right="0"/>
        <w:jc w:val="both"/>
        <w:rPr>
          <w:rFonts w:hint="eastAsia" w:ascii="宋体" w:hAnsi="宋体" w:eastAsia="宋体" w:cs="宋体"/>
          <w:sz w:val="28"/>
          <w:szCs w:val="28"/>
          <w:lang w:val="en-US" w:eastAsia="zh-CN"/>
        </w:rPr>
      </w:pPr>
      <w:r>
        <w:rPr>
          <w:rFonts w:hint="eastAsia" w:ascii="宋体" w:hAnsi="宋体" w:eastAsia="宋体" w:cs="宋体"/>
          <w:sz w:val="28"/>
          <w:szCs w:val="28"/>
        </w:rPr>
        <w:t>5</w:t>
      </w:r>
      <w:r>
        <w:rPr>
          <w:rFonts w:hint="eastAsia" w:ascii="宋体" w:hAnsi="宋体" w:eastAsia="宋体" w:cs="宋体"/>
          <w:spacing w:val="-3"/>
          <w:sz w:val="28"/>
          <w:szCs w:val="28"/>
        </w:rPr>
        <w:t>、</w:t>
      </w:r>
      <w:r>
        <w:rPr>
          <w:rFonts w:hint="eastAsia" w:cs="宋体"/>
          <w:spacing w:val="-3"/>
          <w:sz w:val="28"/>
          <w:szCs w:val="28"/>
          <w:lang w:val="en-US" w:eastAsia="zh-CN"/>
        </w:rPr>
        <w:t>技术要求</w:t>
      </w:r>
    </w:p>
    <w:p w14:paraId="4C7591D2">
      <w:pPr>
        <w:pStyle w:val="3"/>
        <w:widowControl/>
        <w:spacing w:before="0" w:beforeAutospacing="1" w:after="0" w:afterAutospacing="1" w:line="360" w:lineRule="auto"/>
        <w:ind w:left="405" w:leftChars="193" w:right="0" w:firstLine="426"/>
        <w:jc w:val="both"/>
        <w:rPr>
          <w:rFonts w:hint="default" w:ascii="宋体" w:hAnsi="宋体" w:eastAsia="宋体" w:cs="宋体"/>
          <w:sz w:val="28"/>
          <w:szCs w:val="28"/>
          <w:lang w:val="en-US" w:eastAsia="zh-CN"/>
        </w:rPr>
      </w:pPr>
      <w:r>
        <w:rPr>
          <w:rFonts w:hint="eastAsia" w:ascii="宋体" w:hAnsi="宋体" w:eastAsia="宋体" w:cs="宋体"/>
          <w:sz w:val="28"/>
          <w:szCs w:val="28"/>
        </w:rPr>
        <w:t>本章节</w:t>
      </w:r>
      <w:r>
        <w:rPr>
          <w:rFonts w:hint="eastAsia" w:cs="宋体"/>
          <w:sz w:val="28"/>
          <w:szCs w:val="28"/>
          <w:lang w:val="en-US" w:eastAsia="zh-CN"/>
        </w:rPr>
        <w:t>规定了模块化防窃电能计量箱的外观质量、绝缘材料性能、机械性能、电气性能、温升限值、电能表、电能表、计量互感器与电能表准确度等级的配合、防窃电功能要求、结构功能。</w:t>
      </w:r>
    </w:p>
    <w:p w14:paraId="1FC72F3F">
      <w:pPr>
        <w:pStyle w:val="3"/>
        <w:widowControl/>
        <w:spacing w:before="0" w:beforeAutospacing="1" w:after="0" w:afterAutospacing="1" w:line="360" w:lineRule="auto"/>
        <w:ind w:left="426" w:right="0"/>
        <w:jc w:val="both"/>
        <w:rPr>
          <w:rFonts w:hint="default" w:ascii="宋体" w:hAnsi="宋体" w:eastAsia="宋体" w:cs="宋体"/>
          <w:sz w:val="28"/>
          <w:szCs w:val="28"/>
          <w:lang w:val="en-US" w:eastAsia="zh-CN"/>
        </w:rPr>
      </w:pPr>
      <w:r>
        <w:rPr>
          <w:rFonts w:hint="eastAsia" w:ascii="宋体" w:hAnsi="宋体" w:eastAsia="宋体" w:cs="宋体"/>
          <w:sz w:val="28"/>
          <w:szCs w:val="28"/>
        </w:rPr>
        <w:t>6、</w:t>
      </w:r>
      <w:r>
        <w:rPr>
          <w:rFonts w:hint="eastAsia" w:cs="宋体"/>
          <w:sz w:val="28"/>
          <w:szCs w:val="28"/>
          <w:lang w:val="en-US" w:eastAsia="zh-CN"/>
        </w:rPr>
        <w:t>试验方法</w:t>
      </w:r>
    </w:p>
    <w:p w14:paraId="7D998A3E">
      <w:pPr>
        <w:pStyle w:val="3"/>
        <w:widowControl/>
        <w:spacing w:before="0" w:beforeAutospacing="1" w:after="0" w:afterAutospacing="1" w:line="360" w:lineRule="auto"/>
        <w:ind w:left="405" w:leftChars="193" w:right="0" w:firstLine="426"/>
        <w:jc w:val="both"/>
        <w:rPr>
          <w:rFonts w:hint="default" w:ascii="宋体" w:hAnsi="宋体" w:eastAsia="宋体" w:cs="宋体"/>
          <w:sz w:val="28"/>
          <w:szCs w:val="28"/>
          <w:lang w:val="en-US" w:eastAsia="zh-CN"/>
        </w:rPr>
      </w:pPr>
      <w:r>
        <w:rPr>
          <w:rFonts w:hint="eastAsia" w:ascii="宋体" w:hAnsi="宋体" w:eastAsia="宋体" w:cs="宋体"/>
          <w:sz w:val="28"/>
          <w:szCs w:val="28"/>
        </w:rPr>
        <w:t>本章节主要规定了</w:t>
      </w:r>
      <w:r>
        <w:rPr>
          <w:rFonts w:hint="eastAsia" w:cs="宋体"/>
          <w:sz w:val="28"/>
          <w:szCs w:val="28"/>
          <w:lang w:val="en-US" w:eastAsia="zh-CN"/>
        </w:rPr>
        <w:t>模块化防窃电能计量箱的技术要求指标的相关试验方法。</w:t>
      </w:r>
    </w:p>
    <w:p w14:paraId="4B8008ED">
      <w:pPr>
        <w:pStyle w:val="3"/>
        <w:widowControl/>
        <w:numPr>
          <w:ilvl w:val="0"/>
          <w:numId w:val="2"/>
        </w:numPr>
        <w:spacing w:before="0" w:beforeAutospacing="1" w:after="0" w:afterAutospacing="1" w:line="360" w:lineRule="auto"/>
        <w:ind w:left="160" w:leftChars="0" w:right="0" w:firstLine="280" w:firstLineChars="0"/>
        <w:jc w:val="both"/>
        <w:rPr>
          <w:rFonts w:hint="eastAsia" w:ascii="宋体" w:hAnsi="宋体" w:eastAsia="宋体" w:cs="宋体"/>
          <w:sz w:val="28"/>
          <w:szCs w:val="28"/>
        </w:rPr>
      </w:pPr>
      <w:r>
        <w:rPr>
          <w:rFonts w:hint="eastAsia" w:cs="宋体"/>
          <w:sz w:val="28"/>
          <w:szCs w:val="28"/>
          <w:lang w:val="en-US" w:eastAsia="zh-CN"/>
        </w:rPr>
        <w:t>检验规则</w:t>
      </w:r>
    </w:p>
    <w:p w14:paraId="0AA01A32">
      <w:pPr>
        <w:pStyle w:val="3"/>
        <w:keepNext w:val="0"/>
        <w:keepLines w:val="0"/>
        <w:widowControl w:val="0"/>
        <w:suppressLineNumbers w:val="0"/>
        <w:autoSpaceDE w:val="0"/>
        <w:autoSpaceDN w:val="0"/>
        <w:spacing w:before="0" w:beforeAutospacing="1" w:after="0" w:afterAutospacing="1" w:line="360" w:lineRule="auto"/>
        <w:ind w:left="403" w:leftChars="192" w:right="0" w:firstLine="490" w:firstLineChars="175"/>
        <w:jc w:val="both"/>
        <w:rPr>
          <w:rFonts w:hint="eastAsia" w:ascii="宋体" w:hAnsi="宋体" w:eastAsia="宋体" w:cs="宋体"/>
          <w:sz w:val="28"/>
          <w:szCs w:val="28"/>
        </w:rPr>
      </w:pPr>
      <w:r>
        <w:rPr>
          <w:rFonts w:hint="eastAsia" w:ascii="宋体" w:hAnsi="宋体" w:eastAsia="宋体" w:cs="宋体"/>
          <w:sz w:val="28"/>
          <w:szCs w:val="28"/>
        </w:rPr>
        <w:t>本章节规定了</w:t>
      </w:r>
      <w:r>
        <w:rPr>
          <w:rFonts w:hint="eastAsia" w:cs="宋体"/>
          <w:sz w:val="28"/>
          <w:szCs w:val="28"/>
          <w:lang w:val="en-US" w:eastAsia="zh-CN"/>
        </w:rPr>
        <w:t>模块化防窃电能计量箱的出厂检验、型式检验和检验项目</w:t>
      </w:r>
      <w:r>
        <w:rPr>
          <w:rFonts w:hint="eastAsia" w:ascii="宋体" w:hAnsi="宋体" w:eastAsia="宋体" w:cs="宋体"/>
          <w:sz w:val="28"/>
          <w:szCs w:val="28"/>
        </w:rPr>
        <w:t>。</w:t>
      </w:r>
    </w:p>
    <w:p w14:paraId="0993DB1F">
      <w:pPr>
        <w:pStyle w:val="3"/>
        <w:widowControl/>
        <w:numPr>
          <w:ilvl w:val="0"/>
          <w:numId w:val="2"/>
        </w:numPr>
        <w:spacing w:before="0" w:beforeAutospacing="1" w:after="0" w:afterAutospacing="1" w:line="360" w:lineRule="auto"/>
        <w:ind w:left="160" w:leftChars="0" w:right="0" w:firstLine="280" w:firstLineChars="0"/>
        <w:jc w:val="both"/>
        <w:rPr>
          <w:rFonts w:hint="eastAsia" w:ascii="宋体" w:hAnsi="宋体" w:eastAsia="宋体" w:cs="宋体"/>
          <w:sz w:val="28"/>
          <w:szCs w:val="28"/>
        </w:rPr>
      </w:pPr>
      <w:r>
        <w:rPr>
          <w:rFonts w:hint="eastAsia" w:cs="宋体"/>
          <w:sz w:val="28"/>
          <w:szCs w:val="28"/>
          <w:lang w:val="en-US" w:eastAsia="zh-CN"/>
        </w:rPr>
        <w:t>标志、包装、运输和贮存</w:t>
      </w:r>
    </w:p>
    <w:p w14:paraId="5E44D725">
      <w:pPr>
        <w:pStyle w:val="3"/>
        <w:keepNext w:val="0"/>
        <w:keepLines w:val="0"/>
        <w:widowControl w:val="0"/>
        <w:suppressLineNumbers w:val="0"/>
        <w:autoSpaceDE w:val="0"/>
        <w:autoSpaceDN w:val="0"/>
        <w:spacing w:before="0" w:beforeAutospacing="1" w:after="0" w:afterAutospacing="1" w:line="360" w:lineRule="auto"/>
        <w:ind w:left="403" w:leftChars="192" w:right="0" w:firstLine="490" w:firstLineChars="175"/>
        <w:jc w:val="both"/>
        <w:rPr>
          <w:rFonts w:hint="eastAsia" w:ascii="宋体" w:hAnsi="宋体" w:eastAsia="宋体" w:cs="宋体"/>
          <w:b/>
          <w:bCs/>
          <w:sz w:val="28"/>
          <w:szCs w:val="28"/>
        </w:rPr>
      </w:pPr>
      <w:r>
        <w:rPr>
          <w:rFonts w:hint="eastAsia" w:ascii="宋体" w:hAnsi="宋体" w:eastAsia="宋体" w:cs="宋体"/>
          <w:sz w:val="28"/>
          <w:szCs w:val="28"/>
        </w:rPr>
        <w:t>本章节规定了</w:t>
      </w:r>
      <w:r>
        <w:rPr>
          <w:rFonts w:hint="eastAsia" w:cs="宋体"/>
          <w:sz w:val="28"/>
          <w:szCs w:val="28"/>
          <w:lang w:val="en-US" w:eastAsia="zh-CN"/>
        </w:rPr>
        <w:t>模块化防窃电能计量箱的标志、包装、运输和贮存。</w:t>
      </w:r>
    </w:p>
    <w:p w14:paraId="5D361065">
      <w:pPr>
        <w:pStyle w:val="2"/>
        <w:widowControl/>
        <w:spacing w:line="360" w:lineRule="auto"/>
        <w:ind w:left="0"/>
        <w:jc w:val="both"/>
        <w:rPr>
          <w:rFonts w:hint="eastAsia" w:ascii="宋体" w:hAnsi="宋体" w:eastAsia="宋体" w:cs="宋体"/>
          <w:b w:val="0"/>
          <w:bCs/>
          <w:sz w:val="28"/>
          <w:szCs w:val="28"/>
        </w:rPr>
      </w:pPr>
      <w:r>
        <w:rPr>
          <w:rFonts w:hint="eastAsia" w:ascii="宋体" w:hAnsi="宋体" w:eastAsia="宋体" w:cs="宋体"/>
          <w:b/>
          <w:bCs/>
          <w:sz w:val="28"/>
          <w:szCs w:val="28"/>
        </w:rPr>
        <w:t>（三）主要试验（或验证）情况分析</w:t>
      </w:r>
    </w:p>
    <w:p w14:paraId="16F2ACF6">
      <w:pPr>
        <w:pStyle w:val="3"/>
        <w:widowControl/>
        <w:spacing w:before="0" w:beforeAutospacing="1" w:after="0" w:afterAutospacing="1" w:line="360" w:lineRule="auto"/>
        <w:ind w:left="0" w:right="0" w:firstLine="560" w:firstLineChars="200"/>
        <w:jc w:val="both"/>
        <w:rPr>
          <w:rFonts w:hint="eastAsia" w:ascii="宋体" w:hAnsi="宋体" w:eastAsia="宋体" w:cs="宋体"/>
          <w:sz w:val="28"/>
          <w:szCs w:val="28"/>
        </w:rPr>
      </w:pPr>
      <w:r>
        <w:rPr>
          <w:rFonts w:hint="eastAsia" w:ascii="宋体" w:hAnsi="宋体" w:eastAsia="宋体" w:cs="宋体"/>
          <w:sz w:val="28"/>
          <w:szCs w:val="28"/>
        </w:rPr>
        <w:t>结合国内外的国家标准和企业内部管控的项目进行要求规定和试验验证。</w:t>
      </w:r>
    </w:p>
    <w:p w14:paraId="2D66B65F">
      <w:pPr>
        <w:pStyle w:val="2"/>
        <w:widowControl/>
        <w:spacing w:line="360" w:lineRule="auto"/>
        <w:ind w:left="0" w:firstLine="7"/>
        <w:jc w:val="both"/>
        <w:rPr>
          <w:rFonts w:hint="eastAsia" w:ascii="宋体" w:hAnsi="宋体" w:eastAsia="宋体" w:cs="宋体"/>
          <w:b/>
          <w:bCs/>
          <w:sz w:val="28"/>
          <w:szCs w:val="28"/>
        </w:rPr>
      </w:pPr>
      <w:r>
        <w:rPr>
          <w:rFonts w:hint="eastAsia" w:ascii="宋体" w:hAnsi="宋体" w:eastAsia="宋体" w:cs="宋体"/>
          <w:b/>
          <w:bCs/>
          <w:sz w:val="28"/>
          <w:szCs w:val="28"/>
        </w:rPr>
        <w:t>（四）标准中涉及专利的情况</w:t>
      </w:r>
    </w:p>
    <w:p w14:paraId="0BDFB82A">
      <w:pPr>
        <w:pStyle w:val="2"/>
        <w:widowControl/>
        <w:spacing w:line="360" w:lineRule="auto"/>
        <w:ind w:left="0" w:firstLine="552" w:firstLineChars="200"/>
        <w:jc w:val="both"/>
        <w:rPr>
          <w:rFonts w:hint="eastAsia" w:ascii="宋体" w:hAnsi="宋体" w:eastAsia="宋体" w:cs="宋体"/>
          <w:b w:val="0"/>
          <w:bCs/>
          <w:sz w:val="28"/>
          <w:szCs w:val="28"/>
        </w:rPr>
      </w:pPr>
      <w:r>
        <w:rPr>
          <w:rFonts w:hint="eastAsia" w:ascii="宋体" w:hAnsi="宋体" w:eastAsia="宋体" w:cs="宋体"/>
          <w:b w:val="0"/>
          <w:bCs/>
          <w:spacing w:val="-2"/>
          <w:sz w:val="28"/>
          <w:szCs w:val="28"/>
        </w:rPr>
        <w:t>无。</w:t>
      </w:r>
    </w:p>
    <w:p w14:paraId="297E43A9">
      <w:pPr>
        <w:pStyle w:val="2"/>
        <w:widowControl/>
        <w:spacing w:line="360" w:lineRule="auto"/>
        <w:ind w:left="0" w:firstLine="7"/>
        <w:jc w:val="both"/>
        <w:rPr>
          <w:rFonts w:hint="eastAsia" w:ascii="宋体" w:hAnsi="宋体" w:eastAsia="宋体" w:cs="宋体"/>
          <w:b/>
          <w:bCs/>
          <w:sz w:val="28"/>
          <w:szCs w:val="28"/>
        </w:rPr>
      </w:pPr>
      <w:r>
        <w:rPr>
          <w:rFonts w:hint="eastAsia" w:ascii="宋体" w:hAnsi="宋体" w:eastAsia="宋体" w:cs="宋体"/>
          <w:b/>
          <w:bCs/>
          <w:sz w:val="28"/>
          <w:szCs w:val="28"/>
          <w:lang w:val="en-US" w:eastAsia="zh-CN"/>
        </w:rPr>
        <w:t>（五）预期达到的效益（经济、效益、生态等）对产业发展的作用的情况</w:t>
      </w:r>
    </w:p>
    <w:p w14:paraId="122E70C3">
      <w:pPr>
        <w:pStyle w:val="3"/>
        <w:widowControl/>
        <w:spacing w:before="0" w:beforeAutospacing="1" w:after="0" w:afterAutospacing="1" w:line="360" w:lineRule="auto"/>
        <w:ind w:left="0" w:right="0" w:firstLine="565" w:firstLineChars="202"/>
        <w:jc w:val="both"/>
        <w:rPr>
          <w:rFonts w:hint="eastAsia" w:ascii="宋体" w:hAnsi="宋体" w:eastAsia="宋体" w:cs="宋体"/>
          <w:sz w:val="28"/>
          <w:szCs w:val="28"/>
        </w:rPr>
      </w:pPr>
      <w:r>
        <w:rPr>
          <w:rFonts w:hint="eastAsia" w:ascii="宋体" w:hAnsi="宋体" w:eastAsia="宋体" w:cs="宋体"/>
          <w:sz w:val="28"/>
          <w:szCs w:val="28"/>
        </w:rPr>
        <w:t>《</w:t>
      </w:r>
      <w:r>
        <w:rPr>
          <w:rFonts w:hint="eastAsia" w:cs="宋体"/>
          <w:sz w:val="28"/>
          <w:szCs w:val="28"/>
          <w:lang w:eastAsia="zh-CN"/>
        </w:rPr>
        <w:t>模块化防窃电能计量箱</w:t>
      </w:r>
      <w:r>
        <w:rPr>
          <w:rFonts w:hint="eastAsia" w:ascii="宋体" w:hAnsi="宋体" w:eastAsia="宋体" w:cs="宋体"/>
          <w:sz w:val="28"/>
          <w:szCs w:val="28"/>
        </w:rPr>
        <w:t>》团体标准预期在经济上可降低系统集成与运维成本、淘汰落后产能并拓展国内外市场；在社会层面可增强电网可靠性、保障能源数据安全、优化用户能效管理；在生态领域助力低碳生产与能效提升，整体推动产业实现技术升级、集中度提升与绿色转型，增强国际竞争力，为智能电网建设和“双碳”目标提供标准化支撑。</w:t>
      </w:r>
    </w:p>
    <w:p w14:paraId="74F4680F">
      <w:pPr>
        <w:pStyle w:val="2"/>
        <w:widowControl/>
        <w:spacing w:line="360" w:lineRule="auto"/>
        <w:ind w:left="0"/>
        <w:jc w:val="both"/>
        <w:rPr>
          <w:rFonts w:hint="eastAsia" w:ascii="宋体" w:hAnsi="宋体" w:eastAsia="宋体" w:cs="宋体"/>
          <w:b/>
          <w:bCs/>
          <w:sz w:val="28"/>
          <w:szCs w:val="28"/>
        </w:rPr>
      </w:pPr>
      <w:r>
        <w:rPr>
          <w:rFonts w:hint="eastAsia" w:ascii="宋体" w:hAnsi="宋体" w:eastAsia="宋体" w:cs="宋体"/>
          <w:b/>
          <w:bCs/>
          <w:sz w:val="28"/>
          <w:szCs w:val="28"/>
        </w:rPr>
        <w:t>（六）在标准体系中的位置，与现行相关</w:t>
      </w:r>
      <w:bookmarkStart w:id="0" w:name="_GoBack"/>
      <w:r>
        <w:rPr>
          <w:rFonts w:hint="eastAsia" w:cs="宋体"/>
          <w:b/>
          <w:bCs/>
          <w:sz w:val="28"/>
          <w:szCs w:val="28"/>
          <w:lang w:eastAsia="zh-CN"/>
        </w:rPr>
        <w:t>法律法规</w:t>
      </w:r>
      <w:bookmarkEnd w:id="0"/>
      <w:r>
        <w:rPr>
          <w:rFonts w:hint="eastAsia" w:ascii="宋体" w:hAnsi="宋体" w:eastAsia="宋体" w:cs="宋体"/>
          <w:b/>
          <w:bCs/>
          <w:sz w:val="28"/>
          <w:szCs w:val="28"/>
        </w:rPr>
        <w:t>、规章及相关标准，特别是强制性标准的协调性</w:t>
      </w:r>
    </w:p>
    <w:p w14:paraId="7BFD5A61">
      <w:pPr>
        <w:pStyle w:val="3"/>
        <w:widowControl/>
        <w:spacing w:before="0" w:beforeAutospacing="1" w:after="0" w:afterAutospacing="1" w:line="360" w:lineRule="auto"/>
        <w:ind w:left="0" w:right="0" w:firstLine="557" w:firstLineChars="202"/>
        <w:jc w:val="both"/>
        <w:rPr>
          <w:rFonts w:hint="eastAsia" w:ascii="宋体" w:hAnsi="宋体" w:eastAsia="宋体" w:cs="宋体"/>
          <w:sz w:val="28"/>
          <w:szCs w:val="28"/>
        </w:rPr>
      </w:pPr>
      <w:r>
        <w:rPr>
          <w:rFonts w:hint="eastAsia" w:ascii="宋体" w:hAnsi="宋体" w:eastAsia="宋体" w:cs="宋体"/>
          <w:spacing w:val="-2"/>
          <w:sz w:val="28"/>
          <w:szCs w:val="28"/>
        </w:rPr>
        <w:t>无。</w:t>
      </w:r>
    </w:p>
    <w:p w14:paraId="1D3A4854">
      <w:pPr>
        <w:pStyle w:val="2"/>
        <w:widowControl/>
        <w:spacing w:line="360" w:lineRule="auto"/>
        <w:ind w:left="0"/>
        <w:jc w:val="both"/>
        <w:rPr>
          <w:rFonts w:hint="eastAsia" w:ascii="宋体" w:hAnsi="宋体" w:eastAsia="宋体" w:cs="宋体"/>
          <w:b/>
          <w:bCs/>
          <w:sz w:val="28"/>
          <w:szCs w:val="28"/>
        </w:rPr>
      </w:pPr>
      <w:r>
        <w:rPr>
          <w:rFonts w:hint="eastAsia" w:ascii="宋体" w:hAnsi="宋体" w:eastAsia="宋体" w:cs="宋体"/>
          <w:b/>
          <w:bCs/>
          <w:sz w:val="28"/>
          <w:szCs w:val="28"/>
        </w:rPr>
        <w:t>（七）重大分歧意见的处理经过和依据</w:t>
      </w:r>
    </w:p>
    <w:p w14:paraId="35CA4AE6">
      <w:pPr>
        <w:pStyle w:val="2"/>
        <w:widowControl/>
        <w:spacing w:line="360" w:lineRule="auto"/>
        <w:ind w:left="0" w:firstLine="557" w:firstLineChars="202"/>
        <w:jc w:val="both"/>
        <w:rPr>
          <w:rFonts w:hint="eastAsia" w:ascii="宋体" w:hAnsi="宋体" w:eastAsia="宋体" w:cs="宋体"/>
          <w:b w:val="0"/>
          <w:bCs/>
          <w:sz w:val="28"/>
          <w:szCs w:val="28"/>
        </w:rPr>
      </w:pPr>
      <w:r>
        <w:rPr>
          <w:rFonts w:hint="eastAsia" w:ascii="宋体" w:hAnsi="宋体" w:eastAsia="宋体" w:cs="宋体"/>
          <w:b w:val="0"/>
          <w:bCs/>
          <w:spacing w:val="-2"/>
          <w:sz w:val="28"/>
          <w:szCs w:val="28"/>
        </w:rPr>
        <w:t>无。</w:t>
      </w:r>
    </w:p>
    <w:p w14:paraId="697802C1">
      <w:pPr>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sz w:val="28"/>
          <w:szCs w:val="28"/>
        </w:rPr>
      </w:pPr>
      <w:r>
        <w:rPr>
          <w:rFonts w:hint="eastAsia" w:ascii="宋体" w:hAnsi="宋体" w:eastAsia="宋体" w:cs="宋体"/>
          <w:b/>
          <w:bCs w:val="0"/>
          <w:kern w:val="0"/>
          <w:sz w:val="28"/>
          <w:szCs w:val="28"/>
          <w:lang w:val="en-US" w:eastAsia="zh-CN" w:bidi="ar"/>
        </w:rPr>
        <w:t xml:space="preserve">（八）标准性质的建议说明 </w:t>
      </w:r>
    </w:p>
    <w:p w14:paraId="3571729A">
      <w:pPr>
        <w:pStyle w:val="3"/>
        <w:widowControl/>
        <w:spacing w:before="0" w:beforeAutospacing="1" w:after="0" w:afterAutospacing="1" w:line="360" w:lineRule="auto"/>
        <w:ind w:left="0" w:right="0" w:firstLine="565" w:firstLineChars="202"/>
        <w:jc w:val="both"/>
        <w:rPr>
          <w:rFonts w:hint="eastAsia" w:ascii="宋体" w:hAnsi="宋体" w:eastAsia="宋体" w:cs="宋体"/>
          <w:sz w:val="28"/>
          <w:szCs w:val="28"/>
        </w:rPr>
      </w:pPr>
      <w:r>
        <w:rPr>
          <w:rFonts w:hint="eastAsia" w:ascii="宋体" w:hAnsi="宋体" w:eastAsia="宋体" w:cs="宋体"/>
          <w:sz w:val="28"/>
          <w:szCs w:val="28"/>
        </w:rPr>
        <w:t>本标准为团体标准，供社会各界自愿使用。</w:t>
      </w:r>
    </w:p>
    <w:p w14:paraId="69D35BE8">
      <w:pPr>
        <w:pStyle w:val="2"/>
        <w:widowControl/>
        <w:spacing w:line="360" w:lineRule="auto"/>
        <w:ind w:left="0" w:firstLine="7"/>
        <w:jc w:val="both"/>
        <w:rPr>
          <w:rFonts w:hint="eastAsia" w:ascii="宋体" w:hAnsi="宋体" w:eastAsia="宋体" w:cs="宋体"/>
          <w:b/>
          <w:bCs/>
          <w:sz w:val="28"/>
          <w:szCs w:val="28"/>
        </w:rPr>
      </w:pPr>
      <w:r>
        <w:rPr>
          <w:rFonts w:hint="eastAsia" w:ascii="宋体" w:hAnsi="宋体" w:eastAsia="宋体" w:cs="宋体"/>
          <w:b/>
          <w:bCs/>
          <w:sz w:val="28"/>
          <w:szCs w:val="28"/>
        </w:rPr>
        <w:t>（九）贯彻标准的要求和措施建议</w:t>
      </w:r>
    </w:p>
    <w:p w14:paraId="58C2001C">
      <w:pPr>
        <w:pStyle w:val="2"/>
        <w:widowControl/>
        <w:spacing w:line="360" w:lineRule="auto"/>
        <w:ind w:left="0" w:firstLine="560" w:firstLineChars="200"/>
        <w:jc w:val="both"/>
        <w:rPr>
          <w:rFonts w:hint="eastAsia" w:ascii="宋体" w:hAnsi="宋体" w:eastAsia="宋体" w:cs="宋体"/>
          <w:b w:val="0"/>
          <w:bCs/>
          <w:sz w:val="28"/>
          <w:szCs w:val="28"/>
        </w:rPr>
      </w:pPr>
      <w:r>
        <w:rPr>
          <w:rFonts w:hint="eastAsia" w:ascii="宋体" w:hAnsi="宋体" w:eastAsia="宋体" w:cs="宋体"/>
          <w:b w:val="0"/>
          <w:bCs/>
          <w:sz w:val="28"/>
          <w:szCs w:val="28"/>
        </w:rPr>
        <w:t>无。</w:t>
      </w:r>
    </w:p>
    <w:p w14:paraId="0A55F208">
      <w:pPr>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sz w:val="28"/>
          <w:szCs w:val="28"/>
        </w:rPr>
      </w:pPr>
      <w:r>
        <w:rPr>
          <w:rFonts w:hint="eastAsia" w:ascii="宋体" w:hAnsi="宋体" w:eastAsia="宋体" w:cs="宋体"/>
          <w:b/>
          <w:bCs w:val="0"/>
          <w:kern w:val="0"/>
          <w:sz w:val="28"/>
          <w:szCs w:val="28"/>
          <w:lang w:val="en-US" w:eastAsia="zh-CN" w:bidi="ar"/>
        </w:rPr>
        <w:t>（十）废止现行相关标准的建议</w:t>
      </w:r>
    </w:p>
    <w:p w14:paraId="57C2DD89">
      <w:pPr>
        <w:keepNext w:val="0"/>
        <w:keepLines w:val="0"/>
        <w:widowControl w:val="0"/>
        <w:suppressLineNumbers w:val="0"/>
        <w:autoSpaceDE w:val="0"/>
        <w:autoSpaceDN w:val="0"/>
        <w:spacing w:before="0" w:beforeAutospacing="0" w:after="0" w:afterAutospacing="0" w:line="360" w:lineRule="auto"/>
        <w:ind w:left="0" w:right="0" w:firstLine="560" w:firstLineChars="200"/>
        <w:jc w:val="both"/>
        <w:rPr>
          <w:rFonts w:hint="eastAsia" w:ascii="宋体" w:hAnsi="宋体" w:eastAsia="宋体" w:cs="宋体"/>
          <w:sz w:val="28"/>
          <w:szCs w:val="28"/>
        </w:rPr>
      </w:pPr>
      <w:r>
        <w:rPr>
          <w:rFonts w:hint="eastAsia" w:ascii="宋体" w:hAnsi="宋体" w:eastAsia="宋体" w:cs="宋体"/>
          <w:kern w:val="0"/>
          <w:sz w:val="28"/>
          <w:szCs w:val="28"/>
          <w:lang w:val="en-US" w:eastAsia="zh-CN" w:bidi="ar"/>
        </w:rPr>
        <w:t>本标准为首次发布。</w:t>
      </w:r>
    </w:p>
    <w:p w14:paraId="586DC08D">
      <w:pPr>
        <w:pStyle w:val="2"/>
        <w:widowControl/>
        <w:spacing w:line="360" w:lineRule="auto"/>
        <w:ind w:left="0"/>
        <w:jc w:val="both"/>
        <w:rPr>
          <w:rFonts w:hint="eastAsia" w:ascii="宋体" w:hAnsi="宋体" w:eastAsia="宋体" w:cs="宋体"/>
          <w:b/>
          <w:bCs/>
          <w:sz w:val="28"/>
          <w:szCs w:val="28"/>
        </w:rPr>
      </w:pPr>
      <w:r>
        <w:rPr>
          <w:rFonts w:hint="eastAsia" w:ascii="宋体" w:hAnsi="宋体" w:eastAsia="宋体" w:cs="宋体"/>
          <w:b/>
          <w:bCs/>
          <w:sz w:val="28"/>
          <w:szCs w:val="28"/>
        </w:rPr>
        <w:t>（十一）其他应予说明的事项</w:t>
      </w:r>
    </w:p>
    <w:p w14:paraId="2C296F5B">
      <w:pPr>
        <w:pStyle w:val="2"/>
        <w:widowControl/>
        <w:spacing w:line="360" w:lineRule="auto"/>
        <w:ind w:left="0" w:firstLine="560" w:firstLineChars="200"/>
        <w:jc w:val="both"/>
        <w:rPr>
          <w:rFonts w:hint="eastAsia" w:ascii="宋体" w:hAnsi="宋体" w:eastAsia="宋体" w:cs="宋体"/>
          <w:b w:val="0"/>
          <w:bCs/>
          <w:sz w:val="28"/>
          <w:szCs w:val="28"/>
        </w:rPr>
      </w:pPr>
      <w:r>
        <w:rPr>
          <w:rFonts w:hint="eastAsia" w:ascii="宋体" w:hAnsi="宋体" w:eastAsia="宋体" w:cs="宋体"/>
          <w:b w:val="0"/>
          <w:bCs/>
          <w:sz w:val="28"/>
          <w:szCs w:val="28"/>
        </w:rPr>
        <w:t>无。</w:t>
      </w:r>
    </w:p>
    <w:p w14:paraId="5CCE0FC1">
      <w:pPr>
        <w:topLinePunct/>
        <w:spacing w:line="360" w:lineRule="auto"/>
        <w:ind w:firstLine="560" w:firstLineChars="200"/>
        <w:jc w:val="right"/>
        <w:rPr>
          <w:rFonts w:ascii="宋体" w:hAnsi="宋体" w:eastAsia="宋体"/>
          <w:sz w:val="28"/>
          <w:szCs w:val="28"/>
        </w:rPr>
      </w:pPr>
      <w:r>
        <w:rPr>
          <w:rFonts w:ascii="宋体" w:hAnsi="宋体" w:eastAsia="宋体"/>
          <w:sz w:val="28"/>
          <w:szCs w:val="28"/>
        </w:rPr>
        <w:t xml:space="preserve">  </w:t>
      </w:r>
    </w:p>
    <w:p w14:paraId="683F3AC0">
      <w:pPr>
        <w:topLinePunct/>
        <w:spacing w:line="360" w:lineRule="auto"/>
        <w:ind w:firstLine="560" w:firstLineChars="200"/>
        <w:jc w:val="right"/>
        <w:rPr>
          <w:rFonts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lang w:val="en-US" w:eastAsia="zh-CN"/>
        </w:rPr>
        <w:t>模块化防窃电能计量箱</w:t>
      </w:r>
      <w:r>
        <w:rPr>
          <w:rFonts w:hint="eastAsia" w:ascii="宋体" w:hAnsi="宋体" w:eastAsia="宋体"/>
          <w:sz w:val="28"/>
          <w:szCs w:val="28"/>
        </w:rPr>
        <w:t>》起草组</w:t>
      </w:r>
      <w:r>
        <w:rPr>
          <w:rFonts w:ascii="宋体" w:hAnsi="宋体" w:eastAsia="宋体"/>
          <w:sz w:val="28"/>
          <w:szCs w:val="28"/>
        </w:rPr>
        <w:t xml:space="preserve"> </w:t>
      </w:r>
    </w:p>
    <w:p w14:paraId="5CBDB735">
      <w:pPr>
        <w:topLinePunct/>
        <w:spacing w:line="360" w:lineRule="auto"/>
        <w:ind w:firstLine="560" w:firstLineChars="200"/>
        <w:jc w:val="right"/>
        <w:rPr>
          <w:rFonts w:ascii="宋体" w:hAnsi="宋体" w:eastAsia="宋体"/>
          <w:sz w:val="28"/>
          <w:szCs w:val="28"/>
        </w:rPr>
      </w:pPr>
      <w:r>
        <w:rPr>
          <w:rFonts w:hint="eastAsia" w:ascii="宋体" w:hAnsi="宋体" w:eastAsia="宋体"/>
          <w:sz w:val="28"/>
          <w:szCs w:val="28"/>
          <w:lang w:val="en-US" w:eastAsia="zh-CN"/>
        </w:rPr>
        <w:t>2025</w:t>
      </w:r>
      <w:r>
        <w:rPr>
          <w:rFonts w:ascii="宋体" w:hAnsi="宋体" w:eastAsia="宋体"/>
          <w:sz w:val="28"/>
          <w:szCs w:val="28"/>
        </w:rPr>
        <w:t>年</w:t>
      </w:r>
      <w:r>
        <w:rPr>
          <w:rFonts w:hint="eastAsia" w:ascii="宋体" w:hAnsi="宋体" w:eastAsia="宋体"/>
          <w:sz w:val="28"/>
          <w:szCs w:val="28"/>
          <w:lang w:val="en-US" w:eastAsia="zh-CN"/>
        </w:rPr>
        <w:t>4</w:t>
      </w:r>
      <w:r>
        <w:rPr>
          <w:rFonts w:ascii="宋体" w:hAnsi="宋体" w:eastAsia="宋体"/>
          <w:sz w:val="28"/>
          <w:szCs w:val="28"/>
        </w:rPr>
        <w:t>月</w:t>
      </w:r>
      <w:r>
        <w:rPr>
          <w:rFonts w:hint="eastAsia" w:ascii="宋体" w:hAnsi="宋体" w:eastAsia="宋体"/>
          <w:sz w:val="28"/>
          <w:szCs w:val="28"/>
          <w:lang w:val="en-US" w:eastAsia="zh-CN"/>
        </w:rPr>
        <w:t>25</w:t>
      </w:r>
      <w:r>
        <w:rPr>
          <w:rFonts w:ascii="宋体" w:hAnsi="宋体" w:eastAsia="宋体"/>
          <w:sz w:val="28"/>
          <w:szCs w:val="28"/>
        </w:rPr>
        <w:t>日</w:t>
      </w:r>
    </w:p>
    <w:sectPr>
      <w:type w:val="continuous"/>
      <w:pgSz w:w="11906" w:h="16841"/>
      <w:pgMar w:top="1440" w:right="1800" w:bottom="1440" w:left="1800" w:header="720" w:footer="720"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迷你简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宋体">
    <w:panose1 w:val="02010600030101010101"/>
    <w:charset w:val="86"/>
    <w:family w:val="auto"/>
    <w:pitch w:val="variable"/>
    <w:sig w:usb0="000002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1"/>
      <w:suff w:val="nothing"/>
      <w:lvlText w:val="%1%2　"/>
      <w:lvlJc w:val="left"/>
      <w:pPr>
        <w:ind w:left="0" w:firstLine="0"/>
      </w:pPr>
      <w:rPr>
        <w:rFonts w:hint="eastAsia" w:ascii="黑体" w:eastAsia="黑体"/>
        <w:b w:val="0"/>
        <w:i w:val="0"/>
        <w:sz w:val="21"/>
      </w:rPr>
    </w:lvl>
    <w:lvl w:ilvl="2" w:tentative="0">
      <w:start w:val="1"/>
      <w:numFmt w:val="decimal"/>
      <w:pStyle w:val="2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79676C9C"/>
    <w:multiLevelType w:val="multilevel"/>
    <w:tmpl w:val="79676C9C"/>
    <w:lvl w:ilvl="0" w:tentative="0">
      <w:start w:val="7"/>
      <w:numFmt w:val="decimal"/>
      <w:suff w:val="nothing"/>
      <w:lvlText w:val="%1、"/>
      <w:lvlJc w:val="left"/>
      <w:pPr>
        <w:ind w:left="-8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10"/>
  <w:drawingGridVerticalSpacing w:val="2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FCE"/>
    <w:rsid w:val="00013CD7"/>
    <w:rsid w:val="00021E0D"/>
    <w:rsid w:val="00031415"/>
    <w:rsid w:val="000711D3"/>
    <w:rsid w:val="00076E6A"/>
    <w:rsid w:val="0007729C"/>
    <w:rsid w:val="00080FCE"/>
    <w:rsid w:val="000841BD"/>
    <w:rsid w:val="00086D78"/>
    <w:rsid w:val="00096631"/>
    <w:rsid w:val="000D7E80"/>
    <w:rsid w:val="00100F6C"/>
    <w:rsid w:val="00100FA1"/>
    <w:rsid w:val="0010711D"/>
    <w:rsid w:val="001171FC"/>
    <w:rsid w:val="00122E25"/>
    <w:rsid w:val="00124E74"/>
    <w:rsid w:val="001552ED"/>
    <w:rsid w:val="00172D1B"/>
    <w:rsid w:val="00184316"/>
    <w:rsid w:val="001A1C3A"/>
    <w:rsid w:val="001A3971"/>
    <w:rsid w:val="001A7B8A"/>
    <w:rsid w:val="001E5452"/>
    <w:rsid w:val="001E59E1"/>
    <w:rsid w:val="00200A33"/>
    <w:rsid w:val="002212B2"/>
    <w:rsid w:val="00223390"/>
    <w:rsid w:val="00227D9E"/>
    <w:rsid w:val="00233775"/>
    <w:rsid w:val="00237A71"/>
    <w:rsid w:val="00253FA1"/>
    <w:rsid w:val="00276C1B"/>
    <w:rsid w:val="0029410D"/>
    <w:rsid w:val="002A116B"/>
    <w:rsid w:val="002A16BD"/>
    <w:rsid w:val="002C7C84"/>
    <w:rsid w:val="002E34E6"/>
    <w:rsid w:val="002F3F4D"/>
    <w:rsid w:val="00301337"/>
    <w:rsid w:val="003073A8"/>
    <w:rsid w:val="00374298"/>
    <w:rsid w:val="003C4C2B"/>
    <w:rsid w:val="003F6507"/>
    <w:rsid w:val="004357F5"/>
    <w:rsid w:val="00462A1E"/>
    <w:rsid w:val="00467311"/>
    <w:rsid w:val="00486151"/>
    <w:rsid w:val="00495229"/>
    <w:rsid w:val="004A0525"/>
    <w:rsid w:val="004A5E54"/>
    <w:rsid w:val="004A6E9D"/>
    <w:rsid w:val="004B116E"/>
    <w:rsid w:val="004D46D1"/>
    <w:rsid w:val="004D5495"/>
    <w:rsid w:val="004E5DAF"/>
    <w:rsid w:val="004F32FF"/>
    <w:rsid w:val="0052542A"/>
    <w:rsid w:val="00543CA9"/>
    <w:rsid w:val="00555D75"/>
    <w:rsid w:val="00560FA5"/>
    <w:rsid w:val="00566FEC"/>
    <w:rsid w:val="00587745"/>
    <w:rsid w:val="005C7B43"/>
    <w:rsid w:val="00612447"/>
    <w:rsid w:val="006379F1"/>
    <w:rsid w:val="00647F5C"/>
    <w:rsid w:val="006770FA"/>
    <w:rsid w:val="006771DA"/>
    <w:rsid w:val="0068107B"/>
    <w:rsid w:val="00683BC8"/>
    <w:rsid w:val="00693278"/>
    <w:rsid w:val="00696DC6"/>
    <w:rsid w:val="006A2989"/>
    <w:rsid w:val="006A7619"/>
    <w:rsid w:val="007236F7"/>
    <w:rsid w:val="00780878"/>
    <w:rsid w:val="00793EA3"/>
    <w:rsid w:val="007A285E"/>
    <w:rsid w:val="007B647A"/>
    <w:rsid w:val="007D143A"/>
    <w:rsid w:val="007D4ACF"/>
    <w:rsid w:val="007E71D6"/>
    <w:rsid w:val="007E765D"/>
    <w:rsid w:val="007F46FC"/>
    <w:rsid w:val="007F784F"/>
    <w:rsid w:val="00802198"/>
    <w:rsid w:val="00820BE7"/>
    <w:rsid w:val="00831C13"/>
    <w:rsid w:val="008374F8"/>
    <w:rsid w:val="00855EF3"/>
    <w:rsid w:val="008639DD"/>
    <w:rsid w:val="00873DB6"/>
    <w:rsid w:val="00895E54"/>
    <w:rsid w:val="008F2746"/>
    <w:rsid w:val="00901136"/>
    <w:rsid w:val="00905D53"/>
    <w:rsid w:val="00921AEC"/>
    <w:rsid w:val="00925E06"/>
    <w:rsid w:val="009349E7"/>
    <w:rsid w:val="009468CF"/>
    <w:rsid w:val="00954D9A"/>
    <w:rsid w:val="009603D3"/>
    <w:rsid w:val="00975BD6"/>
    <w:rsid w:val="009D3675"/>
    <w:rsid w:val="009D498C"/>
    <w:rsid w:val="009D796E"/>
    <w:rsid w:val="00A32DBC"/>
    <w:rsid w:val="00A3749C"/>
    <w:rsid w:val="00A76277"/>
    <w:rsid w:val="00A824EF"/>
    <w:rsid w:val="00A869F3"/>
    <w:rsid w:val="00A86B89"/>
    <w:rsid w:val="00B36263"/>
    <w:rsid w:val="00B379B8"/>
    <w:rsid w:val="00B5633A"/>
    <w:rsid w:val="00B77F39"/>
    <w:rsid w:val="00B82572"/>
    <w:rsid w:val="00B83264"/>
    <w:rsid w:val="00BB60E1"/>
    <w:rsid w:val="00BE3B0F"/>
    <w:rsid w:val="00BF54BF"/>
    <w:rsid w:val="00C12B64"/>
    <w:rsid w:val="00C21C0E"/>
    <w:rsid w:val="00C27EC1"/>
    <w:rsid w:val="00C312CC"/>
    <w:rsid w:val="00C3266C"/>
    <w:rsid w:val="00C336CE"/>
    <w:rsid w:val="00C352B8"/>
    <w:rsid w:val="00C44BF8"/>
    <w:rsid w:val="00C53848"/>
    <w:rsid w:val="00C71078"/>
    <w:rsid w:val="00C72DAC"/>
    <w:rsid w:val="00CA3F74"/>
    <w:rsid w:val="00CE3183"/>
    <w:rsid w:val="00CF7082"/>
    <w:rsid w:val="00D06A12"/>
    <w:rsid w:val="00D24B3F"/>
    <w:rsid w:val="00D2603E"/>
    <w:rsid w:val="00D47D49"/>
    <w:rsid w:val="00D56B4C"/>
    <w:rsid w:val="00D66359"/>
    <w:rsid w:val="00D83C32"/>
    <w:rsid w:val="00DA74DA"/>
    <w:rsid w:val="00DB002D"/>
    <w:rsid w:val="00DC22FD"/>
    <w:rsid w:val="00DC5CD1"/>
    <w:rsid w:val="00DE0621"/>
    <w:rsid w:val="00DE4309"/>
    <w:rsid w:val="00DF638A"/>
    <w:rsid w:val="00DF7390"/>
    <w:rsid w:val="00E00D3E"/>
    <w:rsid w:val="00E01BCF"/>
    <w:rsid w:val="00E12A88"/>
    <w:rsid w:val="00E50746"/>
    <w:rsid w:val="00E650FA"/>
    <w:rsid w:val="00EA1735"/>
    <w:rsid w:val="00EC3FE9"/>
    <w:rsid w:val="00ED4E5B"/>
    <w:rsid w:val="00F30933"/>
    <w:rsid w:val="00F7230A"/>
    <w:rsid w:val="00F724A6"/>
    <w:rsid w:val="00F829FC"/>
    <w:rsid w:val="00F92024"/>
    <w:rsid w:val="00FA1182"/>
    <w:rsid w:val="00FC34D9"/>
    <w:rsid w:val="00FE27EF"/>
    <w:rsid w:val="00FF28A7"/>
    <w:rsid w:val="30F401E0"/>
    <w:rsid w:val="3E4D23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val="0"/>
      <w:keepLines w:val="0"/>
      <w:widowControl w:val="0"/>
      <w:suppressLineNumbers w:val="0"/>
      <w:autoSpaceDE w:val="0"/>
      <w:autoSpaceDN w:val="0"/>
      <w:spacing w:before="0" w:beforeAutospacing="1" w:after="0" w:afterAutospacing="1"/>
      <w:ind w:left="240"/>
      <w:jc w:val="left"/>
      <w:outlineLvl w:val="1"/>
    </w:pPr>
    <w:rPr>
      <w:rFonts w:hint="eastAsia" w:ascii="宋体" w:hAnsi="宋体" w:eastAsia="宋体" w:cs="宋体"/>
      <w:b/>
      <w:bCs/>
      <w:kern w:val="0"/>
      <w:sz w:val="28"/>
      <w:szCs w:val="28"/>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Body Text"/>
    <w:basedOn w:val="1"/>
    <w:unhideWhenUsed/>
    <w:qFormat/>
    <w:uiPriority w:val="99"/>
    <w:pPr>
      <w:keepNext w:val="0"/>
      <w:keepLines w:val="0"/>
      <w:widowControl w:val="0"/>
      <w:suppressLineNumbers w:val="0"/>
      <w:autoSpaceDE w:val="0"/>
      <w:autoSpaceDN w:val="0"/>
      <w:ind w:left="240"/>
      <w:jc w:val="left"/>
    </w:pPr>
    <w:rPr>
      <w:rFonts w:hint="eastAsia" w:ascii="宋体" w:hAnsi="宋体" w:eastAsia="宋体" w:cs="宋体"/>
      <w:kern w:val="0"/>
      <w:sz w:val="28"/>
      <w:szCs w:val="28"/>
      <w:lang w:val="en-US" w:eastAsia="zh-CN" w:bidi="ar"/>
    </w:rPr>
  </w:style>
  <w:style w:type="paragraph" w:styleId="4">
    <w:name w:val="Date"/>
    <w:basedOn w:val="1"/>
    <w:next w:val="1"/>
    <w:link w:val="13"/>
    <w:semiHidden/>
    <w:unhideWhenUsed/>
    <w:qFormat/>
    <w:uiPriority w:val="99"/>
    <w:pPr>
      <w:ind w:left="100" w:leftChars="2500"/>
    </w:p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rPr>
      <w:sz w:val="24"/>
    </w:rPr>
  </w:style>
  <w:style w:type="character" w:styleId="11">
    <w:name w:val="Strong"/>
    <w:basedOn w:val="10"/>
    <w:qFormat/>
    <w:uiPriority w:val="22"/>
    <w:rPr>
      <w:b/>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customStyle="1" w:styleId="13">
    <w:name w:val="日期 字符"/>
    <w:basedOn w:val="10"/>
    <w:link w:val="4"/>
    <w:semiHidden/>
    <w:qFormat/>
    <w:uiPriority w:val="99"/>
  </w:style>
  <w:style w:type="character" w:customStyle="1" w:styleId="14">
    <w:name w:val="未处理的提及1"/>
    <w:basedOn w:val="10"/>
    <w:semiHidden/>
    <w:unhideWhenUsed/>
    <w:qFormat/>
    <w:uiPriority w:val="99"/>
    <w:rPr>
      <w:color w:val="605E5C"/>
      <w:shd w:val="clear" w:color="auto" w:fill="E1DFDD"/>
    </w:rPr>
  </w:style>
  <w:style w:type="character" w:customStyle="1" w:styleId="15">
    <w:name w:val="页眉 字符"/>
    <w:basedOn w:val="10"/>
    <w:link w:val="7"/>
    <w:qFormat/>
    <w:uiPriority w:val="99"/>
    <w:rPr>
      <w:sz w:val="18"/>
      <w:szCs w:val="18"/>
    </w:rPr>
  </w:style>
  <w:style w:type="character" w:customStyle="1" w:styleId="16">
    <w:name w:val="页脚 字符"/>
    <w:basedOn w:val="10"/>
    <w:link w:val="6"/>
    <w:qFormat/>
    <w:uiPriority w:val="99"/>
    <w:rPr>
      <w:sz w:val="18"/>
      <w:szCs w:val="18"/>
    </w:rPr>
  </w:style>
  <w:style w:type="character" w:customStyle="1" w:styleId="17">
    <w:name w:val="批注框文本 字符"/>
    <w:basedOn w:val="10"/>
    <w:link w:val="5"/>
    <w:semiHidden/>
    <w:qFormat/>
    <w:uiPriority w:val="99"/>
    <w:rPr>
      <w:sz w:val="18"/>
      <w:szCs w:val="18"/>
    </w:rPr>
  </w:style>
  <w:style w:type="paragraph" w:customStyle="1" w:styleId="18">
    <w:name w:val="段"/>
    <w:basedOn w:val="1"/>
    <w:qFormat/>
    <w:uiPriority w:val="0"/>
    <w:pPr>
      <w:widowControl/>
      <w:tabs>
        <w:tab w:val="center" w:pos="4201"/>
        <w:tab w:val="right" w:leader="dot" w:pos="9298"/>
      </w:tabs>
      <w:autoSpaceDE w:val="0"/>
      <w:autoSpaceDN w:val="0"/>
      <w:spacing w:before="0" w:beforeAutospacing="0" w:after="0" w:afterAutospacing="0"/>
      <w:ind w:left="0" w:right="0" w:firstLine="420" w:firstLineChars="200"/>
      <w:jc w:val="both"/>
    </w:pPr>
    <w:rPr>
      <w:rFonts w:hint="eastAsia" w:ascii="宋体" w:hAnsi="Times New Roman" w:eastAsia="宋体" w:cs="Times New Roman"/>
      <w:kern w:val="0"/>
      <w:sz w:val="21"/>
      <w:szCs w:val="21"/>
      <w:lang w:val="en-US" w:eastAsia="zh-CN" w:bidi="ar"/>
    </w:rPr>
  </w:style>
  <w:style w:type="paragraph" w:customStyle="1" w:styleId="19">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
    <w:name w:val="标准文件_一级条标题"/>
    <w:basedOn w:val="21"/>
    <w:next w:val="19"/>
    <w:qFormat/>
    <w:uiPriority w:val="0"/>
    <w:pPr>
      <w:numPr>
        <w:ilvl w:val="2"/>
      </w:numPr>
      <w:spacing w:before="50" w:beforeLines="50" w:after="50" w:afterLines="50"/>
      <w:outlineLvl w:val="1"/>
    </w:pPr>
  </w:style>
  <w:style w:type="paragraph" w:customStyle="1" w:styleId="21">
    <w:name w:val="标准文件_章标题"/>
    <w:next w:val="19"/>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character" w:styleId="22">
    <w:name w:val="Placeholder Text"/>
    <w:basedOn w:val="10"/>
    <w:semiHidden/>
    <w:qFormat/>
    <w:uiPriority w:val="99"/>
    <w:rPr>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2866</Words>
  <Characters>3147</Characters>
  <Lines>2</Lines>
  <Paragraphs>1</Paragraphs>
  <TotalTime>15</TotalTime>
  <ScaleCrop>false</ScaleCrop>
  <LinksUpToDate>false</LinksUpToDate>
  <CharactersWithSpaces>3253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2022-04-21T01:39:00Z</dcterms:created>
  <dc:creator>高 福云</dc:creator>
  <cp:lastModifiedBy>徐君言</cp:lastModifiedBy>
  <cp:lastPrinted>2022-05-11T05:51:00Z</cp:lastPrinted>
  <dcterms:modified xsi:type="dcterms:W3CDTF">2025-04-25T06:59:13Z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eyJoZGlkIjoiZWNlMDAzNWQyNzVkOThhY2NhZTA1Zjc3OGQ5NmI0YzUiLCJ1c2VySWQiOiIxNjE5NDQ4OTkzIn0=</vt:lpwstr>
  </property>
  <property fmtid="{D5CDD505-2E9C-101B-9397-08002B2CF9AE}" pid="3" name="KSOProductBuildVer">
    <vt:lpwstr>2052-12.1.0.19302</vt:lpwstr>
  </property>
  <property fmtid="{D5CDD505-2E9C-101B-9397-08002B2CF9AE}" pid="4" name="ICV">
    <vt:lpwstr>E1B01D8DD9634E3D907A573FA85703AC_12</vt:lpwstr>
  </property>
</Properties>
</file>