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6335C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49CB7E8">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B47F95B">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91.200</w:t>
            </w:r>
            <w:r>
              <w:rPr>
                <w:rFonts w:ascii="黑体" w:hAnsi="黑体" w:eastAsia="黑体"/>
                <w:sz w:val="21"/>
                <w:szCs w:val="21"/>
              </w:rPr>
              <w:fldChar w:fldCharType="end"/>
            </w:r>
            <w:bookmarkEnd w:id="0"/>
          </w:p>
        </w:tc>
      </w:tr>
      <w:tr w14:paraId="41036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07DC793">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7947958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145E1B3C">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CASMES</w:t>
                  </w:r>
                  <w:r>
                    <w:fldChar w:fldCharType="end"/>
                  </w:r>
                  <w:bookmarkEnd w:id="1"/>
                </w:p>
              </w:tc>
            </w:tr>
          </w:tbl>
          <w:p w14:paraId="4A412A5F">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P 01</w:t>
            </w:r>
            <w:r>
              <w:rPr>
                <w:rFonts w:ascii="黑体" w:hAnsi="黑体" w:eastAsia="黑体"/>
                <w:sz w:val="21"/>
                <w:szCs w:val="21"/>
              </w:rPr>
              <w:fldChar w:fldCharType="end"/>
            </w:r>
            <w:bookmarkEnd w:id="2"/>
          </w:p>
        </w:tc>
      </w:tr>
    </w:tbl>
    <w:p w14:paraId="3B2A264C">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B0BF26C">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CASMES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lang w:val="en-US" w:eastAsia="zh-CN"/>
        </w:rPr>
        <w:t>2025</w:t>
      </w:r>
      <w:r>
        <w:fldChar w:fldCharType="end"/>
      </w:r>
      <w:bookmarkEnd w:id="7"/>
    </w:p>
    <w:p w14:paraId="745FF7A4">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20AC49B0">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C93A933">
      <w:pPr>
        <w:pStyle w:val="50"/>
        <w:framePr w:w="9639" w:h="6976" w:hRule="exact" w:hSpace="0" w:vSpace="0" w:wrap="around" w:hAnchor="page" w:y="6408"/>
        <w:jc w:val="center"/>
        <w:rPr>
          <w:rFonts w:hint="eastAsia" w:ascii="黑体" w:hAnsi="黑体" w:eastAsia="黑体"/>
          <w:b w:val="0"/>
          <w:bCs w:val="0"/>
          <w:w w:val="100"/>
        </w:rPr>
      </w:pPr>
    </w:p>
    <w:p w14:paraId="17CECF37">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装配式建筑 预制构件现场施工作业质量控制管理规范</w:t>
      </w:r>
      <w:r>
        <w:fldChar w:fldCharType="end"/>
      </w:r>
      <w:bookmarkEnd w:id="9"/>
    </w:p>
    <w:p w14:paraId="73F0219B">
      <w:pPr>
        <w:framePr w:w="9639" w:h="6974" w:hRule="exact" w:wrap="around" w:vAnchor="page" w:hAnchor="page" w:x="1419" w:y="6408" w:anchorLock="1"/>
        <w:ind w:left="-1418"/>
      </w:pPr>
    </w:p>
    <w:p w14:paraId="5E463317">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Code for quality control and management of field construction of prefabricated components of prefabricated buildings</w:t>
      </w:r>
      <w:r>
        <w:rPr>
          <w:rFonts w:eastAsia="黑体"/>
          <w:szCs w:val="28"/>
        </w:rPr>
        <w:fldChar w:fldCharType="end"/>
      </w:r>
      <w:bookmarkEnd w:id="10"/>
    </w:p>
    <w:p w14:paraId="4622D5E4">
      <w:pPr>
        <w:framePr w:w="9639" w:h="6974" w:hRule="exact" w:wrap="around" w:vAnchor="page" w:hAnchor="page" w:x="1419" w:y="6408" w:anchorLock="1"/>
        <w:spacing w:line="760" w:lineRule="exact"/>
        <w:ind w:left="-1418"/>
      </w:pPr>
    </w:p>
    <w:p w14:paraId="4174722E">
      <w:pPr>
        <w:pStyle w:val="125"/>
        <w:framePr w:w="9639" w:h="6974" w:hRule="exact" w:wrap="around" w:vAnchor="page" w:hAnchor="page" w:x="1419" w:y="6408" w:anchorLock="1"/>
        <w:textAlignment w:val="bottom"/>
        <w:rPr>
          <w:rFonts w:eastAsia="黑体"/>
          <w:szCs w:val="28"/>
        </w:rPr>
      </w:pPr>
    </w:p>
    <w:p w14:paraId="2B4D2D32">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4ACBB2E0">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039A21CE">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4B0F9AED">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30B74DB1">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032C3FBE">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中国中小企业协会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53961797">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957D67F">
      <w:pPr>
        <w:pStyle w:val="91"/>
        <w:spacing w:after="360"/>
        <w:rPr>
          <w:rFonts w:hint="eastAsia"/>
        </w:rPr>
      </w:pPr>
      <w:bookmarkStart w:id="21" w:name="BookMark1"/>
      <w:r>
        <w:rPr>
          <w:rFonts w:hint="eastAsia"/>
          <w:spacing w:val="320"/>
        </w:rPr>
        <w:t>目</w:t>
      </w:r>
      <w:r>
        <w:rPr>
          <w:rFonts w:hint="eastAsia"/>
        </w:rPr>
        <w:t>次</w:t>
      </w:r>
    </w:p>
    <w:p w14:paraId="5C020BAE">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"_Toc195620867"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_Toc195620867 \h</w:instrText>
      </w:r>
      <w:r>
        <w:rPr>
          <w:rFonts w:hint="eastAsia"/>
        </w:rPr>
        <w:instrText xml:space="preserve"> </w:instrText>
      </w:r>
      <w:r>
        <w:fldChar w:fldCharType="separate"/>
      </w:r>
      <w:r>
        <w:t>II</w:t>
      </w:r>
      <w:r>
        <w:rPr>
          <w:rFonts w:hint="eastAsia"/>
        </w:rPr>
        <w:fldChar w:fldCharType="end"/>
      </w:r>
      <w:r>
        <w:rPr>
          <w:rFonts w:hint="eastAsia"/>
        </w:rPr>
        <w:fldChar w:fldCharType="end"/>
      </w:r>
    </w:p>
    <w:p w14:paraId="55870CA5">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"_Toc195620868"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_Toc195620868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38FCE823">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"_Toc195620869"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_Toc195620869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59626A85">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"_Toc195620870"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_Toc195620870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2F9D480F">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"_Toc195620871" </w:instrText>
      </w:r>
      <w:r>
        <w:fldChar w:fldCharType="separate"/>
      </w:r>
      <w:r>
        <w:rPr>
          <w:rStyle w:val="32"/>
          <w:rFonts w:hint="eastAsia"/>
        </w:rPr>
        <w:t>4</w:t>
      </w:r>
      <w:r>
        <w:rPr>
          <w:rStyle w:val="32"/>
        </w:rPr>
        <w:t xml:space="preserve"> </w:t>
      </w:r>
      <w:r>
        <w:rPr>
          <w:rStyle w:val="32"/>
          <w:rFonts w:hint="eastAsia"/>
        </w:rPr>
        <w:t xml:space="preserve"> 基本规定</w:t>
      </w:r>
      <w:r>
        <w:rPr>
          <w:rFonts w:hint="eastAsia"/>
        </w:rPr>
        <w:tab/>
      </w:r>
      <w:r>
        <w:rPr>
          <w:rFonts w:hint="eastAsia"/>
        </w:rPr>
        <w:fldChar w:fldCharType="begin"/>
      </w:r>
      <w:r>
        <w:rPr>
          <w:rFonts w:hint="eastAsia"/>
        </w:rPr>
        <w:instrText xml:space="preserve"> </w:instrText>
      </w:r>
      <w:r>
        <w:instrText xml:space="preserve">PAGEREF _Toc195620871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3FE235D3">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"_Toc195620872" </w:instrText>
      </w:r>
      <w:r>
        <w:fldChar w:fldCharType="separate"/>
      </w:r>
      <w:r>
        <w:rPr>
          <w:rStyle w:val="32"/>
          <w:rFonts w:hint="eastAsia"/>
        </w:rPr>
        <w:t>5</w:t>
      </w:r>
      <w:r>
        <w:rPr>
          <w:rStyle w:val="32"/>
        </w:rPr>
        <w:t xml:space="preserve"> </w:t>
      </w:r>
      <w:r>
        <w:rPr>
          <w:rStyle w:val="32"/>
          <w:rFonts w:hint="eastAsia"/>
        </w:rPr>
        <w:t xml:space="preserve"> 进场管理</w:t>
      </w:r>
      <w:r>
        <w:rPr>
          <w:rFonts w:hint="eastAsia"/>
        </w:rPr>
        <w:tab/>
      </w:r>
      <w:r>
        <w:rPr>
          <w:rFonts w:hint="eastAsia"/>
        </w:rPr>
        <w:fldChar w:fldCharType="begin"/>
      </w:r>
      <w:r>
        <w:rPr>
          <w:rFonts w:hint="eastAsia"/>
        </w:rPr>
        <w:instrText xml:space="preserve"> </w:instrText>
      </w:r>
      <w:r>
        <w:instrText xml:space="preserve">PAGEREF _Toc195620872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6437B957">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"_Toc195620873" </w:instrText>
      </w:r>
      <w:r>
        <w:fldChar w:fldCharType="separate"/>
      </w:r>
      <w:r>
        <w:rPr>
          <w:rStyle w:val="32"/>
          <w:rFonts w:hint="eastAsia"/>
        </w:rPr>
        <w:t>6</w:t>
      </w:r>
      <w:r>
        <w:rPr>
          <w:rStyle w:val="32"/>
        </w:rPr>
        <w:t xml:space="preserve"> </w:t>
      </w:r>
      <w:r>
        <w:rPr>
          <w:rStyle w:val="32"/>
          <w:rFonts w:hint="eastAsia"/>
        </w:rPr>
        <w:t xml:space="preserve"> 安装管理</w:t>
      </w:r>
      <w:r>
        <w:rPr>
          <w:rFonts w:hint="eastAsia"/>
        </w:rPr>
        <w:tab/>
      </w:r>
      <w:r>
        <w:rPr>
          <w:rFonts w:hint="eastAsia"/>
        </w:rPr>
        <w:fldChar w:fldCharType="begin"/>
      </w:r>
      <w:r>
        <w:rPr>
          <w:rFonts w:hint="eastAsia"/>
        </w:rPr>
        <w:instrText xml:space="preserve"> </w:instrText>
      </w:r>
      <w:r>
        <w:instrText xml:space="preserve">PAGEREF _Toc195620873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48CE28B4">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"_Toc195620874" </w:instrText>
      </w:r>
      <w:r>
        <w:fldChar w:fldCharType="separate"/>
      </w:r>
      <w:r>
        <w:rPr>
          <w:rStyle w:val="32"/>
          <w:rFonts w:hint="eastAsia"/>
        </w:rPr>
        <w:t>7</w:t>
      </w:r>
      <w:r>
        <w:rPr>
          <w:rStyle w:val="32"/>
        </w:rPr>
        <w:t xml:space="preserve"> </w:t>
      </w:r>
      <w:r>
        <w:rPr>
          <w:rStyle w:val="32"/>
          <w:rFonts w:hint="eastAsia"/>
        </w:rPr>
        <w:t xml:space="preserve"> 高处作业管理</w:t>
      </w:r>
      <w:r>
        <w:rPr>
          <w:rFonts w:hint="eastAsia"/>
        </w:rPr>
        <w:tab/>
      </w:r>
      <w:r>
        <w:rPr>
          <w:rFonts w:hint="eastAsia"/>
        </w:rPr>
        <w:fldChar w:fldCharType="begin"/>
      </w:r>
      <w:r>
        <w:rPr>
          <w:rFonts w:hint="eastAsia"/>
        </w:rPr>
        <w:instrText xml:space="preserve"> </w:instrText>
      </w:r>
      <w:r>
        <w:instrText xml:space="preserve">PAGEREF _Toc195620874 \h</w:instrText>
      </w:r>
      <w:r>
        <w:rPr>
          <w:rFonts w:hint="eastAsia"/>
        </w:rPr>
        <w:instrText xml:space="preserve"> </w:instrText>
      </w:r>
      <w:r>
        <w:fldChar w:fldCharType="separate"/>
      </w:r>
      <w:r>
        <w:t>7</w:t>
      </w:r>
      <w:r>
        <w:rPr>
          <w:rFonts w:hint="eastAsia"/>
        </w:rPr>
        <w:fldChar w:fldCharType="end"/>
      </w:r>
      <w:r>
        <w:rPr>
          <w:rFonts w:hint="eastAsia"/>
        </w:rPr>
        <w:fldChar w:fldCharType="end"/>
      </w:r>
    </w:p>
    <w:p w14:paraId="27FC6306">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"_Toc195620875" </w:instrText>
      </w:r>
      <w:r>
        <w:fldChar w:fldCharType="separate"/>
      </w:r>
      <w:r>
        <w:rPr>
          <w:rStyle w:val="32"/>
          <w:rFonts w:hint="eastAsia"/>
        </w:rPr>
        <w:t>8</w:t>
      </w:r>
      <w:r>
        <w:rPr>
          <w:rStyle w:val="32"/>
        </w:rPr>
        <w:t xml:space="preserve"> </w:t>
      </w:r>
      <w:r>
        <w:rPr>
          <w:rStyle w:val="32"/>
          <w:rFonts w:hint="eastAsia"/>
        </w:rPr>
        <w:t xml:space="preserve"> 质量管理</w:t>
      </w:r>
      <w:r>
        <w:rPr>
          <w:rFonts w:hint="eastAsia"/>
        </w:rPr>
        <w:tab/>
      </w:r>
      <w:r>
        <w:rPr>
          <w:rFonts w:hint="eastAsia"/>
        </w:rPr>
        <w:fldChar w:fldCharType="begin"/>
      </w:r>
      <w:r>
        <w:rPr>
          <w:rFonts w:hint="eastAsia"/>
        </w:rPr>
        <w:instrText xml:space="preserve"> </w:instrText>
      </w:r>
      <w:r>
        <w:instrText xml:space="preserve">PAGEREF _Toc195620875 \h</w:instrText>
      </w:r>
      <w:r>
        <w:rPr>
          <w:rFonts w:hint="eastAsia"/>
        </w:rPr>
        <w:instrText xml:space="preserve"> </w:instrText>
      </w:r>
      <w:r>
        <w:fldChar w:fldCharType="separate"/>
      </w:r>
      <w:r>
        <w:t>8</w:t>
      </w:r>
      <w:r>
        <w:rPr>
          <w:rFonts w:hint="eastAsia"/>
        </w:rPr>
        <w:fldChar w:fldCharType="end"/>
      </w:r>
      <w:r>
        <w:rPr>
          <w:rFonts w:hint="eastAsia"/>
        </w:rPr>
        <w:fldChar w:fldCharType="end"/>
      </w:r>
    </w:p>
    <w:p w14:paraId="37F22430">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2C102C15">
      <w:pPr>
        <w:pStyle w:val="89"/>
        <w:spacing w:before="900" w:after="360"/>
      </w:pPr>
      <w:bookmarkStart w:id="22" w:name="_Toc195620867"/>
      <w:bookmarkStart w:id="23" w:name="BookMark2"/>
      <w:r>
        <w:rPr>
          <w:rFonts w:hint="eastAsia"/>
          <w:spacing w:val="320"/>
        </w:rPr>
        <w:t>前</w:t>
      </w:r>
      <w:r>
        <w:rPr>
          <w:rFonts w:hint="eastAsia"/>
        </w:rPr>
        <w:t>言</w:t>
      </w:r>
      <w:bookmarkEnd w:id="22"/>
    </w:p>
    <w:p w14:paraId="22DA217D">
      <w:pPr>
        <w:pStyle w:val="56"/>
        <w:ind w:firstLine="420"/>
      </w:pPr>
      <w:r>
        <w:rPr>
          <w:rFonts w:hint="eastAsia"/>
        </w:rPr>
        <w:t>本文件按照GB/T 1.1—2020《标准化工作导则  第1部分：标准化文件的结构和起草规则》的规定起草。</w:t>
      </w:r>
    </w:p>
    <w:p w14:paraId="746C4CB6">
      <w:pPr>
        <w:pStyle w:val="56"/>
        <w:ind w:firstLine="420"/>
      </w:pPr>
      <w:r>
        <w:rPr>
          <w:rFonts w:hint="eastAsia"/>
        </w:rPr>
        <w:t>请注意本文件的某些内容可能涉及专利。本文件的发布机构不承担识别专利的责任。</w:t>
      </w:r>
    </w:p>
    <w:p w14:paraId="0267EAF4">
      <w:pPr>
        <w:pStyle w:val="56"/>
        <w:ind w:firstLine="420"/>
      </w:pPr>
      <w:r>
        <w:rPr>
          <w:rFonts w:hint="eastAsia"/>
        </w:rPr>
        <w:t>本文件由浙江邑山建设有限公司提出。</w:t>
      </w:r>
    </w:p>
    <w:p w14:paraId="7DDAB965">
      <w:pPr>
        <w:pStyle w:val="56"/>
        <w:ind w:firstLine="420"/>
      </w:pPr>
      <w:r>
        <w:rPr>
          <w:rFonts w:hint="eastAsia"/>
        </w:rPr>
        <w:t>本文件由中国中小企业协会归口。</w:t>
      </w:r>
    </w:p>
    <w:p w14:paraId="75700A97">
      <w:pPr>
        <w:pStyle w:val="56"/>
        <w:ind w:firstLine="420"/>
        <w:rPr>
          <w:rFonts w:hint="eastAsia" w:eastAsia="宋体"/>
          <w:lang w:eastAsia="zh-CN"/>
        </w:rPr>
      </w:pPr>
      <w:r>
        <w:rPr>
          <w:rFonts w:hint="eastAsia"/>
        </w:rPr>
        <w:t>本文件起草单位：浙江邑山建设有限公司</w:t>
      </w:r>
      <w:r>
        <w:rPr>
          <w:rFonts w:hint="eastAsia"/>
          <w:lang w:eastAsia="zh-CN"/>
        </w:rPr>
        <w:t>。</w:t>
      </w:r>
      <w:bookmarkStart w:id="55" w:name="_GoBack"/>
      <w:bookmarkEnd w:id="55"/>
    </w:p>
    <w:p w14:paraId="584D8922">
      <w:pPr>
        <w:pStyle w:val="56"/>
        <w:ind w:firstLine="420"/>
      </w:pPr>
      <w:r>
        <w:rPr>
          <w:rFonts w:hint="eastAsia"/>
        </w:rPr>
        <w:t>本文件主要起草人：</w:t>
      </w:r>
    </w:p>
    <w:p w14:paraId="27FAAA64">
      <w:pPr>
        <w:pStyle w:val="56"/>
        <w:ind w:firstLine="420"/>
      </w:pPr>
    </w:p>
    <w:p w14:paraId="652DE65D">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3"/>
    <w:p w14:paraId="4013E535">
      <w:pPr>
        <w:spacing w:line="20" w:lineRule="exact"/>
        <w:jc w:val="center"/>
        <w:rPr>
          <w:rFonts w:hint="eastAsia" w:ascii="黑体" w:hAnsi="黑体" w:eastAsia="黑体"/>
          <w:sz w:val="32"/>
          <w:szCs w:val="32"/>
        </w:rPr>
      </w:pPr>
      <w:bookmarkStart w:id="24" w:name="BookMark4"/>
    </w:p>
    <w:p w14:paraId="564CFB91">
      <w:pPr>
        <w:spacing w:line="20" w:lineRule="exact"/>
        <w:jc w:val="center"/>
        <w:rPr>
          <w:rFonts w:hint="eastAsia" w:ascii="黑体" w:hAnsi="黑体" w:eastAsia="黑体"/>
          <w:sz w:val="32"/>
          <w:szCs w:val="32"/>
        </w:rPr>
      </w:pPr>
    </w:p>
    <w:sdt>
      <w:sdtPr>
        <w:tag w:val="NEW_STAND_NAME"/>
        <w:id w:val="595910757"/>
        <w:lock w:val="sdtLocked"/>
        <w:placeholder>
          <w:docPart w:val="2D99DFD1A85746FC869F038D32542BDA"/>
        </w:placeholder>
      </w:sdtPr>
      <w:sdtContent>
        <w:p w14:paraId="625BD74B">
          <w:pPr>
            <w:pStyle w:val="177"/>
            <w:spacing w:before="240" w:beforeLines="100" w:after="528" w:afterLines="220"/>
            <w:rPr>
              <w:rFonts w:hint="eastAsia"/>
            </w:rPr>
          </w:pPr>
          <w:bookmarkStart w:id="25" w:name="NEW_STAND_NAME"/>
          <w:r>
            <w:rPr>
              <w:rFonts w:hint="eastAsia"/>
            </w:rPr>
            <w:t>装配式建筑 预制构件现场施工作业质量控制管理规范</w:t>
          </w:r>
        </w:p>
      </w:sdtContent>
    </w:sdt>
    <w:bookmarkEnd w:id="25"/>
    <w:p w14:paraId="785F4E7B">
      <w:pPr>
        <w:pStyle w:val="104"/>
        <w:spacing w:before="240" w:after="240"/>
      </w:pPr>
      <w:bookmarkStart w:id="26" w:name="_Toc26648465"/>
      <w:bookmarkStart w:id="27" w:name="_Toc26718930"/>
      <w:bookmarkStart w:id="28" w:name="_Toc26986771"/>
      <w:bookmarkStart w:id="29" w:name="_Toc26986530"/>
      <w:bookmarkStart w:id="30" w:name="_Toc195620868"/>
      <w:bookmarkStart w:id="31" w:name="_Toc24884218"/>
      <w:bookmarkStart w:id="32" w:name="_Toc97192964"/>
      <w:bookmarkStart w:id="33" w:name="_Toc17233333"/>
      <w:bookmarkStart w:id="34" w:name="_Toc24884211"/>
      <w:bookmarkStart w:id="35" w:name="_Toc17233325"/>
      <w:r>
        <w:rPr>
          <w:rFonts w:hint="eastAsia"/>
        </w:rPr>
        <w:t>范围</w:t>
      </w:r>
      <w:bookmarkEnd w:id="26"/>
      <w:bookmarkEnd w:id="27"/>
      <w:bookmarkEnd w:id="28"/>
      <w:bookmarkEnd w:id="29"/>
      <w:bookmarkEnd w:id="30"/>
      <w:bookmarkEnd w:id="31"/>
      <w:bookmarkEnd w:id="32"/>
      <w:bookmarkEnd w:id="33"/>
      <w:bookmarkEnd w:id="34"/>
      <w:bookmarkEnd w:id="35"/>
    </w:p>
    <w:p w14:paraId="5DFEBA1B">
      <w:pPr>
        <w:pStyle w:val="56"/>
        <w:ind w:firstLine="420"/>
      </w:pPr>
      <w:bookmarkStart w:id="36" w:name="_Toc17233334"/>
      <w:bookmarkStart w:id="37" w:name="_Toc26648466"/>
      <w:bookmarkStart w:id="38" w:name="_Toc24884219"/>
      <w:bookmarkStart w:id="39" w:name="_Toc24884212"/>
      <w:bookmarkStart w:id="40" w:name="_Toc17233326"/>
      <w:r>
        <w:rPr>
          <w:rFonts w:hint="eastAsia"/>
        </w:rPr>
        <w:t>本文件规定了装配式建筑预制构件现场施工作业的术语和定义、基本规定、进场管理、安装管理、高处作业管理、质量管理。</w:t>
      </w:r>
    </w:p>
    <w:p w14:paraId="08F13892">
      <w:pPr>
        <w:pStyle w:val="56"/>
        <w:ind w:firstLine="420"/>
      </w:pPr>
      <w:r>
        <w:rPr>
          <w:rFonts w:hint="eastAsia"/>
        </w:rPr>
        <w:t>本文件适用于装配式建筑预制构件现场施工作业。</w:t>
      </w:r>
    </w:p>
    <w:p w14:paraId="2F35E2C9">
      <w:pPr>
        <w:pStyle w:val="104"/>
        <w:spacing w:before="240" w:after="240"/>
      </w:pPr>
      <w:bookmarkStart w:id="41" w:name="_Toc26986772"/>
      <w:bookmarkStart w:id="42" w:name="_Toc195620869"/>
      <w:bookmarkStart w:id="43" w:name="_Toc26718931"/>
      <w:bookmarkStart w:id="44" w:name="_Toc97192965"/>
      <w:bookmarkStart w:id="45" w:name="_Toc26986531"/>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1FE6246BE4574980B88D3519E29DD52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14A02D3">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6675FC6">
      <w:pPr>
        <w:pStyle w:val="56"/>
        <w:ind w:firstLine="420"/>
        <w:rPr>
          <w:rFonts w:hint="eastAsia"/>
        </w:rPr>
      </w:pPr>
      <w:r>
        <w:t>GB</w:t>
      </w:r>
      <w:r>
        <w:rPr>
          <w:rFonts w:hint="eastAsia"/>
        </w:rPr>
        <w:t>/T</w:t>
      </w:r>
      <w:r>
        <w:t xml:space="preserve"> 50010</w:t>
      </w:r>
      <w:r>
        <w:rPr>
          <w:rFonts w:hint="eastAsia"/>
        </w:rPr>
        <w:t xml:space="preserve"> 混凝土结构设计标准</w:t>
      </w:r>
    </w:p>
    <w:p w14:paraId="41F4AF25">
      <w:pPr>
        <w:pStyle w:val="56"/>
        <w:ind w:firstLine="420"/>
        <w:rPr>
          <w:rFonts w:hint="eastAsia"/>
        </w:rPr>
      </w:pPr>
      <w:r>
        <w:t>GB 50204</w:t>
      </w:r>
      <w:r>
        <w:rPr>
          <w:rFonts w:hint="eastAsia"/>
        </w:rPr>
        <w:t xml:space="preserve"> 混凝土结构工程施工质量验收规范</w:t>
      </w:r>
    </w:p>
    <w:p w14:paraId="02259777">
      <w:pPr>
        <w:pStyle w:val="56"/>
        <w:ind w:firstLine="420"/>
        <w:rPr>
          <w:rFonts w:hint="eastAsia"/>
        </w:rPr>
      </w:pPr>
      <w:r>
        <w:t>GB/T 50448</w:t>
      </w:r>
      <w:r>
        <w:rPr>
          <w:rFonts w:hint="eastAsia"/>
        </w:rPr>
        <w:t xml:space="preserve"> 水泥基灌浆材料应用技术规范</w:t>
      </w:r>
    </w:p>
    <w:p w14:paraId="10D59431">
      <w:pPr>
        <w:pStyle w:val="56"/>
        <w:ind w:firstLine="420"/>
        <w:rPr>
          <w:rFonts w:hint="eastAsia"/>
        </w:rPr>
      </w:pPr>
      <w:r>
        <w:t>GB 50720</w:t>
      </w:r>
      <w:r>
        <w:rPr>
          <w:rFonts w:hint="eastAsia"/>
        </w:rPr>
        <w:t xml:space="preserve"> 建设工程施工现场消防安全技术规范</w:t>
      </w:r>
    </w:p>
    <w:p w14:paraId="7C0A356A">
      <w:pPr>
        <w:pStyle w:val="56"/>
        <w:ind w:firstLine="420"/>
        <w:rPr>
          <w:rFonts w:hint="eastAsia"/>
        </w:rPr>
      </w:pPr>
      <w:r>
        <w:t>JG/T 163</w:t>
      </w:r>
      <w:r>
        <w:rPr>
          <w:rFonts w:hint="eastAsia"/>
        </w:rPr>
        <w:t xml:space="preserve"> 钢筋机械连接用套筒</w:t>
      </w:r>
    </w:p>
    <w:p w14:paraId="3602AA7E">
      <w:pPr>
        <w:pStyle w:val="56"/>
        <w:ind w:firstLine="420"/>
        <w:rPr>
          <w:rFonts w:hint="eastAsia"/>
        </w:rPr>
      </w:pPr>
      <w:r>
        <w:t>JG</w:t>
      </w:r>
      <w:r>
        <w:rPr>
          <w:rFonts w:hint="eastAsia"/>
        </w:rPr>
        <w:t>/T</w:t>
      </w:r>
      <w:r>
        <w:t xml:space="preserve"> 225</w:t>
      </w:r>
      <w:r>
        <w:rPr>
          <w:rFonts w:hint="eastAsia"/>
        </w:rPr>
        <w:t xml:space="preserve"> 预应力混凝土用金属波纹管</w:t>
      </w:r>
    </w:p>
    <w:p w14:paraId="2EB02CDA">
      <w:pPr>
        <w:pStyle w:val="56"/>
        <w:ind w:firstLine="420"/>
        <w:rPr>
          <w:rFonts w:hint="eastAsia"/>
        </w:rPr>
      </w:pPr>
      <w:r>
        <w:t>JG/T 398</w:t>
      </w:r>
      <w:r>
        <w:rPr>
          <w:rFonts w:hint="eastAsia"/>
        </w:rPr>
        <w:t xml:space="preserve"> 钢筋连接用灌浆套筒</w:t>
      </w:r>
    </w:p>
    <w:p w14:paraId="6CA2DE43">
      <w:pPr>
        <w:pStyle w:val="56"/>
        <w:ind w:firstLine="420"/>
        <w:rPr>
          <w:rFonts w:hint="eastAsia"/>
        </w:rPr>
      </w:pPr>
      <w:r>
        <w:t>JGJ 33</w:t>
      </w:r>
      <w:r>
        <w:rPr>
          <w:rFonts w:hint="eastAsia"/>
        </w:rPr>
        <w:t xml:space="preserve"> 建筑机械使用安全技术规程</w:t>
      </w:r>
    </w:p>
    <w:p w14:paraId="1E091C9A">
      <w:pPr>
        <w:pStyle w:val="56"/>
        <w:ind w:firstLine="420"/>
        <w:rPr>
          <w:rFonts w:hint="eastAsia"/>
        </w:rPr>
      </w:pPr>
      <w:r>
        <w:t>JGJ</w:t>
      </w:r>
      <w:r>
        <w:rPr>
          <w:rFonts w:hint="eastAsia"/>
        </w:rPr>
        <w:t>/T</w:t>
      </w:r>
      <w:r>
        <w:t xml:space="preserve"> 46</w:t>
      </w:r>
      <w:r>
        <w:rPr>
          <w:rFonts w:hint="eastAsia"/>
        </w:rPr>
        <w:t xml:space="preserve"> 建筑与市政工程施工现场临时用电安全技术标准</w:t>
      </w:r>
    </w:p>
    <w:p w14:paraId="22658D27">
      <w:pPr>
        <w:pStyle w:val="56"/>
        <w:ind w:firstLine="420"/>
        <w:rPr>
          <w:rFonts w:hint="eastAsia"/>
        </w:rPr>
      </w:pPr>
      <w:r>
        <w:t>JGJ 80</w:t>
      </w:r>
      <w:r>
        <w:rPr>
          <w:rFonts w:hint="eastAsia"/>
        </w:rPr>
        <w:t xml:space="preserve"> 建筑施工高处作业安全技术规范</w:t>
      </w:r>
    </w:p>
    <w:p w14:paraId="113A2E3F">
      <w:pPr>
        <w:pStyle w:val="56"/>
        <w:ind w:firstLine="420"/>
        <w:rPr>
          <w:rFonts w:hint="eastAsia"/>
        </w:rPr>
      </w:pPr>
      <w:r>
        <w:t>JGJ 355</w:t>
      </w:r>
      <w:r>
        <w:rPr>
          <w:rFonts w:hint="eastAsia"/>
        </w:rPr>
        <w:t xml:space="preserve"> 钢筋套筒灌浆连接应用技术规程</w:t>
      </w:r>
    </w:p>
    <w:p w14:paraId="38CDB5AA">
      <w:pPr>
        <w:pStyle w:val="56"/>
        <w:ind w:firstLine="420"/>
        <w:rPr>
          <w:rFonts w:hint="eastAsia"/>
        </w:rPr>
      </w:pPr>
      <w:r>
        <w:t>JGJ 202</w:t>
      </w:r>
      <w:r>
        <w:rPr>
          <w:rFonts w:hint="eastAsia"/>
        </w:rPr>
        <w:t xml:space="preserve"> 建筑施工工具式脚手架安全技术规范</w:t>
      </w:r>
    </w:p>
    <w:p w14:paraId="78314301">
      <w:pPr>
        <w:pStyle w:val="104"/>
        <w:spacing w:before="240" w:after="240"/>
      </w:pPr>
      <w:bookmarkStart w:id="46" w:name="_Toc195620870"/>
      <w:bookmarkStart w:id="47" w:name="_Toc97192966"/>
      <w:r>
        <w:rPr>
          <w:rFonts w:hint="eastAsia"/>
          <w:szCs w:val="21"/>
        </w:rPr>
        <w:t>术语和定义</w:t>
      </w:r>
      <w:bookmarkEnd w:id="46"/>
      <w:bookmarkEnd w:id="47"/>
    </w:p>
    <w:sdt>
      <w:sdtPr>
        <w:id w:val="-1909835108"/>
        <w:placeholder>
          <w:docPart w:val="614EAACEB925499EB2082D13B1AF657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4E46E82">
          <w:pPr>
            <w:pStyle w:val="56"/>
            <w:ind w:firstLine="420"/>
          </w:pPr>
          <w:bookmarkStart w:id="48" w:name="_Toc26986532"/>
          <w:bookmarkEnd w:id="48"/>
          <w:r>
            <w:t>下列术语和定义适用于本文件。</w:t>
          </w:r>
        </w:p>
      </w:sdtContent>
    </w:sdt>
    <w:p w14:paraId="08B318B6">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装配式建筑 </w:t>
      </w:r>
      <w:r>
        <w:rPr>
          <w:rFonts w:ascii="黑体" w:hAnsi="黑体" w:eastAsia="黑体"/>
        </w:rPr>
        <w:t>assembled building</w:t>
      </w:r>
    </w:p>
    <w:p w14:paraId="1A702F7F">
      <w:pPr>
        <w:pStyle w:val="56"/>
        <w:ind w:firstLine="420"/>
      </w:pPr>
      <w:r>
        <w:rPr>
          <w:rFonts w:hint="eastAsia"/>
        </w:rPr>
        <w:t>结构系统、外围护系统、设备与管线系统、内装系统的主要部分采用预制部品部件集成的建筑。</w:t>
      </w:r>
    </w:p>
    <w:p w14:paraId="33A3F61E">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预埋件 hoisting embedded parts</w:t>
      </w:r>
    </w:p>
    <w:p w14:paraId="5CDACC70">
      <w:pPr>
        <w:pStyle w:val="56"/>
        <w:ind w:firstLine="420"/>
      </w:pPr>
      <w:r>
        <w:rPr>
          <w:rFonts w:hint="eastAsia"/>
        </w:rPr>
        <w:t>预制构件加工过程中预先埋设在构件内部的、用于构件吊装或安装的连接件。</w:t>
      </w:r>
    </w:p>
    <w:p w14:paraId="50E1D275">
      <w:pPr>
        <w:pStyle w:val="104"/>
        <w:spacing w:before="240" w:after="240"/>
      </w:pPr>
      <w:bookmarkStart w:id="49" w:name="_Toc195620871"/>
      <w:r>
        <w:rPr>
          <w:rFonts w:hint="eastAsia"/>
        </w:rPr>
        <w:t>基本规定</w:t>
      </w:r>
      <w:bookmarkEnd w:id="49"/>
    </w:p>
    <w:p w14:paraId="3121125C">
      <w:pPr>
        <w:pStyle w:val="162"/>
      </w:pPr>
      <w:r>
        <w:rPr>
          <w:rFonts w:hint="eastAsia"/>
        </w:rPr>
        <w:t>装配式建筑工程参建各方应建立健全安全生产责任体系，明确各职能部门、管理人员安全生产责任，建立相应的安全生产管理制度和项目安全管理网络，制定相应的培训教育、监督检查、应急救援预案等管理规定。</w:t>
      </w:r>
    </w:p>
    <w:p w14:paraId="5CCA1F79">
      <w:pPr>
        <w:pStyle w:val="162"/>
      </w:pPr>
      <w:r>
        <w:rPr>
          <w:rFonts w:hint="eastAsia"/>
        </w:rPr>
        <w:t>装配式建筑深化设计应符合下列规定：</w:t>
      </w:r>
    </w:p>
    <w:p w14:paraId="2CDBD09A">
      <w:pPr>
        <w:pStyle w:val="132"/>
      </w:pPr>
      <w:r>
        <w:rPr>
          <w:rFonts w:hint="eastAsia"/>
        </w:rPr>
        <w:t>深化设计文件应满足构件生产、运输、存放、吊装及安装的需要，并符合原图纸设计的技术指标、结构安全和建筑性能等要求；深化设计图纸应由原设计单位确认；</w:t>
      </w:r>
    </w:p>
    <w:p w14:paraId="43B94720">
      <w:pPr>
        <w:pStyle w:val="132"/>
      </w:pPr>
      <w:r>
        <w:rPr>
          <w:rFonts w:hint="eastAsia"/>
        </w:rPr>
        <w:t>深化设计时，应按现行相关国家标准对构件、吊装及施工预埋件、起重机械及起重机械附着支撑结构、临时支撑及临时支撑预埋件、外防护架及架体附着支撑结构等进行验算；吊点承载力应满足设计要求；</w:t>
      </w:r>
    </w:p>
    <w:p w14:paraId="7F2588AC">
      <w:pPr>
        <w:pStyle w:val="132"/>
      </w:pPr>
      <w:r>
        <w:rPr>
          <w:rFonts w:hint="eastAsia"/>
        </w:rPr>
        <w:t>预制柱、预制墙板等细长竖向构件需水平存放时，应采取可靠构造措施，使吊点满足构件翻转工况下承载力要求；</w:t>
      </w:r>
    </w:p>
    <w:p w14:paraId="30BD4514">
      <w:pPr>
        <w:pStyle w:val="132"/>
      </w:pPr>
      <w:r>
        <w:rPr>
          <w:rFonts w:hint="eastAsia"/>
        </w:rPr>
        <w:t>装配式混凝土结构的预埋件宜根据预埋件产品技术规格书选用成品预埋件；当采用吊环时，应符合GB/T 50010的相关要求；吊装预埋件或吊筋设计时，应满足构件在脱模、翻身和起吊等工况下的承载力；各工况的验算内容应包括吊装预埋件的自身承载力以及预埋件或吊筋在预制构件中的锚固承载力；</w:t>
      </w:r>
    </w:p>
    <w:p w14:paraId="7D544C3E">
      <w:pPr>
        <w:pStyle w:val="132"/>
      </w:pPr>
      <w:r>
        <w:rPr>
          <w:rFonts w:hint="eastAsia"/>
        </w:rPr>
        <w:t>装配式钢结构深化设计时，应明确钢构件与墙板的连接节点构造；与钢构件连接的预埋件及连接措施，宜提前设置于钢构件上。</w:t>
      </w:r>
    </w:p>
    <w:p w14:paraId="64231C36">
      <w:pPr>
        <w:pStyle w:val="162"/>
      </w:pPr>
      <w:r>
        <w:rPr>
          <w:rFonts w:hint="eastAsia"/>
        </w:rPr>
        <w:t>装配式建筑施工前，项目部应编制专项施工方案；超过一定规模的危险性较大分部分项工程专项施工方案应组织专家论证；专项施工方案实施前应进行交底。</w:t>
      </w:r>
    </w:p>
    <w:p w14:paraId="31FE38F5">
      <w:pPr>
        <w:pStyle w:val="162"/>
      </w:pPr>
      <w:r>
        <w:rPr>
          <w:rFonts w:hint="eastAsia"/>
        </w:rPr>
        <w:t>装配式建筑专项施工方案应符合下列规定：</w:t>
      </w:r>
    </w:p>
    <w:p w14:paraId="54FD314D">
      <w:pPr>
        <w:pStyle w:val="132"/>
      </w:pPr>
      <w:r>
        <w:rPr>
          <w:rFonts w:hint="eastAsia"/>
        </w:rPr>
        <w:t>应包括工程概况、编制依据、施工计划、施工工艺技术、施工安全保证措施、施工管理及作业人员配备和分工、验收要求、应急处置措施、计算书及相关施工图纸等；</w:t>
      </w:r>
    </w:p>
    <w:p w14:paraId="4A184D18">
      <w:pPr>
        <w:pStyle w:val="132"/>
      </w:pPr>
      <w:r>
        <w:rPr>
          <w:rFonts w:hint="eastAsia"/>
        </w:rPr>
        <w:t>计算书应包括支承面承载力验算、辅助起重设备起重能力验算、吊索具验算、被吊物受力验算、临时固定措施验算等；</w:t>
      </w:r>
    </w:p>
    <w:p w14:paraId="74F77BF5">
      <w:pPr>
        <w:pStyle w:val="132"/>
      </w:pPr>
      <w:r>
        <w:rPr>
          <w:rFonts w:hint="eastAsia"/>
        </w:rPr>
        <w:t>方案附图应包括构件存放布置图、起重机械布置图、运输道路及卸车区布置图等；</w:t>
      </w:r>
    </w:p>
    <w:p w14:paraId="0FA8FE35">
      <w:pPr>
        <w:pStyle w:val="132"/>
      </w:pPr>
      <w:r>
        <w:rPr>
          <w:rFonts w:hint="eastAsia"/>
        </w:rPr>
        <w:t>应明确不同类型构件的叠放层数、高度及场地围护，不同类型构件的吊装方法、吊装流程、吊装要点、安装就位及临时支撑要求，以及外防护架的选型及布置；</w:t>
      </w:r>
    </w:p>
    <w:p w14:paraId="169432CF">
      <w:pPr>
        <w:pStyle w:val="132"/>
      </w:pPr>
      <w:r>
        <w:rPr>
          <w:rFonts w:hint="eastAsia"/>
        </w:rPr>
        <w:t>采用布料机浇筑混凝土时，布料机宜布置在现浇楼板上并对板底支撑承载力及变形进行验算；</w:t>
      </w:r>
    </w:p>
    <w:p w14:paraId="09CD9111">
      <w:pPr>
        <w:pStyle w:val="132"/>
      </w:pPr>
      <w:r>
        <w:rPr>
          <w:rFonts w:hint="eastAsia"/>
        </w:rPr>
        <w:t>结构楼板上存放构件、结构楼板处于场内车辆行驶线路上或大型部品在建筑内倒运时，应对结构楼板承载能力进行验算。</w:t>
      </w:r>
    </w:p>
    <w:p w14:paraId="5B68F2B7">
      <w:pPr>
        <w:pStyle w:val="162"/>
      </w:pPr>
      <w:r>
        <w:rPr>
          <w:rFonts w:hint="eastAsia"/>
        </w:rPr>
        <w:t>装配式建筑的施工现场平面布置中，需明确大型起重吊装设备、构件堆场、场内运输道路的布置等，且应符合下列规定：</w:t>
      </w:r>
    </w:p>
    <w:p w14:paraId="4184C795">
      <w:pPr>
        <w:pStyle w:val="132"/>
      </w:pPr>
      <w:r>
        <w:rPr>
          <w:rFonts w:hint="eastAsia"/>
        </w:rPr>
        <w:t>现场施工道路应坚实平整并设排水措施，承载力和变形应满足构件运输车辆通行需求；</w:t>
      </w:r>
    </w:p>
    <w:p w14:paraId="1AE0C01D">
      <w:pPr>
        <w:pStyle w:val="132"/>
      </w:pPr>
      <w:r>
        <w:rPr>
          <w:rFonts w:hint="eastAsia"/>
        </w:rPr>
        <w:t>构件存放场地宜紧邻施工道路，并应在起重机的有效起重范围内；构件存放场地距基坑边的安全距离应符合基坑支护设计要求；构件存放场地应坚实平整并设排水措施，承载力和变形满足构件存放需求；场地周边应设置围挡和警示标志。</w:t>
      </w:r>
    </w:p>
    <w:p w14:paraId="43F7B5D3">
      <w:pPr>
        <w:pStyle w:val="162"/>
      </w:pPr>
      <w:r>
        <w:rPr>
          <w:rFonts w:hint="eastAsia"/>
        </w:rPr>
        <w:t>施工单位应根据施工现场构件堆场设置、设备设施布置、施工工艺等特点，制定安全生产、文明施工措施，并严格执行。</w:t>
      </w:r>
    </w:p>
    <w:p w14:paraId="351ABEB0">
      <w:pPr>
        <w:pStyle w:val="162"/>
      </w:pPr>
      <w:r>
        <w:rPr>
          <w:rFonts w:hint="eastAsia"/>
        </w:rPr>
        <w:t>对于采取新材料、新设备、新工艺的装配式建筑专用的施工操作平台、高处临边作业的防护设施等，相关单位的设计文件中，应提出保障施工作业人员安全和预防生产安全事故的管理和技术措施，需组织专家论证的，应按相关规定进行论证。</w:t>
      </w:r>
    </w:p>
    <w:p w14:paraId="6F0BA93B">
      <w:pPr>
        <w:pStyle w:val="162"/>
      </w:pPr>
      <w:r>
        <w:rPr>
          <w:rFonts w:hint="eastAsia"/>
        </w:rPr>
        <w:t>装配式结构施工的塔式起重机司机、信号工、司索工等特种作业人员应持证上岗作业，装配工、灌浆工应进行岗前专项培训，具备岗位需要的基础知识和技能，经考试合格并颁发操作合格证后方可上岗作业，并定期进行体检。</w:t>
      </w:r>
    </w:p>
    <w:p w14:paraId="10924612">
      <w:pPr>
        <w:pStyle w:val="162"/>
      </w:pPr>
      <w:r>
        <w:rPr>
          <w:rFonts w:hint="eastAsia"/>
        </w:rPr>
        <w:t>起重作业人员应穿防护鞋，戴安全帽，高处作业应配挂安全带，并应系挂可靠，高挂低用，作业人员酒后不得上岗作业。</w:t>
      </w:r>
    </w:p>
    <w:p w14:paraId="6DFC310E">
      <w:pPr>
        <w:pStyle w:val="162"/>
      </w:pPr>
      <w:r>
        <w:rPr>
          <w:rFonts w:hint="eastAsia"/>
        </w:rPr>
        <w:t>装配式建筑施工前，宜采用建筑信息模型技术对施工全过程及关键工艺进行模拟，选择典型施工段或单元进行构件试安装，并应根据试安装结果及时调整施工方案和安全措施。</w:t>
      </w:r>
    </w:p>
    <w:p w14:paraId="45D009C5">
      <w:pPr>
        <w:pStyle w:val="162"/>
      </w:pPr>
      <w:r>
        <w:rPr>
          <w:rFonts w:hint="eastAsia"/>
        </w:rPr>
        <w:t>焊接设备应符合相关规定，并有完整的防护外壳，一、二次接线柱处应有保护罩。</w:t>
      </w:r>
    </w:p>
    <w:p w14:paraId="61FE76CC">
      <w:pPr>
        <w:pStyle w:val="162"/>
      </w:pPr>
      <w:r>
        <w:rPr>
          <w:rFonts w:hint="eastAsia"/>
        </w:rPr>
        <w:t>电焊机应满足防雨、防潮、防晒的要求，并备有消防用品。</w:t>
      </w:r>
    </w:p>
    <w:p w14:paraId="4473F8EE">
      <w:pPr>
        <w:pStyle w:val="162"/>
      </w:pPr>
      <w:r>
        <w:rPr>
          <w:rFonts w:hint="eastAsia"/>
        </w:rPr>
        <w:t>施工临时用电应符合JGJ 46的相关规定。</w:t>
      </w:r>
    </w:p>
    <w:p w14:paraId="227D132C">
      <w:pPr>
        <w:pStyle w:val="162"/>
      </w:pPr>
      <w:r>
        <w:rPr>
          <w:rFonts w:hint="eastAsia"/>
        </w:rPr>
        <w:t>现场应建立消防安全管理机构，制定消防管理制度，定期开展消防应急演练。现场消防设施应符合GB 50720的相关规定，临时消防设施应与工程施工进度同步设置。</w:t>
      </w:r>
    </w:p>
    <w:p w14:paraId="15CDEEAF">
      <w:pPr>
        <w:pStyle w:val="162"/>
      </w:pPr>
      <w:r>
        <w:rPr>
          <w:rFonts w:hint="eastAsia"/>
        </w:rPr>
        <w:t>建筑机械的使用和管理应符合JGJ 33的相关规定。</w:t>
      </w:r>
    </w:p>
    <w:p w14:paraId="1A26B5FC">
      <w:pPr>
        <w:pStyle w:val="104"/>
        <w:spacing w:before="240" w:after="240"/>
      </w:pPr>
      <w:bookmarkStart w:id="50" w:name="_Toc195620872"/>
      <w:r>
        <w:rPr>
          <w:rFonts w:hint="eastAsia"/>
        </w:rPr>
        <w:t>进场管理</w:t>
      </w:r>
      <w:bookmarkEnd w:id="50"/>
    </w:p>
    <w:p w14:paraId="56C968B0">
      <w:pPr>
        <w:pStyle w:val="105"/>
        <w:spacing w:before="120" w:after="120"/>
      </w:pPr>
      <w:r>
        <w:rPr>
          <w:rFonts w:hint="eastAsia"/>
        </w:rPr>
        <w:t>进场检验</w:t>
      </w:r>
    </w:p>
    <w:p w14:paraId="13B793E9">
      <w:pPr>
        <w:pStyle w:val="165"/>
      </w:pPr>
      <w:r>
        <w:rPr>
          <w:rFonts w:hint="eastAsia"/>
        </w:rPr>
        <w:t>施工单位应对进入施工现场的每批预制构件全数进行质量验收，并经监理单位抽检合格后方能使用。验收内容包括：</w:t>
      </w:r>
    </w:p>
    <w:p w14:paraId="04B20F77">
      <w:pPr>
        <w:pStyle w:val="132"/>
      </w:pPr>
      <w:r>
        <w:rPr>
          <w:rFonts w:hint="eastAsia"/>
        </w:rPr>
        <w:t>构件产品质量证明文件；</w:t>
      </w:r>
    </w:p>
    <w:p w14:paraId="52788A20">
      <w:pPr>
        <w:pStyle w:val="132"/>
      </w:pPr>
      <w:r>
        <w:rPr>
          <w:rFonts w:hint="eastAsia"/>
        </w:rPr>
        <w:t>预埋件的定位尺寸、外观质量和留置数量，预埋件固定部位周围混凝土表观质量，预埋螺母内径尺寸和丝扣长度；</w:t>
      </w:r>
    </w:p>
    <w:p w14:paraId="43CE0EEE">
      <w:pPr>
        <w:pStyle w:val="132"/>
      </w:pPr>
      <w:r>
        <w:rPr>
          <w:rFonts w:hint="eastAsia"/>
        </w:rPr>
        <w:t>构件上喷涂的产品标识应清晰、耐久。标识内容应包括生产厂标志、制作日期、品种、编码、检验状态等；</w:t>
      </w:r>
    </w:p>
    <w:p w14:paraId="7BAC2D75">
      <w:pPr>
        <w:pStyle w:val="132"/>
      </w:pPr>
      <w:r>
        <w:rPr>
          <w:rFonts w:hint="eastAsia"/>
        </w:rPr>
        <w:t>吊点、塔式起重机和外脚手架附着点、临时支撑点的位置、数量等；</w:t>
      </w:r>
    </w:p>
    <w:p w14:paraId="1758CB3B">
      <w:pPr>
        <w:pStyle w:val="132"/>
      </w:pPr>
      <w:r>
        <w:rPr>
          <w:rFonts w:hint="eastAsia"/>
        </w:rPr>
        <w:t>灌浆套筒、各类孔洞应清洁无杂物；</w:t>
      </w:r>
    </w:p>
    <w:p w14:paraId="7DCA2DA8">
      <w:pPr>
        <w:pStyle w:val="132"/>
      </w:pPr>
      <w:r>
        <w:rPr>
          <w:rFonts w:hint="eastAsia"/>
        </w:rPr>
        <w:t>梁板类简支受弯预制构件进场时，应按GB 50204进行结构性能检验。</w:t>
      </w:r>
    </w:p>
    <w:p w14:paraId="4F66DF00">
      <w:pPr>
        <w:pStyle w:val="165"/>
      </w:pPr>
      <w:r>
        <w:rPr>
          <w:rFonts w:hint="eastAsia"/>
        </w:rPr>
        <w:t>现场平面布置时应满足各类构件运输、卸车、存放、吊装的安全要求，场地道路平整坚实，排水畅通。</w:t>
      </w:r>
    </w:p>
    <w:p w14:paraId="6CA8C5E2">
      <w:pPr>
        <w:pStyle w:val="105"/>
        <w:spacing w:before="120" w:after="120"/>
      </w:pPr>
      <w:r>
        <w:rPr>
          <w:rFonts w:hint="eastAsia"/>
        </w:rPr>
        <w:t>场内运输</w:t>
      </w:r>
    </w:p>
    <w:p w14:paraId="58604D03">
      <w:pPr>
        <w:pStyle w:val="165"/>
      </w:pPr>
      <w:r>
        <w:rPr>
          <w:rFonts w:hint="eastAsia"/>
        </w:rPr>
        <w:t>场内运输道路应与基坑、地下管线等保持足够的安全距离，道路宜环形设置，路基坚实，坡度不宜大于15%，转弯半径应满足运输车辆通行需求。路面不得积水、结冰，并有相应管理养护措施。场内运输道路应按规定在醒目位置设置交通标志。</w:t>
      </w:r>
    </w:p>
    <w:p w14:paraId="41D49900">
      <w:pPr>
        <w:pStyle w:val="165"/>
      </w:pPr>
      <w:r>
        <w:rPr>
          <w:rFonts w:hint="eastAsia"/>
        </w:rPr>
        <w:t>场内运输前，应对车辆驾驶人员进行交底，确保其熟悉行车相关要求及卸车站位，并应派专人进行全程指挥和监督。</w:t>
      </w:r>
    </w:p>
    <w:p w14:paraId="2572E2CF">
      <w:pPr>
        <w:pStyle w:val="165"/>
      </w:pPr>
      <w:r>
        <w:rPr>
          <w:rFonts w:hint="eastAsia"/>
        </w:rPr>
        <w:t>进场的运输车辆应按照指定的路线行驶，行驶速度不应高于5 km/h。</w:t>
      </w:r>
    </w:p>
    <w:p w14:paraId="7595ADD6">
      <w:pPr>
        <w:pStyle w:val="165"/>
      </w:pPr>
      <w:r>
        <w:rPr>
          <w:rFonts w:hint="eastAsia"/>
        </w:rPr>
        <w:t>运输路线宜避开结构顶板，当运输车辆确需行经结构顶板时，应对结构顶板承载力进行验算，需采取加固措施的，应编制加固方案，对运输道路涉及范围内的结构顶板进行加固，并对行驶区域及车辆荷载作出限定。编制的加固方案，应经设计单位认可，并应遵循危大工程管理的相关要求。</w:t>
      </w:r>
    </w:p>
    <w:p w14:paraId="119ED44D">
      <w:pPr>
        <w:pStyle w:val="165"/>
      </w:pPr>
      <w:r>
        <w:rPr>
          <w:rFonts w:hint="eastAsia"/>
        </w:rPr>
        <w:t>构件在运输过程中应采取确保运输安全和成品保护的措施，并应符合下列规定：</w:t>
      </w:r>
    </w:p>
    <w:p w14:paraId="65D7AC10">
      <w:pPr>
        <w:pStyle w:val="132"/>
      </w:pPr>
      <w:r>
        <w:rPr>
          <w:rFonts w:hint="eastAsia"/>
        </w:rPr>
        <w:t>应根据构件种类采取可靠的固定措施，防止装卸车、运输过程中发生构件倾覆、位移或损伤。构件支承部位应设柔性垫块，避免预制构件边角或链索接触部位损伤；</w:t>
      </w:r>
    </w:p>
    <w:p w14:paraId="34F2716A">
      <w:pPr>
        <w:pStyle w:val="132"/>
      </w:pPr>
      <w:r>
        <w:rPr>
          <w:rFonts w:hint="eastAsia"/>
        </w:rPr>
        <w:t>超高、超宽、异形构件的运输应制定专门的安全保证措施，竖向薄壁构件应设置临时防护支架，易损伤构件应采取防止构件受损的保护措施；</w:t>
      </w:r>
    </w:p>
    <w:p w14:paraId="14F86700">
      <w:pPr>
        <w:pStyle w:val="132"/>
      </w:pPr>
      <w:r>
        <w:rPr>
          <w:rFonts w:hint="eastAsia"/>
        </w:rPr>
        <w:t>装箱运输时，箱内空隙宜采用柔性材料填实，支撑固定牢固；</w:t>
      </w:r>
    </w:p>
    <w:p w14:paraId="7C23516B">
      <w:pPr>
        <w:pStyle w:val="132"/>
      </w:pPr>
      <w:r>
        <w:rPr>
          <w:rFonts w:hint="eastAsia"/>
        </w:rPr>
        <w:t>应根据构件特点采用不同的运输及固定方式，托架、靠放架、插放架应进行专门设计，并进行强度、刚度和稳定性验算：</w:t>
      </w:r>
    </w:p>
    <w:p w14:paraId="4382101C">
      <w:pPr>
        <w:pStyle w:val="187"/>
      </w:pPr>
      <w:r>
        <w:rPr>
          <w:rFonts w:hint="eastAsia"/>
        </w:rPr>
        <w:t>墙板宜采用立式运输，外饰面层应朝向固定架外侧。采用靠放架立式运输时，构件与水平面倾斜角度宜大于80°，构件应对称靠放，每侧不大于2层，构件层间上部采用木垫块隔离；采用插放架立式运输时，应采取防止倾覆的措施，构件之间应设置隔离垫块；</w:t>
      </w:r>
    </w:p>
    <w:p w14:paraId="50E22E34">
      <w:pPr>
        <w:pStyle w:val="187"/>
      </w:pPr>
      <w:r>
        <w:rPr>
          <w:rFonts w:hint="eastAsia"/>
        </w:rPr>
        <w:t>梁、柱、板、楼梯、阳台宜采用平式运输，预制梁、柱构件叠放不宜超过3层，板类构件叠放不宜超过6层，层间垫块应上下对齐。</w:t>
      </w:r>
    </w:p>
    <w:p w14:paraId="405259CA">
      <w:pPr>
        <w:pStyle w:val="165"/>
      </w:pPr>
      <w:r>
        <w:rPr>
          <w:rFonts w:hint="eastAsia"/>
        </w:rPr>
        <w:t>构件宜一次运输到位，确需二次运输时，应在专项施工方案中明确相应安全保障措施，合理选择装卸车和起重设备，并采用符合要求的运输车辆进行水平运输。</w:t>
      </w:r>
    </w:p>
    <w:p w14:paraId="3C3EF2F7">
      <w:pPr>
        <w:pStyle w:val="165"/>
      </w:pPr>
      <w:r>
        <w:rPr>
          <w:rFonts w:hint="eastAsia"/>
        </w:rPr>
        <w:t>构件二次运输装车时应轻起轻落、左右对称放置，保持车上荷载分布均匀。重量大的构件应放在运输车辆前端中间部位。构件放置应降低重心，保证运输安全。</w:t>
      </w:r>
    </w:p>
    <w:p w14:paraId="55FBC2FF">
      <w:pPr>
        <w:pStyle w:val="105"/>
        <w:spacing w:before="120" w:after="120"/>
      </w:pPr>
      <w:r>
        <w:rPr>
          <w:rFonts w:hint="eastAsia"/>
        </w:rPr>
        <w:t>装卸与存放</w:t>
      </w:r>
    </w:p>
    <w:p w14:paraId="3674A59A">
      <w:pPr>
        <w:pStyle w:val="165"/>
      </w:pPr>
      <w:r>
        <w:rPr>
          <w:rFonts w:hint="eastAsia"/>
        </w:rPr>
        <w:t>构件装卸应符合下列规定：</w:t>
      </w:r>
    </w:p>
    <w:p w14:paraId="44291515">
      <w:pPr>
        <w:pStyle w:val="132"/>
      </w:pPr>
      <w:r>
        <w:rPr>
          <w:rFonts w:hint="eastAsia"/>
        </w:rPr>
        <w:t>构件装卸时，应对称装卸；预制墙板宜直立装卸，不应翻转；</w:t>
      </w:r>
    </w:p>
    <w:p w14:paraId="56785C28">
      <w:pPr>
        <w:pStyle w:val="132"/>
      </w:pPr>
      <w:r>
        <w:rPr>
          <w:rFonts w:hint="eastAsia"/>
        </w:rPr>
        <w:t>装卸吊运应采用慢起、稳升、缓放的操作方式，吊运过程，应保持稳定，不得偏斜、摇摆和扭转，吊装构件不得长时间悬停在空中；</w:t>
      </w:r>
    </w:p>
    <w:p w14:paraId="21AC1F78">
      <w:pPr>
        <w:pStyle w:val="132"/>
      </w:pPr>
      <w:r>
        <w:rPr>
          <w:rFonts w:hint="eastAsia"/>
        </w:rPr>
        <w:t>构件装卸时，应设专人指挥，操作人员应位于安全位置，保持通讯畅通；</w:t>
      </w:r>
    </w:p>
    <w:p w14:paraId="2B6C5DB7">
      <w:pPr>
        <w:pStyle w:val="132"/>
      </w:pPr>
      <w:r>
        <w:rPr>
          <w:rFonts w:hint="eastAsia"/>
        </w:rPr>
        <w:t>构件卸车摘挂吊钩时，均应设置专用登高工具，不得沿构件攀爬。</w:t>
      </w:r>
    </w:p>
    <w:p w14:paraId="6D2A81FD">
      <w:pPr>
        <w:pStyle w:val="165"/>
      </w:pPr>
      <w:r>
        <w:rPr>
          <w:rFonts w:hint="eastAsia"/>
        </w:rPr>
        <w:t>预制构件存放应符合下列规定：</w:t>
      </w:r>
    </w:p>
    <w:p w14:paraId="2FE55A3B">
      <w:pPr>
        <w:pStyle w:val="132"/>
      </w:pPr>
      <w:r>
        <w:rPr>
          <w:rFonts w:hint="eastAsia"/>
        </w:rPr>
        <w:t>预制构件堆场地基承载力应进行验算，满足要求后方能堆放；</w:t>
      </w:r>
    </w:p>
    <w:p w14:paraId="0A6B9F25">
      <w:pPr>
        <w:pStyle w:val="132"/>
      </w:pPr>
      <w:r>
        <w:rPr>
          <w:rFonts w:hint="eastAsia"/>
        </w:rPr>
        <w:t>按使用部位、吊装顺序分区存放；按产品种类、规格型号、检验状态分类存放；</w:t>
      </w:r>
    </w:p>
    <w:p w14:paraId="5DC4F780">
      <w:pPr>
        <w:pStyle w:val="132"/>
      </w:pPr>
      <w:r>
        <w:rPr>
          <w:rFonts w:hint="eastAsia"/>
        </w:rPr>
        <w:t>存放区宜实行分区和信息化台账管理；</w:t>
      </w:r>
    </w:p>
    <w:p w14:paraId="5B874347">
      <w:pPr>
        <w:pStyle w:val="132"/>
      </w:pPr>
      <w:r>
        <w:rPr>
          <w:rFonts w:hint="eastAsia"/>
        </w:rPr>
        <w:t>构件存放时，预埋吊件应朝上，标识宜朝向堆垛间的通道；</w:t>
      </w:r>
    </w:p>
    <w:p w14:paraId="3C35B873">
      <w:pPr>
        <w:pStyle w:val="132"/>
      </w:pPr>
      <w:r>
        <w:rPr>
          <w:rFonts w:hint="eastAsia"/>
        </w:rPr>
        <w:t>应合理设置支垫位置，支垫件在构件下的位置宜与构件脱模、吊装时的起吊位置一致；</w:t>
      </w:r>
    </w:p>
    <w:p w14:paraId="6FB9AB97">
      <w:pPr>
        <w:pStyle w:val="132"/>
      </w:pPr>
      <w:r>
        <w:rPr>
          <w:rFonts w:hint="eastAsia"/>
        </w:rPr>
        <w:t>构件叠放时，层与层之间应垫平、垫实，各层支垫应上下对齐，最下面一层支垫应通长设置；叠合板叠放层数不应大于6层且不宜超过1.5 m；带檐阳台板应单层存放；楼梯叠放层数不应超过4层；PCF板应立放或单层平放；</w:t>
      </w:r>
    </w:p>
    <w:p w14:paraId="40F8BDA9">
      <w:pPr>
        <w:pStyle w:val="132"/>
      </w:pPr>
      <w:r>
        <w:rPr>
          <w:rFonts w:hint="eastAsia"/>
        </w:rPr>
        <w:t>预制柱、梁等宜采用平放且用不少于两道垫木支撑；</w:t>
      </w:r>
    </w:p>
    <w:p w14:paraId="61408856">
      <w:pPr>
        <w:pStyle w:val="132"/>
      </w:pPr>
      <w:r>
        <w:rPr>
          <w:rFonts w:hint="eastAsia"/>
        </w:rPr>
        <w:t>预制墙板应采用工具式插放架饰面朝外、对称存放，并应与地面保证稳定角度，构件与地面倾斜角度宜大于80°，工具式插放架及特殊构件自稳角度应经计算确定；工具式插放架应有足够的刚度、抗倾覆性能并支垫稳固，操作面应设置行走通道；</w:t>
      </w:r>
    </w:p>
    <w:p w14:paraId="41C337AD">
      <w:pPr>
        <w:pStyle w:val="132"/>
      </w:pPr>
      <w:r>
        <w:rPr>
          <w:rFonts w:hint="eastAsia"/>
        </w:rPr>
        <w:t>预应力构件存放时，应根据构件起拱值大小和存放时间采取相应措施。</w:t>
      </w:r>
    </w:p>
    <w:p w14:paraId="793BB240">
      <w:pPr>
        <w:pStyle w:val="165"/>
      </w:pPr>
      <w:r>
        <w:rPr>
          <w:rFonts w:hint="eastAsia"/>
        </w:rPr>
        <w:t>钢构件存放场地应符合下列规定：</w:t>
      </w:r>
    </w:p>
    <w:p w14:paraId="2050FA46">
      <w:pPr>
        <w:pStyle w:val="132"/>
      </w:pPr>
      <w:r>
        <w:rPr>
          <w:rFonts w:hint="eastAsia"/>
        </w:rPr>
        <w:t>钢构件堆场地基承载力应满足存放钢构件的荷载要求，在地面部位存放不应有不均匀沉降；在结构等部位设置的堆场时，应有经过验算确定的支撑措施；</w:t>
      </w:r>
    </w:p>
    <w:p w14:paraId="5D9E0860">
      <w:pPr>
        <w:pStyle w:val="132"/>
      </w:pPr>
      <w:r>
        <w:rPr>
          <w:rFonts w:hint="eastAsia"/>
        </w:rPr>
        <w:t>钢构件存放场地应做好通风、排水；</w:t>
      </w:r>
    </w:p>
    <w:p w14:paraId="24364F0D">
      <w:pPr>
        <w:pStyle w:val="132"/>
      </w:pPr>
      <w:r>
        <w:rPr>
          <w:rFonts w:hint="eastAsia"/>
        </w:rPr>
        <w:t>按使用顺序、吊装顺序分类区存放；存放区域宜实行分区和信息化台账管理；</w:t>
      </w:r>
    </w:p>
    <w:p w14:paraId="165D700B">
      <w:pPr>
        <w:pStyle w:val="132"/>
      </w:pPr>
      <w:r>
        <w:rPr>
          <w:rFonts w:hint="eastAsia"/>
        </w:rPr>
        <w:t>钢构件应放在稳定的枕木上，各点受力均匀，并存放整齐。可采取钢构件互相勾连等措施增加钢构件存放的稳定性；</w:t>
      </w:r>
    </w:p>
    <w:p w14:paraId="4E4451D3">
      <w:pPr>
        <w:pStyle w:val="132"/>
      </w:pPr>
      <w:r>
        <w:rPr>
          <w:rFonts w:hint="eastAsia"/>
        </w:rPr>
        <w:t>钢构件存放时，大型构件宜单层存放，钢柱存放不宜超过2层，钢梁存放不宜超过3层，层间应设垫木等措施隔开，层间垫木应上下对齐；</w:t>
      </w:r>
    </w:p>
    <w:p w14:paraId="65A4CEA9">
      <w:pPr>
        <w:pStyle w:val="132"/>
      </w:pPr>
      <w:r>
        <w:rPr>
          <w:rFonts w:hint="eastAsia"/>
        </w:rPr>
        <w:t>易变形的钢构件或单元，宜设置临时支撑架，临时支撑架应满足存放钢构件或单元的荷载要求。</w:t>
      </w:r>
    </w:p>
    <w:p w14:paraId="1724EAEA">
      <w:pPr>
        <w:pStyle w:val="165"/>
        <w:rPr>
          <w:rFonts w:hint="eastAsia"/>
        </w:rPr>
      </w:pPr>
      <w:r>
        <w:rPr>
          <w:rFonts w:hint="eastAsia"/>
        </w:rPr>
        <w:t>构件存放时，相邻堆垛之间应有足够的作业空间和安全操作距离，并在存放区内设置通道，通道宽度不宜小于1.6 m，两边不应有突出或锐边物品，且不应超出构件存放区域。</w:t>
      </w:r>
    </w:p>
    <w:p w14:paraId="78B7812A">
      <w:pPr>
        <w:pStyle w:val="165"/>
      </w:pPr>
      <w:r>
        <w:rPr>
          <w:rFonts w:hint="eastAsia"/>
        </w:rPr>
        <w:t>构件存放区域四周宜设置隔离栏杆，高度不小于1.2 m；构件存放区现场应设置安全警示标志、风险点公示牌、限重限高标牌等。</w:t>
      </w:r>
    </w:p>
    <w:p w14:paraId="69B992AB">
      <w:pPr>
        <w:pStyle w:val="104"/>
        <w:spacing w:before="240" w:after="240"/>
      </w:pPr>
      <w:bookmarkStart w:id="51" w:name="_Toc195620873"/>
      <w:r>
        <w:rPr>
          <w:rFonts w:hint="eastAsia"/>
        </w:rPr>
        <w:t>安装管理</w:t>
      </w:r>
      <w:bookmarkEnd w:id="51"/>
    </w:p>
    <w:p w14:paraId="75E38D29">
      <w:pPr>
        <w:pStyle w:val="105"/>
        <w:spacing w:before="120" w:after="120"/>
        <w:rPr>
          <w:rFonts w:hint="eastAsia"/>
        </w:rPr>
      </w:pPr>
      <w:r>
        <w:rPr>
          <w:rFonts w:hint="eastAsia"/>
        </w:rPr>
        <w:t>安装准备</w:t>
      </w:r>
    </w:p>
    <w:p w14:paraId="5D560F87">
      <w:pPr>
        <w:pStyle w:val="165"/>
        <w:rPr>
          <w:rFonts w:hint="eastAsia"/>
        </w:rPr>
      </w:pPr>
      <w:r>
        <w:rPr>
          <w:rFonts w:hint="eastAsia"/>
        </w:rPr>
        <w:t>构件吊装作业前应编制吊装作业的专项施工方案，并应进行安全技术交底；作业中，未经技术负责人批准，不得随意更改。</w:t>
      </w:r>
    </w:p>
    <w:p w14:paraId="499EA5B4">
      <w:pPr>
        <w:pStyle w:val="165"/>
        <w:rPr>
          <w:rFonts w:hint="eastAsia"/>
        </w:rPr>
      </w:pPr>
      <w:r>
        <w:rPr>
          <w:rFonts w:hint="eastAsia"/>
        </w:rPr>
        <w:t>施工起重机械的选择及使用应符合下列规定：</w:t>
      </w:r>
    </w:p>
    <w:p w14:paraId="6EBC0110">
      <w:pPr>
        <w:pStyle w:val="132"/>
        <w:rPr>
          <w:rFonts w:hint="eastAsia"/>
        </w:rPr>
      </w:pPr>
      <w:r>
        <w:rPr>
          <w:rFonts w:hint="eastAsia"/>
        </w:rPr>
        <w:t>应根据工程结构特点和施工要求选择起重机械。起重机械的起重量、起重高度、吊装次数、起重机械作业半径应满足部品、部件吊装需求；起重臂的幅度和起重高度应满足部品、部件吊装需求及安全距离相关规定；</w:t>
      </w:r>
    </w:p>
    <w:p w14:paraId="4A8C2AC1">
      <w:pPr>
        <w:pStyle w:val="132"/>
      </w:pPr>
      <w:r>
        <w:rPr>
          <w:rFonts w:hint="eastAsia"/>
        </w:rPr>
        <w:t>移动起重机械的行走路线和作业区域下方基础承载力应满足相应荷载要求。移动起重机械支腿处应铺设路基板或钢板。</w:t>
      </w:r>
    </w:p>
    <w:p w14:paraId="79642D17">
      <w:pPr>
        <w:pStyle w:val="165"/>
        <w:rPr>
          <w:rFonts w:hint="eastAsia"/>
        </w:rPr>
      </w:pPr>
      <w:r>
        <w:rPr>
          <w:rFonts w:hint="eastAsia"/>
        </w:rPr>
        <w:t>塔式起重机、施工升降机等垂直运输设备应办理相应的备案登记、检验检测、验收和使用登记等手续。</w:t>
      </w:r>
    </w:p>
    <w:p w14:paraId="66980949">
      <w:pPr>
        <w:pStyle w:val="165"/>
        <w:rPr>
          <w:rFonts w:hint="eastAsia"/>
        </w:rPr>
      </w:pPr>
      <w:r>
        <w:rPr>
          <w:rFonts w:hint="eastAsia"/>
        </w:rPr>
        <w:t>垂直运输设备附着装置的支座预埋件宜设置在现浇部位，若位于预制构件内，不得在施工现场加装，应在预制构件生产时预埋。在结构达到设计承载力并形成整体前，不得附着。</w:t>
      </w:r>
    </w:p>
    <w:p w14:paraId="26E8C812">
      <w:pPr>
        <w:pStyle w:val="165"/>
        <w:rPr>
          <w:rFonts w:hint="eastAsia"/>
        </w:rPr>
      </w:pPr>
      <w:r>
        <w:rPr>
          <w:rFonts w:hint="eastAsia"/>
        </w:rPr>
        <w:t>吊装用吊具应按国家现行有关标准的规定进行设计、验收或试验检验。吊具应根据构件形状、尺寸及重量等参数进行配置，吊索水平夹角不宜小于60°，且不应小于45°；对尺寸较大或形状复杂的构件，宜采用吊装梁等吊具。</w:t>
      </w:r>
    </w:p>
    <w:p w14:paraId="1656EF09">
      <w:pPr>
        <w:pStyle w:val="165"/>
      </w:pPr>
      <w:r>
        <w:rPr>
          <w:rFonts w:hint="eastAsia"/>
        </w:rPr>
        <w:t>吊装用内埋式螺母、吊杆、吊钩应有制造厂的合格证明书，表面应光滑，不应有裂纹、刻痕、剥裂、锐角等现象存在。</w:t>
      </w:r>
    </w:p>
    <w:p w14:paraId="183AFE5A">
      <w:pPr>
        <w:pStyle w:val="165"/>
        <w:rPr>
          <w:rFonts w:hint="eastAsia"/>
        </w:rPr>
      </w:pPr>
      <w:r>
        <w:rPr>
          <w:rFonts w:hint="eastAsia"/>
        </w:rPr>
        <w:t>吊装用钢丝绳、吊装带、卸扣、吊钩等吊具应检查合格，且在其额定范围内使用，并按相关规定定期检查。吊具应有明显的标识、编号、限重等。</w:t>
      </w:r>
    </w:p>
    <w:p w14:paraId="2D254FB7">
      <w:pPr>
        <w:pStyle w:val="165"/>
        <w:rPr>
          <w:rFonts w:hint="eastAsia"/>
        </w:rPr>
      </w:pPr>
      <w:r>
        <w:rPr>
          <w:rFonts w:hint="eastAsia"/>
        </w:rPr>
        <w:t>应根据构件特征、重量、形状等选择合适的吊装方式和配套的吊具；竖向构件的起吊点应满足设计要求，墙板起吊点不少于2个，预制楼板起吊点不少于4个。构件调运过程中应保持平衡、稳定，吊具受力均衡。</w:t>
      </w:r>
    </w:p>
    <w:p w14:paraId="111EA618">
      <w:pPr>
        <w:pStyle w:val="165"/>
        <w:rPr>
          <w:rFonts w:hint="eastAsia"/>
        </w:rPr>
      </w:pPr>
      <w:r>
        <w:rPr>
          <w:rFonts w:hint="eastAsia"/>
        </w:rPr>
        <w:t>构件安装施工前，应核对已施工完成部位的外观质量和尺寸偏差，确认预制构件的混凝土强度及预制构件和配件的型号、规格、数量等符合设计要求，并重点检查竖向连接钢筋的外露长度、垂直度、位置偏差等是否满足设计和施工要求。</w:t>
      </w:r>
    </w:p>
    <w:p w14:paraId="4830D2F7">
      <w:pPr>
        <w:pStyle w:val="165"/>
        <w:rPr>
          <w:rFonts w:hint="eastAsia"/>
        </w:rPr>
      </w:pPr>
      <w:r>
        <w:rPr>
          <w:rFonts w:hint="eastAsia"/>
        </w:rPr>
        <w:t>构件安装施工前，安全防护设施应按照专项施工方案进行搭设、验收。</w:t>
      </w:r>
    </w:p>
    <w:p w14:paraId="485355E5">
      <w:pPr>
        <w:pStyle w:val="165"/>
        <w:rPr>
          <w:rFonts w:hint="eastAsia"/>
        </w:rPr>
      </w:pPr>
      <w:r>
        <w:rPr>
          <w:rFonts w:hint="eastAsia"/>
        </w:rPr>
        <w:t>吊装作业应实施区域封闭管理，并设置警戒线和警戒标识；无法实施隔离封闭时，应采取专项防护措施。</w:t>
      </w:r>
    </w:p>
    <w:p w14:paraId="40130EF4">
      <w:pPr>
        <w:pStyle w:val="105"/>
        <w:spacing w:before="120" w:after="120"/>
        <w:rPr>
          <w:rFonts w:hint="eastAsia"/>
        </w:rPr>
      </w:pPr>
      <w:r>
        <w:rPr>
          <w:rFonts w:hint="eastAsia"/>
        </w:rPr>
        <w:t>构件吊装</w:t>
      </w:r>
    </w:p>
    <w:p w14:paraId="36317B89">
      <w:pPr>
        <w:pStyle w:val="165"/>
        <w:rPr>
          <w:rFonts w:hint="eastAsia"/>
        </w:rPr>
      </w:pPr>
      <w:r>
        <w:rPr>
          <w:rFonts w:hint="eastAsia"/>
        </w:rPr>
        <w:t>吊装作业应设专人指挥，操作人员应位于安全位置。</w:t>
      </w:r>
    </w:p>
    <w:p w14:paraId="432AEFAA">
      <w:pPr>
        <w:pStyle w:val="165"/>
        <w:rPr>
          <w:rFonts w:hint="eastAsia"/>
        </w:rPr>
      </w:pPr>
      <w:r>
        <w:rPr>
          <w:rFonts w:hint="eastAsia"/>
        </w:rPr>
        <w:t>构件应按照专项施工方案规定的吊装顺序提前编号，吊装时严格按编号顺序起吊。</w:t>
      </w:r>
    </w:p>
    <w:p w14:paraId="47C6FB0D">
      <w:pPr>
        <w:pStyle w:val="165"/>
        <w:rPr>
          <w:rFonts w:hint="eastAsia"/>
        </w:rPr>
      </w:pPr>
      <w:r>
        <w:rPr>
          <w:rFonts w:hint="eastAsia"/>
        </w:rPr>
        <w:t>构件吊装前，应对拟吊装构件的预埋件、拟吊装构件部位的安全防护等进行再次检查，并配齐装配工人、操作工具及辅助材料。</w:t>
      </w:r>
    </w:p>
    <w:p w14:paraId="291B1793">
      <w:pPr>
        <w:pStyle w:val="165"/>
        <w:rPr>
          <w:rFonts w:hint="eastAsia"/>
        </w:rPr>
      </w:pPr>
      <w:r>
        <w:rPr>
          <w:rFonts w:hint="eastAsia"/>
        </w:rPr>
        <w:t>采用汽车吊、履带吊等移动式起重设备吊装时应观测吊装安全距离、吊车支腿处地基变化情况及吊具的受力情况。</w:t>
      </w:r>
    </w:p>
    <w:p w14:paraId="1D6ECF34">
      <w:pPr>
        <w:pStyle w:val="165"/>
        <w:rPr>
          <w:rFonts w:hint="eastAsia"/>
        </w:rPr>
      </w:pPr>
      <w:r>
        <w:rPr>
          <w:rFonts w:hint="eastAsia"/>
        </w:rPr>
        <w:t>吊装时要遵循“慢起、稳升、缓放”原则，吊运过程应平稳；每班作业时宜先试吊一次，测试吊具与起吊设备是否异常；异形构件必须设计平衡用的吊具或配重，每次起吊脱离存放点时应予以适当停顿，确保平衡状态后，方可继续提升。构件的吊装时，应设置溜绳。</w:t>
      </w:r>
    </w:p>
    <w:p w14:paraId="05F2FAD4">
      <w:pPr>
        <w:pStyle w:val="165"/>
        <w:rPr>
          <w:rFonts w:hint="eastAsia"/>
        </w:rPr>
      </w:pPr>
      <w:r>
        <w:rPr>
          <w:rFonts w:hint="eastAsia"/>
        </w:rPr>
        <w:t>构件应采用垂直吊运，严禁斜拉、斜吊；吊起的构件应及时安装就位，不得悬挂在空中；吊运和安装过程中，都必须配备信号司索工，对构件进行移动、吊升、停止、安装时的全过程应用远程通讯设备进行指挥，信号不明不得吊运和安装。</w:t>
      </w:r>
    </w:p>
    <w:p w14:paraId="558D452C">
      <w:pPr>
        <w:pStyle w:val="165"/>
        <w:rPr>
          <w:rFonts w:hint="eastAsia"/>
        </w:rPr>
      </w:pPr>
      <w:r>
        <w:rPr>
          <w:rFonts w:hint="eastAsia"/>
        </w:rPr>
        <w:t>预制墙板、预制柱等竖向构件的吊装应符合下列规定：</w:t>
      </w:r>
    </w:p>
    <w:p w14:paraId="463DB191">
      <w:pPr>
        <w:pStyle w:val="132"/>
        <w:rPr>
          <w:rFonts w:hint="eastAsia"/>
        </w:rPr>
      </w:pPr>
      <w:r>
        <w:rPr>
          <w:rFonts w:hint="eastAsia"/>
        </w:rPr>
        <w:t>吊装竖向构件时，应按专项施工方案规定的安装顺序进行吊装；</w:t>
      </w:r>
    </w:p>
    <w:p w14:paraId="59CB165D">
      <w:pPr>
        <w:pStyle w:val="132"/>
        <w:rPr>
          <w:rFonts w:hint="eastAsia"/>
        </w:rPr>
      </w:pPr>
      <w:r>
        <w:rPr>
          <w:rFonts w:hint="eastAsia"/>
        </w:rPr>
        <w:t>预制墙板在吊装过程中宜采用模数化吊装梁，吊装时构件的吊索应顺直；</w:t>
      </w:r>
    </w:p>
    <w:p w14:paraId="142B3634">
      <w:pPr>
        <w:pStyle w:val="132"/>
        <w:rPr>
          <w:rFonts w:hint="eastAsia"/>
        </w:rPr>
      </w:pPr>
      <w:r>
        <w:rPr>
          <w:rFonts w:hint="eastAsia"/>
        </w:rPr>
        <w:t>根据竖向构件设计指定的吊点，用钢丝绳卡扣与构件上的预埋吊环连接，确认连接紧固后，方可缓慢起吊，并通过牵引溜绳调整竖向构件方向；</w:t>
      </w:r>
    </w:p>
    <w:p w14:paraId="58CB3205">
      <w:pPr>
        <w:pStyle w:val="132"/>
        <w:rPr>
          <w:rFonts w:hint="eastAsia"/>
        </w:rPr>
      </w:pPr>
      <w:r>
        <w:rPr>
          <w:rFonts w:hint="eastAsia"/>
        </w:rPr>
        <w:t>构件起吊时，应做好边角防护并不得与存放架发生碰撞；</w:t>
      </w:r>
    </w:p>
    <w:p w14:paraId="064ACE73">
      <w:pPr>
        <w:pStyle w:val="132"/>
        <w:rPr>
          <w:rFonts w:hint="eastAsia"/>
        </w:rPr>
      </w:pPr>
      <w:r>
        <w:rPr>
          <w:rFonts w:hint="eastAsia"/>
        </w:rPr>
        <w:t>预制墙板宜直立起吊；</w:t>
      </w:r>
    </w:p>
    <w:p w14:paraId="5CE36B27">
      <w:pPr>
        <w:pStyle w:val="132"/>
        <w:rPr>
          <w:rFonts w:hint="eastAsia"/>
        </w:rPr>
      </w:pPr>
      <w:r>
        <w:rPr>
          <w:rFonts w:hint="eastAsia"/>
        </w:rPr>
        <w:t>预制柱采用水平存放时，翻转起吊过程中应采取辅助措施防止构件滑动或倾覆，并应缓慢垂直提升，禁止摆动大臂，待构件翻转90°正位后，再缓慢起吊。</w:t>
      </w:r>
    </w:p>
    <w:p w14:paraId="1B92A7DD">
      <w:pPr>
        <w:pStyle w:val="165"/>
        <w:rPr>
          <w:rFonts w:hint="eastAsia"/>
        </w:rPr>
      </w:pPr>
      <w:r>
        <w:rPr>
          <w:rFonts w:hint="eastAsia"/>
        </w:rPr>
        <w:t>叠合板、叠合梁、阳台板、空调板的吊装应符合下列规定：</w:t>
      </w:r>
    </w:p>
    <w:p w14:paraId="643E83F4">
      <w:pPr>
        <w:pStyle w:val="132"/>
        <w:rPr>
          <w:rFonts w:hint="eastAsia"/>
        </w:rPr>
      </w:pPr>
      <w:r>
        <w:rPr>
          <w:rFonts w:hint="eastAsia"/>
        </w:rPr>
        <w:t>根据构件尺寸及吊点位置，选择合适的模数化吊装梁；</w:t>
      </w:r>
    </w:p>
    <w:p w14:paraId="6BE52E7B">
      <w:pPr>
        <w:pStyle w:val="132"/>
        <w:rPr>
          <w:rFonts w:hint="eastAsia"/>
        </w:rPr>
      </w:pPr>
      <w:r>
        <w:rPr>
          <w:rFonts w:hint="eastAsia"/>
        </w:rPr>
        <w:t>吊点钢丝绳长度保持一致，起吊缓慢。吊点超过4个时，宜采用带滑轮组的模数化吊装梁进行吊装；</w:t>
      </w:r>
    </w:p>
    <w:p w14:paraId="59BB6252">
      <w:pPr>
        <w:pStyle w:val="132"/>
        <w:rPr>
          <w:rFonts w:hint="eastAsia"/>
        </w:rPr>
      </w:pPr>
      <w:r>
        <w:rPr>
          <w:rFonts w:hint="eastAsia"/>
        </w:rPr>
        <w:t>应将钢丝绳卡扣与构件上的预埋吊环连接，确认连接紧固后，方可缓慢起吊；</w:t>
      </w:r>
    </w:p>
    <w:p w14:paraId="2E5EA186">
      <w:pPr>
        <w:pStyle w:val="132"/>
        <w:rPr>
          <w:rFonts w:hint="eastAsia"/>
        </w:rPr>
      </w:pPr>
      <w:r>
        <w:rPr>
          <w:rFonts w:hint="eastAsia"/>
        </w:rPr>
        <w:t>构件应垂直下落安装就位，施工人员在保证安全操作前提下，通过牵引溜绳调整叠合板等构件方向，将板的边线与墙上的安放位置线对准，放下时应停稳慢放，不得快速猛放。</w:t>
      </w:r>
    </w:p>
    <w:p w14:paraId="7F676B24">
      <w:pPr>
        <w:pStyle w:val="165"/>
        <w:rPr>
          <w:rFonts w:hint="eastAsia"/>
        </w:rPr>
      </w:pPr>
      <w:r>
        <w:rPr>
          <w:rFonts w:hint="eastAsia"/>
        </w:rPr>
        <w:t>预制楼梯板的起吊与安装应符合下列规定：</w:t>
      </w:r>
    </w:p>
    <w:p w14:paraId="624417EB">
      <w:pPr>
        <w:pStyle w:val="132"/>
        <w:rPr>
          <w:rFonts w:hint="eastAsia"/>
        </w:rPr>
      </w:pPr>
      <w:r>
        <w:rPr>
          <w:rFonts w:hint="eastAsia"/>
        </w:rPr>
        <w:t>宜采用楼梯板上预埋吊装内螺母进行连接吊装；起吊前，应检查吊环连接；</w:t>
      </w:r>
    </w:p>
    <w:p w14:paraId="69568C0D">
      <w:pPr>
        <w:pStyle w:val="132"/>
        <w:rPr>
          <w:rFonts w:hint="eastAsia"/>
        </w:rPr>
      </w:pPr>
      <w:r>
        <w:rPr>
          <w:rFonts w:hint="eastAsia"/>
        </w:rPr>
        <w:t>预制楼梯板吊装时，应使踏步平面保持水平状态；</w:t>
      </w:r>
    </w:p>
    <w:p w14:paraId="1B9AAED5">
      <w:pPr>
        <w:pStyle w:val="132"/>
        <w:rPr>
          <w:rFonts w:hint="eastAsia"/>
        </w:rPr>
      </w:pPr>
      <w:r>
        <w:rPr>
          <w:rFonts w:hint="eastAsia"/>
        </w:rPr>
        <w:t>楼梯板就位时，在作业层上空600 mm处略作停顿，施工人员在保证安全操作前提下，通过牵引溜绳调整楼梯板方向，将楼梯板的边线与梯梁上的安装位置线对准，放下时应停稳慢放；</w:t>
      </w:r>
    </w:p>
    <w:p w14:paraId="1831EC9C">
      <w:pPr>
        <w:pStyle w:val="132"/>
        <w:rPr>
          <w:rFonts w:hint="eastAsia"/>
        </w:rPr>
      </w:pPr>
      <w:r>
        <w:rPr>
          <w:rFonts w:hint="eastAsia"/>
        </w:rPr>
        <w:t>楼梯板构件安装前应确保预埋件安装位置准确、牢固；</w:t>
      </w:r>
    </w:p>
    <w:p w14:paraId="4E4EDE3C">
      <w:pPr>
        <w:pStyle w:val="132"/>
        <w:rPr>
          <w:rFonts w:hint="eastAsia"/>
        </w:rPr>
      </w:pPr>
      <w:r>
        <w:rPr>
          <w:rFonts w:hint="eastAsia"/>
        </w:rPr>
        <w:t>楼梯板安装后应及时安装临边防护设施。</w:t>
      </w:r>
    </w:p>
    <w:p w14:paraId="0771CC29">
      <w:pPr>
        <w:pStyle w:val="165"/>
        <w:rPr>
          <w:rFonts w:hint="eastAsia"/>
        </w:rPr>
      </w:pPr>
      <w:r>
        <w:rPr>
          <w:rFonts w:hint="eastAsia"/>
        </w:rPr>
        <w:t>装配式钢结构吊装时，构件宜在地面组装，安全设施应一并设置。</w:t>
      </w:r>
    </w:p>
    <w:p w14:paraId="299F58FF">
      <w:pPr>
        <w:pStyle w:val="165"/>
        <w:rPr>
          <w:rFonts w:hint="eastAsia"/>
        </w:rPr>
      </w:pPr>
      <w:r>
        <w:rPr>
          <w:rFonts w:hint="eastAsia"/>
        </w:rPr>
        <w:t>构件就位后，对未形成空间稳定体系的部分，在采用了有效的临时固定或支撑措施后，方可缓慢松吊钩；临时固定或支撑措施应在构件与结构之间形成可靠连接，且在装配式结构能达到后续施工承载要求，并经验收合格报批后方可拆除。</w:t>
      </w:r>
    </w:p>
    <w:p w14:paraId="08AA7E51">
      <w:pPr>
        <w:pStyle w:val="165"/>
        <w:rPr>
          <w:rFonts w:hint="eastAsia"/>
        </w:rPr>
      </w:pPr>
      <w:r>
        <w:rPr>
          <w:rFonts w:hint="eastAsia"/>
        </w:rPr>
        <w:t>本层构件施工完毕并永久固定，达到专项施工方案规定的强度后，才能进行上一个楼层吊装施工。</w:t>
      </w:r>
    </w:p>
    <w:p w14:paraId="093C2971">
      <w:pPr>
        <w:pStyle w:val="165"/>
        <w:rPr>
          <w:rFonts w:hint="eastAsia"/>
        </w:rPr>
      </w:pPr>
      <w:r>
        <w:rPr>
          <w:rFonts w:hint="eastAsia"/>
        </w:rPr>
        <w:t>吊装作业不宜夜间施工，在风力达到5级及以上或大雨、大雪、大雾等恶劣天气时，应停止露天吊装作业。重新作业前，应先试吊，检查确认各种安全装置的灵敏可靠后才能进行作业。</w:t>
      </w:r>
    </w:p>
    <w:p w14:paraId="640E9A55">
      <w:pPr>
        <w:pStyle w:val="105"/>
        <w:spacing w:before="120" w:after="120"/>
        <w:rPr>
          <w:rFonts w:hint="eastAsia"/>
        </w:rPr>
      </w:pPr>
      <w:r>
        <w:rPr>
          <w:rFonts w:hint="eastAsia"/>
        </w:rPr>
        <w:t>构件支撑</w:t>
      </w:r>
    </w:p>
    <w:p w14:paraId="0DA367F7">
      <w:pPr>
        <w:pStyle w:val="165"/>
      </w:pPr>
      <w:r>
        <w:rPr>
          <w:rFonts w:hint="eastAsia"/>
        </w:rPr>
        <w:t>装配式混凝土结构的临时支撑宜采用工具式支架，并应根据施工过程中的各种工况进行设计验算，保证足够的承载力、刚度和整体稳定性。</w:t>
      </w:r>
    </w:p>
    <w:p w14:paraId="1BFF0F6E">
      <w:pPr>
        <w:pStyle w:val="165"/>
        <w:rPr>
          <w:rFonts w:hint="eastAsia"/>
        </w:rPr>
      </w:pPr>
      <w:r>
        <w:rPr>
          <w:rFonts w:hint="eastAsia"/>
        </w:rPr>
        <w:t>竖向预制构件安装采用临时支撑时应符合下列规定：</w:t>
      </w:r>
    </w:p>
    <w:p w14:paraId="474ECE99">
      <w:pPr>
        <w:pStyle w:val="132"/>
        <w:rPr>
          <w:rFonts w:hint="eastAsia"/>
        </w:rPr>
      </w:pPr>
      <w:r>
        <w:rPr>
          <w:rFonts w:hint="eastAsia"/>
        </w:rPr>
        <w:t>预制构件的临时支撑应保证构件施工过程中的稳定性，且不应少于2道；</w:t>
      </w:r>
    </w:p>
    <w:p w14:paraId="52A01249">
      <w:pPr>
        <w:pStyle w:val="132"/>
        <w:rPr>
          <w:rFonts w:hint="eastAsia"/>
        </w:rPr>
      </w:pPr>
      <w:r>
        <w:rPr>
          <w:rFonts w:hint="eastAsia"/>
        </w:rPr>
        <w:t>对墙板构件、截面小于600 mm</w:t>
      </w:r>
      <w:r>
        <w:rPr>
          <w:rFonts w:hint="eastAsia" w:hAnsi="宋体"/>
        </w:rPr>
        <w:t>×</w:t>
      </w:r>
      <w:r>
        <w:rPr>
          <w:rFonts w:hint="eastAsia"/>
        </w:rPr>
        <w:t>600 mm的预制柱的上部斜支撑，其支撑点距离板底的距离不宜小于构件高度的2/3，且不应小于构件高度的1/2；斜撑顶部应固定在预留螺栓孔上，不得另行开孔，斜支撑底部与地面或楼面应采用螺栓或钢筋环进行锚固；支撑与水平面的夹角在40°~50°之间；</w:t>
      </w:r>
    </w:p>
    <w:p w14:paraId="74C769B2">
      <w:pPr>
        <w:pStyle w:val="132"/>
        <w:rPr>
          <w:rFonts w:hint="eastAsia"/>
        </w:rPr>
      </w:pPr>
      <w:r>
        <w:rPr>
          <w:rFonts w:hint="eastAsia"/>
        </w:rPr>
        <w:t>若出现预留孔与设计不符的情况，应经设计、生产单位出具方案后方能施工。</w:t>
      </w:r>
    </w:p>
    <w:p w14:paraId="212ECA13">
      <w:pPr>
        <w:pStyle w:val="165"/>
        <w:rPr>
          <w:rFonts w:hint="eastAsia"/>
        </w:rPr>
      </w:pPr>
      <w:r>
        <w:rPr>
          <w:rFonts w:hint="eastAsia"/>
        </w:rPr>
        <w:t>水平预制构件安装采用临时支撑时应符合下列规定：</w:t>
      </w:r>
    </w:p>
    <w:p w14:paraId="1292156C">
      <w:pPr>
        <w:pStyle w:val="132"/>
        <w:rPr>
          <w:rFonts w:hint="eastAsia"/>
        </w:rPr>
      </w:pPr>
      <w:r>
        <w:rPr>
          <w:rFonts w:hint="eastAsia"/>
        </w:rPr>
        <w:t>支撑应具有足够的承载力、刚度和稳定性，能有效承受混凝士构件的自重、施工荷载及风荷载；</w:t>
      </w:r>
    </w:p>
    <w:p w14:paraId="2C3819C5">
      <w:pPr>
        <w:pStyle w:val="132"/>
        <w:rPr>
          <w:rFonts w:hint="eastAsia"/>
        </w:rPr>
      </w:pPr>
      <w:r>
        <w:rPr>
          <w:rFonts w:hint="eastAsia"/>
        </w:rPr>
        <w:t>支撑应根据专项施工方案设置，支撑系统的间距及距离墙、柱、梁边的净距应符合设计要求，竖向连续支撑层数不宜少于2层，上下层支撑应在同一铅垂线上，支撑标高应符合设计规定，且应考虑支撑系统本身的变形；</w:t>
      </w:r>
    </w:p>
    <w:p w14:paraId="0EB2726F">
      <w:pPr>
        <w:pStyle w:val="132"/>
        <w:rPr>
          <w:rFonts w:hint="eastAsia"/>
        </w:rPr>
      </w:pPr>
      <w:r>
        <w:rPr>
          <w:rFonts w:hint="eastAsia"/>
        </w:rPr>
        <w:t>预制叠合板边缘，应增设竖向支撑杆件，预制叠合板竖向支撑点位置应靠近起吊点，支撑杆件顶部的支托梁宜垂直于预制叠合板的主受力方向；</w:t>
      </w:r>
    </w:p>
    <w:p w14:paraId="6EDCBCBA">
      <w:pPr>
        <w:pStyle w:val="132"/>
        <w:rPr>
          <w:rFonts w:hint="eastAsia"/>
        </w:rPr>
      </w:pPr>
      <w:r>
        <w:rPr>
          <w:rFonts w:hint="eastAsia"/>
        </w:rPr>
        <w:t>首层支撑架体的地基必须平整坚实，宜采取硬化措施。</w:t>
      </w:r>
    </w:p>
    <w:p w14:paraId="71D5AAD3">
      <w:pPr>
        <w:pStyle w:val="165"/>
        <w:rPr>
          <w:rFonts w:hint="eastAsia"/>
        </w:rPr>
      </w:pPr>
      <w:r>
        <w:rPr>
          <w:rFonts w:hint="eastAsia"/>
        </w:rPr>
        <w:t>预制柱等竖向构件，应设置不少于两个正交方向的可调斜支撑，且可调支撑应能承受拉、压力。结构形成整体前，可调斜支撑不能保证构件稳定性时，应在构件四个方向加设缆风绳固定，或采用专门制作的金属临时固定架固定。用于临时固定的缆风绳下部应设紧绳器，并牢固地固定在锚桩上。</w:t>
      </w:r>
    </w:p>
    <w:p w14:paraId="7108DC38">
      <w:pPr>
        <w:pStyle w:val="165"/>
        <w:rPr>
          <w:rFonts w:hint="eastAsia"/>
        </w:rPr>
      </w:pPr>
      <w:r>
        <w:rPr>
          <w:rFonts w:hint="eastAsia"/>
        </w:rPr>
        <w:t>叠合楼板、阳台、空调板等水平构件安装就位后，对未形成空间稳定体系的部分应设置竖向支撑架体；阳台等边缘构件的竖向支撑架体应形成自稳定的整体架，并宜与相邻结构可靠连接。</w:t>
      </w:r>
    </w:p>
    <w:p w14:paraId="7B240771">
      <w:pPr>
        <w:pStyle w:val="165"/>
      </w:pPr>
      <w:r>
        <w:rPr>
          <w:rFonts w:hint="eastAsia"/>
        </w:rPr>
        <w:t>水平叠合构件下的临时支撑应在叠合层混凝土达到规定强度后拆除。</w:t>
      </w:r>
    </w:p>
    <w:p w14:paraId="3C8CAD14">
      <w:pPr>
        <w:pStyle w:val="165"/>
        <w:rPr>
          <w:rFonts w:hint="eastAsia"/>
        </w:rPr>
      </w:pPr>
      <w:r>
        <w:rPr>
          <w:rFonts w:hint="eastAsia"/>
        </w:rPr>
        <w:t>对于承受预制构件安装的高大模板体系，其设计、施工应符合危险性较大分部分项工程的相关规定。</w:t>
      </w:r>
    </w:p>
    <w:p w14:paraId="010663C6">
      <w:pPr>
        <w:pStyle w:val="165"/>
        <w:rPr>
          <w:rFonts w:hint="eastAsia"/>
        </w:rPr>
      </w:pPr>
      <w:r>
        <w:rPr>
          <w:rFonts w:hint="eastAsia"/>
        </w:rPr>
        <w:t>装配式钢结构安装时，构件应采用螺栓或连接板焊接进行临时固定，采取螺栓临时连接时，穿入临时螺栓数量不低于总数的三分之一且不少于2颗，不得采用高强螺栓代替；采用连接板焊接连接时，焊缝质量应满足设计及规范要求。</w:t>
      </w:r>
    </w:p>
    <w:p w14:paraId="05E9E49F">
      <w:pPr>
        <w:pStyle w:val="165"/>
        <w:rPr>
          <w:rFonts w:hint="eastAsia"/>
        </w:rPr>
      </w:pPr>
      <w:r>
        <w:rPr>
          <w:rFonts w:hint="eastAsia"/>
        </w:rPr>
        <w:t>用于支撑钢结构安装的架体卸载，应严格按专项施工方案的模拟分析、验算结果和施工要求，按专项施工方案规定的卸载顺序进行卸载，并宜按分阶段、分批、分级的要求，对卸载过程进行控制：</w:t>
      </w:r>
    </w:p>
    <w:p w14:paraId="78F463C7">
      <w:pPr>
        <w:pStyle w:val="132"/>
        <w:rPr>
          <w:rFonts w:hint="eastAsia"/>
        </w:rPr>
      </w:pPr>
      <w:r>
        <w:rPr>
          <w:rFonts w:hint="eastAsia"/>
        </w:rPr>
        <w:t>卸载时相邻支撑的受力不产生超过计算结果的变化；</w:t>
      </w:r>
    </w:p>
    <w:p w14:paraId="52A4B617">
      <w:pPr>
        <w:pStyle w:val="132"/>
        <w:rPr>
          <w:rFonts w:hint="eastAsia"/>
        </w:rPr>
      </w:pPr>
      <w:r>
        <w:rPr>
          <w:rFonts w:hint="eastAsia"/>
        </w:rPr>
        <w:t>结构体系的杆件内力不超出规定的允许应力；</w:t>
      </w:r>
    </w:p>
    <w:p w14:paraId="13EA604F">
      <w:pPr>
        <w:pStyle w:val="132"/>
        <w:rPr>
          <w:rFonts w:hint="eastAsia"/>
        </w:rPr>
      </w:pPr>
      <w:r>
        <w:rPr>
          <w:rFonts w:hint="eastAsia"/>
        </w:rPr>
        <w:t>结构体系受力转换可靠、稳步形成。</w:t>
      </w:r>
    </w:p>
    <w:p w14:paraId="3593ABD7">
      <w:pPr>
        <w:pStyle w:val="165"/>
      </w:pPr>
      <w:r>
        <w:rPr>
          <w:rFonts w:hint="eastAsia"/>
        </w:rPr>
        <w:t>严禁将外防护系统作为吊装构件的临时支撑。</w:t>
      </w:r>
    </w:p>
    <w:p w14:paraId="1E2D13CA">
      <w:pPr>
        <w:pStyle w:val="105"/>
        <w:spacing w:before="120" w:after="120"/>
        <w:rPr>
          <w:rFonts w:hint="eastAsia"/>
        </w:rPr>
      </w:pPr>
      <w:r>
        <w:rPr>
          <w:rFonts w:hint="eastAsia"/>
        </w:rPr>
        <w:t>构件连接</w:t>
      </w:r>
    </w:p>
    <w:p w14:paraId="034946F7">
      <w:pPr>
        <w:pStyle w:val="165"/>
        <w:rPr>
          <w:rFonts w:hint="eastAsia"/>
        </w:rPr>
      </w:pPr>
      <w:r>
        <w:rPr>
          <w:rFonts w:hint="eastAsia"/>
        </w:rPr>
        <w:t>构件安装就位后应及时校准，校准后应及时将构件固定牢固，防止变形和位移。</w:t>
      </w:r>
    </w:p>
    <w:p w14:paraId="3E8D7CB0">
      <w:pPr>
        <w:pStyle w:val="165"/>
        <w:rPr>
          <w:rFonts w:hint="eastAsia"/>
        </w:rPr>
      </w:pPr>
      <w:r>
        <w:rPr>
          <w:rFonts w:hint="eastAsia"/>
        </w:rPr>
        <w:t>构件连接前，应检查被连接钢筋的规格、数量、位置和长度，确认达到设计要求后进行连接作业，严禁随意切割、拆除、损坏预留钢筋、支撑架、螺栓等部件。</w:t>
      </w:r>
    </w:p>
    <w:p w14:paraId="611B0E1C">
      <w:pPr>
        <w:pStyle w:val="165"/>
        <w:rPr>
          <w:rFonts w:hint="eastAsia"/>
        </w:rPr>
      </w:pPr>
      <w:r>
        <w:rPr>
          <w:rFonts w:hint="eastAsia"/>
        </w:rPr>
        <w:t>采用钢筋套筒灌浆连接、钢筋浆锚搭接连接、水平锚环灌浆连接的预制构件施工应符合下列规定：</w:t>
      </w:r>
    </w:p>
    <w:p w14:paraId="15198C48">
      <w:pPr>
        <w:pStyle w:val="132"/>
        <w:rPr>
          <w:rFonts w:hint="eastAsia"/>
        </w:rPr>
      </w:pPr>
      <w:r>
        <w:rPr>
          <w:rFonts w:hint="eastAsia"/>
        </w:rPr>
        <w:t>用于钢筋套筒灌浆连接的套筒，原材料及力学性能应符合JG/T 163、JG/T 398和JGJ 355的规定；</w:t>
      </w:r>
    </w:p>
    <w:p w14:paraId="359621DD">
      <w:pPr>
        <w:pStyle w:val="132"/>
        <w:rPr>
          <w:rFonts w:hint="eastAsia"/>
        </w:rPr>
      </w:pPr>
      <w:r>
        <w:rPr>
          <w:rFonts w:hint="eastAsia"/>
        </w:rPr>
        <w:t>用于钢筋浆锚搭接连接的镀锌金属波纹管应符合JG 225的规定。镀锌金属波纹管的壁厚不宜小于0.3 mm，波纹高度不应小于2.5 mm；</w:t>
      </w:r>
    </w:p>
    <w:p w14:paraId="53423BC8">
      <w:pPr>
        <w:pStyle w:val="132"/>
        <w:rPr>
          <w:rFonts w:hint="eastAsia"/>
        </w:rPr>
      </w:pPr>
      <w:r>
        <w:rPr>
          <w:rFonts w:hint="eastAsia"/>
        </w:rPr>
        <w:t>用于水平钢筋锚环灌浆连接的水泥基灌浆材料应符合GB/T 50448的规定。</w:t>
      </w:r>
    </w:p>
    <w:p w14:paraId="212C96FF">
      <w:pPr>
        <w:pStyle w:val="165"/>
        <w:rPr>
          <w:rFonts w:hint="eastAsia"/>
        </w:rPr>
      </w:pPr>
      <w:r>
        <w:rPr>
          <w:rFonts w:hint="eastAsia"/>
        </w:rPr>
        <w:t>采用多层安装后灌浆施工工艺时，构件安装后，应及时设置斜支撑，未灌浆楼层不应超过两层。</w:t>
      </w:r>
    </w:p>
    <w:p w14:paraId="308ED528">
      <w:pPr>
        <w:pStyle w:val="165"/>
        <w:rPr>
          <w:rFonts w:hint="eastAsia"/>
        </w:rPr>
      </w:pPr>
      <w:r>
        <w:rPr>
          <w:rFonts w:hint="eastAsia"/>
        </w:rPr>
        <w:t>灌浆施工前，应对灌浆料的性能指标进行检测，并应加强全过程的质量监控，灌浆施工过程应留存影像资料。节点注浆时应确保管路通畅，注浆设备应设置压力保护装置。</w:t>
      </w:r>
    </w:p>
    <w:p w14:paraId="4A52676F">
      <w:pPr>
        <w:pStyle w:val="165"/>
      </w:pPr>
      <w:r>
        <w:rPr>
          <w:rFonts w:hint="eastAsia"/>
        </w:rPr>
        <w:t>灌浆施工的环境温度不宜低于5 ℃，且不应低于0 ℃，冬季中进行钢筋灌浆连接施工时，应采用专用低温型灌浆料，并采用辅助加热保温措施；当环境温度高于30 ℃时，应适当采取降低灌浆料拌合物温度的措施。</w:t>
      </w:r>
    </w:p>
    <w:p w14:paraId="75264DAD">
      <w:pPr>
        <w:pStyle w:val="165"/>
        <w:rPr>
          <w:rFonts w:hint="eastAsia"/>
        </w:rPr>
      </w:pPr>
      <w:r>
        <w:rPr>
          <w:rFonts w:hint="eastAsia"/>
        </w:rPr>
        <w:t>装配式钢结构焊接前，应编制焊接作业指导书并进行安全技术交底。</w:t>
      </w:r>
    </w:p>
    <w:p w14:paraId="56DE4BF6">
      <w:pPr>
        <w:pStyle w:val="165"/>
        <w:rPr>
          <w:rFonts w:hint="eastAsia"/>
        </w:rPr>
      </w:pPr>
      <w:r>
        <w:rPr>
          <w:rFonts w:hint="eastAsia"/>
        </w:rPr>
        <w:t>钢结构焊接前，焊接和配合人员应采取防止触电、高空坠落、中毒的安全措施，严格制定和落实防火措施，并设专人看护。雨天没有保护措施时不得露天电焊。</w:t>
      </w:r>
    </w:p>
    <w:p w14:paraId="2914FE4D">
      <w:pPr>
        <w:pStyle w:val="165"/>
        <w:rPr>
          <w:rFonts w:hint="eastAsia"/>
        </w:rPr>
      </w:pPr>
      <w:r>
        <w:rPr>
          <w:rFonts w:hint="eastAsia"/>
        </w:rPr>
        <w:t>高处焊接作业时，应有焊渣接收措施。</w:t>
      </w:r>
    </w:p>
    <w:p w14:paraId="51D04889">
      <w:pPr>
        <w:pStyle w:val="165"/>
        <w:rPr>
          <w:rFonts w:hint="eastAsia"/>
        </w:rPr>
      </w:pPr>
      <w:r>
        <w:rPr>
          <w:rFonts w:hint="eastAsia"/>
        </w:rPr>
        <w:t>焊接预热焊件时，应设挡板隔离焊件发出的辐射热，焊接人员应穿戴隔热服装；在潮湿地带作业时，焊接人员应站在铺有绝缘物品的地方并穿好绝缘鞋。</w:t>
      </w:r>
    </w:p>
    <w:p w14:paraId="3E7B7ED2">
      <w:pPr>
        <w:pStyle w:val="165"/>
        <w:rPr>
          <w:rFonts w:hint="eastAsia"/>
        </w:rPr>
      </w:pPr>
      <w:r>
        <w:rPr>
          <w:rFonts w:hint="eastAsia"/>
        </w:rPr>
        <w:t>不得对受力构件进行焊接和切割。</w:t>
      </w:r>
    </w:p>
    <w:p w14:paraId="72BFAE72">
      <w:pPr>
        <w:pStyle w:val="165"/>
        <w:rPr>
          <w:rFonts w:hint="eastAsia"/>
        </w:rPr>
      </w:pPr>
      <w:r>
        <w:rPr>
          <w:rFonts w:hint="eastAsia"/>
        </w:rPr>
        <w:t>接地线及手把线都不得搭在易燃、易爆和带有热源的物品上，接地线不得接在管道、机床设备和建筑物金属构架或轨道上，接地电阻不大于4 Ω。</w:t>
      </w:r>
    </w:p>
    <w:p w14:paraId="3E9445EC">
      <w:pPr>
        <w:pStyle w:val="105"/>
        <w:spacing w:before="120" w:after="120"/>
        <w:rPr>
          <w:rFonts w:hint="eastAsia"/>
        </w:rPr>
      </w:pPr>
      <w:r>
        <w:rPr>
          <w:rFonts w:hint="eastAsia"/>
        </w:rPr>
        <w:t>现浇结构施工</w:t>
      </w:r>
    </w:p>
    <w:p w14:paraId="3815021C">
      <w:pPr>
        <w:pStyle w:val="165"/>
        <w:rPr>
          <w:rFonts w:hint="eastAsia"/>
        </w:rPr>
      </w:pPr>
      <w:r>
        <w:rPr>
          <w:rFonts w:hint="eastAsia"/>
        </w:rPr>
        <w:t>现浇部位施工前，装配式混凝土结构构件安装的临时支撑应按专项施工方案要求搭设和验收。</w:t>
      </w:r>
    </w:p>
    <w:p w14:paraId="001EFCDA">
      <w:pPr>
        <w:pStyle w:val="165"/>
        <w:rPr>
          <w:rFonts w:hint="eastAsia"/>
        </w:rPr>
      </w:pPr>
      <w:r>
        <w:rPr>
          <w:rFonts w:hint="eastAsia"/>
        </w:rPr>
        <w:t>当现浇部位模板支承在预制构件上时，应对预制构件承载力进行复核计算。</w:t>
      </w:r>
    </w:p>
    <w:p w14:paraId="351201D8">
      <w:pPr>
        <w:pStyle w:val="165"/>
        <w:rPr>
          <w:rFonts w:hint="eastAsia"/>
        </w:rPr>
      </w:pPr>
      <w:r>
        <w:rPr>
          <w:rFonts w:hint="eastAsia"/>
        </w:rPr>
        <w:t>梁、板等水平预制构件两端支座处的搁置长度应满足设计要求，搁置处的受力状态应保持均匀一致。</w:t>
      </w:r>
    </w:p>
    <w:p w14:paraId="15A2AD80">
      <w:pPr>
        <w:pStyle w:val="165"/>
        <w:rPr>
          <w:rFonts w:hint="eastAsia"/>
        </w:rPr>
      </w:pPr>
      <w:r>
        <w:rPr>
          <w:rFonts w:hint="eastAsia"/>
        </w:rPr>
        <w:t>竖向现浇构件模板宜采用对拉螺杆加固，局部采取防倾措施；与预制构件相连处，宜在预制构件深化设计、加工时提前预留对拉固定孔位。</w:t>
      </w:r>
    </w:p>
    <w:p w14:paraId="5DB656ED">
      <w:pPr>
        <w:pStyle w:val="165"/>
        <w:rPr>
          <w:rFonts w:hint="eastAsia"/>
        </w:rPr>
      </w:pPr>
      <w:r>
        <w:rPr>
          <w:rFonts w:hint="eastAsia"/>
        </w:rPr>
        <w:t>现浇结构施工采用泵送混凝土浇筑时，应采取措施防止泵送设备超重和冲击力影响预制构件及临时支撑体系安全。</w:t>
      </w:r>
    </w:p>
    <w:p w14:paraId="14A33CA1">
      <w:pPr>
        <w:pStyle w:val="165"/>
      </w:pPr>
      <w:r>
        <w:rPr>
          <w:rFonts w:hint="eastAsia"/>
        </w:rPr>
        <w:t>现浇结构施工严禁随意切割、拆除、损坏预留钢筋、支撑架、角码、螺栓等部件，不应在现场对预制构件进行二次切割、开洞。</w:t>
      </w:r>
    </w:p>
    <w:p w14:paraId="795A14D3">
      <w:pPr>
        <w:pStyle w:val="104"/>
        <w:spacing w:before="240" w:after="240"/>
      </w:pPr>
      <w:bookmarkStart w:id="52" w:name="_Toc195620874"/>
      <w:r>
        <w:rPr>
          <w:rFonts w:hint="eastAsia"/>
        </w:rPr>
        <w:t>高处作业管理</w:t>
      </w:r>
      <w:bookmarkEnd w:id="52"/>
    </w:p>
    <w:p w14:paraId="35170D80">
      <w:pPr>
        <w:pStyle w:val="162"/>
        <w:rPr>
          <w:rFonts w:hint="eastAsia"/>
        </w:rPr>
      </w:pPr>
      <w:r>
        <w:rPr>
          <w:rFonts w:hint="eastAsia"/>
        </w:rPr>
        <w:t>高处作业人员应按规定穿戴防护用品，且应定期进行体检，严禁患有高血压、心脏病、癫痫等疾病或其他不适应症的人员从事高处作业。高处作业使用的工具和零配件等应采取防坠落措施，严禁上下抛掷。</w:t>
      </w:r>
    </w:p>
    <w:p w14:paraId="1BC1CDBF">
      <w:pPr>
        <w:pStyle w:val="162"/>
        <w:rPr>
          <w:rFonts w:hint="eastAsia"/>
        </w:rPr>
      </w:pPr>
      <w:r>
        <w:rPr>
          <w:rFonts w:hint="eastAsia"/>
        </w:rPr>
        <w:t>登高作业时，应使用梯子等登高设施保证作业安全。当坠落高度超过2 m时，应设置操作平台。</w:t>
      </w:r>
    </w:p>
    <w:p w14:paraId="7ACC33E4">
      <w:pPr>
        <w:pStyle w:val="162"/>
        <w:rPr>
          <w:rFonts w:hint="eastAsia"/>
        </w:rPr>
      </w:pPr>
      <w:r>
        <w:rPr>
          <w:rFonts w:hint="eastAsia"/>
        </w:rPr>
        <w:t>在临边进行预制构件安装时，作业人员应站在预制构件的内侧。当作业面外防护架栏杆高度小于1.2 m时，作业人员应佩戴安全带并系挂于可靠挂点上，挂点设置宜采用工具式夹具等与主体结构连接，且应高挂低用。</w:t>
      </w:r>
    </w:p>
    <w:p w14:paraId="34CFCBC1">
      <w:pPr>
        <w:pStyle w:val="162"/>
        <w:rPr>
          <w:rFonts w:hint="eastAsia"/>
        </w:rPr>
      </w:pPr>
      <w:r>
        <w:rPr>
          <w:rFonts w:hint="eastAsia"/>
        </w:rPr>
        <w:t>悬空作业时，除应满足相关标准要求外，尚应满足以下要求：</w:t>
      </w:r>
    </w:p>
    <w:p w14:paraId="00F1FE35">
      <w:pPr>
        <w:pStyle w:val="132"/>
        <w:rPr>
          <w:rFonts w:hint="eastAsia"/>
        </w:rPr>
      </w:pPr>
      <w:r>
        <w:rPr>
          <w:rFonts w:hint="eastAsia"/>
        </w:rPr>
        <w:t>悬空作业立足处应牢固，并应配置登高和防坠装置或设施；</w:t>
      </w:r>
    </w:p>
    <w:p w14:paraId="67E357FF">
      <w:pPr>
        <w:pStyle w:val="132"/>
        <w:rPr>
          <w:rFonts w:hint="eastAsia"/>
        </w:rPr>
      </w:pPr>
      <w:r>
        <w:rPr>
          <w:rFonts w:hint="eastAsia"/>
        </w:rPr>
        <w:t>屋架、梁、柱等大型构件深化设计应包括对应登高通道、操作立足点等安全措施；</w:t>
      </w:r>
    </w:p>
    <w:p w14:paraId="65D415D0">
      <w:pPr>
        <w:pStyle w:val="132"/>
        <w:rPr>
          <w:rFonts w:hint="eastAsia"/>
        </w:rPr>
      </w:pPr>
      <w:r>
        <w:rPr>
          <w:rFonts w:hint="eastAsia"/>
        </w:rPr>
        <w:t>吊装第一块预制构件或单独的大中型预制构件时，应站在作业平台上操作；</w:t>
      </w:r>
    </w:p>
    <w:p w14:paraId="1455C3ED">
      <w:pPr>
        <w:pStyle w:val="132"/>
        <w:rPr>
          <w:rFonts w:hint="eastAsia"/>
        </w:rPr>
      </w:pPr>
      <w:r>
        <w:rPr>
          <w:rFonts w:hint="eastAsia"/>
        </w:rPr>
        <w:t>严禁在未固定、无防护设施的预制构件上作业或通行。</w:t>
      </w:r>
    </w:p>
    <w:p w14:paraId="34326381">
      <w:pPr>
        <w:pStyle w:val="162"/>
        <w:rPr>
          <w:rFonts w:hint="eastAsia"/>
        </w:rPr>
      </w:pPr>
      <w:r>
        <w:rPr>
          <w:rFonts w:hint="eastAsia"/>
        </w:rPr>
        <w:t>高处作业吊篮的安拆、使用，应符合JGJ 202的要求；当由预制构件支承时，应经设计单位安全复核，不得损伤预制构件。</w:t>
      </w:r>
    </w:p>
    <w:p w14:paraId="45455F3D">
      <w:pPr>
        <w:pStyle w:val="162"/>
        <w:rPr>
          <w:rFonts w:hint="eastAsia"/>
        </w:rPr>
      </w:pPr>
      <w:r>
        <w:rPr>
          <w:rFonts w:hint="eastAsia"/>
        </w:rPr>
        <w:t>装配式建筑工程外围防护应结合施工工艺专项设计，宜采用围挡式安全隔离、起升式外防护架、附着式整体提升脚手架。</w:t>
      </w:r>
    </w:p>
    <w:p w14:paraId="7D3BACE4">
      <w:pPr>
        <w:pStyle w:val="162"/>
        <w:rPr>
          <w:rFonts w:hint="eastAsia"/>
        </w:rPr>
      </w:pPr>
      <w:r>
        <w:rPr>
          <w:rFonts w:hint="eastAsia"/>
        </w:rPr>
        <w:t>当建筑物周边搭设落地式或悬挑式脚手架时，应在构件深化设计时，细化附墙点或受力点的预留预埋；防护应超一层设置。</w:t>
      </w:r>
    </w:p>
    <w:p w14:paraId="30157EEA">
      <w:pPr>
        <w:pStyle w:val="162"/>
        <w:rPr>
          <w:rFonts w:hint="eastAsia"/>
        </w:rPr>
      </w:pPr>
      <w:r>
        <w:rPr>
          <w:rFonts w:hint="eastAsia"/>
        </w:rPr>
        <w:t>防护设施的安装拆除应由专业人员操作，安装完成后经检验检测、验收合格后投入使用。</w:t>
      </w:r>
    </w:p>
    <w:p w14:paraId="38571098">
      <w:pPr>
        <w:pStyle w:val="162"/>
        <w:rPr>
          <w:rFonts w:hint="eastAsia"/>
        </w:rPr>
      </w:pPr>
      <w:r>
        <w:rPr>
          <w:rFonts w:hint="eastAsia"/>
        </w:rPr>
        <w:t>临边、洞口防护应牢固、可靠，符合JGJ 80相关要求。</w:t>
      </w:r>
    </w:p>
    <w:p w14:paraId="24FC603A">
      <w:pPr>
        <w:pStyle w:val="162"/>
        <w:rPr>
          <w:rFonts w:hint="eastAsia"/>
        </w:rPr>
      </w:pPr>
      <w:r>
        <w:rPr>
          <w:rFonts w:hint="eastAsia"/>
        </w:rPr>
        <w:t>尚未安装栏板的阳台、未安装楼梯栏杆的楼梯、无女儿墙的屋面、框架楼层等临边位置，应设置高度不小于1.2 m的防护栏杆，并挂密目安全网。</w:t>
      </w:r>
    </w:p>
    <w:p w14:paraId="617D969C">
      <w:pPr>
        <w:pStyle w:val="162"/>
        <w:rPr>
          <w:rFonts w:hint="eastAsia"/>
        </w:rPr>
      </w:pPr>
      <w:r>
        <w:rPr>
          <w:rFonts w:hint="eastAsia"/>
        </w:rPr>
        <w:t>楼梯安装前，为方便施工人员上下，宜设置工具式爬梯或定型平台作为临时竖向通道，爬梯和定型平台应随施工进度及时提升。</w:t>
      </w:r>
    </w:p>
    <w:p w14:paraId="02621ED4">
      <w:pPr>
        <w:pStyle w:val="162"/>
        <w:rPr>
          <w:rFonts w:hint="eastAsia"/>
        </w:rPr>
      </w:pPr>
      <w:r>
        <w:rPr>
          <w:rFonts w:hint="eastAsia"/>
        </w:rPr>
        <w:t>临边构件安装时，坠落半径应根据JGJ 80确定，坠落半径内通道应设置安全防护棚等安全防护措施。</w:t>
      </w:r>
    </w:p>
    <w:p w14:paraId="607AECBF">
      <w:pPr>
        <w:pStyle w:val="162"/>
        <w:rPr>
          <w:rFonts w:hint="eastAsia"/>
        </w:rPr>
      </w:pPr>
      <w:r>
        <w:rPr>
          <w:rFonts w:hint="eastAsia"/>
        </w:rPr>
        <w:t>施工现场人员进出建筑物的通道口，处于起重机臂架回转范围内的人行通道，应搭设安全防护棚。</w:t>
      </w:r>
    </w:p>
    <w:p w14:paraId="68F66323">
      <w:pPr>
        <w:pStyle w:val="104"/>
        <w:spacing w:before="240" w:after="240"/>
      </w:pPr>
      <w:bookmarkStart w:id="53" w:name="_Toc195620875"/>
      <w:r>
        <w:rPr>
          <w:rFonts w:hint="eastAsia"/>
        </w:rPr>
        <w:t>质量管理</w:t>
      </w:r>
      <w:bookmarkEnd w:id="53"/>
    </w:p>
    <w:p w14:paraId="4D909ED8">
      <w:pPr>
        <w:pStyle w:val="105"/>
        <w:spacing w:before="120" w:after="120"/>
        <w:rPr>
          <w:rFonts w:hint="eastAsia"/>
        </w:rPr>
      </w:pPr>
      <w:r>
        <w:rPr>
          <w:rFonts w:hint="eastAsia"/>
        </w:rPr>
        <w:t>一般规定</w:t>
      </w:r>
    </w:p>
    <w:p w14:paraId="402AA6C6">
      <w:pPr>
        <w:pStyle w:val="165"/>
        <w:rPr>
          <w:rFonts w:hint="eastAsia"/>
        </w:rPr>
      </w:pPr>
      <w:r>
        <w:rPr>
          <w:rFonts w:hint="eastAsia"/>
        </w:rPr>
        <w:t>施工单位应建立健全预制构件现场施工质量管理体系，明确各岗位质量责任。项目经理、质量负责人和关键工序操作人员应持证上岗。</w:t>
      </w:r>
    </w:p>
    <w:p w14:paraId="0330E98D">
      <w:pPr>
        <w:pStyle w:val="165"/>
        <w:rPr>
          <w:rFonts w:hint="eastAsia"/>
        </w:rPr>
      </w:pPr>
      <w:r>
        <w:rPr>
          <w:rFonts w:hint="eastAsia"/>
        </w:rPr>
        <w:t>为加强装配式建筑施工全过程的质量控制，宜采用BIM信息化技术、二维码追溯系统等数字化管理手段，实现构件质量信息的全过程可追溯。</w:t>
      </w:r>
    </w:p>
    <w:p w14:paraId="6F3066E4">
      <w:pPr>
        <w:pStyle w:val="165"/>
        <w:rPr>
          <w:rFonts w:hint="eastAsia"/>
        </w:rPr>
      </w:pPr>
      <w:r>
        <w:rPr>
          <w:rFonts w:hint="eastAsia"/>
        </w:rPr>
        <w:t>施工现场应设置质量责任公示牌，明确各参建单位质量责任，并在关键施工区域设置质量控制点标识牌。</w:t>
      </w:r>
    </w:p>
    <w:p w14:paraId="1B429BDA">
      <w:pPr>
        <w:pStyle w:val="165"/>
        <w:rPr>
          <w:rFonts w:hint="eastAsia"/>
        </w:rPr>
      </w:pPr>
      <w:r>
        <w:rPr>
          <w:rFonts w:hint="eastAsia"/>
        </w:rPr>
        <w:t>对进场预制构件，应按照"一构件一档案"原则，建立包括出厂合格证、进场验收记录、安装质量检查等全过程质量档案。</w:t>
      </w:r>
    </w:p>
    <w:p w14:paraId="71307B8E">
      <w:pPr>
        <w:pStyle w:val="165"/>
        <w:rPr>
          <w:rFonts w:hint="eastAsia"/>
        </w:rPr>
      </w:pPr>
      <w:r>
        <w:rPr>
          <w:rFonts w:hint="eastAsia"/>
        </w:rPr>
        <w:t>构件吊装、节点连接、灌浆作业等关键工序施工前，应单独进行质量技术交底，并留存交底记录。</w:t>
      </w:r>
    </w:p>
    <w:p w14:paraId="7C5051D1">
      <w:pPr>
        <w:pStyle w:val="165"/>
        <w:rPr>
          <w:rFonts w:hint="eastAsia"/>
        </w:rPr>
      </w:pPr>
      <w:r>
        <w:rPr>
          <w:rFonts w:hint="eastAsia"/>
        </w:rPr>
        <w:t>项目应编制预制构件施工质量专项方案，明确质量控制标准、检测方法和验收程序，并定期组织质量检查。</w:t>
      </w:r>
    </w:p>
    <w:p w14:paraId="65F4928F">
      <w:pPr>
        <w:pStyle w:val="105"/>
        <w:spacing w:before="120" w:after="120"/>
      </w:pPr>
      <w:r>
        <w:rPr>
          <w:rFonts w:hint="eastAsia"/>
        </w:rPr>
        <w:t>过程质量控制</w:t>
      </w:r>
    </w:p>
    <w:p w14:paraId="377C9A6E">
      <w:pPr>
        <w:pStyle w:val="56"/>
        <w:ind w:firstLine="420"/>
        <w:rPr>
          <w:rFonts w:hint="eastAsia"/>
        </w:rPr>
      </w:pPr>
      <w:r>
        <w:rPr>
          <w:rFonts w:hint="eastAsia"/>
        </w:rPr>
        <w:t>过程质量控制应包括以下内容。</w:t>
      </w:r>
    </w:p>
    <w:p w14:paraId="72A76198">
      <w:pPr>
        <w:pStyle w:val="132"/>
        <w:rPr>
          <w:rFonts w:hint="eastAsia"/>
        </w:rPr>
      </w:pPr>
      <w:r>
        <w:rPr>
          <w:rFonts w:hint="eastAsia"/>
        </w:rPr>
        <w:t>预制构件进场验收：</w:t>
      </w:r>
    </w:p>
    <w:p w14:paraId="3E552D7B">
      <w:pPr>
        <w:pStyle w:val="187"/>
        <w:rPr>
          <w:rFonts w:hint="eastAsia"/>
        </w:rPr>
      </w:pPr>
      <w:r>
        <w:rPr>
          <w:rFonts w:hint="eastAsia"/>
        </w:rPr>
        <w:t>构件进场时应检查出厂合格证、质量证明文件及构件标识；</w:t>
      </w:r>
    </w:p>
    <w:p w14:paraId="7FEE475B">
      <w:pPr>
        <w:pStyle w:val="187"/>
        <w:rPr>
          <w:rFonts w:hint="eastAsia"/>
        </w:rPr>
      </w:pPr>
      <w:r>
        <w:rPr>
          <w:rFonts w:hint="eastAsia"/>
        </w:rPr>
        <w:t>构件外观质量应全数检查，尺寸偏差应按规范要求抽样检测；</w:t>
      </w:r>
    </w:p>
    <w:p w14:paraId="3F4B5D15">
      <w:pPr>
        <w:pStyle w:val="187"/>
        <w:rPr>
          <w:rFonts w:hint="eastAsia"/>
        </w:rPr>
      </w:pPr>
      <w:r>
        <w:rPr>
          <w:rFonts w:hint="eastAsia"/>
        </w:rPr>
        <w:t>构件表面缺陷修补应编制专项方案，并经监理确认后实施。</w:t>
      </w:r>
    </w:p>
    <w:p w14:paraId="07B77F9E">
      <w:pPr>
        <w:pStyle w:val="132"/>
        <w:rPr>
          <w:rFonts w:hint="eastAsia"/>
        </w:rPr>
      </w:pPr>
      <w:r>
        <w:rPr>
          <w:rFonts w:hint="eastAsia"/>
        </w:rPr>
        <w:t>构件安装质量控制：</w:t>
      </w:r>
    </w:p>
    <w:p w14:paraId="2413D5B9">
      <w:pPr>
        <w:pStyle w:val="187"/>
        <w:rPr>
          <w:rFonts w:hint="eastAsia"/>
        </w:rPr>
      </w:pPr>
      <w:r>
        <w:rPr>
          <w:rFonts w:hint="eastAsia"/>
        </w:rPr>
        <w:t>吊装前应复核构件编号、安装位置及方向；</w:t>
      </w:r>
    </w:p>
    <w:p w14:paraId="614EC395">
      <w:pPr>
        <w:pStyle w:val="187"/>
        <w:rPr>
          <w:rFonts w:hint="eastAsia"/>
        </w:rPr>
      </w:pPr>
      <w:r>
        <w:rPr>
          <w:rFonts w:hint="eastAsia"/>
        </w:rPr>
        <w:t>临时支撑体系应进行专项设计，支撑点位置和数量应符合设计要求；</w:t>
      </w:r>
    </w:p>
    <w:p w14:paraId="3B0D9D67">
      <w:pPr>
        <w:pStyle w:val="187"/>
        <w:rPr>
          <w:rFonts w:hint="eastAsia"/>
        </w:rPr>
      </w:pPr>
      <w:r>
        <w:rPr>
          <w:rFonts w:hint="eastAsia"/>
        </w:rPr>
        <w:t>构件安装就位后，应及时检查安装精度，垂直度、水平度偏差应符合规范要求。</w:t>
      </w:r>
    </w:p>
    <w:p w14:paraId="3345913D">
      <w:pPr>
        <w:pStyle w:val="132"/>
        <w:rPr>
          <w:rFonts w:hint="eastAsia"/>
        </w:rPr>
      </w:pPr>
      <w:r>
        <w:rPr>
          <w:rFonts w:hint="eastAsia"/>
        </w:rPr>
        <w:t>节点连接质量控制：</w:t>
      </w:r>
    </w:p>
    <w:p w14:paraId="0019CB51">
      <w:pPr>
        <w:pStyle w:val="187"/>
        <w:rPr>
          <w:rFonts w:hint="eastAsia"/>
        </w:rPr>
      </w:pPr>
      <w:r>
        <w:rPr>
          <w:rFonts w:hint="eastAsia"/>
        </w:rPr>
        <w:t>钢筋套筒灌浆连接应进行工艺检验，灌浆料强度、流动度等指标应符合设计要求；</w:t>
      </w:r>
    </w:p>
    <w:p w14:paraId="37C508D5">
      <w:pPr>
        <w:pStyle w:val="187"/>
        <w:rPr>
          <w:rFonts w:hint="eastAsia"/>
        </w:rPr>
      </w:pPr>
      <w:r>
        <w:rPr>
          <w:rFonts w:hint="eastAsia"/>
        </w:rPr>
        <w:t>灌浆作业应全程录像，灌浆饱满度检测应采用专用设备；</w:t>
      </w:r>
    </w:p>
    <w:p w14:paraId="57A2557B">
      <w:pPr>
        <w:pStyle w:val="187"/>
        <w:rPr>
          <w:rFonts w:hint="eastAsia"/>
        </w:rPr>
      </w:pPr>
      <w:r>
        <w:rPr>
          <w:rFonts w:hint="eastAsia"/>
        </w:rPr>
        <w:t>后浇混凝土施工前，应对结合面进行处理，并检查钢筋连接质量。</w:t>
      </w:r>
    </w:p>
    <w:p w14:paraId="2E74B38F">
      <w:pPr>
        <w:pStyle w:val="132"/>
        <w:rPr>
          <w:rFonts w:hint="eastAsia"/>
        </w:rPr>
      </w:pPr>
      <w:r>
        <w:rPr>
          <w:rFonts w:hint="eastAsia"/>
        </w:rPr>
        <w:t>防水密封质量控制：</w:t>
      </w:r>
    </w:p>
    <w:p w14:paraId="37786087">
      <w:pPr>
        <w:pStyle w:val="187"/>
        <w:rPr>
          <w:rFonts w:hint="eastAsia"/>
        </w:rPr>
      </w:pPr>
      <w:r>
        <w:rPr>
          <w:rFonts w:hint="eastAsia"/>
        </w:rPr>
        <w:t>密封胶施工前应进行相容性试验；</w:t>
      </w:r>
    </w:p>
    <w:p w14:paraId="6A12E4D8">
      <w:pPr>
        <w:pStyle w:val="187"/>
        <w:rPr>
          <w:rFonts w:hint="eastAsia"/>
        </w:rPr>
      </w:pPr>
      <w:r>
        <w:rPr>
          <w:rFonts w:hint="eastAsia"/>
        </w:rPr>
        <w:t>接缝防水处理应分层施工，每道工序应经检查合格后方可进行下道工序；</w:t>
      </w:r>
    </w:p>
    <w:p w14:paraId="5F9FD6C9">
      <w:pPr>
        <w:pStyle w:val="187"/>
      </w:pPr>
      <w:r>
        <w:rPr>
          <w:rFonts w:hint="eastAsia"/>
        </w:rPr>
        <w:t>防水施工完成后应进行淋水试验或蓄水试验。</w:t>
      </w:r>
    </w:p>
    <w:p w14:paraId="459DFB7B">
      <w:pPr>
        <w:pStyle w:val="105"/>
        <w:spacing w:before="120" w:after="120"/>
        <w:rPr>
          <w:rFonts w:hint="eastAsia"/>
        </w:rPr>
      </w:pPr>
      <w:r>
        <w:rPr>
          <w:rFonts w:hint="eastAsia"/>
        </w:rPr>
        <w:t>质量缺陷处理</w:t>
      </w:r>
    </w:p>
    <w:p w14:paraId="58C57E7E">
      <w:pPr>
        <w:pStyle w:val="65"/>
        <w:spacing w:before="120" w:after="120"/>
      </w:pPr>
      <w:r>
        <w:rPr>
          <w:rFonts w:hint="eastAsia"/>
        </w:rPr>
        <w:t>缺陷类型</w:t>
      </w:r>
    </w:p>
    <w:p w14:paraId="15B52E8F">
      <w:pPr>
        <w:pStyle w:val="56"/>
        <w:ind w:firstLine="420"/>
        <w:rPr>
          <w:rFonts w:hint="eastAsia"/>
        </w:rPr>
      </w:pPr>
      <w:r>
        <w:rPr>
          <w:rFonts w:hint="eastAsia"/>
        </w:rPr>
        <w:t>应根据缺陷程度进行缺陷种类划分：</w:t>
      </w:r>
    </w:p>
    <w:p w14:paraId="301E4337">
      <w:pPr>
        <w:pStyle w:val="132"/>
        <w:rPr>
          <w:rFonts w:hint="eastAsia"/>
        </w:rPr>
      </w:pPr>
      <w:r>
        <w:rPr>
          <w:rFonts w:hint="eastAsia"/>
        </w:rPr>
        <w:t>一般缺陷：不影响结构安全和使用功能的缺陷；</w:t>
      </w:r>
    </w:p>
    <w:p w14:paraId="2D5438AA">
      <w:pPr>
        <w:pStyle w:val="132"/>
        <w:rPr>
          <w:rFonts w:hint="eastAsia"/>
        </w:rPr>
      </w:pPr>
      <w:r>
        <w:rPr>
          <w:rFonts w:hint="eastAsia"/>
        </w:rPr>
        <w:t>严重缺陷：对结构安全或使用功能有影响的缺陷；</w:t>
      </w:r>
    </w:p>
    <w:p w14:paraId="32029EF9">
      <w:pPr>
        <w:pStyle w:val="132"/>
        <w:rPr>
          <w:rFonts w:hint="eastAsia"/>
        </w:rPr>
      </w:pPr>
      <w:r>
        <w:rPr>
          <w:rFonts w:hint="eastAsia"/>
        </w:rPr>
        <w:t>重大缺陷：严重影响结构安全的缺陷。</w:t>
      </w:r>
    </w:p>
    <w:p w14:paraId="0435DA4B">
      <w:pPr>
        <w:pStyle w:val="65"/>
        <w:spacing w:before="120" w:after="120"/>
        <w:rPr>
          <w:rFonts w:hint="eastAsia"/>
        </w:rPr>
      </w:pPr>
      <w:r>
        <w:rPr>
          <w:rFonts w:hint="eastAsia"/>
        </w:rPr>
        <w:t>处理程序</w:t>
      </w:r>
    </w:p>
    <w:p w14:paraId="21041D41">
      <w:pPr>
        <w:pStyle w:val="56"/>
        <w:ind w:firstLine="420"/>
        <w:rPr>
          <w:rFonts w:hint="eastAsia"/>
        </w:rPr>
      </w:pPr>
      <w:r>
        <w:rPr>
          <w:rFonts w:hint="eastAsia"/>
        </w:rPr>
        <w:t>质量缺陷处理程序宜遵循以下程序：</w:t>
      </w:r>
    </w:p>
    <w:p w14:paraId="35E30E52">
      <w:pPr>
        <w:pStyle w:val="174"/>
        <w:rPr>
          <w:rFonts w:hint="eastAsia"/>
        </w:rPr>
      </w:pPr>
      <w:r>
        <w:rPr>
          <w:rFonts w:hint="eastAsia"/>
        </w:rPr>
        <w:t>发现质量缺陷应立即标识并停止相关作业；</w:t>
      </w:r>
    </w:p>
    <w:p w14:paraId="101A926A">
      <w:pPr>
        <w:pStyle w:val="174"/>
        <w:rPr>
          <w:rFonts w:hint="eastAsia"/>
        </w:rPr>
      </w:pPr>
      <w:r>
        <w:rPr>
          <w:rFonts w:hint="eastAsia"/>
        </w:rPr>
        <w:t>应组织相关单位分析原因，制定处理方案；</w:t>
      </w:r>
    </w:p>
    <w:p w14:paraId="6544E21A">
      <w:pPr>
        <w:pStyle w:val="174"/>
        <w:rPr>
          <w:rFonts w:hint="eastAsia"/>
        </w:rPr>
      </w:pPr>
      <w:r>
        <w:rPr>
          <w:rFonts w:hint="eastAsia"/>
        </w:rPr>
        <w:t>处理完成后应重新验收，并留存处理记录。</w:t>
      </w:r>
    </w:p>
    <w:p w14:paraId="3FE15848">
      <w:pPr>
        <w:pStyle w:val="105"/>
        <w:spacing w:before="120" w:after="120"/>
        <w:rPr>
          <w:rFonts w:hint="eastAsia"/>
        </w:rPr>
      </w:pPr>
      <w:r>
        <w:rPr>
          <w:rFonts w:hint="eastAsia"/>
        </w:rPr>
        <w:t>资料管理</w:t>
      </w:r>
    </w:p>
    <w:p w14:paraId="43048F55">
      <w:pPr>
        <w:pStyle w:val="165"/>
        <w:rPr>
          <w:rFonts w:hint="eastAsia"/>
        </w:rPr>
      </w:pPr>
      <w:r>
        <w:rPr>
          <w:rFonts w:hint="eastAsia"/>
        </w:rPr>
        <w:t>资料内容应包括但不限于：</w:t>
      </w:r>
    </w:p>
    <w:p w14:paraId="6D636390">
      <w:pPr>
        <w:pStyle w:val="132"/>
        <w:rPr>
          <w:rFonts w:hint="eastAsia"/>
        </w:rPr>
      </w:pPr>
      <w:r>
        <w:rPr>
          <w:rFonts w:hint="eastAsia"/>
        </w:rPr>
        <w:t>原材料质量证明文件及复验报告；</w:t>
      </w:r>
    </w:p>
    <w:p w14:paraId="390D1599">
      <w:pPr>
        <w:pStyle w:val="132"/>
        <w:rPr>
          <w:rFonts w:hint="eastAsia"/>
        </w:rPr>
      </w:pPr>
      <w:r>
        <w:rPr>
          <w:rFonts w:hint="eastAsia"/>
        </w:rPr>
        <w:t>构件出厂合格证及进场验收记录；</w:t>
      </w:r>
    </w:p>
    <w:p w14:paraId="631403EF">
      <w:pPr>
        <w:pStyle w:val="132"/>
        <w:rPr>
          <w:rFonts w:hint="eastAsia"/>
        </w:rPr>
      </w:pPr>
      <w:r>
        <w:rPr>
          <w:rFonts w:hint="eastAsia"/>
        </w:rPr>
        <w:t>施工过程质量检查记录；</w:t>
      </w:r>
    </w:p>
    <w:p w14:paraId="05842B56">
      <w:pPr>
        <w:pStyle w:val="132"/>
        <w:rPr>
          <w:rFonts w:hint="eastAsia"/>
        </w:rPr>
      </w:pPr>
      <w:r>
        <w:rPr>
          <w:rFonts w:hint="eastAsia"/>
        </w:rPr>
        <w:t>隐蔽工程验收记录；</w:t>
      </w:r>
    </w:p>
    <w:p w14:paraId="3C31518B">
      <w:pPr>
        <w:pStyle w:val="132"/>
        <w:rPr>
          <w:rFonts w:hint="eastAsia"/>
        </w:rPr>
      </w:pPr>
      <w:r>
        <w:rPr>
          <w:rFonts w:hint="eastAsia"/>
        </w:rPr>
        <w:t>质量缺陷处理记录。</w:t>
      </w:r>
    </w:p>
    <w:p w14:paraId="5E7D820C">
      <w:pPr>
        <w:pStyle w:val="165"/>
        <w:rPr>
          <w:rFonts w:hint="eastAsia"/>
        </w:rPr>
      </w:pPr>
      <w:r>
        <w:rPr>
          <w:rFonts w:hint="eastAsia"/>
        </w:rPr>
        <w:t>质量资料应及时收集、整理，确保真实完整；</w:t>
      </w:r>
    </w:p>
    <w:p w14:paraId="77446B85">
      <w:pPr>
        <w:pStyle w:val="165"/>
        <w:rPr>
          <w:rFonts w:hint="eastAsia"/>
        </w:rPr>
      </w:pPr>
      <w:r>
        <w:rPr>
          <w:rFonts w:hint="eastAsia"/>
        </w:rPr>
        <w:t>宜采用信息化手段进行资料管理，实现电子化归档；</w:t>
      </w:r>
    </w:p>
    <w:p w14:paraId="537BD795">
      <w:pPr>
        <w:pStyle w:val="165"/>
        <w:rPr>
          <w:rFonts w:hint="eastAsia"/>
        </w:rPr>
      </w:pPr>
      <w:r>
        <w:rPr>
          <w:rFonts w:hint="eastAsia"/>
        </w:rPr>
        <w:t>资料保存期限应符合工程档案管理规定。</w:t>
      </w:r>
    </w:p>
    <w:p w14:paraId="159DA13D">
      <w:pPr>
        <w:pStyle w:val="105"/>
        <w:spacing w:before="120" w:after="120"/>
        <w:rPr>
          <w:rFonts w:hint="eastAsia"/>
        </w:rPr>
      </w:pPr>
      <w:r>
        <w:rPr>
          <w:rFonts w:hint="eastAsia"/>
        </w:rPr>
        <w:t>质量持续改进</w:t>
      </w:r>
    </w:p>
    <w:p w14:paraId="5B3F6066">
      <w:pPr>
        <w:pStyle w:val="165"/>
        <w:rPr>
          <w:rFonts w:hint="eastAsia"/>
        </w:rPr>
      </w:pPr>
      <w:r>
        <w:rPr>
          <w:rFonts w:hint="eastAsia"/>
        </w:rPr>
        <w:t>应定期开展质量分析会，总结施工质量问题。</w:t>
      </w:r>
    </w:p>
    <w:p w14:paraId="29620E96">
      <w:pPr>
        <w:pStyle w:val="165"/>
        <w:rPr>
          <w:rFonts w:hint="eastAsia"/>
        </w:rPr>
      </w:pPr>
      <w:r>
        <w:rPr>
          <w:rFonts w:hint="eastAsia"/>
        </w:rPr>
        <w:t>宜建立质量奖惩制度，强化质量责任落实。</w:t>
      </w:r>
    </w:p>
    <w:p w14:paraId="54D57520">
      <w:pPr>
        <w:pStyle w:val="165"/>
        <w:rPr>
          <w:rFonts w:hint="eastAsia"/>
        </w:rPr>
      </w:pPr>
      <w:r>
        <w:rPr>
          <w:rFonts w:hint="eastAsia"/>
        </w:rPr>
        <w:t>可推广应用新技术、新工艺，提升施工质量水平。</w:t>
      </w:r>
    </w:p>
    <w:bookmarkEnd w:id="24"/>
    <w:p w14:paraId="312800BD">
      <w:pPr>
        <w:pStyle w:val="56"/>
        <w:ind w:firstLine="0" w:firstLineChars="0"/>
        <w:jc w:val="center"/>
        <w:rPr>
          <w:rFonts w:hint="eastAsia"/>
        </w:rPr>
      </w:pPr>
      <w:bookmarkStart w:id="54" w:name="BookMark8"/>
      <w:r>
        <w:rPr>
          <w:rFonts w:hint="eastAsia"/>
        </w:rPr>
        <w:drawing>
          <wp:inline distT="0" distB="0" distL="0" distR="0">
            <wp:extent cx="1485900" cy="317500"/>
            <wp:effectExtent l="0" t="0" r="0" b="6350"/>
            <wp:docPr id="1158865024" name="图片 3"/>
            <wp:cNvGraphicFramePr/>
            <a:graphic xmlns:a="http://schemas.openxmlformats.org/drawingml/2006/main">
              <a:graphicData uri="http://schemas.openxmlformats.org/drawingml/2006/picture">
                <pic:pic xmlns:pic="http://schemas.openxmlformats.org/drawingml/2006/picture">
                  <pic:nvPicPr>
                    <pic:cNvPr id="1158865024"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4"/>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DengXian">
    <w:altName w:val="朗太書体"/>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朗太書体">
    <w:panose1 w:val="02000009000000000000"/>
    <w:charset w:val="80"/>
    <w:family w:val="auto"/>
    <w:pitch w:val="default"/>
    <w:sig w:usb0="800002A3" w:usb1="38C7ECF8" w:usb2="00000016"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1117F">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5814C">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C7AC5">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C53AB">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6E3E5">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1C941">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C3952">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7B7CB">
    <w:pPr>
      <w:pStyle w:val="61"/>
      <w:rPr>
        <w:rFonts w:hint="eastAsia"/>
      </w:rPr>
    </w:pPr>
    <w:r>
      <w:fldChar w:fldCharType="begin"/>
    </w:r>
    <w:r>
      <w:instrText xml:space="preserve"> STYLEREF  标准文件_文件编号  \* MERGEFORMAT </w:instrText>
    </w:r>
    <w:r>
      <w:fldChar w:fldCharType="separate"/>
    </w:r>
    <w:r>
      <w:t>T/CASMES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686DF">
    <w:pPr>
      <w:pStyle w:val="18"/>
      <w:jc w:val="right"/>
    </w:pPr>
    <w:r>
      <w:fldChar w:fldCharType="begin"/>
    </w:r>
    <w:r>
      <w:instrText xml:space="preserve"> STYLEREF  标准文件_文件编号  \* MERGEFORMAT </w:instrText>
    </w:r>
    <w:r>
      <w:fldChar w:fldCharType="separate"/>
    </w:r>
    <w:r>
      <w:t>T/CASMES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1" w:cryptProviderType="rsaAES" w:cryptAlgorithmClass="hash" w:cryptAlgorithmType="typeAny" w:cryptAlgorithmSid="14" w:cryptSpinCount="100000" w:hash="ppmmGoyTRH/POemIGUsN6zyhg4cZB3GlO8oVAUAc02w3OI5p4/w++vZGSkZuq+qcPA1JUFvW7lvtRv2uBQj8xQ==" w:salt="N99s41+jFtWVLjcN7tWxL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7E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0EEC"/>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2B8"/>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61A7"/>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0687"/>
    <w:rsid w:val="0020107D"/>
    <w:rsid w:val="00202AA4"/>
    <w:rsid w:val="002031F7"/>
    <w:rsid w:val="002040E6"/>
    <w:rsid w:val="0020527B"/>
    <w:rsid w:val="00205F2C"/>
    <w:rsid w:val="00210B15"/>
    <w:rsid w:val="002142EA"/>
    <w:rsid w:val="00215ADD"/>
    <w:rsid w:val="002204BB"/>
    <w:rsid w:val="00221B79"/>
    <w:rsid w:val="00221C6B"/>
    <w:rsid w:val="00222D75"/>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A5C2C"/>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3F799F"/>
    <w:rsid w:val="00400E72"/>
    <w:rsid w:val="00401400"/>
    <w:rsid w:val="00404869"/>
    <w:rsid w:val="00405884"/>
    <w:rsid w:val="00407D39"/>
    <w:rsid w:val="0041477A"/>
    <w:rsid w:val="004167A3"/>
    <w:rsid w:val="00432DAA"/>
    <w:rsid w:val="00434305"/>
    <w:rsid w:val="00435DF7"/>
    <w:rsid w:val="0044083F"/>
    <w:rsid w:val="00441AE7"/>
    <w:rsid w:val="0044313F"/>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4CE1"/>
    <w:rsid w:val="004C71D0"/>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0777A"/>
    <w:rsid w:val="00510A7B"/>
    <w:rsid w:val="00512F6E"/>
    <w:rsid w:val="00513038"/>
    <w:rsid w:val="00514174"/>
    <w:rsid w:val="00514429"/>
    <w:rsid w:val="00515105"/>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015"/>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B7CF5"/>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0FF7"/>
    <w:rsid w:val="00651ACB"/>
    <w:rsid w:val="00651C47"/>
    <w:rsid w:val="00652AB2"/>
    <w:rsid w:val="00653F3C"/>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B1D"/>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30E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0654"/>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72E5"/>
    <w:rsid w:val="007F0ED8"/>
    <w:rsid w:val="007F0F63"/>
    <w:rsid w:val="007F730F"/>
    <w:rsid w:val="007F75CE"/>
    <w:rsid w:val="008013A4"/>
    <w:rsid w:val="008027CE"/>
    <w:rsid w:val="00802F42"/>
    <w:rsid w:val="00804383"/>
    <w:rsid w:val="00804BB7"/>
    <w:rsid w:val="00804D41"/>
    <w:rsid w:val="00810257"/>
    <w:rsid w:val="008104F5"/>
    <w:rsid w:val="008106B2"/>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1E1C"/>
    <w:rsid w:val="00842A47"/>
    <w:rsid w:val="00843C13"/>
    <w:rsid w:val="00843DEF"/>
    <w:rsid w:val="00844F8D"/>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66E"/>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423"/>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977"/>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1E9"/>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15DE"/>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2AB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1CA9"/>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E6153"/>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2668F"/>
    <w:rsid w:val="00B31FB1"/>
    <w:rsid w:val="00B33952"/>
    <w:rsid w:val="00B33C5E"/>
    <w:rsid w:val="00B342F4"/>
    <w:rsid w:val="00B34369"/>
    <w:rsid w:val="00B34DC2"/>
    <w:rsid w:val="00B378E5"/>
    <w:rsid w:val="00B37CF7"/>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3C66"/>
    <w:rsid w:val="00B758BF"/>
    <w:rsid w:val="00B77EC8"/>
    <w:rsid w:val="00B8149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A0C"/>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65D0D"/>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2178"/>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3E65"/>
    <w:rsid w:val="00DA64F8"/>
    <w:rsid w:val="00DA6C15"/>
    <w:rsid w:val="00DB0258"/>
    <w:rsid w:val="00DB38EE"/>
    <w:rsid w:val="00DB498B"/>
    <w:rsid w:val="00DB66CA"/>
    <w:rsid w:val="00DB6BCA"/>
    <w:rsid w:val="00DB6F54"/>
    <w:rsid w:val="00DB73F7"/>
    <w:rsid w:val="00DC0321"/>
    <w:rsid w:val="00DC2FA0"/>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23"/>
    <w:rsid w:val="00DE7595"/>
    <w:rsid w:val="00DF1961"/>
    <w:rsid w:val="00DF44DE"/>
    <w:rsid w:val="00E01138"/>
    <w:rsid w:val="00E02DFB"/>
    <w:rsid w:val="00E030F9"/>
    <w:rsid w:val="00E0311A"/>
    <w:rsid w:val="00E03138"/>
    <w:rsid w:val="00E05251"/>
    <w:rsid w:val="00E06404"/>
    <w:rsid w:val="00E11A85"/>
    <w:rsid w:val="00E12495"/>
    <w:rsid w:val="00E15CCD"/>
    <w:rsid w:val="00E17EC3"/>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17E8"/>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27EB"/>
    <w:rsid w:val="00F56511"/>
    <w:rsid w:val="00F6194E"/>
    <w:rsid w:val="00F623AC"/>
    <w:rsid w:val="00F6412A"/>
    <w:rsid w:val="00F65893"/>
    <w:rsid w:val="00F66A4A"/>
    <w:rsid w:val="00F71E22"/>
    <w:rsid w:val="00F72142"/>
    <w:rsid w:val="00F72AE7"/>
    <w:rsid w:val="00F733FD"/>
    <w:rsid w:val="00F833BA"/>
    <w:rsid w:val="00F84FD0"/>
    <w:rsid w:val="00F859A8"/>
    <w:rsid w:val="00F86AC3"/>
    <w:rsid w:val="00F86D87"/>
    <w:rsid w:val="00F9108B"/>
    <w:rsid w:val="00F91349"/>
    <w:rsid w:val="00F92C9F"/>
    <w:rsid w:val="00F93A8A"/>
    <w:rsid w:val="00F95248"/>
    <w:rsid w:val="00F956A9"/>
    <w:rsid w:val="00F95C1D"/>
    <w:rsid w:val="00F963ED"/>
    <w:rsid w:val="00F966CF"/>
    <w:rsid w:val="00F96CAE"/>
    <w:rsid w:val="00F97C99"/>
    <w:rsid w:val="00FA662D"/>
    <w:rsid w:val="00FA6756"/>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37B1"/>
    <w:rsid w:val="00FD59EB"/>
    <w:rsid w:val="00FD7299"/>
    <w:rsid w:val="00FE1FBE"/>
    <w:rsid w:val="00FE3901"/>
    <w:rsid w:val="00FE39D3"/>
    <w:rsid w:val="00FE4BCE"/>
    <w:rsid w:val="00FE54AE"/>
    <w:rsid w:val="00FE576A"/>
    <w:rsid w:val="00FE7E79"/>
    <w:rsid w:val="00FF3E7D"/>
    <w:rsid w:val="00FF5B99"/>
    <w:rsid w:val="00FF730C"/>
    <w:rsid w:val="00FF73F4"/>
    <w:rsid w:val="00FF756C"/>
    <w:rsid w:val="00FF7CE4"/>
    <w:rsid w:val="00FF7E39"/>
    <w:rsid w:val="09972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D99DFD1A85746FC869F038D32542BDA"/>
        <w:style w:val=""/>
        <w:category>
          <w:name w:val="常规"/>
          <w:gallery w:val="placeholder"/>
        </w:category>
        <w:types>
          <w:type w:val="bbPlcHdr"/>
        </w:types>
        <w:behaviors>
          <w:behavior w:val="content"/>
        </w:behaviors>
        <w:description w:val=""/>
        <w:guid w:val="{80FC3875-D0A7-4B40-BF3E-C783A0D10574}"/>
      </w:docPartPr>
      <w:docPartBody>
        <w:p w14:paraId="42E66D1C">
          <w:pPr>
            <w:pStyle w:val="5"/>
            <w:rPr>
              <w:rFonts w:hint="eastAsia"/>
            </w:rPr>
          </w:pPr>
          <w:r>
            <w:rPr>
              <w:rStyle w:val="4"/>
              <w:rFonts w:hint="eastAsia"/>
            </w:rPr>
            <w:t>单击或点击此处输入文字。</w:t>
          </w:r>
        </w:p>
      </w:docPartBody>
    </w:docPart>
    <w:docPart>
      <w:docPartPr>
        <w:name w:val="1FE6246BE4574980B88D3519E29DD523"/>
        <w:style w:val=""/>
        <w:category>
          <w:name w:val="常规"/>
          <w:gallery w:val="placeholder"/>
        </w:category>
        <w:types>
          <w:type w:val="bbPlcHdr"/>
        </w:types>
        <w:behaviors>
          <w:behavior w:val="content"/>
        </w:behaviors>
        <w:description w:val=""/>
        <w:guid w:val="{02E0562D-353E-45EE-8BA4-F7B490C23736}"/>
      </w:docPartPr>
      <w:docPartBody>
        <w:p w14:paraId="6F4532BC">
          <w:pPr>
            <w:pStyle w:val="6"/>
            <w:rPr>
              <w:rFonts w:hint="eastAsia"/>
            </w:rPr>
          </w:pPr>
          <w:r>
            <w:rPr>
              <w:rStyle w:val="4"/>
              <w:rFonts w:hint="eastAsia"/>
            </w:rPr>
            <w:t>选择一项。</w:t>
          </w:r>
        </w:p>
      </w:docPartBody>
    </w:docPart>
    <w:docPart>
      <w:docPartPr>
        <w:name w:val="614EAACEB925499EB2082D13B1AF6573"/>
        <w:style w:val=""/>
        <w:category>
          <w:name w:val="常规"/>
          <w:gallery w:val="placeholder"/>
        </w:category>
        <w:types>
          <w:type w:val="bbPlcHdr"/>
        </w:types>
        <w:behaviors>
          <w:behavior w:val="content"/>
        </w:behaviors>
        <w:description w:val=""/>
        <w:guid w:val="{7E036859-973F-4851-9310-7510ACFC5BB4}"/>
      </w:docPartPr>
      <w:docPartBody>
        <w:p w14:paraId="470F6780">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朗太書体"/>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976"/>
    <w:rsid w:val="003A5C2C"/>
    <w:rsid w:val="00B51A4B"/>
    <w:rsid w:val="00C407B4"/>
    <w:rsid w:val="00E05251"/>
    <w:rsid w:val="00E74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2D99DFD1A85746FC869F038D32542BDA"/>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1FE6246BE4574980B88D3519E29DD523"/>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614EAACEB925499EB2082D13B1AF6573"/>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12</Pages>
  <Words>4001</Words>
  <Characters>4273</Characters>
  <Lines>87</Lines>
  <Paragraphs>24</Paragraphs>
  <TotalTime>364</TotalTime>
  <ScaleCrop>false</ScaleCrop>
  <LinksUpToDate>false</LinksUpToDate>
  <CharactersWithSpaces>4368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2025-04-14T08:12:00Z</dcterms:created>
  <dc:creator>Administrator</dc:creator>
  <dc:description>&lt;config cover="true" show_menu="true" version="1.0.0" doctype="SDKXY"&gt;_x000d_
&lt;/config&gt;</dc:description>
  <cp:lastModifiedBy>Shimmer</cp:lastModifiedBy>
  <cp:lastPrinted>2021-02-02T08:22:00Z</cp:lastPrinted>
  <dcterms:modified xsi:type="dcterms:W3CDTF">2025-04-23T03:18:29Z</dcterms:modified>
  <dc:title>团体标准</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eyJoZGlkIjoiNWM1ZWJkMDNjYTg1YjI2NDAwOWJhMDU5YTVlYzY4MGYiLCJ1c2VySWQiOiIxNjEyNTI2NzM3In0=</vt:lpwstr>
  </property>
  <property fmtid="{D5CDD505-2E9C-101B-9397-08002B2CF9AE}" pid="15" name="KSOProductBuildVer">
    <vt:lpwstr>2052-12.1.0.20784</vt:lpwstr>
  </property>
  <property fmtid="{D5CDD505-2E9C-101B-9397-08002B2CF9AE}" pid="16" name="ICV">
    <vt:lpwstr>B7C5480306CF4D568FF4509CD62CCA62_12</vt:lpwstr>
  </property>
</Properties>
</file>