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F321" w14:textId="77777777" w:rsidR="00686ADF" w:rsidRDefault="00686ADF">
      <w:pPr>
        <w:adjustRightInd w:val="0"/>
        <w:snapToGrid w:val="0"/>
        <w:spacing w:line="360" w:lineRule="auto"/>
        <w:jc w:val="center"/>
        <w:rPr>
          <w:rFonts w:ascii="Times New Roman" w:eastAsia="黑体" w:hAnsi="Times New Roman" w:cs="Times New Roman"/>
          <w:b/>
          <w:sz w:val="48"/>
          <w:szCs w:val="48"/>
        </w:rPr>
      </w:pPr>
    </w:p>
    <w:p w14:paraId="79EBEC41" w14:textId="77777777" w:rsidR="00686ADF"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42C0B5D8" w14:textId="77777777" w:rsidR="00686ADF" w:rsidRDefault="00686ADF">
      <w:pPr>
        <w:adjustRightInd w:val="0"/>
        <w:snapToGrid w:val="0"/>
        <w:spacing w:line="360" w:lineRule="auto"/>
        <w:jc w:val="center"/>
        <w:rPr>
          <w:rFonts w:ascii="Times New Roman" w:eastAsia="黑体" w:hAnsi="Times New Roman" w:cs="Times New Roman"/>
          <w:b/>
          <w:sz w:val="48"/>
          <w:szCs w:val="48"/>
        </w:rPr>
      </w:pPr>
    </w:p>
    <w:p w14:paraId="7C769135" w14:textId="77777777" w:rsidR="00686ADF" w:rsidRDefault="00000000">
      <w:pPr>
        <w:adjustRightInd w:val="0"/>
        <w:snapToGrid w:val="0"/>
        <w:spacing w:line="36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楼宇建筑结构整体设计技术要求</w:t>
      </w:r>
    </w:p>
    <w:p w14:paraId="4F2C0C86" w14:textId="77777777" w:rsidR="00686ADF" w:rsidRDefault="00686ADF">
      <w:pPr>
        <w:adjustRightInd w:val="0"/>
        <w:snapToGrid w:val="0"/>
        <w:spacing w:line="360" w:lineRule="auto"/>
        <w:jc w:val="center"/>
        <w:rPr>
          <w:rFonts w:ascii="Times New Roman" w:eastAsia="黑体" w:hAnsi="Times New Roman" w:cs="Times New Roman"/>
          <w:b/>
          <w:sz w:val="52"/>
          <w:szCs w:val="52"/>
        </w:rPr>
      </w:pPr>
    </w:p>
    <w:p w14:paraId="0E3DDCE8" w14:textId="77777777" w:rsidR="00686ADF"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4D8E4317" w14:textId="77777777" w:rsidR="00686ADF" w:rsidRDefault="00686ADF">
      <w:pPr>
        <w:adjustRightInd w:val="0"/>
        <w:snapToGrid w:val="0"/>
        <w:spacing w:line="360" w:lineRule="auto"/>
        <w:rPr>
          <w:rFonts w:ascii="Times New Roman" w:eastAsia="仿宋" w:hAnsi="Times New Roman" w:cs="Times New Roman"/>
          <w:b/>
          <w:sz w:val="24"/>
          <w:szCs w:val="24"/>
        </w:rPr>
      </w:pPr>
    </w:p>
    <w:p w14:paraId="7BA44CF7" w14:textId="77777777" w:rsidR="00686ADF" w:rsidRDefault="00686ADF">
      <w:pPr>
        <w:adjustRightInd w:val="0"/>
        <w:snapToGrid w:val="0"/>
        <w:spacing w:line="360" w:lineRule="auto"/>
        <w:rPr>
          <w:rFonts w:ascii="Times New Roman" w:eastAsia="仿宋" w:hAnsi="Times New Roman" w:cs="Times New Roman"/>
          <w:b/>
          <w:sz w:val="24"/>
          <w:szCs w:val="24"/>
        </w:rPr>
      </w:pPr>
    </w:p>
    <w:p w14:paraId="2C79E419" w14:textId="77777777" w:rsidR="00686ADF" w:rsidRDefault="00686ADF">
      <w:pPr>
        <w:adjustRightInd w:val="0"/>
        <w:snapToGrid w:val="0"/>
        <w:spacing w:line="360" w:lineRule="auto"/>
        <w:rPr>
          <w:rFonts w:ascii="Times New Roman" w:eastAsia="仿宋" w:hAnsi="Times New Roman" w:cs="Times New Roman"/>
          <w:b/>
          <w:sz w:val="24"/>
          <w:szCs w:val="24"/>
        </w:rPr>
      </w:pPr>
    </w:p>
    <w:p w14:paraId="303C045A" w14:textId="77777777" w:rsidR="00686ADF" w:rsidRDefault="00686ADF">
      <w:pPr>
        <w:adjustRightInd w:val="0"/>
        <w:snapToGrid w:val="0"/>
        <w:spacing w:line="360" w:lineRule="auto"/>
        <w:rPr>
          <w:rFonts w:ascii="Times New Roman" w:eastAsia="仿宋" w:hAnsi="Times New Roman" w:cs="Times New Roman"/>
          <w:b/>
          <w:sz w:val="24"/>
          <w:szCs w:val="24"/>
        </w:rPr>
      </w:pPr>
    </w:p>
    <w:p w14:paraId="55EC9037" w14:textId="77777777" w:rsidR="00686ADF" w:rsidRDefault="00686ADF">
      <w:pPr>
        <w:adjustRightInd w:val="0"/>
        <w:snapToGrid w:val="0"/>
        <w:spacing w:line="360" w:lineRule="auto"/>
        <w:rPr>
          <w:rFonts w:ascii="Times New Roman" w:eastAsia="仿宋" w:hAnsi="Times New Roman" w:cs="Times New Roman"/>
          <w:b/>
          <w:sz w:val="24"/>
          <w:szCs w:val="24"/>
        </w:rPr>
      </w:pPr>
    </w:p>
    <w:p w14:paraId="14AA5CF9" w14:textId="77777777" w:rsidR="00686ADF" w:rsidRDefault="00686ADF">
      <w:pPr>
        <w:adjustRightInd w:val="0"/>
        <w:snapToGrid w:val="0"/>
        <w:spacing w:line="360" w:lineRule="auto"/>
        <w:rPr>
          <w:rFonts w:ascii="Times New Roman" w:eastAsia="仿宋" w:hAnsi="Times New Roman" w:cs="Times New Roman"/>
          <w:b/>
          <w:sz w:val="24"/>
          <w:szCs w:val="24"/>
        </w:rPr>
      </w:pPr>
    </w:p>
    <w:p w14:paraId="50B2BD86" w14:textId="77777777" w:rsidR="00686ADF" w:rsidRDefault="00686ADF">
      <w:pPr>
        <w:adjustRightInd w:val="0"/>
        <w:snapToGrid w:val="0"/>
        <w:spacing w:line="360" w:lineRule="auto"/>
        <w:rPr>
          <w:rFonts w:ascii="Times New Roman" w:eastAsia="仿宋" w:hAnsi="Times New Roman" w:cs="Times New Roman"/>
          <w:b/>
          <w:sz w:val="24"/>
          <w:szCs w:val="24"/>
        </w:rPr>
      </w:pPr>
    </w:p>
    <w:p w14:paraId="6CA6CF32" w14:textId="77777777" w:rsidR="00686ADF" w:rsidRDefault="00686ADF">
      <w:pPr>
        <w:adjustRightInd w:val="0"/>
        <w:snapToGrid w:val="0"/>
        <w:spacing w:line="360" w:lineRule="auto"/>
        <w:rPr>
          <w:rFonts w:ascii="Times New Roman" w:eastAsia="仿宋" w:hAnsi="Times New Roman" w:cs="Times New Roman"/>
          <w:b/>
          <w:sz w:val="24"/>
          <w:szCs w:val="24"/>
        </w:rPr>
      </w:pPr>
    </w:p>
    <w:p w14:paraId="06FE5E09" w14:textId="77777777" w:rsidR="00686ADF" w:rsidRDefault="00686ADF">
      <w:pPr>
        <w:adjustRightInd w:val="0"/>
        <w:snapToGrid w:val="0"/>
        <w:spacing w:line="360" w:lineRule="auto"/>
        <w:rPr>
          <w:rFonts w:ascii="Times New Roman" w:eastAsia="仿宋" w:hAnsi="Times New Roman" w:cs="Times New Roman"/>
          <w:b/>
          <w:sz w:val="24"/>
          <w:szCs w:val="24"/>
        </w:rPr>
      </w:pPr>
    </w:p>
    <w:p w14:paraId="4F36805F" w14:textId="77777777" w:rsidR="00686ADF" w:rsidRDefault="00686ADF">
      <w:pPr>
        <w:adjustRightInd w:val="0"/>
        <w:snapToGrid w:val="0"/>
        <w:spacing w:line="360" w:lineRule="auto"/>
        <w:rPr>
          <w:rFonts w:ascii="Times New Roman" w:eastAsia="仿宋" w:hAnsi="Times New Roman" w:cs="Times New Roman"/>
          <w:b/>
          <w:sz w:val="24"/>
          <w:szCs w:val="24"/>
        </w:rPr>
      </w:pPr>
    </w:p>
    <w:p w14:paraId="7076EB3E" w14:textId="77777777" w:rsidR="00686ADF" w:rsidRDefault="00686ADF">
      <w:pPr>
        <w:adjustRightInd w:val="0"/>
        <w:snapToGrid w:val="0"/>
        <w:spacing w:line="360" w:lineRule="auto"/>
        <w:rPr>
          <w:rFonts w:ascii="Times New Roman" w:eastAsia="仿宋" w:hAnsi="Times New Roman" w:cs="Times New Roman"/>
          <w:b/>
          <w:sz w:val="24"/>
          <w:szCs w:val="24"/>
        </w:rPr>
      </w:pPr>
    </w:p>
    <w:p w14:paraId="2141B276" w14:textId="77777777" w:rsidR="00686ADF" w:rsidRDefault="00686ADF">
      <w:pPr>
        <w:adjustRightInd w:val="0"/>
        <w:snapToGrid w:val="0"/>
        <w:spacing w:line="360" w:lineRule="auto"/>
        <w:rPr>
          <w:rFonts w:ascii="Times New Roman" w:eastAsia="仿宋" w:hAnsi="Times New Roman" w:cs="Times New Roman"/>
          <w:b/>
          <w:sz w:val="24"/>
          <w:szCs w:val="24"/>
        </w:rPr>
      </w:pPr>
    </w:p>
    <w:p w14:paraId="0E864088" w14:textId="77777777" w:rsidR="00686ADF" w:rsidRDefault="00000000">
      <w:pPr>
        <w:spacing w:line="48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《楼宇建筑结构整体设计技术要求》小组</w:t>
      </w:r>
    </w:p>
    <w:p w14:paraId="4C09E430" w14:textId="606BC0B8" w:rsidR="00686ADF"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二〇二五年</w:t>
      </w:r>
      <w:r w:rsidR="00A25071">
        <w:rPr>
          <w:rFonts w:ascii="Times New Roman" w:eastAsia="楷体_GB2312" w:hAnsi="Times New Roman" w:cs="Times New Roman" w:hint="eastAsia"/>
          <w:b/>
          <w:sz w:val="36"/>
          <w:szCs w:val="36"/>
        </w:rPr>
        <w:t>四</w:t>
      </w:r>
      <w:r>
        <w:rPr>
          <w:rFonts w:ascii="Times New Roman" w:eastAsia="楷体_GB2312" w:hAnsi="Times New Roman" w:cs="Times New Roman"/>
          <w:b/>
          <w:sz w:val="36"/>
          <w:szCs w:val="36"/>
        </w:rPr>
        <w:t>月</w:t>
      </w:r>
    </w:p>
    <w:p w14:paraId="6AF7A759" w14:textId="77777777" w:rsidR="00686ADF" w:rsidRDefault="00686ADF">
      <w:pPr>
        <w:spacing w:line="360" w:lineRule="auto"/>
        <w:jc w:val="center"/>
        <w:rPr>
          <w:rFonts w:ascii="Times New Roman" w:eastAsia="楷体_GB2312" w:hAnsi="Times New Roman" w:cs="Times New Roman"/>
          <w:b/>
          <w:sz w:val="36"/>
          <w:szCs w:val="36"/>
        </w:rPr>
      </w:pPr>
    </w:p>
    <w:p w14:paraId="21C44583" w14:textId="77777777" w:rsidR="00686ADF" w:rsidRDefault="00686ADF">
      <w:pPr>
        <w:spacing w:line="360" w:lineRule="auto"/>
        <w:jc w:val="center"/>
        <w:rPr>
          <w:rFonts w:ascii="Times New Roman" w:eastAsia="黑体" w:hAnsi="Times New Roman" w:cs="Times New Roman"/>
          <w:sz w:val="36"/>
          <w:szCs w:val="36"/>
        </w:rPr>
        <w:sectPr w:rsidR="00686ADF">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4E658B3B" w14:textId="77777777" w:rsidR="00686ADF"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23785532"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sz w:val="28"/>
                <w:szCs w:val="40"/>
              </w:rPr>
              <w:t>一、工作简况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_Toc19956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w:t>
            </w:r>
            <w:r>
              <w:rPr>
                <w:rFonts w:ascii="Times New Roman" w:eastAsia="黑体" w:hAnsi="Times New Roman" w:cs="Times New Roman"/>
                <w:sz w:val="28"/>
                <w:szCs w:val="32"/>
              </w:rPr>
              <w:fldChar w:fldCharType="end"/>
            </w:r>
          </w:hyperlink>
        </w:p>
        <w:p w14:paraId="6A433D9B"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16067" w:history="1">
            <w:r>
              <w:rPr>
                <w:rFonts w:ascii="Times New Roman" w:eastAsia="黑体" w:hAnsi="Times New Roman" w:cs="Times New Roman"/>
                <w:sz w:val="28"/>
                <w:szCs w:val="40"/>
              </w:rPr>
              <w:t>二、标准编制原则和主要内容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_Toc16067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3</w:t>
            </w:r>
            <w:r>
              <w:rPr>
                <w:rFonts w:ascii="Times New Roman" w:eastAsia="黑体" w:hAnsi="Times New Roman" w:cs="Times New Roman"/>
                <w:sz w:val="28"/>
                <w:szCs w:val="32"/>
              </w:rPr>
              <w:fldChar w:fldCharType="end"/>
            </w:r>
          </w:hyperlink>
        </w:p>
        <w:p w14:paraId="78900774"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12675" w:history="1">
            <w:r>
              <w:rPr>
                <w:rFonts w:ascii="Times New Roman" w:eastAsia="黑体" w:hAnsi="Times New Roman" w:cs="Times New Roman"/>
                <w:kern w:val="0"/>
                <w:sz w:val="28"/>
                <w:szCs w:val="40"/>
              </w:rPr>
              <w:t>三、主要试验和情况分析</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_Toc12675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6B131241"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20840" w:history="1">
            <w:r>
              <w:rPr>
                <w:rFonts w:ascii="Times New Roman" w:eastAsia="黑体" w:hAnsi="Times New Roman" w:cs="Times New Roman"/>
                <w:kern w:val="0"/>
                <w:sz w:val="28"/>
                <w:szCs w:val="40"/>
              </w:rPr>
              <w:t>四、标准中涉及专利的情况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_Toc20840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7F79DEA1"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29243" w:history="1">
            <w:r>
              <w:rPr>
                <w:rFonts w:ascii="Times New Roman" w:eastAsia="黑体" w:hAnsi="Times New Roman" w:cs="Times New Roman"/>
                <w:kern w:val="0"/>
                <w:sz w:val="28"/>
                <w:szCs w:val="40"/>
              </w:rPr>
              <w:t>五、预期达到的效益（经济、效益、生态等），对产业发展的作用的情况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_Toc29243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4D15F062"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4979" w:history="1">
            <w:r>
              <w:rPr>
                <w:rFonts w:ascii="Times New Roman" w:eastAsia="黑体" w:hAnsi="Times New Roman" w:cs="Times New Roman"/>
                <w:kern w:val="0"/>
                <w:sz w:val="28"/>
                <w:szCs w:val="40"/>
              </w:rPr>
              <w:t>六、与有关的现行法律、法规和强制性国家标准的关系</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_Toc4979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7CDAD3F3"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21799" w:history="1">
            <w:r>
              <w:rPr>
                <w:rFonts w:ascii="Times New Roman" w:eastAsia="黑体" w:hAnsi="Times New Roman" w:cs="Times New Roman"/>
                <w:kern w:val="0"/>
                <w:sz w:val="28"/>
                <w:szCs w:val="40"/>
              </w:rPr>
              <w:t>七、重大意见分歧的处理依据和结果</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_Toc21799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1BDAFF3D"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20135" w:history="1">
            <w:r>
              <w:rPr>
                <w:rFonts w:ascii="Times New Roman" w:eastAsia="黑体" w:hAnsi="Times New Roman" w:cs="Times New Roman"/>
                <w:kern w:val="0"/>
                <w:sz w:val="28"/>
                <w:szCs w:val="40"/>
              </w:rPr>
              <w:t>八、标准性质的建议说明</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_Toc20135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1BF4DDAC"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23106" w:history="1">
            <w:r>
              <w:rPr>
                <w:rFonts w:ascii="Times New Roman" w:eastAsia="黑体" w:hAnsi="Times New Roman" w:cs="Times New Roman"/>
                <w:kern w:val="0"/>
                <w:sz w:val="28"/>
                <w:szCs w:val="40"/>
              </w:rPr>
              <w:t>九、贯彻标准的要求和措施建议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_Toc23106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03A366CD" w14:textId="77777777" w:rsidR="00686ADF" w:rsidRDefault="00000000">
          <w:pPr>
            <w:pStyle w:val="TOC1"/>
            <w:tabs>
              <w:tab w:val="right" w:leader="dot" w:pos="8691"/>
            </w:tabs>
            <w:spacing w:line="480" w:lineRule="auto"/>
            <w:rPr>
              <w:rFonts w:ascii="Times New Roman" w:eastAsia="黑体" w:hAnsi="Times New Roman" w:cs="Times New Roman"/>
              <w:sz w:val="28"/>
              <w:szCs w:val="32"/>
            </w:rPr>
          </w:pPr>
          <w:hyperlink w:anchor="_Toc29517" w:history="1">
            <w:r>
              <w:rPr>
                <w:rFonts w:ascii="Times New Roman" w:eastAsia="黑体" w:hAnsi="Times New Roman" w:cs="Times New Roman"/>
                <w:kern w:val="0"/>
                <w:sz w:val="28"/>
                <w:szCs w:val="40"/>
              </w:rPr>
              <w:t>十、废止现行相关标准的建议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_Toc29517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7AD6DE72" w14:textId="77777777" w:rsidR="00686ADF" w:rsidRDefault="00000000">
          <w:pPr>
            <w:pStyle w:val="TOC1"/>
            <w:tabs>
              <w:tab w:val="right" w:leader="dot" w:pos="8691"/>
            </w:tabs>
            <w:spacing w:line="480" w:lineRule="auto"/>
            <w:rPr>
              <w:rFonts w:ascii="Times New Roman" w:eastAsia="黑体" w:hAnsi="Times New Roman" w:cs="Times New Roman"/>
              <w:sz w:val="36"/>
              <w:szCs w:val="36"/>
            </w:rPr>
            <w:sectPr w:rsidR="00686ADF">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kern w:val="0"/>
                <w:sz w:val="28"/>
                <w:szCs w:val="40"/>
              </w:rPr>
              <w:t>十一、其他应予说明的事项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_Toc18435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25</w:t>
            </w:r>
            <w:r>
              <w:rPr>
                <w:rFonts w:ascii="Times New Roman" w:eastAsia="黑体" w:hAnsi="Times New Roman" w:cs="Times New Roman"/>
                <w:sz w:val="28"/>
                <w:szCs w:val="32"/>
              </w:rPr>
              <w:fldChar w:fldCharType="end"/>
            </w:r>
          </w:hyperlink>
          <w:r>
            <w:rPr>
              <w:rFonts w:ascii="Times New Roman" w:eastAsia="黑体" w:hAnsi="Times New Roman" w:cs="Times New Roman"/>
              <w:szCs w:val="32"/>
            </w:rPr>
            <w:fldChar w:fldCharType="end"/>
          </w:r>
        </w:p>
      </w:sdtContent>
    </w:sdt>
    <w:p w14:paraId="7FFE914C" w14:textId="77777777" w:rsidR="00686ADF"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《楼宇建筑结构整体设计技术要求》团体标准</w:t>
      </w:r>
    </w:p>
    <w:p w14:paraId="238FC466" w14:textId="77777777" w:rsidR="00686ADF"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32BB7899" w14:textId="77777777" w:rsidR="00686ADF"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4153ABEE" w14:textId="77777777" w:rsidR="00686ADF"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5B673F7"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随着城市化进程的加快和经济的持续增长，楼宇建设作为城市发展的重要组成部分，其结构整体设计技术的要求日益提高。特别是在当前社会对建筑安全、功能性、美观性和经济性等多方面需求不断提升的背景下，楼宇建筑结构整体设计显得尤为重要。此外，随着新材料、新技术以及新的分析理论和方法的应用与发展，楼宇建筑结构整体设计拥有了更广阔的空间和更多的可能性。在楼宇建筑结构整体设计过程中，存在一些问题亟待解决。首先，设计人员可能缺乏对建筑物荷载计算的深入了解，或者对相关规范和标准的理解不够透彻，这可能导致荷载计算不准确，从而影响建筑结构的稳定性和安全性。其次，结构布置不合理也是一个常见问题，如柱子间距过大、梁板截面尺寸偏小等，这些都可能影响整体结构的承载能力。此外，材料选用不当也是一个不容忽视的问题，一些设计人员可能为了降低成本而采用性能较差的廉价材料，这会给建筑结构带来潜在的安全隐患。</w:t>
      </w:r>
    </w:p>
    <w:p w14:paraId="44349C4E"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因此，为了保障楼宇建筑的安全性、提高使用效率并满足人们的多元化需求，立项进行楼宇建筑结构整体设计技术要求的研究与制定显得尤为重要。楼宇建筑结构整体设计技术要求的制定对于保障建筑安全、提高使用效率以及促进建筑行业的可持续发展具有重要意义。首先，通过制定明确的设计技术要求，可以确保楼宇建筑结构在设计过程中充分考虑各种因素，如荷载情况、材料性能、结构形式等，从而降低结构设计中的潜在风险。其次，优化建筑结构整体设计可以提高建筑的使用效</w:t>
      </w:r>
      <w:r>
        <w:rPr>
          <w:rFonts w:ascii="Times New Roman" w:hAnsi="Times New Roman" w:cs="Times New Roman"/>
          <w:kern w:val="0"/>
          <w:sz w:val="28"/>
          <w:szCs w:val="28"/>
        </w:rPr>
        <w:lastRenderedPageBreak/>
        <w:t>率，使建筑在满足安全性的同时，更好地满足人们的多元化需求。此外，随着绿色建筑和可持续发展的理念深入人心，制定科学的楼宇建筑结构整体设计技术要求还可以推动建筑行业向更加环保、节能的方向发展。因此，楼宇建筑结构整体设计技术要求的制定对于促进建筑行业的进步和发展具有重要意义。</w:t>
      </w:r>
    </w:p>
    <w:p w14:paraId="35E0E561" w14:textId="77777777" w:rsidR="00686ADF"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52851B2D"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建筑结构市场管理工作中起到规范信息化管理作用，标准起草工作组力求科学性、可操作性，以科学、谨慎的态度，在对我国现有建筑结构市场相关管理服务体系文件、模式基础上，经过综合分析、充分验证资料、反复讨论研究和修改，最终确定了本标准的主要内容。</w:t>
      </w:r>
    </w:p>
    <w:p w14:paraId="66ADFB06"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p>
    <w:p w14:paraId="48C5CE5B" w14:textId="77777777" w:rsidR="00686ADF"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7812F042"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建筑结构相关情况进行了深入的调查研究，同时广泛搜集相关标准和国外技术资料，进行了大量的研究分析、资料查证工作，确定了建筑结构市场标准化管理中现存问题，结合现有产品实际应用经验，为标准起草奠定了基础。</w:t>
      </w:r>
    </w:p>
    <w:p w14:paraId="0B62E727"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标准起草组进一步研究了建筑结构需要具备的特殊条件，明确了技术要求和指标，为标准的具体起草指明了方向。</w:t>
      </w:r>
    </w:p>
    <w:p w14:paraId="1A0BE9FB" w14:textId="77777777" w:rsidR="00686ADF"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0D9D36EF"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在理论研究基础上，起草组在标准编制过程中充分借鉴已有的理论研究和实践成果，基于我国市场行情，经过数次修订，形成了《楼宇建筑结构整体设计技术要求》标准草案。</w:t>
      </w:r>
    </w:p>
    <w:p w14:paraId="33361A6C" w14:textId="77777777" w:rsidR="00686ADF"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52A25DE5" w14:textId="77777777" w:rsidR="00686AD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形成标准草案之后，起草组召开了多次专家研讨会，从标准框架、标准起草等角度广泛征求多方意见，从理论完善和实践应用多方面提升标准的适用性和实用性。经过理论研究和方法验证，起草组形成了《楼宇建筑结构整体设计技术要求》（征求意见稿）。</w:t>
      </w:r>
    </w:p>
    <w:p w14:paraId="441EAAF5" w14:textId="77777777" w:rsidR="00686ADF"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11CF23C7" w14:textId="77777777" w:rsidR="00686ADF"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3EFBA34E" w14:textId="77777777" w:rsidR="00686AD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协会、浙江朋行建设有限公司等多家单位的专家成立了规范起草小组，开展标准的编制工作</w:t>
      </w:r>
      <w:r>
        <w:rPr>
          <w:rFonts w:ascii="Times New Roman" w:hAnsi="Times New Roman" w:cs="Times New Roman" w:hint="eastAsia"/>
          <w:kern w:val="0"/>
          <w:sz w:val="28"/>
          <w:szCs w:val="28"/>
        </w:rPr>
        <w:t>。</w:t>
      </w:r>
      <w:r>
        <w:rPr>
          <w:rFonts w:ascii="Times New Roman" w:hAnsi="Times New Roman" w:cs="Times New Roman"/>
          <w:kern w:val="0"/>
          <w:sz w:val="28"/>
          <w:szCs w:val="28"/>
        </w:rPr>
        <w:t>浙江朋行建设有限公司是一家在建筑行业内颇具影响力与实力的企业。公司自成立以来，始终秉持着</w:t>
      </w:r>
      <w:r>
        <w:rPr>
          <w:rFonts w:ascii="Times New Roman" w:hAnsi="Times New Roman" w:cs="Times New Roman"/>
          <w:kern w:val="0"/>
          <w:sz w:val="28"/>
          <w:szCs w:val="28"/>
        </w:rPr>
        <w:t>“</w:t>
      </w:r>
      <w:r>
        <w:rPr>
          <w:rFonts w:ascii="Times New Roman" w:hAnsi="Times New Roman" w:cs="Times New Roman"/>
          <w:kern w:val="0"/>
          <w:sz w:val="28"/>
          <w:szCs w:val="28"/>
        </w:rPr>
        <w:t>质量为本、诚信经营</w:t>
      </w:r>
      <w:r>
        <w:rPr>
          <w:rFonts w:ascii="Times New Roman" w:hAnsi="Times New Roman" w:cs="Times New Roman"/>
          <w:kern w:val="0"/>
          <w:sz w:val="28"/>
          <w:szCs w:val="28"/>
        </w:rPr>
        <w:t>”</w:t>
      </w:r>
      <w:r>
        <w:rPr>
          <w:rFonts w:ascii="Times New Roman" w:hAnsi="Times New Roman" w:cs="Times New Roman"/>
          <w:kern w:val="0"/>
          <w:sz w:val="28"/>
          <w:szCs w:val="28"/>
        </w:rPr>
        <w:t>的理念，致力于为客户提供全方位、高品质的工程建设服务。凭借专业的技术团队、先进的施工设备以及科学的管理模式，浙江朋行建设有限公司在多个领域取得了显著成就，涵盖了房屋建筑、市政公用工程、公路桥梁等多个方面。作为牵头单位，公司为标准制定提供了丰富的实践经验和专业支持。</w:t>
      </w:r>
    </w:p>
    <w:p w14:paraId="4B45B32C" w14:textId="7F230E99" w:rsidR="00686AD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2025</w:t>
      </w:r>
      <w:r>
        <w:rPr>
          <w:rFonts w:ascii="Times New Roman" w:hAnsi="Times New Roman" w:cs="Times New Roman"/>
          <w:kern w:val="0"/>
          <w:sz w:val="28"/>
          <w:szCs w:val="28"/>
        </w:rPr>
        <w:t>年</w:t>
      </w:r>
      <w:r w:rsidR="00A25071">
        <w:rPr>
          <w:rFonts w:ascii="Times New Roman" w:hAnsi="Times New Roman" w:cs="Times New Roman" w:hint="eastAsia"/>
          <w:kern w:val="0"/>
          <w:sz w:val="28"/>
          <w:szCs w:val="28"/>
        </w:rPr>
        <w:t>4</w:t>
      </w:r>
      <w:r>
        <w:rPr>
          <w:rFonts w:ascii="Times New Roman" w:hAnsi="Times New Roman" w:cs="Times New Roman"/>
          <w:kern w:val="0"/>
          <w:sz w:val="28"/>
          <w:szCs w:val="28"/>
        </w:rPr>
        <w:t>月，完成了标准征求意见稿的编写工作。</w:t>
      </w:r>
    </w:p>
    <w:p w14:paraId="095E3E1A" w14:textId="77777777" w:rsidR="00686ADF"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A307C54" w14:textId="77777777" w:rsidR="00686AD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222E5BC3" w14:textId="77777777" w:rsidR="00686ADF"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8E72378" w14:textId="77777777" w:rsidR="00686ADF"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56D121DA" w14:textId="77777777" w:rsidR="00686AD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w:t>
      </w:r>
      <w:r>
        <w:rPr>
          <w:rFonts w:ascii="Times New Roman" w:hAnsi="Times New Roman" w:cs="Times New Roman"/>
          <w:kern w:val="0"/>
          <w:sz w:val="28"/>
          <w:szCs w:val="28"/>
        </w:rPr>
        <w:lastRenderedPageBreak/>
        <w:t>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7FDD6A61" w14:textId="77777777" w:rsidR="00686ADF"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0DB2C603" w14:textId="77777777" w:rsidR="00686ADF"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Pr>
          <w:rFonts w:ascii="Times New Roman" w:hAnsi="Times New Roman" w:cs="Times New Roman"/>
          <w:sz w:val="28"/>
          <w:szCs w:val="28"/>
        </w:rPr>
        <w:t>6</w:t>
      </w:r>
      <w:r>
        <w:rPr>
          <w:rFonts w:ascii="Times New Roman" w:hAnsi="Times New Roman" w:cs="Times New Roman"/>
          <w:sz w:val="28"/>
          <w:szCs w:val="28"/>
        </w:rPr>
        <w:t>个部分，主要内容如下：</w:t>
      </w:r>
    </w:p>
    <w:p w14:paraId="3461F72A" w14:textId="77777777" w:rsidR="00686ADF" w:rsidRDefault="00000000">
      <w:pPr>
        <w:pStyle w:val="a"/>
        <w:spacing w:before="240" w:after="240" w:line="360" w:lineRule="auto"/>
        <w:rPr>
          <w:rFonts w:ascii="Times New Roman" w:hint="default"/>
          <w:sz w:val="28"/>
          <w:szCs w:val="28"/>
        </w:rPr>
      </w:pPr>
      <w:bookmarkStart w:id="2" w:name="_Toc17233325"/>
      <w:bookmarkStart w:id="3" w:name="_Toc17233333"/>
      <w:bookmarkStart w:id="4" w:name="_Toc24884211"/>
      <w:bookmarkStart w:id="5" w:name="_Toc26718930"/>
      <w:bookmarkStart w:id="6" w:name="_Toc26986530"/>
      <w:bookmarkStart w:id="7" w:name="_Toc195545163"/>
      <w:bookmarkStart w:id="8" w:name="_Toc26648465"/>
      <w:bookmarkStart w:id="9" w:name="_Toc195607945"/>
      <w:bookmarkStart w:id="10" w:name="_Toc24884218"/>
      <w:bookmarkStart w:id="11" w:name="_Toc26986771"/>
      <w:bookmarkStart w:id="12" w:name="_Toc97192964"/>
      <w:r>
        <w:rPr>
          <w:rFonts w:ascii="Times New Roman" w:hint="default"/>
          <w:sz w:val="28"/>
          <w:szCs w:val="28"/>
        </w:rPr>
        <w:t>范围</w:t>
      </w:r>
      <w:bookmarkEnd w:id="2"/>
      <w:bookmarkEnd w:id="3"/>
      <w:bookmarkEnd w:id="4"/>
      <w:bookmarkEnd w:id="5"/>
      <w:bookmarkEnd w:id="6"/>
      <w:bookmarkEnd w:id="7"/>
      <w:bookmarkEnd w:id="8"/>
      <w:bookmarkEnd w:id="9"/>
      <w:bookmarkEnd w:id="10"/>
      <w:bookmarkEnd w:id="11"/>
      <w:bookmarkEnd w:id="12"/>
    </w:p>
    <w:p w14:paraId="6F11C99D" w14:textId="77777777" w:rsidR="00686ADF" w:rsidRDefault="00000000">
      <w:pPr>
        <w:pStyle w:val="aff"/>
        <w:spacing w:line="360" w:lineRule="auto"/>
        <w:ind w:firstLine="560"/>
        <w:rPr>
          <w:rFonts w:ascii="Times New Roman" w:hint="default"/>
          <w:sz w:val="28"/>
          <w:szCs w:val="28"/>
        </w:rPr>
      </w:pPr>
      <w:bookmarkStart w:id="13" w:name="_Toc24884219"/>
      <w:bookmarkStart w:id="14" w:name="_Toc26648466"/>
      <w:bookmarkStart w:id="15" w:name="_Toc17233326"/>
      <w:bookmarkStart w:id="16" w:name="_Toc24884212"/>
      <w:bookmarkStart w:id="17" w:name="_Toc17233334"/>
      <w:r>
        <w:rPr>
          <w:rFonts w:ascii="Times New Roman" w:hint="default"/>
          <w:sz w:val="28"/>
          <w:szCs w:val="28"/>
        </w:rPr>
        <w:t>本文件规定了楼宇建筑结构整体设计的术语和定义、基本要求、性能设计和结构分析相关内容。</w:t>
      </w:r>
    </w:p>
    <w:p w14:paraId="0B513077"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本文件适用于楼宇建筑结构整体设计。</w:t>
      </w:r>
    </w:p>
    <w:p w14:paraId="5B80C729" w14:textId="77777777" w:rsidR="00686ADF" w:rsidRDefault="00000000">
      <w:pPr>
        <w:pStyle w:val="a"/>
        <w:spacing w:before="240" w:after="240" w:line="360" w:lineRule="auto"/>
        <w:rPr>
          <w:rFonts w:ascii="Times New Roman" w:hint="default"/>
          <w:sz w:val="28"/>
          <w:szCs w:val="28"/>
        </w:rPr>
      </w:pPr>
      <w:bookmarkStart w:id="18" w:name="_Toc26986531"/>
      <w:bookmarkStart w:id="19" w:name="_Toc97192965"/>
      <w:bookmarkStart w:id="20" w:name="_Toc195607946"/>
      <w:bookmarkStart w:id="21" w:name="_Toc26986772"/>
      <w:bookmarkStart w:id="22" w:name="_Toc26718931"/>
      <w:bookmarkStart w:id="23" w:name="_Toc195545164"/>
      <w:r>
        <w:rPr>
          <w:rFonts w:ascii="Times New Roman" w:hint="default"/>
          <w:sz w:val="28"/>
          <w:szCs w:val="28"/>
        </w:rPr>
        <w:t>规范性引用文件</w:t>
      </w:r>
      <w:bookmarkEnd w:id="13"/>
      <w:bookmarkEnd w:id="14"/>
      <w:bookmarkEnd w:id="15"/>
      <w:bookmarkEnd w:id="16"/>
      <w:bookmarkEnd w:id="17"/>
      <w:bookmarkEnd w:id="18"/>
      <w:bookmarkEnd w:id="19"/>
      <w:bookmarkEnd w:id="20"/>
      <w:bookmarkEnd w:id="21"/>
      <w:bookmarkEnd w:id="22"/>
      <w:bookmarkEnd w:id="23"/>
    </w:p>
    <w:p w14:paraId="5A775EDC"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6AFAF4C"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 xml:space="preserve">GB/T 50010 </w:t>
      </w:r>
      <w:r>
        <w:rPr>
          <w:rFonts w:ascii="Times New Roman" w:hint="default"/>
          <w:sz w:val="28"/>
          <w:szCs w:val="28"/>
        </w:rPr>
        <w:t>混凝土结构设计标准</w:t>
      </w:r>
    </w:p>
    <w:p w14:paraId="396A0288"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 xml:space="preserve">GB/T 50011 </w:t>
      </w:r>
      <w:r>
        <w:rPr>
          <w:rFonts w:ascii="Times New Roman" w:hint="default"/>
          <w:sz w:val="28"/>
          <w:szCs w:val="28"/>
        </w:rPr>
        <w:t>建筑抗震设计标准</w:t>
      </w:r>
    </w:p>
    <w:p w14:paraId="7520B9AB"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 xml:space="preserve">JGJ 3 </w:t>
      </w:r>
      <w:r>
        <w:rPr>
          <w:rFonts w:ascii="Times New Roman" w:hint="default"/>
          <w:sz w:val="28"/>
          <w:szCs w:val="28"/>
        </w:rPr>
        <w:t>高层建筑混凝土结构技术规程</w:t>
      </w:r>
    </w:p>
    <w:p w14:paraId="16952ED7"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 xml:space="preserve">JGJ 99 </w:t>
      </w:r>
      <w:r>
        <w:rPr>
          <w:rFonts w:ascii="Times New Roman" w:hint="default"/>
          <w:sz w:val="28"/>
          <w:szCs w:val="28"/>
        </w:rPr>
        <w:t>高层民用建筑钢结构技术规程</w:t>
      </w:r>
    </w:p>
    <w:p w14:paraId="2E2A5F53" w14:textId="77777777" w:rsidR="00686ADF" w:rsidRDefault="00000000">
      <w:pPr>
        <w:pStyle w:val="a"/>
        <w:spacing w:before="240" w:after="240" w:line="360" w:lineRule="auto"/>
        <w:rPr>
          <w:rFonts w:ascii="Times New Roman" w:hint="default"/>
          <w:sz w:val="28"/>
          <w:szCs w:val="28"/>
        </w:rPr>
      </w:pPr>
      <w:bookmarkStart w:id="24" w:name="_Toc195545165"/>
      <w:bookmarkStart w:id="25" w:name="_Toc97192966"/>
      <w:bookmarkStart w:id="26" w:name="_Toc195607947"/>
      <w:r>
        <w:rPr>
          <w:rFonts w:ascii="Times New Roman" w:hint="default"/>
          <w:sz w:val="28"/>
          <w:szCs w:val="28"/>
        </w:rPr>
        <w:t>术语和定义</w:t>
      </w:r>
      <w:bookmarkEnd w:id="24"/>
      <w:bookmarkEnd w:id="25"/>
      <w:bookmarkEnd w:id="26"/>
    </w:p>
    <w:p w14:paraId="389F2001" w14:textId="77777777" w:rsidR="00686ADF" w:rsidRDefault="00000000">
      <w:pPr>
        <w:pStyle w:val="aff"/>
        <w:spacing w:line="360" w:lineRule="auto"/>
        <w:ind w:firstLine="560"/>
        <w:rPr>
          <w:rFonts w:ascii="Times New Roman" w:hint="default"/>
          <w:sz w:val="28"/>
          <w:szCs w:val="28"/>
        </w:rPr>
      </w:pPr>
      <w:bookmarkStart w:id="27" w:name="_Toc26986532"/>
      <w:bookmarkEnd w:id="27"/>
      <w:r>
        <w:rPr>
          <w:rFonts w:ascii="Times New Roman" w:hint="default"/>
          <w:sz w:val="28"/>
          <w:szCs w:val="28"/>
        </w:rPr>
        <w:t>以下术语和定义适用于本文件。</w:t>
      </w:r>
    </w:p>
    <w:p w14:paraId="714EA454" w14:textId="77777777" w:rsidR="00686ADF"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楼宇建筑</w:t>
      </w:r>
      <w:r>
        <w:rPr>
          <w:rFonts w:ascii="Times New Roman" w:eastAsia="黑体" w:hint="default"/>
          <w:sz w:val="28"/>
          <w:szCs w:val="28"/>
        </w:rPr>
        <w:t xml:space="preserve"> tall building</w:t>
      </w:r>
    </w:p>
    <w:p w14:paraId="13DB4E6D"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lastRenderedPageBreak/>
        <w:t>指具备特定使用功能，由基础、墙体、梁柱、楼板、屋盖等结构构件以及围护、分隔、装饰等非结构构件组成，用于人类居住、办公、商业、生产等各类活动的竖向空间实体。</w:t>
      </w:r>
    </w:p>
    <w:p w14:paraId="444A2E52" w14:textId="77777777" w:rsidR="00686ADF"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房屋高度</w:t>
      </w:r>
      <w:r>
        <w:rPr>
          <w:rFonts w:ascii="Times New Roman" w:eastAsia="黑体" w:hint="default"/>
          <w:sz w:val="28"/>
          <w:szCs w:val="28"/>
        </w:rPr>
        <w:t xml:space="preserve"> building height</w:t>
      </w:r>
    </w:p>
    <w:p w14:paraId="6A5F0B02"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指从室外设计地面至屋面结构板（或檐口）的垂直高度，是衡量楼宇建筑规模及结构受力特征的重要参数。</w:t>
      </w:r>
    </w:p>
    <w:p w14:paraId="7ACB0907" w14:textId="77777777" w:rsidR="00686ADF"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混合结构</w:t>
      </w:r>
      <w:r>
        <w:rPr>
          <w:rFonts w:ascii="Times New Roman" w:eastAsia="黑体" w:hint="default"/>
          <w:sz w:val="28"/>
          <w:szCs w:val="28"/>
        </w:rPr>
        <w:t xml:space="preserve"> mixed structure</w:t>
      </w:r>
    </w:p>
    <w:p w14:paraId="77280AE8" w14:textId="77777777" w:rsidR="00686ADF" w:rsidRDefault="00000000">
      <w:pPr>
        <w:pStyle w:val="aff"/>
        <w:spacing w:line="360" w:lineRule="auto"/>
        <w:ind w:firstLine="560"/>
        <w:rPr>
          <w:rFonts w:ascii="Times New Roman" w:hint="default"/>
          <w:sz w:val="28"/>
          <w:szCs w:val="28"/>
        </w:rPr>
      </w:pPr>
      <w:r>
        <w:rPr>
          <w:rFonts w:ascii="Times New Roman" w:hint="default"/>
          <w:sz w:val="28"/>
          <w:szCs w:val="28"/>
        </w:rPr>
        <w:t>指由两种或两种以上不同受力性能的结构材料（如钢筋混凝土与砌体、钢材与混凝土等）组合而成，共同承担楼宇建筑荷载的结构体系。</w:t>
      </w:r>
    </w:p>
    <w:p w14:paraId="428F223D" w14:textId="77777777" w:rsidR="00686ADF" w:rsidRDefault="00000000">
      <w:pPr>
        <w:pStyle w:val="a"/>
        <w:spacing w:before="240" w:after="240" w:line="360" w:lineRule="auto"/>
        <w:rPr>
          <w:rFonts w:ascii="Times New Roman" w:hint="default"/>
          <w:sz w:val="28"/>
          <w:szCs w:val="28"/>
        </w:rPr>
      </w:pPr>
      <w:bookmarkStart w:id="28" w:name="_Toc195545166"/>
      <w:bookmarkStart w:id="29" w:name="_Toc195607948"/>
      <w:r>
        <w:rPr>
          <w:rFonts w:ascii="Times New Roman" w:hint="default"/>
          <w:sz w:val="28"/>
          <w:szCs w:val="28"/>
        </w:rPr>
        <w:t>基本要求</w:t>
      </w:r>
      <w:bookmarkEnd w:id="28"/>
      <w:bookmarkEnd w:id="29"/>
    </w:p>
    <w:p w14:paraId="262E97CC" w14:textId="77777777" w:rsidR="00686ADF" w:rsidRDefault="00000000">
      <w:pPr>
        <w:pStyle w:val="aff0"/>
        <w:numPr>
          <w:ilvl w:val="2"/>
          <w:numId w:val="2"/>
        </w:numPr>
        <w:spacing w:line="360" w:lineRule="auto"/>
        <w:rPr>
          <w:rFonts w:ascii="Times New Roman" w:hint="default"/>
          <w:sz w:val="28"/>
          <w:szCs w:val="28"/>
        </w:rPr>
      </w:pPr>
      <w:r>
        <w:rPr>
          <w:rFonts w:ascii="Times New Roman" w:hint="default"/>
          <w:sz w:val="28"/>
          <w:szCs w:val="28"/>
        </w:rPr>
        <w:t>楼宇建筑可采用钢筋混凝土结构、钢结构或混合结构，并根据抗震设防类别、设防烈度、房屋高度、场地地基条件、使用要求、建筑体型、结构材料和施工等因素综合分析选用合适的结构体系。</w:t>
      </w:r>
    </w:p>
    <w:p w14:paraId="080F7E70" w14:textId="77777777" w:rsidR="00686ADF" w:rsidRDefault="00000000">
      <w:pPr>
        <w:pStyle w:val="aff0"/>
        <w:numPr>
          <w:ilvl w:val="2"/>
          <w:numId w:val="2"/>
        </w:numPr>
        <w:spacing w:line="360" w:lineRule="auto"/>
        <w:rPr>
          <w:rFonts w:ascii="Times New Roman" w:hint="default"/>
          <w:sz w:val="28"/>
          <w:szCs w:val="28"/>
        </w:rPr>
      </w:pPr>
      <w:r>
        <w:rPr>
          <w:rFonts w:ascii="Times New Roman" w:hint="default"/>
          <w:sz w:val="28"/>
          <w:szCs w:val="28"/>
        </w:rPr>
        <w:t>楼宇建筑不应采用严重不规则的结构体系，应符合以下规定：</w:t>
      </w:r>
    </w:p>
    <w:p w14:paraId="59A1B0D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楼宇建筑结构应具有合理的结构布置、明确的计算简图和合理的荷载与作用传递途径，应使结构具有必要的承载能力、合适的刚度和良好的延性；</w:t>
      </w:r>
    </w:p>
    <w:p w14:paraId="13604D6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结构宜具有多道防线，并应对薄弱部位及薄弱层采取有效的加强措施；</w:t>
      </w:r>
    </w:p>
    <w:p w14:paraId="09FF050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当房屋高度、平面及竖向不规则性和结构复杂性等多项控制指标超过现行标准及有关规定时，应提出更高的抗震设防性能目标及具体的加强措施，保证结构的抗震安全性。</w:t>
      </w:r>
    </w:p>
    <w:p w14:paraId="3B041792" w14:textId="77777777" w:rsidR="00686ADF" w:rsidRDefault="00000000">
      <w:pPr>
        <w:pStyle w:val="aff0"/>
        <w:numPr>
          <w:ilvl w:val="2"/>
          <w:numId w:val="2"/>
        </w:numPr>
        <w:spacing w:line="360" w:lineRule="auto"/>
        <w:rPr>
          <w:rFonts w:ascii="Times New Roman" w:hint="default"/>
          <w:sz w:val="28"/>
          <w:szCs w:val="28"/>
        </w:rPr>
      </w:pPr>
      <w:r>
        <w:rPr>
          <w:rFonts w:ascii="Times New Roman" w:hint="default"/>
          <w:sz w:val="28"/>
          <w:szCs w:val="28"/>
        </w:rPr>
        <w:lastRenderedPageBreak/>
        <w:t>楼宇建筑宜采用有利于减小横风向振动影响的建筑形体，并应计入相邻楼宇建筑对风荷载的影响。</w:t>
      </w:r>
    </w:p>
    <w:p w14:paraId="4A786A4C" w14:textId="77777777" w:rsidR="00686ADF" w:rsidRDefault="00000000">
      <w:pPr>
        <w:pStyle w:val="aff0"/>
        <w:numPr>
          <w:ilvl w:val="2"/>
          <w:numId w:val="2"/>
        </w:numPr>
        <w:spacing w:line="360" w:lineRule="auto"/>
        <w:rPr>
          <w:rFonts w:ascii="Times New Roman" w:hint="default"/>
          <w:sz w:val="28"/>
          <w:szCs w:val="28"/>
        </w:rPr>
      </w:pPr>
      <w:r>
        <w:rPr>
          <w:rFonts w:ascii="Times New Roman" w:hint="default"/>
          <w:sz w:val="28"/>
          <w:szCs w:val="28"/>
        </w:rPr>
        <w:t>楼宇建筑填充墙及隔墙宜采用轻质材料，应与主体结构可靠连接。</w:t>
      </w:r>
    </w:p>
    <w:p w14:paraId="644D1FC3" w14:textId="77777777" w:rsidR="00686ADF" w:rsidRDefault="00000000">
      <w:pPr>
        <w:pStyle w:val="aff0"/>
        <w:numPr>
          <w:ilvl w:val="2"/>
          <w:numId w:val="2"/>
        </w:numPr>
        <w:spacing w:line="360" w:lineRule="auto"/>
        <w:rPr>
          <w:rFonts w:ascii="Times New Roman" w:hint="default"/>
          <w:sz w:val="28"/>
          <w:szCs w:val="28"/>
        </w:rPr>
      </w:pPr>
      <w:r>
        <w:rPr>
          <w:rFonts w:ascii="Times New Roman" w:hint="default"/>
          <w:sz w:val="28"/>
          <w:szCs w:val="28"/>
        </w:rPr>
        <w:t>当竖向构件采用高强混凝土时，应采取以下抗震构造措施：</w:t>
      </w:r>
    </w:p>
    <w:p w14:paraId="250C2ABC"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当柱采用</w:t>
      </w:r>
      <w:r>
        <w:rPr>
          <w:rFonts w:ascii="Times New Roman" w:hint="default"/>
          <w:sz w:val="28"/>
          <w:szCs w:val="28"/>
        </w:rPr>
        <w:t>C70</w:t>
      </w:r>
      <w:r>
        <w:rPr>
          <w:rFonts w:ascii="Times New Roman" w:hint="default"/>
          <w:sz w:val="28"/>
          <w:szCs w:val="28"/>
        </w:rPr>
        <w:t>及以上的高强混凝土时，宜提高配筋率和配箍率，或采用钢管混凝土柱、型钢混凝土柱或钢管混凝土叠合柱；</w:t>
      </w:r>
    </w:p>
    <w:p w14:paraId="6EDE38FF"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当剪力墙采用</w:t>
      </w:r>
      <w:r>
        <w:rPr>
          <w:rFonts w:ascii="Times New Roman" w:hint="default"/>
          <w:sz w:val="28"/>
          <w:szCs w:val="28"/>
        </w:rPr>
        <w:t>C60</w:t>
      </w:r>
      <w:r>
        <w:rPr>
          <w:rFonts w:ascii="Times New Roman" w:hint="default"/>
          <w:sz w:val="28"/>
          <w:szCs w:val="28"/>
        </w:rPr>
        <w:t>及以上的高强混凝土时，宜提高分布筋的配筋率和边缘构件的配筋率及配箍率，必要时可设置型钢或钢板。</w:t>
      </w:r>
    </w:p>
    <w:p w14:paraId="6CE78109" w14:textId="77777777" w:rsidR="00686ADF" w:rsidRDefault="00000000">
      <w:pPr>
        <w:pStyle w:val="aff0"/>
        <w:numPr>
          <w:ilvl w:val="2"/>
          <w:numId w:val="2"/>
        </w:numPr>
        <w:spacing w:line="360" w:lineRule="auto"/>
        <w:rPr>
          <w:rFonts w:ascii="Times New Roman" w:hint="default"/>
          <w:sz w:val="28"/>
          <w:szCs w:val="28"/>
        </w:rPr>
      </w:pPr>
      <w:r>
        <w:rPr>
          <w:rFonts w:ascii="Times New Roman" w:hint="default"/>
          <w:sz w:val="28"/>
          <w:szCs w:val="28"/>
        </w:rPr>
        <w:t>楼宇建筑结构的最大适用高度和适用高宽比计算时，对于平面和竖向复杂体型房屋的计算宽度，可采用结构侧向刚度等代换算的等效宽度。</w:t>
      </w:r>
    </w:p>
    <w:p w14:paraId="18FD769B" w14:textId="77777777" w:rsidR="00686ADF" w:rsidRDefault="00000000">
      <w:pPr>
        <w:pStyle w:val="a"/>
        <w:spacing w:before="240" w:after="240" w:line="360" w:lineRule="auto"/>
        <w:rPr>
          <w:rFonts w:ascii="Times New Roman" w:hint="default"/>
          <w:sz w:val="28"/>
          <w:szCs w:val="28"/>
        </w:rPr>
      </w:pPr>
      <w:bookmarkStart w:id="30" w:name="_Toc195545167"/>
      <w:bookmarkStart w:id="31" w:name="_Toc195607949"/>
      <w:r>
        <w:rPr>
          <w:rFonts w:ascii="Times New Roman" w:hint="default"/>
          <w:sz w:val="28"/>
          <w:szCs w:val="28"/>
        </w:rPr>
        <w:t>性能设计</w:t>
      </w:r>
      <w:bookmarkEnd w:id="30"/>
      <w:bookmarkEnd w:id="31"/>
    </w:p>
    <w:p w14:paraId="3B5A45F4"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基本要求</w:t>
      </w:r>
    </w:p>
    <w:p w14:paraId="442A915D"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建筑结构的抗震性能化设计应包括结构体系、关键部位、薄弱部位、耗能部位、关键构件、节点和连接等性能化设计内容，并应根据设防标准和建设需求，制定明确的结构抗震性能目标和性能设计指标。</w:t>
      </w:r>
    </w:p>
    <w:p w14:paraId="108D4899"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采用抗震性能化设计的建筑结构，应重视结构的抗震概念设计。</w:t>
      </w:r>
    </w:p>
    <w:p w14:paraId="67FE0CAD"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建筑结构抗震性能化设计时，应根据竖向荷载传递和抗侧能力的重要性，将结构中的构件划分为关键构件、普通竖向构件和耗能构件，具体为：</w:t>
      </w:r>
    </w:p>
    <w:p w14:paraId="2C5749BD" w14:textId="77777777" w:rsidR="00686ADF" w:rsidRDefault="00000000">
      <w:pPr>
        <w:pStyle w:val="a7"/>
        <w:spacing w:line="360" w:lineRule="auto"/>
        <w:rPr>
          <w:rFonts w:ascii="Times New Roman" w:hint="default"/>
          <w:sz w:val="28"/>
          <w:szCs w:val="28"/>
        </w:rPr>
      </w:pPr>
      <w:r>
        <w:rPr>
          <w:rFonts w:ascii="Times New Roman" w:hint="default"/>
          <w:sz w:val="28"/>
          <w:szCs w:val="28"/>
        </w:rPr>
        <w:t>对其失效可能引起结构连续破坏或危及生命安全的构件，应划为关键构件；</w:t>
      </w:r>
    </w:p>
    <w:p w14:paraId="355DF246" w14:textId="77777777" w:rsidR="00686ADF" w:rsidRDefault="00000000">
      <w:pPr>
        <w:pStyle w:val="a7"/>
        <w:spacing w:line="360" w:lineRule="auto"/>
        <w:rPr>
          <w:rFonts w:ascii="Times New Roman" w:hint="default"/>
          <w:sz w:val="28"/>
          <w:szCs w:val="28"/>
        </w:rPr>
      </w:pPr>
      <w:r>
        <w:rPr>
          <w:rFonts w:ascii="Times New Roman" w:hint="default"/>
          <w:sz w:val="28"/>
          <w:szCs w:val="28"/>
        </w:rPr>
        <w:t>对剪力墙的连梁、耗能支撑、框架梁等构件，宜划为耗能构件；</w:t>
      </w:r>
    </w:p>
    <w:p w14:paraId="393B3F83" w14:textId="77777777" w:rsidR="00686ADF" w:rsidRDefault="00000000">
      <w:pPr>
        <w:pStyle w:val="a7"/>
        <w:spacing w:line="360" w:lineRule="auto"/>
        <w:rPr>
          <w:rFonts w:ascii="Times New Roman" w:hint="default"/>
          <w:sz w:val="28"/>
          <w:szCs w:val="28"/>
        </w:rPr>
      </w:pPr>
      <w:r>
        <w:rPr>
          <w:rFonts w:ascii="Times New Roman" w:hint="default"/>
          <w:sz w:val="28"/>
          <w:szCs w:val="28"/>
        </w:rPr>
        <w:t>对关键构件以外的竖向构件可划为普通竖向构件。</w:t>
      </w:r>
    </w:p>
    <w:p w14:paraId="354C4605"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lastRenderedPageBreak/>
        <w:t>经抗震性能化设计的建筑结构，应具有合理的屈服机制和良好的耗能能力，弹塑性耗能应发生在预设的区域、构件上，结构在罕遇地震时应具有合适的承载能力和足够的变形能力，避免因局部构件或节点的破坏而导致整个结构丧失承载力。</w:t>
      </w:r>
    </w:p>
    <w:p w14:paraId="463FC55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结构第一自振周期宜为平动周期。当结构第一自振周期为扭转周期时，应考虑楼层及竖向构件抵抗扭矩的作用，并应按</w:t>
      </w:r>
      <w:r>
        <w:rPr>
          <w:rFonts w:ascii="Times New Roman" w:hint="default"/>
          <w:sz w:val="28"/>
          <w:szCs w:val="28"/>
        </w:rPr>
        <w:t>GB/T 50010</w:t>
      </w:r>
      <w:r>
        <w:rPr>
          <w:rFonts w:ascii="Times New Roman" w:hint="default"/>
          <w:sz w:val="28"/>
          <w:szCs w:val="28"/>
        </w:rPr>
        <w:t>的要求验算竖向构件的抗剪扭承载力。</w:t>
      </w:r>
    </w:p>
    <w:p w14:paraId="69064228"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结构抗震性能评价应包括结构性能整体评价和构件性能评价。</w:t>
      </w:r>
    </w:p>
    <w:p w14:paraId="3C90E423"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楼宇建筑结构抗震性能化设计流程宜符合以下规定：</w:t>
      </w:r>
    </w:p>
    <w:p w14:paraId="7CBC6768"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根据建筑方案确定结构体系及结构布置；</w:t>
      </w:r>
    </w:p>
    <w:p w14:paraId="44B7F12E"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确定建筑结构的抗震性能目标；</w:t>
      </w:r>
    </w:p>
    <w:p w14:paraId="2715554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划分结构的关键构件、普通竖向构件和耗能构件，确定不同地震动水准下构件的性能设计指标；</w:t>
      </w:r>
    </w:p>
    <w:p w14:paraId="203CBE64"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多遇地震作用下的结构弹性设计；</w:t>
      </w:r>
    </w:p>
    <w:p w14:paraId="1959D08A"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不同地震动水准下结构和构件的抗震性能评价；</w:t>
      </w:r>
    </w:p>
    <w:p w14:paraId="6C48667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当结构和构件的抗震性能评价不满足预设目标时，应采取进一步抗震加强措施，直至各水准地震作用下结构和构件的抗震性能均满足预设要求。</w:t>
      </w:r>
    </w:p>
    <w:p w14:paraId="13EEDA80"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性能目标</w:t>
      </w:r>
    </w:p>
    <w:p w14:paraId="2BD04D7B"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结构抗震性能水准可根据地震作用下结构和构件的损坏程度及继续使用的可能性分为</w:t>
      </w:r>
      <w:r>
        <w:rPr>
          <w:rFonts w:ascii="Times New Roman" w:hint="default"/>
          <w:sz w:val="28"/>
          <w:szCs w:val="28"/>
        </w:rPr>
        <w:t>1</w:t>
      </w:r>
      <w:r>
        <w:rPr>
          <w:rFonts w:ascii="Times New Roman" w:hint="default"/>
          <w:sz w:val="28"/>
          <w:szCs w:val="28"/>
        </w:rPr>
        <w:t>、</w:t>
      </w:r>
      <w:r>
        <w:rPr>
          <w:rFonts w:ascii="Times New Roman" w:hint="default"/>
          <w:sz w:val="28"/>
          <w:szCs w:val="28"/>
        </w:rPr>
        <w:t>2</w:t>
      </w:r>
      <w:r>
        <w:rPr>
          <w:rFonts w:ascii="Times New Roman" w:hint="default"/>
          <w:sz w:val="28"/>
          <w:szCs w:val="28"/>
        </w:rPr>
        <w:t>、</w:t>
      </w:r>
      <w:r>
        <w:rPr>
          <w:rFonts w:ascii="Times New Roman" w:hint="default"/>
          <w:sz w:val="28"/>
          <w:szCs w:val="28"/>
        </w:rPr>
        <w:t>3</w:t>
      </w:r>
      <w:r>
        <w:rPr>
          <w:rFonts w:ascii="Times New Roman" w:hint="default"/>
          <w:sz w:val="28"/>
          <w:szCs w:val="28"/>
        </w:rPr>
        <w:t>、</w:t>
      </w:r>
      <w:r>
        <w:rPr>
          <w:rFonts w:ascii="Times New Roman" w:hint="default"/>
          <w:sz w:val="28"/>
          <w:szCs w:val="28"/>
        </w:rPr>
        <w:t>4</w:t>
      </w:r>
      <w:r>
        <w:rPr>
          <w:rFonts w:ascii="Times New Roman" w:hint="default"/>
          <w:sz w:val="28"/>
          <w:szCs w:val="28"/>
        </w:rPr>
        <w:t>、</w:t>
      </w:r>
      <w:r>
        <w:rPr>
          <w:rFonts w:ascii="Times New Roman" w:hint="default"/>
          <w:sz w:val="28"/>
          <w:szCs w:val="28"/>
        </w:rPr>
        <w:t>5</w:t>
      </w:r>
      <w:r>
        <w:rPr>
          <w:rFonts w:ascii="Times New Roman" w:hint="default"/>
          <w:sz w:val="28"/>
          <w:szCs w:val="28"/>
        </w:rPr>
        <w:t>五个水准。结构和构件在不同抗震性能水准下的预期震后性能状况和损坏程度可按表</w:t>
      </w:r>
      <w:r>
        <w:rPr>
          <w:rFonts w:ascii="Times New Roman" w:hint="default"/>
          <w:sz w:val="28"/>
          <w:szCs w:val="28"/>
        </w:rPr>
        <w:t>1</w:t>
      </w:r>
      <w:r>
        <w:rPr>
          <w:rFonts w:ascii="Times New Roman" w:hint="default"/>
          <w:sz w:val="28"/>
          <w:szCs w:val="28"/>
        </w:rPr>
        <w:t>确定。</w:t>
      </w:r>
    </w:p>
    <w:p w14:paraId="2F53088E" w14:textId="77777777" w:rsidR="00686ADF" w:rsidRDefault="00000000">
      <w:pPr>
        <w:pStyle w:val="a5"/>
        <w:spacing w:before="120" w:after="120" w:line="360" w:lineRule="auto"/>
        <w:rPr>
          <w:rFonts w:ascii="Times New Roman" w:hint="default"/>
          <w:sz w:val="28"/>
          <w:szCs w:val="28"/>
        </w:rPr>
      </w:pPr>
      <w:r>
        <w:rPr>
          <w:rFonts w:ascii="Times New Roman" w:hint="default"/>
          <w:sz w:val="28"/>
          <w:szCs w:val="28"/>
        </w:rPr>
        <w:t>结构的抗震性能目标</w:t>
      </w:r>
    </w:p>
    <w:tbl>
      <w:tblPr>
        <w:tblStyle w:val="a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24"/>
        <w:gridCol w:w="1604"/>
        <w:gridCol w:w="1449"/>
        <w:gridCol w:w="1474"/>
        <w:gridCol w:w="1604"/>
        <w:gridCol w:w="1656"/>
      </w:tblGrid>
      <w:tr w:rsidR="00686ADF" w14:paraId="773E974F" w14:textId="77777777">
        <w:trPr>
          <w:tblHeader/>
          <w:jc w:val="center"/>
        </w:trPr>
        <w:tc>
          <w:tcPr>
            <w:tcW w:w="983" w:type="dxa"/>
            <w:tcBorders>
              <w:top w:val="single" w:sz="8" w:space="0" w:color="auto"/>
              <w:left w:val="single" w:sz="8" w:space="0" w:color="auto"/>
              <w:bottom w:val="single" w:sz="8" w:space="0" w:color="auto"/>
              <w:right w:val="single" w:sz="4" w:space="0" w:color="auto"/>
            </w:tcBorders>
            <w:shd w:val="clear" w:color="auto" w:fill="auto"/>
            <w:vAlign w:val="center"/>
          </w:tcPr>
          <w:p w14:paraId="5550F100" w14:textId="77777777" w:rsidR="00686ADF" w:rsidRDefault="00000000">
            <w:pPr>
              <w:pStyle w:val="aff2"/>
              <w:spacing w:line="360" w:lineRule="auto"/>
              <w:rPr>
                <w:rFonts w:ascii="Times New Roman" w:hint="default"/>
                <w:sz w:val="28"/>
                <w:szCs w:val="28"/>
              </w:rPr>
            </w:pPr>
            <w:r>
              <w:rPr>
                <w:rFonts w:ascii="Times New Roman" w:hint="default"/>
                <w:sz w:val="28"/>
                <w:szCs w:val="28"/>
              </w:rPr>
              <w:lastRenderedPageBreak/>
              <w:t>结构抗震性能水准</w:t>
            </w:r>
          </w:p>
        </w:tc>
        <w:tc>
          <w:tcPr>
            <w:tcW w:w="1702" w:type="dxa"/>
            <w:tcBorders>
              <w:top w:val="single" w:sz="8" w:space="0" w:color="auto"/>
              <w:left w:val="single" w:sz="4" w:space="0" w:color="auto"/>
              <w:bottom w:val="single" w:sz="8" w:space="0" w:color="auto"/>
              <w:right w:val="single" w:sz="4" w:space="0" w:color="auto"/>
            </w:tcBorders>
            <w:shd w:val="clear" w:color="auto" w:fill="auto"/>
            <w:vAlign w:val="center"/>
          </w:tcPr>
          <w:p w14:paraId="6866FBE8" w14:textId="77777777" w:rsidR="00686ADF" w:rsidRDefault="00000000">
            <w:pPr>
              <w:pStyle w:val="aff2"/>
              <w:spacing w:line="360" w:lineRule="auto"/>
              <w:rPr>
                <w:rFonts w:ascii="Times New Roman" w:hint="default"/>
                <w:sz w:val="28"/>
                <w:szCs w:val="28"/>
              </w:rPr>
            </w:pPr>
            <w:r>
              <w:rPr>
                <w:rFonts w:ascii="Times New Roman" w:hint="default"/>
                <w:sz w:val="28"/>
                <w:szCs w:val="28"/>
              </w:rPr>
              <w:t>结构宏观损坏程度</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60C5B811" w14:textId="77777777" w:rsidR="00686ADF" w:rsidRDefault="00000000">
            <w:pPr>
              <w:pStyle w:val="aff2"/>
              <w:spacing w:line="360" w:lineRule="auto"/>
              <w:rPr>
                <w:rFonts w:ascii="Times New Roman" w:hint="default"/>
                <w:sz w:val="28"/>
                <w:szCs w:val="28"/>
              </w:rPr>
            </w:pPr>
            <w:r>
              <w:rPr>
                <w:rFonts w:ascii="Times New Roman" w:hint="default"/>
                <w:sz w:val="28"/>
                <w:szCs w:val="28"/>
              </w:rPr>
              <w:t>关键构件</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1D73ABD3" w14:textId="77777777" w:rsidR="00686ADF" w:rsidRDefault="00000000">
            <w:pPr>
              <w:pStyle w:val="aff2"/>
              <w:spacing w:line="360" w:lineRule="auto"/>
              <w:rPr>
                <w:rFonts w:ascii="Times New Roman" w:hint="default"/>
                <w:sz w:val="28"/>
                <w:szCs w:val="28"/>
              </w:rPr>
            </w:pPr>
            <w:r>
              <w:rPr>
                <w:rFonts w:ascii="Times New Roman" w:hint="default"/>
                <w:sz w:val="28"/>
                <w:szCs w:val="28"/>
              </w:rPr>
              <w:t>普通竖向构件</w:t>
            </w:r>
          </w:p>
        </w:tc>
        <w:tc>
          <w:tcPr>
            <w:tcW w:w="1702" w:type="dxa"/>
            <w:tcBorders>
              <w:top w:val="single" w:sz="8" w:space="0" w:color="auto"/>
              <w:left w:val="single" w:sz="4" w:space="0" w:color="auto"/>
              <w:bottom w:val="single" w:sz="8" w:space="0" w:color="auto"/>
              <w:right w:val="single" w:sz="4" w:space="0" w:color="auto"/>
            </w:tcBorders>
            <w:shd w:val="clear" w:color="auto" w:fill="auto"/>
            <w:vAlign w:val="center"/>
          </w:tcPr>
          <w:p w14:paraId="586769A8" w14:textId="77777777" w:rsidR="00686ADF" w:rsidRDefault="00000000">
            <w:pPr>
              <w:pStyle w:val="aff2"/>
              <w:spacing w:line="360" w:lineRule="auto"/>
              <w:rPr>
                <w:rFonts w:ascii="Times New Roman" w:hint="default"/>
                <w:sz w:val="28"/>
                <w:szCs w:val="28"/>
              </w:rPr>
            </w:pPr>
            <w:r>
              <w:rPr>
                <w:rFonts w:ascii="Times New Roman" w:hint="default"/>
                <w:sz w:val="28"/>
                <w:szCs w:val="28"/>
              </w:rPr>
              <w:t>耗能构件</w:t>
            </w:r>
          </w:p>
        </w:tc>
        <w:tc>
          <w:tcPr>
            <w:tcW w:w="1785" w:type="dxa"/>
            <w:tcBorders>
              <w:top w:val="single" w:sz="8" w:space="0" w:color="auto"/>
              <w:left w:val="single" w:sz="4" w:space="0" w:color="auto"/>
              <w:bottom w:val="single" w:sz="8" w:space="0" w:color="auto"/>
              <w:right w:val="single" w:sz="8" w:space="0" w:color="auto"/>
            </w:tcBorders>
            <w:shd w:val="clear" w:color="auto" w:fill="auto"/>
            <w:vAlign w:val="center"/>
          </w:tcPr>
          <w:p w14:paraId="582E0288" w14:textId="77777777" w:rsidR="00686ADF" w:rsidRDefault="00000000">
            <w:pPr>
              <w:pStyle w:val="aff2"/>
              <w:spacing w:line="360" w:lineRule="auto"/>
              <w:rPr>
                <w:rFonts w:ascii="Times New Roman" w:hint="default"/>
                <w:sz w:val="28"/>
                <w:szCs w:val="28"/>
              </w:rPr>
            </w:pPr>
            <w:r>
              <w:rPr>
                <w:rFonts w:ascii="Times New Roman" w:hint="default"/>
                <w:sz w:val="28"/>
                <w:szCs w:val="28"/>
              </w:rPr>
              <w:t>继续使用的可能性</w:t>
            </w:r>
          </w:p>
        </w:tc>
      </w:tr>
      <w:tr w:rsidR="00686ADF" w14:paraId="5E7C778F" w14:textId="77777777">
        <w:trPr>
          <w:jc w:val="center"/>
        </w:trPr>
        <w:tc>
          <w:tcPr>
            <w:tcW w:w="983" w:type="dxa"/>
            <w:tcBorders>
              <w:top w:val="single" w:sz="8" w:space="0" w:color="auto"/>
              <w:left w:val="single" w:sz="8" w:space="0" w:color="auto"/>
              <w:bottom w:val="single" w:sz="4" w:space="0" w:color="auto"/>
              <w:right w:val="single" w:sz="4" w:space="0" w:color="auto"/>
            </w:tcBorders>
            <w:shd w:val="clear" w:color="auto" w:fill="auto"/>
            <w:vAlign w:val="center"/>
          </w:tcPr>
          <w:p w14:paraId="2386806D"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702" w:type="dxa"/>
            <w:tcBorders>
              <w:top w:val="single" w:sz="8" w:space="0" w:color="auto"/>
              <w:left w:val="single" w:sz="4" w:space="0" w:color="auto"/>
              <w:bottom w:val="single" w:sz="4" w:space="0" w:color="auto"/>
              <w:right w:val="single" w:sz="4" w:space="0" w:color="auto"/>
            </w:tcBorders>
            <w:shd w:val="clear" w:color="auto" w:fill="auto"/>
            <w:vAlign w:val="center"/>
          </w:tcPr>
          <w:p w14:paraId="2CBF673F" w14:textId="77777777" w:rsidR="00686ADF" w:rsidRDefault="00000000">
            <w:pPr>
              <w:pStyle w:val="aff2"/>
              <w:spacing w:line="360" w:lineRule="auto"/>
              <w:rPr>
                <w:rFonts w:ascii="Times New Roman" w:hint="default"/>
                <w:sz w:val="28"/>
                <w:szCs w:val="28"/>
              </w:rPr>
            </w:pPr>
            <w:r>
              <w:rPr>
                <w:rFonts w:ascii="Times New Roman" w:hint="default"/>
                <w:sz w:val="28"/>
                <w:szCs w:val="28"/>
              </w:rPr>
              <w:t>完好、无损坏</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14:paraId="6C7BA35B" w14:textId="77777777" w:rsidR="00686ADF" w:rsidRDefault="00000000">
            <w:pPr>
              <w:pStyle w:val="aff2"/>
              <w:spacing w:line="360" w:lineRule="auto"/>
              <w:rPr>
                <w:rFonts w:ascii="Times New Roman" w:hint="default"/>
                <w:sz w:val="28"/>
                <w:szCs w:val="28"/>
              </w:rPr>
            </w:pPr>
            <w:r>
              <w:rPr>
                <w:rFonts w:ascii="Times New Roman" w:hint="default"/>
                <w:sz w:val="28"/>
                <w:szCs w:val="28"/>
              </w:rPr>
              <w:t>无损坏</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14:paraId="06E61D0E" w14:textId="77777777" w:rsidR="00686ADF" w:rsidRDefault="00000000">
            <w:pPr>
              <w:pStyle w:val="aff2"/>
              <w:spacing w:line="360" w:lineRule="auto"/>
              <w:rPr>
                <w:rFonts w:ascii="Times New Roman" w:hint="default"/>
                <w:sz w:val="28"/>
                <w:szCs w:val="28"/>
              </w:rPr>
            </w:pPr>
            <w:r>
              <w:rPr>
                <w:rFonts w:ascii="Times New Roman" w:hint="default"/>
                <w:sz w:val="28"/>
                <w:szCs w:val="28"/>
              </w:rPr>
              <w:t>无损坏</w:t>
            </w:r>
          </w:p>
        </w:tc>
        <w:tc>
          <w:tcPr>
            <w:tcW w:w="1702" w:type="dxa"/>
            <w:tcBorders>
              <w:top w:val="single" w:sz="8" w:space="0" w:color="auto"/>
              <w:left w:val="single" w:sz="4" w:space="0" w:color="auto"/>
              <w:bottom w:val="single" w:sz="4" w:space="0" w:color="auto"/>
              <w:right w:val="single" w:sz="4" w:space="0" w:color="auto"/>
            </w:tcBorders>
            <w:shd w:val="clear" w:color="auto" w:fill="auto"/>
            <w:vAlign w:val="center"/>
          </w:tcPr>
          <w:p w14:paraId="51744DA3" w14:textId="77777777" w:rsidR="00686ADF" w:rsidRDefault="00000000">
            <w:pPr>
              <w:pStyle w:val="aff2"/>
              <w:spacing w:line="360" w:lineRule="auto"/>
              <w:rPr>
                <w:rFonts w:ascii="Times New Roman" w:hint="default"/>
                <w:sz w:val="28"/>
                <w:szCs w:val="28"/>
              </w:rPr>
            </w:pPr>
            <w:r>
              <w:rPr>
                <w:rFonts w:ascii="Times New Roman" w:hint="default"/>
                <w:sz w:val="28"/>
                <w:szCs w:val="28"/>
              </w:rPr>
              <w:t>无损坏</w:t>
            </w:r>
          </w:p>
        </w:tc>
        <w:tc>
          <w:tcPr>
            <w:tcW w:w="1785" w:type="dxa"/>
            <w:tcBorders>
              <w:top w:val="single" w:sz="8" w:space="0" w:color="auto"/>
              <w:left w:val="single" w:sz="4" w:space="0" w:color="auto"/>
              <w:bottom w:val="single" w:sz="4" w:space="0" w:color="auto"/>
              <w:right w:val="single" w:sz="8" w:space="0" w:color="auto"/>
            </w:tcBorders>
            <w:shd w:val="clear" w:color="auto" w:fill="auto"/>
            <w:vAlign w:val="center"/>
          </w:tcPr>
          <w:p w14:paraId="4044DEE8" w14:textId="77777777" w:rsidR="00686ADF" w:rsidRDefault="00000000">
            <w:pPr>
              <w:pStyle w:val="aff2"/>
              <w:spacing w:line="360" w:lineRule="auto"/>
              <w:rPr>
                <w:rFonts w:ascii="Times New Roman" w:hint="default"/>
                <w:sz w:val="28"/>
                <w:szCs w:val="28"/>
              </w:rPr>
            </w:pPr>
            <w:r>
              <w:rPr>
                <w:rFonts w:ascii="Times New Roman" w:hint="default"/>
                <w:sz w:val="28"/>
                <w:szCs w:val="28"/>
              </w:rPr>
              <w:t>不需修理即</w:t>
            </w:r>
          </w:p>
          <w:p w14:paraId="674555B4" w14:textId="77777777" w:rsidR="00686ADF" w:rsidRDefault="00000000">
            <w:pPr>
              <w:pStyle w:val="aff2"/>
              <w:spacing w:line="360" w:lineRule="auto"/>
              <w:rPr>
                <w:rFonts w:ascii="Times New Roman" w:hint="default"/>
                <w:sz w:val="28"/>
                <w:szCs w:val="28"/>
              </w:rPr>
            </w:pPr>
            <w:r>
              <w:rPr>
                <w:rFonts w:ascii="Times New Roman" w:hint="default"/>
                <w:sz w:val="28"/>
                <w:szCs w:val="28"/>
              </w:rPr>
              <w:t>可继续使用</w:t>
            </w:r>
          </w:p>
        </w:tc>
      </w:tr>
      <w:tr w:rsidR="00686ADF" w14:paraId="78AFCBC3" w14:textId="77777777">
        <w:trPr>
          <w:jc w:val="center"/>
        </w:trPr>
        <w:tc>
          <w:tcPr>
            <w:tcW w:w="983" w:type="dxa"/>
            <w:tcBorders>
              <w:top w:val="single" w:sz="4" w:space="0" w:color="auto"/>
              <w:left w:val="single" w:sz="8" w:space="0" w:color="auto"/>
              <w:bottom w:val="single" w:sz="4" w:space="0" w:color="auto"/>
              <w:right w:val="single" w:sz="4" w:space="0" w:color="auto"/>
            </w:tcBorders>
            <w:shd w:val="clear" w:color="auto" w:fill="auto"/>
            <w:vAlign w:val="center"/>
          </w:tcPr>
          <w:p w14:paraId="10867D8A" w14:textId="77777777" w:rsidR="00686ADF" w:rsidRDefault="00000000">
            <w:pPr>
              <w:pStyle w:val="aff2"/>
              <w:spacing w:line="360" w:lineRule="auto"/>
              <w:rPr>
                <w:rFonts w:ascii="Times New Roman" w:hint="default"/>
                <w:sz w:val="28"/>
                <w:szCs w:val="28"/>
              </w:rPr>
            </w:pPr>
            <w:r>
              <w:rPr>
                <w:rFonts w:ascii="Times New Roman" w:hint="default"/>
                <w:sz w:val="28"/>
                <w:szCs w:val="28"/>
              </w:rPr>
              <w:t>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C4D35B" w14:textId="77777777" w:rsidR="00686ADF" w:rsidRDefault="00000000">
            <w:pPr>
              <w:pStyle w:val="aff2"/>
              <w:spacing w:line="360" w:lineRule="auto"/>
              <w:rPr>
                <w:rFonts w:ascii="Times New Roman" w:hint="default"/>
                <w:sz w:val="28"/>
                <w:szCs w:val="28"/>
              </w:rPr>
            </w:pPr>
            <w:r>
              <w:rPr>
                <w:rFonts w:ascii="Times New Roman" w:hint="default"/>
                <w:sz w:val="28"/>
                <w:szCs w:val="28"/>
              </w:rPr>
              <w:t>基本完好、</w:t>
            </w:r>
          </w:p>
          <w:p w14:paraId="4C640031" w14:textId="77777777" w:rsidR="00686ADF" w:rsidRDefault="00000000">
            <w:pPr>
              <w:pStyle w:val="aff2"/>
              <w:spacing w:line="360" w:lineRule="auto"/>
              <w:rPr>
                <w:rFonts w:ascii="Times New Roman" w:hint="default"/>
                <w:sz w:val="28"/>
                <w:szCs w:val="28"/>
              </w:rPr>
            </w:pPr>
            <w:r>
              <w:rPr>
                <w:rFonts w:ascii="Times New Roman" w:hint="default"/>
                <w:sz w:val="28"/>
                <w:szCs w:val="28"/>
              </w:rPr>
              <w:t>轻微损坏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79E8C3" w14:textId="77777777" w:rsidR="00686ADF" w:rsidRDefault="00000000">
            <w:pPr>
              <w:pStyle w:val="aff2"/>
              <w:spacing w:line="360" w:lineRule="auto"/>
              <w:rPr>
                <w:rFonts w:ascii="Times New Roman" w:hint="default"/>
                <w:sz w:val="28"/>
                <w:szCs w:val="28"/>
              </w:rPr>
            </w:pPr>
            <w:r>
              <w:rPr>
                <w:rFonts w:ascii="Times New Roman" w:hint="default"/>
                <w:sz w:val="28"/>
                <w:szCs w:val="28"/>
              </w:rPr>
              <w:t>无损坏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16309F" w14:textId="77777777" w:rsidR="00686ADF" w:rsidRDefault="00000000">
            <w:pPr>
              <w:pStyle w:val="aff2"/>
              <w:spacing w:line="360" w:lineRule="auto"/>
              <w:rPr>
                <w:rFonts w:ascii="Times New Roman" w:hint="default"/>
                <w:sz w:val="28"/>
                <w:szCs w:val="28"/>
              </w:rPr>
            </w:pPr>
            <w:r>
              <w:rPr>
                <w:rFonts w:ascii="Times New Roman" w:hint="default"/>
                <w:sz w:val="28"/>
                <w:szCs w:val="28"/>
              </w:rPr>
              <w:t>无损坏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37967A1" w14:textId="77777777" w:rsidR="00686ADF" w:rsidRDefault="00000000">
            <w:pPr>
              <w:pStyle w:val="aff2"/>
              <w:spacing w:line="360" w:lineRule="auto"/>
              <w:rPr>
                <w:rFonts w:ascii="Times New Roman" w:hint="default"/>
                <w:sz w:val="28"/>
                <w:szCs w:val="28"/>
              </w:rPr>
            </w:pPr>
            <w:r>
              <w:rPr>
                <w:rFonts w:ascii="Times New Roman" w:hint="default"/>
                <w:sz w:val="28"/>
                <w:szCs w:val="28"/>
              </w:rPr>
              <w:t>轻微损坏</w:t>
            </w:r>
          </w:p>
        </w:tc>
        <w:tc>
          <w:tcPr>
            <w:tcW w:w="1785" w:type="dxa"/>
            <w:tcBorders>
              <w:top w:val="single" w:sz="4" w:space="0" w:color="auto"/>
              <w:left w:val="single" w:sz="4" w:space="0" w:color="auto"/>
              <w:bottom w:val="single" w:sz="4" w:space="0" w:color="auto"/>
              <w:right w:val="single" w:sz="8" w:space="0" w:color="auto"/>
            </w:tcBorders>
            <w:shd w:val="clear" w:color="auto" w:fill="auto"/>
            <w:vAlign w:val="center"/>
          </w:tcPr>
          <w:p w14:paraId="7623F365" w14:textId="77777777" w:rsidR="00686ADF" w:rsidRDefault="00000000">
            <w:pPr>
              <w:pStyle w:val="aff2"/>
              <w:spacing w:line="360" w:lineRule="auto"/>
              <w:rPr>
                <w:rFonts w:ascii="Times New Roman" w:hint="default"/>
                <w:sz w:val="28"/>
                <w:szCs w:val="28"/>
              </w:rPr>
            </w:pPr>
            <w:r>
              <w:rPr>
                <w:rFonts w:ascii="Times New Roman" w:hint="default"/>
                <w:sz w:val="28"/>
                <w:szCs w:val="28"/>
              </w:rPr>
              <w:t>稍加修理即</w:t>
            </w:r>
          </w:p>
          <w:p w14:paraId="4219804D" w14:textId="77777777" w:rsidR="00686ADF" w:rsidRDefault="00000000">
            <w:pPr>
              <w:pStyle w:val="aff2"/>
              <w:spacing w:line="360" w:lineRule="auto"/>
              <w:rPr>
                <w:rFonts w:ascii="Times New Roman" w:hint="default"/>
                <w:sz w:val="28"/>
                <w:szCs w:val="28"/>
              </w:rPr>
            </w:pPr>
            <w:r>
              <w:rPr>
                <w:rFonts w:ascii="Times New Roman" w:hint="default"/>
                <w:sz w:val="28"/>
                <w:szCs w:val="28"/>
              </w:rPr>
              <w:t>可继续使用</w:t>
            </w:r>
          </w:p>
        </w:tc>
      </w:tr>
      <w:tr w:rsidR="00686ADF" w14:paraId="781D5BEC" w14:textId="77777777">
        <w:trPr>
          <w:jc w:val="center"/>
        </w:trPr>
        <w:tc>
          <w:tcPr>
            <w:tcW w:w="983" w:type="dxa"/>
            <w:tcBorders>
              <w:top w:val="single" w:sz="4" w:space="0" w:color="auto"/>
              <w:left w:val="single" w:sz="8" w:space="0" w:color="auto"/>
              <w:bottom w:val="single" w:sz="4" w:space="0" w:color="auto"/>
              <w:right w:val="single" w:sz="4" w:space="0" w:color="auto"/>
            </w:tcBorders>
            <w:shd w:val="clear" w:color="auto" w:fill="auto"/>
            <w:vAlign w:val="center"/>
          </w:tcPr>
          <w:p w14:paraId="0634DAC7" w14:textId="77777777" w:rsidR="00686ADF" w:rsidRDefault="00000000">
            <w:pPr>
              <w:pStyle w:val="aff2"/>
              <w:spacing w:line="360" w:lineRule="auto"/>
              <w:rPr>
                <w:rFonts w:ascii="Times New Roman" w:hint="default"/>
                <w:sz w:val="28"/>
                <w:szCs w:val="28"/>
              </w:rPr>
            </w:pPr>
            <w:r>
              <w:rPr>
                <w:rFonts w:ascii="Times New Roman" w:hint="default"/>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FDB4D68" w14:textId="77777777" w:rsidR="00686ADF" w:rsidRDefault="00000000">
            <w:pPr>
              <w:pStyle w:val="aff2"/>
              <w:spacing w:line="360" w:lineRule="auto"/>
              <w:rPr>
                <w:rFonts w:ascii="Times New Roman" w:hint="default"/>
                <w:sz w:val="28"/>
                <w:szCs w:val="28"/>
              </w:rPr>
            </w:pPr>
            <w:r>
              <w:rPr>
                <w:rFonts w:ascii="Times New Roman" w:hint="default"/>
                <w:sz w:val="28"/>
                <w:szCs w:val="28"/>
              </w:rPr>
              <w:t>轻度损坏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ADD984" w14:textId="77777777" w:rsidR="00686ADF" w:rsidRDefault="00000000">
            <w:pPr>
              <w:pStyle w:val="aff2"/>
              <w:spacing w:line="360" w:lineRule="auto"/>
              <w:rPr>
                <w:rFonts w:ascii="Times New Roman" w:hint="default"/>
                <w:sz w:val="28"/>
                <w:szCs w:val="28"/>
              </w:rPr>
            </w:pPr>
            <w:r>
              <w:rPr>
                <w:rFonts w:ascii="Times New Roman" w:hint="default"/>
                <w:sz w:val="28"/>
                <w:szCs w:val="28"/>
              </w:rPr>
              <w:t>轻微损坏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7359C4" w14:textId="77777777" w:rsidR="00686ADF" w:rsidRDefault="00000000">
            <w:pPr>
              <w:pStyle w:val="aff2"/>
              <w:spacing w:line="360" w:lineRule="auto"/>
              <w:rPr>
                <w:rFonts w:ascii="Times New Roman" w:hint="default"/>
                <w:sz w:val="28"/>
                <w:szCs w:val="28"/>
              </w:rPr>
            </w:pPr>
            <w:r>
              <w:rPr>
                <w:rFonts w:ascii="Times New Roman" w:hint="default"/>
                <w:sz w:val="28"/>
                <w:szCs w:val="28"/>
              </w:rPr>
              <w:t>轻微损坏、</w:t>
            </w:r>
          </w:p>
          <w:p w14:paraId="7EA627E1" w14:textId="77777777" w:rsidR="00686ADF" w:rsidRDefault="00000000">
            <w:pPr>
              <w:pStyle w:val="aff2"/>
              <w:spacing w:line="360" w:lineRule="auto"/>
              <w:rPr>
                <w:rFonts w:ascii="Times New Roman" w:hint="default"/>
                <w:sz w:val="28"/>
                <w:szCs w:val="28"/>
              </w:rPr>
            </w:pPr>
            <w:r>
              <w:rPr>
                <w:rFonts w:ascii="Times New Roman" w:hint="default"/>
                <w:sz w:val="28"/>
                <w:szCs w:val="28"/>
              </w:rPr>
              <w:t>个别轻度损坏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F50173F" w14:textId="77777777" w:rsidR="00686ADF" w:rsidRDefault="00000000">
            <w:pPr>
              <w:pStyle w:val="aff2"/>
              <w:spacing w:line="360" w:lineRule="auto"/>
              <w:rPr>
                <w:rFonts w:ascii="Times New Roman" w:hint="default"/>
                <w:sz w:val="28"/>
                <w:szCs w:val="28"/>
              </w:rPr>
            </w:pPr>
            <w:r>
              <w:rPr>
                <w:rFonts w:ascii="Times New Roman" w:hint="default"/>
                <w:sz w:val="28"/>
                <w:szCs w:val="28"/>
              </w:rPr>
              <w:t>轻度损坏、</w:t>
            </w:r>
          </w:p>
          <w:p w14:paraId="1D9B2550" w14:textId="77777777" w:rsidR="00686ADF" w:rsidRDefault="00000000">
            <w:pPr>
              <w:pStyle w:val="aff2"/>
              <w:spacing w:line="360" w:lineRule="auto"/>
              <w:rPr>
                <w:rFonts w:ascii="Times New Roman" w:hint="default"/>
                <w:sz w:val="28"/>
                <w:szCs w:val="28"/>
              </w:rPr>
            </w:pPr>
            <w:r>
              <w:rPr>
                <w:rFonts w:ascii="Times New Roman" w:hint="default"/>
                <w:sz w:val="28"/>
                <w:szCs w:val="28"/>
              </w:rPr>
              <w:t>部分中度损坏</w:t>
            </w:r>
          </w:p>
        </w:tc>
        <w:tc>
          <w:tcPr>
            <w:tcW w:w="1785" w:type="dxa"/>
            <w:tcBorders>
              <w:top w:val="single" w:sz="4" w:space="0" w:color="auto"/>
              <w:left w:val="single" w:sz="4" w:space="0" w:color="auto"/>
              <w:bottom w:val="single" w:sz="4" w:space="0" w:color="auto"/>
              <w:right w:val="single" w:sz="8" w:space="0" w:color="auto"/>
            </w:tcBorders>
            <w:shd w:val="clear" w:color="auto" w:fill="auto"/>
            <w:vAlign w:val="center"/>
          </w:tcPr>
          <w:p w14:paraId="519201FC" w14:textId="77777777" w:rsidR="00686ADF" w:rsidRDefault="00000000">
            <w:pPr>
              <w:pStyle w:val="aff2"/>
              <w:spacing w:line="360" w:lineRule="auto"/>
              <w:rPr>
                <w:rFonts w:ascii="Times New Roman" w:hint="default"/>
                <w:sz w:val="28"/>
                <w:szCs w:val="28"/>
              </w:rPr>
            </w:pPr>
            <w:r>
              <w:rPr>
                <w:rFonts w:ascii="Times New Roman" w:hint="default"/>
                <w:sz w:val="28"/>
                <w:szCs w:val="28"/>
              </w:rPr>
              <w:t>稍加修理即</w:t>
            </w:r>
          </w:p>
          <w:p w14:paraId="30A6869A" w14:textId="77777777" w:rsidR="00686ADF" w:rsidRDefault="00000000">
            <w:pPr>
              <w:pStyle w:val="aff2"/>
              <w:spacing w:line="360" w:lineRule="auto"/>
              <w:rPr>
                <w:rFonts w:ascii="Times New Roman" w:hint="default"/>
                <w:sz w:val="28"/>
                <w:szCs w:val="28"/>
              </w:rPr>
            </w:pPr>
            <w:r>
              <w:rPr>
                <w:rFonts w:ascii="Times New Roman" w:hint="default"/>
                <w:sz w:val="28"/>
                <w:szCs w:val="28"/>
              </w:rPr>
              <w:t>可继续使用</w:t>
            </w:r>
          </w:p>
        </w:tc>
      </w:tr>
      <w:tr w:rsidR="00686ADF" w14:paraId="551A228F" w14:textId="77777777">
        <w:trPr>
          <w:jc w:val="center"/>
        </w:trPr>
        <w:tc>
          <w:tcPr>
            <w:tcW w:w="983" w:type="dxa"/>
            <w:tcBorders>
              <w:top w:val="single" w:sz="4" w:space="0" w:color="auto"/>
              <w:left w:val="single" w:sz="8" w:space="0" w:color="auto"/>
              <w:bottom w:val="single" w:sz="4" w:space="0" w:color="auto"/>
              <w:right w:val="single" w:sz="4" w:space="0" w:color="auto"/>
            </w:tcBorders>
            <w:shd w:val="clear" w:color="auto" w:fill="auto"/>
            <w:vAlign w:val="center"/>
          </w:tcPr>
          <w:p w14:paraId="45D38DAE" w14:textId="77777777" w:rsidR="00686ADF" w:rsidRDefault="00000000">
            <w:pPr>
              <w:pStyle w:val="aff2"/>
              <w:spacing w:line="360" w:lineRule="auto"/>
              <w:rPr>
                <w:rFonts w:ascii="Times New Roman" w:hint="default"/>
                <w:sz w:val="28"/>
                <w:szCs w:val="28"/>
              </w:rPr>
            </w:pPr>
            <w:r>
              <w:rPr>
                <w:rFonts w:ascii="Times New Roman" w:hint="default"/>
                <w:sz w:val="28"/>
                <w:szCs w:val="28"/>
              </w:rPr>
              <w:t>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CF1CD41" w14:textId="77777777" w:rsidR="00686ADF" w:rsidRDefault="00000000">
            <w:pPr>
              <w:pStyle w:val="aff2"/>
              <w:spacing w:line="360" w:lineRule="auto"/>
              <w:rPr>
                <w:rFonts w:ascii="Times New Roman" w:hint="default"/>
                <w:sz w:val="28"/>
                <w:szCs w:val="28"/>
              </w:rPr>
            </w:pPr>
            <w:r>
              <w:rPr>
                <w:rFonts w:ascii="Times New Roman" w:hint="default"/>
                <w:sz w:val="28"/>
                <w:szCs w:val="28"/>
              </w:rPr>
              <w:t>中度损坏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00E7E4" w14:textId="77777777" w:rsidR="00686ADF" w:rsidRDefault="00000000">
            <w:pPr>
              <w:pStyle w:val="aff2"/>
              <w:spacing w:line="360" w:lineRule="auto"/>
              <w:rPr>
                <w:rFonts w:ascii="Times New Roman" w:hint="default"/>
                <w:sz w:val="28"/>
                <w:szCs w:val="28"/>
              </w:rPr>
            </w:pPr>
            <w:r>
              <w:rPr>
                <w:rFonts w:ascii="Times New Roman" w:hint="default"/>
                <w:sz w:val="28"/>
                <w:szCs w:val="28"/>
              </w:rPr>
              <w:t>轻度损坏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D7E8F" w14:textId="77777777" w:rsidR="00686ADF" w:rsidRDefault="00000000">
            <w:pPr>
              <w:pStyle w:val="aff2"/>
              <w:spacing w:line="360" w:lineRule="auto"/>
              <w:rPr>
                <w:rFonts w:ascii="Times New Roman" w:hint="default"/>
                <w:sz w:val="28"/>
                <w:szCs w:val="28"/>
              </w:rPr>
            </w:pPr>
            <w:r>
              <w:rPr>
                <w:rFonts w:ascii="Times New Roman" w:hint="default"/>
                <w:sz w:val="28"/>
                <w:szCs w:val="28"/>
              </w:rPr>
              <w:t>部分构件</w:t>
            </w:r>
          </w:p>
          <w:p w14:paraId="14AF7FA4" w14:textId="77777777" w:rsidR="00686ADF" w:rsidRDefault="00000000">
            <w:pPr>
              <w:pStyle w:val="aff2"/>
              <w:spacing w:line="360" w:lineRule="auto"/>
              <w:rPr>
                <w:rFonts w:ascii="Times New Roman" w:hint="default"/>
                <w:sz w:val="28"/>
                <w:szCs w:val="28"/>
              </w:rPr>
            </w:pPr>
            <w:r>
              <w:rPr>
                <w:rFonts w:ascii="Times New Roman" w:hint="default"/>
                <w:sz w:val="28"/>
                <w:szCs w:val="28"/>
              </w:rPr>
              <w:t>中度损坏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B1DF50" w14:textId="77777777" w:rsidR="00686ADF" w:rsidRDefault="00000000">
            <w:pPr>
              <w:pStyle w:val="aff2"/>
              <w:spacing w:line="360" w:lineRule="auto"/>
              <w:rPr>
                <w:rFonts w:ascii="Times New Roman" w:hint="default"/>
                <w:sz w:val="28"/>
                <w:szCs w:val="28"/>
              </w:rPr>
            </w:pPr>
            <w:r>
              <w:rPr>
                <w:rFonts w:ascii="Times New Roman" w:hint="default"/>
                <w:sz w:val="28"/>
                <w:szCs w:val="28"/>
              </w:rPr>
              <w:t>大部分中度损坏、</w:t>
            </w:r>
          </w:p>
          <w:p w14:paraId="3F5AD6CC" w14:textId="77777777" w:rsidR="00686ADF" w:rsidRDefault="00000000">
            <w:pPr>
              <w:pStyle w:val="aff2"/>
              <w:spacing w:line="360" w:lineRule="auto"/>
              <w:rPr>
                <w:rFonts w:ascii="Times New Roman" w:hint="default"/>
                <w:sz w:val="28"/>
                <w:szCs w:val="28"/>
              </w:rPr>
            </w:pPr>
            <w:r>
              <w:rPr>
                <w:rFonts w:ascii="Times New Roman" w:hint="default"/>
                <w:sz w:val="28"/>
                <w:szCs w:val="28"/>
              </w:rPr>
              <w:t>部分比较严重损坏</w:t>
            </w:r>
          </w:p>
        </w:tc>
        <w:tc>
          <w:tcPr>
            <w:tcW w:w="1785" w:type="dxa"/>
            <w:tcBorders>
              <w:top w:val="single" w:sz="4" w:space="0" w:color="auto"/>
              <w:left w:val="single" w:sz="4" w:space="0" w:color="auto"/>
              <w:bottom w:val="single" w:sz="4" w:space="0" w:color="auto"/>
              <w:right w:val="single" w:sz="8" w:space="0" w:color="auto"/>
            </w:tcBorders>
            <w:shd w:val="clear" w:color="auto" w:fill="auto"/>
            <w:vAlign w:val="center"/>
          </w:tcPr>
          <w:p w14:paraId="574E53F6" w14:textId="77777777" w:rsidR="00686ADF" w:rsidRDefault="00000000">
            <w:pPr>
              <w:pStyle w:val="aff2"/>
              <w:spacing w:line="360" w:lineRule="auto"/>
              <w:rPr>
                <w:rFonts w:ascii="Times New Roman" w:hint="default"/>
                <w:sz w:val="28"/>
                <w:szCs w:val="28"/>
              </w:rPr>
            </w:pPr>
            <w:r>
              <w:rPr>
                <w:rFonts w:ascii="Times New Roman" w:hint="default"/>
                <w:sz w:val="28"/>
                <w:szCs w:val="28"/>
              </w:rPr>
              <w:t>修复或加固</w:t>
            </w:r>
          </w:p>
          <w:p w14:paraId="79CA85C9" w14:textId="77777777" w:rsidR="00686ADF" w:rsidRDefault="00000000">
            <w:pPr>
              <w:pStyle w:val="aff2"/>
              <w:spacing w:line="360" w:lineRule="auto"/>
              <w:rPr>
                <w:rFonts w:ascii="Times New Roman" w:hint="default"/>
                <w:sz w:val="28"/>
                <w:szCs w:val="28"/>
              </w:rPr>
            </w:pPr>
            <w:r>
              <w:rPr>
                <w:rFonts w:ascii="Times New Roman" w:hint="default"/>
                <w:sz w:val="28"/>
                <w:szCs w:val="28"/>
              </w:rPr>
              <w:t>后可继续使用</w:t>
            </w:r>
          </w:p>
        </w:tc>
      </w:tr>
      <w:tr w:rsidR="00686ADF" w14:paraId="46ED5196" w14:textId="77777777">
        <w:trPr>
          <w:jc w:val="center"/>
        </w:trPr>
        <w:tc>
          <w:tcPr>
            <w:tcW w:w="983" w:type="dxa"/>
            <w:tcBorders>
              <w:top w:val="single" w:sz="4" w:space="0" w:color="auto"/>
              <w:left w:val="single" w:sz="8" w:space="0" w:color="auto"/>
              <w:bottom w:val="single" w:sz="4" w:space="0" w:color="auto"/>
              <w:right w:val="single" w:sz="4" w:space="0" w:color="auto"/>
            </w:tcBorders>
            <w:shd w:val="clear" w:color="auto" w:fill="auto"/>
            <w:vAlign w:val="center"/>
          </w:tcPr>
          <w:p w14:paraId="0D1C5A9F" w14:textId="77777777" w:rsidR="00686ADF" w:rsidRDefault="00000000">
            <w:pPr>
              <w:pStyle w:val="aff2"/>
              <w:spacing w:line="360" w:lineRule="auto"/>
              <w:rPr>
                <w:rFonts w:ascii="Times New Roman" w:hint="default"/>
                <w:sz w:val="28"/>
                <w:szCs w:val="28"/>
              </w:rPr>
            </w:pPr>
            <w:r>
              <w:rPr>
                <w:rFonts w:ascii="Times New Roman" w:hint="default"/>
                <w:sz w:val="28"/>
                <w:szCs w:val="28"/>
              </w:rPr>
              <w:t>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84A435E" w14:textId="77777777" w:rsidR="00686ADF" w:rsidRDefault="00000000">
            <w:pPr>
              <w:pStyle w:val="aff2"/>
              <w:spacing w:line="360" w:lineRule="auto"/>
              <w:rPr>
                <w:rFonts w:ascii="Times New Roman" w:hint="default"/>
                <w:sz w:val="28"/>
                <w:szCs w:val="28"/>
              </w:rPr>
            </w:pPr>
            <w:r>
              <w:rPr>
                <w:rFonts w:ascii="Times New Roman" w:hint="default"/>
                <w:sz w:val="28"/>
                <w:szCs w:val="28"/>
              </w:rPr>
              <w:t>比较严重损坏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802C1A" w14:textId="77777777" w:rsidR="00686ADF" w:rsidRDefault="00000000">
            <w:pPr>
              <w:pStyle w:val="aff2"/>
              <w:spacing w:line="360" w:lineRule="auto"/>
              <w:rPr>
                <w:rFonts w:ascii="Times New Roman" w:hint="default"/>
                <w:sz w:val="28"/>
                <w:szCs w:val="28"/>
              </w:rPr>
            </w:pPr>
            <w:r>
              <w:rPr>
                <w:rFonts w:ascii="Times New Roman" w:hint="default"/>
                <w:sz w:val="28"/>
                <w:szCs w:val="28"/>
              </w:rPr>
              <w:t>中度损坏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FDE12" w14:textId="77777777" w:rsidR="00686ADF" w:rsidRDefault="00000000">
            <w:pPr>
              <w:pStyle w:val="aff2"/>
              <w:spacing w:line="360" w:lineRule="auto"/>
              <w:rPr>
                <w:rFonts w:ascii="Times New Roman" w:hint="default"/>
                <w:sz w:val="28"/>
                <w:szCs w:val="28"/>
              </w:rPr>
            </w:pPr>
            <w:r>
              <w:rPr>
                <w:rFonts w:ascii="Times New Roman" w:hint="default"/>
                <w:sz w:val="28"/>
                <w:szCs w:val="28"/>
              </w:rPr>
              <w:t>中度损坏、部分</w:t>
            </w:r>
          </w:p>
          <w:p w14:paraId="1195B2CB" w14:textId="77777777" w:rsidR="00686ADF" w:rsidRDefault="00000000">
            <w:pPr>
              <w:pStyle w:val="aff2"/>
              <w:spacing w:line="360" w:lineRule="auto"/>
              <w:rPr>
                <w:rFonts w:ascii="Times New Roman" w:hint="default"/>
                <w:sz w:val="28"/>
                <w:szCs w:val="28"/>
              </w:rPr>
            </w:pPr>
            <w:r>
              <w:rPr>
                <w:rFonts w:ascii="Times New Roman" w:hint="default"/>
                <w:sz w:val="28"/>
                <w:szCs w:val="28"/>
              </w:rPr>
              <w:t>比较严重损坏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0D871FD" w14:textId="77777777" w:rsidR="00686ADF" w:rsidRDefault="00000000">
            <w:pPr>
              <w:pStyle w:val="aff2"/>
              <w:spacing w:line="360" w:lineRule="auto"/>
              <w:rPr>
                <w:rFonts w:ascii="Times New Roman" w:hint="default"/>
                <w:sz w:val="28"/>
                <w:szCs w:val="28"/>
              </w:rPr>
            </w:pPr>
            <w:r>
              <w:rPr>
                <w:rFonts w:ascii="Times New Roman" w:hint="default"/>
                <w:sz w:val="28"/>
                <w:szCs w:val="28"/>
              </w:rPr>
              <w:t>比较严重损坏</w:t>
            </w:r>
          </w:p>
        </w:tc>
        <w:tc>
          <w:tcPr>
            <w:tcW w:w="1785" w:type="dxa"/>
            <w:tcBorders>
              <w:top w:val="single" w:sz="4" w:space="0" w:color="auto"/>
              <w:left w:val="single" w:sz="4" w:space="0" w:color="auto"/>
              <w:bottom w:val="single" w:sz="4" w:space="0" w:color="auto"/>
              <w:right w:val="single" w:sz="8" w:space="0" w:color="auto"/>
            </w:tcBorders>
            <w:shd w:val="clear" w:color="auto" w:fill="auto"/>
            <w:vAlign w:val="center"/>
          </w:tcPr>
          <w:p w14:paraId="7FD23EF1" w14:textId="77777777" w:rsidR="00686ADF" w:rsidRDefault="00000000">
            <w:pPr>
              <w:pStyle w:val="aff2"/>
              <w:spacing w:line="360" w:lineRule="auto"/>
              <w:rPr>
                <w:rFonts w:ascii="Times New Roman" w:hint="default"/>
                <w:sz w:val="28"/>
                <w:szCs w:val="28"/>
              </w:rPr>
            </w:pPr>
            <w:r>
              <w:rPr>
                <w:rFonts w:ascii="Times New Roman" w:hint="default"/>
                <w:sz w:val="28"/>
                <w:szCs w:val="28"/>
              </w:rPr>
              <w:t>需排险大修</w:t>
            </w:r>
          </w:p>
        </w:tc>
      </w:tr>
      <w:tr w:rsidR="00686ADF" w14:paraId="4B7E1728" w14:textId="77777777">
        <w:trPr>
          <w:jc w:val="center"/>
        </w:trPr>
        <w:tc>
          <w:tcPr>
            <w:tcW w:w="9288" w:type="dxa"/>
            <w:gridSpan w:val="6"/>
            <w:tcBorders>
              <w:top w:val="single" w:sz="4" w:space="0" w:color="auto"/>
              <w:left w:val="single" w:sz="8" w:space="0" w:color="auto"/>
              <w:bottom w:val="single" w:sz="8" w:space="0" w:color="auto"/>
              <w:right w:val="single" w:sz="8" w:space="0" w:color="auto"/>
            </w:tcBorders>
            <w:shd w:val="clear" w:color="auto" w:fill="auto"/>
            <w:vAlign w:val="center"/>
          </w:tcPr>
          <w:p w14:paraId="1C5C72B0" w14:textId="77777777" w:rsidR="00686ADF" w:rsidRDefault="00000000">
            <w:pPr>
              <w:pStyle w:val="a6"/>
              <w:widowControl/>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部分</w:t>
            </w:r>
            <w:r>
              <w:rPr>
                <w:rFonts w:ascii="Times New Roman" w:hint="default"/>
                <w:sz w:val="28"/>
                <w:szCs w:val="28"/>
              </w:rPr>
              <w:t>”</w:t>
            </w:r>
            <w:r>
              <w:rPr>
                <w:rFonts w:ascii="Times New Roman" w:hint="default"/>
                <w:sz w:val="28"/>
                <w:szCs w:val="28"/>
              </w:rPr>
              <w:t>指同类构件中占比</w:t>
            </w:r>
            <w:r>
              <w:rPr>
                <w:rFonts w:ascii="Times New Roman" w:hint="default"/>
                <w:sz w:val="28"/>
                <w:szCs w:val="28"/>
              </w:rPr>
              <w:t>30%</w:t>
            </w:r>
            <w:r>
              <w:rPr>
                <w:rFonts w:ascii="Times New Roman" w:hint="default"/>
                <w:sz w:val="28"/>
                <w:szCs w:val="28"/>
              </w:rPr>
              <w:t>及以下。</w:t>
            </w:r>
          </w:p>
        </w:tc>
      </w:tr>
    </w:tbl>
    <w:p w14:paraId="09204982" w14:textId="77777777" w:rsidR="00686ADF" w:rsidRDefault="00000000">
      <w:pPr>
        <w:pStyle w:val="a1"/>
        <w:widowControl/>
        <w:spacing w:beforeLines="150" w:before="360" w:line="360" w:lineRule="auto"/>
        <w:rPr>
          <w:rFonts w:ascii="Times New Roman" w:hint="default"/>
          <w:sz w:val="28"/>
          <w:szCs w:val="28"/>
        </w:rPr>
      </w:pPr>
      <w:r>
        <w:rPr>
          <w:rFonts w:ascii="Times New Roman" w:hint="default"/>
          <w:sz w:val="28"/>
          <w:szCs w:val="28"/>
        </w:rPr>
        <w:t>结构抗震性能目标可分为</w:t>
      </w:r>
      <w:r>
        <w:rPr>
          <w:rFonts w:ascii="Times New Roman" w:hint="default"/>
          <w:sz w:val="28"/>
          <w:szCs w:val="28"/>
        </w:rPr>
        <w:t>A</w:t>
      </w:r>
      <w:r>
        <w:rPr>
          <w:rFonts w:ascii="Times New Roman" w:hint="default"/>
          <w:sz w:val="28"/>
          <w:szCs w:val="28"/>
        </w:rPr>
        <w:t>、</w:t>
      </w:r>
      <w:r>
        <w:rPr>
          <w:rFonts w:ascii="Times New Roman" w:hint="default"/>
          <w:sz w:val="28"/>
          <w:szCs w:val="28"/>
        </w:rPr>
        <w:t>B</w:t>
      </w:r>
      <w:r>
        <w:rPr>
          <w:rFonts w:ascii="Times New Roman" w:hint="default"/>
          <w:sz w:val="28"/>
          <w:szCs w:val="28"/>
        </w:rPr>
        <w:t>、</w:t>
      </w:r>
      <w:r>
        <w:rPr>
          <w:rFonts w:ascii="Times New Roman" w:hint="default"/>
          <w:sz w:val="28"/>
          <w:szCs w:val="28"/>
        </w:rPr>
        <w:t>C+</w:t>
      </w:r>
      <w:r>
        <w:rPr>
          <w:rFonts w:ascii="Times New Roman" w:hint="default"/>
          <w:sz w:val="28"/>
          <w:szCs w:val="28"/>
        </w:rPr>
        <w:t>、</w:t>
      </w:r>
      <w:r>
        <w:rPr>
          <w:rFonts w:ascii="Times New Roman" w:hint="default"/>
          <w:sz w:val="28"/>
          <w:szCs w:val="28"/>
        </w:rPr>
        <w:t>C</w:t>
      </w:r>
      <w:r>
        <w:rPr>
          <w:rFonts w:ascii="Times New Roman" w:hint="default"/>
          <w:sz w:val="28"/>
          <w:szCs w:val="28"/>
        </w:rPr>
        <w:t>、</w:t>
      </w:r>
      <w:r>
        <w:rPr>
          <w:rFonts w:ascii="Times New Roman" w:hint="default"/>
          <w:sz w:val="28"/>
          <w:szCs w:val="28"/>
        </w:rPr>
        <w:t>D+</w:t>
      </w:r>
      <w:r>
        <w:rPr>
          <w:rFonts w:ascii="Times New Roman" w:hint="default"/>
          <w:sz w:val="28"/>
          <w:szCs w:val="28"/>
        </w:rPr>
        <w:t>、</w:t>
      </w:r>
      <w:r>
        <w:rPr>
          <w:rFonts w:ascii="Times New Roman" w:hint="default"/>
          <w:sz w:val="28"/>
          <w:szCs w:val="28"/>
        </w:rPr>
        <w:t>D</w:t>
      </w:r>
      <w:r>
        <w:rPr>
          <w:rFonts w:ascii="Times New Roman" w:hint="default"/>
          <w:sz w:val="28"/>
          <w:szCs w:val="28"/>
        </w:rPr>
        <w:t>六个等级，每个性能目标应与一组在指定地震动水准下的结构抗震性能水准相对应。不同抗震性能目标对应的最低抗震性能水准宜符合表</w:t>
      </w:r>
      <w:r>
        <w:rPr>
          <w:rFonts w:ascii="Times New Roman" w:hint="default"/>
          <w:sz w:val="28"/>
          <w:szCs w:val="28"/>
        </w:rPr>
        <w:t>2</w:t>
      </w:r>
      <w:r>
        <w:rPr>
          <w:rFonts w:ascii="Times New Roman" w:hint="default"/>
          <w:sz w:val="28"/>
          <w:szCs w:val="28"/>
        </w:rPr>
        <w:t>的规定。</w:t>
      </w:r>
    </w:p>
    <w:p w14:paraId="62D49697" w14:textId="77777777" w:rsidR="00686ADF" w:rsidRDefault="00000000">
      <w:pPr>
        <w:pStyle w:val="a5"/>
        <w:spacing w:before="120" w:after="120" w:line="360" w:lineRule="auto"/>
        <w:rPr>
          <w:rFonts w:ascii="Times New Roman" w:hint="default"/>
          <w:sz w:val="28"/>
          <w:szCs w:val="28"/>
        </w:rPr>
      </w:pPr>
      <w:bookmarkStart w:id="32" w:name="OLE_LINK1"/>
      <w:r>
        <w:rPr>
          <w:rFonts w:ascii="Times New Roman" w:hint="default"/>
          <w:sz w:val="28"/>
          <w:szCs w:val="28"/>
        </w:rPr>
        <w:t>结构的抗震性能目标</w:t>
      </w:r>
    </w:p>
    <w:tbl>
      <w:tblPr>
        <w:tblStyle w:val="a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46"/>
        <w:gridCol w:w="1240"/>
        <w:gridCol w:w="1238"/>
        <w:gridCol w:w="1253"/>
        <w:gridCol w:w="1239"/>
        <w:gridCol w:w="1254"/>
        <w:gridCol w:w="1241"/>
      </w:tblGrid>
      <w:tr w:rsidR="00686ADF" w14:paraId="493ADB9B" w14:textId="77777777">
        <w:trPr>
          <w:tblHeader/>
          <w:jc w:val="center"/>
        </w:trPr>
        <w:tc>
          <w:tcPr>
            <w:tcW w:w="1332" w:type="dxa"/>
            <w:tcBorders>
              <w:top w:val="single" w:sz="8" w:space="0" w:color="auto"/>
              <w:left w:val="single" w:sz="8" w:space="0" w:color="auto"/>
              <w:bottom w:val="single" w:sz="8" w:space="0" w:color="auto"/>
              <w:right w:val="single" w:sz="4" w:space="0" w:color="auto"/>
            </w:tcBorders>
            <w:shd w:val="clear" w:color="auto" w:fill="auto"/>
            <w:vAlign w:val="center"/>
          </w:tcPr>
          <w:p w14:paraId="03411EAE" w14:textId="77777777" w:rsidR="00686ADF" w:rsidRDefault="00000000">
            <w:pPr>
              <w:pStyle w:val="aff2"/>
              <w:spacing w:line="360" w:lineRule="auto"/>
              <w:rPr>
                <w:rFonts w:ascii="Times New Roman" w:hint="default"/>
                <w:sz w:val="28"/>
                <w:szCs w:val="28"/>
              </w:rPr>
            </w:pPr>
            <w:r>
              <w:rPr>
                <w:rFonts w:ascii="Times New Roman" w:hint="default"/>
                <w:sz w:val="28"/>
                <w:szCs w:val="28"/>
              </w:rPr>
              <w:lastRenderedPageBreak/>
              <w:t>目标</w:t>
            </w:r>
          </w:p>
        </w:tc>
        <w:tc>
          <w:tcPr>
            <w:tcW w:w="1333" w:type="dxa"/>
            <w:tcBorders>
              <w:top w:val="single" w:sz="8" w:space="0" w:color="auto"/>
              <w:left w:val="single" w:sz="4" w:space="0" w:color="auto"/>
              <w:bottom w:val="single" w:sz="8" w:space="0" w:color="auto"/>
              <w:right w:val="single" w:sz="4" w:space="0" w:color="auto"/>
            </w:tcBorders>
            <w:shd w:val="clear" w:color="auto" w:fill="auto"/>
            <w:vAlign w:val="center"/>
          </w:tcPr>
          <w:p w14:paraId="0627DAA3" w14:textId="77777777" w:rsidR="00686ADF" w:rsidRDefault="00000000">
            <w:pPr>
              <w:pStyle w:val="aff2"/>
              <w:spacing w:line="360" w:lineRule="auto"/>
              <w:rPr>
                <w:rFonts w:ascii="Times New Roman" w:hint="default"/>
                <w:sz w:val="28"/>
                <w:szCs w:val="28"/>
              </w:rPr>
            </w:pPr>
            <w:r>
              <w:rPr>
                <w:rFonts w:ascii="Times New Roman" w:hint="default"/>
                <w:sz w:val="28"/>
                <w:szCs w:val="28"/>
              </w:rPr>
              <w:t>A</w:t>
            </w:r>
          </w:p>
        </w:tc>
        <w:tc>
          <w:tcPr>
            <w:tcW w:w="1333" w:type="dxa"/>
            <w:tcBorders>
              <w:top w:val="single" w:sz="8" w:space="0" w:color="auto"/>
              <w:left w:val="single" w:sz="4" w:space="0" w:color="auto"/>
              <w:bottom w:val="single" w:sz="8" w:space="0" w:color="auto"/>
              <w:right w:val="single" w:sz="4" w:space="0" w:color="auto"/>
            </w:tcBorders>
            <w:shd w:val="clear" w:color="auto" w:fill="auto"/>
            <w:vAlign w:val="center"/>
          </w:tcPr>
          <w:p w14:paraId="529E2A6B" w14:textId="77777777" w:rsidR="00686ADF" w:rsidRDefault="00000000">
            <w:pPr>
              <w:pStyle w:val="aff2"/>
              <w:spacing w:line="360" w:lineRule="auto"/>
              <w:rPr>
                <w:rFonts w:ascii="Times New Roman" w:hint="default"/>
                <w:sz w:val="28"/>
                <w:szCs w:val="28"/>
              </w:rPr>
            </w:pPr>
            <w:r>
              <w:rPr>
                <w:rFonts w:ascii="Times New Roman" w:hint="default"/>
                <w:sz w:val="28"/>
                <w:szCs w:val="28"/>
              </w:rPr>
              <w:t>B</w:t>
            </w:r>
          </w:p>
        </w:tc>
        <w:tc>
          <w:tcPr>
            <w:tcW w:w="1334" w:type="dxa"/>
            <w:tcBorders>
              <w:top w:val="single" w:sz="8" w:space="0" w:color="auto"/>
              <w:left w:val="single" w:sz="4" w:space="0" w:color="auto"/>
              <w:bottom w:val="single" w:sz="8" w:space="0" w:color="auto"/>
              <w:right w:val="single" w:sz="4" w:space="0" w:color="auto"/>
            </w:tcBorders>
            <w:shd w:val="clear" w:color="auto" w:fill="auto"/>
            <w:vAlign w:val="center"/>
          </w:tcPr>
          <w:p w14:paraId="66A0226B" w14:textId="77777777" w:rsidR="00686ADF" w:rsidRDefault="00000000">
            <w:pPr>
              <w:pStyle w:val="aff2"/>
              <w:spacing w:line="360" w:lineRule="auto"/>
              <w:rPr>
                <w:rFonts w:ascii="Times New Roman" w:hint="default"/>
                <w:sz w:val="28"/>
                <w:szCs w:val="28"/>
              </w:rPr>
            </w:pPr>
            <w:r>
              <w:rPr>
                <w:rFonts w:ascii="Times New Roman" w:hint="default"/>
                <w:sz w:val="28"/>
                <w:szCs w:val="28"/>
              </w:rPr>
              <w:t>C+</w:t>
            </w:r>
          </w:p>
        </w:tc>
        <w:tc>
          <w:tcPr>
            <w:tcW w:w="1334" w:type="dxa"/>
            <w:tcBorders>
              <w:top w:val="single" w:sz="8" w:space="0" w:color="auto"/>
              <w:left w:val="single" w:sz="4" w:space="0" w:color="auto"/>
              <w:bottom w:val="single" w:sz="8" w:space="0" w:color="auto"/>
              <w:right w:val="single" w:sz="4" w:space="0" w:color="auto"/>
            </w:tcBorders>
            <w:shd w:val="clear" w:color="auto" w:fill="auto"/>
            <w:vAlign w:val="center"/>
          </w:tcPr>
          <w:p w14:paraId="18CF8F69" w14:textId="77777777" w:rsidR="00686ADF" w:rsidRDefault="00000000">
            <w:pPr>
              <w:pStyle w:val="aff2"/>
              <w:spacing w:line="360" w:lineRule="auto"/>
              <w:rPr>
                <w:rFonts w:ascii="Times New Roman" w:hint="default"/>
                <w:sz w:val="28"/>
                <w:szCs w:val="28"/>
              </w:rPr>
            </w:pPr>
            <w:r>
              <w:rPr>
                <w:rFonts w:ascii="Times New Roman" w:hint="default"/>
                <w:sz w:val="28"/>
                <w:szCs w:val="28"/>
              </w:rPr>
              <w:t>C</w:t>
            </w:r>
          </w:p>
        </w:tc>
        <w:tc>
          <w:tcPr>
            <w:tcW w:w="1334" w:type="dxa"/>
            <w:tcBorders>
              <w:top w:val="single" w:sz="8" w:space="0" w:color="auto"/>
              <w:left w:val="single" w:sz="4" w:space="0" w:color="auto"/>
              <w:bottom w:val="single" w:sz="8" w:space="0" w:color="auto"/>
              <w:right w:val="single" w:sz="4" w:space="0" w:color="auto"/>
            </w:tcBorders>
            <w:shd w:val="clear" w:color="auto" w:fill="auto"/>
            <w:vAlign w:val="center"/>
          </w:tcPr>
          <w:p w14:paraId="5CD80D30" w14:textId="77777777" w:rsidR="00686ADF" w:rsidRDefault="00000000">
            <w:pPr>
              <w:pStyle w:val="aff2"/>
              <w:spacing w:line="360" w:lineRule="auto"/>
              <w:rPr>
                <w:rFonts w:ascii="Times New Roman" w:hint="default"/>
                <w:sz w:val="28"/>
                <w:szCs w:val="28"/>
              </w:rPr>
            </w:pPr>
            <w:r>
              <w:rPr>
                <w:rFonts w:ascii="Times New Roman" w:hint="default"/>
                <w:sz w:val="28"/>
                <w:szCs w:val="28"/>
              </w:rPr>
              <w:t>D+</w:t>
            </w:r>
          </w:p>
        </w:tc>
        <w:tc>
          <w:tcPr>
            <w:tcW w:w="1334" w:type="dxa"/>
            <w:tcBorders>
              <w:top w:val="single" w:sz="8" w:space="0" w:color="auto"/>
              <w:left w:val="single" w:sz="4" w:space="0" w:color="auto"/>
              <w:bottom w:val="single" w:sz="8" w:space="0" w:color="auto"/>
              <w:right w:val="single" w:sz="8" w:space="0" w:color="auto"/>
            </w:tcBorders>
            <w:shd w:val="clear" w:color="auto" w:fill="auto"/>
            <w:vAlign w:val="center"/>
          </w:tcPr>
          <w:p w14:paraId="5162548F" w14:textId="77777777" w:rsidR="00686ADF" w:rsidRDefault="00000000">
            <w:pPr>
              <w:pStyle w:val="aff2"/>
              <w:spacing w:line="360" w:lineRule="auto"/>
              <w:rPr>
                <w:rFonts w:ascii="Times New Roman" w:hint="default"/>
                <w:sz w:val="28"/>
                <w:szCs w:val="28"/>
              </w:rPr>
            </w:pPr>
            <w:r>
              <w:rPr>
                <w:rFonts w:ascii="Times New Roman" w:hint="default"/>
                <w:sz w:val="28"/>
                <w:szCs w:val="28"/>
              </w:rPr>
              <w:t>D</w:t>
            </w:r>
          </w:p>
        </w:tc>
      </w:tr>
      <w:tr w:rsidR="00686ADF" w14:paraId="5D7983BC" w14:textId="77777777">
        <w:trPr>
          <w:jc w:val="center"/>
        </w:trPr>
        <w:tc>
          <w:tcPr>
            <w:tcW w:w="1332" w:type="dxa"/>
            <w:tcBorders>
              <w:top w:val="single" w:sz="8" w:space="0" w:color="auto"/>
              <w:left w:val="single" w:sz="8" w:space="0" w:color="auto"/>
              <w:bottom w:val="single" w:sz="4" w:space="0" w:color="auto"/>
              <w:right w:val="single" w:sz="4" w:space="0" w:color="auto"/>
            </w:tcBorders>
            <w:shd w:val="clear" w:color="auto" w:fill="auto"/>
            <w:vAlign w:val="center"/>
          </w:tcPr>
          <w:p w14:paraId="62D405DD" w14:textId="77777777" w:rsidR="00686ADF" w:rsidRDefault="00000000">
            <w:pPr>
              <w:pStyle w:val="aff2"/>
              <w:spacing w:line="360" w:lineRule="auto"/>
              <w:rPr>
                <w:rFonts w:ascii="Times New Roman" w:hint="default"/>
                <w:sz w:val="28"/>
                <w:szCs w:val="28"/>
              </w:rPr>
            </w:pPr>
            <w:r>
              <w:rPr>
                <w:rFonts w:ascii="Times New Roman" w:hint="default"/>
                <w:sz w:val="28"/>
                <w:szCs w:val="28"/>
              </w:rPr>
              <w:t>小震</w:t>
            </w:r>
          </w:p>
        </w:tc>
        <w:tc>
          <w:tcPr>
            <w:tcW w:w="1333" w:type="dxa"/>
            <w:tcBorders>
              <w:top w:val="single" w:sz="8" w:space="0" w:color="auto"/>
              <w:left w:val="single" w:sz="4" w:space="0" w:color="auto"/>
              <w:bottom w:val="single" w:sz="4" w:space="0" w:color="auto"/>
              <w:right w:val="single" w:sz="4" w:space="0" w:color="auto"/>
            </w:tcBorders>
            <w:shd w:val="clear" w:color="auto" w:fill="auto"/>
          </w:tcPr>
          <w:p w14:paraId="545916F1"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333" w:type="dxa"/>
            <w:tcBorders>
              <w:top w:val="single" w:sz="8" w:space="0" w:color="auto"/>
              <w:left w:val="single" w:sz="4" w:space="0" w:color="auto"/>
              <w:bottom w:val="single" w:sz="4" w:space="0" w:color="auto"/>
              <w:right w:val="single" w:sz="4" w:space="0" w:color="auto"/>
            </w:tcBorders>
            <w:shd w:val="clear" w:color="auto" w:fill="auto"/>
          </w:tcPr>
          <w:p w14:paraId="03FD1651"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334" w:type="dxa"/>
            <w:tcBorders>
              <w:top w:val="single" w:sz="8" w:space="0" w:color="auto"/>
              <w:left w:val="single" w:sz="4" w:space="0" w:color="auto"/>
              <w:bottom w:val="single" w:sz="4" w:space="0" w:color="auto"/>
              <w:right w:val="single" w:sz="4" w:space="0" w:color="auto"/>
            </w:tcBorders>
            <w:shd w:val="clear" w:color="auto" w:fill="auto"/>
          </w:tcPr>
          <w:p w14:paraId="731DD26F"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334" w:type="dxa"/>
            <w:tcBorders>
              <w:top w:val="single" w:sz="8" w:space="0" w:color="auto"/>
              <w:left w:val="single" w:sz="4" w:space="0" w:color="auto"/>
              <w:bottom w:val="single" w:sz="4" w:space="0" w:color="auto"/>
              <w:right w:val="single" w:sz="4" w:space="0" w:color="auto"/>
            </w:tcBorders>
            <w:shd w:val="clear" w:color="auto" w:fill="auto"/>
          </w:tcPr>
          <w:p w14:paraId="6EECF22A"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334" w:type="dxa"/>
            <w:tcBorders>
              <w:top w:val="single" w:sz="8" w:space="0" w:color="auto"/>
              <w:left w:val="single" w:sz="4" w:space="0" w:color="auto"/>
              <w:bottom w:val="single" w:sz="4" w:space="0" w:color="auto"/>
              <w:right w:val="single" w:sz="4" w:space="0" w:color="auto"/>
            </w:tcBorders>
            <w:shd w:val="clear" w:color="auto" w:fill="auto"/>
          </w:tcPr>
          <w:p w14:paraId="652F51AB"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334" w:type="dxa"/>
            <w:tcBorders>
              <w:top w:val="single" w:sz="8" w:space="0" w:color="auto"/>
              <w:left w:val="single" w:sz="4" w:space="0" w:color="auto"/>
              <w:bottom w:val="single" w:sz="4" w:space="0" w:color="auto"/>
              <w:right w:val="single" w:sz="8" w:space="0" w:color="auto"/>
            </w:tcBorders>
            <w:shd w:val="clear" w:color="auto" w:fill="auto"/>
          </w:tcPr>
          <w:p w14:paraId="72A6A96C"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r>
      <w:tr w:rsidR="00686ADF" w14:paraId="18AC578E" w14:textId="77777777">
        <w:trPr>
          <w:jc w:val="center"/>
        </w:trPr>
        <w:tc>
          <w:tcPr>
            <w:tcW w:w="1332" w:type="dxa"/>
            <w:tcBorders>
              <w:top w:val="single" w:sz="4" w:space="0" w:color="auto"/>
              <w:left w:val="single" w:sz="8" w:space="0" w:color="auto"/>
              <w:bottom w:val="single" w:sz="4" w:space="0" w:color="auto"/>
              <w:right w:val="single" w:sz="4" w:space="0" w:color="auto"/>
            </w:tcBorders>
            <w:shd w:val="clear" w:color="auto" w:fill="auto"/>
            <w:vAlign w:val="center"/>
          </w:tcPr>
          <w:p w14:paraId="20CB7945" w14:textId="77777777" w:rsidR="00686ADF" w:rsidRDefault="00000000">
            <w:pPr>
              <w:pStyle w:val="aff2"/>
              <w:spacing w:line="360" w:lineRule="auto"/>
              <w:rPr>
                <w:rFonts w:ascii="Times New Roman" w:hint="default"/>
                <w:sz w:val="28"/>
                <w:szCs w:val="28"/>
              </w:rPr>
            </w:pPr>
            <w:r>
              <w:rPr>
                <w:rFonts w:ascii="Times New Roman" w:hint="default"/>
                <w:sz w:val="28"/>
                <w:szCs w:val="28"/>
              </w:rPr>
              <w:t>中震</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67E60B2" w14:textId="77777777" w:rsidR="00686ADF" w:rsidRDefault="00000000">
            <w:pPr>
              <w:pStyle w:val="aff2"/>
              <w:spacing w:line="360" w:lineRule="auto"/>
              <w:rPr>
                <w:rFonts w:ascii="Times New Roman" w:hint="default"/>
                <w:sz w:val="28"/>
                <w:szCs w:val="28"/>
              </w:rPr>
            </w:pPr>
            <w:r>
              <w:rPr>
                <w:rFonts w:ascii="Times New Roman" w:hint="default"/>
                <w:sz w:val="28"/>
                <w:szCs w:val="28"/>
              </w:rPr>
              <w:t>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392D410" w14:textId="77777777" w:rsidR="00686ADF" w:rsidRDefault="00000000">
            <w:pPr>
              <w:pStyle w:val="aff2"/>
              <w:spacing w:line="360" w:lineRule="auto"/>
              <w:rPr>
                <w:rFonts w:ascii="Times New Roman" w:hint="default"/>
                <w:sz w:val="28"/>
                <w:szCs w:val="28"/>
              </w:rPr>
            </w:pPr>
            <w:r>
              <w:rPr>
                <w:rFonts w:ascii="Times New Roman" w:hint="default"/>
                <w:sz w:val="28"/>
                <w:szCs w:val="28"/>
              </w:rPr>
              <w:t>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AFA304" w14:textId="77777777" w:rsidR="00686ADF" w:rsidRDefault="00000000">
            <w:pPr>
              <w:pStyle w:val="aff2"/>
              <w:spacing w:line="360" w:lineRule="auto"/>
              <w:rPr>
                <w:rFonts w:ascii="Times New Roman" w:hint="default"/>
                <w:sz w:val="28"/>
                <w:szCs w:val="28"/>
              </w:rPr>
            </w:pPr>
            <w:r>
              <w:rPr>
                <w:rFonts w:ascii="Times New Roman" w:hint="default"/>
                <w:sz w:val="28"/>
                <w:szCs w:val="28"/>
              </w:rPr>
              <w:t>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09C9EB" w14:textId="77777777" w:rsidR="00686ADF" w:rsidRDefault="00000000">
            <w:pPr>
              <w:pStyle w:val="aff2"/>
              <w:spacing w:line="360" w:lineRule="auto"/>
              <w:rPr>
                <w:rFonts w:ascii="Times New Roman" w:hint="default"/>
                <w:sz w:val="28"/>
                <w:szCs w:val="28"/>
              </w:rPr>
            </w:pPr>
            <w:r>
              <w:rPr>
                <w:rFonts w:ascii="Times New Roman" w:hint="default"/>
                <w:sz w:val="28"/>
                <w:szCs w:val="28"/>
              </w:rPr>
              <w:t>3</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11049B" w14:textId="77777777" w:rsidR="00686ADF" w:rsidRDefault="00000000">
            <w:pPr>
              <w:pStyle w:val="aff2"/>
              <w:spacing w:line="360" w:lineRule="auto"/>
              <w:rPr>
                <w:rFonts w:ascii="Times New Roman" w:hint="default"/>
                <w:sz w:val="28"/>
                <w:szCs w:val="28"/>
              </w:rPr>
            </w:pPr>
            <w:r>
              <w:rPr>
                <w:rFonts w:ascii="Times New Roman" w:hint="default"/>
                <w:sz w:val="28"/>
                <w:szCs w:val="28"/>
              </w:rPr>
              <w:t>3</w:t>
            </w:r>
          </w:p>
        </w:tc>
        <w:tc>
          <w:tcPr>
            <w:tcW w:w="1334" w:type="dxa"/>
            <w:tcBorders>
              <w:top w:val="single" w:sz="4" w:space="0" w:color="auto"/>
              <w:left w:val="single" w:sz="4" w:space="0" w:color="auto"/>
              <w:bottom w:val="single" w:sz="4" w:space="0" w:color="auto"/>
              <w:right w:val="single" w:sz="8" w:space="0" w:color="auto"/>
            </w:tcBorders>
            <w:shd w:val="clear" w:color="auto" w:fill="auto"/>
            <w:vAlign w:val="center"/>
          </w:tcPr>
          <w:p w14:paraId="00C45F4F" w14:textId="77777777" w:rsidR="00686ADF" w:rsidRDefault="00000000">
            <w:pPr>
              <w:pStyle w:val="aff2"/>
              <w:spacing w:line="360" w:lineRule="auto"/>
              <w:rPr>
                <w:rFonts w:ascii="Times New Roman" w:hint="default"/>
                <w:sz w:val="28"/>
                <w:szCs w:val="28"/>
              </w:rPr>
            </w:pPr>
            <w:r>
              <w:rPr>
                <w:rFonts w:ascii="Times New Roman" w:hint="default"/>
                <w:sz w:val="28"/>
                <w:szCs w:val="28"/>
              </w:rPr>
              <w:t>4</w:t>
            </w:r>
            <w:bookmarkEnd w:id="32"/>
          </w:p>
        </w:tc>
      </w:tr>
      <w:tr w:rsidR="00686ADF" w14:paraId="3D930F41" w14:textId="77777777">
        <w:trPr>
          <w:jc w:val="center"/>
        </w:trPr>
        <w:tc>
          <w:tcPr>
            <w:tcW w:w="1332" w:type="dxa"/>
            <w:tcBorders>
              <w:top w:val="single" w:sz="4" w:space="0" w:color="auto"/>
              <w:left w:val="single" w:sz="8" w:space="0" w:color="auto"/>
              <w:bottom w:val="single" w:sz="8" w:space="0" w:color="auto"/>
              <w:right w:val="single" w:sz="4" w:space="0" w:color="auto"/>
            </w:tcBorders>
            <w:shd w:val="clear" w:color="auto" w:fill="auto"/>
            <w:vAlign w:val="center"/>
          </w:tcPr>
          <w:p w14:paraId="70B55CD4" w14:textId="77777777" w:rsidR="00686ADF" w:rsidRDefault="00000000">
            <w:pPr>
              <w:pStyle w:val="aff2"/>
              <w:spacing w:line="360" w:lineRule="auto"/>
              <w:rPr>
                <w:rFonts w:ascii="Times New Roman" w:hint="default"/>
                <w:sz w:val="28"/>
                <w:szCs w:val="28"/>
              </w:rPr>
            </w:pPr>
            <w:r>
              <w:rPr>
                <w:rFonts w:ascii="Times New Roman" w:hint="default"/>
                <w:sz w:val="28"/>
                <w:szCs w:val="28"/>
              </w:rPr>
              <w:t>大震</w:t>
            </w:r>
          </w:p>
        </w:tc>
        <w:tc>
          <w:tcPr>
            <w:tcW w:w="1333" w:type="dxa"/>
            <w:tcBorders>
              <w:top w:val="single" w:sz="4" w:space="0" w:color="auto"/>
              <w:left w:val="single" w:sz="4" w:space="0" w:color="auto"/>
              <w:bottom w:val="single" w:sz="8" w:space="0" w:color="auto"/>
              <w:right w:val="single" w:sz="4" w:space="0" w:color="auto"/>
            </w:tcBorders>
            <w:shd w:val="clear" w:color="auto" w:fill="auto"/>
            <w:vAlign w:val="center"/>
          </w:tcPr>
          <w:p w14:paraId="33C7185A" w14:textId="77777777" w:rsidR="00686ADF" w:rsidRDefault="00000000">
            <w:pPr>
              <w:pStyle w:val="aff2"/>
              <w:spacing w:line="360" w:lineRule="auto"/>
              <w:rPr>
                <w:rFonts w:ascii="Times New Roman" w:hint="default"/>
                <w:sz w:val="28"/>
                <w:szCs w:val="28"/>
              </w:rPr>
            </w:pPr>
            <w:r>
              <w:rPr>
                <w:rFonts w:ascii="Times New Roman" w:hint="default"/>
                <w:sz w:val="28"/>
                <w:szCs w:val="28"/>
              </w:rPr>
              <w:t>2</w:t>
            </w:r>
          </w:p>
        </w:tc>
        <w:tc>
          <w:tcPr>
            <w:tcW w:w="1333" w:type="dxa"/>
            <w:tcBorders>
              <w:top w:val="single" w:sz="4" w:space="0" w:color="auto"/>
              <w:left w:val="single" w:sz="4" w:space="0" w:color="auto"/>
              <w:bottom w:val="single" w:sz="8" w:space="0" w:color="auto"/>
              <w:right w:val="single" w:sz="4" w:space="0" w:color="auto"/>
            </w:tcBorders>
            <w:shd w:val="clear" w:color="auto" w:fill="auto"/>
            <w:vAlign w:val="center"/>
          </w:tcPr>
          <w:p w14:paraId="5455C260" w14:textId="77777777" w:rsidR="00686ADF" w:rsidRDefault="00000000">
            <w:pPr>
              <w:pStyle w:val="aff2"/>
              <w:spacing w:line="360" w:lineRule="auto"/>
              <w:rPr>
                <w:rFonts w:ascii="Times New Roman" w:hint="default"/>
                <w:sz w:val="28"/>
                <w:szCs w:val="28"/>
              </w:rPr>
            </w:pPr>
            <w:r>
              <w:rPr>
                <w:rFonts w:ascii="Times New Roman" w:hint="default"/>
                <w:sz w:val="28"/>
                <w:szCs w:val="28"/>
              </w:rPr>
              <w:t>3</w:t>
            </w:r>
          </w:p>
        </w:tc>
        <w:tc>
          <w:tcPr>
            <w:tcW w:w="1334" w:type="dxa"/>
            <w:tcBorders>
              <w:top w:val="single" w:sz="4" w:space="0" w:color="auto"/>
              <w:left w:val="single" w:sz="4" w:space="0" w:color="auto"/>
              <w:bottom w:val="single" w:sz="8" w:space="0" w:color="auto"/>
              <w:right w:val="single" w:sz="4" w:space="0" w:color="auto"/>
            </w:tcBorders>
            <w:shd w:val="clear" w:color="auto" w:fill="auto"/>
            <w:vAlign w:val="center"/>
          </w:tcPr>
          <w:p w14:paraId="52AA5D24" w14:textId="77777777" w:rsidR="00686ADF" w:rsidRDefault="00000000">
            <w:pPr>
              <w:pStyle w:val="aff2"/>
              <w:spacing w:line="360" w:lineRule="auto"/>
              <w:rPr>
                <w:rFonts w:ascii="Times New Roman" w:hint="default"/>
                <w:sz w:val="28"/>
                <w:szCs w:val="28"/>
              </w:rPr>
            </w:pPr>
            <w:r>
              <w:rPr>
                <w:rFonts w:ascii="Times New Roman" w:hint="default"/>
                <w:sz w:val="28"/>
                <w:szCs w:val="28"/>
              </w:rPr>
              <w:t>4</w:t>
            </w:r>
          </w:p>
        </w:tc>
        <w:tc>
          <w:tcPr>
            <w:tcW w:w="1334" w:type="dxa"/>
            <w:tcBorders>
              <w:top w:val="single" w:sz="4" w:space="0" w:color="auto"/>
              <w:left w:val="single" w:sz="4" w:space="0" w:color="auto"/>
              <w:bottom w:val="single" w:sz="8" w:space="0" w:color="auto"/>
              <w:right w:val="single" w:sz="4" w:space="0" w:color="auto"/>
            </w:tcBorders>
            <w:shd w:val="clear" w:color="auto" w:fill="auto"/>
            <w:vAlign w:val="center"/>
          </w:tcPr>
          <w:p w14:paraId="036BC6AD" w14:textId="77777777" w:rsidR="00686ADF" w:rsidRDefault="00000000">
            <w:pPr>
              <w:pStyle w:val="aff2"/>
              <w:spacing w:line="360" w:lineRule="auto"/>
              <w:rPr>
                <w:rFonts w:ascii="Times New Roman" w:hint="default"/>
                <w:sz w:val="28"/>
                <w:szCs w:val="28"/>
              </w:rPr>
            </w:pPr>
            <w:r>
              <w:rPr>
                <w:rFonts w:ascii="Times New Roman" w:hint="default"/>
                <w:sz w:val="28"/>
                <w:szCs w:val="28"/>
              </w:rPr>
              <w:t>4</w:t>
            </w:r>
          </w:p>
        </w:tc>
        <w:tc>
          <w:tcPr>
            <w:tcW w:w="1334" w:type="dxa"/>
            <w:tcBorders>
              <w:top w:val="single" w:sz="4" w:space="0" w:color="auto"/>
              <w:left w:val="single" w:sz="4" w:space="0" w:color="auto"/>
              <w:bottom w:val="single" w:sz="8" w:space="0" w:color="auto"/>
              <w:right w:val="single" w:sz="4" w:space="0" w:color="auto"/>
            </w:tcBorders>
            <w:shd w:val="clear" w:color="auto" w:fill="auto"/>
            <w:vAlign w:val="center"/>
          </w:tcPr>
          <w:p w14:paraId="7609480C" w14:textId="77777777" w:rsidR="00686ADF" w:rsidRDefault="00000000">
            <w:pPr>
              <w:pStyle w:val="aff2"/>
              <w:spacing w:line="360" w:lineRule="auto"/>
              <w:rPr>
                <w:rFonts w:ascii="Times New Roman" w:hint="default"/>
                <w:sz w:val="28"/>
                <w:szCs w:val="28"/>
              </w:rPr>
            </w:pPr>
            <w:r>
              <w:rPr>
                <w:rFonts w:ascii="Times New Roman" w:hint="default"/>
                <w:sz w:val="28"/>
                <w:szCs w:val="28"/>
              </w:rPr>
              <w:t>5</w:t>
            </w:r>
          </w:p>
        </w:tc>
        <w:tc>
          <w:tcPr>
            <w:tcW w:w="1334" w:type="dxa"/>
            <w:tcBorders>
              <w:top w:val="single" w:sz="4" w:space="0" w:color="auto"/>
              <w:left w:val="single" w:sz="4" w:space="0" w:color="auto"/>
              <w:bottom w:val="single" w:sz="8" w:space="0" w:color="auto"/>
              <w:right w:val="single" w:sz="8" w:space="0" w:color="auto"/>
            </w:tcBorders>
            <w:shd w:val="clear" w:color="auto" w:fill="auto"/>
            <w:vAlign w:val="center"/>
          </w:tcPr>
          <w:p w14:paraId="6A6DD551" w14:textId="77777777" w:rsidR="00686ADF" w:rsidRDefault="00000000">
            <w:pPr>
              <w:pStyle w:val="aff2"/>
              <w:spacing w:line="360" w:lineRule="auto"/>
              <w:rPr>
                <w:rFonts w:ascii="Times New Roman" w:hint="default"/>
                <w:sz w:val="28"/>
                <w:szCs w:val="28"/>
              </w:rPr>
            </w:pPr>
            <w:r>
              <w:rPr>
                <w:rFonts w:ascii="Times New Roman" w:hint="default"/>
                <w:sz w:val="28"/>
                <w:szCs w:val="28"/>
              </w:rPr>
              <w:t>5</w:t>
            </w:r>
          </w:p>
        </w:tc>
      </w:tr>
    </w:tbl>
    <w:p w14:paraId="49F745B4" w14:textId="77777777" w:rsidR="00686ADF" w:rsidRDefault="00000000">
      <w:pPr>
        <w:pStyle w:val="a1"/>
        <w:widowControl/>
        <w:spacing w:beforeLines="150" w:before="360" w:line="360" w:lineRule="auto"/>
        <w:rPr>
          <w:rFonts w:ascii="Times New Roman" w:hint="default"/>
          <w:sz w:val="28"/>
          <w:szCs w:val="28"/>
        </w:rPr>
      </w:pPr>
      <w:r>
        <w:rPr>
          <w:rFonts w:ascii="Times New Roman" w:hint="default"/>
          <w:sz w:val="28"/>
          <w:szCs w:val="28"/>
        </w:rPr>
        <w:t>楼宇建筑结构的抗震性能目标应根据以下因素，经技术和经济可行性分析比较后确定：</w:t>
      </w:r>
    </w:p>
    <w:p w14:paraId="422DBB2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结构在高度、不规则指标、结构类型等方面的超限程度；</w:t>
      </w:r>
    </w:p>
    <w:p w14:paraId="52BB6916"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设防烈度和场地条件；</w:t>
      </w:r>
    </w:p>
    <w:p w14:paraId="5AA2218F"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建筑功能和抗震设防类别；</w:t>
      </w:r>
    </w:p>
    <w:p w14:paraId="5B2DB9F6"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结构初期造价和遭受地震后的直接和间接经济损失、震后修复难易程度；</w:t>
      </w:r>
    </w:p>
    <w:p w14:paraId="078F25F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业主对设防标准等方面的特殊要求等。</w:t>
      </w:r>
    </w:p>
    <w:p w14:paraId="471D3606"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楼宇建筑结构的抗震性能目标不应低于</w:t>
      </w:r>
      <w:r>
        <w:rPr>
          <w:rFonts w:ascii="Times New Roman" w:hint="default"/>
          <w:sz w:val="28"/>
          <w:szCs w:val="28"/>
        </w:rPr>
        <w:t>D</w:t>
      </w:r>
      <w:r>
        <w:rPr>
          <w:rFonts w:ascii="Times New Roman" w:hint="default"/>
          <w:sz w:val="28"/>
          <w:szCs w:val="28"/>
        </w:rPr>
        <w:t>级。以下建筑结构的抗震性能目标不宜低于</w:t>
      </w:r>
      <w:r>
        <w:rPr>
          <w:rFonts w:ascii="Times New Roman" w:hint="default"/>
          <w:sz w:val="28"/>
          <w:szCs w:val="28"/>
        </w:rPr>
        <w:t>D+</w:t>
      </w:r>
      <w:r>
        <w:rPr>
          <w:rFonts w:ascii="Times New Roman" w:hint="default"/>
          <w:sz w:val="28"/>
          <w:szCs w:val="28"/>
        </w:rPr>
        <w:t>级：</w:t>
      </w:r>
    </w:p>
    <w:p w14:paraId="46AB9102" w14:textId="77777777" w:rsidR="00686ADF" w:rsidRDefault="00000000">
      <w:pPr>
        <w:pStyle w:val="a7"/>
        <w:spacing w:line="360" w:lineRule="auto"/>
        <w:rPr>
          <w:rFonts w:ascii="Times New Roman" w:hint="default"/>
          <w:sz w:val="28"/>
          <w:szCs w:val="28"/>
        </w:rPr>
      </w:pPr>
      <w:r>
        <w:rPr>
          <w:rFonts w:ascii="Times New Roman" w:hint="default"/>
          <w:sz w:val="28"/>
          <w:szCs w:val="28"/>
        </w:rPr>
        <w:t>结构高度超过最大适用高度</w:t>
      </w:r>
      <w:r>
        <w:rPr>
          <w:rFonts w:ascii="Times New Roman" w:hint="default"/>
          <w:sz w:val="28"/>
          <w:szCs w:val="28"/>
        </w:rPr>
        <w:t>50%</w:t>
      </w:r>
      <w:r>
        <w:rPr>
          <w:rFonts w:ascii="Times New Roman" w:hint="default"/>
          <w:sz w:val="28"/>
          <w:szCs w:val="28"/>
        </w:rPr>
        <w:t>及以上；</w:t>
      </w:r>
    </w:p>
    <w:p w14:paraId="7F308CB6" w14:textId="77777777" w:rsidR="00686ADF" w:rsidRDefault="00000000">
      <w:pPr>
        <w:pStyle w:val="a7"/>
        <w:spacing w:line="360" w:lineRule="auto"/>
        <w:rPr>
          <w:rFonts w:ascii="Times New Roman" w:hint="default"/>
          <w:sz w:val="28"/>
          <w:szCs w:val="28"/>
        </w:rPr>
      </w:pPr>
      <w:r>
        <w:rPr>
          <w:rFonts w:ascii="Times New Roman" w:hint="default"/>
          <w:sz w:val="28"/>
          <w:szCs w:val="28"/>
        </w:rPr>
        <w:t>存在</w:t>
      </w:r>
      <w:r>
        <w:rPr>
          <w:rFonts w:ascii="Times New Roman" w:hint="default"/>
          <w:sz w:val="28"/>
          <w:szCs w:val="28"/>
        </w:rPr>
        <w:t>5</w:t>
      </w:r>
      <w:r>
        <w:rPr>
          <w:rFonts w:ascii="Times New Roman" w:hint="default"/>
          <w:sz w:val="28"/>
          <w:szCs w:val="28"/>
        </w:rPr>
        <w:t>项及以上不规则类型或某一项不规则类型的指标远超规定限值；</w:t>
      </w:r>
    </w:p>
    <w:p w14:paraId="33565332"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以下楼宇建筑结构的抗震性能目标不宜低于</w:t>
      </w:r>
      <w:r>
        <w:rPr>
          <w:rFonts w:ascii="Times New Roman" w:hint="default"/>
          <w:sz w:val="28"/>
          <w:szCs w:val="28"/>
        </w:rPr>
        <w:t>C</w:t>
      </w:r>
      <w:r>
        <w:rPr>
          <w:rFonts w:ascii="Times New Roman" w:hint="default"/>
          <w:sz w:val="28"/>
          <w:szCs w:val="28"/>
        </w:rPr>
        <w:t>级：</w:t>
      </w:r>
    </w:p>
    <w:p w14:paraId="52FCF64E"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结构高度超过最大适用高度</w:t>
      </w:r>
      <w:r>
        <w:rPr>
          <w:rFonts w:ascii="Times New Roman" w:hint="default"/>
          <w:sz w:val="28"/>
          <w:szCs w:val="28"/>
        </w:rPr>
        <w:t>100%</w:t>
      </w:r>
      <w:r>
        <w:rPr>
          <w:rFonts w:ascii="Times New Roman" w:hint="default"/>
          <w:sz w:val="28"/>
          <w:szCs w:val="28"/>
        </w:rPr>
        <w:t>及以上；</w:t>
      </w:r>
    </w:p>
    <w:p w14:paraId="5847F24D"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同时具有转换层、加强层、错层、连体、多塔等复杂类型中的</w:t>
      </w:r>
      <w:r>
        <w:rPr>
          <w:rFonts w:ascii="Times New Roman" w:hint="default"/>
          <w:sz w:val="28"/>
          <w:szCs w:val="28"/>
        </w:rPr>
        <w:t>3</w:t>
      </w:r>
      <w:r>
        <w:rPr>
          <w:rFonts w:ascii="Times New Roman" w:hint="default"/>
          <w:sz w:val="28"/>
          <w:szCs w:val="28"/>
        </w:rPr>
        <w:t>种及以上。</w:t>
      </w:r>
    </w:p>
    <w:p w14:paraId="12526C7A"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对于甲类建筑和需满足震后特殊功能要求的建筑结构，应根据建筑物重要性以及使用功能在设防或罕遇地震作用下的特殊要求，确定结</w:t>
      </w:r>
      <w:r>
        <w:rPr>
          <w:rFonts w:ascii="Times New Roman" w:hint="default"/>
          <w:sz w:val="28"/>
          <w:szCs w:val="28"/>
        </w:rPr>
        <w:lastRenderedPageBreak/>
        <w:t>构的抗震性能目标。对于设防地震作用下需满足正常使用要求的建筑，结构的抗震性能目标不宜低于</w:t>
      </w:r>
      <w:r>
        <w:rPr>
          <w:rFonts w:ascii="Times New Roman" w:hint="default"/>
          <w:sz w:val="28"/>
          <w:szCs w:val="28"/>
        </w:rPr>
        <w:t>C+</w:t>
      </w:r>
      <w:r>
        <w:rPr>
          <w:rFonts w:ascii="Times New Roman" w:hint="default"/>
          <w:sz w:val="28"/>
          <w:szCs w:val="28"/>
        </w:rPr>
        <w:t>级。</w:t>
      </w:r>
    </w:p>
    <w:p w14:paraId="080748F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结构抗震性能化设计时，应根据选定的性能目标确定结构和构件的抗震承载力、变形等具体设计指标。在不同地震动水准作用下，结构和构件的抗震性能设计指标应包括以下内容：</w:t>
      </w:r>
    </w:p>
    <w:p w14:paraId="17EDB0B9"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结构的层间位移角；</w:t>
      </w:r>
    </w:p>
    <w:p w14:paraId="404F3DE5"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构件的抗震承载力；</w:t>
      </w:r>
    </w:p>
    <w:p w14:paraId="111D2F51"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构件的变形、损坏程度及相应的延性构造要求。</w:t>
      </w:r>
    </w:p>
    <w:p w14:paraId="7155CE38"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不同抗震性能水准对应的结构层间位移角宜符合以下规定：</w:t>
      </w:r>
    </w:p>
    <w:p w14:paraId="339222BA"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w:t>
      </w:r>
      <w:r>
        <w:rPr>
          <w:rFonts w:ascii="Times New Roman" w:hint="default"/>
          <w:sz w:val="28"/>
          <w:szCs w:val="28"/>
        </w:rPr>
        <w:t>1</w:t>
      </w:r>
      <w:r>
        <w:rPr>
          <w:rFonts w:ascii="Times New Roman" w:hint="default"/>
          <w:sz w:val="28"/>
          <w:szCs w:val="28"/>
        </w:rPr>
        <w:t>性能水准的结构，宜小于弹性层间位移角限值；</w:t>
      </w:r>
    </w:p>
    <w:p w14:paraId="61667A58"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w:t>
      </w:r>
      <w:r>
        <w:rPr>
          <w:rFonts w:ascii="Times New Roman" w:hint="default"/>
          <w:sz w:val="28"/>
          <w:szCs w:val="28"/>
        </w:rPr>
        <w:t>2</w:t>
      </w:r>
      <w:r>
        <w:rPr>
          <w:rFonts w:ascii="Times New Roman" w:hint="default"/>
          <w:sz w:val="28"/>
          <w:szCs w:val="28"/>
        </w:rPr>
        <w:t>性能水准的结构，宜小于</w:t>
      </w:r>
      <w:r>
        <w:rPr>
          <w:rFonts w:ascii="Times New Roman" w:hint="default"/>
          <w:sz w:val="28"/>
          <w:szCs w:val="28"/>
        </w:rPr>
        <w:t>1.2</w:t>
      </w:r>
      <w:r>
        <w:rPr>
          <w:rFonts w:ascii="Times New Roman" w:hint="default"/>
          <w:sz w:val="28"/>
          <w:szCs w:val="28"/>
        </w:rPr>
        <w:t>倍弹性层间位移角限值；</w:t>
      </w:r>
    </w:p>
    <w:p w14:paraId="110AE8B6"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w:t>
      </w:r>
      <w:r>
        <w:rPr>
          <w:rFonts w:ascii="Times New Roman" w:hint="default"/>
          <w:sz w:val="28"/>
          <w:szCs w:val="28"/>
        </w:rPr>
        <w:t>3</w:t>
      </w:r>
      <w:r>
        <w:rPr>
          <w:rFonts w:ascii="Times New Roman" w:hint="default"/>
          <w:sz w:val="28"/>
          <w:szCs w:val="28"/>
        </w:rPr>
        <w:t>性能水准的结构，宜小于</w:t>
      </w:r>
      <w:r>
        <w:rPr>
          <w:rFonts w:ascii="Times New Roman" w:hint="default"/>
          <w:sz w:val="28"/>
          <w:szCs w:val="28"/>
        </w:rPr>
        <w:t>2</w:t>
      </w:r>
      <w:r>
        <w:rPr>
          <w:rFonts w:ascii="Times New Roman" w:hint="default"/>
          <w:sz w:val="28"/>
          <w:szCs w:val="28"/>
        </w:rPr>
        <w:t>倍弹性层间位移角限值；</w:t>
      </w:r>
    </w:p>
    <w:p w14:paraId="5976320C"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w:t>
      </w:r>
      <w:r>
        <w:rPr>
          <w:rFonts w:ascii="Times New Roman" w:hint="default"/>
          <w:sz w:val="28"/>
          <w:szCs w:val="28"/>
        </w:rPr>
        <w:t>4</w:t>
      </w:r>
      <w:r>
        <w:rPr>
          <w:rFonts w:ascii="Times New Roman" w:hint="default"/>
          <w:sz w:val="28"/>
          <w:szCs w:val="28"/>
        </w:rPr>
        <w:t>性能水准的结构，宜小于</w:t>
      </w:r>
      <w:r>
        <w:rPr>
          <w:rFonts w:ascii="Times New Roman" w:hint="default"/>
          <w:sz w:val="28"/>
          <w:szCs w:val="28"/>
        </w:rPr>
        <w:t>4</w:t>
      </w:r>
      <w:r>
        <w:rPr>
          <w:rFonts w:ascii="Times New Roman" w:hint="default"/>
          <w:sz w:val="28"/>
          <w:szCs w:val="28"/>
        </w:rPr>
        <w:t>倍弹性层间位移角限值；</w:t>
      </w:r>
    </w:p>
    <w:p w14:paraId="535CDF25"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w:t>
      </w:r>
      <w:r>
        <w:rPr>
          <w:rFonts w:ascii="Times New Roman" w:hint="default"/>
          <w:sz w:val="28"/>
          <w:szCs w:val="28"/>
        </w:rPr>
        <w:t>5</w:t>
      </w:r>
      <w:r>
        <w:rPr>
          <w:rFonts w:ascii="Times New Roman" w:hint="default"/>
          <w:sz w:val="28"/>
          <w:szCs w:val="28"/>
        </w:rPr>
        <w:t>性能水准的结构，宜小于弹塑性层间位移角限值。</w:t>
      </w:r>
    </w:p>
    <w:p w14:paraId="1A22105E"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结构的各抗震性能水准对应的构件抗震承载力设计指标，应满足表</w:t>
      </w:r>
      <w:r>
        <w:rPr>
          <w:rFonts w:ascii="Times New Roman" w:hint="default"/>
          <w:sz w:val="28"/>
          <w:szCs w:val="28"/>
        </w:rPr>
        <w:t>3</w:t>
      </w:r>
      <w:r>
        <w:rPr>
          <w:rFonts w:ascii="Times New Roman" w:hint="default"/>
          <w:sz w:val="28"/>
          <w:szCs w:val="28"/>
        </w:rPr>
        <w:t>的要求。</w:t>
      </w:r>
    </w:p>
    <w:p w14:paraId="2870F212" w14:textId="77777777" w:rsidR="00686ADF" w:rsidRDefault="00000000">
      <w:pPr>
        <w:pStyle w:val="a5"/>
        <w:spacing w:before="120" w:after="120" w:line="360" w:lineRule="auto"/>
        <w:rPr>
          <w:rFonts w:ascii="Times New Roman" w:hint="default"/>
          <w:sz w:val="28"/>
          <w:szCs w:val="28"/>
        </w:rPr>
      </w:pPr>
      <w:r>
        <w:rPr>
          <w:rFonts w:ascii="Times New Roman" w:hint="default"/>
          <w:sz w:val="28"/>
          <w:szCs w:val="28"/>
        </w:rPr>
        <w:t>各性能水准构件承载力性能设计指标</w:t>
      </w:r>
    </w:p>
    <w:tbl>
      <w:tblPr>
        <w:tblStyle w:val="a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09"/>
        <w:gridCol w:w="1577"/>
        <w:gridCol w:w="1859"/>
        <w:gridCol w:w="1989"/>
        <w:gridCol w:w="1977"/>
      </w:tblGrid>
      <w:tr w:rsidR="00686ADF" w14:paraId="22D905F3" w14:textId="77777777">
        <w:trPr>
          <w:tblHeader/>
          <w:jc w:val="center"/>
        </w:trPr>
        <w:tc>
          <w:tcPr>
            <w:tcW w:w="1408" w:type="dxa"/>
            <w:tcBorders>
              <w:top w:val="single" w:sz="8" w:space="0" w:color="auto"/>
              <w:left w:val="single" w:sz="8" w:space="0" w:color="auto"/>
              <w:bottom w:val="single" w:sz="8" w:space="0" w:color="auto"/>
              <w:right w:val="single" w:sz="4" w:space="0" w:color="auto"/>
            </w:tcBorders>
            <w:shd w:val="clear" w:color="auto" w:fill="auto"/>
            <w:vAlign w:val="center"/>
          </w:tcPr>
          <w:p w14:paraId="014E27FD" w14:textId="77777777" w:rsidR="00686ADF" w:rsidRDefault="00000000">
            <w:pPr>
              <w:pStyle w:val="aff2"/>
              <w:spacing w:line="360" w:lineRule="auto"/>
              <w:rPr>
                <w:rFonts w:ascii="Times New Roman" w:hint="default"/>
                <w:sz w:val="28"/>
                <w:szCs w:val="28"/>
              </w:rPr>
            </w:pPr>
            <w:r>
              <w:rPr>
                <w:rFonts w:ascii="Times New Roman" w:hint="default"/>
                <w:sz w:val="28"/>
                <w:szCs w:val="28"/>
              </w:rPr>
              <w:t>结构性能水准</w:t>
            </w:r>
          </w:p>
        </w:tc>
        <w:tc>
          <w:tcPr>
            <w:tcW w:w="1702" w:type="dxa"/>
            <w:tcBorders>
              <w:top w:val="single" w:sz="8" w:space="0" w:color="auto"/>
              <w:left w:val="single" w:sz="4" w:space="0" w:color="auto"/>
              <w:bottom w:val="single" w:sz="8" w:space="0" w:color="auto"/>
              <w:right w:val="single" w:sz="4" w:space="0" w:color="auto"/>
            </w:tcBorders>
            <w:shd w:val="clear" w:color="auto" w:fill="auto"/>
            <w:vAlign w:val="center"/>
          </w:tcPr>
          <w:p w14:paraId="089A8386" w14:textId="77777777" w:rsidR="00686ADF" w:rsidRDefault="00000000">
            <w:pPr>
              <w:pStyle w:val="aff2"/>
              <w:spacing w:line="360" w:lineRule="auto"/>
              <w:rPr>
                <w:rFonts w:ascii="Times New Roman" w:hint="default"/>
                <w:sz w:val="28"/>
                <w:szCs w:val="28"/>
              </w:rPr>
            </w:pPr>
            <w:r>
              <w:rPr>
                <w:rFonts w:ascii="Times New Roman" w:hint="default"/>
                <w:sz w:val="28"/>
                <w:szCs w:val="28"/>
              </w:rPr>
              <w:t>构件截面类型</w:t>
            </w:r>
          </w:p>
        </w:tc>
        <w:tc>
          <w:tcPr>
            <w:tcW w:w="1984" w:type="dxa"/>
            <w:tcBorders>
              <w:top w:val="single" w:sz="8" w:space="0" w:color="auto"/>
              <w:left w:val="single" w:sz="4" w:space="0" w:color="auto"/>
              <w:bottom w:val="single" w:sz="8" w:space="0" w:color="auto"/>
              <w:right w:val="single" w:sz="4" w:space="0" w:color="auto"/>
            </w:tcBorders>
            <w:shd w:val="clear" w:color="auto" w:fill="auto"/>
            <w:vAlign w:val="center"/>
          </w:tcPr>
          <w:p w14:paraId="66A607B1" w14:textId="77777777" w:rsidR="00686ADF" w:rsidRDefault="00000000">
            <w:pPr>
              <w:pStyle w:val="aff2"/>
              <w:spacing w:line="360" w:lineRule="auto"/>
              <w:rPr>
                <w:rFonts w:ascii="Times New Roman" w:hint="default"/>
                <w:sz w:val="28"/>
                <w:szCs w:val="28"/>
              </w:rPr>
            </w:pPr>
            <w:r>
              <w:rPr>
                <w:rFonts w:ascii="Times New Roman" w:hint="default"/>
                <w:sz w:val="28"/>
                <w:szCs w:val="28"/>
              </w:rPr>
              <w:t>关键构件</w:t>
            </w:r>
          </w:p>
        </w:tc>
        <w:tc>
          <w:tcPr>
            <w:tcW w:w="2127" w:type="dxa"/>
            <w:tcBorders>
              <w:top w:val="single" w:sz="8" w:space="0" w:color="auto"/>
              <w:left w:val="single" w:sz="4" w:space="0" w:color="auto"/>
              <w:bottom w:val="single" w:sz="8" w:space="0" w:color="auto"/>
              <w:right w:val="single" w:sz="4" w:space="0" w:color="auto"/>
            </w:tcBorders>
            <w:shd w:val="clear" w:color="auto" w:fill="auto"/>
            <w:vAlign w:val="center"/>
          </w:tcPr>
          <w:p w14:paraId="37D8E9A9" w14:textId="77777777" w:rsidR="00686ADF" w:rsidRDefault="00000000">
            <w:pPr>
              <w:pStyle w:val="aff2"/>
              <w:spacing w:line="360" w:lineRule="auto"/>
              <w:rPr>
                <w:rFonts w:ascii="Times New Roman" w:hint="default"/>
                <w:sz w:val="28"/>
                <w:szCs w:val="28"/>
              </w:rPr>
            </w:pPr>
            <w:r>
              <w:rPr>
                <w:rFonts w:ascii="Times New Roman" w:hint="default"/>
                <w:sz w:val="28"/>
                <w:szCs w:val="28"/>
              </w:rPr>
              <w:t>普通竖向构件</w:t>
            </w:r>
          </w:p>
        </w:tc>
        <w:tc>
          <w:tcPr>
            <w:tcW w:w="2114" w:type="dxa"/>
            <w:tcBorders>
              <w:top w:val="single" w:sz="8" w:space="0" w:color="auto"/>
              <w:left w:val="single" w:sz="4" w:space="0" w:color="auto"/>
              <w:bottom w:val="single" w:sz="8" w:space="0" w:color="auto"/>
              <w:right w:val="single" w:sz="8" w:space="0" w:color="auto"/>
            </w:tcBorders>
            <w:shd w:val="clear" w:color="auto" w:fill="auto"/>
            <w:vAlign w:val="center"/>
          </w:tcPr>
          <w:p w14:paraId="66E57E5F" w14:textId="77777777" w:rsidR="00686ADF" w:rsidRDefault="00000000">
            <w:pPr>
              <w:pStyle w:val="aff2"/>
              <w:spacing w:line="360" w:lineRule="auto"/>
              <w:rPr>
                <w:rFonts w:ascii="Times New Roman" w:hint="default"/>
                <w:sz w:val="28"/>
                <w:szCs w:val="28"/>
              </w:rPr>
            </w:pPr>
            <w:r>
              <w:rPr>
                <w:rFonts w:ascii="Times New Roman" w:hint="default"/>
                <w:sz w:val="28"/>
                <w:szCs w:val="28"/>
              </w:rPr>
              <w:t>耗能构件</w:t>
            </w:r>
          </w:p>
        </w:tc>
      </w:tr>
      <w:tr w:rsidR="00686ADF" w14:paraId="72B5F71B" w14:textId="77777777">
        <w:trPr>
          <w:jc w:val="center"/>
        </w:trPr>
        <w:tc>
          <w:tcPr>
            <w:tcW w:w="140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C96C2CD" w14:textId="77777777" w:rsidR="00686ADF" w:rsidRDefault="00000000">
            <w:pPr>
              <w:pStyle w:val="aff2"/>
              <w:spacing w:line="360" w:lineRule="auto"/>
              <w:rPr>
                <w:rFonts w:ascii="Times New Roman" w:hint="default"/>
                <w:sz w:val="28"/>
                <w:szCs w:val="28"/>
              </w:rPr>
            </w:pPr>
            <w:bookmarkStart w:id="33" w:name="_Hlk195544048"/>
            <w:r>
              <w:rPr>
                <w:rFonts w:ascii="Times New Roman" w:hint="default"/>
                <w:sz w:val="28"/>
                <w:szCs w:val="28"/>
              </w:rPr>
              <w:t>1</w:t>
            </w:r>
          </w:p>
        </w:tc>
        <w:tc>
          <w:tcPr>
            <w:tcW w:w="1702" w:type="dxa"/>
            <w:tcBorders>
              <w:top w:val="single" w:sz="8" w:space="0" w:color="auto"/>
              <w:left w:val="single" w:sz="4" w:space="0" w:color="auto"/>
              <w:bottom w:val="single" w:sz="4" w:space="0" w:color="auto"/>
              <w:right w:val="single" w:sz="4" w:space="0" w:color="auto"/>
            </w:tcBorders>
            <w:shd w:val="clear" w:color="auto" w:fill="auto"/>
            <w:vAlign w:val="center"/>
          </w:tcPr>
          <w:p w14:paraId="796C8EFC" w14:textId="77777777" w:rsidR="00686ADF" w:rsidRDefault="00000000">
            <w:pPr>
              <w:pStyle w:val="aff2"/>
              <w:spacing w:line="360" w:lineRule="auto"/>
              <w:rPr>
                <w:rFonts w:ascii="Times New Roman" w:hint="default"/>
                <w:sz w:val="28"/>
                <w:szCs w:val="28"/>
              </w:rPr>
            </w:pPr>
            <w:r>
              <w:rPr>
                <w:rFonts w:ascii="Times New Roman" w:hint="default"/>
                <w:sz w:val="28"/>
                <w:szCs w:val="28"/>
              </w:rPr>
              <w:t>正截面</w:t>
            </w:r>
          </w:p>
        </w:tc>
        <w:tc>
          <w:tcPr>
            <w:tcW w:w="1984" w:type="dxa"/>
            <w:tcBorders>
              <w:top w:val="single" w:sz="8" w:space="0" w:color="auto"/>
              <w:left w:val="single" w:sz="4" w:space="0" w:color="auto"/>
              <w:bottom w:val="single" w:sz="4" w:space="0" w:color="auto"/>
              <w:right w:val="single" w:sz="4" w:space="0" w:color="auto"/>
            </w:tcBorders>
            <w:shd w:val="clear" w:color="auto" w:fill="auto"/>
            <w:vAlign w:val="center"/>
          </w:tcPr>
          <w:p w14:paraId="11AAB5BE"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153C0A12"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14" w:type="dxa"/>
            <w:tcBorders>
              <w:top w:val="single" w:sz="8" w:space="0" w:color="auto"/>
              <w:left w:val="single" w:sz="4" w:space="0" w:color="auto"/>
              <w:bottom w:val="single" w:sz="4" w:space="0" w:color="auto"/>
              <w:right w:val="single" w:sz="8" w:space="0" w:color="auto"/>
            </w:tcBorders>
            <w:shd w:val="clear" w:color="auto" w:fill="auto"/>
            <w:vAlign w:val="center"/>
          </w:tcPr>
          <w:p w14:paraId="29D21BB1"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r>
      <w:tr w:rsidR="00686ADF" w14:paraId="5D759859" w14:textId="77777777">
        <w:trPr>
          <w:jc w:val="center"/>
        </w:trPr>
        <w:tc>
          <w:tcPr>
            <w:tcW w:w="1408" w:type="dxa"/>
            <w:vMerge/>
            <w:tcBorders>
              <w:top w:val="single" w:sz="8" w:space="0" w:color="auto"/>
              <w:left w:val="single" w:sz="8" w:space="0" w:color="auto"/>
              <w:bottom w:val="single" w:sz="4" w:space="0" w:color="auto"/>
              <w:right w:val="single" w:sz="4" w:space="0" w:color="auto"/>
            </w:tcBorders>
            <w:shd w:val="clear" w:color="auto" w:fill="auto"/>
            <w:vAlign w:val="center"/>
          </w:tcPr>
          <w:p w14:paraId="3847AF7A" w14:textId="77777777" w:rsidR="00686ADF" w:rsidRDefault="00686ADF">
            <w:pPr>
              <w:spacing w:line="36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38626BE" w14:textId="77777777" w:rsidR="00686ADF" w:rsidRDefault="00000000">
            <w:pPr>
              <w:pStyle w:val="aff2"/>
              <w:spacing w:line="360" w:lineRule="auto"/>
              <w:rPr>
                <w:rFonts w:ascii="Times New Roman" w:hint="default"/>
                <w:sz w:val="28"/>
                <w:szCs w:val="28"/>
              </w:rPr>
            </w:pPr>
            <w:r>
              <w:rPr>
                <w:rFonts w:ascii="Times New Roman" w:hint="default"/>
                <w:sz w:val="28"/>
                <w:szCs w:val="28"/>
              </w:rPr>
              <w:t>斜截面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30693C"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BCD242"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04E812E1"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r>
      <w:bookmarkEnd w:id="33"/>
      <w:tr w:rsidR="00686ADF" w14:paraId="453C9F65" w14:textId="77777777">
        <w:trPr>
          <w:jc w:val="center"/>
        </w:trPr>
        <w:tc>
          <w:tcPr>
            <w:tcW w:w="140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245B33D" w14:textId="77777777" w:rsidR="00686ADF" w:rsidRDefault="00000000">
            <w:pPr>
              <w:pStyle w:val="aff2"/>
              <w:spacing w:line="360" w:lineRule="auto"/>
              <w:rPr>
                <w:rFonts w:ascii="Times New Roman" w:hint="default"/>
                <w:sz w:val="28"/>
                <w:szCs w:val="28"/>
              </w:rPr>
            </w:pPr>
            <w:r>
              <w:rPr>
                <w:rFonts w:ascii="Times New Roman" w:hint="default"/>
                <w:sz w:val="28"/>
                <w:szCs w:val="28"/>
              </w:rPr>
              <w:t>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65784B" w14:textId="77777777" w:rsidR="00686ADF" w:rsidRDefault="00000000">
            <w:pPr>
              <w:pStyle w:val="aff2"/>
              <w:spacing w:line="360" w:lineRule="auto"/>
              <w:rPr>
                <w:rFonts w:ascii="Times New Roman" w:hint="default"/>
                <w:sz w:val="28"/>
                <w:szCs w:val="28"/>
              </w:rPr>
            </w:pPr>
            <w:r>
              <w:rPr>
                <w:rFonts w:ascii="Times New Roman" w:hint="default"/>
                <w:sz w:val="28"/>
                <w:szCs w:val="28"/>
              </w:rPr>
              <w:t>正截面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BAAD99"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w:t>
            </w:r>
            <w:r>
              <w:rPr>
                <w:rFonts w:ascii="Times New Roman" w:hint="default"/>
                <w:sz w:val="28"/>
                <w:szCs w:val="28"/>
              </w:rPr>
              <w:lastRenderedPageBreak/>
              <w:t>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A92AFF" w14:textId="77777777" w:rsidR="00686ADF" w:rsidRDefault="00000000">
            <w:pPr>
              <w:pStyle w:val="aff2"/>
              <w:spacing w:line="360" w:lineRule="auto"/>
              <w:rPr>
                <w:rFonts w:ascii="Times New Roman" w:hint="default"/>
                <w:sz w:val="28"/>
                <w:szCs w:val="28"/>
              </w:rPr>
            </w:pPr>
            <w:r>
              <w:rPr>
                <w:rFonts w:ascii="Times New Roman" w:hint="default"/>
                <w:sz w:val="28"/>
                <w:szCs w:val="28"/>
              </w:rPr>
              <w:lastRenderedPageBreak/>
              <w:t>应满足弹性设计</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680B4C11" w14:textId="77777777" w:rsidR="00686ADF" w:rsidRDefault="00000000">
            <w:pPr>
              <w:pStyle w:val="aff2"/>
              <w:spacing w:line="360" w:lineRule="auto"/>
              <w:rPr>
                <w:rFonts w:ascii="Times New Roman" w:hint="default"/>
                <w:sz w:val="28"/>
                <w:szCs w:val="28"/>
              </w:rPr>
            </w:pPr>
            <w:r>
              <w:rPr>
                <w:rFonts w:ascii="Times New Roman" w:hint="default"/>
                <w:sz w:val="28"/>
                <w:szCs w:val="28"/>
              </w:rPr>
              <w:t>宜满足不屈服设</w:t>
            </w:r>
            <w:r>
              <w:rPr>
                <w:rFonts w:ascii="Times New Roman" w:hint="default"/>
                <w:sz w:val="28"/>
                <w:szCs w:val="28"/>
              </w:rPr>
              <w:lastRenderedPageBreak/>
              <w:t>计，允许个别屈服</w:t>
            </w:r>
          </w:p>
        </w:tc>
      </w:tr>
      <w:tr w:rsidR="00686ADF" w14:paraId="22A98A4A" w14:textId="77777777">
        <w:trPr>
          <w:jc w:val="center"/>
        </w:trPr>
        <w:tc>
          <w:tcPr>
            <w:tcW w:w="140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633C846" w14:textId="77777777" w:rsidR="00686ADF" w:rsidRDefault="00686ADF">
            <w:pPr>
              <w:spacing w:line="36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EBABE00" w14:textId="77777777" w:rsidR="00686ADF" w:rsidRDefault="00000000">
            <w:pPr>
              <w:pStyle w:val="aff2"/>
              <w:spacing w:line="360" w:lineRule="auto"/>
              <w:rPr>
                <w:rFonts w:ascii="Times New Roman" w:hint="default"/>
                <w:sz w:val="28"/>
                <w:szCs w:val="28"/>
              </w:rPr>
            </w:pPr>
            <w:r>
              <w:rPr>
                <w:rFonts w:ascii="Times New Roman" w:hint="default"/>
                <w:sz w:val="28"/>
                <w:szCs w:val="28"/>
              </w:rPr>
              <w:t>斜截面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C33FA2"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3AEDD7"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5AAC27DD"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r>
      <w:tr w:rsidR="00686ADF" w14:paraId="2D311221" w14:textId="77777777">
        <w:trPr>
          <w:jc w:val="center"/>
        </w:trPr>
        <w:tc>
          <w:tcPr>
            <w:tcW w:w="140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0ECE69F" w14:textId="77777777" w:rsidR="00686ADF" w:rsidRDefault="00000000">
            <w:pPr>
              <w:pStyle w:val="aff2"/>
              <w:spacing w:line="360" w:lineRule="auto"/>
              <w:rPr>
                <w:rFonts w:ascii="Times New Roman" w:hint="default"/>
                <w:sz w:val="28"/>
                <w:szCs w:val="28"/>
              </w:rPr>
            </w:pPr>
            <w:r>
              <w:rPr>
                <w:rFonts w:ascii="Times New Roman" w:hint="default"/>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F91D525" w14:textId="77777777" w:rsidR="00686ADF" w:rsidRDefault="00000000">
            <w:pPr>
              <w:pStyle w:val="aff2"/>
              <w:spacing w:line="360" w:lineRule="auto"/>
              <w:rPr>
                <w:rFonts w:ascii="Times New Roman" w:hint="default"/>
                <w:sz w:val="28"/>
                <w:szCs w:val="28"/>
              </w:rPr>
            </w:pPr>
            <w:r>
              <w:rPr>
                <w:rFonts w:ascii="Times New Roman" w:hint="default"/>
                <w:sz w:val="28"/>
                <w:szCs w:val="28"/>
              </w:rPr>
              <w:t>正截面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00E895"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应满足不屈服设计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042120" w14:textId="77777777" w:rsidR="00686ADF" w:rsidRDefault="00000000">
            <w:pPr>
              <w:pStyle w:val="aff2"/>
              <w:spacing w:line="360" w:lineRule="auto"/>
              <w:rPr>
                <w:rFonts w:ascii="Times New Roman" w:hint="default"/>
                <w:sz w:val="28"/>
                <w:szCs w:val="28"/>
              </w:rPr>
            </w:pPr>
            <w:r>
              <w:rPr>
                <w:rFonts w:ascii="Times New Roman" w:hint="default"/>
                <w:sz w:val="28"/>
                <w:szCs w:val="28"/>
              </w:rPr>
              <w:t>宜满足不屈服设计，</w:t>
            </w:r>
          </w:p>
          <w:p w14:paraId="4357BAAD" w14:textId="77777777" w:rsidR="00686ADF" w:rsidRDefault="00000000">
            <w:pPr>
              <w:pStyle w:val="aff2"/>
              <w:spacing w:line="360" w:lineRule="auto"/>
              <w:rPr>
                <w:rFonts w:ascii="Times New Roman" w:hint="default"/>
                <w:sz w:val="28"/>
                <w:szCs w:val="28"/>
              </w:rPr>
            </w:pPr>
            <w:r>
              <w:rPr>
                <w:rFonts w:ascii="Times New Roman" w:hint="default"/>
                <w:sz w:val="28"/>
                <w:szCs w:val="28"/>
              </w:rPr>
              <w:t>允许个别屈服</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5B53B677" w14:textId="77777777" w:rsidR="00686ADF" w:rsidRDefault="00000000">
            <w:pPr>
              <w:pStyle w:val="aff2"/>
              <w:spacing w:line="360" w:lineRule="auto"/>
              <w:rPr>
                <w:rFonts w:ascii="Times New Roman" w:hint="default"/>
                <w:sz w:val="28"/>
                <w:szCs w:val="28"/>
              </w:rPr>
            </w:pPr>
            <w:r>
              <w:rPr>
                <w:rFonts w:ascii="Times New Roman" w:hint="default"/>
                <w:sz w:val="28"/>
                <w:szCs w:val="28"/>
              </w:rPr>
              <w:t>允许部分屈服</w:t>
            </w:r>
          </w:p>
        </w:tc>
      </w:tr>
      <w:tr w:rsidR="00686ADF" w14:paraId="4965231C" w14:textId="77777777">
        <w:trPr>
          <w:jc w:val="center"/>
        </w:trPr>
        <w:tc>
          <w:tcPr>
            <w:tcW w:w="140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BD2232F" w14:textId="77777777" w:rsidR="00686ADF" w:rsidRDefault="00686ADF">
            <w:pPr>
              <w:spacing w:line="36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929E374" w14:textId="77777777" w:rsidR="00686ADF" w:rsidRDefault="00000000">
            <w:pPr>
              <w:pStyle w:val="aff2"/>
              <w:spacing w:line="360" w:lineRule="auto"/>
              <w:rPr>
                <w:rFonts w:ascii="Times New Roman" w:hint="default"/>
                <w:sz w:val="28"/>
                <w:szCs w:val="28"/>
              </w:rPr>
            </w:pPr>
            <w:r>
              <w:rPr>
                <w:rFonts w:ascii="Times New Roman" w:hint="default"/>
                <w:sz w:val="28"/>
                <w:szCs w:val="28"/>
              </w:rPr>
              <w:t>斜截面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5B6CB6"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DEFE16"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应满足弹性设计</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7B1FD378"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应满足不屈服设计</w:t>
            </w:r>
          </w:p>
        </w:tc>
      </w:tr>
      <w:tr w:rsidR="00686ADF" w14:paraId="51E07A2A" w14:textId="77777777">
        <w:trPr>
          <w:jc w:val="center"/>
        </w:trPr>
        <w:tc>
          <w:tcPr>
            <w:tcW w:w="140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6D9AE9A" w14:textId="77777777" w:rsidR="00686ADF" w:rsidRDefault="00000000">
            <w:pPr>
              <w:pStyle w:val="aff2"/>
              <w:spacing w:line="360" w:lineRule="auto"/>
              <w:rPr>
                <w:rFonts w:ascii="Times New Roman" w:hint="default"/>
                <w:sz w:val="28"/>
                <w:szCs w:val="28"/>
              </w:rPr>
            </w:pPr>
            <w:r>
              <w:rPr>
                <w:rFonts w:ascii="Times New Roman" w:hint="default"/>
                <w:sz w:val="28"/>
                <w:szCs w:val="28"/>
              </w:rPr>
              <w:t>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B77455E" w14:textId="77777777" w:rsidR="00686ADF" w:rsidRDefault="00000000">
            <w:pPr>
              <w:pStyle w:val="aff2"/>
              <w:spacing w:line="360" w:lineRule="auto"/>
              <w:rPr>
                <w:rFonts w:ascii="Times New Roman" w:hint="default"/>
                <w:sz w:val="28"/>
                <w:szCs w:val="28"/>
              </w:rPr>
            </w:pPr>
            <w:r>
              <w:rPr>
                <w:rFonts w:ascii="Times New Roman" w:hint="default"/>
                <w:sz w:val="28"/>
                <w:szCs w:val="28"/>
              </w:rPr>
              <w:t>正截面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AC4B9B"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应满足不屈服设计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BB64AA8" w14:textId="77777777" w:rsidR="00686ADF" w:rsidRDefault="00000000">
            <w:pPr>
              <w:pStyle w:val="aff2"/>
              <w:spacing w:line="360" w:lineRule="auto"/>
              <w:rPr>
                <w:rFonts w:ascii="Times New Roman" w:hint="default"/>
                <w:sz w:val="28"/>
                <w:szCs w:val="28"/>
              </w:rPr>
            </w:pPr>
            <w:r>
              <w:rPr>
                <w:rFonts w:ascii="Times New Roman" w:hint="default"/>
                <w:sz w:val="28"/>
                <w:szCs w:val="28"/>
              </w:rPr>
              <w:t>允许部分屈服，但应满足极限承载力设计</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22F29A0F" w14:textId="77777777" w:rsidR="00686ADF" w:rsidRDefault="00000000">
            <w:pPr>
              <w:pStyle w:val="aff2"/>
              <w:spacing w:line="360" w:lineRule="auto"/>
              <w:rPr>
                <w:rFonts w:ascii="Times New Roman" w:hint="default"/>
                <w:sz w:val="28"/>
                <w:szCs w:val="28"/>
              </w:rPr>
            </w:pPr>
            <w:r>
              <w:rPr>
                <w:rFonts w:ascii="Times New Roman" w:hint="default"/>
                <w:sz w:val="28"/>
                <w:szCs w:val="28"/>
              </w:rPr>
              <w:t>允许大部分屈服</w:t>
            </w:r>
          </w:p>
        </w:tc>
      </w:tr>
      <w:tr w:rsidR="00686ADF" w14:paraId="108F16EB" w14:textId="77777777">
        <w:trPr>
          <w:jc w:val="center"/>
        </w:trPr>
        <w:tc>
          <w:tcPr>
            <w:tcW w:w="140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ACD71CB" w14:textId="77777777" w:rsidR="00686ADF" w:rsidRDefault="00686ADF">
            <w:pPr>
              <w:spacing w:line="36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0FB645B" w14:textId="77777777" w:rsidR="00686ADF" w:rsidRDefault="00000000">
            <w:pPr>
              <w:pStyle w:val="aff2"/>
              <w:spacing w:line="360" w:lineRule="auto"/>
              <w:rPr>
                <w:rFonts w:ascii="Times New Roman" w:hint="default"/>
                <w:sz w:val="28"/>
                <w:szCs w:val="28"/>
              </w:rPr>
            </w:pPr>
            <w:r>
              <w:rPr>
                <w:rFonts w:ascii="Times New Roman" w:hint="default"/>
                <w:sz w:val="28"/>
                <w:szCs w:val="28"/>
              </w:rPr>
              <w:t>斜截面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EED8D1"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应满足不屈服设计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D2BDF2"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应满足极限承载力设计，并满足最小截面条件</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6376F1BC" w14:textId="77777777" w:rsidR="00686ADF" w:rsidRDefault="00000000">
            <w:pPr>
              <w:pStyle w:val="aff2"/>
              <w:spacing w:line="360" w:lineRule="auto"/>
              <w:rPr>
                <w:rFonts w:ascii="Times New Roman" w:hint="default"/>
                <w:sz w:val="28"/>
                <w:szCs w:val="28"/>
              </w:rPr>
            </w:pPr>
            <w:r>
              <w:rPr>
                <w:rFonts w:ascii="Times New Roman" w:hint="default"/>
                <w:sz w:val="28"/>
                <w:szCs w:val="28"/>
              </w:rPr>
              <w:t>宜满足最小截面条件</w:t>
            </w:r>
          </w:p>
        </w:tc>
      </w:tr>
      <w:tr w:rsidR="00686ADF" w14:paraId="566D8199" w14:textId="77777777">
        <w:trPr>
          <w:jc w:val="center"/>
        </w:trPr>
        <w:tc>
          <w:tcPr>
            <w:tcW w:w="140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675C9FD" w14:textId="77777777" w:rsidR="00686ADF" w:rsidRDefault="00000000">
            <w:pPr>
              <w:pStyle w:val="aff2"/>
              <w:spacing w:line="360" w:lineRule="auto"/>
              <w:rPr>
                <w:rFonts w:ascii="Times New Roman" w:hint="default"/>
                <w:sz w:val="28"/>
                <w:szCs w:val="28"/>
              </w:rPr>
            </w:pPr>
            <w:r>
              <w:rPr>
                <w:rFonts w:ascii="Times New Roman" w:hint="default"/>
                <w:sz w:val="28"/>
                <w:szCs w:val="28"/>
              </w:rPr>
              <w:t>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8574B5D" w14:textId="77777777" w:rsidR="00686ADF" w:rsidRDefault="00000000">
            <w:pPr>
              <w:pStyle w:val="aff2"/>
              <w:spacing w:line="360" w:lineRule="auto"/>
              <w:rPr>
                <w:rFonts w:ascii="Times New Roman" w:hint="default"/>
                <w:sz w:val="28"/>
                <w:szCs w:val="28"/>
              </w:rPr>
            </w:pPr>
            <w:r>
              <w:rPr>
                <w:rFonts w:ascii="Times New Roman" w:hint="default"/>
                <w:sz w:val="28"/>
                <w:szCs w:val="28"/>
              </w:rPr>
              <w:t>正截面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1712F0" w14:textId="77777777" w:rsidR="00686ADF" w:rsidRDefault="00000000">
            <w:pPr>
              <w:pStyle w:val="aff2"/>
              <w:spacing w:line="360" w:lineRule="auto"/>
              <w:rPr>
                <w:rFonts w:ascii="Times New Roman" w:hint="default"/>
                <w:sz w:val="28"/>
                <w:szCs w:val="28"/>
              </w:rPr>
            </w:pPr>
            <w:r>
              <w:rPr>
                <w:rFonts w:ascii="Times New Roman" w:hint="default"/>
                <w:sz w:val="28"/>
                <w:szCs w:val="28"/>
              </w:rPr>
              <w:t>宜满足不屈服设计，允许个别屈服</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EB61B7" w14:textId="77777777" w:rsidR="00686ADF" w:rsidRDefault="00000000">
            <w:pPr>
              <w:pStyle w:val="aff2"/>
              <w:spacing w:line="360" w:lineRule="auto"/>
              <w:rPr>
                <w:rFonts w:ascii="Times New Roman" w:hint="default"/>
                <w:sz w:val="28"/>
                <w:szCs w:val="28"/>
              </w:rPr>
            </w:pPr>
            <w:r>
              <w:rPr>
                <w:rFonts w:ascii="Times New Roman" w:hint="default"/>
                <w:sz w:val="28"/>
                <w:szCs w:val="28"/>
              </w:rPr>
              <w:t>允许部分屈服</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4D808CA1" w14:textId="77777777" w:rsidR="00686ADF" w:rsidRDefault="00000000">
            <w:pPr>
              <w:pStyle w:val="aff2"/>
              <w:spacing w:line="360" w:lineRule="auto"/>
              <w:rPr>
                <w:rFonts w:ascii="Times New Roman" w:hint="default"/>
                <w:sz w:val="28"/>
                <w:szCs w:val="28"/>
              </w:rPr>
            </w:pPr>
            <w:bookmarkStart w:id="34" w:name="OLE_LINK4"/>
            <w:r>
              <w:rPr>
                <w:rFonts w:ascii="Times New Roman" w:hint="default"/>
                <w:sz w:val="28"/>
                <w:szCs w:val="28"/>
              </w:rPr>
              <w:t>允许大部分屈服</w:t>
            </w:r>
            <w:bookmarkEnd w:id="34"/>
          </w:p>
        </w:tc>
      </w:tr>
      <w:tr w:rsidR="00686ADF" w14:paraId="50C419A3" w14:textId="77777777">
        <w:trPr>
          <w:jc w:val="center"/>
        </w:trPr>
        <w:tc>
          <w:tcPr>
            <w:tcW w:w="140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078904C" w14:textId="77777777" w:rsidR="00686ADF" w:rsidRDefault="00686ADF">
            <w:pPr>
              <w:spacing w:line="36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E95B8C3" w14:textId="77777777" w:rsidR="00686ADF" w:rsidRDefault="00000000">
            <w:pPr>
              <w:pStyle w:val="aff2"/>
              <w:spacing w:line="360" w:lineRule="auto"/>
              <w:rPr>
                <w:rFonts w:ascii="Times New Roman" w:hint="default"/>
                <w:sz w:val="28"/>
                <w:szCs w:val="28"/>
              </w:rPr>
            </w:pPr>
            <w:r>
              <w:rPr>
                <w:rFonts w:ascii="Times New Roman" w:hint="default"/>
                <w:sz w:val="28"/>
                <w:szCs w:val="28"/>
              </w:rPr>
              <w:t>斜截面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9070A3" w14:textId="77777777" w:rsidR="00686ADF" w:rsidRDefault="00000000">
            <w:pPr>
              <w:pStyle w:val="aff2"/>
              <w:spacing w:line="360" w:lineRule="auto"/>
              <w:rPr>
                <w:rFonts w:ascii="Times New Roman" w:hint="default"/>
                <w:sz w:val="28"/>
                <w:szCs w:val="28"/>
              </w:rPr>
            </w:pPr>
            <w:r>
              <w:rPr>
                <w:rFonts w:ascii="Times New Roman" w:hint="default"/>
                <w:sz w:val="28"/>
                <w:szCs w:val="28"/>
              </w:rPr>
              <w:t>宜满足不屈服设计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86E44A" w14:textId="77777777" w:rsidR="00686ADF" w:rsidRDefault="00000000">
            <w:pPr>
              <w:pStyle w:val="aff2"/>
              <w:spacing w:line="360" w:lineRule="auto"/>
              <w:rPr>
                <w:rFonts w:ascii="Times New Roman" w:hint="default"/>
                <w:sz w:val="28"/>
                <w:szCs w:val="28"/>
              </w:rPr>
            </w:pPr>
            <w:r>
              <w:rPr>
                <w:rFonts w:ascii="Times New Roman" w:hint="default"/>
                <w:sz w:val="28"/>
                <w:szCs w:val="28"/>
              </w:rPr>
              <w:t>应满足最小截面条件</w:t>
            </w:r>
          </w:p>
        </w:tc>
        <w:tc>
          <w:tcPr>
            <w:tcW w:w="2114" w:type="dxa"/>
            <w:tcBorders>
              <w:top w:val="single" w:sz="4" w:space="0" w:color="auto"/>
              <w:left w:val="single" w:sz="4" w:space="0" w:color="auto"/>
              <w:bottom w:val="single" w:sz="4" w:space="0" w:color="auto"/>
              <w:right w:val="single" w:sz="8" w:space="0" w:color="auto"/>
            </w:tcBorders>
            <w:shd w:val="clear" w:color="auto" w:fill="auto"/>
            <w:vAlign w:val="center"/>
          </w:tcPr>
          <w:p w14:paraId="0E998BD9" w14:textId="77777777" w:rsidR="00686ADF" w:rsidRDefault="00000000">
            <w:pPr>
              <w:pStyle w:val="aff2"/>
              <w:spacing w:line="360" w:lineRule="auto"/>
              <w:rPr>
                <w:rFonts w:ascii="Times New Roman" w:hint="default"/>
                <w:sz w:val="28"/>
                <w:szCs w:val="28"/>
              </w:rPr>
            </w:pPr>
            <w:r>
              <w:rPr>
                <w:rFonts w:ascii="Times New Roman" w:hint="default"/>
                <w:sz w:val="28"/>
                <w:szCs w:val="28"/>
              </w:rPr>
              <w:t>宜满足最小截面条件</w:t>
            </w:r>
          </w:p>
        </w:tc>
      </w:tr>
      <w:tr w:rsidR="00686ADF" w14:paraId="29363B11" w14:textId="77777777">
        <w:trPr>
          <w:jc w:val="center"/>
        </w:trPr>
        <w:tc>
          <w:tcPr>
            <w:tcW w:w="9334" w:type="dxa"/>
            <w:gridSpan w:val="5"/>
            <w:tcBorders>
              <w:top w:val="single" w:sz="4" w:space="0" w:color="auto"/>
              <w:left w:val="single" w:sz="8" w:space="0" w:color="auto"/>
              <w:bottom w:val="single" w:sz="8" w:space="0" w:color="auto"/>
              <w:right w:val="single" w:sz="8" w:space="0" w:color="auto"/>
            </w:tcBorders>
            <w:shd w:val="clear" w:color="auto" w:fill="auto"/>
            <w:vAlign w:val="center"/>
          </w:tcPr>
          <w:p w14:paraId="1595A195" w14:textId="77777777" w:rsidR="00686ADF" w:rsidRDefault="00000000">
            <w:pPr>
              <w:pStyle w:val="a6"/>
              <w:widowControl/>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个别</w:t>
            </w:r>
            <w:r>
              <w:rPr>
                <w:rFonts w:ascii="Times New Roman" w:hint="default"/>
                <w:sz w:val="28"/>
                <w:szCs w:val="28"/>
              </w:rPr>
              <w:t>”</w:t>
            </w:r>
            <w:r>
              <w:rPr>
                <w:rFonts w:ascii="Times New Roman" w:hint="default"/>
                <w:sz w:val="28"/>
                <w:szCs w:val="28"/>
              </w:rPr>
              <w:t>指同类构件中占比</w:t>
            </w:r>
            <w:r>
              <w:rPr>
                <w:rFonts w:ascii="Times New Roman" w:hint="default"/>
                <w:sz w:val="28"/>
                <w:szCs w:val="28"/>
              </w:rPr>
              <w:t>5%</w:t>
            </w:r>
            <w:r>
              <w:rPr>
                <w:rFonts w:ascii="Times New Roman" w:hint="default"/>
                <w:sz w:val="28"/>
                <w:szCs w:val="28"/>
              </w:rPr>
              <w:t>及以下；</w:t>
            </w:r>
          </w:p>
          <w:p w14:paraId="4EB1943D" w14:textId="77777777" w:rsidR="00686ADF" w:rsidRDefault="00000000">
            <w:pPr>
              <w:pStyle w:val="a6"/>
              <w:widowControl/>
              <w:numPr>
                <w:ilvl w:val="0"/>
                <w:numId w:val="0"/>
              </w:numPr>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部分</w:t>
            </w:r>
            <w:r>
              <w:rPr>
                <w:rFonts w:ascii="Times New Roman" w:hint="default"/>
                <w:sz w:val="28"/>
                <w:szCs w:val="28"/>
              </w:rPr>
              <w:t>”</w:t>
            </w:r>
            <w:r>
              <w:rPr>
                <w:rFonts w:ascii="Times New Roman" w:hint="default"/>
                <w:sz w:val="28"/>
                <w:szCs w:val="28"/>
              </w:rPr>
              <w:t>指同类构件中占比</w:t>
            </w:r>
            <w:r>
              <w:rPr>
                <w:rFonts w:ascii="Times New Roman" w:hint="default"/>
                <w:sz w:val="28"/>
                <w:szCs w:val="28"/>
              </w:rPr>
              <w:t>30%</w:t>
            </w:r>
            <w:r>
              <w:rPr>
                <w:rFonts w:ascii="Times New Roman" w:hint="default"/>
                <w:sz w:val="28"/>
                <w:szCs w:val="28"/>
              </w:rPr>
              <w:t>及以下；</w:t>
            </w:r>
          </w:p>
          <w:p w14:paraId="085D1C2D" w14:textId="77777777" w:rsidR="00686ADF" w:rsidRDefault="00000000">
            <w:pPr>
              <w:pStyle w:val="a6"/>
              <w:widowControl/>
              <w:numPr>
                <w:ilvl w:val="0"/>
                <w:numId w:val="0"/>
              </w:numPr>
              <w:spacing w:line="360" w:lineRule="auto"/>
              <w:rPr>
                <w:rFonts w:ascii="Times New Roman" w:hint="default"/>
                <w:sz w:val="28"/>
                <w:szCs w:val="28"/>
              </w:rPr>
            </w:pPr>
            <w:r>
              <w:rPr>
                <w:rFonts w:ascii="Times New Roman" w:hint="default"/>
                <w:sz w:val="28"/>
                <w:szCs w:val="28"/>
              </w:rPr>
              <w:lastRenderedPageBreak/>
              <w:t>“</w:t>
            </w:r>
            <w:r>
              <w:rPr>
                <w:rFonts w:ascii="Times New Roman" w:hint="default"/>
                <w:sz w:val="28"/>
                <w:szCs w:val="28"/>
              </w:rPr>
              <w:t>大部分</w:t>
            </w:r>
            <w:r>
              <w:rPr>
                <w:rFonts w:ascii="Times New Roman" w:hint="default"/>
                <w:sz w:val="28"/>
                <w:szCs w:val="28"/>
              </w:rPr>
              <w:t>”</w:t>
            </w:r>
            <w:r>
              <w:rPr>
                <w:rFonts w:ascii="Times New Roman" w:hint="default"/>
                <w:sz w:val="28"/>
                <w:szCs w:val="28"/>
              </w:rPr>
              <w:t>指同类构件中占比</w:t>
            </w:r>
            <w:r>
              <w:rPr>
                <w:rFonts w:ascii="Times New Roman" w:hint="default"/>
                <w:sz w:val="28"/>
                <w:szCs w:val="28"/>
              </w:rPr>
              <w:t>50%</w:t>
            </w:r>
            <w:r>
              <w:rPr>
                <w:rFonts w:ascii="Times New Roman" w:hint="default"/>
                <w:sz w:val="28"/>
                <w:szCs w:val="28"/>
              </w:rPr>
              <w:t>及以上。</w:t>
            </w:r>
          </w:p>
        </w:tc>
      </w:tr>
    </w:tbl>
    <w:p w14:paraId="067A29AB" w14:textId="77777777" w:rsidR="00686ADF" w:rsidRDefault="00000000">
      <w:pPr>
        <w:pStyle w:val="a1"/>
        <w:widowControl/>
        <w:spacing w:beforeLines="150" w:before="360" w:line="360" w:lineRule="auto"/>
        <w:rPr>
          <w:rFonts w:ascii="Times New Roman" w:hint="default"/>
          <w:sz w:val="28"/>
          <w:szCs w:val="28"/>
        </w:rPr>
      </w:pPr>
      <w:r>
        <w:rPr>
          <w:rFonts w:ascii="Times New Roman" w:hint="default"/>
          <w:sz w:val="28"/>
          <w:szCs w:val="28"/>
        </w:rPr>
        <w:lastRenderedPageBreak/>
        <w:t>以下关键构件在设防地震作用下宜满足弹性设计的性能要求，罕遇地震作用下宜满足正截面不屈服、斜截面弹性的性能要求：</w:t>
      </w:r>
    </w:p>
    <w:p w14:paraId="12B21E7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框支柱或转换柱；</w:t>
      </w:r>
    </w:p>
    <w:p w14:paraId="11A69CB5"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框支梁、转换梁或转换桁架；</w:t>
      </w:r>
    </w:p>
    <w:p w14:paraId="54BFBD7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高位连体结构的主要受力构件、及支承连体结构的竖向构件；</w:t>
      </w:r>
    </w:p>
    <w:p w14:paraId="7FC1B67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加强层处与伸臂桁架或环带桁架相连的外框柱、核心筒等竖向构件；</w:t>
      </w:r>
    </w:p>
    <w:p w14:paraId="0A4FACA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与斜柱直接相连的框架梁等对竖向抗侧力构件具有显著影响的重要水平构件；</w:t>
      </w:r>
    </w:p>
    <w:p w14:paraId="4CED7445"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大悬挑结构的主要受力构件；</w:t>
      </w:r>
    </w:p>
    <w:p w14:paraId="7FE259D6"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巨型框架</w:t>
      </w:r>
      <w:r>
        <w:rPr>
          <w:rFonts w:ascii="Times New Roman" w:hint="default"/>
          <w:sz w:val="28"/>
          <w:szCs w:val="28"/>
        </w:rPr>
        <w:t>-</w:t>
      </w:r>
      <w:r>
        <w:rPr>
          <w:rFonts w:ascii="Times New Roman" w:hint="default"/>
          <w:sz w:val="28"/>
          <w:szCs w:val="28"/>
        </w:rPr>
        <w:t>混凝土核心筒结构的巨柱；</w:t>
      </w:r>
    </w:p>
    <w:p w14:paraId="4FA84CC4"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其他对结构整体刚度或局部承载具有显著影响的构件。</w:t>
      </w:r>
    </w:p>
    <w:p w14:paraId="1AEED709"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关键部位的楼面系统应具备足够的协调变形能力，结构应具有整体性和可靠传力，不同地震动水准作用下的混凝土楼板面内主拉应力应符合以下规定：</w:t>
      </w:r>
    </w:p>
    <w:p w14:paraId="476214D8"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在多遇地震作用下，不宜超过混凝土抗拉强度设计值；</w:t>
      </w:r>
    </w:p>
    <w:p w14:paraId="70FC869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在设防地震作用下，不宜超过混凝土抗拉强度标准值；</w:t>
      </w:r>
    </w:p>
    <w:p w14:paraId="2C6F006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在罕遇地震作用下，楼板或楼面水平支撑不应出现大范围的中度及中度以上损坏。</w:t>
      </w:r>
    </w:p>
    <w:p w14:paraId="4D66E329"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构件的抗震构造措施应满足在罕遇地震作用下的构件变形要求。</w:t>
      </w:r>
    </w:p>
    <w:p w14:paraId="68F5045A"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结构性能整体评价</w:t>
      </w:r>
    </w:p>
    <w:p w14:paraId="6E4A033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lastRenderedPageBreak/>
        <w:t>结构性能整体评价应包括位移指标、基底剪力、屈服机制及次序等。</w:t>
      </w:r>
    </w:p>
    <w:p w14:paraId="04EC2A4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位移指标评价应包含弹塑性层间位移角、顶点位移时程曲线、整体结构残余变形等，并应符合以下规定：</w:t>
      </w:r>
    </w:p>
    <w:p w14:paraId="534D93B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结构薄弱层（部位）弹塑性层间位移角应满足各章节的限值要求。</w:t>
      </w:r>
    </w:p>
    <w:p w14:paraId="0E1FBBE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宜根据罕遇地震下弹塑性计算的塑性残余变形判断结构薄弱部位，并与弹性计算的薄弱部位比较，当两者不一致时宜对各薄弱部位均采取加强措施。</w:t>
      </w:r>
    </w:p>
    <w:p w14:paraId="53BE128A"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任一楼层的残余层间位移角不应过大。</w:t>
      </w:r>
    </w:p>
    <w:p w14:paraId="7EB8AE8C"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预定的罕遇地震作用下，结构弹塑性计算的基底剪力最大值与弹性计算的基底剪力之比宜控制在</w:t>
      </w:r>
      <w:r>
        <w:rPr>
          <w:rFonts w:ascii="Times New Roman" w:hint="default"/>
          <w:sz w:val="28"/>
          <w:szCs w:val="28"/>
        </w:rPr>
        <w:t>0.7~0.9</w:t>
      </w:r>
      <w:r>
        <w:rPr>
          <w:rFonts w:ascii="Times New Roman" w:hint="default"/>
          <w:sz w:val="28"/>
          <w:szCs w:val="28"/>
        </w:rPr>
        <w:t>。</w:t>
      </w:r>
    </w:p>
    <w:p w14:paraId="6C66AA7D"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在罕遇地震作用下的结构性能应满足以下要求：</w:t>
      </w:r>
    </w:p>
    <w:p w14:paraId="1D0020FA"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首先屈服的构件应为耗能构件，其次为普通竖向构件，最后为关键构件。</w:t>
      </w:r>
    </w:p>
    <w:p w14:paraId="6ADF7CBB"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除嵌固端外，同一楼层竖向构件的屈服数量不宜超过</w:t>
      </w:r>
      <w:r>
        <w:rPr>
          <w:rFonts w:ascii="Times New Roman" w:hint="default"/>
          <w:sz w:val="28"/>
          <w:szCs w:val="28"/>
        </w:rPr>
        <w:t>50%</w:t>
      </w:r>
      <w:r>
        <w:rPr>
          <w:rFonts w:ascii="Times New Roman" w:hint="default"/>
          <w:sz w:val="28"/>
          <w:szCs w:val="28"/>
        </w:rPr>
        <w:t>。</w:t>
      </w:r>
    </w:p>
    <w:p w14:paraId="708897FA"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当构件损坏程度较小无法判断其屈服顺序时，宜提高地震作用进行评价。</w:t>
      </w:r>
    </w:p>
    <w:p w14:paraId="7CCB12AC"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预定的罕遇地震作用下，结构弹塑性时程分析结果出现以下情况之一时，可认为其在地震作用下发生倒塌：</w:t>
      </w:r>
    </w:p>
    <w:p w14:paraId="54A4D40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地震动输入结束后，在重力荷载代表值作用下，结构位移呈增大趋势或位移时程曲线呈发散趋势；</w:t>
      </w:r>
    </w:p>
    <w:p w14:paraId="47F79169"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任一楼层的层间位移角峰值的包络值大于</w:t>
      </w:r>
      <w:r>
        <w:rPr>
          <w:rFonts w:ascii="Times New Roman" w:hint="default"/>
          <w:sz w:val="28"/>
          <w:szCs w:val="28"/>
        </w:rPr>
        <w:t>0.045;</w:t>
      </w:r>
    </w:p>
    <w:p w14:paraId="2F1EB9BE"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结构竖向变形量影响结构安全使用空间或冲击到下部楼层构件。</w:t>
      </w:r>
    </w:p>
    <w:p w14:paraId="077DD397"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构件性能评价</w:t>
      </w:r>
    </w:p>
    <w:p w14:paraId="51EE302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lastRenderedPageBreak/>
        <w:t>构件性能评价应包括截面抗震承载力验算和损坏程度评价。对结构中的关键构件和不允许屈服的构件，应验算其截面抗震承载力；对允许屈服的构件，应验算其受剪承载力，并评价其损坏程度。构件损坏程度可采用基于材料应变或构件广义变形进行评价。</w:t>
      </w:r>
    </w:p>
    <w:p w14:paraId="3B058F6B"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构件抗震承载力验算时，构件内力宜采用弹性分析方法或等效弹性分析方法；当构件内力采用弹塑性分析方法时，应符合以下要求：</w:t>
      </w:r>
    </w:p>
    <w:p w14:paraId="4479A68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当采用弹塑性时程分析方法时，应采用七组弹塑性时程分析得到的最大内力平均值；</w:t>
      </w:r>
    </w:p>
    <w:p w14:paraId="3774B34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当采用静力弹塑性分析方法时，应采用两种或两种以上侧向力加载模式推覆得到的构件内力包络值。</w:t>
      </w:r>
    </w:p>
    <w:p w14:paraId="53301BC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对于框架</w:t>
      </w:r>
      <w:r>
        <w:rPr>
          <w:rFonts w:ascii="Times New Roman" w:hint="default"/>
          <w:sz w:val="28"/>
          <w:szCs w:val="28"/>
        </w:rPr>
        <w:t>-</w:t>
      </w:r>
      <w:r>
        <w:rPr>
          <w:rFonts w:ascii="Times New Roman" w:hint="default"/>
          <w:sz w:val="28"/>
          <w:szCs w:val="28"/>
        </w:rPr>
        <w:t>核心筒、框架</w:t>
      </w:r>
      <w:r>
        <w:rPr>
          <w:rFonts w:ascii="Times New Roman" w:hint="default"/>
          <w:sz w:val="28"/>
          <w:szCs w:val="28"/>
        </w:rPr>
        <w:t>-</w:t>
      </w:r>
      <w:r>
        <w:rPr>
          <w:rFonts w:ascii="Times New Roman" w:hint="default"/>
          <w:sz w:val="28"/>
          <w:szCs w:val="28"/>
        </w:rPr>
        <w:t>剪力墙等具有多道抗震防线的结构，框架部分除采用弹性分析或等效弹性分析方法进行构件抗震承载力验算外，宜采用弹塑性分析方法计算的构件内力进行抗震承载力补充验算。</w:t>
      </w:r>
    </w:p>
    <w:p w14:paraId="4C567F15" w14:textId="77777777" w:rsidR="00686ADF" w:rsidRDefault="00000000">
      <w:pPr>
        <w:pStyle w:val="a"/>
        <w:spacing w:before="240" w:after="240" w:line="360" w:lineRule="auto"/>
        <w:rPr>
          <w:rFonts w:ascii="Times New Roman" w:hint="default"/>
          <w:sz w:val="28"/>
          <w:szCs w:val="28"/>
        </w:rPr>
      </w:pPr>
      <w:bookmarkStart w:id="35" w:name="_Toc195545168"/>
      <w:bookmarkStart w:id="36" w:name="_Toc195607950"/>
      <w:r>
        <w:rPr>
          <w:rFonts w:ascii="Times New Roman" w:hint="default"/>
          <w:sz w:val="28"/>
          <w:szCs w:val="28"/>
        </w:rPr>
        <w:t>结构分析</w:t>
      </w:r>
      <w:bookmarkEnd w:id="35"/>
      <w:bookmarkEnd w:id="36"/>
    </w:p>
    <w:p w14:paraId="2C11D8EA"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基本要求</w:t>
      </w:r>
    </w:p>
    <w:p w14:paraId="1ECC574B"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楼宇建筑结构的计算分析应符合以下规定：</w:t>
      </w:r>
    </w:p>
    <w:p w14:paraId="1C3B1F1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风及多遇地震作用下的结构，应采用弹性分析方法进行承载力、变形验算和截面设计；</w:t>
      </w:r>
    </w:p>
    <w:p w14:paraId="07640E71"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设防地震和罕遇地震作用下，第</w:t>
      </w:r>
      <w:r>
        <w:rPr>
          <w:rFonts w:ascii="Times New Roman" w:hint="default"/>
          <w:sz w:val="28"/>
          <w:szCs w:val="28"/>
        </w:rPr>
        <w:t>1</w:t>
      </w:r>
      <w:r>
        <w:rPr>
          <w:rFonts w:ascii="Times New Roman" w:hint="default"/>
          <w:sz w:val="28"/>
          <w:szCs w:val="28"/>
        </w:rPr>
        <w:t>、第</w:t>
      </w:r>
      <w:r>
        <w:rPr>
          <w:rFonts w:ascii="Times New Roman" w:hint="default"/>
          <w:sz w:val="28"/>
          <w:szCs w:val="28"/>
        </w:rPr>
        <w:t>2</w:t>
      </w:r>
      <w:r>
        <w:rPr>
          <w:rFonts w:ascii="Times New Roman" w:hint="default"/>
          <w:sz w:val="28"/>
          <w:szCs w:val="28"/>
        </w:rPr>
        <w:t>抗震性能水准的结构，可采用弹性分析方法进行承载力、变形验算；</w:t>
      </w:r>
    </w:p>
    <w:p w14:paraId="26BDB1BE"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设防地震和罕遇地震作用下，第</w:t>
      </w:r>
      <w:r>
        <w:rPr>
          <w:rFonts w:ascii="Times New Roman" w:hint="default"/>
          <w:sz w:val="28"/>
          <w:szCs w:val="28"/>
        </w:rPr>
        <w:t>3</w:t>
      </w:r>
      <w:r>
        <w:rPr>
          <w:rFonts w:ascii="Times New Roman" w:hint="default"/>
          <w:sz w:val="28"/>
          <w:szCs w:val="28"/>
        </w:rPr>
        <w:t>抗震性能水准的结构可采用等效弹性方法进行承载力、变形验算，并宜采用弹塑性方法复核；</w:t>
      </w:r>
      <w:r>
        <w:rPr>
          <w:rFonts w:ascii="Times New Roman" w:hint="default"/>
          <w:sz w:val="28"/>
          <w:szCs w:val="28"/>
        </w:rPr>
        <w:lastRenderedPageBreak/>
        <w:t>第</w:t>
      </w:r>
      <w:r>
        <w:rPr>
          <w:rFonts w:ascii="Times New Roman" w:hint="default"/>
          <w:sz w:val="28"/>
          <w:szCs w:val="28"/>
        </w:rPr>
        <w:t>4</w:t>
      </w:r>
      <w:r>
        <w:rPr>
          <w:rFonts w:ascii="Times New Roman" w:hint="default"/>
          <w:sz w:val="28"/>
          <w:szCs w:val="28"/>
        </w:rPr>
        <w:t>、第</w:t>
      </w:r>
      <w:r>
        <w:rPr>
          <w:rFonts w:ascii="Times New Roman" w:hint="default"/>
          <w:sz w:val="28"/>
          <w:szCs w:val="28"/>
        </w:rPr>
        <w:t>5</w:t>
      </w:r>
      <w:r>
        <w:rPr>
          <w:rFonts w:ascii="Times New Roman" w:hint="default"/>
          <w:sz w:val="28"/>
          <w:szCs w:val="28"/>
        </w:rPr>
        <w:t>抗震性能水准的结构可采用等效弹性方法进行承载力、变形验算，并应采用弹塑性方法复核。</w:t>
      </w:r>
    </w:p>
    <w:p w14:paraId="2F544E71"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楼宇建筑中影响结构抗震性能的幕墙体系、顶部突出屋面的构架、塔冠等结构应参与整体结构分析，应符合以下规定：</w:t>
      </w:r>
    </w:p>
    <w:p w14:paraId="5AEC4E0B"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宜采用时程直接积分法进行补充分析计算；</w:t>
      </w:r>
    </w:p>
    <w:p w14:paraId="3754869B"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采用振型分解反应谱法或振型叠加法进行计算时，应判别计算振型是否包含突出屋面结构的高阶振型。</w:t>
      </w:r>
    </w:p>
    <w:p w14:paraId="5448892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结构构件内力和承载力计算时，应采用带地下室的结构模型；当结构嵌固端位于地下室顶板以下时，构件内力宜采用地下室顶板嵌固与嵌固端嵌固两个模型分别计算，并取较大值进行承载力计算。</w:t>
      </w:r>
    </w:p>
    <w:p w14:paraId="6ACCDE2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楼宇建筑顶部结构刚度明显薄弱时，或对于竖向体型收进结构，应考虑鞭梢效应的不利影响，采用振型分解反应谱计算时振型数宜使各振型参与质量之和不小于总质量的</w:t>
      </w:r>
      <w:r>
        <w:rPr>
          <w:rFonts w:ascii="Times New Roman" w:hint="default"/>
          <w:sz w:val="28"/>
          <w:szCs w:val="28"/>
        </w:rPr>
        <w:t>95%</w:t>
      </w:r>
      <w:r>
        <w:rPr>
          <w:rFonts w:ascii="Times New Roman" w:hint="default"/>
          <w:sz w:val="28"/>
          <w:szCs w:val="28"/>
        </w:rPr>
        <w:t>，采用弹性时程分析法复核，适当放大地震作用。</w:t>
      </w:r>
    </w:p>
    <w:p w14:paraId="2B2AF706"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采用时程法进行补充计算时，宜采用双向或三向地震动，地震加速度峰值宜满足</w:t>
      </w:r>
      <w:r>
        <w:rPr>
          <w:rFonts w:ascii="Times New Roman" w:hint="default"/>
          <w:sz w:val="28"/>
          <w:szCs w:val="28"/>
        </w:rPr>
        <w:t>GB/T 50011</w:t>
      </w:r>
      <w:r>
        <w:rPr>
          <w:rFonts w:ascii="Times New Roman" w:hint="default"/>
          <w:sz w:val="28"/>
          <w:szCs w:val="28"/>
        </w:rPr>
        <w:t>的要求。以下结构的时程分析宜考虑竖向地震作用：</w:t>
      </w:r>
    </w:p>
    <w:p w14:paraId="45DEC56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七度抗震设防时，高度超过</w:t>
      </w:r>
      <w:r>
        <w:rPr>
          <w:rFonts w:ascii="Times New Roman" w:hint="default"/>
          <w:sz w:val="28"/>
          <w:szCs w:val="28"/>
        </w:rPr>
        <w:t>350 m</w:t>
      </w:r>
      <w:r>
        <w:rPr>
          <w:rFonts w:ascii="Times New Roman" w:hint="default"/>
          <w:sz w:val="28"/>
          <w:szCs w:val="28"/>
        </w:rPr>
        <w:t>的楼宇建筑结构；</w:t>
      </w:r>
    </w:p>
    <w:p w14:paraId="6D88252A"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带转换层的结构；</w:t>
      </w:r>
    </w:p>
    <w:p w14:paraId="24EACBEE"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连体结构；</w:t>
      </w:r>
    </w:p>
    <w:p w14:paraId="79D589F4"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悬挑结构、吊挂结构；</w:t>
      </w:r>
    </w:p>
    <w:p w14:paraId="203A7EE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大跨度和长悬臂结构。</w:t>
      </w:r>
    </w:p>
    <w:p w14:paraId="7758800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长度不小于</w:t>
      </w:r>
      <w:r>
        <w:rPr>
          <w:rFonts w:ascii="Times New Roman" w:hint="default"/>
          <w:sz w:val="28"/>
          <w:szCs w:val="28"/>
        </w:rPr>
        <w:t>300 m</w:t>
      </w:r>
      <w:r>
        <w:rPr>
          <w:rFonts w:ascii="Times New Roman" w:hint="default"/>
          <w:sz w:val="28"/>
          <w:szCs w:val="28"/>
        </w:rPr>
        <w:t>的超长结构，应按多点地震作用进行弹性和弹塑性动力分析，并计入地震行波效应和局部场地效应的影响。</w:t>
      </w:r>
    </w:p>
    <w:p w14:paraId="6EDFC0C9"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lastRenderedPageBreak/>
        <w:t>带转换层、加强层、错层、连体等受力复杂的结构，应在整体分析的基础上进行局部的内力或应力分析，并按应力进行配筋设计校核，对于受力复杂的节点或结构构件，应进行应力分析，并应按应力进行配筋，必要时宜进行结构模型试验验证。</w:t>
      </w:r>
    </w:p>
    <w:p w14:paraId="7538232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对结构分析软件的计算结果，应进行分析判断，确认其合理、有效后方可作为工程设计的依据。</w:t>
      </w:r>
    </w:p>
    <w:p w14:paraId="3FBB9EC7"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结构计算</w:t>
      </w:r>
    </w:p>
    <w:p w14:paraId="396C5D92"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楼宇建筑结构分析模型应能较准确地反映结构中各构件的实际受力状况，符合以下要求：</w:t>
      </w:r>
    </w:p>
    <w:p w14:paraId="43873F0A" w14:textId="77777777" w:rsidR="00686ADF" w:rsidRDefault="00000000">
      <w:pPr>
        <w:pStyle w:val="a7"/>
        <w:spacing w:line="360" w:lineRule="auto"/>
        <w:rPr>
          <w:rFonts w:ascii="Times New Roman" w:hint="default"/>
          <w:sz w:val="28"/>
          <w:szCs w:val="28"/>
        </w:rPr>
      </w:pPr>
      <w:r>
        <w:rPr>
          <w:rFonts w:ascii="Times New Roman" w:hint="default"/>
          <w:sz w:val="28"/>
          <w:szCs w:val="28"/>
        </w:rPr>
        <w:t>梁、柱、支撑构件可采用杆单元；</w:t>
      </w:r>
    </w:p>
    <w:p w14:paraId="62769E20" w14:textId="77777777" w:rsidR="00686ADF" w:rsidRDefault="00000000">
      <w:pPr>
        <w:pStyle w:val="a7"/>
        <w:spacing w:line="360" w:lineRule="auto"/>
        <w:rPr>
          <w:rFonts w:ascii="Times New Roman" w:hint="default"/>
          <w:sz w:val="28"/>
          <w:szCs w:val="28"/>
        </w:rPr>
      </w:pPr>
      <w:r>
        <w:rPr>
          <w:rFonts w:ascii="Times New Roman" w:hint="default"/>
          <w:sz w:val="28"/>
          <w:szCs w:val="28"/>
        </w:rPr>
        <w:t>楼板可采用刚性板假定，需计入面内变形影响的楼板宜采用弹性板或弹性膜单元；</w:t>
      </w:r>
    </w:p>
    <w:p w14:paraId="0C8D5C8F" w14:textId="77777777" w:rsidR="00686ADF" w:rsidRDefault="00000000">
      <w:pPr>
        <w:pStyle w:val="a7"/>
        <w:spacing w:line="360" w:lineRule="auto"/>
        <w:rPr>
          <w:rFonts w:ascii="Times New Roman" w:hint="default"/>
          <w:sz w:val="28"/>
          <w:szCs w:val="28"/>
        </w:rPr>
      </w:pPr>
      <w:r>
        <w:rPr>
          <w:rFonts w:ascii="Times New Roman" w:hint="default"/>
          <w:sz w:val="28"/>
          <w:szCs w:val="28"/>
        </w:rPr>
        <w:t>剪力墙宜采用壳单元；</w:t>
      </w:r>
    </w:p>
    <w:p w14:paraId="66608297" w14:textId="77777777" w:rsidR="00686ADF" w:rsidRDefault="00000000">
      <w:pPr>
        <w:pStyle w:val="a7"/>
        <w:spacing w:line="360" w:lineRule="auto"/>
        <w:rPr>
          <w:rFonts w:ascii="Times New Roman" w:hint="default"/>
          <w:sz w:val="28"/>
          <w:szCs w:val="28"/>
        </w:rPr>
      </w:pPr>
      <w:r>
        <w:rPr>
          <w:rFonts w:ascii="Times New Roman" w:hint="default"/>
          <w:sz w:val="28"/>
          <w:szCs w:val="28"/>
        </w:rPr>
        <w:t>连梁可采用杆单元或壳单元；</w:t>
      </w:r>
    </w:p>
    <w:p w14:paraId="6295E8F1" w14:textId="77777777" w:rsidR="00686ADF" w:rsidRDefault="00000000">
      <w:pPr>
        <w:pStyle w:val="a7"/>
        <w:spacing w:line="360" w:lineRule="auto"/>
        <w:rPr>
          <w:rFonts w:ascii="Times New Roman" w:hint="default"/>
          <w:sz w:val="28"/>
          <w:szCs w:val="28"/>
        </w:rPr>
      </w:pPr>
      <w:r>
        <w:rPr>
          <w:rFonts w:ascii="Times New Roman" w:hint="default"/>
          <w:sz w:val="28"/>
          <w:szCs w:val="28"/>
        </w:rPr>
        <w:t>单元数量应能反映构件的实际变形；</w:t>
      </w:r>
    </w:p>
    <w:p w14:paraId="14D8F430" w14:textId="77777777" w:rsidR="00686ADF" w:rsidRDefault="00000000">
      <w:pPr>
        <w:pStyle w:val="a7"/>
        <w:spacing w:line="360" w:lineRule="auto"/>
        <w:rPr>
          <w:rFonts w:ascii="Times New Roman" w:hint="default"/>
          <w:sz w:val="28"/>
          <w:szCs w:val="28"/>
        </w:rPr>
      </w:pPr>
      <w:r>
        <w:rPr>
          <w:rFonts w:ascii="Times New Roman" w:hint="default"/>
          <w:sz w:val="28"/>
          <w:szCs w:val="28"/>
        </w:rPr>
        <w:t>采用钢结构时，其计算模型尚宜考虑初始缺陷条件。</w:t>
      </w:r>
    </w:p>
    <w:p w14:paraId="0EBE2F02"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结构分析中阻尼参数的选取应符合以下规定：</w:t>
      </w:r>
    </w:p>
    <w:p w14:paraId="7121B0C6"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多遇地震下弹性计算的结构阻尼比宜满足</w:t>
      </w:r>
      <w:r>
        <w:rPr>
          <w:rFonts w:ascii="Times New Roman" w:hint="default"/>
          <w:sz w:val="28"/>
          <w:szCs w:val="28"/>
        </w:rPr>
        <w:t>GB/T 50011</w:t>
      </w:r>
      <w:r>
        <w:rPr>
          <w:rFonts w:ascii="Times New Roman" w:hint="default"/>
          <w:sz w:val="28"/>
          <w:szCs w:val="28"/>
        </w:rPr>
        <w:t>、</w:t>
      </w:r>
      <w:r>
        <w:rPr>
          <w:rFonts w:ascii="Times New Roman" w:hint="default"/>
          <w:sz w:val="28"/>
          <w:szCs w:val="28"/>
        </w:rPr>
        <w:t>JGJ 3</w:t>
      </w:r>
      <w:r>
        <w:rPr>
          <w:rFonts w:ascii="Times New Roman" w:hint="default"/>
          <w:sz w:val="28"/>
          <w:szCs w:val="28"/>
        </w:rPr>
        <w:t>和</w:t>
      </w:r>
      <w:r>
        <w:rPr>
          <w:rFonts w:ascii="Times New Roman" w:hint="default"/>
          <w:sz w:val="28"/>
          <w:szCs w:val="28"/>
        </w:rPr>
        <w:t>JGJ 99</w:t>
      </w:r>
      <w:r>
        <w:rPr>
          <w:rFonts w:ascii="Times New Roman" w:hint="default"/>
          <w:sz w:val="28"/>
          <w:szCs w:val="28"/>
        </w:rPr>
        <w:t>的要求；</w:t>
      </w:r>
    </w:p>
    <w:p w14:paraId="61CADBD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设防烈度和罕遇地震作用下的等效弹性分析，等效阻尼比可根据结构体系和材料类型在弹性分析阻尼比的基础上增加</w:t>
      </w:r>
      <w:r>
        <w:rPr>
          <w:rFonts w:ascii="Times New Roman" w:hint="default"/>
          <w:sz w:val="28"/>
          <w:szCs w:val="28"/>
        </w:rPr>
        <w:t>0.01~0.03</w:t>
      </w:r>
      <w:r>
        <w:rPr>
          <w:rFonts w:ascii="Times New Roman" w:hint="default"/>
          <w:sz w:val="28"/>
          <w:szCs w:val="28"/>
        </w:rPr>
        <w:t>，但罕遇地震作用下的等效阻尼比不宜大于静力弹塑性推覆结果或弹塑性时程分析结果反算得到等效阻尼比；</w:t>
      </w:r>
    </w:p>
    <w:p w14:paraId="7E1C4D09"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lastRenderedPageBreak/>
        <w:t>罕遇地震作用下的弹塑性分析可采用瑞利阻尼、振型阻尼等方式。当采用瑞利阻尼时，不应进行影响计算结果的简化处理。</w:t>
      </w:r>
    </w:p>
    <w:p w14:paraId="62B2599F"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楼宇建筑结构多遇地震作用效应计算时，可对剪力墙连梁刚度予以折减，折减系数不宜小于</w:t>
      </w:r>
      <w:r>
        <w:rPr>
          <w:rFonts w:ascii="Times New Roman" w:hint="default"/>
          <w:sz w:val="28"/>
          <w:szCs w:val="28"/>
        </w:rPr>
        <w:t>0.5;</w:t>
      </w:r>
      <w:r>
        <w:rPr>
          <w:rFonts w:ascii="Times New Roman" w:hint="default"/>
          <w:sz w:val="28"/>
          <w:szCs w:val="28"/>
        </w:rPr>
        <w:t>设防地震作用下结构承载力校核时不宜小于</w:t>
      </w:r>
      <w:r>
        <w:rPr>
          <w:rFonts w:ascii="Times New Roman" w:hint="default"/>
          <w:sz w:val="28"/>
          <w:szCs w:val="28"/>
        </w:rPr>
        <w:t>0.3</w:t>
      </w:r>
      <w:r>
        <w:rPr>
          <w:rFonts w:ascii="Times New Roman" w:hint="default"/>
          <w:sz w:val="28"/>
          <w:szCs w:val="28"/>
        </w:rPr>
        <w:t>。结构抗风设计时，连梁刚度折减系数不宜小于</w:t>
      </w:r>
      <w:r>
        <w:rPr>
          <w:rFonts w:ascii="Times New Roman" w:hint="default"/>
          <w:sz w:val="28"/>
          <w:szCs w:val="28"/>
        </w:rPr>
        <w:t>0.8</w:t>
      </w:r>
      <w:r>
        <w:rPr>
          <w:rFonts w:ascii="Times New Roman" w:hint="default"/>
          <w:sz w:val="28"/>
          <w:szCs w:val="28"/>
        </w:rPr>
        <w:t>。</w:t>
      </w:r>
    </w:p>
    <w:p w14:paraId="0A232F1E"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在竖向荷载作用下，由于竖向构件变形差导致钢筋混凝土框架梁、型钢混凝土框架梁端产生的弯矩可适当调幅，弯矩增加或减小的幅度不宜超过</w:t>
      </w:r>
      <w:r>
        <w:rPr>
          <w:rFonts w:ascii="Times New Roman" w:hint="default"/>
          <w:sz w:val="28"/>
          <w:szCs w:val="28"/>
        </w:rPr>
        <w:t>30%</w:t>
      </w:r>
      <w:r>
        <w:rPr>
          <w:rFonts w:ascii="Times New Roman" w:hint="default"/>
          <w:sz w:val="28"/>
          <w:szCs w:val="28"/>
        </w:rPr>
        <w:t>，且应按静力平衡条件调整梁跨中弯矩、梁端剪力及竖向构件内力。</w:t>
      </w:r>
    </w:p>
    <w:p w14:paraId="62891F5D"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结构内力和位移计算时，应考虑梁与钢筋混凝土楼板的共同作用，应符合以下规定：</w:t>
      </w:r>
    </w:p>
    <w:p w14:paraId="744B959D"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结构梁为钢筋混凝土梁、型钢混凝土梁且与楼板整浇时，仅单侧有楼板的梁刚度增大系数可取</w:t>
      </w:r>
      <w:r>
        <w:rPr>
          <w:rFonts w:ascii="Times New Roman" w:hint="default"/>
          <w:sz w:val="28"/>
          <w:szCs w:val="28"/>
        </w:rPr>
        <w:t>1.3~1.5</w:t>
      </w:r>
      <w:r>
        <w:rPr>
          <w:rFonts w:ascii="Times New Roman" w:hint="default"/>
          <w:sz w:val="28"/>
          <w:szCs w:val="28"/>
        </w:rPr>
        <w:t>，两侧有楼板的梁刚度放大系数可取</w:t>
      </w:r>
      <w:r>
        <w:rPr>
          <w:rFonts w:ascii="Times New Roman" w:hint="default"/>
          <w:sz w:val="28"/>
          <w:szCs w:val="28"/>
        </w:rPr>
        <w:t>1.5~2.0</w:t>
      </w:r>
      <w:r>
        <w:rPr>
          <w:rFonts w:ascii="Times New Roman" w:hint="default"/>
          <w:sz w:val="28"/>
          <w:szCs w:val="28"/>
        </w:rPr>
        <w:t>；</w:t>
      </w:r>
    </w:p>
    <w:p w14:paraId="0ABC78C4"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结构梁为钢梁，应保证钢梁与混凝土楼板有可靠连接，仅单侧有楼板的梁刚度增大系数可取</w:t>
      </w:r>
      <w:r>
        <w:rPr>
          <w:rFonts w:ascii="Times New Roman" w:hint="default"/>
          <w:sz w:val="28"/>
          <w:szCs w:val="28"/>
        </w:rPr>
        <w:t>1.2~1.4</w:t>
      </w:r>
      <w:r>
        <w:rPr>
          <w:rFonts w:ascii="Times New Roman" w:hint="default"/>
          <w:sz w:val="28"/>
          <w:szCs w:val="28"/>
        </w:rPr>
        <w:t>，两侧有楼板的梁刚度放大系数可取</w:t>
      </w:r>
      <w:r>
        <w:rPr>
          <w:rFonts w:ascii="Times New Roman" w:hint="default"/>
          <w:sz w:val="28"/>
          <w:szCs w:val="28"/>
        </w:rPr>
        <w:t>1.4~1.8</w:t>
      </w:r>
      <w:r>
        <w:rPr>
          <w:rFonts w:ascii="Times New Roman" w:hint="default"/>
          <w:sz w:val="28"/>
          <w:szCs w:val="28"/>
        </w:rPr>
        <w:t>；</w:t>
      </w:r>
    </w:p>
    <w:p w14:paraId="10EC3461"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设防地震和罕遇地震作用下，梁刚度放大系数的取值应计入楼板损伤的影响；</w:t>
      </w:r>
    </w:p>
    <w:p w14:paraId="43744041"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转换层及加强层的伸臂构件、带状桁架、转换桁架上下弦等，不宜考虑梁刚度放大系数；</w:t>
      </w:r>
    </w:p>
    <w:p w14:paraId="032C07BD"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对于无现浇面层的装配式楼盖，不宜考虑其对梁刚度的增大作用。</w:t>
      </w:r>
    </w:p>
    <w:p w14:paraId="4ABE326E"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楼宇建筑结构楼面梁受扭计算时应考虑楼板对梁的约束作用。当计算中未考虑楼板对梁扭转的约束作用时，可对楼面梁的计算扭矩予以</w:t>
      </w:r>
      <w:r>
        <w:rPr>
          <w:rFonts w:ascii="Times New Roman" w:hint="default"/>
          <w:sz w:val="28"/>
          <w:szCs w:val="28"/>
        </w:rPr>
        <w:lastRenderedPageBreak/>
        <w:t>折减，折减系数应根据周围楼板的约束情况确定，且不应小于</w:t>
      </w:r>
      <w:r>
        <w:rPr>
          <w:rFonts w:ascii="Times New Roman" w:hint="default"/>
          <w:sz w:val="28"/>
          <w:szCs w:val="28"/>
        </w:rPr>
        <w:t>0.3</w:t>
      </w:r>
      <w:r>
        <w:rPr>
          <w:rFonts w:ascii="Times New Roman" w:hint="default"/>
          <w:sz w:val="28"/>
          <w:szCs w:val="28"/>
        </w:rPr>
        <w:t>。独立梁、上翻梁和钢梁不应考虑楼板对梁受扭的有利作用。</w:t>
      </w:r>
    </w:p>
    <w:p w14:paraId="5249C111"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转换桁架、伸臂和环带桁架、连体桁架和悬挑桁架的杆件内力计算时，楼板应采用弹性膜单元模拟，应符合以下规定：</w:t>
      </w:r>
    </w:p>
    <w:p w14:paraId="1B5FF40C"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重力荷载、风荷载和多遇地震作用下，楼板面内刚度应乘以折减系数，折减系数不宜大于</w:t>
      </w:r>
      <w:r>
        <w:rPr>
          <w:rFonts w:ascii="Times New Roman" w:hint="default"/>
          <w:sz w:val="28"/>
          <w:szCs w:val="28"/>
        </w:rPr>
        <w:t>0.2</w:t>
      </w:r>
      <w:r>
        <w:rPr>
          <w:rFonts w:ascii="Times New Roman" w:hint="default"/>
          <w:sz w:val="28"/>
          <w:szCs w:val="28"/>
        </w:rPr>
        <w:t>；</w:t>
      </w:r>
    </w:p>
    <w:p w14:paraId="1AEC6F89"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罕遇地震作用下，宜按不考虑楼板面内刚度计算。</w:t>
      </w:r>
    </w:p>
    <w:p w14:paraId="0DBDDCFD"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楼板应力分析时，宜采用弹性膜或弹性板模型；受力复杂或进入塑性状态的楼板，宜采用分层壳模型。对于作为转换构件的厚板结构，应采用实体单元或厚板单元进行有限元分析。楼板强度设计应采用楼板的主拉应力作为设计依据。</w:t>
      </w:r>
    </w:p>
    <w:p w14:paraId="223C3447"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由于楼板开洞或存在局部夹层导致长、短柱共存的结构，长柱（穿层柱）的计算长度可由稳定分析确定，应计入设防地震和罕遇地震作用下短柱刚度退化后长柱地震效应放大影响。</w:t>
      </w:r>
    </w:p>
    <w:p w14:paraId="287044EF"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对于错层结构、坡屋顶结构等，应根据结构实际变形情况计算扭转位移比、层间位移角等变形指标。</w:t>
      </w:r>
    </w:p>
    <w:p w14:paraId="0EF85B5F"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节点分析模型建模应满足以下要求：</w:t>
      </w:r>
    </w:p>
    <w:p w14:paraId="394653E5"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合理选择单元类型、单元划分尺寸及材料本构关系；</w:t>
      </w:r>
    </w:p>
    <w:p w14:paraId="1898C6F6"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准确处理模型边界条件和不同单元之间节点耦合关系；</w:t>
      </w:r>
    </w:p>
    <w:p w14:paraId="357F57A8"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合理选择荷载控制工况及荷载施加方式。</w:t>
      </w:r>
    </w:p>
    <w:p w14:paraId="74709BFF"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弹性分析</w:t>
      </w:r>
    </w:p>
    <w:p w14:paraId="37FF506A"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多遇地震作用下结构弹性时程分析的计算结果应与振型分解反应谱法计算结果进行对比分析，并按两者的较大值进行构件的承载力验算。</w:t>
      </w:r>
      <w:r>
        <w:rPr>
          <w:rFonts w:ascii="Times New Roman" w:hint="default"/>
          <w:sz w:val="28"/>
          <w:szCs w:val="28"/>
        </w:rPr>
        <w:lastRenderedPageBreak/>
        <w:t>设防烈度和罕遇地震作用下，当结构采用等效弹性法验算构件承载力时，各楼层的地震作用也应相应放大。</w:t>
      </w:r>
    </w:p>
    <w:p w14:paraId="534954DC"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设防地震作用下等效弹性分析时，结构的计算自振周期折减系数可适当加大；罕遇地震作用下等效弹性分析时，自振周期折减系数可取</w:t>
      </w:r>
      <w:r>
        <w:rPr>
          <w:rFonts w:ascii="Times New Roman" w:hint="default"/>
          <w:sz w:val="28"/>
          <w:szCs w:val="28"/>
        </w:rPr>
        <w:t>1.0</w:t>
      </w:r>
      <w:r>
        <w:rPr>
          <w:rFonts w:ascii="Times New Roman" w:hint="default"/>
          <w:sz w:val="28"/>
          <w:szCs w:val="28"/>
        </w:rPr>
        <w:t>。</w:t>
      </w:r>
    </w:p>
    <w:p w14:paraId="7FEFCCA1"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对于框架</w:t>
      </w:r>
      <w:r>
        <w:rPr>
          <w:rFonts w:ascii="Times New Roman" w:hint="default"/>
          <w:sz w:val="28"/>
          <w:szCs w:val="28"/>
        </w:rPr>
        <w:t>-</w:t>
      </w:r>
      <w:r>
        <w:rPr>
          <w:rFonts w:ascii="Times New Roman" w:hint="default"/>
          <w:sz w:val="28"/>
          <w:szCs w:val="28"/>
        </w:rPr>
        <w:t>剪力墙、框架</w:t>
      </w:r>
      <w:r>
        <w:rPr>
          <w:rFonts w:ascii="Times New Roman" w:hint="default"/>
          <w:sz w:val="28"/>
          <w:szCs w:val="28"/>
        </w:rPr>
        <w:t>-</w:t>
      </w:r>
      <w:r>
        <w:rPr>
          <w:rFonts w:ascii="Times New Roman" w:hint="default"/>
          <w:sz w:val="28"/>
          <w:szCs w:val="28"/>
        </w:rPr>
        <w:t>核心筒结构，采用等效弹性方法进行框架部分承载力计算时，应计入剪力墙、核心筒连梁屈服后内力重分布的影响。</w:t>
      </w:r>
    </w:p>
    <w:p w14:paraId="16F7928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在结构整体内力和变形分析时，结构构件的刚度可按以下原则确定：</w:t>
      </w:r>
    </w:p>
    <w:p w14:paraId="02A3BE4E" w14:textId="77777777" w:rsidR="00686ADF" w:rsidRDefault="00000000">
      <w:pPr>
        <w:pStyle w:val="a7"/>
        <w:spacing w:line="360" w:lineRule="auto"/>
        <w:rPr>
          <w:rFonts w:ascii="Times New Roman" w:hint="default"/>
          <w:sz w:val="28"/>
          <w:szCs w:val="28"/>
        </w:rPr>
      </w:pPr>
      <w:r>
        <w:rPr>
          <w:rFonts w:ascii="Times New Roman" w:hint="default"/>
          <w:sz w:val="28"/>
          <w:szCs w:val="28"/>
        </w:rPr>
        <w:t>端部加腋的混凝土结构构件，应考虑其截面变化对结构分析的影响；</w:t>
      </w:r>
    </w:p>
    <w:p w14:paraId="074FF8A6" w14:textId="77777777" w:rsidR="00686ADF" w:rsidRDefault="00000000">
      <w:pPr>
        <w:pStyle w:val="a7"/>
        <w:spacing w:line="360" w:lineRule="auto"/>
        <w:rPr>
          <w:rFonts w:ascii="Times New Roman" w:hint="default"/>
          <w:sz w:val="28"/>
          <w:szCs w:val="28"/>
        </w:rPr>
      </w:pPr>
      <w:r>
        <w:rPr>
          <w:rFonts w:ascii="Times New Roman" w:hint="default"/>
          <w:sz w:val="28"/>
          <w:szCs w:val="28"/>
        </w:rPr>
        <w:t>无端柱型钢混凝土剪力墙，可近似按相同截面的钢筋混凝土剪力墙计算截面刚度；</w:t>
      </w:r>
    </w:p>
    <w:p w14:paraId="10BBE081" w14:textId="77777777" w:rsidR="00686ADF" w:rsidRDefault="00000000">
      <w:pPr>
        <w:pStyle w:val="a7"/>
        <w:spacing w:line="360" w:lineRule="auto"/>
        <w:rPr>
          <w:rFonts w:ascii="Times New Roman" w:hint="default"/>
          <w:sz w:val="28"/>
          <w:szCs w:val="28"/>
        </w:rPr>
      </w:pPr>
      <w:r>
        <w:rPr>
          <w:rFonts w:ascii="Times New Roman" w:hint="default"/>
          <w:sz w:val="28"/>
          <w:szCs w:val="28"/>
        </w:rPr>
        <w:t>有端柱型钢混凝土剪力墙，可近似按</w:t>
      </w:r>
      <w:r>
        <w:rPr>
          <w:rFonts w:ascii="Times New Roman" w:hint="default"/>
          <w:sz w:val="28"/>
          <w:szCs w:val="28"/>
        </w:rPr>
        <w:t>H</w:t>
      </w:r>
      <w:r>
        <w:rPr>
          <w:rFonts w:ascii="Times New Roman" w:hint="default"/>
          <w:sz w:val="28"/>
          <w:szCs w:val="28"/>
        </w:rPr>
        <w:t>形截面混凝土墙计算轴向和抗弯刚度，端柱中的钢骨可折算为等效混凝土面积后计入</w:t>
      </w:r>
      <w:r>
        <w:rPr>
          <w:rFonts w:ascii="Times New Roman" w:hint="default"/>
          <w:sz w:val="28"/>
          <w:szCs w:val="28"/>
        </w:rPr>
        <w:t>H</w:t>
      </w:r>
      <w:r>
        <w:rPr>
          <w:rFonts w:ascii="Times New Roman" w:hint="default"/>
          <w:sz w:val="28"/>
          <w:szCs w:val="28"/>
        </w:rPr>
        <w:t>形截面的翼缘面积。</w:t>
      </w:r>
    </w:p>
    <w:p w14:paraId="6ED0FD90"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t>结构弹塑性分析</w:t>
      </w:r>
    </w:p>
    <w:p w14:paraId="45E401B5"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结构弹塑性分析应采用符合实际受力状态的单元模型，应符合以下规定：</w:t>
      </w:r>
    </w:p>
    <w:p w14:paraId="3945E7A8"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弹塑性构件可采用基于材料或基于构件的非线性模型，必要时应与构件的实际非线性性能进行对比验证；弹塑性动力分析中材料或构件的非线性模型，应采用往复作用下的滞回本构关系模型；</w:t>
      </w:r>
    </w:p>
    <w:p w14:paraId="52A98A99"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lastRenderedPageBreak/>
        <w:t>框架梁、框架柱和支撑可采用纤维束模型，框架梁和框架柱也可采用塑性铰模型或在构件塑性区采用非线性弹簧模型；采用塑性铰模型时，构件刚度应考虑混凝土开裂影响进行折减，抗弯刚度可取毛截面刚度的</w:t>
      </w:r>
      <w:r>
        <w:rPr>
          <w:rFonts w:ascii="Times New Roman" w:hint="default"/>
          <w:sz w:val="28"/>
          <w:szCs w:val="28"/>
        </w:rPr>
        <w:t>0.5~0.8</w:t>
      </w:r>
      <w:r>
        <w:rPr>
          <w:rFonts w:ascii="Times New Roman" w:hint="default"/>
          <w:sz w:val="28"/>
          <w:szCs w:val="28"/>
        </w:rPr>
        <w:t>倍，抗剪刚度可取毛截面刚度的</w:t>
      </w:r>
      <w:r>
        <w:rPr>
          <w:rFonts w:ascii="Times New Roman" w:hint="default"/>
          <w:sz w:val="28"/>
          <w:szCs w:val="28"/>
        </w:rPr>
        <w:t>0.4</w:t>
      </w:r>
      <w:r>
        <w:rPr>
          <w:rFonts w:ascii="Times New Roman" w:hint="default"/>
          <w:sz w:val="28"/>
          <w:szCs w:val="28"/>
        </w:rPr>
        <w:t>倍，轴向刚度不折减；</w:t>
      </w:r>
    </w:p>
    <w:p w14:paraId="28CE55E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剪力墙宜采用非线性分层壳模型，平面内单元网格尺寸以及平面外计算分层数量应能反映剪力墙的损伤破坏状态；剪力墙约束边缘构件的暗柱、端柱应采用合理的单元进行模拟，应与剪力墙的其他部位变形协调；</w:t>
      </w:r>
    </w:p>
    <w:p w14:paraId="430FC96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混凝土连梁宜采用壳单元模型，当跨高比小于</w:t>
      </w:r>
      <w:r>
        <w:rPr>
          <w:rFonts w:ascii="Times New Roman" w:hint="default"/>
          <w:sz w:val="28"/>
          <w:szCs w:val="28"/>
        </w:rPr>
        <w:t>3</w:t>
      </w:r>
      <w:r>
        <w:rPr>
          <w:rFonts w:ascii="Times New Roman" w:hint="default"/>
          <w:sz w:val="28"/>
          <w:szCs w:val="28"/>
        </w:rPr>
        <w:t>时应采用非线性分层壳单元模型，连梁平面内单元网格尺寸应能反映连梁的损伤破坏状态；当连梁跨高比大于</w:t>
      </w:r>
      <w:r>
        <w:rPr>
          <w:rFonts w:ascii="Times New Roman" w:hint="default"/>
          <w:sz w:val="28"/>
          <w:szCs w:val="28"/>
        </w:rPr>
        <w:t>5</w:t>
      </w:r>
      <w:r>
        <w:rPr>
          <w:rFonts w:ascii="Times New Roman" w:hint="default"/>
          <w:sz w:val="28"/>
          <w:szCs w:val="28"/>
        </w:rPr>
        <w:t>时可采用梁单元模型；</w:t>
      </w:r>
    </w:p>
    <w:p w14:paraId="13E6D420"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转换梁所采用的单元模型应能反映其真实受力状态，当被转换构件为剪力墙时，转换梁应采用三维实体单元或壳单元模型；被转换构件为框架柱时，转换梁可采用杆单元模型，当转换梁跨高比小于</w:t>
      </w:r>
      <w:r>
        <w:rPr>
          <w:rFonts w:ascii="Times New Roman" w:hint="default"/>
          <w:sz w:val="28"/>
          <w:szCs w:val="28"/>
        </w:rPr>
        <w:t>3</w:t>
      </w:r>
      <w:r>
        <w:rPr>
          <w:rFonts w:ascii="Times New Roman" w:hint="default"/>
          <w:sz w:val="28"/>
          <w:szCs w:val="28"/>
        </w:rPr>
        <w:t>时，应采用三维实体单元或壳单元模型；</w:t>
      </w:r>
    </w:p>
    <w:p w14:paraId="6471FD6F"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巨柱等大尺度构件可采用实体单元或壳元进行模拟，并应注意与梁单元或壳单元在连接处的变形协调性；</w:t>
      </w:r>
    </w:p>
    <w:p w14:paraId="1937979D"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钢管混凝土构件可考虑钢管约束对混凝土轴心抗压强度和受压变形能力的影响；普通混凝土构件宜考虑箍筋约束作用对变形能力的影响。</w:t>
      </w:r>
    </w:p>
    <w:p w14:paraId="7F0F8CFE"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当结构的高度超过</w:t>
      </w:r>
      <w:r>
        <w:rPr>
          <w:rFonts w:ascii="Times New Roman" w:hint="default"/>
          <w:sz w:val="28"/>
          <w:szCs w:val="28"/>
        </w:rPr>
        <w:t>300 m</w:t>
      </w:r>
      <w:r>
        <w:rPr>
          <w:rFonts w:ascii="Times New Roman" w:hint="default"/>
          <w:sz w:val="28"/>
          <w:szCs w:val="28"/>
        </w:rPr>
        <w:t>时，应采用</w:t>
      </w:r>
      <w:r>
        <w:rPr>
          <w:rFonts w:ascii="Times New Roman" w:hint="default"/>
          <w:sz w:val="28"/>
          <w:szCs w:val="28"/>
        </w:rPr>
        <w:t>2</w:t>
      </w:r>
      <w:r>
        <w:rPr>
          <w:rFonts w:ascii="Times New Roman" w:hint="default"/>
          <w:sz w:val="28"/>
          <w:szCs w:val="28"/>
        </w:rPr>
        <w:t>个不同力学模型的软件进行弹塑性分析。</w:t>
      </w:r>
    </w:p>
    <w:p w14:paraId="2A2DFBA2"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lastRenderedPageBreak/>
        <w:t>结构弹塑性分析模型的总质量、周期、振型应与多遇地震弹性分析结果基本一致。</w:t>
      </w:r>
    </w:p>
    <w:p w14:paraId="39424B2F"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结构弹塑性分析应以重力荷载代表值施加完毕的状态作为初始状态，并计入施工过程的影响。</w:t>
      </w:r>
    </w:p>
    <w:p w14:paraId="1967EE2C"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结构宜采用时程分析法进行弹塑性分析。高度不超过</w:t>
      </w:r>
      <w:r>
        <w:rPr>
          <w:rFonts w:ascii="Times New Roman" w:hint="default"/>
          <w:sz w:val="28"/>
          <w:szCs w:val="28"/>
        </w:rPr>
        <w:t>150 m</w:t>
      </w:r>
      <w:r>
        <w:rPr>
          <w:rFonts w:ascii="Times New Roman" w:hint="default"/>
          <w:sz w:val="28"/>
          <w:szCs w:val="28"/>
        </w:rPr>
        <w:t>、平立面规则、以第一阶平动振型为主、且高阶振型影响不显著的楼宇建筑结构，可采用静力推覆方法进行弹塑性分析。以下结构应采用时程分析法进行弹塑性分析：</w:t>
      </w:r>
    </w:p>
    <w:p w14:paraId="71CFEA83"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高度超过</w:t>
      </w:r>
      <w:r>
        <w:rPr>
          <w:rFonts w:ascii="Times New Roman" w:hint="default"/>
          <w:sz w:val="28"/>
          <w:szCs w:val="28"/>
        </w:rPr>
        <w:t>150 m</w:t>
      </w:r>
      <w:r>
        <w:rPr>
          <w:rFonts w:ascii="Times New Roman" w:hint="default"/>
          <w:sz w:val="28"/>
          <w:szCs w:val="28"/>
        </w:rPr>
        <w:t>的结构；</w:t>
      </w:r>
    </w:p>
    <w:p w14:paraId="7850F78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平面或竖向特别不规则的结构，有明显薄弱部位的结构；</w:t>
      </w:r>
    </w:p>
    <w:p w14:paraId="6C49B62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高度或高阶振型影响较大的楼宇建筑，容易出现扭转变形的结构；</w:t>
      </w:r>
    </w:p>
    <w:p w14:paraId="3D57330F"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大底盘多塔结构、连体结构、竖向构件多次转换等复杂结构；</w:t>
      </w:r>
    </w:p>
    <w:p w14:paraId="3D36068C"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竖向收进较大或竖向刚度突变较多的结构；</w:t>
      </w:r>
    </w:p>
    <w:p w14:paraId="15C2E2B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其他有必要进行弹塑性时程分析的结构。</w:t>
      </w:r>
    </w:p>
    <w:p w14:paraId="2C5E3866"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采用静力弹塑性方法进行抗震性能分析时，结构每个主轴方向应从下面两组侧力模式中分别选取至少一种侧力模式进行推覆分析：</w:t>
      </w:r>
    </w:p>
    <w:p w14:paraId="6FA03022"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第一组侧力模式，包括以下方面：</w:t>
      </w:r>
    </w:p>
    <w:p w14:paraId="245DF5DB"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高度影响侧力模式；</w:t>
      </w:r>
    </w:p>
    <w:p w14:paraId="0FD5434F"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第一振型侧力模式；</w:t>
      </w:r>
    </w:p>
    <w:p w14:paraId="4EF8C1AD"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振型组合侧力模式等；</w:t>
      </w:r>
    </w:p>
    <w:p w14:paraId="70C59F97" w14:textId="77777777" w:rsidR="00686ADF" w:rsidRDefault="00000000">
      <w:pPr>
        <w:pStyle w:val="a7"/>
        <w:spacing w:line="360" w:lineRule="auto"/>
        <w:jc w:val="both"/>
        <w:rPr>
          <w:rFonts w:ascii="Times New Roman" w:hint="default"/>
          <w:sz w:val="28"/>
          <w:szCs w:val="28"/>
        </w:rPr>
      </w:pPr>
      <w:r>
        <w:rPr>
          <w:rFonts w:ascii="Times New Roman" w:hint="default"/>
          <w:sz w:val="28"/>
          <w:szCs w:val="28"/>
        </w:rPr>
        <w:t>第二组侧力模式，包括以下方面：</w:t>
      </w:r>
    </w:p>
    <w:p w14:paraId="745A0653"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倒三角形分布模式；</w:t>
      </w:r>
    </w:p>
    <w:p w14:paraId="08E26D82"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均布侧力模式；</w:t>
      </w:r>
    </w:p>
    <w:p w14:paraId="01BEE953"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自适应侧力模式等。</w:t>
      </w:r>
    </w:p>
    <w:p w14:paraId="254130C8"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lastRenderedPageBreak/>
        <w:t>每个主轴正负方向均应进行侧向力加载分析，并依据其最大地震效应进行设计。对于有斜交抗侧力构件的结构，当斜交角度大于</w:t>
      </w:r>
      <w:r>
        <w:rPr>
          <w:rFonts w:ascii="Times New Roman" w:hint="default"/>
          <w:sz w:val="28"/>
          <w:szCs w:val="28"/>
        </w:rPr>
        <w:t>15</w:t>
      </w:r>
      <w:r>
        <w:rPr>
          <w:rFonts w:ascii="Times New Roman" w:hint="default"/>
          <w:sz w:val="28"/>
          <w:szCs w:val="28"/>
        </w:rPr>
        <w:t>度时，应补充各抗侧力构件方向的推覆分析。当结构存在地震最不利方向时，应补充沿最不利方向的推覆分析。结构基本对称时，位移控制点宜取结构顶部楼层的质心。</w:t>
      </w:r>
    </w:p>
    <w:p w14:paraId="70B1A64B" w14:textId="77777777" w:rsidR="00686ADF" w:rsidRDefault="00000000">
      <w:pPr>
        <w:pStyle w:val="a1"/>
        <w:widowControl/>
        <w:spacing w:line="360" w:lineRule="auto"/>
        <w:rPr>
          <w:rFonts w:ascii="Times New Roman" w:hint="default"/>
          <w:sz w:val="28"/>
          <w:szCs w:val="28"/>
        </w:rPr>
      </w:pPr>
      <w:bookmarkStart w:id="37" w:name="_Hlk195607862"/>
      <w:r>
        <w:rPr>
          <w:rFonts w:ascii="Times New Roman" w:hint="default"/>
          <w:sz w:val="28"/>
          <w:szCs w:val="28"/>
        </w:rPr>
        <w:t>静力弹塑性分析成果</w:t>
      </w:r>
      <w:bookmarkEnd w:id="37"/>
      <w:r>
        <w:rPr>
          <w:rFonts w:ascii="Times New Roman" w:hint="default"/>
          <w:sz w:val="28"/>
          <w:szCs w:val="28"/>
        </w:rPr>
        <w:t>应提供以下结果：</w:t>
      </w:r>
    </w:p>
    <w:p w14:paraId="5CB2474D"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基底剪力；</w:t>
      </w:r>
    </w:p>
    <w:p w14:paraId="7FA58EF2"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楼层剪力及位移；</w:t>
      </w:r>
    </w:p>
    <w:p w14:paraId="5EC9EAD3"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构件出铰状态；</w:t>
      </w:r>
    </w:p>
    <w:p w14:paraId="2938D877"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材料应变；</w:t>
      </w:r>
    </w:p>
    <w:p w14:paraId="76CA1397"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塑性铰骨架曲线；</w:t>
      </w:r>
    </w:p>
    <w:p w14:paraId="7621F05D" w14:textId="77777777" w:rsidR="00686ADF"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纤维的应力</w:t>
      </w:r>
      <w:r>
        <w:rPr>
          <w:rFonts w:ascii="Times New Roman" w:hint="default"/>
          <w:sz w:val="28"/>
          <w:szCs w:val="28"/>
        </w:rPr>
        <w:t>-</w:t>
      </w:r>
      <w:r>
        <w:rPr>
          <w:rFonts w:ascii="Times New Roman" w:hint="default"/>
          <w:sz w:val="28"/>
          <w:szCs w:val="28"/>
        </w:rPr>
        <w:t>应变曲线等。</w:t>
      </w:r>
    </w:p>
    <w:p w14:paraId="6077D516"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静力弹塑性分析成果应结合性能目标及多遇地震作用下的结构响应，综合判断弹塑性计算结果的可信程度。</w:t>
      </w:r>
    </w:p>
    <w:p w14:paraId="540FE279"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静力弹塑性分析应根据计算结果评价结构及构件的损坏等级和抗震性能。当推覆性能点无法得到时，应采取提高结构抗震能力或采用消能减震技术增加结构附加阻尼等措施，并重新验算。</w:t>
      </w:r>
    </w:p>
    <w:p w14:paraId="156D1488"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弹塑性时程分析采用隐式积分法求解时，应保证各加载时间步的收敛性和非线性迭代的内、外力平衡；采用显式积分法求解时，积分时间步长不应大于计算方法的稳定步长。</w:t>
      </w:r>
    </w:p>
    <w:p w14:paraId="29816D88"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弹塑性动力时程分析宜计入几何非线性的影响。</w:t>
      </w:r>
    </w:p>
    <w:p w14:paraId="66136BA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动力弹塑性分析成果应包含结构整体性能指标和构件性能指标，并结合性能目标及罕遇地震下弹性时程分析，综合判断弹塑性计算结果的可信程度。</w:t>
      </w:r>
    </w:p>
    <w:p w14:paraId="5DDC43BE" w14:textId="77777777" w:rsidR="00686ADF" w:rsidRDefault="00000000">
      <w:pPr>
        <w:pStyle w:val="aff1"/>
        <w:numPr>
          <w:ilvl w:val="2"/>
          <w:numId w:val="2"/>
        </w:numPr>
        <w:spacing w:before="120" w:after="120" w:line="360" w:lineRule="auto"/>
        <w:rPr>
          <w:rFonts w:ascii="Times New Roman" w:hint="default"/>
          <w:sz w:val="28"/>
          <w:szCs w:val="28"/>
        </w:rPr>
      </w:pPr>
      <w:r>
        <w:rPr>
          <w:rFonts w:ascii="Times New Roman" w:hint="default"/>
          <w:sz w:val="28"/>
          <w:szCs w:val="28"/>
        </w:rPr>
        <w:lastRenderedPageBreak/>
        <w:t>结构稳定分析</w:t>
      </w:r>
    </w:p>
    <w:p w14:paraId="01F32C29"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钢、钢筋混凝土楼宇建筑结构当采用刚重比指标验算结构整体稳定时，应按开展模型研究进行验算。</w:t>
      </w:r>
    </w:p>
    <w:p w14:paraId="5BE437F4"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对于多塔结构、采用弱连接的连体结构，当采用刚重比指标验算结构整体稳定时，应按</w:t>
      </w:r>
      <w:bookmarkStart w:id="38" w:name="_Hlk195541747"/>
      <w:r>
        <w:rPr>
          <w:rFonts w:ascii="Times New Roman" w:hint="default"/>
          <w:sz w:val="28"/>
          <w:szCs w:val="28"/>
        </w:rPr>
        <w:t>各单塔独立模型分别验算</w:t>
      </w:r>
      <w:bookmarkEnd w:id="38"/>
      <w:r>
        <w:rPr>
          <w:rFonts w:ascii="Times New Roman" w:hint="default"/>
          <w:sz w:val="28"/>
          <w:szCs w:val="28"/>
        </w:rPr>
        <w:t>。</w:t>
      </w:r>
    </w:p>
    <w:p w14:paraId="5E4477E0" w14:textId="77777777" w:rsidR="00686ADF" w:rsidRDefault="00000000">
      <w:pPr>
        <w:pStyle w:val="a1"/>
        <w:widowControl/>
        <w:spacing w:line="360" w:lineRule="auto"/>
        <w:rPr>
          <w:rFonts w:ascii="Times New Roman" w:hint="default"/>
          <w:sz w:val="28"/>
          <w:szCs w:val="28"/>
        </w:rPr>
      </w:pPr>
      <w:r>
        <w:rPr>
          <w:rFonts w:ascii="Times New Roman" w:hint="default"/>
          <w:sz w:val="28"/>
          <w:szCs w:val="28"/>
        </w:rPr>
        <w:t>当采用三维有限元法进行屈曲分析验算楼宇建筑结构整体稳定时，钢筋混凝土结构和混合结构的临界屈曲因子不应小于</w:t>
      </w:r>
      <w:r>
        <w:rPr>
          <w:rFonts w:ascii="Times New Roman" w:hint="default"/>
          <w:sz w:val="28"/>
          <w:szCs w:val="28"/>
        </w:rPr>
        <w:t>10</w:t>
      </w:r>
      <w:r>
        <w:rPr>
          <w:rFonts w:ascii="Times New Roman" w:hint="default"/>
          <w:sz w:val="28"/>
          <w:szCs w:val="28"/>
        </w:rPr>
        <w:t>，钢结构的临界屈曲因子不应小于</w:t>
      </w:r>
      <w:r>
        <w:rPr>
          <w:rFonts w:ascii="Times New Roman" w:hint="default"/>
          <w:sz w:val="28"/>
          <w:szCs w:val="28"/>
        </w:rPr>
        <w:t>5</w:t>
      </w:r>
      <w:r>
        <w:rPr>
          <w:rFonts w:ascii="Times New Roman" w:hint="default"/>
          <w:sz w:val="28"/>
          <w:szCs w:val="28"/>
        </w:rPr>
        <w:t>。</w:t>
      </w:r>
    </w:p>
    <w:p w14:paraId="615E11A1"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39" w:name="_Toc12675"/>
      <w:r>
        <w:rPr>
          <w:rFonts w:ascii="Times New Roman" w:eastAsia="黑体" w:hAnsi="Times New Roman" w:cs="Times New Roman"/>
          <w:b/>
          <w:kern w:val="0"/>
          <w:sz w:val="30"/>
          <w:szCs w:val="30"/>
        </w:rPr>
        <w:t>三、主要试验和情况分析</w:t>
      </w:r>
      <w:bookmarkEnd w:id="39"/>
    </w:p>
    <w:p w14:paraId="2A59B8C2" w14:textId="77777777" w:rsidR="00686AD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66A0F0BA" w14:textId="77777777" w:rsidR="00686AD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楼宇建筑结构整体设计技术要求严谨且全面，为确保设计质量与结构安全，一系列关键试验不可或缺。在材料性能试验上，需对混凝土、钢材等主要建筑材料进行强度、弹性模量、耐久性等多项指标检测，通过实验室标准试件测试与现场抽样检测相结合的方式，精确掌握材料实际性能。结构构件试验也至关重要，包括对梁、柱、板等构件进行静力加载试验与动力特性测试，模拟实际受力状态，分析构件的变形、裂缝发展及承载能力。此外，抗震性能试验更是保障楼宇在地震灾害中安全的关键，通过振动台试验或拟动力试验，评估结构在不同地震烈度下的响应与破坏模式，为优化抗震设计提供数据支撑。</w:t>
      </w:r>
    </w:p>
    <w:p w14:paraId="5EA6D550" w14:textId="77777777" w:rsidR="00686AD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基于上述试验结果，对楼宇建筑结构整体设计情况进行深入分析。若材料性能试验显示材料强度等指标符合设计要求且波动较小，说明材料选用合理、质量控制有效，为结构安全奠定基础；若存在部分材料性能不达标情况，需追溯材料采购、加工、运输等环节，采取更换材料、</w:t>
      </w:r>
      <w:r>
        <w:rPr>
          <w:rFonts w:ascii="Times New Roman" w:hAnsi="Times New Roman" w:cs="Times New Roman"/>
          <w:sz w:val="28"/>
          <w:szCs w:val="28"/>
        </w:rPr>
        <w:lastRenderedPageBreak/>
        <w:t>加强检测等措施。结构构件试验中，若构件承载能力满足设计预期且变形在允许范围内，表明结构设计合理、施工符合规范；若出现承载能力不足或变形过大等问题，需对构件尺寸、配筋等进行复核，必要时进行加固处理。抗震性能试验结果分析中，若结构在模拟地震作用下表现出良好的抗震性能，说明抗震设计措施有效；若出现薄弱部位或破坏模式不利情况，需针对性地调整结构布局、增强抗震构造措施，以提升楼宇的整体抗震能力。</w:t>
      </w:r>
    </w:p>
    <w:p w14:paraId="0DD8E88F"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0" w:name="_Toc20840"/>
      <w:r>
        <w:rPr>
          <w:rFonts w:ascii="Times New Roman" w:eastAsia="黑体" w:hAnsi="Times New Roman" w:cs="Times New Roman"/>
          <w:b/>
          <w:kern w:val="0"/>
          <w:sz w:val="30"/>
          <w:szCs w:val="30"/>
        </w:rPr>
        <w:t>四、标准中涉及专利的情况</w:t>
      </w:r>
      <w:bookmarkEnd w:id="40"/>
    </w:p>
    <w:p w14:paraId="61864BB7" w14:textId="77777777" w:rsidR="00686AD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65DEF14E"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1" w:name="_Toc29243"/>
      <w:r>
        <w:rPr>
          <w:rFonts w:ascii="Times New Roman" w:eastAsia="黑体" w:hAnsi="Times New Roman" w:cs="Times New Roman"/>
          <w:b/>
          <w:kern w:val="0"/>
          <w:sz w:val="30"/>
          <w:szCs w:val="30"/>
        </w:rPr>
        <w:t>五、预期达到的效益（经济、效益、生态等），对产业发展的作用的情况</w:t>
      </w:r>
      <w:bookmarkEnd w:id="41"/>
    </w:p>
    <w:p w14:paraId="5E2D07E0" w14:textId="77777777" w:rsidR="00686ADF" w:rsidRDefault="00000000">
      <w:pPr>
        <w:widowControl/>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建筑结构企业规范运营，在国际市场上有机会与其他各国（相关）企业竞争。</w:t>
      </w:r>
    </w:p>
    <w:p w14:paraId="1CD600A7" w14:textId="77777777" w:rsidR="00686ADF" w:rsidRDefault="00000000">
      <w:pPr>
        <w:spacing w:line="360" w:lineRule="auto"/>
        <w:outlineLvl w:val="0"/>
        <w:rPr>
          <w:rFonts w:ascii="Times New Roman" w:eastAsia="黑体" w:hAnsi="Times New Roman" w:cs="Times New Roman"/>
          <w:b/>
          <w:kern w:val="0"/>
          <w:sz w:val="30"/>
          <w:szCs w:val="30"/>
        </w:rPr>
      </w:pPr>
      <w:bookmarkStart w:id="42" w:name="_Toc4979"/>
      <w:r>
        <w:rPr>
          <w:rFonts w:ascii="Times New Roman" w:eastAsia="黑体" w:hAnsi="Times New Roman" w:cs="Times New Roman"/>
          <w:b/>
          <w:kern w:val="0"/>
          <w:sz w:val="30"/>
          <w:szCs w:val="30"/>
        </w:rPr>
        <w:t>六、与有关的现行法律、法规和强制性国家标准的关系</w:t>
      </w:r>
      <w:bookmarkEnd w:id="42"/>
    </w:p>
    <w:p w14:paraId="54ED1537" w14:textId="77777777" w:rsidR="00686ADF" w:rsidRDefault="00000000">
      <w:pPr>
        <w:pStyle w:val="a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5AA24E00"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3" w:name="_Toc21799"/>
      <w:r>
        <w:rPr>
          <w:rFonts w:ascii="Times New Roman" w:eastAsia="黑体" w:hAnsi="Times New Roman" w:cs="Times New Roman"/>
          <w:b/>
          <w:kern w:val="0"/>
          <w:sz w:val="30"/>
          <w:szCs w:val="30"/>
        </w:rPr>
        <w:t>七、重大意见分歧的处理依据和结果</w:t>
      </w:r>
      <w:bookmarkEnd w:id="43"/>
    </w:p>
    <w:p w14:paraId="6E233F21" w14:textId="77777777" w:rsidR="00686ADF" w:rsidRDefault="00000000">
      <w:pPr>
        <w:pStyle w:val="a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2006BAC7"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4" w:name="_Toc20135"/>
      <w:r>
        <w:rPr>
          <w:rFonts w:ascii="Times New Roman" w:eastAsia="黑体" w:hAnsi="Times New Roman" w:cs="Times New Roman"/>
          <w:b/>
          <w:kern w:val="0"/>
          <w:sz w:val="30"/>
          <w:szCs w:val="30"/>
        </w:rPr>
        <w:t>八、标准性质的建议说明</w:t>
      </w:r>
      <w:bookmarkEnd w:id="44"/>
    </w:p>
    <w:p w14:paraId="693333F0" w14:textId="77777777" w:rsidR="00686ADF" w:rsidRDefault="00000000">
      <w:pPr>
        <w:pStyle w:val="a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7B875CE3"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5" w:name="_Toc23106"/>
      <w:r>
        <w:rPr>
          <w:rFonts w:ascii="Times New Roman" w:eastAsia="黑体" w:hAnsi="Times New Roman" w:cs="Times New Roman"/>
          <w:b/>
          <w:kern w:val="0"/>
          <w:sz w:val="30"/>
          <w:szCs w:val="30"/>
        </w:rPr>
        <w:t>九、贯彻标准的要求和措施建议</w:t>
      </w:r>
      <w:bookmarkEnd w:id="45"/>
    </w:p>
    <w:p w14:paraId="5221FEA9" w14:textId="77777777" w:rsidR="00686ADF"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3FEE95F0"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6" w:name="_Toc29517"/>
      <w:r>
        <w:rPr>
          <w:rFonts w:ascii="Times New Roman" w:eastAsia="黑体" w:hAnsi="Times New Roman" w:cs="Times New Roman"/>
          <w:b/>
          <w:kern w:val="0"/>
          <w:sz w:val="30"/>
          <w:szCs w:val="30"/>
        </w:rPr>
        <w:t>十、废止现行相关标准的建议</w:t>
      </w:r>
      <w:bookmarkEnd w:id="46"/>
    </w:p>
    <w:p w14:paraId="66114198" w14:textId="77777777" w:rsidR="00686ADF"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35A8C35D" w14:textId="77777777" w:rsidR="00686ADF"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47" w:name="_Toc18435"/>
      <w:r>
        <w:rPr>
          <w:rFonts w:ascii="Times New Roman" w:eastAsia="黑体" w:hAnsi="Times New Roman" w:cs="Times New Roman"/>
          <w:b/>
          <w:kern w:val="0"/>
          <w:sz w:val="30"/>
          <w:szCs w:val="30"/>
        </w:rPr>
        <w:lastRenderedPageBreak/>
        <w:t>十一、其他应予说明的事项</w:t>
      </w:r>
      <w:bookmarkEnd w:id="47"/>
    </w:p>
    <w:p w14:paraId="6210C1F2" w14:textId="77777777" w:rsidR="00686ADF"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72CE7202" w14:textId="77777777" w:rsidR="00686ADF" w:rsidRDefault="00686ADF">
      <w:pPr>
        <w:spacing w:line="540" w:lineRule="exact"/>
        <w:ind w:firstLineChars="200" w:firstLine="560"/>
        <w:rPr>
          <w:rFonts w:ascii="Times New Roman" w:eastAsia="宋体" w:hAnsi="Times New Roman" w:cs="Times New Roman"/>
          <w:kern w:val="0"/>
          <w:sz w:val="28"/>
          <w:szCs w:val="28"/>
        </w:rPr>
      </w:pPr>
    </w:p>
    <w:sectPr w:rsidR="00686ADF">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9DFEB" w14:textId="77777777" w:rsidR="0071037A" w:rsidRDefault="0071037A">
      <w:r>
        <w:separator/>
      </w:r>
    </w:p>
  </w:endnote>
  <w:endnote w:type="continuationSeparator" w:id="0">
    <w:p w14:paraId="76C976CD" w14:textId="77777777" w:rsidR="0071037A" w:rsidRDefault="0071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81D2" w14:textId="77777777" w:rsidR="00686ADF" w:rsidRDefault="00686ADF">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3A67" w14:textId="77777777" w:rsidR="00686ADF" w:rsidRDefault="00000000">
    <w:pPr>
      <w:pStyle w:val="af5"/>
    </w:pPr>
    <w:r>
      <w:pict w14:anchorId="2C75F3C0">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31FCE302" w14:textId="77777777" w:rsidR="00686ADF" w:rsidRDefault="00000000">
                <w:pPr>
                  <w:pStyle w:val="a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A228" w14:textId="77777777" w:rsidR="0071037A" w:rsidRDefault="0071037A">
      <w:r>
        <w:separator/>
      </w:r>
    </w:p>
  </w:footnote>
  <w:footnote w:type="continuationSeparator" w:id="0">
    <w:p w14:paraId="3E42A988" w14:textId="77777777" w:rsidR="0071037A" w:rsidRDefault="0071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E694BB"/>
    <w:multiLevelType w:val="multilevel"/>
    <w:tmpl w:val="F9E694BB"/>
    <w:lvl w:ilvl="0">
      <w:start w:val="1"/>
      <w:numFmt w:val="none"/>
      <w:suff w:val="nothing"/>
      <w:lvlText w:val="%1"/>
      <w:lvlJc w:val="left"/>
      <w:pPr>
        <w:ind w:left="0" w:firstLine="0"/>
      </w:pPr>
    </w:lvl>
    <w:lvl w:ilvl="1">
      <w:start w:val="1"/>
      <w:numFmt w:val="decimal"/>
      <w:pStyle w:val="a"/>
      <w:suff w:val="nothing"/>
      <w:lvlText w:val="%1%2　"/>
      <w:lvlJc w:val="left"/>
      <w:pPr>
        <w:ind w:left="0" w:firstLine="0"/>
      </w:pPr>
      <w:rPr>
        <w:rFonts w:ascii="黑体" w:eastAsia="黑体" w:hAnsi="Times New Roman" w:cs="黑体" w:hint="eastAsia"/>
        <w:b w:val="0"/>
        <w:i w:val="0"/>
        <w:sz w:val="21"/>
      </w:rPr>
    </w:lvl>
    <w:lvl w:ilvl="2">
      <w:start w:val="1"/>
      <w:numFmt w:val="decimal"/>
      <w:pStyle w:val="a0"/>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1"/>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019430B3"/>
    <w:multiLevelType w:val="multilevel"/>
    <w:tmpl w:val="019430B3"/>
    <w:lvl w:ilvl="0">
      <w:start w:val="1"/>
      <w:numFmt w:val="decimal"/>
      <w:pStyle w:val="a2"/>
      <w:lvlText w:val="%1"/>
      <w:lvlJc w:val="left"/>
      <w:pPr>
        <w:ind w:left="425" w:hanging="425"/>
      </w:pPr>
    </w:lvl>
    <w:lvl w:ilvl="1">
      <w:start w:val="1"/>
      <w:numFmt w:val="decimal"/>
      <w:pStyle w:val="a3"/>
      <w:lvlText w:val="%1.%2"/>
      <w:lvlJc w:val="left"/>
      <w:pPr>
        <w:ind w:left="992" w:hanging="567"/>
      </w:pPr>
    </w:lvl>
    <w:lvl w:ilvl="2">
      <w:start w:val="1"/>
      <w:numFmt w:val="decimal"/>
      <w:pStyle w:val="a4"/>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F8DE52"/>
    <w:multiLevelType w:val="multilevel"/>
    <w:tmpl w:val="1EF8DE52"/>
    <w:lvl w:ilvl="0">
      <w:start w:val="1"/>
      <w:numFmt w:val="decimal"/>
      <w:pStyle w:val="a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242B9EB2"/>
    <w:multiLevelType w:val="multilevel"/>
    <w:tmpl w:val="242B9EB2"/>
    <w:lvl w:ilvl="0">
      <w:start w:val="1"/>
      <w:numFmt w:val="none"/>
      <w:pStyle w:val="a6"/>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4" w15:restartNumberingAfterBreak="0">
    <w:nsid w:val="6A0994F7"/>
    <w:multiLevelType w:val="multilevel"/>
    <w:tmpl w:val="6A0994F7"/>
    <w:lvl w:ilvl="0">
      <w:start w:val="1"/>
      <w:numFmt w:val="none"/>
      <w:pStyle w:val="a7"/>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num w:numId="1" w16cid:durableId="97067310">
    <w:abstractNumId w:val="1"/>
  </w:num>
  <w:num w:numId="2" w16cid:durableId="2007634329">
    <w:abstractNumId w:val="0"/>
  </w:num>
  <w:num w:numId="3" w16cid:durableId="1592202818">
    <w:abstractNumId w:val="4"/>
  </w:num>
  <w:num w:numId="4" w16cid:durableId="1848327365">
    <w:abstractNumId w:val="3"/>
  </w:num>
  <w:num w:numId="5" w16cid:durableId="21254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6ADF"/>
    <w:rsid w:val="006878C7"/>
    <w:rsid w:val="006965B4"/>
    <w:rsid w:val="006A01A1"/>
    <w:rsid w:val="006B0B1B"/>
    <w:rsid w:val="006B6D21"/>
    <w:rsid w:val="006B75F5"/>
    <w:rsid w:val="006E5B41"/>
    <w:rsid w:val="00705D75"/>
    <w:rsid w:val="0071037A"/>
    <w:rsid w:val="007417C1"/>
    <w:rsid w:val="00747D95"/>
    <w:rsid w:val="00752097"/>
    <w:rsid w:val="00756D5D"/>
    <w:rsid w:val="00776D4B"/>
    <w:rsid w:val="00786EF2"/>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5071"/>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10865"/>
    <w:rsid w:val="1F15287C"/>
    <w:rsid w:val="255B6B18"/>
    <w:rsid w:val="2C2D1EE2"/>
    <w:rsid w:val="2D467F37"/>
    <w:rsid w:val="2DAD6C8F"/>
    <w:rsid w:val="3AFC0F1D"/>
    <w:rsid w:val="40E14CE3"/>
    <w:rsid w:val="50F50C9E"/>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312CB8"/>
  <w15:docId w15:val="{FC64CF5D-CBC7-42C7-B136-6819EA32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8"/>
    <w:next w:val="a8"/>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basedOn w:val="a8"/>
    <w:next w:val="a8"/>
    <w:uiPriority w:val="35"/>
    <w:unhideWhenUsed/>
    <w:qFormat/>
    <w:pPr>
      <w:jc w:val="center"/>
    </w:pPr>
    <w:rPr>
      <w:rFonts w:asciiTheme="majorHAnsi" w:eastAsia="黑体" w:hAnsiTheme="majorHAnsi" w:cstheme="majorBidi"/>
      <w:szCs w:val="20"/>
    </w:rPr>
  </w:style>
  <w:style w:type="paragraph" w:styleId="ad">
    <w:name w:val="Body Text Indent"/>
    <w:basedOn w:val="a8"/>
    <w:link w:val="ae"/>
    <w:autoRedefine/>
    <w:qFormat/>
    <w:pPr>
      <w:spacing w:line="300" w:lineRule="auto"/>
      <w:ind w:firstLineChars="200" w:firstLine="420"/>
    </w:pPr>
    <w:rPr>
      <w:rFonts w:ascii="Times New Roman" w:eastAsia="宋体" w:hAnsi="宋体" w:cs="Times New Roman"/>
      <w:szCs w:val="20"/>
    </w:rPr>
  </w:style>
  <w:style w:type="paragraph" w:styleId="af">
    <w:name w:val="Date"/>
    <w:basedOn w:val="a8"/>
    <w:next w:val="a8"/>
    <w:link w:val="af0"/>
    <w:autoRedefine/>
    <w:uiPriority w:val="99"/>
    <w:semiHidden/>
    <w:unhideWhenUsed/>
    <w:qFormat/>
    <w:pPr>
      <w:ind w:leftChars="2500" w:left="100"/>
    </w:pPr>
  </w:style>
  <w:style w:type="paragraph" w:styleId="af1">
    <w:name w:val="endnote text"/>
    <w:basedOn w:val="a8"/>
    <w:link w:val="af2"/>
    <w:autoRedefine/>
    <w:uiPriority w:val="99"/>
    <w:qFormat/>
    <w:pPr>
      <w:snapToGrid w:val="0"/>
      <w:jc w:val="left"/>
    </w:pPr>
    <w:rPr>
      <w:rFonts w:ascii="Calibri" w:eastAsia="宋体" w:hAnsi="Calibri" w:cs="Times New Roman"/>
      <w:szCs w:val="24"/>
    </w:rPr>
  </w:style>
  <w:style w:type="paragraph" w:styleId="af3">
    <w:name w:val="Balloon Text"/>
    <w:basedOn w:val="a8"/>
    <w:link w:val="af4"/>
    <w:autoRedefine/>
    <w:uiPriority w:val="99"/>
    <w:semiHidden/>
    <w:unhideWhenUsed/>
    <w:qFormat/>
    <w:rPr>
      <w:sz w:val="18"/>
      <w:szCs w:val="18"/>
    </w:rPr>
  </w:style>
  <w:style w:type="paragraph" w:styleId="af5">
    <w:name w:val="footer"/>
    <w:basedOn w:val="a8"/>
    <w:link w:val="af6"/>
    <w:uiPriority w:val="99"/>
    <w:unhideWhenUsed/>
    <w:qFormat/>
    <w:pPr>
      <w:tabs>
        <w:tab w:val="center" w:pos="4153"/>
        <w:tab w:val="right" w:pos="8306"/>
      </w:tabs>
      <w:snapToGrid w:val="0"/>
      <w:jc w:val="left"/>
    </w:pPr>
    <w:rPr>
      <w:sz w:val="18"/>
      <w:szCs w:val="18"/>
    </w:rPr>
  </w:style>
  <w:style w:type="paragraph" w:styleId="af7">
    <w:name w:val="header"/>
    <w:basedOn w:val="a8"/>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semiHidden/>
    <w:unhideWhenUsed/>
    <w:qFormat/>
  </w:style>
  <w:style w:type="paragraph" w:styleId="af9">
    <w:name w:val="Normal (Web)"/>
    <w:basedOn w:val="a8"/>
    <w:unhideWhenUsed/>
    <w:qFormat/>
    <w:pPr>
      <w:widowControl/>
      <w:spacing w:before="100" w:beforeAutospacing="1" w:after="100" w:afterAutospacing="1"/>
      <w:jc w:val="left"/>
    </w:pPr>
    <w:rPr>
      <w:rFonts w:ascii="宋体" w:eastAsia="宋体" w:hAnsi="宋体" w:cs="宋体"/>
      <w:kern w:val="0"/>
      <w:sz w:val="24"/>
      <w:szCs w:val="24"/>
    </w:rPr>
  </w:style>
  <w:style w:type="table" w:styleId="afa">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9"/>
    <w:qFormat/>
  </w:style>
  <w:style w:type="character" w:customStyle="1" w:styleId="30">
    <w:name w:val="标题 3 字符"/>
    <w:basedOn w:val="a9"/>
    <w:link w:val="3"/>
    <w:autoRedefine/>
    <w:uiPriority w:val="9"/>
    <w:qFormat/>
    <w:rPr>
      <w:rFonts w:ascii="Times New Roman" w:hAnsi="Times New Roman"/>
      <w:b/>
      <w:bCs/>
      <w:szCs w:val="32"/>
    </w:rPr>
  </w:style>
  <w:style w:type="character" w:customStyle="1" w:styleId="af6">
    <w:name w:val="页脚 字符"/>
    <w:basedOn w:val="a9"/>
    <w:link w:val="af5"/>
    <w:uiPriority w:val="99"/>
    <w:qFormat/>
    <w:rPr>
      <w:sz w:val="18"/>
      <w:szCs w:val="18"/>
    </w:rPr>
  </w:style>
  <w:style w:type="paragraph" w:styleId="afc">
    <w:name w:val="List Paragraph"/>
    <w:basedOn w:val="a8"/>
    <w:autoRedefine/>
    <w:uiPriority w:val="34"/>
    <w:qFormat/>
    <w:pPr>
      <w:ind w:firstLineChars="200" w:firstLine="420"/>
    </w:pPr>
  </w:style>
  <w:style w:type="paragraph" w:customStyle="1" w:styleId="afd">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link w:val="afd"/>
    <w:autoRedefine/>
    <w:qFormat/>
    <w:rPr>
      <w:rFonts w:ascii="宋体" w:eastAsia="宋体" w:hAnsi="Times New Roman" w:cs="Times New Roman"/>
      <w:kern w:val="0"/>
      <w:szCs w:val="20"/>
    </w:rPr>
  </w:style>
  <w:style w:type="table" w:customStyle="1" w:styleId="1">
    <w:name w:val="浅色底纹1"/>
    <w:basedOn w:val="a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8">
    <w:name w:val="页眉 字符"/>
    <w:basedOn w:val="a9"/>
    <w:link w:val="af7"/>
    <w:autoRedefine/>
    <w:uiPriority w:val="99"/>
    <w:qFormat/>
    <w:rPr>
      <w:sz w:val="18"/>
      <w:szCs w:val="18"/>
    </w:rPr>
  </w:style>
  <w:style w:type="character" w:customStyle="1" w:styleId="af4">
    <w:name w:val="批注框文本 字符"/>
    <w:basedOn w:val="a9"/>
    <w:link w:val="af3"/>
    <w:autoRedefine/>
    <w:uiPriority w:val="99"/>
    <w:semiHidden/>
    <w:qFormat/>
    <w:rPr>
      <w:sz w:val="18"/>
      <w:szCs w:val="18"/>
    </w:rPr>
  </w:style>
  <w:style w:type="character" w:customStyle="1" w:styleId="af2">
    <w:name w:val="尾注文本 字符"/>
    <w:basedOn w:val="a9"/>
    <w:link w:val="af1"/>
    <w:autoRedefine/>
    <w:uiPriority w:val="99"/>
    <w:qFormat/>
    <w:rPr>
      <w:rFonts w:ascii="Calibri" w:eastAsia="宋体" w:hAnsi="Calibri" w:cs="Times New Roman"/>
      <w:szCs w:val="24"/>
    </w:rPr>
  </w:style>
  <w:style w:type="table" w:customStyle="1" w:styleId="10">
    <w:name w:val="网格型1"/>
    <w:basedOn w:val="a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日期 字符"/>
    <w:basedOn w:val="a9"/>
    <w:link w:val="af"/>
    <w:autoRedefine/>
    <w:uiPriority w:val="99"/>
    <w:semiHidden/>
    <w:qFormat/>
  </w:style>
  <w:style w:type="character" w:customStyle="1" w:styleId="ae">
    <w:name w:val="正文文本缩进 字符"/>
    <w:basedOn w:val="a9"/>
    <w:link w:val="ad"/>
    <w:autoRedefine/>
    <w:qFormat/>
    <w:rPr>
      <w:rFonts w:ascii="Times New Roman" w:eastAsia="宋体" w:hAnsi="宋体" w:cs="Times New Roman"/>
      <w:szCs w:val="20"/>
    </w:rPr>
  </w:style>
  <w:style w:type="paragraph" w:customStyle="1" w:styleId="a4">
    <w:name w:val="二级条标题"/>
    <w:basedOn w:val="a8"/>
    <w:next w:val="afd"/>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9"/>
    <w:autoRedefine/>
    <w:qFormat/>
  </w:style>
  <w:style w:type="paragraph" w:customStyle="1" w:styleId="a2">
    <w:name w:val="章标题"/>
    <w:next w:val="afd"/>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3">
    <w:name w:val="一级条标题"/>
    <w:next w:val="afd"/>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e">
    <w:name w:val="二级无"/>
    <w:basedOn w:val="a4"/>
    <w:autoRedefine/>
    <w:qFormat/>
    <w:pPr>
      <w:spacing w:beforeLines="0" w:afterLines="0"/>
      <w:ind w:left="0" w:firstLine="0"/>
    </w:pPr>
    <w:rPr>
      <w:rFonts w:ascii="宋体" w:eastAsia="宋体"/>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a">
    <w:name w:val="标准文件_章标题"/>
    <w:basedOn w:val="a8"/>
    <w:next w:val="aff"/>
    <w:qFormat/>
    <w:pPr>
      <w:widowControl/>
      <w:numPr>
        <w:ilvl w:val="1"/>
        <w:numId w:val="2"/>
      </w:numPr>
      <w:spacing w:beforeLines="100" w:before="100" w:afterLines="100" w:after="100"/>
      <w:outlineLvl w:val="0"/>
    </w:pPr>
    <w:rPr>
      <w:rFonts w:ascii="黑体" w:eastAsia="黑体" w:hAnsi="Times New Roman" w:cs="Times New Roman" w:hint="eastAsia"/>
      <w:kern w:val="0"/>
      <w:szCs w:val="20"/>
    </w:rPr>
  </w:style>
  <w:style w:type="paragraph" w:customStyle="1" w:styleId="aff">
    <w:name w:val="标准文件_段"/>
    <w:basedOn w:val="a8"/>
    <w:link w:val="Char0"/>
    <w:qFormat/>
    <w:pPr>
      <w:widowControl/>
      <w:autoSpaceDE w:val="0"/>
      <w:autoSpaceDN w:val="0"/>
      <w:ind w:firstLineChars="200" w:firstLine="200"/>
    </w:pPr>
    <w:rPr>
      <w:rFonts w:ascii="宋体" w:eastAsia="宋体" w:hAnsi="Times New Roman" w:cs="Times New Roman" w:hint="eastAsia"/>
      <w:kern w:val="0"/>
      <w:szCs w:val="20"/>
    </w:rPr>
  </w:style>
  <w:style w:type="paragraph" w:customStyle="1" w:styleId="a1">
    <w:name w:val="标准文件_二级无标题"/>
    <w:qFormat/>
    <w:pPr>
      <w:widowControl w:val="0"/>
      <w:numPr>
        <w:ilvl w:val="3"/>
        <w:numId w:val="2"/>
      </w:numPr>
      <w:jc w:val="both"/>
    </w:pPr>
    <w:rPr>
      <w:rFonts w:ascii="宋体" w:hAnsi="Times New Roman" w:cs="Times New Roman" w:hint="eastAsia"/>
      <w:sz w:val="21"/>
    </w:rPr>
  </w:style>
  <w:style w:type="paragraph" w:customStyle="1" w:styleId="aff0">
    <w:name w:val="标准文件_一级无标题"/>
    <w:basedOn w:val="aff1"/>
    <w:qFormat/>
    <w:pPr>
      <w:spacing w:beforeLines="0" w:before="0" w:afterLines="0" w:after="0"/>
      <w:outlineLvl w:val="9"/>
    </w:pPr>
    <w:rPr>
      <w:rFonts w:ascii="宋体" w:eastAsia="宋体"/>
    </w:rPr>
  </w:style>
  <w:style w:type="paragraph" w:customStyle="1" w:styleId="aff1">
    <w:name w:val="标准文件_一级条标题"/>
    <w:basedOn w:val="a"/>
    <w:next w:val="aff"/>
    <w:qFormat/>
    <w:pPr>
      <w:numPr>
        <w:ilvl w:val="0"/>
        <w:numId w:val="0"/>
      </w:numPr>
      <w:spacing w:beforeLines="50" w:before="50" w:afterLines="50" w:after="50"/>
      <w:textAlignment w:val="baseline"/>
      <w:outlineLvl w:val="1"/>
    </w:pPr>
  </w:style>
  <w:style w:type="paragraph" w:customStyle="1" w:styleId="a7">
    <w:name w:val="标准文件_一级项"/>
    <w:basedOn w:val="a8"/>
    <w:qFormat/>
    <w:pPr>
      <w:widowControl/>
      <w:numPr>
        <w:numId w:val="3"/>
      </w:numPr>
      <w:jc w:val="left"/>
    </w:pPr>
    <w:rPr>
      <w:rFonts w:ascii="宋体" w:eastAsia="宋体" w:hAnsi="Times New Roman" w:cs="Times New Roman" w:hint="eastAsia"/>
      <w:kern w:val="0"/>
      <w:szCs w:val="20"/>
    </w:rPr>
  </w:style>
  <w:style w:type="paragraph" w:customStyle="1" w:styleId="a6">
    <w:name w:val="标准文件_注："/>
    <w:basedOn w:val="a8"/>
    <w:next w:val="aff"/>
    <w:qFormat/>
    <w:pPr>
      <w:numPr>
        <w:numId w:val="4"/>
      </w:numPr>
      <w:autoSpaceDE w:val="0"/>
      <w:autoSpaceDN w:val="0"/>
    </w:pPr>
    <w:rPr>
      <w:rFonts w:ascii="宋体" w:eastAsia="宋体" w:hAnsi="Times New Roman" w:cs="Times New Roman" w:hint="eastAsia"/>
      <w:kern w:val="0"/>
      <w:sz w:val="18"/>
      <w:szCs w:val="18"/>
    </w:rPr>
  </w:style>
  <w:style w:type="character" w:customStyle="1" w:styleId="Char0">
    <w:name w:val="标准文件_段 Char"/>
    <w:basedOn w:val="a9"/>
    <w:link w:val="aff"/>
    <w:qFormat/>
    <w:rPr>
      <w:rFonts w:ascii="宋体" w:eastAsia="宋体" w:hAnsi="Times New Roman" w:cs="宋体" w:hint="eastAsia"/>
      <w:sz w:val="21"/>
    </w:rPr>
  </w:style>
  <w:style w:type="paragraph" w:customStyle="1" w:styleId="aff2">
    <w:name w:val="标准文件_表格"/>
    <w:basedOn w:val="aff"/>
    <w:pPr>
      <w:ind w:firstLineChars="0" w:firstLine="0"/>
      <w:jc w:val="center"/>
    </w:pPr>
    <w:rPr>
      <w:sz w:val="18"/>
    </w:rPr>
  </w:style>
  <w:style w:type="paragraph" w:customStyle="1" w:styleId="a5">
    <w:name w:val="标准文件_正文表标题"/>
    <w:basedOn w:val="a8"/>
    <w:next w:val="aff"/>
    <w:qFormat/>
    <w:pPr>
      <w:widowControl/>
      <w:numPr>
        <w:numId w:val="5"/>
      </w:numPr>
      <w:tabs>
        <w:tab w:val="left" w:pos="0"/>
      </w:tabs>
      <w:spacing w:beforeLines="50" w:before="50" w:afterLines="50" w:after="50"/>
      <w:jc w:val="center"/>
    </w:pPr>
    <w:rPr>
      <w:rFonts w:ascii="黑体" w:eastAsia="黑体" w:hAnsi="Times New Roman" w:cs="Times New Roman" w:hint="eastAsia"/>
      <w:kern w:val="0"/>
      <w:szCs w:val="20"/>
    </w:rPr>
  </w:style>
  <w:style w:type="paragraph" w:customStyle="1" w:styleId="a0">
    <w:name w:val="标准文件_术语条一"/>
    <w:basedOn w:val="aff0"/>
    <w:next w:val="aff"/>
    <w:qFormat/>
    <w:pPr>
      <w:numPr>
        <w:ilvl w:val="2"/>
        <w:numId w:val="2"/>
      </w:numPr>
    </w:pPr>
  </w:style>
  <w:style w:type="paragraph" w:customStyle="1" w:styleId="2">
    <w:name w:val="标准文件_二级项2"/>
    <w:basedOn w:val="aff"/>
    <w:qFormat/>
    <w:pPr>
      <w:numPr>
        <w:ilvl w:val="1"/>
        <w:numId w:val="3"/>
      </w:numPr>
      <w:tabs>
        <w:tab w:val="left" w:pos="360"/>
      </w:tabs>
      <w:ind w:left="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6322</Words>
  <Characters>6703</Characters>
  <Application>Microsoft Office Word</Application>
  <DocSecurity>0</DocSecurity>
  <Lines>394</Lines>
  <Paragraphs>420</Paragraphs>
  <ScaleCrop>false</ScaleCrop>
  <Company>Lenovo</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29</cp:revision>
  <dcterms:created xsi:type="dcterms:W3CDTF">2019-06-25T01:51:00Z</dcterms:created>
  <dcterms:modified xsi:type="dcterms:W3CDTF">2025-04-23T06:45:00Z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