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3AF1" w14:textId="77777777" w:rsidR="003F0C12" w:rsidRDefault="003F0C12" w:rsidP="007404A5">
      <w:pPr>
        <w:ind w:firstLineChars="0" w:firstLine="0"/>
        <w:rPr>
          <w:b/>
          <w:bCs/>
          <w:sz w:val="40"/>
          <w:szCs w:val="44"/>
        </w:rPr>
      </w:pPr>
    </w:p>
    <w:p w14:paraId="6934079E" w14:textId="77777777" w:rsidR="003F0C12" w:rsidRDefault="003F0C12" w:rsidP="007404A5">
      <w:pPr>
        <w:ind w:firstLineChars="0" w:firstLine="0"/>
        <w:rPr>
          <w:b/>
          <w:bCs/>
          <w:sz w:val="40"/>
          <w:szCs w:val="44"/>
        </w:rPr>
      </w:pPr>
    </w:p>
    <w:p w14:paraId="2282DC24" w14:textId="4D508FAA" w:rsidR="003F0C12" w:rsidRDefault="003F0C12" w:rsidP="007404A5">
      <w:pPr>
        <w:ind w:firstLineChars="0" w:firstLine="0"/>
        <w:rPr>
          <w:b/>
          <w:bCs/>
          <w:sz w:val="40"/>
          <w:szCs w:val="44"/>
        </w:rPr>
      </w:pPr>
    </w:p>
    <w:p w14:paraId="26A455E2" w14:textId="77777777" w:rsidR="003F0C12" w:rsidRDefault="003F0C12" w:rsidP="007404A5">
      <w:pPr>
        <w:ind w:firstLineChars="0" w:firstLine="0"/>
        <w:rPr>
          <w:b/>
          <w:bCs/>
          <w:sz w:val="40"/>
          <w:szCs w:val="44"/>
        </w:rPr>
      </w:pPr>
    </w:p>
    <w:p w14:paraId="76F8C5BA" w14:textId="77777777" w:rsidR="003F0C12" w:rsidRPr="00335C97" w:rsidRDefault="003F0C12" w:rsidP="007404A5">
      <w:pPr>
        <w:ind w:firstLineChars="0" w:firstLine="0"/>
        <w:rPr>
          <w:sz w:val="36"/>
          <w:szCs w:val="40"/>
        </w:rPr>
      </w:pPr>
    </w:p>
    <w:p w14:paraId="16F8583B" w14:textId="446B72BE" w:rsidR="003F0C12" w:rsidRPr="00335C97" w:rsidRDefault="003F0C12" w:rsidP="003A2CF3">
      <w:pPr>
        <w:spacing w:line="480" w:lineRule="auto"/>
        <w:ind w:firstLineChars="0" w:firstLine="0"/>
        <w:jc w:val="center"/>
        <w:rPr>
          <w:sz w:val="44"/>
          <w:szCs w:val="48"/>
        </w:rPr>
      </w:pPr>
      <w:r w:rsidRPr="00335C97">
        <w:rPr>
          <w:rFonts w:hint="eastAsia"/>
          <w:sz w:val="44"/>
          <w:szCs w:val="48"/>
        </w:rPr>
        <w:t>《</w:t>
      </w:r>
      <w:r w:rsidR="00A72A81" w:rsidRPr="00335C97">
        <w:rPr>
          <w:rFonts w:hint="eastAsia"/>
          <w:sz w:val="44"/>
          <w:szCs w:val="48"/>
        </w:rPr>
        <w:t>污染场地挥发类有机物多相传输扩散环境风险量化表征技术指南</w:t>
      </w:r>
      <w:r w:rsidRPr="00335C97">
        <w:rPr>
          <w:rFonts w:hint="eastAsia"/>
          <w:sz w:val="44"/>
          <w:szCs w:val="48"/>
        </w:rPr>
        <w:t>》</w:t>
      </w:r>
    </w:p>
    <w:p w14:paraId="4D68D1B1" w14:textId="77777777" w:rsidR="00A05B46" w:rsidRPr="00335C97" w:rsidRDefault="00A05B46" w:rsidP="003A2CF3">
      <w:pPr>
        <w:spacing w:line="480" w:lineRule="auto"/>
        <w:ind w:firstLineChars="0" w:firstLine="0"/>
        <w:jc w:val="center"/>
        <w:rPr>
          <w:sz w:val="44"/>
          <w:szCs w:val="48"/>
        </w:rPr>
      </w:pPr>
    </w:p>
    <w:p w14:paraId="37782A42" w14:textId="482400CC" w:rsidR="007105E7" w:rsidRPr="00335C97" w:rsidRDefault="003F0C12" w:rsidP="007404A5">
      <w:pPr>
        <w:spacing w:line="480" w:lineRule="auto"/>
        <w:ind w:firstLineChars="0" w:firstLine="0"/>
        <w:jc w:val="center"/>
        <w:rPr>
          <w:sz w:val="44"/>
          <w:szCs w:val="48"/>
        </w:rPr>
      </w:pPr>
      <w:r w:rsidRPr="00335C97">
        <w:rPr>
          <w:rFonts w:hint="eastAsia"/>
          <w:sz w:val="44"/>
          <w:szCs w:val="48"/>
        </w:rPr>
        <w:t>编制说明</w:t>
      </w:r>
    </w:p>
    <w:p w14:paraId="414CE47D" w14:textId="3DE65C96" w:rsidR="003F0C12" w:rsidRDefault="003F0C12" w:rsidP="007404A5">
      <w:pPr>
        <w:spacing w:line="480" w:lineRule="auto"/>
        <w:ind w:firstLineChars="0" w:firstLine="0"/>
        <w:jc w:val="center"/>
        <w:rPr>
          <w:b/>
          <w:bCs/>
          <w:sz w:val="48"/>
          <w:szCs w:val="52"/>
        </w:rPr>
      </w:pPr>
    </w:p>
    <w:p w14:paraId="497AC3C7" w14:textId="05B5889B" w:rsidR="003F0C12" w:rsidRDefault="003F0C12" w:rsidP="007404A5">
      <w:pPr>
        <w:spacing w:line="480" w:lineRule="auto"/>
        <w:ind w:firstLineChars="0" w:firstLine="0"/>
        <w:jc w:val="center"/>
        <w:rPr>
          <w:b/>
          <w:bCs/>
          <w:sz w:val="48"/>
          <w:szCs w:val="52"/>
        </w:rPr>
      </w:pPr>
    </w:p>
    <w:p w14:paraId="20465796" w14:textId="459ACE96" w:rsidR="003F0C12" w:rsidRDefault="003F0C12" w:rsidP="007404A5">
      <w:pPr>
        <w:spacing w:line="480" w:lineRule="auto"/>
        <w:ind w:firstLineChars="0" w:firstLine="0"/>
        <w:jc w:val="center"/>
        <w:rPr>
          <w:b/>
          <w:bCs/>
          <w:sz w:val="48"/>
          <w:szCs w:val="52"/>
        </w:rPr>
      </w:pPr>
    </w:p>
    <w:p w14:paraId="5EF43A11" w14:textId="29CEEA70" w:rsidR="003F0C12" w:rsidRDefault="003F0C12" w:rsidP="007404A5">
      <w:pPr>
        <w:spacing w:line="480" w:lineRule="auto"/>
        <w:ind w:firstLineChars="0" w:firstLine="0"/>
        <w:jc w:val="center"/>
        <w:rPr>
          <w:b/>
          <w:bCs/>
          <w:sz w:val="48"/>
          <w:szCs w:val="52"/>
        </w:rPr>
      </w:pPr>
    </w:p>
    <w:p w14:paraId="0204A308" w14:textId="2E1CBD2D" w:rsidR="003F0C12" w:rsidRDefault="003F0C12" w:rsidP="007404A5">
      <w:pPr>
        <w:spacing w:line="480" w:lineRule="auto"/>
        <w:ind w:firstLineChars="0" w:firstLine="0"/>
        <w:jc w:val="center"/>
        <w:rPr>
          <w:b/>
          <w:bCs/>
          <w:sz w:val="48"/>
          <w:szCs w:val="52"/>
        </w:rPr>
      </w:pPr>
    </w:p>
    <w:p w14:paraId="1F923ADC" w14:textId="77777777" w:rsidR="003F0C12" w:rsidRDefault="003F0C12" w:rsidP="007404A5">
      <w:pPr>
        <w:spacing w:line="480" w:lineRule="auto"/>
        <w:ind w:firstLineChars="0" w:firstLine="0"/>
        <w:jc w:val="center"/>
        <w:rPr>
          <w:b/>
          <w:bCs/>
          <w:sz w:val="48"/>
          <w:szCs w:val="52"/>
        </w:rPr>
      </w:pPr>
    </w:p>
    <w:p w14:paraId="1F2A2010" w14:textId="77777777" w:rsidR="003F0C12" w:rsidRDefault="003F0C12" w:rsidP="007404A5">
      <w:pPr>
        <w:spacing w:line="480" w:lineRule="auto"/>
        <w:ind w:firstLineChars="0" w:firstLine="0"/>
        <w:jc w:val="center"/>
        <w:rPr>
          <w:b/>
          <w:bCs/>
          <w:sz w:val="48"/>
          <w:szCs w:val="52"/>
        </w:rPr>
      </w:pPr>
    </w:p>
    <w:p w14:paraId="5AF867A6" w14:textId="4E4EEA48" w:rsidR="003F0C12" w:rsidRDefault="003F0C12" w:rsidP="007404A5">
      <w:pPr>
        <w:spacing w:line="480" w:lineRule="auto"/>
        <w:ind w:firstLineChars="0" w:firstLine="0"/>
        <w:jc w:val="center"/>
        <w:rPr>
          <w:b/>
          <w:bCs/>
          <w:sz w:val="48"/>
          <w:szCs w:val="52"/>
        </w:rPr>
      </w:pPr>
    </w:p>
    <w:p w14:paraId="3FC3BC95" w14:textId="5326740C" w:rsidR="003F0C12" w:rsidRDefault="003F0C12" w:rsidP="00335C97">
      <w:pPr>
        <w:spacing w:line="480" w:lineRule="auto"/>
        <w:ind w:firstLineChars="0" w:firstLine="0"/>
        <w:jc w:val="center"/>
        <w:rPr>
          <w:b/>
          <w:bCs/>
          <w:sz w:val="48"/>
          <w:szCs w:val="52"/>
        </w:rPr>
      </w:pPr>
    </w:p>
    <w:p w14:paraId="313D29B0" w14:textId="2444D1D0" w:rsidR="00335C97" w:rsidRDefault="00335C97" w:rsidP="00335C97">
      <w:pPr>
        <w:snapToGrid w:val="0"/>
        <w:ind w:firstLineChars="0" w:firstLine="0"/>
        <w:jc w:val="center"/>
        <w:rPr>
          <w:sz w:val="32"/>
        </w:rPr>
      </w:pPr>
      <w:r>
        <w:rPr>
          <w:rFonts w:hint="eastAsia"/>
          <w:sz w:val="32"/>
        </w:rPr>
        <w:t>《</w:t>
      </w:r>
      <w:r w:rsidRPr="00335C97">
        <w:rPr>
          <w:rFonts w:hint="eastAsia"/>
          <w:sz w:val="32"/>
        </w:rPr>
        <w:t>污染场地挥发类有机物多相传输扩散环境风险量化表征技术指南</w:t>
      </w:r>
      <w:r>
        <w:rPr>
          <w:rFonts w:hint="eastAsia"/>
          <w:sz w:val="32"/>
        </w:rPr>
        <w:t>》编制组</w:t>
      </w:r>
    </w:p>
    <w:p w14:paraId="12751CE8" w14:textId="6464A833" w:rsidR="00335C97" w:rsidRDefault="00335C97" w:rsidP="00335C97">
      <w:pPr>
        <w:autoSpaceDE w:val="0"/>
        <w:autoSpaceDN w:val="0"/>
        <w:adjustRightInd w:val="0"/>
        <w:snapToGrid w:val="0"/>
        <w:ind w:firstLineChars="0" w:firstLine="0"/>
        <w:jc w:val="center"/>
        <w:rPr>
          <w:rFonts w:ascii="宋体" w:cs="宋体"/>
          <w:kern w:val="0"/>
          <w:szCs w:val="28"/>
        </w:rPr>
      </w:pPr>
      <w:r>
        <w:rPr>
          <w:rFonts w:ascii="宋体" w:cs="宋体" w:hint="eastAsia"/>
          <w:kern w:val="0"/>
          <w:szCs w:val="28"/>
        </w:rPr>
        <w:t>二〇二四年十月</w:t>
      </w:r>
    </w:p>
    <w:p w14:paraId="0495979B" w14:textId="77777777" w:rsidR="00335C97" w:rsidRDefault="00335C97">
      <w:pPr>
        <w:widowControl/>
        <w:spacing w:line="240" w:lineRule="auto"/>
        <w:ind w:firstLineChars="0" w:firstLine="0"/>
        <w:jc w:val="left"/>
        <w:rPr>
          <w:rFonts w:ascii="宋体" w:cs="宋体"/>
          <w:kern w:val="0"/>
          <w:szCs w:val="28"/>
        </w:rPr>
      </w:pPr>
      <w:r>
        <w:rPr>
          <w:rFonts w:ascii="宋体" w:cs="宋体"/>
          <w:kern w:val="0"/>
          <w:szCs w:val="28"/>
        </w:rPr>
        <w:br w:type="page"/>
      </w:r>
    </w:p>
    <w:sdt>
      <w:sdtPr>
        <w:rPr>
          <w:lang w:val="zh-CN"/>
        </w:rPr>
        <w:id w:val="533546355"/>
        <w:docPartObj>
          <w:docPartGallery w:val="Table of Contents"/>
          <w:docPartUnique/>
        </w:docPartObj>
      </w:sdtPr>
      <w:sdtEndPr>
        <w:rPr>
          <w:rFonts w:ascii="Times New Roman" w:eastAsia="宋体" w:hAnsi="Times New Roman" w:cstheme="minorBidi"/>
          <w:b/>
          <w:bCs/>
          <w:color w:val="auto"/>
          <w:kern w:val="2"/>
          <w:sz w:val="28"/>
          <w:szCs w:val="22"/>
        </w:rPr>
      </w:sdtEndPr>
      <w:sdtContent>
        <w:p w14:paraId="212322AB" w14:textId="5A4709A0" w:rsidR="00335C97" w:rsidRPr="00335C97" w:rsidRDefault="00335C97" w:rsidP="00335C97">
          <w:pPr>
            <w:pStyle w:val="TOC"/>
            <w:ind w:firstLine="560"/>
            <w:jc w:val="center"/>
            <w:rPr>
              <w:color w:val="auto"/>
              <w:sz w:val="36"/>
              <w:szCs w:val="36"/>
            </w:rPr>
          </w:pPr>
          <w:r w:rsidRPr="00335C97">
            <w:rPr>
              <w:color w:val="auto"/>
              <w:sz w:val="36"/>
              <w:szCs w:val="36"/>
              <w:lang w:val="zh-CN"/>
            </w:rPr>
            <w:t>目</w:t>
          </w:r>
          <w:r>
            <w:rPr>
              <w:rFonts w:hint="eastAsia"/>
              <w:color w:val="auto"/>
              <w:sz w:val="36"/>
              <w:szCs w:val="36"/>
              <w:lang w:val="zh-CN"/>
            </w:rPr>
            <w:t xml:space="preserve"> 次</w:t>
          </w:r>
        </w:p>
        <w:p w14:paraId="7AF04ACE" w14:textId="02C05FD5" w:rsidR="00335C97" w:rsidRPr="00335C97" w:rsidRDefault="00335C97">
          <w:pPr>
            <w:pStyle w:val="TOC1"/>
            <w:tabs>
              <w:tab w:val="right" w:leader="dot" w:pos="8296"/>
            </w:tabs>
            <w:ind w:firstLine="480"/>
            <w:rPr>
              <w:noProof/>
              <w:sz w:val="24"/>
              <w:szCs w:val="24"/>
            </w:rPr>
          </w:pPr>
          <w:r w:rsidRPr="00335C97">
            <w:rPr>
              <w:sz w:val="24"/>
              <w:szCs w:val="24"/>
            </w:rPr>
            <w:fldChar w:fldCharType="begin"/>
          </w:r>
          <w:r w:rsidRPr="00335C97">
            <w:rPr>
              <w:sz w:val="24"/>
              <w:szCs w:val="24"/>
            </w:rPr>
            <w:instrText xml:space="preserve"> TOC \o "1-3" \h \z \u </w:instrText>
          </w:r>
          <w:r w:rsidRPr="00335C97">
            <w:rPr>
              <w:sz w:val="24"/>
              <w:szCs w:val="24"/>
            </w:rPr>
            <w:fldChar w:fldCharType="separate"/>
          </w:r>
          <w:hyperlink w:anchor="_Toc195800702" w:history="1">
            <w:r w:rsidRPr="00335C97">
              <w:rPr>
                <w:rStyle w:val="aa"/>
                <w:noProof/>
                <w:sz w:val="24"/>
                <w:szCs w:val="24"/>
              </w:rPr>
              <w:t>一、任务来源</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_Toc195800702 \h </w:instrText>
            </w:r>
            <w:r w:rsidRPr="00335C97">
              <w:rPr>
                <w:noProof/>
                <w:webHidden/>
                <w:sz w:val="24"/>
                <w:szCs w:val="24"/>
              </w:rPr>
            </w:r>
            <w:r w:rsidRPr="00335C97">
              <w:rPr>
                <w:noProof/>
                <w:webHidden/>
                <w:sz w:val="24"/>
                <w:szCs w:val="24"/>
              </w:rPr>
              <w:fldChar w:fldCharType="separate"/>
            </w:r>
            <w:r w:rsidRPr="00335C97">
              <w:rPr>
                <w:noProof/>
                <w:webHidden/>
                <w:sz w:val="24"/>
                <w:szCs w:val="24"/>
              </w:rPr>
              <w:t>1</w:t>
            </w:r>
            <w:r w:rsidRPr="00335C97">
              <w:rPr>
                <w:noProof/>
                <w:webHidden/>
                <w:sz w:val="24"/>
                <w:szCs w:val="24"/>
              </w:rPr>
              <w:fldChar w:fldCharType="end"/>
            </w:r>
          </w:hyperlink>
        </w:p>
        <w:p w14:paraId="6F72AB3B" w14:textId="16966DE3" w:rsidR="00335C97" w:rsidRPr="00335C97" w:rsidRDefault="00335C97">
          <w:pPr>
            <w:pStyle w:val="TOC1"/>
            <w:tabs>
              <w:tab w:val="right" w:leader="dot" w:pos="8296"/>
            </w:tabs>
            <w:ind w:firstLine="480"/>
            <w:rPr>
              <w:noProof/>
              <w:sz w:val="24"/>
              <w:szCs w:val="24"/>
            </w:rPr>
          </w:pPr>
          <w:hyperlink w:anchor="_Toc195800703" w:history="1">
            <w:r w:rsidRPr="00335C97">
              <w:rPr>
                <w:rStyle w:val="aa"/>
                <w:noProof/>
                <w:sz w:val="24"/>
                <w:szCs w:val="24"/>
              </w:rPr>
              <w:t>二、指南制定的必要性</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_Toc195800703 \h </w:instrText>
            </w:r>
            <w:r w:rsidRPr="00335C97">
              <w:rPr>
                <w:noProof/>
                <w:webHidden/>
                <w:sz w:val="24"/>
                <w:szCs w:val="24"/>
              </w:rPr>
            </w:r>
            <w:r w:rsidRPr="00335C97">
              <w:rPr>
                <w:noProof/>
                <w:webHidden/>
                <w:sz w:val="24"/>
                <w:szCs w:val="24"/>
              </w:rPr>
              <w:fldChar w:fldCharType="separate"/>
            </w:r>
            <w:r w:rsidRPr="00335C97">
              <w:rPr>
                <w:noProof/>
                <w:webHidden/>
                <w:sz w:val="24"/>
                <w:szCs w:val="24"/>
              </w:rPr>
              <w:t>1</w:t>
            </w:r>
            <w:r w:rsidRPr="00335C97">
              <w:rPr>
                <w:noProof/>
                <w:webHidden/>
                <w:sz w:val="24"/>
                <w:szCs w:val="24"/>
              </w:rPr>
              <w:fldChar w:fldCharType="end"/>
            </w:r>
          </w:hyperlink>
        </w:p>
        <w:p w14:paraId="1D1FF3F1" w14:textId="5F10ECC5" w:rsidR="00335C97" w:rsidRPr="00335C97" w:rsidRDefault="00335C97">
          <w:pPr>
            <w:pStyle w:val="TOC1"/>
            <w:tabs>
              <w:tab w:val="right" w:leader="dot" w:pos="8296"/>
            </w:tabs>
            <w:ind w:firstLine="480"/>
            <w:rPr>
              <w:noProof/>
              <w:sz w:val="24"/>
              <w:szCs w:val="24"/>
            </w:rPr>
          </w:pPr>
          <w:hyperlink w:anchor="_Toc195800704" w:history="1">
            <w:r w:rsidRPr="00335C97">
              <w:rPr>
                <w:rStyle w:val="aa"/>
                <w:noProof/>
                <w:sz w:val="24"/>
                <w:szCs w:val="24"/>
              </w:rPr>
              <w:t>三、国内外研究现状及进展</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_Toc195800704 \h </w:instrText>
            </w:r>
            <w:r w:rsidRPr="00335C97">
              <w:rPr>
                <w:noProof/>
                <w:webHidden/>
                <w:sz w:val="24"/>
                <w:szCs w:val="24"/>
              </w:rPr>
            </w:r>
            <w:r w:rsidRPr="00335C97">
              <w:rPr>
                <w:noProof/>
                <w:webHidden/>
                <w:sz w:val="24"/>
                <w:szCs w:val="24"/>
              </w:rPr>
              <w:fldChar w:fldCharType="separate"/>
            </w:r>
            <w:r w:rsidRPr="00335C97">
              <w:rPr>
                <w:noProof/>
                <w:webHidden/>
                <w:sz w:val="24"/>
                <w:szCs w:val="24"/>
              </w:rPr>
              <w:t>3</w:t>
            </w:r>
            <w:r w:rsidRPr="00335C97">
              <w:rPr>
                <w:noProof/>
                <w:webHidden/>
                <w:sz w:val="24"/>
                <w:szCs w:val="24"/>
              </w:rPr>
              <w:fldChar w:fldCharType="end"/>
            </w:r>
          </w:hyperlink>
        </w:p>
        <w:p w14:paraId="6DDE219D" w14:textId="3E270280" w:rsidR="00335C97" w:rsidRPr="00335C97" w:rsidRDefault="00335C97">
          <w:pPr>
            <w:pStyle w:val="TOC2"/>
            <w:tabs>
              <w:tab w:val="right" w:leader="dot" w:pos="8296"/>
            </w:tabs>
            <w:ind w:left="560" w:firstLine="480"/>
            <w:rPr>
              <w:noProof/>
              <w:sz w:val="24"/>
              <w:szCs w:val="24"/>
            </w:rPr>
          </w:pPr>
          <w:hyperlink w:anchor="_Toc195800705" w:history="1">
            <w:r w:rsidRPr="00335C97">
              <w:rPr>
                <w:rStyle w:val="aa"/>
                <w:noProof/>
                <w:sz w:val="24"/>
                <w:szCs w:val="24"/>
              </w:rPr>
              <w:t>（一）国外污染场地环境风险量化表征规范及方法研究进展</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_Toc195800705 \h </w:instrText>
            </w:r>
            <w:r w:rsidRPr="00335C97">
              <w:rPr>
                <w:noProof/>
                <w:webHidden/>
                <w:sz w:val="24"/>
                <w:szCs w:val="24"/>
              </w:rPr>
            </w:r>
            <w:r w:rsidRPr="00335C97">
              <w:rPr>
                <w:noProof/>
                <w:webHidden/>
                <w:sz w:val="24"/>
                <w:szCs w:val="24"/>
              </w:rPr>
              <w:fldChar w:fldCharType="separate"/>
            </w:r>
            <w:r w:rsidRPr="00335C97">
              <w:rPr>
                <w:noProof/>
                <w:webHidden/>
                <w:sz w:val="24"/>
                <w:szCs w:val="24"/>
              </w:rPr>
              <w:t>3</w:t>
            </w:r>
            <w:r w:rsidRPr="00335C97">
              <w:rPr>
                <w:noProof/>
                <w:webHidden/>
                <w:sz w:val="24"/>
                <w:szCs w:val="24"/>
              </w:rPr>
              <w:fldChar w:fldCharType="end"/>
            </w:r>
          </w:hyperlink>
        </w:p>
        <w:p w14:paraId="7DBC85A8" w14:textId="25401E6A" w:rsidR="00335C97" w:rsidRPr="00335C97" w:rsidRDefault="00335C97">
          <w:pPr>
            <w:pStyle w:val="TOC2"/>
            <w:tabs>
              <w:tab w:val="right" w:leader="dot" w:pos="8296"/>
            </w:tabs>
            <w:ind w:left="560" w:firstLine="480"/>
            <w:rPr>
              <w:noProof/>
              <w:sz w:val="24"/>
              <w:szCs w:val="24"/>
            </w:rPr>
          </w:pPr>
          <w:hyperlink w:anchor="_Toc195800706" w:history="1">
            <w:r w:rsidRPr="00335C97">
              <w:rPr>
                <w:rStyle w:val="aa"/>
                <w:noProof/>
                <w:sz w:val="24"/>
                <w:szCs w:val="24"/>
              </w:rPr>
              <w:t>（二）国外污染场地环境风险量化表征规范及方法研究进展</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_Toc195800706 \h </w:instrText>
            </w:r>
            <w:r w:rsidRPr="00335C97">
              <w:rPr>
                <w:noProof/>
                <w:webHidden/>
                <w:sz w:val="24"/>
                <w:szCs w:val="24"/>
              </w:rPr>
            </w:r>
            <w:r w:rsidRPr="00335C97">
              <w:rPr>
                <w:noProof/>
                <w:webHidden/>
                <w:sz w:val="24"/>
                <w:szCs w:val="24"/>
              </w:rPr>
              <w:fldChar w:fldCharType="separate"/>
            </w:r>
            <w:r w:rsidRPr="00335C97">
              <w:rPr>
                <w:noProof/>
                <w:webHidden/>
                <w:sz w:val="24"/>
                <w:szCs w:val="24"/>
              </w:rPr>
              <w:t>4</w:t>
            </w:r>
            <w:r w:rsidRPr="00335C97">
              <w:rPr>
                <w:noProof/>
                <w:webHidden/>
                <w:sz w:val="24"/>
                <w:szCs w:val="24"/>
              </w:rPr>
              <w:fldChar w:fldCharType="end"/>
            </w:r>
          </w:hyperlink>
        </w:p>
        <w:p w14:paraId="44608786" w14:textId="27FBCBC5" w:rsidR="00335C97" w:rsidRPr="00335C97" w:rsidRDefault="00335C97">
          <w:pPr>
            <w:pStyle w:val="TOC1"/>
            <w:tabs>
              <w:tab w:val="right" w:leader="dot" w:pos="8296"/>
            </w:tabs>
            <w:ind w:firstLine="480"/>
            <w:rPr>
              <w:noProof/>
              <w:sz w:val="24"/>
              <w:szCs w:val="24"/>
            </w:rPr>
          </w:pPr>
          <w:hyperlink w:anchor="_Toc195800707" w:history="1">
            <w:r w:rsidRPr="00335C97">
              <w:rPr>
                <w:rStyle w:val="aa"/>
                <w:noProof/>
                <w:sz w:val="24"/>
                <w:szCs w:val="24"/>
              </w:rPr>
              <w:t>四、编制的基本原则</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_Toc195800707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463C0582" w14:textId="03C6B13D" w:rsidR="00335C97" w:rsidRPr="00335C97" w:rsidRDefault="00335C97">
          <w:pPr>
            <w:pStyle w:val="TOC2"/>
            <w:tabs>
              <w:tab w:val="right" w:leader="dot" w:pos="8296"/>
            </w:tabs>
            <w:ind w:left="560" w:firstLine="480"/>
            <w:rPr>
              <w:noProof/>
              <w:sz w:val="24"/>
              <w:szCs w:val="24"/>
            </w:rPr>
          </w:pPr>
          <w:hyperlink w:anchor="_Toc195800708" w:history="1">
            <w:r w:rsidRPr="00335C97">
              <w:rPr>
                <w:rStyle w:val="aa"/>
                <w:noProof/>
                <w:sz w:val="24"/>
                <w:szCs w:val="24"/>
              </w:rPr>
              <w:t>（一）</w:t>
            </w:r>
            <w:r w:rsidRPr="00335C97">
              <w:rPr>
                <w:rStyle w:val="aa"/>
                <w:noProof/>
                <w:sz w:val="24"/>
                <w:szCs w:val="24"/>
              </w:rPr>
              <w:t xml:space="preserve"> </w:t>
            </w:r>
            <w:r w:rsidRPr="00335C97">
              <w:rPr>
                <w:rStyle w:val="aa"/>
                <w:noProof/>
                <w:sz w:val="24"/>
                <w:szCs w:val="24"/>
              </w:rPr>
              <w:t>精准导向原则</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_Toc195800708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07AC204D" w14:textId="1521BC3C" w:rsidR="00335C97" w:rsidRPr="00335C97" w:rsidRDefault="00335C97">
          <w:pPr>
            <w:pStyle w:val="TOC2"/>
            <w:tabs>
              <w:tab w:val="right" w:leader="dot" w:pos="8296"/>
            </w:tabs>
            <w:ind w:left="560" w:firstLine="480"/>
            <w:rPr>
              <w:noProof/>
              <w:sz w:val="24"/>
              <w:szCs w:val="24"/>
            </w:rPr>
          </w:pPr>
          <w:hyperlink w:anchor="_Toc195800709" w:history="1">
            <w:r w:rsidRPr="00335C97">
              <w:rPr>
                <w:rStyle w:val="aa"/>
                <w:noProof/>
                <w:sz w:val="24"/>
                <w:szCs w:val="24"/>
              </w:rPr>
              <w:t>（二）</w:t>
            </w:r>
            <w:r w:rsidRPr="00335C97">
              <w:rPr>
                <w:rStyle w:val="aa"/>
                <w:noProof/>
                <w:sz w:val="24"/>
                <w:szCs w:val="24"/>
              </w:rPr>
              <w:t xml:space="preserve">  </w:t>
            </w:r>
            <w:r w:rsidRPr="00335C97">
              <w:rPr>
                <w:rStyle w:val="aa"/>
                <w:noProof/>
                <w:sz w:val="24"/>
                <w:szCs w:val="24"/>
              </w:rPr>
              <w:t>科学实效原则</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_Toc195800709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715FD5CE" w14:textId="100E842D" w:rsidR="00335C97" w:rsidRPr="00335C97" w:rsidRDefault="00335C97">
          <w:pPr>
            <w:pStyle w:val="TOC2"/>
            <w:tabs>
              <w:tab w:val="right" w:leader="dot" w:pos="8296"/>
            </w:tabs>
            <w:ind w:left="560" w:firstLine="480"/>
            <w:rPr>
              <w:noProof/>
              <w:sz w:val="24"/>
              <w:szCs w:val="24"/>
            </w:rPr>
          </w:pPr>
          <w:hyperlink w:anchor="_Toc195800710" w:history="1">
            <w:r w:rsidRPr="00335C97">
              <w:rPr>
                <w:rStyle w:val="aa"/>
                <w:noProof/>
                <w:sz w:val="24"/>
                <w:szCs w:val="24"/>
              </w:rPr>
              <w:t>（三）</w:t>
            </w:r>
            <w:r w:rsidRPr="00335C97">
              <w:rPr>
                <w:rStyle w:val="aa"/>
                <w:noProof/>
                <w:sz w:val="24"/>
                <w:szCs w:val="24"/>
              </w:rPr>
              <w:t xml:space="preserve"> </w:t>
            </w:r>
            <w:r w:rsidRPr="00335C97">
              <w:rPr>
                <w:rStyle w:val="aa"/>
                <w:noProof/>
                <w:sz w:val="24"/>
                <w:szCs w:val="24"/>
              </w:rPr>
              <w:t>可行易</w:t>
            </w:r>
            <w:r w:rsidRPr="00335C97">
              <w:rPr>
                <w:rStyle w:val="aa"/>
                <w:rFonts w:eastAsia="黑体"/>
                <w:noProof/>
                <w:sz w:val="24"/>
                <w:szCs w:val="24"/>
              </w:rPr>
              <w:t>推原则</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_Toc195800710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049A23A5" w14:textId="79A727D8" w:rsidR="00335C97" w:rsidRPr="00335C97" w:rsidRDefault="00335C97">
          <w:pPr>
            <w:pStyle w:val="TOC1"/>
            <w:tabs>
              <w:tab w:val="right" w:leader="dot" w:pos="8296"/>
            </w:tabs>
            <w:ind w:firstLine="480"/>
            <w:rPr>
              <w:noProof/>
              <w:sz w:val="24"/>
              <w:szCs w:val="24"/>
            </w:rPr>
          </w:pPr>
          <w:hyperlink w:anchor="_Toc195800711" w:history="1">
            <w:r w:rsidRPr="00335C97">
              <w:rPr>
                <w:rStyle w:val="aa"/>
                <w:noProof/>
                <w:sz w:val="24"/>
                <w:szCs w:val="24"/>
              </w:rPr>
              <w:t>五、主要技术条款说明</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_Toc195800711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28562252" w14:textId="13C0AA63" w:rsidR="00335C97" w:rsidRPr="00335C97" w:rsidRDefault="00335C97">
          <w:pPr>
            <w:pStyle w:val="TOC2"/>
            <w:tabs>
              <w:tab w:val="right" w:leader="dot" w:pos="8296"/>
            </w:tabs>
            <w:ind w:left="560" w:firstLine="480"/>
            <w:rPr>
              <w:noProof/>
              <w:sz w:val="24"/>
              <w:szCs w:val="24"/>
            </w:rPr>
          </w:pPr>
          <w:hyperlink w:anchor="_Toc195800712" w:history="1">
            <w:r w:rsidRPr="00335C97">
              <w:rPr>
                <w:rStyle w:val="aa"/>
                <w:noProof/>
                <w:sz w:val="24"/>
                <w:szCs w:val="24"/>
              </w:rPr>
              <w:t>（一）适用范围</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_Toc195800712 \h </w:instrText>
            </w:r>
            <w:r w:rsidRPr="00335C97">
              <w:rPr>
                <w:noProof/>
                <w:webHidden/>
                <w:sz w:val="24"/>
                <w:szCs w:val="24"/>
              </w:rPr>
            </w:r>
            <w:r w:rsidRPr="00335C97">
              <w:rPr>
                <w:noProof/>
                <w:webHidden/>
                <w:sz w:val="24"/>
                <w:szCs w:val="24"/>
              </w:rPr>
              <w:fldChar w:fldCharType="separate"/>
            </w:r>
            <w:r w:rsidRPr="00335C97">
              <w:rPr>
                <w:noProof/>
                <w:webHidden/>
                <w:sz w:val="24"/>
                <w:szCs w:val="24"/>
              </w:rPr>
              <w:t>5</w:t>
            </w:r>
            <w:r w:rsidRPr="00335C97">
              <w:rPr>
                <w:noProof/>
                <w:webHidden/>
                <w:sz w:val="24"/>
                <w:szCs w:val="24"/>
              </w:rPr>
              <w:fldChar w:fldCharType="end"/>
            </w:r>
          </w:hyperlink>
        </w:p>
        <w:p w14:paraId="0B6F722B" w14:textId="14D20474" w:rsidR="00335C97" w:rsidRPr="00335C97" w:rsidRDefault="00335C97">
          <w:pPr>
            <w:pStyle w:val="TOC2"/>
            <w:tabs>
              <w:tab w:val="right" w:leader="dot" w:pos="8296"/>
            </w:tabs>
            <w:ind w:left="560" w:firstLine="480"/>
            <w:rPr>
              <w:noProof/>
              <w:sz w:val="24"/>
              <w:szCs w:val="24"/>
            </w:rPr>
          </w:pPr>
          <w:hyperlink w:anchor="_Toc195800713" w:history="1">
            <w:r w:rsidRPr="00335C97">
              <w:rPr>
                <w:rStyle w:val="aa"/>
                <w:noProof/>
                <w:sz w:val="24"/>
                <w:szCs w:val="24"/>
              </w:rPr>
              <w:t>（二）规范性引用文件</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_Toc195800713 \h </w:instrText>
            </w:r>
            <w:r w:rsidRPr="00335C97">
              <w:rPr>
                <w:noProof/>
                <w:webHidden/>
                <w:sz w:val="24"/>
                <w:szCs w:val="24"/>
              </w:rPr>
            </w:r>
            <w:r w:rsidRPr="00335C97">
              <w:rPr>
                <w:noProof/>
                <w:webHidden/>
                <w:sz w:val="24"/>
                <w:szCs w:val="24"/>
              </w:rPr>
              <w:fldChar w:fldCharType="separate"/>
            </w:r>
            <w:r w:rsidRPr="00335C97">
              <w:rPr>
                <w:noProof/>
                <w:webHidden/>
                <w:sz w:val="24"/>
                <w:szCs w:val="24"/>
              </w:rPr>
              <w:t>6</w:t>
            </w:r>
            <w:r w:rsidRPr="00335C97">
              <w:rPr>
                <w:noProof/>
                <w:webHidden/>
                <w:sz w:val="24"/>
                <w:szCs w:val="24"/>
              </w:rPr>
              <w:fldChar w:fldCharType="end"/>
            </w:r>
          </w:hyperlink>
        </w:p>
        <w:p w14:paraId="4D7B8EF2" w14:textId="68C82BB8" w:rsidR="00335C97" w:rsidRPr="00335C97" w:rsidRDefault="00335C97">
          <w:pPr>
            <w:pStyle w:val="TOC2"/>
            <w:tabs>
              <w:tab w:val="right" w:leader="dot" w:pos="8296"/>
            </w:tabs>
            <w:ind w:left="560" w:firstLine="480"/>
            <w:rPr>
              <w:noProof/>
              <w:sz w:val="24"/>
              <w:szCs w:val="24"/>
            </w:rPr>
          </w:pPr>
          <w:hyperlink w:anchor="_Toc195800714" w:history="1">
            <w:r w:rsidRPr="00335C97">
              <w:rPr>
                <w:rStyle w:val="aa"/>
                <w:noProof/>
                <w:sz w:val="24"/>
                <w:szCs w:val="24"/>
              </w:rPr>
              <w:t>（三）工作内容和流程</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_Toc195800714 \h </w:instrText>
            </w:r>
            <w:r w:rsidRPr="00335C97">
              <w:rPr>
                <w:noProof/>
                <w:webHidden/>
                <w:sz w:val="24"/>
                <w:szCs w:val="24"/>
              </w:rPr>
            </w:r>
            <w:r w:rsidRPr="00335C97">
              <w:rPr>
                <w:noProof/>
                <w:webHidden/>
                <w:sz w:val="24"/>
                <w:szCs w:val="24"/>
              </w:rPr>
              <w:fldChar w:fldCharType="separate"/>
            </w:r>
            <w:r w:rsidRPr="00335C97">
              <w:rPr>
                <w:noProof/>
                <w:webHidden/>
                <w:sz w:val="24"/>
                <w:szCs w:val="24"/>
              </w:rPr>
              <w:t>6</w:t>
            </w:r>
            <w:r w:rsidRPr="00335C97">
              <w:rPr>
                <w:noProof/>
                <w:webHidden/>
                <w:sz w:val="24"/>
                <w:szCs w:val="24"/>
              </w:rPr>
              <w:fldChar w:fldCharType="end"/>
            </w:r>
          </w:hyperlink>
        </w:p>
        <w:p w14:paraId="1827C404" w14:textId="507C52C2" w:rsidR="00335C97" w:rsidRPr="00335C97" w:rsidRDefault="00335C97">
          <w:pPr>
            <w:pStyle w:val="TOC1"/>
            <w:tabs>
              <w:tab w:val="right" w:leader="dot" w:pos="8296"/>
            </w:tabs>
            <w:ind w:firstLine="480"/>
            <w:rPr>
              <w:noProof/>
              <w:sz w:val="24"/>
              <w:szCs w:val="24"/>
            </w:rPr>
          </w:pPr>
          <w:hyperlink w:anchor="_Toc195800715" w:history="1">
            <w:r w:rsidRPr="00335C97">
              <w:rPr>
                <w:rStyle w:val="aa"/>
                <w:noProof/>
                <w:sz w:val="24"/>
                <w:szCs w:val="24"/>
              </w:rPr>
              <w:t>六、编制过程</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_Toc195800715 \h </w:instrText>
            </w:r>
            <w:r w:rsidRPr="00335C97">
              <w:rPr>
                <w:noProof/>
                <w:webHidden/>
                <w:sz w:val="24"/>
                <w:szCs w:val="24"/>
              </w:rPr>
            </w:r>
            <w:r w:rsidRPr="00335C97">
              <w:rPr>
                <w:noProof/>
                <w:webHidden/>
                <w:sz w:val="24"/>
                <w:szCs w:val="24"/>
              </w:rPr>
              <w:fldChar w:fldCharType="separate"/>
            </w:r>
            <w:r w:rsidRPr="00335C97">
              <w:rPr>
                <w:noProof/>
                <w:webHidden/>
                <w:sz w:val="24"/>
                <w:szCs w:val="24"/>
              </w:rPr>
              <w:t>10</w:t>
            </w:r>
            <w:r w:rsidRPr="00335C97">
              <w:rPr>
                <w:noProof/>
                <w:webHidden/>
                <w:sz w:val="24"/>
                <w:szCs w:val="24"/>
              </w:rPr>
              <w:fldChar w:fldCharType="end"/>
            </w:r>
          </w:hyperlink>
        </w:p>
        <w:p w14:paraId="489788B9" w14:textId="1446D6C0" w:rsidR="00335C97" w:rsidRPr="00335C97" w:rsidRDefault="00335C97">
          <w:pPr>
            <w:pStyle w:val="TOC1"/>
            <w:tabs>
              <w:tab w:val="right" w:leader="dot" w:pos="8296"/>
            </w:tabs>
            <w:ind w:firstLine="480"/>
            <w:rPr>
              <w:noProof/>
              <w:sz w:val="24"/>
              <w:szCs w:val="24"/>
            </w:rPr>
          </w:pPr>
          <w:hyperlink w:anchor="_Toc195800716" w:history="1">
            <w:r w:rsidRPr="00335C97">
              <w:rPr>
                <w:rStyle w:val="aa"/>
                <w:noProof/>
                <w:sz w:val="24"/>
                <w:szCs w:val="24"/>
              </w:rPr>
              <w:t>七、对实施本指南的建议</w:t>
            </w:r>
            <w:r w:rsidRPr="00335C97">
              <w:rPr>
                <w:noProof/>
                <w:webHidden/>
                <w:sz w:val="24"/>
                <w:szCs w:val="24"/>
              </w:rPr>
              <w:tab/>
            </w:r>
            <w:r w:rsidRPr="00335C97">
              <w:rPr>
                <w:noProof/>
                <w:webHidden/>
                <w:sz w:val="24"/>
                <w:szCs w:val="24"/>
              </w:rPr>
              <w:fldChar w:fldCharType="begin"/>
            </w:r>
            <w:r w:rsidRPr="00335C97">
              <w:rPr>
                <w:noProof/>
                <w:webHidden/>
                <w:sz w:val="24"/>
                <w:szCs w:val="24"/>
              </w:rPr>
              <w:instrText xml:space="preserve"> PAGEREF _Toc195800716 \h </w:instrText>
            </w:r>
            <w:r w:rsidRPr="00335C97">
              <w:rPr>
                <w:noProof/>
                <w:webHidden/>
                <w:sz w:val="24"/>
                <w:szCs w:val="24"/>
              </w:rPr>
            </w:r>
            <w:r w:rsidRPr="00335C97">
              <w:rPr>
                <w:noProof/>
                <w:webHidden/>
                <w:sz w:val="24"/>
                <w:szCs w:val="24"/>
              </w:rPr>
              <w:fldChar w:fldCharType="separate"/>
            </w:r>
            <w:r w:rsidRPr="00335C97">
              <w:rPr>
                <w:noProof/>
                <w:webHidden/>
                <w:sz w:val="24"/>
                <w:szCs w:val="24"/>
              </w:rPr>
              <w:t>11</w:t>
            </w:r>
            <w:r w:rsidRPr="00335C97">
              <w:rPr>
                <w:noProof/>
                <w:webHidden/>
                <w:sz w:val="24"/>
                <w:szCs w:val="24"/>
              </w:rPr>
              <w:fldChar w:fldCharType="end"/>
            </w:r>
          </w:hyperlink>
        </w:p>
        <w:p w14:paraId="5BF5B89C" w14:textId="7CA94B27" w:rsidR="00335C97" w:rsidRDefault="00335C97">
          <w:pPr>
            <w:ind w:firstLine="482"/>
          </w:pPr>
          <w:r w:rsidRPr="00335C97">
            <w:rPr>
              <w:b/>
              <w:bCs/>
              <w:sz w:val="24"/>
              <w:szCs w:val="24"/>
              <w:lang w:val="zh-CN"/>
            </w:rPr>
            <w:fldChar w:fldCharType="end"/>
          </w:r>
        </w:p>
      </w:sdtContent>
    </w:sdt>
    <w:p w14:paraId="4193F682" w14:textId="77777777" w:rsidR="00335C97" w:rsidRDefault="00335C97" w:rsidP="00335C97">
      <w:pPr>
        <w:autoSpaceDE w:val="0"/>
        <w:autoSpaceDN w:val="0"/>
        <w:adjustRightInd w:val="0"/>
        <w:snapToGrid w:val="0"/>
        <w:ind w:firstLineChars="0" w:firstLine="0"/>
        <w:jc w:val="center"/>
        <w:rPr>
          <w:rFonts w:ascii="宋体" w:cs="宋体"/>
          <w:kern w:val="0"/>
          <w:szCs w:val="28"/>
        </w:rPr>
      </w:pPr>
    </w:p>
    <w:p w14:paraId="19433C92" w14:textId="43776529" w:rsidR="007404A5" w:rsidRDefault="007404A5" w:rsidP="003F0C12">
      <w:pPr>
        <w:spacing w:line="480" w:lineRule="auto"/>
        <w:ind w:firstLine="640"/>
        <w:jc w:val="center"/>
        <w:rPr>
          <w:sz w:val="32"/>
          <w:szCs w:val="36"/>
        </w:rPr>
      </w:pPr>
    </w:p>
    <w:p w14:paraId="5C1C5A25" w14:textId="77777777" w:rsidR="00335C97" w:rsidRDefault="00335C97" w:rsidP="00110B71">
      <w:pPr>
        <w:pStyle w:val="1"/>
        <w:sectPr w:rsidR="00335C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670B19B" w14:textId="7CD39587" w:rsidR="007404A5" w:rsidRDefault="00110B71" w:rsidP="00110B71">
      <w:pPr>
        <w:pStyle w:val="1"/>
      </w:pPr>
      <w:bookmarkStart w:id="0" w:name="_Toc195800702"/>
      <w:r>
        <w:rPr>
          <w:rFonts w:hint="eastAsia"/>
        </w:rPr>
        <w:lastRenderedPageBreak/>
        <w:t>一、任务来源</w:t>
      </w:r>
      <w:bookmarkEnd w:id="0"/>
    </w:p>
    <w:p w14:paraId="22F07052" w14:textId="49BD2606" w:rsidR="00071AA3" w:rsidRDefault="00935D5D" w:rsidP="00071AA3">
      <w:pPr>
        <w:ind w:firstLine="560"/>
      </w:pPr>
      <w:r>
        <w:rPr>
          <w:rFonts w:hint="eastAsia"/>
        </w:rPr>
        <w:t>为进一步贯彻落实《水污染防治行动计划》《土壤污染防治行动计划》《地下水污染防治实施方案》（环</w:t>
      </w:r>
      <w:r w:rsidRPr="00463B86">
        <w:t>土壤</w:t>
      </w:r>
      <w:r w:rsidR="00BB4B03" w:rsidRPr="00463B86">
        <w:t>〔</w:t>
      </w:r>
      <w:r w:rsidR="00BB4B03" w:rsidRPr="00463B86">
        <w:t>2019</w:t>
      </w:r>
      <w:r w:rsidR="00BB4B03" w:rsidRPr="00463B86">
        <w:t>〕</w:t>
      </w:r>
      <w:r w:rsidRPr="00463B86">
        <w:t>25</w:t>
      </w:r>
      <w:r>
        <w:rPr>
          <w:rFonts w:hint="eastAsia"/>
        </w:rPr>
        <w:t>号）</w:t>
      </w:r>
      <w:r w:rsidR="00BB4B03">
        <w:rPr>
          <w:rFonts w:hint="eastAsia"/>
        </w:rPr>
        <w:t>《全国地下水污染防治规划（</w:t>
      </w:r>
      <w:r w:rsidR="00BB4B03">
        <w:rPr>
          <w:rFonts w:hint="eastAsia"/>
        </w:rPr>
        <w:t>2</w:t>
      </w:r>
      <w:r w:rsidR="00BB4B03">
        <w:t>011-2020</w:t>
      </w:r>
      <w:r w:rsidR="00BB4B03">
        <w:rPr>
          <w:rFonts w:hint="eastAsia"/>
        </w:rPr>
        <w:t>年）》</w:t>
      </w:r>
      <w:r>
        <w:rPr>
          <w:rFonts w:hint="eastAsia"/>
        </w:rPr>
        <w:t>等相关工作部署</w:t>
      </w:r>
      <w:r w:rsidR="00BB4B03">
        <w:rPr>
          <w:rFonts w:hint="eastAsia"/>
        </w:rPr>
        <w:t>，</w:t>
      </w:r>
      <w:r w:rsidR="00275DFA">
        <w:rPr>
          <w:rFonts w:hint="eastAsia"/>
        </w:rPr>
        <w:t>结合</w:t>
      </w:r>
      <w:r w:rsidR="00C82C4A" w:rsidRPr="00C82C4A">
        <w:rPr>
          <w:rFonts w:hint="eastAsia"/>
        </w:rPr>
        <w:t>国家重点研发计划</w:t>
      </w:r>
      <w:r w:rsidR="00DA3547">
        <w:rPr>
          <w:rFonts w:hint="eastAsia"/>
        </w:rPr>
        <w:t>项目</w:t>
      </w:r>
      <w:r w:rsidR="00C82C4A">
        <w:rPr>
          <w:rFonts w:hint="eastAsia"/>
        </w:rPr>
        <w:t>“</w:t>
      </w:r>
      <w:r w:rsidR="00C82C4A" w:rsidRPr="00C82C4A">
        <w:rPr>
          <w:rFonts w:hint="eastAsia"/>
        </w:rPr>
        <w:t>污染场地挥发类有机污染物传输机制与扩散通量（</w:t>
      </w:r>
      <w:r w:rsidR="00B3196B">
        <w:rPr>
          <w:rFonts w:hint="eastAsia"/>
        </w:rPr>
        <w:t>项目</w:t>
      </w:r>
      <w:r w:rsidR="00C82C4A" w:rsidRPr="00C82C4A">
        <w:rPr>
          <w:rFonts w:hint="eastAsia"/>
        </w:rPr>
        <w:t>编号</w:t>
      </w:r>
      <w:r w:rsidR="00C82C4A">
        <w:rPr>
          <w:rFonts w:hint="eastAsia"/>
        </w:rPr>
        <w:t>：</w:t>
      </w:r>
      <w:r w:rsidR="00C82C4A" w:rsidRPr="00C82C4A">
        <w:t>2020YFC180710</w:t>
      </w:r>
      <w:r w:rsidR="00C82C4A">
        <w:t>0</w:t>
      </w:r>
      <w:r w:rsidR="00C82C4A">
        <w:rPr>
          <w:rFonts w:hint="eastAsia"/>
        </w:rPr>
        <w:t>）”</w:t>
      </w:r>
      <w:r w:rsidR="00D5470E" w:rsidRPr="00D5470E">
        <w:rPr>
          <w:rFonts w:hint="eastAsia"/>
        </w:rPr>
        <w:t xml:space="preserve"> </w:t>
      </w:r>
      <w:r w:rsidR="00D5470E" w:rsidRPr="00D5470E">
        <w:rPr>
          <w:rFonts w:hint="eastAsia"/>
        </w:rPr>
        <w:t>的要求</w:t>
      </w:r>
      <w:r w:rsidR="00D5470E">
        <w:rPr>
          <w:rFonts w:hint="eastAsia"/>
        </w:rPr>
        <w:t>，</w:t>
      </w:r>
      <w:r w:rsidR="00BB4B03">
        <w:rPr>
          <w:rFonts w:hint="eastAsia"/>
        </w:rPr>
        <w:t>推进我国</w:t>
      </w:r>
      <w:r w:rsidR="004B1E88">
        <w:rPr>
          <w:rFonts w:hint="eastAsia"/>
        </w:rPr>
        <w:t>土壤</w:t>
      </w:r>
      <w:r w:rsidR="004B1E88">
        <w:rPr>
          <w:rFonts w:hint="eastAsia"/>
        </w:rPr>
        <w:t>-</w:t>
      </w:r>
      <w:r w:rsidR="004B1E88">
        <w:rPr>
          <w:rFonts w:hint="eastAsia"/>
        </w:rPr>
        <w:t>地下水污染防治工作，完善</w:t>
      </w:r>
      <w:r w:rsidR="00BC205F">
        <w:rPr>
          <w:rFonts w:hint="eastAsia"/>
        </w:rPr>
        <w:t>有机</w:t>
      </w:r>
      <w:r w:rsidR="00A757F3">
        <w:rPr>
          <w:rFonts w:hint="eastAsia"/>
        </w:rPr>
        <w:t>污染</w:t>
      </w:r>
      <w:r w:rsidR="004B1E88">
        <w:rPr>
          <w:rFonts w:hint="eastAsia"/>
        </w:rPr>
        <w:t>场地</w:t>
      </w:r>
      <w:r w:rsidR="00A757F3">
        <w:rPr>
          <w:rFonts w:hint="eastAsia"/>
        </w:rPr>
        <w:t>环境预测评估工作</w:t>
      </w:r>
      <w:r w:rsidR="00BC205F">
        <w:rPr>
          <w:rFonts w:hint="eastAsia"/>
        </w:rPr>
        <w:t>与技术支撑体系</w:t>
      </w:r>
      <w:r w:rsidR="00A757F3">
        <w:rPr>
          <w:rFonts w:hint="eastAsia"/>
        </w:rPr>
        <w:t>，</w:t>
      </w:r>
      <w:r w:rsidR="00F26DDB">
        <w:rPr>
          <w:rFonts w:hint="eastAsia"/>
        </w:rPr>
        <w:t>加强</w:t>
      </w:r>
      <w:r w:rsidR="00617F72">
        <w:rPr>
          <w:rFonts w:hint="eastAsia"/>
        </w:rPr>
        <w:t>复杂介质场地</w:t>
      </w:r>
      <w:r w:rsidR="00A757F3" w:rsidRPr="00A757F3">
        <w:rPr>
          <w:rFonts w:hint="eastAsia"/>
        </w:rPr>
        <w:t>挥发类有机</w:t>
      </w:r>
      <w:r w:rsidR="00617F72">
        <w:rPr>
          <w:rFonts w:hint="eastAsia"/>
        </w:rPr>
        <w:t>物</w:t>
      </w:r>
      <w:r w:rsidR="00F26DDB">
        <w:rPr>
          <w:rFonts w:hint="eastAsia"/>
        </w:rPr>
        <w:t>环境污染建模的</w:t>
      </w:r>
      <w:r w:rsidR="00071AA3">
        <w:rPr>
          <w:rFonts w:hint="eastAsia"/>
        </w:rPr>
        <w:t>科学性和高效性，</w:t>
      </w:r>
      <w:r w:rsidR="00071AA3" w:rsidRPr="00071AA3">
        <w:rPr>
          <w:rFonts w:hint="eastAsia"/>
        </w:rPr>
        <w:t>提升我国</w:t>
      </w:r>
      <w:r w:rsidR="00071AA3">
        <w:rPr>
          <w:rFonts w:hint="eastAsia"/>
        </w:rPr>
        <w:t>场地土壤</w:t>
      </w:r>
      <w:r w:rsidR="00071AA3">
        <w:rPr>
          <w:rFonts w:hint="eastAsia"/>
        </w:rPr>
        <w:t>-</w:t>
      </w:r>
      <w:r w:rsidR="00071AA3" w:rsidRPr="00071AA3">
        <w:rPr>
          <w:rFonts w:hint="eastAsia"/>
        </w:rPr>
        <w:t>地下水污染防治水平</w:t>
      </w:r>
      <w:r w:rsidR="00071AA3">
        <w:rPr>
          <w:rFonts w:hint="eastAsia"/>
        </w:rPr>
        <w:t>，</w:t>
      </w:r>
      <w:r w:rsidR="00071AA3" w:rsidRPr="00935D5D">
        <w:rPr>
          <w:rFonts w:hint="eastAsia"/>
        </w:rPr>
        <w:t>根据《中华人民共和国环境保护法》《中华人民共和国水污染防治法》</w:t>
      </w:r>
      <w:r w:rsidR="00071AA3">
        <w:rPr>
          <w:rFonts w:hint="eastAsia"/>
        </w:rPr>
        <w:t>《</w:t>
      </w:r>
      <w:r w:rsidR="00071AA3" w:rsidRPr="00935D5D">
        <w:rPr>
          <w:rFonts w:hint="eastAsia"/>
        </w:rPr>
        <w:t>中华人民共和国土壤污染防治法</w:t>
      </w:r>
      <w:r w:rsidR="00071AA3">
        <w:rPr>
          <w:rFonts w:hint="eastAsia"/>
        </w:rPr>
        <w:t>》</w:t>
      </w:r>
      <w:r w:rsidR="00807F89">
        <w:rPr>
          <w:rFonts w:hint="eastAsia"/>
        </w:rPr>
        <w:t>《</w:t>
      </w:r>
      <w:r w:rsidR="00807F89" w:rsidRPr="00807F89">
        <w:rPr>
          <w:rFonts w:hint="eastAsia"/>
        </w:rPr>
        <w:t>中华人民共和国大气污染防治法</w:t>
      </w:r>
      <w:r w:rsidR="00807F89">
        <w:rPr>
          <w:rFonts w:hint="eastAsia"/>
        </w:rPr>
        <w:t>》</w:t>
      </w:r>
      <w:r w:rsidR="00071AA3">
        <w:rPr>
          <w:rFonts w:hint="eastAsia"/>
        </w:rPr>
        <w:t>及相关法律法规、标准，编制</w:t>
      </w:r>
      <w:r w:rsidR="00D265AB" w:rsidRPr="00D265AB">
        <w:rPr>
          <w:rFonts w:hint="eastAsia"/>
        </w:rPr>
        <w:t>《</w:t>
      </w:r>
      <w:r w:rsidR="00C52095" w:rsidRPr="00C52095">
        <w:rPr>
          <w:rFonts w:hint="eastAsia"/>
        </w:rPr>
        <w:t>污染场地挥发类有机物多相传输扩散环境风险量化表征技术指南</w:t>
      </w:r>
      <w:r w:rsidR="00D265AB" w:rsidRPr="00D265AB">
        <w:rPr>
          <w:rFonts w:hint="eastAsia"/>
        </w:rPr>
        <w:t>》</w:t>
      </w:r>
      <w:r w:rsidR="00D265AB">
        <w:rPr>
          <w:rFonts w:hint="eastAsia"/>
        </w:rPr>
        <w:t>（以下简称指南）。</w:t>
      </w:r>
    </w:p>
    <w:p w14:paraId="58961EED" w14:textId="78C07673" w:rsidR="00B3196B" w:rsidRDefault="00071A9D" w:rsidP="00071AA3">
      <w:pPr>
        <w:ind w:firstLine="560"/>
      </w:pPr>
      <w:r>
        <w:rPr>
          <w:rFonts w:hint="eastAsia"/>
        </w:rPr>
        <w:t>本指南由</w:t>
      </w:r>
      <w:r w:rsidR="00B3196B">
        <w:rPr>
          <w:rFonts w:hint="eastAsia"/>
        </w:rPr>
        <w:t>中国科学院大学牵头，</w:t>
      </w:r>
      <w:r w:rsidR="00463B86" w:rsidRPr="00463B86">
        <w:rPr>
          <w:rFonts w:hint="eastAsia"/>
        </w:rPr>
        <w:t>中国石油集团安全环保技术研究院有限公司、中国环境科学研究院、安徽博世科环保科技股份有限公司、中国地质大学（武汉）、清华大学</w:t>
      </w:r>
      <w:r w:rsidR="00B3196B">
        <w:rPr>
          <w:rFonts w:hint="eastAsia"/>
        </w:rPr>
        <w:t>参与</w:t>
      </w:r>
      <w:r w:rsidR="00B3196B" w:rsidRPr="00B3196B">
        <w:rPr>
          <w:rFonts w:hint="eastAsia"/>
        </w:rPr>
        <w:t>起草编制</w:t>
      </w:r>
      <w:r w:rsidR="00B3196B">
        <w:rPr>
          <w:rFonts w:hint="eastAsia"/>
        </w:rPr>
        <w:t>。</w:t>
      </w:r>
    </w:p>
    <w:p w14:paraId="5779C74D" w14:textId="00B1FECB" w:rsidR="00E472BE" w:rsidRDefault="00E472BE" w:rsidP="00071AA3">
      <w:pPr>
        <w:ind w:firstLine="560"/>
      </w:pPr>
      <w:r>
        <w:rPr>
          <w:rFonts w:hint="eastAsia"/>
        </w:rPr>
        <w:t>来自</w:t>
      </w:r>
      <w:r w:rsidR="0058654B">
        <w:rPr>
          <w:rFonts w:hint="eastAsia"/>
        </w:rPr>
        <w:t>本</w:t>
      </w:r>
      <w:r>
        <w:rPr>
          <w:rFonts w:hint="eastAsia"/>
        </w:rPr>
        <w:t>指南编制牵头单位及参与</w:t>
      </w:r>
      <w:r w:rsidR="0058654B">
        <w:rPr>
          <w:rFonts w:hint="eastAsia"/>
        </w:rPr>
        <w:t>单位的十余位专家、学者组成指南</w:t>
      </w:r>
      <w:r>
        <w:rPr>
          <w:rFonts w:hint="eastAsia"/>
        </w:rPr>
        <w:t>编制</w:t>
      </w:r>
      <w:r w:rsidR="0058654B">
        <w:rPr>
          <w:rFonts w:hint="eastAsia"/>
        </w:rPr>
        <w:t>组。</w:t>
      </w:r>
    </w:p>
    <w:p w14:paraId="511C2976" w14:textId="331511A7" w:rsidR="0086719F" w:rsidRDefault="003F7547" w:rsidP="002B5A66">
      <w:pPr>
        <w:pStyle w:val="1"/>
      </w:pPr>
      <w:bookmarkStart w:id="1" w:name="_Toc195800703"/>
      <w:r>
        <w:rPr>
          <w:rFonts w:hint="eastAsia"/>
        </w:rPr>
        <w:t>二、指南</w:t>
      </w:r>
      <w:r w:rsidR="003F7036">
        <w:rPr>
          <w:rFonts w:hint="eastAsia"/>
        </w:rPr>
        <w:t>制定</w:t>
      </w:r>
      <w:r>
        <w:rPr>
          <w:rFonts w:hint="eastAsia"/>
        </w:rPr>
        <w:t>的必要性</w:t>
      </w:r>
      <w:bookmarkEnd w:id="1"/>
    </w:p>
    <w:p w14:paraId="13D3E306" w14:textId="77777777" w:rsidR="00FF2DBA" w:rsidRPr="00FF2DBA" w:rsidRDefault="00FF2DBA" w:rsidP="00FF2DBA">
      <w:pPr>
        <w:ind w:firstLine="560"/>
        <w:rPr>
          <w:color w:val="000000"/>
        </w:rPr>
      </w:pPr>
      <w:r w:rsidRPr="00FF2DBA">
        <w:rPr>
          <w:rFonts w:hint="eastAsia"/>
          <w:color w:val="000000"/>
        </w:rPr>
        <w:t>由于挥发性有机污染物具有迁移范围广且易挥发的特点，会对土壤、地下水和地表大气环境带来较大风险。挥发类有机污染物进入环</w:t>
      </w:r>
      <w:r w:rsidRPr="00FF2DBA">
        <w:rPr>
          <w:rFonts w:hint="eastAsia"/>
          <w:color w:val="000000"/>
        </w:rPr>
        <w:lastRenderedPageBreak/>
        <w:t>境后，</w:t>
      </w:r>
      <w:r w:rsidRPr="00FF2DBA">
        <w:rPr>
          <w:color w:val="000000"/>
        </w:rPr>
        <w:t>在重力、毛细</w:t>
      </w:r>
      <w:r w:rsidRPr="00FF2DBA">
        <w:rPr>
          <w:rFonts w:hint="eastAsia"/>
          <w:color w:val="000000"/>
        </w:rPr>
        <w:t>管压和</w:t>
      </w:r>
      <w:r w:rsidRPr="00FF2DBA">
        <w:rPr>
          <w:color w:val="000000"/>
        </w:rPr>
        <w:t>粘滞力的共同作用下</w:t>
      </w:r>
      <w:r w:rsidRPr="00FF2DBA">
        <w:rPr>
          <w:rFonts w:hint="eastAsia"/>
          <w:color w:val="000000"/>
        </w:rPr>
        <w:t>持续</w:t>
      </w:r>
      <w:r w:rsidRPr="00FF2DBA">
        <w:rPr>
          <w:color w:val="000000"/>
        </w:rPr>
        <w:t>向下运移</w:t>
      </w:r>
      <w:r w:rsidRPr="00FF2DBA">
        <w:rPr>
          <w:rFonts w:hint="eastAsia"/>
          <w:color w:val="000000"/>
        </w:rPr>
        <w:t>，首先经过</w:t>
      </w:r>
      <w:r w:rsidRPr="00FF2DBA">
        <w:rPr>
          <w:color w:val="000000"/>
        </w:rPr>
        <w:t>包气带，运移</w:t>
      </w:r>
      <w:r w:rsidRPr="00FF2DBA">
        <w:rPr>
          <w:rFonts w:hint="eastAsia"/>
          <w:color w:val="000000"/>
        </w:rPr>
        <w:t>过程中会残留部分</w:t>
      </w:r>
      <w:r w:rsidRPr="00FF2DBA">
        <w:rPr>
          <w:rFonts w:hint="eastAsia"/>
          <w:color w:val="000000"/>
        </w:rPr>
        <w:t>N</w:t>
      </w:r>
      <w:r w:rsidRPr="00FF2DBA">
        <w:rPr>
          <w:color w:val="000000"/>
        </w:rPr>
        <w:t>APL</w:t>
      </w:r>
      <w:r w:rsidRPr="00FF2DBA">
        <w:rPr>
          <w:color w:val="000000"/>
        </w:rPr>
        <w:t>，不连续</w:t>
      </w:r>
      <w:r w:rsidRPr="00FF2DBA">
        <w:rPr>
          <w:rFonts w:hint="eastAsia"/>
          <w:color w:val="000000"/>
        </w:rPr>
        <w:t>的</w:t>
      </w:r>
      <w:r w:rsidRPr="00FF2DBA">
        <w:rPr>
          <w:color w:val="000000"/>
        </w:rPr>
        <w:t>储存在介质</w:t>
      </w:r>
      <w:r w:rsidRPr="00FF2DBA">
        <w:rPr>
          <w:rFonts w:hint="eastAsia"/>
          <w:color w:val="000000"/>
        </w:rPr>
        <w:t>空</w:t>
      </w:r>
      <w:r w:rsidRPr="00FF2DBA">
        <w:rPr>
          <w:color w:val="000000"/>
        </w:rPr>
        <w:t>隙中，</w:t>
      </w:r>
      <w:r w:rsidRPr="00FF2DBA">
        <w:rPr>
          <w:rFonts w:hint="eastAsia"/>
          <w:color w:val="000000"/>
        </w:rPr>
        <w:t>部分污染物会持续的溶解进入地下水，并</w:t>
      </w:r>
      <w:r w:rsidRPr="00FF2DBA">
        <w:rPr>
          <w:color w:val="000000"/>
        </w:rPr>
        <w:t>沿水流方向形成污染</w:t>
      </w:r>
      <w:r w:rsidRPr="00FF2DBA">
        <w:rPr>
          <w:rFonts w:hint="eastAsia"/>
          <w:color w:val="000000"/>
        </w:rPr>
        <w:t>羽，整个过程中还会持续</w:t>
      </w:r>
      <w:r w:rsidRPr="00FF2DBA">
        <w:rPr>
          <w:color w:val="000000"/>
        </w:rPr>
        <w:t>挥发</w:t>
      </w:r>
      <w:r w:rsidRPr="00FF2DBA">
        <w:rPr>
          <w:rFonts w:hint="eastAsia"/>
          <w:color w:val="000000"/>
        </w:rPr>
        <w:t>通过地表进入</w:t>
      </w:r>
      <w:r w:rsidRPr="00FF2DBA">
        <w:rPr>
          <w:color w:val="000000"/>
        </w:rPr>
        <w:t>大气</w:t>
      </w:r>
      <w:r w:rsidRPr="00FF2DBA">
        <w:rPr>
          <w:rFonts w:hint="eastAsia"/>
          <w:color w:val="000000"/>
        </w:rPr>
        <w:t>。这些挥发类有机污染物可经由口、皮肤等途径摄入人体，对人的神经系统、泌尿系统、呼吸系统、循环系统、血液系统造成危害，长期接触还会危害人体器官。因此，场地挥发类有机污染物的环境风险评估是长期以来关注的焦点。</w:t>
      </w:r>
    </w:p>
    <w:p w14:paraId="7CC4A42D" w14:textId="1105D7A3" w:rsidR="006A0784" w:rsidRDefault="00377FB6" w:rsidP="008A2B21">
      <w:pPr>
        <w:ind w:firstLine="560"/>
      </w:pPr>
      <w:r>
        <w:rPr>
          <w:rFonts w:hint="eastAsia"/>
          <w:color w:val="000000"/>
        </w:rPr>
        <w:t>挥发类有机物污染场地介质条件各异，场地表层通常为数米厚的土层，其下可</w:t>
      </w:r>
      <w:r>
        <w:rPr>
          <w:rFonts w:hint="eastAsia"/>
          <w:color w:val="000000"/>
        </w:rPr>
        <w:t xml:space="preserve"> </w:t>
      </w:r>
      <w:r>
        <w:rPr>
          <w:rFonts w:hint="eastAsia"/>
          <w:color w:val="000000"/>
        </w:rPr>
        <w:t>为几十米甚至数百米松散多孔介质，也可为裂隙化或岩溶化基岩，而大气</w:t>
      </w:r>
      <w:r>
        <w:rPr>
          <w:rFonts w:hint="eastAsia"/>
          <w:color w:val="000000"/>
        </w:rPr>
        <w:t>-</w:t>
      </w:r>
      <w:r>
        <w:rPr>
          <w:rFonts w:hint="eastAsia"/>
          <w:color w:val="000000"/>
        </w:rPr>
        <w:t>地表水</w:t>
      </w:r>
      <w:r>
        <w:rPr>
          <w:rFonts w:hint="eastAsia"/>
          <w:color w:val="000000"/>
        </w:rPr>
        <w:t xml:space="preserve"> -</w:t>
      </w:r>
      <w:r>
        <w:rPr>
          <w:rFonts w:hint="eastAsia"/>
          <w:color w:val="000000"/>
        </w:rPr>
        <w:t>土壤</w:t>
      </w:r>
      <w:r>
        <w:rPr>
          <w:rFonts w:hint="eastAsia"/>
          <w:color w:val="000000"/>
        </w:rPr>
        <w:t>-</w:t>
      </w:r>
      <w:r>
        <w:rPr>
          <w:rFonts w:hint="eastAsia"/>
          <w:color w:val="000000"/>
        </w:rPr>
        <w:t>地下水构成的水系统其循环深度可达地下几十甚至数百米。</w:t>
      </w:r>
      <w:r w:rsidR="001A550D">
        <w:t>在此类场地中，污染物的迁移扩散过程涉及气</w:t>
      </w:r>
      <w:r w:rsidR="001A550D">
        <w:t>-</w:t>
      </w:r>
      <w:r w:rsidR="001A550D">
        <w:t>液</w:t>
      </w:r>
      <w:r w:rsidR="001A550D">
        <w:t>-</w:t>
      </w:r>
      <w:r w:rsidR="001A550D">
        <w:t>固多相体系，包括挥发、溶解、吸附等多重作用过程。</w:t>
      </w:r>
      <w:r>
        <w:rPr>
          <w:rFonts w:hint="eastAsia"/>
          <w:color w:val="000000"/>
        </w:rPr>
        <w:t>多年来在较简单松散多孔介质污染场地挥发类有机污染物多界面多相态传输扩散</w:t>
      </w:r>
      <w:r w:rsidR="009B1C45">
        <w:rPr>
          <w:rFonts w:hint="eastAsia"/>
          <w:color w:val="000000"/>
        </w:rPr>
        <w:t>环境风险量化表征</w:t>
      </w:r>
      <w:r>
        <w:rPr>
          <w:rFonts w:hint="eastAsia"/>
          <w:color w:val="000000"/>
        </w:rPr>
        <w:t>方面研究成果丰富，但复杂多孔介质、裂隙与岩溶化介质场地的挥发类有机污染物多界面多相态传输扩散的</w:t>
      </w:r>
      <w:r w:rsidR="009B1C45" w:rsidRPr="009B1C45">
        <w:rPr>
          <w:rFonts w:hint="eastAsia"/>
          <w:color w:val="000000"/>
        </w:rPr>
        <w:t>环境风险量化表征</w:t>
      </w:r>
      <w:r>
        <w:rPr>
          <w:rFonts w:hint="eastAsia"/>
          <w:color w:val="000000"/>
        </w:rPr>
        <w:t>相对匮乏。</w:t>
      </w:r>
      <w:r w:rsidR="006A0784">
        <w:t>尤其针对近年来</w:t>
      </w:r>
      <w:r w:rsidR="006A0784">
        <w:rPr>
          <w:rFonts w:hint="eastAsia"/>
        </w:rPr>
        <w:t>各类</w:t>
      </w:r>
      <w:r w:rsidR="009B1C45">
        <w:rPr>
          <w:rFonts w:hint="eastAsia"/>
        </w:rPr>
        <w:t>简捷精准量化表征</w:t>
      </w:r>
      <w:r w:rsidR="006A0784">
        <w:rPr>
          <w:rFonts w:hint="eastAsia"/>
        </w:rPr>
        <w:t>技术（包括</w:t>
      </w:r>
      <w:r w:rsidR="009B1C45">
        <w:rPr>
          <w:rFonts w:hint="eastAsia"/>
        </w:rPr>
        <w:t>大数据分析技术及</w:t>
      </w:r>
      <w:r w:rsidR="006A0784">
        <w:t>人工智能</w:t>
      </w:r>
      <w:r w:rsidR="009B1C45">
        <w:rPr>
          <w:rFonts w:hint="eastAsia"/>
        </w:rPr>
        <w:t>环境诊断</w:t>
      </w:r>
      <w:r w:rsidR="006A0784">
        <w:rPr>
          <w:rFonts w:hint="eastAsia"/>
        </w:rPr>
        <w:t>模型</w:t>
      </w:r>
      <w:r w:rsidR="009B1C45">
        <w:rPr>
          <w:rFonts w:hint="eastAsia"/>
        </w:rPr>
        <w:t>等</w:t>
      </w:r>
      <w:r w:rsidR="006A0784">
        <w:rPr>
          <w:rFonts w:hint="eastAsia"/>
        </w:rPr>
        <w:t>）的</w:t>
      </w:r>
      <w:r w:rsidR="006A0784">
        <w:t>广泛应用</w:t>
      </w:r>
      <w:r w:rsidR="006A0784">
        <w:rPr>
          <w:rFonts w:hint="eastAsia"/>
        </w:rPr>
        <w:t>和</w:t>
      </w:r>
      <w:r w:rsidR="006A0784">
        <w:t>快速发展</w:t>
      </w:r>
      <w:r w:rsidR="006A0784">
        <w:rPr>
          <w:rFonts w:hint="eastAsia"/>
        </w:rPr>
        <w:t>，</w:t>
      </w:r>
      <w:r w:rsidR="006A0784">
        <w:t>以及</w:t>
      </w:r>
      <w:r w:rsidR="006A0784">
        <w:rPr>
          <w:rFonts w:hint="eastAsia"/>
        </w:rPr>
        <w:t>多模型</w:t>
      </w:r>
      <w:r w:rsidR="006A0784">
        <w:t>在环境领域</w:t>
      </w:r>
      <w:r w:rsidR="006A0784">
        <w:rPr>
          <w:rFonts w:hint="eastAsia"/>
        </w:rPr>
        <w:t>的联合</w:t>
      </w:r>
      <w:r w:rsidR="006A0784">
        <w:t>创新应用</w:t>
      </w:r>
      <w:r w:rsidR="006A0784">
        <w:rPr>
          <w:rFonts w:hint="eastAsia"/>
        </w:rPr>
        <w:t>，</w:t>
      </w:r>
      <w:r w:rsidR="006A0784">
        <w:t>亟需建立</w:t>
      </w:r>
      <w:r w:rsidR="009B1C45">
        <w:rPr>
          <w:rFonts w:hint="eastAsia"/>
        </w:rPr>
        <w:t>实用高效的</w:t>
      </w:r>
      <w:r w:rsidR="009B1C45">
        <w:rPr>
          <w:rFonts w:hint="eastAsia"/>
          <w:color w:val="000000"/>
        </w:rPr>
        <w:t>环境风险量化表征技术</w:t>
      </w:r>
      <w:r w:rsidR="006A0784">
        <w:t>方法体系，指导实践应用。</w:t>
      </w:r>
    </w:p>
    <w:p w14:paraId="3E8F1806" w14:textId="12152510" w:rsidR="00FF2DBA" w:rsidRPr="00FF2DBA" w:rsidRDefault="00FF2DBA" w:rsidP="00FF2DBA">
      <w:pPr>
        <w:ind w:firstLine="560"/>
      </w:pPr>
      <w:r w:rsidRPr="00FF2DBA">
        <w:rPr>
          <w:rFonts w:hint="eastAsia"/>
        </w:rPr>
        <w:t>具体来说，仅依靠土壤污染物浓度数据不足以评估场地挥发类有机污染物的污染状况和环境风险，大量科学研究和实践经验表明，土</w:t>
      </w:r>
      <w:r w:rsidRPr="00FF2DBA">
        <w:rPr>
          <w:rFonts w:hint="eastAsia"/>
        </w:rPr>
        <w:lastRenderedPageBreak/>
        <w:t>壤浓度数据无法完整地反映地层中挥发类有机污染物的污染分布、污染程度和环境风险，特别针对挥发导致的地表大气环境风险的评估，由于污染物分布的非均质性和场地介质的复杂性，采用暴露评估的风险表征容易造成风险的错误判断。因此，精确计算场地挥发类有机污染物多相传输扩散通量，定量给出场地各区域地下水和土壤中的浓度分布，对准确评估场地环境风险十分必要。</w:t>
      </w:r>
    </w:p>
    <w:p w14:paraId="1ECDAF26" w14:textId="77777777" w:rsidR="00FF2DBA" w:rsidRPr="00FF2DBA" w:rsidRDefault="00FF2DBA" w:rsidP="008A2B21">
      <w:pPr>
        <w:ind w:firstLine="560"/>
      </w:pPr>
    </w:p>
    <w:p w14:paraId="58334E16" w14:textId="726B3E39" w:rsidR="003F7547" w:rsidRDefault="00157E91" w:rsidP="00157E91">
      <w:pPr>
        <w:pStyle w:val="1"/>
      </w:pPr>
      <w:bookmarkStart w:id="2" w:name="_Toc195800704"/>
      <w:r>
        <w:rPr>
          <w:rFonts w:hint="eastAsia"/>
        </w:rPr>
        <w:t>三、国内外研究现状及进展</w:t>
      </w:r>
      <w:bookmarkEnd w:id="2"/>
    </w:p>
    <w:p w14:paraId="173F15B5" w14:textId="0B6202FE" w:rsidR="003F6B05" w:rsidRDefault="003F6B05" w:rsidP="00997128">
      <w:pPr>
        <w:pStyle w:val="2"/>
      </w:pPr>
      <w:bookmarkStart w:id="3" w:name="_Toc195800705"/>
      <w:r>
        <w:rPr>
          <w:rFonts w:hint="eastAsia"/>
        </w:rPr>
        <w:t>（一）国外</w:t>
      </w:r>
      <w:r w:rsidR="002107B6">
        <w:rPr>
          <w:rFonts w:hint="eastAsia"/>
        </w:rPr>
        <w:t>污染场地环境风险量化表征</w:t>
      </w:r>
      <w:r w:rsidR="0034069B">
        <w:rPr>
          <w:rFonts w:hint="eastAsia"/>
        </w:rPr>
        <w:t>规范及方法</w:t>
      </w:r>
      <w:r w:rsidR="0034069B" w:rsidRPr="0034069B">
        <w:rPr>
          <w:rFonts w:hint="eastAsia"/>
        </w:rPr>
        <w:t>研究进展</w:t>
      </w:r>
      <w:bookmarkEnd w:id="3"/>
    </w:p>
    <w:p w14:paraId="39704659" w14:textId="77777777" w:rsidR="002107B6" w:rsidRPr="002107B6" w:rsidRDefault="002107B6" w:rsidP="002107B6">
      <w:pPr>
        <w:ind w:firstLine="560"/>
      </w:pPr>
      <w:r w:rsidRPr="002107B6">
        <w:rPr>
          <w:rFonts w:hint="eastAsia"/>
        </w:rPr>
        <w:t>英美等发达国家均采用基于风险的多层次评估框架，通过挥发类有机污染物迁移转运机制分析模型及人体暴露评价模型量化风险评估。美国国家工程学院和国家科学院与</w:t>
      </w:r>
      <w:r w:rsidRPr="002107B6">
        <w:rPr>
          <w:rFonts w:hint="eastAsia"/>
        </w:rPr>
        <w:t>1972</w:t>
      </w:r>
      <w:r w:rsidRPr="002107B6">
        <w:rPr>
          <w:rFonts w:hint="eastAsia"/>
        </w:rPr>
        <w:t>年率先提出健康风险评估</w:t>
      </w:r>
      <w:r w:rsidRPr="002107B6">
        <w:rPr>
          <w:rFonts w:hint="eastAsia"/>
        </w:rPr>
        <w:t xml:space="preserve">, </w:t>
      </w:r>
      <w:r w:rsidRPr="002107B6">
        <w:rPr>
          <w:rFonts w:hint="eastAsia"/>
        </w:rPr>
        <w:t>以危害识别、暴露评估、毒性评估及风险表征</w:t>
      </w:r>
      <w:r w:rsidRPr="002107B6">
        <w:rPr>
          <w:rFonts w:hint="eastAsia"/>
        </w:rPr>
        <w:t>4</w:t>
      </w:r>
      <w:r w:rsidRPr="002107B6">
        <w:rPr>
          <w:rFonts w:hint="eastAsia"/>
        </w:rPr>
        <w:t>个方面，首先构建了较为完善的风险评估制度，并被许多国家</w:t>
      </w:r>
      <w:r w:rsidRPr="002107B6">
        <w:rPr>
          <w:rFonts w:hint="eastAsia"/>
        </w:rPr>
        <w:t>(</w:t>
      </w:r>
      <w:r w:rsidRPr="002107B6">
        <w:rPr>
          <w:rFonts w:hint="eastAsia"/>
        </w:rPr>
        <w:t>地区</w:t>
      </w:r>
      <w:r w:rsidRPr="002107B6">
        <w:rPr>
          <w:rFonts w:hint="eastAsia"/>
        </w:rPr>
        <w:t>)</w:t>
      </w:r>
      <w:r w:rsidRPr="002107B6">
        <w:rPr>
          <w:rFonts w:hint="eastAsia"/>
        </w:rPr>
        <w:t>和环境组织参考与采用。针对石油污染场地评估，美国试验与材料协会</w:t>
      </w:r>
      <w:r w:rsidRPr="002107B6">
        <w:rPr>
          <w:rFonts w:hint="eastAsia"/>
        </w:rPr>
        <w:t>(ASTM)</w:t>
      </w:r>
      <w:r w:rsidRPr="002107B6">
        <w:rPr>
          <w:rFonts w:hint="eastAsia"/>
        </w:rPr>
        <w:t>于</w:t>
      </w:r>
      <w:r w:rsidRPr="002107B6">
        <w:rPr>
          <w:rFonts w:hint="eastAsia"/>
        </w:rPr>
        <w:t>1995-2002</w:t>
      </w:r>
      <w:r w:rsidRPr="002107B6">
        <w:rPr>
          <w:rFonts w:hint="eastAsia"/>
        </w:rPr>
        <w:t>年间制定了相应的矫正行动标准指南</w:t>
      </w:r>
      <w:r w:rsidRPr="002107B6">
        <w:rPr>
          <w:rFonts w:hint="eastAsia"/>
        </w:rPr>
        <w:t>(Risk-Based Corrective</w:t>
      </w:r>
      <w:r w:rsidRPr="002107B6">
        <w:t xml:space="preserve"> </w:t>
      </w:r>
      <w:r w:rsidRPr="002107B6">
        <w:rPr>
          <w:rFonts w:hint="eastAsia"/>
        </w:rPr>
        <w:t>Action, RBCA)</w:t>
      </w:r>
      <w:r w:rsidRPr="002107B6">
        <w:rPr>
          <w:rFonts w:hint="eastAsia"/>
        </w:rPr>
        <w:t>，美国</w:t>
      </w:r>
      <w:r w:rsidRPr="002107B6">
        <w:rPr>
          <w:rFonts w:hint="eastAsia"/>
        </w:rPr>
        <w:t>GSI</w:t>
      </w:r>
      <w:r w:rsidRPr="002107B6">
        <w:rPr>
          <w:rFonts w:hint="eastAsia"/>
        </w:rPr>
        <w:t>公司则根据</w:t>
      </w:r>
      <w:r w:rsidRPr="002107B6">
        <w:rPr>
          <w:rFonts w:hint="eastAsia"/>
        </w:rPr>
        <w:t>ASTME2081-00</w:t>
      </w:r>
      <w:r w:rsidRPr="002107B6">
        <w:rPr>
          <w:rFonts w:hint="eastAsia"/>
        </w:rPr>
        <w:t>标准开发出“</w:t>
      </w:r>
      <w:r w:rsidRPr="002107B6">
        <w:rPr>
          <w:rFonts w:hint="eastAsia"/>
        </w:rPr>
        <w:t>RBCA</w:t>
      </w:r>
      <w:r w:rsidRPr="002107B6">
        <w:rPr>
          <w:rFonts w:hint="eastAsia"/>
        </w:rPr>
        <w:t>”模型，广泛用于石油污染场地环境风险分析、土壤风险筛选值与修复目标值的制定等。</w:t>
      </w:r>
    </w:p>
    <w:p w14:paraId="1B43A94E" w14:textId="2F90ECE5" w:rsidR="009D332A" w:rsidRDefault="00B169E8" w:rsidP="009D332A">
      <w:pPr>
        <w:ind w:firstLine="560"/>
      </w:pPr>
      <w:r>
        <w:t>近年来国外在地下水污染</w:t>
      </w:r>
      <w:r w:rsidR="002107B6">
        <w:rPr>
          <w:rFonts w:hint="eastAsia"/>
        </w:rPr>
        <w:t>量化</w:t>
      </w:r>
      <w:r>
        <w:t>方法研究方面取得了一系列</w:t>
      </w:r>
      <w:r>
        <w:rPr>
          <w:rFonts w:hint="eastAsia"/>
        </w:rPr>
        <w:t>成果，</w:t>
      </w:r>
      <w:r>
        <w:t>美国劳伦斯伯克利国家实验室、荷兰代尔夫特理工大学、斯坦福大学</w:t>
      </w:r>
      <w:r>
        <w:lastRenderedPageBreak/>
        <w:t>等国际知名研究机构将深度学习等人工智能方法引入地下水领域，</w:t>
      </w:r>
      <w:r w:rsidR="00B02B41">
        <w:rPr>
          <w:rFonts w:hint="eastAsia"/>
        </w:rPr>
        <w:t>例如</w:t>
      </w:r>
      <w:r>
        <w:t>在含水层</w:t>
      </w:r>
      <w:r w:rsidR="00B02B41">
        <w:rPr>
          <w:rFonts w:hint="eastAsia"/>
        </w:rPr>
        <w:t>进行</w:t>
      </w:r>
      <w:r>
        <w:t>参数识别和污染物迁移预测等。</w:t>
      </w:r>
      <w:r w:rsidR="00B02B41">
        <w:rPr>
          <w:rFonts w:hint="eastAsia"/>
        </w:rPr>
        <w:t>此外，</w:t>
      </w:r>
      <w:r>
        <w:t>数据同化技术的发展实现了地下水监测数据与数值模型的动态融合，提高了模型预测精度。</w:t>
      </w:r>
      <w:r w:rsidR="00B02B41">
        <w:t>在模型不确定性分析方面，普林斯顿大学等开发了基于贝叶斯框架的多模型集成方法，通过整合多个模型的预测结果提高预测可靠性。同时发展了基于概率统计的参数敏感性分析方法，为模型预测结果的不确定性定量化提供了科学依据。</w:t>
      </w:r>
    </w:p>
    <w:p w14:paraId="313B0488" w14:textId="267DB806" w:rsidR="00A2570F" w:rsidRDefault="00A2570F" w:rsidP="009D332A">
      <w:pPr>
        <w:ind w:firstLine="560"/>
      </w:pPr>
      <w:r>
        <w:t>在软件开发应用方面，国外商业化软件和开源软件已相对成熟并得到广泛应用，为</w:t>
      </w:r>
      <w:r w:rsidR="002107B6">
        <w:rPr>
          <w:rFonts w:hint="eastAsia"/>
        </w:rPr>
        <w:t>污染场地土壤</w:t>
      </w:r>
      <w:r w:rsidR="002107B6">
        <w:rPr>
          <w:rFonts w:hint="eastAsia"/>
        </w:rPr>
        <w:t>-</w:t>
      </w:r>
      <w:r w:rsidR="002107B6">
        <w:rPr>
          <w:rFonts w:hint="eastAsia"/>
        </w:rPr>
        <w:t>地下水环境风险量化表征</w:t>
      </w:r>
      <w:r>
        <w:t>提供了有力的技术支撑。</w:t>
      </w:r>
    </w:p>
    <w:p w14:paraId="1DF99941" w14:textId="680E25BB" w:rsidR="002107B6" w:rsidRDefault="003F6B05" w:rsidP="002107B6">
      <w:pPr>
        <w:pStyle w:val="2"/>
      </w:pPr>
      <w:bookmarkStart w:id="4" w:name="_Toc195800706"/>
      <w:r>
        <w:rPr>
          <w:rFonts w:hint="eastAsia"/>
        </w:rPr>
        <w:t>（二）</w:t>
      </w:r>
      <w:r w:rsidR="002107B6">
        <w:rPr>
          <w:rFonts w:hint="eastAsia"/>
        </w:rPr>
        <w:t>国外污染场地环境风险量化表征规范及方法</w:t>
      </w:r>
      <w:r w:rsidR="002107B6" w:rsidRPr="0034069B">
        <w:rPr>
          <w:rFonts w:hint="eastAsia"/>
        </w:rPr>
        <w:t>研究进展</w:t>
      </w:r>
      <w:bookmarkEnd w:id="4"/>
    </w:p>
    <w:p w14:paraId="11EAA668" w14:textId="77777777" w:rsidR="002107B6" w:rsidRPr="002107B6" w:rsidRDefault="002107B6" w:rsidP="002107B6">
      <w:pPr>
        <w:ind w:firstLine="560"/>
      </w:pPr>
      <w:r w:rsidRPr="002107B6">
        <w:rPr>
          <w:rFonts w:hint="eastAsia"/>
        </w:rPr>
        <w:t>我国在挥发类有机污染场地风险评估领域起步相对较晚</w:t>
      </w:r>
      <w:r w:rsidRPr="002107B6">
        <w:rPr>
          <w:rFonts w:hint="eastAsia"/>
        </w:rPr>
        <w:t xml:space="preserve">, </w:t>
      </w:r>
      <w:r w:rsidRPr="002107B6">
        <w:rPr>
          <w:rFonts w:hint="eastAsia"/>
        </w:rPr>
        <w:t>但近年来</w:t>
      </w:r>
      <w:r w:rsidRPr="002107B6">
        <w:rPr>
          <w:rFonts w:hint="eastAsia"/>
        </w:rPr>
        <w:t xml:space="preserve">, </w:t>
      </w:r>
      <w:r w:rsidRPr="002107B6">
        <w:rPr>
          <w:rFonts w:hint="eastAsia"/>
        </w:rPr>
        <w:t>国内有许多研究开展了对有机污染场地土壤与地下水健康风险评估工作。早期研究多在污染场地土壤和地下水环境详细调查的基础上</w:t>
      </w:r>
      <w:r w:rsidRPr="002107B6">
        <w:rPr>
          <w:rFonts w:hint="eastAsia"/>
        </w:rPr>
        <w:t xml:space="preserve">, </w:t>
      </w:r>
      <w:r w:rsidRPr="002107B6">
        <w:rPr>
          <w:rFonts w:hint="eastAsia"/>
        </w:rPr>
        <w:t>按照《污染场地风险评估技术导则》</w:t>
      </w:r>
      <w:r w:rsidRPr="002107B6">
        <w:rPr>
          <w:rFonts w:hint="eastAsia"/>
        </w:rPr>
        <w:t xml:space="preserve"> (HJ25.3-2014) </w:t>
      </w:r>
      <w:r w:rsidRPr="002107B6">
        <w:rPr>
          <w:rFonts w:hint="eastAsia"/>
        </w:rPr>
        <w:t>推荐模型及参数</w:t>
      </w:r>
      <w:r w:rsidRPr="002107B6">
        <w:rPr>
          <w:rFonts w:hint="eastAsia"/>
        </w:rPr>
        <w:t xml:space="preserve">, </w:t>
      </w:r>
      <w:r w:rsidRPr="002107B6">
        <w:rPr>
          <w:rFonts w:hint="eastAsia"/>
        </w:rPr>
        <w:t>开展污染场地健康风险评估</w:t>
      </w:r>
      <w:r w:rsidRPr="002107B6">
        <w:rPr>
          <w:rFonts w:hint="eastAsia"/>
        </w:rPr>
        <w:t xml:space="preserve">, </w:t>
      </w:r>
      <w:r w:rsidRPr="002107B6">
        <w:rPr>
          <w:rFonts w:hint="eastAsia"/>
        </w:rPr>
        <w:t>分析场地环境风险；现在以《建设用地土壤污染风险评估技术导则》</w:t>
      </w:r>
      <w:r w:rsidRPr="002107B6">
        <w:rPr>
          <w:rFonts w:hint="eastAsia"/>
        </w:rPr>
        <w:t>(</w:t>
      </w:r>
      <w:r w:rsidRPr="002107B6">
        <w:t>HJ25.3-2019)</w:t>
      </w:r>
      <w:r w:rsidRPr="002107B6">
        <w:rPr>
          <w:rFonts w:hint="eastAsia"/>
        </w:rPr>
        <w:t>作为指导依据，以危害识别、暴露评估、风险表征和控制值计算</w:t>
      </w:r>
      <w:r w:rsidRPr="002107B6">
        <w:rPr>
          <w:rFonts w:hint="eastAsia"/>
        </w:rPr>
        <w:t>4</w:t>
      </w:r>
      <w:r w:rsidRPr="002107B6">
        <w:rPr>
          <w:rFonts w:hint="eastAsia"/>
        </w:rPr>
        <w:t>个方面进行土壤和地下水风险评估，对于吸入地表空气中来自土壤或地下水中的污染物也提出了相应的公式。此类评估方法仅以土壤或地下水浓度作为计算依据，忽视了气相有机污染物的浓度和通量对地表造成的危害，且在复杂场地条件下难以准确的评估环境风险。</w:t>
      </w:r>
    </w:p>
    <w:p w14:paraId="6FDD8869" w14:textId="224425DF" w:rsidR="00157E91" w:rsidRDefault="00157E91" w:rsidP="00CA76DE">
      <w:pPr>
        <w:pStyle w:val="1"/>
      </w:pPr>
      <w:bookmarkStart w:id="5" w:name="_Toc195800707"/>
      <w:r>
        <w:rPr>
          <w:rFonts w:hint="eastAsia"/>
        </w:rPr>
        <w:lastRenderedPageBreak/>
        <w:t>四、编制</w:t>
      </w:r>
      <w:r w:rsidR="00633CE7">
        <w:rPr>
          <w:rFonts w:hint="eastAsia"/>
        </w:rPr>
        <w:t>的</w:t>
      </w:r>
      <w:r w:rsidR="00633CE7" w:rsidRPr="00633CE7">
        <w:rPr>
          <w:rFonts w:hint="eastAsia"/>
        </w:rPr>
        <w:t>基本原则</w:t>
      </w:r>
      <w:bookmarkEnd w:id="5"/>
    </w:p>
    <w:p w14:paraId="65DB898C" w14:textId="11B198A6" w:rsidR="00F43CBD" w:rsidRPr="00D05514" w:rsidRDefault="00F43CBD" w:rsidP="00F43CBD">
      <w:pPr>
        <w:pStyle w:val="2"/>
      </w:pPr>
      <w:bookmarkStart w:id="6" w:name="OLE_LINK1"/>
      <w:bookmarkStart w:id="7" w:name="_Toc195800708"/>
      <w:r>
        <w:rPr>
          <w:rFonts w:hint="eastAsia"/>
        </w:rPr>
        <w:t>（</w:t>
      </w:r>
      <w:r w:rsidR="0083632B">
        <w:rPr>
          <w:rFonts w:hint="eastAsia"/>
        </w:rPr>
        <w:t>一</w:t>
      </w:r>
      <w:r>
        <w:rPr>
          <w:rFonts w:hint="eastAsia"/>
        </w:rPr>
        <w:t>）</w:t>
      </w:r>
      <w:r w:rsidRPr="00D05514">
        <w:rPr>
          <w:rFonts w:hint="eastAsia"/>
        </w:rPr>
        <w:t xml:space="preserve"> </w:t>
      </w:r>
      <w:r w:rsidRPr="00D05514">
        <w:rPr>
          <w:rFonts w:hint="eastAsia"/>
        </w:rPr>
        <w:t>精准导向原则</w:t>
      </w:r>
      <w:bookmarkEnd w:id="7"/>
    </w:p>
    <w:p w14:paraId="3238B533" w14:textId="77777777" w:rsidR="00F43CBD" w:rsidRPr="00AD6E96" w:rsidRDefault="00F43CBD" w:rsidP="00F43CBD">
      <w:pPr>
        <w:ind w:firstLine="560"/>
        <w:rPr>
          <w:rFonts w:eastAsia="新宋体"/>
        </w:rPr>
      </w:pPr>
      <w:r w:rsidRPr="00AD6E96">
        <w:rPr>
          <w:rFonts w:eastAsia="新宋体" w:hint="eastAsia"/>
        </w:rPr>
        <w:t>本标准旨在建立复杂介质条件下污染场地</w:t>
      </w:r>
      <w:r w:rsidRPr="00AD6E96">
        <w:rPr>
          <w:rFonts w:eastAsia="新宋体" w:cs="Times New Roman" w:hint="eastAsia"/>
        </w:rPr>
        <w:t>挥发类有机物多相传输扩散环境风险精准高效表征的技术框架与应用流程及相关技术规范，为复杂介质场地挥发类有机污染物环境风险的精准高效量化表征提供快捷方法与实用量化模型</w:t>
      </w:r>
      <w:r w:rsidRPr="00D05514">
        <w:rPr>
          <w:rFonts w:hint="eastAsia"/>
        </w:rPr>
        <w:t>，</w:t>
      </w:r>
    </w:p>
    <w:p w14:paraId="448C2A3D" w14:textId="1896A2A8" w:rsidR="00F43CBD" w:rsidRPr="00D05514" w:rsidRDefault="00F43CBD" w:rsidP="00F43CBD">
      <w:pPr>
        <w:pStyle w:val="2"/>
      </w:pPr>
      <w:bookmarkStart w:id="8" w:name="_Toc195800709"/>
      <w:r>
        <w:rPr>
          <w:rFonts w:hint="eastAsia"/>
        </w:rPr>
        <w:t>（</w:t>
      </w:r>
      <w:r w:rsidR="0083632B">
        <w:rPr>
          <w:rFonts w:hint="eastAsia"/>
        </w:rPr>
        <w:t>二</w:t>
      </w:r>
      <w:r>
        <w:rPr>
          <w:rFonts w:hint="eastAsia"/>
        </w:rPr>
        <w:t>）</w:t>
      </w:r>
      <w:r w:rsidRPr="00D05514">
        <w:rPr>
          <w:rFonts w:hint="eastAsia"/>
        </w:rPr>
        <w:t xml:space="preserve">  </w:t>
      </w:r>
      <w:r w:rsidRPr="00D05514">
        <w:rPr>
          <w:rFonts w:hint="eastAsia"/>
        </w:rPr>
        <w:t>科学实效原则</w:t>
      </w:r>
      <w:bookmarkEnd w:id="8"/>
    </w:p>
    <w:p w14:paraId="503D2F4A" w14:textId="77777777" w:rsidR="00F43CBD" w:rsidRPr="00D05514" w:rsidRDefault="00F43CBD" w:rsidP="00F43CBD">
      <w:pPr>
        <w:ind w:firstLine="560"/>
      </w:pPr>
      <w:r w:rsidRPr="00D05514">
        <w:rPr>
          <w:rFonts w:hint="eastAsia"/>
        </w:rPr>
        <w:t>应立足工程实践需求，在保证科学性的基础上，注重方法的可操作性和时效性。根据不同阶段的评估目标和数据条件，建立分层次、分阶段的量化表征策略，突出能简不繁，通过数值模拟、统计模型和机器学习分类模型，实现精准高效的污染场地挥发类有机物环境风险评估，切实服务于地下水污染防治决策。</w:t>
      </w:r>
    </w:p>
    <w:p w14:paraId="564C0E83" w14:textId="36F1CC5A" w:rsidR="00F43CBD" w:rsidRPr="00150502" w:rsidRDefault="00F43CBD" w:rsidP="00F43CBD">
      <w:pPr>
        <w:pStyle w:val="2"/>
        <w:rPr>
          <w:rFonts w:eastAsia="黑体"/>
        </w:rPr>
      </w:pPr>
      <w:bookmarkStart w:id="9" w:name="_Toc195800710"/>
      <w:r>
        <w:rPr>
          <w:rFonts w:hint="eastAsia"/>
        </w:rPr>
        <w:t>（</w:t>
      </w:r>
      <w:r w:rsidR="0083632B">
        <w:rPr>
          <w:rFonts w:hint="eastAsia"/>
        </w:rPr>
        <w:t>三</w:t>
      </w:r>
      <w:r>
        <w:rPr>
          <w:rFonts w:hint="eastAsia"/>
        </w:rPr>
        <w:t>）</w:t>
      </w:r>
      <w:r w:rsidRPr="00D05514">
        <w:rPr>
          <w:rFonts w:hint="eastAsia"/>
        </w:rPr>
        <w:t xml:space="preserve"> </w:t>
      </w:r>
      <w:r w:rsidR="001C20EE">
        <w:rPr>
          <w:rFonts w:hint="eastAsia"/>
        </w:rPr>
        <w:t>可行易</w:t>
      </w:r>
      <w:r w:rsidRPr="00150502">
        <w:rPr>
          <w:rFonts w:eastAsia="黑体" w:hint="eastAsia"/>
        </w:rPr>
        <w:t>推原则</w:t>
      </w:r>
      <w:bookmarkEnd w:id="9"/>
    </w:p>
    <w:p w14:paraId="3ED58F42" w14:textId="77777777" w:rsidR="00F43CBD" w:rsidRPr="00150502" w:rsidRDefault="00F43CBD" w:rsidP="00F43CBD">
      <w:pPr>
        <w:ind w:firstLine="560"/>
        <w:rPr>
          <w:rFonts w:eastAsia="新宋体"/>
        </w:rPr>
      </w:pPr>
      <w:r w:rsidRPr="00150502">
        <w:rPr>
          <w:rFonts w:eastAsia="新宋体" w:hint="eastAsia"/>
        </w:rPr>
        <w:t>本规范评价方法具有普遍适用性，对实际应用具有指导性，易于推广使用。</w:t>
      </w:r>
    </w:p>
    <w:p w14:paraId="4E7510D8" w14:textId="2DDA8528" w:rsidR="00157E91" w:rsidRDefault="00157E91" w:rsidP="00F727F3">
      <w:pPr>
        <w:pStyle w:val="1"/>
      </w:pPr>
      <w:bookmarkStart w:id="10" w:name="_Toc195800711"/>
      <w:bookmarkEnd w:id="6"/>
      <w:r>
        <w:rPr>
          <w:rFonts w:hint="eastAsia"/>
        </w:rPr>
        <w:t>五、</w:t>
      </w:r>
      <w:r w:rsidR="00F727F3">
        <w:rPr>
          <w:rFonts w:hint="eastAsia"/>
        </w:rPr>
        <w:t>主要技术条款说明</w:t>
      </w:r>
      <w:bookmarkEnd w:id="10"/>
    </w:p>
    <w:p w14:paraId="3333094D" w14:textId="6FECA332" w:rsidR="00F727F3" w:rsidRDefault="00F727F3" w:rsidP="00F727F3">
      <w:pPr>
        <w:pStyle w:val="2"/>
      </w:pPr>
      <w:bookmarkStart w:id="11" w:name="_Toc195800712"/>
      <w:r>
        <w:rPr>
          <w:rFonts w:hint="eastAsia"/>
        </w:rPr>
        <w:t>（一）适用范围</w:t>
      </w:r>
      <w:bookmarkEnd w:id="11"/>
    </w:p>
    <w:p w14:paraId="6A0C1A47" w14:textId="3C12BD6F" w:rsidR="00B31D5E" w:rsidRPr="00D05514" w:rsidRDefault="00B31D5E" w:rsidP="00B31D5E">
      <w:pPr>
        <w:ind w:firstLine="560"/>
      </w:pPr>
      <w:r w:rsidRPr="00971ED3">
        <w:rPr>
          <w:rFonts w:eastAsia="新宋体" w:cs="Times New Roman" w:hint="eastAsia"/>
        </w:rPr>
        <w:t>本</w:t>
      </w:r>
      <w:r>
        <w:rPr>
          <w:rFonts w:eastAsia="新宋体" w:cs="Times New Roman" w:hint="eastAsia"/>
        </w:rPr>
        <w:t>指南</w:t>
      </w:r>
      <w:r w:rsidRPr="00971ED3">
        <w:rPr>
          <w:rFonts w:eastAsia="新宋体" w:cs="Times New Roman" w:hint="eastAsia"/>
        </w:rPr>
        <w:t>规定了复杂介质污染场地挥发类有机物多相传输扩散环境风险量化表征的技术框架与应用流程，为场地与区域地下水污染环境风险评估与风险管控提供方法与技术支撑。</w:t>
      </w:r>
    </w:p>
    <w:p w14:paraId="6D59012A" w14:textId="77777777" w:rsidR="00B31D5E" w:rsidRPr="00D05514" w:rsidRDefault="00B31D5E" w:rsidP="00B31D5E">
      <w:pPr>
        <w:ind w:firstLine="560"/>
        <w:rPr>
          <w:rFonts w:cs="Times New Roman"/>
        </w:rPr>
      </w:pPr>
      <w:r w:rsidRPr="00D05514">
        <w:rPr>
          <w:rFonts w:cs="Times New Roman" w:hint="eastAsia"/>
        </w:rPr>
        <w:t>本指南适用于层状异质松散多孔介质、裂隙</w:t>
      </w:r>
      <w:r w:rsidRPr="00D05514">
        <w:rPr>
          <w:rFonts w:cs="Times New Roman" w:hint="eastAsia"/>
        </w:rPr>
        <w:t>(</w:t>
      </w:r>
      <w:r w:rsidRPr="00D05514">
        <w:rPr>
          <w:rFonts w:cs="Times New Roman" w:hint="eastAsia"/>
        </w:rPr>
        <w:t>岩溶</w:t>
      </w:r>
      <w:r w:rsidRPr="00D05514">
        <w:rPr>
          <w:rFonts w:cs="Times New Roman"/>
        </w:rPr>
        <w:t>)</w:t>
      </w:r>
      <w:r w:rsidRPr="00D05514">
        <w:rPr>
          <w:rFonts w:cs="Times New Roman" w:hint="eastAsia"/>
        </w:rPr>
        <w:t>化介质等复杂</w:t>
      </w:r>
      <w:r w:rsidRPr="00D05514">
        <w:rPr>
          <w:rFonts w:cs="Times New Roman" w:hint="eastAsia"/>
        </w:rPr>
        <w:lastRenderedPageBreak/>
        <w:t>场地高精度快速量化表征挥发类有机污染物导致的环境风险精准量化表征。</w:t>
      </w:r>
    </w:p>
    <w:p w14:paraId="7606E6D1" w14:textId="2BF6C4D5" w:rsidR="00071AA3" w:rsidRDefault="00633CE7" w:rsidP="00633CE7">
      <w:pPr>
        <w:pStyle w:val="2"/>
      </w:pPr>
      <w:bookmarkStart w:id="12" w:name="_Toc195800713"/>
      <w:r>
        <w:rPr>
          <w:rFonts w:hint="eastAsia"/>
        </w:rPr>
        <w:t>（二）规范性引用文件</w:t>
      </w:r>
      <w:bookmarkEnd w:id="12"/>
    </w:p>
    <w:p w14:paraId="4921C076" w14:textId="77777777" w:rsidR="00127090" w:rsidRDefault="00127090" w:rsidP="00127090">
      <w:pPr>
        <w:ind w:firstLine="560"/>
      </w:pPr>
      <w:r>
        <w:rPr>
          <w:rFonts w:hint="eastAsia"/>
        </w:rPr>
        <w:t>本标准引用了下列文件或其中的条款。</w:t>
      </w:r>
    </w:p>
    <w:p w14:paraId="4CCE21FB" w14:textId="77777777" w:rsidR="00997B57" w:rsidRPr="00D05514" w:rsidRDefault="00997B57" w:rsidP="00997B57">
      <w:pPr>
        <w:ind w:firstLine="560"/>
      </w:pPr>
      <w:r w:rsidRPr="00D05514">
        <w:rPr>
          <w:rFonts w:hint="eastAsia"/>
        </w:rPr>
        <w:t xml:space="preserve">GB 5749 </w:t>
      </w:r>
      <w:r w:rsidRPr="00D05514">
        <w:rPr>
          <w:rFonts w:hint="eastAsia"/>
        </w:rPr>
        <w:t>生活饮用水卫生标准</w:t>
      </w:r>
    </w:p>
    <w:p w14:paraId="1AFA68A3" w14:textId="77777777" w:rsidR="00997B57" w:rsidRPr="00D05514" w:rsidRDefault="00997B57" w:rsidP="00997B57">
      <w:pPr>
        <w:ind w:firstLine="560"/>
      </w:pPr>
      <w:r w:rsidRPr="00D05514">
        <w:rPr>
          <w:rFonts w:hint="eastAsia"/>
        </w:rPr>
        <w:t xml:space="preserve">GB 50137 </w:t>
      </w:r>
      <w:r w:rsidRPr="00D05514">
        <w:rPr>
          <w:rFonts w:hint="eastAsia"/>
        </w:rPr>
        <w:t>城市用地分类与规划建设用地标准</w:t>
      </w:r>
    </w:p>
    <w:p w14:paraId="138CEF83" w14:textId="77777777" w:rsidR="00997B57" w:rsidRPr="00D05514" w:rsidRDefault="00997B57" w:rsidP="00997B57">
      <w:pPr>
        <w:ind w:firstLine="560"/>
      </w:pPr>
      <w:r w:rsidRPr="00D05514">
        <w:rPr>
          <w:rFonts w:hint="eastAsia"/>
        </w:rPr>
        <w:t xml:space="preserve">GB/T 14157 </w:t>
      </w:r>
      <w:r w:rsidRPr="00D05514">
        <w:rPr>
          <w:rFonts w:hint="eastAsia"/>
        </w:rPr>
        <w:t>水文地质术语</w:t>
      </w:r>
    </w:p>
    <w:p w14:paraId="20CD3435" w14:textId="77777777" w:rsidR="00997B57" w:rsidRPr="00D05514" w:rsidRDefault="00997B57" w:rsidP="00997B57">
      <w:pPr>
        <w:ind w:firstLine="560"/>
      </w:pPr>
      <w:r w:rsidRPr="00D05514">
        <w:rPr>
          <w:rFonts w:hint="eastAsia"/>
        </w:rPr>
        <w:t xml:space="preserve">GB/T 14848 </w:t>
      </w:r>
      <w:r w:rsidRPr="00D05514">
        <w:rPr>
          <w:rFonts w:hint="eastAsia"/>
        </w:rPr>
        <w:t>地下水质量标准</w:t>
      </w:r>
    </w:p>
    <w:p w14:paraId="7B5890E5" w14:textId="77777777" w:rsidR="00997B57" w:rsidRPr="00D05514" w:rsidRDefault="00997B57" w:rsidP="00997B57">
      <w:pPr>
        <w:ind w:firstLine="560"/>
      </w:pPr>
      <w:r w:rsidRPr="00D05514">
        <w:rPr>
          <w:rFonts w:hint="eastAsia"/>
        </w:rPr>
        <w:t>GB366000-2018</w:t>
      </w:r>
      <w:r w:rsidRPr="00D05514">
        <w:rPr>
          <w:rFonts w:hint="eastAsia"/>
        </w:rPr>
        <w:t>土壤环境质量</w:t>
      </w:r>
      <w:r w:rsidRPr="00D05514">
        <w:rPr>
          <w:rFonts w:hint="eastAsia"/>
        </w:rPr>
        <w:t xml:space="preserve"> </w:t>
      </w:r>
      <w:r w:rsidRPr="00D05514">
        <w:rPr>
          <w:rFonts w:hint="eastAsia"/>
        </w:rPr>
        <w:t>建设用地土壤污染风险管控标准</w:t>
      </w:r>
    </w:p>
    <w:p w14:paraId="0FBB9183" w14:textId="77777777" w:rsidR="00997B57" w:rsidRPr="00D05514" w:rsidRDefault="00997B57" w:rsidP="00997B57">
      <w:pPr>
        <w:ind w:firstLine="560"/>
      </w:pPr>
      <w:r w:rsidRPr="00D05514">
        <w:rPr>
          <w:rFonts w:hint="eastAsia"/>
        </w:rPr>
        <w:t>HJ 25.2</w:t>
      </w:r>
      <w:r w:rsidRPr="00D05514">
        <w:rPr>
          <w:rFonts w:hint="eastAsia"/>
        </w:rPr>
        <w:t>—</w:t>
      </w:r>
      <w:r w:rsidRPr="00D05514">
        <w:rPr>
          <w:rFonts w:hint="eastAsia"/>
        </w:rPr>
        <w:t>2019</w:t>
      </w:r>
      <w:r w:rsidRPr="00D05514">
        <w:rPr>
          <w:rFonts w:hint="eastAsia"/>
        </w:rPr>
        <w:tab/>
      </w:r>
      <w:r w:rsidRPr="00D05514">
        <w:rPr>
          <w:rFonts w:hint="eastAsia"/>
        </w:rPr>
        <w:t>建设用地土壤污染风险管控和修复监测技术导则</w:t>
      </w:r>
    </w:p>
    <w:p w14:paraId="29CA0CDB" w14:textId="77777777" w:rsidR="00997B57" w:rsidRPr="00D05514" w:rsidRDefault="00997B57" w:rsidP="00997B57">
      <w:pPr>
        <w:ind w:firstLine="560"/>
      </w:pPr>
      <w:r w:rsidRPr="00D05514">
        <w:rPr>
          <w:rFonts w:hint="eastAsia"/>
        </w:rPr>
        <w:t xml:space="preserve">HJ 25.3 </w:t>
      </w:r>
      <w:r w:rsidRPr="00D05514">
        <w:rPr>
          <w:rFonts w:hint="eastAsia"/>
        </w:rPr>
        <w:t>—</w:t>
      </w:r>
      <w:r w:rsidRPr="00D05514">
        <w:rPr>
          <w:rFonts w:hint="eastAsia"/>
        </w:rPr>
        <w:t xml:space="preserve"> 2019</w:t>
      </w:r>
      <w:r w:rsidRPr="00D05514">
        <w:rPr>
          <w:rFonts w:hint="eastAsia"/>
        </w:rPr>
        <w:t>建设用地土壤污染风险评估技术导则</w:t>
      </w:r>
    </w:p>
    <w:p w14:paraId="475C0539" w14:textId="77777777" w:rsidR="00997B57" w:rsidRPr="00D05514" w:rsidRDefault="00997B57" w:rsidP="00997B57">
      <w:pPr>
        <w:ind w:firstLine="560"/>
      </w:pPr>
      <w:r w:rsidRPr="00D05514">
        <w:rPr>
          <w:rFonts w:hint="eastAsia"/>
        </w:rPr>
        <w:t>HJ 25.5</w:t>
      </w:r>
      <w:r w:rsidRPr="00D05514">
        <w:rPr>
          <w:rFonts w:hint="eastAsia"/>
        </w:rPr>
        <w:t>—</w:t>
      </w:r>
      <w:r w:rsidRPr="00D05514">
        <w:rPr>
          <w:rFonts w:hint="eastAsia"/>
        </w:rPr>
        <w:t>2019</w:t>
      </w:r>
      <w:r w:rsidRPr="00D05514">
        <w:rPr>
          <w:rFonts w:hint="eastAsia"/>
        </w:rPr>
        <w:tab/>
      </w:r>
      <w:r w:rsidRPr="00D05514">
        <w:rPr>
          <w:rFonts w:hint="eastAsia"/>
        </w:rPr>
        <w:t>污染地块风险管控与土壤修复效果评估技术导则</w:t>
      </w:r>
    </w:p>
    <w:p w14:paraId="3041497A" w14:textId="77777777" w:rsidR="00997B57" w:rsidRPr="00D05514" w:rsidRDefault="00997B57" w:rsidP="00997B57">
      <w:pPr>
        <w:ind w:firstLine="560"/>
      </w:pPr>
      <w:r w:rsidRPr="00D05514">
        <w:rPr>
          <w:rFonts w:hint="eastAsia"/>
        </w:rPr>
        <w:t>HJ 25.6</w:t>
      </w:r>
      <w:r w:rsidRPr="00D05514">
        <w:rPr>
          <w:rFonts w:hint="eastAsia"/>
        </w:rPr>
        <w:t>—</w:t>
      </w:r>
      <w:r w:rsidRPr="00D05514">
        <w:rPr>
          <w:rFonts w:hint="eastAsia"/>
        </w:rPr>
        <w:t>2019</w:t>
      </w:r>
      <w:r w:rsidRPr="00D05514">
        <w:rPr>
          <w:rFonts w:hint="eastAsia"/>
        </w:rPr>
        <w:tab/>
      </w:r>
      <w:r w:rsidRPr="00D05514">
        <w:rPr>
          <w:rFonts w:hint="eastAsia"/>
        </w:rPr>
        <w:t>污染地块地下水修复和风险管控技术导则</w:t>
      </w:r>
    </w:p>
    <w:p w14:paraId="222DFAB7" w14:textId="77777777" w:rsidR="00997B57" w:rsidRPr="00D05514" w:rsidRDefault="00997B57" w:rsidP="00997B57">
      <w:pPr>
        <w:ind w:firstLine="560"/>
      </w:pPr>
      <w:r w:rsidRPr="00D05514">
        <w:rPr>
          <w:rFonts w:hint="eastAsia"/>
        </w:rPr>
        <w:t xml:space="preserve">HJ 610 </w:t>
      </w:r>
      <w:r w:rsidRPr="00D05514">
        <w:rPr>
          <w:rFonts w:hint="eastAsia"/>
        </w:rPr>
        <w:t>环境影响评价技术导则</w:t>
      </w:r>
      <w:r w:rsidRPr="00D05514">
        <w:rPr>
          <w:rFonts w:hint="eastAsia"/>
        </w:rPr>
        <w:t xml:space="preserve"> </w:t>
      </w:r>
      <w:r w:rsidRPr="00D05514">
        <w:rPr>
          <w:rFonts w:hint="eastAsia"/>
        </w:rPr>
        <w:t>地下水环境</w:t>
      </w:r>
    </w:p>
    <w:p w14:paraId="58F7FD45" w14:textId="77777777" w:rsidR="00997B57" w:rsidRPr="00D05514" w:rsidRDefault="00997B57" w:rsidP="00997B57">
      <w:pPr>
        <w:ind w:firstLine="560"/>
      </w:pPr>
      <w:r w:rsidRPr="00D05514">
        <w:rPr>
          <w:rFonts w:hint="eastAsia"/>
        </w:rPr>
        <w:t xml:space="preserve">HJ 839 </w:t>
      </w:r>
      <w:r w:rsidRPr="00D05514">
        <w:rPr>
          <w:rFonts w:hint="eastAsia"/>
        </w:rPr>
        <w:t>环境与健康现场调查技术规范</w:t>
      </w:r>
      <w:r w:rsidRPr="00D05514">
        <w:rPr>
          <w:rFonts w:hint="eastAsia"/>
        </w:rPr>
        <w:t xml:space="preserve"> </w:t>
      </w:r>
      <w:r w:rsidRPr="00D05514">
        <w:rPr>
          <w:rFonts w:hint="eastAsia"/>
        </w:rPr>
        <w:t>横断面调查</w:t>
      </w:r>
    </w:p>
    <w:p w14:paraId="3CBC2226" w14:textId="77777777" w:rsidR="00997B57" w:rsidRPr="00D05514" w:rsidRDefault="00997B57" w:rsidP="00997B57">
      <w:pPr>
        <w:ind w:firstLine="560"/>
      </w:pPr>
      <w:r w:rsidRPr="00D05514">
        <w:rPr>
          <w:rFonts w:hint="eastAsia"/>
        </w:rPr>
        <w:t xml:space="preserve">HJ/T 164 </w:t>
      </w:r>
      <w:r w:rsidRPr="00D05514">
        <w:rPr>
          <w:rFonts w:hint="eastAsia"/>
        </w:rPr>
        <w:t>地下水环境监测技术规范</w:t>
      </w:r>
    </w:p>
    <w:p w14:paraId="224E593D" w14:textId="0B6FF488" w:rsidR="0012542B" w:rsidRDefault="0012542B" w:rsidP="0012542B">
      <w:pPr>
        <w:pStyle w:val="2"/>
      </w:pPr>
      <w:bookmarkStart w:id="13" w:name="_Toc195800714"/>
      <w:r>
        <w:rPr>
          <w:rFonts w:hint="eastAsia"/>
        </w:rPr>
        <w:t>（三）工作内容和流程</w:t>
      </w:r>
      <w:bookmarkEnd w:id="13"/>
    </w:p>
    <w:p w14:paraId="2E94950D" w14:textId="028282F7" w:rsidR="00997B57" w:rsidRPr="00997B57" w:rsidRDefault="00997B57" w:rsidP="00997B57">
      <w:pPr>
        <w:ind w:firstLine="562"/>
        <w:rPr>
          <w:b/>
          <w:bCs/>
        </w:rPr>
      </w:pPr>
      <w:r w:rsidRPr="00997B57">
        <w:rPr>
          <w:rFonts w:hint="eastAsia"/>
          <w:b/>
          <w:bCs/>
        </w:rPr>
        <w:t>工作内容主要包括：</w:t>
      </w:r>
    </w:p>
    <w:p w14:paraId="1526E420"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明确量化表征目标与应用场景</w:t>
      </w:r>
    </w:p>
    <w:p w14:paraId="100A4F48"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复杂介质污染场地环境风险时空演化概念模型构建</w:t>
      </w:r>
    </w:p>
    <w:p w14:paraId="769044B6"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lastRenderedPageBreak/>
        <w:t>复杂介质污染场地环境风险量化表征模型类型筛选</w:t>
      </w:r>
    </w:p>
    <w:p w14:paraId="17A8E5DE"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复杂介质污染场地环境风险量化表征基础数据准备</w:t>
      </w:r>
    </w:p>
    <w:p w14:paraId="458730EB"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复杂介质污染场地环境风险量化表征模型构建</w:t>
      </w:r>
    </w:p>
    <w:p w14:paraId="6E6C74D8"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复杂介质污染场地环境风险量化表征不确定性评价</w:t>
      </w:r>
    </w:p>
    <w:p w14:paraId="51CB7BA1"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复杂介质污染场地环境风险量化表征数字模拟与诊断系统</w:t>
      </w:r>
    </w:p>
    <w:p w14:paraId="06529E64" w14:textId="77777777" w:rsidR="00997B57" w:rsidRPr="00F0649C" w:rsidRDefault="00997B57" w:rsidP="00997B57">
      <w:pPr>
        <w:pStyle w:val="a9"/>
        <w:numPr>
          <w:ilvl w:val="0"/>
          <w:numId w:val="2"/>
        </w:numPr>
        <w:ind w:firstLineChars="0"/>
        <w:jc w:val="left"/>
        <w:rPr>
          <w:rFonts w:ascii="新宋体" w:hAnsi="新宋体"/>
        </w:rPr>
      </w:pPr>
      <w:r w:rsidRPr="00F0649C">
        <w:rPr>
          <w:rFonts w:ascii="新宋体" w:hAnsi="新宋体" w:hint="eastAsia"/>
        </w:rPr>
        <w:t>复杂介质污染场地环境风险量化表征结果应用</w:t>
      </w:r>
    </w:p>
    <w:p w14:paraId="422B863A" w14:textId="02966513" w:rsidR="00997B57" w:rsidRPr="00997B57" w:rsidRDefault="00997B57" w:rsidP="00997B57">
      <w:pPr>
        <w:ind w:firstLine="562"/>
        <w:rPr>
          <w:b/>
          <w:bCs/>
        </w:rPr>
      </w:pPr>
      <w:r w:rsidRPr="00997B57">
        <w:rPr>
          <w:rFonts w:hint="eastAsia"/>
          <w:b/>
          <w:bCs/>
        </w:rPr>
        <w:t>复杂介质环境风险评估其他特征概化</w:t>
      </w:r>
      <w:r>
        <w:rPr>
          <w:rFonts w:hint="eastAsia"/>
          <w:b/>
          <w:bCs/>
        </w:rPr>
        <w:t>主要包括：</w:t>
      </w:r>
    </w:p>
    <w:p w14:paraId="1AC93E3B" w14:textId="77777777" w:rsidR="00997B57" w:rsidRPr="00D05514" w:rsidRDefault="00997B57" w:rsidP="00997B57">
      <w:pPr>
        <w:pStyle w:val="a9"/>
        <w:numPr>
          <w:ilvl w:val="0"/>
          <w:numId w:val="3"/>
        </w:numPr>
        <w:ind w:firstLineChars="0"/>
      </w:pPr>
      <w:r w:rsidRPr="00D05514">
        <w:rPr>
          <w:rFonts w:hint="eastAsia"/>
        </w:rPr>
        <w:t>确定大气降水入渗补给特征，大气降水入渗补给特征包括有无大气降水入渗补给、大气降水入渗补给强度时空变化特征；</w:t>
      </w:r>
    </w:p>
    <w:p w14:paraId="35652B23" w14:textId="77777777" w:rsidR="00997B57" w:rsidRPr="00D05514" w:rsidRDefault="00997B57" w:rsidP="00997B57">
      <w:pPr>
        <w:pStyle w:val="a9"/>
        <w:numPr>
          <w:ilvl w:val="0"/>
          <w:numId w:val="3"/>
        </w:numPr>
        <w:ind w:firstLineChars="0"/>
      </w:pPr>
      <w:r w:rsidRPr="00D05514">
        <w:rPr>
          <w:rFonts w:hint="eastAsia"/>
        </w:rPr>
        <w:t>确定包气带特征，所述包气带特征包括介质类型、岩性结构、介质非均质性与各向异性特征；</w:t>
      </w:r>
    </w:p>
    <w:p w14:paraId="05349F0E" w14:textId="77777777" w:rsidR="00997B57" w:rsidRPr="00D05514" w:rsidRDefault="00997B57" w:rsidP="00997B57">
      <w:pPr>
        <w:pStyle w:val="a9"/>
        <w:numPr>
          <w:ilvl w:val="0"/>
          <w:numId w:val="3"/>
        </w:numPr>
        <w:ind w:firstLineChars="0"/>
      </w:pPr>
      <w:r w:rsidRPr="00D05514">
        <w:rPr>
          <w:rFonts w:hint="eastAsia"/>
        </w:rPr>
        <w:t>确定饱水带特征，所述饱水带特征包括介质类型、含水系统结构、渗流维度、流态、介质非均质性和各向异性特征；</w:t>
      </w:r>
    </w:p>
    <w:p w14:paraId="4EC69E8C" w14:textId="77777777" w:rsidR="00997B57" w:rsidRPr="00D05514" w:rsidRDefault="00997B57" w:rsidP="00997B57">
      <w:pPr>
        <w:pStyle w:val="a9"/>
        <w:numPr>
          <w:ilvl w:val="0"/>
          <w:numId w:val="3"/>
        </w:numPr>
        <w:ind w:firstLineChars="0"/>
      </w:pPr>
      <w:r w:rsidRPr="00D05514">
        <w:rPr>
          <w:rFonts w:hint="eastAsia"/>
        </w:rPr>
        <w:t>确定污染源特征，所述污染源特征包括关注污染物相态、关注污染物类型、污染源空间分布特征、源强变化和动态特征；</w:t>
      </w:r>
    </w:p>
    <w:p w14:paraId="34BD3F1F" w14:textId="77777777" w:rsidR="00997B57" w:rsidRPr="00D05514" w:rsidRDefault="00997B57" w:rsidP="00997B57">
      <w:pPr>
        <w:pStyle w:val="a9"/>
        <w:numPr>
          <w:ilvl w:val="0"/>
          <w:numId w:val="3"/>
        </w:numPr>
        <w:ind w:firstLineChars="0"/>
      </w:pPr>
      <w:r w:rsidRPr="00D05514">
        <w:rPr>
          <w:rFonts w:hint="eastAsia"/>
        </w:rPr>
        <w:t>确定地下水污染防控与修复特征：所述地下水污染防控与修复特征包括有无地下水污染防控与修复措施、地下水污染防控与修复措施类型、地下水污染防控与修复措施时空分布特征；</w:t>
      </w:r>
    </w:p>
    <w:p w14:paraId="5B2B4F11" w14:textId="77777777" w:rsidR="00997B57" w:rsidRPr="00D05514" w:rsidRDefault="00997B57" w:rsidP="00997B57">
      <w:pPr>
        <w:pStyle w:val="a9"/>
        <w:numPr>
          <w:ilvl w:val="0"/>
          <w:numId w:val="3"/>
        </w:numPr>
        <w:ind w:firstLineChars="0"/>
      </w:pPr>
      <w:r w:rsidRPr="00D05514">
        <w:rPr>
          <w:rFonts w:hint="eastAsia"/>
        </w:rPr>
        <w:t>确定抽注水井源汇特征，所述抽注水井源汇特征包括有无抽注水井、抽注水井空间分布特征、抽注水井水量动态特征；</w:t>
      </w:r>
    </w:p>
    <w:p w14:paraId="278531F8" w14:textId="77777777" w:rsidR="00997B57" w:rsidRPr="00D05514" w:rsidRDefault="00997B57" w:rsidP="00997B57">
      <w:pPr>
        <w:pStyle w:val="a9"/>
        <w:numPr>
          <w:ilvl w:val="0"/>
          <w:numId w:val="3"/>
        </w:numPr>
        <w:ind w:firstLineChars="0"/>
      </w:pPr>
      <w:r w:rsidRPr="00D05514">
        <w:rPr>
          <w:rFonts w:hint="eastAsia"/>
        </w:rPr>
        <w:t>确定地表水与地下水交互特征：地表水与地下水交互特征包括有无二者交互、地表水体空间分布特征、地表水体水位动态特征；</w:t>
      </w:r>
    </w:p>
    <w:p w14:paraId="3BDAB50F" w14:textId="77777777" w:rsidR="00997B57" w:rsidRPr="00D05514" w:rsidRDefault="00997B57" w:rsidP="00997B57">
      <w:pPr>
        <w:pStyle w:val="a9"/>
        <w:numPr>
          <w:ilvl w:val="0"/>
          <w:numId w:val="3"/>
        </w:numPr>
        <w:ind w:firstLineChars="0"/>
      </w:pPr>
      <w:r w:rsidRPr="00D05514">
        <w:rPr>
          <w:rFonts w:hint="eastAsia"/>
        </w:rPr>
        <w:lastRenderedPageBreak/>
        <w:t>确定地下水污染物迁移转化过程类型，包括；平流过程、弥散过程、吸附解吸过程、降解过程、挥发过程等；</w:t>
      </w:r>
    </w:p>
    <w:p w14:paraId="5060E29B" w14:textId="77777777" w:rsidR="00997B57" w:rsidRPr="00D05514" w:rsidRDefault="00997B57" w:rsidP="00997B57">
      <w:pPr>
        <w:pStyle w:val="a9"/>
        <w:numPr>
          <w:ilvl w:val="0"/>
          <w:numId w:val="3"/>
        </w:numPr>
        <w:ind w:firstLineChars="0"/>
      </w:pPr>
      <w:r w:rsidRPr="00D05514">
        <w:rPr>
          <w:rFonts w:hint="eastAsia"/>
        </w:rPr>
        <w:t>确定边界条件特征，所述边界条件特征包括水动力场边界条件特征与水化学场边界条件特征；</w:t>
      </w:r>
    </w:p>
    <w:p w14:paraId="2FE22C33" w14:textId="77777777" w:rsidR="00997B57" w:rsidRPr="00D05514" w:rsidRDefault="00997B57" w:rsidP="00997B57">
      <w:pPr>
        <w:pStyle w:val="a9"/>
        <w:numPr>
          <w:ilvl w:val="0"/>
          <w:numId w:val="3"/>
        </w:numPr>
        <w:ind w:firstLineChars="0"/>
      </w:pPr>
      <w:r w:rsidRPr="00D05514">
        <w:rPr>
          <w:rFonts w:hint="eastAsia"/>
        </w:rPr>
        <w:t>确定初始条件特征，所述初始条件特征包括水动力场初始条件特征与水化学场初始条件特征。</w:t>
      </w:r>
    </w:p>
    <w:p w14:paraId="52729854" w14:textId="77777777" w:rsidR="00997B57" w:rsidRDefault="00997B57" w:rsidP="00997B57">
      <w:pPr>
        <w:ind w:firstLine="562"/>
        <w:rPr>
          <w:b/>
          <w:bCs/>
        </w:rPr>
      </w:pPr>
    </w:p>
    <w:p w14:paraId="30085E86" w14:textId="70AEB45C" w:rsidR="00997B57" w:rsidRPr="00997B57" w:rsidRDefault="00997B57" w:rsidP="00997B57">
      <w:pPr>
        <w:ind w:firstLine="562"/>
        <w:rPr>
          <w:b/>
          <w:bCs/>
        </w:rPr>
      </w:pPr>
      <w:r w:rsidRPr="00997B57">
        <w:rPr>
          <w:rFonts w:hint="eastAsia"/>
          <w:b/>
          <w:bCs/>
        </w:rPr>
        <w:t>技术流程</w:t>
      </w:r>
      <w:r>
        <w:rPr>
          <w:rFonts w:hint="eastAsia"/>
          <w:b/>
          <w:bCs/>
        </w:rPr>
        <w:t>见下图：</w:t>
      </w:r>
    </w:p>
    <w:p w14:paraId="4C1F13C5" w14:textId="77777777" w:rsidR="00997B57" w:rsidRPr="00D05514" w:rsidRDefault="00997B57" w:rsidP="00997B57">
      <w:pPr>
        <w:widowControl/>
        <w:spacing w:before="100" w:beforeAutospacing="1" w:after="100" w:afterAutospacing="1" w:line="240" w:lineRule="auto"/>
        <w:ind w:firstLineChars="0" w:firstLine="0"/>
        <w:jc w:val="center"/>
        <w:rPr>
          <w:rFonts w:ascii="宋体" w:hAnsi="宋体" w:cs="宋体"/>
          <w:kern w:val="0"/>
          <w:szCs w:val="24"/>
        </w:rPr>
      </w:pPr>
      <w:r w:rsidRPr="00D05514">
        <w:rPr>
          <w:rFonts w:ascii="宋体" w:hAnsi="宋体" w:cs="宋体" w:hint="eastAsia"/>
          <w:noProof/>
          <w:kern w:val="0"/>
          <w:szCs w:val="24"/>
        </w:rPr>
        <w:lastRenderedPageBreak/>
        <w:drawing>
          <wp:inline distT="0" distB="0" distL="0" distR="0" wp14:anchorId="50B52616" wp14:editId="5082EA17">
            <wp:extent cx="4383405" cy="6816090"/>
            <wp:effectExtent l="0" t="0" r="0" b="3810"/>
            <wp:docPr id="1233193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3405" cy="6816090"/>
                    </a:xfrm>
                    <a:prstGeom prst="rect">
                      <a:avLst/>
                    </a:prstGeom>
                    <a:noFill/>
                  </pic:spPr>
                </pic:pic>
              </a:graphicData>
            </a:graphic>
          </wp:inline>
        </w:drawing>
      </w:r>
    </w:p>
    <w:p w14:paraId="5F464548" w14:textId="77777777" w:rsidR="00997B57" w:rsidRPr="00D05514" w:rsidRDefault="00997B57" w:rsidP="00997B57">
      <w:pPr>
        <w:spacing w:line="240" w:lineRule="auto"/>
        <w:ind w:firstLineChars="0" w:firstLine="0"/>
        <w:jc w:val="center"/>
      </w:pPr>
      <w:r w:rsidRPr="00D05514">
        <w:rPr>
          <w:rFonts w:hint="eastAsia"/>
        </w:rPr>
        <w:t>图</w:t>
      </w:r>
      <w:r w:rsidRPr="00D05514">
        <w:t>1</w:t>
      </w:r>
      <w:r w:rsidRPr="00D05514">
        <w:rPr>
          <w:rFonts w:hint="eastAsia"/>
        </w:rPr>
        <w:t>：污染场地挥发类有机物多相传输扩散环境风险量化表征技术框架与流程</w:t>
      </w:r>
    </w:p>
    <w:p w14:paraId="25DCB765" w14:textId="77777777" w:rsidR="00997B57" w:rsidRPr="00D05514" w:rsidRDefault="00997B57" w:rsidP="00997B57">
      <w:pPr>
        <w:spacing w:line="240" w:lineRule="auto"/>
        <w:ind w:firstLineChars="0" w:firstLine="0"/>
        <w:jc w:val="center"/>
      </w:pPr>
    </w:p>
    <w:p w14:paraId="1F74682C" w14:textId="77777777" w:rsidR="00997B57" w:rsidRPr="00D05514" w:rsidRDefault="00997B57" w:rsidP="00997B57">
      <w:pPr>
        <w:spacing w:line="240" w:lineRule="auto"/>
        <w:ind w:firstLineChars="0" w:firstLine="0"/>
        <w:jc w:val="center"/>
      </w:pPr>
    </w:p>
    <w:p w14:paraId="769FE381" w14:textId="77777777" w:rsidR="00DD1649" w:rsidRDefault="00DD1649" w:rsidP="00DD1649">
      <w:pPr>
        <w:pStyle w:val="1"/>
      </w:pPr>
      <w:bookmarkStart w:id="14" w:name="_Toc195800715"/>
      <w:r>
        <w:rPr>
          <w:rFonts w:hint="eastAsia"/>
        </w:rPr>
        <w:lastRenderedPageBreak/>
        <w:t>六、编制过程</w:t>
      </w:r>
      <w:bookmarkEnd w:id="14"/>
    </w:p>
    <w:p w14:paraId="6EE7BA28" w14:textId="77777777" w:rsidR="00DD1649" w:rsidRPr="00796357" w:rsidRDefault="00DD1649" w:rsidP="00DD1649">
      <w:pPr>
        <w:ind w:firstLine="560"/>
      </w:pPr>
      <w:r w:rsidRPr="00796357">
        <w:rPr>
          <w:rFonts w:hint="eastAsia"/>
        </w:rPr>
        <w:t>编制组主要开展以下调查和研究工作：</w:t>
      </w:r>
    </w:p>
    <w:p w14:paraId="4ADD78C2" w14:textId="640E1981" w:rsidR="00DD1649" w:rsidRDefault="00DD1649" w:rsidP="00DD1649">
      <w:pPr>
        <w:ind w:firstLine="560"/>
      </w:pPr>
      <w:r>
        <w:rPr>
          <w:rFonts w:hint="eastAsia"/>
        </w:rPr>
        <w:t>2</w:t>
      </w:r>
      <w:r>
        <w:t>023</w:t>
      </w:r>
      <w:r>
        <w:rPr>
          <w:rFonts w:hint="eastAsia"/>
        </w:rPr>
        <w:t>年</w:t>
      </w:r>
      <w:r>
        <w:t>6</w:t>
      </w:r>
      <w:r>
        <w:rPr>
          <w:rFonts w:hint="eastAsia"/>
        </w:rPr>
        <w:t>月，</w:t>
      </w:r>
      <w:r w:rsidRPr="00796357">
        <w:rPr>
          <w:rFonts w:hint="eastAsia"/>
        </w:rPr>
        <w:t>由</w:t>
      </w:r>
      <w:r>
        <w:rPr>
          <w:rFonts w:hint="eastAsia"/>
        </w:rPr>
        <w:t>项目承担单位中国科学院大学牵头，</w:t>
      </w:r>
      <w:r w:rsidRPr="008753EE">
        <w:rPr>
          <w:rFonts w:hint="eastAsia"/>
        </w:rPr>
        <w:t>召开</w:t>
      </w:r>
      <w:r>
        <w:rPr>
          <w:rFonts w:hint="eastAsia"/>
        </w:rPr>
        <w:t>了《</w:t>
      </w:r>
      <w:r w:rsidR="00634DEB" w:rsidRPr="00C52095">
        <w:rPr>
          <w:rFonts w:hint="eastAsia"/>
        </w:rPr>
        <w:t>污染场地挥发类有机物多相传输扩散环境风险量化表征技术指南</w:t>
      </w:r>
      <w:r>
        <w:rPr>
          <w:rFonts w:hint="eastAsia"/>
        </w:rPr>
        <w:t>》编制启动会，</w:t>
      </w:r>
      <w:r w:rsidRPr="00796357">
        <w:rPr>
          <w:rFonts w:hint="eastAsia"/>
        </w:rPr>
        <w:t>成立了编制组</w:t>
      </w:r>
      <w:r>
        <w:rPr>
          <w:rFonts w:hint="eastAsia"/>
        </w:rPr>
        <w:t>。在项目研究基础上确定了指南的定位、内容和编制思路。</w:t>
      </w:r>
      <w:r w:rsidRPr="00796357">
        <w:rPr>
          <w:rFonts w:hint="eastAsia"/>
        </w:rPr>
        <w:t>明确了</w:t>
      </w:r>
      <w:r>
        <w:rPr>
          <w:rFonts w:hint="eastAsia"/>
        </w:rPr>
        <w:t>指南</w:t>
      </w:r>
      <w:r w:rsidRPr="00796357">
        <w:rPr>
          <w:rFonts w:hint="eastAsia"/>
        </w:rPr>
        <w:t>编制工作的</w:t>
      </w:r>
      <w:r>
        <w:rPr>
          <w:rFonts w:hint="eastAsia"/>
        </w:rPr>
        <w:t>计划、时间安排和任务分工。</w:t>
      </w:r>
    </w:p>
    <w:p w14:paraId="2D6E776E" w14:textId="77777777" w:rsidR="00DD1649" w:rsidRDefault="00DD1649" w:rsidP="00DD1649">
      <w:pPr>
        <w:ind w:firstLine="560"/>
      </w:pPr>
      <w:r>
        <w:t>2023</w:t>
      </w:r>
      <w:r>
        <w:rPr>
          <w:rFonts w:hint="eastAsia"/>
        </w:rPr>
        <w:t>年</w:t>
      </w:r>
      <w:r>
        <w:t>7</w:t>
      </w:r>
      <w:r>
        <w:rPr>
          <w:rFonts w:hint="eastAsia"/>
        </w:rPr>
        <w:t>月</w:t>
      </w:r>
      <w:r>
        <w:rPr>
          <w:rFonts w:hint="eastAsia"/>
        </w:rPr>
        <w:t>-</w:t>
      </w:r>
      <w:r>
        <w:t>12</w:t>
      </w:r>
      <w:r>
        <w:rPr>
          <w:rFonts w:hint="eastAsia"/>
        </w:rPr>
        <w:t>月，</w:t>
      </w:r>
      <w:r w:rsidRPr="00C62441">
        <w:rPr>
          <w:rFonts w:hint="eastAsia"/>
        </w:rPr>
        <w:t>编制组调研了国内外</w:t>
      </w:r>
      <w:r>
        <w:rPr>
          <w:rFonts w:hint="eastAsia"/>
        </w:rPr>
        <w:t>有关场地地下水有机污染物建模相关的导则、指南与其他标准性文件，以及</w:t>
      </w:r>
      <w:r w:rsidRPr="00C62441">
        <w:rPr>
          <w:rFonts w:hint="eastAsia"/>
        </w:rPr>
        <w:t>相关</w:t>
      </w:r>
      <w:r>
        <w:rPr>
          <w:rFonts w:hint="eastAsia"/>
        </w:rPr>
        <w:t>研究与实施案例，系统梳理了我国已颁布实施的相关法规。经</w:t>
      </w:r>
      <w:r w:rsidRPr="00C62441">
        <w:rPr>
          <w:rFonts w:hint="eastAsia"/>
        </w:rPr>
        <w:t>反复研讨，明确工作定位、适用范围、主要内容及工作流程等，完成指南编制大纲；</w:t>
      </w:r>
    </w:p>
    <w:p w14:paraId="01E87F59" w14:textId="605D6692" w:rsidR="00DD1649" w:rsidRDefault="00DD1649" w:rsidP="00DD1649">
      <w:pPr>
        <w:ind w:firstLine="560"/>
      </w:pPr>
      <w:r>
        <w:t>2024</w:t>
      </w:r>
      <w:r>
        <w:rPr>
          <w:rFonts w:hint="eastAsia"/>
        </w:rPr>
        <w:t>年</w:t>
      </w:r>
      <w:r>
        <w:t>1</w:t>
      </w:r>
      <w:r>
        <w:rPr>
          <w:rFonts w:hint="eastAsia"/>
        </w:rPr>
        <w:t>月</w:t>
      </w:r>
      <w:r>
        <w:t>-8</w:t>
      </w:r>
      <w:r>
        <w:rPr>
          <w:rFonts w:hint="eastAsia"/>
        </w:rPr>
        <w:t>月，编制组多次召开研讨会，根据已有研究成果，充分借鉴国内外已发布的相关标准化文件，组织编写了《</w:t>
      </w:r>
      <w:r w:rsidR="00634DEB" w:rsidRPr="00C52095">
        <w:rPr>
          <w:rFonts w:hint="eastAsia"/>
        </w:rPr>
        <w:t>污染场地挥发类有机物多相传输扩散环境风险量化表征技术指南</w:t>
      </w:r>
      <w:r>
        <w:rPr>
          <w:rFonts w:hint="eastAsia"/>
        </w:rPr>
        <w:t>》（初稿）；</w:t>
      </w:r>
    </w:p>
    <w:p w14:paraId="4F6A1847" w14:textId="59584B63" w:rsidR="00DD1649" w:rsidRDefault="00DD1649" w:rsidP="00DD1649">
      <w:pPr>
        <w:ind w:firstLine="560"/>
      </w:pPr>
      <w:r>
        <w:rPr>
          <w:rFonts w:hint="eastAsia"/>
        </w:rPr>
        <w:t>2</w:t>
      </w:r>
      <w:r>
        <w:t>024</w:t>
      </w:r>
      <w:r>
        <w:rPr>
          <w:rFonts w:hint="eastAsia"/>
        </w:rPr>
        <w:t>年</w:t>
      </w:r>
      <w:r>
        <w:t>9</w:t>
      </w:r>
      <w:r>
        <w:rPr>
          <w:rFonts w:hint="eastAsia"/>
        </w:rPr>
        <w:t>月，</w:t>
      </w:r>
      <w:r w:rsidRPr="00C62441">
        <w:rPr>
          <w:rFonts w:hint="eastAsia"/>
        </w:rPr>
        <w:t>根据</w:t>
      </w:r>
      <w:r w:rsidRPr="00DD1649">
        <w:t>中华环保联合会组织召开了</w:t>
      </w:r>
      <w:r w:rsidRPr="00DD1649">
        <w:rPr>
          <w:rFonts w:hint="eastAsia"/>
        </w:rPr>
        <w:t>“</w:t>
      </w:r>
      <w:r w:rsidR="00634DEB" w:rsidRPr="00C52095">
        <w:rPr>
          <w:rFonts w:hint="eastAsia"/>
        </w:rPr>
        <w:t>污染场地挥发类有机物多相传输扩散环境风险量化表征技术指南</w:t>
      </w:r>
      <w:r w:rsidRPr="00DD1649">
        <w:rPr>
          <w:rFonts w:hint="eastAsia"/>
        </w:rPr>
        <w:t>”立项</w:t>
      </w:r>
      <w:r>
        <w:t>技术</w:t>
      </w:r>
      <w:r w:rsidRPr="00DD1649">
        <w:t>论证会</w:t>
      </w:r>
      <w:r>
        <w:t>，会议邀</w:t>
      </w:r>
      <w:r w:rsidRPr="00DD1649">
        <w:t>请了</w:t>
      </w:r>
      <w:r w:rsidRPr="00DD1649">
        <w:rPr>
          <w:rFonts w:hint="eastAsia"/>
        </w:rPr>
        <w:t>七</w:t>
      </w:r>
      <w:r w:rsidRPr="00DD1649">
        <w:t>位专家组成专家组，与会人员听取了编制组的汇报，经质询和讨论，专家组认为标准立项依据充分，编制单位具有较好的工作基础，专家组同意该项团体</w:t>
      </w:r>
      <w:r>
        <w:t>标准立项。</w:t>
      </w:r>
    </w:p>
    <w:p w14:paraId="3432364F" w14:textId="5D3C0B9B" w:rsidR="00DD1649" w:rsidRDefault="00DD1649" w:rsidP="00DD1649">
      <w:pPr>
        <w:ind w:firstLine="560"/>
      </w:pPr>
      <w:r>
        <w:rPr>
          <w:rFonts w:hint="eastAsia"/>
        </w:rPr>
        <w:t>2</w:t>
      </w:r>
      <w:r>
        <w:t>024</w:t>
      </w:r>
      <w:r>
        <w:rPr>
          <w:rFonts w:hint="eastAsia"/>
        </w:rPr>
        <w:t>年</w:t>
      </w:r>
      <w:r>
        <w:rPr>
          <w:rFonts w:hint="eastAsia"/>
        </w:rPr>
        <w:t>9</w:t>
      </w:r>
      <w:r>
        <w:rPr>
          <w:rFonts w:hint="eastAsia"/>
        </w:rPr>
        <w:t>月</w:t>
      </w:r>
      <w:r>
        <w:rPr>
          <w:rFonts w:hint="eastAsia"/>
        </w:rPr>
        <w:t>-</w:t>
      </w:r>
      <w:r>
        <w:t>10</w:t>
      </w:r>
      <w:r>
        <w:rPr>
          <w:rFonts w:hint="eastAsia"/>
        </w:rPr>
        <w:t>月，根据</w:t>
      </w:r>
      <w:r w:rsidRPr="00DD1649">
        <w:t>论证会</w:t>
      </w:r>
      <w:r w:rsidRPr="00796357">
        <w:rPr>
          <w:rFonts w:hint="eastAsia"/>
        </w:rPr>
        <w:t>专家意见</w:t>
      </w:r>
      <w:r>
        <w:rPr>
          <w:rFonts w:hint="eastAsia"/>
        </w:rPr>
        <w:t>，编制组内部多次研讨、修改后形成《</w:t>
      </w:r>
      <w:r w:rsidR="00634DEB" w:rsidRPr="00C52095">
        <w:rPr>
          <w:rFonts w:hint="eastAsia"/>
        </w:rPr>
        <w:t>污染场地挥发类有机物多相传输扩散环境风险量化表征技术指南</w:t>
      </w:r>
      <w:r>
        <w:rPr>
          <w:rFonts w:hint="eastAsia"/>
        </w:rPr>
        <w:t>》（讨论稿）</w:t>
      </w:r>
      <w:r w:rsidRPr="00DD1649">
        <w:t>及编</w:t>
      </w:r>
      <w:r>
        <w:t>制说明</w:t>
      </w:r>
      <w:r>
        <w:rPr>
          <w:rFonts w:hint="eastAsia"/>
        </w:rPr>
        <w:t>；</w:t>
      </w:r>
    </w:p>
    <w:p w14:paraId="280F864C" w14:textId="131DFFCD" w:rsidR="00DD1649" w:rsidRPr="00DD1649" w:rsidRDefault="00DD1649" w:rsidP="00DD1649">
      <w:pPr>
        <w:ind w:firstLine="560"/>
      </w:pPr>
      <w:r>
        <w:rPr>
          <w:rFonts w:hint="eastAsia"/>
        </w:rPr>
        <w:t>2</w:t>
      </w:r>
      <w:r>
        <w:t>024</w:t>
      </w:r>
      <w:r>
        <w:rPr>
          <w:rFonts w:hint="eastAsia"/>
        </w:rPr>
        <w:t>年</w:t>
      </w:r>
      <w:r>
        <w:rPr>
          <w:rFonts w:hint="eastAsia"/>
        </w:rPr>
        <w:t>1</w:t>
      </w:r>
      <w:r>
        <w:t>0</w:t>
      </w:r>
      <w:r>
        <w:rPr>
          <w:rFonts w:hint="eastAsia"/>
        </w:rPr>
        <w:t>月，</w:t>
      </w:r>
      <w:r w:rsidRPr="00DD1649">
        <w:rPr>
          <w:rFonts w:hint="eastAsia"/>
        </w:rPr>
        <w:t>中华环保联合会组织召开了</w:t>
      </w:r>
      <w:r>
        <w:t>征求意见前技术审查</w:t>
      </w:r>
      <w:r>
        <w:lastRenderedPageBreak/>
        <w:t>会。</w:t>
      </w:r>
      <w:r>
        <w:rPr>
          <w:rFonts w:hint="eastAsia"/>
        </w:rPr>
        <w:t>针对征求意见前技术审查会专家意见，编制组形成了《</w:t>
      </w:r>
      <w:r w:rsidR="00634DEB" w:rsidRPr="00C52095">
        <w:rPr>
          <w:rFonts w:hint="eastAsia"/>
        </w:rPr>
        <w:t>污染场地挥发类有机物多相传输扩散环境风险量化表征技术指南</w:t>
      </w:r>
      <w:r>
        <w:rPr>
          <w:rFonts w:hint="eastAsia"/>
        </w:rPr>
        <w:t>》（征求意见稿）及编制说明。</w:t>
      </w:r>
    </w:p>
    <w:p w14:paraId="7F2E58F4" w14:textId="1FDCDBD5" w:rsidR="0012542B" w:rsidRDefault="00AF0243" w:rsidP="0012542B">
      <w:pPr>
        <w:pStyle w:val="1"/>
      </w:pPr>
      <w:bookmarkStart w:id="15" w:name="_Toc195800716"/>
      <w:r>
        <w:rPr>
          <w:rFonts w:hint="eastAsia"/>
        </w:rPr>
        <w:t>七</w:t>
      </w:r>
      <w:r w:rsidR="0012542B">
        <w:rPr>
          <w:rFonts w:hint="eastAsia"/>
        </w:rPr>
        <w:t>、对实施本指南的建议</w:t>
      </w:r>
      <w:bookmarkEnd w:id="15"/>
    </w:p>
    <w:p w14:paraId="3E3CDF8B" w14:textId="0ECECD96" w:rsidR="00283040" w:rsidRDefault="00F3642A" w:rsidP="00D304F4">
      <w:pPr>
        <w:ind w:firstLine="560"/>
      </w:pPr>
      <w:r>
        <w:rPr>
          <w:rFonts w:hint="eastAsia"/>
        </w:rPr>
        <w:t>应尽快</w:t>
      </w:r>
      <w:r w:rsidR="00D304F4" w:rsidRPr="00D304F4">
        <w:rPr>
          <w:rFonts w:hint="eastAsia"/>
        </w:rPr>
        <w:t>开展典型复杂场地挥发类有机污染物多相传输扩散模型研究，量化场地挥发类有机污染物环境风险随情景条件及时空变化的特征与规律，构建典型复杂场地挥发类有机污染物多相传输扩散的环境风险精准评估模型，利用统计模型和机器学习实现精准高效的环境风险评估和分类。依据场地条件及暴露情景，准确量化各类风险的时空变化，表征各类风险评估结果的不确定性科学划分凤险等级与风险分区。</w:t>
      </w:r>
      <w:r w:rsidR="00D304F4">
        <w:rPr>
          <w:rFonts w:hint="eastAsia"/>
        </w:rPr>
        <w:t>通过典型污染场地示范应用，快速推动本指南的科学有效应用。</w:t>
      </w:r>
    </w:p>
    <w:p w14:paraId="2330DD98" w14:textId="13529460" w:rsidR="00283040" w:rsidRDefault="00283040" w:rsidP="00283040">
      <w:pPr>
        <w:ind w:firstLine="560"/>
      </w:pPr>
      <w:r>
        <w:rPr>
          <w:rFonts w:hint="eastAsia"/>
        </w:rPr>
        <w:t>在具体实施过程中，数据质量控制至关重要。应建立规范的数据采集和质量控制体系，加强现场调查和监测数据的代表性评估，建立数据可靠性分级制度。同时，相关单位需要加强技术储备，包括培养专业建模人才队伍、建立</w:t>
      </w:r>
      <w:r w:rsidR="00CA77BF">
        <w:rPr>
          <w:rFonts w:hint="eastAsia"/>
        </w:rPr>
        <w:t>风险量化表征</w:t>
      </w:r>
      <w:r>
        <w:rPr>
          <w:rFonts w:hint="eastAsia"/>
        </w:rPr>
        <w:t>模型应用案例库、开展技术培训和经验交流等。</w:t>
      </w:r>
    </w:p>
    <w:p w14:paraId="528AD6E3" w14:textId="2F2B359B" w:rsidR="00283040" w:rsidRDefault="00283040" w:rsidP="00283040">
      <w:pPr>
        <w:ind w:firstLine="560"/>
      </w:pPr>
      <w:r>
        <w:rPr>
          <w:rFonts w:hint="eastAsia"/>
        </w:rPr>
        <w:t>为确保指南的有效实施，需要建立完善的协作机制，推动</w:t>
      </w:r>
      <w:r w:rsidR="00CA77BF">
        <w:rPr>
          <w:rFonts w:hint="eastAsia"/>
        </w:rPr>
        <w:t>量化表征模型</w:t>
      </w:r>
      <w:r>
        <w:rPr>
          <w:rFonts w:hint="eastAsia"/>
        </w:rPr>
        <w:t>模单位、管理部门、科研院所等多方协作。同时要重视模型成果的实际应用，提供决策者易于理解的结果展示，建立预测结果的跟踪验证机制。相关部门还应制定配套技术规范和标准，建立模型评估和审查制度，推动模型技术服务市场的规范化发展。</w:t>
      </w:r>
    </w:p>
    <w:p w14:paraId="12F84797" w14:textId="530BDB40" w:rsidR="00283040" w:rsidRPr="00283040" w:rsidRDefault="00283040" w:rsidP="00283040">
      <w:pPr>
        <w:ind w:firstLine="560"/>
      </w:pPr>
      <w:r>
        <w:rPr>
          <w:rFonts w:hint="eastAsia"/>
        </w:rPr>
        <w:lastRenderedPageBreak/>
        <w:t>最后，本指南的实施应保持动态更新，定期评估实施效果，及时吸收新技术、新方法，根据实践经验不断完善指南内容，以适应不断变化的环境管理需求。通过这些措施的综合实施，可以确保指南在实际应用中发挥最大效用，为污染场地的</w:t>
      </w:r>
      <w:r w:rsidR="00CA77BF">
        <w:rPr>
          <w:rFonts w:hint="eastAsia"/>
        </w:rPr>
        <w:t>风险管控与修复决策</w:t>
      </w:r>
      <w:r>
        <w:rPr>
          <w:rFonts w:hint="eastAsia"/>
        </w:rPr>
        <w:t>提供可靠的技术支持。</w:t>
      </w:r>
    </w:p>
    <w:sectPr w:rsidR="00283040" w:rsidRPr="00283040" w:rsidSect="00335C97">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F65C" w14:textId="77777777" w:rsidR="00E169C4" w:rsidRDefault="00E169C4" w:rsidP="00393795">
      <w:pPr>
        <w:spacing w:line="240" w:lineRule="auto"/>
        <w:ind w:firstLine="560"/>
      </w:pPr>
      <w:r>
        <w:separator/>
      </w:r>
    </w:p>
  </w:endnote>
  <w:endnote w:type="continuationSeparator" w:id="0">
    <w:p w14:paraId="602035DA" w14:textId="77777777" w:rsidR="00E169C4" w:rsidRDefault="00E169C4" w:rsidP="0039379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2C59" w14:textId="77777777" w:rsidR="00393795" w:rsidRDefault="0039379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520" w14:textId="396E2009" w:rsidR="00335C97" w:rsidRDefault="00335C97">
    <w:pPr>
      <w:pStyle w:val="a7"/>
      <w:ind w:firstLine="360"/>
      <w:jc w:val="center"/>
    </w:pPr>
  </w:p>
  <w:p w14:paraId="215C32DA" w14:textId="77777777" w:rsidR="00393795" w:rsidRDefault="0039379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8149" w14:textId="77777777" w:rsidR="00393795" w:rsidRDefault="00393795">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66491"/>
      <w:docPartObj>
        <w:docPartGallery w:val="Page Numbers (Bottom of Page)"/>
        <w:docPartUnique/>
      </w:docPartObj>
    </w:sdtPr>
    <w:sdtContent>
      <w:p w14:paraId="652AF3B4" w14:textId="77777777" w:rsidR="00335C97" w:rsidRDefault="00335C97">
        <w:pPr>
          <w:pStyle w:val="a7"/>
          <w:ind w:firstLine="360"/>
          <w:jc w:val="center"/>
        </w:pPr>
        <w:r>
          <w:fldChar w:fldCharType="begin"/>
        </w:r>
        <w:r>
          <w:instrText>PAGE   \* MERGEFORMAT</w:instrText>
        </w:r>
        <w:r>
          <w:fldChar w:fldCharType="separate"/>
        </w:r>
        <w:r>
          <w:rPr>
            <w:lang w:val="zh-CN"/>
          </w:rPr>
          <w:t>2</w:t>
        </w:r>
        <w:r>
          <w:fldChar w:fldCharType="end"/>
        </w:r>
      </w:p>
    </w:sdtContent>
  </w:sdt>
  <w:p w14:paraId="3BD4246C" w14:textId="77777777" w:rsidR="00335C97" w:rsidRDefault="00335C9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5152" w14:textId="77777777" w:rsidR="00E169C4" w:rsidRDefault="00E169C4" w:rsidP="00393795">
      <w:pPr>
        <w:spacing w:line="240" w:lineRule="auto"/>
        <w:ind w:firstLine="560"/>
      </w:pPr>
      <w:r>
        <w:separator/>
      </w:r>
    </w:p>
  </w:footnote>
  <w:footnote w:type="continuationSeparator" w:id="0">
    <w:p w14:paraId="34EE9834" w14:textId="77777777" w:rsidR="00E169C4" w:rsidRDefault="00E169C4" w:rsidP="00393795">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C70" w14:textId="77777777" w:rsidR="00393795" w:rsidRDefault="0039379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35AC" w14:textId="77777777" w:rsidR="00393795" w:rsidRDefault="00393795">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83C7" w14:textId="77777777" w:rsidR="00393795" w:rsidRDefault="0039379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626DF"/>
    <w:multiLevelType w:val="hybridMultilevel"/>
    <w:tmpl w:val="C002B50C"/>
    <w:lvl w:ilvl="0" w:tplc="887EB0F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8982397"/>
    <w:multiLevelType w:val="hybridMultilevel"/>
    <w:tmpl w:val="3ECEF3C4"/>
    <w:lvl w:ilvl="0" w:tplc="887EB0F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B5A07AE"/>
    <w:multiLevelType w:val="hybridMultilevel"/>
    <w:tmpl w:val="937C80DE"/>
    <w:lvl w:ilvl="0" w:tplc="63AC5362">
      <w:start w:val="1"/>
      <w:numFmt w:val="bullet"/>
      <w:lvlText w:val=""/>
      <w:lvlJc w:val="left"/>
      <w:pPr>
        <w:tabs>
          <w:tab w:val="num" w:pos="720"/>
        </w:tabs>
        <w:ind w:left="720" w:hanging="360"/>
      </w:pPr>
      <w:rPr>
        <w:rFonts w:ascii="Wingdings" w:hAnsi="Wingdings" w:hint="default"/>
      </w:rPr>
    </w:lvl>
    <w:lvl w:ilvl="1" w:tplc="3A06465A" w:tentative="1">
      <w:start w:val="1"/>
      <w:numFmt w:val="bullet"/>
      <w:lvlText w:val=""/>
      <w:lvlJc w:val="left"/>
      <w:pPr>
        <w:tabs>
          <w:tab w:val="num" w:pos="1440"/>
        </w:tabs>
        <w:ind w:left="1440" w:hanging="360"/>
      </w:pPr>
      <w:rPr>
        <w:rFonts w:ascii="Wingdings" w:hAnsi="Wingdings" w:hint="default"/>
      </w:rPr>
    </w:lvl>
    <w:lvl w:ilvl="2" w:tplc="4CB88818" w:tentative="1">
      <w:start w:val="1"/>
      <w:numFmt w:val="bullet"/>
      <w:lvlText w:val=""/>
      <w:lvlJc w:val="left"/>
      <w:pPr>
        <w:tabs>
          <w:tab w:val="num" w:pos="2160"/>
        </w:tabs>
        <w:ind w:left="2160" w:hanging="360"/>
      </w:pPr>
      <w:rPr>
        <w:rFonts w:ascii="Wingdings" w:hAnsi="Wingdings" w:hint="default"/>
      </w:rPr>
    </w:lvl>
    <w:lvl w:ilvl="3" w:tplc="85906554" w:tentative="1">
      <w:start w:val="1"/>
      <w:numFmt w:val="bullet"/>
      <w:lvlText w:val=""/>
      <w:lvlJc w:val="left"/>
      <w:pPr>
        <w:tabs>
          <w:tab w:val="num" w:pos="2880"/>
        </w:tabs>
        <w:ind w:left="2880" w:hanging="360"/>
      </w:pPr>
      <w:rPr>
        <w:rFonts w:ascii="Wingdings" w:hAnsi="Wingdings" w:hint="default"/>
      </w:rPr>
    </w:lvl>
    <w:lvl w:ilvl="4" w:tplc="D552370E" w:tentative="1">
      <w:start w:val="1"/>
      <w:numFmt w:val="bullet"/>
      <w:lvlText w:val=""/>
      <w:lvlJc w:val="left"/>
      <w:pPr>
        <w:tabs>
          <w:tab w:val="num" w:pos="3600"/>
        </w:tabs>
        <w:ind w:left="3600" w:hanging="360"/>
      </w:pPr>
      <w:rPr>
        <w:rFonts w:ascii="Wingdings" w:hAnsi="Wingdings" w:hint="default"/>
      </w:rPr>
    </w:lvl>
    <w:lvl w:ilvl="5" w:tplc="8F506D8A" w:tentative="1">
      <w:start w:val="1"/>
      <w:numFmt w:val="bullet"/>
      <w:lvlText w:val=""/>
      <w:lvlJc w:val="left"/>
      <w:pPr>
        <w:tabs>
          <w:tab w:val="num" w:pos="4320"/>
        </w:tabs>
        <w:ind w:left="4320" w:hanging="360"/>
      </w:pPr>
      <w:rPr>
        <w:rFonts w:ascii="Wingdings" w:hAnsi="Wingdings" w:hint="default"/>
      </w:rPr>
    </w:lvl>
    <w:lvl w:ilvl="6" w:tplc="E8AEE7CE" w:tentative="1">
      <w:start w:val="1"/>
      <w:numFmt w:val="bullet"/>
      <w:lvlText w:val=""/>
      <w:lvlJc w:val="left"/>
      <w:pPr>
        <w:tabs>
          <w:tab w:val="num" w:pos="5040"/>
        </w:tabs>
        <w:ind w:left="5040" w:hanging="360"/>
      </w:pPr>
      <w:rPr>
        <w:rFonts w:ascii="Wingdings" w:hAnsi="Wingdings" w:hint="default"/>
      </w:rPr>
    </w:lvl>
    <w:lvl w:ilvl="7" w:tplc="8A4AD8F4" w:tentative="1">
      <w:start w:val="1"/>
      <w:numFmt w:val="bullet"/>
      <w:lvlText w:val=""/>
      <w:lvlJc w:val="left"/>
      <w:pPr>
        <w:tabs>
          <w:tab w:val="num" w:pos="5760"/>
        </w:tabs>
        <w:ind w:left="5760" w:hanging="360"/>
      </w:pPr>
      <w:rPr>
        <w:rFonts w:ascii="Wingdings" w:hAnsi="Wingdings" w:hint="default"/>
      </w:rPr>
    </w:lvl>
    <w:lvl w:ilvl="8" w:tplc="9174AC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BA"/>
    <w:rsid w:val="00063FC0"/>
    <w:rsid w:val="00071A9D"/>
    <w:rsid w:val="00071AA3"/>
    <w:rsid w:val="00084EB1"/>
    <w:rsid w:val="000B68F4"/>
    <w:rsid w:val="00110B71"/>
    <w:rsid w:val="001247D0"/>
    <w:rsid w:val="0012542B"/>
    <w:rsid w:val="00127090"/>
    <w:rsid w:val="00155675"/>
    <w:rsid w:val="00157E91"/>
    <w:rsid w:val="00161BC2"/>
    <w:rsid w:val="0019057A"/>
    <w:rsid w:val="001A550D"/>
    <w:rsid w:val="001B28B3"/>
    <w:rsid w:val="001C20EE"/>
    <w:rsid w:val="002107B6"/>
    <w:rsid w:val="00275DFA"/>
    <w:rsid w:val="00283040"/>
    <w:rsid w:val="002B5A66"/>
    <w:rsid w:val="00322B91"/>
    <w:rsid w:val="00335C97"/>
    <w:rsid w:val="0034069B"/>
    <w:rsid w:val="00377FB6"/>
    <w:rsid w:val="00393795"/>
    <w:rsid w:val="003A1654"/>
    <w:rsid w:val="003A2CF3"/>
    <w:rsid w:val="003B3A0C"/>
    <w:rsid w:val="003C5723"/>
    <w:rsid w:val="003D7462"/>
    <w:rsid w:val="003F0C12"/>
    <w:rsid w:val="003F6B05"/>
    <w:rsid w:val="003F7036"/>
    <w:rsid w:val="003F7547"/>
    <w:rsid w:val="00425938"/>
    <w:rsid w:val="00463B86"/>
    <w:rsid w:val="00490647"/>
    <w:rsid w:val="00491A9F"/>
    <w:rsid w:val="004B1E88"/>
    <w:rsid w:val="00542081"/>
    <w:rsid w:val="0058654B"/>
    <w:rsid w:val="00595AA6"/>
    <w:rsid w:val="00616623"/>
    <w:rsid w:val="00617F72"/>
    <w:rsid w:val="00633CE7"/>
    <w:rsid w:val="00634DEB"/>
    <w:rsid w:val="006A0784"/>
    <w:rsid w:val="006D38AB"/>
    <w:rsid w:val="007105E7"/>
    <w:rsid w:val="007149DA"/>
    <w:rsid w:val="00730CCB"/>
    <w:rsid w:val="007404A5"/>
    <w:rsid w:val="00800835"/>
    <w:rsid w:val="00807F89"/>
    <w:rsid w:val="008342D9"/>
    <w:rsid w:val="0083632B"/>
    <w:rsid w:val="00850D89"/>
    <w:rsid w:val="0086606C"/>
    <w:rsid w:val="0086719F"/>
    <w:rsid w:val="00877ECB"/>
    <w:rsid w:val="008A2B21"/>
    <w:rsid w:val="008D2754"/>
    <w:rsid w:val="00935D5D"/>
    <w:rsid w:val="00997128"/>
    <w:rsid w:val="00997B57"/>
    <w:rsid w:val="009B1C45"/>
    <w:rsid w:val="009D332A"/>
    <w:rsid w:val="009E6917"/>
    <w:rsid w:val="00A0516A"/>
    <w:rsid w:val="00A05B46"/>
    <w:rsid w:val="00A1035D"/>
    <w:rsid w:val="00A2570F"/>
    <w:rsid w:val="00A26B48"/>
    <w:rsid w:val="00A72A81"/>
    <w:rsid w:val="00A757F3"/>
    <w:rsid w:val="00AD3210"/>
    <w:rsid w:val="00AF0243"/>
    <w:rsid w:val="00AF0FDC"/>
    <w:rsid w:val="00B02B41"/>
    <w:rsid w:val="00B169E8"/>
    <w:rsid w:val="00B276B8"/>
    <w:rsid w:val="00B3196B"/>
    <w:rsid w:val="00B31D5E"/>
    <w:rsid w:val="00BA7F89"/>
    <w:rsid w:val="00BB4B03"/>
    <w:rsid w:val="00BC205F"/>
    <w:rsid w:val="00BE4FD1"/>
    <w:rsid w:val="00BE753F"/>
    <w:rsid w:val="00BF29DC"/>
    <w:rsid w:val="00C52095"/>
    <w:rsid w:val="00C80C68"/>
    <w:rsid w:val="00C82C4A"/>
    <w:rsid w:val="00CA538A"/>
    <w:rsid w:val="00CA76DE"/>
    <w:rsid w:val="00CA77BF"/>
    <w:rsid w:val="00CB4B88"/>
    <w:rsid w:val="00D03A80"/>
    <w:rsid w:val="00D265AB"/>
    <w:rsid w:val="00D304F4"/>
    <w:rsid w:val="00D3403C"/>
    <w:rsid w:val="00D5470E"/>
    <w:rsid w:val="00D6051C"/>
    <w:rsid w:val="00D77B0D"/>
    <w:rsid w:val="00D8396A"/>
    <w:rsid w:val="00DA3547"/>
    <w:rsid w:val="00DB0D3D"/>
    <w:rsid w:val="00DD1649"/>
    <w:rsid w:val="00DF0840"/>
    <w:rsid w:val="00DF60AC"/>
    <w:rsid w:val="00E105E6"/>
    <w:rsid w:val="00E169C4"/>
    <w:rsid w:val="00E21FAB"/>
    <w:rsid w:val="00E33AA1"/>
    <w:rsid w:val="00E36117"/>
    <w:rsid w:val="00E42335"/>
    <w:rsid w:val="00E472BE"/>
    <w:rsid w:val="00E47312"/>
    <w:rsid w:val="00EB25D1"/>
    <w:rsid w:val="00EE114E"/>
    <w:rsid w:val="00F0172E"/>
    <w:rsid w:val="00F26DDB"/>
    <w:rsid w:val="00F3642A"/>
    <w:rsid w:val="00F43CBD"/>
    <w:rsid w:val="00F727F3"/>
    <w:rsid w:val="00F968BA"/>
    <w:rsid w:val="00FB53E5"/>
    <w:rsid w:val="00FF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4FD6"/>
  <w15:chartTrackingRefBased/>
  <w15:docId w15:val="{22E051C6-A36D-47CA-89DA-71DE9A37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C97"/>
    <w:pPr>
      <w:widowControl w:val="0"/>
      <w:spacing w:line="360" w:lineRule="auto"/>
      <w:ind w:firstLineChars="200" w:firstLine="200"/>
      <w:jc w:val="both"/>
    </w:pPr>
    <w:rPr>
      <w:rFonts w:ascii="Times New Roman" w:eastAsia="宋体" w:hAnsi="Times New Roman"/>
      <w:sz w:val="28"/>
    </w:rPr>
  </w:style>
  <w:style w:type="paragraph" w:styleId="1">
    <w:name w:val="heading 1"/>
    <w:basedOn w:val="a"/>
    <w:next w:val="a"/>
    <w:link w:val="10"/>
    <w:uiPriority w:val="9"/>
    <w:qFormat/>
    <w:rsid w:val="00335C97"/>
    <w:pPr>
      <w:keepNext/>
      <w:keepLines/>
      <w:spacing w:before="240" w:after="240" w:line="240" w:lineRule="auto"/>
      <w:ind w:firstLineChars="0" w:firstLine="0"/>
      <w:jc w:val="left"/>
      <w:outlineLvl w:val="0"/>
    </w:pPr>
    <w:rPr>
      <w:b/>
      <w:bCs/>
      <w:kern w:val="44"/>
      <w:sz w:val="32"/>
      <w:szCs w:val="44"/>
    </w:rPr>
  </w:style>
  <w:style w:type="paragraph" w:styleId="2">
    <w:name w:val="heading 2"/>
    <w:basedOn w:val="a"/>
    <w:next w:val="a"/>
    <w:link w:val="20"/>
    <w:uiPriority w:val="9"/>
    <w:unhideWhenUsed/>
    <w:qFormat/>
    <w:rsid w:val="00F727F3"/>
    <w:pPr>
      <w:keepNext/>
      <w:keepLines/>
      <w:ind w:firstLineChars="0" w:firstLine="0"/>
      <w:jc w:val="left"/>
      <w:outlineLvl w:val="1"/>
    </w:pPr>
    <w:rPr>
      <w:rFonts w:cstheme="majorBidi"/>
      <w:b/>
      <w:bCs/>
      <w:szCs w:val="32"/>
    </w:rPr>
  </w:style>
  <w:style w:type="paragraph" w:styleId="3">
    <w:name w:val="heading 3"/>
    <w:basedOn w:val="a"/>
    <w:next w:val="a"/>
    <w:link w:val="30"/>
    <w:uiPriority w:val="9"/>
    <w:semiHidden/>
    <w:unhideWhenUsed/>
    <w:qFormat/>
    <w:rsid w:val="00997B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04A5"/>
    <w:pPr>
      <w:ind w:leftChars="2500" w:left="100"/>
    </w:pPr>
  </w:style>
  <w:style w:type="character" w:customStyle="1" w:styleId="a4">
    <w:name w:val="日期 字符"/>
    <w:basedOn w:val="a0"/>
    <w:link w:val="a3"/>
    <w:uiPriority w:val="99"/>
    <w:semiHidden/>
    <w:rsid w:val="007404A5"/>
    <w:rPr>
      <w:rFonts w:ascii="Times New Roman" w:eastAsia="宋体" w:hAnsi="Times New Roman"/>
    </w:rPr>
  </w:style>
  <w:style w:type="character" w:customStyle="1" w:styleId="10">
    <w:name w:val="标题 1 字符"/>
    <w:basedOn w:val="a0"/>
    <w:link w:val="1"/>
    <w:uiPriority w:val="9"/>
    <w:rsid w:val="00335C97"/>
    <w:rPr>
      <w:rFonts w:ascii="Times New Roman" w:eastAsia="宋体" w:hAnsi="Times New Roman"/>
      <w:b/>
      <w:bCs/>
      <w:kern w:val="44"/>
      <w:sz w:val="32"/>
      <w:szCs w:val="44"/>
    </w:rPr>
  </w:style>
  <w:style w:type="character" w:customStyle="1" w:styleId="20">
    <w:name w:val="标题 2 字符"/>
    <w:basedOn w:val="a0"/>
    <w:link w:val="2"/>
    <w:uiPriority w:val="9"/>
    <w:rsid w:val="00F727F3"/>
    <w:rPr>
      <w:rFonts w:ascii="Times New Roman" w:eastAsia="宋体" w:hAnsi="Times New Roman" w:cstheme="majorBidi"/>
      <w:b/>
      <w:bCs/>
      <w:sz w:val="24"/>
      <w:szCs w:val="32"/>
    </w:rPr>
  </w:style>
  <w:style w:type="paragraph" w:styleId="a5">
    <w:name w:val="header"/>
    <w:basedOn w:val="a"/>
    <w:link w:val="a6"/>
    <w:uiPriority w:val="99"/>
    <w:unhideWhenUsed/>
    <w:rsid w:val="00393795"/>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93795"/>
    <w:rPr>
      <w:rFonts w:ascii="Times New Roman" w:eastAsia="宋体" w:hAnsi="Times New Roman"/>
      <w:sz w:val="18"/>
      <w:szCs w:val="18"/>
    </w:rPr>
  </w:style>
  <w:style w:type="paragraph" w:styleId="a7">
    <w:name w:val="footer"/>
    <w:basedOn w:val="a"/>
    <w:link w:val="a8"/>
    <w:uiPriority w:val="99"/>
    <w:unhideWhenUsed/>
    <w:rsid w:val="00393795"/>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93795"/>
    <w:rPr>
      <w:rFonts w:ascii="Times New Roman" w:eastAsia="宋体" w:hAnsi="Times New Roman"/>
      <w:sz w:val="18"/>
      <w:szCs w:val="18"/>
    </w:rPr>
  </w:style>
  <w:style w:type="character" w:customStyle="1" w:styleId="30">
    <w:name w:val="标题 3 字符"/>
    <w:basedOn w:val="a0"/>
    <w:link w:val="3"/>
    <w:uiPriority w:val="9"/>
    <w:semiHidden/>
    <w:rsid w:val="00997B57"/>
    <w:rPr>
      <w:rFonts w:ascii="Times New Roman" w:eastAsia="宋体" w:hAnsi="Times New Roman"/>
      <w:b/>
      <w:bCs/>
      <w:sz w:val="32"/>
      <w:szCs w:val="32"/>
    </w:rPr>
  </w:style>
  <w:style w:type="paragraph" w:styleId="a9">
    <w:name w:val="List Paragraph"/>
    <w:basedOn w:val="a"/>
    <w:uiPriority w:val="99"/>
    <w:qFormat/>
    <w:rsid w:val="00997B57"/>
    <w:pPr>
      <w:ind w:firstLine="420"/>
    </w:pPr>
    <w:rPr>
      <w:rFonts w:eastAsia="新宋体" w:cs="Times New Roman"/>
    </w:rPr>
  </w:style>
  <w:style w:type="paragraph" w:styleId="TOC">
    <w:name w:val="TOC Heading"/>
    <w:basedOn w:val="1"/>
    <w:next w:val="a"/>
    <w:uiPriority w:val="39"/>
    <w:unhideWhenUsed/>
    <w:qFormat/>
    <w:rsid w:val="00335C97"/>
    <w:pPr>
      <w:widowControl/>
      <w:spacing w:after="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335C97"/>
  </w:style>
  <w:style w:type="paragraph" w:styleId="TOC2">
    <w:name w:val="toc 2"/>
    <w:basedOn w:val="a"/>
    <w:next w:val="a"/>
    <w:autoRedefine/>
    <w:uiPriority w:val="39"/>
    <w:unhideWhenUsed/>
    <w:rsid w:val="00335C97"/>
    <w:pPr>
      <w:ind w:leftChars="200" w:left="420"/>
    </w:pPr>
  </w:style>
  <w:style w:type="character" w:styleId="aa">
    <w:name w:val="Hyperlink"/>
    <w:basedOn w:val="a0"/>
    <w:uiPriority w:val="99"/>
    <w:unhideWhenUsed/>
    <w:rsid w:val="00335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065">
      <w:bodyDiv w:val="1"/>
      <w:marLeft w:val="0"/>
      <w:marRight w:val="0"/>
      <w:marTop w:val="0"/>
      <w:marBottom w:val="0"/>
      <w:divBdr>
        <w:top w:val="none" w:sz="0" w:space="0" w:color="auto"/>
        <w:left w:val="none" w:sz="0" w:space="0" w:color="auto"/>
        <w:bottom w:val="none" w:sz="0" w:space="0" w:color="auto"/>
        <w:right w:val="none" w:sz="0" w:space="0" w:color="auto"/>
      </w:divBdr>
    </w:div>
    <w:div w:id="455954358">
      <w:bodyDiv w:val="1"/>
      <w:marLeft w:val="0"/>
      <w:marRight w:val="0"/>
      <w:marTop w:val="0"/>
      <w:marBottom w:val="0"/>
      <w:divBdr>
        <w:top w:val="none" w:sz="0" w:space="0" w:color="auto"/>
        <w:left w:val="none" w:sz="0" w:space="0" w:color="auto"/>
        <w:bottom w:val="none" w:sz="0" w:space="0" w:color="auto"/>
        <w:right w:val="none" w:sz="0" w:space="0" w:color="auto"/>
      </w:divBdr>
      <w:divsChild>
        <w:div w:id="2114398391">
          <w:marLeft w:val="446"/>
          <w:marRight w:val="0"/>
          <w:marTop w:val="0"/>
          <w:marBottom w:val="0"/>
          <w:divBdr>
            <w:top w:val="none" w:sz="0" w:space="0" w:color="auto"/>
            <w:left w:val="none" w:sz="0" w:space="0" w:color="auto"/>
            <w:bottom w:val="none" w:sz="0" w:space="0" w:color="auto"/>
            <w:right w:val="none" w:sz="0" w:space="0" w:color="auto"/>
          </w:divBdr>
        </w:div>
      </w:divsChild>
    </w:div>
    <w:div w:id="933172321">
      <w:bodyDiv w:val="1"/>
      <w:marLeft w:val="0"/>
      <w:marRight w:val="0"/>
      <w:marTop w:val="0"/>
      <w:marBottom w:val="0"/>
      <w:divBdr>
        <w:top w:val="none" w:sz="0" w:space="0" w:color="auto"/>
        <w:left w:val="none" w:sz="0" w:space="0" w:color="auto"/>
        <w:bottom w:val="none" w:sz="0" w:space="0" w:color="auto"/>
        <w:right w:val="none" w:sz="0" w:space="0" w:color="auto"/>
      </w:divBdr>
    </w:div>
    <w:div w:id="1352995866">
      <w:bodyDiv w:val="1"/>
      <w:marLeft w:val="0"/>
      <w:marRight w:val="0"/>
      <w:marTop w:val="0"/>
      <w:marBottom w:val="0"/>
      <w:divBdr>
        <w:top w:val="none" w:sz="0" w:space="0" w:color="auto"/>
        <w:left w:val="none" w:sz="0" w:space="0" w:color="auto"/>
        <w:bottom w:val="none" w:sz="0" w:space="0" w:color="auto"/>
        <w:right w:val="none" w:sz="0" w:space="0" w:color="auto"/>
      </w:divBdr>
    </w:div>
    <w:div w:id="1358852664">
      <w:bodyDiv w:val="1"/>
      <w:marLeft w:val="0"/>
      <w:marRight w:val="0"/>
      <w:marTop w:val="0"/>
      <w:marBottom w:val="0"/>
      <w:divBdr>
        <w:top w:val="none" w:sz="0" w:space="0" w:color="auto"/>
        <w:left w:val="none" w:sz="0" w:space="0" w:color="auto"/>
        <w:bottom w:val="none" w:sz="0" w:space="0" w:color="auto"/>
        <w:right w:val="none" w:sz="0" w:space="0" w:color="auto"/>
      </w:divBdr>
      <w:divsChild>
        <w:div w:id="1651712455">
          <w:marLeft w:val="446"/>
          <w:marRight w:val="0"/>
          <w:marTop w:val="0"/>
          <w:marBottom w:val="0"/>
          <w:divBdr>
            <w:top w:val="none" w:sz="0" w:space="0" w:color="auto"/>
            <w:left w:val="none" w:sz="0" w:space="0" w:color="auto"/>
            <w:bottom w:val="none" w:sz="0" w:space="0" w:color="auto"/>
            <w:right w:val="none" w:sz="0" w:space="0" w:color="auto"/>
          </w:divBdr>
        </w:div>
      </w:divsChild>
    </w:div>
    <w:div w:id="1436515785">
      <w:bodyDiv w:val="1"/>
      <w:marLeft w:val="0"/>
      <w:marRight w:val="0"/>
      <w:marTop w:val="0"/>
      <w:marBottom w:val="0"/>
      <w:divBdr>
        <w:top w:val="none" w:sz="0" w:space="0" w:color="auto"/>
        <w:left w:val="none" w:sz="0" w:space="0" w:color="auto"/>
        <w:bottom w:val="none" w:sz="0" w:space="0" w:color="auto"/>
        <w:right w:val="none" w:sz="0" w:space="0" w:color="auto"/>
      </w:divBdr>
      <w:divsChild>
        <w:div w:id="564802612">
          <w:marLeft w:val="446"/>
          <w:marRight w:val="0"/>
          <w:marTop w:val="0"/>
          <w:marBottom w:val="0"/>
          <w:divBdr>
            <w:top w:val="none" w:sz="0" w:space="0" w:color="auto"/>
            <w:left w:val="none" w:sz="0" w:space="0" w:color="auto"/>
            <w:bottom w:val="none" w:sz="0" w:space="0" w:color="auto"/>
            <w:right w:val="none" w:sz="0" w:space="0" w:color="auto"/>
          </w:divBdr>
        </w:div>
      </w:divsChild>
    </w:div>
    <w:div w:id="1679037569">
      <w:bodyDiv w:val="1"/>
      <w:marLeft w:val="0"/>
      <w:marRight w:val="0"/>
      <w:marTop w:val="0"/>
      <w:marBottom w:val="0"/>
      <w:divBdr>
        <w:top w:val="none" w:sz="0" w:space="0" w:color="auto"/>
        <w:left w:val="none" w:sz="0" w:space="0" w:color="auto"/>
        <w:bottom w:val="none" w:sz="0" w:space="0" w:color="auto"/>
        <w:right w:val="none" w:sz="0" w:space="0" w:color="auto"/>
      </w:divBdr>
    </w:div>
    <w:div w:id="1732582870">
      <w:bodyDiv w:val="1"/>
      <w:marLeft w:val="0"/>
      <w:marRight w:val="0"/>
      <w:marTop w:val="0"/>
      <w:marBottom w:val="0"/>
      <w:divBdr>
        <w:top w:val="none" w:sz="0" w:space="0" w:color="auto"/>
        <w:left w:val="none" w:sz="0" w:space="0" w:color="auto"/>
        <w:bottom w:val="none" w:sz="0" w:space="0" w:color="auto"/>
        <w:right w:val="none" w:sz="0" w:space="0" w:color="auto"/>
      </w:divBdr>
    </w:div>
    <w:div w:id="1974943776">
      <w:bodyDiv w:val="1"/>
      <w:marLeft w:val="0"/>
      <w:marRight w:val="0"/>
      <w:marTop w:val="0"/>
      <w:marBottom w:val="0"/>
      <w:divBdr>
        <w:top w:val="none" w:sz="0" w:space="0" w:color="auto"/>
        <w:left w:val="none" w:sz="0" w:space="0" w:color="auto"/>
        <w:bottom w:val="none" w:sz="0" w:space="0" w:color="auto"/>
        <w:right w:val="none" w:sz="0" w:space="0" w:color="auto"/>
      </w:divBdr>
      <w:divsChild>
        <w:div w:id="1621498718">
          <w:marLeft w:val="446"/>
          <w:marRight w:val="0"/>
          <w:marTop w:val="0"/>
          <w:marBottom w:val="0"/>
          <w:divBdr>
            <w:top w:val="none" w:sz="0" w:space="0" w:color="auto"/>
            <w:left w:val="none" w:sz="0" w:space="0" w:color="auto"/>
            <w:bottom w:val="none" w:sz="0" w:space="0" w:color="auto"/>
            <w:right w:val="none" w:sz="0" w:space="0" w:color="auto"/>
          </w:divBdr>
        </w:div>
      </w:divsChild>
    </w:div>
    <w:div w:id="1985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900D-1DDD-4CA2-B450-5D657FB1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Cixiao Qu</dc:creator>
  <cp:keywords/>
  <dc:description/>
  <cp:lastModifiedBy>Cixiao Qu</cp:lastModifiedBy>
  <cp:revision>68</cp:revision>
  <cp:lastPrinted>2024-10-29T02:26:00Z</cp:lastPrinted>
  <dcterms:created xsi:type="dcterms:W3CDTF">2024-10-24T16:46:00Z</dcterms:created>
  <dcterms:modified xsi:type="dcterms:W3CDTF">2025-04-17T08:45:00Z</dcterms:modified>
</cp:coreProperties>
</file>