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2A4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1F68F16">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ADBF071">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0"/>
          </w:p>
        </w:tc>
      </w:tr>
      <w:tr w14:paraId="6059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CA3710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2EDD02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6534BAC4">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CSOE</w:t>
                  </w:r>
                  <w:r>
                    <w:fldChar w:fldCharType="end"/>
                  </w:r>
                  <w:bookmarkEnd w:id="1"/>
                </w:p>
              </w:tc>
            </w:tr>
          </w:tbl>
          <w:p w14:paraId="6856ADDF">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点击此处添加CCS号</w:t>
            </w:r>
            <w:r>
              <w:rPr>
                <w:rFonts w:ascii="黑体" w:hAnsi="黑体" w:eastAsia="黑体"/>
                <w:sz w:val="21"/>
                <w:szCs w:val="21"/>
              </w:rPr>
              <w:fldChar w:fldCharType="end"/>
            </w:r>
            <w:bookmarkEnd w:id="2"/>
          </w:p>
        </w:tc>
      </w:tr>
    </w:tbl>
    <w:p w14:paraId="59C9189A">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中国光学工程学会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2C1B4C6">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CSOE</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0</w:t>
      </w:r>
      <w:r>
        <w:rPr>
          <w:rFonts w:hint="eastAsia"/>
          <w:lang w:val="en-US" w:eastAsia="zh-CN"/>
        </w:rPr>
        <w:t>009</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2</w:t>
      </w:r>
      <w:r>
        <w:rPr>
          <w:rFonts w:hint="eastAsia"/>
          <w:lang w:val="en-US" w:eastAsia="zh-CN"/>
        </w:rPr>
        <w:t>025</w:t>
      </w:r>
      <w:r>
        <w:fldChar w:fldCharType="end"/>
      </w:r>
      <w:bookmarkEnd w:id="7"/>
    </w:p>
    <w:p w14:paraId="2C40C7D4">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C3ED6D3">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1C42915">
      <w:pPr>
        <w:pStyle w:val="50"/>
        <w:framePr w:w="9639" w:h="6976" w:hRule="exact" w:hSpace="0" w:vSpace="0" w:wrap="around" w:hAnchor="page" w:y="6408"/>
        <w:jc w:val="center"/>
        <w:rPr>
          <w:rFonts w:hint="eastAsia" w:ascii="黑体" w:hAnsi="黑体" w:eastAsia="黑体"/>
          <w:b w:val="0"/>
          <w:bCs w:val="0"/>
          <w:w w:val="100"/>
        </w:rPr>
      </w:pPr>
    </w:p>
    <w:p w14:paraId="37E45160">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用于高动态范围反射率表面测量的结构光三维测量系统校准方法</w:t>
      </w:r>
      <w:r>
        <w:fldChar w:fldCharType="end"/>
      </w:r>
      <w:bookmarkEnd w:id="9"/>
    </w:p>
    <w:p w14:paraId="4D12A7EA">
      <w:pPr>
        <w:framePr w:w="9639" w:h="6974" w:hRule="exact" w:wrap="around" w:vAnchor="page" w:hAnchor="page" w:x="1419" w:y="6408" w:anchorLock="1"/>
        <w:ind w:left="-1418"/>
      </w:pPr>
    </w:p>
    <w:p w14:paraId="5FC0A64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7CB6FB2E">
      <w:pPr>
        <w:framePr w:w="9639" w:h="6974" w:hRule="exact" w:wrap="around" w:vAnchor="page" w:hAnchor="page" w:x="1419" w:y="6408" w:anchorLock="1"/>
        <w:spacing w:line="760" w:lineRule="exact"/>
        <w:ind w:left="-1418"/>
      </w:pPr>
    </w:p>
    <w:p w14:paraId="12CEFF50">
      <w:pPr>
        <w:pStyle w:val="125"/>
        <w:framePr w:w="9639" w:h="6974" w:hRule="exact" w:wrap="around" w:vAnchor="page" w:hAnchor="page" w:x="1419" w:y="6408" w:anchorLock="1"/>
        <w:textAlignment w:val="bottom"/>
        <w:rPr>
          <w:rFonts w:eastAsia="黑体"/>
          <w:szCs w:val="28"/>
        </w:rPr>
      </w:pPr>
    </w:p>
    <w:p w14:paraId="2A254D3F">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41131A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2AB4769">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FDF5C57">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6E63D3E">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9C81983">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中国光学工程学会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C8793F4">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187A244">
      <w:pPr>
        <w:pStyle w:val="91"/>
        <w:spacing w:after="360"/>
      </w:pPr>
      <w:bookmarkStart w:id="21" w:name="BookMark1"/>
      <w:bookmarkStart w:id="22" w:name="_Toc195113276"/>
      <w:bookmarkStart w:id="23" w:name="_Toc195113247"/>
      <w:bookmarkStart w:id="24" w:name="_Toc196060544"/>
      <w:r>
        <w:rPr>
          <w:rFonts w:hint="eastAsia"/>
          <w:spacing w:val="320"/>
        </w:rPr>
        <w:t>目</w:t>
      </w:r>
      <w:r>
        <w:rPr>
          <w:rFonts w:hint="eastAsia"/>
        </w:rPr>
        <w:t>次</w:t>
      </w:r>
    </w:p>
    <w:p w14:paraId="2A71F58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"_Toc196145304" </w:instrText>
      </w:r>
      <w:r>
        <w:fldChar w:fldCharType="separate"/>
      </w:r>
      <w:r>
        <w:rPr>
          <w:rStyle w:val="32"/>
          <w:spacing w:val="320"/>
        </w:rPr>
        <w:t>前</w:t>
      </w:r>
      <w:r>
        <w:rPr>
          <w:rStyle w:val="32"/>
        </w:rPr>
        <w:t>言</w:t>
      </w:r>
      <w:r>
        <w:tab/>
      </w:r>
      <w:r>
        <w:fldChar w:fldCharType="begin"/>
      </w:r>
      <w:r>
        <w:instrText xml:space="preserve"> PAGEREF _Toc196145304 \h </w:instrText>
      </w:r>
      <w:r>
        <w:fldChar w:fldCharType="separate"/>
      </w:r>
      <w:r>
        <w:t>II</w:t>
      </w:r>
      <w:r>
        <w:fldChar w:fldCharType="end"/>
      </w:r>
      <w:r>
        <w:fldChar w:fldCharType="end"/>
      </w:r>
    </w:p>
    <w:p w14:paraId="70E43A6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"_Toc196145305" </w:instrText>
      </w:r>
      <w:r>
        <w:fldChar w:fldCharType="separate"/>
      </w:r>
      <w:r>
        <w:rPr>
          <w:rStyle w:val="32"/>
        </w:rPr>
        <w:t>1 范围</w:t>
      </w:r>
      <w:r>
        <w:tab/>
      </w:r>
      <w:r>
        <w:fldChar w:fldCharType="begin"/>
      </w:r>
      <w:r>
        <w:instrText xml:space="preserve"> PAGEREF _Toc196145305 \h </w:instrText>
      </w:r>
      <w:r>
        <w:fldChar w:fldCharType="separate"/>
      </w:r>
      <w:r>
        <w:t>1</w:t>
      </w:r>
      <w:r>
        <w:fldChar w:fldCharType="end"/>
      </w:r>
      <w:r>
        <w:fldChar w:fldCharType="end"/>
      </w:r>
    </w:p>
    <w:p w14:paraId="7EA1EB9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"_Toc196145306" </w:instrText>
      </w:r>
      <w:r>
        <w:fldChar w:fldCharType="separate"/>
      </w:r>
      <w:r>
        <w:rPr>
          <w:rStyle w:val="32"/>
        </w:rPr>
        <w:t>2 规范性引用文件</w:t>
      </w:r>
      <w:r>
        <w:tab/>
      </w:r>
      <w:r>
        <w:fldChar w:fldCharType="begin"/>
      </w:r>
      <w:r>
        <w:instrText xml:space="preserve"> PAGEREF _Toc196145306 \h </w:instrText>
      </w:r>
      <w:r>
        <w:fldChar w:fldCharType="separate"/>
      </w:r>
      <w:r>
        <w:t>1</w:t>
      </w:r>
      <w:r>
        <w:fldChar w:fldCharType="end"/>
      </w:r>
      <w:r>
        <w:fldChar w:fldCharType="end"/>
      </w:r>
    </w:p>
    <w:p w14:paraId="24D70BA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"_Toc196145307" </w:instrText>
      </w:r>
      <w:r>
        <w:fldChar w:fldCharType="separate"/>
      </w:r>
      <w:r>
        <w:rPr>
          <w:rStyle w:val="32"/>
        </w:rPr>
        <w:t>3 术语和定义</w:t>
      </w:r>
      <w:r>
        <w:tab/>
      </w:r>
      <w:r>
        <w:fldChar w:fldCharType="begin"/>
      </w:r>
      <w:r>
        <w:instrText xml:space="preserve"> PAGEREF _Toc196145307 \h </w:instrText>
      </w:r>
      <w:r>
        <w:fldChar w:fldCharType="separate"/>
      </w:r>
      <w:r>
        <w:t>1</w:t>
      </w:r>
      <w:r>
        <w:fldChar w:fldCharType="end"/>
      </w:r>
      <w:r>
        <w:fldChar w:fldCharType="end"/>
      </w:r>
    </w:p>
    <w:p w14:paraId="68E6770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"_Toc196145308" </w:instrText>
      </w:r>
      <w:r>
        <w:fldChar w:fldCharType="separate"/>
      </w:r>
      <w:r>
        <w:rPr>
          <w:rStyle w:val="32"/>
        </w:rPr>
        <w:t>4 高动态范围反射率球标准器校准法</w:t>
      </w:r>
      <w:r>
        <w:tab/>
      </w:r>
      <w:r>
        <w:fldChar w:fldCharType="begin"/>
      </w:r>
      <w:r>
        <w:instrText xml:space="preserve"> PAGEREF _Toc196145308 \h </w:instrText>
      </w:r>
      <w:r>
        <w:fldChar w:fldCharType="separate"/>
      </w:r>
      <w:r>
        <w:t>1</w:t>
      </w:r>
      <w:r>
        <w:fldChar w:fldCharType="end"/>
      </w:r>
      <w:r>
        <w:fldChar w:fldCharType="end"/>
      </w:r>
    </w:p>
    <w:p w14:paraId="6C72442D">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"_Toc196145309" </w:instrText>
      </w:r>
      <w:r>
        <w:fldChar w:fldCharType="separate"/>
      </w:r>
      <w:r>
        <w:rPr>
          <w:rStyle w:val="32"/>
          <w14:scene3d w14:prst="orthographicFront">
            <w14:lightRig w14:rig="threePt" w14:dir="t">
              <w14:rot w14:lat="0" w14:lon="0" w14:rev="0"/>
            </w14:lightRig>
          </w14:scene3d>
        </w:rPr>
        <w:t>4.1</w:t>
      </w:r>
      <w:r>
        <w:rPr>
          <w:rStyle w:val="32"/>
        </w:rPr>
        <w:t xml:space="preserve"> 校准原理</w:t>
      </w:r>
      <w:r>
        <w:tab/>
      </w:r>
      <w:r>
        <w:fldChar w:fldCharType="begin"/>
      </w:r>
      <w:r>
        <w:instrText xml:space="preserve"> PAGEREF _Toc196145309 \h </w:instrText>
      </w:r>
      <w:r>
        <w:fldChar w:fldCharType="separate"/>
      </w:r>
      <w:r>
        <w:t>1</w:t>
      </w:r>
      <w:r>
        <w:fldChar w:fldCharType="end"/>
      </w:r>
      <w:r>
        <w:fldChar w:fldCharType="end"/>
      </w:r>
    </w:p>
    <w:p w14:paraId="76AE685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"_Toc196145310" </w:instrText>
      </w:r>
      <w:r>
        <w:fldChar w:fldCharType="separate"/>
      </w:r>
      <w:r>
        <w:rPr>
          <w:rStyle w:val="32"/>
          <w14:scene3d w14:prst="orthographicFront">
            <w14:lightRig w14:rig="threePt" w14:dir="t">
              <w14:rot w14:lat="0" w14:lon="0" w14:rev="0"/>
            </w14:lightRig>
          </w14:scene3d>
        </w:rPr>
        <w:t>4.2</w:t>
      </w:r>
      <w:r>
        <w:rPr>
          <w:rStyle w:val="32"/>
        </w:rPr>
        <w:t xml:space="preserve"> 校准装置</w:t>
      </w:r>
      <w:r>
        <w:tab/>
      </w:r>
      <w:r>
        <w:fldChar w:fldCharType="begin"/>
      </w:r>
      <w:r>
        <w:instrText xml:space="preserve"> PAGEREF _Toc196145310 \h </w:instrText>
      </w:r>
      <w:r>
        <w:fldChar w:fldCharType="separate"/>
      </w:r>
      <w:r>
        <w:t>2</w:t>
      </w:r>
      <w:r>
        <w:fldChar w:fldCharType="end"/>
      </w:r>
      <w:r>
        <w:fldChar w:fldCharType="end"/>
      </w:r>
    </w:p>
    <w:p w14:paraId="1BE66E8F">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"_Toc196145311" </w:instrText>
      </w:r>
      <w:r>
        <w:fldChar w:fldCharType="separate"/>
      </w:r>
      <w:r>
        <w:rPr>
          <w:rStyle w:val="32"/>
          <w14:scene3d w14:prst="orthographicFront">
            <w14:lightRig w14:rig="threePt" w14:dir="t">
              <w14:rot w14:lat="0" w14:lon="0" w14:rev="0"/>
            </w14:lightRig>
          </w14:scene3d>
        </w:rPr>
        <w:t>4.3</w:t>
      </w:r>
      <w:r>
        <w:rPr>
          <w:rStyle w:val="32"/>
        </w:rPr>
        <w:t xml:space="preserve"> 校准条件</w:t>
      </w:r>
      <w:r>
        <w:tab/>
      </w:r>
      <w:r>
        <w:fldChar w:fldCharType="begin"/>
      </w:r>
      <w:r>
        <w:instrText xml:space="preserve"> PAGEREF _Toc196145311 \h </w:instrText>
      </w:r>
      <w:r>
        <w:fldChar w:fldCharType="separate"/>
      </w:r>
      <w:r>
        <w:t>3</w:t>
      </w:r>
      <w:r>
        <w:fldChar w:fldCharType="end"/>
      </w:r>
      <w:r>
        <w:fldChar w:fldCharType="end"/>
      </w:r>
    </w:p>
    <w:p w14:paraId="722C3565">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"_Toc196145312" </w:instrText>
      </w:r>
      <w:r>
        <w:fldChar w:fldCharType="separate"/>
      </w:r>
      <w:r>
        <w:rPr>
          <w:rStyle w:val="32"/>
          <w14:scene3d w14:prst="orthographicFront">
            <w14:lightRig w14:rig="threePt" w14:dir="t">
              <w14:rot w14:lat="0" w14:lon="0" w14:rev="0"/>
            </w14:lightRig>
          </w14:scene3d>
        </w:rPr>
        <w:t>4.4</w:t>
      </w:r>
      <w:r>
        <w:rPr>
          <w:rStyle w:val="32"/>
        </w:rPr>
        <w:t xml:space="preserve"> 校准方法</w:t>
      </w:r>
      <w:r>
        <w:tab/>
      </w:r>
      <w:r>
        <w:fldChar w:fldCharType="begin"/>
      </w:r>
      <w:r>
        <w:instrText xml:space="preserve"> PAGEREF _Toc196145312 \h </w:instrText>
      </w:r>
      <w:r>
        <w:fldChar w:fldCharType="separate"/>
      </w:r>
      <w:r>
        <w:t>3</w:t>
      </w:r>
      <w:r>
        <w:fldChar w:fldCharType="end"/>
      </w:r>
      <w:r>
        <w:fldChar w:fldCharType="end"/>
      </w:r>
    </w:p>
    <w:p w14:paraId="25094E8B">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"_Toc196145313" </w:instrText>
      </w:r>
      <w:r>
        <w:fldChar w:fldCharType="separate"/>
      </w:r>
      <w:r>
        <w:rPr>
          <w:rStyle w:val="32"/>
          <w14:scene3d w14:prst="orthographicFront">
            <w14:lightRig w14:rig="threePt" w14:dir="t">
              <w14:rot w14:lat="0" w14:lon="0" w14:rev="0"/>
            </w14:lightRig>
          </w14:scene3d>
        </w:rPr>
        <w:t>4.5</w:t>
      </w:r>
      <w:r>
        <w:rPr>
          <w:rStyle w:val="32"/>
        </w:rPr>
        <w:t xml:space="preserve"> 测量不确定度</w:t>
      </w:r>
      <w:r>
        <w:tab/>
      </w:r>
      <w:r>
        <w:fldChar w:fldCharType="begin"/>
      </w:r>
      <w:r>
        <w:instrText xml:space="preserve"> PAGEREF _Toc196145313 \h </w:instrText>
      </w:r>
      <w:r>
        <w:fldChar w:fldCharType="separate"/>
      </w:r>
      <w:r>
        <w:t>3</w:t>
      </w:r>
      <w:r>
        <w:fldChar w:fldCharType="end"/>
      </w:r>
      <w:r>
        <w:fldChar w:fldCharType="end"/>
      </w:r>
    </w:p>
    <w:p w14:paraId="7116DED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"_Toc196145314" </w:instrText>
      </w:r>
      <w:r>
        <w:fldChar w:fldCharType="separate"/>
      </w:r>
      <w:r>
        <w:rPr>
          <w:rStyle w:val="32"/>
        </w:rPr>
        <w:t>5 高动态范围反射率球板标准器校准法</w:t>
      </w:r>
      <w:r>
        <w:tab/>
      </w:r>
      <w:r>
        <w:fldChar w:fldCharType="begin"/>
      </w:r>
      <w:r>
        <w:instrText xml:space="preserve"> PAGEREF _Toc196145314 \h </w:instrText>
      </w:r>
      <w:r>
        <w:fldChar w:fldCharType="separate"/>
      </w:r>
      <w:r>
        <w:t>3</w:t>
      </w:r>
      <w:r>
        <w:fldChar w:fldCharType="end"/>
      </w:r>
      <w:r>
        <w:fldChar w:fldCharType="end"/>
      </w:r>
    </w:p>
    <w:p w14:paraId="1570E994">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"_Toc196145315" </w:instrText>
      </w:r>
      <w:r>
        <w:fldChar w:fldCharType="separate"/>
      </w:r>
      <w:r>
        <w:rPr>
          <w:rStyle w:val="32"/>
          <w14:scene3d w14:prst="orthographicFront">
            <w14:lightRig w14:rig="threePt" w14:dir="t">
              <w14:rot w14:lat="0" w14:lon="0" w14:rev="0"/>
            </w14:lightRig>
          </w14:scene3d>
        </w:rPr>
        <w:t>5.1</w:t>
      </w:r>
      <w:r>
        <w:rPr>
          <w:rStyle w:val="32"/>
        </w:rPr>
        <w:t xml:space="preserve"> 校准原理</w:t>
      </w:r>
      <w:r>
        <w:tab/>
      </w:r>
      <w:r>
        <w:fldChar w:fldCharType="begin"/>
      </w:r>
      <w:r>
        <w:instrText xml:space="preserve"> PAGEREF _Toc196145315 \h </w:instrText>
      </w:r>
      <w:r>
        <w:fldChar w:fldCharType="separate"/>
      </w:r>
      <w:r>
        <w:t>3</w:t>
      </w:r>
      <w:r>
        <w:fldChar w:fldCharType="end"/>
      </w:r>
      <w:r>
        <w:fldChar w:fldCharType="end"/>
      </w:r>
    </w:p>
    <w:p w14:paraId="27BDA138">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"_Toc196145316" </w:instrText>
      </w:r>
      <w:r>
        <w:fldChar w:fldCharType="separate"/>
      </w:r>
      <w:r>
        <w:rPr>
          <w:rStyle w:val="32"/>
          <w14:scene3d w14:prst="orthographicFront">
            <w14:lightRig w14:rig="threePt" w14:dir="t">
              <w14:rot w14:lat="0" w14:lon="0" w14:rev="0"/>
            </w14:lightRig>
          </w14:scene3d>
        </w:rPr>
        <w:t>5.2</w:t>
      </w:r>
      <w:r>
        <w:rPr>
          <w:rStyle w:val="32"/>
        </w:rPr>
        <w:t xml:space="preserve"> 校准装置</w:t>
      </w:r>
      <w:r>
        <w:tab/>
      </w:r>
      <w:r>
        <w:fldChar w:fldCharType="begin"/>
      </w:r>
      <w:r>
        <w:instrText xml:space="preserve"> PAGEREF _Toc196145316 \h </w:instrText>
      </w:r>
      <w:r>
        <w:fldChar w:fldCharType="separate"/>
      </w:r>
      <w:r>
        <w:t>5</w:t>
      </w:r>
      <w:r>
        <w:fldChar w:fldCharType="end"/>
      </w:r>
      <w:r>
        <w:fldChar w:fldCharType="end"/>
      </w:r>
    </w:p>
    <w:p w14:paraId="30DE9BA4">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"_Toc196145317" </w:instrText>
      </w:r>
      <w:r>
        <w:fldChar w:fldCharType="separate"/>
      </w:r>
      <w:r>
        <w:rPr>
          <w:rStyle w:val="32"/>
          <w14:scene3d w14:prst="orthographicFront">
            <w14:lightRig w14:rig="threePt" w14:dir="t">
              <w14:rot w14:lat="0" w14:lon="0" w14:rev="0"/>
            </w14:lightRig>
          </w14:scene3d>
        </w:rPr>
        <w:t>5.3</w:t>
      </w:r>
      <w:r>
        <w:rPr>
          <w:rStyle w:val="32"/>
        </w:rPr>
        <w:t xml:space="preserve"> 校准条件</w:t>
      </w:r>
      <w:r>
        <w:tab/>
      </w:r>
      <w:r>
        <w:fldChar w:fldCharType="begin"/>
      </w:r>
      <w:r>
        <w:instrText xml:space="preserve"> PAGEREF _Toc196145317 \h </w:instrText>
      </w:r>
      <w:r>
        <w:fldChar w:fldCharType="separate"/>
      </w:r>
      <w:r>
        <w:t>5</w:t>
      </w:r>
      <w:r>
        <w:fldChar w:fldCharType="end"/>
      </w:r>
      <w:r>
        <w:fldChar w:fldCharType="end"/>
      </w:r>
    </w:p>
    <w:p w14:paraId="6705A231">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"_Toc196145318" </w:instrText>
      </w:r>
      <w:r>
        <w:fldChar w:fldCharType="separate"/>
      </w:r>
      <w:r>
        <w:rPr>
          <w:rStyle w:val="32"/>
          <w14:scene3d w14:prst="orthographicFront">
            <w14:lightRig w14:rig="threePt" w14:dir="t">
              <w14:rot w14:lat="0" w14:lon="0" w14:rev="0"/>
            </w14:lightRig>
          </w14:scene3d>
        </w:rPr>
        <w:t>5.4</w:t>
      </w:r>
      <w:r>
        <w:rPr>
          <w:rStyle w:val="32"/>
        </w:rPr>
        <w:t xml:space="preserve"> 校准方法</w:t>
      </w:r>
      <w:r>
        <w:tab/>
      </w:r>
      <w:r>
        <w:fldChar w:fldCharType="begin"/>
      </w:r>
      <w:r>
        <w:instrText xml:space="preserve"> PAGEREF _Toc196145318 \h </w:instrText>
      </w:r>
      <w:r>
        <w:fldChar w:fldCharType="separate"/>
      </w:r>
      <w:r>
        <w:t>5</w:t>
      </w:r>
      <w:r>
        <w:fldChar w:fldCharType="end"/>
      </w:r>
      <w:r>
        <w:fldChar w:fldCharType="end"/>
      </w:r>
    </w:p>
    <w:p w14:paraId="5E2C13CE">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"_Toc196145319" </w:instrText>
      </w:r>
      <w:r>
        <w:fldChar w:fldCharType="separate"/>
      </w:r>
      <w:r>
        <w:rPr>
          <w:rStyle w:val="32"/>
          <w14:scene3d w14:prst="orthographicFront">
            <w14:lightRig w14:rig="threePt" w14:dir="t">
              <w14:rot w14:lat="0" w14:lon="0" w14:rev="0"/>
            </w14:lightRig>
          </w14:scene3d>
        </w:rPr>
        <w:t>5.5</w:t>
      </w:r>
      <w:r>
        <w:rPr>
          <w:rStyle w:val="32"/>
        </w:rPr>
        <w:t xml:space="preserve"> 测量不确定度</w:t>
      </w:r>
      <w:r>
        <w:tab/>
      </w:r>
      <w:r>
        <w:fldChar w:fldCharType="begin"/>
      </w:r>
      <w:r>
        <w:instrText xml:space="preserve"> PAGEREF _Toc196145319 \h </w:instrText>
      </w:r>
      <w:r>
        <w:fldChar w:fldCharType="separate"/>
      </w:r>
      <w:r>
        <w:t>6</w:t>
      </w:r>
      <w:r>
        <w:fldChar w:fldCharType="end"/>
      </w:r>
      <w:r>
        <w:fldChar w:fldCharType="end"/>
      </w:r>
    </w:p>
    <w:p w14:paraId="5C00B62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"_Toc196145320" </w:instrText>
      </w:r>
      <w:r>
        <w:fldChar w:fldCharType="separate"/>
      </w:r>
      <w:r>
        <w:rPr>
          <w:rStyle w:val="32"/>
        </w:rPr>
        <w:t>6 高动态范围反射率平面标准器校准法</w:t>
      </w:r>
      <w:r>
        <w:tab/>
      </w:r>
      <w:r>
        <w:fldChar w:fldCharType="begin"/>
      </w:r>
      <w:r>
        <w:instrText xml:space="preserve"> PAGEREF _Toc196145320 \h </w:instrText>
      </w:r>
      <w:r>
        <w:fldChar w:fldCharType="separate"/>
      </w:r>
      <w:r>
        <w:t>6</w:t>
      </w:r>
      <w:r>
        <w:fldChar w:fldCharType="end"/>
      </w:r>
      <w:r>
        <w:fldChar w:fldCharType="end"/>
      </w:r>
    </w:p>
    <w:p w14:paraId="2258DAB9">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"_Toc196145321" </w:instrText>
      </w:r>
      <w:r>
        <w:fldChar w:fldCharType="separate"/>
      </w:r>
      <w:r>
        <w:rPr>
          <w:rStyle w:val="32"/>
          <w14:scene3d w14:prst="orthographicFront">
            <w14:lightRig w14:rig="threePt" w14:dir="t">
              <w14:rot w14:lat="0" w14:lon="0" w14:rev="0"/>
            </w14:lightRig>
          </w14:scene3d>
        </w:rPr>
        <w:t>6.1</w:t>
      </w:r>
      <w:r>
        <w:rPr>
          <w:rStyle w:val="32"/>
        </w:rPr>
        <w:t xml:space="preserve"> 校准原理</w:t>
      </w:r>
      <w:r>
        <w:tab/>
      </w:r>
      <w:r>
        <w:fldChar w:fldCharType="begin"/>
      </w:r>
      <w:r>
        <w:instrText xml:space="preserve"> PAGEREF _Toc196145321 \h </w:instrText>
      </w:r>
      <w:r>
        <w:fldChar w:fldCharType="separate"/>
      </w:r>
      <w:r>
        <w:t>6</w:t>
      </w:r>
      <w:r>
        <w:fldChar w:fldCharType="end"/>
      </w:r>
      <w:r>
        <w:fldChar w:fldCharType="end"/>
      </w:r>
    </w:p>
    <w:p w14:paraId="45CBBBE8">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"_Toc196145322" </w:instrText>
      </w:r>
      <w:r>
        <w:fldChar w:fldCharType="separate"/>
      </w:r>
      <w:r>
        <w:rPr>
          <w:rStyle w:val="32"/>
          <w14:scene3d w14:prst="orthographicFront">
            <w14:lightRig w14:rig="threePt" w14:dir="t">
              <w14:rot w14:lat="0" w14:lon="0" w14:rev="0"/>
            </w14:lightRig>
          </w14:scene3d>
        </w:rPr>
        <w:t>6.2</w:t>
      </w:r>
      <w:r>
        <w:rPr>
          <w:rStyle w:val="32"/>
        </w:rPr>
        <w:t xml:space="preserve"> 校准装置</w:t>
      </w:r>
      <w:r>
        <w:tab/>
      </w:r>
      <w:r>
        <w:fldChar w:fldCharType="begin"/>
      </w:r>
      <w:r>
        <w:instrText xml:space="preserve"> PAGEREF _Toc196145322 \h </w:instrText>
      </w:r>
      <w:r>
        <w:fldChar w:fldCharType="separate"/>
      </w:r>
      <w:r>
        <w:t>7</w:t>
      </w:r>
      <w:r>
        <w:fldChar w:fldCharType="end"/>
      </w:r>
      <w:r>
        <w:fldChar w:fldCharType="end"/>
      </w:r>
    </w:p>
    <w:p w14:paraId="33F47ECF">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"_Toc196145323" </w:instrText>
      </w:r>
      <w:r>
        <w:fldChar w:fldCharType="separate"/>
      </w:r>
      <w:r>
        <w:rPr>
          <w:rStyle w:val="32"/>
          <w14:scene3d w14:prst="orthographicFront">
            <w14:lightRig w14:rig="threePt" w14:dir="t">
              <w14:rot w14:lat="0" w14:lon="0" w14:rev="0"/>
            </w14:lightRig>
          </w14:scene3d>
        </w:rPr>
        <w:t>6.3</w:t>
      </w:r>
      <w:r>
        <w:rPr>
          <w:rStyle w:val="32"/>
        </w:rPr>
        <w:t xml:space="preserve"> 校准条件</w:t>
      </w:r>
      <w:r>
        <w:tab/>
      </w:r>
      <w:r>
        <w:fldChar w:fldCharType="begin"/>
      </w:r>
      <w:r>
        <w:instrText xml:space="preserve"> PAGEREF _Toc196145323 \h </w:instrText>
      </w:r>
      <w:r>
        <w:fldChar w:fldCharType="separate"/>
      </w:r>
      <w:r>
        <w:t>8</w:t>
      </w:r>
      <w:r>
        <w:fldChar w:fldCharType="end"/>
      </w:r>
      <w:r>
        <w:fldChar w:fldCharType="end"/>
      </w:r>
    </w:p>
    <w:p w14:paraId="45B1A8A3">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"_Toc196145324" </w:instrText>
      </w:r>
      <w:r>
        <w:fldChar w:fldCharType="separate"/>
      </w:r>
      <w:r>
        <w:rPr>
          <w:rStyle w:val="32"/>
          <w14:scene3d w14:prst="orthographicFront">
            <w14:lightRig w14:rig="threePt" w14:dir="t">
              <w14:rot w14:lat="0" w14:lon="0" w14:rev="0"/>
            </w14:lightRig>
          </w14:scene3d>
        </w:rPr>
        <w:t>6.4</w:t>
      </w:r>
      <w:r>
        <w:rPr>
          <w:rStyle w:val="32"/>
        </w:rPr>
        <w:t xml:space="preserve"> 校准方法</w:t>
      </w:r>
      <w:r>
        <w:tab/>
      </w:r>
      <w:r>
        <w:fldChar w:fldCharType="begin"/>
      </w:r>
      <w:r>
        <w:instrText xml:space="preserve"> PAGEREF _Toc196145324 \h </w:instrText>
      </w:r>
      <w:r>
        <w:fldChar w:fldCharType="separate"/>
      </w:r>
      <w:r>
        <w:t>8</w:t>
      </w:r>
      <w:r>
        <w:fldChar w:fldCharType="end"/>
      </w:r>
      <w:r>
        <w:fldChar w:fldCharType="end"/>
      </w:r>
    </w:p>
    <w:p w14:paraId="4B9F3C19">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"_Toc196145325" </w:instrText>
      </w:r>
      <w:r>
        <w:fldChar w:fldCharType="separate"/>
      </w:r>
      <w:r>
        <w:rPr>
          <w:rStyle w:val="32"/>
          <w14:scene3d w14:prst="orthographicFront">
            <w14:lightRig w14:rig="threePt" w14:dir="t">
              <w14:rot w14:lat="0" w14:lon="0" w14:rev="0"/>
            </w14:lightRig>
          </w14:scene3d>
        </w:rPr>
        <w:t>6.5</w:t>
      </w:r>
      <w:r>
        <w:rPr>
          <w:rStyle w:val="32"/>
        </w:rPr>
        <w:t xml:space="preserve"> 测量不确定度</w:t>
      </w:r>
      <w:r>
        <w:tab/>
      </w:r>
      <w:r>
        <w:fldChar w:fldCharType="begin"/>
      </w:r>
      <w:r>
        <w:instrText xml:space="preserve"> PAGEREF _Toc196145325 \h </w:instrText>
      </w:r>
      <w:r>
        <w:fldChar w:fldCharType="separate"/>
      </w:r>
      <w:r>
        <w:t>8</w:t>
      </w:r>
      <w:r>
        <w:fldChar w:fldCharType="end"/>
      </w:r>
      <w:r>
        <w:fldChar w:fldCharType="end"/>
      </w:r>
    </w:p>
    <w:p w14:paraId="36D15E7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"_Toc196145326" </w:instrText>
      </w:r>
      <w:r>
        <w:fldChar w:fldCharType="separate"/>
      </w:r>
      <w:r>
        <w:rPr>
          <w:rStyle w:val="32"/>
        </w:rPr>
        <w:t>7 校准结果</w:t>
      </w:r>
      <w:r>
        <w:tab/>
      </w:r>
      <w:r>
        <w:fldChar w:fldCharType="begin"/>
      </w:r>
      <w:r>
        <w:instrText xml:space="preserve"> PAGEREF _Toc196145326 \h </w:instrText>
      </w:r>
      <w:r>
        <w:fldChar w:fldCharType="separate"/>
      </w:r>
      <w:r>
        <w:t>9</w:t>
      </w:r>
      <w:r>
        <w:fldChar w:fldCharType="end"/>
      </w:r>
      <w:r>
        <w:fldChar w:fldCharType="end"/>
      </w:r>
    </w:p>
    <w:p w14:paraId="19224E8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"_Toc196145327" </w:instrText>
      </w:r>
      <w:r>
        <w:fldChar w:fldCharType="separate"/>
      </w:r>
      <w:r>
        <w:rPr>
          <w:rStyle w:val="32"/>
        </w:rPr>
        <w:t>8 复校时间间隔</w:t>
      </w:r>
      <w:r>
        <w:tab/>
      </w:r>
      <w:r>
        <w:fldChar w:fldCharType="begin"/>
      </w:r>
      <w:r>
        <w:instrText xml:space="preserve"> PAGEREF _Toc196145327 \h </w:instrText>
      </w:r>
      <w:r>
        <w:fldChar w:fldCharType="separate"/>
      </w:r>
      <w:r>
        <w:t>9</w:t>
      </w:r>
      <w:r>
        <w:fldChar w:fldCharType="end"/>
      </w:r>
      <w:r>
        <w:fldChar w:fldCharType="end"/>
      </w:r>
    </w:p>
    <w:p w14:paraId="542B739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"_Toc196145328" </w:instrText>
      </w:r>
      <w:r>
        <w:fldChar w:fldCharType="separate"/>
      </w:r>
      <w:r>
        <w:rPr>
          <w:rStyle w:val="32"/>
          <w:spacing w:val="100"/>
        </w:rPr>
        <w:t>附录A</w:t>
      </w:r>
      <w:r>
        <w:rPr>
          <w:rStyle w:val="32"/>
        </w:rPr>
        <w:t xml:space="preserve"> （资料性） 不确定度评定示例</w:t>
      </w:r>
      <w:r>
        <w:tab/>
      </w:r>
      <w:r>
        <w:fldChar w:fldCharType="begin"/>
      </w:r>
      <w:r>
        <w:instrText xml:space="preserve"> PAGEREF _Toc196145328 \h </w:instrText>
      </w:r>
      <w:r>
        <w:fldChar w:fldCharType="separate"/>
      </w:r>
      <w:r>
        <w:t>10</w:t>
      </w:r>
      <w:r>
        <w:fldChar w:fldCharType="end"/>
      </w:r>
      <w:r>
        <w:fldChar w:fldCharType="end"/>
      </w:r>
    </w:p>
    <w:p w14:paraId="633BC081">
      <w:pPr>
        <w:pStyle w:val="91"/>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26CE5C2">
      <w:pPr>
        <w:pStyle w:val="89"/>
        <w:spacing w:before="560" w:after="360"/>
      </w:pPr>
      <w:bookmarkStart w:id="25" w:name="_Toc196145304"/>
      <w:bookmarkStart w:id="26" w:name="BookMark2"/>
      <w:r>
        <w:rPr>
          <w:spacing w:val="320"/>
        </w:rPr>
        <w:t>前</w:t>
      </w:r>
      <w:r>
        <w:t>言</w:t>
      </w:r>
      <w:bookmarkEnd w:id="22"/>
      <w:bookmarkEnd w:id="23"/>
      <w:bookmarkEnd w:id="24"/>
      <w:bookmarkEnd w:id="25"/>
    </w:p>
    <w:p w14:paraId="06B71CCB">
      <w:pPr>
        <w:pStyle w:val="56"/>
        <w:ind w:firstLine="420"/>
      </w:pPr>
      <w:r>
        <w:rPr>
          <w:rFonts w:hint="eastAsia"/>
        </w:rPr>
        <w:t>本文件按照GB/T 1.1—2020《标准化工作导则  第1部分：标准化文件的结构和起草规则》的规定起草。</w:t>
      </w:r>
      <w:bookmarkStart w:id="119" w:name="_GoBack"/>
      <w:bookmarkEnd w:id="119"/>
    </w:p>
    <w:p w14:paraId="39D85F01">
      <w:pPr>
        <w:pStyle w:val="56"/>
        <w:ind w:firstLine="420"/>
      </w:pPr>
      <w:r>
        <w:rPr>
          <w:rFonts w:hint="eastAsia"/>
        </w:rPr>
        <w:t>请注意</w:t>
      </w:r>
      <w:r>
        <w:t>本文件的某些内容可能涉及专利。本文件的发布机构不承担识别专利的责任。</w:t>
      </w:r>
    </w:p>
    <w:p w14:paraId="3CC1793D">
      <w:pPr>
        <w:pStyle w:val="56"/>
        <w:ind w:firstLine="420"/>
      </w:pPr>
      <w:r>
        <w:rPr>
          <w:rFonts w:hint="eastAsia"/>
        </w:rPr>
        <w:t>本文件由</w:t>
      </w:r>
      <w:r>
        <w:t>中国光学工程学会提出并归口。</w:t>
      </w:r>
    </w:p>
    <w:p w14:paraId="2AB1875A">
      <w:pPr>
        <w:pStyle w:val="56"/>
        <w:ind w:firstLine="420"/>
      </w:pPr>
      <w:r>
        <w:rPr>
          <w:rFonts w:hint="eastAsia"/>
        </w:rPr>
        <w:t>本文件起草单位：北京航空航天大学、北京航天计量测试技术研究所、北京卫星制造厂有限公司、成都飞机工业（集团）有限责任公司、北京长城计量测试技术研究所、思看科技（杭州）股份有限公司等。</w:t>
      </w:r>
    </w:p>
    <w:p w14:paraId="050A7414">
      <w:pPr>
        <w:pStyle w:val="56"/>
        <w:ind w:firstLine="420"/>
        <w:sectPr>
          <w:pgSz w:w="11906" w:h="16838"/>
          <w:pgMar w:top="1928" w:right="1134" w:bottom="1134" w:left="1134" w:header="1418" w:footer="1134" w:gutter="284"/>
          <w:pgNumType w:fmt="upperRoman"/>
          <w:cols w:space="425" w:num="1"/>
          <w:formProt w:val="0"/>
          <w:docGrid w:linePitch="312" w:charSpace="0"/>
        </w:sectPr>
      </w:pPr>
      <w:r>
        <w:rPr>
          <w:rFonts w:hint="eastAsia"/>
        </w:rPr>
        <w:t>本文件主要起草人：赵慧洁、姜宏志、李旭东、缪寅宵、杨奕、刘丽霞、回天力、李本军、朱绪胜、杨永军、孙安斌、金凤昕、戴明等。</w:t>
      </w:r>
    </w:p>
    <w:bookmarkEnd w:id="26"/>
    <w:p w14:paraId="7D13D996">
      <w:pPr>
        <w:spacing w:line="20" w:lineRule="exact"/>
        <w:jc w:val="center"/>
        <w:rPr>
          <w:rFonts w:hint="eastAsia" w:ascii="黑体" w:hAnsi="黑体" w:eastAsia="黑体"/>
          <w:sz w:val="32"/>
          <w:szCs w:val="32"/>
        </w:rPr>
      </w:pPr>
      <w:bookmarkStart w:id="27" w:name="BookMark4"/>
    </w:p>
    <w:p w14:paraId="7D8F43C7">
      <w:pPr>
        <w:spacing w:line="20" w:lineRule="exact"/>
        <w:jc w:val="center"/>
        <w:rPr>
          <w:rFonts w:hint="eastAsia" w:ascii="黑体" w:hAnsi="黑体" w:eastAsia="黑体"/>
          <w:sz w:val="32"/>
          <w:szCs w:val="32"/>
        </w:rPr>
      </w:pPr>
    </w:p>
    <w:sdt>
      <w:sdtPr>
        <w:tag w:val="NEW_STAND_NAME"/>
        <w:id w:val="595910757"/>
        <w:lock w:val="sdtLocked"/>
        <w:placeholder>
          <w:docPart w:val="9D3787A4E1904AAFA7BE95C9F6DBDA96"/>
        </w:placeholder>
      </w:sdtPr>
      <w:sdtContent>
        <w:p w14:paraId="2B42C518">
          <w:pPr>
            <w:pStyle w:val="177"/>
            <w:spacing w:before="2" w:beforeLines="1" w:after="528" w:afterLines="220"/>
            <w:rPr>
              <w:rFonts w:hint="eastAsia"/>
            </w:rPr>
          </w:pPr>
          <w:bookmarkStart w:id="28" w:name="NEW_STAND_NAME"/>
          <w:r>
            <w:rPr>
              <w:rFonts w:hint="eastAsia"/>
            </w:rPr>
            <w:t>用于高动态范围反射率表面测量的结构光三维测量系统校准方法</w:t>
          </w:r>
        </w:p>
      </w:sdtContent>
    </w:sdt>
    <w:bookmarkEnd w:id="28"/>
    <w:p w14:paraId="3B8FE9C8">
      <w:pPr>
        <w:pStyle w:val="104"/>
        <w:spacing w:before="240" w:after="240"/>
      </w:pPr>
      <w:bookmarkStart w:id="29" w:name="_Toc17233333"/>
      <w:bookmarkStart w:id="30" w:name="_Toc24884211"/>
      <w:bookmarkStart w:id="31" w:name="_Toc26648465"/>
      <w:bookmarkStart w:id="32" w:name="_Toc24884218"/>
      <w:bookmarkStart w:id="33" w:name="_Toc17233325"/>
      <w:bookmarkStart w:id="34" w:name="_Toc26718930"/>
      <w:bookmarkStart w:id="35" w:name="_Toc195113277"/>
      <w:bookmarkStart w:id="36" w:name="_Toc196145305"/>
      <w:bookmarkStart w:id="37" w:name="_Toc195113248"/>
      <w:bookmarkStart w:id="38" w:name="_Toc26986771"/>
      <w:bookmarkStart w:id="39" w:name="_Toc26986530"/>
      <w:bookmarkStart w:id="40" w:name="_Toc97192964"/>
      <w:bookmarkStart w:id="41" w:name="_Toc196060545"/>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14:paraId="5406AEDE">
      <w:pPr>
        <w:pStyle w:val="56"/>
        <w:ind w:firstLine="420"/>
      </w:pPr>
      <w:bookmarkStart w:id="42" w:name="_Toc17233334"/>
      <w:bookmarkStart w:id="43" w:name="_Toc24884212"/>
      <w:bookmarkStart w:id="44" w:name="_Toc17233326"/>
      <w:bookmarkStart w:id="45" w:name="_Toc24884219"/>
      <w:bookmarkStart w:id="46" w:name="_Toc26648466"/>
      <w:r>
        <w:rPr>
          <w:rFonts w:hint="eastAsia"/>
        </w:rPr>
        <w:t>本标准给出了高动态范围反射率球标准器校准法、高动态范围反射率球板标准器校准法、高动态范围反射率平面标准器校准法校准用于高动态范围反射率表面测量的结构光三维测量系统测量精度的校准原理、校准装置、校准条件和校准方法。</w:t>
      </w:r>
    </w:p>
    <w:p w14:paraId="44801582">
      <w:pPr>
        <w:pStyle w:val="56"/>
        <w:ind w:firstLine="420"/>
      </w:pPr>
      <w:r>
        <w:rPr>
          <w:rFonts w:hint="eastAsia"/>
        </w:rPr>
        <w:t>本标准规定了用于高动态范围反射率表面测量的结构光三维测量系统的校准结果和复校时间间隔要求。</w:t>
      </w:r>
    </w:p>
    <w:p w14:paraId="08D4B3B0">
      <w:pPr>
        <w:pStyle w:val="56"/>
        <w:ind w:firstLine="420"/>
      </w:pPr>
      <w:r>
        <w:rPr>
          <w:rFonts w:hint="eastAsia"/>
        </w:rPr>
        <w:t>本标准适用于以高动态范围反射率表面为测量对象时结构光三维测量系统测量精度的校准。</w:t>
      </w:r>
    </w:p>
    <w:p w14:paraId="309AA0C4">
      <w:pPr>
        <w:pStyle w:val="104"/>
        <w:spacing w:before="240" w:after="240"/>
      </w:pPr>
      <w:bookmarkStart w:id="47" w:name="_Toc196060546"/>
      <w:bookmarkStart w:id="48" w:name="_Toc26718931"/>
      <w:bookmarkStart w:id="49" w:name="_Toc26986772"/>
      <w:bookmarkStart w:id="50" w:name="_Toc97192965"/>
      <w:bookmarkStart w:id="51" w:name="_Toc196145306"/>
      <w:bookmarkStart w:id="52" w:name="_Toc26986531"/>
      <w:bookmarkStart w:id="53" w:name="_Toc195113249"/>
      <w:bookmarkStart w:id="54" w:name="_Toc195113278"/>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6C9DDD5FAAB04BAEB275FE4D0AFE463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7163FA4">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504C25E">
      <w:pPr>
        <w:pStyle w:val="56"/>
        <w:ind w:firstLine="420"/>
        <w:rPr>
          <w:rFonts w:ascii="Times New Roman"/>
        </w:rPr>
      </w:pPr>
      <w:r>
        <w:rPr>
          <w:rFonts w:ascii="Times New Roman"/>
        </w:rPr>
        <w:t>JJF1001-2011《通用计量术语及定义》</w:t>
      </w:r>
    </w:p>
    <w:p w14:paraId="2A68CCFD">
      <w:pPr>
        <w:pStyle w:val="56"/>
        <w:ind w:firstLine="420"/>
        <w:rPr>
          <w:rFonts w:ascii="Times New Roman"/>
        </w:rPr>
      </w:pPr>
      <w:r>
        <w:rPr>
          <w:rFonts w:ascii="Times New Roman"/>
        </w:rPr>
        <w:t>JJF1059.1-2012《测量不确定度评定与表示》</w:t>
      </w:r>
    </w:p>
    <w:p w14:paraId="398A58B0">
      <w:pPr>
        <w:pStyle w:val="56"/>
        <w:ind w:firstLine="420"/>
        <w:rPr>
          <w:rFonts w:ascii="Times New Roman"/>
        </w:rPr>
      </w:pPr>
      <w:r>
        <w:rPr>
          <w:rFonts w:ascii="Times New Roman"/>
        </w:rPr>
        <w:t>JJF1071-2010《国家计量校准规范编写规则》</w:t>
      </w:r>
    </w:p>
    <w:p w14:paraId="7F4EFB54">
      <w:pPr>
        <w:pStyle w:val="56"/>
        <w:ind w:firstLine="420"/>
        <w:rPr>
          <w:rFonts w:ascii="Times New Roman"/>
        </w:rPr>
      </w:pPr>
      <w:r>
        <w:rPr>
          <w:rFonts w:ascii="Times New Roman"/>
        </w:rPr>
        <w:t>JJF1951-2021《基于结构光扫描的光学三维测量系统校准规范》</w:t>
      </w:r>
    </w:p>
    <w:p w14:paraId="276B8024">
      <w:pPr>
        <w:pStyle w:val="56"/>
        <w:ind w:firstLine="420"/>
        <w:rPr>
          <w:rFonts w:ascii="Times New Roman"/>
          <w:caps/>
        </w:rPr>
      </w:pPr>
      <w:r>
        <w:rPr>
          <w:rFonts w:ascii="Times New Roman"/>
        </w:rPr>
        <w:t>ISO 10360-13-2021</w:t>
      </w:r>
      <w:r>
        <w:rPr>
          <w:rFonts w:hint="eastAsia" w:ascii="Times New Roman"/>
          <w:caps/>
        </w:rPr>
        <w:t xml:space="preserve"> </w:t>
      </w:r>
      <w:r>
        <w:rPr>
          <w:rFonts w:hint="eastAsia" w:ascii="Times New Roman"/>
        </w:rPr>
        <w:t>G</w:t>
      </w:r>
      <w:r>
        <w:rPr>
          <w:rFonts w:ascii="Times New Roman"/>
        </w:rPr>
        <w:t xml:space="preserve">eometrical product specifications(GPS)acceptance and reverification tests forcoordinate measuring systems (CMS) Part 13: </w:t>
      </w:r>
      <w:r>
        <w:rPr>
          <w:rFonts w:hint="eastAsia" w:ascii="Times New Roman"/>
        </w:rPr>
        <w:t>O</w:t>
      </w:r>
      <w:r>
        <w:rPr>
          <w:rFonts w:ascii="Times New Roman"/>
        </w:rPr>
        <w:t>ptical 3</w:t>
      </w:r>
      <w:r>
        <w:rPr>
          <w:rFonts w:hint="eastAsia" w:ascii="Times New Roman"/>
        </w:rPr>
        <w:t>D</w:t>
      </w:r>
      <w:r>
        <w:rPr>
          <w:rFonts w:ascii="Times New Roman"/>
        </w:rPr>
        <w:t xml:space="preserve"> CMS</w:t>
      </w:r>
    </w:p>
    <w:p w14:paraId="140CB2B0">
      <w:pPr>
        <w:pStyle w:val="104"/>
        <w:spacing w:before="240" w:after="240"/>
      </w:pPr>
      <w:bookmarkStart w:id="55" w:name="_Toc196145307"/>
      <w:bookmarkStart w:id="56" w:name="_Toc196060547"/>
      <w:bookmarkStart w:id="57" w:name="_Toc195113279"/>
      <w:bookmarkStart w:id="58" w:name="_Toc97192966"/>
      <w:bookmarkStart w:id="59" w:name="_Toc195113250"/>
      <w:r>
        <w:rPr>
          <w:rFonts w:hint="eastAsia"/>
          <w:szCs w:val="21"/>
        </w:rPr>
        <w:t>术语和定义</w:t>
      </w:r>
      <w:bookmarkEnd w:id="55"/>
      <w:bookmarkEnd w:id="56"/>
      <w:bookmarkEnd w:id="57"/>
      <w:bookmarkEnd w:id="58"/>
      <w:bookmarkEnd w:id="59"/>
    </w:p>
    <w:sdt>
      <w:sdtPr>
        <w:rPr>
          <w:rFonts w:ascii="Times New Roman"/>
        </w:rPr>
        <w:id w:val="-1909835108"/>
        <w:placeholder>
          <w:docPart w:val="F5B2111ADC024BCC88BCED4D9A99C5A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41890F47">
          <w:pPr>
            <w:pStyle w:val="56"/>
            <w:ind w:firstLine="420"/>
            <w:rPr>
              <w:rFonts w:ascii="Times New Roman"/>
            </w:rPr>
          </w:pPr>
          <w:bookmarkStart w:id="60" w:name="_Toc26986532"/>
          <w:bookmarkEnd w:id="60"/>
          <w:r>
            <w:rPr>
              <w:rFonts w:ascii="Times New Roman"/>
            </w:rPr>
            <w:t>JJF1951-2021《基于结构光扫描的光学三维测量系统校准规范》界定的以及下列术语和定义适用于本文件。</w:t>
          </w:r>
        </w:p>
      </w:sdtContent>
    </w:sdt>
    <w:p w14:paraId="5C4FB4A8">
      <w:pPr>
        <w:pStyle w:val="223"/>
        <w:ind w:left="420" w:hanging="420" w:hangingChars="200"/>
        <w:rPr>
          <w:rFonts w:hint="eastAsia" w:ascii="黑体" w:hAnsi="黑体" w:eastAsia="黑体"/>
        </w:rPr>
      </w:pPr>
      <w:r>
        <w:rPr>
          <w:rFonts w:ascii="黑体" w:hAnsi="黑体" w:eastAsia="黑体"/>
        </w:rPr>
        <w:br w:type="textWrapping"/>
      </w:r>
      <w:r>
        <w:rPr>
          <w:rFonts w:eastAsia="黑体"/>
        </w:rPr>
        <w:t>高动态范围反射率表面</w:t>
      </w:r>
      <w:r>
        <w:rPr>
          <w:rFonts w:hint="eastAsia" w:ascii="黑体" w:hAnsi="黑体" w:eastAsia="黑体"/>
        </w:rPr>
        <w:t xml:space="preserve"> </w:t>
      </w:r>
      <w:r>
        <w:rPr>
          <w:rFonts w:ascii="黑体" w:hAnsi="黑体" w:eastAsia="黑体"/>
        </w:rPr>
        <w:t>High</w:t>
      </w:r>
      <w:r>
        <w:rPr>
          <w:rFonts w:hint="eastAsia" w:ascii="黑体" w:hAnsi="黑体" w:eastAsia="黑体"/>
        </w:rPr>
        <w:t>-dynamic</w:t>
      </w:r>
      <w:r>
        <w:rPr>
          <w:rFonts w:ascii="黑体" w:hAnsi="黑体" w:eastAsia="黑体"/>
        </w:rPr>
        <w:t xml:space="preserve"> range reflectivity surface </w:t>
      </w:r>
    </w:p>
    <w:p w14:paraId="78D268B2">
      <w:pPr>
        <w:pStyle w:val="56"/>
        <w:ind w:firstLine="420"/>
      </w:pPr>
      <w:r>
        <w:t>指在</w:t>
      </w:r>
      <w:r>
        <w:rPr>
          <w:rFonts w:hint="eastAsia"/>
        </w:rPr>
        <w:t>结构光三维测量</w:t>
      </w:r>
      <w:r>
        <w:t>场景中呈现以下</w:t>
      </w:r>
      <w:r>
        <w:rPr>
          <w:rFonts w:hint="eastAsia"/>
        </w:rPr>
        <w:t>反射</w:t>
      </w:r>
      <w:r>
        <w:t>特性的物体表面</w:t>
      </w:r>
      <w:r>
        <w:rPr>
          <w:rFonts w:hint="eastAsia"/>
        </w:rPr>
        <w:t>：</w:t>
      </w:r>
    </w:p>
    <w:p w14:paraId="3B07626F">
      <w:pPr>
        <w:pStyle w:val="56"/>
        <w:ind w:firstLine="420"/>
      </w:pPr>
      <w:r>
        <w:t>入射光在表</w:t>
      </w:r>
      <w:r>
        <w:rPr>
          <w:rFonts w:hint="eastAsia"/>
        </w:rPr>
        <w:t>面局部区域发生镜面高反射，其他区域呈低漫反射特性；</w:t>
      </w:r>
    </w:p>
    <w:p w14:paraId="25581A36">
      <w:pPr>
        <w:pStyle w:val="56"/>
        <w:autoSpaceDE/>
        <w:autoSpaceDN/>
        <w:ind w:firstLine="420"/>
      </w:pPr>
      <w:r>
        <w:rPr>
          <w:rFonts w:hint="eastAsia"/>
        </w:rPr>
        <w:t>相机接收到的</w:t>
      </w:r>
      <w:r>
        <w:t>镜面</w:t>
      </w:r>
      <w:r>
        <w:rPr>
          <w:rFonts w:hint="eastAsia"/>
        </w:rPr>
        <w:t>高</w:t>
      </w:r>
      <w:r>
        <w:t>反射</w:t>
      </w:r>
      <w:r>
        <w:rPr>
          <w:rFonts w:hint="eastAsia"/>
        </w:rPr>
        <w:t>分量与低漫反射分量的比值</w:t>
      </w:r>
      <w:r>
        <w:rPr>
          <w:rFonts w:ascii="Times New Roman"/>
        </w:rPr>
        <w:t>不小于3000：1。</w:t>
      </w:r>
    </w:p>
    <w:p w14:paraId="6C459AE5">
      <w:pPr>
        <w:pStyle w:val="223"/>
        <w:ind w:left="420" w:hanging="420" w:hangingChars="200"/>
        <w:rPr>
          <w:rFonts w:hint="eastAsia" w:ascii="黑体" w:hAnsi="黑体" w:eastAsia="黑体"/>
        </w:rPr>
      </w:pPr>
      <w:r>
        <w:rPr>
          <w:rFonts w:ascii="黑体" w:hAnsi="黑体" w:eastAsia="黑体"/>
          <w:highlight w:val="lightGray"/>
        </w:rPr>
        <w:br w:type="textWrapping"/>
      </w:r>
      <w:r>
        <w:rPr>
          <w:rFonts w:hint="eastAsia" w:ascii="黑体" w:hAnsi="黑体" w:eastAsia="黑体"/>
        </w:rPr>
        <w:t>平面测量完整率 Com</w:t>
      </w:r>
      <w:r>
        <w:rPr>
          <w:rFonts w:ascii="黑体" w:hAnsi="黑体" w:eastAsia="黑体"/>
        </w:rPr>
        <w:t>plete rate of plane measurement</w:t>
      </w:r>
    </w:p>
    <w:p w14:paraId="45543229">
      <w:pPr>
        <w:pStyle w:val="56"/>
        <w:ind w:firstLine="420"/>
        <w:rPr>
          <w:rFonts w:ascii="Times New Roman"/>
          <w:i/>
          <w:iCs/>
          <w:vertAlign w:val="subscript"/>
        </w:rPr>
      </w:pPr>
      <w:r>
        <w:rPr>
          <w:rFonts w:ascii="Times New Roman"/>
          <w:i/>
          <w:iCs/>
        </w:rPr>
        <w:t>Comp</w:t>
      </w:r>
    </w:p>
    <w:p w14:paraId="4A15292F">
      <w:pPr>
        <w:pStyle w:val="56"/>
        <w:ind w:firstLine="420"/>
      </w:pPr>
      <w:r>
        <w:rPr>
          <w:rFonts w:hint="eastAsia"/>
        </w:rPr>
        <w:t>有效点云覆盖面积与目标平面理论面积的比值。</w:t>
      </w:r>
    </w:p>
    <w:p w14:paraId="6F39BF90">
      <w:pPr>
        <w:pStyle w:val="104"/>
        <w:spacing w:before="240" w:after="240"/>
      </w:pPr>
      <w:bookmarkStart w:id="61" w:name="_Toc196060548"/>
      <w:bookmarkStart w:id="62" w:name="_Toc196145308"/>
      <w:r>
        <w:rPr>
          <w:rFonts w:hint="eastAsia"/>
        </w:rPr>
        <w:t>高动态范围反射率球标准器校准法</w:t>
      </w:r>
      <w:bookmarkEnd w:id="61"/>
      <w:bookmarkEnd w:id="62"/>
      <w:bookmarkStart w:id="63" w:name="_Toc195113253"/>
      <w:bookmarkStart w:id="64" w:name="_Toc195113282"/>
    </w:p>
    <w:bookmarkEnd w:id="63"/>
    <w:bookmarkEnd w:id="64"/>
    <w:p w14:paraId="46F9D34E">
      <w:pPr>
        <w:pStyle w:val="105"/>
        <w:spacing w:before="120" w:after="120"/>
      </w:pPr>
      <w:bookmarkStart w:id="65" w:name="_Toc196060549"/>
      <w:bookmarkStart w:id="66" w:name="_Toc196145309"/>
      <w:r>
        <w:rPr>
          <w:rFonts w:hint="eastAsia"/>
        </w:rPr>
        <w:t>校准原理</w:t>
      </w:r>
      <w:bookmarkEnd w:id="65"/>
      <w:bookmarkEnd w:id="66"/>
    </w:p>
    <w:p w14:paraId="78BCA3D1">
      <w:pPr>
        <w:pStyle w:val="65"/>
        <w:keepNext/>
        <w:spacing w:before="120" w:after="120"/>
      </w:pPr>
      <w:r>
        <w:rPr>
          <w:rFonts w:hint="eastAsia"/>
        </w:rPr>
        <w:t>单视角系统</w:t>
      </w:r>
    </w:p>
    <w:p w14:paraId="77E5805C">
      <w:pPr>
        <w:pStyle w:val="56"/>
        <w:autoSpaceDE/>
        <w:autoSpaceDN/>
        <w:ind w:firstLine="420"/>
      </w:pPr>
      <w:r>
        <w:rPr>
          <w:rFonts w:hint="eastAsia"/>
        </w:rPr>
        <w:t>在测量范围内，分别测量钢、碳化硅两种材料的标准球，大致均匀分布的</w:t>
      </w:r>
      <w:r>
        <w:rPr>
          <w:position w:val="-6"/>
        </w:rPr>
        <w:object>
          <v:shape id="_x0000_i1025" o:spt="75" type="#_x0000_t75" style="height:12.45pt;width:23.1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rPr>
        <w:t>个位置安装标准球，总计测量16次，</w:t>
      </w:r>
      <w:r>
        <w:rPr>
          <w:rFonts w:ascii="Times New Roman"/>
        </w:rPr>
        <w:t>参见图</w:t>
      </w:r>
      <w:r>
        <w:rPr>
          <w:rFonts w:hint="eastAsia" w:ascii="Times New Roman"/>
        </w:rPr>
        <w:t>1</w:t>
      </w:r>
      <w:r>
        <w:rPr>
          <w:rFonts w:hint="eastAsia"/>
        </w:rPr>
        <w:t>。测量标准球，得到标准球表面的点云数据。</w:t>
      </w:r>
    </w:p>
    <w:p w14:paraId="3A7A37F1">
      <w:pPr>
        <w:pStyle w:val="56"/>
        <w:ind w:firstLine="420"/>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14:paraId="28501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14:paraId="7DC0EF64">
            <w:pPr>
              <w:keepNext/>
              <w:spacing w:line="360" w:lineRule="auto"/>
              <w:jc w:val="center"/>
              <w:rPr>
                <w:rFonts w:ascii="Times New Roman" w:hAnsi="Times New Roman"/>
              </w:rPr>
            </w:pPr>
            <w:r>
              <w:rPr>
                <w:rFonts w:ascii="Times New Roman" w:hAnsi="Times New Roman"/>
              </w:rPr>
              <w:drawing>
                <wp:inline distT="0" distB="0" distL="0" distR="0">
                  <wp:extent cx="1079500" cy="1087120"/>
                  <wp:effectExtent l="0" t="0" r="635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080000" cy="1087412"/>
                          </a:xfrm>
                          <a:prstGeom prst="rect">
                            <a:avLst/>
                          </a:prstGeom>
                          <a:noFill/>
                          <a:ln>
                            <a:noFill/>
                          </a:ln>
                        </pic:spPr>
                      </pic:pic>
                    </a:graphicData>
                  </a:graphic>
                </wp:inline>
              </w:drawing>
            </w:r>
          </w:p>
          <w:p w14:paraId="6DACBD2C">
            <w:pPr>
              <w:keepNext/>
              <w:spacing w:line="360" w:lineRule="auto"/>
              <w:jc w:val="center"/>
              <w:rPr>
                <w:rFonts w:ascii="Times New Roman" w:hAnsi="Times New Roman"/>
              </w:rPr>
            </w:pPr>
            <w:r>
              <w:rPr>
                <w:rFonts w:ascii="Times New Roman" w:hAnsi="Times New Roman"/>
                <w:sz w:val="18"/>
              </w:rPr>
              <w:t>位置1</w:t>
            </w:r>
          </w:p>
        </w:tc>
        <w:tc>
          <w:tcPr>
            <w:tcW w:w="2074" w:type="dxa"/>
          </w:tcPr>
          <w:p w14:paraId="16E225EA">
            <w:pPr>
              <w:keepNext/>
              <w:spacing w:line="360" w:lineRule="auto"/>
              <w:jc w:val="center"/>
              <w:rPr>
                <w:rFonts w:ascii="Times New Roman" w:hAnsi="Times New Roman"/>
              </w:rPr>
            </w:pPr>
            <w:r>
              <w:rPr>
                <w:rFonts w:ascii="Times New Roman" w:hAnsi="Times New Roman"/>
              </w:rPr>
              <w:drawing>
                <wp:inline distT="0" distB="0" distL="0" distR="0">
                  <wp:extent cx="1079500" cy="1088390"/>
                  <wp:effectExtent l="0" t="0" r="635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80000" cy="1088582"/>
                          </a:xfrm>
                          <a:prstGeom prst="rect">
                            <a:avLst/>
                          </a:prstGeom>
                          <a:noFill/>
                          <a:ln>
                            <a:noFill/>
                          </a:ln>
                        </pic:spPr>
                      </pic:pic>
                    </a:graphicData>
                  </a:graphic>
                </wp:inline>
              </w:drawing>
            </w:r>
          </w:p>
          <w:p w14:paraId="7CD54F41">
            <w:pPr>
              <w:keepNext/>
              <w:spacing w:line="360" w:lineRule="auto"/>
              <w:jc w:val="center"/>
              <w:rPr>
                <w:rFonts w:ascii="Times New Roman" w:hAnsi="Times New Roman"/>
              </w:rPr>
            </w:pPr>
            <w:r>
              <w:rPr>
                <w:rFonts w:ascii="Times New Roman" w:hAnsi="Times New Roman"/>
                <w:sz w:val="18"/>
              </w:rPr>
              <w:t>位置2</w:t>
            </w:r>
          </w:p>
        </w:tc>
        <w:tc>
          <w:tcPr>
            <w:tcW w:w="2074" w:type="dxa"/>
          </w:tcPr>
          <w:p w14:paraId="1E4E7B3C">
            <w:pPr>
              <w:keepNext/>
              <w:spacing w:line="360" w:lineRule="auto"/>
              <w:jc w:val="center"/>
              <w:rPr>
                <w:rFonts w:ascii="Times New Roman" w:hAnsi="Times New Roman"/>
              </w:rPr>
            </w:pPr>
            <w:r>
              <w:rPr>
                <w:rFonts w:ascii="Times New Roman" w:hAnsi="Times New Roman"/>
              </w:rPr>
              <w:drawing>
                <wp:inline distT="0" distB="0" distL="0" distR="0">
                  <wp:extent cx="1079500" cy="1088390"/>
                  <wp:effectExtent l="0" t="0" r="6350" b="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80000" cy="1088582"/>
                          </a:xfrm>
                          <a:prstGeom prst="rect">
                            <a:avLst/>
                          </a:prstGeom>
                          <a:noFill/>
                          <a:ln>
                            <a:noFill/>
                          </a:ln>
                        </pic:spPr>
                      </pic:pic>
                    </a:graphicData>
                  </a:graphic>
                </wp:inline>
              </w:drawing>
            </w:r>
          </w:p>
          <w:p w14:paraId="43DA61C5">
            <w:pPr>
              <w:keepNext/>
              <w:spacing w:line="360" w:lineRule="auto"/>
              <w:jc w:val="center"/>
              <w:rPr>
                <w:rFonts w:ascii="Times New Roman" w:hAnsi="Times New Roman"/>
              </w:rPr>
            </w:pPr>
            <w:r>
              <w:rPr>
                <w:rFonts w:ascii="Times New Roman" w:hAnsi="Times New Roman"/>
                <w:sz w:val="18"/>
              </w:rPr>
              <w:t>位置3</w:t>
            </w:r>
          </w:p>
        </w:tc>
        <w:tc>
          <w:tcPr>
            <w:tcW w:w="2074" w:type="dxa"/>
          </w:tcPr>
          <w:p w14:paraId="2BE5AC84">
            <w:pPr>
              <w:keepNext/>
              <w:spacing w:line="360" w:lineRule="auto"/>
              <w:jc w:val="center"/>
              <w:rPr>
                <w:rFonts w:ascii="Times New Roman" w:hAnsi="Times New Roman"/>
              </w:rPr>
            </w:pPr>
            <w:r>
              <w:rPr>
                <w:rFonts w:ascii="Times New Roman" w:hAnsi="Times New Roman"/>
              </w:rPr>
              <w:drawing>
                <wp:inline distT="0" distB="0" distL="0" distR="0">
                  <wp:extent cx="1079500" cy="1088390"/>
                  <wp:effectExtent l="0" t="0" r="635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80000" cy="1088582"/>
                          </a:xfrm>
                          <a:prstGeom prst="rect">
                            <a:avLst/>
                          </a:prstGeom>
                          <a:noFill/>
                          <a:ln>
                            <a:noFill/>
                          </a:ln>
                        </pic:spPr>
                      </pic:pic>
                    </a:graphicData>
                  </a:graphic>
                </wp:inline>
              </w:drawing>
            </w:r>
          </w:p>
          <w:p w14:paraId="251817A6">
            <w:pPr>
              <w:keepNext/>
              <w:spacing w:line="360" w:lineRule="auto"/>
              <w:jc w:val="center"/>
              <w:rPr>
                <w:rFonts w:ascii="Times New Roman" w:hAnsi="Times New Roman"/>
              </w:rPr>
            </w:pPr>
            <w:r>
              <w:rPr>
                <w:rFonts w:ascii="Times New Roman" w:hAnsi="Times New Roman"/>
                <w:sz w:val="18"/>
              </w:rPr>
              <w:t>位置4</w:t>
            </w:r>
          </w:p>
        </w:tc>
      </w:tr>
      <w:tr w14:paraId="7F4AF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14:paraId="22A9E53A">
            <w:pPr>
              <w:keepNext/>
              <w:spacing w:line="360" w:lineRule="auto"/>
              <w:jc w:val="center"/>
              <w:rPr>
                <w:rFonts w:ascii="Times New Roman" w:hAnsi="Times New Roman"/>
              </w:rPr>
            </w:pPr>
            <w:r>
              <w:rPr>
                <w:rFonts w:ascii="Times New Roman" w:hAnsi="Times New Roman"/>
              </w:rPr>
              <w:drawing>
                <wp:inline distT="0" distB="0" distL="0" distR="0">
                  <wp:extent cx="1079500" cy="1089025"/>
                  <wp:effectExtent l="0" t="0" r="6350" b="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80000" cy="1089622"/>
                          </a:xfrm>
                          <a:prstGeom prst="rect">
                            <a:avLst/>
                          </a:prstGeom>
                          <a:noFill/>
                          <a:ln>
                            <a:noFill/>
                          </a:ln>
                        </pic:spPr>
                      </pic:pic>
                    </a:graphicData>
                  </a:graphic>
                </wp:inline>
              </w:drawing>
            </w:r>
          </w:p>
          <w:p w14:paraId="6ACBB7F0">
            <w:pPr>
              <w:keepNext/>
              <w:spacing w:line="360" w:lineRule="auto"/>
              <w:jc w:val="center"/>
              <w:rPr>
                <w:rFonts w:ascii="Times New Roman" w:hAnsi="Times New Roman"/>
              </w:rPr>
            </w:pPr>
            <w:r>
              <w:rPr>
                <w:rFonts w:ascii="Times New Roman" w:hAnsi="Times New Roman"/>
                <w:sz w:val="18"/>
              </w:rPr>
              <w:t>位置5</w:t>
            </w:r>
          </w:p>
        </w:tc>
        <w:tc>
          <w:tcPr>
            <w:tcW w:w="2074" w:type="dxa"/>
          </w:tcPr>
          <w:p w14:paraId="245C522C">
            <w:pPr>
              <w:keepNext/>
              <w:spacing w:line="360" w:lineRule="auto"/>
              <w:jc w:val="center"/>
              <w:rPr>
                <w:rFonts w:ascii="Times New Roman" w:hAnsi="Times New Roman"/>
              </w:rPr>
            </w:pPr>
            <w:r>
              <w:rPr>
                <w:rFonts w:ascii="Times New Roman" w:hAnsi="Times New Roman"/>
              </w:rPr>
              <w:drawing>
                <wp:inline distT="0" distB="0" distL="0" distR="0">
                  <wp:extent cx="1079500" cy="1089025"/>
                  <wp:effectExtent l="0" t="0" r="6350" b="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080000" cy="1089622"/>
                          </a:xfrm>
                          <a:prstGeom prst="rect">
                            <a:avLst/>
                          </a:prstGeom>
                          <a:noFill/>
                          <a:ln>
                            <a:noFill/>
                          </a:ln>
                        </pic:spPr>
                      </pic:pic>
                    </a:graphicData>
                  </a:graphic>
                </wp:inline>
              </w:drawing>
            </w:r>
          </w:p>
          <w:p w14:paraId="04C92FB0">
            <w:pPr>
              <w:keepNext/>
              <w:spacing w:line="360" w:lineRule="auto"/>
              <w:jc w:val="center"/>
              <w:rPr>
                <w:rFonts w:ascii="Times New Roman" w:hAnsi="Times New Roman"/>
              </w:rPr>
            </w:pPr>
            <w:r>
              <w:rPr>
                <w:rFonts w:ascii="Times New Roman" w:hAnsi="Times New Roman"/>
                <w:sz w:val="18"/>
              </w:rPr>
              <w:t>位置6</w:t>
            </w:r>
          </w:p>
        </w:tc>
        <w:tc>
          <w:tcPr>
            <w:tcW w:w="2074" w:type="dxa"/>
          </w:tcPr>
          <w:p w14:paraId="35373447">
            <w:pPr>
              <w:keepNext/>
              <w:spacing w:line="360" w:lineRule="auto"/>
              <w:jc w:val="center"/>
              <w:rPr>
                <w:rFonts w:ascii="Times New Roman" w:hAnsi="Times New Roman"/>
              </w:rPr>
            </w:pPr>
            <w:r>
              <w:rPr>
                <w:rFonts w:ascii="Times New Roman" w:hAnsi="Times New Roman"/>
              </w:rPr>
              <w:drawing>
                <wp:inline distT="0" distB="0" distL="0" distR="0">
                  <wp:extent cx="1079500" cy="1087120"/>
                  <wp:effectExtent l="0" t="0" r="6350" b="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80000" cy="1087412"/>
                          </a:xfrm>
                          <a:prstGeom prst="rect">
                            <a:avLst/>
                          </a:prstGeom>
                          <a:noFill/>
                          <a:ln>
                            <a:noFill/>
                          </a:ln>
                        </pic:spPr>
                      </pic:pic>
                    </a:graphicData>
                  </a:graphic>
                </wp:inline>
              </w:drawing>
            </w:r>
          </w:p>
          <w:p w14:paraId="21DD4A42">
            <w:pPr>
              <w:keepNext/>
              <w:spacing w:line="360" w:lineRule="auto"/>
              <w:jc w:val="center"/>
              <w:rPr>
                <w:rFonts w:ascii="Times New Roman" w:hAnsi="Times New Roman"/>
              </w:rPr>
            </w:pPr>
            <w:r>
              <w:rPr>
                <w:rFonts w:ascii="Times New Roman" w:hAnsi="Times New Roman"/>
                <w:sz w:val="18"/>
              </w:rPr>
              <w:t>位置7</w:t>
            </w:r>
          </w:p>
        </w:tc>
        <w:tc>
          <w:tcPr>
            <w:tcW w:w="2074" w:type="dxa"/>
          </w:tcPr>
          <w:p w14:paraId="41767DE0">
            <w:pPr>
              <w:keepNext/>
              <w:spacing w:line="360" w:lineRule="auto"/>
              <w:jc w:val="center"/>
              <w:rPr>
                <w:rFonts w:ascii="Times New Roman" w:hAnsi="Times New Roman"/>
              </w:rPr>
            </w:pPr>
            <w:r>
              <w:rPr>
                <w:rFonts w:ascii="Times New Roman" w:hAnsi="Times New Roman"/>
              </w:rPr>
              <w:drawing>
                <wp:inline distT="0" distB="0" distL="0" distR="0">
                  <wp:extent cx="1079500" cy="1085215"/>
                  <wp:effectExtent l="0" t="0" r="6350" b="635"/>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80000" cy="1085461"/>
                          </a:xfrm>
                          <a:prstGeom prst="rect">
                            <a:avLst/>
                          </a:prstGeom>
                          <a:noFill/>
                          <a:ln>
                            <a:noFill/>
                          </a:ln>
                        </pic:spPr>
                      </pic:pic>
                    </a:graphicData>
                  </a:graphic>
                </wp:inline>
              </w:drawing>
            </w:r>
          </w:p>
          <w:p w14:paraId="79C7C12E">
            <w:pPr>
              <w:keepNext/>
              <w:spacing w:line="360" w:lineRule="auto"/>
              <w:jc w:val="center"/>
              <w:rPr>
                <w:rFonts w:ascii="Times New Roman" w:hAnsi="Times New Roman"/>
              </w:rPr>
            </w:pPr>
            <w:r>
              <w:rPr>
                <w:rFonts w:ascii="Times New Roman" w:hAnsi="Times New Roman"/>
                <w:sz w:val="18"/>
              </w:rPr>
              <w:t>位置8</w:t>
            </w:r>
          </w:p>
        </w:tc>
      </w:tr>
    </w:tbl>
    <w:p w14:paraId="7992B6D3">
      <w:pPr>
        <w:pStyle w:val="114"/>
        <w:spacing w:before="120" w:after="120"/>
      </w:pPr>
      <w:r>
        <w:rPr>
          <w:rFonts w:hint="eastAsia"/>
        </w:rPr>
        <w:t>标准球在测量范围内的安装位置示意图</w:t>
      </w:r>
    </w:p>
    <w:p w14:paraId="0C7CC540">
      <w:pPr>
        <w:pStyle w:val="56"/>
        <w:ind w:firstLine="420"/>
      </w:pPr>
      <w:r>
        <w:rPr>
          <w:rFonts w:hint="eastAsia"/>
        </w:rPr>
        <w:t>分别对各测量位置的点云进行计算，得到拟合球。</w:t>
      </w:r>
    </w:p>
    <w:p w14:paraId="29A7E0D3">
      <w:pPr>
        <w:spacing w:line="240" w:lineRule="auto"/>
        <w:ind w:firstLine="420" w:firstLineChars="200"/>
      </w:pPr>
      <w:r>
        <w:rPr>
          <w:rFonts w:hint="eastAsia"/>
        </w:rPr>
        <w:t>所有点到拟合球心距离的最大值</w:t>
      </w:r>
      <w:r>
        <w:rPr>
          <w:rFonts w:hint="eastAsia"/>
          <w:position w:val="-10"/>
        </w:rPr>
        <w:object>
          <v:shape id="_x0000_i1026" o:spt="75" type="#_x0000_t75" style="height:14.75pt;width:18.45pt;" o:ole="t" filled="f" o:preferrelative="t" stroked="f" coordsize="21600,21600">
            <v:path/>
            <v:fill on="f" focussize="0,0"/>
            <v:stroke on="f" joinstyle="miter"/>
            <v:imagedata r:id="rId26" o:title=""/>
            <o:lock v:ext="edit" aspectratio="f"/>
            <w10:wrap type="none"/>
            <w10:anchorlock/>
          </v:shape>
          <o:OLEObject Type="Embed" ProgID="Equation.DSMT4" ShapeID="_x0000_i1026" DrawAspect="Content" ObjectID="_1468075726" r:id="rId25">
            <o:LockedField>false</o:LockedField>
          </o:OLEObject>
        </w:object>
      </w:r>
      <w:r>
        <w:rPr>
          <w:rFonts w:hint="eastAsia"/>
        </w:rPr>
        <w:t>与最小值</w:t>
      </w:r>
      <w:r>
        <w:rPr>
          <w:position w:val="-10"/>
        </w:rPr>
        <w:object>
          <v:shape id="_x0000_i1027" o:spt="75" type="#_x0000_t75" style="height:14.75pt;width:16.15pt;" o:ole="t" filled="f" o:preferrelative="t" stroked="f" coordsize="21600,21600">
            <v:path/>
            <v:fill on="f" focussize="0,0"/>
            <v:stroke on="f" joinstyle="miter"/>
            <v:imagedata r:id="rId28" o:title=""/>
            <o:lock v:ext="edit" aspectratio="t"/>
            <w10:wrap type="none"/>
            <w10:anchorlock/>
          </v:shape>
          <o:OLEObject Type="Embed" ProgID="Equation.DSMT4" ShapeID="_x0000_i1027" DrawAspect="Content" ObjectID="_1468075727" r:id="rId27">
            <o:LockedField>false</o:LockedField>
          </o:OLEObject>
        </w:object>
      </w:r>
      <w:r>
        <w:rPr>
          <w:rFonts w:hint="eastAsia"/>
        </w:rPr>
        <w:t>之差为该位置的球形状探测误差</w:t>
      </w:r>
      <w:r>
        <w:rPr>
          <w:position w:val="-10"/>
        </w:rPr>
        <w:object>
          <v:shape id="_x0000_i1028" o:spt="75" type="#_x0000_t75" style="height:14.75pt;width:15.25pt;" o:ole="t" filled="f" o:preferrelative="t" stroked="f" coordsize="21600,21600">
            <v:path/>
            <v:fill on="f" focussize="0,0"/>
            <v:stroke on="f" joinstyle="miter"/>
            <v:imagedata r:id="rId30" o:title=""/>
            <o:lock v:ext="edit" aspectratio="t"/>
            <w10:wrap type="none"/>
            <w10:anchorlock/>
          </v:shape>
          <o:OLEObject Type="Embed" ProgID="Equation.DSMT4" ShapeID="_x0000_i1028" DrawAspect="Content" ObjectID="_1468075728" r:id="rId29">
            <o:LockedField>false</o:LockedField>
          </o:OLEObject>
        </w:object>
      </w:r>
    </w:p>
    <w:p w14:paraId="2868B773">
      <w:pPr>
        <w:pStyle w:val="113"/>
        <w:rPr>
          <w:rFonts w:hint="eastAsia"/>
        </w:rPr>
      </w:pPr>
      <w:r>
        <w:tab/>
      </w:r>
      <w:r>
        <w:rPr>
          <w:position w:val="-10"/>
        </w:rPr>
        <w:object>
          <v:shape id="_x0000_i1029" o:spt="75" type="#_x0000_t75" style="height:14.75pt;width:66.9pt;" o:ole="t" filled="f" o:preferrelative="t" stroked="f" coordsize="21600,21600">
            <v:path/>
            <v:fill on="f" focussize="0,0"/>
            <v:stroke on="f" joinstyle="miter"/>
            <v:imagedata r:id="rId32" o:title=""/>
            <o:lock v:ext="edit" aspectratio="t"/>
            <w10:wrap type="none"/>
            <w10:anchorlock/>
          </v:shape>
          <o:OLEObject Type="Embed" ProgID="Equation.DSMT4" ShapeID="_x0000_i1029" DrawAspect="Content" ObjectID="_1468075729" r:id="rId31">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5452847A">
      <w:pPr>
        <w:pStyle w:val="55"/>
        <w:ind w:firstLine="420"/>
        <w:rPr>
          <w:rFonts w:ascii="Times New Roman" w:hAnsi="Times New Roman"/>
          <w:szCs w:val="22"/>
        </w:rPr>
      </w:pPr>
      <w:r>
        <w:rPr>
          <w:rFonts w:ascii="Times New Roman" w:hAnsi="Times New Roman"/>
          <w:szCs w:val="22"/>
        </w:rPr>
        <w:t>拟合球的直径</w:t>
      </w:r>
      <w:r>
        <w:rPr>
          <w:position w:val="-10"/>
        </w:rPr>
        <w:object>
          <v:shape id="_x0000_i1030" o:spt="75" type="#_x0000_t75" style="height:14.75pt;width:16.15pt;" o:ole="t" filled="f" o:preferrelative="t" stroked="f" coordsize="21600,21600">
            <v:path/>
            <v:fill on="f" focussize="0,0"/>
            <v:stroke on="f" joinstyle="miter"/>
            <v:imagedata r:id="rId34" o:title=""/>
            <o:lock v:ext="edit" aspectratio="t"/>
            <w10:wrap type="none"/>
            <w10:anchorlock/>
          </v:shape>
          <o:OLEObject Type="Embed" ProgID="Equation.DSMT4" ShapeID="_x0000_i1030" DrawAspect="Content" ObjectID="_1468075730" r:id="rId33">
            <o:LockedField>false</o:LockedField>
          </o:OLEObject>
        </w:object>
      </w:r>
      <w:r>
        <w:rPr>
          <w:rFonts w:ascii="Times New Roman" w:hAnsi="Times New Roman"/>
          <w:szCs w:val="22"/>
        </w:rPr>
        <w:t>与测量球直径参考值</w:t>
      </w:r>
      <w:r>
        <w:rPr>
          <w:position w:val="-10"/>
        </w:rPr>
        <w:object>
          <v:shape id="_x0000_i1031" o:spt="75" type="#_x0000_t75" style="height:14.75pt;width:14.3pt;" o:ole="t" filled="f" o:preferrelative="t" stroked="f" coordsize="21600,21600">
            <v:path/>
            <v:fill on="f" focussize="0,0"/>
            <v:stroke on="f" joinstyle="miter"/>
            <v:imagedata r:id="rId36" o:title=""/>
            <o:lock v:ext="edit" aspectratio="t"/>
            <w10:wrap type="none"/>
            <w10:anchorlock/>
          </v:shape>
          <o:OLEObject Type="Embed" ProgID="Equation.DSMT4" ShapeID="_x0000_i1031" DrawAspect="Content" ObjectID="_1468075731" r:id="rId35">
            <o:LockedField>false</o:LockedField>
          </o:OLEObject>
        </w:object>
      </w:r>
      <w:r>
        <w:rPr>
          <w:rFonts w:ascii="Times New Roman" w:hAnsi="Times New Roman"/>
          <w:szCs w:val="22"/>
        </w:rPr>
        <w:t>之间的差为该</w:t>
      </w:r>
      <w:r>
        <w:rPr>
          <w:rFonts w:hint="eastAsia" w:ascii="Times New Roman" w:hAnsi="Times New Roman"/>
          <w:szCs w:val="22"/>
        </w:rPr>
        <w:t>反射率标准球</w:t>
      </w:r>
      <w:r>
        <w:rPr>
          <w:rFonts w:ascii="Times New Roman" w:hAnsi="Times New Roman"/>
          <w:szCs w:val="22"/>
        </w:rPr>
        <w:t>尺寸探测误差</w:t>
      </w:r>
      <w:r>
        <w:rPr>
          <w:position w:val="-10"/>
        </w:rPr>
        <w:object>
          <v:shape id="_x0000_i1032" o:spt="75" type="#_x0000_t75" style="height:14.75pt;width:16.15pt;" o:ole="t" filled="f" o:preferrelative="t" stroked="f" coordsize="21600,21600">
            <v:path/>
            <v:fill on="f" focussize="0,0"/>
            <v:stroke on="f" joinstyle="miter"/>
            <v:imagedata r:id="rId38" o:title=""/>
            <o:lock v:ext="edit" aspectratio="t"/>
            <w10:wrap type="none"/>
            <w10:anchorlock/>
          </v:shape>
          <o:OLEObject Type="Embed" ProgID="Equation.DSMT4" ShapeID="_x0000_i1032" DrawAspect="Content" ObjectID="_1468075732" r:id="rId37">
            <o:LockedField>false</o:LockedField>
          </o:OLEObject>
        </w:object>
      </w:r>
      <w:r>
        <w:rPr>
          <w:rFonts w:hint="eastAsia" w:ascii="Times New Roman" w:hAnsi="Times New Roman"/>
          <w:szCs w:val="22"/>
        </w:rPr>
        <w:t>：</w:t>
      </w:r>
    </w:p>
    <w:p w14:paraId="7CB12405">
      <w:pPr>
        <w:pStyle w:val="113"/>
        <w:rPr>
          <w:rFonts w:hint="eastAsia"/>
        </w:rPr>
      </w:pPr>
      <w:r>
        <w:tab/>
      </w:r>
      <w:r>
        <w:rPr>
          <w:position w:val="-10"/>
        </w:rPr>
        <w:object>
          <v:shape id="_x0000_i1033" o:spt="75" type="#_x0000_t75" style="height:14.75pt;width:61.4pt;" o:ole="t" filled="f" o:preferrelative="t" stroked="f" coordsize="21600,21600">
            <v:path/>
            <v:fill on="f" focussize="0,0"/>
            <v:stroke on="f" joinstyle="miter"/>
            <v:imagedata r:id="rId40" o:title=""/>
            <o:lock v:ext="edit" aspectratio="t"/>
            <w10:wrap type="none"/>
            <w10:anchorlock/>
          </v:shape>
          <o:OLEObject Type="Embed" ProgID="Equation.DSMT4" ShapeID="_x0000_i1033" DrawAspect="Content" ObjectID="_1468075733" r:id="rId39">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32BFBCA4">
      <w:pPr>
        <w:pStyle w:val="55"/>
        <w:ind w:firstLine="420"/>
      </w:pPr>
      <w:r>
        <w:rPr>
          <w:rFonts w:hint="eastAsia"/>
        </w:rPr>
        <w:t>取各位置中形状探测误差和尺寸探测误差最大者，分别作为</w:t>
      </w:r>
      <w:bookmarkStart w:id="67" w:name="OLE_LINK1"/>
      <w:r>
        <w:rPr>
          <w:rFonts w:hint="eastAsia"/>
        </w:rPr>
        <w:t>球形状探测误差</w:t>
      </w:r>
      <w:r>
        <w:rPr>
          <w:position w:val="-10"/>
        </w:rPr>
        <w:object>
          <v:shape id="_x0000_i1034" o:spt="75" type="#_x0000_t75" style="height:14.75pt;width:12.9pt;" o:ole="t" filled="f" o:preferrelative="t" stroked="f" coordsize="21600,21600">
            <v:path/>
            <v:fill on="f" focussize="0,0"/>
            <v:stroke on="f" joinstyle="miter"/>
            <v:imagedata r:id="rId42" o:title=""/>
            <o:lock v:ext="edit" aspectratio="t"/>
            <w10:wrap type="none"/>
            <w10:anchorlock/>
          </v:shape>
          <o:OLEObject Type="Embed" ProgID="Equation.DSMT4" ShapeID="_x0000_i1034" DrawAspect="Content" ObjectID="_1468075734" r:id="rId41">
            <o:LockedField>false</o:LockedField>
          </o:OLEObject>
        </w:object>
      </w:r>
      <w:r>
        <w:rPr>
          <w:rFonts w:hint="eastAsia"/>
        </w:rPr>
        <w:t>和尺寸探测误差</w:t>
      </w:r>
      <w:r>
        <w:rPr>
          <w:position w:val="-10"/>
        </w:rPr>
        <w:object>
          <v:shape id="_x0000_i1035" o:spt="75" type="#_x0000_t75" style="height:14.75pt;width:11.55pt;" o:ole="t" filled="f" o:preferrelative="t" stroked="f" coordsize="21600,21600">
            <v:path/>
            <v:fill on="f" focussize="0,0"/>
            <v:stroke on="f" joinstyle="miter"/>
            <v:imagedata r:id="rId44" o:title=""/>
            <o:lock v:ext="edit" aspectratio="t"/>
            <w10:wrap type="none"/>
            <w10:anchorlock/>
          </v:shape>
          <o:OLEObject Type="Embed" ProgID="Equation.DSMT4" ShapeID="_x0000_i1035" DrawAspect="Content" ObjectID="_1468075735" r:id="rId43">
            <o:LockedField>false</o:LockedField>
          </o:OLEObject>
        </w:object>
      </w:r>
      <w:bookmarkEnd w:id="67"/>
      <w:r>
        <w:rPr>
          <w:rFonts w:hint="eastAsia"/>
        </w:rPr>
        <w:t>的测量结果：</w:t>
      </w:r>
    </w:p>
    <w:p w14:paraId="00B4BDEB">
      <w:pPr>
        <w:pStyle w:val="113"/>
        <w:rPr>
          <w:rFonts w:hint="eastAsia"/>
        </w:rPr>
      </w:pPr>
      <w:r>
        <w:tab/>
      </w:r>
      <w:r>
        <w:rPr>
          <w:position w:val="-12"/>
        </w:rPr>
        <w:object>
          <v:shape id="_x0000_i1036" o:spt="75" type="#_x0000_t75" style="height:18.45pt;width:72pt;" o:ole="t" filled="f" o:preferrelative="t" stroked="f" coordsize="21600,21600">
            <v:path/>
            <v:fill on="f" focussize="0,0"/>
            <v:stroke on="f" joinstyle="miter"/>
            <v:imagedata r:id="rId46" o:title=""/>
            <o:lock v:ext="edit" aspectratio="t"/>
            <w10:wrap type="none"/>
            <w10:anchorlock/>
          </v:shape>
          <o:OLEObject Type="Embed" ProgID="Equation.DSMT4" ShapeID="_x0000_i1036" DrawAspect="Content" ObjectID="_1468075736" r:id="rId45">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30E687C9">
      <w:pPr>
        <w:pStyle w:val="113"/>
        <w:rPr>
          <w:rFonts w:hint="eastAsia"/>
        </w:rPr>
      </w:pPr>
      <w:r>
        <w:tab/>
      </w:r>
      <w:r>
        <w:rPr>
          <w:position w:val="-14"/>
        </w:rPr>
        <w:object>
          <v:shape id="_x0000_i1037" o:spt="75" type="#_x0000_t75" style="height:19.85pt;width:75.25pt;" o:ole="t" filled="f" o:preferrelative="t" stroked="f" coordsize="21600,21600">
            <v:path/>
            <v:fill on="f" focussize="0,0"/>
            <v:stroke on="f" joinstyle="miter"/>
            <v:imagedata r:id="rId48" o:title=""/>
            <o:lock v:ext="edit" aspectratio="t"/>
            <w10:wrap type="none"/>
            <w10:anchorlock/>
          </v:shape>
          <o:OLEObject Type="Embed" ProgID="Equation.DSMT4" ShapeID="_x0000_i1037" DrawAspect="Content" ObjectID="_1468075737" r:id="rId47">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16F3F254">
      <w:pPr>
        <w:pStyle w:val="55"/>
        <w:ind w:firstLine="420"/>
      </w:pPr>
      <w:r>
        <w:rPr>
          <w:rFonts w:hint="eastAsia"/>
        </w:rPr>
        <w:t>式中：</w:t>
      </w:r>
    </w:p>
    <w:p w14:paraId="27A44A5C">
      <w:pPr>
        <w:pStyle w:val="55"/>
        <w:ind w:firstLine="420"/>
      </w:pPr>
      <w:r>
        <w:rPr>
          <w:position w:val="-6"/>
        </w:rPr>
        <w:object>
          <v:shape id="_x0000_i1038" o:spt="75" type="#_x0000_t75" style="height:12pt;width:5.55pt;" o:ole="t" filled="f" o:preferrelative="t" stroked="f" coordsize="21600,21600">
            <v:path/>
            <v:fill on="f" focussize="0,0"/>
            <v:stroke on="f" joinstyle="miter"/>
            <v:imagedata r:id="rId50" o:title=""/>
            <o:lock v:ext="edit" aspectratio="t"/>
            <w10:wrap type="none"/>
            <w10:anchorlock/>
          </v:shape>
          <o:OLEObject Type="Embed" ProgID="Equation.DSMT4" ShapeID="_x0000_i1038" DrawAspect="Content" ObjectID="_1468075738" r:id="rId49">
            <o:LockedField>false</o:LockedField>
          </o:OLEObject>
        </w:object>
      </w:r>
      <w:r>
        <w:rPr>
          <w:rFonts w:hint="eastAsia"/>
        </w:rPr>
        <w:t>——测量位置</w:t>
      </w:r>
      <w:r>
        <w:t>的序号</w:t>
      </w:r>
      <w:r>
        <w:rPr>
          <w:rFonts w:hint="eastAsia"/>
        </w:rPr>
        <w:t>，</w:t>
      </w:r>
      <w:r>
        <w:rPr>
          <w:position w:val="-8"/>
        </w:rPr>
        <w:object>
          <v:shape id="_x0000_i1039" o:spt="75" type="#_x0000_t75" style="height:14.3pt;width:54.9pt;" o:ole="t" filled="f" o:preferrelative="t" stroked="f" coordsize="21600,21600">
            <v:path/>
            <v:fill on="f" focussize="0,0"/>
            <v:stroke on="f" joinstyle="miter"/>
            <v:imagedata r:id="rId52" o:title=""/>
            <o:lock v:ext="edit" aspectratio="t"/>
            <w10:wrap type="none"/>
            <w10:anchorlock/>
          </v:shape>
          <o:OLEObject Type="Embed" ProgID="Equation.DSMT4" ShapeID="_x0000_i1039" DrawAspect="Content" ObjectID="_1468075739" r:id="rId51">
            <o:LockedField>false</o:LockedField>
          </o:OLEObject>
        </w:object>
      </w:r>
      <w:r>
        <w:rPr>
          <w:rFonts w:hint="eastAsia"/>
        </w:rPr>
        <w:t>。</w:t>
      </w:r>
    </w:p>
    <w:p w14:paraId="64C57257">
      <w:pPr>
        <w:pStyle w:val="65"/>
        <w:spacing w:before="120" w:after="120"/>
      </w:pPr>
      <w:r>
        <w:rPr>
          <w:rFonts w:hint="eastAsia"/>
        </w:rPr>
        <w:t>多视角系统</w:t>
      </w:r>
    </w:p>
    <w:p w14:paraId="05C05DAC">
      <w:pPr>
        <w:spacing w:line="240" w:lineRule="auto"/>
        <w:ind w:firstLine="420" w:firstLineChars="200"/>
        <w:rPr>
          <w:rFonts w:ascii="Times New Roman" w:hAnsi="Times New Roman"/>
        </w:rPr>
      </w:pPr>
      <w:r>
        <w:rPr>
          <w:rFonts w:ascii="Times New Roman" w:hAnsi="Times New Roman"/>
        </w:rPr>
        <w:t>球形状探测误差</w:t>
      </w:r>
      <w:r>
        <w:rPr>
          <w:rFonts w:ascii="Times New Roman" w:hAnsi="Times New Roman"/>
          <w:position w:val="-10"/>
        </w:rPr>
        <w:object>
          <v:shape id="_x0000_i1040" o:spt="75" type="#_x0000_t75" style="height:16.15pt;width:12.45pt;" o:ole="t" filled="f" o:preferrelative="t" stroked="f" coordsize="21600,21600">
            <v:path/>
            <v:fill on="f" focussize="0,0"/>
            <v:stroke on="f" joinstyle="miter"/>
            <v:imagedata r:id="rId54" o:title=""/>
            <o:lock v:ext="edit" aspectratio="t"/>
            <w10:wrap type="none"/>
            <w10:anchorlock/>
          </v:shape>
          <o:OLEObject Type="Embed" ProgID="Equation.DSMT4" ShapeID="_x0000_i1040" DrawAspect="Content" ObjectID="_1468075740" r:id="rId53">
            <o:LockedField>false</o:LockedField>
          </o:OLEObject>
        </w:object>
      </w:r>
      <w:r>
        <w:rPr>
          <w:rFonts w:ascii="Times New Roman" w:hAnsi="Times New Roman"/>
        </w:rPr>
        <w:t>和尺寸探测误差</w:t>
      </w:r>
      <w:r>
        <w:rPr>
          <w:rFonts w:ascii="Times New Roman" w:hAnsi="Times New Roman"/>
          <w:position w:val="-10"/>
        </w:rPr>
        <w:object>
          <v:shape id="_x0000_i1041" o:spt="75" type="#_x0000_t75" style="height:16.15pt;width:12pt;" o:ole="t" filled="f" o:preferrelative="t" stroked="f" coordsize="21600,21600">
            <v:path/>
            <v:fill on="f" focussize="0,0"/>
            <v:stroke on="f" joinstyle="miter"/>
            <v:imagedata r:id="rId56" o:title=""/>
            <o:lock v:ext="edit" aspectratio="t"/>
            <w10:wrap type="none"/>
            <w10:anchorlock/>
          </v:shape>
          <o:OLEObject Type="Embed" ProgID="Equation.DSMT4" ShapeID="_x0000_i1041" DrawAspect="Content" ObjectID="_1468075741" r:id="rId55">
            <o:LockedField>false</o:LockedField>
          </o:OLEObject>
        </w:object>
      </w:r>
      <w:r>
        <w:rPr>
          <w:rFonts w:ascii="Times New Roman" w:hAnsi="Times New Roman"/>
          <w:color w:val="24292F"/>
          <w:shd w:val="clear" w:color="auto" w:fill="FFFFFF"/>
        </w:rPr>
        <w:t>应在整个测量范围8个不同位置分别测量。建议按照图</w:t>
      </w:r>
      <w:r>
        <w:rPr>
          <w:rFonts w:hint="eastAsia" w:ascii="Times New Roman" w:hAnsi="Times New Roman"/>
          <w:color w:val="24292F"/>
          <w:shd w:val="clear" w:color="auto" w:fill="FFFFFF"/>
        </w:rPr>
        <w:t>1</w:t>
      </w:r>
      <w:r>
        <w:rPr>
          <w:rFonts w:ascii="Times New Roman" w:hAnsi="Times New Roman"/>
          <w:color w:val="24292F"/>
          <w:shd w:val="clear" w:color="auto" w:fill="FFFFFF"/>
        </w:rPr>
        <w:t>所示布置和测量标准器。每个被测球体需通过融合多个不同视角的测量数据进行三维拼接，且最终测量结果应至少覆盖每个球体的一个半球区域。</w:t>
      </w:r>
    </w:p>
    <w:p w14:paraId="3FD6340D">
      <w:pPr>
        <w:spacing w:line="240" w:lineRule="auto"/>
        <w:ind w:firstLine="420" w:firstLineChars="200"/>
        <w:rPr>
          <w:rFonts w:ascii="Times New Roman" w:hAnsi="Times New Roman"/>
        </w:rPr>
      </w:pPr>
      <w:r>
        <w:rPr>
          <w:position w:val="-10"/>
        </w:rPr>
        <w:object>
          <v:shape id="_x0000_i1042" o:spt="75" type="#_x0000_t75" style="height:16.15pt;width:12.45pt;" o:ole="t" filled="f" o:preferrelative="t" stroked="f" coordsize="21600,21600">
            <v:path/>
            <v:fill on="f" focussize="0,0"/>
            <v:stroke on="f" joinstyle="miter"/>
            <v:imagedata r:id="rId54" o:title=""/>
            <o:lock v:ext="edit" aspectratio="t"/>
            <w10:wrap type="none"/>
            <w10:anchorlock/>
          </v:shape>
          <o:OLEObject Type="Embed" ProgID="Equation.DSMT4" ShapeID="_x0000_i1042" DrawAspect="Content" ObjectID="_1468075742" r:id="rId57">
            <o:LockedField>false</o:LockedField>
          </o:OLEObject>
        </w:object>
      </w:r>
      <w:r>
        <w:rPr>
          <w:rFonts w:ascii="Times New Roman" w:hAnsi="Times New Roman"/>
        </w:rPr>
        <w:t>和</w:t>
      </w:r>
      <w:r>
        <w:rPr>
          <w:position w:val="-10"/>
        </w:rPr>
        <w:object>
          <v:shape id="_x0000_i1043" o:spt="75" type="#_x0000_t75" style="height:16.15pt;width:12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3" r:id="rId58">
            <o:LockedField>false</o:LockedField>
          </o:OLEObject>
        </w:object>
      </w:r>
      <w:r>
        <w:rPr>
          <w:rFonts w:ascii="Times New Roman" w:hAnsi="Times New Roman"/>
        </w:rPr>
        <w:t>的计算方法见</w:t>
      </w:r>
      <w:r>
        <w:rPr>
          <w:rFonts w:hint="eastAsia" w:ascii="Times New Roman" w:hAnsi="Times New Roman"/>
        </w:rPr>
        <w:t>4</w:t>
      </w:r>
      <w:r>
        <w:rPr>
          <w:rFonts w:ascii="Times New Roman" w:hAnsi="Times New Roman"/>
        </w:rPr>
        <w:t>.1.1，公式</w:t>
      </w:r>
      <w:r>
        <w:rPr>
          <w:rFonts w:hint="eastAsia" w:ascii="Times New Roman" w:hAnsi="Times New Roman"/>
          <w:iCs/>
        </w:rPr>
        <w:t>(1)</w:t>
      </w:r>
      <w:r>
        <w:rPr>
          <w:rFonts w:ascii="Times New Roman" w:hAnsi="Times New Roman"/>
          <w:iCs/>
        </w:rPr>
        <w:t>~公式</w:t>
      </w:r>
      <w:r>
        <w:rPr>
          <w:rFonts w:hint="eastAsia" w:ascii="Times New Roman" w:hAnsi="Times New Roman"/>
        </w:rPr>
        <w:t>(4)</w:t>
      </w:r>
      <w:r>
        <w:rPr>
          <w:rFonts w:ascii="Times New Roman" w:hAnsi="Times New Roman"/>
        </w:rPr>
        <w:t>。</w:t>
      </w:r>
    </w:p>
    <w:p w14:paraId="7C23D251">
      <w:pPr>
        <w:spacing w:line="240" w:lineRule="auto"/>
        <w:ind w:firstLine="420" w:firstLineChars="200"/>
        <w:rPr>
          <w:rFonts w:ascii="Times New Roman" w:hAnsi="Times New Roman"/>
        </w:rPr>
      </w:pPr>
      <w:r>
        <w:rPr>
          <w:rFonts w:hint="eastAsia" w:ascii="Times New Roman" w:hAnsi="Times New Roman"/>
        </w:rPr>
        <w:t>用于高动态范围反射率表面测量的三维测量系统的测量精度由</w:t>
      </w:r>
      <w:r>
        <w:rPr>
          <w:rFonts w:hint="eastAsia"/>
        </w:rPr>
        <w:t>球形状探测误差</w:t>
      </w:r>
      <w:r>
        <w:rPr>
          <w:position w:val="-10"/>
        </w:rPr>
        <w:object>
          <v:shape id="_x0000_i1044" o:spt="75" type="#_x0000_t75" style="height:16.15pt;width:12.45pt;" o:ole="t" filled="f" o:preferrelative="t" stroked="f" coordsize="21600,21600">
            <v:path/>
            <v:fill on="f" focussize="0,0"/>
            <v:stroke on="f" joinstyle="miter"/>
            <v:imagedata r:id="rId61" o:title=""/>
            <o:lock v:ext="edit" aspectratio="t"/>
            <w10:wrap type="none"/>
            <w10:anchorlock/>
          </v:shape>
          <o:OLEObject Type="Embed" ProgID="Equation.DSMT4" ShapeID="_x0000_i1044" DrawAspect="Content" ObjectID="_1468075744" r:id="rId60">
            <o:LockedField>false</o:LockedField>
          </o:OLEObject>
        </w:object>
      </w:r>
      <w:r>
        <w:rPr>
          <w:rFonts w:hint="eastAsia"/>
        </w:rPr>
        <w:t>和尺寸探测误差</w:t>
      </w:r>
      <w:r>
        <w:rPr>
          <w:position w:val="-10"/>
        </w:rPr>
        <w:object>
          <v:shape id="_x0000_i1045" o:spt="75" type="#_x0000_t75" style="height:16.15pt;width:12pt;" o:ole="t" filled="f" o:preferrelative="t" stroked="f" coordsize="21600,21600">
            <v:path/>
            <v:fill on="f" focussize="0,0"/>
            <v:stroke on="f" joinstyle="miter"/>
            <v:imagedata r:id="rId59" o:title=""/>
            <o:lock v:ext="edit" aspectratio="t"/>
            <w10:wrap type="none"/>
            <w10:anchorlock/>
          </v:shape>
          <o:OLEObject Type="Embed" ProgID="Equation.DSMT4" ShapeID="_x0000_i1045" DrawAspect="Content" ObjectID="_1468075745" r:id="rId62">
            <o:LockedField>false</o:LockedField>
          </o:OLEObject>
        </w:object>
      </w:r>
      <w:r>
        <w:rPr>
          <w:rFonts w:hint="eastAsia"/>
        </w:rPr>
        <w:t>表征。</w:t>
      </w:r>
    </w:p>
    <w:p w14:paraId="60275A95">
      <w:pPr>
        <w:pStyle w:val="105"/>
        <w:spacing w:before="120" w:after="120"/>
      </w:pPr>
      <w:bookmarkStart w:id="68" w:name="_Toc196060550"/>
      <w:bookmarkStart w:id="69" w:name="_Toc196145310"/>
      <w:r>
        <w:rPr>
          <w:rFonts w:hint="eastAsia"/>
        </w:rPr>
        <w:t>校准装置</w:t>
      </w:r>
      <w:bookmarkEnd w:id="68"/>
      <w:bookmarkEnd w:id="69"/>
    </w:p>
    <w:p w14:paraId="4053869A">
      <w:pPr>
        <w:pStyle w:val="56"/>
        <w:autoSpaceDE/>
        <w:autoSpaceDN/>
        <w:ind w:firstLine="420"/>
      </w:pPr>
      <w:r>
        <w:rPr>
          <w:rFonts w:hint="eastAsia"/>
        </w:rPr>
        <w:t>高动态范围反射率球标准器校准法校准装置为具有如表1所示技术参数的标准球。</w:t>
      </w:r>
    </w:p>
    <w:p w14:paraId="5E66CFDC">
      <w:pPr>
        <w:pStyle w:val="112"/>
        <w:spacing w:before="120" w:after="120"/>
      </w:pPr>
      <w:r>
        <w:rPr>
          <w:rFonts w:hint="eastAsia"/>
        </w:rPr>
        <w:t>高动态范围反射率球标准器技术要求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7076"/>
      </w:tblGrid>
      <w:tr w14:paraId="5FCE9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tcBorders>
              <w:top w:val="single" w:color="auto" w:sz="8" w:space="0"/>
              <w:bottom w:val="single" w:color="auto" w:sz="8" w:space="0"/>
            </w:tcBorders>
            <w:shd w:val="clear" w:color="auto" w:fill="auto"/>
            <w:vAlign w:val="center"/>
          </w:tcPr>
          <w:p w14:paraId="2941024A">
            <w:pPr>
              <w:spacing w:line="240" w:lineRule="auto"/>
              <w:jc w:val="center"/>
              <w:rPr>
                <w:rFonts w:ascii="Times New Roman" w:hAnsi="Times New Roman"/>
                <w:b/>
                <w:bCs/>
                <w:sz w:val="18"/>
              </w:rPr>
            </w:pPr>
            <w:bookmarkStart w:id="70" w:name="_Hlk196043178"/>
            <w:r>
              <w:rPr>
                <w:rFonts w:ascii="Times New Roman" w:hAnsi="Times New Roman"/>
                <w:b/>
                <w:bCs/>
                <w:sz w:val="18"/>
              </w:rPr>
              <w:t>参数</w:t>
            </w:r>
          </w:p>
        </w:tc>
        <w:tc>
          <w:tcPr>
            <w:tcW w:w="7076" w:type="dxa"/>
            <w:tcBorders>
              <w:top w:val="single" w:color="auto" w:sz="8" w:space="0"/>
              <w:bottom w:val="single" w:color="auto" w:sz="8" w:space="0"/>
            </w:tcBorders>
            <w:shd w:val="clear" w:color="auto" w:fill="auto"/>
            <w:vAlign w:val="center"/>
          </w:tcPr>
          <w:p w14:paraId="3E01A2C8">
            <w:pPr>
              <w:spacing w:line="240" w:lineRule="auto"/>
              <w:jc w:val="center"/>
              <w:rPr>
                <w:rFonts w:ascii="Times New Roman" w:hAnsi="Times New Roman"/>
                <w:b/>
                <w:bCs/>
                <w:sz w:val="18"/>
              </w:rPr>
            </w:pPr>
            <w:r>
              <w:rPr>
                <w:rFonts w:ascii="Times New Roman" w:hAnsi="Times New Roman"/>
                <w:b/>
                <w:bCs/>
                <w:sz w:val="18"/>
              </w:rPr>
              <w:t>技术要求</w:t>
            </w:r>
          </w:p>
        </w:tc>
      </w:tr>
      <w:tr w14:paraId="3867F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tcBorders>
            <w:shd w:val="clear" w:color="auto" w:fill="auto"/>
            <w:vAlign w:val="center"/>
          </w:tcPr>
          <w:p w14:paraId="140D54B8">
            <w:pPr>
              <w:spacing w:line="240" w:lineRule="auto"/>
              <w:jc w:val="center"/>
              <w:rPr>
                <w:rFonts w:ascii="Times New Roman" w:hAnsi="Times New Roman"/>
                <w:sz w:val="18"/>
              </w:rPr>
            </w:pPr>
            <w:r>
              <w:rPr>
                <w:rFonts w:ascii="Times New Roman" w:hAnsi="Times New Roman"/>
                <w:sz w:val="18"/>
              </w:rPr>
              <w:t>材质</w:t>
            </w:r>
          </w:p>
        </w:tc>
        <w:tc>
          <w:tcPr>
            <w:tcW w:w="7076" w:type="dxa"/>
            <w:tcBorders>
              <w:top w:val="single" w:color="auto" w:sz="8" w:space="0"/>
            </w:tcBorders>
            <w:shd w:val="clear" w:color="auto" w:fill="auto"/>
            <w:vAlign w:val="center"/>
          </w:tcPr>
          <w:p w14:paraId="5E77E3B8">
            <w:pPr>
              <w:spacing w:line="240" w:lineRule="auto"/>
              <w:ind w:firstLine="180" w:firstLineChars="100"/>
              <w:rPr>
                <w:rFonts w:ascii="Times New Roman" w:hAnsi="Times New Roman"/>
                <w:sz w:val="18"/>
              </w:rPr>
            </w:pPr>
            <w:r>
              <w:rPr>
                <w:rFonts w:hint="eastAsia" w:ascii="Times New Roman" w:hAnsi="Times New Roman"/>
                <w:sz w:val="18"/>
              </w:rPr>
              <w:t>钢、碳化硅等</w:t>
            </w:r>
          </w:p>
        </w:tc>
      </w:tr>
      <w:tr w14:paraId="5CC4A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06AD2A32">
            <w:pPr>
              <w:spacing w:line="240" w:lineRule="auto"/>
              <w:jc w:val="center"/>
              <w:rPr>
                <w:rFonts w:ascii="Times New Roman" w:hAnsi="Times New Roman"/>
                <w:sz w:val="18"/>
              </w:rPr>
            </w:pPr>
            <w:r>
              <w:rPr>
                <w:rFonts w:ascii="Times New Roman" w:hAnsi="Times New Roman"/>
                <w:sz w:val="18"/>
              </w:rPr>
              <w:t>加工工艺</w:t>
            </w:r>
          </w:p>
        </w:tc>
        <w:tc>
          <w:tcPr>
            <w:tcW w:w="7076" w:type="dxa"/>
            <w:shd w:val="clear" w:color="auto" w:fill="auto"/>
            <w:vAlign w:val="center"/>
          </w:tcPr>
          <w:p w14:paraId="3C3873F1">
            <w:pPr>
              <w:spacing w:line="240" w:lineRule="auto"/>
              <w:ind w:firstLine="180" w:firstLineChars="100"/>
              <w:rPr>
                <w:rFonts w:ascii="Times New Roman" w:hAnsi="Times New Roman"/>
                <w:sz w:val="18"/>
              </w:rPr>
            </w:pPr>
            <w:r>
              <w:rPr>
                <w:rFonts w:ascii="Times New Roman" w:hAnsi="Times New Roman"/>
                <w:sz w:val="18"/>
              </w:rPr>
              <w:t>端铣/研磨，无镀膜</w:t>
            </w:r>
          </w:p>
        </w:tc>
      </w:tr>
      <w:tr w14:paraId="0A0250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7D52E2DD">
            <w:pPr>
              <w:spacing w:line="240" w:lineRule="auto"/>
              <w:jc w:val="center"/>
              <w:rPr>
                <w:rFonts w:ascii="Times New Roman" w:hAnsi="Times New Roman"/>
                <w:sz w:val="18"/>
              </w:rPr>
            </w:pPr>
            <w:r>
              <w:rPr>
                <w:rFonts w:hint="eastAsia" w:ascii="Times New Roman" w:hAnsi="Times New Roman"/>
                <w:sz w:val="18"/>
              </w:rPr>
              <w:t>尺寸大小</w:t>
            </w:r>
          </w:p>
        </w:tc>
        <w:tc>
          <w:tcPr>
            <w:tcW w:w="7076" w:type="dxa"/>
            <w:shd w:val="clear" w:color="auto" w:fill="auto"/>
            <w:vAlign w:val="center"/>
          </w:tcPr>
          <w:p w14:paraId="6FD6442C">
            <w:pPr>
              <w:spacing w:line="240" w:lineRule="auto"/>
              <w:ind w:firstLine="180" w:firstLineChars="100"/>
              <w:rPr>
                <w:rFonts w:ascii="Times New Roman" w:hAnsi="Times New Roman"/>
                <w:sz w:val="18"/>
              </w:rPr>
            </w:pPr>
            <w:r>
              <w:rPr>
                <w:rFonts w:ascii="Times New Roman" w:hAnsi="Times New Roman"/>
                <w:sz w:val="18"/>
              </w:rPr>
              <w:t>直径推荐使用（0.02~ 0.2）</w:t>
            </w:r>
            <w:r>
              <w:rPr>
                <w:rFonts w:ascii="Times New Roman" w:hAnsi="Times New Roman"/>
                <w:i/>
                <w:iCs/>
                <w:sz w:val="18"/>
              </w:rPr>
              <w:t>L</w:t>
            </w:r>
            <w:r>
              <w:rPr>
                <w:rFonts w:ascii="Times New Roman" w:hAnsi="Times New Roman"/>
                <w:sz w:val="18"/>
                <w:vertAlign w:val="subscript"/>
              </w:rPr>
              <w:t>S</w:t>
            </w:r>
          </w:p>
        </w:tc>
      </w:tr>
      <w:tr w14:paraId="41F51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7FFD1433">
            <w:pPr>
              <w:spacing w:line="240" w:lineRule="auto"/>
              <w:jc w:val="center"/>
              <w:rPr>
                <w:rFonts w:ascii="Times New Roman" w:hAnsi="Times New Roman"/>
                <w:sz w:val="18"/>
              </w:rPr>
            </w:pPr>
            <w:r>
              <w:rPr>
                <w:rFonts w:ascii="Times New Roman" w:hAnsi="Times New Roman"/>
                <w:sz w:val="18"/>
              </w:rPr>
              <w:t>表面粗糙度</w:t>
            </w:r>
          </w:p>
        </w:tc>
        <w:tc>
          <w:tcPr>
            <w:tcW w:w="7076" w:type="dxa"/>
            <w:shd w:val="clear" w:color="auto" w:fill="auto"/>
            <w:vAlign w:val="center"/>
          </w:tcPr>
          <w:p w14:paraId="0CAA2A05">
            <w:pPr>
              <w:spacing w:line="240" w:lineRule="auto"/>
              <w:ind w:firstLine="180" w:firstLineChars="100"/>
              <w:rPr>
                <w:rFonts w:ascii="Times New Roman" w:hAnsi="Times New Roman"/>
                <w:sz w:val="18"/>
              </w:rPr>
            </w:pPr>
            <w:r>
              <w:rPr>
                <w:rFonts w:hint="eastAsia" w:ascii="Times New Roman" w:hAnsi="Times New Roman"/>
                <w:sz w:val="18"/>
              </w:rPr>
              <w:t>钢质（Ra 0.1~Ra 0.8）</w:t>
            </w:r>
          </w:p>
          <w:p w14:paraId="2AFCDE9E">
            <w:pPr>
              <w:spacing w:line="240" w:lineRule="auto"/>
              <w:ind w:firstLine="180" w:firstLineChars="100"/>
              <w:rPr>
                <w:rFonts w:ascii="Times New Roman" w:hAnsi="Times New Roman"/>
                <w:sz w:val="18"/>
              </w:rPr>
            </w:pPr>
            <w:r>
              <w:rPr>
                <w:rFonts w:hint="eastAsia" w:ascii="Times New Roman" w:hAnsi="Times New Roman"/>
                <w:sz w:val="18"/>
              </w:rPr>
              <w:t>碳化硅等（Ra 0.1~Ra 0.8）</w:t>
            </w:r>
          </w:p>
        </w:tc>
      </w:tr>
      <w:tr w14:paraId="787FF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719C7F75">
            <w:pPr>
              <w:spacing w:line="240" w:lineRule="auto"/>
              <w:jc w:val="center"/>
              <w:rPr>
                <w:rFonts w:ascii="Times New Roman" w:hAnsi="Times New Roman"/>
                <w:sz w:val="18"/>
              </w:rPr>
            </w:pPr>
            <w:r>
              <w:rPr>
                <w:rFonts w:ascii="Times New Roman" w:hAnsi="Times New Roman"/>
                <w:sz w:val="18"/>
              </w:rPr>
              <w:t>球径误差</w:t>
            </w:r>
          </w:p>
        </w:tc>
        <w:tc>
          <w:tcPr>
            <w:tcW w:w="7076" w:type="dxa"/>
            <w:shd w:val="clear" w:color="auto" w:fill="auto"/>
            <w:vAlign w:val="center"/>
          </w:tcPr>
          <w:p w14:paraId="1BD293E2">
            <w:pPr>
              <w:spacing w:line="240" w:lineRule="auto"/>
              <w:ind w:firstLine="180" w:firstLineChars="100"/>
              <w:rPr>
                <w:rFonts w:ascii="Times New Roman" w:hAnsi="Times New Roman"/>
                <w:sz w:val="18"/>
              </w:rPr>
            </w:pPr>
            <w:r>
              <w:rPr>
                <w:rFonts w:ascii="Times New Roman" w:hAnsi="Times New Roman"/>
                <w:sz w:val="18"/>
              </w:rPr>
              <w:t>优于±2</w:t>
            </w:r>
            <w:r>
              <w:rPr>
                <w:rFonts w:hint="eastAsia" w:ascii="Times New Roman" w:hAnsi="Times New Roman"/>
                <w:sz w:val="18"/>
              </w:rPr>
              <w:t xml:space="preserve"> </w:t>
            </w:r>
            <w:r>
              <w:rPr>
                <w:rFonts w:ascii="Times New Roman" w:hAnsi="Times New Roman"/>
                <w:sz w:val="18"/>
              </w:rPr>
              <w:t>μm</w:t>
            </w:r>
          </w:p>
        </w:tc>
      </w:tr>
      <w:tr w14:paraId="3AA25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2"/>
            <w:shd w:val="clear" w:color="auto" w:fill="auto"/>
            <w:vAlign w:val="center"/>
          </w:tcPr>
          <w:p w14:paraId="14AFE2F4">
            <w:pPr>
              <w:spacing w:line="240" w:lineRule="auto"/>
              <w:ind w:firstLine="180" w:firstLineChars="100"/>
              <w:rPr>
                <w:rFonts w:ascii="Times New Roman" w:hAnsi="Times New Roman"/>
                <w:sz w:val="18"/>
              </w:rPr>
            </w:pPr>
            <w:r>
              <w:rPr>
                <w:rFonts w:ascii="Times New Roman" w:hAnsi="Times New Roman"/>
                <w:i/>
                <w:iCs/>
                <w:sz w:val="18"/>
              </w:rPr>
              <w:t>L</w:t>
            </w:r>
            <w:r>
              <w:rPr>
                <w:rFonts w:ascii="Times New Roman" w:hAnsi="Times New Roman"/>
                <w:sz w:val="18"/>
                <w:vertAlign w:val="subscript"/>
              </w:rPr>
              <w:t>S</w:t>
            </w:r>
            <w:r>
              <w:rPr>
                <w:rFonts w:hint="eastAsia" w:ascii="Times New Roman" w:hAnsi="Times New Roman"/>
                <w:sz w:val="18"/>
              </w:rPr>
              <w:t>—结构光测量系统测量范围立方体的空间对角线长度，由制造厂商给出。</w:t>
            </w:r>
          </w:p>
        </w:tc>
      </w:tr>
      <w:bookmarkEnd w:id="70"/>
    </w:tbl>
    <w:p w14:paraId="2FDDA906">
      <w:pPr>
        <w:pStyle w:val="56"/>
        <w:ind w:firstLine="0" w:firstLineChars="0"/>
      </w:pPr>
    </w:p>
    <w:p w14:paraId="761FD381">
      <w:pPr>
        <w:pStyle w:val="105"/>
        <w:spacing w:before="120" w:after="120"/>
      </w:pPr>
      <w:bookmarkStart w:id="71" w:name="_Toc196145311"/>
      <w:bookmarkStart w:id="72" w:name="_Toc196060551"/>
      <w:r>
        <w:rPr>
          <w:rFonts w:hint="eastAsia"/>
        </w:rPr>
        <w:t>校准条件</w:t>
      </w:r>
      <w:bookmarkEnd w:id="71"/>
      <w:bookmarkEnd w:id="72"/>
    </w:p>
    <w:p w14:paraId="1F6933E1">
      <w:pPr>
        <w:pStyle w:val="65"/>
        <w:spacing w:before="120" w:after="120"/>
      </w:pPr>
      <w:r>
        <w:rPr>
          <w:rFonts w:hint="eastAsia"/>
        </w:rPr>
        <w:t>环境条件</w:t>
      </w:r>
    </w:p>
    <w:p w14:paraId="6FB0EB49">
      <w:pPr>
        <w:pStyle w:val="56"/>
        <w:ind w:firstLine="420"/>
      </w:pPr>
      <w:r>
        <w:rPr>
          <w:rFonts w:hint="eastAsia"/>
        </w:rPr>
        <w:t>环境条件，包括环境的振动，背景光、环境温度及其均匀性、变化率等，应在不确定度评定中进行考虑。同时，不应有影响测量的其他环境因素。</w:t>
      </w:r>
    </w:p>
    <w:p w14:paraId="0AFD4302">
      <w:pPr>
        <w:pStyle w:val="65"/>
        <w:spacing w:before="120" w:after="120"/>
      </w:pPr>
      <w:r>
        <w:rPr>
          <w:rFonts w:hint="eastAsia"/>
        </w:rPr>
        <w:t>校准用软件</w:t>
      </w:r>
    </w:p>
    <w:p w14:paraId="6D25F400">
      <w:pPr>
        <w:pStyle w:val="174"/>
      </w:pPr>
      <w:r>
        <w:rPr>
          <w:rFonts w:hint="eastAsia"/>
        </w:rPr>
        <w:t>校准过程中应使用设备的配套（数据采集和数据处理）软件。</w:t>
      </w:r>
    </w:p>
    <w:p w14:paraId="640E967D">
      <w:pPr>
        <w:pStyle w:val="174"/>
      </w:pPr>
      <w:r>
        <w:rPr>
          <w:rFonts w:hint="eastAsia"/>
        </w:rPr>
        <w:t>设定图像采集处理的点间距、快门时间、稀疏点云参数、剔除率、拟合算法等。</w:t>
      </w:r>
    </w:p>
    <w:p w14:paraId="1EB0283B">
      <w:pPr>
        <w:pStyle w:val="179"/>
      </w:pPr>
    </w:p>
    <w:p w14:paraId="67042BB5">
      <w:pPr>
        <w:pStyle w:val="109"/>
      </w:pPr>
      <w:r>
        <w:rPr>
          <w:rFonts w:hint="eastAsia"/>
        </w:rPr>
        <w:t>需要稀疏点云时，应按照使用说明书进行。如果制造商未规定这些参数，则不考虑稀疏点云。</w:t>
      </w:r>
    </w:p>
    <w:p w14:paraId="260DBB83">
      <w:pPr>
        <w:pStyle w:val="109"/>
      </w:pPr>
      <w:r>
        <w:rPr>
          <w:rFonts w:hint="eastAsia"/>
        </w:rPr>
        <w:t>剔除率设定为</w:t>
      </w:r>
      <w:r>
        <w:rPr>
          <w:rFonts w:ascii="Times New Roman"/>
        </w:rPr>
        <w:t>0.3%。</w:t>
      </w:r>
    </w:p>
    <w:p w14:paraId="3DC45CFE">
      <w:pPr>
        <w:pStyle w:val="109"/>
      </w:pPr>
      <w:r>
        <w:rPr>
          <w:rFonts w:hint="eastAsia"/>
        </w:rPr>
        <w:t>除厂商明确规定外，拟合算法推荐采用最小二乘法。</w:t>
      </w:r>
    </w:p>
    <w:p w14:paraId="36F31023">
      <w:pPr>
        <w:pStyle w:val="105"/>
        <w:spacing w:before="120" w:after="120"/>
      </w:pPr>
      <w:bookmarkStart w:id="73" w:name="_Toc196145312"/>
      <w:bookmarkStart w:id="74" w:name="_Toc196060552"/>
      <w:bookmarkStart w:id="75" w:name="_Toc195113280"/>
      <w:bookmarkStart w:id="76" w:name="_Toc195113251"/>
      <w:r>
        <w:rPr>
          <w:rFonts w:hint="eastAsia"/>
        </w:rPr>
        <w:t>校准方法</w:t>
      </w:r>
      <w:bookmarkEnd w:id="73"/>
      <w:bookmarkEnd w:id="74"/>
    </w:p>
    <w:p w14:paraId="7F6CBFA7">
      <w:pPr>
        <w:pStyle w:val="65"/>
        <w:spacing w:before="120" w:after="120"/>
      </w:pPr>
      <w:r>
        <w:rPr>
          <w:rFonts w:hint="eastAsia"/>
        </w:rPr>
        <w:t>校准前准备</w:t>
      </w:r>
    </w:p>
    <w:p w14:paraId="0A0153FF">
      <w:pPr>
        <w:pStyle w:val="56"/>
        <w:ind w:firstLine="420"/>
      </w:pPr>
      <w:r>
        <w:rPr>
          <w:rFonts w:hint="eastAsia"/>
        </w:rPr>
        <w:t>校准前作如下准备：</w:t>
      </w:r>
    </w:p>
    <w:p w14:paraId="70000785">
      <w:pPr>
        <w:pStyle w:val="56"/>
        <w:numPr>
          <w:ilvl w:val="0"/>
          <w:numId w:val="32"/>
        </w:numPr>
        <w:ind w:firstLineChars="0"/>
      </w:pPr>
      <w:r>
        <w:rPr>
          <w:rFonts w:hint="eastAsia"/>
        </w:rPr>
        <w:t>清洁结构光三维测量系统和标准器，不应有影响校准操作的多余物；</w:t>
      </w:r>
    </w:p>
    <w:p w14:paraId="4C2D67C3">
      <w:pPr>
        <w:pStyle w:val="56"/>
        <w:numPr>
          <w:ilvl w:val="0"/>
          <w:numId w:val="32"/>
        </w:numPr>
        <w:ind w:firstLineChars="0"/>
      </w:pPr>
      <w:r>
        <w:rPr>
          <w:rFonts w:hint="eastAsia"/>
        </w:rPr>
        <w:t>结构光三维测量系统的配置与安装；</w:t>
      </w:r>
    </w:p>
    <w:p w14:paraId="04F273CB">
      <w:pPr>
        <w:pStyle w:val="56"/>
        <w:numPr>
          <w:ilvl w:val="0"/>
          <w:numId w:val="32"/>
        </w:numPr>
        <w:ind w:firstLineChars="0"/>
      </w:pPr>
      <w:r>
        <w:rPr>
          <w:rFonts w:hint="eastAsia"/>
        </w:rPr>
        <w:t>对操作模式进行设置，包括照明的类型和亮度、测量范围、系统用传感器的类型、数量和分布等；</w:t>
      </w:r>
    </w:p>
    <w:p w14:paraId="6450DEF4">
      <w:pPr>
        <w:pStyle w:val="56"/>
        <w:numPr>
          <w:ilvl w:val="0"/>
          <w:numId w:val="32"/>
        </w:numPr>
        <w:ind w:firstLineChars="0"/>
      </w:pPr>
      <w:r>
        <w:rPr>
          <w:rFonts w:hint="eastAsia"/>
        </w:rPr>
        <w:t>结构光三维测量系统标定。</w:t>
      </w:r>
    </w:p>
    <w:p w14:paraId="0D8616ED">
      <w:pPr>
        <w:pStyle w:val="65"/>
        <w:spacing w:before="120" w:after="120"/>
      </w:pPr>
      <w:r>
        <w:rPr>
          <w:rFonts w:hint="eastAsia"/>
        </w:rPr>
        <w:t>校准步骤</w:t>
      </w:r>
    </w:p>
    <w:p w14:paraId="6C2A453B">
      <w:pPr>
        <w:pStyle w:val="56"/>
        <w:ind w:firstLine="420"/>
      </w:pPr>
      <w:r>
        <w:rPr>
          <w:rFonts w:hint="eastAsia"/>
        </w:rPr>
        <w:t>校准步骤如下：</w:t>
      </w:r>
    </w:p>
    <w:p w14:paraId="2CAEDF0C">
      <w:pPr>
        <w:pStyle w:val="56"/>
        <w:numPr>
          <w:ilvl w:val="0"/>
          <w:numId w:val="33"/>
        </w:numPr>
        <w:autoSpaceDE/>
        <w:autoSpaceDN/>
        <w:ind w:left="862" w:hanging="442" w:firstLineChars="0"/>
        <w:rPr>
          <w:rFonts w:ascii="Times New Roman"/>
        </w:rPr>
      </w:pPr>
      <w:r>
        <w:rPr>
          <w:rFonts w:hint="eastAsia"/>
        </w:rPr>
        <w:t>结构光三维测量系统的启动/预热周期；</w:t>
      </w:r>
    </w:p>
    <w:p w14:paraId="4BAF9784">
      <w:pPr>
        <w:pStyle w:val="56"/>
        <w:numPr>
          <w:ilvl w:val="0"/>
          <w:numId w:val="33"/>
        </w:numPr>
        <w:autoSpaceDE/>
        <w:autoSpaceDN/>
        <w:ind w:left="862" w:hanging="442" w:firstLineChars="0"/>
        <w:rPr>
          <w:rFonts w:ascii="Times New Roman"/>
        </w:rPr>
      </w:pPr>
      <w:r>
        <w:rPr>
          <w:rFonts w:ascii="Times New Roman"/>
        </w:rPr>
        <w:t>将</w:t>
      </w:r>
      <w:r>
        <w:rPr>
          <w:rFonts w:hint="eastAsia" w:ascii="Times New Roman"/>
        </w:rPr>
        <w:t>高动态范围反射率标准球</w:t>
      </w:r>
      <w:r>
        <w:rPr>
          <w:rFonts w:ascii="Times New Roman"/>
        </w:rPr>
        <w:t>按图</w:t>
      </w:r>
      <w:r>
        <w:rPr>
          <w:rFonts w:hint="eastAsia" w:ascii="Times New Roman"/>
        </w:rPr>
        <w:t>1</w:t>
      </w:r>
      <w:r>
        <w:rPr>
          <w:rFonts w:ascii="Times New Roman"/>
        </w:rPr>
        <w:t>所示依次摆放</w:t>
      </w:r>
      <w:r>
        <w:rPr>
          <w:rFonts w:hint="eastAsia" w:ascii="Times New Roman"/>
        </w:rPr>
        <w:t>8个</w:t>
      </w:r>
      <w:r>
        <w:rPr>
          <w:rFonts w:ascii="Times New Roman"/>
        </w:rPr>
        <w:t>位置</w:t>
      </w:r>
      <w:r>
        <w:rPr>
          <w:rFonts w:hint="eastAsia" w:ascii="Times New Roman"/>
        </w:rPr>
        <w:t>，钢、碳化硅两种材料的标准球共计摆放16次；</w:t>
      </w:r>
    </w:p>
    <w:p w14:paraId="2A5479B9">
      <w:pPr>
        <w:pStyle w:val="56"/>
        <w:numPr>
          <w:ilvl w:val="0"/>
          <w:numId w:val="33"/>
        </w:numPr>
        <w:autoSpaceDE/>
        <w:autoSpaceDN/>
        <w:ind w:left="862" w:hanging="442" w:firstLineChars="0"/>
        <w:rPr>
          <w:rFonts w:ascii="Times New Roman"/>
        </w:rPr>
      </w:pPr>
      <w:r>
        <w:rPr>
          <w:rFonts w:ascii="Times New Roman"/>
        </w:rPr>
        <w:t>在</w:t>
      </w:r>
      <w:r>
        <w:rPr>
          <w:rFonts w:hint="eastAsia" w:ascii="Times New Roman"/>
        </w:rPr>
        <w:t>每个</w:t>
      </w:r>
      <w:r>
        <w:rPr>
          <w:rFonts w:ascii="Times New Roman"/>
        </w:rPr>
        <w:t>位置</w:t>
      </w:r>
      <w:r>
        <w:rPr>
          <w:rFonts w:hint="eastAsia" w:ascii="Times New Roman"/>
        </w:rPr>
        <w:t>，</w:t>
      </w:r>
      <w:r>
        <w:rPr>
          <w:rFonts w:ascii="Times New Roman"/>
        </w:rPr>
        <w:t>使用被校</w:t>
      </w:r>
      <w:r>
        <w:rPr>
          <w:rFonts w:hint="eastAsia" w:ascii="Times New Roman"/>
        </w:rPr>
        <w:t>结构光</w:t>
      </w:r>
      <w:r>
        <w:rPr>
          <w:rFonts w:ascii="Times New Roman"/>
        </w:rPr>
        <w:t>三维测量系统测量</w:t>
      </w:r>
      <w:r>
        <w:rPr>
          <w:rFonts w:hint="eastAsia" w:ascii="Times New Roman"/>
        </w:rPr>
        <w:t>高动态范围反射率标准球</w:t>
      </w:r>
      <w:r>
        <w:rPr>
          <w:rFonts w:ascii="Times New Roman"/>
        </w:rPr>
        <w:t>；</w:t>
      </w:r>
    </w:p>
    <w:p w14:paraId="784FF1B2">
      <w:pPr>
        <w:pStyle w:val="56"/>
        <w:numPr>
          <w:ilvl w:val="0"/>
          <w:numId w:val="33"/>
        </w:numPr>
        <w:autoSpaceDE/>
        <w:autoSpaceDN/>
        <w:ind w:left="862" w:hanging="442" w:firstLineChars="0"/>
        <w:rPr>
          <w:rFonts w:ascii="Times New Roman"/>
        </w:rPr>
      </w:pPr>
      <w:r>
        <w:rPr>
          <w:rFonts w:ascii="Times New Roman"/>
        </w:rPr>
        <w:t>根据获取的三维数据计算</w:t>
      </w:r>
      <w:r>
        <w:rPr>
          <w:rFonts w:hint="eastAsia" w:ascii="Times New Roman"/>
        </w:rPr>
        <w:t>球形状探测误差和尺寸探测误差</w:t>
      </w:r>
      <w:r>
        <w:rPr>
          <w:rFonts w:ascii="Times New Roman"/>
        </w:rPr>
        <w:t>。</w:t>
      </w:r>
    </w:p>
    <w:bookmarkEnd w:id="75"/>
    <w:bookmarkEnd w:id="76"/>
    <w:p w14:paraId="31354011">
      <w:pPr>
        <w:pStyle w:val="105"/>
        <w:spacing w:before="120" w:after="120"/>
      </w:pPr>
      <w:bookmarkStart w:id="77" w:name="_Toc196060553"/>
      <w:bookmarkStart w:id="78" w:name="_Toc196145313"/>
      <w:r>
        <w:rPr>
          <w:rFonts w:hint="eastAsia"/>
        </w:rPr>
        <w:t>测量不确定度</w:t>
      </w:r>
      <w:bookmarkEnd w:id="77"/>
      <w:bookmarkEnd w:id="78"/>
    </w:p>
    <w:p w14:paraId="39CB9872">
      <w:pPr>
        <w:pStyle w:val="56"/>
        <w:ind w:firstLine="420"/>
      </w:pPr>
      <w:bookmarkStart w:id="79" w:name="_Hlk196058118"/>
      <w:r>
        <w:rPr>
          <w:rFonts w:hint="eastAsia"/>
        </w:rPr>
        <w:t>按要求进行校准时,高动态范围反射率球标准器校准法的测量不确定度优于被测仪器球形状探测误差及球尺寸探测误差的1/3。</w:t>
      </w:r>
      <w:bookmarkEnd w:id="79"/>
      <w:r>
        <w:rPr>
          <w:rFonts w:hint="eastAsia"/>
        </w:rPr>
        <w:t>结构光三维测量系统校准结果的测量不确定度评定示例</w:t>
      </w:r>
      <w:r>
        <w:rPr>
          <w:rFonts w:ascii="Times New Roman"/>
        </w:rPr>
        <w:t>见附录A。</w:t>
      </w:r>
    </w:p>
    <w:p w14:paraId="1A36694D">
      <w:pPr>
        <w:pStyle w:val="104"/>
        <w:spacing w:before="240" w:after="240"/>
      </w:pPr>
      <w:bookmarkStart w:id="80" w:name="_Toc196060554"/>
      <w:bookmarkStart w:id="81" w:name="_Toc196145314"/>
      <w:r>
        <w:rPr>
          <w:rFonts w:hint="eastAsia"/>
        </w:rPr>
        <w:t>高动态范围反射率球板标准器校准法</w:t>
      </w:r>
      <w:bookmarkEnd w:id="80"/>
      <w:bookmarkEnd w:id="81"/>
    </w:p>
    <w:p w14:paraId="34726F69">
      <w:pPr>
        <w:pStyle w:val="105"/>
        <w:spacing w:before="120" w:after="120"/>
      </w:pPr>
      <w:bookmarkStart w:id="82" w:name="_Toc196145315"/>
      <w:bookmarkStart w:id="83" w:name="_Toc196060555"/>
      <w:r>
        <w:rPr>
          <w:rFonts w:hint="eastAsia"/>
        </w:rPr>
        <w:t>校准原理</w:t>
      </w:r>
      <w:bookmarkEnd w:id="82"/>
      <w:bookmarkEnd w:id="83"/>
    </w:p>
    <w:p w14:paraId="3B3A0B76">
      <w:pPr>
        <w:pStyle w:val="65"/>
        <w:keepNext/>
        <w:spacing w:before="120" w:after="120"/>
      </w:pPr>
      <w:r>
        <w:rPr>
          <w:rFonts w:hint="eastAsia"/>
        </w:rPr>
        <w:t>单视角系统</w:t>
      </w:r>
    </w:p>
    <w:p w14:paraId="3CD68DED">
      <w:pPr>
        <w:spacing w:line="240" w:lineRule="auto"/>
        <w:ind w:firstLine="420" w:firstLineChars="200"/>
        <w:rPr>
          <w:rFonts w:ascii="Times New Roman" w:hAnsi="Times New Roman"/>
        </w:rPr>
      </w:pPr>
      <w:r>
        <w:rPr>
          <w:rFonts w:ascii="Times New Roman" w:hAnsi="Times New Roman"/>
        </w:rPr>
        <w:t>将系统的测量范围划分为8个大小接近的栅格，当测量范围为长方体时，划分方式如图</w:t>
      </w:r>
      <w:r>
        <w:rPr>
          <w:rFonts w:hint="eastAsia" w:ascii="Times New Roman" w:hAnsi="Times New Roman"/>
        </w:rPr>
        <w:t>3</w:t>
      </w:r>
      <w:r>
        <w:rPr>
          <w:rFonts w:ascii="Times New Roman" w:hAnsi="Times New Roman"/>
        </w:rPr>
        <w:t>所示。如果测量范围不是长方体，栅格的划分也应该尽可能与长方体的划分相对应。球</w:t>
      </w:r>
      <w:r>
        <w:rPr>
          <w:rFonts w:hint="eastAsia" w:ascii="Times New Roman" w:hAnsi="Times New Roman"/>
        </w:rPr>
        <w:t>板</w:t>
      </w:r>
      <w:r>
        <w:rPr>
          <w:rFonts w:ascii="Times New Roman" w:hAnsi="Times New Roman"/>
        </w:rPr>
        <w:t>每个球的可测量区域应完全位于一个栅格内，且</w:t>
      </w:r>
      <w:r>
        <w:rPr>
          <w:rFonts w:hint="eastAsia" w:ascii="Times New Roman" w:hAnsi="Times New Roman"/>
        </w:rPr>
        <w:t>多</w:t>
      </w:r>
      <w:r>
        <w:rPr>
          <w:rFonts w:ascii="Times New Roman" w:hAnsi="Times New Roman"/>
        </w:rPr>
        <w:t>个球的可测量区域位于不同的栅格内。</w:t>
      </w:r>
    </w:p>
    <w:p w14:paraId="0E0F91B2">
      <w:pPr>
        <w:pStyle w:val="56"/>
        <w:autoSpaceDE/>
        <w:autoSpaceDN/>
        <w:ind w:firstLine="420"/>
        <w:rPr>
          <w:rFonts w:ascii="Times New Roman"/>
        </w:rPr>
      </w:pPr>
      <w:r>
        <w:rPr>
          <w:rFonts w:ascii="Times New Roman"/>
        </w:rPr>
        <w:t>球心距测量示值误差</w:t>
      </w:r>
      <w:r>
        <w:rPr>
          <w:rFonts w:ascii="Times New Roman"/>
          <w:i/>
        </w:rPr>
        <w:t>SD</w:t>
      </w:r>
      <w:r>
        <w:rPr>
          <w:rFonts w:ascii="Times New Roman"/>
        </w:rPr>
        <w:t>应在整个测量范围12个不同位置分别测量，</w:t>
      </w:r>
      <w:r>
        <w:rPr>
          <w:rFonts w:hint="eastAsia" w:ascii="Times New Roman"/>
        </w:rPr>
        <w:t>总测量次数为12次，</w:t>
      </w:r>
      <w:r>
        <w:rPr>
          <w:rFonts w:ascii="Times New Roman"/>
        </w:rPr>
        <w:t>在每个位置，球</w:t>
      </w:r>
      <w:r>
        <w:rPr>
          <w:rFonts w:hint="eastAsia" w:ascii="Times New Roman"/>
        </w:rPr>
        <w:t>板</w:t>
      </w:r>
      <w:r>
        <w:rPr>
          <w:rFonts w:ascii="Times New Roman"/>
        </w:rPr>
        <w:t>上至少一个球应接近传感器测量范围的外边缘（球上至少25%的点到系统测量范围的外边缘的距离不超过测量范围内最长长度的10%，或球心与系统测量范围外边缘之间的距离不超过测量范围内最长长度的10%）。对角线方向的球</w:t>
      </w:r>
      <w:r>
        <w:rPr>
          <w:rFonts w:hint="eastAsia" w:ascii="Times New Roman"/>
        </w:rPr>
        <w:t>板</w:t>
      </w:r>
      <w:r>
        <w:rPr>
          <w:rFonts w:ascii="Times New Roman"/>
        </w:rPr>
        <w:t>摆放应相对于水平面有显著倾斜。建议按照图3所示布置和测量标准器。</w:t>
      </w:r>
    </w:p>
    <w:p w14:paraId="06550FEA">
      <w:pPr>
        <w:pStyle w:val="56"/>
        <w:autoSpaceDE/>
        <w:autoSpaceDN/>
        <w:ind w:firstLine="420"/>
        <w:rPr>
          <w:rFonts w:ascii="Times New Roman"/>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14:paraId="2E82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14:paraId="36DD4286">
            <w:pPr>
              <w:spacing w:line="360" w:lineRule="auto"/>
              <w:jc w:val="center"/>
              <w:rPr>
                <w:rFonts w:ascii="Times New Roman" w:hAnsi="Times New Roman"/>
              </w:rPr>
            </w:pPr>
            <w:r>
              <w:rPr>
                <w:rFonts w:ascii="Times New Roman" w:hAnsi="Times New Roman"/>
              </w:rPr>
              <w:drawing>
                <wp:inline distT="0" distB="0" distL="0" distR="0">
                  <wp:extent cx="1085215" cy="1087120"/>
                  <wp:effectExtent l="0" t="0" r="635" b="0"/>
                  <wp:docPr id="11070921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092120" name="图片 1"/>
                          <pic:cNvPicPr>
                            <a:picLocks noChangeAspect="1"/>
                          </pic:cNvPicPr>
                        </pic:nvPicPr>
                        <pic:blipFill>
                          <a:blip r:embed="rId63"/>
                          <a:stretch>
                            <a:fillRect/>
                          </a:stretch>
                        </pic:blipFill>
                        <pic:spPr>
                          <a:xfrm>
                            <a:off x="0" y="0"/>
                            <a:ext cx="1085371" cy="1087200"/>
                          </a:xfrm>
                          <a:prstGeom prst="rect">
                            <a:avLst/>
                          </a:prstGeom>
                        </pic:spPr>
                      </pic:pic>
                    </a:graphicData>
                  </a:graphic>
                </wp:inline>
              </w:drawing>
            </w:r>
          </w:p>
          <w:p w14:paraId="614DDF87">
            <w:pPr>
              <w:spacing w:line="360" w:lineRule="auto"/>
              <w:jc w:val="center"/>
              <w:rPr>
                <w:rFonts w:ascii="Times New Roman" w:hAnsi="Times New Roman"/>
              </w:rPr>
            </w:pPr>
            <w:r>
              <w:rPr>
                <w:rFonts w:ascii="Times New Roman" w:hAnsi="Times New Roman"/>
                <w:sz w:val="18"/>
              </w:rPr>
              <w:t>位置1</w:t>
            </w:r>
          </w:p>
        </w:tc>
        <w:tc>
          <w:tcPr>
            <w:tcW w:w="2074" w:type="dxa"/>
          </w:tcPr>
          <w:p w14:paraId="03851783">
            <w:pPr>
              <w:spacing w:line="360" w:lineRule="auto"/>
              <w:jc w:val="center"/>
              <w:rPr>
                <w:rFonts w:ascii="Times New Roman" w:hAnsi="Times New Roman"/>
              </w:rPr>
            </w:pPr>
            <w:r>
              <w:rPr>
                <w:rFonts w:ascii="Times New Roman" w:hAnsi="Times New Roman"/>
              </w:rPr>
              <w:drawing>
                <wp:inline distT="0" distB="0" distL="0" distR="0">
                  <wp:extent cx="1125855" cy="1087120"/>
                  <wp:effectExtent l="0" t="0" r="0" b="0"/>
                  <wp:docPr id="20568470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47074" name="图片 1"/>
                          <pic:cNvPicPr>
                            <a:picLocks noChangeAspect="1"/>
                          </pic:cNvPicPr>
                        </pic:nvPicPr>
                        <pic:blipFill>
                          <a:blip r:embed="rId64"/>
                          <a:stretch>
                            <a:fillRect/>
                          </a:stretch>
                        </pic:blipFill>
                        <pic:spPr>
                          <a:xfrm>
                            <a:off x="0" y="0"/>
                            <a:ext cx="1125970" cy="1087200"/>
                          </a:xfrm>
                          <a:prstGeom prst="rect">
                            <a:avLst/>
                          </a:prstGeom>
                        </pic:spPr>
                      </pic:pic>
                    </a:graphicData>
                  </a:graphic>
                </wp:inline>
              </w:drawing>
            </w:r>
          </w:p>
          <w:p w14:paraId="23E3AB6C">
            <w:pPr>
              <w:spacing w:line="360" w:lineRule="auto"/>
              <w:jc w:val="center"/>
              <w:rPr>
                <w:rFonts w:ascii="Times New Roman" w:hAnsi="Times New Roman"/>
              </w:rPr>
            </w:pPr>
            <w:r>
              <w:rPr>
                <w:rFonts w:ascii="Times New Roman" w:hAnsi="Times New Roman"/>
                <w:sz w:val="18"/>
              </w:rPr>
              <w:t>位置2</w:t>
            </w:r>
          </w:p>
        </w:tc>
        <w:tc>
          <w:tcPr>
            <w:tcW w:w="2074" w:type="dxa"/>
          </w:tcPr>
          <w:p w14:paraId="703415DD">
            <w:pPr>
              <w:spacing w:line="360" w:lineRule="auto"/>
              <w:jc w:val="center"/>
              <w:rPr>
                <w:rFonts w:ascii="Times New Roman" w:hAnsi="Times New Roman"/>
              </w:rPr>
            </w:pPr>
            <w:r>
              <w:rPr>
                <w:rFonts w:ascii="Times New Roman" w:hAnsi="Times New Roman"/>
              </w:rPr>
              <w:drawing>
                <wp:inline distT="0" distB="0" distL="0" distR="0">
                  <wp:extent cx="1062990" cy="1087120"/>
                  <wp:effectExtent l="0" t="0" r="3810" b="0"/>
                  <wp:docPr id="16203321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32194" name="图片 1"/>
                          <pic:cNvPicPr>
                            <a:picLocks noChangeAspect="1"/>
                          </pic:cNvPicPr>
                        </pic:nvPicPr>
                        <pic:blipFill>
                          <a:blip r:embed="rId65"/>
                          <a:stretch>
                            <a:fillRect/>
                          </a:stretch>
                        </pic:blipFill>
                        <pic:spPr>
                          <a:xfrm>
                            <a:off x="0" y="0"/>
                            <a:ext cx="1063137" cy="1087200"/>
                          </a:xfrm>
                          <a:prstGeom prst="rect">
                            <a:avLst/>
                          </a:prstGeom>
                        </pic:spPr>
                      </pic:pic>
                    </a:graphicData>
                  </a:graphic>
                </wp:inline>
              </w:drawing>
            </w:r>
          </w:p>
          <w:p w14:paraId="1937B201">
            <w:pPr>
              <w:spacing w:line="360" w:lineRule="auto"/>
              <w:jc w:val="center"/>
              <w:rPr>
                <w:rFonts w:ascii="Times New Roman" w:hAnsi="Times New Roman"/>
              </w:rPr>
            </w:pPr>
            <w:r>
              <w:rPr>
                <w:rFonts w:ascii="Times New Roman" w:hAnsi="Times New Roman"/>
                <w:sz w:val="18"/>
              </w:rPr>
              <w:t>位置3</w:t>
            </w:r>
          </w:p>
        </w:tc>
        <w:tc>
          <w:tcPr>
            <w:tcW w:w="2074" w:type="dxa"/>
          </w:tcPr>
          <w:p w14:paraId="08B48770">
            <w:pPr>
              <w:spacing w:line="360" w:lineRule="auto"/>
              <w:jc w:val="center"/>
              <w:rPr>
                <w:rFonts w:ascii="Times New Roman" w:hAnsi="Times New Roman"/>
              </w:rPr>
            </w:pPr>
            <w:r>
              <w:rPr>
                <w:rFonts w:ascii="Times New Roman" w:hAnsi="Times New Roman"/>
              </w:rPr>
              <w:drawing>
                <wp:inline distT="0" distB="0" distL="0" distR="0">
                  <wp:extent cx="1078230" cy="1087120"/>
                  <wp:effectExtent l="0" t="0" r="7620" b="0"/>
                  <wp:docPr id="19372622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62205" name="图片 1"/>
                          <pic:cNvPicPr>
                            <a:picLocks noChangeAspect="1"/>
                          </pic:cNvPicPr>
                        </pic:nvPicPr>
                        <pic:blipFill>
                          <a:blip r:embed="rId66"/>
                          <a:stretch>
                            <a:fillRect/>
                          </a:stretch>
                        </pic:blipFill>
                        <pic:spPr>
                          <a:xfrm>
                            <a:off x="0" y="0"/>
                            <a:ext cx="1078500" cy="1087200"/>
                          </a:xfrm>
                          <a:prstGeom prst="rect">
                            <a:avLst/>
                          </a:prstGeom>
                        </pic:spPr>
                      </pic:pic>
                    </a:graphicData>
                  </a:graphic>
                </wp:inline>
              </w:drawing>
            </w:r>
          </w:p>
          <w:p w14:paraId="10BC9A93">
            <w:pPr>
              <w:spacing w:line="360" w:lineRule="auto"/>
              <w:jc w:val="center"/>
              <w:rPr>
                <w:rFonts w:ascii="Times New Roman" w:hAnsi="Times New Roman"/>
              </w:rPr>
            </w:pPr>
            <w:r>
              <w:rPr>
                <w:rFonts w:ascii="Times New Roman" w:hAnsi="Times New Roman"/>
                <w:sz w:val="18"/>
              </w:rPr>
              <w:t>位置4</w:t>
            </w:r>
          </w:p>
        </w:tc>
      </w:tr>
      <w:tr w14:paraId="1E26A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14:paraId="6537D088">
            <w:pPr>
              <w:spacing w:line="360" w:lineRule="auto"/>
              <w:jc w:val="center"/>
              <w:rPr>
                <w:rFonts w:ascii="Times New Roman" w:hAnsi="Times New Roman"/>
              </w:rPr>
            </w:pPr>
            <w:r>
              <w:rPr>
                <w:rFonts w:ascii="Times New Roman" w:hAnsi="Times New Roman"/>
              </w:rPr>
              <w:drawing>
                <wp:inline distT="0" distB="0" distL="0" distR="0">
                  <wp:extent cx="1130935" cy="1087120"/>
                  <wp:effectExtent l="0" t="0" r="0" b="0"/>
                  <wp:docPr id="10307821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82162" name="图片 1"/>
                          <pic:cNvPicPr>
                            <a:picLocks noChangeAspect="1"/>
                          </pic:cNvPicPr>
                        </pic:nvPicPr>
                        <pic:blipFill>
                          <a:blip r:embed="rId67"/>
                          <a:stretch>
                            <a:fillRect/>
                          </a:stretch>
                        </pic:blipFill>
                        <pic:spPr>
                          <a:xfrm>
                            <a:off x="0" y="0"/>
                            <a:ext cx="1131473" cy="1087200"/>
                          </a:xfrm>
                          <a:prstGeom prst="rect">
                            <a:avLst/>
                          </a:prstGeom>
                        </pic:spPr>
                      </pic:pic>
                    </a:graphicData>
                  </a:graphic>
                </wp:inline>
              </w:drawing>
            </w:r>
          </w:p>
          <w:p w14:paraId="2947D3F0">
            <w:pPr>
              <w:spacing w:line="360" w:lineRule="auto"/>
              <w:jc w:val="center"/>
              <w:rPr>
                <w:rFonts w:ascii="Times New Roman" w:hAnsi="Times New Roman"/>
              </w:rPr>
            </w:pPr>
            <w:r>
              <w:rPr>
                <w:rFonts w:ascii="Times New Roman" w:hAnsi="Times New Roman"/>
                <w:sz w:val="18"/>
              </w:rPr>
              <w:t>位置5</w:t>
            </w:r>
          </w:p>
        </w:tc>
        <w:tc>
          <w:tcPr>
            <w:tcW w:w="2074" w:type="dxa"/>
          </w:tcPr>
          <w:p w14:paraId="439A728F">
            <w:pPr>
              <w:spacing w:line="360" w:lineRule="auto"/>
              <w:jc w:val="center"/>
              <w:rPr>
                <w:rFonts w:ascii="Times New Roman" w:hAnsi="Times New Roman"/>
              </w:rPr>
            </w:pPr>
            <w:r>
              <w:rPr>
                <w:rFonts w:ascii="Times New Roman" w:hAnsi="Times New Roman"/>
              </w:rPr>
              <w:drawing>
                <wp:inline distT="0" distB="0" distL="0" distR="0">
                  <wp:extent cx="1129665" cy="1087120"/>
                  <wp:effectExtent l="0" t="0" r="0" b="0"/>
                  <wp:docPr id="17926244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24464" name="图片 1"/>
                          <pic:cNvPicPr>
                            <a:picLocks noChangeAspect="1"/>
                          </pic:cNvPicPr>
                        </pic:nvPicPr>
                        <pic:blipFill>
                          <a:blip r:embed="rId68"/>
                          <a:stretch>
                            <a:fillRect/>
                          </a:stretch>
                        </pic:blipFill>
                        <pic:spPr>
                          <a:xfrm>
                            <a:off x="0" y="0"/>
                            <a:ext cx="1129774" cy="1087200"/>
                          </a:xfrm>
                          <a:prstGeom prst="rect">
                            <a:avLst/>
                          </a:prstGeom>
                        </pic:spPr>
                      </pic:pic>
                    </a:graphicData>
                  </a:graphic>
                </wp:inline>
              </w:drawing>
            </w:r>
          </w:p>
          <w:p w14:paraId="17299FA9">
            <w:pPr>
              <w:spacing w:line="360" w:lineRule="auto"/>
              <w:jc w:val="center"/>
              <w:rPr>
                <w:rFonts w:ascii="Times New Roman" w:hAnsi="Times New Roman"/>
              </w:rPr>
            </w:pPr>
            <w:r>
              <w:rPr>
                <w:rFonts w:ascii="Times New Roman" w:hAnsi="Times New Roman"/>
                <w:sz w:val="18"/>
              </w:rPr>
              <w:t>位置6</w:t>
            </w:r>
          </w:p>
        </w:tc>
        <w:tc>
          <w:tcPr>
            <w:tcW w:w="2074" w:type="dxa"/>
          </w:tcPr>
          <w:p w14:paraId="32DEC35A">
            <w:pPr>
              <w:spacing w:line="360" w:lineRule="auto"/>
              <w:jc w:val="center"/>
              <w:rPr>
                <w:rFonts w:ascii="Times New Roman" w:hAnsi="Times New Roman"/>
              </w:rPr>
            </w:pPr>
            <w:r>
              <w:rPr>
                <w:rFonts w:ascii="Times New Roman" w:hAnsi="Times New Roman"/>
              </w:rPr>
              <w:drawing>
                <wp:inline distT="0" distB="0" distL="0" distR="0">
                  <wp:extent cx="1118870" cy="1087120"/>
                  <wp:effectExtent l="0" t="0" r="5080" b="0"/>
                  <wp:docPr id="9173083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08350" name="图片 1"/>
                          <pic:cNvPicPr>
                            <a:picLocks noChangeAspect="1"/>
                          </pic:cNvPicPr>
                        </pic:nvPicPr>
                        <pic:blipFill>
                          <a:blip r:embed="rId69"/>
                          <a:stretch>
                            <a:fillRect/>
                          </a:stretch>
                        </pic:blipFill>
                        <pic:spPr>
                          <a:xfrm>
                            <a:off x="0" y="0"/>
                            <a:ext cx="1119133" cy="1087200"/>
                          </a:xfrm>
                          <a:prstGeom prst="rect">
                            <a:avLst/>
                          </a:prstGeom>
                        </pic:spPr>
                      </pic:pic>
                    </a:graphicData>
                  </a:graphic>
                </wp:inline>
              </w:drawing>
            </w:r>
          </w:p>
          <w:p w14:paraId="26F92CF0">
            <w:pPr>
              <w:spacing w:line="360" w:lineRule="auto"/>
              <w:jc w:val="center"/>
              <w:rPr>
                <w:rFonts w:ascii="Times New Roman" w:hAnsi="Times New Roman"/>
              </w:rPr>
            </w:pPr>
            <w:r>
              <w:rPr>
                <w:rFonts w:ascii="Times New Roman" w:hAnsi="Times New Roman"/>
                <w:sz w:val="18"/>
              </w:rPr>
              <w:t>位置7</w:t>
            </w:r>
          </w:p>
        </w:tc>
        <w:tc>
          <w:tcPr>
            <w:tcW w:w="2074" w:type="dxa"/>
          </w:tcPr>
          <w:p w14:paraId="403DB37A">
            <w:pPr>
              <w:spacing w:line="360" w:lineRule="auto"/>
              <w:jc w:val="center"/>
              <w:rPr>
                <w:rFonts w:ascii="Times New Roman" w:hAnsi="Times New Roman"/>
              </w:rPr>
            </w:pPr>
            <w:r>
              <w:rPr>
                <w:rFonts w:ascii="Times New Roman" w:hAnsi="Times New Roman"/>
              </w:rPr>
              <w:drawing>
                <wp:inline distT="0" distB="0" distL="0" distR="0">
                  <wp:extent cx="1127760" cy="1087120"/>
                  <wp:effectExtent l="0" t="0" r="0" b="0"/>
                  <wp:docPr id="16908284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28434" name="图片 1"/>
                          <pic:cNvPicPr>
                            <a:picLocks noChangeAspect="1"/>
                          </pic:cNvPicPr>
                        </pic:nvPicPr>
                        <pic:blipFill>
                          <a:blip r:embed="rId70"/>
                          <a:stretch>
                            <a:fillRect/>
                          </a:stretch>
                        </pic:blipFill>
                        <pic:spPr>
                          <a:xfrm>
                            <a:off x="0" y="0"/>
                            <a:ext cx="1127799" cy="1087200"/>
                          </a:xfrm>
                          <a:prstGeom prst="rect">
                            <a:avLst/>
                          </a:prstGeom>
                        </pic:spPr>
                      </pic:pic>
                    </a:graphicData>
                  </a:graphic>
                </wp:inline>
              </w:drawing>
            </w:r>
          </w:p>
          <w:p w14:paraId="1A1B2351">
            <w:pPr>
              <w:spacing w:line="360" w:lineRule="auto"/>
              <w:jc w:val="center"/>
              <w:rPr>
                <w:rFonts w:ascii="Times New Roman" w:hAnsi="Times New Roman"/>
              </w:rPr>
            </w:pPr>
            <w:r>
              <w:rPr>
                <w:rFonts w:ascii="Times New Roman" w:hAnsi="Times New Roman"/>
                <w:sz w:val="18"/>
              </w:rPr>
              <w:t>位置8</w:t>
            </w:r>
          </w:p>
        </w:tc>
      </w:tr>
      <w:tr w14:paraId="278BF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14:paraId="4BADDF98">
            <w:pPr>
              <w:spacing w:line="360" w:lineRule="auto"/>
              <w:jc w:val="center"/>
              <w:rPr>
                <w:rFonts w:ascii="Times New Roman" w:hAnsi="Times New Roman"/>
              </w:rPr>
            </w:pPr>
            <w:r>
              <w:rPr>
                <w:rFonts w:ascii="Times New Roman" w:hAnsi="Times New Roman"/>
              </w:rPr>
              <w:drawing>
                <wp:inline distT="0" distB="0" distL="0" distR="0">
                  <wp:extent cx="1099185" cy="1087120"/>
                  <wp:effectExtent l="0" t="0" r="5715" b="0"/>
                  <wp:docPr id="18955375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37563" name="图片 1"/>
                          <pic:cNvPicPr>
                            <a:picLocks noChangeAspect="1"/>
                          </pic:cNvPicPr>
                        </pic:nvPicPr>
                        <pic:blipFill>
                          <a:blip r:embed="rId71"/>
                          <a:stretch>
                            <a:fillRect/>
                          </a:stretch>
                        </pic:blipFill>
                        <pic:spPr>
                          <a:xfrm>
                            <a:off x="0" y="0"/>
                            <a:ext cx="1099645" cy="1087200"/>
                          </a:xfrm>
                          <a:prstGeom prst="rect">
                            <a:avLst/>
                          </a:prstGeom>
                        </pic:spPr>
                      </pic:pic>
                    </a:graphicData>
                  </a:graphic>
                </wp:inline>
              </w:drawing>
            </w:r>
          </w:p>
          <w:p w14:paraId="6867A195">
            <w:pPr>
              <w:spacing w:line="360" w:lineRule="auto"/>
              <w:jc w:val="center"/>
              <w:rPr>
                <w:rFonts w:ascii="Times New Roman" w:hAnsi="Times New Roman"/>
              </w:rPr>
            </w:pPr>
            <w:r>
              <w:rPr>
                <w:rFonts w:ascii="Times New Roman" w:hAnsi="Times New Roman"/>
                <w:sz w:val="18"/>
              </w:rPr>
              <w:t>位置9</w:t>
            </w:r>
          </w:p>
        </w:tc>
        <w:tc>
          <w:tcPr>
            <w:tcW w:w="2074" w:type="dxa"/>
          </w:tcPr>
          <w:p w14:paraId="6AAEC963">
            <w:pPr>
              <w:spacing w:line="360" w:lineRule="auto"/>
              <w:jc w:val="center"/>
              <w:rPr>
                <w:rFonts w:ascii="Times New Roman" w:hAnsi="Times New Roman"/>
              </w:rPr>
            </w:pPr>
            <w:r>
              <w:rPr>
                <w:rFonts w:ascii="Times New Roman" w:hAnsi="Times New Roman"/>
              </w:rPr>
              <w:drawing>
                <wp:inline distT="0" distB="0" distL="0" distR="0">
                  <wp:extent cx="1074420" cy="1087120"/>
                  <wp:effectExtent l="0" t="0" r="0" b="0"/>
                  <wp:docPr id="12825033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03313" name="图片 1"/>
                          <pic:cNvPicPr>
                            <a:picLocks noChangeAspect="1"/>
                          </pic:cNvPicPr>
                        </pic:nvPicPr>
                        <pic:blipFill>
                          <a:blip r:embed="rId72"/>
                          <a:stretch>
                            <a:fillRect/>
                          </a:stretch>
                        </pic:blipFill>
                        <pic:spPr>
                          <a:xfrm>
                            <a:off x="0" y="0"/>
                            <a:ext cx="1074906" cy="1087200"/>
                          </a:xfrm>
                          <a:prstGeom prst="rect">
                            <a:avLst/>
                          </a:prstGeom>
                        </pic:spPr>
                      </pic:pic>
                    </a:graphicData>
                  </a:graphic>
                </wp:inline>
              </w:drawing>
            </w:r>
          </w:p>
          <w:p w14:paraId="4E70C942">
            <w:pPr>
              <w:spacing w:line="360" w:lineRule="auto"/>
              <w:jc w:val="center"/>
              <w:rPr>
                <w:rFonts w:ascii="Times New Roman" w:hAnsi="Times New Roman"/>
              </w:rPr>
            </w:pPr>
            <w:r>
              <w:rPr>
                <w:rFonts w:ascii="Times New Roman" w:hAnsi="Times New Roman"/>
                <w:sz w:val="18"/>
              </w:rPr>
              <w:t>位置10</w:t>
            </w:r>
          </w:p>
        </w:tc>
        <w:tc>
          <w:tcPr>
            <w:tcW w:w="2074" w:type="dxa"/>
          </w:tcPr>
          <w:p w14:paraId="57E5D133">
            <w:pPr>
              <w:spacing w:line="360" w:lineRule="auto"/>
              <w:jc w:val="center"/>
              <w:rPr>
                <w:rFonts w:ascii="Times New Roman" w:hAnsi="Times New Roman"/>
              </w:rPr>
            </w:pPr>
            <w:r>
              <w:rPr>
                <w:rFonts w:ascii="Times New Roman" w:hAnsi="Times New Roman"/>
              </w:rPr>
              <w:drawing>
                <wp:inline distT="0" distB="0" distL="0" distR="0">
                  <wp:extent cx="1092200" cy="1087120"/>
                  <wp:effectExtent l="0" t="0" r="0" b="0"/>
                  <wp:docPr id="3786342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34230" name="图片 1"/>
                          <pic:cNvPicPr>
                            <a:picLocks noChangeAspect="1"/>
                          </pic:cNvPicPr>
                        </pic:nvPicPr>
                        <pic:blipFill>
                          <a:blip r:embed="rId73"/>
                          <a:stretch>
                            <a:fillRect/>
                          </a:stretch>
                        </pic:blipFill>
                        <pic:spPr>
                          <a:xfrm>
                            <a:off x="0" y="0"/>
                            <a:ext cx="1092461" cy="1087200"/>
                          </a:xfrm>
                          <a:prstGeom prst="rect">
                            <a:avLst/>
                          </a:prstGeom>
                        </pic:spPr>
                      </pic:pic>
                    </a:graphicData>
                  </a:graphic>
                </wp:inline>
              </w:drawing>
            </w:r>
          </w:p>
          <w:p w14:paraId="269784C5">
            <w:pPr>
              <w:spacing w:line="360" w:lineRule="auto"/>
              <w:jc w:val="center"/>
              <w:rPr>
                <w:rFonts w:ascii="Times New Roman" w:hAnsi="Times New Roman"/>
              </w:rPr>
            </w:pPr>
            <w:r>
              <w:rPr>
                <w:rFonts w:ascii="Times New Roman" w:hAnsi="Times New Roman"/>
                <w:sz w:val="18"/>
              </w:rPr>
              <w:t>位置11</w:t>
            </w:r>
          </w:p>
        </w:tc>
        <w:tc>
          <w:tcPr>
            <w:tcW w:w="2074" w:type="dxa"/>
          </w:tcPr>
          <w:p w14:paraId="1DCD3AFB">
            <w:pPr>
              <w:spacing w:line="360" w:lineRule="auto"/>
              <w:jc w:val="center"/>
              <w:rPr>
                <w:rFonts w:ascii="Times New Roman" w:hAnsi="Times New Roman"/>
              </w:rPr>
            </w:pPr>
            <w:r>
              <w:rPr>
                <w:rFonts w:ascii="Times New Roman" w:hAnsi="Times New Roman"/>
              </w:rPr>
              <w:drawing>
                <wp:inline distT="0" distB="0" distL="0" distR="0">
                  <wp:extent cx="1083310" cy="1087120"/>
                  <wp:effectExtent l="0" t="0" r="2540" b="0"/>
                  <wp:docPr id="1605099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9919" name="图片 1"/>
                          <pic:cNvPicPr>
                            <a:picLocks noChangeAspect="1"/>
                          </pic:cNvPicPr>
                        </pic:nvPicPr>
                        <pic:blipFill>
                          <a:blip r:embed="rId74"/>
                          <a:stretch>
                            <a:fillRect/>
                          </a:stretch>
                        </pic:blipFill>
                        <pic:spPr>
                          <a:xfrm>
                            <a:off x="0" y="0"/>
                            <a:ext cx="1083677" cy="1087200"/>
                          </a:xfrm>
                          <a:prstGeom prst="rect">
                            <a:avLst/>
                          </a:prstGeom>
                        </pic:spPr>
                      </pic:pic>
                    </a:graphicData>
                  </a:graphic>
                </wp:inline>
              </w:drawing>
            </w:r>
          </w:p>
          <w:p w14:paraId="655C789D">
            <w:pPr>
              <w:spacing w:line="360" w:lineRule="auto"/>
              <w:jc w:val="center"/>
              <w:rPr>
                <w:rFonts w:ascii="Times New Roman" w:hAnsi="Times New Roman"/>
              </w:rPr>
            </w:pPr>
            <w:r>
              <w:rPr>
                <w:rFonts w:ascii="Times New Roman" w:hAnsi="Times New Roman"/>
                <w:sz w:val="18"/>
              </w:rPr>
              <w:t>位置12</w:t>
            </w:r>
          </w:p>
        </w:tc>
      </w:tr>
    </w:tbl>
    <w:p w14:paraId="3FE2FA88">
      <w:pPr>
        <w:pStyle w:val="114"/>
        <w:spacing w:before="120" w:after="120"/>
        <w:rPr>
          <w:rFonts w:ascii="Times New Roman"/>
        </w:rPr>
      </w:pPr>
      <w:r>
        <w:rPr>
          <w:rFonts w:ascii="Times New Roman"/>
        </w:rPr>
        <w:t>球板的推荐排列</w:t>
      </w:r>
    </w:p>
    <w:p w14:paraId="36C7DD83">
      <w:pPr>
        <w:spacing w:line="240" w:lineRule="auto"/>
        <w:ind w:firstLine="420" w:firstLineChars="200"/>
      </w:pPr>
      <w:r>
        <w:t>对</w:t>
      </w:r>
      <w:r>
        <w:rPr>
          <w:rFonts w:ascii="Times New Roman" w:hAnsi="Times New Roman"/>
        </w:rPr>
        <w:t>于所有测量位置，用定半径拟合法，拟合所有球心位置。计算球板在每个位置的所有球之间的球心距，球心距示值误差</w:t>
      </w:r>
      <w:r>
        <w:rPr>
          <w:rFonts w:ascii="Times New Roman" w:hAnsi="Times New Roman"/>
          <w:i/>
          <w:iCs/>
        </w:rPr>
        <w:t>SD</w:t>
      </w:r>
      <w:r>
        <w:rPr>
          <w:rFonts w:ascii="Times New Roman" w:hAnsi="Times New Roman"/>
          <w:i/>
          <w:iCs/>
          <w:vertAlign w:val="subscript"/>
        </w:rPr>
        <w:t>Iij</w:t>
      </w:r>
      <w:r>
        <w:rPr>
          <w:rFonts w:ascii="Times New Roman" w:hAnsi="Times New Roman"/>
        </w:rPr>
        <w:t>，是测量值与被测长度校准值之差。</w:t>
      </w:r>
    </w:p>
    <w:p w14:paraId="2C89C960">
      <w:pPr>
        <w:pStyle w:val="113"/>
        <w:rPr>
          <w:rFonts w:hint="eastAsia"/>
        </w:rPr>
      </w:pPr>
      <w:r>
        <w:tab/>
      </w:r>
      <w:r>
        <w:rPr>
          <w:position w:val="-14"/>
        </w:rPr>
        <w:object>
          <v:shape id="_x0000_i1046" o:spt="75" type="#_x0000_t75" style="height:18.45pt;width:76.6pt;" o:ole="t" filled="f" o:preferrelative="t" stroked="f" coordsize="21600,21600">
            <v:path/>
            <v:fill on="f" focussize="0,0"/>
            <v:stroke on="f" joinstyle="miter"/>
            <v:imagedata r:id="rId76" o:title=""/>
            <o:lock v:ext="edit" aspectratio="t"/>
            <w10:wrap type="none"/>
            <w10:anchorlock/>
          </v:shape>
          <o:OLEObject Type="Embed" ProgID="Equation.DSMT4" ShapeID="_x0000_i1046" DrawAspect="Content" ObjectID="_1468075746" r:id="rId75">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3CFF3919">
      <w:pPr>
        <w:pStyle w:val="55"/>
        <w:ind w:firstLine="420"/>
      </w:pPr>
      <w:r>
        <w:t>取各球示值误差中绝对值最大者，作为球心</w:t>
      </w:r>
      <w:r>
        <w:rPr>
          <w:rFonts w:ascii="Times New Roman" w:hAnsi="Times New Roman"/>
        </w:rPr>
        <w:t>距示值误差</w:t>
      </w:r>
      <w:r>
        <w:rPr>
          <w:rFonts w:ascii="Times New Roman" w:hAnsi="Times New Roman"/>
          <w:i/>
          <w:iCs/>
        </w:rPr>
        <w:t>SD</w:t>
      </w:r>
      <w:r>
        <w:rPr>
          <w:rFonts w:ascii="Times New Roman" w:hAnsi="Times New Roman"/>
          <w:i/>
          <w:iCs/>
          <w:vertAlign w:val="subscript"/>
        </w:rPr>
        <w:t>I</w:t>
      </w:r>
      <w:r>
        <w:rPr>
          <w:rFonts w:ascii="Times New Roman" w:hAnsi="Times New Roman"/>
        </w:rPr>
        <w:t>的测量结果：</w:t>
      </w:r>
    </w:p>
    <w:p w14:paraId="263E4A07">
      <w:pPr>
        <w:pStyle w:val="113"/>
        <w:tabs>
          <w:tab w:val="left" w:pos="3834"/>
        </w:tabs>
        <w:rPr>
          <w:rFonts w:hint="eastAsia"/>
        </w:rPr>
      </w:pPr>
      <w:r>
        <w:tab/>
      </w:r>
      <w:r>
        <w:rPr>
          <w:position w:val="-16"/>
        </w:rPr>
        <w:object>
          <v:shape id="_x0000_i1047" o:spt="75" type="#_x0000_t75" style="height:19.85pt;width:88.6pt;" o:ole="t" filled="f" o:preferrelative="t" stroked="f" coordsize="21600,21600">
            <v:path/>
            <v:fill on="f" focussize="0,0"/>
            <v:stroke on="f" joinstyle="miter"/>
            <v:imagedata r:id="rId78" o:title=""/>
            <o:lock v:ext="edit" aspectratio="t"/>
            <w10:wrap type="none"/>
            <w10:anchorlock/>
          </v:shape>
          <o:OLEObject Type="Embed" ProgID="Equation.DSMT4" ShapeID="_x0000_i1047" DrawAspect="Content" ObjectID="_1468075747" r:id="rId77">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3EAAAF22">
      <w:pPr>
        <w:pStyle w:val="55"/>
        <w:spacing w:line="240" w:lineRule="auto"/>
        <w:ind w:firstLine="420"/>
      </w:pPr>
      <w:r>
        <w:t>取各位置中</w:t>
      </w:r>
      <w:r>
        <w:rPr>
          <w:rFonts w:hint="eastAsia"/>
        </w:rPr>
        <w:t>球心距示值误差</w:t>
      </w:r>
      <w:r>
        <w:t>最大者，作为</w:t>
      </w:r>
      <w:r>
        <w:rPr>
          <w:rFonts w:hint="eastAsia"/>
        </w:rPr>
        <w:t>球</w:t>
      </w:r>
      <w:r>
        <w:rPr>
          <w:rFonts w:ascii="Times New Roman" w:hAnsi="Times New Roman"/>
        </w:rPr>
        <w:t>心距示值误差</w:t>
      </w:r>
      <w:r>
        <w:rPr>
          <w:rFonts w:ascii="Times New Roman" w:hAnsi="Times New Roman"/>
          <w:i/>
          <w:iCs/>
        </w:rPr>
        <w:t>SD</w:t>
      </w:r>
      <w:r>
        <w:rPr>
          <w:rFonts w:ascii="Times New Roman" w:hAnsi="Times New Roman"/>
        </w:rPr>
        <w:t>的测量</w:t>
      </w:r>
      <w:r>
        <w:t>结果</w:t>
      </w:r>
      <w:r>
        <w:rPr>
          <w:rFonts w:hint="eastAsia"/>
        </w:rPr>
        <w:t>：</w:t>
      </w:r>
    </w:p>
    <w:p w14:paraId="350D74DB">
      <w:pPr>
        <w:pStyle w:val="113"/>
        <w:rPr>
          <w:rFonts w:hint="eastAsia"/>
        </w:rPr>
      </w:pPr>
      <w:r>
        <w:tab/>
      </w:r>
      <w:r>
        <w:rPr>
          <w:position w:val="-12"/>
        </w:rPr>
        <w:object>
          <v:shape id="_x0000_i1048" o:spt="75" type="#_x0000_t75" style="height:18.45pt;width:84pt;" o:ole="t" filled="f" o:preferrelative="t" stroked="f" coordsize="21600,21600">
            <v:path/>
            <v:fill on="f" focussize="0,0"/>
            <v:stroke on="f" joinstyle="miter"/>
            <v:imagedata r:id="rId80" o:title=""/>
            <o:lock v:ext="edit" aspectratio="t"/>
            <w10:wrap type="none"/>
            <w10:anchorlock/>
          </v:shape>
          <o:OLEObject Type="Embed" ProgID="Equation.DSMT4" ShapeID="_x0000_i1048" DrawAspect="Content" ObjectID="_1468075748" r:id="rId79">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6048D6AA">
      <w:pPr>
        <w:pStyle w:val="55"/>
        <w:spacing w:line="240" w:lineRule="auto"/>
        <w:ind w:firstLine="420"/>
      </w:pPr>
      <w:r>
        <w:rPr>
          <w:rFonts w:hint="eastAsia"/>
        </w:rPr>
        <w:t>式中：</w:t>
      </w:r>
    </w:p>
    <w:p w14:paraId="6560212E">
      <w:pPr>
        <w:pStyle w:val="55"/>
        <w:spacing w:line="240" w:lineRule="auto"/>
        <w:ind w:firstLine="420"/>
      </w:pPr>
      <w:r>
        <w:rPr>
          <w:rFonts w:ascii="Times New Roman" w:hAnsi="Times New Roman"/>
          <w:i/>
          <w:iCs/>
        </w:rPr>
        <w:t>I</w:t>
      </w:r>
      <w:r>
        <w:rPr>
          <w:rFonts w:hint="eastAsia"/>
        </w:rPr>
        <w:t>——</w:t>
      </w:r>
      <w:r>
        <w:t>测量位置的序号，</w:t>
      </w:r>
      <w:r>
        <w:rPr>
          <w:position w:val="-10"/>
        </w:rPr>
        <w:object>
          <v:shape id="_x0000_i1049" o:spt="75" type="#_x0000_t75" style="height:15.25pt;width:64.6pt;" o:ole="t" filled="f" o:preferrelative="t" stroked="f" coordsize="21600,21600">
            <v:path/>
            <v:fill on="f" focussize="0,0"/>
            <v:stroke on="f" joinstyle="miter"/>
            <v:imagedata r:id="rId82" o:title=""/>
            <o:lock v:ext="edit" aspectratio="t"/>
            <w10:wrap type="none"/>
            <w10:anchorlock/>
          </v:shape>
          <o:OLEObject Type="Embed" ProgID="Equation.DSMT4" ShapeID="_x0000_i1049" DrawAspect="Content" ObjectID="_1468075749" r:id="rId81">
            <o:LockedField>false</o:LockedField>
          </o:OLEObject>
        </w:object>
      </w:r>
      <w:r>
        <w:rPr>
          <w:rFonts w:hint="eastAsia"/>
        </w:rPr>
        <w:t>;</w:t>
      </w:r>
    </w:p>
    <w:p w14:paraId="33E5D15B">
      <w:pPr>
        <w:pStyle w:val="55"/>
        <w:spacing w:line="240" w:lineRule="auto"/>
        <w:ind w:firstLine="420"/>
        <w:rPr>
          <w:rFonts w:ascii="Times New Roman" w:hAnsi="Times New Roman"/>
        </w:rPr>
      </w:pPr>
      <w:r>
        <w:rPr>
          <w:rFonts w:hint="eastAsia" w:ascii="Times New Roman" w:hAnsi="Times New Roman"/>
          <w:i/>
          <w:iCs/>
        </w:rPr>
        <w:t>i</w:t>
      </w:r>
      <w:r>
        <w:rPr>
          <w:rFonts w:hint="eastAsia" w:ascii="Times New Roman" w:hAnsi="Times New Roman"/>
        </w:rPr>
        <w:t xml:space="preserve">, </w:t>
      </w:r>
      <w:r>
        <w:rPr>
          <w:rFonts w:ascii="Times New Roman" w:hAnsi="Times New Roman"/>
          <w:i/>
          <w:iCs/>
        </w:rPr>
        <w:t>j</w:t>
      </w:r>
      <w:r>
        <w:rPr>
          <w:rFonts w:hint="eastAsia"/>
        </w:rPr>
        <w:t>——</w:t>
      </w:r>
      <w:r>
        <w:t>测量球板上球的序号，</w:t>
      </w:r>
      <w:r>
        <w:rPr>
          <w:rFonts w:ascii="Times New Roman" w:hAnsi="Times New Roman"/>
          <w:i/>
          <w:iCs/>
        </w:rPr>
        <w:t>i, j</w:t>
      </w:r>
      <w:r>
        <w:rPr>
          <w:rFonts w:ascii="Times New Roman" w:hAnsi="Times New Roman"/>
        </w:rPr>
        <w:t>=1</w:t>
      </w: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w:t>
      </w:r>
      <w:r>
        <w:rPr>
          <w:rFonts w:hint="eastAsia" w:ascii="Times New Roman" w:hAnsi="Times New Roman"/>
        </w:rPr>
        <w:t>,</w:t>
      </w:r>
      <w:r>
        <w:rPr>
          <w:rFonts w:ascii="Times New Roman" w:hAnsi="Times New Roman"/>
          <w:i/>
          <w:iCs/>
        </w:rPr>
        <w:t>N</w:t>
      </w:r>
      <w:r>
        <w:rPr>
          <w:rFonts w:hint="eastAsia" w:ascii="Times New Roman" w:hAnsi="Times New Roman"/>
          <w:i/>
          <w:iCs/>
        </w:rPr>
        <w:t>；</w:t>
      </w:r>
    </w:p>
    <w:p w14:paraId="187B91F2">
      <w:pPr>
        <w:pStyle w:val="55"/>
        <w:ind w:firstLine="420"/>
      </w:pPr>
      <w:r>
        <w:rPr>
          <w:rFonts w:ascii="Times New Roman" w:hAnsi="Times New Roman"/>
          <w:i/>
          <w:iCs/>
        </w:rPr>
        <w:t>N</w:t>
      </w:r>
      <w:r>
        <w:rPr>
          <w:rFonts w:hint="eastAsia"/>
        </w:rPr>
        <w:t>——</w:t>
      </w:r>
      <w:r>
        <w:t>球板上球的数量。</w:t>
      </w:r>
    </w:p>
    <w:p w14:paraId="579ABED7">
      <w:pPr>
        <w:pStyle w:val="65"/>
        <w:spacing w:before="120" w:after="120"/>
      </w:pPr>
      <w:r>
        <w:rPr>
          <w:rFonts w:hint="eastAsia"/>
        </w:rPr>
        <w:t>多视角系统</w:t>
      </w:r>
    </w:p>
    <w:p w14:paraId="66981459">
      <w:pPr>
        <w:pStyle w:val="56"/>
        <w:autoSpaceDE/>
        <w:autoSpaceDN/>
        <w:ind w:firstLine="420"/>
        <w:rPr>
          <w:rFonts w:ascii="Times New Roman"/>
        </w:rPr>
      </w:pPr>
      <w:r>
        <w:rPr>
          <w:rFonts w:ascii="Times New Roman"/>
        </w:rPr>
        <w:t>球心距测量示值误差</w:t>
      </w:r>
      <w:r>
        <w:rPr>
          <w:rFonts w:ascii="Times New Roman"/>
          <w:i/>
        </w:rPr>
        <w:t>SD</w:t>
      </w:r>
      <w:r>
        <w:rPr>
          <w:rFonts w:ascii="Times New Roman"/>
        </w:rPr>
        <w:t>应在整个测量范围12个不同位置分别测量。建议按照图</w:t>
      </w:r>
      <w:r>
        <w:rPr>
          <w:rFonts w:hint="eastAsia" w:ascii="Times New Roman"/>
        </w:rPr>
        <w:t>2</w:t>
      </w:r>
      <w:r>
        <w:rPr>
          <w:rFonts w:ascii="Times New Roman"/>
        </w:rPr>
        <w:t>所示布置和测量标准器。每个被测球体需通过融合多个不同视角的测量数据进行三维拼接，且最终测量结果应至少覆盖每个球体的一个半球区域。</w:t>
      </w:r>
    </w:p>
    <w:p w14:paraId="735176CA">
      <w:pPr>
        <w:pStyle w:val="56"/>
        <w:autoSpaceDE/>
        <w:autoSpaceDN/>
        <w:ind w:firstLine="420"/>
        <w:rPr>
          <w:rFonts w:ascii="Times New Roman"/>
        </w:rPr>
      </w:pPr>
      <w:r>
        <w:rPr>
          <w:rFonts w:ascii="Times New Roman"/>
          <w:i/>
        </w:rPr>
        <w:t>SD</w:t>
      </w:r>
      <w:r>
        <w:rPr>
          <w:rFonts w:ascii="Times New Roman"/>
        </w:rPr>
        <w:t>的计算方法见</w:t>
      </w:r>
      <w:r>
        <w:rPr>
          <w:rFonts w:hint="eastAsia" w:ascii="Times New Roman"/>
        </w:rPr>
        <w:t>5</w:t>
      </w:r>
      <w:r>
        <w:rPr>
          <w:rFonts w:ascii="Times New Roman"/>
        </w:rPr>
        <w:t>.</w:t>
      </w:r>
      <w:r>
        <w:rPr>
          <w:rFonts w:hint="eastAsia" w:ascii="Times New Roman"/>
        </w:rPr>
        <w:t>1</w:t>
      </w:r>
      <w:r>
        <w:rPr>
          <w:rFonts w:ascii="Times New Roman"/>
        </w:rPr>
        <w:t>.1，公式</w:t>
      </w:r>
      <w:r>
        <w:rPr>
          <w:rFonts w:hint="eastAsia" w:ascii="Times New Roman"/>
          <w:iCs/>
        </w:rPr>
        <w:t>(5)</w:t>
      </w:r>
      <w:r>
        <w:rPr>
          <w:rFonts w:ascii="Times New Roman"/>
          <w:iCs/>
        </w:rPr>
        <w:t>~公式</w:t>
      </w:r>
      <w:r>
        <w:rPr>
          <w:rFonts w:hint="eastAsia" w:ascii="Times New Roman"/>
        </w:rPr>
        <w:t>(7)</w:t>
      </w:r>
      <w:r>
        <w:rPr>
          <w:rFonts w:ascii="Times New Roman"/>
        </w:rPr>
        <w:t>。</w:t>
      </w:r>
    </w:p>
    <w:p w14:paraId="2D072B8A">
      <w:pPr>
        <w:spacing w:line="240" w:lineRule="auto"/>
        <w:ind w:firstLine="420" w:firstLineChars="200"/>
        <w:rPr>
          <w:rFonts w:ascii="Times New Roman" w:hAnsi="Times New Roman"/>
        </w:rPr>
      </w:pPr>
      <w:r>
        <w:rPr>
          <w:rFonts w:hint="eastAsia" w:ascii="Times New Roman" w:hAnsi="Times New Roman"/>
        </w:rPr>
        <w:t>用于高动态范围反射率表面测量的三维测量系统的测量精度由</w:t>
      </w:r>
      <w:r>
        <w:rPr>
          <w:rFonts w:hint="eastAsia"/>
        </w:rPr>
        <w:t>球心距测量示值误差</w:t>
      </w:r>
      <w:r>
        <w:rPr>
          <w:position w:val="-6"/>
        </w:rPr>
        <w:object>
          <v:shape id="_x0000_i1050" o:spt="75" type="#_x0000_t75" style="height:12.45pt;width:17.1pt;" o:ole="t" filled="f" o:preferrelative="t" stroked="f" coordsize="21600,21600">
            <v:path/>
            <v:fill on="f" focussize="0,0"/>
            <v:stroke on="f" joinstyle="miter"/>
            <v:imagedata r:id="rId84" o:title=""/>
            <o:lock v:ext="edit" aspectratio="t"/>
            <w10:wrap type="none"/>
            <w10:anchorlock/>
          </v:shape>
          <o:OLEObject Type="Embed" ProgID="Equation.DSMT4" ShapeID="_x0000_i1050" DrawAspect="Content" ObjectID="_1468075750" r:id="rId83">
            <o:LockedField>false</o:LockedField>
          </o:OLEObject>
        </w:object>
      </w:r>
      <w:r>
        <w:rPr>
          <w:rFonts w:hint="eastAsia"/>
        </w:rPr>
        <w:t>表征。</w:t>
      </w:r>
    </w:p>
    <w:p w14:paraId="2EB54F41">
      <w:pPr>
        <w:pStyle w:val="105"/>
        <w:spacing w:before="120" w:after="120"/>
      </w:pPr>
      <w:bookmarkStart w:id="84" w:name="_Toc196145316"/>
      <w:bookmarkStart w:id="85" w:name="_Toc196060556"/>
      <w:r>
        <w:rPr>
          <w:rFonts w:hint="eastAsia"/>
        </w:rPr>
        <w:t>校准装置</w:t>
      </w:r>
      <w:bookmarkEnd w:id="84"/>
      <w:bookmarkEnd w:id="85"/>
    </w:p>
    <w:p w14:paraId="0222D616">
      <w:pPr>
        <w:pStyle w:val="56"/>
        <w:autoSpaceDE/>
        <w:autoSpaceDN/>
        <w:ind w:firstLine="420"/>
      </w:pPr>
      <w:r>
        <w:rPr>
          <w:rFonts w:hint="eastAsia"/>
        </w:rPr>
        <w:t>高动态范围反射率球板标准器校准法校准装置为具有如表2所示技术参数的标准球板。</w:t>
      </w:r>
    </w:p>
    <w:p w14:paraId="296228A6">
      <w:pPr>
        <w:pStyle w:val="112"/>
        <w:spacing w:before="120" w:after="120"/>
      </w:pPr>
      <w:r>
        <w:rPr>
          <w:rFonts w:hint="eastAsia"/>
        </w:rPr>
        <w:t>球板标准器技术要求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7076"/>
      </w:tblGrid>
      <w:tr w14:paraId="74A2FB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tcBorders>
              <w:top w:val="single" w:color="auto" w:sz="8" w:space="0"/>
              <w:bottom w:val="single" w:color="auto" w:sz="8" w:space="0"/>
            </w:tcBorders>
            <w:shd w:val="clear" w:color="auto" w:fill="auto"/>
            <w:vAlign w:val="center"/>
          </w:tcPr>
          <w:p w14:paraId="35BE2D2A">
            <w:pPr>
              <w:spacing w:line="240" w:lineRule="auto"/>
              <w:jc w:val="center"/>
              <w:rPr>
                <w:rFonts w:ascii="Times New Roman" w:hAnsi="Times New Roman"/>
                <w:b/>
                <w:bCs/>
                <w:sz w:val="18"/>
              </w:rPr>
            </w:pPr>
            <w:r>
              <w:rPr>
                <w:rFonts w:ascii="Times New Roman" w:hAnsi="Times New Roman"/>
                <w:b/>
                <w:bCs/>
                <w:sz w:val="18"/>
              </w:rPr>
              <w:t>参数</w:t>
            </w:r>
          </w:p>
        </w:tc>
        <w:tc>
          <w:tcPr>
            <w:tcW w:w="7076" w:type="dxa"/>
            <w:tcBorders>
              <w:top w:val="single" w:color="auto" w:sz="8" w:space="0"/>
              <w:bottom w:val="single" w:color="auto" w:sz="8" w:space="0"/>
            </w:tcBorders>
            <w:shd w:val="clear" w:color="auto" w:fill="auto"/>
            <w:vAlign w:val="center"/>
          </w:tcPr>
          <w:p w14:paraId="5BD77B53">
            <w:pPr>
              <w:spacing w:line="240" w:lineRule="auto"/>
              <w:jc w:val="center"/>
              <w:rPr>
                <w:rFonts w:ascii="Times New Roman" w:hAnsi="Times New Roman"/>
                <w:b/>
                <w:bCs/>
                <w:sz w:val="18"/>
              </w:rPr>
            </w:pPr>
            <w:r>
              <w:rPr>
                <w:rFonts w:ascii="Times New Roman" w:hAnsi="Times New Roman"/>
                <w:b/>
                <w:bCs/>
                <w:sz w:val="18"/>
              </w:rPr>
              <w:t>技术要求</w:t>
            </w:r>
          </w:p>
        </w:tc>
      </w:tr>
      <w:tr w14:paraId="015F2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tcBorders>
            <w:shd w:val="clear" w:color="auto" w:fill="auto"/>
            <w:vAlign w:val="center"/>
          </w:tcPr>
          <w:p w14:paraId="2B98B58D">
            <w:pPr>
              <w:spacing w:line="240" w:lineRule="auto"/>
              <w:jc w:val="center"/>
              <w:rPr>
                <w:rFonts w:ascii="Times New Roman" w:hAnsi="Times New Roman"/>
                <w:sz w:val="18"/>
              </w:rPr>
            </w:pPr>
            <w:r>
              <w:rPr>
                <w:rFonts w:ascii="Times New Roman" w:hAnsi="Times New Roman"/>
                <w:sz w:val="18"/>
              </w:rPr>
              <w:t>材质</w:t>
            </w:r>
          </w:p>
        </w:tc>
        <w:tc>
          <w:tcPr>
            <w:tcW w:w="7076" w:type="dxa"/>
            <w:tcBorders>
              <w:top w:val="single" w:color="auto" w:sz="8" w:space="0"/>
            </w:tcBorders>
            <w:shd w:val="clear" w:color="auto" w:fill="auto"/>
            <w:vAlign w:val="center"/>
          </w:tcPr>
          <w:p w14:paraId="4E10A5A6">
            <w:pPr>
              <w:spacing w:line="240" w:lineRule="auto"/>
              <w:ind w:firstLine="180" w:firstLineChars="100"/>
              <w:rPr>
                <w:rFonts w:ascii="Times New Roman" w:hAnsi="Times New Roman"/>
                <w:sz w:val="18"/>
              </w:rPr>
            </w:pPr>
            <w:r>
              <w:rPr>
                <w:rFonts w:hint="eastAsia" w:ascii="Times New Roman" w:hAnsi="Times New Roman"/>
                <w:sz w:val="18"/>
              </w:rPr>
              <w:t>标准球：钢、碳化硅等</w:t>
            </w:r>
          </w:p>
          <w:p w14:paraId="1C79A297">
            <w:pPr>
              <w:spacing w:line="240" w:lineRule="auto"/>
              <w:ind w:firstLine="180" w:firstLineChars="100"/>
              <w:rPr>
                <w:rFonts w:ascii="Times New Roman" w:hAnsi="Times New Roman"/>
                <w:sz w:val="18"/>
              </w:rPr>
            </w:pPr>
            <w:r>
              <w:rPr>
                <w:rFonts w:hint="eastAsia" w:ascii="Times New Roman" w:hAnsi="Times New Roman"/>
                <w:sz w:val="18"/>
              </w:rPr>
              <w:t>基板：陶瓷、碳纤维等</w:t>
            </w:r>
          </w:p>
        </w:tc>
      </w:tr>
      <w:tr w14:paraId="16C349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3BAC629D">
            <w:pPr>
              <w:spacing w:line="240" w:lineRule="auto"/>
              <w:jc w:val="center"/>
              <w:rPr>
                <w:rFonts w:ascii="Times New Roman" w:hAnsi="Times New Roman"/>
                <w:sz w:val="18"/>
              </w:rPr>
            </w:pPr>
            <w:r>
              <w:rPr>
                <w:rFonts w:ascii="Times New Roman" w:hAnsi="Times New Roman"/>
                <w:sz w:val="18"/>
              </w:rPr>
              <w:t>加工工艺</w:t>
            </w:r>
          </w:p>
        </w:tc>
        <w:tc>
          <w:tcPr>
            <w:tcW w:w="7076" w:type="dxa"/>
            <w:shd w:val="clear" w:color="auto" w:fill="auto"/>
            <w:vAlign w:val="center"/>
          </w:tcPr>
          <w:p w14:paraId="5F4FE2F9">
            <w:pPr>
              <w:spacing w:line="240" w:lineRule="auto"/>
              <w:ind w:firstLine="180" w:firstLineChars="100"/>
              <w:rPr>
                <w:rFonts w:ascii="Times New Roman" w:hAnsi="Times New Roman"/>
                <w:sz w:val="18"/>
              </w:rPr>
            </w:pPr>
            <w:r>
              <w:rPr>
                <w:rFonts w:ascii="Times New Roman" w:hAnsi="Times New Roman"/>
                <w:sz w:val="18"/>
              </w:rPr>
              <w:t>端铣/研磨，无镀膜</w:t>
            </w:r>
          </w:p>
        </w:tc>
      </w:tr>
      <w:tr w14:paraId="6AF5B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403667B9">
            <w:pPr>
              <w:spacing w:line="240" w:lineRule="auto"/>
              <w:jc w:val="center"/>
              <w:rPr>
                <w:rFonts w:ascii="Times New Roman" w:hAnsi="Times New Roman"/>
                <w:sz w:val="18"/>
              </w:rPr>
            </w:pPr>
            <w:r>
              <w:rPr>
                <w:rFonts w:hint="eastAsia" w:ascii="Times New Roman" w:hAnsi="Times New Roman"/>
                <w:sz w:val="18"/>
              </w:rPr>
              <w:t>尺寸大小</w:t>
            </w:r>
          </w:p>
        </w:tc>
        <w:tc>
          <w:tcPr>
            <w:tcW w:w="7076" w:type="dxa"/>
            <w:shd w:val="clear" w:color="auto" w:fill="auto"/>
            <w:vAlign w:val="center"/>
          </w:tcPr>
          <w:p w14:paraId="0235F49C">
            <w:pPr>
              <w:spacing w:line="240" w:lineRule="auto"/>
              <w:ind w:firstLine="180" w:firstLineChars="100"/>
              <w:rPr>
                <w:rFonts w:ascii="Times New Roman" w:hAnsi="Times New Roman"/>
                <w:sz w:val="18"/>
              </w:rPr>
            </w:pPr>
            <w:r>
              <w:rPr>
                <w:rFonts w:hint="eastAsia" w:ascii="Times New Roman" w:hAnsi="Times New Roman"/>
                <w:sz w:val="18"/>
              </w:rPr>
              <w:t>最大球心距离不小于测量短边的1/3</w:t>
            </w:r>
          </w:p>
        </w:tc>
      </w:tr>
      <w:tr w14:paraId="20BFC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5CF1BFD7">
            <w:pPr>
              <w:spacing w:line="240" w:lineRule="auto"/>
              <w:jc w:val="center"/>
              <w:rPr>
                <w:rFonts w:ascii="Times New Roman" w:hAnsi="Times New Roman"/>
                <w:sz w:val="18"/>
              </w:rPr>
            </w:pPr>
            <w:r>
              <w:rPr>
                <w:rFonts w:ascii="Times New Roman" w:hAnsi="Times New Roman"/>
                <w:sz w:val="18"/>
              </w:rPr>
              <w:t>表面粗糙度</w:t>
            </w:r>
          </w:p>
        </w:tc>
        <w:tc>
          <w:tcPr>
            <w:tcW w:w="7076" w:type="dxa"/>
            <w:shd w:val="clear" w:color="auto" w:fill="auto"/>
            <w:vAlign w:val="center"/>
          </w:tcPr>
          <w:p w14:paraId="4E377D94">
            <w:pPr>
              <w:spacing w:line="240" w:lineRule="auto"/>
              <w:ind w:firstLine="180" w:firstLineChars="100"/>
              <w:rPr>
                <w:rFonts w:ascii="Times New Roman" w:hAnsi="Times New Roman"/>
                <w:sz w:val="18"/>
              </w:rPr>
            </w:pPr>
            <w:r>
              <w:rPr>
                <w:rFonts w:hint="eastAsia" w:ascii="Times New Roman" w:hAnsi="Times New Roman"/>
                <w:sz w:val="18"/>
              </w:rPr>
              <w:t>钢质（Ra 0.1~Ra 0.8）</w:t>
            </w:r>
          </w:p>
          <w:p w14:paraId="41597A90">
            <w:pPr>
              <w:spacing w:line="240" w:lineRule="auto"/>
              <w:ind w:firstLine="180" w:firstLineChars="100"/>
              <w:rPr>
                <w:rFonts w:ascii="Times New Roman" w:hAnsi="Times New Roman"/>
                <w:sz w:val="18"/>
              </w:rPr>
            </w:pPr>
            <w:r>
              <w:rPr>
                <w:rFonts w:hint="eastAsia" w:ascii="Times New Roman" w:hAnsi="Times New Roman"/>
                <w:sz w:val="18"/>
              </w:rPr>
              <w:t>碳化硅等（Ra 0.1~Ra 0.8）</w:t>
            </w:r>
          </w:p>
        </w:tc>
      </w:tr>
      <w:tr w14:paraId="30C93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79970EAE">
            <w:pPr>
              <w:spacing w:line="240" w:lineRule="auto"/>
              <w:jc w:val="center"/>
              <w:rPr>
                <w:rFonts w:ascii="Times New Roman" w:hAnsi="Times New Roman"/>
                <w:sz w:val="18"/>
              </w:rPr>
            </w:pPr>
            <w:r>
              <w:rPr>
                <w:rFonts w:ascii="Times New Roman" w:hAnsi="Times New Roman"/>
                <w:sz w:val="18"/>
              </w:rPr>
              <w:t>球径误差</w:t>
            </w:r>
          </w:p>
        </w:tc>
        <w:tc>
          <w:tcPr>
            <w:tcW w:w="7076" w:type="dxa"/>
            <w:shd w:val="clear" w:color="auto" w:fill="auto"/>
            <w:vAlign w:val="center"/>
          </w:tcPr>
          <w:p w14:paraId="331B1389">
            <w:pPr>
              <w:spacing w:line="240" w:lineRule="auto"/>
              <w:ind w:firstLine="180" w:firstLineChars="100"/>
              <w:rPr>
                <w:rFonts w:ascii="Times New Roman" w:hAnsi="Times New Roman"/>
                <w:sz w:val="18"/>
              </w:rPr>
            </w:pPr>
            <w:r>
              <w:rPr>
                <w:rFonts w:ascii="Times New Roman" w:hAnsi="Times New Roman"/>
                <w:sz w:val="18"/>
              </w:rPr>
              <w:t>优于±2</w:t>
            </w:r>
            <w:r>
              <w:rPr>
                <w:rFonts w:hint="eastAsia" w:ascii="Times New Roman" w:hAnsi="Times New Roman"/>
                <w:sz w:val="18"/>
              </w:rPr>
              <w:t xml:space="preserve"> </w:t>
            </w:r>
            <w:r>
              <w:rPr>
                <w:rFonts w:ascii="Times New Roman" w:hAnsi="Times New Roman"/>
                <w:sz w:val="18"/>
              </w:rPr>
              <w:t>μm</w:t>
            </w:r>
          </w:p>
        </w:tc>
      </w:tr>
      <w:tr w14:paraId="0D416C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33836AE6">
            <w:pPr>
              <w:spacing w:line="240" w:lineRule="auto"/>
              <w:jc w:val="center"/>
              <w:rPr>
                <w:rFonts w:ascii="Times New Roman" w:hAnsi="Times New Roman"/>
                <w:sz w:val="18"/>
              </w:rPr>
            </w:pPr>
            <w:r>
              <w:rPr>
                <w:rFonts w:ascii="Times New Roman" w:hAnsi="Times New Roman"/>
                <w:sz w:val="18"/>
              </w:rPr>
              <w:t>球心距误差</w:t>
            </w:r>
          </w:p>
        </w:tc>
        <w:tc>
          <w:tcPr>
            <w:tcW w:w="7076" w:type="dxa"/>
            <w:shd w:val="clear" w:color="auto" w:fill="auto"/>
            <w:vAlign w:val="center"/>
          </w:tcPr>
          <w:p w14:paraId="53A8C95A">
            <w:pPr>
              <w:spacing w:line="240" w:lineRule="auto"/>
              <w:ind w:firstLine="180" w:firstLineChars="100"/>
              <w:rPr>
                <w:rFonts w:ascii="Times New Roman" w:hAnsi="Times New Roman"/>
                <w:sz w:val="18"/>
              </w:rPr>
            </w:pPr>
            <w:r>
              <w:rPr>
                <w:rFonts w:ascii="Times New Roman" w:hAnsi="Times New Roman"/>
                <w:sz w:val="18"/>
              </w:rPr>
              <w:t>优于±5</w:t>
            </w:r>
            <w:r>
              <w:rPr>
                <w:rFonts w:hint="eastAsia" w:ascii="Times New Roman" w:hAnsi="Times New Roman"/>
                <w:sz w:val="18"/>
              </w:rPr>
              <w:t xml:space="preserve"> </w:t>
            </w:r>
            <w:r>
              <w:rPr>
                <w:rFonts w:ascii="Times New Roman" w:hAnsi="Times New Roman"/>
                <w:sz w:val="18"/>
              </w:rPr>
              <w:t>μm</w:t>
            </w:r>
          </w:p>
        </w:tc>
      </w:tr>
    </w:tbl>
    <w:p w14:paraId="6CA996BF">
      <w:pPr>
        <w:pStyle w:val="56"/>
        <w:autoSpaceDE/>
        <w:autoSpaceDN/>
        <w:spacing w:before="120" w:beforeLines="50"/>
        <w:ind w:firstLine="420"/>
      </w:pPr>
      <w:r>
        <w:rPr>
          <w:rFonts w:hint="eastAsia"/>
        </w:rPr>
        <w:t>标准球板至少具有钢和碳化硅等不同反射率材质的球组，满足测量视场内测量高动态范围反射率表面的</w:t>
      </w:r>
      <w:r>
        <w:rPr>
          <w:rFonts w:ascii="Times New Roman"/>
        </w:rPr>
        <w:t>要求，如图2所示</w:t>
      </w:r>
      <w:r>
        <w:rPr>
          <w:rFonts w:hint="eastAsia"/>
        </w:rPr>
        <w:t>。</w:t>
      </w:r>
    </w:p>
    <w:p w14:paraId="4109174C">
      <w:pPr>
        <w:pStyle w:val="56"/>
        <w:autoSpaceDE/>
        <w:autoSpaceDN/>
        <w:ind w:firstLine="420"/>
      </w:pPr>
    </w:p>
    <w:p w14:paraId="14CF8678">
      <w:pPr>
        <w:pStyle w:val="56"/>
        <w:ind w:firstLine="0" w:firstLineChars="0"/>
        <w:jc w:val="center"/>
      </w:pPr>
      <w:r>
        <w:drawing>
          <wp:inline distT="0" distB="0" distL="0" distR="0">
            <wp:extent cx="3307080" cy="427355"/>
            <wp:effectExtent l="0" t="0" r="0" b="0"/>
            <wp:docPr id="10112715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71541" name="图片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420618" cy="442423"/>
                    </a:xfrm>
                    <a:prstGeom prst="rect">
                      <a:avLst/>
                    </a:prstGeom>
                    <a:noFill/>
                  </pic:spPr>
                </pic:pic>
              </a:graphicData>
            </a:graphic>
          </wp:inline>
        </w:drawing>
      </w:r>
    </w:p>
    <w:p w14:paraId="7CAE32EC">
      <w:pPr>
        <w:pStyle w:val="114"/>
        <w:spacing w:before="120" w:after="120"/>
        <w:rPr>
          <w:rFonts w:ascii="Times New Roman"/>
        </w:rPr>
      </w:pPr>
      <w:r>
        <w:rPr>
          <w:rFonts w:hint="eastAsia"/>
        </w:rPr>
        <w:t>标准球板示意图</w:t>
      </w:r>
    </w:p>
    <w:p w14:paraId="41E47E6C">
      <w:pPr>
        <w:pStyle w:val="105"/>
        <w:spacing w:before="120" w:after="120"/>
      </w:pPr>
      <w:bookmarkStart w:id="86" w:name="_Toc196060557"/>
      <w:bookmarkStart w:id="87" w:name="_Toc196145317"/>
      <w:r>
        <w:rPr>
          <w:rFonts w:hint="eastAsia"/>
        </w:rPr>
        <w:t>校准条件</w:t>
      </w:r>
      <w:bookmarkEnd w:id="86"/>
      <w:bookmarkEnd w:id="87"/>
    </w:p>
    <w:p w14:paraId="4642DEAD">
      <w:pPr>
        <w:pStyle w:val="65"/>
        <w:spacing w:before="120" w:after="120"/>
      </w:pPr>
      <w:r>
        <w:rPr>
          <w:rFonts w:hint="eastAsia"/>
        </w:rPr>
        <w:t>环境条件</w:t>
      </w:r>
    </w:p>
    <w:p w14:paraId="0E655A7C">
      <w:pPr>
        <w:pStyle w:val="56"/>
        <w:ind w:firstLine="420"/>
      </w:pPr>
      <w:r>
        <w:rPr>
          <w:rFonts w:hint="eastAsia"/>
        </w:rPr>
        <w:t>环境条件，包括环境的振动，背景光、环境温度及其均匀性、变化率等，应在不确定度评定中进行考虑。同时，不应有影响测量的其他环境因素。</w:t>
      </w:r>
    </w:p>
    <w:p w14:paraId="614CED09">
      <w:pPr>
        <w:pStyle w:val="65"/>
        <w:spacing w:before="120" w:after="120"/>
      </w:pPr>
      <w:r>
        <w:rPr>
          <w:rFonts w:hint="eastAsia"/>
        </w:rPr>
        <w:t>校准用软件</w:t>
      </w:r>
    </w:p>
    <w:p w14:paraId="5F2E4FA1">
      <w:pPr>
        <w:pStyle w:val="174"/>
        <w:numPr>
          <w:ilvl w:val="0"/>
          <w:numId w:val="34"/>
        </w:numPr>
      </w:pPr>
      <w:r>
        <w:rPr>
          <w:rFonts w:hint="eastAsia"/>
        </w:rPr>
        <w:t>校准过程中应使用设备的配套（数据采集和数据处理）软件。</w:t>
      </w:r>
    </w:p>
    <w:p w14:paraId="0EB1B9C5">
      <w:pPr>
        <w:pStyle w:val="174"/>
        <w:numPr>
          <w:ilvl w:val="0"/>
          <w:numId w:val="34"/>
        </w:numPr>
      </w:pPr>
      <w:r>
        <w:rPr>
          <w:rFonts w:hint="eastAsia"/>
        </w:rPr>
        <w:t>设定图像采集处理的点间距、快门时间、稀疏点云参数、剔除率、拟合算法等。</w:t>
      </w:r>
    </w:p>
    <w:p w14:paraId="53306BB8">
      <w:pPr>
        <w:pStyle w:val="179"/>
      </w:pPr>
    </w:p>
    <w:p w14:paraId="03A151AE">
      <w:pPr>
        <w:pStyle w:val="109"/>
        <w:numPr>
          <w:ilvl w:val="1"/>
          <w:numId w:val="35"/>
        </w:numPr>
      </w:pPr>
      <w:r>
        <w:rPr>
          <w:rFonts w:hint="eastAsia"/>
        </w:rPr>
        <w:t>需要稀疏点云时，应按照使用说明书进行。如果制造商未规定这些参数，则不考虑稀疏点云。</w:t>
      </w:r>
    </w:p>
    <w:p w14:paraId="5EC73FE6">
      <w:pPr>
        <w:pStyle w:val="109"/>
        <w:numPr>
          <w:ilvl w:val="1"/>
          <w:numId w:val="35"/>
        </w:numPr>
      </w:pPr>
      <w:r>
        <w:rPr>
          <w:rFonts w:hint="eastAsia"/>
        </w:rPr>
        <w:t>剔除率设定为</w:t>
      </w:r>
      <w:r>
        <w:rPr>
          <w:rFonts w:ascii="Times New Roman"/>
        </w:rPr>
        <w:t>0.3%。</w:t>
      </w:r>
    </w:p>
    <w:p w14:paraId="1CEB4388">
      <w:pPr>
        <w:pStyle w:val="109"/>
        <w:numPr>
          <w:ilvl w:val="1"/>
          <w:numId w:val="35"/>
        </w:numPr>
      </w:pPr>
      <w:r>
        <w:rPr>
          <w:rFonts w:hint="eastAsia"/>
        </w:rPr>
        <w:t>除厂商明确规定外，拟合算法推荐采用最小二乘法。</w:t>
      </w:r>
    </w:p>
    <w:p w14:paraId="31C0F033">
      <w:pPr>
        <w:pStyle w:val="105"/>
        <w:spacing w:before="120" w:after="120"/>
      </w:pPr>
      <w:bookmarkStart w:id="88" w:name="_Toc196060558"/>
      <w:bookmarkStart w:id="89" w:name="_Toc196145318"/>
      <w:r>
        <w:rPr>
          <w:rFonts w:hint="eastAsia"/>
        </w:rPr>
        <w:t>校准方法</w:t>
      </w:r>
      <w:bookmarkEnd w:id="88"/>
      <w:bookmarkEnd w:id="89"/>
    </w:p>
    <w:p w14:paraId="3715B2F9">
      <w:pPr>
        <w:pStyle w:val="65"/>
        <w:spacing w:before="120" w:after="120"/>
      </w:pPr>
      <w:r>
        <w:rPr>
          <w:rFonts w:hint="eastAsia"/>
        </w:rPr>
        <w:t>校准前准备</w:t>
      </w:r>
    </w:p>
    <w:p w14:paraId="567FD246">
      <w:pPr>
        <w:pStyle w:val="56"/>
        <w:ind w:firstLine="420"/>
      </w:pPr>
      <w:r>
        <w:rPr>
          <w:rFonts w:hint="eastAsia"/>
        </w:rPr>
        <w:t>校准前作如下准备：</w:t>
      </w:r>
    </w:p>
    <w:p w14:paraId="00B29CC7">
      <w:pPr>
        <w:pStyle w:val="56"/>
        <w:numPr>
          <w:ilvl w:val="0"/>
          <w:numId w:val="36"/>
        </w:numPr>
        <w:ind w:firstLineChars="0"/>
      </w:pPr>
      <w:r>
        <w:rPr>
          <w:rFonts w:hint="eastAsia"/>
        </w:rPr>
        <w:t>清洁结构光三维测量系统和标准器，不应有影响校准操作的多余物；</w:t>
      </w:r>
    </w:p>
    <w:p w14:paraId="5F352D7F">
      <w:pPr>
        <w:pStyle w:val="56"/>
        <w:numPr>
          <w:ilvl w:val="0"/>
          <w:numId w:val="36"/>
        </w:numPr>
        <w:ind w:firstLineChars="0"/>
      </w:pPr>
      <w:r>
        <w:rPr>
          <w:rFonts w:hint="eastAsia"/>
        </w:rPr>
        <w:t>结构光三维测量系统的配置与安装；</w:t>
      </w:r>
    </w:p>
    <w:p w14:paraId="161F4B9D">
      <w:pPr>
        <w:pStyle w:val="56"/>
        <w:numPr>
          <w:ilvl w:val="0"/>
          <w:numId w:val="36"/>
        </w:numPr>
        <w:ind w:firstLineChars="0"/>
      </w:pPr>
      <w:r>
        <w:rPr>
          <w:rFonts w:hint="eastAsia"/>
        </w:rPr>
        <w:t>对操作模式进行设置，包括照明的类型和亮度、测量范围、系统用传感器的类型、数量和分布等；</w:t>
      </w:r>
    </w:p>
    <w:p w14:paraId="49A4893F">
      <w:pPr>
        <w:pStyle w:val="56"/>
        <w:numPr>
          <w:ilvl w:val="0"/>
          <w:numId w:val="36"/>
        </w:numPr>
        <w:ind w:firstLineChars="0"/>
      </w:pPr>
      <w:r>
        <w:rPr>
          <w:rFonts w:hint="eastAsia"/>
        </w:rPr>
        <w:t>结构光三维测量系统标定。</w:t>
      </w:r>
    </w:p>
    <w:p w14:paraId="48320D1A">
      <w:pPr>
        <w:pStyle w:val="65"/>
        <w:spacing w:before="120" w:after="120"/>
      </w:pPr>
      <w:r>
        <w:rPr>
          <w:rFonts w:hint="eastAsia"/>
        </w:rPr>
        <w:t>校准步骤</w:t>
      </w:r>
    </w:p>
    <w:p w14:paraId="432D88C5">
      <w:pPr>
        <w:pStyle w:val="56"/>
        <w:ind w:firstLine="420"/>
      </w:pPr>
      <w:r>
        <w:rPr>
          <w:rFonts w:hint="eastAsia"/>
        </w:rPr>
        <w:t>校准步骤如下：</w:t>
      </w:r>
    </w:p>
    <w:p w14:paraId="44E4BDBD">
      <w:pPr>
        <w:pStyle w:val="56"/>
        <w:numPr>
          <w:ilvl w:val="0"/>
          <w:numId w:val="37"/>
        </w:numPr>
        <w:autoSpaceDE/>
        <w:autoSpaceDN/>
        <w:ind w:firstLineChars="0"/>
        <w:rPr>
          <w:rFonts w:ascii="Times New Roman"/>
        </w:rPr>
      </w:pPr>
      <w:r>
        <w:rPr>
          <w:rFonts w:hint="eastAsia"/>
        </w:rPr>
        <w:t>结构光三维测量系统的启动/预热周期；</w:t>
      </w:r>
    </w:p>
    <w:p w14:paraId="164FE324">
      <w:pPr>
        <w:pStyle w:val="56"/>
        <w:numPr>
          <w:ilvl w:val="0"/>
          <w:numId w:val="37"/>
        </w:numPr>
        <w:autoSpaceDE/>
        <w:autoSpaceDN/>
        <w:ind w:firstLineChars="0"/>
        <w:rPr>
          <w:rFonts w:ascii="Times New Roman"/>
        </w:rPr>
      </w:pPr>
      <w:r>
        <w:rPr>
          <w:rFonts w:ascii="Times New Roman"/>
        </w:rPr>
        <w:t>将</w:t>
      </w:r>
      <w:r>
        <w:rPr>
          <w:rFonts w:hint="eastAsia" w:ascii="Times New Roman"/>
        </w:rPr>
        <w:t>高动态范围反射率标准球板</w:t>
      </w:r>
      <w:r>
        <w:rPr>
          <w:rFonts w:ascii="Times New Roman"/>
        </w:rPr>
        <w:t>按图</w:t>
      </w:r>
      <w:r>
        <w:rPr>
          <w:rFonts w:hint="eastAsia" w:ascii="Times New Roman"/>
        </w:rPr>
        <w:t>2</w:t>
      </w:r>
      <w:r>
        <w:rPr>
          <w:rFonts w:ascii="Times New Roman"/>
        </w:rPr>
        <w:t>所示依次摆放</w:t>
      </w:r>
      <w:r>
        <w:rPr>
          <w:rFonts w:hint="eastAsia" w:ascii="Times New Roman"/>
        </w:rPr>
        <w:t>12个</w:t>
      </w:r>
      <w:r>
        <w:rPr>
          <w:rFonts w:ascii="Times New Roman"/>
        </w:rPr>
        <w:t>位置</w:t>
      </w:r>
      <w:r>
        <w:rPr>
          <w:rFonts w:hint="eastAsia" w:ascii="Times New Roman"/>
        </w:rPr>
        <w:t>；</w:t>
      </w:r>
    </w:p>
    <w:p w14:paraId="11C989A3">
      <w:pPr>
        <w:pStyle w:val="56"/>
        <w:numPr>
          <w:ilvl w:val="0"/>
          <w:numId w:val="37"/>
        </w:numPr>
        <w:autoSpaceDE/>
        <w:autoSpaceDN/>
        <w:ind w:firstLineChars="0"/>
        <w:rPr>
          <w:rFonts w:ascii="Times New Roman"/>
        </w:rPr>
      </w:pPr>
      <w:r>
        <w:rPr>
          <w:rFonts w:ascii="Times New Roman"/>
        </w:rPr>
        <w:t>在</w:t>
      </w:r>
      <w:r>
        <w:rPr>
          <w:rFonts w:hint="eastAsia" w:ascii="Times New Roman"/>
        </w:rPr>
        <w:t>每个</w:t>
      </w:r>
      <w:r>
        <w:rPr>
          <w:rFonts w:ascii="Times New Roman"/>
        </w:rPr>
        <w:t>位置</w:t>
      </w:r>
      <w:r>
        <w:rPr>
          <w:rFonts w:hint="eastAsia" w:ascii="Times New Roman"/>
        </w:rPr>
        <w:t>，</w:t>
      </w:r>
      <w:r>
        <w:rPr>
          <w:rFonts w:ascii="Times New Roman"/>
        </w:rPr>
        <w:t>使用被校</w:t>
      </w:r>
      <w:r>
        <w:rPr>
          <w:rFonts w:hint="eastAsia" w:ascii="Times New Roman"/>
        </w:rPr>
        <w:t>结构光</w:t>
      </w:r>
      <w:r>
        <w:rPr>
          <w:rFonts w:ascii="Times New Roman"/>
        </w:rPr>
        <w:t>三维测量系统测量</w:t>
      </w:r>
      <w:r>
        <w:rPr>
          <w:rFonts w:hint="eastAsia" w:ascii="Times New Roman"/>
        </w:rPr>
        <w:t>高动态范围反射率标准球板</w:t>
      </w:r>
      <w:r>
        <w:rPr>
          <w:rFonts w:ascii="Times New Roman"/>
        </w:rPr>
        <w:t>；</w:t>
      </w:r>
    </w:p>
    <w:p w14:paraId="7BB1F679">
      <w:pPr>
        <w:pStyle w:val="56"/>
        <w:numPr>
          <w:ilvl w:val="0"/>
          <w:numId w:val="37"/>
        </w:numPr>
        <w:autoSpaceDE/>
        <w:autoSpaceDN/>
        <w:ind w:firstLineChars="0"/>
        <w:rPr>
          <w:rFonts w:ascii="Times New Roman"/>
        </w:rPr>
      </w:pPr>
      <w:r>
        <w:rPr>
          <w:rFonts w:ascii="Times New Roman"/>
        </w:rPr>
        <w:t>根据获取的三维数据计算</w:t>
      </w:r>
      <w:r>
        <w:rPr>
          <w:rFonts w:hint="eastAsia" w:ascii="Times New Roman"/>
        </w:rPr>
        <w:t>球心距测量示值</w:t>
      </w:r>
      <w:r>
        <w:rPr>
          <w:rFonts w:ascii="Times New Roman"/>
        </w:rPr>
        <w:t>误差。</w:t>
      </w:r>
    </w:p>
    <w:p w14:paraId="0AD3C185">
      <w:pPr>
        <w:pStyle w:val="105"/>
        <w:spacing w:before="120" w:after="120"/>
      </w:pPr>
      <w:bookmarkStart w:id="90" w:name="_Toc196060559"/>
      <w:bookmarkStart w:id="91" w:name="_Toc196145319"/>
      <w:r>
        <w:rPr>
          <w:rFonts w:hint="eastAsia"/>
        </w:rPr>
        <w:t>测量不确定度</w:t>
      </w:r>
      <w:bookmarkEnd w:id="90"/>
      <w:bookmarkEnd w:id="91"/>
    </w:p>
    <w:p w14:paraId="78B3B0DA">
      <w:pPr>
        <w:pStyle w:val="56"/>
        <w:ind w:firstLine="420"/>
      </w:pPr>
      <w:r>
        <w:rPr>
          <w:rFonts w:hint="eastAsia"/>
        </w:rPr>
        <w:t>按要求进行校准时,高动态范围反射率球板标准器校准法的测量不确定度优于被测仪器球心距测量示值误差的1/3。</w:t>
      </w:r>
    </w:p>
    <w:p w14:paraId="6059995D">
      <w:pPr>
        <w:pStyle w:val="104"/>
        <w:spacing w:before="240" w:after="240"/>
      </w:pPr>
      <w:bookmarkStart w:id="92" w:name="_Toc196060560"/>
      <w:bookmarkStart w:id="93" w:name="_Toc196145320"/>
      <w:r>
        <w:rPr>
          <w:rFonts w:hint="eastAsia"/>
        </w:rPr>
        <w:t>高动态范围反射率平面标准器校准法</w:t>
      </w:r>
      <w:bookmarkEnd w:id="92"/>
      <w:bookmarkEnd w:id="93"/>
    </w:p>
    <w:p w14:paraId="685D7C4B">
      <w:pPr>
        <w:pStyle w:val="105"/>
        <w:spacing w:before="120" w:after="120"/>
      </w:pPr>
      <w:bookmarkStart w:id="94" w:name="_Toc196060561"/>
      <w:bookmarkStart w:id="95" w:name="_Toc196145321"/>
      <w:r>
        <w:rPr>
          <w:rFonts w:hint="eastAsia"/>
        </w:rPr>
        <w:t>校准原理</w:t>
      </w:r>
      <w:bookmarkEnd w:id="94"/>
      <w:bookmarkEnd w:id="95"/>
    </w:p>
    <w:p w14:paraId="6166CC95">
      <w:pPr>
        <w:pStyle w:val="65"/>
        <w:keepNext/>
        <w:spacing w:before="120" w:after="120"/>
      </w:pPr>
      <w:r>
        <w:rPr>
          <w:rFonts w:hint="eastAsia"/>
        </w:rPr>
        <w:t>单视角系统</w:t>
      </w:r>
    </w:p>
    <w:p w14:paraId="3FC35608">
      <w:pPr>
        <w:pStyle w:val="56"/>
        <w:autoSpaceDE/>
        <w:autoSpaceDN/>
        <w:ind w:firstLine="420"/>
        <w:rPr>
          <w:rFonts w:ascii="Times New Roman"/>
        </w:rPr>
      </w:pPr>
      <w:r>
        <w:rPr>
          <w:rFonts w:ascii="Times New Roman"/>
        </w:rPr>
        <w:t>测量系统光轴平行于</w:t>
      </w:r>
      <w:r>
        <w:rPr>
          <w:rFonts w:ascii="Times New Roman"/>
          <w:i/>
        </w:rPr>
        <w:t>z</w:t>
      </w:r>
      <w:r>
        <w:rPr>
          <w:rFonts w:ascii="Times New Roman"/>
        </w:rPr>
        <w:t>轴方向，标准平面应在所有测量位置垂直于</w:t>
      </w:r>
      <w:r>
        <w:rPr>
          <w:rFonts w:ascii="Times New Roman"/>
          <w:i/>
        </w:rPr>
        <w:t>xoz</w:t>
      </w:r>
      <w:r>
        <w:rPr>
          <w:rFonts w:ascii="Times New Roman"/>
        </w:rPr>
        <w:t>平面。将系统的测量范围划分为8个大小接近的栅格，当测量范围为长方体时，划分方式如图</w:t>
      </w:r>
      <w:r>
        <w:rPr>
          <w:rFonts w:hint="eastAsia" w:ascii="Times New Roman"/>
        </w:rPr>
        <w:t>4</w:t>
      </w:r>
      <w:r>
        <w:rPr>
          <w:rFonts w:ascii="Times New Roman"/>
        </w:rPr>
        <w:t>所示。如果测量范围不是长方体，栅格的划分也应该尽可能与长方体的划分相对应。标准平面在测量空间的至少6个不同位置安装，如图4所示。</w:t>
      </w:r>
    </w:p>
    <w:p w14:paraId="43C84BF2">
      <w:pPr>
        <w:pStyle w:val="56"/>
        <w:autoSpaceDE/>
        <w:autoSpaceDN/>
        <w:ind w:firstLine="420"/>
        <w:rPr>
          <w:rFonts w:ascii="Times New Roman"/>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3"/>
        <w:gridCol w:w="2803"/>
        <w:gridCol w:w="2804"/>
      </w:tblGrid>
      <w:tr w14:paraId="165C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03" w:type="dxa"/>
          </w:tcPr>
          <w:p w14:paraId="761650FD">
            <w:pPr>
              <w:spacing w:line="276" w:lineRule="auto"/>
              <w:jc w:val="center"/>
              <w:rPr>
                <w:rFonts w:ascii="Times New Roman" w:hAnsi="Times New Roman"/>
              </w:rPr>
            </w:pPr>
            <w:r>
              <w:rPr>
                <w:rFonts w:ascii="Times New Roman" w:hAnsi="Times New Roman"/>
              </w:rPr>
              <w:drawing>
                <wp:inline distT="0" distB="0" distL="0" distR="0">
                  <wp:extent cx="1497965" cy="1439545"/>
                  <wp:effectExtent l="0" t="0" r="6985" b="8255"/>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86"/>
                          <a:stretch>
                            <a:fillRect/>
                          </a:stretch>
                        </pic:blipFill>
                        <pic:spPr>
                          <a:xfrm>
                            <a:off x="0" y="0"/>
                            <a:ext cx="1498076" cy="1440000"/>
                          </a:xfrm>
                          <a:prstGeom prst="rect">
                            <a:avLst/>
                          </a:prstGeom>
                        </pic:spPr>
                      </pic:pic>
                    </a:graphicData>
                  </a:graphic>
                </wp:inline>
              </w:drawing>
            </w:r>
          </w:p>
        </w:tc>
        <w:tc>
          <w:tcPr>
            <w:tcW w:w="2803" w:type="dxa"/>
          </w:tcPr>
          <w:p w14:paraId="512DDE17">
            <w:pPr>
              <w:spacing w:line="276" w:lineRule="auto"/>
              <w:jc w:val="center"/>
              <w:rPr>
                <w:rFonts w:ascii="Times New Roman" w:hAnsi="Times New Roman"/>
              </w:rPr>
            </w:pPr>
            <w:r>
              <w:rPr>
                <w:rFonts w:ascii="Times New Roman" w:hAnsi="Times New Roman"/>
              </w:rPr>
              <w:drawing>
                <wp:inline distT="0" distB="0" distL="0" distR="0">
                  <wp:extent cx="1459865" cy="1439545"/>
                  <wp:effectExtent l="0" t="0" r="6985" b="8255"/>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pic:cNvPicPr>
                            <a:picLocks noChangeAspect="1"/>
                          </pic:cNvPicPr>
                        </pic:nvPicPr>
                        <pic:blipFill>
                          <a:blip r:embed="rId87"/>
                          <a:stretch>
                            <a:fillRect/>
                          </a:stretch>
                        </pic:blipFill>
                        <pic:spPr>
                          <a:xfrm>
                            <a:off x="0" y="0"/>
                            <a:ext cx="1460039" cy="1440000"/>
                          </a:xfrm>
                          <a:prstGeom prst="rect">
                            <a:avLst/>
                          </a:prstGeom>
                        </pic:spPr>
                      </pic:pic>
                    </a:graphicData>
                  </a:graphic>
                </wp:inline>
              </w:drawing>
            </w:r>
          </w:p>
        </w:tc>
        <w:tc>
          <w:tcPr>
            <w:tcW w:w="2804" w:type="dxa"/>
          </w:tcPr>
          <w:p w14:paraId="67ADECA6">
            <w:pPr>
              <w:spacing w:line="276" w:lineRule="auto"/>
              <w:jc w:val="center"/>
              <w:rPr>
                <w:rFonts w:ascii="Times New Roman" w:hAnsi="Times New Roman"/>
              </w:rPr>
            </w:pPr>
            <w:r>
              <w:rPr>
                <w:rFonts w:ascii="Times New Roman" w:hAnsi="Times New Roman"/>
              </w:rPr>
              <w:drawing>
                <wp:inline distT="0" distB="0" distL="0" distR="0">
                  <wp:extent cx="1471295" cy="1439545"/>
                  <wp:effectExtent l="0" t="0" r="0" b="8255"/>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88"/>
                          <a:stretch>
                            <a:fillRect/>
                          </a:stretch>
                        </pic:blipFill>
                        <pic:spPr>
                          <a:xfrm>
                            <a:off x="0" y="0"/>
                            <a:ext cx="1471535" cy="1440000"/>
                          </a:xfrm>
                          <a:prstGeom prst="rect">
                            <a:avLst/>
                          </a:prstGeom>
                        </pic:spPr>
                      </pic:pic>
                    </a:graphicData>
                  </a:graphic>
                </wp:inline>
              </w:drawing>
            </w:r>
          </w:p>
        </w:tc>
      </w:tr>
      <w:tr w14:paraId="79B4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03" w:type="dxa"/>
          </w:tcPr>
          <w:p w14:paraId="762A0438">
            <w:pPr>
              <w:spacing w:line="276" w:lineRule="auto"/>
              <w:jc w:val="center"/>
              <w:rPr>
                <w:rFonts w:ascii="Times New Roman" w:hAnsi="Times New Roman"/>
              </w:rPr>
            </w:pPr>
            <w:r>
              <w:rPr>
                <w:rFonts w:ascii="Times New Roman" w:hAnsi="Times New Roman"/>
              </w:rPr>
              <w:t>位置1</w:t>
            </w:r>
          </w:p>
        </w:tc>
        <w:tc>
          <w:tcPr>
            <w:tcW w:w="2803" w:type="dxa"/>
          </w:tcPr>
          <w:p w14:paraId="44F0D792">
            <w:pPr>
              <w:spacing w:line="276" w:lineRule="auto"/>
              <w:jc w:val="center"/>
              <w:rPr>
                <w:rFonts w:ascii="Times New Roman" w:hAnsi="Times New Roman"/>
              </w:rPr>
            </w:pPr>
            <w:r>
              <w:rPr>
                <w:rFonts w:ascii="Times New Roman" w:hAnsi="Times New Roman"/>
              </w:rPr>
              <w:t>位置2</w:t>
            </w:r>
          </w:p>
        </w:tc>
        <w:tc>
          <w:tcPr>
            <w:tcW w:w="2804" w:type="dxa"/>
          </w:tcPr>
          <w:p w14:paraId="668AE65C">
            <w:pPr>
              <w:spacing w:line="276" w:lineRule="auto"/>
              <w:jc w:val="center"/>
              <w:rPr>
                <w:rFonts w:ascii="Times New Roman" w:hAnsi="Times New Roman"/>
              </w:rPr>
            </w:pPr>
            <w:r>
              <w:rPr>
                <w:rFonts w:ascii="Times New Roman" w:hAnsi="Times New Roman"/>
              </w:rPr>
              <w:t>位置3</w:t>
            </w:r>
          </w:p>
        </w:tc>
      </w:tr>
      <w:tr w14:paraId="670B1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03" w:type="dxa"/>
          </w:tcPr>
          <w:p w14:paraId="151F977C">
            <w:pPr>
              <w:spacing w:line="276" w:lineRule="auto"/>
              <w:jc w:val="center"/>
              <w:rPr>
                <w:rFonts w:ascii="Times New Roman" w:hAnsi="Times New Roman"/>
              </w:rPr>
            </w:pPr>
            <w:r>
              <w:rPr>
                <w:rFonts w:ascii="Times New Roman" w:hAnsi="Times New Roman"/>
              </w:rPr>
              <w:drawing>
                <wp:inline distT="0" distB="0" distL="0" distR="0">
                  <wp:extent cx="1462405" cy="1439545"/>
                  <wp:effectExtent l="0" t="0" r="4445" b="825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pic:cNvPicPr>
                        </pic:nvPicPr>
                        <pic:blipFill>
                          <a:blip r:embed="rId89"/>
                          <a:stretch>
                            <a:fillRect/>
                          </a:stretch>
                        </pic:blipFill>
                        <pic:spPr>
                          <a:xfrm>
                            <a:off x="0" y="0"/>
                            <a:ext cx="1462718" cy="1440000"/>
                          </a:xfrm>
                          <a:prstGeom prst="rect">
                            <a:avLst/>
                          </a:prstGeom>
                        </pic:spPr>
                      </pic:pic>
                    </a:graphicData>
                  </a:graphic>
                </wp:inline>
              </w:drawing>
            </w:r>
          </w:p>
        </w:tc>
        <w:tc>
          <w:tcPr>
            <w:tcW w:w="2803" w:type="dxa"/>
          </w:tcPr>
          <w:p w14:paraId="78031DAD">
            <w:pPr>
              <w:spacing w:line="276" w:lineRule="auto"/>
              <w:jc w:val="center"/>
              <w:rPr>
                <w:rFonts w:ascii="Times New Roman" w:hAnsi="Times New Roman"/>
              </w:rPr>
            </w:pPr>
            <w:r>
              <w:rPr>
                <w:rFonts w:ascii="Times New Roman" w:hAnsi="Times New Roman"/>
              </w:rPr>
              <w:drawing>
                <wp:inline distT="0" distB="0" distL="0" distR="0">
                  <wp:extent cx="1469390" cy="1439545"/>
                  <wp:effectExtent l="0" t="0" r="0" b="8255"/>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pic:cNvPicPr>
                        </pic:nvPicPr>
                        <pic:blipFill>
                          <a:blip r:embed="rId90"/>
                          <a:stretch>
                            <a:fillRect/>
                          </a:stretch>
                        </pic:blipFill>
                        <pic:spPr>
                          <a:xfrm>
                            <a:off x="0" y="0"/>
                            <a:ext cx="1469908" cy="1440000"/>
                          </a:xfrm>
                          <a:prstGeom prst="rect">
                            <a:avLst/>
                          </a:prstGeom>
                        </pic:spPr>
                      </pic:pic>
                    </a:graphicData>
                  </a:graphic>
                </wp:inline>
              </w:drawing>
            </w:r>
          </w:p>
        </w:tc>
        <w:tc>
          <w:tcPr>
            <w:tcW w:w="2804" w:type="dxa"/>
          </w:tcPr>
          <w:p w14:paraId="2A966771">
            <w:pPr>
              <w:spacing w:line="276" w:lineRule="auto"/>
              <w:jc w:val="center"/>
              <w:rPr>
                <w:rFonts w:ascii="Times New Roman" w:hAnsi="Times New Roman"/>
              </w:rPr>
            </w:pPr>
            <w:r>
              <w:rPr>
                <w:rFonts w:ascii="Times New Roman" w:hAnsi="Times New Roman"/>
              </w:rPr>
              <w:drawing>
                <wp:inline distT="0" distB="0" distL="0" distR="0">
                  <wp:extent cx="1443990" cy="1439545"/>
                  <wp:effectExtent l="0" t="0" r="3810" b="8255"/>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91"/>
                          <a:stretch>
                            <a:fillRect/>
                          </a:stretch>
                        </pic:blipFill>
                        <pic:spPr>
                          <a:xfrm>
                            <a:off x="0" y="0"/>
                            <a:ext cx="1444522" cy="1440000"/>
                          </a:xfrm>
                          <a:prstGeom prst="rect">
                            <a:avLst/>
                          </a:prstGeom>
                        </pic:spPr>
                      </pic:pic>
                    </a:graphicData>
                  </a:graphic>
                </wp:inline>
              </w:drawing>
            </w:r>
          </w:p>
        </w:tc>
      </w:tr>
      <w:tr w14:paraId="2D49D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03" w:type="dxa"/>
          </w:tcPr>
          <w:p w14:paraId="302F2D67">
            <w:pPr>
              <w:spacing w:line="276" w:lineRule="auto"/>
              <w:jc w:val="center"/>
              <w:rPr>
                <w:rFonts w:ascii="Times New Roman" w:hAnsi="Times New Roman"/>
              </w:rPr>
            </w:pPr>
            <w:r>
              <w:rPr>
                <w:rFonts w:ascii="Times New Roman" w:hAnsi="Times New Roman"/>
              </w:rPr>
              <w:t>位置4</w:t>
            </w:r>
          </w:p>
        </w:tc>
        <w:tc>
          <w:tcPr>
            <w:tcW w:w="2803" w:type="dxa"/>
          </w:tcPr>
          <w:p w14:paraId="1CED9A51">
            <w:pPr>
              <w:spacing w:line="276" w:lineRule="auto"/>
              <w:jc w:val="center"/>
              <w:rPr>
                <w:rFonts w:ascii="Times New Roman" w:hAnsi="Times New Roman"/>
              </w:rPr>
            </w:pPr>
            <w:r>
              <w:rPr>
                <w:rFonts w:ascii="Times New Roman" w:hAnsi="Times New Roman"/>
              </w:rPr>
              <w:t>位置5</w:t>
            </w:r>
          </w:p>
        </w:tc>
        <w:tc>
          <w:tcPr>
            <w:tcW w:w="2804" w:type="dxa"/>
          </w:tcPr>
          <w:p w14:paraId="6245DD5B">
            <w:pPr>
              <w:spacing w:line="276" w:lineRule="auto"/>
              <w:jc w:val="center"/>
              <w:rPr>
                <w:rFonts w:ascii="Times New Roman" w:hAnsi="Times New Roman"/>
              </w:rPr>
            </w:pPr>
            <w:r>
              <w:rPr>
                <w:rFonts w:ascii="Times New Roman" w:hAnsi="Times New Roman"/>
              </w:rPr>
              <w:t>位置6</w:t>
            </w:r>
          </w:p>
        </w:tc>
      </w:tr>
    </w:tbl>
    <w:p w14:paraId="0461C166">
      <w:pPr>
        <w:pStyle w:val="182"/>
        <w:autoSpaceDE/>
        <w:autoSpaceDN/>
        <w:ind w:firstLine="360"/>
        <w:rPr>
          <w:rFonts w:ascii="Times New Roman"/>
        </w:rPr>
      </w:pPr>
      <w:r>
        <w:rPr>
          <w:rFonts w:ascii="Times New Roman"/>
        </w:rPr>
        <w:t>位置1-3：标准平面垂直于z轴，长边对齐x轴；</w:t>
      </w:r>
    </w:p>
    <w:p w14:paraId="35452778">
      <w:pPr>
        <w:pStyle w:val="182"/>
        <w:autoSpaceDE/>
        <w:autoSpaceDN/>
        <w:ind w:firstLine="360"/>
        <w:rPr>
          <w:rFonts w:ascii="Times New Roman"/>
        </w:rPr>
      </w:pPr>
      <w:r>
        <w:rPr>
          <w:rFonts w:ascii="Times New Roman"/>
        </w:rPr>
        <w:t>位置4-5：标准平面垂直于xz平面对角线，长边平行于该对角线；</w:t>
      </w:r>
    </w:p>
    <w:p w14:paraId="3907F006">
      <w:pPr>
        <w:pStyle w:val="182"/>
        <w:autoSpaceDE/>
        <w:autoSpaceDN/>
        <w:ind w:firstLine="360"/>
        <w:rPr>
          <w:rFonts w:ascii="Times New Roman"/>
        </w:rPr>
      </w:pPr>
      <w:r>
        <w:rPr>
          <w:rFonts w:ascii="Times New Roman"/>
        </w:rPr>
        <w:t>位置6：标准平面垂直于xyz空间对角线，长边平行于该对角线。</w:t>
      </w:r>
    </w:p>
    <w:p w14:paraId="008FF053">
      <w:pPr>
        <w:pStyle w:val="114"/>
        <w:spacing w:before="120" w:after="120"/>
      </w:pPr>
      <w:r>
        <w:rPr>
          <w:rFonts w:hint="eastAsia"/>
        </w:rPr>
        <w:t>标准平面的推荐排列</w:t>
      </w:r>
    </w:p>
    <w:p w14:paraId="2D0340F9">
      <w:pPr>
        <w:spacing w:line="240" w:lineRule="auto"/>
        <w:ind w:firstLine="420" w:firstLineChars="200"/>
        <w:rPr>
          <w:rFonts w:ascii="Times New Roman" w:hAnsi="Times New Roman"/>
        </w:rPr>
      </w:pPr>
      <w:r>
        <w:rPr>
          <w:rFonts w:ascii="Times New Roman" w:hAnsi="Times New Roman"/>
        </w:rPr>
        <w:t>测量得到标准平面工作面的点云数据，计算每个测量方向的最佳拟合平面。分布在拟合平面两侧的点，到拟合平面单侧距离最大值的代数和，作为该位置平面形状探测误差</w:t>
      </w:r>
      <w:r>
        <w:rPr>
          <w:position w:val="-10"/>
        </w:rPr>
        <w:object>
          <v:shape id="_x0000_i1051" o:spt="75" type="#_x0000_t75" style="height:16.15pt;width:11.55pt;" o:ole="t" filled="f" o:preferrelative="t" stroked="f" coordsize="21600,21600">
            <v:path/>
            <v:fill on="f" focussize="0,0"/>
            <v:stroke on="f" joinstyle="miter"/>
            <v:imagedata r:id="rId93" o:title=""/>
            <o:lock v:ext="edit" aspectratio="t"/>
            <w10:wrap type="none"/>
            <w10:anchorlock/>
          </v:shape>
          <o:OLEObject Type="Embed" ProgID="Equation.DSMT4" ShapeID="_x0000_i1051" DrawAspect="Content" ObjectID="_1468075751" r:id="rId92">
            <o:LockedField>false</o:LockedField>
          </o:OLEObject>
        </w:object>
      </w:r>
      <w:r>
        <w:rPr>
          <w:rFonts w:ascii="Times New Roman" w:hAnsi="Times New Roman"/>
        </w:rPr>
        <w:t>，</w:t>
      </w:r>
      <w:r>
        <w:rPr>
          <w:position w:val="-6"/>
        </w:rPr>
        <w:object>
          <v:shape id="_x0000_i1052" o:spt="75" type="#_x0000_t75" style="height:11.55pt;width:5.55pt;" o:ole="t" filled="f" o:preferrelative="t" stroked="f" coordsize="21600,21600">
            <v:path/>
            <v:fill on="f" focussize="0,0"/>
            <v:stroke on="f" joinstyle="miter"/>
            <v:imagedata r:id="rId95" o:title=""/>
            <o:lock v:ext="edit" aspectratio="t"/>
            <w10:wrap type="none"/>
            <w10:anchorlock/>
          </v:shape>
          <o:OLEObject Type="Embed" ProgID="Equation.DSMT4" ShapeID="_x0000_i1052" DrawAspect="Content" ObjectID="_1468075752" r:id="rId94">
            <o:LockedField>false</o:LockedField>
          </o:OLEObject>
        </w:object>
      </w:r>
      <w:r>
        <w:rPr>
          <w:rFonts w:ascii="Times New Roman" w:hAnsi="Times New Roman"/>
        </w:rPr>
        <w:t>表示测量位置的序号。</w:t>
      </w:r>
    </w:p>
    <w:p w14:paraId="70E0595C">
      <w:pPr>
        <w:spacing w:line="240" w:lineRule="auto"/>
        <w:ind w:firstLine="420" w:firstLineChars="200"/>
        <w:rPr>
          <w:rFonts w:ascii="Times New Roman" w:hAnsi="Times New Roman"/>
        </w:rPr>
      </w:pPr>
      <w:r>
        <w:rPr>
          <w:rFonts w:ascii="Times New Roman" w:hAnsi="Times New Roman"/>
        </w:rPr>
        <w:t>取各位置中最大值，作为平面形状探测误差</w:t>
      </w:r>
      <w:r>
        <w:rPr>
          <w:position w:val="-4"/>
        </w:rPr>
        <w:object>
          <v:shape id="_x0000_i1053" o:spt="75" type="#_x0000_t75" style="height:11.55pt;width:11.55pt;" o:ole="t" filled="f" o:preferrelative="t" stroked="f" coordsize="21600,21600">
            <v:path/>
            <v:fill on="f" focussize="0,0"/>
            <v:stroke on="f" joinstyle="miter"/>
            <v:imagedata r:id="rId97" o:title=""/>
            <o:lock v:ext="edit" aspectratio="t"/>
            <w10:wrap type="none"/>
            <w10:anchorlock/>
          </v:shape>
          <o:OLEObject Type="Embed" ProgID="Equation.DSMT4" ShapeID="_x0000_i1053" DrawAspect="Content" ObjectID="_1468075753" r:id="rId96">
            <o:LockedField>false</o:LockedField>
          </o:OLEObject>
        </w:object>
      </w:r>
      <w:r>
        <w:rPr>
          <w:rFonts w:ascii="Times New Roman" w:hAnsi="Times New Roman"/>
        </w:rPr>
        <w:t>的测量结果：</w:t>
      </w:r>
    </w:p>
    <w:p w14:paraId="69D12002">
      <w:pPr>
        <w:pStyle w:val="113"/>
        <w:rPr>
          <w:rFonts w:hint="eastAsia"/>
        </w:rPr>
      </w:pPr>
      <w:r>
        <w:tab/>
      </w:r>
      <w:r>
        <w:rPr>
          <w:position w:val="-12"/>
        </w:rPr>
        <w:object>
          <v:shape id="_x0000_i1054" o:spt="75" type="#_x0000_t75" style="height:18.45pt;width:72pt;" o:ole="t" filled="f" o:preferrelative="t" stroked="f" coordsize="21600,21600">
            <v:path/>
            <v:fill on="f" focussize="0,0"/>
            <v:stroke on="f" joinstyle="miter"/>
            <v:imagedata r:id="rId99" o:title=""/>
            <o:lock v:ext="edit" aspectratio="t"/>
            <w10:wrap type="none"/>
            <w10:anchorlock/>
          </v:shape>
          <o:OLEObject Type="Embed" ProgID="Equation.DSMT4" ShapeID="_x0000_i1054" DrawAspect="Content" ObjectID="_1468075754" r:id="rId98">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16C5DF72">
      <w:pPr>
        <w:pStyle w:val="55"/>
        <w:ind w:firstLine="420"/>
      </w:pPr>
      <w:r>
        <w:rPr>
          <w:rFonts w:hint="eastAsia"/>
        </w:rPr>
        <w:t>式中：</w:t>
      </w:r>
    </w:p>
    <w:p w14:paraId="4019CF69">
      <w:pPr>
        <w:pStyle w:val="55"/>
        <w:ind w:firstLine="420"/>
      </w:pPr>
      <w:r>
        <w:rPr>
          <w:position w:val="-6"/>
        </w:rPr>
        <w:object>
          <v:shape id="_x0000_i1055" o:spt="75" type="#_x0000_t75" style="height:11.55pt;width:5.55pt;" o:ole="t" filled="f" o:preferrelative="t" stroked="f" coordsize="21600,21600">
            <v:path/>
            <v:fill on="f" focussize="0,0"/>
            <v:stroke on="f" joinstyle="miter"/>
            <v:imagedata r:id="rId95" o:title=""/>
            <o:lock v:ext="edit" aspectratio="t"/>
            <w10:wrap type="none"/>
            <w10:anchorlock/>
          </v:shape>
          <o:OLEObject Type="Embed" ProgID="Equation.DSMT4" ShapeID="_x0000_i1055" DrawAspect="Content" ObjectID="_1468075755" r:id="rId100">
            <o:LockedField>false</o:LockedField>
          </o:OLEObject>
        </w:object>
      </w:r>
      <w:r>
        <w:rPr>
          <w:rFonts w:hint="eastAsia" w:ascii="Times New Roman" w:hAnsi="Times New Roman"/>
          <w:i/>
          <w:iCs/>
        </w:rPr>
        <w:t>——</w:t>
      </w:r>
      <w:r>
        <w:rPr>
          <w:rFonts w:hint="eastAsia"/>
        </w:rPr>
        <w:t>位置的序号，</w:t>
      </w:r>
      <w:r>
        <w:rPr>
          <w:position w:val="-8"/>
        </w:rPr>
        <w:object>
          <v:shape id="_x0000_i1056" o:spt="75" type="#_x0000_t75" style="height:13.85pt;width:47.55pt;" o:ole="t" filled="f" o:preferrelative="t" stroked="f" coordsize="21600,21600">
            <v:path/>
            <v:fill on="f" focussize="0,0"/>
            <v:stroke on="f" joinstyle="miter"/>
            <v:imagedata r:id="rId102" o:title=""/>
            <o:lock v:ext="edit" aspectratio="t"/>
            <w10:wrap type="none"/>
            <w10:anchorlock/>
          </v:shape>
          <o:OLEObject Type="Embed" ProgID="Equation.DSMT4" ShapeID="_x0000_i1056" DrawAspect="Content" ObjectID="_1468075756" r:id="rId101">
            <o:LockedField>false</o:LockedField>
          </o:OLEObject>
        </w:object>
      </w:r>
      <w:r>
        <w:rPr>
          <w:rFonts w:hint="eastAsia"/>
        </w:rPr>
        <w:t>。</w:t>
      </w:r>
    </w:p>
    <w:p w14:paraId="3936D56C">
      <w:pPr>
        <w:pStyle w:val="56"/>
        <w:ind w:firstLine="420"/>
      </w:pPr>
      <w:r>
        <w:rPr>
          <w:rFonts w:hint="eastAsia"/>
        </w:rPr>
        <w:t>平面测量完整率是指结构光三维测量系统在指定扫描条件下，对标准平面表面有效点云数据的捕获能力，表征为有效点云面积与理论平面面积的百分比比值。各位置平面测量完整率可以表示为：</w:t>
      </w:r>
    </w:p>
    <w:p w14:paraId="07A667C1">
      <w:pPr>
        <w:pStyle w:val="113"/>
        <w:rPr>
          <w:rFonts w:hint="eastAsia"/>
        </w:rPr>
      </w:pPr>
      <w:r>
        <w:tab/>
      </w:r>
      <w:r>
        <w:rPr>
          <w:position w:val="-28"/>
        </w:rPr>
        <w:object>
          <v:shape id="_x0000_i1057" o:spt="75" type="#_x0000_t75" style="height:32.3pt;width:58.15pt;" o:ole="t" filled="f" o:preferrelative="t" stroked="f" coordsize="21600,21600">
            <v:path/>
            <v:fill on="f" focussize="0,0"/>
            <v:stroke on="f" joinstyle="miter"/>
            <v:imagedata r:id="rId104" o:title=""/>
            <o:lock v:ext="edit" aspectratio="t"/>
            <w10:wrap type="none"/>
            <w10:anchorlock/>
          </v:shape>
          <o:OLEObject Type="Embed" ProgID="Equation.DSMT4" ShapeID="_x0000_i1057" DrawAspect="Content" ObjectID="_1468075757" r:id="rId103">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15E71096">
      <w:pPr>
        <w:pStyle w:val="55"/>
        <w:spacing w:line="240" w:lineRule="auto"/>
        <w:ind w:firstLine="420"/>
      </w:pPr>
      <w:r>
        <w:rPr>
          <w:rFonts w:hint="eastAsia"/>
        </w:rPr>
        <w:t>式中：</w:t>
      </w:r>
    </w:p>
    <w:p w14:paraId="5C740A2E">
      <w:pPr>
        <w:pStyle w:val="55"/>
        <w:spacing w:line="240" w:lineRule="auto"/>
        <w:ind w:firstLine="420"/>
        <w:rPr>
          <w:rFonts w:ascii="Times New Roman" w:hAnsi="Times New Roman"/>
          <w:color w:val="24292F"/>
          <w:shd w:val="clear" w:color="auto" w:fill="FFFFFF"/>
        </w:rPr>
      </w:pPr>
      <w:r>
        <w:rPr>
          <w:position w:val="-10"/>
        </w:rPr>
        <w:object>
          <v:shape id="_x0000_i1058" o:spt="75" type="#_x0000_t75" style="height:17.1pt;width:17.1pt;" o:ole="t" filled="f" o:preferrelative="t" stroked="f" coordsize="21600,21600">
            <v:path/>
            <v:fill on="f" focussize="0,0"/>
            <v:stroke on="f" joinstyle="miter"/>
            <v:imagedata r:id="rId106" o:title=""/>
            <o:lock v:ext="edit" aspectratio="t"/>
            <w10:wrap type="none"/>
            <w10:anchorlock/>
          </v:shape>
          <o:OLEObject Type="Embed" ProgID="Equation.DSMT4" ShapeID="_x0000_i1058" DrawAspect="Content" ObjectID="_1468075758" r:id="rId105">
            <o:LockedField>false</o:LockedField>
          </o:OLEObject>
        </w:object>
      </w:r>
      <w:r>
        <w:rPr>
          <w:rFonts w:hint="eastAsia"/>
        </w:rPr>
        <w:t>——</w:t>
      </w:r>
      <w:r>
        <w:t>测量点云所表征的实测面积，</w:t>
      </w:r>
      <w:r>
        <w:rPr>
          <w:color w:val="24292F"/>
          <w:shd w:val="clear" w:color="auto" w:fill="FFFFFF"/>
        </w:rPr>
        <w:t>（</w:t>
      </w:r>
      <w:r>
        <w:rPr>
          <w:rFonts w:ascii="Times New Roman" w:hAnsi="Times New Roman"/>
          <w:color w:val="24292F"/>
          <w:shd w:val="clear" w:color="auto" w:fill="FFFFFF"/>
        </w:rPr>
        <w:t>单位：</w:t>
      </w:r>
      <w:r>
        <w:rPr>
          <w:rFonts w:hint="eastAsia" w:ascii="Times New Roman" w:hAnsi="Times New Roman"/>
          <w:iCs/>
          <w:color w:val="24292F"/>
          <w:shd w:val="clear" w:color="auto" w:fill="FFFFFF"/>
        </w:rPr>
        <w:t>mm</w:t>
      </w:r>
      <w:r>
        <w:rPr>
          <w:rFonts w:ascii="Times New Roman" w:hAnsi="Times New Roman"/>
          <w:color w:val="24292F"/>
          <w:shd w:val="clear" w:color="auto" w:fill="FFFFFF"/>
        </w:rPr>
        <w:t>²）；</w:t>
      </w:r>
    </w:p>
    <w:p w14:paraId="6AB76FAF">
      <w:pPr>
        <w:pStyle w:val="55"/>
        <w:spacing w:line="240" w:lineRule="auto"/>
        <w:ind w:firstLine="420"/>
        <w:rPr>
          <w:rFonts w:ascii="Times New Roman" w:hAnsi="Times New Roman"/>
          <w:color w:val="24292F"/>
          <w:shd w:val="clear" w:color="auto" w:fill="FFFFFF"/>
        </w:rPr>
      </w:pPr>
      <w:r>
        <w:rPr>
          <w:rFonts w:ascii="Times New Roman" w:hAnsi="Times New Roman"/>
          <w:position w:val="-10"/>
        </w:rPr>
        <w:object>
          <v:shape id="_x0000_i1059" o:spt="75" type="#_x0000_t75" style="height:17.1pt;width:13.85pt;" o:ole="t" filled="f" o:preferrelative="t" stroked="f" coordsize="21600,21600">
            <v:path/>
            <v:fill on="f" focussize="0,0"/>
            <v:stroke on="f" joinstyle="miter"/>
            <v:imagedata r:id="rId108" o:title=""/>
            <o:lock v:ext="edit" aspectratio="t"/>
            <w10:wrap type="none"/>
            <w10:anchorlock/>
          </v:shape>
          <o:OLEObject Type="Embed" ProgID="Equation.DSMT4" ShapeID="_x0000_i1059" DrawAspect="Content" ObjectID="_1468075759" r:id="rId107">
            <o:LockedField>false</o:LockedField>
          </o:OLEObject>
        </w:object>
      </w:r>
      <w:r>
        <w:rPr>
          <w:rFonts w:hint="eastAsia" w:ascii="Times New Roman" w:hAnsi="Times New Roman"/>
          <w:color w:val="24292F"/>
          <w:shd w:val="clear" w:color="auto" w:fill="FFFFFF"/>
        </w:rPr>
        <w:t>——</w:t>
      </w:r>
      <w:r>
        <w:rPr>
          <w:rFonts w:ascii="Times New Roman" w:hAnsi="Times New Roman"/>
          <w:color w:val="24292F"/>
          <w:shd w:val="clear" w:color="auto" w:fill="FFFFFF"/>
        </w:rPr>
        <w:t>标准平面的测量视场区域面积（单位：</w:t>
      </w:r>
      <w:r>
        <w:rPr>
          <w:rFonts w:ascii="Times New Roman" w:hAnsi="Times New Roman"/>
          <w:iCs/>
          <w:color w:val="24292F"/>
          <w:shd w:val="clear" w:color="auto" w:fill="FFFFFF"/>
        </w:rPr>
        <w:t>mm</w:t>
      </w:r>
      <w:r>
        <w:rPr>
          <w:rFonts w:ascii="Times New Roman" w:hAnsi="Times New Roman"/>
          <w:color w:val="24292F"/>
          <w:shd w:val="clear" w:color="auto" w:fill="FFFFFF"/>
        </w:rPr>
        <w:t>²）。</w:t>
      </w:r>
    </w:p>
    <w:p w14:paraId="1A4478C6">
      <w:pPr>
        <w:pStyle w:val="56"/>
        <w:ind w:firstLine="420"/>
      </w:pPr>
      <w:r>
        <w:rPr>
          <w:rFonts w:hint="eastAsia"/>
        </w:rPr>
        <w:t>取各位置中最小值，作为平面测量完整率</w:t>
      </w:r>
      <w:r>
        <w:rPr>
          <w:rFonts w:ascii="Times New Roman"/>
          <w:i/>
        </w:rPr>
        <w:t>Comp</w:t>
      </w:r>
      <w:r>
        <w:rPr>
          <w:rFonts w:hint="eastAsia"/>
        </w:rPr>
        <w:t>的测量结果：</w:t>
      </w:r>
    </w:p>
    <w:p w14:paraId="4FDA027F">
      <w:pPr>
        <w:pStyle w:val="113"/>
        <w:rPr>
          <w:rFonts w:hint="eastAsia"/>
        </w:rPr>
      </w:pPr>
      <w:r>
        <w:tab/>
      </w:r>
      <w:r>
        <w:rPr>
          <w:position w:val="-12"/>
        </w:rPr>
        <w:object>
          <v:shape id="_x0000_i1060" o:spt="75" type="#_x0000_t75" style="height:18.45pt;width:101.55pt;" o:ole="t" filled="f" o:preferrelative="t" stroked="f" coordsize="21600,21600">
            <v:path/>
            <v:fill on="f" focussize="0,0"/>
            <v:stroke on="f" joinstyle="miter"/>
            <v:imagedata r:id="rId110" o:title=""/>
            <o:lock v:ext="edit" aspectratio="t"/>
            <w10:wrap type="none"/>
            <w10:anchorlock/>
          </v:shape>
          <o:OLEObject Type="Embed" ProgID="Equation.DSMT4" ShapeID="_x0000_i1060" DrawAspect="Content" ObjectID="_1468075760" r:id="rId109">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799E8F4F">
      <w:pPr>
        <w:pStyle w:val="55"/>
        <w:ind w:firstLine="420"/>
      </w:pPr>
      <w:r>
        <w:rPr>
          <w:rFonts w:hint="eastAsia"/>
        </w:rPr>
        <w:t>式中：</w:t>
      </w:r>
    </w:p>
    <w:p w14:paraId="52ECCD59">
      <w:pPr>
        <w:pStyle w:val="55"/>
        <w:ind w:firstLine="420"/>
      </w:pPr>
      <w:r>
        <w:rPr>
          <w:position w:val="-6"/>
        </w:rPr>
        <w:object>
          <v:shape id="_x0000_i1061" o:spt="75" type="#_x0000_t75" style="height:11.55pt;width:5.55pt;" o:ole="t" filled="f" o:preferrelative="t" stroked="f" coordsize="21600,21600">
            <v:path/>
            <v:fill on="f" focussize="0,0"/>
            <v:stroke on="f" joinstyle="miter"/>
            <v:imagedata r:id="rId95" o:title=""/>
            <o:lock v:ext="edit" aspectratio="t"/>
            <w10:wrap type="none"/>
            <w10:anchorlock/>
          </v:shape>
          <o:OLEObject Type="Embed" ProgID="Equation.DSMT4" ShapeID="_x0000_i1061" DrawAspect="Content" ObjectID="_1468075761" r:id="rId111">
            <o:LockedField>false</o:LockedField>
          </o:OLEObject>
        </w:object>
      </w:r>
      <w:r>
        <w:rPr>
          <w:rFonts w:hint="eastAsia" w:ascii="Times New Roman" w:hAnsi="Times New Roman"/>
          <w:i/>
          <w:iCs/>
        </w:rPr>
        <w:t>——</w:t>
      </w:r>
      <w:r>
        <w:rPr>
          <w:rFonts w:hint="eastAsia"/>
        </w:rPr>
        <w:t>位置的序号，</w:t>
      </w:r>
      <w:r>
        <w:rPr>
          <w:position w:val="-8"/>
        </w:rPr>
        <w:object>
          <v:shape id="_x0000_i1062" o:spt="75" type="#_x0000_t75" style="height:13.85pt;width:47.55pt;" o:ole="t" filled="f" o:preferrelative="t" stroked="f" coordsize="21600,21600">
            <v:path/>
            <v:fill on="f" focussize="0,0"/>
            <v:stroke on="f" joinstyle="miter"/>
            <v:imagedata r:id="rId102" o:title=""/>
            <o:lock v:ext="edit" aspectratio="t"/>
            <w10:wrap type="none"/>
            <w10:anchorlock/>
          </v:shape>
          <o:OLEObject Type="Embed" ProgID="Equation.DSMT4" ShapeID="_x0000_i1062" DrawAspect="Content" ObjectID="_1468075762" r:id="rId112">
            <o:LockedField>false</o:LockedField>
          </o:OLEObject>
        </w:object>
      </w:r>
      <w:r>
        <w:t>。</w:t>
      </w:r>
    </w:p>
    <w:p w14:paraId="618EAEB7">
      <w:pPr>
        <w:pStyle w:val="65"/>
        <w:keepNext/>
        <w:spacing w:before="120" w:after="120"/>
      </w:pPr>
      <w:r>
        <w:rPr>
          <w:rFonts w:hint="eastAsia"/>
        </w:rPr>
        <w:t>多视角系统</w:t>
      </w:r>
    </w:p>
    <w:p w14:paraId="39D18516">
      <w:pPr>
        <w:pStyle w:val="56"/>
        <w:autoSpaceDE/>
        <w:autoSpaceDN/>
        <w:ind w:firstLine="420"/>
        <w:rPr>
          <w:rFonts w:ascii="Times New Roman"/>
        </w:rPr>
      </w:pPr>
      <w:r>
        <w:rPr>
          <w:rFonts w:ascii="Times New Roman"/>
        </w:rPr>
        <w:t>平面形状探测误差</w:t>
      </w:r>
      <w:r>
        <w:rPr>
          <w:rFonts w:ascii="Times New Roman"/>
          <w:i/>
          <w:iCs/>
        </w:rPr>
        <w:t>F</w:t>
      </w:r>
      <w:r>
        <w:rPr>
          <w:rFonts w:hint="eastAsia" w:ascii="Times New Roman"/>
          <w:vertAlign w:val="subscript"/>
        </w:rPr>
        <w:t>s</w:t>
      </w:r>
      <w:r>
        <w:rPr>
          <w:rFonts w:ascii="Times New Roman"/>
        </w:rPr>
        <w:t>及平面测量完整率</w:t>
      </w:r>
      <w:r>
        <w:rPr>
          <w:rFonts w:ascii="Times New Roman"/>
          <w:i/>
          <w:iCs/>
        </w:rPr>
        <w:t>Comp</w:t>
      </w:r>
      <w:r>
        <w:rPr>
          <w:rFonts w:ascii="Times New Roman"/>
        </w:rPr>
        <w:t>应在整个测量范围6个不同位置分别测量。建议按照图4所示布置和测量标准器。多视角测量以使点云应尽可能完整地覆盖标准平面的表面。每个位置，利用所有单幅图像的点云共同计算得到该位置的公共拟合平面。</w:t>
      </w:r>
    </w:p>
    <w:p w14:paraId="35EB7855">
      <w:pPr>
        <w:pStyle w:val="56"/>
        <w:autoSpaceDE/>
        <w:autoSpaceDN/>
        <w:ind w:firstLine="420"/>
        <w:rPr>
          <w:rFonts w:ascii="Times New Roman"/>
        </w:rPr>
      </w:pPr>
      <w:r>
        <w:rPr>
          <w:rFonts w:ascii="Times New Roman"/>
          <w:i/>
          <w:iCs/>
        </w:rPr>
        <w:t>F</w:t>
      </w:r>
      <w:r>
        <w:rPr>
          <w:rFonts w:ascii="Times New Roman"/>
        </w:rPr>
        <w:t>和</w:t>
      </w:r>
      <w:r>
        <w:rPr>
          <w:rFonts w:ascii="Times New Roman"/>
          <w:i/>
          <w:iCs/>
        </w:rPr>
        <w:t>Comp</w:t>
      </w:r>
      <w:r>
        <w:rPr>
          <w:rFonts w:ascii="Times New Roman"/>
        </w:rPr>
        <w:t>的计算方法见</w:t>
      </w:r>
      <w:r>
        <w:rPr>
          <w:rFonts w:hint="eastAsia" w:ascii="Times New Roman"/>
        </w:rPr>
        <w:t>6</w:t>
      </w:r>
      <w:r>
        <w:rPr>
          <w:rFonts w:ascii="Times New Roman"/>
        </w:rPr>
        <w:t>.</w:t>
      </w:r>
      <w:r>
        <w:rPr>
          <w:rFonts w:hint="eastAsia" w:ascii="Times New Roman"/>
        </w:rPr>
        <w:t>1</w:t>
      </w:r>
      <w:r>
        <w:rPr>
          <w:rFonts w:ascii="Times New Roman"/>
        </w:rPr>
        <w:t>.1，公式(</w:t>
      </w:r>
      <w:r>
        <w:rPr>
          <w:rFonts w:hint="eastAsia" w:ascii="Times New Roman"/>
        </w:rPr>
        <w:t>8</w:t>
      </w:r>
      <w:r>
        <w:rPr>
          <w:rFonts w:ascii="Times New Roman"/>
        </w:rPr>
        <w:t>)~公式(</w:t>
      </w:r>
      <w:r>
        <w:rPr>
          <w:rFonts w:hint="eastAsia" w:ascii="Times New Roman"/>
        </w:rPr>
        <w:t>10</w:t>
      </w:r>
      <w:r>
        <w:rPr>
          <w:rFonts w:ascii="Times New Roman"/>
        </w:rPr>
        <w:t>)。</w:t>
      </w:r>
    </w:p>
    <w:p w14:paraId="6E066A18">
      <w:pPr>
        <w:spacing w:line="240" w:lineRule="auto"/>
        <w:ind w:firstLine="420" w:firstLineChars="200"/>
        <w:rPr>
          <w:rFonts w:ascii="Times New Roman" w:hAnsi="Times New Roman"/>
        </w:rPr>
      </w:pPr>
      <w:r>
        <w:rPr>
          <w:rFonts w:hint="eastAsia" w:ascii="Times New Roman" w:hAnsi="Times New Roman"/>
        </w:rPr>
        <w:t>高动态范围反射率表面三维测量系统的测量精度由平</w:t>
      </w:r>
      <w:r>
        <w:rPr>
          <w:rFonts w:ascii="Times New Roman"/>
        </w:rPr>
        <w:t>面形状探测误差</w:t>
      </w:r>
      <w:r>
        <w:rPr>
          <w:rFonts w:ascii="Times New Roman"/>
          <w:i/>
          <w:iCs/>
        </w:rPr>
        <w:t>F</w:t>
      </w:r>
      <w:r>
        <w:rPr>
          <w:rFonts w:ascii="Times New Roman"/>
        </w:rPr>
        <w:t>及平面测量完整率</w:t>
      </w:r>
      <w:r>
        <w:rPr>
          <w:rFonts w:ascii="Times New Roman"/>
          <w:i/>
          <w:iCs/>
        </w:rPr>
        <w:t>Comp</w:t>
      </w:r>
      <w:r>
        <w:rPr>
          <w:rFonts w:hint="eastAsia"/>
        </w:rPr>
        <w:t>表征。</w:t>
      </w:r>
    </w:p>
    <w:p w14:paraId="044BC535">
      <w:pPr>
        <w:pStyle w:val="105"/>
        <w:spacing w:before="120" w:after="120"/>
      </w:pPr>
      <w:bookmarkStart w:id="96" w:name="_Toc196060562"/>
      <w:bookmarkStart w:id="97" w:name="_Toc196145322"/>
      <w:r>
        <w:rPr>
          <w:rFonts w:hint="eastAsia"/>
        </w:rPr>
        <w:t>校准装置</w:t>
      </w:r>
      <w:bookmarkEnd w:id="96"/>
      <w:bookmarkEnd w:id="97"/>
    </w:p>
    <w:p w14:paraId="0A1AB486">
      <w:pPr>
        <w:pStyle w:val="56"/>
        <w:autoSpaceDE/>
        <w:autoSpaceDN/>
        <w:ind w:firstLine="420"/>
      </w:pPr>
      <w:r>
        <w:rPr>
          <w:rFonts w:hint="eastAsia"/>
        </w:rPr>
        <w:t>高动态范围反射率平面标准器校准法校准装置为具有如表3所示技术参数的标准平面。</w:t>
      </w:r>
    </w:p>
    <w:p w14:paraId="34068894">
      <w:pPr>
        <w:pStyle w:val="112"/>
        <w:spacing w:before="120" w:after="120"/>
      </w:pPr>
      <w:r>
        <w:rPr>
          <w:rFonts w:hint="eastAsia"/>
        </w:rPr>
        <w:t>平面标准器技术要求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7076"/>
      </w:tblGrid>
      <w:tr w14:paraId="65C06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tcBorders>
              <w:top w:val="single" w:color="auto" w:sz="8" w:space="0"/>
              <w:bottom w:val="single" w:color="auto" w:sz="8" w:space="0"/>
            </w:tcBorders>
            <w:shd w:val="clear" w:color="auto" w:fill="auto"/>
            <w:vAlign w:val="center"/>
          </w:tcPr>
          <w:p w14:paraId="79B25407">
            <w:pPr>
              <w:spacing w:line="240" w:lineRule="auto"/>
              <w:jc w:val="center"/>
              <w:rPr>
                <w:rFonts w:ascii="Times New Roman" w:hAnsi="Times New Roman"/>
                <w:b/>
                <w:bCs/>
                <w:sz w:val="18"/>
              </w:rPr>
            </w:pPr>
            <w:r>
              <w:rPr>
                <w:rFonts w:ascii="Times New Roman" w:hAnsi="Times New Roman"/>
                <w:b/>
                <w:bCs/>
                <w:sz w:val="18"/>
              </w:rPr>
              <w:t>参数</w:t>
            </w:r>
          </w:p>
        </w:tc>
        <w:tc>
          <w:tcPr>
            <w:tcW w:w="7076" w:type="dxa"/>
            <w:tcBorders>
              <w:top w:val="single" w:color="auto" w:sz="8" w:space="0"/>
              <w:bottom w:val="single" w:color="auto" w:sz="8" w:space="0"/>
            </w:tcBorders>
            <w:shd w:val="clear" w:color="auto" w:fill="auto"/>
            <w:vAlign w:val="center"/>
          </w:tcPr>
          <w:p w14:paraId="494E8E92">
            <w:pPr>
              <w:spacing w:line="240" w:lineRule="auto"/>
              <w:jc w:val="center"/>
              <w:rPr>
                <w:rFonts w:ascii="Times New Roman" w:hAnsi="Times New Roman"/>
                <w:b/>
                <w:bCs/>
                <w:sz w:val="18"/>
              </w:rPr>
            </w:pPr>
            <w:r>
              <w:rPr>
                <w:rFonts w:ascii="Times New Roman" w:hAnsi="Times New Roman"/>
                <w:b/>
                <w:bCs/>
                <w:sz w:val="18"/>
              </w:rPr>
              <w:t>技术要求</w:t>
            </w:r>
          </w:p>
        </w:tc>
      </w:tr>
      <w:tr w14:paraId="3B758E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tcBorders>
            <w:shd w:val="clear" w:color="auto" w:fill="auto"/>
            <w:vAlign w:val="center"/>
          </w:tcPr>
          <w:p w14:paraId="20EDF6C1">
            <w:pPr>
              <w:spacing w:line="240" w:lineRule="auto"/>
              <w:jc w:val="center"/>
              <w:rPr>
                <w:rFonts w:ascii="Times New Roman" w:hAnsi="Times New Roman"/>
                <w:sz w:val="18"/>
              </w:rPr>
            </w:pPr>
            <w:r>
              <w:rPr>
                <w:rFonts w:ascii="Times New Roman" w:hAnsi="Times New Roman"/>
                <w:sz w:val="18"/>
              </w:rPr>
              <w:t>材质</w:t>
            </w:r>
          </w:p>
        </w:tc>
        <w:tc>
          <w:tcPr>
            <w:tcW w:w="7076" w:type="dxa"/>
            <w:tcBorders>
              <w:top w:val="single" w:color="auto" w:sz="8" w:space="0"/>
            </w:tcBorders>
            <w:shd w:val="clear" w:color="auto" w:fill="auto"/>
            <w:vAlign w:val="center"/>
          </w:tcPr>
          <w:p w14:paraId="6420053B">
            <w:pPr>
              <w:spacing w:line="240" w:lineRule="auto"/>
              <w:ind w:firstLine="180" w:firstLineChars="100"/>
              <w:rPr>
                <w:rFonts w:ascii="Times New Roman" w:hAnsi="Times New Roman"/>
                <w:sz w:val="18"/>
              </w:rPr>
            </w:pPr>
            <w:r>
              <w:rPr>
                <w:rFonts w:hint="eastAsia" w:ascii="Times New Roman" w:hAnsi="Times New Roman"/>
                <w:sz w:val="18"/>
              </w:rPr>
              <w:t>钢、碳化硅等</w:t>
            </w:r>
          </w:p>
        </w:tc>
      </w:tr>
      <w:tr w14:paraId="07EFE7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27E25448">
            <w:pPr>
              <w:spacing w:line="240" w:lineRule="auto"/>
              <w:jc w:val="center"/>
              <w:rPr>
                <w:rFonts w:ascii="Times New Roman" w:hAnsi="Times New Roman"/>
                <w:sz w:val="18"/>
              </w:rPr>
            </w:pPr>
            <w:r>
              <w:rPr>
                <w:rFonts w:ascii="Times New Roman" w:hAnsi="Times New Roman"/>
                <w:sz w:val="18"/>
              </w:rPr>
              <w:t>加工工艺</w:t>
            </w:r>
          </w:p>
        </w:tc>
        <w:tc>
          <w:tcPr>
            <w:tcW w:w="7076" w:type="dxa"/>
            <w:shd w:val="clear" w:color="auto" w:fill="auto"/>
            <w:vAlign w:val="center"/>
          </w:tcPr>
          <w:p w14:paraId="30C81C3C">
            <w:pPr>
              <w:spacing w:line="240" w:lineRule="auto"/>
              <w:ind w:firstLine="180" w:firstLineChars="100"/>
              <w:rPr>
                <w:rFonts w:ascii="Times New Roman" w:hAnsi="Times New Roman"/>
                <w:sz w:val="18"/>
              </w:rPr>
            </w:pPr>
            <w:r>
              <w:rPr>
                <w:rFonts w:ascii="Times New Roman" w:hAnsi="Times New Roman"/>
                <w:sz w:val="18"/>
              </w:rPr>
              <w:t>端铣/研磨，无镀膜</w:t>
            </w:r>
          </w:p>
        </w:tc>
      </w:tr>
      <w:tr w14:paraId="5BD9A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2EBBB241">
            <w:pPr>
              <w:spacing w:line="240" w:lineRule="auto"/>
              <w:jc w:val="center"/>
              <w:rPr>
                <w:rFonts w:ascii="Times New Roman" w:hAnsi="Times New Roman"/>
                <w:sz w:val="18"/>
              </w:rPr>
            </w:pPr>
            <w:r>
              <w:rPr>
                <w:rFonts w:hint="eastAsia" w:ascii="Times New Roman" w:hAnsi="Times New Roman"/>
                <w:sz w:val="18"/>
              </w:rPr>
              <w:t>尺寸大小</w:t>
            </w:r>
          </w:p>
        </w:tc>
        <w:tc>
          <w:tcPr>
            <w:tcW w:w="7076" w:type="dxa"/>
            <w:shd w:val="clear" w:color="auto" w:fill="auto"/>
            <w:vAlign w:val="center"/>
          </w:tcPr>
          <w:p w14:paraId="71B22F9E">
            <w:pPr>
              <w:spacing w:line="240" w:lineRule="auto"/>
              <w:ind w:firstLine="180" w:firstLineChars="100"/>
              <w:rPr>
                <w:rFonts w:ascii="Times New Roman" w:hAnsi="Times New Roman"/>
                <w:sz w:val="18"/>
              </w:rPr>
            </w:pPr>
            <w:r>
              <w:rPr>
                <w:rFonts w:hint="eastAsia" w:ascii="Times New Roman" w:hAnsi="Times New Roman"/>
                <w:sz w:val="18"/>
              </w:rPr>
              <w:t>工作面尺寸不小于0.5</w:t>
            </w:r>
            <w:r>
              <w:rPr>
                <w:rFonts w:hint="eastAsia" w:ascii="Times New Roman" w:hAnsi="Times New Roman"/>
                <w:i/>
                <w:iCs/>
                <w:sz w:val="18"/>
              </w:rPr>
              <w:t>L</w:t>
            </w:r>
            <w:r>
              <w:rPr>
                <w:rFonts w:hint="eastAsia" w:ascii="Times New Roman" w:hAnsi="Times New Roman"/>
                <w:sz w:val="18"/>
                <w:vertAlign w:val="subscript"/>
              </w:rPr>
              <w:t>S</w:t>
            </w:r>
            <w:r>
              <w:rPr>
                <w:rFonts w:hint="eastAsia" w:ascii="Times New Roman" w:hAnsi="Times New Roman"/>
                <w:sz w:val="18"/>
              </w:rPr>
              <w:t>×50 mm</w:t>
            </w:r>
          </w:p>
        </w:tc>
      </w:tr>
      <w:tr w14:paraId="529079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19954642">
            <w:pPr>
              <w:spacing w:line="240" w:lineRule="auto"/>
              <w:jc w:val="center"/>
              <w:rPr>
                <w:rFonts w:ascii="Times New Roman" w:hAnsi="Times New Roman"/>
                <w:sz w:val="18"/>
              </w:rPr>
            </w:pPr>
            <w:r>
              <w:rPr>
                <w:rFonts w:ascii="Times New Roman" w:hAnsi="Times New Roman"/>
                <w:sz w:val="18"/>
              </w:rPr>
              <w:t>表面粗糙度</w:t>
            </w:r>
          </w:p>
        </w:tc>
        <w:tc>
          <w:tcPr>
            <w:tcW w:w="7076" w:type="dxa"/>
            <w:shd w:val="clear" w:color="auto" w:fill="auto"/>
            <w:vAlign w:val="center"/>
          </w:tcPr>
          <w:p w14:paraId="29DD33A2">
            <w:pPr>
              <w:spacing w:line="240" w:lineRule="auto"/>
              <w:ind w:firstLine="180" w:firstLineChars="100"/>
              <w:rPr>
                <w:rFonts w:ascii="Times New Roman" w:hAnsi="Times New Roman"/>
                <w:sz w:val="18"/>
              </w:rPr>
            </w:pPr>
            <w:r>
              <w:rPr>
                <w:rFonts w:hint="eastAsia" w:ascii="Times New Roman" w:hAnsi="Times New Roman"/>
                <w:sz w:val="18"/>
              </w:rPr>
              <w:t>钢质（Ra 0.1~Ra 0.8）</w:t>
            </w:r>
          </w:p>
          <w:p w14:paraId="0EB50BC0">
            <w:pPr>
              <w:spacing w:line="240" w:lineRule="auto"/>
              <w:ind w:firstLine="180" w:firstLineChars="100"/>
              <w:rPr>
                <w:rFonts w:ascii="Times New Roman" w:hAnsi="Times New Roman"/>
                <w:sz w:val="18"/>
              </w:rPr>
            </w:pPr>
            <w:r>
              <w:rPr>
                <w:rFonts w:hint="eastAsia" w:ascii="Times New Roman" w:hAnsi="Times New Roman"/>
                <w:sz w:val="18"/>
              </w:rPr>
              <w:t>碳化硅等（Ra 0.1~Ra 0.8）</w:t>
            </w:r>
          </w:p>
        </w:tc>
      </w:tr>
      <w:tr w14:paraId="6C961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0BA337C5">
            <w:pPr>
              <w:spacing w:line="240" w:lineRule="auto"/>
              <w:jc w:val="center"/>
              <w:rPr>
                <w:rFonts w:ascii="Times New Roman" w:hAnsi="Times New Roman"/>
                <w:sz w:val="18"/>
              </w:rPr>
            </w:pPr>
            <w:r>
              <w:rPr>
                <w:rFonts w:ascii="Times New Roman" w:hAnsi="Times New Roman"/>
                <w:sz w:val="18"/>
              </w:rPr>
              <w:t>尺寸误差</w:t>
            </w:r>
          </w:p>
        </w:tc>
        <w:tc>
          <w:tcPr>
            <w:tcW w:w="7076" w:type="dxa"/>
            <w:shd w:val="clear" w:color="auto" w:fill="auto"/>
            <w:vAlign w:val="center"/>
          </w:tcPr>
          <w:p w14:paraId="0F9F47E7">
            <w:pPr>
              <w:spacing w:line="240" w:lineRule="auto"/>
              <w:ind w:firstLine="180" w:firstLineChars="100"/>
              <w:rPr>
                <w:rFonts w:ascii="Times New Roman" w:hAnsi="Times New Roman"/>
                <w:sz w:val="18"/>
              </w:rPr>
            </w:pPr>
            <w:r>
              <w:rPr>
                <w:rFonts w:ascii="Times New Roman" w:hAnsi="Times New Roman"/>
                <w:sz w:val="18"/>
              </w:rPr>
              <w:t>优于标准器长度的0.05%</w:t>
            </w:r>
          </w:p>
        </w:tc>
      </w:tr>
      <w:tr w14:paraId="5AA2E9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55592589">
            <w:pPr>
              <w:spacing w:line="240" w:lineRule="auto"/>
              <w:jc w:val="center"/>
              <w:rPr>
                <w:rFonts w:ascii="Times New Roman" w:hAnsi="Times New Roman"/>
                <w:sz w:val="18"/>
              </w:rPr>
            </w:pPr>
            <w:r>
              <w:rPr>
                <w:rFonts w:ascii="Times New Roman" w:hAnsi="Times New Roman"/>
                <w:sz w:val="18"/>
              </w:rPr>
              <w:t>平面度误差</w:t>
            </w:r>
          </w:p>
        </w:tc>
        <w:tc>
          <w:tcPr>
            <w:tcW w:w="7076" w:type="dxa"/>
            <w:shd w:val="clear" w:color="auto" w:fill="auto"/>
            <w:vAlign w:val="center"/>
          </w:tcPr>
          <w:p w14:paraId="5801DDB2">
            <w:pPr>
              <w:spacing w:line="240" w:lineRule="auto"/>
              <w:ind w:firstLine="180" w:firstLineChars="100"/>
              <w:rPr>
                <w:rFonts w:ascii="Times New Roman" w:hAnsi="Times New Roman"/>
                <w:sz w:val="18"/>
              </w:rPr>
            </w:pPr>
            <w:r>
              <w:rPr>
                <w:rFonts w:ascii="Times New Roman" w:hAnsi="Times New Roman"/>
                <w:sz w:val="18"/>
              </w:rPr>
              <w:t>优于被测仪器平面形状探测误差的1/</w:t>
            </w:r>
            <w:r>
              <w:rPr>
                <w:rFonts w:hint="eastAsia" w:ascii="Times New Roman" w:hAnsi="Times New Roman"/>
                <w:sz w:val="18"/>
              </w:rPr>
              <w:t>4</w:t>
            </w:r>
          </w:p>
        </w:tc>
      </w:tr>
      <w:tr w14:paraId="4AD80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2"/>
            <w:shd w:val="clear" w:color="auto" w:fill="auto"/>
            <w:vAlign w:val="center"/>
          </w:tcPr>
          <w:p w14:paraId="328F9F1E">
            <w:pPr>
              <w:spacing w:line="240" w:lineRule="auto"/>
              <w:ind w:firstLine="180" w:firstLineChars="100"/>
              <w:rPr>
                <w:rFonts w:ascii="Times New Roman" w:hAnsi="Times New Roman"/>
                <w:sz w:val="18"/>
              </w:rPr>
            </w:pPr>
            <w:r>
              <w:rPr>
                <w:rFonts w:ascii="Times New Roman" w:hAnsi="Times New Roman"/>
                <w:i/>
                <w:iCs/>
                <w:sz w:val="18"/>
              </w:rPr>
              <w:t>L</w:t>
            </w:r>
            <w:r>
              <w:rPr>
                <w:rFonts w:ascii="Times New Roman" w:hAnsi="Times New Roman"/>
                <w:sz w:val="18"/>
                <w:vertAlign w:val="subscript"/>
              </w:rPr>
              <w:t>S</w:t>
            </w:r>
            <w:r>
              <w:rPr>
                <w:rFonts w:hint="eastAsia" w:ascii="Times New Roman" w:hAnsi="Times New Roman"/>
                <w:sz w:val="18"/>
              </w:rPr>
              <w:t>—结构光测量系统测量范围立方体的空间对角线长度，由制造厂商给出。</w:t>
            </w:r>
          </w:p>
        </w:tc>
      </w:tr>
    </w:tbl>
    <w:p w14:paraId="31C49D5D">
      <w:pPr>
        <w:pStyle w:val="56"/>
        <w:autoSpaceDE/>
        <w:autoSpaceDN/>
        <w:spacing w:before="120" w:beforeLines="50"/>
        <w:ind w:firstLine="420"/>
        <w:rPr>
          <w:rFonts w:ascii="Times New Roman"/>
        </w:rPr>
      </w:pPr>
      <w:r>
        <w:rPr>
          <w:rFonts w:ascii="Times New Roman"/>
        </w:rPr>
        <w:t>标准平面应由钢和碳化硅等不同反射率材质制成，中间为碳化硅，外围为钢，满足测量视场内测量高动态范围反射率表面的要求，如图4所示。</w:t>
      </w:r>
    </w:p>
    <w:p w14:paraId="5ED5D146">
      <w:pPr>
        <w:pStyle w:val="56"/>
        <w:ind w:firstLine="199" w:firstLineChars="95"/>
        <w:jc w:val="center"/>
      </w:pPr>
      <w:r>
        <w:drawing>
          <wp:inline distT="0" distB="0" distL="0" distR="0">
            <wp:extent cx="2135505" cy="1389380"/>
            <wp:effectExtent l="0" t="0" r="0" b="1270"/>
            <wp:docPr id="119542219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22191" name="图片 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0" y="0"/>
                      <a:ext cx="2145909" cy="1396624"/>
                    </a:xfrm>
                    <a:prstGeom prst="rect">
                      <a:avLst/>
                    </a:prstGeom>
                    <a:noFill/>
                  </pic:spPr>
                </pic:pic>
              </a:graphicData>
            </a:graphic>
          </wp:inline>
        </w:drawing>
      </w:r>
    </w:p>
    <w:p w14:paraId="69D92505">
      <w:pPr>
        <w:pStyle w:val="114"/>
        <w:spacing w:before="120" w:after="120"/>
        <w:rPr>
          <w:rFonts w:ascii="Times New Roman"/>
        </w:rPr>
      </w:pPr>
      <w:r>
        <w:rPr>
          <w:rFonts w:hint="eastAsia" w:ascii="Times New Roman"/>
        </w:rPr>
        <w:t>标准平面</w:t>
      </w:r>
      <w:r>
        <w:rPr>
          <w:rFonts w:hint="eastAsia"/>
        </w:rPr>
        <w:t>示意图</w:t>
      </w:r>
    </w:p>
    <w:p w14:paraId="4A6E1572">
      <w:pPr>
        <w:pStyle w:val="105"/>
        <w:spacing w:before="120" w:after="120"/>
      </w:pPr>
      <w:bookmarkStart w:id="98" w:name="_Toc196060563"/>
      <w:bookmarkStart w:id="99" w:name="_Toc196145323"/>
      <w:r>
        <w:rPr>
          <w:rFonts w:hint="eastAsia"/>
        </w:rPr>
        <w:t>校准条件</w:t>
      </w:r>
      <w:bookmarkEnd w:id="98"/>
      <w:bookmarkEnd w:id="99"/>
    </w:p>
    <w:p w14:paraId="1672FCE4">
      <w:pPr>
        <w:pStyle w:val="65"/>
        <w:spacing w:before="120" w:after="120"/>
      </w:pPr>
      <w:r>
        <w:rPr>
          <w:rFonts w:hint="eastAsia"/>
        </w:rPr>
        <w:t>环境条件</w:t>
      </w:r>
    </w:p>
    <w:p w14:paraId="545C8713">
      <w:pPr>
        <w:pStyle w:val="56"/>
        <w:ind w:firstLine="420"/>
      </w:pPr>
      <w:r>
        <w:rPr>
          <w:rFonts w:hint="eastAsia"/>
        </w:rPr>
        <w:t>环境条件，包括环境的振动，背景光、环境温度及其均匀性、变化率等，应在不确定度评定中进行考虑。同时，不应有影响测量的其他环境因素。</w:t>
      </w:r>
    </w:p>
    <w:p w14:paraId="7CB6D258">
      <w:pPr>
        <w:pStyle w:val="65"/>
        <w:spacing w:before="120" w:after="120"/>
      </w:pPr>
      <w:r>
        <w:rPr>
          <w:rFonts w:hint="eastAsia"/>
        </w:rPr>
        <w:t>校准用软件</w:t>
      </w:r>
    </w:p>
    <w:p w14:paraId="0CB07022">
      <w:pPr>
        <w:pStyle w:val="174"/>
        <w:numPr>
          <w:ilvl w:val="0"/>
          <w:numId w:val="38"/>
        </w:numPr>
      </w:pPr>
      <w:r>
        <w:rPr>
          <w:rFonts w:hint="eastAsia"/>
        </w:rPr>
        <w:t>校准过程中应使用设备的配套（数据采集和数据处理）软件；</w:t>
      </w:r>
    </w:p>
    <w:p w14:paraId="67CA8D0F">
      <w:pPr>
        <w:pStyle w:val="174"/>
        <w:numPr>
          <w:ilvl w:val="0"/>
          <w:numId w:val="38"/>
        </w:numPr>
      </w:pPr>
      <w:r>
        <w:rPr>
          <w:rFonts w:hint="eastAsia"/>
        </w:rPr>
        <w:t>设定图像采集处理的点间距、快门时间、稀疏点云参数、剔除率、拟合算法等。</w:t>
      </w:r>
    </w:p>
    <w:p w14:paraId="609267F1">
      <w:pPr>
        <w:pStyle w:val="179"/>
      </w:pPr>
    </w:p>
    <w:p w14:paraId="6BAA6D2D">
      <w:pPr>
        <w:pStyle w:val="109"/>
        <w:numPr>
          <w:ilvl w:val="1"/>
          <w:numId w:val="39"/>
        </w:numPr>
      </w:pPr>
      <w:r>
        <w:rPr>
          <w:rFonts w:hint="eastAsia"/>
        </w:rPr>
        <w:t>需要稀疏点云时，应按照使用说明书进行。如果制造商未规定这些参数，则不考虑稀疏点云。</w:t>
      </w:r>
    </w:p>
    <w:p w14:paraId="042B5562">
      <w:pPr>
        <w:pStyle w:val="109"/>
        <w:numPr>
          <w:ilvl w:val="1"/>
          <w:numId w:val="39"/>
        </w:numPr>
      </w:pPr>
      <w:r>
        <w:rPr>
          <w:rFonts w:hint="eastAsia"/>
        </w:rPr>
        <w:t>剔除率设定为</w:t>
      </w:r>
      <w:r>
        <w:rPr>
          <w:rFonts w:ascii="Times New Roman"/>
        </w:rPr>
        <w:t>0.3%。</w:t>
      </w:r>
    </w:p>
    <w:p w14:paraId="7C398E14">
      <w:pPr>
        <w:pStyle w:val="109"/>
        <w:numPr>
          <w:ilvl w:val="1"/>
          <w:numId w:val="39"/>
        </w:numPr>
      </w:pPr>
      <w:r>
        <w:rPr>
          <w:rFonts w:hint="eastAsia"/>
        </w:rPr>
        <w:t>除厂商明确规定外，拟合算法推荐采用最小二乘法。</w:t>
      </w:r>
    </w:p>
    <w:p w14:paraId="470C8309">
      <w:pPr>
        <w:pStyle w:val="105"/>
        <w:spacing w:before="120" w:after="120"/>
      </w:pPr>
      <w:bookmarkStart w:id="100" w:name="_Toc196060564"/>
      <w:bookmarkStart w:id="101" w:name="_Toc196145324"/>
      <w:r>
        <w:rPr>
          <w:rFonts w:hint="eastAsia"/>
        </w:rPr>
        <w:t>校准方法</w:t>
      </w:r>
      <w:bookmarkEnd w:id="100"/>
      <w:bookmarkEnd w:id="101"/>
    </w:p>
    <w:p w14:paraId="661A5B61">
      <w:pPr>
        <w:pStyle w:val="65"/>
        <w:spacing w:before="120" w:after="120"/>
      </w:pPr>
      <w:r>
        <w:rPr>
          <w:rFonts w:hint="eastAsia"/>
        </w:rPr>
        <w:t>校准前准备</w:t>
      </w:r>
    </w:p>
    <w:p w14:paraId="1C308B2E">
      <w:pPr>
        <w:pStyle w:val="56"/>
        <w:ind w:firstLine="420"/>
      </w:pPr>
      <w:r>
        <w:rPr>
          <w:rFonts w:hint="eastAsia"/>
        </w:rPr>
        <w:t>校准前作如下准备：</w:t>
      </w:r>
    </w:p>
    <w:p w14:paraId="0D582F9E">
      <w:pPr>
        <w:pStyle w:val="56"/>
        <w:numPr>
          <w:ilvl w:val="0"/>
          <w:numId w:val="40"/>
        </w:numPr>
        <w:ind w:firstLineChars="0"/>
      </w:pPr>
      <w:r>
        <w:rPr>
          <w:rFonts w:hint="eastAsia"/>
        </w:rPr>
        <w:t>清洁结构光三维测量系统和标准器，不应有影响校准操作的多余物；</w:t>
      </w:r>
    </w:p>
    <w:p w14:paraId="0B2773F4">
      <w:pPr>
        <w:pStyle w:val="56"/>
        <w:numPr>
          <w:ilvl w:val="0"/>
          <w:numId w:val="40"/>
        </w:numPr>
        <w:ind w:firstLineChars="0"/>
      </w:pPr>
      <w:r>
        <w:rPr>
          <w:rFonts w:hint="eastAsia"/>
        </w:rPr>
        <w:t>结构光三维测量系统的配置与安装；</w:t>
      </w:r>
    </w:p>
    <w:p w14:paraId="039809EC">
      <w:pPr>
        <w:pStyle w:val="56"/>
        <w:numPr>
          <w:ilvl w:val="0"/>
          <w:numId w:val="40"/>
        </w:numPr>
        <w:ind w:firstLineChars="0"/>
      </w:pPr>
      <w:r>
        <w:rPr>
          <w:rFonts w:hint="eastAsia"/>
        </w:rPr>
        <w:t>对操作模式进行设置，包括照明的类型和亮度、测量范围、系统用传感器的类型、数量和分布等；</w:t>
      </w:r>
    </w:p>
    <w:p w14:paraId="7AC151A3">
      <w:pPr>
        <w:pStyle w:val="56"/>
        <w:numPr>
          <w:ilvl w:val="0"/>
          <w:numId w:val="40"/>
        </w:numPr>
        <w:ind w:firstLineChars="0"/>
      </w:pPr>
      <w:r>
        <w:rPr>
          <w:rFonts w:hint="eastAsia"/>
        </w:rPr>
        <w:t>结构光三维测量系统标定。</w:t>
      </w:r>
    </w:p>
    <w:p w14:paraId="6565CF2D">
      <w:pPr>
        <w:pStyle w:val="65"/>
        <w:spacing w:before="120" w:after="120"/>
      </w:pPr>
      <w:r>
        <w:rPr>
          <w:rFonts w:hint="eastAsia"/>
        </w:rPr>
        <w:t>校准步骤</w:t>
      </w:r>
    </w:p>
    <w:p w14:paraId="0DC9E005">
      <w:pPr>
        <w:pStyle w:val="56"/>
        <w:ind w:firstLine="420"/>
      </w:pPr>
      <w:r>
        <w:rPr>
          <w:rFonts w:hint="eastAsia"/>
        </w:rPr>
        <w:t>校准步骤如下：</w:t>
      </w:r>
    </w:p>
    <w:p w14:paraId="14A3DE29">
      <w:pPr>
        <w:pStyle w:val="56"/>
        <w:numPr>
          <w:ilvl w:val="0"/>
          <w:numId w:val="41"/>
        </w:numPr>
        <w:autoSpaceDE/>
        <w:autoSpaceDN/>
        <w:ind w:firstLineChars="0"/>
        <w:rPr>
          <w:rFonts w:ascii="Times New Roman"/>
        </w:rPr>
      </w:pPr>
      <w:r>
        <w:rPr>
          <w:rFonts w:hint="eastAsia"/>
        </w:rPr>
        <w:t>结构光三维测量系统的启动/预热周期；</w:t>
      </w:r>
    </w:p>
    <w:p w14:paraId="6D8E832A">
      <w:pPr>
        <w:pStyle w:val="56"/>
        <w:numPr>
          <w:ilvl w:val="0"/>
          <w:numId w:val="41"/>
        </w:numPr>
        <w:autoSpaceDE/>
        <w:autoSpaceDN/>
        <w:ind w:firstLineChars="0"/>
        <w:rPr>
          <w:rFonts w:ascii="Times New Roman"/>
        </w:rPr>
      </w:pPr>
      <w:r>
        <w:rPr>
          <w:rFonts w:ascii="Times New Roman"/>
        </w:rPr>
        <w:t>将</w:t>
      </w:r>
      <w:r>
        <w:rPr>
          <w:rFonts w:hint="eastAsia" w:ascii="Times New Roman"/>
        </w:rPr>
        <w:t>高动态范围反射率标准平面</w:t>
      </w:r>
      <w:r>
        <w:rPr>
          <w:rFonts w:ascii="Times New Roman"/>
        </w:rPr>
        <w:t>按图</w:t>
      </w:r>
      <w:r>
        <w:rPr>
          <w:rFonts w:hint="eastAsia" w:ascii="Times New Roman"/>
        </w:rPr>
        <w:t>4</w:t>
      </w:r>
      <w:r>
        <w:rPr>
          <w:rFonts w:ascii="Times New Roman"/>
        </w:rPr>
        <w:t>所示依次摆放</w:t>
      </w:r>
      <w:r>
        <w:rPr>
          <w:rFonts w:hint="eastAsia" w:ascii="Times New Roman"/>
        </w:rPr>
        <w:t>6个</w:t>
      </w:r>
      <w:r>
        <w:rPr>
          <w:rFonts w:ascii="Times New Roman"/>
        </w:rPr>
        <w:t>位置</w:t>
      </w:r>
      <w:r>
        <w:rPr>
          <w:rFonts w:hint="eastAsia" w:ascii="Times New Roman"/>
        </w:rPr>
        <w:t>；</w:t>
      </w:r>
    </w:p>
    <w:p w14:paraId="0F4ACBE9">
      <w:pPr>
        <w:pStyle w:val="56"/>
        <w:numPr>
          <w:ilvl w:val="0"/>
          <w:numId w:val="41"/>
        </w:numPr>
        <w:autoSpaceDE/>
        <w:autoSpaceDN/>
        <w:ind w:firstLineChars="0"/>
        <w:rPr>
          <w:rFonts w:ascii="Times New Roman"/>
        </w:rPr>
      </w:pPr>
      <w:r>
        <w:rPr>
          <w:rFonts w:ascii="Times New Roman"/>
        </w:rPr>
        <w:t>在</w:t>
      </w:r>
      <w:r>
        <w:rPr>
          <w:rFonts w:hint="eastAsia" w:ascii="Times New Roman"/>
        </w:rPr>
        <w:t>每个</w:t>
      </w:r>
      <w:r>
        <w:rPr>
          <w:rFonts w:ascii="Times New Roman"/>
        </w:rPr>
        <w:t>位置</w:t>
      </w:r>
      <w:r>
        <w:rPr>
          <w:rFonts w:hint="eastAsia" w:ascii="Times New Roman"/>
        </w:rPr>
        <w:t>，</w:t>
      </w:r>
      <w:r>
        <w:rPr>
          <w:rFonts w:ascii="Times New Roman"/>
        </w:rPr>
        <w:t>使用被校</w:t>
      </w:r>
      <w:r>
        <w:rPr>
          <w:rFonts w:hint="eastAsia" w:ascii="Times New Roman"/>
        </w:rPr>
        <w:t>结构光</w:t>
      </w:r>
      <w:r>
        <w:rPr>
          <w:rFonts w:ascii="Times New Roman"/>
        </w:rPr>
        <w:t>三维测量系统测量</w:t>
      </w:r>
      <w:r>
        <w:rPr>
          <w:rFonts w:hint="eastAsia" w:ascii="Times New Roman"/>
        </w:rPr>
        <w:t>高动态范围反射率标准平面</w:t>
      </w:r>
      <w:r>
        <w:rPr>
          <w:rFonts w:ascii="Times New Roman"/>
        </w:rPr>
        <w:t>；</w:t>
      </w:r>
    </w:p>
    <w:p w14:paraId="437D619E">
      <w:pPr>
        <w:pStyle w:val="56"/>
        <w:numPr>
          <w:ilvl w:val="0"/>
          <w:numId w:val="41"/>
        </w:numPr>
        <w:autoSpaceDE/>
        <w:autoSpaceDN/>
        <w:ind w:firstLineChars="0"/>
        <w:rPr>
          <w:rFonts w:ascii="Times New Roman"/>
        </w:rPr>
      </w:pPr>
      <w:r>
        <w:rPr>
          <w:rFonts w:ascii="Times New Roman"/>
        </w:rPr>
        <w:t>根据获取的三维数据计算</w:t>
      </w:r>
      <w:r>
        <w:rPr>
          <w:rFonts w:hint="eastAsia" w:ascii="Times New Roman"/>
        </w:rPr>
        <w:t>平面形状探测误差及平面测量完整率</w:t>
      </w:r>
      <w:r>
        <w:rPr>
          <w:rFonts w:ascii="Times New Roman"/>
        </w:rPr>
        <w:t>。</w:t>
      </w:r>
    </w:p>
    <w:p w14:paraId="4DF09EDC">
      <w:pPr>
        <w:pStyle w:val="105"/>
        <w:spacing w:before="120" w:after="120"/>
      </w:pPr>
      <w:bookmarkStart w:id="102" w:name="_Toc196060565"/>
      <w:bookmarkStart w:id="103" w:name="_Toc196145325"/>
      <w:r>
        <w:rPr>
          <w:rFonts w:hint="eastAsia"/>
        </w:rPr>
        <w:t>测量不确定度</w:t>
      </w:r>
      <w:bookmarkEnd w:id="102"/>
      <w:bookmarkEnd w:id="103"/>
    </w:p>
    <w:p w14:paraId="230B3EF5">
      <w:pPr>
        <w:pStyle w:val="56"/>
        <w:ind w:firstLine="420"/>
      </w:pPr>
      <w:r>
        <w:rPr>
          <w:rFonts w:hint="eastAsia"/>
        </w:rPr>
        <w:t>按要求进行校准时,高动态范围反射率平面标准器校准法的测量不确定度优于被测仪器平面形状探测误差的1/3。</w:t>
      </w:r>
    </w:p>
    <w:p w14:paraId="4069441B">
      <w:pPr>
        <w:pStyle w:val="104"/>
        <w:keepNext/>
        <w:spacing w:before="240" w:after="240"/>
      </w:pPr>
      <w:bookmarkStart w:id="104" w:name="_Toc196060572"/>
      <w:bookmarkStart w:id="105" w:name="_Toc196145326"/>
      <w:r>
        <w:rPr>
          <w:rFonts w:hint="eastAsia"/>
        </w:rPr>
        <w:t>校准结果</w:t>
      </w:r>
      <w:bookmarkEnd w:id="104"/>
      <w:bookmarkEnd w:id="105"/>
    </w:p>
    <w:p w14:paraId="21668D83">
      <w:pPr>
        <w:pStyle w:val="56"/>
        <w:ind w:firstLine="420"/>
        <w:rPr>
          <w:rFonts w:ascii="Times New Roman"/>
        </w:rPr>
      </w:pPr>
      <w:r>
        <w:rPr>
          <w:rFonts w:ascii="Times New Roman"/>
        </w:rPr>
        <w:t>经校准的结构光测量系统出具校准证书，校准证书应符合JJF1071—2010中5.12的要求，其中校准结果及其不确定度部分列出校准</w:t>
      </w:r>
      <w:r>
        <w:rPr>
          <w:rFonts w:hint="eastAsia" w:ascii="Times New Roman"/>
        </w:rPr>
        <w:t>方法</w:t>
      </w:r>
      <w:r>
        <w:rPr>
          <w:rFonts w:ascii="Times New Roman"/>
        </w:rPr>
        <w:t>及数据，并注明</w:t>
      </w:r>
      <w:r>
        <w:rPr>
          <w:rFonts w:hint="eastAsia" w:ascii="Times New Roman"/>
        </w:rPr>
        <w:t>测量环境（温度、湿度、振动）、测量时间、测量人员、</w:t>
      </w:r>
      <w:r>
        <w:rPr>
          <w:rFonts w:ascii="Times New Roman"/>
        </w:rPr>
        <w:t>点间距、快门时间、稀疏点云参数、删除点的比例、拟合算法、使用软件的生产商和版本号等必要信息。</w:t>
      </w:r>
    </w:p>
    <w:p w14:paraId="764F9BED">
      <w:pPr>
        <w:pStyle w:val="104"/>
        <w:spacing w:before="240" w:after="240"/>
      </w:pPr>
      <w:bookmarkStart w:id="106" w:name="_Toc196145327"/>
      <w:bookmarkStart w:id="107" w:name="_Toc195113273"/>
      <w:bookmarkStart w:id="108" w:name="_Toc195113302"/>
      <w:bookmarkStart w:id="109" w:name="_Toc196060573"/>
      <w:r>
        <w:rPr>
          <w:rFonts w:hint="eastAsia"/>
        </w:rPr>
        <w:t>复校时间间隔</w:t>
      </w:r>
      <w:bookmarkEnd w:id="106"/>
      <w:bookmarkEnd w:id="107"/>
      <w:bookmarkEnd w:id="108"/>
      <w:bookmarkEnd w:id="109"/>
    </w:p>
    <w:p w14:paraId="671DBBEC">
      <w:pPr>
        <w:pStyle w:val="56"/>
        <w:autoSpaceDE/>
        <w:autoSpaceDN/>
        <w:ind w:firstLine="420"/>
        <w:rPr>
          <w:rFonts w:ascii="Times New Roman"/>
        </w:rPr>
      </w:pPr>
      <w:r>
        <w:rPr>
          <w:rFonts w:ascii="Times New Roman"/>
        </w:rPr>
        <w:t>使用者根据实际使用情况决定复校时间间隔。建议复校间隔一般不超过1年。</w:t>
      </w:r>
    </w:p>
    <w:p w14:paraId="12E41F51">
      <w:pPr>
        <w:pStyle w:val="56"/>
        <w:ind w:firstLine="0" w:firstLineChars="0"/>
        <w:sectPr>
          <w:pgSz w:w="11906" w:h="16838"/>
          <w:pgMar w:top="1928" w:right="1134" w:bottom="1134" w:left="1134" w:header="1418" w:footer="1134" w:gutter="284"/>
          <w:pgNumType w:start="1"/>
          <w:cols w:space="425" w:num="1"/>
          <w:formProt w:val="0"/>
          <w:docGrid w:linePitch="312" w:charSpace="0"/>
        </w:sectPr>
      </w:pPr>
    </w:p>
    <w:bookmarkEnd w:id="27"/>
    <w:p w14:paraId="54922EE1">
      <w:pPr>
        <w:pStyle w:val="198"/>
        <w:rPr>
          <w:rFonts w:hint="eastAsia"/>
          <w:vanish w:val="0"/>
        </w:rPr>
      </w:pPr>
      <w:bookmarkStart w:id="110" w:name="BookMark5"/>
    </w:p>
    <w:p w14:paraId="071D6062">
      <w:pPr>
        <w:pStyle w:val="199"/>
        <w:rPr>
          <w:vanish w:val="0"/>
        </w:rPr>
      </w:pPr>
    </w:p>
    <w:p w14:paraId="0D073FA2">
      <w:pPr>
        <w:pStyle w:val="76"/>
        <w:spacing w:after="120"/>
      </w:pPr>
      <w:r>
        <w:br w:type="textWrapping"/>
      </w:r>
      <w:bookmarkStart w:id="111" w:name="_Toc195113274"/>
      <w:bookmarkStart w:id="112" w:name="_Toc195113303"/>
      <w:bookmarkStart w:id="113" w:name="_Toc196060574"/>
      <w:bookmarkStart w:id="114" w:name="_Toc196145328"/>
      <w:r>
        <w:rPr>
          <w:rFonts w:hint="eastAsia"/>
        </w:rPr>
        <w:t>（资料性）</w:t>
      </w:r>
      <w:r>
        <w:br w:type="textWrapping"/>
      </w:r>
      <w:r>
        <w:rPr>
          <w:rFonts w:hint="eastAsia"/>
        </w:rPr>
        <w:t>不确定度评定示例</w:t>
      </w:r>
      <w:bookmarkEnd w:id="111"/>
      <w:bookmarkEnd w:id="112"/>
      <w:bookmarkEnd w:id="113"/>
      <w:bookmarkEnd w:id="114"/>
    </w:p>
    <w:p w14:paraId="6A20EDE2">
      <w:pPr>
        <w:widowControl/>
        <w:spacing w:line="240" w:lineRule="auto"/>
        <w:ind w:firstLine="420" w:firstLineChars="200"/>
        <w:rPr>
          <w:rFonts w:ascii="Times New Roman" w:hAnsi="Times New Roman"/>
        </w:rPr>
      </w:pPr>
      <w:r>
        <w:rPr>
          <w:rFonts w:ascii="Times New Roman" w:hAnsi="Times New Roman"/>
        </w:rPr>
        <w:t>假设结构光三维系统具有温度补偿效果，测量选用高</w:t>
      </w:r>
      <w:r>
        <w:rPr>
          <w:rFonts w:hint="eastAsia" w:ascii="Times New Roman" w:hAnsi="Times New Roman"/>
        </w:rPr>
        <w:t>动态范围反射率</w:t>
      </w:r>
      <w:r>
        <w:rPr>
          <w:rFonts w:ascii="Times New Roman" w:hAnsi="Times New Roman"/>
        </w:rPr>
        <w:t>标准球，参考直径为</w:t>
      </w:r>
      <w:r>
        <w:rPr>
          <w:rFonts w:ascii="Times New Roman" w:hAnsi="Times New Roman"/>
          <w:position w:val="-4"/>
        </w:rPr>
        <w:object>
          <v:shape id="_x0000_i1063" o:spt="75" type="#_x0000_t75" style="height:11.55pt;width:11.55pt;" o:ole="t" filled="f" o:preferrelative="t" stroked="f" coordsize="21600,21600">
            <v:path/>
            <v:fill on="f" focussize="0,0"/>
            <v:stroke on="f" joinstyle="miter"/>
            <v:imagedata r:id="rId115" o:title=""/>
            <o:lock v:ext="edit" aspectratio="t"/>
            <w10:wrap type="none"/>
            <w10:anchorlock/>
          </v:shape>
          <o:OLEObject Type="Embed" ProgID="Equation.DSMT4" ShapeID="_x0000_i1063" DrawAspect="Content" ObjectID="_1468075763" r:id="rId114">
            <o:LockedField>false</o:LockedField>
          </o:OLEObject>
        </w:object>
      </w:r>
      <w:r>
        <w:rPr>
          <w:rFonts w:ascii="Times New Roman" w:hAnsi="Times New Roman"/>
        </w:rPr>
        <w:t>，测量不确定度为</w:t>
      </w:r>
      <w:r>
        <w:rPr>
          <w:rFonts w:ascii="Times New Roman" w:hAnsi="Times New Roman"/>
          <w:position w:val="-6"/>
        </w:rPr>
        <w:object>
          <v:shape id="_x0000_i1064" o:spt="75" type="#_x0000_t75" style="height:12.45pt;width:11.55pt;" o:ole="t" filled="f" o:preferrelative="t" stroked="f" coordsize="21600,21600">
            <v:path/>
            <v:fill on="f" focussize="0,0"/>
            <v:stroke on="f" joinstyle="miter"/>
            <v:imagedata r:id="rId117" o:title=""/>
            <o:lock v:ext="edit" aspectratio="t"/>
            <w10:wrap type="none"/>
            <w10:anchorlock/>
          </v:shape>
          <o:OLEObject Type="Embed" ProgID="Equation.DSMT4" ShapeID="_x0000_i1064" DrawAspect="Content" ObjectID="_1468075764" r:id="rId116">
            <o:LockedField>false</o:LockedField>
          </o:OLEObject>
        </w:object>
      </w:r>
      <w:r>
        <w:rPr>
          <w:rFonts w:ascii="Times New Roman" w:hAnsi="Times New Roman"/>
        </w:rPr>
        <w:t>，测量环境温度在</w:t>
      </w:r>
      <w:r>
        <w:rPr>
          <w:rFonts w:ascii="Times New Roman" w:hAnsi="Times New Roman"/>
          <w:position w:val="-10"/>
        </w:rPr>
        <w:object>
          <v:shape id="_x0000_i1065" o:spt="75" type="#_x0000_t75" style="height:16.15pt;width:32.3pt;" o:ole="t" filled="f" o:preferrelative="t" stroked="f" coordsize="21600,21600">
            <v:path/>
            <v:fill on="f" focussize="0,0"/>
            <v:stroke on="f" joinstyle="miter"/>
            <v:imagedata r:id="rId119" o:title=""/>
            <o:lock v:ext="edit" aspectratio="t"/>
            <w10:wrap type="none"/>
            <w10:anchorlock/>
          </v:shape>
          <o:OLEObject Type="Embed" ProgID="Equation.DSMT4" ShapeID="_x0000_i1065" DrawAspect="Content" ObjectID="_1468075765" r:id="rId118">
            <o:LockedField>false</o:LockedField>
          </o:OLEObject>
        </w:object>
      </w:r>
      <w:r>
        <w:rPr>
          <w:rFonts w:ascii="Times New Roman" w:hAnsi="Times New Roman"/>
        </w:rPr>
        <w:t>内，温度测量误差优于</w:t>
      </w:r>
      <w:r>
        <w:rPr>
          <w:rFonts w:ascii="Times New Roman" w:hAnsi="Times New Roman"/>
          <w:position w:val="-6"/>
        </w:rPr>
        <w:object>
          <v:shape id="_x0000_i1066" o:spt="75" type="#_x0000_t75" style="height:12.45pt;width:13.85pt;" o:ole="t" filled="f" o:preferrelative="t" stroked="f" coordsize="21600,21600">
            <v:path/>
            <v:fill on="f" focussize="0,0"/>
            <v:stroke on="f" joinstyle="miter"/>
            <v:imagedata r:id="rId121" o:title=""/>
            <o:lock v:ext="edit" aspectratio="t"/>
            <w10:wrap type="none"/>
            <w10:anchorlock/>
          </v:shape>
          <o:OLEObject Type="Embed" ProgID="Equation.DSMT4" ShapeID="_x0000_i1066" DrawAspect="Content" ObjectID="_1468075766" r:id="rId120">
            <o:LockedField>false</o:LockedField>
          </o:OLEObject>
        </w:object>
      </w:r>
      <w:r>
        <w:rPr>
          <w:rFonts w:ascii="Times New Roman" w:hAnsi="Times New Roman"/>
        </w:rPr>
        <w:t>，热膨胀系数为</w:t>
      </w:r>
      <w:r>
        <w:rPr>
          <w:rFonts w:ascii="Times New Roman" w:hAnsi="Times New Roman"/>
          <w:position w:val="-4"/>
        </w:rPr>
        <w:object>
          <v:shape id="_x0000_i1067" o:spt="75" type="#_x0000_t75" style="height:11.55pt;width:12.45pt;" o:ole="t" filled="f" o:preferrelative="t" stroked="f" coordsize="21600,21600">
            <v:path/>
            <v:fill on="f" focussize="0,0"/>
            <v:stroke on="f" joinstyle="miter"/>
            <v:imagedata r:id="rId123" o:title=""/>
            <o:lock v:ext="edit" aspectratio="t"/>
            <w10:wrap type="none"/>
            <w10:anchorlock/>
          </v:shape>
          <o:OLEObject Type="Embed" ProgID="Equation.DSMT4" ShapeID="_x0000_i1067" DrawAspect="Content" ObjectID="_1468075767" r:id="rId122">
            <o:LockedField>false</o:LockedField>
          </o:OLEObject>
        </w:object>
      </w:r>
      <w:r>
        <w:rPr>
          <w:rFonts w:ascii="Times New Roman" w:hAnsi="Times New Roman"/>
        </w:rPr>
        <w:t>，半宽区间为</w:t>
      </w:r>
      <w:r>
        <w:rPr>
          <w:rFonts w:ascii="Times New Roman" w:hAnsi="Times New Roman"/>
          <w:position w:val="-6"/>
        </w:rPr>
        <w:object>
          <v:shape id="_x0000_i1068" o:spt="75" type="#_x0000_t75" style="height:12.45pt;width:6.45pt;" o:ole="t" filled="f" o:preferrelative="t" stroked="f" coordsize="21600,21600">
            <v:path/>
            <v:fill on="f" focussize="0,0"/>
            <v:stroke on="f" joinstyle="miter"/>
            <v:imagedata r:id="rId125" o:title=""/>
            <o:lock v:ext="edit" aspectratio="t"/>
            <w10:wrap type="none"/>
            <w10:anchorlock/>
          </v:shape>
          <o:OLEObject Type="Embed" ProgID="Equation.DSMT4" ShapeID="_x0000_i1068" DrawAspect="Content" ObjectID="_1468075768" r:id="rId124">
            <o:LockedField>false</o:LockedField>
          </o:OLEObject>
        </w:object>
      </w:r>
      <w:r>
        <w:rPr>
          <w:rFonts w:ascii="Times New Roman" w:hAnsi="Times New Roman"/>
        </w:rPr>
        <w:t>。</w:t>
      </w:r>
    </w:p>
    <w:p w14:paraId="0C52F49C">
      <w:pPr>
        <w:widowControl/>
        <w:spacing w:line="240" w:lineRule="auto"/>
        <w:ind w:firstLine="420" w:firstLineChars="200"/>
        <w:rPr>
          <w:rFonts w:ascii="Times New Roman" w:hAnsi="Times New Roman"/>
        </w:rPr>
      </w:pPr>
      <w:r>
        <w:rPr>
          <w:rFonts w:ascii="Times New Roman" w:hAnsi="Times New Roman"/>
        </w:rPr>
        <w:t>测量模型：</w:t>
      </w:r>
    </w:p>
    <w:p w14:paraId="657EC1A9">
      <w:pPr>
        <w:pStyle w:val="113"/>
        <w:rPr>
          <w:rFonts w:ascii="Times New Roman" w:hAnsi="Times New Roman"/>
        </w:rPr>
      </w:pPr>
      <w:r>
        <w:rPr>
          <w:rFonts w:ascii="Times New Roman" w:hAnsi="Times New Roman"/>
        </w:rPr>
        <w:tab/>
      </w:r>
      <w:r>
        <w:rPr>
          <w:rFonts w:ascii="Times New Roman" w:hAnsi="Times New Roman"/>
          <w:position w:val="-16"/>
        </w:rPr>
        <w:object>
          <v:shape id="_x0000_i1069" o:spt="75" type="#_x0000_t75" style="height:20.3pt;width:155.55pt;" o:ole="t" filled="f" o:preferrelative="t" stroked="f" coordsize="21600,21600">
            <v:path/>
            <v:fill on="f" focussize="0,0"/>
            <v:stroke on="f" joinstyle="miter"/>
            <v:imagedata r:id="rId127" o:title=""/>
            <o:lock v:ext="edit" aspectratio="t"/>
            <w10:wrap type="none"/>
            <w10:anchorlock/>
          </v:shape>
          <o:OLEObject Type="Embed" ProgID="Equation.DSMT4" ShapeID="_x0000_i1069" DrawAspect="Content" ObjectID="_1468075769" r:id="rId126">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14:paraId="4AD86B0D">
      <w:pPr>
        <w:pStyle w:val="55"/>
        <w:ind w:firstLine="420"/>
        <w:rPr>
          <w:rFonts w:ascii="Times New Roman" w:hAnsi="Times New Roman"/>
        </w:rPr>
      </w:pPr>
      <w:r>
        <w:rPr>
          <w:rFonts w:ascii="Times New Roman" w:hAnsi="Times New Roman"/>
        </w:rPr>
        <w:t>式中：</w:t>
      </w:r>
    </w:p>
    <w:p w14:paraId="6B8FB8D2">
      <w:pPr>
        <w:widowControl/>
        <w:spacing w:line="240" w:lineRule="auto"/>
        <w:ind w:firstLine="420" w:firstLineChars="200"/>
        <w:textAlignment w:val="center"/>
        <w:rPr>
          <w:rFonts w:ascii="Times New Roman" w:hAnsi="Times New Roman"/>
        </w:rPr>
      </w:pPr>
      <w:r>
        <w:rPr>
          <w:rFonts w:ascii="Times New Roman" w:hAnsi="Times New Roman"/>
          <w:position w:val="-4"/>
        </w:rPr>
        <w:object>
          <v:shape id="_x0000_i1070" o:spt="75" type="#_x0000_t75" style="height:16.15pt;width:13.85pt;" o:ole="t" filled="f" o:preferrelative="t" stroked="f" coordsize="21600,21600">
            <v:path/>
            <v:fill on="f" focussize="0,0"/>
            <v:stroke on="f" joinstyle="miter"/>
            <v:imagedata r:id="rId129" o:title=""/>
            <o:lock v:ext="edit" aspectratio="t"/>
            <w10:wrap type="none"/>
            <w10:anchorlock/>
          </v:shape>
          <o:OLEObject Type="Embed" ProgID="Equation.DSMT4" ShapeID="_x0000_i1070" DrawAspect="Content" ObjectID="_1468075770" r:id="rId128">
            <o:LockedField>false</o:LockedField>
          </o:OLEObject>
        </w:object>
      </w:r>
      <w:r>
        <w:rPr>
          <w:rFonts w:ascii="Times New Roman" w:hAnsi="Times New Roman"/>
        </w:rPr>
        <w:t>——第</w:t>
      </w:r>
      <w:r>
        <w:rPr>
          <w:rFonts w:ascii="Times New Roman" w:hAnsi="Times New Roman"/>
          <w:i/>
          <w:iCs/>
        </w:rPr>
        <w:t>i</w:t>
      </w:r>
      <w:r>
        <w:rPr>
          <w:rFonts w:ascii="Times New Roman" w:hAnsi="Times New Roman"/>
        </w:rPr>
        <w:t>次测量球尺寸测量值，mm</w:t>
      </w:r>
      <w:r>
        <w:rPr>
          <w:rFonts w:hint="eastAsia" w:ascii="Times New Roman" w:hAnsi="Times New Roman"/>
        </w:rPr>
        <w:t>；</w:t>
      </w:r>
    </w:p>
    <w:p w14:paraId="03B24E19">
      <w:pPr>
        <w:widowControl/>
        <w:spacing w:line="240" w:lineRule="auto"/>
        <w:ind w:firstLine="420" w:firstLineChars="200"/>
        <w:rPr>
          <w:rFonts w:ascii="Times New Roman" w:hAnsi="Times New Roman"/>
        </w:rPr>
      </w:pPr>
      <w:r>
        <w:rPr>
          <w:position w:val="-4"/>
        </w:rPr>
        <w:object>
          <v:shape id="_x0000_i1071" o:spt="75" type="#_x0000_t75" style="height:11.55pt;width:11.55pt;" o:ole="t" filled="f" o:preferrelative="t" stroked="f" coordsize="21600,21600">
            <v:path/>
            <v:fill on="f" focussize="0,0"/>
            <v:stroke on="f" joinstyle="miter"/>
            <v:imagedata r:id="rId131" o:title=""/>
            <o:lock v:ext="edit" aspectratio="t"/>
            <w10:wrap type="none"/>
            <w10:anchorlock/>
          </v:shape>
          <o:OLEObject Type="Embed" ProgID="Equation.DSMT4" ShapeID="_x0000_i1071" DrawAspect="Content" ObjectID="_1468075771" r:id="rId130">
            <o:LockedField>false</o:LockedField>
          </o:OLEObject>
        </w:object>
      </w:r>
      <w:r>
        <w:rPr>
          <w:rFonts w:ascii="Times New Roman" w:hAnsi="Times New Roman"/>
        </w:rPr>
        <w:t>——</w:t>
      </w:r>
      <w:r>
        <w:rPr>
          <w:rFonts w:hint="eastAsia" w:ascii="Times New Roman" w:hAnsi="Times New Roman"/>
        </w:rPr>
        <w:t>高动态范围反射率</w:t>
      </w:r>
      <w:r>
        <w:rPr>
          <w:rFonts w:ascii="Times New Roman" w:hAnsi="Times New Roman"/>
        </w:rPr>
        <w:t>标准球球尺寸的参考值，mm。</w:t>
      </w:r>
    </w:p>
    <w:p w14:paraId="6A6AC7A8">
      <w:pPr>
        <w:widowControl/>
        <w:spacing w:line="240" w:lineRule="auto"/>
        <w:ind w:firstLine="420" w:firstLineChars="200"/>
        <w:rPr>
          <w:rFonts w:ascii="Times New Roman" w:hAnsi="Times New Roman"/>
        </w:rPr>
      </w:pPr>
      <w:r>
        <w:rPr>
          <w:rFonts w:ascii="Times New Roman" w:hAnsi="Times New Roman"/>
        </w:rPr>
        <w:t>合成标准不确定度计算公式：</w:t>
      </w:r>
    </w:p>
    <w:p w14:paraId="1D7A692D">
      <w:pPr>
        <w:pStyle w:val="113"/>
        <w:rPr>
          <w:rFonts w:ascii="Times New Roman" w:hAnsi="Times New Roman"/>
        </w:rPr>
      </w:pPr>
      <w:r>
        <w:rPr>
          <w:rFonts w:ascii="Times New Roman" w:hAnsi="Times New Roman"/>
        </w:rPr>
        <w:tab/>
      </w:r>
      <w:r>
        <w:rPr>
          <w:position w:val="-14"/>
        </w:rPr>
        <w:object>
          <v:shape id="_x0000_i1072" o:spt="75" type="#_x0000_t75" style="height:19.85pt;width:206.75pt;" o:ole="t" filled="f" o:preferrelative="t" stroked="f" coordsize="21600,21600">
            <v:path/>
            <v:fill on="f" focussize="0,0"/>
            <v:stroke on="f" joinstyle="miter"/>
            <v:imagedata r:id="rId133" o:title=""/>
            <o:lock v:ext="edit" aspectratio="t"/>
            <w10:wrap type="none"/>
            <w10:anchorlock/>
          </v:shape>
          <o:OLEObject Type="Embed" ProgID="Equation.DSMT4" ShapeID="_x0000_i1072" DrawAspect="Content" ObjectID="_1468075772" r:id="rId132">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p>
    <w:p w14:paraId="7C21A176">
      <w:pPr>
        <w:pStyle w:val="55"/>
        <w:ind w:firstLine="420"/>
        <w:rPr>
          <w:rFonts w:ascii="Times New Roman" w:hAnsi="Times New Roman"/>
        </w:rPr>
      </w:pPr>
      <w:r>
        <w:rPr>
          <w:rFonts w:ascii="Times New Roman" w:hAnsi="Times New Roman"/>
        </w:rPr>
        <w:t>式中：</w:t>
      </w:r>
    </w:p>
    <w:p w14:paraId="313C1BF6">
      <w:pPr>
        <w:widowControl/>
        <w:spacing w:line="240" w:lineRule="auto"/>
        <w:ind w:firstLine="420" w:firstLineChars="200"/>
        <w:textAlignment w:val="center"/>
        <w:rPr>
          <w:rFonts w:ascii="Times New Roman" w:hAnsi="Times New Roman"/>
        </w:rPr>
      </w:pPr>
      <w:r>
        <w:rPr>
          <w:position w:val="-4"/>
        </w:rPr>
        <w:object>
          <v:shape id="_x0000_i1073" o:spt="75" type="#_x0000_t75" style="height:16.15pt;width:28.15pt;" o:ole="t" filled="f" o:preferrelative="t" stroked="f" coordsize="21600,21600">
            <v:path/>
            <v:fill on="f" focussize="0,0"/>
            <v:stroke on="f" joinstyle="miter"/>
            <v:imagedata r:id="rId135" o:title=""/>
            <o:lock v:ext="edit" aspectratio="t"/>
            <w10:wrap type="none"/>
            <w10:anchorlock/>
          </v:shape>
          <o:OLEObject Type="Embed" ProgID="Equation.DSMT4" ShapeID="_x0000_i1073" DrawAspect="Content" ObjectID="_1468075773" r:id="rId134">
            <o:LockedField>false</o:LockedField>
          </o:OLEObject>
        </w:object>
      </w:r>
      <w:r>
        <w:rPr>
          <w:rFonts w:hint="eastAsia" w:ascii="Times New Roman" w:hAnsi="Times New Roman"/>
        </w:rPr>
        <w:t>——</w:t>
      </w:r>
      <w:r>
        <w:rPr>
          <w:rFonts w:ascii="Times New Roman" w:hAnsi="Times New Roman"/>
        </w:rPr>
        <w:t>测量重复性引入的标准不确定度分量；</w:t>
      </w:r>
    </w:p>
    <w:p w14:paraId="6A097C04">
      <w:pPr>
        <w:widowControl/>
        <w:spacing w:line="240" w:lineRule="auto"/>
        <w:ind w:firstLine="420" w:firstLineChars="200"/>
        <w:textAlignment w:val="center"/>
        <w:rPr>
          <w:rFonts w:ascii="Times New Roman" w:hAnsi="Times New Roman"/>
        </w:rPr>
      </w:pPr>
      <w:r>
        <w:rPr>
          <w:position w:val="-4"/>
        </w:rPr>
        <w:object>
          <v:shape id="_x0000_i1074" o:spt="75" type="#_x0000_t75" style="height:15.25pt;width:24.9pt;" o:ole="t" filled="f" o:preferrelative="t" stroked="f" coordsize="21600,21600">
            <v:path/>
            <v:fill on="f" focussize="0,0"/>
            <v:stroke on="f" joinstyle="miter"/>
            <v:imagedata r:id="rId137" o:title=""/>
            <o:lock v:ext="edit" aspectratio="t"/>
            <w10:wrap type="none"/>
            <w10:anchorlock/>
          </v:shape>
          <o:OLEObject Type="Embed" ProgID="Equation.DSMT4" ShapeID="_x0000_i1074" DrawAspect="Content" ObjectID="_1468075774" r:id="rId136">
            <o:LockedField>false</o:LockedField>
          </o:OLEObject>
        </w:object>
      </w:r>
      <w:r>
        <w:rPr>
          <w:rFonts w:hint="eastAsia" w:ascii="Times New Roman" w:hAnsi="Times New Roman"/>
        </w:rPr>
        <w:t>——</w:t>
      </w:r>
      <w:r>
        <w:rPr>
          <w:rFonts w:ascii="Times New Roman" w:hAnsi="Times New Roman"/>
        </w:rPr>
        <w:t>标准器具引入的标准不确定度分量。</w:t>
      </w:r>
    </w:p>
    <w:p w14:paraId="08E78285">
      <w:pPr>
        <w:pStyle w:val="109"/>
        <w:numPr>
          <w:ilvl w:val="1"/>
          <w:numId w:val="42"/>
        </w:numPr>
        <w:rPr>
          <w:rFonts w:ascii="Times New Roman"/>
        </w:rPr>
      </w:pPr>
      <w:bookmarkStart w:id="115" w:name="_Toc195113275"/>
      <w:bookmarkStart w:id="116" w:name="_Toc195113304"/>
      <w:r>
        <w:rPr>
          <w:rFonts w:ascii="Times New Roman"/>
        </w:rPr>
        <w:t>球尺寸参考值引入的标准不确定度分量</w:t>
      </w:r>
      <w:bookmarkEnd w:id="115"/>
      <w:bookmarkEnd w:id="116"/>
    </w:p>
    <w:p w14:paraId="3486CC5C">
      <w:pPr>
        <w:widowControl/>
        <w:spacing w:line="360" w:lineRule="auto"/>
        <w:ind w:firstLine="420" w:firstLineChars="200"/>
        <w:rPr>
          <w:rFonts w:ascii="Times New Roman" w:hAnsi="Times New Roman"/>
        </w:rPr>
      </w:pPr>
      <w:r>
        <w:rPr>
          <w:rFonts w:ascii="Times New Roman" w:hAnsi="Times New Roman"/>
        </w:rPr>
        <w:t>球尺寸参考值的测量不确定为</w:t>
      </w:r>
      <w:bookmarkStart w:id="117" w:name="MTBlankEqn"/>
      <w:r>
        <w:rPr>
          <w:position w:val="-6"/>
        </w:rPr>
        <w:object>
          <v:shape id="_x0000_i1075" o:spt="75" type="#_x0000_t75" style="height:12.45pt;width:11.55pt;" o:ole="t" filled="f" o:preferrelative="t" stroked="f" coordsize="21600,21600">
            <v:path/>
            <v:fill on="f" focussize="0,0"/>
            <v:stroke on="f" joinstyle="miter"/>
            <v:imagedata r:id="rId139" o:title=""/>
            <o:lock v:ext="edit" aspectratio="t"/>
            <w10:wrap type="none"/>
            <w10:anchorlock/>
          </v:shape>
          <o:OLEObject Type="Embed" ProgID="Equation.DSMT4" ShapeID="_x0000_i1075" DrawAspect="Content" ObjectID="_1468075775" r:id="rId138">
            <o:LockedField>false</o:LockedField>
          </o:OLEObject>
        </w:object>
      </w:r>
      <w:bookmarkEnd w:id="117"/>
      <w:r>
        <w:rPr>
          <w:rFonts w:ascii="Times New Roman" w:hAnsi="Times New Roman"/>
        </w:rPr>
        <w:t>，包含因子为</w:t>
      </w:r>
      <w:r>
        <w:rPr>
          <w:position w:val="-6"/>
        </w:rPr>
        <w:object>
          <v:shape id="_x0000_i1076" o:spt="75" type="#_x0000_t75" style="height:12.45pt;width:9.25pt;" o:ole="t" filled="f" o:preferrelative="t" stroked="f" coordsize="21600,21600">
            <v:path/>
            <v:fill on="f" focussize="0,0"/>
            <v:stroke on="f" joinstyle="miter"/>
            <v:imagedata r:id="rId141" o:title=""/>
            <o:lock v:ext="edit" aspectratio="t"/>
            <w10:wrap type="none"/>
            <w10:anchorlock/>
          </v:shape>
          <o:OLEObject Type="Embed" ProgID="Equation.DSMT4" ShapeID="_x0000_i1076" DrawAspect="Content" ObjectID="_1468075776" r:id="rId140">
            <o:LockedField>false</o:LockedField>
          </o:OLEObject>
        </w:object>
      </w:r>
      <w:r>
        <w:rPr>
          <w:rFonts w:ascii="Times New Roman" w:hAnsi="Times New Roman"/>
        </w:rPr>
        <w:t>，则</w:t>
      </w:r>
    </w:p>
    <w:p w14:paraId="325AA70F">
      <w:pPr>
        <w:pStyle w:val="113"/>
        <w:rPr>
          <w:rFonts w:ascii="Times New Roman" w:hAnsi="Times New Roman"/>
        </w:rPr>
      </w:pPr>
      <w:r>
        <w:rPr>
          <w:rFonts w:ascii="Times New Roman" w:hAnsi="Times New Roman"/>
        </w:rPr>
        <w:tab/>
      </w:r>
      <w:r>
        <w:rPr>
          <w:position w:val="-22"/>
        </w:rPr>
        <w:object>
          <v:shape id="_x0000_i1077" o:spt="75" type="#_x0000_t75" style="height:29.55pt;width:48pt;" o:ole="t" filled="f" o:preferrelative="t" stroked="f" coordsize="21600,21600">
            <v:path/>
            <v:fill on="f" focussize="0,0"/>
            <v:stroke on="f" joinstyle="miter"/>
            <v:imagedata r:id="rId143" o:title=""/>
            <o:lock v:ext="edit" aspectratio="t"/>
            <w10:wrap type="none"/>
            <w10:anchorlock/>
          </v:shape>
          <o:OLEObject Type="Embed" ProgID="Equation.DSMT4" ShapeID="_x0000_i1077" DrawAspect="Content" ObjectID="_1468075777" r:id="rId142">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w:t>
      </w:r>
    </w:p>
    <w:p w14:paraId="5AC7C8C8">
      <w:pPr>
        <w:pStyle w:val="109"/>
        <w:rPr>
          <w:rFonts w:ascii="Times New Roman"/>
        </w:rPr>
      </w:pPr>
      <w:r>
        <w:rPr>
          <w:rFonts w:ascii="Times New Roman"/>
        </w:rPr>
        <w:t>球温度变化引入的标准不确定度分量</w:t>
      </w:r>
    </w:p>
    <w:p w14:paraId="3D6E94CC">
      <w:pPr>
        <w:pStyle w:val="56"/>
        <w:ind w:firstLine="420"/>
        <w:rPr>
          <w:rFonts w:ascii="Times New Roman"/>
        </w:rPr>
      </w:pPr>
      <w:r>
        <w:rPr>
          <w:rFonts w:ascii="Times New Roman"/>
        </w:rPr>
        <w:t>球的线膨胀系数为</w:t>
      </w:r>
      <w:r>
        <w:rPr>
          <w:position w:val="-4"/>
        </w:rPr>
        <w:object>
          <v:shape id="_x0000_i1078" o:spt="75" type="#_x0000_t75" style="height:11.55pt;width:12.45pt;" o:ole="t" filled="f" o:preferrelative="t" stroked="f" coordsize="21600,21600">
            <v:path/>
            <v:fill on="f" focussize="0,0"/>
            <v:stroke on="f" joinstyle="miter"/>
            <v:imagedata r:id="rId145" o:title=""/>
            <o:lock v:ext="edit" aspectratio="t"/>
            <w10:wrap type="none"/>
            <w10:anchorlock/>
          </v:shape>
          <o:OLEObject Type="Embed" ProgID="Equation.DSMT4" ShapeID="_x0000_i1078" DrawAspect="Content" ObjectID="_1468075778" r:id="rId144">
            <o:LockedField>false</o:LockedField>
          </o:OLEObject>
        </w:object>
      </w:r>
      <w:r>
        <w:rPr>
          <w:rFonts w:ascii="Times New Roman"/>
        </w:rPr>
        <w:t>，长度为</w:t>
      </w:r>
      <w:r>
        <w:rPr>
          <w:position w:val="-4"/>
        </w:rPr>
        <w:object>
          <v:shape id="_x0000_i1079" o:spt="75" type="#_x0000_t75" style="height:11.55pt;width:11.55pt;" o:ole="t" filled="f" o:preferrelative="t" stroked="f" coordsize="21600,21600">
            <v:path/>
            <v:fill on="f" focussize="0,0"/>
            <v:stroke on="f" joinstyle="miter"/>
            <v:imagedata r:id="rId147" o:title=""/>
            <o:lock v:ext="edit" aspectratio="t"/>
            <w10:wrap type="none"/>
            <w10:anchorlock/>
          </v:shape>
          <o:OLEObject Type="Embed" ProgID="Equation.DSMT4" ShapeID="_x0000_i1079" DrawAspect="Content" ObjectID="_1468075779" r:id="rId146">
            <o:LockedField>false</o:LockedField>
          </o:OLEObject>
        </w:object>
      </w:r>
      <w:r>
        <w:rPr>
          <w:rFonts w:ascii="Times New Roman"/>
        </w:rPr>
        <w:t>，温度测量误差优于</w:t>
      </w:r>
      <w:r>
        <w:rPr>
          <w:position w:val="-6"/>
        </w:rPr>
        <w:object>
          <v:shape id="_x0000_i1080" o:spt="75" type="#_x0000_t75" style="height:12.45pt;width:20.3pt;" o:ole="t" filled="f" o:preferrelative="t" stroked="f" coordsize="21600,21600">
            <v:path/>
            <v:fill on="f" focussize="0,0"/>
            <v:stroke on="f" joinstyle="miter"/>
            <v:imagedata r:id="rId149" o:title=""/>
            <o:lock v:ext="edit" aspectratio="t"/>
            <w10:wrap type="none"/>
            <w10:anchorlock/>
          </v:shape>
          <o:OLEObject Type="Embed" ProgID="Equation.DSMT4" ShapeID="_x0000_i1080" DrawAspect="Content" ObjectID="_1468075780" r:id="rId148">
            <o:LockedField>false</o:LockedField>
          </o:OLEObject>
        </w:object>
      </w:r>
      <w:r>
        <w:rPr>
          <w:rFonts w:ascii="Times New Roman"/>
        </w:rPr>
        <w:t>，按均匀分布处理，则</w:t>
      </w:r>
    </w:p>
    <w:p w14:paraId="564F1E6A">
      <w:pPr>
        <w:pStyle w:val="113"/>
        <w:rPr>
          <w:rFonts w:ascii="Times New Roman" w:hAnsi="Times New Roman"/>
        </w:rPr>
      </w:pPr>
      <w:r>
        <w:rPr>
          <w:rFonts w:ascii="Times New Roman" w:hAnsi="Times New Roman"/>
        </w:rPr>
        <w:tab/>
      </w:r>
      <w:r>
        <w:rPr>
          <w:position w:val="-26"/>
        </w:rPr>
        <w:object>
          <v:shape id="_x0000_i1081" o:spt="75" type="#_x0000_t75" style="height:30.45pt;width:70.15pt;" o:ole="t" filled="f" o:preferrelative="t" stroked="f" coordsize="21600,21600">
            <v:path/>
            <v:fill on="f" focussize="0,0"/>
            <v:stroke on="f" joinstyle="miter"/>
            <v:imagedata r:id="rId151" o:title=""/>
            <o:lock v:ext="edit" aspectratio="t"/>
            <w10:wrap type="none"/>
            <w10:anchorlock/>
          </v:shape>
          <o:OLEObject Type="Embed" ProgID="Equation.DSMT4" ShapeID="_x0000_i1081" DrawAspect="Content" ObjectID="_1468075781" r:id="rId150">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w:t>
      </w:r>
    </w:p>
    <w:p w14:paraId="344EAD36">
      <w:pPr>
        <w:pStyle w:val="109"/>
        <w:rPr>
          <w:rFonts w:ascii="Times New Roman"/>
        </w:rPr>
      </w:pPr>
      <w:r>
        <w:rPr>
          <w:rFonts w:ascii="Times New Roman"/>
        </w:rPr>
        <w:t>球的线膨胀系数测量误差引入的标准不确定度分量</w:t>
      </w:r>
    </w:p>
    <w:p w14:paraId="4957CF40">
      <w:pPr>
        <w:widowControl/>
        <w:spacing w:line="240" w:lineRule="auto"/>
        <w:ind w:firstLine="420" w:firstLineChars="200"/>
        <w:rPr>
          <w:rFonts w:ascii="Times New Roman" w:hAnsi="Times New Roman"/>
        </w:rPr>
      </w:pPr>
      <w:r>
        <w:rPr>
          <w:rFonts w:ascii="Times New Roman" w:hAnsi="Times New Roman"/>
        </w:rPr>
        <w:t>球的线膨胀系数为</w:t>
      </w:r>
      <w:r>
        <w:rPr>
          <w:position w:val="-4"/>
        </w:rPr>
        <w:object>
          <v:shape id="_x0000_i1082" o:spt="75" type="#_x0000_t75" style="height:11.55pt;width:12.45pt;" o:ole="t" filled="f" o:preferrelative="t" stroked="f" coordsize="21600,21600">
            <v:path/>
            <v:fill on="f" focussize="0,0"/>
            <v:stroke on="f" joinstyle="miter"/>
            <v:imagedata r:id="rId153" o:title=""/>
            <o:lock v:ext="edit" aspectratio="t"/>
            <w10:wrap type="none"/>
            <w10:anchorlock/>
          </v:shape>
          <o:OLEObject Type="Embed" ProgID="Equation.DSMT4" ShapeID="_x0000_i1082" DrawAspect="Content" ObjectID="_1468075782" r:id="rId152">
            <o:LockedField>false</o:LockedField>
          </o:OLEObject>
        </w:object>
      </w:r>
      <w:r>
        <w:rPr>
          <w:rFonts w:ascii="Times New Roman" w:hAnsi="Times New Roman"/>
        </w:rPr>
        <w:t>，半宽区间</w:t>
      </w:r>
      <w:r>
        <w:rPr>
          <w:position w:val="-6"/>
        </w:rPr>
        <w:object>
          <v:shape id="_x0000_i1083" o:spt="75" type="#_x0000_t75" style="height:12.45pt;width:6.45pt;" o:ole="t" filled="f" o:preferrelative="t" stroked="f" coordsize="21600,21600">
            <v:path/>
            <v:fill on="f" focussize="0,0"/>
            <v:stroke on="f" joinstyle="miter"/>
            <v:imagedata r:id="rId155" o:title=""/>
            <o:lock v:ext="edit" aspectratio="t"/>
            <w10:wrap type="none"/>
            <w10:anchorlock/>
          </v:shape>
          <o:OLEObject Type="Embed" ProgID="Equation.DSMT4" ShapeID="_x0000_i1083" DrawAspect="Content" ObjectID="_1468075783" r:id="rId154">
            <o:LockedField>false</o:LockedField>
          </o:OLEObject>
        </w:object>
      </w:r>
      <w:r>
        <w:rPr>
          <w:rFonts w:ascii="Times New Roman" w:hAnsi="Times New Roman"/>
        </w:rPr>
        <w:t>内服从均匀分布，测量环境温度</w:t>
      </w:r>
      <w:r>
        <w:rPr>
          <w:rFonts w:hint="eastAsia" w:ascii="Times New Roman" w:hAnsi="Times New Roman"/>
        </w:rPr>
        <w:t>偏离标准温度</w:t>
      </w:r>
      <w:r>
        <w:rPr>
          <w:rFonts w:ascii="Times New Roman" w:hAnsi="Times New Roman"/>
        </w:rPr>
        <w:t>不超过</w:t>
      </w:r>
      <w:r>
        <w:rPr>
          <w:position w:val="-6"/>
        </w:rPr>
        <w:object>
          <v:shape id="_x0000_i1084" o:spt="75" type="#_x0000_t75" style="height:11.55pt;width:6.45pt;" o:ole="t" filled="f" o:preferrelative="t" stroked="f" coordsize="21600,21600">
            <v:path/>
            <v:fill on="f" focussize="0,0"/>
            <v:stroke on="f" joinstyle="miter"/>
            <v:imagedata r:id="rId157" o:title=""/>
            <o:lock v:ext="edit" aspectratio="t"/>
            <w10:wrap type="none"/>
            <w10:anchorlock/>
          </v:shape>
          <o:OLEObject Type="Embed" ProgID="Equation.DSMT4" ShapeID="_x0000_i1084" DrawAspect="Content" ObjectID="_1468075784" r:id="rId156">
            <o:LockedField>false</o:LockedField>
          </o:OLEObject>
        </w:object>
      </w:r>
      <w:r>
        <w:rPr>
          <w:rFonts w:ascii="Times New Roman" w:hAnsi="Times New Roman"/>
        </w:rPr>
        <w:t>，则：</w:t>
      </w:r>
    </w:p>
    <w:p w14:paraId="48B6B3E6">
      <w:pPr>
        <w:pStyle w:val="113"/>
        <w:rPr>
          <w:rFonts w:ascii="Times New Roman" w:hAnsi="Times New Roman"/>
        </w:rPr>
      </w:pPr>
      <w:r>
        <w:rPr>
          <w:rFonts w:ascii="Times New Roman" w:hAnsi="Times New Roman"/>
        </w:rPr>
        <w:tab/>
      </w:r>
      <w:r>
        <w:rPr>
          <w:position w:val="-26"/>
        </w:rPr>
        <w:object>
          <v:shape id="_x0000_i1085" o:spt="75" type="#_x0000_t75" style="height:30.45pt;width:57.25pt;" o:ole="t" filled="f" o:preferrelative="t" stroked="f" coordsize="21600,21600">
            <v:path/>
            <v:fill on="f" focussize="0,0"/>
            <v:stroke on="f" joinstyle="miter"/>
            <v:imagedata r:id="rId159" o:title=""/>
            <o:lock v:ext="edit" aspectratio="t"/>
            <w10:wrap type="none"/>
            <w10:anchorlock/>
          </v:shape>
          <o:OLEObject Type="Embed" ProgID="Equation.DSMT4" ShapeID="_x0000_i1085" DrawAspect="Content" ObjectID="_1468075785" r:id="rId158">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t>)</w:t>
      </w:r>
    </w:p>
    <w:p w14:paraId="24205CBE">
      <w:pPr>
        <w:widowControl/>
        <w:spacing w:line="360" w:lineRule="auto"/>
        <w:ind w:firstLine="420" w:firstLineChars="200"/>
        <w:rPr>
          <w:rFonts w:ascii="Times New Roman" w:hAnsi="Times New Roman"/>
        </w:rPr>
      </w:pPr>
      <w:r>
        <w:rPr>
          <w:rFonts w:ascii="Times New Roman" w:hAnsi="Times New Roman"/>
        </w:rPr>
        <w:t>则合成不确定度为：</w:t>
      </w:r>
    </w:p>
    <w:p w14:paraId="0892A4DE">
      <w:pPr>
        <w:pStyle w:val="113"/>
        <w:rPr>
          <w:rFonts w:ascii="Times New Roman" w:hAnsi="Times New Roman"/>
        </w:rPr>
      </w:pPr>
      <w:r>
        <w:rPr>
          <w:rFonts w:ascii="Times New Roman" w:hAnsi="Times New Roman"/>
        </w:rPr>
        <w:tab/>
      </w:r>
      <w:r>
        <w:rPr>
          <w:position w:val="-10"/>
        </w:rPr>
        <w:object>
          <v:shape id="_x0000_i1086" o:spt="75" type="#_x0000_t75" style="height:17.1pt;width:187.85pt;" o:ole="t" filled="f" o:preferrelative="t" stroked="f" coordsize="21600,21600">
            <v:path/>
            <v:fill on="f" focussize="0,0"/>
            <v:stroke on="f" joinstyle="miter"/>
            <v:imagedata r:id="rId161" o:title=""/>
            <o:lock v:ext="edit" aspectratio="t"/>
            <w10:wrap type="none"/>
            <w10:anchorlock/>
          </v:shape>
          <o:OLEObject Type="Embed" ProgID="Equation.DSMT4" ShapeID="_x0000_i1086" DrawAspect="Content" ObjectID="_1468075786" r:id="rId160">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t>)</w:t>
      </w:r>
    </w:p>
    <w:p w14:paraId="7CCB82D4">
      <w:pPr>
        <w:widowControl/>
        <w:spacing w:line="360" w:lineRule="auto"/>
        <w:ind w:firstLine="420" w:firstLineChars="200"/>
        <w:rPr>
          <w:rFonts w:ascii="Times New Roman" w:hAnsi="Times New Roman"/>
        </w:rPr>
      </w:pPr>
      <w:r>
        <w:rPr>
          <w:rFonts w:hint="eastAsia" w:ascii="Times New Roman" w:hAnsi="Times New Roman"/>
        </w:rPr>
        <w:t>扩</w:t>
      </w:r>
      <w:r>
        <w:rPr>
          <w:rFonts w:ascii="Times New Roman" w:hAnsi="Times New Roman"/>
        </w:rPr>
        <w:t>展不确定度最终为：</w:t>
      </w:r>
    </w:p>
    <w:p w14:paraId="59DDE7B5">
      <w:pPr>
        <w:pStyle w:val="113"/>
        <w:rPr>
          <w:rFonts w:ascii="Times New Roman" w:hAnsi="Times New Roman"/>
        </w:rPr>
      </w:pPr>
      <w:r>
        <w:rPr>
          <w:rFonts w:ascii="Times New Roman" w:hAnsi="Times New Roman"/>
        </w:rPr>
        <w:tab/>
      </w:r>
      <w:r>
        <w:rPr>
          <w:position w:val="-10"/>
        </w:rPr>
        <w:object>
          <v:shape id="_x0000_i1087" o:spt="75" type="#_x0000_t75" style="height:16.15pt;width:57.25pt;" o:ole="t" filled="f" o:preferrelative="t" stroked="f" coordsize="21600,21600">
            <v:path/>
            <v:fill on="f" focussize="0,0"/>
            <v:stroke on="f" joinstyle="miter"/>
            <v:imagedata r:id="rId163" o:title=""/>
            <o:lock v:ext="edit" aspectratio="t"/>
            <w10:wrap type="none"/>
            <w10:anchorlock/>
          </v:shape>
          <o:OLEObject Type="Embed" ProgID="Equation.DSMT4" ShapeID="_x0000_i1087" DrawAspect="Content" ObjectID="_1468075787" r:id="rId162">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t>)</w:t>
      </w:r>
    </w:p>
    <w:p w14:paraId="338466A3">
      <w:pPr>
        <w:pStyle w:val="198"/>
        <w:rPr>
          <w:rFonts w:hint="eastAsia"/>
          <w:vanish w:val="0"/>
        </w:rPr>
      </w:pPr>
    </w:p>
    <w:bookmarkEnd w:id="110"/>
    <w:p w14:paraId="1E548FD5">
      <w:pPr>
        <w:pStyle w:val="56"/>
        <w:ind w:firstLine="0" w:firstLineChars="0"/>
        <w:jc w:val="center"/>
      </w:pPr>
      <w:bookmarkStart w:id="118"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6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8"/>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F85D">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FE66B">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320CA">
    <w:pPr>
      <w:pStyle w:val="52"/>
    </w:pPr>
    <w:r>
      <w:fldChar w:fldCharType="begin"/>
    </w:r>
    <w:r>
      <w:instrText xml:space="preserve">PAGE   \* MERGEFORMAT</w:instrText>
    </w:r>
    <w:r>
      <w:fldChar w:fldCharType="separate"/>
    </w:r>
    <w:r>
      <w:rPr>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18983">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28563">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A1E28">
    <w:pPr>
      <w:pStyle w:val="61"/>
      <w:rPr>
        <w:rFonts w:hint="eastAsia"/>
      </w:rPr>
    </w:pPr>
    <w:r>
      <w:fldChar w:fldCharType="begin"/>
    </w:r>
    <w:r>
      <w:instrText xml:space="preserve"> STYLEREF  标准文件_文件编号  \* MERGEFORMAT </w:instrText>
    </w:r>
    <w:r>
      <w:fldChar w:fldCharType="separate"/>
    </w:r>
    <w:r>
      <w:t>T/CSOE 0009—2025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9F71">
    <w:pPr>
      <w:pStyle w:val="18"/>
      <w:jc w:val="right"/>
    </w:pPr>
    <w:r>
      <w:fldChar w:fldCharType="begin"/>
    </w:r>
    <w:r>
      <w:instrText xml:space="preserve"> STYLEREF  标准文件_文件编号  \* MERGEFORMAT </w:instrText>
    </w:r>
    <w:r>
      <w:fldChar w:fldCharType="separate"/>
    </w:r>
    <w:r>
      <w:t>T/CSOE 0009—2025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63FD1"/>
    <w:multiLevelType w:val="multilevel"/>
    <w:tmpl w:val="00D63FD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770D98"/>
    <w:multiLevelType w:val="multilevel"/>
    <w:tmpl w:val="07770D9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ind w:left="1291" w:hanging="44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9054FDA"/>
    <w:multiLevelType w:val="multilevel"/>
    <w:tmpl w:val="29054FD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2D60752D"/>
    <w:multiLevelType w:val="multilevel"/>
    <w:tmpl w:val="2D60752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ind w:left="1291" w:hanging="44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75A0F4B"/>
    <w:multiLevelType w:val="multilevel"/>
    <w:tmpl w:val="475A0F4B"/>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8">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CF33B30"/>
    <w:multiLevelType w:val="multilevel"/>
    <w:tmpl w:val="4CF33B30"/>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1">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4F261844"/>
    <w:multiLevelType w:val="multilevel"/>
    <w:tmpl w:val="4F261844"/>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520672C1"/>
    <w:multiLevelType w:val="multilevel"/>
    <w:tmpl w:val="520672C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4">
    <w:nsid w:val="53AA601D"/>
    <w:multiLevelType w:val="multilevel"/>
    <w:tmpl w:val="53AA601D"/>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6">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7">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59EC7C9C"/>
    <w:multiLevelType w:val="multilevel"/>
    <w:tmpl w:val="59EC7C9C"/>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7"/>
  </w:num>
  <w:num w:numId="3">
    <w:abstractNumId w:val="7"/>
  </w:num>
  <w:num w:numId="4">
    <w:abstractNumId w:val="33"/>
  </w:num>
  <w:num w:numId="5">
    <w:abstractNumId w:val="27"/>
  </w:num>
  <w:num w:numId="6">
    <w:abstractNumId w:val="18"/>
  </w:num>
  <w:num w:numId="7">
    <w:abstractNumId w:val="10"/>
  </w:num>
  <w:num w:numId="8">
    <w:abstractNumId w:val="5"/>
  </w:num>
  <w:num w:numId="9">
    <w:abstractNumId w:val="11"/>
  </w:num>
  <w:num w:numId="10">
    <w:abstractNumId w:val="25"/>
  </w:num>
  <w:num w:numId="11">
    <w:abstractNumId w:val="35"/>
  </w:num>
  <w:num w:numId="12">
    <w:abstractNumId w:val="15"/>
  </w:num>
  <w:num w:numId="13">
    <w:abstractNumId w:val="16"/>
  </w:num>
  <w:num w:numId="14">
    <w:abstractNumId w:val="9"/>
  </w:num>
  <w:num w:numId="15">
    <w:abstractNumId w:val="28"/>
  </w:num>
  <w:num w:numId="16">
    <w:abstractNumId w:val="31"/>
  </w:num>
  <w:num w:numId="17">
    <w:abstractNumId w:val="26"/>
  </w:num>
  <w:num w:numId="18">
    <w:abstractNumId w:val="39"/>
  </w:num>
  <w:num w:numId="19">
    <w:abstractNumId w:val="21"/>
  </w:num>
  <w:num w:numId="20">
    <w:abstractNumId w:val="2"/>
  </w:num>
  <w:num w:numId="21">
    <w:abstractNumId w:val="13"/>
  </w:num>
  <w:num w:numId="22">
    <w:abstractNumId w:val="40"/>
  </w:num>
  <w:num w:numId="23">
    <w:abstractNumId w:val="30"/>
  </w:num>
  <w:num w:numId="24">
    <w:abstractNumId w:val="8"/>
  </w:num>
  <w:num w:numId="25">
    <w:abstractNumId w:val="36"/>
  </w:num>
  <w:num w:numId="26">
    <w:abstractNumId w:val="38"/>
  </w:num>
  <w:num w:numId="27">
    <w:abstractNumId w:val="4"/>
  </w:num>
  <w:num w:numId="28">
    <w:abstractNumId w:val="6"/>
  </w:num>
  <w:num w:numId="29">
    <w:abstractNumId w:val="19"/>
  </w:num>
  <w:num w:numId="30">
    <w:abstractNumId w:val="34"/>
  </w:num>
  <w:num w:numId="31">
    <w:abstractNumId w:val="32"/>
  </w:num>
  <w:num w:numId="32">
    <w:abstractNumId w:val="17"/>
  </w:num>
  <w:num w:numId="33">
    <w:abstractNumId w:val="23"/>
  </w:num>
  <w:num w:numId="34">
    <w:abstractNumId w:val="22"/>
  </w:num>
  <w:num w:numId="35">
    <w:abstractNumId w:val="14"/>
  </w:num>
  <w:num w:numId="36">
    <w:abstractNumId w:val="0"/>
  </w:num>
  <w:num w:numId="37">
    <w:abstractNumId w:val="12"/>
  </w:num>
  <w:num w:numId="38">
    <w:abstractNumId w:val="24"/>
  </w:num>
  <w:num w:numId="39">
    <w:abstractNumId w:val="3"/>
  </w:num>
  <w:num w:numId="40">
    <w:abstractNumId w:val="29"/>
  </w:num>
  <w:num w:numId="41">
    <w:abstractNumId w:val="20"/>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qdVHt40EXUnj6LjkX7rv2lPr2xK2YWxtDBTdfiloeMtBQc82d31s4EyPHnc55pEV6Hre8OIcjaksAObLwzXYsQ==" w:salt="qaYboKSabsYgRkB5ua4r0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E0"/>
    <w:rsid w:val="0000040A"/>
    <w:rsid w:val="00000A94"/>
    <w:rsid w:val="00001972"/>
    <w:rsid w:val="00001D9A"/>
    <w:rsid w:val="000035D7"/>
    <w:rsid w:val="00007451"/>
    <w:rsid w:val="00007B3A"/>
    <w:rsid w:val="000107E0"/>
    <w:rsid w:val="00011FDE"/>
    <w:rsid w:val="00012E18"/>
    <w:rsid w:val="00012FFD"/>
    <w:rsid w:val="00014162"/>
    <w:rsid w:val="00014340"/>
    <w:rsid w:val="0001457E"/>
    <w:rsid w:val="0001509F"/>
    <w:rsid w:val="0001668F"/>
    <w:rsid w:val="00016A9C"/>
    <w:rsid w:val="000174BC"/>
    <w:rsid w:val="00022184"/>
    <w:rsid w:val="00022762"/>
    <w:rsid w:val="00023616"/>
    <w:rsid w:val="000238E0"/>
    <w:rsid w:val="000249DB"/>
    <w:rsid w:val="0002595E"/>
    <w:rsid w:val="000303C3"/>
    <w:rsid w:val="00030C3A"/>
    <w:rsid w:val="000331D3"/>
    <w:rsid w:val="0003414D"/>
    <w:rsid w:val="000346A5"/>
    <w:rsid w:val="000359C3"/>
    <w:rsid w:val="00035A7D"/>
    <w:rsid w:val="000365ED"/>
    <w:rsid w:val="0004249A"/>
    <w:rsid w:val="00043282"/>
    <w:rsid w:val="00044286"/>
    <w:rsid w:val="000446AD"/>
    <w:rsid w:val="00045F03"/>
    <w:rsid w:val="00047941"/>
    <w:rsid w:val="00047F28"/>
    <w:rsid w:val="000503AA"/>
    <w:rsid w:val="000506A1"/>
    <w:rsid w:val="000515DD"/>
    <w:rsid w:val="0005265A"/>
    <w:rsid w:val="000539DD"/>
    <w:rsid w:val="00053BD3"/>
    <w:rsid w:val="000556ED"/>
    <w:rsid w:val="00055FE2"/>
    <w:rsid w:val="0005616F"/>
    <w:rsid w:val="000575C4"/>
    <w:rsid w:val="00060C2E"/>
    <w:rsid w:val="00061033"/>
    <w:rsid w:val="000619E9"/>
    <w:rsid w:val="000622D4"/>
    <w:rsid w:val="0006357D"/>
    <w:rsid w:val="000640BE"/>
    <w:rsid w:val="00067777"/>
    <w:rsid w:val="00067F1E"/>
    <w:rsid w:val="00070751"/>
    <w:rsid w:val="00071CC0"/>
    <w:rsid w:val="00071CFC"/>
    <w:rsid w:val="00073C8C"/>
    <w:rsid w:val="00074639"/>
    <w:rsid w:val="000766E7"/>
    <w:rsid w:val="00077B64"/>
    <w:rsid w:val="00080A1C"/>
    <w:rsid w:val="00082317"/>
    <w:rsid w:val="0008376F"/>
    <w:rsid w:val="00083D2C"/>
    <w:rsid w:val="00085DC0"/>
    <w:rsid w:val="00086AA1"/>
    <w:rsid w:val="00087A77"/>
    <w:rsid w:val="00087B57"/>
    <w:rsid w:val="00090CA6"/>
    <w:rsid w:val="00092B8A"/>
    <w:rsid w:val="00092FB0"/>
    <w:rsid w:val="000934C5"/>
    <w:rsid w:val="00093D25"/>
    <w:rsid w:val="00093DAB"/>
    <w:rsid w:val="000940F4"/>
    <w:rsid w:val="00094D73"/>
    <w:rsid w:val="0009595B"/>
    <w:rsid w:val="00095FDE"/>
    <w:rsid w:val="00096D63"/>
    <w:rsid w:val="000A0B60"/>
    <w:rsid w:val="000A0EB8"/>
    <w:rsid w:val="000A19FC"/>
    <w:rsid w:val="000A296B"/>
    <w:rsid w:val="000A2A1A"/>
    <w:rsid w:val="000A7311"/>
    <w:rsid w:val="000B060F"/>
    <w:rsid w:val="000B1592"/>
    <w:rsid w:val="000B1FF2"/>
    <w:rsid w:val="000B3514"/>
    <w:rsid w:val="000B3CDA"/>
    <w:rsid w:val="000B4D87"/>
    <w:rsid w:val="000B6A0B"/>
    <w:rsid w:val="000B6EF5"/>
    <w:rsid w:val="000C0A2A"/>
    <w:rsid w:val="000C0F6C"/>
    <w:rsid w:val="000C11DB"/>
    <w:rsid w:val="000C1492"/>
    <w:rsid w:val="000C285A"/>
    <w:rsid w:val="000C2FBD"/>
    <w:rsid w:val="000C487E"/>
    <w:rsid w:val="000C4B41"/>
    <w:rsid w:val="000C57D6"/>
    <w:rsid w:val="000C6362"/>
    <w:rsid w:val="000C7666"/>
    <w:rsid w:val="000D0A9C"/>
    <w:rsid w:val="000D1795"/>
    <w:rsid w:val="000D1A76"/>
    <w:rsid w:val="000D28F1"/>
    <w:rsid w:val="000D2B5A"/>
    <w:rsid w:val="000D329A"/>
    <w:rsid w:val="000D4AD1"/>
    <w:rsid w:val="000D4B9C"/>
    <w:rsid w:val="000D4EB6"/>
    <w:rsid w:val="000D753B"/>
    <w:rsid w:val="000E148E"/>
    <w:rsid w:val="000E4C9E"/>
    <w:rsid w:val="000E6FD7"/>
    <w:rsid w:val="000E7144"/>
    <w:rsid w:val="000F04C1"/>
    <w:rsid w:val="000F06E1"/>
    <w:rsid w:val="000F0A80"/>
    <w:rsid w:val="000F0E3C"/>
    <w:rsid w:val="000F19D5"/>
    <w:rsid w:val="000F1EDB"/>
    <w:rsid w:val="000F2166"/>
    <w:rsid w:val="000F233A"/>
    <w:rsid w:val="000F4050"/>
    <w:rsid w:val="000F4AEA"/>
    <w:rsid w:val="000F67E9"/>
    <w:rsid w:val="000F7B19"/>
    <w:rsid w:val="001033D4"/>
    <w:rsid w:val="00104926"/>
    <w:rsid w:val="00113B1E"/>
    <w:rsid w:val="0011711C"/>
    <w:rsid w:val="00117177"/>
    <w:rsid w:val="00124E4F"/>
    <w:rsid w:val="001260B7"/>
    <w:rsid w:val="001265CB"/>
    <w:rsid w:val="00126D4A"/>
    <w:rsid w:val="001321C6"/>
    <w:rsid w:val="001325C4"/>
    <w:rsid w:val="00133010"/>
    <w:rsid w:val="001338EE"/>
    <w:rsid w:val="00133AAE"/>
    <w:rsid w:val="00135323"/>
    <w:rsid w:val="001356C4"/>
    <w:rsid w:val="00137565"/>
    <w:rsid w:val="00141114"/>
    <w:rsid w:val="00142969"/>
    <w:rsid w:val="001446C2"/>
    <w:rsid w:val="001457E7"/>
    <w:rsid w:val="00145D9D"/>
    <w:rsid w:val="0014626A"/>
    <w:rsid w:val="00146388"/>
    <w:rsid w:val="0015249D"/>
    <w:rsid w:val="001529E5"/>
    <w:rsid w:val="00152FB3"/>
    <w:rsid w:val="00153282"/>
    <w:rsid w:val="00153C7E"/>
    <w:rsid w:val="00153EBB"/>
    <w:rsid w:val="001567B7"/>
    <w:rsid w:val="00156B25"/>
    <w:rsid w:val="00156E1A"/>
    <w:rsid w:val="00157894"/>
    <w:rsid w:val="00157B55"/>
    <w:rsid w:val="00157E28"/>
    <w:rsid w:val="00157E2A"/>
    <w:rsid w:val="001642FA"/>
    <w:rsid w:val="00164908"/>
    <w:rsid w:val="001649EB"/>
    <w:rsid w:val="00164BAF"/>
    <w:rsid w:val="00164FA8"/>
    <w:rsid w:val="00165065"/>
    <w:rsid w:val="00165434"/>
    <w:rsid w:val="0016580B"/>
    <w:rsid w:val="00165F49"/>
    <w:rsid w:val="00166B88"/>
    <w:rsid w:val="0016770A"/>
    <w:rsid w:val="001707BB"/>
    <w:rsid w:val="00170804"/>
    <w:rsid w:val="001708E9"/>
    <w:rsid w:val="0017340B"/>
    <w:rsid w:val="00173FB1"/>
    <w:rsid w:val="001761F9"/>
    <w:rsid w:val="00176DFD"/>
    <w:rsid w:val="00182F96"/>
    <w:rsid w:val="001852C9"/>
    <w:rsid w:val="00187A0B"/>
    <w:rsid w:val="00187A7F"/>
    <w:rsid w:val="00190087"/>
    <w:rsid w:val="001913C4"/>
    <w:rsid w:val="001913F1"/>
    <w:rsid w:val="00191CCD"/>
    <w:rsid w:val="0019348F"/>
    <w:rsid w:val="00193A07"/>
    <w:rsid w:val="00194C95"/>
    <w:rsid w:val="00195C34"/>
    <w:rsid w:val="0019609C"/>
    <w:rsid w:val="001964E4"/>
    <w:rsid w:val="00196EF5"/>
    <w:rsid w:val="001A0AAF"/>
    <w:rsid w:val="001A1A53"/>
    <w:rsid w:val="001A234A"/>
    <w:rsid w:val="001A4CF3"/>
    <w:rsid w:val="001A52A0"/>
    <w:rsid w:val="001A6696"/>
    <w:rsid w:val="001B06E8"/>
    <w:rsid w:val="001B0754"/>
    <w:rsid w:val="001B71D0"/>
    <w:rsid w:val="001B71EE"/>
    <w:rsid w:val="001C04A8"/>
    <w:rsid w:val="001C2C03"/>
    <w:rsid w:val="001C42F7"/>
    <w:rsid w:val="001C49E5"/>
    <w:rsid w:val="001C680C"/>
    <w:rsid w:val="001C7FEA"/>
    <w:rsid w:val="001D0499"/>
    <w:rsid w:val="001D0847"/>
    <w:rsid w:val="001D0BBE"/>
    <w:rsid w:val="001D0ED4"/>
    <w:rsid w:val="001D212F"/>
    <w:rsid w:val="001D29D7"/>
    <w:rsid w:val="001D2DE7"/>
    <w:rsid w:val="001D411C"/>
    <w:rsid w:val="001E1B6A"/>
    <w:rsid w:val="001E2484"/>
    <w:rsid w:val="001E3CC4"/>
    <w:rsid w:val="001E4882"/>
    <w:rsid w:val="001E73AB"/>
    <w:rsid w:val="001E78CA"/>
    <w:rsid w:val="001F092D"/>
    <w:rsid w:val="001F0A60"/>
    <w:rsid w:val="001F143A"/>
    <w:rsid w:val="001F1605"/>
    <w:rsid w:val="001F2508"/>
    <w:rsid w:val="001F4816"/>
    <w:rsid w:val="001F5644"/>
    <w:rsid w:val="001F63BA"/>
    <w:rsid w:val="001F69B4"/>
    <w:rsid w:val="001F77C7"/>
    <w:rsid w:val="00200183"/>
    <w:rsid w:val="00200333"/>
    <w:rsid w:val="00200A15"/>
    <w:rsid w:val="0020107D"/>
    <w:rsid w:val="00201459"/>
    <w:rsid w:val="00202139"/>
    <w:rsid w:val="00202AA4"/>
    <w:rsid w:val="002031F7"/>
    <w:rsid w:val="002040E6"/>
    <w:rsid w:val="0020527B"/>
    <w:rsid w:val="00205F2C"/>
    <w:rsid w:val="0021013D"/>
    <w:rsid w:val="00210B15"/>
    <w:rsid w:val="002142EA"/>
    <w:rsid w:val="00215872"/>
    <w:rsid w:val="00215ADD"/>
    <w:rsid w:val="002204BB"/>
    <w:rsid w:val="00221B79"/>
    <w:rsid w:val="00221C6B"/>
    <w:rsid w:val="002253A1"/>
    <w:rsid w:val="00225CF8"/>
    <w:rsid w:val="0022794E"/>
    <w:rsid w:val="00231AD1"/>
    <w:rsid w:val="00231FC6"/>
    <w:rsid w:val="00233D64"/>
    <w:rsid w:val="0023482A"/>
    <w:rsid w:val="00234F99"/>
    <w:rsid w:val="002359CB"/>
    <w:rsid w:val="00235B23"/>
    <w:rsid w:val="00243540"/>
    <w:rsid w:val="0024497B"/>
    <w:rsid w:val="0024515B"/>
    <w:rsid w:val="00246021"/>
    <w:rsid w:val="0024666E"/>
    <w:rsid w:val="002467AB"/>
    <w:rsid w:val="00247F52"/>
    <w:rsid w:val="0025077C"/>
    <w:rsid w:val="00250B25"/>
    <w:rsid w:val="00250BBE"/>
    <w:rsid w:val="002515C2"/>
    <w:rsid w:val="0025194F"/>
    <w:rsid w:val="0026148A"/>
    <w:rsid w:val="002614C0"/>
    <w:rsid w:val="00262696"/>
    <w:rsid w:val="00263803"/>
    <w:rsid w:val="00263D25"/>
    <w:rsid w:val="002643C3"/>
    <w:rsid w:val="00264A0C"/>
    <w:rsid w:val="00266EEB"/>
    <w:rsid w:val="00267EF4"/>
    <w:rsid w:val="00270A63"/>
    <w:rsid w:val="00270CB8"/>
    <w:rsid w:val="00271648"/>
    <w:rsid w:val="00272B08"/>
    <w:rsid w:val="00281BB8"/>
    <w:rsid w:val="00281E9E"/>
    <w:rsid w:val="00282405"/>
    <w:rsid w:val="00283245"/>
    <w:rsid w:val="00285170"/>
    <w:rsid w:val="00285361"/>
    <w:rsid w:val="00292D60"/>
    <w:rsid w:val="00293B30"/>
    <w:rsid w:val="00294D34"/>
    <w:rsid w:val="00294E3B"/>
    <w:rsid w:val="002953AB"/>
    <w:rsid w:val="00296193"/>
    <w:rsid w:val="00296C66"/>
    <w:rsid w:val="00296EBE"/>
    <w:rsid w:val="002974E3"/>
    <w:rsid w:val="00297EE7"/>
    <w:rsid w:val="002A0501"/>
    <w:rsid w:val="002A084B"/>
    <w:rsid w:val="002A0D91"/>
    <w:rsid w:val="002A1260"/>
    <w:rsid w:val="002A1589"/>
    <w:rsid w:val="002A1608"/>
    <w:rsid w:val="002A188B"/>
    <w:rsid w:val="002A25DC"/>
    <w:rsid w:val="002A3AAB"/>
    <w:rsid w:val="002A4CEA"/>
    <w:rsid w:val="002A5977"/>
    <w:rsid w:val="002A5A13"/>
    <w:rsid w:val="002A757F"/>
    <w:rsid w:val="002A7F44"/>
    <w:rsid w:val="002B0C40"/>
    <w:rsid w:val="002B1966"/>
    <w:rsid w:val="002B4508"/>
    <w:rsid w:val="002B5779"/>
    <w:rsid w:val="002B7332"/>
    <w:rsid w:val="002B7F51"/>
    <w:rsid w:val="002C0822"/>
    <w:rsid w:val="002C09E7"/>
    <w:rsid w:val="002C1E06"/>
    <w:rsid w:val="002C1ED0"/>
    <w:rsid w:val="002C3409"/>
    <w:rsid w:val="002C3F07"/>
    <w:rsid w:val="002C5278"/>
    <w:rsid w:val="002C67B1"/>
    <w:rsid w:val="002C7EBB"/>
    <w:rsid w:val="002D06C1"/>
    <w:rsid w:val="002D09C9"/>
    <w:rsid w:val="002D11F8"/>
    <w:rsid w:val="002D42B5"/>
    <w:rsid w:val="002D4F1A"/>
    <w:rsid w:val="002D56AA"/>
    <w:rsid w:val="002D5734"/>
    <w:rsid w:val="002D6EC6"/>
    <w:rsid w:val="002D79AC"/>
    <w:rsid w:val="002E039D"/>
    <w:rsid w:val="002E0CA2"/>
    <w:rsid w:val="002E25CC"/>
    <w:rsid w:val="002E2A08"/>
    <w:rsid w:val="002E4D5A"/>
    <w:rsid w:val="002E6326"/>
    <w:rsid w:val="002E77FE"/>
    <w:rsid w:val="002F30E0"/>
    <w:rsid w:val="002F35E4"/>
    <w:rsid w:val="002F3730"/>
    <w:rsid w:val="002F38E1"/>
    <w:rsid w:val="002F3F0C"/>
    <w:rsid w:val="002F56D6"/>
    <w:rsid w:val="002F5D7E"/>
    <w:rsid w:val="002F7AF6"/>
    <w:rsid w:val="00300E63"/>
    <w:rsid w:val="00302700"/>
    <w:rsid w:val="00302982"/>
    <w:rsid w:val="00302C7A"/>
    <w:rsid w:val="00302F5F"/>
    <w:rsid w:val="0030441D"/>
    <w:rsid w:val="00306063"/>
    <w:rsid w:val="00307E4E"/>
    <w:rsid w:val="00310A2A"/>
    <w:rsid w:val="00313B85"/>
    <w:rsid w:val="0031459E"/>
    <w:rsid w:val="00317988"/>
    <w:rsid w:val="00317A1F"/>
    <w:rsid w:val="00321BB1"/>
    <w:rsid w:val="00321CF6"/>
    <w:rsid w:val="003221B4"/>
    <w:rsid w:val="0032258D"/>
    <w:rsid w:val="00322E62"/>
    <w:rsid w:val="0032326C"/>
    <w:rsid w:val="003243FB"/>
    <w:rsid w:val="00324D13"/>
    <w:rsid w:val="00324EDD"/>
    <w:rsid w:val="003330E8"/>
    <w:rsid w:val="003331E4"/>
    <w:rsid w:val="00333ADD"/>
    <w:rsid w:val="00334E3C"/>
    <w:rsid w:val="00336C64"/>
    <w:rsid w:val="00337162"/>
    <w:rsid w:val="003416D8"/>
    <w:rsid w:val="0034194F"/>
    <w:rsid w:val="00344605"/>
    <w:rsid w:val="00345705"/>
    <w:rsid w:val="003474AA"/>
    <w:rsid w:val="00350D1D"/>
    <w:rsid w:val="00352BAC"/>
    <w:rsid w:val="00352C83"/>
    <w:rsid w:val="00352F1A"/>
    <w:rsid w:val="003540E5"/>
    <w:rsid w:val="003555F7"/>
    <w:rsid w:val="00360317"/>
    <w:rsid w:val="0036107C"/>
    <w:rsid w:val="003615D2"/>
    <w:rsid w:val="00362003"/>
    <w:rsid w:val="003621DC"/>
    <w:rsid w:val="00362A5F"/>
    <w:rsid w:val="0036429C"/>
    <w:rsid w:val="00364A53"/>
    <w:rsid w:val="003654CB"/>
    <w:rsid w:val="00365AA9"/>
    <w:rsid w:val="00365F86"/>
    <w:rsid w:val="00365F87"/>
    <w:rsid w:val="00366E89"/>
    <w:rsid w:val="003705F4"/>
    <w:rsid w:val="00370722"/>
    <w:rsid w:val="00370D58"/>
    <w:rsid w:val="00371316"/>
    <w:rsid w:val="00373951"/>
    <w:rsid w:val="003766AD"/>
    <w:rsid w:val="00376713"/>
    <w:rsid w:val="00377EC1"/>
    <w:rsid w:val="00381815"/>
    <w:rsid w:val="003819AF"/>
    <w:rsid w:val="003820E9"/>
    <w:rsid w:val="00382DE7"/>
    <w:rsid w:val="00384FFC"/>
    <w:rsid w:val="003872FC"/>
    <w:rsid w:val="00387ADC"/>
    <w:rsid w:val="00390020"/>
    <w:rsid w:val="003900D9"/>
    <w:rsid w:val="003903D6"/>
    <w:rsid w:val="00390EE6"/>
    <w:rsid w:val="0039118F"/>
    <w:rsid w:val="00392AD7"/>
    <w:rsid w:val="003938D9"/>
    <w:rsid w:val="00394376"/>
    <w:rsid w:val="003943FF"/>
    <w:rsid w:val="003967D7"/>
    <w:rsid w:val="003974EB"/>
    <w:rsid w:val="00397CC5"/>
    <w:rsid w:val="003A11D1"/>
    <w:rsid w:val="003A1582"/>
    <w:rsid w:val="003A1B18"/>
    <w:rsid w:val="003A1B8F"/>
    <w:rsid w:val="003A3D9C"/>
    <w:rsid w:val="003A4077"/>
    <w:rsid w:val="003A4AA7"/>
    <w:rsid w:val="003B09AD"/>
    <w:rsid w:val="003B1383"/>
    <w:rsid w:val="003B1F18"/>
    <w:rsid w:val="003B3298"/>
    <w:rsid w:val="003B5BF0"/>
    <w:rsid w:val="003B60BF"/>
    <w:rsid w:val="003B6BE3"/>
    <w:rsid w:val="003C010C"/>
    <w:rsid w:val="003C0A6C"/>
    <w:rsid w:val="003C14F8"/>
    <w:rsid w:val="003C2CB3"/>
    <w:rsid w:val="003C31A3"/>
    <w:rsid w:val="003C5136"/>
    <w:rsid w:val="003C5A43"/>
    <w:rsid w:val="003D0519"/>
    <w:rsid w:val="003D0FF6"/>
    <w:rsid w:val="003D206A"/>
    <w:rsid w:val="003D262C"/>
    <w:rsid w:val="003D2FD8"/>
    <w:rsid w:val="003D34D1"/>
    <w:rsid w:val="003D6D61"/>
    <w:rsid w:val="003E019F"/>
    <w:rsid w:val="003E091D"/>
    <w:rsid w:val="003E1C53"/>
    <w:rsid w:val="003E2A69"/>
    <w:rsid w:val="003E2D49"/>
    <w:rsid w:val="003E2FD4"/>
    <w:rsid w:val="003E37D0"/>
    <w:rsid w:val="003E49F6"/>
    <w:rsid w:val="003E660F"/>
    <w:rsid w:val="003E7DC4"/>
    <w:rsid w:val="003F0841"/>
    <w:rsid w:val="003F23D3"/>
    <w:rsid w:val="003F3F08"/>
    <w:rsid w:val="003F49F1"/>
    <w:rsid w:val="003F6272"/>
    <w:rsid w:val="003F6BEE"/>
    <w:rsid w:val="00400E72"/>
    <w:rsid w:val="004011D9"/>
    <w:rsid w:val="00401400"/>
    <w:rsid w:val="0040407A"/>
    <w:rsid w:val="00404869"/>
    <w:rsid w:val="00405884"/>
    <w:rsid w:val="00407D39"/>
    <w:rsid w:val="00412C2F"/>
    <w:rsid w:val="0041477A"/>
    <w:rsid w:val="00414F18"/>
    <w:rsid w:val="004167A3"/>
    <w:rsid w:val="004179C5"/>
    <w:rsid w:val="0042298E"/>
    <w:rsid w:val="00432DAA"/>
    <w:rsid w:val="00434305"/>
    <w:rsid w:val="00435DF7"/>
    <w:rsid w:val="0043741A"/>
    <w:rsid w:val="0044083F"/>
    <w:rsid w:val="00441AE7"/>
    <w:rsid w:val="00443A78"/>
    <w:rsid w:val="00445574"/>
    <w:rsid w:val="004467FB"/>
    <w:rsid w:val="004503A7"/>
    <w:rsid w:val="00450DDB"/>
    <w:rsid w:val="00452D6B"/>
    <w:rsid w:val="00454484"/>
    <w:rsid w:val="0045517B"/>
    <w:rsid w:val="00455FE0"/>
    <w:rsid w:val="0045757E"/>
    <w:rsid w:val="00463B77"/>
    <w:rsid w:val="00463C7B"/>
    <w:rsid w:val="004644A6"/>
    <w:rsid w:val="004659BD"/>
    <w:rsid w:val="0046663E"/>
    <w:rsid w:val="00470775"/>
    <w:rsid w:val="00472DAF"/>
    <w:rsid w:val="004746B1"/>
    <w:rsid w:val="0047492E"/>
    <w:rsid w:val="00474B19"/>
    <w:rsid w:val="0047583F"/>
    <w:rsid w:val="00475DE8"/>
    <w:rsid w:val="004762C5"/>
    <w:rsid w:val="00476F19"/>
    <w:rsid w:val="00481C44"/>
    <w:rsid w:val="004832FA"/>
    <w:rsid w:val="00484936"/>
    <w:rsid w:val="00485C89"/>
    <w:rsid w:val="00486BE3"/>
    <w:rsid w:val="004905E4"/>
    <w:rsid w:val="0049066F"/>
    <w:rsid w:val="00490A89"/>
    <w:rsid w:val="00490AB4"/>
    <w:rsid w:val="00492F02"/>
    <w:rsid w:val="004939AE"/>
    <w:rsid w:val="004A0417"/>
    <w:rsid w:val="004A0C3C"/>
    <w:rsid w:val="004A12DF"/>
    <w:rsid w:val="004A1BA8"/>
    <w:rsid w:val="004A2432"/>
    <w:rsid w:val="004A4B57"/>
    <w:rsid w:val="004A63FA"/>
    <w:rsid w:val="004A6640"/>
    <w:rsid w:val="004A6A3D"/>
    <w:rsid w:val="004B0272"/>
    <w:rsid w:val="004B2701"/>
    <w:rsid w:val="004B2E1B"/>
    <w:rsid w:val="004B3AA8"/>
    <w:rsid w:val="004B3E93"/>
    <w:rsid w:val="004B5A80"/>
    <w:rsid w:val="004B63CD"/>
    <w:rsid w:val="004C1FBC"/>
    <w:rsid w:val="004C25A2"/>
    <w:rsid w:val="004C3F1D"/>
    <w:rsid w:val="004C409F"/>
    <w:rsid w:val="004C458D"/>
    <w:rsid w:val="004C7556"/>
    <w:rsid w:val="004C7E8B"/>
    <w:rsid w:val="004C7E9D"/>
    <w:rsid w:val="004C7F67"/>
    <w:rsid w:val="004D076D"/>
    <w:rsid w:val="004D0EF1"/>
    <w:rsid w:val="004D2253"/>
    <w:rsid w:val="004D22AC"/>
    <w:rsid w:val="004D3E2F"/>
    <w:rsid w:val="004D4406"/>
    <w:rsid w:val="004D4B7D"/>
    <w:rsid w:val="004D5869"/>
    <w:rsid w:val="004D7C42"/>
    <w:rsid w:val="004E029D"/>
    <w:rsid w:val="004E0465"/>
    <w:rsid w:val="004E0C73"/>
    <w:rsid w:val="004E127B"/>
    <w:rsid w:val="004E1C0A"/>
    <w:rsid w:val="004E30C5"/>
    <w:rsid w:val="004E3E81"/>
    <w:rsid w:val="004E4AA5"/>
    <w:rsid w:val="004E4AEE"/>
    <w:rsid w:val="004E59E3"/>
    <w:rsid w:val="004E67C0"/>
    <w:rsid w:val="004E7728"/>
    <w:rsid w:val="004F29F1"/>
    <w:rsid w:val="004F2D8B"/>
    <w:rsid w:val="004F36BF"/>
    <w:rsid w:val="004F391A"/>
    <w:rsid w:val="004F3CFB"/>
    <w:rsid w:val="004F6456"/>
    <w:rsid w:val="004F696E"/>
    <w:rsid w:val="004F6ADC"/>
    <w:rsid w:val="004F6C71"/>
    <w:rsid w:val="004F72A5"/>
    <w:rsid w:val="004F7EBF"/>
    <w:rsid w:val="00501139"/>
    <w:rsid w:val="00501593"/>
    <w:rsid w:val="0050363E"/>
    <w:rsid w:val="005039BC"/>
    <w:rsid w:val="00503F0E"/>
    <w:rsid w:val="005043BB"/>
    <w:rsid w:val="00504A3D"/>
    <w:rsid w:val="00505767"/>
    <w:rsid w:val="0050697A"/>
    <w:rsid w:val="005073F0"/>
    <w:rsid w:val="00510A7B"/>
    <w:rsid w:val="00511654"/>
    <w:rsid w:val="00512F6E"/>
    <w:rsid w:val="00513038"/>
    <w:rsid w:val="00513F1A"/>
    <w:rsid w:val="00514174"/>
    <w:rsid w:val="005158B6"/>
    <w:rsid w:val="00516088"/>
    <w:rsid w:val="00516B0B"/>
    <w:rsid w:val="005179FD"/>
    <w:rsid w:val="00521590"/>
    <w:rsid w:val="005220EC"/>
    <w:rsid w:val="00522D99"/>
    <w:rsid w:val="00523F95"/>
    <w:rsid w:val="00524595"/>
    <w:rsid w:val="00524D65"/>
    <w:rsid w:val="00525B16"/>
    <w:rsid w:val="00533D04"/>
    <w:rsid w:val="005340DF"/>
    <w:rsid w:val="00534804"/>
    <w:rsid w:val="00534BDF"/>
    <w:rsid w:val="005352F5"/>
    <w:rsid w:val="005354EA"/>
    <w:rsid w:val="0053585F"/>
    <w:rsid w:val="00535EC4"/>
    <w:rsid w:val="00535ED9"/>
    <w:rsid w:val="005367FE"/>
    <w:rsid w:val="0053692B"/>
    <w:rsid w:val="005416DA"/>
    <w:rsid w:val="00541853"/>
    <w:rsid w:val="00543BDA"/>
    <w:rsid w:val="005441CC"/>
    <w:rsid w:val="00544BEB"/>
    <w:rsid w:val="005479DA"/>
    <w:rsid w:val="00547BCC"/>
    <w:rsid w:val="0055013B"/>
    <w:rsid w:val="0055099A"/>
    <w:rsid w:val="00551CCA"/>
    <w:rsid w:val="00551E62"/>
    <w:rsid w:val="00551F6F"/>
    <w:rsid w:val="00555044"/>
    <w:rsid w:val="00555CB2"/>
    <w:rsid w:val="00557448"/>
    <w:rsid w:val="00561475"/>
    <w:rsid w:val="00562308"/>
    <w:rsid w:val="0056487B"/>
    <w:rsid w:val="00564FB9"/>
    <w:rsid w:val="005706D5"/>
    <w:rsid w:val="00573D9E"/>
    <w:rsid w:val="00574FF8"/>
    <w:rsid w:val="0057577D"/>
    <w:rsid w:val="00577C43"/>
    <w:rsid w:val="005801E3"/>
    <w:rsid w:val="00581802"/>
    <w:rsid w:val="00581AD5"/>
    <w:rsid w:val="00582BE1"/>
    <w:rsid w:val="005834C9"/>
    <w:rsid w:val="005836A8"/>
    <w:rsid w:val="0058409C"/>
    <w:rsid w:val="00584262"/>
    <w:rsid w:val="00586630"/>
    <w:rsid w:val="00587ADD"/>
    <w:rsid w:val="00593A49"/>
    <w:rsid w:val="00596160"/>
    <w:rsid w:val="005966E2"/>
    <w:rsid w:val="00597007"/>
    <w:rsid w:val="005978D2"/>
    <w:rsid w:val="005A03B4"/>
    <w:rsid w:val="005A0966"/>
    <w:rsid w:val="005A11B7"/>
    <w:rsid w:val="005A23B6"/>
    <w:rsid w:val="005A260B"/>
    <w:rsid w:val="005A471A"/>
    <w:rsid w:val="005A4A1B"/>
    <w:rsid w:val="005A7830"/>
    <w:rsid w:val="005A7FCE"/>
    <w:rsid w:val="005B0F3F"/>
    <w:rsid w:val="005B191C"/>
    <w:rsid w:val="005B2942"/>
    <w:rsid w:val="005B4903"/>
    <w:rsid w:val="005B4AEB"/>
    <w:rsid w:val="005B51CE"/>
    <w:rsid w:val="005B5885"/>
    <w:rsid w:val="005B5CD7"/>
    <w:rsid w:val="005B6CF6"/>
    <w:rsid w:val="005B7422"/>
    <w:rsid w:val="005C0E30"/>
    <w:rsid w:val="005C29B8"/>
    <w:rsid w:val="005C4107"/>
    <w:rsid w:val="005C44CC"/>
    <w:rsid w:val="005C56B1"/>
    <w:rsid w:val="005C5F21"/>
    <w:rsid w:val="005C7156"/>
    <w:rsid w:val="005D0C75"/>
    <w:rsid w:val="005D0CCB"/>
    <w:rsid w:val="005D1271"/>
    <w:rsid w:val="005D16FC"/>
    <w:rsid w:val="005D3A8F"/>
    <w:rsid w:val="005D4171"/>
    <w:rsid w:val="005D6A95"/>
    <w:rsid w:val="005D6B2C"/>
    <w:rsid w:val="005D6B75"/>
    <w:rsid w:val="005D6D9C"/>
    <w:rsid w:val="005D720B"/>
    <w:rsid w:val="005E2335"/>
    <w:rsid w:val="005E34CA"/>
    <w:rsid w:val="005E3C18"/>
    <w:rsid w:val="005E4250"/>
    <w:rsid w:val="005E6812"/>
    <w:rsid w:val="005E7881"/>
    <w:rsid w:val="005E78E0"/>
    <w:rsid w:val="005F0D9C"/>
    <w:rsid w:val="005F1A7C"/>
    <w:rsid w:val="005F21CD"/>
    <w:rsid w:val="005F284E"/>
    <w:rsid w:val="006015CE"/>
    <w:rsid w:val="00601D28"/>
    <w:rsid w:val="006044CC"/>
    <w:rsid w:val="00604784"/>
    <w:rsid w:val="00606419"/>
    <w:rsid w:val="00607D29"/>
    <w:rsid w:val="00612952"/>
    <w:rsid w:val="00614CC1"/>
    <w:rsid w:val="00615A9D"/>
    <w:rsid w:val="00615E2E"/>
    <w:rsid w:val="00617387"/>
    <w:rsid w:val="0062038F"/>
    <w:rsid w:val="006205D6"/>
    <w:rsid w:val="00623A39"/>
    <w:rsid w:val="006252D8"/>
    <w:rsid w:val="006259BC"/>
    <w:rsid w:val="00625FF5"/>
    <w:rsid w:val="0062636B"/>
    <w:rsid w:val="00626FA1"/>
    <w:rsid w:val="0063150B"/>
    <w:rsid w:val="006318F6"/>
    <w:rsid w:val="00632182"/>
    <w:rsid w:val="00632AE0"/>
    <w:rsid w:val="00633C17"/>
    <w:rsid w:val="00634D9E"/>
    <w:rsid w:val="00636E3E"/>
    <w:rsid w:val="006379F7"/>
    <w:rsid w:val="00637E4D"/>
    <w:rsid w:val="00640620"/>
    <w:rsid w:val="00640ACE"/>
    <w:rsid w:val="00641A1F"/>
    <w:rsid w:val="00645904"/>
    <w:rsid w:val="00651ACB"/>
    <w:rsid w:val="00651C47"/>
    <w:rsid w:val="00651D9F"/>
    <w:rsid w:val="00652AB2"/>
    <w:rsid w:val="00653FED"/>
    <w:rsid w:val="00654EC0"/>
    <w:rsid w:val="0065525B"/>
    <w:rsid w:val="00655D4F"/>
    <w:rsid w:val="00656D29"/>
    <w:rsid w:val="00660269"/>
    <w:rsid w:val="006619A0"/>
    <w:rsid w:val="00663B6A"/>
    <w:rsid w:val="006640E5"/>
    <w:rsid w:val="006646F1"/>
    <w:rsid w:val="00664929"/>
    <w:rsid w:val="00664F62"/>
    <w:rsid w:val="006655E1"/>
    <w:rsid w:val="00672060"/>
    <w:rsid w:val="0067211C"/>
    <w:rsid w:val="00672BFD"/>
    <w:rsid w:val="0067669F"/>
    <w:rsid w:val="006770F4"/>
    <w:rsid w:val="0067789A"/>
    <w:rsid w:val="00677A84"/>
    <w:rsid w:val="0068026D"/>
    <w:rsid w:val="00680A27"/>
    <w:rsid w:val="006816A4"/>
    <w:rsid w:val="006819B8"/>
    <w:rsid w:val="006840A6"/>
    <w:rsid w:val="006850CD"/>
    <w:rsid w:val="00685AAB"/>
    <w:rsid w:val="006864DA"/>
    <w:rsid w:val="006931C8"/>
    <w:rsid w:val="00693962"/>
    <w:rsid w:val="00693A9D"/>
    <w:rsid w:val="006A07AA"/>
    <w:rsid w:val="006A25E5"/>
    <w:rsid w:val="006A2B46"/>
    <w:rsid w:val="006A2D26"/>
    <w:rsid w:val="006A336D"/>
    <w:rsid w:val="006A37B9"/>
    <w:rsid w:val="006A3875"/>
    <w:rsid w:val="006A67B8"/>
    <w:rsid w:val="006A6CFD"/>
    <w:rsid w:val="006B2672"/>
    <w:rsid w:val="006B3E7E"/>
    <w:rsid w:val="006B54BF"/>
    <w:rsid w:val="006B5F44"/>
    <w:rsid w:val="006B5F90"/>
    <w:rsid w:val="006B62E4"/>
    <w:rsid w:val="006C05C5"/>
    <w:rsid w:val="006C1BBA"/>
    <w:rsid w:val="006C2079"/>
    <w:rsid w:val="006C3762"/>
    <w:rsid w:val="006C5A62"/>
    <w:rsid w:val="006C5D68"/>
    <w:rsid w:val="006C6976"/>
    <w:rsid w:val="006C6DD0"/>
    <w:rsid w:val="006D04EA"/>
    <w:rsid w:val="006D16C4"/>
    <w:rsid w:val="006D22CB"/>
    <w:rsid w:val="006D3886"/>
    <w:rsid w:val="006D3BDC"/>
    <w:rsid w:val="006D3E96"/>
    <w:rsid w:val="006D4515"/>
    <w:rsid w:val="006D4BB1"/>
    <w:rsid w:val="006D6593"/>
    <w:rsid w:val="006D7614"/>
    <w:rsid w:val="006D7EB7"/>
    <w:rsid w:val="006E2701"/>
    <w:rsid w:val="006F03A8"/>
    <w:rsid w:val="006F2ACA"/>
    <w:rsid w:val="006F2ADC"/>
    <w:rsid w:val="006F2BFE"/>
    <w:rsid w:val="006F2C8D"/>
    <w:rsid w:val="006F31E9"/>
    <w:rsid w:val="006F6284"/>
    <w:rsid w:val="007002C5"/>
    <w:rsid w:val="00704302"/>
    <w:rsid w:val="00704387"/>
    <w:rsid w:val="00707669"/>
    <w:rsid w:val="007103D1"/>
    <w:rsid w:val="00711CBA"/>
    <w:rsid w:val="00711FB5"/>
    <w:rsid w:val="00712A01"/>
    <w:rsid w:val="00714F58"/>
    <w:rsid w:val="00721277"/>
    <w:rsid w:val="00722FBF"/>
    <w:rsid w:val="00722FC2"/>
    <w:rsid w:val="007235A5"/>
    <w:rsid w:val="00723D0B"/>
    <w:rsid w:val="00724822"/>
    <w:rsid w:val="00724E1B"/>
    <w:rsid w:val="00725949"/>
    <w:rsid w:val="00727FA2"/>
    <w:rsid w:val="00731153"/>
    <w:rsid w:val="007322D9"/>
    <w:rsid w:val="00732BC0"/>
    <w:rsid w:val="0073714F"/>
    <w:rsid w:val="0073720F"/>
    <w:rsid w:val="00737796"/>
    <w:rsid w:val="0074165C"/>
    <w:rsid w:val="00742C35"/>
    <w:rsid w:val="007432CA"/>
    <w:rsid w:val="007439EB"/>
    <w:rsid w:val="00743CB4"/>
    <w:rsid w:val="00743F0A"/>
    <w:rsid w:val="007444E8"/>
    <w:rsid w:val="0074548E"/>
    <w:rsid w:val="00745773"/>
    <w:rsid w:val="00745AA6"/>
    <w:rsid w:val="00746800"/>
    <w:rsid w:val="007501A8"/>
    <w:rsid w:val="007505B5"/>
    <w:rsid w:val="00750D61"/>
    <w:rsid w:val="00750EE1"/>
    <w:rsid w:val="007512BA"/>
    <w:rsid w:val="00752B4D"/>
    <w:rsid w:val="00753987"/>
    <w:rsid w:val="00755402"/>
    <w:rsid w:val="00756B26"/>
    <w:rsid w:val="00756EDF"/>
    <w:rsid w:val="007600E3"/>
    <w:rsid w:val="00765C43"/>
    <w:rsid w:val="00765EFB"/>
    <w:rsid w:val="00766D2E"/>
    <w:rsid w:val="007671CA"/>
    <w:rsid w:val="00767C61"/>
    <w:rsid w:val="0077008A"/>
    <w:rsid w:val="00773C1F"/>
    <w:rsid w:val="00774DA4"/>
    <w:rsid w:val="007762AE"/>
    <w:rsid w:val="00776599"/>
    <w:rsid w:val="007765E0"/>
    <w:rsid w:val="00780726"/>
    <w:rsid w:val="00780CED"/>
    <w:rsid w:val="0078114B"/>
    <w:rsid w:val="00781DD2"/>
    <w:rsid w:val="00783B8E"/>
    <w:rsid w:val="00783ECF"/>
    <w:rsid w:val="0078413A"/>
    <w:rsid w:val="00787CD0"/>
    <w:rsid w:val="00792508"/>
    <w:rsid w:val="00794B27"/>
    <w:rsid w:val="007952BD"/>
    <w:rsid w:val="007959E8"/>
    <w:rsid w:val="00795E9C"/>
    <w:rsid w:val="007A0521"/>
    <w:rsid w:val="007A0664"/>
    <w:rsid w:val="007A284A"/>
    <w:rsid w:val="007A2E12"/>
    <w:rsid w:val="007A3475"/>
    <w:rsid w:val="007A41C8"/>
    <w:rsid w:val="007A54CE"/>
    <w:rsid w:val="007A5D3A"/>
    <w:rsid w:val="007A6FD9"/>
    <w:rsid w:val="007A7FFA"/>
    <w:rsid w:val="007B04EB"/>
    <w:rsid w:val="007B0D4F"/>
    <w:rsid w:val="007B16B9"/>
    <w:rsid w:val="007B5A3D"/>
    <w:rsid w:val="007B5B95"/>
    <w:rsid w:val="007B6032"/>
    <w:rsid w:val="007B68EA"/>
    <w:rsid w:val="007B7453"/>
    <w:rsid w:val="007C1B16"/>
    <w:rsid w:val="007C2D89"/>
    <w:rsid w:val="007C4593"/>
    <w:rsid w:val="007C5309"/>
    <w:rsid w:val="007C6069"/>
    <w:rsid w:val="007D06C4"/>
    <w:rsid w:val="007D1212"/>
    <w:rsid w:val="007D1352"/>
    <w:rsid w:val="007D2508"/>
    <w:rsid w:val="007D346A"/>
    <w:rsid w:val="007D6518"/>
    <w:rsid w:val="007D6850"/>
    <w:rsid w:val="007D76BD"/>
    <w:rsid w:val="007E0BF1"/>
    <w:rsid w:val="007E1060"/>
    <w:rsid w:val="007E4360"/>
    <w:rsid w:val="007F0ED8"/>
    <w:rsid w:val="007F0F63"/>
    <w:rsid w:val="007F18EA"/>
    <w:rsid w:val="007F1924"/>
    <w:rsid w:val="007F5D6B"/>
    <w:rsid w:val="007F752F"/>
    <w:rsid w:val="007F75CE"/>
    <w:rsid w:val="007F794F"/>
    <w:rsid w:val="00800F74"/>
    <w:rsid w:val="008013A4"/>
    <w:rsid w:val="008019FE"/>
    <w:rsid w:val="008027CE"/>
    <w:rsid w:val="00802961"/>
    <w:rsid w:val="00802F42"/>
    <w:rsid w:val="00803604"/>
    <w:rsid w:val="00804383"/>
    <w:rsid w:val="00804BB7"/>
    <w:rsid w:val="00804D41"/>
    <w:rsid w:val="00805A6F"/>
    <w:rsid w:val="0080679E"/>
    <w:rsid w:val="00810257"/>
    <w:rsid w:val="008104F5"/>
    <w:rsid w:val="00811072"/>
    <w:rsid w:val="00811369"/>
    <w:rsid w:val="008134A3"/>
    <w:rsid w:val="00815419"/>
    <w:rsid w:val="00815CF6"/>
    <w:rsid w:val="00816044"/>
    <w:rsid w:val="008163C8"/>
    <w:rsid w:val="008164A1"/>
    <w:rsid w:val="00817325"/>
    <w:rsid w:val="008209E6"/>
    <w:rsid w:val="00820A2B"/>
    <w:rsid w:val="00821D19"/>
    <w:rsid w:val="00823303"/>
    <w:rsid w:val="008233B2"/>
    <w:rsid w:val="00823A9F"/>
    <w:rsid w:val="00823C85"/>
    <w:rsid w:val="008242AE"/>
    <w:rsid w:val="00825138"/>
    <w:rsid w:val="008254FB"/>
    <w:rsid w:val="008269DD"/>
    <w:rsid w:val="00827A7B"/>
    <w:rsid w:val="00830621"/>
    <w:rsid w:val="0083067F"/>
    <w:rsid w:val="008331FD"/>
    <w:rsid w:val="0083348C"/>
    <w:rsid w:val="00833BAE"/>
    <w:rsid w:val="008351C4"/>
    <w:rsid w:val="00836E5B"/>
    <w:rsid w:val="008373D3"/>
    <w:rsid w:val="00837FE6"/>
    <w:rsid w:val="00840617"/>
    <w:rsid w:val="00840F84"/>
    <w:rsid w:val="00842A47"/>
    <w:rsid w:val="00843C13"/>
    <w:rsid w:val="00843DEF"/>
    <w:rsid w:val="00843FC0"/>
    <w:rsid w:val="008454F8"/>
    <w:rsid w:val="00846E27"/>
    <w:rsid w:val="00850213"/>
    <w:rsid w:val="0085173A"/>
    <w:rsid w:val="008603CE"/>
    <w:rsid w:val="008620FC"/>
    <w:rsid w:val="008627A5"/>
    <w:rsid w:val="00862EEC"/>
    <w:rsid w:val="00863E05"/>
    <w:rsid w:val="00865ACA"/>
    <w:rsid w:val="00865D28"/>
    <w:rsid w:val="00865F85"/>
    <w:rsid w:val="00867C10"/>
    <w:rsid w:val="00870439"/>
    <w:rsid w:val="00870807"/>
    <w:rsid w:val="00870DA1"/>
    <w:rsid w:val="0087291A"/>
    <w:rsid w:val="00883906"/>
    <w:rsid w:val="00883F93"/>
    <w:rsid w:val="00884DB3"/>
    <w:rsid w:val="00885A9D"/>
    <w:rsid w:val="008864F6"/>
    <w:rsid w:val="0089049D"/>
    <w:rsid w:val="00890CDD"/>
    <w:rsid w:val="008928C9"/>
    <w:rsid w:val="008930CB"/>
    <w:rsid w:val="008938DC"/>
    <w:rsid w:val="00893FD1"/>
    <w:rsid w:val="00894836"/>
    <w:rsid w:val="00895172"/>
    <w:rsid w:val="008955F4"/>
    <w:rsid w:val="00895680"/>
    <w:rsid w:val="00895C0B"/>
    <w:rsid w:val="00896050"/>
    <w:rsid w:val="008960C8"/>
    <w:rsid w:val="00896575"/>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53AE"/>
    <w:rsid w:val="008B53DE"/>
    <w:rsid w:val="008B70DE"/>
    <w:rsid w:val="008B79ED"/>
    <w:rsid w:val="008B7E05"/>
    <w:rsid w:val="008C16AD"/>
    <w:rsid w:val="008C1797"/>
    <w:rsid w:val="008C1852"/>
    <w:rsid w:val="008C219C"/>
    <w:rsid w:val="008C2531"/>
    <w:rsid w:val="008C306C"/>
    <w:rsid w:val="008C3083"/>
    <w:rsid w:val="008C475E"/>
    <w:rsid w:val="008C619A"/>
    <w:rsid w:val="008D0CE8"/>
    <w:rsid w:val="008D2D1D"/>
    <w:rsid w:val="008D2D67"/>
    <w:rsid w:val="008D453D"/>
    <w:rsid w:val="008D45E0"/>
    <w:rsid w:val="008D53AD"/>
    <w:rsid w:val="008D562B"/>
    <w:rsid w:val="008D5733"/>
    <w:rsid w:val="008D622B"/>
    <w:rsid w:val="008D666C"/>
    <w:rsid w:val="008D71D0"/>
    <w:rsid w:val="008D7B54"/>
    <w:rsid w:val="008E0A42"/>
    <w:rsid w:val="008E0C9D"/>
    <w:rsid w:val="008E1648"/>
    <w:rsid w:val="008E1B3E"/>
    <w:rsid w:val="008E2319"/>
    <w:rsid w:val="008E4BB6"/>
    <w:rsid w:val="008E5518"/>
    <w:rsid w:val="008E6A84"/>
    <w:rsid w:val="008F0B8F"/>
    <w:rsid w:val="008F0CDC"/>
    <w:rsid w:val="008F17A3"/>
    <w:rsid w:val="008F1ED3"/>
    <w:rsid w:val="008F4B03"/>
    <w:rsid w:val="008F4C29"/>
    <w:rsid w:val="008F70BD"/>
    <w:rsid w:val="008F788F"/>
    <w:rsid w:val="008F7EA2"/>
    <w:rsid w:val="00901DB0"/>
    <w:rsid w:val="00902722"/>
    <w:rsid w:val="009027BC"/>
    <w:rsid w:val="009062E6"/>
    <w:rsid w:val="009102FC"/>
    <w:rsid w:val="00911BE5"/>
    <w:rsid w:val="00912447"/>
    <w:rsid w:val="00913CA9"/>
    <w:rsid w:val="009145AE"/>
    <w:rsid w:val="009146CE"/>
    <w:rsid w:val="00914CA7"/>
    <w:rsid w:val="00915C3E"/>
    <w:rsid w:val="00915D88"/>
    <w:rsid w:val="009161A8"/>
    <w:rsid w:val="00922908"/>
    <w:rsid w:val="009245AE"/>
    <w:rsid w:val="009245F5"/>
    <w:rsid w:val="009249EC"/>
    <w:rsid w:val="009273B3"/>
    <w:rsid w:val="009305B5"/>
    <w:rsid w:val="009378DD"/>
    <w:rsid w:val="0094135E"/>
    <w:rsid w:val="009421E2"/>
    <w:rsid w:val="0094247B"/>
    <w:rsid w:val="009429D5"/>
    <w:rsid w:val="00942BF1"/>
    <w:rsid w:val="00945180"/>
    <w:rsid w:val="00945428"/>
    <w:rsid w:val="0094607B"/>
    <w:rsid w:val="00946681"/>
    <w:rsid w:val="00952300"/>
    <w:rsid w:val="00953604"/>
    <w:rsid w:val="0095496B"/>
    <w:rsid w:val="00957E0E"/>
    <w:rsid w:val="00960DCC"/>
    <w:rsid w:val="00960F1E"/>
    <w:rsid w:val="009610DC"/>
    <w:rsid w:val="00961490"/>
    <w:rsid w:val="00962F1C"/>
    <w:rsid w:val="0096381A"/>
    <w:rsid w:val="00963D20"/>
    <w:rsid w:val="00965E04"/>
    <w:rsid w:val="009674AD"/>
    <w:rsid w:val="00967F78"/>
    <w:rsid w:val="00970CDC"/>
    <w:rsid w:val="00975727"/>
    <w:rsid w:val="00977010"/>
    <w:rsid w:val="00977D02"/>
    <w:rsid w:val="00977FF9"/>
    <w:rsid w:val="009809BB"/>
    <w:rsid w:val="0098364B"/>
    <w:rsid w:val="00984578"/>
    <w:rsid w:val="00984A72"/>
    <w:rsid w:val="00986E0B"/>
    <w:rsid w:val="009908A3"/>
    <w:rsid w:val="009910F2"/>
    <w:rsid w:val="009911AF"/>
    <w:rsid w:val="00991875"/>
    <w:rsid w:val="00991F92"/>
    <w:rsid w:val="00992985"/>
    <w:rsid w:val="00993889"/>
    <w:rsid w:val="009941A3"/>
    <w:rsid w:val="0099551B"/>
    <w:rsid w:val="00996016"/>
    <w:rsid w:val="00996BD2"/>
    <w:rsid w:val="00997BF1"/>
    <w:rsid w:val="009A089C"/>
    <w:rsid w:val="009A118E"/>
    <w:rsid w:val="009A1E55"/>
    <w:rsid w:val="009A203B"/>
    <w:rsid w:val="009A21CD"/>
    <w:rsid w:val="009A278C"/>
    <w:rsid w:val="009A2BC2"/>
    <w:rsid w:val="009A3644"/>
    <w:rsid w:val="009A42C1"/>
    <w:rsid w:val="009A4488"/>
    <w:rsid w:val="009A5429"/>
    <w:rsid w:val="009A6BBF"/>
    <w:rsid w:val="009A72AD"/>
    <w:rsid w:val="009B09E0"/>
    <w:rsid w:val="009B0BC5"/>
    <w:rsid w:val="009B1247"/>
    <w:rsid w:val="009B6029"/>
    <w:rsid w:val="009B6971"/>
    <w:rsid w:val="009C076B"/>
    <w:rsid w:val="009C27F1"/>
    <w:rsid w:val="009C3152"/>
    <w:rsid w:val="009C3257"/>
    <w:rsid w:val="009C4CFA"/>
    <w:rsid w:val="009C5070"/>
    <w:rsid w:val="009C5552"/>
    <w:rsid w:val="009C6CB1"/>
    <w:rsid w:val="009D112C"/>
    <w:rsid w:val="009D1385"/>
    <w:rsid w:val="009D1E22"/>
    <w:rsid w:val="009D47FA"/>
    <w:rsid w:val="009D4B2A"/>
    <w:rsid w:val="009D4C5B"/>
    <w:rsid w:val="009D50D2"/>
    <w:rsid w:val="009D6BCA"/>
    <w:rsid w:val="009E0F62"/>
    <w:rsid w:val="009E2698"/>
    <w:rsid w:val="009E4A58"/>
    <w:rsid w:val="009E5A2D"/>
    <w:rsid w:val="009E5AB2"/>
    <w:rsid w:val="009E6219"/>
    <w:rsid w:val="009E631F"/>
    <w:rsid w:val="009E6724"/>
    <w:rsid w:val="009F03B3"/>
    <w:rsid w:val="00A0096C"/>
    <w:rsid w:val="00A01757"/>
    <w:rsid w:val="00A01A17"/>
    <w:rsid w:val="00A028C0"/>
    <w:rsid w:val="00A02BAE"/>
    <w:rsid w:val="00A06A6B"/>
    <w:rsid w:val="00A07E47"/>
    <w:rsid w:val="00A129D0"/>
    <w:rsid w:val="00A12C33"/>
    <w:rsid w:val="00A1388E"/>
    <w:rsid w:val="00A138BA"/>
    <w:rsid w:val="00A14C8E"/>
    <w:rsid w:val="00A153D9"/>
    <w:rsid w:val="00A15F09"/>
    <w:rsid w:val="00A169B6"/>
    <w:rsid w:val="00A215B7"/>
    <w:rsid w:val="00A223C3"/>
    <w:rsid w:val="00A2271D"/>
    <w:rsid w:val="00A237D5"/>
    <w:rsid w:val="00A30EFC"/>
    <w:rsid w:val="00A3112A"/>
    <w:rsid w:val="00A31984"/>
    <w:rsid w:val="00A32D73"/>
    <w:rsid w:val="00A3367B"/>
    <w:rsid w:val="00A33C67"/>
    <w:rsid w:val="00A356C2"/>
    <w:rsid w:val="00A3597D"/>
    <w:rsid w:val="00A36DD1"/>
    <w:rsid w:val="00A37965"/>
    <w:rsid w:val="00A4006C"/>
    <w:rsid w:val="00A40091"/>
    <w:rsid w:val="00A4030F"/>
    <w:rsid w:val="00A41C79"/>
    <w:rsid w:val="00A41CB5"/>
    <w:rsid w:val="00A41E19"/>
    <w:rsid w:val="00A42CDF"/>
    <w:rsid w:val="00A441B4"/>
    <w:rsid w:val="00A4452E"/>
    <w:rsid w:val="00A4472C"/>
    <w:rsid w:val="00A44E69"/>
    <w:rsid w:val="00A4661E"/>
    <w:rsid w:val="00A475B9"/>
    <w:rsid w:val="00A479ED"/>
    <w:rsid w:val="00A53BA7"/>
    <w:rsid w:val="00A55BD6"/>
    <w:rsid w:val="00A55D50"/>
    <w:rsid w:val="00A57142"/>
    <w:rsid w:val="00A60418"/>
    <w:rsid w:val="00A62EB3"/>
    <w:rsid w:val="00A648CD"/>
    <w:rsid w:val="00A6537A"/>
    <w:rsid w:val="00A65C9B"/>
    <w:rsid w:val="00A67866"/>
    <w:rsid w:val="00A70B07"/>
    <w:rsid w:val="00A710B3"/>
    <w:rsid w:val="00A723F8"/>
    <w:rsid w:val="00A72AD1"/>
    <w:rsid w:val="00A75CE4"/>
    <w:rsid w:val="00A76574"/>
    <w:rsid w:val="00A76BDB"/>
    <w:rsid w:val="00A77CCB"/>
    <w:rsid w:val="00A8354B"/>
    <w:rsid w:val="00A83D8D"/>
    <w:rsid w:val="00A8446B"/>
    <w:rsid w:val="00A8473F"/>
    <w:rsid w:val="00A862D6"/>
    <w:rsid w:val="00A8715E"/>
    <w:rsid w:val="00A9295B"/>
    <w:rsid w:val="00A93B09"/>
    <w:rsid w:val="00A94C93"/>
    <w:rsid w:val="00A952D7"/>
    <w:rsid w:val="00A95AEE"/>
    <w:rsid w:val="00A963F7"/>
    <w:rsid w:val="00A96AD8"/>
    <w:rsid w:val="00AA052C"/>
    <w:rsid w:val="00AA1E45"/>
    <w:rsid w:val="00AA4286"/>
    <w:rsid w:val="00AA456B"/>
    <w:rsid w:val="00AA57F5"/>
    <w:rsid w:val="00AA672E"/>
    <w:rsid w:val="00AA6959"/>
    <w:rsid w:val="00AA6EC9"/>
    <w:rsid w:val="00AB2D06"/>
    <w:rsid w:val="00AB489C"/>
    <w:rsid w:val="00AB6309"/>
    <w:rsid w:val="00AB67B8"/>
    <w:rsid w:val="00AB6C5F"/>
    <w:rsid w:val="00AB7129"/>
    <w:rsid w:val="00AC19D5"/>
    <w:rsid w:val="00AC27A6"/>
    <w:rsid w:val="00AC2E1B"/>
    <w:rsid w:val="00AC30F7"/>
    <w:rsid w:val="00AC3A5A"/>
    <w:rsid w:val="00AC4D95"/>
    <w:rsid w:val="00AC5DF4"/>
    <w:rsid w:val="00AC7F0B"/>
    <w:rsid w:val="00AD0AEF"/>
    <w:rsid w:val="00AD11B7"/>
    <w:rsid w:val="00AD1A94"/>
    <w:rsid w:val="00AD1C05"/>
    <w:rsid w:val="00AD2EDF"/>
    <w:rsid w:val="00AD4126"/>
    <w:rsid w:val="00AD421C"/>
    <w:rsid w:val="00AD44FA"/>
    <w:rsid w:val="00AD4E7E"/>
    <w:rsid w:val="00AD5795"/>
    <w:rsid w:val="00AE070A"/>
    <w:rsid w:val="00AE101C"/>
    <w:rsid w:val="00AE2A69"/>
    <w:rsid w:val="00AE2DDE"/>
    <w:rsid w:val="00AE37E5"/>
    <w:rsid w:val="00AE4266"/>
    <w:rsid w:val="00AE57EE"/>
    <w:rsid w:val="00AE5BE9"/>
    <w:rsid w:val="00AE5EB4"/>
    <w:rsid w:val="00AE66EB"/>
    <w:rsid w:val="00AE7357"/>
    <w:rsid w:val="00AE7CB7"/>
    <w:rsid w:val="00AF0C18"/>
    <w:rsid w:val="00AF1E5B"/>
    <w:rsid w:val="00AF47C5"/>
    <w:rsid w:val="00AF5398"/>
    <w:rsid w:val="00AF56E5"/>
    <w:rsid w:val="00AF6E8C"/>
    <w:rsid w:val="00B028C5"/>
    <w:rsid w:val="00B039F0"/>
    <w:rsid w:val="00B049AF"/>
    <w:rsid w:val="00B07242"/>
    <w:rsid w:val="00B07501"/>
    <w:rsid w:val="00B1050C"/>
    <w:rsid w:val="00B10534"/>
    <w:rsid w:val="00B113DB"/>
    <w:rsid w:val="00B1192D"/>
    <w:rsid w:val="00B11D8A"/>
    <w:rsid w:val="00B12981"/>
    <w:rsid w:val="00B13643"/>
    <w:rsid w:val="00B147DD"/>
    <w:rsid w:val="00B156FD"/>
    <w:rsid w:val="00B21F61"/>
    <w:rsid w:val="00B2421A"/>
    <w:rsid w:val="00B25E81"/>
    <w:rsid w:val="00B261F1"/>
    <w:rsid w:val="00B265BC"/>
    <w:rsid w:val="00B26CCE"/>
    <w:rsid w:val="00B30400"/>
    <w:rsid w:val="00B30EFB"/>
    <w:rsid w:val="00B31977"/>
    <w:rsid w:val="00B31FB1"/>
    <w:rsid w:val="00B33952"/>
    <w:rsid w:val="00B33C5E"/>
    <w:rsid w:val="00B342F4"/>
    <w:rsid w:val="00B34369"/>
    <w:rsid w:val="00B34DC2"/>
    <w:rsid w:val="00B372FE"/>
    <w:rsid w:val="00B378E5"/>
    <w:rsid w:val="00B40DB8"/>
    <w:rsid w:val="00B4346D"/>
    <w:rsid w:val="00B440F4"/>
    <w:rsid w:val="00B44317"/>
    <w:rsid w:val="00B447A5"/>
    <w:rsid w:val="00B4654C"/>
    <w:rsid w:val="00B465CE"/>
    <w:rsid w:val="00B47293"/>
    <w:rsid w:val="00B50B00"/>
    <w:rsid w:val="00B50E50"/>
    <w:rsid w:val="00B52120"/>
    <w:rsid w:val="00B54ABC"/>
    <w:rsid w:val="00B56FBE"/>
    <w:rsid w:val="00B57D33"/>
    <w:rsid w:val="00B60ACF"/>
    <w:rsid w:val="00B610DB"/>
    <w:rsid w:val="00B62B58"/>
    <w:rsid w:val="00B65149"/>
    <w:rsid w:val="00B66567"/>
    <w:rsid w:val="00B66E6D"/>
    <w:rsid w:val="00B66F52"/>
    <w:rsid w:val="00B66FE5"/>
    <w:rsid w:val="00B705F6"/>
    <w:rsid w:val="00B72880"/>
    <w:rsid w:val="00B731F5"/>
    <w:rsid w:val="00B758BF"/>
    <w:rsid w:val="00B77EC8"/>
    <w:rsid w:val="00B8238F"/>
    <w:rsid w:val="00B827A6"/>
    <w:rsid w:val="00B82C9F"/>
    <w:rsid w:val="00B831CE"/>
    <w:rsid w:val="00B85413"/>
    <w:rsid w:val="00B86677"/>
    <w:rsid w:val="00B86D75"/>
    <w:rsid w:val="00B87131"/>
    <w:rsid w:val="00B90D4C"/>
    <w:rsid w:val="00B939B1"/>
    <w:rsid w:val="00B96D40"/>
    <w:rsid w:val="00B97386"/>
    <w:rsid w:val="00B97ED5"/>
    <w:rsid w:val="00BA0141"/>
    <w:rsid w:val="00BA07C5"/>
    <w:rsid w:val="00BA263B"/>
    <w:rsid w:val="00BA42B2"/>
    <w:rsid w:val="00BA58D4"/>
    <w:rsid w:val="00BA5B9E"/>
    <w:rsid w:val="00BA6E60"/>
    <w:rsid w:val="00BA7C9A"/>
    <w:rsid w:val="00BB40B6"/>
    <w:rsid w:val="00BB47FE"/>
    <w:rsid w:val="00BB5F8F"/>
    <w:rsid w:val="00BB657A"/>
    <w:rsid w:val="00BB7445"/>
    <w:rsid w:val="00BB7E57"/>
    <w:rsid w:val="00BC16B6"/>
    <w:rsid w:val="00BC1A4E"/>
    <w:rsid w:val="00BC1DD2"/>
    <w:rsid w:val="00BC54A8"/>
    <w:rsid w:val="00BC5DC7"/>
    <w:rsid w:val="00BC5F43"/>
    <w:rsid w:val="00BC6B8B"/>
    <w:rsid w:val="00BC73D8"/>
    <w:rsid w:val="00BD49AA"/>
    <w:rsid w:val="00BD513F"/>
    <w:rsid w:val="00BD52D7"/>
    <w:rsid w:val="00BD5AD2"/>
    <w:rsid w:val="00BE1F74"/>
    <w:rsid w:val="00BE22F3"/>
    <w:rsid w:val="00BE5B52"/>
    <w:rsid w:val="00BE5F86"/>
    <w:rsid w:val="00BE75D2"/>
    <w:rsid w:val="00BE7B8D"/>
    <w:rsid w:val="00BF0993"/>
    <w:rsid w:val="00BF0F89"/>
    <w:rsid w:val="00BF10A9"/>
    <w:rsid w:val="00BF1703"/>
    <w:rsid w:val="00BF231C"/>
    <w:rsid w:val="00BF2BBA"/>
    <w:rsid w:val="00BF51E5"/>
    <w:rsid w:val="00BF5548"/>
    <w:rsid w:val="00BF74A6"/>
    <w:rsid w:val="00C00BDC"/>
    <w:rsid w:val="00C013AD"/>
    <w:rsid w:val="00C039A8"/>
    <w:rsid w:val="00C03E42"/>
    <w:rsid w:val="00C04904"/>
    <w:rsid w:val="00C0511D"/>
    <w:rsid w:val="00C056B3"/>
    <w:rsid w:val="00C103E5"/>
    <w:rsid w:val="00C10F22"/>
    <w:rsid w:val="00C12EE2"/>
    <w:rsid w:val="00C13319"/>
    <w:rsid w:val="00C13C18"/>
    <w:rsid w:val="00C13EE9"/>
    <w:rsid w:val="00C21540"/>
    <w:rsid w:val="00C21906"/>
    <w:rsid w:val="00C21BFA"/>
    <w:rsid w:val="00C22838"/>
    <w:rsid w:val="00C22C58"/>
    <w:rsid w:val="00C24652"/>
    <w:rsid w:val="00C24C8D"/>
    <w:rsid w:val="00C25FE2"/>
    <w:rsid w:val="00C26B53"/>
    <w:rsid w:val="00C27229"/>
    <w:rsid w:val="00C279B2"/>
    <w:rsid w:val="00C33E50"/>
    <w:rsid w:val="00C34C20"/>
    <w:rsid w:val="00C3540C"/>
    <w:rsid w:val="00C35A3E"/>
    <w:rsid w:val="00C42130"/>
    <w:rsid w:val="00C423A4"/>
    <w:rsid w:val="00C423E3"/>
    <w:rsid w:val="00C4359F"/>
    <w:rsid w:val="00C44BF5"/>
    <w:rsid w:val="00C521D6"/>
    <w:rsid w:val="00C53A88"/>
    <w:rsid w:val="00C55232"/>
    <w:rsid w:val="00C553A4"/>
    <w:rsid w:val="00C55A06"/>
    <w:rsid w:val="00C55D03"/>
    <w:rsid w:val="00C55FD8"/>
    <w:rsid w:val="00C57F19"/>
    <w:rsid w:val="00C601BC"/>
    <w:rsid w:val="00C61E2E"/>
    <w:rsid w:val="00C6329F"/>
    <w:rsid w:val="00C63340"/>
    <w:rsid w:val="00C643F9"/>
    <w:rsid w:val="00C64E95"/>
    <w:rsid w:val="00C65C8A"/>
    <w:rsid w:val="00C6625B"/>
    <w:rsid w:val="00C673FD"/>
    <w:rsid w:val="00C71372"/>
    <w:rsid w:val="00C72410"/>
    <w:rsid w:val="00C7287F"/>
    <w:rsid w:val="00C779EE"/>
    <w:rsid w:val="00C77B80"/>
    <w:rsid w:val="00C80CB8"/>
    <w:rsid w:val="00C819F8"/>
    <w:rsid w:val="00C8248C"/>
    <w:rsid w:val="00C8277D"/>
    <w:rsid w:val="00C83FF3"/>
    <w:rsid w:val="00C84E33"/>
    <w:rsid w:val="00C86D6F"/>
    <w:rsid w:val="00C86FE6"/>
    <w:rsid w:val="00C9019B"/>
    <w:rsid w:val="00C903B6"/>
    <w:rsid w:val="00C905FC"/>
    <w:rsid w:val="00C92D03"/>
    <w:rsid w:val="00C9319C"/>
    <w:rsid w:val="00C9380E"/>
    <w:rsid w:val="00C9435D"/>
    <w:rsid w:val="00C94DF2"/>
    <w:rsid w:val="00C95EF0"/>
    <w:rsid w:val="00C96741"/>
    <w:rsid w:val="00CA2D1B"/>
    <w:rsid w:val="00CA375D"/>
    <w:rsid w:val="00CA49BE"/>
    <w:rsid w:val="00CA55BC"/>
    <w:rsid w:val="00CA662A"/>
    <w:rsid w:val="00CA7AFD"/>
    <w:rsid w:val="00CA7C3C"/>
    <w:rsid w:val="00CB0189"/>
    <w:rsid w:val="00CB0BA2"/>
    <w:rsid w:val="00CB1A42"/>
    <w:rsid w:val="00CB1B0C"/>
    <w:rsid w:val="00CB2C0B"/>
    <w:rsid w:val="00CB4EEF"/>
    <w:rsid w:val="00CB517D"/>
    <w:rsid w:val="00CB5A0A"/>
    <w:rsid w:val="00CB673E"/>
    <w:rsid w:val="00CC038D"/>
    <w:rsid w:val="00CC08DB"/>
    <w:rsid w:val="00CC39FF"/>
    <w:rsid w:val="00CC3C2F"/>
    <w:rsid w:val="00CC4AC8"/>
    <w:rsid w:val="00CC5233"/>
    <w:rsid w:val="00CC5DE6"/>
    <w:rsid w:val="00CC6E4E"/>
    <w:rsid w:val="00CC6FE8"/>
    <w:rsid w:val="00CC7202"/>
    <w:rsid w:val="00CD2808"/>
    <w:rsid w:val="00CD28BF"/>
    <w:rsid w:val="00CD38F5"/>
    <w:rsid w:val="00CD4092"/>
    <w:rsid w:val="00CD4A20"/>
    <w:rsid w:val="00CD50A1"/>
    <w:rsid w:val="00CD519E"/>
    <w:rsid w:val="00CD5987"/>
    <w:rsid w:val="00CE0C4F"/>
    <w:rsid w:val="00CE29FE"/>
    <w:rsid w:val="00CE30EA"/>
    <w:rsid w:val="00CE74EB"/>
    <w:rsid w:val="00CF048A"/>
    <w:rsid w:val="00CF1322"/>
    <w:rsid w:val="00CF155A"/>
    <w:rsid w:val="00CF2287"/>
    <w:rsid w:val="00CF2947"/>
    <w:rsid w:val="00CF3F04"/>
    <w:rsid w:val="00CF4FB9"/>
    <w:rsid w:val="00CF686F"/>
    <w:rsid w:val="00CF6E60"/>
    <w:rsid w:val="00CF7BCA"/>
    <w:rsid w:val="00D008FD"/>
    <w:rsid w:val="00D028E2"/>
    <w:rsid w:val="00D0321C"/>
    <w:rsid w:val="00D035EC"/>
    <w:rsid w:val="00D039A6"/>
    <w:rsid w:val="00D067CB"/>
    <w:rsid w:val="00D06AB1"/>
    <w:rsid w:val="00D06FC1"/>
    <w:rsid w:val="00D072ED"/>
    <w:rsid w:val="00D07A16"/>
    <w:rsid w:val="00D1067E"/>
    <w:rsid w:val="00D10F50"/>
    <w:rsid w:val="00D11272"/>
    <w:rsid w:val="00D126F5"/>
    <w:rsid w:val="00D1489E"/>
    <w:rsid w:val="00D20737"/>
    <w:rsid w:val="00D2090E"/>
    <w:rsid w:val="00D21E81"/>
    <w:rsid w:val="00D223DE"/>
    <w:rsid w:val="00D25E37"/>
    <w:rsid w:val="00D2661A"/>
    <w:rsid w:val="00D268B8"/>
    <w:rsid w:val="00D27582"/>
    <w:rsid w:val="00D27EC4"/>
    <w:rsid w:val="00D31277"/>
    <w:rsid w:val="00D32719"/>
    <w:rsid w:val="00D33333"/>
    <w:rsid w:val="00D352A2"/>
    <w:rsid w:val="00D4162B"/>
    <w:rsid w:val="00D4514F"/>
    <w:rsid w:val="00D451E2"/>
    <w:rsid w:val="00D45E89"/>
    <w:rsid w:val="00D45E8D"/>
    <w:rsid w:val="00D466AE"/>
    <w:rsid w:val="00D4734F"/>
    <w:rsid w:val="00D51BF3"/>
    <w:rsid w:val="00D553EA"/>
    <w:rsid w:val="00D57E2B"/>
    <w:rsid w:val="00D65770"/>
    <w:rsid w:val="00D66846"/>
    <w:rsid w:val="00D675FB"/>
    <w:rsid w:val="00D709DB"/>
    <w:rsid w:val="00D71F25"/>
    <w:rsid w:val="00D72A9C"/>
    <w:rsid w:val="00D74B32"/>
    <w:rsid w:val="00D75BB5"/>
    <w:rsid w:val="00D77031"/>
    <w:rsid w:val="00D83918"/>
    <w:rsid w:val="00D84354"/>
    <w:rsid w:val="00D84941"/>
    <w:rsid w:val="00D84FA1"/>
    <w:rsid w:val="00D851F0"/>
    <w:rsid w:val="00D86DB7"/>
    <w:rsid w:val="00D875EE"/>
    <w:rsid w:val="00D87BF5"/>
    <w:rsid w:val="00D90721"/>
    <w:rsid w:val="00D926D0"/>
    <w:rsid w:val="00D93030"/>
    <w:rsid w:val="00D950E1"/>
    <w:rsid w:val="00D952A6"/>
    <w:rsid w:val="00D97F99"/>
    <w:rsid w:val="00DA1E08"/>
    <w:rsid w:val="00DA24F8"/>
    <w:rsid w:val="00DA28E8"/>
    <w:rsid w:val="00DA38D3"/>
    <w:rsid w:val="00DA3932"/>
    <w:rsid w:val="00DA3AFC"/>
    <w:rsid w:val="00DA4187"/>
    <w:rsid w:val="00DA49D5"/>
    <w:rsid w:val="00DA5966"/>
    <w:rsid w:val="00DA64F8"/>
    <w:rsid w:val="00DA6C15"/>
    <w:rsid w:val="00DA6FEC"/>
    <w:rsid w:val="00DA72AA"/>
    <w:rsid w:val="00DB0258"/>
    <w:rsid w:val="00DB38EE"/>
    <w:rsid w:val="00DB498B"/>
    <w:rsid w:val="00DB5112"/>
    <w:rsid w:val="00DB66CA"/>
    <w:rsid w:val="00DB6BCA"/>
    <w:rsid w:val="00DB6F54"/>
    <w:rsid w:val="00DB73F7"/>
    <w:rsid w:val="00DB7462"/>
    <w:rsid w:val="00DC0321"/>
    <w:rsid w:val="00DC1B7C"/>
    <w:rsid w:val="00DC3067"/>
    <w:rsid w:val="00DC370B"/>
    <w:rsid w:val="00DC5B90"/>
    <w:rsid w:val="00DD00FF"/>
    <w:rsid w:val="00DD0619"/>
    <w:rsid w:val="00DD07FB"/>
    <w:rsid w:val="00DD25C6"/>
    <w:rsid w:val="00DD383E"/>
    <w:rsid w:val="00DD4FE5"/>
    <w:rsid w:val="00DD54B0"/>
    <w:rsid w:val="00DD57EE"/>
    <w:rsid w:val="00DD5FFD"/>
    <w:rsid w:val="00DD6BCC"/>
    <w:rsid w:val="00DE0921"/>
    <w:rsid w:val="00DE0A4B"/>
    <w:rsid w:val="00DE104B"/>
    <w:rsid w:val="00DE2410"/>
    <w:rsid w:val="00DE2939"/>
    <w:rsid w:val="00DE3070"/>
    <w:rsid w:val="00DE4AFF"/>
    <w:rsid w:val="00DE6E81"/>
    <w:rsid w:val="00DE703F"/>
    <w:rsid w:val="00DE7595"/>
    <w:rsid w:val="00DF17C4"/>
    <w:rsid w:val="00DF1961"/>
    <w:rsid w:val="00DF44DE"/>
    <w:rsid w:val="00E00CD2"/>
    <w:rsid w:val="00E01138"/>
    <w:rsid w:val="00E01BA0"/>
    <w:rsid w:val="00E02DFB"/>
    <w:rsid w:val="00E02F0A"/>
    <w:rsid w:val="00E030F9"/>
    <w:rsid w:val="00E0311A"/>
    <w:rsid w:val="00E03138"/>
    <w:rsid w:val="00E06404"/>
    <w:rsid w:val="00E06F65"/>
    <w:rsid w:val="00E11A85"/>
    <w:rsid w:val="00E12495"/>
    <w:rsid w:val="00E12E2D"/>
    <w:rsid w:val="00E1469A"/>
    <w:rsid w:val="00E15503"/>
    <w:rsid w:val="00E15CCD"/>
    <w:rsid w:val="00E16F87"/>
    <w:rsid w:val="00E202EF"/>
    <w:rsid w:val="00E210B5"/>
    <w:rsid w:val="00E22866"/>
    <w:rsid w:val="00E2552F"/>
    <w:rsid w:val="00E30D64"/>
    <w:rsid w:val="00E3137A"/>
    <w:rsid w:val="00E3167E"/>
    <w:rsid w:val="00E32CCF"/>
    <w:rsid w:val="00E34A98"/>
    <w:rsid w:val="00E35D1E"/>
    <w:rsid w:val="00E364F9"/>
    <w:rsid w:val="00E365FA"/>
    <w:rsid w:val="00E36789"/>
    <w:rsid w:val="00E41D0D"/>
    <w:rsid w:val="00E44A83"/>
    <w:rsid w:val="00E457DA"/>
    <w:rsid w:val="00E502C1"/>
    <w:rsid w:val="00E502DD"/>
    <w:rsid w:val="00E50D3A"/>
    <w:rsid w:val="00E51387"/>
    <w:rsid w:val="00E518F1"/>
    <w:rsid w:val="00E51E68"/>
    <w:rsid w:val="00E52EFD"/>
    <w:rsid w:val="00E5408A"/>
    <w:rsid w:val="00E56800"/>
    <w:rsid w:val="00E60241"/>
    <w:rsid w:val="00E60C63"/>
    <w:rsid w:val="00E61B9D"/>
    <w:rsid w:val="00E62FF9"/>
    <w:rsid w:val="00E635D6"/>
    <w:rsid w:val="00E639BC"/>
    <w:rsid w:val="00E664CC"/>
    <w:rsid w:val="00E679CE"/>
    <w:rsid w:val="00E70388"/>
    <w:rsid w:val="00E70F92"/>
    <w:rsid w:val="00E74313"/>
    <w:rsid w:val="00E74C54"/>
    <w:rsid w:val="00E77192"/>
    <w:rsid w:val="00E77A03"/>
    <w:rsid w:val="00E81C6D"/>
    <w:rsid w:val="00E822E8"/>
    <w:rsid w:val="00E82554"/>
    <w:rsid w:val="00E82606"/>
    <w:rsid w:val="00E831C1"/>
    <w:rsid w:val="00E846C8"/>
    <w:rsid w:val="00E84957"/>
    <w:rsid w:val="00E84A55"/>
    <w:rsid w:val="00E851A9"/>
    <w:rsid w:val="00E85BFF"/>
    <w:rsid w:val="00E90391"/>
    <w:rsid w:val="00E906C2"/>
    <w:rsid w:val="00E9311F"/>
    <w:rsid w:val="00E934D1"/>
    <w:rsid w:val="00E93916"/>
    <w:rsid w:val="00E94AF0"/>
    <w:rsid w:val="00E95D13"/>
    <w:rsid w:val="00E95DD3"/>
    <w:rsid w:val="00E967D0"/>
    <w:rsid w:val="00E969D5"/>
    <w:rsid w:val="00E974B0"/>
    <w:rsid w:val="00EA11AF"/>
    <w:rsid w:val="00EA22E8"/>
    <w:rsid w:val="00EA2556"/>
    <w:rsid w:val="00EA3223"/>
    <w:rsid w:val="00EA4A41"/>
    <w:rsid w:val="00EA5326"/>
    <w:rsid w:val="00EA58D1"/>
    <w:rsid w:val="00EA61BC"/>
    <w:rsid w:val="00EA681A"/>
    <w:rsid w:val="00EA735B"/>
    <w:rsid w:val="00EB1E69"/>
    <w:rsid w:val="00EB2086"/>
    <w:rsid w:val="00EB31ED"/>
    <w:rsid w:val="00EB3E48"/>
    <w:rsid w:val="00EB4E23"/>
    <w:rsid w:val="00EB5EDF"/>
    <w:rsid w:val="00EB60FE"/>
    <w:rsid w:val="00EB74DB"/>
    <w:rsid w:val="00EC4EBB"/>
    <w:rsid w:val="00EC5359"/>
    <w:rsid w:val="00EC562A"/>
    <w:rsid w:val="00ED0022"/>
    <w:rsid w:val="00ED067A"/>
    <w:rsid w:val="00ED1F38"/>
    <w:rsid w:val="00ED2B50"/>
    <w:rsid w:val="00ED339E"/>
    <w:rsid w:val="00EE0350"/>
    <w:rsid w:val="00EE0719"/>
    <w:rsid w:val="00EE0E80"/>
    <w:rsid w:val="00EE4AB9"/>
    <w:rsid w:val="00EE5E41"/>
    <w:rsid w:val="00EE613F"/>
    <w:rsid w:val="00EE7295"/>
    <w:rsid w:val="00EE7869"/>
    <w:rsid w:val="00EE7CAD"/>
    <w:rsid w:val="00EE7E1E"/>
    <w:rsid w:val="00EF054A"/>
    <w:rsid w:val="00EF3235"/>
    <w:rsid w:val="00EF35D0"/>
    <w:rsid w:val="00EF3F5F"/>
    <w:rsid w:val="00EF7E72"/>
    <w:rsid w:val="00F06522"/>
    <w:rsid w:val="00F06D37"/>
    <w:rsid w:val="00F07B9D"/>
    <w:rsid w:val="00F11586"/>
    <w:rsid w:val="00F1183B"/>
    <w:rsid w:val="00F11C9F"/>
    <w:rsid w:val="00F12263"/>
    <w:rsid w:val="00F13F8E"/>
    <w:rsid w:val="00F1409D"/>
    <w:rsid w:val="00F14214"/>
    <w:rsid w:val="00F157A9"/>
    <w:rsid w:val="00F16F00"/>
    <w:rsid w:val="00F25BB6"/>
    <w:rsid w:val="00F26B7E"/>
    <w:rsid w:val="00F27A3B"/>
    <w:rsid w:val="00F32780"/>
    <w:rsid w:val="00F33817"/>
    <w:rsid w:val="00F3450D"/>
    <w:rsid w:val="00F37E9B"/>
    <w:rsid w:val="00F420D5"/>
    <w:rsid w:val="00F451EA"/>
    <w:rsid w:val="00F45447"/>
    <w:rsid w:val="00F456C6"/>
    <w:rsid w:val="00F45773"/>
    <w:rsid w:val="00F4577B"/>
    <w:rsid w:val="00F46496"/>
    <w:rsid w:val="00F474D0"/>
    <w:rsid w:val="00F50179"/>
    <w:rsid w:val="00F50BFB"/>
    <w:rsid w:val="00F50CF9"/>
    <w:rsid w:val="00F515EE"/>
    <w:rsid w:val="00F56511"/>
    <w:rsid w:val="00F60BB2"/>
    <w:rsid w:val="00F6194E"/>
    <w:rsid w:val="00F623AC"/>
    <w:rsid w:val="00F6412A"/>
    <w:rsid w:val="00F65893"/>
    <w:rsid w:val="00F66A4A"/>
    <w:rsid w:val="00F67ABB"/>
    <w:rsid w:val="00F67EA6"/>
    <w:rsid w:val="00F70228"/>
    <w:rsid w:val="00F70273"/>
    <w:rsid w:val="00F71261"/>
    <w:rsid w:val="00F71E22"/>
    <w:rsid w:val="00F72142"/>
    <w:rsid w:val="00F72AE7"/>
    <w:rsid w:val="00F744CD"/>
    <w:rsid w:val="00F768C4"/>
    <w:rsid w:val="00F833BA"/>
    <w:rsid w:val="00F84FD0"/>
    <w:rsid w:val="00F859A8"/>
    <w:rsid w:val="00F86D87"/>
    <w:rsid w:val="00F870CE"/>
    <w:rsid w:val="00F87D54"/>
    <w:rsid w:val="00F90084"/>
    <w:rsid w:val="00F9108B"/>
    <w:rsid w:val="00F91349"/>
    <w:rsid w:val="00F93A8A"/>
    <w:rsid w:val="00F95248"/>
    <w:rsid w:val="00F956A9"/>
    <w:rsid w:val="00F963ED"/>
    <w:rsid w:val="00F966CF"/>
    <w:rsid w:val="00F967C1"/>
    <w:rsid w:val="00F96CAE"/>
    <w:rsid w:val="00F97C99"/>
    <w:rsid w:val="00FA1B29"/>
    <w:rsid w:val="00FA2E46"/>
    <w:rsid w:val="00FA406A"/>
    <w:rsid w:val="00FA662D"/>
    <w:rsid w:val="00FA73B1"/>
    <w:rsid w:val="00FB0CB9"/>
    <w:rsid w:val="00FB1452"/>
    <w:rsid w:val="00FB231D"/>
    <w:rsid w:val="00FB3000"/>
    <w:rsid w:val="00FB45F1"/>
    <w:rsid w:val="00FB4A72"/>
    <w:rsid w:val="00FB4B6F"/>
    <w:rsid w:val="00FB54E8"/>
    <w:rsid w:val="00FB5CF0"/>
    <w:rsid w:val="00FB7054"/>
    <w:rsid w:val="00FB74D7"/>
    <w:rsid w:val="00FC17B7"/>
    <w:rsid w:val="00FC2CB7"/>
    <w:rsid w:val="00FC4090"/>
    <w:rsid w:val="00FC55B4"/>
    <w:rsid w:val="00FC68F9"/>
    <w:rsid w:val="00FD00E6"/>
    <w:rsid w:val="00FD03C4"/>
    <w:rsid w:val="00FD09A1"/>
    <w:rsid w:val="00FD0F33"/>
    <w:rsid w:val="00FD2A7C"/>
    <w:rsid w:val="00FD4CE2"/>
    <w:rsid w:val="00FD59EB"/>
    <w:rsid w:val="00FD7299"/>
    <w:rsid w:val="00FE1FBE"/>
    <w:rsid w:val="00FE3901"/>
    <w:rsid w:val="00FE39D3"/>
    <w:rsid w:val="00FE4BCE"/>
    <w:rsid w:val="00FE54AE"/>
    <w:rsid w:val="00FE5664"/>
    <w:rsid w:val="00FE576A"/>
    <w:rsid w:val="00FE7E79"/>
    <w:rsid w:val="00FF3E7D"/>
    <w:rsid w:val="00FF5B99"/>
    <w:rsid w:val="00FF623A"/>
    <w:rsid w:val="00FF730C"/>
    <w:rsid w:val="00FF73F4"/>
    <w:rsid w:val="00FF7CE4"/>
    <w:rsid w:val="00FF7E39"/>
    <w:rsid w:val="0AAE6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tabs>
        <w:tab w:val="left" w:pos="360"/>
      </w:tabs>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character" w:customStyle="1" w:styleId="230">
    <w:name w:val="MTConvertedEquation"/>
    <w:basedOn w:val="28"/>
    <w:qFormat/>
    <w:uiPriority w:val="0"/>
    <w:rPr>
      <w:rFonts w:ascii="Cambria Math"/>
      <w:i/>
    </w:rPr>
  </w:style>
  <w:style w:type="paragraph" w:styleId="2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57.wmf"/><Relationship Id="rId98" Type="http://schemas.openxmlformats.org/officeDocument/2006/relationships/oleObject" Target="embeddings/oleObject30.bin"/><Relationship Id="rId97" Type="http://schemas.openxmlformats.org/officeDocument/2006/relationships/image" Target="media/image56.wmf"/><Relationship Id="rId96" Type="http://schemas.openxmlformats.org/officeDocument/2006/relationships/oleObject" Target="embeddings/oleObject29.bin"/><Relationship Id="rId95" Type="http://schemas.openxmlformats.org/officeDocument/2006/relationships/image" Target="media/image55.wmf"/><Relationship Id="rId94" Type="http://schemas.openxmlformats.org/officeDocument/2006/relationships/oleObject" Target="embeddings/oleObject28.bin"/><Relationship Id="rId93" Type="http://schemas.openxmlformats.org/officeDocument/2006/relationships/image" Target="media/image54.wmf"/><Relationship Id="rId92" Type="http://schemas.openxmlformats.org/officeDocument/2006/relationships/oleObject" Target="embeddings/oleObject27.bin"/><Relationship Id="rId91" Type="http://schemas.openxmlformats.org/officeDocument/2006/relationships/image" Target="media/image53.png"/><Relationship Id="rId90" Type="http://schemas.openxmlformats.org/officeDocument/2006/relationships/image" Target="media/image52.png"/><Relationship Id="rId9" Type="http://schemas.openxmlformats.org/officeDocument/2006/relationships/header" Target="header3.xml"/><Relationship Id="rId89" Type="http://schemas.openxmlformats.org/officeDocument/2006/relationships/image" Target="media/image51.png"/><Relationship Id="rId88" Type="http://schemas.openxmlformats.org/officeDocument/2006/relationships/image" Target="media/image50.png"/><Relationship Id="rId87" Type="http://schemas.openxmlformats.org/officeDocument/2006/relationships/image" Target="media/image49.png"/><Relationship Id="rId86" Type="http://schemas.openxmlformats.org/officeDocument/2006/relationships/image" Target="media/image48.png"/><Relationship Id="rId85" Type="http://schemas.openxmlformats.org/officeDocument/2006/relationships/image" Target="media/image47.png"/><Relationship Id="rId84" Type="http://schemas.openxmlformats.org/officeDocument/2006/relationships/image" Target="media/image46.wmf"/><Relationship Id="rId83" Type="http://schemas.openxmlformats.org/officeDocument/2006/relationships/oleObject" Target="embeddings/oleObject26.bin"/><Relationship Id="rId82" Type="http://schemas.openxmlformats.org/officeDocument/2006/relationships/image" Target="media/image45.wmf"/><Relationship Id="rId81" Type="http://schemas.openxmlformats.org/officeDocument/2006/relationships/oleObject" Target="embeddings/oleObject25.bin"/><Relationship Id="rId80" Type="http://schemas.openxmlformats.org/officeDocument/2006/relationships/image" Target="media/image44.wmf"/><Relationship Id="rId8" Type="http://schemas.openxmlformats.org/officeDocument/2006/relationships/footer" Target="footer2.xml"/><Relationship Id="rId79" Type="http://schemas.openxmlformats.org/officeDocument/2006/relationships/oleObject" Target="embeddings/oleObject24.bin"/><Relationship Id="rId78" Type="http://schemas.openxmlformats.org/officeDocument/2006/relationships/image" Target="media/image43.wmf"/><Relationship Id="rId77" Type="http://schemas.openxmlformats.org/officeDocument/2006/relationships/oleObject" Target="embeddings/oleObject23.bin"/><Relationship Id="rId76" Type="http://schemas.openxmlformats.org/officeDocument/2006/relationships/image" Target="media/image42.wmf"/><Relationship Id="rId75" Type="http://schemas.openxmlformats.org/officeDocument/2006/relationships/oleObject" Target="embeddings/oleObject22.bin"/><Relationship Id="rId74" Type="http://schemas.openxmlformats.org/officeDocument/2006/relationships/image" Target="media/image41.png"/><Relationship Id="rId73" Type="http://schemas.openxmlformats.org/officeDocument/2006/relationships/image" Target="media/image40.png"/><Relationship Id="rId72" Type="http://schemas.openxmlformats.org/officeDocument/2006/relationships/image" Target="media/image39.png"/><Relationship Id="rId71" Type="http://schemas.openxmlformats.org/officeDocument/2006/relationships/image" Target="media/image38.png"/><Relationship Id="rId70" Type="http://schemas.openxmlformats.org/officeDocument/2006/relationships/image" Target="media/image37.png"/><Relationship Id="rId7" Type="http://schemas.openxmlformats.org/officeDocument/2006/relationships/footer" Target="footer1.xml"/><Relationship Id="rId69" Type="http://schemas.openxmlformats.org/officeDocument/2006/relationships/image" Target="media/image36.png"/><Relationship Id="rId68" Type="http://schemas.openxmlformats.org/officeDocument/2006/relationships/image" Target="media/image35.png"/><Relationship Id="rId67" Type="http://schemas.openxmlformats.org/officeDocument/2006/relationships/image" Target="media/image34.png"/><Relationship Id="rId66" Type="http://schemas.openxmlformats.org/officeDocument/2006/relationships/image" Target="media/image33.png"/><Relationship Id="rId65" Type="http://schemas.openxmlformats.org/officeDocument/2006/relationships/image" Target="media/image32.png"/><Relationship Id="rId64" Type="http://schemas.openxmlformats.org/officeDocument/2006/relationships/image" Target="media/image31.png"/><Relationship Id="rId63" Type="http://schemas.openxmlformats.org/officeDocument/2006/relationships/image" Target="media/image30.png"/><Relationship Id="rId62" Type="http://schemas.openxmlformats.org/officeDocument/2006/relationships/oleObject" Target="embeddings/oleObject21.bin"/><Relationship Id="rId61" Type="http://schemas.openxmlformats.org/officeDocument/2006/relationships/image" Target="media/image29.wmf"/><Relationship Id="rId60" Type="http://schemas.openxmlformats.org/officeDocument/2006/relationships/oleObject" Target="embeddings/oleObject20.bin"/><Relationship Id="rId6" Type="http://schemas.openxmlformats.org/officeDocument/2006/relationships/header" Target="header2.xml"/><Relationship Id="rId59" Type="http://schemas.openxmlformats.org/officeDocument/2006/relationships/image" Target="media/image28.wmf"/><Relationship Id="rId58" Type="http://schemas.openxmlformats.org/officeDocument/2006/relationships/oleObject" Target="embeddings/oleObject19.bin"/><Relationship Id="rId57" Type="http://schemas.openxmlformats.org/officeDocument/2006/relationships/oleObject" Target="embeddings/oleObject18.bin"/><Relationship Id="rId56" Type="http://schemas.openxmlformats.org/officeDocument/2006/relationships/image" Target="media/image27.wmf"/><Relationship Id="rId55" Type="http://schemas.openxmlformats.org/officeDocument/2006/relationships/oleObject" Target="embeddings/oleObject17.bin"/><Relationship Id="rId54" Type="http://schemas.openxmlformats.org/officeDocument/2006/relationships/image" Target="media/image26.wmf"/><Relationship Id="rId53" Type="http://schemas.openxmlformats.org/officeDocument/2006/relationships/oleObject" Target="embeddings/oleObject16.bin"/><Relationship Id="rId52" Type="http://schemas.openxmlformats.org/officeDocument/2006/relationships/image" Target="media/image25.wmf"/><Relationship Id="rId51" Type="http://schemas.openxmlformats.org/officeDocument/2006/relationships/oleObject" Target="embeddings/oleObject15.bin"/><Relationship Id="rId50" Type="http://schemas.openxmlformats.org/officeDocument/2006/relationships/image" Target="media/image24.wmf"/><Relationship Id="rId5" Type="http://schemas.openxmlformats.org/officeDocument/2006/relationships/header" Target="header1.xml"/><Relationship Id="rId49" Type="http://schemas.openxmlformats.org/officeDocument/2006/relationships/oleObject" Target="embeddings/oleObject14.bin"/><Relationship Id="rId48" Type="http://schemas.openxmlformats.org/officeDocument/2006/relationships/image" Target="media/image23.wmf"/><Relationship Id="rId47" Type="http://schemas.openxmlformats.org/officeDocument/2006/relationships/oleObject" Target="embeddings/oleObject13.bin"/><Relationship Id="rId46" Type="http://schemas.openxmlformats.org/officeDocument/2006/relationships/image" Target="media/image22.wmf"/><Relationship Id="rId45" Type="http://schemas.openxmlformats.org/officeDocument/2006/relationships/oleObject" Target="embeddings/oleObject12.bin"/><Relationship Id="rId44" Type="http://schemas.openxmlformats.org/officeDocument/2006/relationships/image" Target="media/image21.wmf"/><Relationship Id="rId43" Type="http://schemas.openxmlformats.org/officeDocument/2006/relationships/oleObject" Target="embeddings/oleObject11.bin"/><Relationship Id="rId42" Type="http://schemas.openxmlformats.org/officeDocument/2006/relationships/image" Target="media/image20.wmf"/><Relationship Id="rId41" Type="http://schemas.openxmlformats.org/officeDocument/2006/relationships/oleObject" Target="embeddings/oleObject10.bin"/><Relationship Id="rId40" Type="http://schemas.openxmlformats.org/officeDocument/2006/relationships/image" Target="media/image19.wmf"/><Relationship Id="rId4" Type="http://schemas.openxmlformats.org/officeDocument/2006/relationships/endnotes" Target="endnotes.xml"/><Relationship Id="rId39" Type="http://schemas.openxmlformats.org/officeDocument/2006/relationships/oleObject" Target="embeddings/oleObject9.bin"/><Relationship Id="rId38" Type="http://schemas.openxmlformats.org/officeDocument/2006/relationships/image" Target="media/image18.wmf"/><Relationship Id="rId37" Type="http://schemas.openxmlformats.org/officeDocument/2006/relationships/oleObject" Target="embeddings/oleObject8.bin"/><Relationship Id="rId36" Type="http://schemas.openxmlformats.org/officeDocument/2006/relationships/image" Target="media/image17.wmf"/><Relationship Id="rId35" Type="http://schemas.openxmlformats.org/officeDocument/2006/relationships/oleObject" Target="embeddings/oleObject7.bin"/><Relationship Id="rId34" Type="http://schemas.openxmlformats.org/officeDocument/2006/relationships/image" Target="media/image16.wmf"/><Relationship Id="rId33" Type="http://schemas.openxmlformats.org/officeDocument/2006/relationships/oleObject" Target="embeddings/oleObject6.bin"/><Relationship Id="rId32" Type="http://schemas.openxmlformats.org/officeDocument/2006/relationships/image" Target="media/image15.wmf"/><Relationship Id="rId31" Type="http://schemas.openxmlformats.org/officeDocument/2006/relationships/oleObject" Target="embeddings/oleObject5.bin"/><Relationship Id="rId30" Type="http://schemas.openxmlformats.org/officeDocument/2006/relationships/image" Target="media/image14.wmf"/><Relationship Id="rId3" Type="http://schemas.openxmlformats.org/officeDocument/2006/relationships/footnotes" Target="footnotes.xml"/><Relationship Id="rId29" Type="http://schemas.openxmlformats.org/officeDocument/2006/relationships/oleObject" Target="embeddings/oleObject4.bin"/><Relationship Id="rId28" Type="http://schemas.openxmlformats.org/officeDocument/2006/relationships/image" Target="media/image13.wmf"/><Relationship Id="rId27" Type="http://schemas.openxmlformats.org/officeDocument/2006/relationships/oleObject" Target="embeddings/oleObject3.bin"/><Relationship Id="rId26" Type="http://schemas.openxmlformats.org/officeDocument/2006/relationships/image" Target="media/image12.wmf"/><Relationship Id="rId25" Type="http://schemas.openxmlformats.org/officeDocument/2006/relationships/oleObject" Target="embeddings/oleObject2.bin"/><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9" Type="http://schemas.openxmlformats.org/officeDocument/2006/relationships/glossaryDocument" Target="glossary/document.xml"/><Relationship Id="rId168" Type="http://schemas.openxmlformats.org/officeDocument/2006/relationships/fontTable" Target="fontTable.xml"/><Relationship Id="rId167" Type="http://schemas.openxmlformats.org/officeDocument/2006/relationships/customXml" Target="../customXml/item2.xml"/><Relationship Id="rId166" Type="http://schemas.openxmlformats.org/officeDocument/2006/relationships/numbering" Target="numbering.xml"/><Relationship Id="rId165" Type="http://schemas.openxmlformats.org/officeDocument/2006/relationships/customXml" Target="../customXml/item1.xml"/><Relationship Id="rId164" Type="http://schemas.openxmlformats.org/officeDocument/2006/relationships/image" Target="media/image89.jpeg"/><Relationship Id="rId163" Type="http://schemas.openxmlformats.org/officeDocument/2006/relationships/image" Target="media/image88.wmf"/><Relationship Id="rId162" Type="http://schemas.openxmlformats.org/officeDocument/2006/relationships/oleObject" Target="embeddings/oleObject63.bin"/><Relationship Id="rId161" Type="http://schemas.openxmlformats.org/officeDocument/2006/relationships/image" Target="media/image87.wmf"/><Relationship Id="rId160" Type="http://schemas.openxmlformats.org/officeDocument/2006/relationships/oleObject" Target="embeddings/oleObject62.bin"/><Relationship Id="rId16" Type="http://schemas.openxmlformats.org/officeDocument/2006/relationships/image" Target="media/image3.wmf"/><Relationship Id="rId159" Type="http://schemas.openxmlformats.org/officeDocument/2006/relationships/image" Target="media/image86.wmf"/><Relationship Id="rId158" Type="http://schemas.openxmlformats.org/officeDocument/2006/relationships/oleObject" Target="embeddings/oleObject61.bin"/><Relationship Id="rId157" Type="http://schemas.openxmlformats.org/officeDocument/2006/relationships/image" Target="media/image85.wmf"/><Relationship Id="rId156" Type="http://schemas.openxmlformats.org/officeDocument/2006/relationships/oleObject" Target="embeddings/oleObject60.bin"/><Relationship Id="rId155" Type="http://schemas.openxmlformats.org/officeDocument/2006/relationships/image" Target="media/image84.wmf"/><Relationship Id="rId154" Type="http://schemas.openxmlformats.org/officeDocument/2006/relationships/oleObject" Target="embeddings/oleObject59.bin"/><Relationship Id="rId153" Type="http://schemas.openxmlformats.org/officeDocument/2006/relationships/image" Target="media/image83.wmf"/><Relationship Id="rId152" Type="http://schemas.openxmlformats.org/officeDocument/2006/relationships/oleObject" Target="embeddings/oleObject58.bin"/><Relationship Id="rId151" Type="http://schemas.openxmlformats.org/officeDocument/2006/relationships/image" Target="media/image82.wmf"/><Relationship Id="rId150" Type="http://schemas.openxmlformats.org/officeDocument/2006/relationships/oleObject" Target="embeddings/oleObject57.bin"/><Relationship Id="rId15" Type="http://schemas.openxmlformats.org/officeDocument/2006/relationships/oleObject" Target="embeddings/oleObject1.bin"/><Relationship Id="rId149" Type="http://schemas.openxmlformats.org/officeDocument/2006/relationships/image" Target="media/image81.wmf"/><Relationship Id="rId148" Type="http://schemas.openxmlformats.org/officeDocument/2006/relationships/oleObject" Target="embeddings/oleObject56.bin"/><Relationship Id="rId147" Type="http://schemas.openxmlformats.org/officeDocument/2006/relationships/image" Target="media/image80.wmf"/><Relationship Id="rId146" Type="http://schemas.openxmlformats.org/officeDocument/2006/relationships/oleObject" Target="embeddings/oleObject55.bin"/><Relationship Id="rId145" Type="http://schemas.openxmlformats.org/officeDocument/2006/relationships/image" Target="media/image79.wmf"/><Relationship Id="rId144" Type="http://schemas.openxmlformats.org/officeDocument/2006/relationships/oleObject" Target="embeddings/oleObject54.bin"/><Relationship Id="rId143" Type="http://schemas.openxmlformats.org/officeDocument/2006/relationships/image" Target="media/image78.wmf"/><Relationship Id="rId142" Type="http://schemas.openxmlformats.org/officeDocument/2006/relationships/oleObject" Target="embeddings/oleObject53.bin"/><Relationship Id="rId141" Type="http://schemas.openxmlformats.org/officeDocument/2006/relationships/image" Target="media/image77.wmf"/><Relationship Id="rId140" Type="http://schemas.openxmlformats.org/officeDocument/2006/relationships/oleObject" Target="embeddings/oleObject52.bin"/><Relationship Id="rId14" Type="http://schemas.openxmlformats.org/officeDocument/2006/relationships/image" Target="media/image2.png"/><Relationship Id="rId139" Type="http://schemas.openxmlformats.org/officeDocument/2006/relationships/image" Target="media/image76.wmf"/><Relationship Id="rId138" Type="http://schemas.openxmlformats.org/officeDocument/2006/relationships/oleObject" Target="embeddings/oleObject51.bin"/><Relationship Id="rId137" Type="http://schemas.openxmlformats.org/officeDocument/2006/relationships/image" Target="media/image75.wmf"/><Relationship Id="rId136" Type="http://schemas.openxmlformats.org/officeDocument/2006/relationships/oleObject" Target="embeddings/oleObject50.bin"/><Relationship Id="rId135" Type="http://schemas.openxmlformats.org/officeDocument/2006/relationships/image" Target="media/image74.wmf"/><Relationship Id="rId134" Type="http://schemas.openxmlformats.org/officeDocument/2006/relationships/oleObject" Target="embeddings/oleObject49.bin"/><Relationship Id="rId133" Type="http://schemas.openxmlformats.org/officeDocument/2006/relationships/image" Target="media/image73.wmf"/><Relationship Id="rId132" Type="http://schemas.openxmlformats.org/officeDocument/2006/relationships/oleObject" Target="embeddings/oleObject48.bin"/><Relationship Id="rId131" Type="http://schemas.openxmlformats.org/officeDocument/2006/relationships/image" Target="media/image72.wmf"/><Relationship Id="rId130" Type="http://schemas.openxmlformats.org/officeDocument/2006/relationships/oleObject" Target="embeddings/oleObject47.bin"/><Relationship Id="rId13" Type="http://schemas.openxmlformats.org/officeDocument/2006/relationships/image" Target="media/image1.png"/><Relationship Id="rId129" Type="http://schemas.openxmlformats.org/officeDocument/2006/relationships/image" Target="media/image71.wmf"/><Relationship Id="rId128" Type="http://schemas.openxmlformats.org/officeDocument/2006/relationships/oleObject" Target="embeddings/oleObject46.bin"/><Relationship Id="rId127" Type="http://schemas.openxmlformats.org/officeDocument/2006/relationships/image" Target="media/image70.wmf"/><Relationship Id="rId126" Type="http://schemas.openxmlformats.org/officeDocument/2006/relationships/oleObject" Target="embeddings/oleObject45.bin"/><Relationship Id="rId125" Type="http://schemas.openxmlformats.org/officeDocument/2006/relationships/image" Target="media/image69.wmf"/><Relationship Id="rId124" Type="http://schemas.openxmlformats.org/officeDocument/2006/relationships/oleObject" Target="embeddings/oleObject44.bin"/><Relationship Id="rId123" Type="http://schemas.openxmlformats.org/officeDocument/2006/relationships/image" Target="media/image68.wmf"/><Relationship Id="rId122" Type="http://schemas.openxmlformats.org/officeDocument/2006/relationships/oleObject" Target="embeddings/oleObject43.bin"/><Relationship Id="rId121" Type="http://schemas.openxmlformats.org/officeDocument/2006/relationships/image" Target="media/image67.wmf"/><Relationship Id="rId120" Type="http://schemas.openxmlformats.org/officeDocument/2006/relationships/oleObject" Target="embeddings/oleObject42.bin"/><Relationship Id="rId12" Type="http://schemas.openxmlformats.org/officeDocument/2006/relationships/theme" Target="theme/theme1.xml"/><Relationship Id="rId119" Type="http://schemas.openxmlformats.org/officeDocument/2006/relationships/image" Target="media/image66.wmf"/><Relationship Id="rId118" Type="http://schemas.openxmlformats.org/officeDocument/2006/relationships/oleObject" Target="embeddings/oleObject41.bin"/><Relationship Id="rId117" Type="http://schemas.openxmlformats.org/officeDocument/2006/relationships/image" Target="media/image65.wmf"/><Relationship Id="rId116" Type="http://schemas.openxmlformats.org/officeDocument/2006/relationships/oleObject" Target="embeddings/oleObject40.bin"/><Relationship Id="rId115" Type="http://schemas.openxmlformats.org/officeDocument/2006/relationships/image" Target="media/image64.wmf"/><Relationship Id="rId114" Type="http://schemas.openxmlformats.org/officeDocument/2006/relationships/oleObject" Target="embeddings/oleObject39.bin"/><Relationship Id="rId113" Type="http://schemas.openxmlformats.org/officeDocument/2006/relationships/image" Target="media/image63.png"/><Relationship Id="rId112" Type="http://schemas.openxmlformats.org/officeDocument/2006/relationships/oleObject" Target="embeddings/oleObject38.bin"/><Relationship Id="rId111" Type="http://schemas.openxmlformats.org/officeDocument/2006/relationships/oleObject" Target="embeddings/oleObject37.bin"/><Relationship Id="rId110" Type="http://schemas.openxmlformats.org/officeDocument/2006/relationships/image" Target="media/image62.wmf"/><Relationship Id="rId11" Type="http://schemas.openxmlformats.org/officeDocument/2006/relationships/footer" Target="footer3.xml"/><Relationship Id="rId109" Type="http://schemas.openxmlformats.org/officeDocument/2006/relationships/oleObject" Target="embeddings/oleObject36.bin"/><Relationship Id="rId108" Type="http://schemas.openxmlformats.org/officeDocument/2006/relationships/image" Target="media/image61.wmf"/><Relationship Id="rId107" Type="http://schemas.openxmlformats.org/officeDocument/2006/relationships/oleObject" Target="embeddings/oleObject35.bin"/><Relationship Id="rId106" Type="http://schemas.openxmlformats.org/officeDocument/2006/relationships/image" Target="media/image60.wmf"/><Relationship Id="rId105" Type="http://schemas.openxmlformats.org/officeDocument/2006/relationships/oleObject" Target="embeddings/oleObject34.bin"/><Relationship Id="rId104" Type="http://schemas.openxmlformats.org/officeDocument/2006/relationships/image" Target="media/image59.wmf"/><Relationship Id="rId103" Type="http://schemas.openxmlformats.org/officeDocument/2006/relationships/oleObject" Target="embeddings/oleObject33.bin"/><Relationship Id="rId102" Type="http://schemas.openxmlformats.org/officeDocument/2006/relationships/image" Target="media/image58.wmf"/><Relationship Id="rId101" Type="http://schemas.openxmlformats.org/officeDocument/2006/relationships/oleObject" Target="embeddings/oleObject32.bin"/><Relationship Id="rId100" Type="http://schemas.openxmlformats.org/officeDocument/2006/relationships/oleObject" Target="embeddings/oleObject31.bin"/><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D3787A4E1904AAFA7BE95C9F6DBDA96"/>
        <w:style w:val=""/>
        <w:category>
          <w:name w:val="常规"/>
          <w:gallery w:val="placeholder"/>
        </w:category>
        <w:types>
          <w:type w:val="bbPlcHdr"/>
        </w:types>
        <w:behaviors>
          <w:behavior w:val="content"/>
        </w:behaviors>
        <w:description w:val=""/>
        <w:guid w:val="{80639874-7692-4738-8FBE-B03259BD9012}"/>
      </w:docPartPr>
      <w:docPartBody>
        <w:p w14:paraId="1EF1CF51">
          <w:pPr>
            <w:pStyle w:val="5"/>
            <w:rPr>
              <w:rFonts w:hint="eastAsia"/>
            </w:rPr>
          </w:pPr>
          <w:r>
            <w:rPr>
              <w:rStyle w:val="4"/>
              <w:rFonts w:hint="eastAsia"/>
            </w:rPr>
            <w:t>单击或点击此处输入文字。</w:t>
          </w:r>
        </w:p>
      </w:docPartBody>
    </w:docPart>
    <w:docPart>
      <w:docPartPr>
        <w:name w:val="6C9DDD5FAAB04BAEB275FE4D0AFE4638"/>
        <w:style w:val=""/>
        <w:category>
          <w:name w:val="常规"/>
          <w:gallery w:val="placeholder"/>
        </w:category>
        <w:types>
          <w:type w:val="bbPlcHdr"/>
        </w:types>
        <w:behaviors>
          <w:behavior w:val="content"/>
        </w:behaviors>
        <w:description w:val=""/>
        <w:guid w:val="{A0594E48-F7DF-40DF-AFB8-2D48EFBC5A0D}"/>
      </w:docPartPr>
      <w:docPartBody>
        <w:p w14:paraId="133EEF88">
          <w:pPr>
            <w:pStyle w:val="6"/>
            <w:rPr>
              <w:rFonts w:hint="eastAsia"/>
            </w:rPr>
          </w:pPr>
          <w:r>
            <w:rPr>
              <w:rStyle w:val="4"/>
              <w:rFonts w:hint="eastAsia"/>
            </w:rPr>
            <w:t>选择一项。</w:t>
          </w:r>
        </w:p>
      </w:docPartBody>
    </w:docPart>
    <w:docPart>
      <w:docPartPr>
        <w:name w:val="F5B2111ADC024BCC88BCED4D9A99C5AE"/>
        <w:style w:val=""/>
        <w:category>
          <w:name w:val="常规"/>
          <w:gallery w:val="placeholder"/>
        </w:category>
        <w:types>
          <w:type w:val="bbPlcHdr"/>
        </w:types>
        <w:behaviors>
          <w:behavior w:val="content"/>
        </w:behaviors>
        <w:description w:val=""/>
        <w:guid w:val="{6B69E8F3-98C9-420B-9F14-87D235A207D1}"/>
      </w:docPartPr>
      <w:docPartBody>
        <w:p w14:paraId="678142B5">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47"/>
    <w:rsid w:val="000446AD"/>
    <w:rsid w:val="00061EE4"/>
    <w:rsid w:val="00095FDE"/>
    <w:rsid w:val="000A2F85"/>
    <w:rsid w:val="001521A5"/>
    <w:rsid w:val="00157E28"/>
    <w:rsid w:val="001642A9"/>
    <w:rsid w:val="001B3761"/>
    <w:rsid w:val="001B79EC"/>
    <w:rsid w:val="001C1E47"/>
    <w:rsid w:val="001F4DE0"/>
    <w:rsid w:val="002614C0"/>
    <w:rsid w:val="002B0454"/>
    <w:rsid w:val="002F56BF"/>
    <w:rsid w:val="00302700"/>
    <w:rsid w:val="00352BAC"/>
    <w:rsid w:val="00364FCD"/>
    <w:rsid w:val="003C2CB3"/>
    <w:rsid w:val="00412C2F"/>
    <w:rsid w:val="00467932"/>
    <w:rsid w:val="00473CFA"/>
    <w:rsid w:val="004E50A6"/>
    <w:rsid w:val="005A00BC"/>
    <w:rsid w:val="005C7532"/>
    <w:rsid w:val="006044CC"/>
    <w:rsid w:val="00680E49"/>
    <w:rsid w:val="006923B8"/>
    <w:rsid w:val="006D00D7"/>
    <w:rsid w:val="00780726"/>
    <w:rsid w:val="007A16C3"/>
    <w:rsid w:val="007B3D61"/>
    <w:rsid w:val="008077A8"/>
    <w:rsid w:val="00811A8D"/>
    <w:rsid w:val="0083067F"/>
    <w:rsid w:val="008C20C0"/>
    <w:rsid w:val="0095709B"/>
    <w:rsid w:val="009910F2"/>
    <w:rsid w:val="00995EFE"/>
    <w:rsid w:val="009B43E7"/>
    <w:rsid w:val="009B67FD"/>
    <w:rsid w:val="00A0770D"/>
    <w:rsid w:val="00A910E5"/>
    <w:rsid w:val="00A93738"/>
    <w:rsid w:val="00AB2D06"/>
    <w:rsid w:val="00B07501"/>
    <w:rsid w:val="00B73D54"/>
    <w:rsid w:val="00B85413"/>
    <w:rsid w:val="00C20199"/>
    <w:rsid w:val="00C4359F"/>
    <w:rsid w:val="00C81B97"/>
    <w:rsid w:val="00CA49BE"/>
    <w:rsid w:val="00CB799D"/>
    <w:rsid w:val="00D61ABC"/>
    <w:rsid w:val="00DD5608"/>
    <w:rsid w:val="00E00CD2"/>
    <w:rsid w:val="00E047CA"/>
    <w:rsid w:val="00E15038"/>
    <w:rsid w:val="00E31BF7"/>
    <w:rsid w:val="00E87410"/>
    <w:rsid w:val="00EE7B97"/>
    <w:rsid w:val="00F06522"/>
    <w:rsid w:val="00F70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D3787A4E1904AAFA7BE95C9F6DBDA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C9DDD5FAAB04BAEB275FE4D0AFE46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5B2111ADC024BCC88BCED4D9A99C5A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0CD0A-1EB1-4675-B662-D69DB3195F4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12</Pages>
  <Words>5762</Words>
  <Characters>6315</Characters>
  <Lines>76</Lines>
  <Paragraphs>21</Paragraphs>
  <TotalTime>14</TotalTime>
  <ScaleCrop>false</ScaleCrop>
  <LinksUpToDate>false</LinksUpToDate>
  <CharactersWithSpaces>6461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2025-04-21T08:43:00Z</dcterms:created>
  <dc:creator>Admin</dc:creator>
  <dc:description>&lt;config cover="true" show_menu="true" version="1.0.0" doctype="SDKXY"&gt;_x000d_
&lt;/config&gt;</dc:description>
  <cp:lastModifiedBy>樱桃</cp:lastModifiedBy>
  <cp:lastPrinted>2021-02-02T08:22:00Z</cp:lastPrinted>
  <dcterms:modified xsi:type="dcterms:W3CDTF">2025-04-25T13:26:55Z</dcterms:modified>
  <dc:title>团体标准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MTWinEqns">
    <vt:bool>true</vt:bool>
  </property>
  <property fmtid="{D5CDD505-2E9C-101B-9397-08002B2CF9AE}" pid="15" name="KSOTemplateDocerSaveRecord">
    <vt:lpwstr>eyJoZGlkIjoiYzUwYzZhMDcwNGQ3YTc2MjQ0ZWExNjJlOTQ4ZGVlN2UiLCJ1c2VySWQiOiIyMzAwODIyNzYifQ==</vt:lpwstr>
  </property>
  <property fmtid="{D5CDD505-2E9C-101B-9397-08002B2CF9AE}" pid="16" name="KSOProductBuildVer">
    <vt:lpwstr>2052-12.1.0.20784</vt:lpwstr>
  </property>
  <property fmtid="{D5CDD505-2E9C-101B-9397-08002B2CF9AE}" pid="17" name="ICV">
    <vt:lpwstr>DBB61706D9204C3E88BB7CEC0A8AFE7B_12</vt:lpwstr>
  </property>
</Properties>
</file>