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2A4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1F68F16">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ADBF071">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14:paraId="60593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CA3710C">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2EDD02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534BAC4">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CSOE</w:t>
                  </w:r>
                  <w:r>
                    <w:fldChar w:fldCharType="end"/>
                  </w:r>
                  <w:bookmarkEnd w:id="1"/>
                </w:p>
              </w:tc>
            </w:tr>
          </w:tbl>
          <w:p w14:paraId="6856ADDF">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点击此处添加CCS号</w:t>
            </w:r>
            <w:r>
              <w:rPr>
                <w:rFonts w:ascii="黑体" w:hAnsi="黑体" w:eastAsia="黑体"/>
                <w:sz w:val="21"/>
                <w:szCs w:val="21"/>
              </w:rPr>
              <w:fldChar w:fldCharType="end"/>
            </w:r>
            <w:bookmarkEnd w:id="2"/>
          </w:p>
        </w:tc>
      </w:tr>
    </w:tbl>
    <w:p w14:paraId="59C9189A">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中国光学工程学会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12C1B4C6">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CSOE</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lang w:eastAsia="zh-CN"/>
        </w:rPr>
        <w:t>0</w:t>
      </w:r>
      <w:r>
        <w:rPr>
          <w:rFonts w:hint="eastAsia"/>
          <w:lang w:val="en-US" w:eastAsia="zh-CN"/>
        </w:rPr>
        <w:t>007</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eastAsia="zh-CN"/>
        </w:rPr>
        <w:t>2</w:t>
      </w:r>
      <w:r>
        <w:rPr>
          <w:rFonts w:hint="eastAsia"/>
          <w:lang w:val="en-US" w:eastAsia="zh-CN"/>
        </w:rPr>
        <w:t>025</w:t>
      </w:r>
      <w:bookmarkStart w:id="101" w:name="_GoBack"/>
      <w:bookmarkEnd w:id="101"/>
      <w:r>
        <w:fldChar w:fldCharType="end"/>
      </w:r>
      <w:bookmarkEnd w:id="7"/>
    </w:p>
    <w:p w14:paraId="2C40C7D4">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C3ED6D3">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1C42915">
      <w:pPr>
        <w:pStyle w:val="50"/>
        <w:framePr w:w="9639" w:h="6976" w:hRule="exact" w:hSpace="0" w:vSpace="0" w:wrap="around" w:hAnchor="page" w:y="6408"/>
        <w:jc w:val="center"/>
        <w:rPr>
          <w:rFonts w:hint="eastAsia" w:ascii="黑体" w:hAnsi="黑体" w:eastAsia="黑体"/>
          <w:b w:val="0"/>
          <w:bCs w:val="0"/>
          <w:w w:val="100"/>
        </w:rPr>
      </w:pPr>
    </w:p>
    <w:p w14:paraId="37E45160">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用于大范围多视场拼接测量的结构光三维测量系统校准方法</w:t>
      </w:r>
      <w:r>
        <w:fldChar w:fldCharType="end"/>
      </w:r>
      <w:bookmarkEnd w:id="9"/>
    </w:p>
    <w:p w14:paraId="4D12A7EA">
      <w:pPr>
        <w:framePr w:w="9639" w:h="6974" w:hRule="exact" w:wrap="around" w:vAnchor="page" w:hAnchor="page" w:x="1419" w:y="6408" w:anchorLock="1"/>
        <w:ind w:left="-1418"/>
      </w:pPr>
    </w:p>
    <w:p w14:paraId="5FC0A641">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14:paraId="7CB6FB2E">
      <w:pPr>
        <w:framePr w:w="9639" w:h="6974" w:hRule="exact" w:wrap="around" w:vAnchor="page" w:hAnchor="page" w:x="1419" w:y="6408" w:anchorLock="1"/>
        <w:spacing w:line="760" w:lineRule="exact"/>
        <w:ind w:left="-1418"/>
      </w:pPr>
    </w:p>
    <w:p w14:paraId="12CEFF50">
      <w:pPr>
        <w:pStyle w:val="125"/>
        <w:framePr w:w="9639" w:h="6974" w:hRule="exact" w:wrap="around" w:vAnchor="page" w:hAnchor="page" w:x="1419" w:y="6408" w:anchorLock="1"/>
        <w:textAlignment w:val="bottom"/>
        <w:rPr>
          <w:rFonts w:eastAsia="黑体"/>
          <w:szCs w:val="28"/>
        </w:rPr>
      </w:pPr>
    </w:p>
    <w:p w14:paraId="2A254D3F">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41131AA">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2AB4769">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FDF5C57">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6E63D3E">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9C81983">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中国光学工程学会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C8793F4">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187A244">
      <w:pPr>
        <w:pStyle w:val="91"/>
        <w:spacing w:after="360"/>
      </w:pPr>
      <w:bookmarkStart w:id="21" w:name="BookMark1"/>
      <w:bookmarkStart w:id="22" w:name="_Toc195113276"/>
      <w:bookmarkStart w:id="23" w:name="_Toc196060544"/>
      <w:bookmarkStart w:id="24" w:name="_Toc195113247"/>
      <w:r>
        <w:rPr>
          <w:rFonts w:hint="eastAsia"/>
          <w:spacing w:val="320"/>
        </w:rPr>
        <w:t>目</w:t>
      </w:r>
      <w:r>
        <w:rPr>
          <w:rFonts w:hint="eastAsia"/>
        </w:rPr>
        <w:t>次</w:t>
      </w:r>
    </w:p>
    <w:p w14:paraId="2A71F58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"_Toc196145304" </w:instrText>
      </w:r>
      <w:r>
        <w:fldChar w:fldCharType="separate"/>
      </w:r>
      <w:r>
        <w:rPr>
          <w:rStyle w:val="32"/>
          <w:spacing w:val="320"/>
        </w:rPr>
        <w:t>前</w:t>
      </w:r>
      <w:r>
        <w:rPr>
          <w:rStyle w:val="32"/>
        </w:rPr>
        <w:t>言</w:t>
      </w:r>
      <w:r>
        <w:tab/>
      </w:r>
      <w:r>
        <w:fldChar w:fldCharType="begin"/>
      </w:r>
      <w:r>
        <w:instrText xml:space="preserve"> PAGEREF _Toc196145304 \h </w:instrText>
      </w:r>
      <w:r>
        <w:fldChar w:fldCharType="separate"/>
      </w:r>
      <w:r>
        <w:t>II</w:t>
      </w:r>
      <w:r>
        <w:fldChar w:fldCharType="end"/>
      </w:r>
      <w:r>
        <w:fldChar w:fldCharType="end"/>
      </w:r>
    </w:p>
    <w:p w14:paraId="70E43A6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"_Toc196145305" </w:instrText>
      </w:r>
      <w:r>
        <w:fldChar w:fldCharType="separate"/>
      </w:r>
      <w:r>
        <w:rPr>
          <w:rStyle w:val="32"/>
        </w:rPr>
        <w:t>1 范围</w:t>
      </w:r>
      <w:r>
        <w:tab/>
      </w:r>
      <w:r>
        <w:fldChar w:fldCharType="begin"/>
      </w:r>
      <w:r>
        <w:instrText xml:space="preserve"> PAGEREF _Toc196145305 \h </w:instrText>
      </w:r>
      <w:r>
        <w:fldChar w:fldCharType="separate"/>
      </w:r>
      <w:r>
        <w:t>1</w:t>
      </w:r>
      <w:r>
        <w:fldChar w:fldCharType="end"/>
      </w:r>
      <w:r>
        <w:fldChar w:fldCharType="end"/>
      </w:r>
    </w:p>
    <w:p w14:paraId="7EA1EB9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"_Toc196145306" </w:instrText>
      </w:r>
      <w:r>
        <w:fldChar w:fldCharType="separate"/>
      </w:r>
      <w:r>
        <w:rPr>
          <w:rStyle w:val="32"/>
        </w:rPr>
        <w:t>2 规范性引用文件</w:t>
      </w:r>
      <w:r>
        <w:tab/>
      </w:r>
      <w:r>
        <w:fldChar w:fldCharType="begin"/>
      </w:r>
      <w:r>
        <w:instrText xml:space="preserve"> PAGEREF _Toc196145306 \h </w:instrText>
      </w:r>
      <w:r>
        <w:fldChar w:fldCharType="separate"/>
      </w:r>
      <w:r>
        <w:t>1</w:t>
      </w:r>
      <w:r>
        <w:fldChar w:fldCharType="end"/>
      </w:r>
      <w:r>
        <w:fldChar w:fldCharType="end"/>
      </w:r>
    </w:p>
    <w:p w14:paraId="24D70BA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"_Toc196145307" </w:instrText>
      </w:r>
      <w:r>
        <w:fldChar w:fldCharType="separate"/>
      </w:r>
      <w:r>
        <w:rPr>
          <w:rStyle w:val="32"/>
        </w:rPr>
        <w:t>3 术语和定义</w:t>
      </w:r>
      <w:r>
        <w:tab/>
      </w:r>
      <w:r>
        <w:fldChar w:fldCharType="begin"/>
      </w:r>
      <w:r>
        <w:instrText xml:space="preserve"> PAGEREF _Toc196145307 \h </w:instrText>
      </w:r>
      <w:r>
        <w:fldChar w:fldCharType="separate"/>
      </w:r>
      <w:r>
        <w:t>1</w:t>
      </w:r>
      <w:r>
        <w:fldChar w:fldCharType="end"/>
      </w:r>
      <w:r>
        <w:fldChar w:fldCharType="end"/>
      </w:r>
    </w:p>
    <w:p w14:paraId="68E6770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"_Toc196145308" </w:instrText>
      </w:r>
      <w:r>
        <w:fldChar w:fldCharType="separate"/>
      </w:r>
      <w:r>
        <w:rPr>
          <w:rStyle w:val="32"/>
        </w:rPr>
        <w:t>4 高动态范围反射率球标准器校准法</w:t>
      </w:r>
      <w:r>
        <w:tab/>
      </w:r>
      <w:r>
        <w:fldChar w:fldCharType="begin"/>
      </w:r>
      <w:r>
        <w:instrText xml:space="preserve"> PAGEREF _Toc196145308 \h </w:instrText>
      </w:r>
      <w:r>
        <w:fldChar w:fldCharType="separate"/>
      </w:r>
      <w:r>
        <w:t>1</w:t>
      </w:r>
      <w:r>
        <w:fldChar w:fldCharType="end"/>
      </w:r>
      <w:r>
        <w:fldChar w:fldCharType="end"/>
      </w:r>
    </w:p>
    <w:p w14:paraId="6C72442D">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"_Toc196145309" </w:instrText>
      </w:r>
      <w:r>
        <w:fldChar w:fldCharType="separate"/>
      </w:r>
      <w:r>
        <w:rPr>
          <w:rStyle w:val="32"/>
          <w14:scene3d w14:prst="orthographicFront">
            <w14:lightRig w14:rig="threePt" w14:dir="t">
              <w14:rot w14:lat="0" w14:lon="0" w14:rev="0"/>
            </w14:lightRig>
          </w14:scene3d>
        </w:rPr>
        <w:t>4.1</w:t>
      </w:r>
      <w:r>
        <w:rPr>
          <w:rStyle w:val="32"/>
        </w:rPr>
        <w:t xml:space="preserve"> 校准原理</w:t>
      </w:r>
      <w:r>
        <w:tab/>
      </w:r>
      <w:r>
        <w:fldChar w:fldCharType="begin"/>
      </w:r>
      <w:r>
        <w:instrText xml:space="preserve"> PAGEREF _Toc196145309 \h </w:instrText>
      </w:r>
      <w:r>
        <w:fldChar w:fldCharType="separate"/>
      </w:r>
      <w:r>
        <w:t>1</w:t>
      </w:r>
      <w:r>
        <w:fldChar w:fldCharType="end"/>
      </w:r>
      <w:r>
        <w:fldChar w:fldCharType="end"/>
      </w:r>
    </w:p>
    <w:p w14:paraId="76AE685B">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"_Toc196145310" </w:instrText>
      </w:r>
      <w:r>
        <w:fldChar w:fldCharType="separate"/>
      </w:r>
      <w:r>
        <w:rPr>
          <w:rStyle w:val="32"/>
          <w14:scene3d w14:prst="orthographicFront">
            <w14:lightRig w14:rig="threePt" w14:dir="t">
              <w14:rot w14:lat="0" w14:lon="0" w14:rev="0"/>
            </w14:lightRig>
          </w14:scene3d>
        </w:rPr>
        <w:t>4.2</w:t>
      </w:r>
      <w:r>
        <w:rPr>
          <w:rStyle w:val="32"/>
        </w:rPr>
        <w:t xml:space="preserve"> 校准装置</w:t>
      </w:r>
      <w:r>
        <w:tab/>
      </w:r>
      <w:r>
        <w:fldChar w:fldCharType="begin"/>
      </w:r>
      <w:r>
        <w:instrText xml:space="preserve"> PAGEREF _Toc196145310 \h </w:instrText>
      </w:r>
      <w:r>
        <w:fldChar w:fldCharType="separate"/>
      </w:r>
      <w:r>
        <w:t>2</w:t>
      </w:r>
      <w:r>
        <w:fldChar w:fldCharType="end"/>
      </w:r>
      <w:r>
        <w:fldChar w:fldCharType="end"/>
      </w:r>
    </w:p>
    <w:p w14:paraId="1BE66E8F">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"_Toc196145311" </w:instrText>
      </w:r>
      <w:r>
        <w:fldChar w:fldCharType="separate"/>
      </w:r>
      <w:r>
        <w:rPr>
          <w:rStyle w:val="32"/>
          <w14:scene3d w14:prst="orthographicFront">
            <w14:lightRig w14:rig="threePt" w14:dir="t">
              <w14:rot w14:lat="0" w14:lon="0" w14:rev="0"/>
            </w14:lightRig>
          </w14:scene3d>
        </w:rPr>
        <w:t>4.3</w:t>
      </w:r>
      <w:r>
        <w:rPr>
          <w:rStyle w:val="32"/>
        </w:rPr>
        <w:t xml:space="preserve"> 校准条件</w:t>
      </w:r>
      <w:r>
        <w:tab/>
      </w:r>
      <w:r>
        <w:fldChar w:fldCharType="begin"/>
      </w:r>
      <w:r>
        <w:instrText xml:space="preserve"> PAGEREF _Toc196145311 \h </w:instrText>
      </w:r>
      <w:r>
        <w:fldChar w:fldCharType="separate"/>
      </w:r>
      <w:r>
        <w:t>3</w:t>
      </w:r>
      <w:r>
        <w:fldChar w:fldCharType="end"/>
      </w:r>
      <w:r>
        <w:fldChar w:fldCharType="end"/>
      </w:r>
    </w:p>
    <w:p w14:paraId="722C3565">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"_Toc196145312" </w:instrText>
      </w:r>
      <w:r>
        <w:fldChar w:fldCharType="separate"/>
      </w:r>
      <w:r>
        <w:rPr>
          <w:rStyle w:val="32"/>
          <w14:scene3d w14:prst="orthographicFront">
            <w14:lightRig w14:rig="threePt" w14:dir="t">
              <w14:rot w14:lat="0" w14:lon="0" w14:rev="0"/>
            </w14:lightRig>
          </w14:scene3d>
        </w:rPr>
        <w:t>4.4</w:t>
      </w:r>
      <w:r>
        <w:rPr>
          <w:rStyle w:val="32"/>
        </w:rPr>
        <w:t xml:space="preserve"> 校准方法</w:t>
      </w:r>
      <w:r>
        <w:tab/>
      </w:r>
      <w:r>
        <w:fldChar w:fldCharType="begin"/>
      </w:r>
      <w:r>
        <w:instrText xml:space="preserve"> PAGEREF _Toc196145312 \h </w:instrText>
      </w:r>
      <w:r>
        <w:fldChar w:fldCharType="separate"/>
      </w:r>
      <w:r>
        <w:t>3</w:t>
      </w:r>
      <w:r>
        <w:fldChar w:fldCharType="end"/>
      </w:r>
      <w:r>
        <w:fldChar w:fldCharType="end"/>
      </w:r>
    </w:p>
    <w:p w14:paraId="25094E8B">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"_Toc196145313" </w:instrText>
      </w:r>
      <w:r>
        <w:fldChar w:fldCharType="separate"/>
      </w:r>
      <w:r>
        <w:rPr>
          <w:rStyle w:val="32"/>
          <w14:scene3d w14:prst="orthographicFront">
            <w14:lightRig w14:rig="threePt" w14:dir="t">
              <w14:rot w14:lat="0" w14:lon="0" w14:rev="0"/>
            </w14:lightRig>
          </w14:scene3d>
        </w:rPr>
        <w:t>4.5</w:t>
      </w:r>
      <w:r>
        <w:rPr>
          <w:rStyle w:val="32"/>
        </w:rPr>
        <w:t xml:space="preserve"> 测量不确定度</w:t>
      </w:r>
      <w:r>
        <w:tab/>
      </w:r>
      <w:r>
        <w:fldChar w:fldCharType="begin"/>
      </w:r>
      <w:r>
        <w:instrText xml:space="preserve"> PAGEREF _Toc196145313 \h </w:instrText>
      </w:r>
      <w:r>
        <w:fldChar w:fldCharType="separate"/>
      </w:r>
      <w:r>
        <w:t>3</w:t>
      </w:r>
      <w:r>
        <w:fldChar w:fldCharType="end"/>
      </w:r>
      <w:r>
        <w:fldChar w:fldCharType="end"/>
      </w:r>
    </w:p>
    <w:p w14:paraId="7116DED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"_Toc196145314" </w:instrText>
      </w:r>
      <w:r>
        <w:fldChar w:fldCharType="separate"/>
      </w:r>
      <w:r>
        <w:rPr>
          <w:rStyle w:val="32"/>
        </w:rPr>
        <w:t>5 高动态范围反射率球板标准器校准法</w:t>
      </w:r>
      <w:r>
        <w:tab/>
      </w:r>
      <w:r>
        <w:fldChar w:fldCharType="begin"/>
      </w:r>
      <w:r>
        <w:instrText xml:space="preserve"> PAGEREF _Toc196145314 \h </w:instrText>
      </w:r>
      <w:r>
        <w:fldChar w:fldCharType="separate"/>
      </w:r>
      <w:r>
        <w:t>3</w:t>
      </w:r>
      <w:r>
        <w:fldChar w:fldCharType="end"/>
      </w:r>
      <w:r>
        <w:fldChar w:fldCharType="end"/>
      </w:r>
    </w:p>
    <w:p w14:paraId="1570E994">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"_Toc196145315" </w:instrText>
      </w:r>
      <w:r>
        <w:fldChar w:fldCharType="separate"/>
      </w:r>
      <w:r>
        <w:rPr>
          <w:rStyle w:val="32"/>
          <w14:scene3d w14:prst="orthographicFront">
            <w14:lightRig w14:rig="threePt" w14:dir="t">
              <w14:rot w14:lat="0" w14:lon="0" w14:rev="0"/>
            </w14:lightRig>
          </w14:scene3d>
        </w:rPr>
        <w:t>5.1</w:t>
      </w:r>
      <w:r>
        <w:rPr>
          <w:rStyle w:val="32"/>
        </w:rPr>
        <w:t xml:space="preserve"> 校准原理</w:t>
      </w:r>
      <w:r>
        <w:tab/>
      </w:r>
      <w:r>
        <w:fldChar w:fldCharType="begin"/>
      </w:r>
      <w:r>
        <w:instrText xml:space="preserve"> PAGEREF _Toc196145315 \h </w:instrText>
      </w:r>
      <w:r>
        <w:fldChar w:fldCharType="separate"/>
      </w:r>
      <w:r>
        <w:t>3</w:t>
      </w:r>
      <w:r>
        <w:fldChar w:fldCharType="end"/>
      </w:r>
      <w:r>
        <w:fldChar w:fldCharType="end"/>
      </w:r>
    </w:p>
    <w:p w14:paraId="27BDA138">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"_Toc196145316" </w:instrText>
      </w:r>
      <w:r>
        <w:fldChar w:fldCharType="separate"/>
      </w:r>
      <w:r>
        <w:rPr>
          <w:rStyle w:val="32"/>
          <w14:scene3d w14:prst="orthographicFront">
            <w14:lightRig w14:rig="threePt" w14:dir="t">
              <w14:rot w14:lat="0" w14:lon="0" w14:rev="0"/>
            </w14:lightRig>
          </w14:scene3d>
        </w:rPr>
        <w:t>5.2</w:t>
      </w:r>
      <w:r>
        <w:rPr>
          <w:rStyle w:val="32"/>
        </w:rPr>
        <w:t xml:space="preserve"> 校准装置</w:t>
      </w:r>
      <w:r>
        <w:tab/>
      </w:r>
      <w:r>
        <w:fldChar w:fldCharType="begin"/>
      </w:r>
      <w:r>
        <w:instrText xml:space="preserve"> PAGEREF _Toc196145316 \h </w:instrText>
      </w:r>
      <w:r>
        <w:fldChar w:fldCharType="separate"/>
      </w:r>
      <w:r>
        <w:t>5</w:t>
      </w:r>
      <w:r>
        <w:fldChar w:fldCharType="end"/>
      </w:r>
      <w:r>
        <w:fldChar w:fldCharType="end"/>
      </w:r>
    </w:p>
    <w:p w14:paraId="30DE9BA4">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"_Toc196145317" </w:instrText>
      </w:r>
      <w:r>
        <w:fldChar w:fldCharType="separate"/>
      </w:r>
      <w:r>
        <w:rPr>
          <w:rStyle w:val="32"/>
          <w14:scene3d w14:prst="orthographicFront">
            <w14:lightRig w14:rig="threePt" w14:dir="t">
              <w14:rot w14:lat="0" w14:lon="0" w14:rev="0"/>
            </w14:lightRig>
          </w14:scene3d>
        </w:rPr>
        <w:t>5.3</w:t>
      </w:r>
      <w:r>
        <w:rPr>
          <w:rStyle w:val="32"/>
        </w:rPr>
        <w:t xml:space="preserve"> 校准条件</w:t>
      </w:r>
      <w:r>
        <w:tab/>
      </w:r>
      <w:r>
        <w:fldChar w:fldCharType="begin"/>
      </w:r>
      <w:r>
        <w:instrText xml:space="preserve"> PAGEREF _Toc196145317 \h </w:instrText>
      </w:r>
      <w:r>
        <w:fldChar w:fldCharType="separate"/>
      </w:r>
      <w:r>
        <w:t>5</w:t>
      </w:r>
      <w:r>
        <w:fldChar w:fldCharType="end"/>
      </w:r>
      <w:r>
        <w:fldChar w:fldCharType="end"/>
      </w:r>
    </w:p>
    <w:p w14:paraId="6705A231">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"_Toc196145318" </w:instrText>
      </w:r>
      <w:r>
        <w:fldChar w:fldCharType="separate"/>
      </w:r>
      <w:r>
        <w:rPr>
          <w:rStyle w:val="32"/>
          <w14:scene3d w14:prst="orthographicFront">
            <w14:lightRig w14:rig="threePt" w14:dir="t">
              <w14:rot w14:lat="0" w14:lon="0" w14:rev="0"/>
            </w14:lightRig>
          </w14:scene3d>
        </w:rPr>
        <w:t>5.4</w:t>
      </w:r>
      <w:r>
        <w:rPr>
          <w:rStyle w:val="32"/>
        </w:rPr>
        <w:t xml:space="preserve"> 校准方法</w:t>
      </w:r>
      <w:r>
        <w:tab/>
      </w:r>
      <w:r>
        <w:fldChar w:fldCharType="begin"/>
      </w:r>
      <w:r>
        <w:instrText xml:space="preserve"> PAGEREF _Toc196145318 \h </w:instrText>
      </w:r>
      <w:r>
        <w:fldChar w:fldCharType="separate"/>
      </w:r>
      <w:r>
        <w:t>5</w:t>
      </w:r>
      <w:r>
        <w:fldChar w:fldCharType="end"/>
      </w:r>
      <w:r>
        <w:fldChar w:fldCharType="end"/>
      </w:r>
    </w:p>
    <w:p w14:paraId="5E2C13CE">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"_Toc196145319" </w:instrText>
      </w:r>
      <w:r>
        <w:fldChar w:fldCharType="separate"/>
      </w:r>
      <w:r>
        <w:rPr>
          <w:rStyle w:val="32"/>
          <w14:scene3d w14:prst="orthographicFront">
            <w14:lightRig w14:rig="threePt" w14:dir="t">
              <w14:rot w14:lat="0" w14:lon="0" w14:rev="0"/>
            </w14:lightRig>
          </w14:scene3d>
        </w:rPr>
        <w:t>5.5</w:t>
      </w:r>
      <w:r>
        <w:rPr>
          <w:rStyle w:val="32"/>
        </w:rPr>
        <w:t xml:space="preserve"> 测量不确定度</w:t>
      </w:r>
      <w:r>
        <w:tab/>
      </w:r>
      <w:r>
        <w:fldChar w:fldCharType="begin"/>
      </w:r>
      <w:r>
        <w:instrText xml:space="preserve"> PAGEREF _Toc196145319 \h </w:instrText>
      </w:r>
      <w:r>
        <w:fldChar w:fldCharType="separate"/>
      </w:r>
      <w:r>
        <w:t>6</w:t>
      </w:r>
      <w:r>
        <w:fldChar w:fldCharType="end"/>
      </w:r>
      <w:r>
        <w:fldChar w:fldCharType="end"/>
      </w:r>
    </w:p>
    <w:p w14:paraId="5C00B62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"_Toc196145320" </w:instrText>
      </w:r>
      <w:r>
        <w:fldChar w:fldCharType="separate"/>
      </w:r>
      <w:r>
        <w:rPr>
          <w:rStyle w:val="32"/>
        </w:rPr>
        <w:t>6 高动态范围反射率平面标准器校准法</w:t>
      </w:r>
      <w:r>
        <w:tab/>
      </w:r>
      <w:r>
        <w:fldChar w:fldCharType="begin"/>
      </w:r>
      <w:r>
        <w:instrText xml:space="preserve"> PAGEREF _Toc196145320 \h </w:instrText>
      </w:r>
      <w:r>
        <w:fldChar w:fldCharType="separate"/>
      </w:r>
      <w:r>
        <w:t>6</w:t>
      </w:r>
      <w:r>
        <w:fldChar w:fldCharType="end"/>
      </w:r>
      <w:r>
        <w:fldChar w:fldCharType="end"/>
      </w:r>
    </w:p>
    <w:p w14:paraId="2258DAB9">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"_Toc196145321" </w:instrText>
      </w:r>
      <w:r>
        <w:fldChar w:fldCharType="separate"/>
      </w:r>
      <w:r>
        <w:rPr>
          <w:rStyle w:val="32"/>
          <w14:scene3d w14:prst="orthographicFront">
            <w14:lightRig w14:rig="threePt" w14:dir="t">
              <w14:rot w14:lat="0" w14:lon="0" w14:rev="0"/>
            </w14:lightRig>
          </w14:scene3d>
        </w:rPr>
        <w:t>6.1</w:t>
      </w:r>
      <w:r>
        <w:rPr>
          <w:rStyle w:val="32"/>
        </w:rPr>
        <w:t xml:space="preserve"> 校准原理</w:t>
      </w:r>
      <w:r>
        <w:tab/>
      </w:r>
      <w:r>
        <w:fldChar w:fldCharType="begin"/>
      </w:r>
      <w:r>
        <w:instrText xml:space="preserve"> PAGEREF _Toc196145321 \h </w:instrText>
      </w:r>
      <w:r>
        <w:fldChar w:fldCharType="separate"/>
      </w:r>
      <w:r>
        <w:t>6</w:t>
      </w:r>
      <w:r>
        <w:fldChar w:fldCharType="end"/>
      </w:r>
      <w:r>
        <w:fldChar w:fldCharType="end"/>
      </w:r>
    </w:p>
    <w:p w14:paraId="45CBBBE8">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"_Toc196145322" </w:instrText>
      </w:r>
      <w:r>
        <w:fldChar w:fldCharType="separate"/>
      </w:r>
      <w:r>
        <w:rPr>
          <w:rStyle w:val="32"/>
          <w14:scene3d w14:prst="orthographicFront">
            <w14:lightRig w14:rig="threePt" w14:dir="t">
              <w14:rot w14:lat="0" w14:lon="0" w14:rev="0"/>
            </w14:lightRig>
          </w14:scene3d>
        </w:rPr>
        <w:t>6.2</w:t>
      </w:r>
      <w:r>
        <w:rPr>
          <w:rStyle w:val="32"/>
        </w:rPr>
        <w:t xml:space="preserve"> 校准装置</w:t>
      </w:r>
      <w:r>
        <w:tab/>
      </w:r>
      <w:r>
        <w:fldChar w:fldCharType="begin"/>
      </w:r>
      <w:r>
        <w:instrText xml:space="preserve"> PAGEREF _Toc196145322 \h </w:instrText>
      </w:r>
      <w:r>
        <w:fldChar w:fldCharType="separate"/>
      </w:r>
      <w:r>
        <w:t>7</w:t>
      </w:r>
      <w:r>
        <w:fldChar w:fldCharType="end"/>
      </w:r>
      <w:r>
        <w:fldChar w:fldCharType="end"/>
      </w:r>
    </w:p>
    <w:p w14:paraId="33F47ECF">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"_Toc196145323" </w:instrText>
      </w:r>
      <w:r>
        <w:fldChar w:fldCharType="separate"/>
      </w:r>
      <w:r>
        <w:rPr>
          <w:rStyle w:val="32"/>
          <w14:scene3d w14:prst="orthographicFront">
            <w14:lightRig w14:rig="threePt" w14:dir="t">
              <w14:rot w14:lat="0" w14:lon="0" w14:rev="0"/>
            </w14:lightRig>
          </w14:scene3d>
        </w:rPr>
        <w:t>6.3</w:t>
      </w:r>
      <w:r>
        <w:rPr>
          <w:rStyle w:val="32"/>
        </w:rPr>
        <w:t xml:space="preserve"> 校准条件</w:t>
      </w:r>
      <w:r>
        <w:tab/>
      </w:r>
      <w:r>
        <w:fldChar w:fldCharType="begin"/>
      </w:r>
      <w:r>
        <w:instrText xml:space="preserve"> PAGEREF _Toc196145323 \h </w:instrText>
      </w:r>
      <w:r>
        <w:fldChar w:fldCharType="separate"/>
      </w:r>
      <w:r>
        <w:t>8</w:t>
      </w:r>
      <w:r>
        <w:fldChar w:fldCharType="end"/>
      </w:r>
      <w:r>
        <w:fldChar w:fldCharType="end"/>
      </w:r>
    </w:p>
    <w:p w14:paraId="45B1A8A3">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"_Toc196145324" </w:instrText>
      </w:r>
      <w:r>
        <w:fldChar w:fldCharType="separate"/>
      </w:r>
      <w:r>
        <w:rPr>
          <w:rStyle w:val="32"/>
          <w14:scene3d w14:prst="orthographicFront">
            <w14:lightRig w14:rig="threePt" w14:dir="t">
              <w14:rot w14:lat="0" w14:lon="0" w14:rev="0"/>
            </w14:lightRig>
          </w14:scene3d>
        </w:rPr>
        <w:t>6.4</w:t>
      </w:r>
      <w:r>
        <w:rPr>
          <w:rStyle w:val="32"/>
        </w:rPr>
        <w:t xml:space="preserve"> 校准方法</w:t>
      </w:r>
      <w:r>
        <w:tab/>
      </w:r>
      <w:r>
        <w:fldChar w:fldCharType="begin"/>
      </w:r>
      <w:r>
        <w:instrText xml:space="preserve"> PAGEREF _Toc196145324 \h </w:instrText>
      </w:r>
      <w:r>
        <w:fldChar w:fldCharType="separate"/>
      </w:r>
      <w:r>
        <w:t>8</w:t>
      </w:r>
      <w:r>
        <w:fldChar w:fldCharType="end"/>
      </w:r>
      <w:r>
        <w:fldChar w:fldCharType="end"/>
      </w:r>
    </w:p>
    <w:p w14:paraId="4B9F3C19">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"_Toc196145325" </w:instrText>
      </w:r>
      <w:r>
        <w:fldChar w:fldCharType="separate"/>
      </w:r>
      <w:r>
        <w:rPr>
          <w:rStyle w:val="32"/>
          <w14:scene3d w14:prst="orthographicFront">
            <w14:lightRig w14:rig="threePt" w14:dir="t">
              <w14:rot w14:lat="0" w14:lon="0" w14:rev="0"/>
            </w14:lightRig>
          </w14:scene3d>
        </w:rPr>
        <w:t>6.5</w:t>
      </w:r>
      <w:r>
        <w:rPr>
          <w:rStyle w:val="32"/>
        </w:rPr>
        <w:t xml:space="preserve"> 测量不确定度</w:t>
      </w:r>
      <w:r>
        <w:tab/>
      </w:r>
      <w:r>
        <w:fldChar w:fldCharType="begin"/>
      </w:r>
      <w:r>
        <w:instrText xml:space="preserve"> PAGEREF _Toc196145325 \h </w:instrText>
      </w:r>
      <w:r>
        <w:fldChar w:fldCharType="separate"/>
      </w:r>
      <w:r>
        <w:t>8</w:t>
      </w:r>
      <w:r>
        <w:fldChar w:fldCharType="end"/>
      </w:r>
      <w:r>
        <w:fldChar w:fldCharType="end"/>
      </w:r>
    </w:p>
    <w:p w14:paraId="36D15E7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"_Toc196145326" </w:instrText>
      </w:r>
      <w:r>
        <w:fldChar w:fldCharType="separate"/>
      </w:r>
      <w:r>
        <w:rPr>
          <w:rStyle w:val="32"/>
        </w:rPr>
        <w:t>7 校准结果</w:t>
      </w:r>
      <w:r>
        <w:tab/>
      </w:r>
      <w:r>
        <w:fldChar w:fldCharType="begin"/>
      </w:r>
      <w:r>
        <w:instrText xml:space="preserve"> PAGEREF _Toc196145326 \h </w:instrText>
      </w:r>
      <w:r>
        <w:fldChar w:fldCharType="separate"/>
      </w:r>
      <w:r>
        <w:t>9</w:t>
      </w:r>
      <w:r>
        <w:fldChar w:fldCharType="end"/>
      </w:r>
      <w:r>
        <w:fldChar w:fldCharType="end"/>
      </w:r>
    </w:p>
    <w:p w14:paraId="19224E88">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"_Toc196145327" </w:instrText>
      </w:r>
      <w:r>
        <w:fldChar w:fldCharType="separate"/>
      </w:r>
      <w:r>
        <w:rPr>
          <w:rStyle w:val="32"/>
        </w:rPr>
        <w:t>8 复校时间间隔</w:t>
      </w:r>
      <w:r>
        <w:tab/>
      </w:r>
      <w:r>
        <w:fldChar w:fldCharType="begin"/>
      </w:r>
      <w:r>
        <w:instrText xml:space="preserve"> PAGEREF _Toc196145327 \h </w:instrText>
      </w:r>
      <w:r>
        <w:fldChar w:fldCharType="separate"/>
      </w:r>
      <w:r>
        <w:t>9</w:t>
      </w:r>
      <w:r>
        <w:fldChar w:fldCharType="end"/>
      </w:r>
      <w:r>
        <w:fldChar w:fldCharType="end"/>
      </w:r>
    </w:p>
    <w:p w14:paraId="542B739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"_Toc196145328" </w:instrText>
      </w:r>
      <w:r>
        <w:fldChar w:fldCharType="separate"/>
      </w:r>
      <w:r>
        <w:rPr>
          <w:rStyle w:val="32"/>
          <w:spacing w:val="100"/>
        </w:rPr>
        <w:t>附录A</w:t>
      </w:r>
      <w:r>
        <w:rPr>
          <w:rStyle w:val="32"/>
        </w:rPr>
        <w:t xml:space="preserve"> （资料性） 不确定度评定示例</w:t>
      </w:r>
      <w:r>
        <w:tab/>
      </w:r>
      <w:r>
        <w:fldChar w:fldCharType="begin"/>
      </w:r>
      <w:r>
        <w:instrText xml:space="preserve"> PAGEREF _Toc196145328 \h </w:instrText>
      </w:r>
      <w:r>
        <w:fldChar w:fldCharType="separate"/>
      </w:r>
      <w:r>
        <w:t>10</w:t>
      </w:r>
      <w:r>
        <w:fldChar w:fldCharType="end"/>
      </w:r>
      <w:r>
        <w:fldChar w:fldCharType="end"/>
      </w:r>
    </w:p>
    <w:p w14:paraId="633BC081">
      <w:pPr>
        <w:pStyle w:val="91"/>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26CE5C2">
      <w:pPr>
        <w:pStyle w:val="89"/>
        <w:spacing w:before="560" w:after="360"/>
      </w:pPr>
      <w:bookmarkStart w:id="25" w:name="_Toc196145304"/>
      <w:bookmarkStart w:id="26" w:name="BookMark2"/>
      <w:r>
        <w:rPr>
          <w:spacing w:val="320"/>
        </w:rPr>
        <w:t>前</w:t>
      </w:r>
      <w:r>
        <w:t>言</w:t>
      </w:r>
      <w:bookmarkEnd w:id="22"/>
      <w:bookmarkEnd w:id="23"/>
      <w:bookmarkEnd w:id="24"/>
      <w:bookmarkEnd w:id="25"/>
    </w:p>
    <w:p w14:paraId="06B71CCB">
      <w:pPr>
        <w:pStyle w:val="56"/>
        <w:ind w:firstLine="420"/>
      </w:pPr>
      <w:r>
        <w:rPr>
          <w:rFonts w:hint="eastAsia"/>
        </w:rPr>
        <w:t>本文件按照GB/T 1.1—2020《标准化工作导则  第1部分：标准化文件的结构和起草规则》的规定起草。</w:t>
      </w:r>
    </w:p>
    <w:p w14:paraId="39D85F01">
      <w:pPr>
        <w:pStyle w:val="56"/>
        <w:ind w:firstLine="420"/>
      </w:pPr>
      <w:r>
        <w:rPr>
          <w:rFonts w:hint="eastAsia"/>
        </w:rPr>
        <w:t>请注意</w:t>
      </w:r>
      <w:r>
        <w:t>本文件的某些内容可能涉及专利。本文件的发布机构不承担识别专利的责任。</w:t>
      </w:r>
    </w:p>
    <w:p w14:paraId="3CC1793D">
      <w:pPr>
        <w:pStyle w:val="56"/>
        <w:ind w:firstLine="420"/>
      </w:pPr>
      <w:r>
        <w:rPr>
          <w:rFonts w:hint="eastAsia"/>
        </w:rPr>
        <w:t>本文件由</w:t>
      </w:r>
      <w:r>
        <w:t>中国光学工程学会提出并归口。</w:t>
      </w:r>
    </w:p>
    <w:p w14:paraId="55B54CB4">
      <w:pPr>
        <w:pStyle w:val="56"/>
        <w:ind w:firstLine="420"/>
      </w:pPr>
      <w:r>
        <w:rPr>
          <w:rFonts w:hint="eastAsia"/>
        </w:rPr>
        <w:t>本文件起草单位：</w:t>
      </w:r>
      <w:r>
        <w:t>北京航空航天大学</w:t>
      </w:r>
      <w:r>
        <w:rPr>
          <w:rFonts w:hint="eastAsia"/>
        </w:rPr>
        <w:t>、思看科技（杭州）股份有限公司</w:t>
      </w:r>
      <w:r>
        <w:t>、北京航天计量测试技术研究所、成都飞机工业（集团）有限责任公司、北京长城计量测试技术研究所、</w:t>
      </w:r>
      <w:r>
        <w:rPr>
          <w:rFonts w:hint="eastAsia"/>
        </w:rPr>
        <w:t>新拓三维技术（西安）有限公司</w:t>
      </w:r>
      <w:r>
        <w:t>等</w:t>
      </w:r>
      <w:r>
        <w:rPr>
          <w:rFonts w:hint="eastAsia"/>
        </w:rPr>
        <w:t>。</w:t>
      </w:r>
    </w:p>
    <w:p w14:paraId="274C6B2F">
      <w:pPr>
        <w:pStyle w:val="56"/>
        <w:ind w:firstLine="420"/>
      </w:pPr>
      <w:r>
        <w:rPr>
          <w:rFonts w:hint="eastAsia"/>
        </w:rPr>
        <w:t>本文件主要起草人：</w:t>
      </w:r>
      <w:r>
        <w:t>赵慧洁、姜宏志、李旭东、</w:t>
      </w:r>
      <w:r>
        <w:rPr>
          <w:rFonts w:hint="eastAsia"/>
        </w:rPr>
        <w:t>王俊亮、方乐、刘华、刘勇</w:t>
      </w:r>
      <w:r>
        <w:t>、</w:t>
      </w:r>
      <w:r>
        <w:rPr>
          <w:rFonts w:hint="eastAsia"/>
        </w:rPr>
        <w:t>李本军、朱绪胜、杨永军、王继虎、唐正宗、任茂栋</w:t>
      </w:r>
      <w:r>
        <w:t>等</w:t>
      </w:r>
      <w:r>
        <w:rPr>
          <w:rFonts w:hint="eastAsia"/>
        </w:rPr>
        <w:t>。</w:t>
      </w:r>
    </w:p>
    <w:p w14:paraId="050A7414">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6"/>
    <w:p w14:paraId="7D13D996">
      <w:pPr>
        <w:spacing w:line="20" w:lineRule="exact"/>
        <w:jc w:val="center"/>
        <w:rPr>
          <w:rFonts w:hint="eastAsia" w:ascii="黑体" w:hAnsi="黑体" w:eastAsia="黑体"/>
          <w:sz w:val="32"/>
          <w:szCs w:val="32"/>
        </w:rPr>
      </w:pPr>
      <w:bookmarkStart w:id="27" w:name="BookMark4"/>
    </w:p>
    <w:p w14:paraId="7D8F43C7">
      <w:pPr>
        <w:spacing w:line="20" w:lineRule="exact"/>
        <w:jc w:val="center"/>
        <w:rPr>
          <w:rFonts w:hint="eastAsia" w:ascii="黑体" w:hAnsi="黑体" w:eastAsia="黑体"/>
          <w:sz w:val="32"/>
          <w:szCs w:val="32"/>
        </w:rPr>
      </w:pPr>
    </w:p>
    <w:sdt>
      <w:sdtPr>
        <w:tag w:val="NEW_STAND_NAME"/>
        <w:id w:val="595910757"/>
        <w:lock w:val="sdtLocked"/>
        <w:placeholder>
          <w:docPart w:val="9D3787A4E1904AAFA7BE95C9F6DBDA96"/>
        </w:placeholder>
      </w:sdtPr>
      <w:sdtContent>
        <w:p w14:paraId="2B42C518">
          <w:pPr>
            <w:pStyle w:val="177"/>
            <w:spacing w:before="2" w:beforeLines="1" w:after="528" w:afterLines="220"/>
            <w:rPr>
              <w:rFonts w:hint="eastAsia"/>
            </w:rPr>
          </w:pPr>
          <w:bookmarkStart w:id="28" w:name="NEW_STAND_NAME"/>
          <w:r>
            <w:rPr>
              <w:rFonts w:hint="eastAsia"/>
            </w:rPr>
            <w:t>用于大范围多视场拼接测量的结构光三维测量系统校准方法</w:t>
          </w:r>
        </w:p>
      </w:sdtContent>
    </w:sdt>
    <w:bookmarkEnd w:id="28"/>
    <w:p w14:paraId="3B8FE9C8">
      <w:pPr>
        <w:pStyle w:val="104"/>
        <w:spacing w:before="240" w:after="240"/>
      </w:pPr>
      <w:bookmarkStart w:id="29" w:name="_Toc26986530"/>
      <w:bookmarkStart w:id="30" w:name="_Toc195113277"/>
      <w:bookmarkStart w:id="31" w:name="_Toc26718930"/>
      <w:bookmarkStart w:id="32" w:name="_Toc26986771"/>
      <w:bookmarkStart w:id="33" w:name="_Toc196145305"/>
      <w:bookmarkStart w:id="34" w:name="_Toc24884218"/>
      <w:bookmarkStart w:id="35" w:name="_Toc97192964"/>
      <w:bookmarkStart w:id="36" w:name="_Toc17233325"/>
      <w:bookmarkStart w:id="37" w:name="_Toc196060545"/>
      <w:bookmarkStart w:id="38" w:name="_Toc24884211"/>
      <w:bookmarkStart w:id="39" w:name="_Toc17233333"/>
      <w:bookmarkStart w:id="40" w:name="_Toc195113248"/>
      <w:bookmarkStart w:id="41" w:name="_Toc26648465"/>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14:paraId="5406AEDE">
      <w:pPr>
        <w:pStyle w:val="56"/>
        <w:ind w:firstLine="420"/>
      </w:pPr>
      <w:bookmarkStart w:id="42" w:name="_Toc17233326"/>
      <w:bookmarkStart w:id="43" w:name="_Toc17233334"/>
      <w:bookmarkStart w:id="44" w:name="_Toc26648466"/>
      <w:bookmarkStart w:id="45" w:name="_Toc24884212"/>
      <w:bookmarkStart w:id="46" w:name="_Toc24884219"/>
      <w:r>
        <w:rPr>
          <w:rFonts w:hint="eastAsia"/>
        </w:rPr>
        <w:t>本标准给出了球棒标准器校准法、激光跟踪仪校准法校准用于大范围多视场拼接测量的结构光三维测量系统测量精度的校准原理、校准装置、校准条件和校准方法。</w:t>
      </w:r>
    </w:p>
    <w:p w14:paraId="44801582">
      <w:pPr>
        <w:pStyle w:val="56"/>
        <w:ind w:firstLine="420"/>
      </w:pPr>
      <w:r>
        <w:rPr>
          <w:rFonts w:hint="eastAsia"/>
        </w:rPr>
        <w:t>本标准规定了用于大范围多视场拼接测量的结构光三维测量系统的校准结果和复校时间间隔要求。</w:t>
      </w:r>
    </w:p>
    <w:p w14:paraId="08D4B3B0">
      <w:pPr>
        <w:pStyle w:val="56"/>
        <w:ind w:firstLine="420"/>
      </w:pPr>
      <w:r>
        <w:rPr>
          <w:rFonts w:hint="eastAsia"/>
        </w:rPr>
        <w:t>本标准适用于测量对象需要大范围多视场拼接测量时的结构光结构光三维测量系统测量精度的校准。</w:t>
      </w:r>
    </w:p>
    <w:p w14:paraId="309AA0C4">
      <w:pPr>
        <w:pStyle w:val="104"/>
        <w:spacing w:before="240" w:after="240"/>
      </w:pPr>
      <w:bookmarkStart w:id="47" w:name="_Toc26986772"/>
      <w:bookmarkStart w:id="48" w:name="_Toc196060546"/>
      <w:bookmarkStart w:id="49" w:name="_Toc26718931"/>
      <w:bookmarkStart w:id="50" w:name="_Toc195113249"/>
      <w:bookmarkStart w:id="51" w:name="_Toc97192965"/>
      <w:bookmarkStart w:id="52" w:name="_Toc196145306"/>
      <w:bookmarkStart w:id="53" w:name="_Toc26986531"/>
      <w:bookmarkStart w:id="54" w:name="_Toc195113278"/>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6C9DDD5FAAB04BAEB275FE4D0AFE463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7163FA4">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4D2B98F">
      <w:pPr>
        <w:pStyle w:val="56"/>
        <w:ind w:firstLine="420"/>
        <w:rPr>
          <w:rFonts w:ascii="Times New Roman"/>
        </w:rPr>
      </w:pPr>
      <w:r>
        <w:rPr>
          <w:rFonts w:ascii="Times New Roman"/>
        </w:rPr>
        <w:t>GB/T 16857 产品几何级数规范（GPS）坐标测量系统（CMS）的验收检测和复检检测</w:t>
      </w:r>
    </w:p>
    <w:p w14:paraId="5504C25E">
      <w:pPr>
        <w:pStyle w:val="56"/>
        <w:ind w:firstLine="420"/>
        <w:rPr>
          <w:rFonts w:ascii="Times New Roman"/>
        </w:rPr>
      </w:pPr>
      <w:r>
        <w:rPr>
          <w:rFonts w:ascii="Times New Roman"/>
        </w:rPr>
        <w:t>JJF1001-2011《通用计量术语及定义》</w:t>
      </w:r>
    </w:p>
    <w:p w14:paraId="2A68CCFD">
      <w:pPr>
        <w:pStyle w:val="56"/>
        <w:ind w:firstLine="420"/>
        <w:rPr>
          <w:rFonts w:ascii="Times New Roman"/>
        </w:rPr>
      </w:pPr>
      <w:r>
        <w:rPr>
          <w:rFonts w:ascii="Times New Roman"/>
        </w:rPr>
        <w:t>JJF1059.1-2012《测量不确定度评定与表示》</w:t>
      </w:r>
    </w:p>
    <w:p w14:paraId="398A58B0">
      <w:pPr>
        <w:pStyle w:val="56"/>
        <w:ind w:firstLine="420"/>
        <w:rPr>
          <w:rFonts w:ascii="Times New Roman"/>
        </w:rPr>
      </w:pPr>
      <w:r>
        <w:rPr>
          <w:rFonts w:ascii="Times New Roman"/>
        </w:rPr>
        <w:t>JJF1071-2010《国家计量校准规范编写规则》</w:t>
      </w:r>
    </w:p>
    <w:p w14:paraId="7F4EFB54">
      <w:pPr>
        <w:pStyle w:val="56"/>
        <w:ind w:firstLine="420"/>
        <w:rPr>
          <w:rFonts w:ascii="Times New Roman"/>
        </w:rPr>
      </w:pPr>
      <w:r>
        <w:rPr>
          <w:rFonts w:ascii="Times New Roman"/>
        </w:rPr>
        <w:t>JJF1951-2021《基于结构光扫描的光学三维测量系统校准规范》</w:t>
      </w:r>
    </w:p>
    <w:p w14:paraId="276B8024">
      <w:pPr>
        <w:pStyle w:val="56"/>
        <w:ind w:firstLine="420"/>
        <w:rPr>
          <w:rFonts w:ascii="Times New Roman"/>
          <w:caps/>
        </w:rPr>
      </w:pPr>
      <w:r>
        <w:rPr>
          <w:rFonts w:ascii="Times New Roman"/>
        </w:rPr>
        <w:t>ISO 10360-13-2021</w:t>
      </w:r>
      <w:r>
        <w:rPr>
          <w:rFonts w:hint="eastAsia" w:ascii="Times New Roman"/>
          <w:caps/>
        </w:rPr>
        <w:t xml:space="preserve"> </w:t>
      </w:r>
      <w:r>
        <w:rPr>
          <w:rFonts w:hint="eastAsia" w:ascii="Times New Roman"/>
        </w:rPr>
        <w:t>G</w:t>
      </w:r>
      <w:r>
        <w:rPr>
          <w:rFonts w:ascii="Times New Roman"/>
        </w:rPr>
        <w:t xml:space="preserve">eometrical product specifications(GPS)acceptance and reverification tests forcoordinate measuring systems (CMS) Part 13: </w:t>
      </w:r>
      <w:r>
        <w:rPr>
          <w:rFonts w:hint="eastAsia" w:ascii="Times New Roman"/>
        </w:rPr>
        <w:t>O</w:t>
      </w:r>
      <w:r>
        <w:rPr>
          <w:rFonts w:ascii="Times New Roman"/>
        </w:rPr>
        <w:t>ptical 3</w:t>
      </w:r>
      <w:r>
        <w:rPr>
          <w:rFonts w:hint="eastAsia" w:ascii="Times New Roman"/>
        </w:rPr>
        <w:t>D</w:t>
      </w:r>
      <w:r>
        <w:rPr>
          <w:rFonts w:ascii="Times New Roman"/>
        </w:rPr>
        <w:t xml:space="preserve"> CMS</w:t>
      </w:r>
    </w:p>
    <w:p w14:paraId="140CB2B0">
      <w:pPr>
        <w:pStyle w:val="104"/>
        <w:spacing w:before="240" w:after="240"/>
      </w:pPr>
      <w:bookmarkStart w:id="55" w:name="_Toc195113279"/>
      <w:bookmarkStart w:id="56" w:name="_Toc97192966"/>
      <w:bookmarkStart w:id="57" w:name="_Toc196060547"/>
      <w:bookmarkStart w:id="58" w:name="_Toc195113250"/>
      <w:bookmarkStart w:id="59" w:name="_Toc196145307"/>
      <w:r>
        <w:rPr>
          <w:rFonts w:hint="eastAsia"/>
          <w:szCs w:val="21"/>
        </w:rPr>
        <w:t>术语和定义</w:t>
      </w:r>
      <w:bookmarkEnd w:id="55"/>
      <w:bookmarkEnd w:id="56"/>
      <w:bookmarkEnd w:id="57"/>
      <w:bookmarkEnd w:id="58"/>
      <w:bookmarkEnd w:id="59"/>
    </w:p>
    <w:sdt>
      <w:sdtPr>
        <w:rPr>
          <w:rFonts w:ascii="Times New Roman"/>
        </w:rPr>
        <w:id w:val="-1909835108"/>
        <w:placeholder>
          <w:docPart w:val="F5B2111ADC024BCC88BCED4D9A99C5A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41890F47">
          <w:pPr>
            <w:pStyle w:val="56"/>
            <w:ind w:firstLine="420"/>
            <w:rPr>
              <w:rFonts w:ascii="Times New Roman"/>
            </w:rPr>
          </w:pPr>
          <w:bookmarkStart w:id="60" w:name="_Toc26986532"/>
          <w:bookmarkEnd w:id="60"/>
          <w:r>
            <w:rPr>
              <w:rFonts w:ascii="Times New Roman"/>
            </w:rPr>
            <w:t>JJF1951-2021《基于结构光扫描的光学三维测量系统校准规范》界定的以及下列术语和定义适用于本文件。</w:t>
          </w:r>
        </w:p>
      </w:sdtContent>
    </w:sdt>
    <w:p w14:paraId="35A7BD8C">
      <w:pPr>
        <w:pStyle w:val="223"/>
        <w:ind w:left="420" w:hanging="420" w:hangingChars="200"/>
        <w:rPr>
          <w:rFonts w:hint="eastAsia" w:ascii="黑体" w:hAnsi="黑体" w:eastAsia="黑体"/>
        </w:rPr>
      </w:pPr>
      <w:bookmarkStart w:id="61" w:name="_Toc196145308"/>
      <w:bookmarkStart w:id="62" w:name="_Toc196060548"/>
      <w:r>
        <w:rPr>
          <w:rFonts w:ascii="黑体" w:hAnsi="黑体" w:eastAsia="黑体"/>
        </w:rPr>
        <w:br w:type="textWrapping"/>
      </w:r>
      <w:r>
        <w:rPr>
          <w:rFonts w:hint="eastAsia" w:ascii="黑体" w:hAnsi="黑体" w:eastAsia="黑体" w:cs="黑体"/>
        </w:rPr>
        <w:t>结构光三维</w:t>
      </w:r>
      <w:r>
        <w:rPr>
          <w:rFonts w:ascii="黑体" w:hAnsi="黑体" w:eastAsia="黑体" w:cs="黑体"/>
        </w:rPr>
        <w:t>测量</w:t>
      </w:r>
      <w:r>
        <w:rPr>
          <w:rFonts w:hint="eastAsia" w:ascii="黑体" w:hAnsi="黑体" w:eastAsia="黑体" w:cs="黑体"/>
        </w:rPr>
        <w:t>系统</w:t>
      </w:r>
      <w:r>
        <w:rPr>
          <w:rFonts w:hint="eastAsia" w:ascii="黑体" w:hAnsi="黑体" w:eastAsia="黑体"/>
        </w:rPr>
        <w:t xml:space="preserve"> s</w:t>
      </w:r>
      <w:r>
        <w:rPr>
          <w:rFonts w:ascii="黑体" w:hAnsi="黑体" w:eastAsia="黑体"/>
        </w:rPr>
        <w:t>tructured light 3D measur</w:t>
      </w:r>
      <w:r>
        <w:rPr>
          <w:rFonts w:hint="eastAsia" w:ascii="黑体" w:hAnsi="黑体" w:eastAsia="黑体"/>
        </w:rPr>
        <w:t>ement</w:t>
      </w:r>
      <w:r>
        <w:rPr>
          <w:rFonts w:ascii="黑体" w:hAnsi="黑体" w:eastAsia="黑体"/>
        </w:rPr>
        <w:t xml:space="preserve"> </w:t>
      </w:r>
      <w:r>
        <w:rPr>
          <w:rFonts w:hint="eastAsia" w:ascii="黑体" w:hAnsi="黑体" w:eastAsia="黑体"/>
        </w:rPr>
        <w:t>system</w:t>
      </w:r>
    </w:p>
    <w:p w14:paraId="7F1F7DD8">
      <w:pPr>
        <w:pStyle w:val="56"/>
        <w:ind w:firstLine="420"/>
      </w:pPr>
      <w:r>
        <w:rPr>
          <w:rFonts w:hint="eastAsia"/>
        </w:rPr>
        <w:t>结构光三维测量系统是一种</w:t>
      </w:r>
      <w:r>
        <w:t>通过投射</w:t>
      </w:r>
      <w:r>
        <w:rPr>
          <w:rFonts w:hint="eastAsia"/>
        </w:rPr>
        <w:t>结构光</w:t>
      </w:r>
      <w:r>
        <w:t>图案至物体表面，并利用相机捕获</w:t>
      </w:r>
      <w:r>
        <w:rPr>
          <w:rFonts w:hint="eastAsia"/>
        </w:rPr>
        <w:t>物体表面的结构光图像，</w:t>
      </w:r>
      <w:r>
        <w:t>结合三角测量原理</w:t>
      </w:r>
      <w:r>
        <w:rPr>
          <w:rFonts w:hint="eastAsia"/>
        </w:rPr>
        <w:t>计算物体表面三维坐标的测量设备。</w:t>
      </w:r>
    </w:p>
    <w:p w14:paraId="762BCD70">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cs="黑体"/>
        </w:rPr>
        <w:t>全局定位系统</w:t>
      </w:r>
      <w:r>
        <w:rPr>
          <w:rFonts w:hint="eastAsia" w:ascii="黑体" w:hAnsi="黑体" w:eastAsia="黑体"/>
        </w:rPr>
        <w:t xml:space="preserve"> g</w:t>
      </w:r>
      <w:r>
        <w:rPr>
          <w:rFonts w:ascii="黑体" w:hAnsi="黑体" w:eastAsia="黑体"/>
        </w:rPr>
        <w:t xml:space="preserve">lobal positioning </w:t>
      </w:r>
      <w:r>
        <w:rPr>
          <w:rFonts w:hint="eastAsia" w:ascii="黑体" w:hAnsi="黑体" w:eastAsia="黑体"/>
        </w:rPr>
        <w:t>system</w:t>
      </w:r>
    </w:p>
    <w:p w14:paraId="09753934">
      <w:pPr>
        <w:pStyle w:val="56"/>
        <w:ind w:firstLine="420"/>
      </w:pPr>
      <w:r>
        <w:rPr>
          <w:rFonts w:hint="eastAsia"/>
        </w:rPr>
        <w:t>由一个或多个</w:t>
      </w:r>
      <w:r>
        <w:t>视场范围</w:t>
      </w:r>
      <w:r>
        <w:rPr>
          <w:rFonts w:hint="eastAsia"/>
        </w:rPr>
        <w:t>相对较</w:t>
      </w:r>
      <w:r>
        <w:t>大的</w:t>
      </w:r>
      <w:r>
        <w:rPr>
          <w:rFonts w:hint="eastAsia"/>
        </w:rPr>
        <w:t>三维测量系统组成，能够对结构光三维测量系统实现跟踪定位，从而完成结构光三维测量系统的多视场数据拼接。包括但不限于视觉/摄影测量系统、激光跟踪仪等。</w:t>
      </w:r>
    </w:p>
    <w:p w14:paraId="71202893">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移动式平台 m</w:t>
      </w:r>
      <w:r>
        <w:rPr>
          <w:rFonts w:ascii="黑体" w:hAnsi="黑体" w:eastAsia="黑体"/>
        </w:rPr>
        <w:t xml:space="preserve">obile </w:t>
      </w:r>
      <w:r>
        <w:rPr>
          <w:rFonts w:hint="eastAsia" w:ascii="黑体" w:hAnsi="黑体" w:eastAsia="黑体"/>
        </w:rPr>
        <w:t>p</w:t>
      </w:r>
      <w:r>
        <w:rPr>
          <w:rFonts w:ascii="黑体" w:hAnsi="黑体" w:eastAsia="黑体"/>
        </w:rPr>
        <w:t>latform</w:t>
      </w:r>
    </w:p>
    <w:p w14:paraId="79C18171">
      <w:pPr>
        <w:pStyle w:val="56"/>
        <w:ind w:firstLine="420"/>
      </w:pPr>
      <w:r>
        <w:t>能够</w:t>
      </w:r>
      <w:r>
        <w:rPr>
          <w:rFonts w:hint="eastAsia"/>
        </w:rPr>
        <w:t>沿着给定</w:t>
      </w:r>
      <w:r>
        <w:t>轨迹或路径运动的装置</w:t>
      </w:r>
      <w:r>
        <w:rPr>
          <w:rFonts w:hint="eastAsia"/>
        </w:rPr>
        <w:t>，</w:t>
      </w:r>
      <w:r>
        <w:t>用于承载</w:t>
      </w:r>
      <w:r>
        <w:rPr>
          <w:rFonts w:hint="eastAsia"/>
        </w:rPr>
        <w:t>局部</w:t>
      </w:r>
      <w:r>
        <w:t>测量</w:t>
      </w:r>
      <w:r>
        <w:rPr>
          <w:rFonts w:hint="eastAsia"/>
        </w:rPr>
        <w:t>单元。</w:t>
      </w:r>
    </w:p>
    <w:p w14:paraId="6F39BF90">
      <w:pPr>
        <w:pStyle w:val="104"/>
        <w:spacing w:before="240" w:after="240"/>
      </w:pPr>
      <w:r>
        <w:rPr>
          <w:rFonts w:hint="eastAsia"/>
        </w:rPr>
        <w:t>球棒标准器校准法</w:t>
      </w:r>
      <w:bookmarkEnd w:id="61"/>
      <w:bookmarkEnd w:id="62"/>
      <w:bookmarkStart w:id="63" w:name="_Toc195113253"/>
      <w:bookmarkStart w:id="64" w:name="_Toc195113282"/>
    </w:p>
    <w:bookmarkEnd w:id="63"/>
    <w:bookmarkEnd w:id="64"/>
    <w:p w14:paraId="46F9D34E">
      <w:pPr>
        <w:pStyle w:val="105"/>
        <w:spacing w:before="120" w:after="120"/>
      </w:pPr>
      <w:bookmarkStart w:id="65" w:name="_Toc196145309"/>
      <w:bookmarkStart w:id="66" w:name="_Toc196060549"/>
      <w:r>
        <w:rPr>
          <w:rFonts w:hint="eastAsia"/>
        </w:rPr>
        <w:t>校准原理</w:t>
      </w:r>
      <w:bookmarkEnd w:id="65"/>
      <w:bookmarkEnd w:id="66"/>
    </w:p>
    <w:p w14:paraId="6E164A0A">
      <w:pPr>
        <w:pStyle w:val="56"/>
        <w:autoSpaceDE/>
        <w:autoSpaceDN/>
        <w:ind w:firstLine="420"/>
        <w:rPr>
          <w:rFonts w:ascii="Times New Roman"/>
        </w:rPr>
      </w:pPr>
      <w:bookmarkStart w:id="67" w:name="_Toc196060550"/>
      <w:bookmarkStart w:id="68" w:name="_Toc196145310"/>
      <w:r>
        <w:rPr>
          <w:rFonts w:ascii="Times New Roman"/>
        </w:rPr>
        <w:t>球心距测量示值误差</w:t>
      </w:r>
      <w:r>
        <w:rPr>
          <w:rFonts w:ascii="Times New Roman"/>
          <w:position w:val="-10"/>
        </w:rPr>
        <w:object>
          <v:shape id="_x0000_i1025" o:spt="75" type="#_x0000_t75" style="height:15.25pt;width:23.5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ascii="Times New Roman"/>
        </w:rPr>
        <w:t>应在整个测量范围</w:t>
      </w:r>
      <w:r>
        <w:rPr>
          <w:rFonts w:hint="eastAsia" w:ascii="Times New Roman"/>
          <w:i/>
          <w:iCs/>
        </w:rPr>
        <w:t>n</w:t>
      </w:r>
      <w:r>
        <w:rPr>
          <w:rFonts w:hint="eastAsia" w:ascii="Times New Roman"/>
        </w:rPr>
        <w:t>=</w:t>
      </w:r>
      <w:r>
        <w:rPr>
          <w:rFonts w:ascii="Times New Roman"/>
        </w:rPr>
        <w:t>7个不同位置分别测量。建议按照</w:t>
      </w:r>
      <w:r>
        <w:rPr>
          <w:rFonts w:ascii="Times New Roman"/>
        </w:rPr>
        <w:fldChar w:fldCharType="begin"/>
      </w:r>
      <w:r>
        <w:rPr>
          <w:rFonts w:ascii="Times New Roman"/>
        </w:rPr>
        <w:instrText xml:space="preserve"> REF _Ref194267188 \h  \* MERGEFORMAT </w:instrText>
      </w:r>
      <w:r>
        <w:rPr>
          <w:rFonts w:ascii="Times New Roman"/>
        </w:rPr>
        <w:fldChar w:fldCharType="separate"/>
      </w:r>
      <w:r>
        <w:rPr>
          <w:rFonts w:ascii="Times New Roman"/>
        </w:rPr>
        <w:t>图4</w:t>
      </w:r>
      <w:r>
        <w:rPr>
          <w:rFonts w:ascii="Times New Roman"/>
        </w:rPr>
        <w:fldChar w:fldCharType="end"/>
      </w:r>
      <w:r>
        <w:rPr>
          <w:rFonts w:ascii="Times New Roman"/>
        </w:rPr>
        <w:t>所示布置和测量标准器，每个位置上标准球棒的分布范围应至少覆盖该方向上测量空间长度的80%。单个标准球棒长度不足时，可以在空间首尾衔接、分时摆放多个位置。</w:t>
      </w:r>
    </w:p>
    <w:p w14:paraId="68236461">
      <w:pPr>
        <w:pStyle w:val="56"/>
        <w:ind w:firstLine="0" w:firstLineChars="0"/>
        <w:jc w:val="center"/>
      </w:pPr>
      <w:r>
        <w:drawing>
          <wp:inline distT="0" distB="0" distL="0" distR="0">
            <wp:extent cx="3597910" cy="2303145"/>
            <wp:effectExtent l="0" t="0" r="2540" b="0"/>
            <wp:docPr id="9686809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680915"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00353" cy="2304729"/>
                    </a:xfrm>
                    <a:prstGeom prst="rect">
                      <a:avLst/>
                    </a:prstGeom>
                    <a:noFill/>
                    <a:ln>
                      <a:noFill/>
                    </a:ln>
                  </pic:spPr>
                </pic:pic>
              </a:graphicData>
            </a:graphic>
          </wp:inline>
        </w:drawing>
      </w:r>
    </w:p>
    <w:p w14:paraId="30CEDC18">
      <w:pPr>
        <w:pStyle w:val="182"/>
        <w:ind w:firstLine="360"/>
        <w:rPr>
          <w:rFonts w:ascii="Times New Roman"/>
        </w:rPr>
      </w:pPr>
      <w:r>
        <w:rPr>
          <w:rFonts w:ascii="Times New Roman"/>
        </w:rPr>
        <w:t>1 测量空间边的平行线（1,</w:t>
      </w:r>
      <w:r>
        <w:rPr>
          <w:rFonts w:hint="eastAsia" w:ascii="Times New Roman"/>
        </w:rPr>
        <w:t xml:space="preserve"> </w:t>
      </w:r>
      <w:r>
        <w:rPr>
          <w:rFonts w:ascii="Times New Roman"/>
        </w:rPr>
        <w:t>2和3）；</w:t>
      </w:r>
    </w:p>
    <w:p w14:paraId="0ADE4C0E">
      <w:pPr>
        <w:pStyle w:val="182"/>
        <w:ind w:firstLine="360"/>
        <w:rPr>
          <w:rFonts w:ascii="Times New Roman"/>
        </w:rPr>
      </w:pPr>
      <w:r>
        <w:rPr>
          <w:rFonts w:ascii="Times New Roman"/>
        </w:rPr>
        <w:t>2 在测量空间的</w:t>
      </w:r>
      <w:r>
        <w:rPr>
          <w:rFonts w:hint="eastAsia" w:ascii="Times New Roman"/>
        </w:rPr>
        <w:t>侧面</w:t>
      </w:r>
      <w:r>
        <w:rPr>
          <w:rFonts w:ascii="Times New Roman"/>
        </w:rPr>
        <w:t>（4）、后面（5）和一个侧面（6）的一条对角线上；</w:t>
      </w:r>
    </w:p>
    <w:p w14:paraId="0D186591">
      <w:pPr>
        <w:pStyle w:val="182"/>
        <w:ind w:firstLine="360"/>
        <w:rPr>
          <w:rFonts w:ascii="Times New Roman"/>
        </w:rPr>
      </w:pPr>
      <w:r>
        <w:rPr>
          <w:rFonts w:ascii="Times New Roman"/>
        </w:rPr>
        <w:t>3 在测量空间的一条体对角线（7）上。</w:t>
      </w:r>
    </w:p>
    <w:p w14:paraId="7BFD3327">
      <w:pPr>
        <w:pStyle w:val="114"/>
        <w:spacing w:before="120" w:after="120"/>
      </w:pPr>
      <w:r>
        <w:rPr>
          <w:rFonts w:hint="eastAsia"/>
        </w:rPr>
        <w:t>球棒的推荐排列</w:t>
      </w:r>
    </w:p>
    <w:p w14:paraId="3BA06A4F">
      <w:pPr>
        <w:pStyle w:val="56"/>
        <w:ind w:firstLine="420"/>
      </w:pPr>
      <w:r>
        <w:rPr>
          <w:rFonts w:hint="eastAsia"/>
        </w:rPr>
        <w:t>对于所有测量位置，用定半径拟合法，拟合所有球心位置。计算球棒在每个位置的球心距</w:t>
      </w:r>
      <w:r>
        <w:rPr>
          <w:position w:val="-12"/>
        </w:rPr>
        <w:object>
          <v:shape id="_x0000_i1026" o:spt="75" type="#_x0000_t75" style="height:15.25pt;width:26.75pt;" o:ole="t" filled="f" o:preferrelative="t" stroked="f" coordsize="21600,21600">
            <v:path/>
            <v:fill on="f" focussize="0,0"/>
            <v:stroke on="f" joinstyle="miter"/>
            <v:imagedata r:id="rId19" o:title=""/>
            <o:lock v:ext="edit" aspectratio="t"/>
            <w10:wrap type="none"/>
            <w10:anchorlock/>
          </v:shape>
          <o:OLEObject Type="Embed" ProgID="Equation.DSMT4" ShapeID="_x0000_i1026" DrawAspect="Content" ObjectID="_1468075726" r:id="rId18">
            <o:LockedField>false</o:LockedField>
          </o:OLEObject>
        </w:object>
      </w:r>
      <w:r>
        <w:rPr>
          <w:rFonts w:hint="eastAsia"/>
        </w:rPr>
        <w:t>，球心距测量示值误差</w:t>
      </w:r>
      <w:r>
        <w:rPr>
          <w:position w:val="-10"/>
        </w:rPr>
        <w:object>
          <v:shape id="_x0000_i1027" o:spt="75" type="#_x0000_t75" style="height:15.25pt;width:21.7pt;" o:ole="t" filled="f" o:preferrelative="t" stroked="f" coordsize="21600,21600">
            <v:path/>
            <v:fill on="f" focussize="0,0"/>
            <v:stroke on="f" joinstyle="miter"/>
            <v:imagedata r:id="rId21" o:title=""/>
            <o:lock v:ext="edit" aspectratio="t"/>
            <w10:wrap type="none"/>
            <w10:anchorlock/>
          </v:shape>
          <o:OLEObject Type="Embed" ProgID="Equation.DSMT4" ShapeID="_x0000_i1027" DrawAspect="Content" ObjectID="_1468075727" r:id="rId20">
            <o:LockedField>false</o:LockedField>
          </o:OLEObject>
        </w:object>
      </w:r>
      <w:r>
        <w:rPr>
          <w:rFonts w:hint="eastAsia"/>
        </w:rPr>
        <w:t>，是测量值</w:t>
      </w:r>
      <w:r>
        <w:rPr>
          <w:position w:val="-12"/>
        </w:rPr>
        <w:object>
          <v:shape id="_x0000_i1028" o:spt="75" type="#_x0000_t75" style="height:15.25pt;width:26.75pt;" o:ole="t" filled="f" o:preferrelative="t" stroked="f" coordsize="21600,21600">
            <v:path/>
            <v:fill on="f" focussize="0,0"/>
            <v:stroke on="f" joinstyle="miter"/>
            <v:imagedata r:id="rId23" o:title=""/>
            <o:lock v:ext="edit" aspectratio="t"/>
            <w10:wrap type="none"/>
            <w10:anchorlock/>
          </v:shape>
          <o:OLEObject Type="Embed" ProgID="Equation.DSMT4" ShapeID="_x0000_i1028" DrawAspect="Content" ObjectID="_1468075728" r:id="rId22">
            <o:LockedField>false</o:LockedField>
          </o:OLEObject>
        </w:object>
      </w:r>
      <w:r>
        <w:rPr>
          <w:rFonts w:hint="eastAsia"/>
        </w:rPr>
        <w:t>与被测长度校准值</w:t>
      </w:r>
      <w:r>
        <w:rPr>
          <w:position w:val="-12"/>
        </w:rPr>
        <w:object>
          <v:shape id="_x0000_i1029" o:spt="75" type="#_x0000_t75" style="height:17.1pt;width:22.15pt;" o:ole="t" filled="f" o:preferrelative="t" stroked="f" coordsize="21600,21600">
            <v:path/>
            <v:fill on="f" focussize="0,0"/>
            <v:stroke on="f" joinstyle="miter"/>
            <v:imagedata r:id="rId25" o:title=""/>
            <o:lock v:ext="edit" aspectratio="t"/>
            <w10:wrap type="none"/>
            <w10:anchorlock/>
          </v:shape>
          <o:OLEObject Type="Embed" ProgID="Equation.DSMT4" ShapeID="_x0000_i1029" DrawAspect="Content" ObjectID="_1468075729" r:id="rId24">
            <o:LockedField>false</o:LockedField>
          </o:OLEObject>
        </w:object>
      </w:r>
      <w:r>
        <w:rPr>
          <w:rFonts w:hint="eastAsia"/>
        </w:rPr>
        <w:t>之差。</w:t>
      </w:r>
    </w:p>
    <w:p w14:paraId="141B3E61">
      <w:pPr>
        <w:pStyle w:val="113"/>
        <w:rPr>
          <w:rFonts w:hint="eastAsia"/>
        </w:rPr>
      </w:pPr>
      <w:r>
        <w:tab/>
      </w:r>
      <w:r>
        <w:rPr>
          <w:position w:val="-12"/>
        </w:rPr>
        <w:object>
          <v:shape id="_x0000_i1030" o:spt="75" type="#_x0000_t75" style="height:17.1pt;width:88.15pt;" o:ole="t" filled="f" o:preferrelative="t" stroked="f" coordsize="21600,21600">
            <v:path/>
            <v:fill on="f" focussize="0,0"/>
            <v:stroke on="f" joinstyle="miter"/>
            <v:imagedata r:id="rId27" o:title=""/>
            <o:lock v:ext="edit" aspectratio="t"/>
            <w10:wrap type="none"/>
            <w10:anchorlock/>
          </v:shape>
          <o:OLEObject Type="Embed" ProgID="Equation.DSMT4" ShapeID="_x0000_i1030" DrawAspect="Content" ObjectID="_1468075730" r:id="rId26">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7434D55E">
      <w:pPr>
        <w:pStyle w:val="55"/>
        <w:ind w:firstLine="420"/>
      </w:pPr>
      <w:r>
        <w:rPr>
          <w:rFonts w:hint="eastAsia"/>
        </w:rPr>
        <w:t>取各位置中绝对值最大者，作为球心距示值误差</w:t>
      </w:r>
      <w:r>
        <w:rPr>
          <w:position w:val="-10"/>
        </w:rPr>
        <w:object>
          <v:shape id="_x0000_i1031" o:spt="75" type="#_x0000_t75" style="height:15.25pt;width:20.75pt;" o:ole="t" filled="f" o:preferrelative="t" stroked="f" coordsize="21600,21600">
            <v:path/>
            <v:fill on="f" focussize="0,0"/>
            <v:stroke on="f" joinstyle="miter"/>
            <v:imagedata r:id="rId29" o:title=""/>
            <o:lock v:ext="edit" aspectratio="t"/>
            <w10:wrap type="none"/>
            <w10:anchorlock/>
          </v:shape>
          <o:OLEObject Type="Embed" ProgID="Equation.DSMT4" ShapeID="_x0000_i1031" DrawAspect="Content" ObjectID="_1468075731" r:id="rId28">
            <o:LockedField>false</o:LockedField>
          </o:OLEObject>
        </w:object>
      </w:r>
      <w:r>
        <w:rPr>
          <w:rFonts w:hint="eastAsia"/>
        </w:rPr>
        <w:t>的测量结果：</w:t>
      </w:r>
    </w:p>
    <w:p w14:paraId="29EA77F4">
      <w:pPr>
        <w:pStyle w:val="113"/>
        <w:rPr>
          <w:rFonts w:hint="eastAsia"/>
        </w:rPr>
      </w:pPr>
      <w:r>
        <w:tab/>
      </w:r>
      <w:r>
        <w:rPr>
          <w:position w:val="-14"/>
        </w:rPr>
        <w:object>
          <v:shape id="_x0000_i1032" o:spt="75" type="#_x0000_t75" style="height:20.75pt;width:91.4pt;" o:ole="t" filled="f" o:preferrelative="t" stroked="f" coordsize="21600,21600">
            <v:path/>
            <v:fill on="f" focussize="0,0"/>
            <v:stroke on="f" joinstyle="miter"/>
            <v:imagedata r:id="rId31" o:title=""/>
            <o:lock v:ext="edit" aspectratio="t"/>
            <w10:wrap type="none"/>
            <w10:anchorlock/>
          </v:shape>
          <o:OLEObject Type="Embed" ProgID="Equation.DSMT4" ShapeID="_x0000_i1032" DrawAspect="Content" ObjectID="_1468075732" r:id="rId30">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23088869">
      <w:pPr>
        <w:pStyle w:val="55"/>
        <w:ind w:firstLine="420"/>
      </w:pPr>
      <w:r>
        <w:rPr>
          <w:rFonts w:hint="eastAsia"/>
        </w:rPr>
        <w:t>式中：</w:t>
      </w:r>
    </w:p>
    <w:p w14:paraId="69E3FE4F">
      <w:pPr>
        <w:pStyle w:val="56"/>
        <w:ind w:firstLine="420"/>
        <w:rPr>
          <w:rFonts w:ascii="Times New Roman"/>
        </w:rPr>
      </w:pPr>
      <w:r>
        <w:rPr>
          <w:rFonts w:ascii="Times New Roman"/>
          <w:i/>
          <w:iCs/>
        </w:rPr>
        <w:t>i——</w:t>
      </w:r>
      <w:r>
        <w:rPr>
          <w:rFonts w:ascii="Times New Roman"/>
        </w:rPr>
        <w:t>位置的序号，</w:t>
      </w:r>
      <w:r>
        <w:rPr>
          <w:rFonts w:ascii="Times New Roman"/>
          <w:position w:val="-8"/>
        </w:rPr>
        <w:object>
          <v:shape id="_x0000_i1033" o:spt="75" type="#_x0000_t75" style="height:12.9pt;width:51.25pt;" o:ole="t" filled="f" o:preferrelative="t" stroked="f" coordsize="21600,21600">
            <v:path/>
            <v:fill on="f" focussize="0,0"/>
            <v:stroke on="f" joinstyle="miter"/>
            <v:imagedata r:id="rId33" o:title=""/>
            <o:lock v:ext="edit" aspectratio="t"/>
            <w10:wrap type="none"/>
            <w10:anchorlock/>
          </v:shape>
          <o:OLEObject Type="Embed" ProgID="Equation.DSMT4" ShapeID="_x0000_i1033" DrawAspect="Content" ObjectID="_1468075733" r:id="rId32">
            <o:LockedField>false</o:LockedField>
          </o:OLEObject>
        </w:object>
      </w:r>
    </w:p>
    <w:p w14:paraId="1109BF5D">
      <w:pPr>
        <w:spacing w:line="240" w:lineRule="auto"/>
        <w:ind w:firstLine="420" w:firstLineChars="200"/>
        <w:rPr>
          <w:rFonts w:ascii="Times New Roman" w:hAnsi="Times New Roman"/>
        </w:rPr>
      </w:pPr>
      <w:r>
        <w:rPr>
          <w:rFonts w:hint="eastAsia" w:ascii="Times New Roman" w:hAnsi="Times New Roman"/>
        </w:rPr>
        <w:t>用于大尺寸拼接测量的三维测量系统的测量精度由</w:t>
      </w:r>
      <w:r>
        <w:rPr>
          <w:rFonts w:hint="eastAsia"/>
        </w:rPr>
        <w:t>球心距测量示值误差</w:t>
      </w:r>
      <w:r>
        <w:rPr>
          <w:position w:val="-10"/>
        </w:rPr>
        <w:object>
          <v:shape id="_x0000_i1034" o:spt="75" type="#_x0000_t75" style="height:16.15pt;width:20.75pt;" o:ole="t" filled="f" o:preferrelative="t" stroked="f" coordsize="21600,21600">
            <v:path/>
            <v:fill on="f" focussize="0,0"/>
            <v:stroke on="f" joinstyle="miter"/>
            <v:imagedata r:id="rId35" o:title=""/>
            <o:lock v:ext="edit" aspectratio="t"/>
            <w10:wrap type="none"/>
            <w10:anchorlock/>
          </v:shape>
          <o:OLEObject Type="Embed" ProgID="Equation.DSMT4" ShapeID="_x0000_i1034" DrawAspect="Content" ObjectID="_1468075734" r:id="rId34">
            <o:LockedField>false</o:LockedField>
          </o:OLEObject>
        </w:object>
      </w:r>
      <w:r>
        <w:rPr>
          <w:rFonts w:hint="eastAsia"/>
        </w:rPr>
        <w:t>表征。</w:t>
      </w:r>
    </w:p>
    <w:p w14:paraId="60275A95">
      <w:pPr>
        <w:pStyle w:val="105"/>
        <w:spacing w:before="120" w:after="120"/>
      </w:pPr>
      <w:r>
        <w:rPr>
          <w:rFonts w:hint="eastAsia"/>
        </w:rPr>
        <w:t>校准装置</w:t>
      </w:r>
      <w:bookmarkEnd w:id="67"/>
      <w:bookmarkEnd w:id="68"/>
    </w:p>
    <w:p w14:paraId="2FDDA906">
      <w:pPr>
        <w:pStyle w:val="56"/>
        <w:ind w:firstLine="420"/>
      </w:pPr>
      <w:r>
        <w:rPr>
          <w:rFonts w:hint="eastAsia"/>
        </w:rPr>
        <w:t>校准采用标准球棒应由陶瓷、钢、铝或其他刚性材料制成。标准球棒球心距不小于1000mm，球径误差优于±2µm，球心距误差优于±5µm。</w:t>
      </w:r>
    </w:p>
    <w:p w14:paraId="761FD381">
      <w:pPr>
        <w:pStyle w:val="105"/>
        <w:spacing w:before="120" w:after="120"/>
      </w:pPr>
      <w:bookmarkStart w:id="69" w:name="_Toc196145311"/>
      <w:bookmarkStart w:id="70" w:name="_Toc196060551"/>
      <w:r>
        <w:rPr>
          <w:rFonts w:hint="eastAsia"/>
        </w:rPr>
        <w:t>校准条件</w:t>
      </w:r>
      <w:bookmarkEnd w:id="69"/>
      <w:bookmarkEnd w:id="70"/>
    </w:p>
    <w:p w14:paraId="1F6933E1">
      <w:pPr>
        <w:pStyle w:val="65"/>
        <w:spacing w:before="120" w:after="120"/>
      </w:pPr>
      <w:r>
        <w:rPr>
          <w:rFonts w:hint="eastAsia"/>
        </w:rPr>
        <w:t>环境条件</w:t>
      </w:r>
    </w:p>
    <w:p w14:paraId="6FB0EB49">
      <w:pPr>
        <w:pStyle w:val="56"/>
        <w:ind w:firstLine="420"/>
      </w:pPr>
      <w:r>
        <w:rPr>
          <w:rFonts w:hint="eastAsia"/>
        </w:rPr>
        <w:t>环境条件，包括环境的振动，背景光、环境温度及其均匀性、变化率等，应在不确定度评定中进行考虑。同时，不应有影响测量的其他环境因素。</w:t>
      </w:r>
    </w:p>
    <w:p w14:paraId="0AFD4302">
      <w:pPr>
        <w:pStyle w:val="65"/>
        <w:spacing w:before="120" w:after="120"/>
      </w:pPr>
      <w:r>
        <w:rPr>
          <w:rFonts w:hint="eastAsia"/>
        </w:rPr>
        <w:t>校准用软件</w:t>
      </w:r>
    </w:p>
    <w:p w14:paraId="6D25F400">
      <w:pPr>
        <w:pStyle w:val="174"/>
      </w:pPr>
      <w:r>
        <w:rPr>
          <w:rFonts w:hint="eastAsia"/>
        </w:rPr>
        <w:t>校准过程中应使用设备的配套（数据采集和数据处理）软件。</w:t>
      </w:r>
    </w:p>
    <w:p w14:paraId="640E967D">
      <w:pPr>
        <w:pStyle w:val="174"/>
      </w:pPr>
      <w:r>
        <w:rPr>
          <w:rFonts w:hint="eastAsia"/>
        </w:rPr>
        <w:t>设定图像采集处理的点间距、快门时间、稀疏点云参数、剔除率、拟合算法等。</w:t>
      </w:r>
    </w:p>
    <w:p w14:paraId="1EB0283B">
      <w:pPr>
        <w:pStyle w:val="179"/>
      </w:pPr>
    </w:p>
    <w:p w14:paraId="67042BB5">
      <w:pPr>
        <w:pStyle w:val="109"/>
      </w:pPr>
      <w:r>
        <w:rPr>
          <w:rFonts w:hint="eastAsia"/>
        </w:rPr>
        <w:t>需要稀疏点云时，应按照使用说明书进行。如果制造商未规定这些参数，则不考虑稀疏点云。</w:t>
      </w:r>
    </w:p>
    <w:p w14:paraId="260DBB83">
      <w:pPr>
        <w:pStyle w:val="109"/>
      </w:pPr>
      <w:r>
        <w:rPr>
          <w:rFonts w:hint="eastAsia"/>
        </w:rPr>
        <w:t>剔除率设定为</w:t>
      </w:r>
      <w:r>
        <w:rPr>
          <w:rFonts w:ascii="Times New Roman"/>
        </w:rPr>
        <w:t>0.3%。</w:t>
      </w:r>
    </w:p>
    <w:p w14:paraId="3DC45CFE">
      <w:pPr>
        <w:pStyle w:val="109"/>
      </w:pPr>
      <w:r>
        <w:rPr>
          <w:rFonts w:hint="eastAsia"/>
        </w:rPr>
        <w:t>除厂商明确规定外，拟合算法推荐采用最小二乘法。</w:t>
      </w:r>
    </w:p>
    <w:p w14:paraId="36F31023">
      <w:pPr>
        <w:pStyle w:val="105"/>
        <w:spacing w:before="120" w:after="120"/>
      </w:pPr>
      <w:bookmarkStart w:id="71" w:name="_Toc196145312"/>
      <w:bookmarkStart w:id="72" w:name="_Toc196060552"/>
      <w:bookmarkStart w:id="73" w:name="_Toc195113280"/>
      <w:bookmarkStart w:id="74" w:name="_Toc195113251"/>
      <w:r>
        <w:rPr>
          <w:rFonts w:hint="eastAsia"/>
        </w:rPr>
        <w:t>校准方法</w:t>
      </w:r>
      <w:bookmarkEnd w:id="71"/>
      <w:bookmarkEnd w:id="72"/>
    </w:p>
    <w:p w14:paraId="25BECCFB">
      <w:pPr>
        <w:pStyle w:val="65"/>
        <w:spacing w:before="120" w:after="120"/>
      </w:pPr>
      <w:r>
        <w:rPr>
          <w:rFonts w:hint="eastAsia"/>
        </w:rPr>
        <w:t>校准前准备</w:t>
      </w:r>
    </w:p>
    <w:bookmarkEnd w:id="73"/>
    <w:bookmarkEnd w:id="74"/>
    <w:p w14:paraId="19292CA2">
      <w:pPr>
        <w:pStyle w:val="56"/>
        <w:ind w:firstLine="420"/>
      </w:pPr>
      <w:bookmarkStart w:id="75" w:name="_Toc196145313"/>
      <w:bookmarkStart w:id="76" w:name="_Toc196060553"/>
      <w:r>
        <w:rPr>
          <w:rFonts w:hint="eastAsia"/>
        </w:rPr>
        <w:t>校准前作如下准备：</w:t>
      </w:r>
    </w:p>
    <w:p w14:paraId="5BA203E3">
      <w:pPr>
        <w:pStyle w:val="56"/>
        <w:numPr>
          <w:ilvl w:val="0"/>
          <w:numId w:val="32"/>
        </w:numPr>
        <w:ind w:firstLineChars="0"/>
      </w:pPr>
      <w:r>
        <w:rPr>
          <w:rFonts w:hint="eastAsia"/>
        </w:rPr>
        <w:t>清洁结构光三维测量系统和标准器，不应有影响校准操作的多余物；</w:t>
      </w:r>
    </w:p>
    <w:p w14:paraId="717C0EC7">
      <w:pPr>
        <w:pStyle w:val="56"/>
        <w:numPr>
          <w:ilvl w:val="0"/>
          <w:numId w:val="32"/>
        </w:numPr>
        <w:ind w:firstLineChars="0"/>
      </w:pPr>
      <w:r>
        <w:rPr>
          <w:rFonts w:hint="eastAsia"/>
        </w:rPr>
        <w:t>结构光三维测量系统的配置与安装；</w:t>
      </w:r>
    </w:p>
    <w:p w14:paraId="3F4FD70A">
      <w:pPr>
        <w:pStyle w:val="56"/>
        <w:numPr>
          <w:ilvl w:val="0"/>
          <w:numId w:val="32"/>
        </w:numPr>
        <w:ind w:firstLineChars="0"/>
      </w:pPr>
      <w:r>
        <w:rPr>
          <w:rFonts w:hint="eastAsia"/>
        </w:rPr>
        <w:t>对操作模式进行设置，包括照明的类型和亮度、测量范围、系统用传感器的类型、数量和分布等；</w:t>
      </w:r>
    </w:p>
    <w:p w14:paraId="74F96017">
      <w:pPr>
        <w:pStyle w:val="56"/>
        <w:numPr>
          <w:ilvl w:val="0"/>
          <w:numId w:val="32"/>
        </w:numPr>
        <w:ind w:firstLineChars="0"/>
      </w:pPr>
      <w:r>
        <w:rPr>
          <w:rFonts w:hint="eastAsia"/>
        </w:rPr>
        <w:t>结构光三维测量系统标定。</w:t>
      </w:r>
    </w:p>
    <w:p w14:paraId="1DE83ACF">
      <w:pPr>
        <w:pStyle w:val="65"/>
        <w:spacing w:before="120" w:after="120"/>
      </w:pPr>
      <w:r>
        <w:rPr>
          <w:rFonts w:hint="eastAsia"/>
        </w:rPr>
        <w:t>校准步骤</w:t>
      </w:r>
    </w:p>
    <w:p w14:paraId="7124D2C4">
      <w:pPr>
        <w:pStyle w:val="56"/>
        <w:ind w:firstLine="420"/>
      </w:pPr>
      <w:r>
        <w:rPr>
          <w:rFonts w:hint="eastAsia"/>
        </w:rPr>
        <w:t>校准步骤如下：</w:t>
      </w:r>
    </w:p>
    <w:p w14:paraId="2CB6928E">
      <w:pPr>
        <w:pStyle w:val="56"/>
        <w:numPr>
          <w:ilvl w:val="0"/>
          <w:numId w:val="33"/>
        </w:numPr>
        <w:autoSpaceDE/>
        <w:autoSpaceDN/>
        <w:ind w:left="862" w:hanging="442" w:firstLineChars="0"/>
        <w:rPr>
          <w:rFonts w:ascii="Times New Roman"/>
        </w:rPr>
      </w:pPr>
      <w:r>
        <w:rPr>
          <w:rFonts w:hint="eastAsia"/>
        </w:rPr>
        <w:t>结构光三维测量系统的启动/预热周期；</w:t>
      </w:r>
    </w:p>
    <w:p w14:paraId="7321140B">
      <w:pPr>
        <w:pStyle w:val="56"/>
        <w:numPr>
          <w:ilvl w:val="0"/>
          <w:numId w:val="33"/>
        </w:numPr>
        <w:autoSpaceDE/>
        <w:autoSpaceDN/>
        <w:ind w:left="862" w:hanging="442" w:firstLineChars="0"/>
        <w:rPr>
          <w:rFonts w:ascii="Times New Roman"/>
        </w:rPr>
      </w:pPr>
      <w:r>
        <w:rPr>
          <w:rFonts w:ascii="Times New Roman"/>
        </w:rPr>
        <w:t>将标准球</w:t>
      </w:r>
      <w:r>
        <w:rPr>
          <w:rFonts w:hint="eastAsia" w:ascii="Times New Roman"/>
        </w:rPr>
        <w:t>棒</w:t>
      </w:r>
      <w:r>
        <w:rPr>
          <w:rFonts w:ascii="Times New Roman"/>
        </w:rPr>
        <w:t>按图</w:t>
      </w:r>
      <w:r>
        <w:rPr>
          <w:rFonts w:hint="eastAsia" w:ascii="Times New Roman"/>
        </w:rPr>
        <w:t>1</w:t>
      </w:r>
      <w:r>
        <w:rPr>
          <w:rFonts w:ascii="Times New Roman"/>
        </w:rPr>
        <w:t>所示依次摆放</w:t>
      </w:r>
      <w:r>
        <w:rPr>
          <w:rFonts w:hint="eastAsia" w:ascii="Times New Roman"/>
        </w:rPr>
        <w:t>7个</w:t>
      </w:r>
      <w:r>
        <w:rPr>
          <w:rFonts w:ascii="Times New Roman"/>
        </w:rPr>
        <w:t>位置</w:t>
      </w:r>
      <w:r>
        <w:rPr>
          <w:rFonts w:hint="eastAsia" w:ascii="Times New Roman"/>
        </w:rPr>
        <w:t>；</w:t>
      </w:r>
    </w:p>
    <w:p w14:paraId="570AEE9E">
      <w:pPr>
        <w:pStyle w:val="56"/>
        <w:numPr>
          <w:ilvl w:val="0"/>
          <w:numId w:val="33"/>
        </w:numPr>
        <w:autoSpaceDE/>
        <w:autoSpaceDN/>
        <w:ind w:left="862" w:hanging="442" w:firstLineChars="0"/>
        <w:rPr>
          <w:rFonts w:ascii="Times New Roman"/>
        </w:rPr>
      </w:pPr>
      <w:r>
        <w:rPr>
          <w:rFonts w:ascii="Times New Roman"/>
        </w:rPr>
        <w:t>在</w:t>
      </w:r>
      <w:r>
        <w:rPr>
          <w:rFonts w:hint="eastAsia" w:ascii="Times New Roman"/>
        </w:rPr>
        <w:t>每个</w:t>
      </w:r>
      <w:r>
        <w:rPr>
          <w:rFonts w:ascii="Times New Roman"/>
        </w:rPr>
        <w:t>位置</w:t>
      </w:r>
      <w:r>
        <w:rPr>
          <w:rFonts w:hint="eastAsia" w:ascii="Times New Roman"/>
        </w:rPr>
        <w:t>，</w:t>
      </w:r>
      <w:r>
        <w:rPr>
          <w:rFonts w:ascii="Times New Roman"/>
        </w:rPr>
        <w:t>使用被校</w:t>
      </w:r>
      <w:r>
        <w:rPr>
          <w:rFonts w:hint="eastAsia" w:ascii="Times New Roman"/>
        </w:rPr>
        <w:t>结构光</w:t>
      </w:r>
      <w:r>
        <w:rPr>
          <w:rFonts w:ascii="Times New Roman"/>
        </w:rPr>
        <w:t>三维测量系统测量标准球</w:t>
      </w:r>
      <w:r>
        <w:rPr>
          <w:rFonts w:hint="eastAsia" w:ascii="Times New Roman"/>
        </w:rPr>
        <w:t>棒</w:t>
      </w:r>
      <w:r>
        <w:rPr>
          <w:rFonts w:ascii="Times New Roman"/>
        </w:rPr>
        <w:t>；</w:t>
      </w:r>
    </w:p>
    <w:p w14:paraId="597110B8">
      <w:pPr>
        <w:pStyle w:val="56"/>
        <w:numPr>
          <w:ilvl w:val="0"/>
          <w:numId w:val="33"/>
        </w:numPr>
        <w:autoSpaceDE/>
        <w:autoSpaceDN/>
        <w:ind w:left="862" w:hanging="442" w:firstLineChars="0"/>
        <w:rPr>
          <w:rFonts w:ascii="Times New Roman"/>
        </w:rPr>
      </w:pPr>
      <w:r>
        <w:rPr>
          <w:rFonts w:ascii="Times New Roman"/>
        </w:rPr>
        <w:t>根据获取的三维数据计算</w:t>
      </w:r>
      <w:r>
        <w:rPr>
          <w:rFonts w:hint="eastAsia" w:ascii="Times New Roman"/>
        </w:rPr>
        <w:t>球心距测量示值</w:t>
      </w:r>
      <w:r>
        <w:rPr>
          <w:rFonts w:ascii="Times New Roman"/>
        </w:rPr>
        <w:t>误差。</w:t>
      </w:r>
    </w:p>
    <w:p w14:paraId="31354011">
      <w:pPr>
        <w:pStyle w:val="105"/>
        <w:spacing w:before="120" w:after="120"/>
      </w:pPr>
      <w:r>
        <w:rPr>
          <w:rFonts w:hint="eastAsia"/>
        </w:rPr>
        <w:t>测量不确定度</w:t>
      </w:r>
      <w:bookmarkEnd w:id="75"/>
      <w:bookmarkEnd w:id="76"/>
    </w:p>
    <w:p w14:paraId="1A36694D">
      <w:pPr>
        <w:pStyle w:val="56"/>
        <w:ind w:firstLine="420"/>
      </w:pPr>
      <w:bookmarkStart w:id="77" w:name="_Hlk196058118"/>
      <w:r>
        <w:rPr>
          <w:rFonts w:hint="eastAsia"/>
        </w:rPr>
        <w:t>按要求进行校准时,球棒标准器校准法的测量不确定度</w:t>
      </w:r>
      <w:bookmarkEnd w:id="77"/>
      <w:r>
        <w:rPr>
          <w:rFonts w:hint="eastAsia"/>
        </w:rPr>
        <w:t>优于被测仪器球心距测量示值误差的1/3。</w:t>
      </w:r>
    </w:p>
    <w:p w14:paraId="1282C3B7">
      <w:pPr>
        <w:pStyle w:val="104"/>
        <w:spacing w:before="240" w:after="240"/>
      </w:pPr>
      <w:bookmarkStart w:id="78" w:name="_Toc196060555"/>
      <w:bookmarkStart w:id="79" w:name="_Toc196145315"/>
      <w:r>
        <w:rPr>
          <w:rFonts w:hint="eastAsia"/>
        </w:rPr>
        <w:t>激光跟踪仪校准法</w:t>
      </w:r>
    </w:p>
    <w:p w14:paraId="34726F69">
      <w:pPr>
        <w:pStyle w:val="105"/>
        <w:spacing w:before="120" w:after="120"/>
      </w:pPr>
      <w:r>
        <w:rPr>
          <w:rFonts w:hint="eastAsia"/>
        </w:rPr>
        <w:t>校准原理</w:t>
      </w:r>
      <w:bookmarkEnd w:id="78"/>
      <w:bookmarkEnd w:id="79"/>
    </w:p>
    <w:p w14:paraId="66FDA426">
      <w:pPr>
        <w:spacing w:line="240" w:lineRule="auto"/>
        <w:ind w:firstLine="420" w:firstLineChars="200"/>
        <w:rPr>
          <w:rFonts w:ascii="Times New Roman"/>
        </w:rPr>
      </w:pPr>
      <w:r>
        <w:rPr>
          <w:rFonts w:ascii="Times New Roman" w:hAnsi="Times New Roman"/>
        </w:rPr>
        <w:t>在测量空间内布置</w:t>
      </w:r>
      <w:r>
        <w:rPr>
          <w:rFonts w:ascii="Times New Roman"/>
        </w:rPr>
        <w:t>球面靶标</w:t>
      </w:r>
      <w:r>
        <w:rPr>
          <w:rFonts w:ascii="Times New Roman" w:hAnsi="Times New Roman"/>
        </w:rPr>
        <w:t>，</w:t>
      </w:r>
      <w:r>
        <w:rPr>
          <w:rFonts w:hint="eastAsia" w:ascii="Times New Roman" w:hAnsi="Times New Roman"/>
        </w:rPr>
        <w:t>利用激光跟踪仪对</w:t>
      </w:r>
      <w:r>
        <w:rPr>
          <w:rFonts w:ascii="Times New Roman"/>
        </w:rPr>
        <w:t>球面靶标</w:t>
      </w:r>
      <w:r>
        <w:rPr>
          <w:rFonts w:hint="eastAsia" w:ascii="Times New Roman"/>
        </w:rPr>
        <w:t>中心点位置进行测量。激光跟踪仪安装在</w:t>
      </w:r>
      <w:r>
        <w:rPr>
          <w:rFonts w:ascii="Times New Roman"/>
        </w:rPr>
        <w:t>球面靶标</w:t>
      </w:r>
      <w:r>
        <w:rPr>
          <w:rFonts w:hint="eastAsia" w:ascii="Times New Roman"/>
        </w:rPr>
        <w:t>中心点连线位置的一端，调整出光中心到球面靶标中心线位置</w:t>
      </w:r>
      <w:r>
        <w:rPr>
          <w:rFonts w:ascii="Times New Roman"/>
        </w:rPr>
        <w:t>，测量球面靶标球心坐标，作为参考点。</w:t>
      </w:r>
    </w:p>
    <w:p w14:paraId="2B8F36A6">
      <w:pPr>
        <w:pStyle w:val="56"/>
        <w:autoSpaceDE/>
        <w:autoSpaceDN/>
        <w:ind w:firstLine="420"/>
        <w:rPr>
          <w:rFonts w:ascii="Times New Roman"/>
        </w:rPr>
      </w:pPr>
      <w:r>
        <w:rPr>
          <w:rFonts w:ascii="Times New Roman"/>
        </w:rPr>
        <w:t>球心距测量示值误差</w:t>
      </w:r>
      <w:r>
        <w:rPr>
          <w:rFonts w:ascii="Times New Roman"/>
          <w:position w:val="-10"/>
        </w:rPr>
        <w:object>
          <v:shape id="_x0000_i1035" o:spt="75" type="#_x0000_t75" style="height:15.25pt;width:21.7pt;" o:ole="t" filled="f" o:preferrelative="t" stroked="f" coordsize="21600,21600">
            <v:path/>
            <v:fill on="f" focussize="0,0"/>
            <v:stroke on="f" joinstyle="miter"/>
            <v:imagedata r:id="rId37" o:title=""/>
            <o:lock v:ext="edit" aspectratio="t"/>
            <w10:wrap type="none"/>
            <w10:anchorlock/>
          </v:shape>
          <o:OLEObject Type="Embed" ProgID="Equation.DSMT4" ShapeID="_x0000_i1035" DrawAspect="Content" ObjectID="_1468075735" r:id="rId36">
            <o:LockedField>false</o:LockedField>
          </o:OLEObject>
        </w:object>
      </w:r>
      <w:r>
        <w:rPr>
          <w:rFonts w:ascii="Times New Roman"/>
        </w:rPr>
        <w:t>应在大尺寸拼接测量系统空间测量范围内的7个不同方位（位置和方向）分别测量。建议按照</w:t>
      </w:r>
      <w:r>
        <w:rPr>
          <w:rFonts w:ascii="Times New Roman"/>
        </w:rPr>
        <w:fldChar w:fldCharType="begin"/>
      </w:r>
      <w:r>
        <w:rPr>
          <w:rFonts w:ascii="Times New Roman"/>
        </w:rPr>
        <w:instrText xml:space="preserve"> REF _Ref194267149 \h  \* MERGEFORMAT </w:instrText>
      </w:r>
      <w:r>
        <w:rPr>
          <w:rFonts w:ascii="Times New Roman"/>
        </w:rPr>
        <w:fldChar w:fldCharType="separate"/>
      </w:r>
      <w:r>
        <w:rPr>
          <w:rFonts w:ascii="Times New Roman"/>
        </w:rPr>
        <w:t>图3</w:t>
      </w:r>
      <w:r>
        <w:rPr>
          <w:rFonts w:ascii="Times New Roman"/>
        </w:rPr>
        <w:fldChar w:fldCharType="end"/>
      </w:r>
      <w:r>
        <w:rPr>
          <w:rFonts w:ascii="Times New Roman"/>
        </w:rPr>
        <w:t>所示的7个方位上分别布置4个球面靶标，共布置28个球面靶标，其分布范围应至少覆盖测量空间对应方向长度的80%。</w:t>
      </w:r>
    </w:p>
    <w:p w14:paraId="303046E9">
      <w:pPr>
        <w:pStyle w:val="112"/>
        <w:spacing w:before="120" w:after="120"/>
      </w:pPr>
      <w:r>
        <w:rPr>
          <w:rFonts w:hint="eastAsia"/>
        </w:rPr>
        <w:t>测量空间的不同方向</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17"/>
        <w:gridCol w:w="4928"/>
        <w:gridCol w:w="1703"/>
      </w:tblGrid>
      <w:tr w14:paraId="05E1A9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17" w:type="dxa"/>
            <w:tcBorders>
              <w:top w:val="single" w:color="auto" w:sz="8" w:space="0"/>
              <w:bottom w:val="single" w:color="auto" w:sz="8" w:space="0"/>
            </w:tcBorders>
            <w:shd w:val="clear" w:color="auto" w:fill="auto"/>
            <w:vAlign w:val="center"/>
          </w:tcPr>
          <w:p w14:paraId="471D32DC">
            <w:pPr>
              <w:spacing w:line="240" w:lineRule="auto"/>
              <w:jc w:val="center"/>
              <w:rPr>
                <w:rStyle w:val="29"/>
                <w:color w:val="24292F"/>
                <w:sz w:val="18"/>
              </w:rPr>
            </w:pPr>
            <w:r>
              <w:rPr>
                <w:rStyle w:val="29"/>
                <w:rFonts w:hint="eastAsia"/>
                <w:color w:val="24292F"/>
                <w:sz w:val="18"/>
              </w:rPr>
              <w:t>序号</w:t>
            </w:r>
          </w:p>
        </w:tc>
        <w:tc>
          <w:tcPr>
            <w:tcW w:w="4928" w:type="dxa"/>
            <w:tcBorders>
              <w:top w:val="single" w:color="auto" w:sz="8" w:space="0"/>
              <w:bottom w:val="single" w:color="auto" w:sz="8" w:space="0"/>
            </w:tcBorders>
            <w:shd w:val="clear" w:color="auto" w:fill="auto"/>
            <w:vAlign w:val="center"/>
          </w:tcPr>
          <w:p w14:paraId="4634F012">
            <w:pPr>
              <w:spacing w:line="240" w:lineRule="auto"/>
              <w:jc w:val="center"/>
              <w:rPr>
                <w:rStyle w:val="29"/>
                <w:color w:val="24292F"/>
                <w:sz w:val="18"/>
              </w:rPr>
            </w:pPr>
            <w:r>
              <w:rPr>
                <w:rStyle w:val="29"/>
                <w:rFonts w:hint="eastAsia"/>
                <w:color w:val="24292F"/>
                <w:sz w:val="18"/>
              </w:rPr>
              <w:t>在测量空间的方向</w:t>
            </w:r>
          </w:p>
        </w:tc>
        <w:tc>
          <w:tcPr>
            <w:tcW w:w="1703" w:type="dxa"/>
            <w:tcBorders>
              <w:top w:val="single" w:color="auto" w:sz="8" w:space="0"/>
              <w:bottom w:val="single" w:color="auto" w:sz="8" w:space="0"/>
            </w:tcBorders>
            <w:shd w:val="clear" w:color="auto" w:fill="auto"/>
            <w:vAlign w:val="center"/>
          </w:tcPr>
          <w:p w14:paraId="77EACDAF">
            <w:pPr>
              <w:spacing w:line="240" w:lineRule="auto"/>
              <w:jc w:val="center"/>
              <w:rPr>
                <w:rStyle w:val="29"/>
                <w:color w:val="24292F"/>
                <w:sz w:val="18"/>
              </w:rPr>
            </w:pPr>
            <w:r>
              <w:rPr>
                <w:rStyle w:val="29"/>
                <w:rFonts w:hint="eastAsia"/>
                <w:color w:val="24292F"/>
                <w:sz w:val="18"/>
              </w:rPr>
              <w:t>必需或</w:t>
            </w:r>
            <w:bookmarkStart w:id="80" w:name="_Hlk195053633"/>
            <w:r>
              <w:rPr>
                <w:rStyle w:val="29"/>
                <w:rFonts w:hint="eastAsia"/>
                <w:color w:val="24292F"/>
                <w:sz w:val="18"/>
              </w:rPr>
              <w:t>默认</w:t>
            </w:r>
            <w:bookmarkEnd w:id="80"/>
          </w:p>
        </w:tc>
      </w:tr>
      <w:tr w14:paraId="468446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17" w:type="dxa"/>
            <w:tcBorders>
              <w:top w:val="single" w:color="auto" w:sz="8" w:space="0"/>
            </w:tcBorders>
            <w:shd w:val="clear" w:color="auto" w:fill="auto"/>
            <w:vAlign w:val="center"/>
          </w:tcPr>
          <w:p w14:paraId="3D1E9EDA">
            <w:pPr>
              <w:spacing w:line="240" w:lineRule="auto"/>
              <w:jc w:val="center"/>
              <w:rPr>
                <w:rFonts w:ascii="Times New Roman" w:hAnsi="Times New Roman"/>
                <w:sz w:val="18"/>
                <w:szCs w:val="18"/>
              </w:rPr>
            </w:pPr>
            <w:r>
              <w:rPr>
                <w:rFonts w:ascii="Times New Roman" w:hAnsi="Times New Roman"/>
                <w:sz w:val="18"/>
                <w:szCs w:val="18"/>
              </w:rPr>
              <w:t>1</w:t>
            </w:r>
          </w:p>
        </w:tc>
        <w:tc>
          <w:tcPr>
            <w:tcW w:w="4928" w:type="dxa"/>
            <w:tcBorders>
              <w:top w:val="single" w:color="auto" w:sz="8" w:space="0"/>
            </w:tcBorders>
            <w:shd w:val="clear" w:color="auto" w:fill="auto"/>
            <w:vAlign w:val="center"/>
          </w:tcPr>
          <w:p w14:paraId="5AC0F034">
            <w:pPr>
              <w:spacing w:line="240" w:lineRule="auto"/>
              <w:jc w:val="center"/>
              <w:rPr>
                <w:rFonts w:ascii="Times New Roman" w:hAnsi="Times New Roman"/>
                <w:sz w:val="18"/>
                <w:szCs w:val="18"/>
              </w:rPr>
            </w:pPr>
            <w:r>
              <w:rPr>
                <w:rFonts w:ascii="Times New Roman" w:hAnsi="Times New Roman"/>
                <w:sz w:val="18"/>
                <w:szCs w:val="18"/>
              </w:rPr>
              <w:t>沿测量空间对角线，从(1,</w:t>
            </w:r>
            <w:r>
              <w:rPr>
                <w:rFonts w:hint="eastAsia" w:ascii="Times New Roman" w:hAnsi="Times New Roman"/>
                <w:sz w:val="18"/>
                <w:szCs w:val="18"/>
              </w:rPr>
              <w:t xml:space="preserve"> </w:t>
            </w:r>
            <w:r>
              <w:rPr>
                <w:rFonts w:ascii="Times New Roman" w:hAnsi="Times New Roman"/>
                <w:sz w:val="18"/>
                <w:szCs w:val="18"/>
              </w:rPr>
              <w:t>0,</w:t>
            </w:r>
            <w:r>
              <w:rPr>
                <w:rFonts w:hint="eastAsia" w:ascii="Times New Roman" w:hAnsi="Times New Roman"/>
                <w:sz w:val="18"/>
                <w:szCs w:val="18"/>
              </w:rPr>
              <w:t xml:space="preserve"> </w:t>
            </w:r>
            <w:r>
              <w:rPr>
                <w:rFonts w:ascii="Times New Roman" w:hAnsi="Times New Roman"/>
                <w:sz w:val="18"/>
                <w:szCs w:val="18"/>
              </w:rPr>
              <w:t>0)到(0,</w:t>
            </w:r>
            <w:r>
              <w:rPr>
                <w:rFonts w:hint="eastAsia" w:ascii="Times New Roman" w:hAnsi="Times New Roman"/>
                <w:sz w:val="18"/>
                <w:szCs w:val="18"/>
              </w:rPr>
              <w:t xml:space="preserve"> </w:t>
            </w:r>
            <w:r>
              <w:rPr>
                <w:rFonts w:ascii="Times New Roman" w:hAnsi="Times New Roman"/>
                <w:sz w:val="18"/>
                <w:szCs w:val="18"/>
              </w:rPr>
              <w:t>1,</w:t>
            </w:r>
            <w:r>
              <w:rPr>
                <w:rFonts w:hint="eastAsia" w:ascii="Times New Roman" w:hAnsi="Times New Roman"/>
                <w:sz w:val="18"/>
                <w:szCs w:val="18"/>
              </w:rPr>
              <w:t xml:space="preserve"> </w:t>
            </w:r>
            <w:r>
              <w:rPr>
                <w:rFonts w:ascii="Times New Roman" w:hAnsi="Times New Roman"/>
                <w:sz w:val="18"/>
                <w:szCs w:val="18"/>
              </w:rPr>
              <w:t>1)</w:t>
            </w:r>
          </w:p>
        </w:tc>
        <w:tc>
          <w:tcPr>
            <w:tcW w:w="1703" w:type="dxa"/>
            <w:tcBorders>
              <w:top w:val="single" w:color="auto" w:sz="8" w:space="0"/>
            </w:tcBorders>
            <w:shd w:val="clear" w:color="auto" w:fill="auto"/>
            <w:vAlign w:val="center"/>
          </w:tcPr>
          <w:p w14:paraId="36CBE105">
            <w:pPr>
              <w:spacing w:line="240" w:lineRule="auto"/>
              <w:jc w:val="center"/>
              <w:rPr>
                <w:rFonts w:ascii="Times New Roman" w:hAnsi="Times New Roman"/>
                <w:sz w:val="18"/>
                <w:szCs w:val="18"/>
              </w:rPr>
            </w:pPr>
            <w:r>
              <w:rPr>
                <w:rFonts w:ascii="Times New Roman" w:hAnsi="Times New Roman"/>
                <w:sz w:val="18"/>
                <w:szCs w:val="18"/>
              </w:rPr>
              <w:t>必需</w:t>
            </w:r>
          </w:p>
        </w:tc>
      </w:tr>
      <w:tr w14:paraId="3BE616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17" w:type="dxa"/>
            <w:shd w:val="clear" w:color="auto" w:fill="auto"/>
            <w:vAlign w:val="center"/>
          </w:tcPr>
          <w:p w14:paraId="5B8D78C4">
            <w:pPr>
              <w:spacing w:line="240" w:lineRule="auto"/>
              <w:jc w:val="center"/>
              <w:rPr>
                <w:rFonts w:ascii="Times New Roman" w:hAnsi="Times New Roman"/>
                <w:sz w:val="18"/>
                <w:szCs w:val="18"/>
              </w:rPr>
            </w:pPr>
            <w:r>
              <w:rPr>
                <w:rFonts w:ascii="Times New Roman" w:hAnsi="Times New Roman"/>
                <w:sz w:val="18"/>
                <w:szCs w:val="18"/>
              </w:rPr>
              <w:t>2</w:t>
            </w:r>
          </w:p>
        </w:tc>
        <w:tc>
          <w:tcPr>
            <w:tcW w:w="4928" w:type="dxa"/>
            <w:shd w:val="clear" w:color="auto" w:fill="auto"/>
            <w:vAlign w:val="center"/>
          </w:tcPr>
          <w:p w14:paraId="5D5EDC81">
            <w:pPr>
              <w:spacing w:line="240" w:lineRule="auto"/>
              <w:jc w:val="center"/>
              <w:rPr>
                <w:rFonts w:ascii="Times New Roman" w:hAnsi="Times New Roman"/>
                <w:sz w:val="18"/>
                <w:szCs w:val="18"/>
              </w:rPr>
            </w:pPr>
            <w:r>
              <w:rPr>
                <w:rFonts w:ascii="Times New Roman" w:hAnsi="Times New Roman"/>
                <w:sz w:val="18"/>
                <w:szCs w:val="18"/>
              </w:rPr>
              <w:t>沿测量空间对角线，从(1,</w:t>
            </w:r>
            <w:r>
              <w:rPr>
                <w:rFonts w:hint="eastAsia" w:ascii="Times New Roman" w:hAnsi="Times New Roman"/>
                <w:sz w:val="18"/>
                <w:szCs w:val="18"/>
              </w:rPr>
              <w:t xml:space="preserve"> </w:t>
            </w:r>
            <w:r>
              <w:rPr>
                <w:rFonts w:ascii="Times New Roman" w:hAnsi="Times New Roman"/>
                <w:sz w:val="18"/>
                <w:szCs w:val="18"/>
              </w:rPr>
              <w:t>1,</w:t>
            </w:r>
            <w:r>
              <w:rPr>
                <w:rFonts w:hint="eastAsia" w:ascii="Times New Roman" w:hAnsi="Times New Roman"/>
                <w:sz w:val="18"/>
                <w:szCs w:val="18"/>
              </w:rPr>
              <w:t xml:space="preserve"> </w:t>
            </w:r>
            <w:r>
              <w:rPr>
                <w:rFonts w:ascii="Times New Roman" w:hAnsi="Times New Roman"/>
                <w:sz w:val="18"/>
                <w:szCs w:val="18"/>
              </w:rPr>
              <w:t>0)到(0,</w:t>
            </w:r>
            <w:r>
              <w:rPr>
                <w:rFonts w:hint="eastAsia" w:ascii="Times New Roman" w:hAnsi="Times New Roman"/>
                <w:sz w:val="18"/>
                <w:szCs w:val="18"/>
              </w:rPr>
              <w:t xml:space="preserve"> </w:t>
            </w:r>
            <w:r>
              <w:rPr>
                <w:rFonts w:ascii="Times New Roman" w:hAnsi="Times New Roman"/>
                <w:sz w:val="18"/>
                <w:szCs w:val="18"/>
              </w:rPr>
              <w:t>0,</w:t>
            </w:r>
            <w:r>
              <w:rPr>
                <w:rFonts w:hint="eastAsia" w:ascii="Times New Roman" w:hAnsi="Times New Roman"/>
                <w:sz w:val="18"/>
                <w:szCs w:val="18"/>
              </w:rPr>
              <w:t xml:space="preserve"> </w:t>
            </w:r>
            <w:r>
              <w:rPr>
                <w:rFonts w:ascii="Times New Roman" w:hAnsi="Times New Roman"/>
                <w:sz w:val="18"/>
                <w:szCs w:val="18"/>
              </w:rPr>
              <w:t>1)</w:t>
            </w:r>
          </w:p>
        </w:tc>
        <w:tc>
          <w:tcPr>
            <w:tcW w:w="1703" w:type="dxa"/>
            <w:shd w:val="clear" w:color="auto" w:fill="auto"/>
            <w:vAlign w:val="center"/>
          </w:tcPr>
          <w:p w14:paraId="1B3E30E2">
            <w:pPr>
              <w:spacing w:line="240" w:lineRule="auto"/>
              <w:jc w:val="center"/>
              <w:rPr>
                <w:rFonts w:ascii="Times New Roman" w:hAnsi="Times New Roman"/>
                <w:sz w:val="18"/>
                <w:szCs w:val="18"/>
              </w:rPr>
            </w:pPr>
            <w:r>
              <w:rPr>
                <w:rFonts w:ascii="Times New Roman" w:hAnsi="Times New Roman"/>
                <w:sz w:val="18"/>
                <w:szCs w:val="18"/>
              </w:rPr>
              <w:t>必需</w:t>
            </w:r>
          </w:p>
        </w:tc>
      </w:tr>
      <w:tr w14:paraId="420C3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17" w:type="dxa"/>
            <w:shd w:val="clear" w:color="auto" w:fill="auto"/>
            <w:vAlign w:val="center"/>
          </w:tcPr>
          <w:p w14:paraId="0504D7D8">
            <w:pPr>
              <w:spacing w:line="240" w:lineRule="auto"/>
              <w:jc w:val="center"/>
              <w:rPr>
                <w:rFonts w:ascii="Times New Roman" w:hAnsi="Times New Roman"/>
                <w:sz w:val="18"/>
                <w:szCs w:val="18"/>
              </w:rPr>
            </w:pPr>
            <w:r>
              <w:rPr>
                <w:rFonts w:ascii="Times New Roman" w:hAnsi="Times New Roman"/>
                <w:sz w:val="18"/>
                <w:szCs w:val="18"/>
              </w:rPr>
              <w:t>3</w:t>
            </w:r>
          </w:p>
        </w:tc>
        <w:tc>
          <w:tcPr>
            <w:tcW w:w="4928" w:type="dxa"/>
            <w:shd w:val="clear" w:color="auto" w:fill="auto"/>
            <w:vAlign w:val="center"/>
          </w:tcPr>
          <w:p w14:paraId="25D91D23">
            <w:pPr>
              <w:spacing w:line="240" w:lineRule="auto"/>
              <w:jc w:val="center"/>
              <w:rPr>
                <w:rFonts w:ascii="Times New Roman" w:hAnsi="Times New Roman"/>
                <w:sz w:val="18"/>
                <w:szCs w:val="18"/>
              </w:rPr>
            </w:pPr>
            <w:r>
              <w:rPr>
                <w:rFonts w:ascii="Times New Roman" w:hAnsi="Times New Roman"/>
                <w:sz w:val="18"/>
                <w:szCs w:val="18"/>
              </w:rPr>
              <w:t>沿测量空间对角线，从(0,</w:t>
            </w:r>
            <w:r>
              <w:rPr>
                <w:rFonts w:hint="eastAsia" w:ascii="Times New Roman" w:hAnsi="Times New Roman"/>
                <w:sz w:val="18"/>
                <w:szCs w:val="18"/>
              </w:rPr>
              <w:t xml:space="preserve"> </w:t>
            </w:r>
            <w:r>
              <w:rPr>
                <w:rFonts w:ascii="Times New Roman" w:hAnsi="Times New Roman"/>
                <w:sz w:val="18"/>
                <w:szCs w:val="18"/>
              </w:rPr>
              <w:t>1,</w:t>
            </w:r>
            <w:r>
              <w:rPr>
                <w:rFonts w:hint="eastAsia" w:ascii="Times New Roman" w:hAnsi="Times New Roman"/>
                <w:sz w:val="18"/>
                <w:szCs w:val="18"/>
              </w:rPr>
              <w:t xml:space="preserve"> </w:t>
            </w:r>
            <w:r>
              <w:rPr>
                <w:rFonts w:ascii="Times New Roman" w:hAnsi="Times New Roman"/>
                <w:sz w:val="18"/>
                <w:szCs w:val="18"/>
              </w:rPr>
              <w:t>0)到(1,</w:t>
            </w:r>
            <w:r>
              <w:rPr>
                <w:rFonts w:hint="eastAsia" w:ascii="Times New Roman" w:hAnsi="Times New Roman"/>
                <w:sz w:val="18"/>
                <w:szCs w:val="18"/>
              </w:rPr>
              <w:t xml:space="preserve"> </w:t>
            </w:r>
            <w:r>
              <w:rPr>
                <w:rFonts w:ascii="Times New Roman" w:hAnsi="Times New Roman"/>
                <w:sz w:val="18"/>
                <w:szCs w:val="18"/>
              </w:rPr>
              <w:t>0,</w:t>
            </w:r>
            <w:r>
              <w:rPr>
                <w:rFonts w:hint="eastAsia" w:ascii="Times New Roman" w:hAnsi="Times New Roman"/>
                <w:sz w:val="18"/>
                <w:szCs w:val="18"/>
              </w:rPr>
              <w:t xml:space="preserve"> </w:t>
            </w:r>
            <w:r>
              <w:rPr>
                <w:rFonts w:ascii="Times New Roman" w:hAnsi="Times New Roman"/>
                <w:sz w:val="18"/>
                <w:szCs w:val="18"/>
              </w:rPr>
              <w:t>1)</w:t>
            </w:r>
          </w:p>
        </w:tc>
        <w:tc>
          <w:tcPr>
            <w:tcW w:w="1703" w:type="dxa"/>
            <w:shd w:val="clear" w:color="auto" w:fill="auto"/>
            <w:vAlign w:val="center"/>
          </w:tcPr>
          <w:p w14:paraId="153F8CE0">
            <w:pPr>
              <w:spacing w:line="240" w:lineRule="auto"/>
              <w:jc w:val="center"/>
              <w:rPr>
                <w:rFonts w:ascii="Times New Roman" w:hAnsi="Times New Roman"/>
                <w:sz w:val="18"/>
                <w:szCs w:val="18"/>
              </w:rPr>
            </w:pPr>
            <w:r>
              <w:rPr>
                <w:rFonts w:ascii="Times New Roman" w:hAnsi="Times New Roman"/>
                <w:sz w:val="18"/>
                <w:szCs w:val="18"/>
              </w:rPr>
              <w:t>必需</w:t>
            </w:r>
          </w:p>
        </w:tc>
      </w:tr>
      <w:tr w14:paraId="122CAB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17" w:type="dxa"/>
            <w:shd w:val="clear" w:color="auto" w:fill="auto"/>
            <w:vAlign w:val="center"/>
          </w:tcPr>
          <w:p w14:paraId="6A18118A">
            <w:pPr>
              <w:spacing w:line="240" w:lineRule="auto"/>
              <w:jc w:val="center"/>
              <w:rPr>
                <w:rFonts w:ascii="Times New Roman" w:hAnsi="Times New Roman"/>
                <w:sz w:val="18"/>
                <w:szCs w:val="18"/>
              </w:rPr>
            </w:pPr>
            <w:r>
              <w:rPr>
                <w:rFonts w:ascii="Times New Roman" w:hAnsi="Times New Roman"/>
                <w:sz w:val="18"/>
                <w:szCs w:val="18"/>
              </w:rPr>
              <w:t>4</w:t>
            </w:r>
          </w:p>
        </w:tc>
        <w:tc>
          <w:tcPr>
            <w:tcW w:w="4928" w:type="dxa"/>
            <w:shd w:val="clear" w:color="auto" w:fill="auto"/>
            <w:vAlign w:val="center"/>
          </w:tcPr>
          <w:p w14:paraId="3865DB69">
            <w:pPr>
              <w:spacing w:line="240" w:lineRule="auto"/>
              <w:jc w:val="center"/>
              <w:rPr>
                <w:rFonts w:ascii="Times New Roman" w:hAnsi="Times New Roman"/>
                <w:sz w:val="18"/>
                <w:szCs w:val="18"/>
              </w:rPr>
            </w:pPr>
            <w:r>
              <w:rPr>
                <w:rFonts w:ascii="Times New Roman" w:hAnsi="Times New Roman"/>
                <w:sz w:val="18"/>
                <w:szCs w:val="18"/>
              </w:rPr>
              <w:t>沿测量空间对角线，从(0,</w:t>
            </w:r>
            <w:r>
              <w:rPr>
                <w:rFonts w:hint="eastAsia" w:ascii="Times New Roman" w:hAnsi="Times New Roman"/>
                <w:sz w:val="18"/>
                <w:szCs w:val="18"/>
              </w:rPr>
              <w:t xml:space="preserve"> </w:t>
            </w:r>
            <w:r>
              <w:rPr>
                <w:rFonts w:ascii="Times New Roman" w:hAnsi="Times New Roman"/>
                <w:sz w:val="18"/>
                <w:szCs w:val="18"/>
              </w:rPr>
              <w:t>0,</w:t>
            </w:r>
            <w:r>
              <w:rPr>
                <w:rFonts w:hint="eastAsia" w:ascii="Times New Roman" w:hAnsi="Times New Roman"/>
                <w:sz w:val="18"/>
                <w:szCs w:val="18"/>
              </w:rPr>
              <w:t xml:space="preserve"> </w:t>
            </w:r>
            <w:r>
              <w:rPr>
                <w:rFonts w:ascii="Times New Roman" w:hAnsi="Times New Roman"/>
                <w:sz w:val="18"/>
                <w:szCs w:val="18"/>
              </w:rPr>
              <w:t>0)到(1,</w:t>
            </w:r>
            <w:r>
              <w:rPr>
                <w:rFonts w:hint="eastAsia" w:ascii="Times New Roman" w:hAnsi="Times New Roman"/>
                <w:sz w:val="18"/>
                <w:szCs w:val="18"/>
              </w:rPr>
              <w:t xml:space="preserve"> </w:t>
            </w:r>
            <w:r>
              <w:rPr>
                <w:rFonts w:ascii="Times New Roman" w:hAnsi="Times New Roman"/>
                <w:sz w:val="18"/>
                <w:szCs w:val="18"/>
              </w:rPr>
              <w:t>1,</w:t>
            </w:r>
            <w:r>
              <w:rPr>
                <w:rFonts w:hint="eastAsia" w:ascii="Times New Roman" w:hAnsi="Times New Roman"/>
                <w:sz w:val="18"/>
                <w:szCs w:val="18"/>
              </w:rPr>
              <w:t xml:space="preserve"> </w:t>
            </w:r>
            <w:r>
              <w:rPr>
                <w:rFonts w:ascii="Times New Roman" w:hAnsi="Times New Roman"/>
                <w:sz w:val="18"/>
                <w:szCs w:val="18"/>
              </w:rPr>
              <w:t>1)</w:t>
            </w:r>
          </w:p>
        </w:tc>
        <w:tc>
          <w:tcPr>
            <w:tcW w:w="1703" w:type="dxa"/>
            <w:shd w:val="clear" w:color="auto" w:fill="auto"/>
            <w:vAlign w:val="center"/>
          </w:tcPr>
          <w:p w14:paraId="369F23C9">
            <w:pPr>
              <w:spacing w:line="240" w:lineRule="auto"/>
              <w:jc w:val="center"/>
              <w:rPr>
                <w:rFonts w:ascii="Times New Roman" w:hAnsi="Times New Roman"/>
                <w:sz w:val="18"/>
                <w:szCs w:val="18"/>
              </w:rPr>
            </w:pPr>
            <w:r>
              <w:rPr>
                <w:rFonts w:ascii="Times New Roman" w:hAnsi="Times New Roman"/>
                <w:sz w:val="18"/>
                <w:szCs w:val="18"/>
              </w:rPr>
              <w:t>必需</w:t>
            </w:r>
          </w:p>
        </w:tc>
      </w:tr>
      <w:tr w14:paraId="66BE1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17" w:type="dxa"/>
            <w:shd w:val="clear" w:color="auto" w:fill="auto"/>
            <w:vAlign w:val="center"/>
          </w:tcPr>
          <w:p w14:paraId="56B4047B">
            <w:pPr>
              <w:spacing w:line="240" w:lineRule="auto"/>
              <w:jc w:val="center"/>
              <w:rPr>
                <w:rFonts w:ascii="Times New Roman" w:hAnsi="Times New Roman"/>
                <w:sz w:val="18"/>
                <w:szCs w:val="18"/>
              </w:rPr>
            </w:pPr>
            <w:r>
              <w:rPr>
                <w:rFonts w:ascii="Times New Roman" w:hAnsi="Times New Roman"/>
                <w:sz w:val="18"/>
                <w:szCs w:val="18"/>
              </w:rPr>
              <w:t>5</w:t>
            </w:r>
          </w:p>
        </w:tc>
        <w:tc>
          <w:tcPr>
            <w:tcW w:w="4928" w:type="dxa"/>
            <w:shd w:val="clear" w:color="auto" w:fill="auto"/>
            <w:vAlign w:val="center"/>
          </w:tcPr>
          <w:p w14:paraId="531CD147">
            <w:pPr>
              <w:spacing w:line="240" w:lineRule="auto"/>
              <w:jc w:val="center"/>
              <w:rPr>
                <w:rFonts w:ascii="Times New Roman" w:hAnsi="Times New Roman"/>
                <w:sz w:val="18"/>
                <w:szCs w:val="18"/>
              </w:rPr>
            </w:pPr>
            <w:r>
              <w:rPr>
                <w:rFonts w:ascii="Times New Roman" w:hAnsi="Times New Roman"/>
                <w:sz w:val="18"/>
                <w:szCs w:val="18"/>
              </w:rPr>
              <w:t>平行于空间拼接测量范围的轴线，从(0,</w:t>
            </w:r>
            <w:r>
              <w:rPr>
                <w:rFonts w:hint="eastAsia" w:ascii="Times New Roman" w:hAnsi="Times New Roman"/>
                <w:sz w:val="18"/>
                <w:szCs w:val="18"/>
              </w:rPr>
              <w:t xml:space="preserve"> </w:t>
            </w:r>
            <w:r>
              <w:rPr>
                <w:rFonts w:ascii="Times New Roman" w:hAnsi="Times New Roman"/>
                <w:sz w:val="18"/>
                <w:szCs w:val="18"/>
              </w:rPr>
              <w:t>1/2,</w:t>
            </w:r>
            <w:r>
              <w:rPr>
                <w:rFonts w:hint="eastAsia" w:ascii="Times New Roman" w:hAnsi="Times New Roman"/>
                <w:sz w:val="18"/>
                <w:szCs w:val="18"/>
              </w:rPr>
              <w:t xml:space="preserve"> </w:t>
            </w:r>
            <w:r>
              <w:rPr>
                <w:rFonts w:ascii="Times New Roman" w:hAnsi="Times New Roman"/>
                <w:sz w:val="18"/>
                <w:szCs w:val="18"/>
              </w:rPr>
              <w:t>1/2)到(1,</w:t>
            </w:r>
            <w:r>
              <w:rPr>
                <w:rFonts w:hint="eastAsia" w:ascii="Times New Roman" w:hAnsi="Times New Roman"/>
                <w:sz w:val="18"/>
                <w:szCs w:val="18"/>
              </w:rPr>
              <w:t xml:space="preserve"> </w:t>
            </w:r>
            <w:r>
              <w:rPr>
                <w:rFonts w:ascii="Times New Roman" w:hAnsi="Times New Roman"/>
                <w:sz w:val="18"/>
                <w:szCs w:val="18"/>
              </w:rPr>
              <w:t>1/2,</w:t>
            </w:r>
            <w:r>
              <w:rPr>
                <w:rFonts w:hint="eastAsia" w:ascii="Times New Roman" w:hAnsi="Times New Roman"/>
                <w:sz w:val="18"/>
                <w:szCs w:val="18"/>
              </w:rPr>
              <w:t xml:space="preserve"> </w:t>
            </w:r>
            <w:r>
              <w:rPr>
                <w:rFonts w:ascii="Times New Roman" w:hAnsi="Times New Roman"/>
                <w:sz w:val="18"/>
                <w:szCs w:val="18"/>
              </w:rPr>
              <w:t>1/2)</w:t>
            </w:r>
          </w:p>
        </w:tc>
        <w:tc>
          <w:tcPr>
            <w:tcW w:w="1703" w:type="dxa"/>
            <w:shd w:val="clear" w:color="auto" w:fill="auto"/>
            <w:vAlign w:val="center"/>
          </w:tcPr>
          <w:p w14:paraId="13956E88">
            <w:pPr>
              <w:spacing w:line="240" w:lineRule="auto"/>
              <w:jc w:val="center"/>
              <w:rPr>
                <w:rFonts w:ascii="Times New Roman" w:hAnsi="Times New Roman"/>
                <w:sz w:val="18"/>
                <w:szCs w:val="18"/>
              </w:rPr>
            </w:pPr>
            <w:r>
              <w:rPr>
                <w:rFonts w:ascii="Times New Roman" w:hAnsi="Times New Roman"/>
                <w:sz w:val="18"/>
                <w:szCs w:val="18"/>
              </w:rPr>
              <w:t>默认</w:t>
            </w:r>
          </w:p>
        </w:tc>
      </w:tr>
      <w:tr w14:paraId="09E03C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17" w:type="dxa"/>
            <w:shd w:val="clear" w:color="auto" w:fill="auto"/>
            <w:vAlign w:val="center"/>
          </w:tcPr>
          <w:p w14:paraId="250A6263">
            <w:pPr>
              <w:spacing w:line="240" w:lineRule="auto"/>
              <w:jc w:val="center"/>
              <w:rPr>
                <w:rFonts w:ascii="Times New Roman" w:hAnsi="Times New Roman"/>
                <w:sz w:val="18"/>
                <w:szCs w:val="18"/>
              </w:rPr>
            </w:pPr>
            <w:r>
              <w:rPr>
                <w:rFonts w:ascii="Times New Roman" w:hAnsi="Times New Roman"/>
                <w:sz w:val="18"/>
                <w:szCs w:val="18"/>
              </w:rPr>
              <w:t>6</w:t>
            </w:r>
          </w:p>
        </w:tc>
        <w:tc>
          <w:tcPr>
            <w:tcW w:w="4928" w:type="dxa"/>
            <w:shd w:val="clear" w:color="auto" w:fill="auto"/>
            <w:vAlign w:val="center"/>
          </w:tcPr>
          <w:p w14:paraId="1A6D2B50">
            <w:pPr>
              <w:spacing w:line="240" w:lineRule="auto"/>
              <w:jc w:val="center"/>
              <w:rPr>
                <w:rFonts w:ascii="Times New Roman" w:hAnsi="Times New Roman"/>
                <w:sz w:val="18"/>
                <w:szCs w:val="18"/>
              </w:rPr>
            </w:pPr>
            <w:r>
              <w:rPr>
                <w:rFonts w:ascii="Times New Roman" w:hAnsi="Times New Roman"/>
                <w:sz w:val="18"/>
                <w:szCs w:val="18"/>
              </w:rPr>
              <w:t>平行于空间拼接测量范围的轴线，从(1/2,</w:t>
            </w:r>
            <w:r>
              <w:rPr>
                <w:rFonts w:hint="eastAsia" w:ascii="Times New Roman" w:hAnsi="Times New Roman"/>
                <w:sz w:val="18"/>
                <w:szCs w:val="18"/>
              </w:rPr>
              <w:t xml:space="preserve"> </w:t>
            </w:r>
            <w:r>
              <w:rPr>
                <w:rFonts w:ascii="Times New Roman" w:hAnsi="Times New Roman"/>
                <w:sz w:val="18"/>
                <w:szCs w:val="18"/>
              </w:rPr>
              <w:t>0,</w:t>
            </w:r>
            <w:r>
              <w:rPr>
                <w:rFonts w:hint="eastAsia" w:ascii="Times New Roman" w:hAnsi="Times New Roman"/>
                <w:sz w:val="18"/>
                <w:szCs w:val="18"/>
              </w:rPr>
              <w:t xml:space="preserve"> </w:t>
            </w:r>
            <w:r>
              <w:rPr>
                <w:rFonts w:ascii="Times New Roman" w:hAnsi="Times New Roman"/>
                <w:sz w:val="18"/>
                <w:szCs w:val="18"/>
              </w:rPr>
              <w:t>1/2)到(1/2,</w:t>
            </w:r>
            <w:r>
              <w:rPr>
                <w:rFonts w:hint="eastAsia" w:ascii="Times New Roman" w:hAnsi="Times New Roman"/>
                <w:sz w:val="18"/>
                <w:szCs w:val="18"/>
              </w:rPr>
              <w:t xml:space="preserve"> </w:t>
            </w:r>
            <w:r>
              <w:rPr>
                <w:rFonts w:ascii="Times New Roman" w:hAnsi="Times New Roman"/>
                <w:sz w:val="18"/>
                <w:szCs w:val="18"/>
              </w:rPr>
              <w:t>1,</w:t>
            </w:r>
            <w:r>
              <w:rPr>
                <w:rFonts w:hint="eastAsia" w:ascii="Times New Roman" w:hAnsi="Times New Roman"/>
                <w:sz w:val="18"/>
                <w:szCs w:val="18"/>
              </w:rPr>
              <w:t xml:space="preserve"> </w:t>
            </w:r>
            <w:r>
              <w:rPr>
                <w:rFonts w:ascii="Times New Roman" w:hAnsi="Times New Roman"/>
                <w:sz w:val="18"/>
                <w:szCs w:val="18"/>
              </w:rPr>
              <w:t>1/2)</w:t>
            </w:r>
          </w:p>
        </w:tc>
        <w:tc>
          <w:tcPr>
            <w:tcW w:w="1703" w:type="dxa"/>
            <w:shd w:val="clear" w:color="auto" w:fill="auto"/>
            <w:vAlign w:val="center"/>
          </w:tcPr>
          <w:p w14:paraId="69234A24">
            <w:pPr>
              <w:spacing w:line="240" w:lineRule="auto"/>
              <w:jc w:val="center"/>
              <w:rPr>
                <w:rFonts w:ascii="Times New Roman" w:hAnsi="Times New Roman"/>
                <w:sz w:val="18"/>
                <w:szCs w:val="18"/>
              </w:rPr>
            </w:pPr>
            <w:r>
              <w:rPr>
                <w:rFonts w:ascii="Times New Roman" w:hAnsi="Times New Roman"/>
                <w:sz w:val="18"/>
                <w:szCs w:val="18"/>
              </w:rPr>
              <w:t>默认</w:t>
            </w:r>
          </w:p>
        </w:tc>
      </w:tr>
      <w:tr w14:paraId="5E7F1E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17" w:type="dxa"/>
            <w:tcBorders>
              <w:bottom w:val="single" w:color="auto" w:sz="8" w:space="0"/>
            </w:tcBorders>
            <w:shd w:val="clear" w:color="auto" w:fill="auto"/>
            <w:vAlign w:val="center"/>
          </w:tcPr>
          <w:p w14:paraId="7A6F1A18">
            <w:pPr>
              <w:spacing w:line="240" w:lineRule="auto"/>
              <w:jc w:val="center"/>
              <w:rPr>
                <w:rFonts w:ascii="Times New Roman" w:hAnsi="Times New Roman"/>
                <w:sz w:val="18"/>
                <w:szCs w:val="18"/>
              </w:rPr>
            </w:pPr>
            <w:r>
              <w:rPr>
                <w:rFonts w:ascii="Times New Roman" w:hAnsi="Times New Roman"/>
                <w:sz w:val="18"/>
                <w:szCs w:val="18"/>
              </w:rPr>
              <w:t>7</w:t>
            </w:r>
          </w:p>
        </w:tc>
        <w:tc>
          <w:tcPr>
            <w:tcW w:w="4928" w:type="dxa"/>
            <w:tcBorders>
              <w:bottom w:val="single" w:color="auto" w:sz="8" w:space="0"/>
            </w:tcBorders>
            <w:shd w:val="clear" w:color="auto" w:fill="auto"/>
            <w:vAlign w:val="center"/>
          </w:tcPr>
          <w:p w14:paraId="13490AB3">
            <w:pPr>
              <w:spacing w:line="240" w:lineRule="auto"/>
              <w:jc w:val="center"/>
              <w:rPr>
                <w:rFonts w:ascii="Times New Roman" w:hAnsi="Times New Roman"/>
                <w:sz w:val="18"/>
                <w:szCs w:val="18"/>
              </w:rPr>
            </w:pPr>
            <w:r>
              <w:rPr>
                <w:rFonts w:ascii="Times New Roman" w:hAnsi="Times New Roman"/>
                <w:sz w:val="18"/>
                <w:szCs w:val="18"/>
              </w:rPr>
              <w:t>平行于空间拼接测量范围的轴线，从(1/2,</w:t>
            </w:r>
            <w:r>
              <w:rPr>
                <w:rFonts w:hint="eastAsia" w:ascii="Times New Roman" w:hAnsi="Times New Roman"/>
                <w:sz w:val="18"/>
                <w:szCs w:val="18"/>
              </w:rPr>
              <w:t xml:space="preserve"> </w:t>
            </w:r>
            <w:r>
              <w:rPr>
                <w:rFonts w:ascii="Times New Roman" w:hAnsi="Times New Roman"/>
                <w:sz w:val="18"/>
                <w:szCs w:val="18"/>
              </w:rPr>
              <w:t>1/2,</w:t>
            </w:r>
            <w:r>
              <w:rPr>
                <w:rFonts w:hint="eastAsia" w:ascii="Times New Roman" w:hAnsi="Times New Roman"/>
                <w:sz w:val="18"/>
                <w:szCs w:val="18"/>
              </w:rPr>
              <w:t xml:space="preserve"> </w:t>
            </w:r>
            <w:r>
              <w:rPr>
                <w:rFonts w:ascii="Times New Roman" w:hAnsi="Times New Roman"/>
                <w:sz w:val="18"/>
                <w:szCs w:val="18"/>
              </w:rPr>
              <w:t>0)到(1/2,</w:t>
            </w:r>
            <w:r>
              <w:rPr>
                <w:rFonts w:hint="eastAsia" w:ascii="Times New Roman" w:hAnsi="Times New Roman"/>
                <w:sz w:val="18"/>
                <w:szCs w:val="18"/>
              </w:rPr>
              <w:t xml:space="preserve"> </w:t>
            </w:r>
            <w:r>
              <w:rPr>
                <w:rFonts w:ascii="Times New Roman" w:hAnsi="Times New Roman"/>
                <w:sz w:val="18"/>
                <w:szCs w:val="18"/>
              </w:rPr>
              <w:t>1/2,</w:t>
            </w:r>
            <w:r>
              <w:rPr>
                <w:rFonts w:hint="eastAsia" w:ascii="Times New Roman" w:hAnsi="Times New Roman"/>
                <w:sz w:val="18"/>
                <w:szCs w:val="18"/>
              </w:rPr>
              <w:t xml:space="preserve"> </w:t>
            </w:r>
            <w:r>
              <w:rPr>
                <w:rFonts w:ascii="Times New Roman" w:hAnsi="Times New Roman"/>
                <w:sz w:val="18"/>
                <w:szCs w:val="18"/>
              </w:rPr>
              <w:t>1)</w:t>
            </w:r>
          </w:p>
        </w:tc>
        <w:tc>
          <w:tcPr>
            <w:tcW w:w="1703" w:type="dxa"/>
            <w:tcBorders>
              <w:bottom w:val="single" w:color="auto" w:sz="8" w:space="0"/>
            </w:tcBorders>
            <w:shd w:val="clear" w:color="auto" w:fill="auto"/>
            <w:vAlign w:val="center"/>
          </w:tcPr>
          <w:p w14:paraId="742C31CB">
            <w:pPr>
              <w:spacing w:line="240" w:lineRule="auto"/>
              <w:jc w:val="center"/>
              <w:rPr>
                <w:rFonts w:ascii="Times New Roman" w:hAnsi="Times New Roman"/>
                <w:sz w:val="18"/>
                <w:szCs w:val="18"/>
              </w:rPr>
            </w:pPr>
            <w:r>
              <w:rPr>
                <w:rFonts w:ascii="Times New Roman" w:hAnsi="Times New Roman"/>
                <w:sz w:val="18"/>
                <w:szCs w:val="18"/>
              </w:rPr>
              <w:t>默认</w:t>
            </w:r>
          </w:p>
        </w:tc>
      </w:tr>
    </w:tbl>
    <w:p w14:paraId="4DC1E1C0">
      <w:pPr>
        <w:pStyle w:val="179"/>
        <w:rPr>
          <w:rFonts w:ascii="Times New Roman"/>
        </w:rPr>
      </w:pPr>
      <w:r>
        <w:rPr>
          <w:rFonts w:ascii="Times New Roman"/>
        </w:rPr>
        <w:t>表中参数基于假设大尺寸拼接测量系统空间测量范围的对角坐标假设为(0,</w:t>
      </w:r>
      <w:r>
        <w:rPr>
          <w:rFonts w:hint="eastAsia" w:ascii="Times New Roman"/>
        </w:rPr>
        <w:t xml:space="preserve"> </w:t>
      </w:r>
      <w:r>
        <w:rPr>
          <w:rFonts w:ascii="Times New Roman"/>
        </w:rPr>
        <w:t>0,</w:t>
      </w:r>
      <w:r>
        <w:rPr>
          <w:rFonts w:hint="eastAsia" w:ascii="Times New Roman"/>
        </w:rPr>
        <w:t xml:space="preserve"> </w:t>
      </w:r>
      <w:r>
        <w:rPr>
          <w:rFonts w:ascii="Times New Roman"/>
        </w:rPr>
        <w:t>0)和(1,</w:t>
      </w:r>
      <w:r>
        <w:rPr>
          <w:rFonts w:hint="eastAsia" w:ascii="Times New Roman"/>
        </w:rPr>
        <w:t xml:space="preserve"> </w:t>
      </w:r>
      <w:r>
        <w:rPr>
          <w:rFonts w:ascii="Times New Roman"/>
        </w:rPr>
        <w:t>1,</w:t>
      </w:r>
      <w:r>
        <w:rPr>
          <w:rFonts w:hint="eastAsia" w:ascii="Times New Roman"/>
        </w:rPr>
        <w:t xml:space="preserve"> </w:t>
      </w:r>
      <w:r>
        <w:rPr>
          <w:rFonts w:ascii="Times New Roman"/>
        </w:rPr>
        <w:t>1)。</w:t>
      </w:r>
    </w:p>
    <w:p w14:paraId="21FE6702">
      <w:pPr>
        <w:pStyle w:val="182"/>
        <w:ind w:firstLine="360"/>
        <w:jc w:val="center"/>
        <w:rPr>
          <w:rFonts w:ascii="Times New Roman"/>
        </w:rPr>
      </w:pPr>
      <w:r>
        <w:drawing>
          <wp:inline distT="0" distB="0" distL="114300" distR="114300">
            <wp:extent cx="3397250" cy="1742440"/>
            <wp:effectExtent l="0" t="0" r="0" b="0"/>
            <wp:docPr id="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7"/>
                    <pic:cNvPicPr>
                      <a:picLocks noChangeAspect="1"/>
                    </pic:cNvPicPr>
                  </pic:nvPicPr>
                  <pic:blipFill>
                    <a:blip r:embed="rId38"/>
                    <a:stretch>
                      <a:fillRect/>
                    </a:stretch>
                  </pic:blipFill>
                  <pic:spPr>
                    <a:xfrm>
                      <a:off x="0" y="0"/>
                      <a:ext cx="3419935" cy="1754465"/>
                    </a:xfrm>
                    <a:prstGeom prst="rect">
                      <a:avLst/>
                    </a:prstGeom>
                    <a:noFill/>
                    <a:ln>
                      <a:noFill/>
                    </a:ln>
                  </pic:spPr>
                </pic:pic>
              </a:graphicData>
            </a:graphic>
          </wp:inline>
        </w:drawing>
      </w:r>
    </w:p>
    <w:p w14:paraId="37C26C8D">
      <w:pPr>
        <w:pStyle w:val="182"/>
        <w:ind w:firstLine="360"/>
        <w:rPr>
          <w:rFonts w:ascii="Times New Roman"/>
        </w:rPr>
      </w:pPr>
      <w:r>
        <w:rPr>
          <w:rFonts w:ascii="Times New Roman"/>
        </w:rPr>
        <w:t>1 沿测量空间的体对角线方向布置（1、2、3和4），每个方向均匀布置4个球面靶标，长度不小于体对角线的80%；</w:t>
      </w:r>
    </w:p>
    <w:p w14:paraId="38CB393C">
      <w:pPr>
        <w:pStyle w:val="182"/>
        <w:ind w:firstLine="360"/>
        <w:rPr>
          <w:rFonts w:ascii="Times New Roman"/>
        </w:rPr>
      </w:pPr>
      <w:r>
        <w:rPr>
          <w:rFonts w:ascii="Times New Roman"/>
        </w:rPr>
        <w:t>2 沿测量空间边的平行方向布置（5、6和7），每个方向均匀布置4个球面靶标，长度不小于边的80%。</w:t>
      </w:r>
    </w:p>
    <w:p w14:paraId="675F8EBB">
      <w:pPr>
        <w:pStyle w:val="114"/>
        <w:spacing w:before="120" w:after="120"/>
      </w:pPr>
      <w:r>
        <w:rPr>
          <w:rFonts w:hint="eastAsia"/>
        </w:rPr>
        <w:t>球面靶标的推荐排列</w:t>
      </w:r>
    </w:p>
    <w:p w14:paraId="57F39744">
      <w:pPr>
        <w:pStyle w:val="56"/>
        <w:autoSpaceDE/>
        <w:autoSpaceDN/>
        <w:ind w:firstLine="420"/>
        <w:rPr>
          <w:rFonts w:ascii="Times New Roman"/>
        </w:rPr>
      </w:pPr>
      <w:r>
        <w:rPr>
          <w:rFonts w:ascii="Times New Roman"/>
        </w:rPr>
        <w:t>拼接测量得到每个球面靶标表面三维点云，用定半径拟合法，拟合所有球心位置，每个方位上分别取靠近测量空间边缘的一对球面靶标和靠近测量空间中心的一对球面靶标计算出2组球心距。在7个方位上，共计算出</w:t>
      </w:r>
      <w:r>
        <w:rPr>
          <w:rFonts w:ascii="Times New Roman"/>
          <w:i/>
          <w:iCs/>
        </w:rPr>
        <w:t>n=</w:t>
      </w:r>
      <w:r>
        <w:rPr>
          <w:rFonts w:ascii="Times New Roman"/>
        </w:rPr>
        <w:t>14组球心距。以激光跟踪仪测得的球心距</w:t>
      </w:r>
      <w:r>
        <w:rPr>
          <w:rFonts w:ascii="Times New Roman"/>
          <w:position w:val="-12"/>
        </w:rPr>
        <w:object>
          <v:shape id="_x0000_i1036" o:spt="75" type="#_x0000_t75" style="height:17.1pt;width:22.15pt;" o:ole="t" filled="f" o:preferrelative="t" stroked="f" coordsize="21600,21600">
            <v:path/>
            <v:fill on="f" focussize="0,0"/>
            <v:stroke on="f" joinstyle="miter"/>
            <v:imagedata r:id="rId40" o:title=""/>
            <o:lock v:ext="edit" aspectratio="t"/>
            <w10:wrap type="none"/>
            <w10:anchorlock/>
          </v:shape>
          <o:OLEObject Type="Embed" ProgID="Equation.DSMT4" ShapeID="_x0000_i1036" DrawAspect="Content" ObjectID="_1468075736" r:id="rId39">
            <o:LockedField>false</o:LockedField>
          </o:OLEObject>
        </w:object>
      </w:r>
      <w:r>
        <w:rPr>
          <w:rFonts w:ascii="Times New Roman"/>
        </w:rPr>
        <w:t>为参考，球心距示值误差</w:t>
      </w:r>
      <w:r>
        <w:rPr>
          <w:rFonts w:ascii="Times New Roman"/>
          <w:position w:val="-10"/>
        </w:rPr>
        <w:object>
          <v:shape id="_x0000_i1037" o:spt="75" type="#_x0000_t75" style="height:15.25pt;width:22.6pt;" o:ole="t" filled="f" o:preferrelative="t" stroked="f" coordsize="21600,21600">
            <v:path/>
            <v:fill on="f" focussize="0,0"/>
            <v:stroke on="f" joinstyle="miter"/>
            <v:imagedata r:id="rId42" o:title=""/>
            <o:lock v:ext="edit" aspectratio="t"/>
            <w10:wrap type="none"/>
            <w10:anchorlock/>
          </v:shape>
          <o:OLEObject Type="Embed" ProgID="Equation.DSMT4" ShapeID="_x0000_i1037" DrawAspect="Content" ObjectID="_1468075737" r:id="rId41">
            <o:LockedField>false</o:LockedField>
          </o:OLEObject>
        </w:object>
      </w:r>
      <w:r>
        <w:rPr>
          <w:rFonts w:ascii="Times New Roman"/>
        </w:rPr>
        <w:t>是测量值</w:t>
      </w:r>
      <w:r>
        <w:rPr>
          <w:rFonts w:ascii="Times New Roman"/>
          <w:position w:val="-12"/>
        </w:rPr>
        <w:object>
          <v:shape id="_x0000_i1038" o:spt="75" type="#_x0000_t75" style="height:17.1pt;width:26.75pt;" o:ole="t" filled="f" o:preferrelative="t" stroked="f" coordsize="21600,21600">
            <v:path/>
            <v:fill on="f" focussize="0,0"/>
            <v:stroke on="f" joinstyle="miter"/>
            <v:imagedata r:id="rId44" o:title=""/>
            <o:lock v:ext="edit" aspectratio="t"/>
            <w10:wrap type="none"/>
            <w10:anchorlock/>
          </v:shape>
          <o:OLEObject Type="Embed" ProgID="Equation.DSMT4" ShapeID="_x0000_i1038" DrawAspect="Content" ObjectID="_1468075738" r:id="rId43">
            <o:LockedField>false</o:LockedField>
          </o:OLEObject>
        </w:object>
      </w:r>
      <w:r>
        <w:rPr>
          <w:rFonts w:ascii="Times New Roman"/>
        </w:rPr>
        <w:t>与参考值</w:t>
      </w:r>
      <w:r>
        <w:rPr>
          <w:rFonts w:ascii="Times New Roman"/>
          <w:position w:val="-12"/>
        </w:rPr>
        <w:object>
          <v:shape id="_x0000_i1039" o:spt="75" type="#_x0000_t75" style="height:17.1pt;width:22.15pt;" o:ole="t" filled="f" o:preferrelative="t" stroked="f" coordsize="21600,21600">
            <v:path/>
            <v:fill on="f" focussize="0,0"/>
            <v:stroke on="f" joinstyle="miter"/>
            <v:imagedata r:id="rId25" o:title=""/>
            <o:lock v:ext="edit" aspectratio="t"/>
            <w10:wrap type="none"/>
            <w10:anchorlock/>
          </v:shape>
          <o:OLEObject Type="Embed" ProgID="Equation.DSMT4" ShapeID="_x0000_i1039" DrawAspect="Content" ObjectID="_1468075739" r:id="rId45">
            <o:LockedField>false</o:LockedField>
          </o:OLEObject>
        </w:object>
      </w:r>
      <w:r>
        <w:rPr>
          <w:rFonts w:ascii="Times New Roman"/>
        </w:rPr>
        <w:t>之差。</w:t>
      </w:r>
    </w:p>
    <w:p w14:paraId="36FEE4CB">
      <w:pPr>
        <w:pStyle w:val="113"/>
        <w:rPr>
          <w:rFonts w:hint="eastAsia"/>
        </w:rPr>
      </w:pPr>
      <w:r>
        <w:tab/>
      </w:r>
      <w:r>
        <w:rPr>
          <w:position w:val="-12"/>
        </w:rPr>
        <w:object>
          <v:shape id="_x0000_i1040" o:spt="75" type="#_x0000_t75" style="height:17.1pt;width:89.55pt;" o:ole="t" filled="f" o:preferrelative="t" stroked="f" coordsize="21600,21600">
            <v:path/>
            <v:fill on="f" focussize="0,0"/>
            <v:stroke on="f" joinstyle="miter"/>
            <v:imagedata r:id="rId47" o:title=""/>
            <o:lock v:ext="edit" aspectratio="t"/>
            <w10:wrap type="none"/>
            <w10:anchorlock/>
          </v:shape>
          <o:OLEObject Type="Embed" ProgID="Equation.DSMT4" ShapeID="_x0000_i1040" DrawAspect="Content" ObjectID="_1468075740" r:id="rId46">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6B9C1875">
      <w:pPr>
        <w:pStyle w:val="55"/>
        <w:ind w:firstLine="420"/>
      </w:pPr>
      <w:r>
        <w:rPr>
          <w:rFonts w:hint="eastAsia"/>
        </w:rPr>
        <w:t>取最大值作为球心距示值误差</w:t>
      </w:r>
      <w:r>
        <w:rPr>
          <w:position w:val="-10"/>
        </w:rPr>
        <w:object>
          <v:shape id="_x0000_i1041" o:spt="75" type="#_x0000_t75" style="height:15.25pt;width:18.45pt;" o:ole="t" filled="f" o:preferrelative="t" stroked="f" coordsize="21600,21600">
            <v:path/>
            <v:fill on="f" focussize="0,0"/>
            <v:stroke on="f" joinstyle="miter"/>
            <v:imagedata r:id="rId49" o:title=""/>
            <o:lock v:ext="edit" aspectratio="t"/>
            <w10:wrap type="none"/>
            <w10:anchorlock/>
          </v:shape>
          <o:OLEObject Type="Embed" ProgID="Equation.DSMT4" ShapeID="_x0000_i1041" DrawAspect="Content" ObjectID="_1468075741" r:id="rId48">
            <o:LockedField>false</o:LockedField>
          </o:OLEObject>
        </w:object>
      </w:r>
      <w:r>
        <w:rPr>
          <w:rFonts w:hint="eastAsia"/>
        </w:rPr>
        <w:t>的测量结果：</w:t>
      </w:r>
    </w:p>
    <w:p w14:paraId="5E63431A">
      <w:pPr>
        <w:pStyle w:val="113"/>
        <w:rPr>
          <w:rFonts w:hint="eastAsia"/>
        </w:rPr>
      </w:pPr>
      <w:r>
        <w:tab/>
      </w:r>
      <w:r>
        <w:rPr>
          <w:position w:val="-14"/>
        </w:rPr>
        <w:object>
          <v:shape id="_x0000_i1042" o:spt="75" type="#_x0000_t75" style="height:20.75pt;width:91.85pt;" o:ole="t" filled="f" o:preferrelative="t" stroked="f" coordsize="21600,21600">
            <v:path/>
            <v:fill on="f" focussize="0,0"/>
            <v:stroke on="f" joinstyle="miter"/>
            <v:imagedata r:id="rId51" o:title=""/>
            <o:lock v:ext="edit" aspectratio="t"/>
            <w10:wrap type="none"/>
            <w10:anchorlock/>
          </v:shape>
          <o:OLEObject Type="Embed" ProgID="Equation.DSMT4" ShapeID="_x0000_i1042" DrawAspect="Content" ObjectID="_1468075742" r:id="rId50">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21122D5D">
      <w:pPr>
        <w:pStyle w:val="55"/>
        <w:ind w:firstLine="420"/>
      </w:pPr>
      <w:r>
        <w:rPr>
          <w:rFonts w:hint="eastAsia"/>
        </w:rPr>
        <w:t>式中：</w:t>
      </w:r>
    </w:p>
    <w:p w14:paraId="2D072B8A">
      <w:pPr>
        <w:spacing w:line="240" w:lineRule="auto"/>
        <w:ind w:firstLine="420" w:firstLineChars="200"/>
        <w:rPr>
          <w:rFonts w:ascii="Times New Roman" w:hAnsi="Times New Roman"/>
        </w:rPr>
      </w:pPr>
      <w:r>
        <w:rPr>
          <w:rFonts w:ascii="Times New Roman" w:hAnsi="Times New Roman"/>
          <w:i/>
          <w:iCs/>
        </w:rPr>
        <w:t>i——</w:t>
      </w:r>
      <w:r>
        <w:rPr>
          <w:rFonts w:ascii="Times New Roman" w:hAnsi="Times New Roman"/>
        </w:rPr>
        <w:t>位置的序号，</w:t>
      </w:r>
      <w:r>
        <w:rPr>
          <w:rFonts w:ascii="Times New Roman" w:hAnsi="Times New Roman"/>
          <w:position w:val="-8"/>
        </w:rPr>
        <w:object>
          <v:shape id="_x0000_i1043" o:spt="75" type="#_x0000_t75" style="height:12.9pt;width:49.4pt;" o:ole="t" filled="f" o:preferrelative="t" stroked="f" coordsize="21600,21600">
            <v:path/>
            <v:fill on="f" focussize="0,0"/>
            <v:stroke on="f" joinstyle="miter"/>
            <v:imagedata r:id="rId53" o:title=""/>
            <o:lock v:ext="edit" aspectratio="t"/>
            <w10:wrap type="none"/>
            <w10:anchorlock/>
          </v:shape>
          <o:OLEObject Type="Embed" ProgID="Equation.DSMT4" ShapeID="_x0000_i1043" DrawAspect="Content" ObjectID="_1468075743" r:id="rId52">
            <o:LockedField>false</o:LockedField>
          </o:OLEObject>
        </w:object>
      </w:r>
      <w:r>
        <w:rPr>
          <w:rFonts w:ascii="Times New Roman" w:hAnsi="Times New Roman"/>
        </w:rPr>
        <w:t>。</w:t>
      </w:r>
    </w:p>
    <w:p w14:paraId="184E678C">
      <w:pPr>
        <w:spacing w:line="240" w:lineRule="auto"/>
        <w:ind w:firstLine="420" w:firstLineChars="200"/>
        <w:rPr>
          <w:rFonts w:ascii="Times New Roman" w:hAnsi="Times New Roman"/>
        </w:rPr>
      </w:pPr>
      <w:r>
        <w:rPr>
          <w:rFonts w:hint="eastAsia" w:ascii="Times New Roman" w:hAnsi="Times New Roman"/>
        </w:rPr>
        <w:t>用于大尺寸拼接测量的三维测量系统的测量精度由</w:t>
      </w:r>
      <w:r>
        <w:rPr>
          <w:rFonts w:hint="eastAsia"/>
        </w:rPr>
        <w:t>球心距测量示值误差</w:t>
      </w:r>
      <w:r>
        <w:rPr>
          <w:position w:val="-10"/>
        </w:rPr>
        <w:object>
          <v:shape id="_x0000_i1044" o:spt="75" type="#_x0000_t75" style="height:16.15pt;width:20.75pt;" o:ole="t" filled="f" o:preferrelative="t" stroked="f" coordsize="21600,21600">
            <v:path/>
            <v:fill on="f" focussize="0,0"/>
            <v:stroke on="f" joinstyle="miter"/>
            <v:imagedata r:id="rId55" o:title=""/>
            <o:lock v:ext="edit" aspectratio="t"/>
            <w10:wrap type="none"/>
            <w10:anchorlock/>
          </v:shape>
          <o:OLEObject Type="Embed" ProgID="Equation.DSMT4" ShapeID="_x0000_i1044" DrawAspect="Content" ObjectID="_1468075744" r:id="rId54">
            <o:LockedField>false</o:LockedField>
          </o:OLEObject>
        </w:object>
      </w:r>
      <w:r>
        <w:rPr>
          <w:rFonts w:hint="eastAsia"/>
        </w:rPr>
        <w:t>表征。</w:t>
      </w:r>
    </w:p>
    <w:p w14:paraId="2EB54F41">
      <w:pPr>
        <w:pStyle w:val="105"/>
        <w:spacing w:before="120" w:after="120"/>
      </w:pPr>
      <w:bookmarkStart w:id="81" w:name="_Toc196060556"/>
      <w:bookmarkStart w:id="82" w:name="_Toc196145316"/>
      <w:r>
        <w:rPr>
          <w:rFonts w:hint="eastAsia"/>
        </w:rPr>
        <w:t>校准装置</w:t>
      </w:r>
      <w:bookmarkEnd w:id="81"/>
      <w:bookmarkEnd w:id="82"/>
    </w:p>
    <w:p w14:paraId="4B550ECF">
      <w:pPr>
        <w:pStyle w:val="56"/>
        <w:autoSpaceDE/>
        <w:autoSpaceDN/>
        <w:ind w:firstLine="420"/>
      </w:pPr>
      <w:r>
        <w:rPr>
          <w:rFonts w:hint="eastAsia"/>
        </w:rPr>
        <w:t>在测量空间内</w:t>
      </w:r>
      <w:r>
        <w:rPr>
          <w:rFonts w:ascii="Times New Roman"/>
        </w:rPr>
        <w:t>布置28个球面靶标</w:t>
      </w:r>
      <w:r>
        <w:rPr>
          <w:rFonts w:hint="eastAsia" w:ascii="Times New Roman"/>
        </w:rPr>
        <w:t>，</w:t>
      </w:r>
      <w:r>
        <w:rPr>
          <w:rFonts w:hint="eastAsia"/>
        </w:rPr>
        <w:t>球面靶标分布范围至少能够覆盖标称测量空间每条边长的80%。使用激光跟踪仪测得的球面靶标</w:t>
      </w:r>
      <w:r>
        <w:rPr>
          <w:rFonts w:ascii="Times New Roman"/>
        </w:rPr>
        <w:t>球心</w:t>
      </w:r>
      <w:r>
        <w:rPr>
          <w:rFonts w:hint="eastAsia"/>
        </w:rPr>
        <w:t>坐标作为校准用参考。</w:t>
      </w:r>
      <w:r>
        <w:rPr>
          <w:rFonts w:ascii="Times New Roman"/>
        </w:rPr>
        <w:t>球面靶标球心与光学中心之间</w:t>
      </w:r>
      <w:r>
        <w:rPr>
          <w:rFonts w:hint="eastAsia" w:ascii="Times New Roman"/>
        </w:rPr>
        <w:t>的</w:t>
      </w:r>
      <w:r>
        <w:rPr>
          <w:rFonts w:ascii="Times New Roman"/>
        </w:rPr>
        <w:t>误差</w:t>
      </w:r>
      <w:r>
        <w:rPr>
          <w:rFonts w:hint="eastAsia" w:ascii="Times New Roman"/>
        </w:rPr>
        <w:t>不大于</w:t>
      </w:r>
      <w:r>
        <w:rPr>
          <w:rFonts w:ascii="Times New Roman"/>
        </w:rPr>
        <w:t>0.00</w:t>
      </w:r>
      <w:r>
        <w:rPr>
          <w:rFonts w:hint="eastAsia" w:ascii="Times New Roman"/>
        </w:rPr>
        <w:t>3</w:t>
      </w:r>
      <w:r>
        <w:rPr>
          <w:rFonts w:ascii="Times New Roman"/>
        </w:rPr>
        <w:t> mm</w:t>
      </w:r>
      <w:r>
        <w:rPr>
          <w:rFonts w:hint="eastAsia" w:ascii="Times New Roman"/>
        </w:rPr>
        <w:t>。</w:t>
      </w:r>
    </w:p>
    <w:p w14:paraId="41E47E6C">
      <w:pPr>
        <w:pStyle w:val="105"/>
        <w:spacing w:before="120" w:after="120"/>
      </w:pPr>
      <w:bookmarkStart w:id="83" w:name="_Toc196060557"/>
      <w:bookmarkStart w:id="84" w:name="_Toc196145317"/>
      <w:r>
        <w:rPr>
          <w:rFonts w:hint="eastAsia"/>
        </w:rPr>
        <w:t>校准条件</w:t>
      </w:r>
      <w:bookmarkEnd w:id="83"/>
      <w:bookmarkEnd w:id="84"/>
    </w:p>
    <w:p w14:paraId="4642DEAD">
      <w:pPr>
        <w:pStyle w:val="65"/>
        <w:spacing w:before="120" w:after="120"/>
      </w:pPr>
      <w:r>
        <w:rPr>
          <w:rFonts w:hint="eastAsia"/>
        </w:rPr>
        <w:t>环境条件</w:t>
      </w:r>
    </w:p>
    <w:p w14:paraId="0E655A7C">
      <w:pPr>
        <w:pStyle w:val="56"/>
        <w:ind w:firstLine="420"/>
      </w:pPr>
      <w:r>
        <w:rPr>
          <w:rFonts w:hint="eastAsia"/>
        </w:rPr>
        <w:t>环境条件，包括环境的振动，背景光、环境温度及其均匀性、变化率等，应在不确定度评定中进行考虑。同时，不应有影响测量的其他环境因素。</w:t>
      </w:r>
    </w:p>
    <w:p w14:paraId="614CED09">
      <w:pPr>
        <w:pStyle w:val="65"/>
        <w:spacing w:before="120" w:after="120"/>
      </w:pPr>
      <w:r>
        <w:rPr>
          <w:rFonts w:hint="eastAsia"/>
        </w:rPr>
        <w:t>校准用软件</w:t>
      </w:r>
    </w:p>
    <w:p w14:paraId="5F2E4FA1">
      <w:pPr>
        <w:pStyle w:val="174"/>
        <w:numPr>
          <w:ilvl w:val="0"/>
          <w:numId w:val="34"/>
        </w:numPr>
      </w:pPr>
      <w:r>
        <w:rPr>
          <w:rFonts w:hint="eastAsia"/>
        </w:rPr>
        <w:t>校准过程中应使用设备的配套（数据采集和数据处理）软件。</w:t>
      </w:r>
    </w:p>
    <w:p w14:paraId="0EB1B9C5">
      <w:pPr>
        <w:pStyle w:val="174"/>
        <w:numPr>
          <w:ilvl w:val="0"/>
          <w:numId w:val="34"/>
        </w:numPr>
      </w:pPr>
      <w:r>
        <w:rPr>
          <w:rFonts w:hint="eastAsia"/>
        </w:rPr>
        <w:t>设定图像采集处理的点间距、快门时间、稀疏点云参数、剔除率、拟合算法等。</w:t>
      </w:r>
    </w:p>
    <w:p w14:paraId="53306BB8">
      <w:pPr>
        <w:pStyle w:val="179"/>
      </w:pPr>
    </w:p>
    <w:p w14:paraId="03A151AE">
      <w:pPr>
        <w:pStyle w:val="109"/>
        <w:numPr>
          <w:ilvl w:val="1"/>
          <w:numId w:val="35"/>
        </w:numPr>
      </w:pPr>
      <w:r>
        <w:rPr>
          <w:rFonts w:hint="eastAsia"/>
        </w:rPr>
        <w:t>需要稀疏点云时，应按照使用说明书进行。如果制造商未规定这些参数，则不考虑稀疏点云。</w:t>
      </w:r>
    </w:p>
    <w:p w14:paraId="5EC73FE6">
      <w:pPr>
        <w:pStyle w:val="109"/>
        <w:numPr>
          <w:ilvl w:val="1"/>
          <w:numId w:val="35"/>
        </w:numPr>
      </w:pPr>
      <w:r>
        <w:rPr>
          <w:rFonts w:hint="eastAsia"/>
        </w:rPr>
        <w:t>剔除率设定为</w:t>
      </w:r>
      <w:r>
        <w:rPr>
          <w:rFonts w:ascii="Times New Roman"/>
        </w:rPr>
        <w:t>0.3%。</w:t>
      </w:r>
    </w:p>
    <w:p w14:paraId="1CEB4388">
      <w:pPr>
        <w:pStyle w:val="109"/>
        <w:numPr>
          <w:ilvl w:val="1"/>
          <w:numId w:val="35"/>
        </w:numPr>
      </w:pPr>
      <w:r>
        <w:rPr>
          <w:rFonts w:hint="eastAsia"/>
        </w:rPr>
        <w:t>除厂商明确规定外，拟合算法推荐采用最小二乘法。</w:t>
      </w:r>
    </w:p>
    <w:p w14:paraId="31C0F033">
      <w:pPr>
        <w:pStyle w:val="105"/>
        <w:spacing w:before="120" w:after="120"/>
      </w:pPr>
      <w:bookmarkStart w:id="85" w:name="_Toc196145318"/>
      <w:bookmarkStart w:id="86" w:name="_Toc196060558"/>
      <w:r>
        <w:rPr>
          <w:rFonts w:hint="eastAsia"/>
        </w:rPr>
        <w:t>校准方法</w:t>
      </w:r>
      <w:bookmarkEnd w:id="85"/>
      <w:bookmarkEnd w:id="86"/>
    </w:p>
    <w:p w14:paraId="401BD296">
      <w:pPr>
        <w:pStyle w:val="65"/>
        <w:spacing w:before="120" w:after="120"/>
      </w:pPr>
      <w:r>
        <w:rPr>
          <w:rFonts w:hint="eastAsia"/>
        </w:rPr>
        <w:t>校准前准备</w:t>
      </w:r>
    </w:p>
    <w:p w14:paraId="066AA47B">
      <w:pPr>
        <w:pStyle w:val="56"/>
        <w:ind w:firstLine="420"/>
      </w:pPr>
      <w:r>
        <w:rPr>
          <w:rFonts w:hint="eastAsia"/>
        </w:rPr>
        <w:t>校准前作如下准备：</w:t>
      </w:r>
    </w:p>
    <w:p w14:paraId="0451D36A">
      <w:pPr>
        <w:pStyle w:val="56"/>
        <w:numPr>
          <w:ilvl w:val="0"/>
          <w:numId w:val="36"/>
        </w:numPr>
        <w:ind w:firstLineChars="0"/>
      </w:pPr>
      <w:r>
        <w:rPr>
          <w:rFonts w:hint="eastAsia"/>
        </w:rPr>
        <w:t>清洁结构光三维测量系统和标准器，不应有影响校准操作的多余物；</w:t>
      </w:r>
    </w:p>
    <w:p w14:paraId="522842D4">
      <w:pPr>
        <w:pStyle w:val="56"/>
        <w:numPr>
          <w:ilvl w:val="0"/>
          <w:numId w:val="36"/>
        </w:numPr>
        <w:ind w:firstLineChars="0"/>
      </w:pPr>
      <w:r>
        <w:rPr>
          <w:rFonts w:hint="eastAsia"/>
        </w:rPr>
        <w:t>结构光三维测量系统的配置与安装；</w:t>
      </w:r>
    </w:p>
    <w:p w14:paraId="6D989721">
      <w:pPr>
        <w:pStyle w:val="56"/>
        <w:numPr>
          <w:ilvl w:val="0"/>
          <w:numId w:val="36"/>
        </w:numPr>
        <w:ind w:firstLineChars="0"/>
      </w:pPr>
      <w:r>
        <w:rPr>
          <w:rFonts w:hint="eastAsia"/>
        </w:rPr>
        <w:t>对操作模式进行设置，包括照明的类型和亮度、测量范围、系统用传感器的类型、数量和分布等；</w:t>
      </w:r>
    </w:p>
    <w:p w14:paraId="11EABE35">
      <w:pPr>
        <w:pStyle w:val="56"/>
        <w:numPr>
          <w:ilvl w:val="0"/>
          <w:numId w:val="36"/>
        </w:numPr>
        <w:ind w:firstLineChars="0"/>
      </w:pPr>
      <w:r>
        <w:rPr>
          <w:rFonts w:hint="eastAsia"/>
        </w:rPr>
        <w:t>结构光三维测量系统标定；</w:t>
      </w:r>
    </w:p>
    <w:p w14:paraId="7B63E1E0">
      <w:pPr>
        <w:pStyle w:val="56"/>
        <w:numPr>
          <w:ilvl w:val="0"/>
          <w:numId w:val="36"/>
        </w:numPr>
        <w:ind w:firstLineChars="0"/>
      </w:pPr>
      <w:r>
        <w:rPr>
          <w:rFonts w:hint="eastAsia"/>
        </w:rPr>
        <w:t>将球面靶标按图2所示依次摆放28个位置处，利用激光跟踪仪获取球心距。</w:t>
      </w:r>
    </w:p>
    <w:p w14:paraId="57B01B36">
      <w:pPr>
        <w:pStyle w:val="65"/>
        <w:spacing w:before="120" w:after="120"/>
      </w:pPr>
      <w:r>
        <w:rPr>
          <w:rFonts w:hint="eastAsia"/>
        </w:rPr>
        <w:t>校准步骤</w:t>
      </w:r>
    </w:p>
    <w:p w14:paraId="1A10C927">
      <w:pPr>
        <w:pStyle w:val="56"/>
        <w:ind w:firstLine="420"/>
      </w:pPr>
      <w:r>
        <w:rPr>
          <w:rFonts w:hint="eastAsia"/>
        </w:rPr>
        <w:t>校准步骤如下：</w:t>
      </w:r>
    </w:p>
    <w:p w14:paraId="4F8C34DC">
      <w:pPr>
        <w:pStyle w:val="56"/>
        <w:numPr>
          <w:ilvl w:val="0"/>
          <w:numId w:val="37"/>
        </w:numPr>
        <w:ind w:firstLineChars="0"/>
      </w:pPr>
      <w:r>
        <w:rPr>
          <w:rFonts w:hint="eastAsia"/>
        </w:rPr>
        <w:t>结构光三维测量系统的启动/预热周期；</w:t>
      </w:r>
    </w:p>
    <w:p w14:paraId="67721805">
      <w:pPr>
        <w:pStyle w:val="56"/>
        <w:numPr>
          <w:ilvl w:val="0"/>
          <w:numId w:val="37"/>
        </w:numPr>
        <w:ind w:firstLineChars="0"/>
      </w:pPr>
      <w:r>
        <w:rPr>
          <w:rFonts w:hint="eastAsia"/>
        </w:rPr>
        <w:t>使用被校结构光三维测量系统测量在7个方位上测量28个球面靶标；</w:t>
      </w:r>
    </w:p>
    <w:p w14:paraId="51CB99AF">
      <w:pPr>
        <w:pStyle w:val="56"/>
        <w:numPr>
          <w:ilvl w:val="0"/>
          <w:numId w:val="37"/>
        </w:numPr>
        <w:ind w:firstLineChars="0"/>
      </w:pPr>
      <w:r>
        <w:rPr>
          <w:rFonts w:hint="eastAsia"/>
        </w:rPr>
        <w:t>根据获取的三维数据计算球心距测量示值误差。</w:t>
      </w:r>
    </w:p>
    <w:p w14:paraId="0AD3C185">
      <w:pPr>
        <w:pStyle w:val="105"/>
        <w:spacing w:before="120" w:after="120"/>
      </w:pPr>
      <w:bookmarkStart w:id="87" w:name="_Toc196145319"/>
      <w:bookmarkStart w:id="88" w:name="_Toc196060559"/>
      <w:r>
        <w:rPr>
          <w:rFonts w:hint="eastAsia"/>
        </w:rPr>
        <w:t>测量不确定度</w:t>
      </w:r>
      <w:bookmarkEnd w:id="87"/>
      <w:bookmarkEnd w:id="88"/>
    </w:p>
    <w:p w14:paraId="78B3B0DA">
      <w:pPr>
        <w:pStyle w:val="56"/>
        <w:ind w:firstLine="420"/>
      </w:pPr>
      <w:r>
        <w:rPr>
          <w:rFonts w:hint="eastAsia"/>
        </w:rPr>
        <w:t>按要求进行校准时,激光跟踪仪校准法的测量不确定度优于被测仪器球心距测量示值误差的1/3。用于大尺寸拼接测量的结构光三维测量系统校准结果的测量不确定度评定示例</w:t>
      </w:r>
      <w:r>
        <w:rPr>
          <w:rFonts w:ascii="Times New Roman"/>
        </w:rPr>
        <w:t>见附录A。</w:t>
      </w:r>
    </w:p>
    <w:p w14:paraId="4069441B">
      <w:pPr>
        <w:pStyle w:val="104"/>
        <w:keepNext/>
        <w:spacing w:before="240" w:after="240"/>
      </w:pPr>
      <w:bookmarkStart w:id="89" w:name="_Toc196145326"/>
      <w:bookmarkStart w:id="90" w:name="_Toc196060572"/>
      <w:r>
        <w:rPr>
          <w:rFonts w:hint="eastAsia"/>
        </w:rPr>
        <w:t>校准结果</w:t>
      </w:r>
      <w:bookmarkEnd w:id="89"/>
      <w:bookmarkEnd w:id="90"/>
    </w:p>
    <w:p w14:paraId="21668D83">
      <w:pPr>
        <w:pStyle w:val="56"/>
        <w:ind w:firstLine="420"/>
        <w:rPr>
          <w:rFonts w:ascii="Times New Roman"/>
        </w:rPr>
      </w:pPr>
      <w:r>
        <w:rPr>
          <w:rFonts w:ascii="Times New Roman"/>
        </w:rPr>
        <w:t>经校准的结构光测量系统出具校准证书，校准证书应符合JJF1071—2010中5.12的要求，其中校准结果及其不确定度部分列出校准</w:t>
      </w:r>
      <w:r>
        <w:rPr>
          <w:rFonts w:hint="eastAsia" w:ascii="Times New Roman"/>
        </w:rPr>
        <w:t>方法</w:t>
      </w:r>
      <w:r>
        <w:rPr>
          <w:rFonts w:ascii="Times New Roman"/>
        </w:rPr>
        <w:t>及数据，并注明</w:t>
      </w:r>
      <w:r>
        <w:rPr>
          <w:rFonts w:hint="eastAsia" w:ascii="Times New Roman"/>
        </w:rPr>
        <w:t>测量环境（温度、湿度、振动）、测量时间、测量人员、</w:t>
      </w:r>
      <w:r>
        <w:rPr>
          <w:rFonts w:ascii="Times New Roman"/>
        </w:rPr>
        <w:t>点间距、快门时间、稀疏点云参数、删除点的比例、拟合算法、使用软件的生产商和版本号等必要信息。</w:t>
      </w:r>
    </w:p>
    <w:p w14:paraId="764F9BED">
      <w:pPr>
        <w:pStyle w:val="104"/>
        <w:spacing w:before="240" w:after="240"/>
      </w:pPr>
      <w:bookmarkStart w:id="91" w:name="_Toc195113273"/>
      <w:bookmarkStart w:id="92" w:name="_Toc195113302"/>
      <w:bookmarkStart w:id="93" w:name="_Toc196060573"/>
      <w:bookmarkStart w:id="94" w:name="_Toc196145327"/>
      <w:r>
        <w:rPr>
          <w:rFonts w:hint="eastAsia"/>
        </w:rPr>
        <w:t>复校时间间隔</w:t>
      </w:r>
      <w:bookmarkEnd w:id="91"/>
      <w:bookmarkEnd w:id="92"/>
      <w:bookmarkEnd w:id="93"/>
      <w:bookmarkEnd w:id="94"/>
    </w:p>
    <w:p w14:paraId="671DBBEC">
      <w:pPr>
        <w:pStyle w:val="56"/>
        <w:autoSpaceDE/>
        <w:autoSpaceDN/>
        <w:ind w:firstLine="420"/>
        <w:rPr>
          <w:rFonts w:ascii="Times New Roman"/>
        </w:rPr>
      </w:pPr>
      <w:r>
        <w:rPr>
          <w:rFonts w:ascii="Times New Roman"/>
        </w:rPr>
        <w:t>使用者根据实际使用情况决定复校时间间隔。建议复校间隔一般不超过1年。</w:t>
      </w:r>
    </w:p>
    <w:p w14:paraId="12E41F51">
      <w:pPr>
        <w:pStyle w:val="56"/>
        <w:ind w:firstLine="0" w:firstLineChars="0"/>
        <w:sectPr>
          <w:pgSz w:w="11906" w:h="16838"/>
          <w:pgMar w:top="1928" w:right="1134" w:bottom="1134" w:left="1134" w:header="1418" w:footer="1134" w:gutter="284"/>
          <w:pgNumType w:start="1"/>
          <w:cols w:space="425" w:num="1"/>
          <w:formProt w:val="0"/>
          <w:docGrid w:linePitch="312" w:charSpace="0"/>
        </w:sectPr>
      </w:pPr>
    </w:p>
    <w:bookmarkEnd w:id="27"/>
    <w:p w14:paraId="54922EE1">
      <w:pPr>
        <w:pStyle w:val="198"/>
        <w:rPr>
          <w:rFonts w:hint="eastAsia"/>
          <w:vanish w:val="0"/>
        </w:rPr>
      </w:pPr>
      <w:bookmarkStart w:id="95" w:name="BookMark5"/>
    </w:p>
    <w:p w14:paraId="071D6062">
      <w:pPr>
        <w:pStyle w:val="199"/>
        <w:rPr>
          <w:vanish w:val="0"/>
        </w:rPr>
      </w:pPr>
    </w:p>
    <w:p w14:paraId="3041B3A2">
      <w:pPr>
        <w:pStyle w:val="76"/>
        <w:spacing w:after="120"/>
      </w:pPr>
      <w:r>
        <w:br w:type="textWrapping"/>
      </w:r>
      <w:bookmarkStart w:id="96" w:name="_Toc195113274"/>
      <w:bookmarkStart w:id="97" w:name="_Toc195113303"/>
      <w:bookmarkStart w:id="98" w:name="_Toc196145328"/>
      <w:bookmarkStart w:id="99" w:name="_Toc196060574"/>
      <w:r>
        <w:rPr>
          <w:rFonts w:hint="eastAsia"/>
        </w:rPr>
        <w:t>（资料性）</w:t>
      </w:r>
      <w:r>
        <w:br w:type="textWrapping"/>
      </w:r>
      <w:bookmarkEnd w:id="96"/>
      <w:bookmarkEnd w:id="97"/>
      <w:bookmarkEnd w:id="98"/>
      <w:bookmarkEnd w:id="99"/>
      <w:r>
        <w:rPr>
          <w:rFonts w:hint="eastAsia"/>
        </w:rPr>
        <w:t>激光跟踪仪球心距测量示值误差不确定度评定示例</w:t>
      </w:r>
    </w:p>
    <w:p w14:paraId="63950C31">
      <w:pPr>
        <w:widowControl/>
        <w:spacing w:line="240" w:lineRule="auto"/>
        <w:ind w:firstLine="420" w:firstLineChars="200"/>
      </w:pPr>
      <w:r>
        <w:t>测量模型</w:t>
      </w:r>
      <w:r>
        <w:rPr>
          <w:rFonts w:hint="eastAsia"/>
        </w:rPr>
        <w:t>：</w:t>
      </w:r>
    </w:p>
    <w:p w14:paraId="6801926F">
      <w:pPr>
        <w:pStyle w:val="113"/>
        <w:rPr>
          <w:rFonts w:hint="eastAsia"/>
        </w:rPr>
      </w:pPr>
      <w:r>
        <w:tab/>
      </w:r>
      <w:r>
        <w:rPr>
          <w:position w:val="-14"/>
        </w:rPr>
        <w:object>
          <v:shape id="_x0000_i1045" o:spt="75" type="#_x0000_t75" style="height:20.3pt;width:205.85pt;" o:ole="t" filled="f" o:preferrelative="t" stroked="f" coordsize="21600,21600">
            <v:path/>
            <v:fill on="f" focussize="0,0"/>
            <v:stroke on="f" joinstyle="miter"/>
            <v:imagedata r:id="rId57" o:title=""/>
            <o:lock v:ext="edit" aspectratio="t"/>
            <w10:wrap type="none"/>
            <w10:anchorlock/>
          </v:shape>
          <o:OLEObject Type="Embed" ProgID="Equation.DSMT4" ShapeID="_x0000_i1045" DrawAspect="Content" ObjectID="_1468075745" r:id="rId56">
            <o:LockedField>false</o:LockedField>
          </o:OLEObject>
        </w:object>
      </w:r>
      <w:r>
        <w:rPr>
          <w:rFonts w:ascii="微软雅黑" w:hAnsi="微软雅黑" w:eastAsia="微软雅黑"/>
        </w:rPr>
        <w:tab/>
      </w:r>
      <w:r>
        <w:t>(A.</w:t>
      </w:r>
      <w:r>
        <w:fldChar w:fldCharType="begin"/>
      </w:r>
      <w:r>
        <w:instrText xml:space="preserve"> seq fulu_equation_133886741677946313 </w:instrText>
      </w:r>
      <w:r>
        <w:fldChar w:fldCharType="separate"/>
      </w:r>
      <w:r>
        <w:t>1</w:t>
      </w:r>
      <w:r>
        <w:fldChar w:fldCharType="end"/>
      </w:r>
      <w:r>
        <w:t>)</w:t>
      </w:r>
    </w:p>
    <w:p w14:paraId="1F5B95FA">
      <w:pPr>
        <w:pStyle w:val="55"/>
        <w:ind w:firstLine="420"/>
      </w:pPr>
      <w:r>
        <w:rPr>
          <w:rFonts w:hint="eastAsia"/>
        </w:rPr>
        <w:t>式中：</w:t>
      </w:r>
    </w:p>
    <w:p w14:paraId="17954FA5">
      <w:pPr>
        <w:pStyle w:val="56"/>
        <w:ind w:firstLine="420"/>
        <w:rPr>
          <w:rFonts w:ascii="Times New Roman"/>
        </w:rPr>
      </w:pPr>
      <w:r>
        <w:rPr>
          <w:position w:val="-12"/>
        </w:rPr>
        <w:object>
          <v:shape id="_x0000_i1046" o:spt="75" type="#_x0000_t75" style="height:17.1pt;width:26.7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6" r:id="rId58">
            <o:LockedField>false</o:LockedField>
          </o:OLEObject>
        </w:object>
      </w:r>
      <w:r>
        <w:rPr>
          <w:rFonts w:ascii="Times New Roman"/>
        </w:rPr>
        <w:t>——</w:t>
      </w:r>
      <w:r>
        <w:rPr>
          <w:rFonts w:hint="eastAsia"/>
        </w:rPr>
        <w:t>结构</w:t>
      </w:r>
      <w:r>
        <w:rPr>
          <w:rFonts w:ascii="Times New Roman"/>
        </w:rPr>
        <w:t>光三维测量系统拼接测量得到的第</w:t>
      </w:r>
      <w:r>
        <w:rPr>
          <w:rFonts w:ascii="Times New Roman"/>
          <w:i/>
          <w:iCs/>
        </w:rPr>
        <w:t>i</w:t>
      </w:r>
      <w:r>
        <w:rPr>
          <w:rFonts w:ascii="Times New Roman"/>
        </w:rPr>
        <w:t>个球心距，mm；</w:t>
      </w:r>
    </w:p>
    <w:p w14:paraId="561D2CC7">
      <w:pPr>
        <w:pStyle w:val="56"/>
        <w:ind w:firstLine="420"/>
        <w:rPr>
          <w:rFonts w:ascii="Times New Roman"/>
        </w:rPr>
      </w:pPr>
      <w:r>
        <w:rPr>
          <w:rFonts w:ascii="Times New Roman"/>
          <w:position w:val="-12"/>
        </w:rPr>
        <w:object>
          <v:shape id="_x0000_i1047" o:spt="75" type="#_x0000_t75" style="height:17.1pt;width:22.15pt;" o:ole="t" filled="f" o:preferrelative="t" stroked="f" coordsize="21600,21600">
            <v:path/>
            <v:fill on="f" focussize="0,0"/>
            <v:stroke on="f" joinstyle="miter"/>
            <v:imagedata r:id="rId61" o:title=""/>
            <o:lock v:ext="edit" aspectratio="t"/>
            <w10:wrap type="none"/>
            <w10:anchorlock/>
          </v:shape>
          <o:OLEObject Type="Embed" ProgID="Equation.DSMT4" ShapeID="_x0000_i1047" DrawAspect="Content" ObjectID="_1468075747" r:id="rId60">
            <o:LockedField>false</o:LockedField>
          </o:OLEObject>
        </w:object>
      </w:r>
      <w:r>
        <w:rPr>
          <w:rFonts w:ascii="Times New Roman"/>
        </w:rPr>
        <w:t>——激光跟踪仪测量得到的第</w:t>
      </w:r>
      <w:r>
        <w:rPr>
          <w:rFonts w:ascii="Times New Roman"/>
          <w:i/>
          <w:iCs/>
        </w:rPr>
        <w:t>i</w:t>
      </w:r>
      <w:r>
        <w:rPr>
          <w:rFonts w:ascii="Times New Roman"/>
        </w:rPr>
        <w:t>个球心距，mm。</w:t>
      </w:r>
    </w:p>
    <w:p w14:paraId="384BC534">
      <w:pPr>
        <w:widowControl/>
        <w:spacing w:line="240" w:lineRule="auto"/>
        <w:ind w:firstLine="420" w:firstLineChars="200"/>
        <w:rPr>
          <w:rFonts w:ascii="Times New Roman" w:hAnsi="Times New Roman"/>
        </w:rPr>
      </w:pPr>
      <w:r>
        <w:rPr>
          <w:rFonts w:ascii="Times New Roman" w:hAnsi="Times New Roman"/>
        </w:rPr>
        <w:t>不确定度来源分析：</w:t>
      </w:r>
    </w:p>
    <w:p w14:paraId="4DD93FD8">
      <w:pPr>
        <w:pStyle w:val="109"/>
        <w:numPr>
          <w:ilvl w:val="1"/>
          <w:numId w:val="38"/>
        </w:numPr>
        <w:rPr>
          <w:rFonts w:ascii="Times New Roman"/>
        </w:rPr>
      </w:pPr>
      <w:r>
        <w:rPr>
          <w:rFonts w:ascii="Times New Roman"/>
        </w:rPr>
        <w:t>结构光三维测量系统的重复性（A类评定）</w:t>
      </w:r>
    </w:p>
    <w:p w14:paraId="22732726">
      <w:pPr>
        <w:widowControl/>
        <w:spacing w:line="240" w:lineRule="auto"/>
        <w:ind w:firstLine="420" w:firstLineChars="200"/>
        <w:rPr>
          <w:rFonts w:ascii="Times New Roman" w:hAnsi="Times New Roman"/>
        </w:rPr>
      </w:pPr>
      <w:r>
        <w:rPr>
          <w:rFonts w:ascii="Times New Roman" w:hAnsi="Times New Roman"/>
        </w:rPr>
        <w:t>通过10次重复测量固定目标点，计算单点坐标的标准偏差（表征系统随机误差）。示例值：</w:t>
      </w:r>
      <w:r>
        <w:rPr>
          <w:rFonts w:ascii="Times New Roman" w:hAnsi="Times New Roman"/>
          <w:position w:val="-14"/>
        </w:rPr>
        <w:object>
          <v:shape id="_x0000_i1048" o:spt="75" type="#_x0000_t75" style="height:17.55pt;width:65.1pt;" o:ole="t" filled="f" o:preferrelative="t" stroked="f" coordsize="21600,21600">
            <v:path/>
            <v:fill on="f" focussize="0,0"/>
            <v:stroke on="f" joinstyle="miter"/>
            <v:imagedata r:id="rId63" o:title=""/>
            <o:lock v:ext="edit" aspectratio="t"/>
            <w10:wrap type="none"/>
            <w10:anchorlock/>
          </v:shape>
          <o:OLEObject Type="Embed" ProgID="Equation.DSMT4" ShapeID="_x0000_i1048" DrawAspect="Content" ObjectID="_1468075748" r:id="rId62">
            <o:LockedField>false</o:LockedField>
          </o:OLEObject>
        </w:object>
      </w:r>
      <w:r>
        <w:rPr>
          <w:rFonts w:ascii="Times New Roman" w:hAnsi="Times New Roman"/>
        </w:rPr>
        <w:t>（取点距离重心的最大值）</w:t>
      </w:r>
    </w:p>
    <w:p w14:paraId="36B1A2F0">
      <w:pPr>
        <w:pStyle w:val="109"/>
        <w:rPr>
          <w:rFonts w:ascii="Times New Roman"/>
        </w:rPr>
      </w:pPr>
      <w:r>
        <w:rPr>
          <w:rFonts w:ascii="Times New Roman"/>
        </w:rPr>
        <w:t>激光跟踪仪测量误差（B类评定）</w:t>
      </w:r>
    </w:p>
    <w:p w14:paraId="57C4ABA0">
      <w:pPr>
        <w:pStyle w:val="56"/>
        <w:ind w:firstLine="420"/>
        <w:rPr>
          <w:rFonts w:ascii="Times New Roman"/>
        </w:rPr>
      </w:pPr>
      <w:r>
        <w:rPr>
          <w:rFonts w:ascii="Times New Roman"/>
        </w:rPr>
        <w:t>激光跟踪仪作为参考标准，其误差直接影响校准结果的可靠性。校准证书给出其</w:t>
      </w:r>
      <w:r>
        <w:rPr>
          <w:rFonts w:hint="eastAsia" w:ascii="Times New Roman"/>
        </w:rPr>
        <w:t>同向</w:t>
      </w:r>
      <w:r>
        <w:rPr>
          <w:rFonts w:ascii="Times New Roman"/>
        </w:rPr>
        <w:t>扩展不确定度示例值：</w:t>
      </w:r>
      <w:r>
        <w:rPr>
          <w:rFonts w:ascii="Times New Roman"/>
          <w:position w:val="-10"/>
        </w:rPr>
        <w:object>
          <v:shape id="_x0000_i1049" o:spt="75" type="#_x0000_t75" style="height:15.25pt;width:87.7pt;" o:ole="t" filled="f" o:preferrelative="t" stroked="f" coordsize="21600,21600">
            <v:path/>
            <v:fill on="f" focussize="0,0"/>
            <v:stroke on="f" joinstyle="miter"/>
            <v:imagedata r:id="rId65" o:title=""/>
            <o:lock v:ext="edit" aspectratio="t"/>
            <w10:wrap type="none"/>
            <w10:anchorlock/>
          </v:shape>
          <o:OLEObject Type="Embed" ProgID="Equation.DSMT4" ShapeID="_x0000_i1049" DrawAspect="Content" ObjectID="_1468075749" r:id="rId64">
            <o:LockedField>false</o:LockedField>
          </o:OLEObject>
        </w:object>
      </w:r>
      <w:r>
        <w:rPr>
          <w:rFonts w:ascii="Times New Roman"/>
        </w:rPr>
        <w:t>，标准不确定度为：</w:t>
      </w:r>
    </w:p>
    <w:p w14:paraId="2EF8FC2E">
      <w:pPr>
        <w:pStyle w:val="113"/>
        <w:rPr>
          <w:rFonts w:hint="eastAsia"/>
        </w:rPr>
      </w:pPr>
      <w:r>
        <w:tab/>
      </w:r>
      <w:r>
        <w:rPr>
          <w:position w:val="-22"/>
        </w:rPr>
        <w:object>
          <v:shape id="_x0000_i1050" o:spt="75" type="#_x0000_t75" style="height:30pt;width:95.1pt;" o:ole="t" filled="f" o:preferrelative="t" stroked="f" coordsize="21600,21600">
            <v:path/>
            <v:fill on="f" focussize="0,0"/>
            <v:stroke on="f" joinstyle="miter"/>
            <v:imagedata r:id="rId67" o:title=""/>
            <o:lock v:ext="edit" aspectratio="t"/>
            <w10:wrap type="none"/>
            <w10:anchorlock/>
          </v:shape>
          <o:OLEObject Type="Embed" ProgID="Equation.DSMT4" ShapeID="_x0000_i1050" DrawAspect="Content" ObjectID="_1468075750" r:id="rId66">
            <o:LockedField>false</o:LockedField>
          </o:OLEObject>
        </w:object>
      </w:r>
      <w:r>
        <w:rPr>
          <w:rFonts w:ascii="微软雅黑" w:hAnsi="微软雅黑" w:eastAsia="微软雅黑"/>
        </w:rPr>
        <w:tab/>
      </w:r>
      <w:r>
        <w:t>(A.</w:t>
      </w:r>
      <w:r>
        <w:fldChar w:fldCharType="begin"/>
      </w:r>
      <w:r>
        <w:instrText xml:space="preserve">  seq fulu_equation_133886741677946313  </w:instrText>
      </w:r>
      <w:r>
        <w:fldChar w:fldCharType="separate"/>
      </w:r>
      <w:r>
        <w:t>2</w:t>
      </w:r>
      <w:r>
        <w:fldChar w:fldCharType="end"/>
      </w:r>
      <w:r>
        <w:t>)</w:t>
      </w:r>
    </w:p>
    <w:p w14:paraId="20EF4F7F">
      <w:pPr>
        <w:pStyle w:val="109"/>
        <w:rPr>
          <w:rFonts w:ascii="Times New Roman"/>
        </w:rPr>
      </w:pPr>
      <w:r>
        <w:rPr>
          <w:rFonts w:ascii="Times New Roman"/>
        </w:rPr>
        <w:t>球面靶标光学中心误差（B类评定）</w:t>
      </w:r>
    </w:p>
    <w:p w14:paraId="17C98C5D">
      <w:pPr>
        <w:pStyle w:val="56"/>
        <w:ind w:firstLine="420"/>
        <w:rPr>
          <w:rFonts w:ascii="Times New Roman"/>
        </w:rPr>
      </w:pPr>
      <w:r>
        <w:rPr>
          <w:rFonts w:ascii="Times New Roman"/>
        </w:rPr>
        <w:t>球面靶标球心与光学中心之间存在误差，影响校准结果的可靠性。校准证书给出其最大偏差示例值：0.00</w:t>
      </w:r>
      <w:r>
        <w:rPr>
          <w:rFonts w:hint="eastAsia" w:ascii="Times New Roman"/>
        </w:rPr>
        <w:t>3</w:t>
      </w:r>
      <w:r>
        <w:rPr>
          <w:rFonts w:ascii="Times New Roman"/>
        </w:rPr>
        <w:t> mm（假设均匀分布），标准不确定度为：</w:t>
      </w:r>
    </w:p>
    <w:p w14:paraId="2A1A7B5E">
      <w:pPr>
        <w:pStyle w:val="113"/>
        <w:rPr>
          <w:rFonts w:hint="eastAsia"/>
        </w:rPr>
      </w:pPr>
      <w:r>
        <w:tab/>
      </w:r>
      <w:r>
        <w:rPr>
          <w:position w:val="-26"/>
        </w:rPr>
        <w:object>
          <v:shape id="_x0000_i1051" o:spt="75" type="#_x0000_t75" style="height:31.85pt;width:119.1pt;" o:ole="t" filled="f" o:preferrelative="t" stroked="f" coordsize="21600,21600">
            <v:path/>
            <v:fill on="f" focussize="0,0"/>
            <v:stroke on="f" joinstyle="miter"/>
            <v:imagedata r:id="rId69" o:title=""/>
            <o:lock v:ext="edit" aspectratio="t"/>
            <w10:wrap type="none"/>
            <w10:anchorlock/>
          </v:shape>
          <o:OLEObject Type="Embed" ProgID="Equation.DSMT4" ShapeID="_x0000_i1051" DrawAspect="Content" ObjectID="_1468075751" r:id="rId68">
            <o:LockedField>false</o:LockedField>
          </o:OLEObject>
        </w:object>
      </w:r>
      <w:r>
        <w:rPr>
          <w:rFonts w:ascii="微软雅黑" w:hAnsi="微软雅黑" w:eastAsia="微软雅黑"/>
        </w:rPr>
        <w:tab/>
      </w:r>
      <w:r>
        <w:t>(A.</w:t>
      </w:r>
      <w:r>
        <w:fldChar w:fldCharType="begin"/>
      </w:r>
      <w:r>
        <w:instrText xml:space="preserve">  seq fulu_equation_133886741677946313  </w:instrText>
      </w:r>
      <w:r>
        <w:fldChar w:fldCharType="separate"/>
      </w:r>
      <w:r>
        <w:t>3</w:t>
      </w:r>
      <w:r>
        <w:fldChar w:fldCharType="end"/>
      </w:r>
      <w:r>
        <w:t>)</w:t>
      </w:r>
    </w:p>
    <w:p w14:paraId="54FB85BC">
      <w:pPr>
        <w:pStyle w:val="109"/>
        <w:rPr>
          <w:rFonts w:ascii="Times New Roman"/>
        </w:rPr>
      </w:pPr>
      <w:r>
        <w:rPr>
          <w:rFonts w:ascii="Times New Roman"/>
        </w:rPr>
        <w:t>温度波动影响（B类评定）</w:t>
      </w:r>
    </w:p>
    <w:p w14:paraId="50466D2A">
      <w:pPr>
        <w:pStyle w:val="56"/>
        <w:ind w:firstLine="420"/>
        <w:rPr>
          <w:rFonts w:ascii="Times New Roman"/>
        </w:rPr>
      </w:pPr>
      <w:r>
        <w:rPr>
          <w:rFonts w:ascii="Times New Roman"/>
        </w:rPr>
        <w:t>温度变化示例值：±2°C，被测物体与设备材料膨胀系数示例值：</w:t>
      </w:r>
      <w:r>
        <w:rPr>
          <w:rFonts w:ascii="Times New Roman"/>
          <w:position w:val="-6"/>
        </w:rPr>
        <w:object>
          <v:shape id="_x0000_i1052" o:spt="75" type="#_x0000_t75" style="height:11.55pt;width:12pt;" o:ole="t" filled="f" o:preferrelative="t" stroked="f" coordsize="21600,21600">
            <v:path/>
            <v:fill on="f" focussize="0,0"/>
            <v:stroke on="f" joinstyle="miter"/>
            <v:imagedata r:id="rId71" o:title=""/>
            <o:lock v:ext="edit" aspectratio="t"/>
            <w10:wrap type="none"/>
            <w10:anchorlock/>
          </v:shape>
          <o:OLEObject Type="Embed" ProgID="Equation.DSMT4" ShapeID="_x0000_i1052" DrawAspect="Content" ObjectID="_1468075752" r:id="rId70">
            <o:LockedField>false</o:LockedField>
          </o:OLEObject>
        </w:object>
      </w:r>
      <w:r>
        <w:rPr>
          <w:rFonts w:ascii="Times New Roman"/>
        </w:rPr>
        <w:t>=11.5×10</w:t>
      </w:r>
      <w:r>
        <w:rPr>
          <w:rFonts w:ascii="Times New Roman"/>
          <w:vertAlign w:val="superscript"/>
        </w:rPr>
        <w:t>-6</w:t>
      </w:r>
      <w:r>
        <w:rPr>
          <w:rFonts w:ascii="Times New Roman"/>
        </w:rPr>
        <w:t>/℃，测量距离示例值：</w:t>
      </w:r>
      <w:r>
        <w:rPr>
          <w:rFonts w:ascii="Times New Roman"/>
          <w:i/>
          <w:iCs/>
        </w:rPr>
        <w:t>L</w:t>
      </w:r>
      <w:r>
        <w:rPr>
          <w:rFonts w:ascii="Times New Roman"/>
        </w:rPr>
        <w:t>=0.5m时，长度变化：</w:t>
      </w:r>
    </w:p>
    <w:p w14:paraId="38D6C55E">
      <w:pPr>
        <w:pStyle w:val="113"/>
        <w:rPr>
          <w:rFonts w:hint="eastAsia"/>
        </w:rPr>
      </w:pPr>
      <w:r>
        <w:tab/>
      </w:r>
      <w:r>
        <w:rPr>
          <w:position w:val="-6"/>
        </w:rPr>
        <w:object>
          <v:shape id="_x0000_i1053" o:spt="75" type="#_x0000_t75" style="height:15.25pt;width:219.7pt;" o:ole="t" filled="f" o:preferrelative="t" stroked="f" coordsize="21600,21600">
            <v:path/>
            <v:fill on="f" focussize="0,0"/>
            <v:stroke on="f" joinstyle="miter"/>
            <v:imagedata r:id="rId73" o:title=""/>
            <o:lock v:ext="edit" aspectratio="t"/>
            <w10:wrap type="none"/>
            <w10:anchorlock/>
          </v:shape>
          <o:OLEObject Type="Embed" ProgID="Equation.DSMT4" ShapeID="_x0000_i1053" DrawAspect="Content" ObjectID="_1468075753" r:id="rId72">
            <o:LockedField>false</o:LockedField>
          </o:OLEObject>
        </w:object>
      </w:r>
      <w:r>
        <w:rPr>
          <w:rFonts w:ascii="微软雅黑" w:hAnsi="微软雅黑" w:eastAsia="微软雅黑"/>
        </w:rPr>
        <w:tab/>
      </w:r>
      <w:r>
        <w:t>(A.</w:t>
      </w:r>
      <w:r>
        <w:fldChar w:fldCharType="begin"/>
      </w:r>
      <w:r>
        <w:instrText xml:space="preserve">  seq fulu_equation_133886741677946313  </w:instrText>
      </w:r>
      <w:r>
        <w:fldChar w:fldCharType="separate"/>
      </w:r>
      <w:r>
        <w:t>4</w:t>
      </w:r>
      <w:r>
        <w:fldChar w:fldCharType="end"/>
      </w:r>
      <w:r>
        <w:t>)</w:t>
      </w:r>
    </w:p>
    <w:p w14:paraId="225E6A36">
      <w:pPr>
        <w:pStyle w:val="55"/>
        <w:ind w:firstLine="420"/>
      </w:pPr>
      <w:r>
        <w:rPr>
          <w:rFonts w:hint="eastAsia"/>
        </w:rPr>
        <w:t>假设均匀分布，标准不确定度：</w:t>
      </w:r>
    </w:p>
    <w:p w14:paraId="1B1D62E6">
      <w:pPr>
        <w:pStyle w:val="113"/>
        <w:rPr>
          <w:rFonts w:hint="eastAsia"/>
        </w:rPr>
      </w:pPr>
      <w:r>
        <w:tab/>
      </w:r>
      <w:r>
        <w:rPr>
          <w:position w:val="-26"/>
        </w:rPr>
        <w:object>
          <v:shape id="_x0000_i1054" o:spt="75" type="#_x0000_t75" style="height:31.85pt;width:124.6pt;" o:ole="t" filled="f" o:preferrelative="t" stroked="f" coordsize="21600,21600">
            <v:path/>
            <v:fill on="f" focussize="0,0"/>
            <v:stroke on="f" joinstyle="miter"/>
            <v:imagedata r:id="rId75" o:title=""/>
            <o:lock v:ext="edit" aspectratio="t"/>
            <w10:wrap type="none"/>
            <w10:anchorlock/>
          </v:shape>
          <o:OLEObject Type="Embed" ProgID="Equation.DSMT4" ShapeID="_x0000_i1054" DrawAspect="Content" ObjectID="_1468075754" r:id="rId74">
            <o:LockedField>false</o:LockedField>
          </o:OLEObject>
        </w:object>
      </w:r>
      <w:r>
        <w:rPr>
          <w:rFonts w:ascii="微软雅黑" w:hAnsi="微软雅黑" w:eastAsia="微软雅黑"/>
        </w:rPr>
        <w:tab/>
      </w:r>
      <w:r>
        <w:t>(A.</w:t>
      </w:r>
      <w:r>
        <w:fldChar w:fldCharType="begin"/>
      </w:r>
      <w:r>
        <w:instrText xml:space="preserve">  seq fulu_equation_133886741677946313  </w:instrText>
      </w:r>
      <w:r>
        <w:fldChar w:fldCharType="separate"/>
      </w:r>
      <w:r>
        <w:t>5</w:t>
      </w:r>
      <w:r>
        <w:fldChar w:fldCharType="end"/>
      </w:r>
      <w:r>
        <w:t>)</w:t>
      </w:r>
    </w:p>
    <w:p w14:paraId="5167DDC2">
      <w:pPr>
        <w:pStyle w:val="55"/>
        <w:ind w:firstLine="420"/>
      </w:pPr>
      <w:r>
        <w:rPr>
          <w:rFonts w:hint="eastAsia"/>
        </w:rPr>
        <w:t>合成标准不确定度：</w:t>
      </w:r>
    </w:p>
    <w:p w14:paraId="18B32AE7">
      <w:pPr>
        <w:pStyle w:val="113"/>
        <w:rPr>
          <w:rFonts w:hint="eastAsia"/>
        </w:rPr>
      </w:pPr>
      <w:r>
        <w:tab/>
      </w:r>
      <w:r>
        <w:rPr>
          <w:position w:val="-10"/>
        </w:rPr>
        <w:object>
          <v:shape id="_x0000_i1055" o:spt="75" type="#_x0000_t75" style="height:20.75pt;width:232.6pt;" o:ole="t" filled="f" o:preferrelative="t" stroked="f" coordsize="21600,21600">
            <v:path/>
            <v:fill on="f" focussize="0,0"/>
            <v:stroke on="f" joinstyle="miter"/>
            <v:imagedata r:id="rId77" o:title=""/>
            <o:lock v:ext="edit" aspectratio="t"/>
            <w10:wrap type="none"/>
            <w10:anchorlock/>
          </v:shape>
          <o:OLEObject Type="Embed" ProgID="Equation.DSMT4" ShapeID="_x0000_i1055" DrawAspect="Content" ObjectID="_1468075755" r:id="rId76">
            <o:LockedField>false</o:LockedField>
          </o:OLEObject>
        </w:object>
      </w:r>
      <w:r>
        <w:rPr>
          <w:rFonts w:ascii="微软雅黑" w:hAnsi="微软雅黑" w:eastAsia="微软雅黑"/>
        </w:rPr>
        <w:tab/>
      </w:r>
      <w:r>
        <w:t>(A.</w:t>
      </w:r>
      <w:r>
        <w:fldChar w:fldCharType="begin"/>
      </w:r>
      <w:r>
        <w:instrText xml:space="preserve">  seq fulu_equation_133886741677946313  </w:instrText>
      </w:r>
      <w:r>
        <w:fldChar w:fldCharType="separate"/>
      </w:r>
      <w:r>
        <w:t>6</w:t>
      </w:r>
      <w:r>
        <w:fldChar w:fldCharType="end"/>
      </w:r>
      <w:r>
        <w:t>)</w:t>
      </w:r>
    </w:p>
    <w:p w14:paraId="2C81A813">
      <w:pPr>
        <w:pStyle w:val="55"/>
        <w:ind w:firstLine="420"/>
        <w:rPr>
          <w:rFonts w:ascii="Times New Roman" w:hAnsi="Times New Roman"/>
        </w:rPr>
      </w:pPr>
      <w:r>
        <w:rPr>
          <w:rFonts w:ascii="Times New Roman" w:hAnsi="Times New Roman"/>
        </w:rPr>
        <w:t>取包含因子k=2（置信概率约95%），扩展不确定度为：</w:t>
      </w:r>
    </w:p>
    <w:p w14:paraId="338466A3">
      <w:pPr>
        <w:pStyle w:val="113"/>
        <w:rPr>
          <w:rFonts w:hint="eastAsia"/>
        </w:rPr>
      </w:pPr>
      <w:r>
        <w:tab/>
      </w:r>
      <w:r>
        <w:rPr>
          <w:position w:val="-10"/>
        </w:rPr>
        <w:object>
          <v:shape id="_x0000_i1056" o:spt="75" type="#_x0000_t75" style="height:15.25pt;width:145.85pt;" o:ole="t" filled="f" o:preferrelative="t" stroked="f" coordsize="21600,21600">
            <v:path/>
            <v:fill on="f" focussize="0,0"/>
            <v:stroke on="f" joinstyle="miter"/>
            <v:imagedata r:id="rId79" o:title=""/>
            <o:lock v:ext="edit" aspectratio="t"/>
            <w10:wrap type="none"/>
            <w10:anchorlock/>
          </v:shape>
          <o:OLEObject Type="Embed" ProgID="Equation.DSMT4" ShapeID="_x0000_i1056" DrawAspect="Content" ObjectID="_1468075756" r:id="rId78">
            <o:LockedField>false</o:LockedField>
          </o:OLEObject>
        </w:object>
      </w:r>
      <w:r>
        <w:rPr>
          <w:rFonts w:ascii="微软雅黑" w:hAnsi="微软雅黑" w:eastAsia="微软雅黑"/>
        </w:rPr>
        <w:tab/>
      </w:r>
      <w:r>
        <w:t>(A.</w:t>
      </w:r>
      <w:r>
        <w:fldChar w:fldCharType="begin"/>
      </w:r>
      <w:r>
        <w:instrText xml:space="preserve">  seq fulu_equation_133886741677946313  </w:instrText>
      </w:r>
      <w:r>
        <w:fldChar w:fldCharType="separate"/>
      </w:r>
      <w:r>
        <w:t>7</w:t>
      </w:r>
      <w:r>
        <w:fldChar w:fldCharType="end"/>
      </w:r>
      <w:r>
        <w:t>)</w:t>
      </w:r>
    </w:p>
    <w:bookmarkEnd w:id="95"/>
    <w:p w14:paraId="1E548FD5">
      <w:pPr>
        <w:pStyle w:val="56"/>
        <w:ind w:firstLine="0" w:firstLineChars="0"/>
        <w:jc w:val="center"/>
      </w:pPr>
      <w:bookmarkStart w:id="100"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0"/>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6F85D">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FE66B">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320CA">
    <w:pPr>
      <w:pStyle w:val="52"/>
    </w:pPr>
    <w:r>
      <w:fldChar w:fldCharType="begin"/>
    </w:r>
    <w:r>
      <w:instrText xml:space="preserve">PAGE   \* MERGEFORMAT</w:instrText>
    </w:r>
    <w:r>
      <w:fldChar w:fldCharType="separate"/>
    </w:r>
    <w:r>
      <w:rPr>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18983">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28563">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A1E28">
    <w:pPr>
      <w:pStyle w:val="61"/>
      <w:rPr>
        <w:rFonts w:hint="eastAsia"/>
      </w:rPr>
    </w:pPr>
    <w:r>
      <w:fldChar w:fldCharType="begin"/>
    </w:r>
    <w:r>
      <w:instrText xml:space="preserve"> STYLEREF  标准文件_文件编号  \* MERGEFORMAT </w:instrText>
    </w:r>
    <w:r>
      <w:fldChar w:fldCharType="separate"/>
    </w:r>
    <w:r>
      <w:t>T/CSOE 0007—2025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9F71">
    <w:pPr>
      <w:pStyle w:val="18"/>
      <w:jc w:val="right"/>
    </w:pPr>
    <w:r>
      <w:fldChar w:fldCharType="begin"/>
    </w:r>
    <w:r>
      <w:instrText xml:space="preserve"> STYLEREF  标准文件_文件编号  \* MERGEFORMAT </w:instrText>
    </w:r>
    <w:r>
      <w:fldChar w:fldCharType="separate"/>
    </w:r>
    <w:r>
      <w:t>T/CSOE 0007—2025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0874B23"/>
    <w:multiLevelType w:val="multilevel"/>
    <w:tmpl w:val="10874B23"/>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22B784A"/>
    <w:multiLevelType w:val="multilevel"/>
    <w:tmpl w:val="222B784A"/>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2D60752D"/>
    <w:multiLevelType w:val="multilevel"/>
    <w:tmpl w:val="2D60752D"/>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ind w:left="1291" w:hanging="44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75A0F4B"/>
    <w:multiLevelType w:val="multilevel"/>
    <w:tmpl w:val="475A0F4B"/>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7">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4F261844"/>
    <w:multiLevelType w:val="multilevel"/>
    <w:tmpl w:val="4F261844"/>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520672C1"/>
    <w:multiLevelType w:val="multilevel"/>
    <w:tmpl w:val="520672C1"/>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2">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9">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1">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6">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3"/>
  </w:num>
  <w:num w:numId="3">
    <w:abstractNumId w:val="5"/>
  </w:num>
  <w:num w:numId="4">
    <w:abstractNumId w:val="29"/>
  </w:num>
  <w:num w:numId="5">
    <w:abstractNumId w:val="24"/>
  </w:num>
  <w:num w:numId="6">
    <w:abstractNumId w:val="17"/>
  </w:num>
  <w:num w:numId="7">
    <w:abstractNumId w:val="9"/>
  </w:num>
  <w:num w:numId="8">
    <w:abstractNumId w:val="3"/>
  </w:num>
  <w:num w:numId="9">
    <w:abstractNumId w:val="10"/>
  </w:num>
  <w:num w:numId="10">
    <w:abstractNumId w:val="22"/>
  </w:num>
  <w:num w:numId="11">
    <w:abstractNumId w:val="31"/>
  </w:num>
  <w:num w:numId="12">
    <w:abstractNumId w:val="14"/>
  </w:num>
  <w:num w:numId="13">
    <w:abstractNumId w:val="15"/>
  </w:num>
  <w:num w:numId="14">
    <w:abstractNumId w:val="8"/>
  </w:num>
  <w:num w:numId="15">
    <w:abstractNumId w:val="25"/>
  </w:num>
  <w:num w:numId="16">
    <w:abstractNumId w:val="27"/>
  </w:num>
  <w:num w:numId="17">
    <w:abstractNumId w:val="23"/>
  </w:num>
  <w:num w:numId="18">
    <w:abstractNumId w:val="35"/>
  </w:num>
  <w:num w:numId="19">
    <w:abstractNumId w:val="19"/>
  </w:num>
  <w:num w:numId="20">
    <w:abstractNumId w:val="1"/>
  </w:num>
  <w:num w:numId="21">
    <w:abstractNumId w:val="12"/>
  </w:num>
  <w:num w:numId="22">
    <w:abstractNumId w:val="36"/>
  </w:num>
  <w:num w:numId="23">
    <w:abstractNumId w:val="26"/>
  </w:num>
  <w:num w:numId="24">
    <w:abstractNumId w:val="6"/>
  </w:num>
  <w:num w:numId="25">
    <w:abstractNumId w:val="32"/>
  </w:num>
  <w:num w:numId="26">
    <w:abstractNumId w:val="34"/>
  </w:num>
  <w:num w:numId="27">
    <w:abstractNumId w:val="2"/>
  </w:num>
  <w:num w:numId="28">
    <w:abstractNumId w:val="4"/>
  </w:num>
  <w:num w:numId="29">
    <w:abstractNumId w:val="18"/>
  </w:num>
  <w:num w:numId="30">
    <w:abstractNumId w:val="30"/>
  </w:num>
  <w:num w:numId="31">
    <w:abstractNumId w:val="28"/>
  </w:num>
  <w:num w:numId="32">
    <w:abstractNumId w:val="16"/>
  </w:num>
  <w:num w:numId="33">
    <w:abstractNumId w:val="21"/>
  </w:num>
  <w:num w:numId="34">
    <w:abstractNumId w:val="20"/>
  </w:num>
  <w:num w:numId="35">
    <w:abstractNumId w:val="13"/>
  </w:num>
  <w:num w:numId="36">
    <w:abstractNumId w:val="11"/>
  </w:num>
  <w:num w:numId="37">
    <w:abstractNumId w:val="7"/>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qdVHt40EXUnj6LjkX7rv2lPr2xK2YWxtDBTdfiloeMtBQc82d31s4EyPHnc55pEV6Hre8OIcjaksAObLwzXYsQ==" w:salt="qaYboKSabsYgRkB5ua4r0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E0"/>
    <w:rsid w:val="0000040A"/>
    <w:rsid w:val="00000A94"/>
    <w:rsid w:val="00001972"/>
    <w:rsid w:val="00001D9A"/>
    <w:rsid w:val="000035D7"/>
    <w:rsid w:val="00007451"/>
    <w:rsid w:val="00007B3A"/>
    <w:rsid w:val="000107E0"/>
    <w:rsid w:val="00011FDE"/>
    <w:rsid w:val="00012E18"/>
    <w:rsid w:val="00012FFD"/>
    <w:rsid w:val="00014162"/>
    <w:rsid w:val="00014340"/>
    <w:rsid w:val="0001457E"/>
    <w:rsid w:val="0001509F"/>
    <w:rsid w:val="0001544C"/>
    <w:rsid w:val="0001668F"/>
    <w:rsid w:val="00016A9C"/>
    <w:rsid w:val="000174BC"/>
    <w:rsid w:val="00022184"/>
    <w:rsid w:val="000224B9"/>
    <w:rsid w:val="00022762"/>
    <w:rsid w:val="00023616"/>
    <w:rsid w:val="000238E0"/>
    <w:rsid w:val="000249DB"/>
    <w:rsid w:val="0002595E"/>
    <w:rsid w:val="000303C3"/>
    <w:rsid w:val="00030C3A"/>
    <w:rsid w:val="000331D3"/>
    <w:rsid w:val="000346A5"/>
    <w:rsid w:val="000359C3"/>
    <w:rsid w:val="00035A7D"/>
    <w:rsid w:val="000365ED"/>
    <w:rsid w:val="0004249A"/>
    <w:rsid w:val="00043282"/>
    <w:rsid w:val="00044286"/>
    <w:rsid w:val="00045F03"/>
    <w:rsid w:val="00047941"/>
    <w:rsid w:val="00047F28"/>
    <w:rsid w:val="000503AA"/>
    <w:rsid w:val="000506A1"/>
    <w:rsid w:val="000515DD"/>
    <w:rsid w:val="0005265A"/>
    <w:rsid w:val="000539DD"/>
    <w:rsid w:val="00053BD3"/>
    <w:rsid w:val="000556ED"/>
    <w:rsid w:val="00055FE2"/>
    <w:rsid w:val="0005616F"/>
    <w:rsid w:val="000575C4"/>
    <w:rsid w:val="00060C2E"/>
    <w:rsid w:val="00061033"/>
    <w:rsid w:val="000619E9"/>
    <w:rsid w:val="000622D4"/>
    <w:rsid w:val="0006357D"/>
    <w:rsid w:val="000640BE"/>
    <w:rsid w:val="00067777"/>
    <w:rsid w:val="00067F1E"/>
    <w:rsid w:val="00070751"/>
    <w:rsid w:val="00071232"/>
    <w:rsid w:val="00071CC0"/>
    <w:rsid w:val="00071CFC"/>
    <w:rsid w:val="00073C8C"/>
    <w:rsid w:val="00073D4D"/>
    <w:rsid w:val="00074639"/>
    <w:rsid w:val="000766E7"/>
    <w:rsid w:val="00077B64"/>
    <w:rsid w:val="00080A1C"/>
    <w:rsid w:val="00082317"/>
    <w:rsid w:val="0008376F"/>
    <w:rsid w:val="00083D2C"/>
    <w:rsid w:val="00085DC0"/>
    <w:rsid w:val="00086AA1"/>
    <w:rsid w:val="00087A77"/>
    <w:rsid w:val="00087B57"/>
    <w:rsid w:val="00090CA6"/>
    <w:rsid w:val="00092B8A"/>
    <w:rsid w:val="00092FB0"/>
    <w:rsid w:val="000934C5"/>
    <w:rsid w:val="00093D25"/>
    <w:rsid w:val="00093DAB"/>
    <w:rsid w:val="000940F4"/>
    <w:rsid w:val="00094D73"/>
    <w:rsid w:val="0009595B"/>
    <w:rsid w:val="00096D63"/>
    <w:rsid w:val="000A0B60"/>
    <w:rsid w:val="000A0EB8"/>
    <w:rsid w:val="000A19FC"/>
    <w:rsid w:val="000A296B"/>
    <w:rsid w:val="000A2A1A"/>
    <w:rsid w:val="000A7311"/>
    <w:rsid w:val="000B060F"/>
    <w:rsid w:val="000B1592"/>
    <w:rsid w:val="000B1FF2"/>
    <w:rsid w:val="000B3514"/>
    <w:rsid w:val="000B3CDA"/>
    <w:rsid w:val="000B4D87"/>
    <w:rsid w:val="000B6A0B"/>
    <w:rsid w:val="000C0A2A"/>
    <w:rsid w:val="000C0F6C"/>
    <w:rsid w:val="000C11DB"/>
    <w:rsid w:val="000C1492"/>
    <w:rsid w:val="000C285A"/>
    <w:rsid w:val="000C2FBD"/>
    <w:rsid w:val="000C487E"/>
    <w:rsid w:val="000C4B41"/>
    <w:rsid w:val="000C57D6"/>
    <w:rsid w:val="000C6362"/>
    <w:rsid w:val="000C7666"/>
    <w:rsid w:val="000D0A9C"/>
    <w:rsid w:val="000D1795"/>
    <w:rsid w:val="000D28F1"/>
    <w:rsid w:val="000D2B5A"/>
    <w:rsid w:val="000D329A"/>
    <w:rsid w:val="000D4B9C"/>
    <w:rsid w:val="000D4EB6"/>
    <w:rsid w:val="000D753B"/>
    <w:rsid w:val="000E148E"/>
    <w:rsid w:val="000E4C9E"/>
    <w:rsid w:val="000E6FD7"/>
    <w:rsid w:val="000E7144"/>
    <w:rsid w:val="000F04C1"/>
    <w:rsid w:val="000F06E1"/>
    <w:rsid w:val="000F0A80"/>
    <w:rsid w:val="000F0E3C"/>
    <w:rsid w:val="000F19D5"/>
    <w:rsid w:val="000F1EDB"/>
    <w:rsid w:val="000F2166"/>
    <w:rsid w:val="000F233A"/>
    <w:rsid w:val="000F3152"/>
    <w:rsid w:val="000F4050"/>
    <w:rsid w:val="000F4AEA"/>
    <w:rsid w:val="000F67E9"/>
    <w:rsid w:val="000F7B19"/>
    <w:rsid w:val="001033D4"/>
    <w:rsid w:val="00104926"/>
    <w:rsid w:val="00107001"/>
    <w:rsid w:val="00113B1E"/>
    <w:rsid w:val="0011711C"/>
    <w:rsid w:val="00117177"/>
    <w:rsid w:val="0012107C"/>
    <w:rsid w:val="00124E4F"/>
    <w:rsid w:val="001260B7"/>
    <w:rsid w:val="001265CB"/>
    <w:rsid w:val="00126D4A"/>
    <w:rsid w:val="001321C6"/>
    <w:rsid w:val="001325C4"/>
    <w:rsid w:val="00133010"/>
    <w:rsid w:val="001338EE"/>
    <w:rsid w:val="00133AAE"/>
    <w:rsid w:val="00135323"/>
    <w:rsid w:val="001356C4"/>
    <w:rsid w:val="00137565"/>
    <w:rsid w:val="00141114"/>
    <w:rsid w:val="00142969"/>
    <w:rsid w:val="001446C2"/>
    <w:rsid w:val="001457E7"/>
    <w:rsid w:val="00145D9D"/>
    <w:rsid w:val="0014626A"/>
    <w:rsid w:val="00146388"/>
    <w:rsid w:val="0015249D"/>
    <w:rsid w:val="001529E5"/>
    <w:rsid w:val="00152FB3"/>
    <w:rsid w:val="00153282"/>
    <w:rsid w:val="00153C7E"/>
    <w:rsid w:val="00153EBB"/>
    <w:rsid w:val="001567B7"/>
    <w:rsid w:val="00156B25"/>
    <w:rsid w:val="00156E1A"/>
    <w:rsid w:val="00157894"/>
    <w:rsid w:val="00157B55"/>
    <w:rsid w:val="00157E28"/>
    <w:rsid w:val="00157E2A"/>
    <w:rsid w:val="001642FA"/>
    <w:rsid w:val="00164908"/>
    <w:rsid w:val="001649EB"/>
    <w:rsid w:val="00164BAF"/>
    <w:rsid w:val="00164FA8"/>
    <w:rsid w:val="00165065"/>
    <w:rsid w:val="00165434"/>
    <w:rsid w:val="0016580B"/>
    <w:rsid w:val="00165F49"/>
    <w:rsid w:val="00166B88"/>
    <w:rsid w:val="0016770A"/>
    <w:rsid w:val="001707BB"/>
    <w:rsid w:val="00170804"/>
    <w:rsid w:val="001708E9"/>
    <w:rsid w:val="0017340B"/>
    <w:rsid w:val="00173FB1"/>
    <w:rsid w:val="00176DFD"/>
    <w:rsid w:val="00182F96"/>
    <w:rsid w:val="001852C9"/>
    <w:rsid w:val="00187A0B"/>
    <w:rsid w:val="00187A7F"/>
    <w:rsid w:val="00190087"/>
    <w:rsid w:val="001913C4"/>
    <w:rsid w:val="001913F1"/>
    <w:rsid w:val="00191CCD"/>
    <w:rsid w:val="0019348F"/>
    <w:rsid w:val="00193A07"/>
    <w:rsid w:val="00194C95"/>
    <w:rsid w:val="00195C34"/>
    <w:rsid w:val="0019609C"/>
    <w:rsid w:val="001964E4"/>
    <w:rsid w:val="00196EF5"/>
    <w:rsid w:val="001A0AAF"/>
    <w:rsid w:val="001A1A53"/>
    <w:rsid w:val="001A234A"/>
    <w:rsid w:val="001A4CF3"/>
    <w:rsid w:val="001A52A0"/>
    <w:rsid w:val="001A6696"/>
    <w:rsid w:val="001B06E8"/>
    <w:rsid w:val="001B0754"/>
    <w:rsid w:val="001B71D0"/>
    <w:rsid w:val="001B71EE"/>
    <w:rsid w:val="001C04A8"/>
    <w:rsid w:val="001C2C03"/>
    <w:rsid w:val="001C42F7"/>
    <w:rsid w:val="001C49E5"/>
    <w:rsid w:val="001C680C"/>
    <w:rsid w:val="001C7FEA"/>
    <w:rsid w:val="001D0499"/>
    <w:rsid w:val="001D0847"/>
    <w:rsid w:val="001D0BBE"/>
    <w:rsid w:val="001D0ED4"/>
    <w:rsid w:val="001D212F"/>
    <w:rsid w:val="001D29D7"/>
    <w:rsid w:val="001D2DE7"/>
    <w:rsid w:val="001D411C"/>
    <w:rsid w:val="001E1B6A"/>
    <w:rsid w:val="001E2484"/>
    <w:rsid w:val="001E3CC4"/>
    <w:rsid w:val="001E4882"/>
    <w:rsid w:val="001E73AB"/>
    <w:rsid w:val="001E78CA"/>
    <w:rsid w:val="001F092D"/>
    <w:rsid w:val="001F0A60"/>
    <w:rsid w:val="001F143A"/>
    <w:rsid w:val="001F1605"/>
    <w:rsid w:val="001F2508"/>
    <w:rsid w:val="001F4816"/>
    <w:rsid w:val="001F63BA"/>
    <w:rsid w:val="001F69B4"/>
    <w:rsid w:val="001F77C7"/>
    <w:rsid w:val="00200183"/>
    <w:rsid w:val="00200333"/>
    <w:rsid w:val="00200A15"/>
    <w:rsid w:val="0020107D"/>
    <w:rsid w:val="00201459"/>
    <w:rsid w:val="00202139"/>
    <w:rsid w:val="00202AA4"/>
    <w:rsid w:val="002031F7"/>
    <w:rsid w:val="002040E6"/>
    <w:rsid w:val="0020527B"/>
    <w:rsid w:val="00205F2C"/>
    <w:rsid w:val="0021013D"/>
    <w:rsid w:val="00210B15"/>
    <w:rsid w:val="002142EA"/>
    <w:rsid w:val="00215872"/>
    <w:rsid w:val="00215ADD"/>
    <w:rsid w:val="002204BB"/>
    <w:rsid w:val="00221B79"/>
    <w:rsid w:val="00221C6B"/>
    <w:rsid w:val="002253A1"/>
    <w:rsid w:val="00225CF8"/>
    <w:rsid w:val="0022794E"/>
    <w:rsid w:val="00231AD1"/>
    <w:rsid w:val="00231FC6"/>
    <w:rsid w:val="00233D64"/>
    <w:rsid w:val="0023482A"/>
    <w:rsid w:val="00234F99"/>
    <w:rsid w:val="002359CB"/>
    <w:rsid w:val="00235B23"/>
    <w:rsid w:val="00236CD8"/>
    <w:rsid w:val="00243540"/>
    <w:rsid w:val="0024497B"/>
    <w:rsid w:val="0024515B"/>
    <w:rsid w:val="00246021"/>
    <w:rsid w:val="0024666E"/>
    <w:rsid w:val="002467AB"/>
    <w:rsid w:val="00247F52"/>
    <w:rsid w:val="0025077C"/>
    <w:rsid w:val="00250B25"/>
    <w:rsid w:val="00250BBE"/>
    <w:rsid w:val="002515C2"/>
    <w:rsid w:val="0025194F"/>
    <w:rsid w:val="0026148A"/>
    <w:rsid w:val="002614C0"/>
    <w:rsid w:val="00262696"/>
    <w:rsid w:val="00263803"/>
    <w:rsid w:val="00263D25"/>
    <w:rsid w:val="002643C3"/>
    <w:rsid w:val="00264A0C"/>
    <w:rsid w:val="00266EEB"/>
    <w:rsid w:val="00267EF4"/>
    <w:rsid w:val="00270A63"/>
    <w:rsid w:val="00270CB8"/>
    <w:rsid w:val="00271648"/>
    <w:rsid w:val="00272B08"/>
    <w:rsid w:val="00281BB8"/>
    <w:rsid w:val="00281E9E"/>
    <w:rsid w:val="00282405"/>
    <w:rsid w:val="00283245"/>
    <w:rsid w:val="00285170"/>
    <w:rsid w:val="00285361"/>
    <w:rsid w:val="00286F77"/>
    <w:rsid w:val="00292D60"/>
    <w:rsid w:val="00293B30"/>
    <w:rsid w:val="00294D34"/>
    <w:rsid w:val="00294E3B"/>
    <w:rsid w:val="00296193"/>
    <w:rsid w:val="00296C66"/>
    <w:rsid w:val="00296EBE"/>
    <w:rsid w:val="002974E3"/>
    <w:rsid w:val="00297EE7"/>
    <w:rsid w:val="002A0501"/>
    <w:rsid w:val="002A084B"/>
    <w:rsid w:val="002A0D91"/>
    <w:rsid w:val="002A1260"/>
    <w:rsid w:val="002A1589"/>
    <w:rsid w:val="002A1608"/>
    <w:rsid w:val="002A188B"/>
    <w:rsid w:val="002A25DC"/>
    <w:rsid w:val="002A3AAB"/>
    <w:rsid w:val="002A4CEA"/>
    <w:rsid w:val="002A5977"/>
    <w:rsid w:val="002A5A13"/>
    <w:rsid w:val="002A757F"/>
    <w:rsid w:val="002A7F44"/>
    <w:rsid w:val="002B0C40"/>
    <w:rsid w:val="002B1966"/>
    <w:rsid w:val="002B39CE"/>
    <w:rsid w:val="002B4508"/>
    <w:rsid w:val="002B5779"/>
    <w:rsid w:val="002B7332"/>
    <w:rsid w:val="002B7F51"/>
    <w:rsid w:val="002C0822"/>
    <w:rsid w:val="002C09E7"/>
    <w:rsid w:val="002C1E06"/>
    <w:rsid w:val="002C1ED0"/>
    <w:rsid w:val="002C3409"/>
    <w:rsid w:val="002C3F07"/>
    <w:rsid w:val="002C5278"/>
    <w:rsid w:val="002C67B1"/>
    <w:rsid w:val="002C7EBB"/>
    <w:rsid w:val="002D06C1"/>
    <w:rsid w:val="002D09C9"/>
    <w:rsid w:val="002D11F8"/>
    <w:rsid w:val="002D42B5"/>
    <w:rsid w:val="002D4F1A"/>
    <w:rsid w:val="002D56AA"/>
    <w:rsid w:val="002D5734"/>
    <w:rsid w:val="002D6EC6"/>
    <w:rsid w:val="002D79AC"/>
    <w:rsid w:val="002E039D"/>
    <w:rsid w:val="002E0CA2"/>
    <w:rsid w:val="002E1074"/>
    <w:rsid w:val="002E25CC"/>
    <w:rsid w:val="002E2A08"/>
    <w:rsid w:val="002E4D5A"/>
    <w:rsid w:val="002E6326"/>
    <w:rsid w:val="002E77FE"/>
    <w:rsid w:val="002F30E0"/>
    <w:rsid w:val="002F35E4"/>
    <w:rsid w:val="002F3730"/>
    <w:rsid w:val="002F38E1"/>
    <w:rsid w:val="002F3F0C"/>
    <w:rsid w:val="002F56D6"/>
    <w:rsid w:val="002F5D7E"/>
    <w:rsid w:val="002F7AF6"/>
    <w:rsid w:val="00300E63"/>
    <w:rsid w:val="00302700"/>
    <w:rsid w:val="00302C7A"/>
    <w:rsid w:val="00302F5F"/>
    <w:rsid w:val="0030441D"/>
    <w:rsid w:val="00306063"/>
    <w:rsid w:val="00307E4E"/>
    <w:rsid w:val="00310A2A"/>
    <w:rsid w:val="00313B85"/>
    <w:rsid w:val="0031459E"/>
    <w:rsid w:val="00317988"/>
    <w:rsid w:val="00317A1F"/>
    <w:rsid w:val="003208CC"/>
    <w:rsid w:val="00321BB1"/>
    <w:rsid w:val="00321C9E"/>
    <w:rsid w:val="00321CF6"/>
    <w:rsid w:val="003221B4"/>
    <w:rsid w:val="0032258D"/>
    <w:rsid w:val="00322E62"/>
    <w:rsid w:val="0032326C"/>
    <w:rsid w:val="003243FB"/>
    <w:rsid w:val="00324D13"/>
    <w:rsid w:val="00324EDD"/>
    <w:rsid w:val="003330E8"/>
    <w:rsid w:val="003331E4"/>
    <w:rsid w:val="00334E3C"/>
    <w:rsid w:val="00336C64"/>
    <w:rsid w:val="00337162"/>
    <w:rsid w:val="003416D8"/>
    <w:rsid w:val="0034194F"/>
    <w:rsid w:val="00344605"/>
    <w:rsid w:val="003452D6"/>
    <w:rsid w:val="00345705"/>
    <w:rsid w:val="003474AA"/>
    <w:rsid w:val="00350D1D"/>
    <w:rsid w:val="00352BAC"/>
    <w:rsid w:val="00352C83"/>
    <w:rsid w:val="00352F1A"/>
    <w:rsid w:val="003540E5"/>
    <w:rsid w:val="003555F7"/>
    <w:rsid w:val="00360317"/>
    <w:rsid w:val="0036107C"/>
    <w:rsid w:val="003615D2"/>
    <w:rsid w:val="00362003"/>
    <w:rsid w:val="003621DC"/>
    <w:rsid w:val="00362A5F"/>
    <w:rsid w:val="0036429C"/>
    <w:rsid w:val="00364A53"/>
    <w:rsid w:val="003654CB"/>
    <w:rsid w:val="00365AA9"/>
    <w:rsid w:val="00365F86"/>
    <w:rsid w:val="00365F87"/>
    <w:rsid w:val="00366E89"/>
    <w:rsid w:val="003705F4"/>
    <w:rsid w:val="00370722"/>
    <w:rsid w:val="00370D58"/>
    <w:rsid w:val="00371316"/>
    <w:rsid w:val="00373951"/>
    <w:rsid w:val="00374834"/>
    <w:rsid w:val="003766AD"/>
    <w:rsid w:val="00376713"/>
    <w:rsid w:val="00377EC1"/>
    <w:rsid w:val="00381815"/>
    <w:rsid w:val="003819AF"/>
    <w:rsid w:val="003820E9"/>
    <w:rsid w:val="00382DE7"/>
    <w:rsid w:val="00384FFC"/>
    <w:rsid w:val="003872FC"/>
    <w:rsid w:val="00387ADC"/>
    <w:rsid w:val="00390020"/>
    <w:rsid w:val="003900D9"/>
    <w:rsid w:val="003903D6"/>
    <w:rsid w:val="00390EE6"/>
    <w:rsid w:val="0039118F"/>
    <w:rsid w:val="00392AD7"/>
    <w:rsid w:val="003938D9"/>
    <w:rsid w:val="00394376"/>
    <w:rsid w:val="003943FF"/>
    <w:rsid w:val="003967D7"/>
    <w:rsid w:val="003974EB"/>
    <w:rsid w:val="00397CC5"/>
    <w:rsid w:val="003A11D1"/>
    <w:rsid w:val="003A1582"/>
    <w:rsid w:val="003A1B18"/>
    <w:rsid w:val="003A1B8F"/>
    <w:rsid w:val="003A3D9C"/>
    <w:rsid w:val="003A4077"/>
    <w:rsid w:val="003A4AA7"/>
    <w:rsid w:val="003B09AD"/>
    <w:rsid w:val="003B1383"/>
    <w:rsid w:val="003B1F18"/>
    <w:rsid w:val="003B3298"/>
    <w:rsid w:val="003B5BF0"/>
    <w:rsid w:val="003B60BF"/>
    <w:rsid w:val="003B6BE3"/>
    <w:rsid w:val="003C010C"/>
    <w:rsid w:val="003C0A6C"/>
    <w:rsid w:val="003C14F8"/>
    <w:rsid w:val="003C2CB3"/>
    <w:rsid w:val="003C31A3"/>
    <w:rsid w:val="003C5136"/>
    <w:rsid w:val="003C5A43"/>
    <w:rsid w:val="003D0519"/>
    <w:rsid w:val="003D0FF6"/>
    <w:rsid w:val="003D206A"/>
    <w:rsid w:val="003D262C"/>
    <w:rsid w:val="003D2FD8"/>
    <w:rsid w:val="003D34D1"/>
    <w:rsid w:val="003D6D61"/>
    <w:rsid w:val="003E019F"/>
    <w:rsid w:val="003E091D"/>
    <w:rsid w:val="003E1C53"/>
    <w:rsid w:val="003E2A69"/>
    <w:rsid w:val="003E2D49"/>
    <w:rsid w:val="003E2FD4"/>
    <w:rsid w:val="003E37D0"/>
    <w:rsid w:val="003E49F6"/>
    <w:rsid w:val="003E5C3C"/>
    <w:rsid w:val="003E660F"/>
    <w:rsid w:val="003E7DC4"/>
    <w:rsid w:val="003F0841"/>
    <w:rsid w:val="003F23D3"/>
    <w:rsid w:val="003F3F08"/>
    <w:rsid w:val="003F49F1"/>
    <w:rsid w:val="003F6272"/>
    <w:rsid w:val="003F6BEE"/>
    <w:rsid w:val="00400E72"/>
    <w:rsid w:val="00401400"/>
    <w:rsid w:val="0040407A"/>
    <w:rsid w:val="00404869"/>
    <w:rsid w:val="00405884"/>
    <w:rsid w:val="00407D39"/>
    <w:rsid w:val="00412C2F"/>
    <w:rsid w:val="0041477A"/>
    <w:rsid w:val="00414F18"/>
    <w:rsid w:val="004167A3"/>
    <w:rsid w:val="004179C5"/>
    <w:rsid w:val="0042298E"/>
    <w:rsid w:val="00432DAA"/>
    <w:rsid w:val="00434305"/>
    <w:rsid w:val="004353FE"/>
    <w:rsid w:val="00435DF7"/>
    <w:rsid w:val="0043741A"/>
    <w:rsid w:val="0044083F"/>
    <w:rsid w:val="00441AE7"/>
    <w:rsid w:val="00443A78"/>
    <w:rsid w:val="00445574"/>
    <w:rsid w:val="004467FB"/>
    <w:rsid w:val="004503A7"/>
    <w:rsid w:val="00450DDB"/>
    <w:rsid w:val="00452D6B"/>
    <w:rsid w:val="00453FAB"/>
    <w:rsid w:val="00454484"/>
    <w:rsid w:val="0045517B"/>
    <w:rsid w:val="00455FE0"/>
    <w:rsid w:val="0045757E"/>
    <w:rsid w:val="00463B77"/>
    <w:rsid w:val="00463C7B"/>
    <w:rsid w:val="004644A6"/>
    <w:rsid w:val="004659BD"/>
    <w:rsid w:val="0046663E"/>
    <w:rsid w:val="00470775"/>
    <w:rsid w:val="00472DAF"/>
    <w:rsid w:val="004746B1"/>
    <w:rsid w:val="0047492E"/>
    <w:rsid w:val="00474B19"/>
    <w:rsid w:val="0047583F"/>
    <w:rsid w:val="00475DE8"/>
    <w:rsid w:val="004762C5"/>
    <w:rsid w:val="00476F19"/>
    <w:rsid w:val="00481C44"/>
    <w:rsid w:val="004832FA"/>
    <w:rsid w:val="00484936"/>
    <w:rsid w:val="00485C89"/>
    <w:rsid w:val="00486BE3"/>
    <w:rsid w:val="004905E4"/>
    <w:rsid w:val="0049066F"/>
    <w:rsid w:val="00490A89"/>
    <w:rsid w:val="00490AB4"/>
    <w:rsid w:val="00492F02"/>
    <w:rsid w:val="004939AE"/>
    <w:rsid w:val="004A0417"/>
    <w:rsid w:val="004A0C3C"/>
    <w:rsid w:val="004A12DF"/>
    <w:rsid w:val="004A1BA8"/>
    <w:rsid w:val="004A2432"/>
    <w:rsid w:val="004A4B57"/>
    <w:rsid w:val="004A63FA"/>
    <w:rsid w:val="004A6640"/>
    <w:rsid w:val="004A6A3D"/>
    <w:rsid w:val="004B0272"/>
    <w:rsid w:val="004B2701"/>
    <w:rsid w:val="004B2E1B"/>
    <w:rsid w:val="004B3AA8"/>
    <w:rsid w:val="004B3E93"/>
    <w:rsid w:val="004B5A80"/>
    <w:rsid w:val="004C1FBC"/>
    <w:rsid w:val="004C25A2"/>
    <w:rsid w:val="004C3F1D"/>
    <w:rsid w:val="004C409F"/>
    <w:rsid w:val="004C458D"/>
    <w:rsid w:val="004C7556"/>
    <w:rsid w:val="004C7E8B"/>
    <w:rsid w:val="004C7E9D"/>
    <w:rsid w:val="004C7F67"/>
    <w:rsid w:val="004D076D"/>
    <w:rsid w:val="004D0EF1"/>
    <w:rsid w:val="004D2253"/>
    <w:rsid w:val="004D22AC"/>
    <w:rsid w:val="004D3E2F"/>
    <w:rsid w:val="004D4406"/>
    <w:rsid w:val="004D4B7D"/>
    <w:rsid w:val="004D5869"/>
    <w:rsid w:val="004D7C42"/>
    <w:rsid w:val="004E029D"/>
    <w:rsid w:val="004E0465"/>
    <w:rsid w:val="004E0C73"/>
    <w:rsid w:val="004E127B"/>
    <w:rsid w:val="004E1C0A"/>
    <w:rsid w:val="004E30C5"/>
    <w:rsid w:val="004E3E81"/>
    <w:rsid w:val="004E4AA5"/>
    <w:rsid w:val="004E4AEE"/>
    <w:rsid w:val="004E59E3"/>
    <w:rsid w:val="004E67C0"/>
    <w:rsid w:val="004E7728"/>
    <w:rsid w:val="004F29F1"/>
    <w:rsid w:val="004F2D8B"/>
    <w:rsid w:val="004F36BF"/>
    <w:rsid w:val="004F391A"/>
    <w:rsid w:val="004F3CFB"/>
    <w:rsid w:val="004F6456"/>
    <w:rsid w:val="004F696E"/>
    <w:rsid w:val="004F6ADC"/>
    <w:rsid w:val="004F6C71"/>
    <w:rsid w:val="004F72A5"/>
    <w:rsid w:val="004F7EBF"/>
    <w:rsid w:val="00501139"/>
    <w:rsid w:val="00501593"/>
    <w:rsid w:val="0050363E"/>
    <w:rsid w:val="005039BC"/>
    <w:rsid w:val="00503F0E"/>
    <w:rsid w:val="005043BB"/>
    <w:rsid w:val="00504A3D"/>
    <w:rsid w:val="00505767"/>
    <w:rsid w:val="0050697A"/>
    <w:rsid w:val="005073F0"/>
    <w:rsid w:val="00510A7B"/>
    <w:rsid w:val="00511654"/>
    <w:rsid w:val="00512F6E"/>
    <w:rsid w:val="00513038"/>
    <w:rsid w:val="00513F1A"/>
    <w:rsid w:val="00514174"/>
    <w:rsid w:val="005158B6"/>
    <w:rsid w:val="00516088"/>
    <w:rsid w:val="00516B0B"/>
    <w:rsid w:val="005179FD"/>
    <w:rsid w:val="00521590"/>
    <w:rsid w:val="005220EC"/>
    <w:rsid w:val="00522D99"/>
    <w:rsid w:val="00523F95"/>
    <w:rsid w:val="00524595"/>
    <w:rsid w:val="00524D65"/>
    <w:rsid w:val="00525B16"/>
    <w:rsid w:val="00533D04"/>
    <w:rsid w:val="005340DF"/>
    <w:rsid w:val="00534804"/>
    <w:rsid w:val="00534BDF"/>
    <w:rsid w:val="005352F5"/>
    <w:rsid w:val="005354EA"/>
    <w:rsid w:val="0053585F"/>
    <w:rsid w:val="00535EC4"/>
    <w:rsid w:val="00535ED9"/>
    <w:rsid w:val="005367FE"/>
    <w:rsid w:val="0053692B"/>
    <w:rsid w:val="005416DA"/>
    <w:rsid w:val="00541853"/>
    <w:rsid w:val="00543BDA"/>
    <w:rsid w:val="005441CC"/>
    <w:rsid w:val="00544BEB"/>
    <w:rsid w:val="005479DA"/>
    <w:rsid w:val="00547BCC"/>
    <w:rsid w:val="0055013B"/>
    <w:rsid w:val="0055099A"/>
    <w:rsid w:val="00551CCA"/>
    <w:rsid w:val="00551E62"/>
    <w:rsid w:val="00551F6F"/>
    <w:rsid w:val="00555044"/>
    <w:rsid w:val="00555CB2"/>
    <w:rsid w:val="00557448"/>
    <w:rsid w:val="00561475"/>
    <w:rsid w:val="00562308"/>
    <w:rsid w:val="0056487B"/>
    <w:rsid w:val="00564FB9"/>
    <w:rsid w:val="005706D5"/>
    <w:rsid w:val="00573D9E"/>
    <w:rsid w:val="00574FF8"/>
    <w:rsid w:val="0057577D"/>
    <w:rsid w:val="00577C43"/>
    <w:rsid w:val="005801E3"/>
    <w:rsid w:val="005810DD"/>
    <w:rsid w:val="00581802"/>
    <w:rsid w:val="00581AD5"/>
    <w:rsid w:val="00582BE1"/>
    <w:rsid w:val="005834C9"/>
    <w:rsid w:val="005836A8"/>
    <w:rsid w:val="0058409C"/>
    <w:rsid w:val="00584262"/>
    <w:rsid w:val="00586630"/>
    <w:rsid w:val="00587ADD"/>
    <w:rsid w:val="00593A49"/>
    <w:rsid w:val="00596160"/>
    <w:rsid w:val="005966E2"/>
    <w:rsid w:val="005968C7"/>
    <w:rsid w:val="00597007"/>
    <w:rsid w:val="005978D2"/>
    <w:rsid w:val="005A03B4"/>
    <w:rsid w:val="005A0966"/>
    <w:rsid w:val="005A11B7"/>
    <w:rsid w:val="005A23B6"/>
    <w:rsid w:val="005A260B"/>
    <w:rsid w:val="005A471A"/>
    <w:rsid w:val="005A4A1B"/>
    <w:rsid w:val="005A7830"/>
    <w:rsid w:val="005A7FCE"/>
    <w:rsid w:val="005B0F3F"/>
    <w:rsid w:val="005B191C"/>
    <w:rsid w:val="005B2942"/>
    <w:rsid w:val="005B4903"/>
    <w:rsid w:val="005B4AEB"/>
    <w:rsid w:val="005B51CE"/>
    <w:rsid w:val="005B5885"/>
    <w:rsid w:val="005B5CD7"/>
    <w:rsid w:val="005B6CF6"/>
    <w:rsid w:val="005B7422"/>
    <w:rsid w:val="005B7851"/>
    <w:rsid w:val="005C0E30"/>
    <w:rsid w:val="005C29B8"/>
    <w:rsid w:val="005C4107"/>
    <w:rsid w:val="005C44CC"/>
    <w:rsid w:val="005C5F21"/>
    <w:rsid w:val="005C7156"/>
    <w:rsid w:val="005C7193"/>
    <w:rsid w:val="005D0C75"/>
    <w:rsid w:val="005D0CCB"/>
    <w:rsid w:val="005D1271"/>
    <w:rsid w:val="005D16FC"/>
    <w:rsid w:val="005D1907"/>
    <w:rsid w:val="005D3A8F"/>
    <w:rsid w:val="005D4171"/>
    <w:rsid w:val="005D6A95"/>
    <w:rsid w:val="005D6B2C"/>
    <w:rsid w:val="005D6B75"/>
    <w:rsid w:val="005D6D9C"/>
    <w:rsid w:val="005D720B"/>
    <w:rsid w:val="005D79B3"/>
    <w:rsid w:val="005E064B"/>
    <w:rsid w:val="005E2335"/>
    <w:rsid w:val="005E34CA"/>
    <w:rsid w:val="005E3C18"/>
    <w:rsid w:val="005E4250"/>
    <w:rsid w:val="005E6812"/>
    <w:rsid w:val="005E7881"/>
    <w:rsid w:val="005E78E0"/>
    <w:rsid w:val="005F0D9C"/>
    <w:rsid w:val="005F1A7C"/>
    <w:rsid w:val="005F21CD"/>
    <w:rsid w:val="005F284E"/>
    <w:rsid w:val="006015CE"/>
    <w:rsid w:val="00601D28"/>
    <w:rsid w:val="00604784"/>
    <w:rsid w:val="00606419"/>
    <w:rsid w:val="00607D29"/>
    <w:rsid w:val="00612952"/>
    <w:rsid w:val="00614CC1"/>
    <w:rsid w:val="00615A9D"/>
    <w:rsid w:val="00615E2E"/>
    <w:rsid w:val="00617387"/>
    <w:rsid w:val="0062038F"/>
    <w:rsid w:val="006205D6"/>
    <w:rsid w:val="00623A39"/>
    <w:rsid w:val="006252D8"/>
    <w:rsid w:val="006259BC"/>
    <w:rsid w:val="00625FF5"/>
    <w:rsid w:val="0062636B"/>
    <w:rsid w:val="00626FA1"/>
    <w:rsid w:val="0063150B"/>
    <w:rsid w:val="006318F6"/>
    <w:rsid w:val="00632182"/>
    <w:rsid w:val="00632AE0"/>
    <w:rsid w:val="00633C17"/>
    <w:rsid w:val="00634D9E"/>
    <w:rsid w:val="00636E3E"/>
    <w:rsid w:val="006379F7"/>
    <w:rsid w:val="00637E4D"/>
    <w:rsid w:val="00640620"/>
    <w:rsid w:val="00640ACE"/>
    <w:rsid w:val="00641A1F"/>
    <w:rsid w:val="0064349A"/>
    <w:rsid w:val="00645904"/>
    <w:rsid w:val="00651ACB"/>
    <w:rsid w:val="00651C47"/>
    <w:rsid w:val="00651D9F"/>
    <w:rsid w:val="00652AB2"/>
    <w:rsid w:val="00653FED"/>
    <w:rsid w:val="00654EC0"/>
    <w:rsid w:val="0065525B"/>
    <w:rsid w:val="00655D4F"/>
    <w:rsid w:val="00656D29"/>
    <w:rsid w:val="00660269"/>
    <w:rsid w:val="006619A0"/>
    <w:rsid w:val="00663B6A"/>
    <w:rsid w:val="006640E5"/>
    <w:rsid w:val="006646F1"/>
    <w:rsid w:val="00664929"/>
    <w:rsid w:val="00664F62"/>
    <w:rsid w:val="006655E1"/>
    <w:rsid w:val="00665AE2"/>
    <w:rsid w:val="00672060"/>
    <w:rsid w:val="0067211C"/>
    <w:rsid w:val="00672BFD"/>
    <w:rsid w:val="0067669F"/>
    <w:rsid w:val="006770F4"/>
    <w:rsid w:val="0067789A"/>
    <w:rsid w:val="00677A84"/>
    <w:rsid w:val="0068026D"/>
    <w:rsid w:val="00680A27"/>
    <w:rsid w:val="006816A4"/>
    <w:rsid w:val="006819B8"/>
    <w:rsid w:val="006840A6"/>
    <w:rsid w:val="006850CD"/>
    <w:rsid w:val="00685AAB"/>
    <w:rsid w:val="006864DA"/>
    <w:rsid w:val="006931C8"/>
    <w:rsid w:val="00693962"/>
    <w:rsid w:val="00693A9D"/>
    <w:rsid w:val="006A07AA"/>
    <w:rsid w:val="006A25E5"/>
    <w:rsid w:val="006A2B46"/>
    <w:rsid w:val="006A2D26"/>
    <w:rsid w:val="006A336D"/>
    <w:rsid w:val="006A37B9"/>
    <w:rsid w:val="006A3875"/>
    <w:rsid w:val="006A67B8"/>
    <w:rsid w:val="006A6CFD"/>
    <w:rsid w:val="006A79CF"/>
    <w:rsid w:val="006B2672"/>
    <w:rsid w:val="006B3E7E"/>
    <w:rsid w:val="006B54BF"/>
    <w:rsid w:val="006B5F44"/>
    <w:rsid w:val="006B5F90"/>
    <w:rsid w:val="006B62E4"/>
    <w:rsid w:val="006C05C5"/>
    <w:rsid w:val="006C1BBA"/>
    <w:rsid w:val="006C2079"/>
    <w:rsid w:val="006C3762"/>
    <w:rsid w:val="006C5A62"/>
    <w:rsid w:val="006C5D68"/>
    <w:rsid w:val="006C6976"/>
    <w:rsid w:val="006C6DD0"/>
    <w:rsid w:val="006D04EA"/>
    <w:rsid w:val="006D16C4"/>
    <w:rsid w:val="006D22CB"/>
    <w:rsid w:val="006D3886"/>
    <w:rsid w:val="006D3BDC"/>
    <w:rsid w:val="006D3E96"/>
    <w:rsid w:val="006D4515"/>
    <w:rsid w:val="006D4BB1"/>
    <w:rsid w:val="006D6593"/>
    <w:rsid w:val="006D7614"/>
    <w:rsid w:val="006D7EB7"/>
    <w:rsid w:val="006E0B6F"/>
    <w:rsid w:val="006E2701"/>
    <w:rsid w:val="006F03A8"/>
    <w:rsid w:val="006F2ACA"/>
    <w:rsid w:val="006F2ADC"/>
    <w:rsid w:val="006F2BFE"/>
    <w:rsid w:val="006F2C8D"/>
    <w:rsid w:val="006F31E9"/>
    <w:rsid w:val="006F6284"/>
    <w:rsid w:val="007002C5"/>
    <w:rsid w:val="00704302"/>
    <w:rsid w:val="00704387"/>
    <w:rsid w:val="00707669"/>
    <w:rsid w:val="007103D1"/>
    <w:rsid w:val="00711CBA"/>
    <w:rsid w:val="00711FB5"/>
    <w:rsid w:val="00712A01"/>
    <w:rsid w:val="00714F58"/>
    <w:rsid w:val="00721277"/>
    <w:rsid w:val="00722FBF"/>
    <w:rsid w:val="00722FC2"/>
    <w:rsid w:val="007235A5"/>
    <w:rsid w:val="00723D0B"/>
    <w:rsid w:val="00724822"/>
    <w:rsid w:val="00724E1B"/>
    <w:rsid w:val="00725949"/>
    <w:rsid w:val="00727FA2"/>
    <w:rsid w:val="00731127"/>
    <w:rsid w:val="00731153"/>
    <w:rsid w:val="007322D9"/>
    <w:rsid w:val="00732BC0"/>
    <w:rsid w:val="0073714F"/>
    <w:rsid w:val="0073720F"/>
    <w:rsid w:val="00737796"/>
    <w:rsid w:val="0074165C"/>
    <w:rsid w:val="00742C35"/>
    <w:rsid w:val="007432CA"/>
    <w:rsid w:val="007439EB"/>
    <w:rsid w:val="00743CB4"/>
    <w:rsid w:val="00743F0A"/>
    <w:rsid w:val="007444E8"/>
    <w:rsid w:val="0074548E"/>
    <w:rsid w:val="00745773"/>
    <w:rsid w:val="00745AA6"/>
    <w:rsid w:val="00746800"/>
    <w:rsid w:val="007501A8"/>
    <w:rsid w:val="007505B5"/>
    <w:rsid w:val="00750D61"/>
    <w:rsid w:val="00750EE1"/>
    <w:rsid w:val="007512BA"/>
    <w:rsid w:val="00752B4D"/>
    <w:rsid w:val="00753987"/>
    <w:rsid w:val="00755402"/>
    <w:rsid w:val="00756B26"/>
    <w:rsid w:val="00756EDF"/>
    <w:rsid w:val="007600E3"/>
    <w:rsid w:val="00765C43"/>
    <w:rsid w:val="00765EFB"/>
    <w:rsid w:val="00766D2E"/>
    <w:rsid w:val="007671CA"/>
    <w:rsid w:val="00767C61"/>
    <w:rsid w:val="0077008A"/>
    <w:rsid w:val="007710B4"/>
    <w:rsid w:val="00773C1F"/>
    <w:rsid w:val="00774DA4"/>
    <w:rsid w:val="007762AE"/>
    <w:rsid w:val="00776599"/>
    <w:rsid w:val="007765E0"/>
    <w:rsid w:val="00780726"/>
    <w:rsid w:val="00780CED"/>
    <w:rsid w:val="0078114B"/>
    <w:rsid w:val="00781DD2"/>
    <w:rsid w:val="00783B8E"/>
    <w:rsid w:val="00783ECF"/>
    <w:rsid w:val="0078413A"/>
    <w:rsid w:val="00787CD0"/>
    <w:rsid w:val="00792508"/>
    <w:rsid w:val="00794B27"/>
    <w:rsid w:val="007952BD"/>
    <w:rsid w:val="007959E8"/>
    <w:rsid w:val="00795E9C"/>
    <w:rsid w:val="007A0521"/>
    <w:rsid w:val="007A0664"/>
    <w:rsid w:val="007A284A"/>
    <w:rsid w:val="007A2E12"/>
    <w:rsid w:val="007A3475"/>
    <w:rsid w:val="007A41C8"/>
    <w:rsid w:val="007A54CE"/>
    <w:rsid w:val="007A5D3A"/>
    <w:rsid w:val="007A6FD9"/>
    <w:rsid w:val="007A7FFA"/>
    <w:rsid w:val="007B04EB"/>
    <w:rsid w:val="007B0D4F"/>
    <w:rsid w:val="007B16B9"/>
    <w:rsid w:val="007B5A3D"/>
    <w:rsid w:val="007B5B95"/>
    <w:rsid w:val="007B6032"/>
    <w:rsid w:val="007B68EA"/>
    <w:rsid w:val="007B7453"/>
    <w:rsid w:val="007C1B16"/>
    <w:rsid w:val="007C2D89"/>
    <w:rsid w:val="007C4593"/>
    <w:rsid w:val="007C5309"/>
    <w:rsid w:val="007C6069"/>
    <w:rsid w:val="007D06C4"/>
    <w:rsid w:val="007D1212"/>
    <w:rsid w:val="007D1352"/>
    <w:rsid w:val="007D2508"/>
    <w:rsid w:val="007D346A"/>
    <w:rsid w:val="007D6518"/>
    <w:rsid w:val="007D6850"/>
    <w:rsid w:val="007D696D"/>
    <w:rsid w:val="007D76BD"/>
    <w:rsid w:val="007E034F"/>
    <w:rsid w:val="007E035C"/>
    <w:rsid w:val="007E0BF1"/>
    <w:rsid w:val="007E1060"/>
    <w:rsid w:val="007E4360"/>
    <w:rsid w:val="007F0ED8"/>
    <w:rsid w:val="007F0F63"/>
    <w:rsid w:val="007F18EA"/>
    <w:rsid w:val="007F1924"/>
    <w:rsid w:val="007F5D6B"/>
    <w:rsid w:val="007F752F"/>
    <w:rsid w:val="007F75CE"/>
    <w:rsid w:val="00800F74"/>
    <w:rsid w:val="008013A4"/>
    <w:rsid w:val="008019FE"/>
    <w:rsid w:val="008027CE"/>
    <w:rsid w:val="00802961"/>
    <w:rsid w:val="00802F42"/>
    <w:rsid w:val="00803604"/>
    <w:rsid w:val="00804383"/>
    <w:rsid w:val="00804BB7"/>
    <w:rsid w:val="00804D41"/>
    <w:rsid w:val="00805A6F"/>
    <w:rsid w:val="0080679E"/>
    <w:rsid w:val="00810257"/>
    <w:rsid w:val="008104F5"/>
    <w:rsid w:val="00811072"/>
    <w:rsid w:val="00811369"/>
    <w:rsid w:val="008134A3"/>
    <w:rsid w:val="00815419"/>
    <w:rsid w:val="00815CF6"/>
    <w:rsid w:val="00816044"/>
    <w:rsid w:val="008163C8"/>
    <w:rsid w:val="008164A1"/>
    <w:rsid w:val="00817325"/>
    <w:rsid w:val="008209E6"/>
    <w:rsid w:val="00820A2B"/>
    <w:rsid w:val="00821D19"/>
    <w:rsid w:val="00823303"/>
    <w:rsid w:val="008233B2"/>
    <w:rsid w:val="00823A9F"/>
    <w:rsid w:val="00823C85"/>
    <w:rsid w:val="00825138"/>
    <w:rsid w:val="008254FB"/>
    <w:rsid w:val="008269DD"/>
    <w:rsid w:val="00827A7B"/>
    <w:rsid w:val="00830621"/>
    <w:rsid w:val="0083067F"/>
    <w:rsid w:val="008331FD"/>
    <w:rsid w:val="0083348C"/>
    <w:rsid w:val="00833BAE"/>
    <w:rsid w:val="008351C4"/>
    <w:rsid w:val="00836E5B"/>
    <w:rsid w:val="008373D3"/>
    <w:rsid w:val="008376E6"/>
    <w:rsid w:val="00837FE6"/>
    <w:rsid w:val="00840617"/>
    <w:rsid w:val="00840F84"/>
    <w:rsid w:val="00842A47"/>
    <w:rsid w:val="00843C13"/>
    <w:rsid w:val="00843DEF"/>
    <w:rsid w:val="00843FC0"/>
    <w:rsid w:val="008454F8"/>
    <w:rsid w:val="00846E27"/>
    <w:rsid w:val="00850213"/>
    <w:rsid w:val="0085173A"/>
    <w:rsid w:val="008603CE"/>
    <w:rsid w:val="008620FC"/>
    <w:rsid w:val="008627A5"/>
    <w:rsid w:val="00863E05"/>
    <w:rsid w:val="00865ACA"/>
    <w:rsid w:val="00865D28"/>
    <w:rsid w:val="00865F85"/>
    <w:rsid w:val="00867C10"/>
    <w:rsid w:val="00870439"/>
    <w:rsid w:val="00870807"/>
    <w:rsid w:val="00870DA1"/>
    <w:rsid w:val="0087291A"/>
    <w:rsid w:val="00883906"/>
    <w:rsid w:val="00883F93"/>
    <w:rsid w:val="00884DB3"/>
    <w:rsid w:val="00885A9D"/>
    <w:rsid w:val="008864F6"/>
    <w:rsid w:val="0089049D"/>
    <w:rsid w:val="00890CDD"/>
    <w:rsid w:val="008928C9"/>
    <w:rsid w:val="008930CB"/>
    <w:rsid w:val="008938DC"/>
    <w:rsid w:val="00893FD1"/>
    <w:rsid w:val="00894836"/>
    <w:rsid w:val="00895172"/>
    <w:rsid w:val="008955F4"/>
    <w:rsid w:val="00895680"/>
    <w:rsid w:val="00895C0B"/>
    <w:rsid w:val="00896050"/>
    <w:rsid w:val="008960C8"/>
    <w:rsid w:val="00896575"/>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53AE"/>
    <w:rsid w:val="008B53DE"/>
    <w:rsid w:val="008B70DE"/>
    <w:rsid w:val="008B79ED"/>
    <w:rsid w:val="008B7E05"/>
    <w:rsid w:val="008C16AD"/>
    <w:rsid w:val="008C1797"/>
    <w:rsid w:val="008C17C0"/>
    <w:rsid w:val="008C1852"/>
    <w:rsid w:val="008C219C"/>
    <w:rsid w:val="008C2531"/>
    <w:rsid w:val="008C306C"/>
    <w:rsid w:val="008C3083"/>
    <w:rsid w:val="008C475E"/>
    <w:rsid w:val="008C619A"/>
    <w:rsid w:val="008D0CE8"/>
    <w:rsid w:val="008D2D1D"/>
    <w:rsid w:val="008D2D67"/>
    <w:rsid w:val="008D453D"/>
    <w:rsid w:val="008D45E0"/>
    <w:rsid w:val="008D53AD"/>
    <w:rsid w:val="008D562B"/>
    <w:rsid w:val="008D5733"/>
    <w:rsid w:val="008D622B"/>
    <w:rsid w:val="008D666C"/>
    <w:rsid w:val="008D71D0"/>
    <w:rsid w:val="008D7B54"/>
    <w:rsid w:val="008E0A42"/>
    <w:rsid w:val="008E0C9D"/>
    <w:rsid w:val="008E1648"/>
    <w:rsid w:val="008E1B3E"/>
    <w:rsid w:val="008E2319"/>
    <w:rsid w:val="008E4BB6"/>
    <w:rsid w:val="008E5518"/>
    <w:rsid w:val="008E6A84"/>
    <w:rsid w:val="008F0B8F"/>
    <w:rsid w:val="008F0BB3"/>
    <w:rsid w:val="008F0CDC"/>
    <w:rsid w:val="008F17A3"/>
    <w:rsid w:val="008F1ED3"/>
    <w:rsid w:val="008F34CA"/>
    <w:rsid w:val="008F4C29"/>
    <w:rsid w:val="008F70BD"/>
    <w:rsid w:val="008F788F"/>
    <w:rsid w:val="008F7EA2"/>
    <w:rsid w:val="00901DB0"/>
    <w:rsid w:val="00902722"/>
    <w:rsid w:val="009027BC"/>
    <w:rsid w:val="009046CC"/>
    <w:rsid w:val="009062E6"/>
    <w:rsid w:val="009102FC"/>
    <w:rsid w:val="00911BE5"/>
    <w:rsid w:val="00912447"/>
    <w:rsid w:val="00913CA9"/>
    <w:rsid w:val="009145AE"/>
    <w:rsid w:val="009146CE"/>
    <w:rsid w:val="00914CA7"/>
    <w:rsid w:val="00915C3E"/>
    <w:rsid w:val="00915D88"/>
    <w:rsid w:val="009161A8"/>
    <w:rsid w:val="00922908"/>
    <w:rsid w:val="00924491"/>
    <w:rsid w:val="009245AE"/>
    <w:rsid w:val="009245F5"/>
    <w:rsid w:val="009249EC"/>
    <w:rsid w:val="009273B3"/>
    <w:rsid w:val="009305B5"/>
    <w:rsid w:val="009378DD"/>
    <w:rsid w:val="0094135E"/>
    <w:rsid w:val="009421E2"/>
    <w:rsid w:val="0094247B"/>
    <w:rsid w:val="009429D5"/>
    <w:rsid w:val="00942BF1"/>
    <w:rsid w:val="00945180"/>
    <w:rsid w:val="00945428"/>
    <w:rsid w:val="0094607B"/>
    <w:rsid w:val="00946681"/>
    <w:rsid w:val="00953604"/>
    <w:rsid w:val="0095496B"/>
    <w:rsid w:val="009549CD"/>
    <w:rsid w:val="00957E0E"/>
    <w:rsid w:val="00960DCC"/>
    <w:rsid w:val="00960F1E"/>
    <w:rsid w:val="009610DC"/>
    <w:rsid w:val="00961490"/>
    <w:rsid w:val="00962F1C"/>
    <w:rsid w:val="0096381A"/>
    <w:rsid w:val="00963D20"/>
    <w:rsid w:val="00965E04"/>
    <w:rsid w:val="009674AD"/>
    <w:rsid w:val="00967F78"/>
    <w:rsid w:val="00970CDC"/>
    <w:rsid w:val="00975727"/>
    <w:rsid w:val="00977010"/>
    <w:rsid w:val="00977D02"/>
    <w:rsid w:val="00977FF9"/>
    <w:rsid w:val="009809BB"/>
    <w:rsid w:val="0098364B"/>
    <w:rsid w:val="00984578"/>
    <w:rsid w:val="00984A72"/>
    <w:rsid w:val="00986E0B"/>
    <w:rsid w:val="009908A3"/>
    <w:rsid w:val="009910F2"/>
    <w:rsid w:val="009911AF"/>
    <w:rsid w:val="00991875"/>
    <w:rsid w:val="00991F92"/>
    <w:rsid w:val="00992985"/>
    <w:rsid w:val="00993889"/>
    <w:rsid w:val="009941A3"/>
    <w:rsid w:val="0099551B"/>
    <w:rsid w:val="00996016"/>
    <w:rsid w:val="00996BD2"/>
    <w:rsid w:val="00997BF1"/>
    <w:rsid w:val="009A089C"/>
    <w:rsid w:val="009A118E"/>
    <w:rsid w:val="009A1E55"/>
    <w:rsid w:val="009A203B"/>
    <w:rsid w:val="009A21CD"/>
    <w:rsid w:val="009A278C"/>
    <w:rsid w:val="009A2BC2"/>
    <w:rsid w:val="009A3644"/>
    <w:rsid w:val="009A42C1"/>
    <w:rsid w:val="009A4488"/>
    <w:rsid w:val="009A5429"/>
    <w:rsid w:val="009A6BBF"/>
    <w:rsid w:val="009A72AD"/>
    <w:rsid w:val="009B09E0"/>
    <w:rsid w:val="009B0BC5"/>
    <w:rsid w:val="009B1247"/>
    <w:rsid w:val="009B6029"/>
    <w:rsid w:val="009B6971"/>
    <w:rsid w:val="009C076B"/>
    <w:rsid w:val="009C27F1"/>
    <w:rsid w:val="009C3152"/>
    <w:rsid w:val="009C3257"/>
    <w:rsid w:val="009C4CFA"/>
    <w:rsid w:val="009C5070"/>
    <w:rsid w:val="009C5552"/>
    <w:rsid w:val="009C6CB1"/>
    <w:rsid w:val="009D112C"/>
    <w:rsid w:val="009D1385"/>
    <w:rsid w:val="009D1E22"/>
    <w:rsid w:val="009D47FA"/>
    <w:rsid w:val="009D4B2A"/>
    <w:rsid w:val="009D4C5B"/>
    <w:rsid w:val="009D50D2"/>
    <w:rsid w:val="009D6BCA"/>
    <w:rsid w:val="009E0F62"/>
    <w:rsid w:val="009E2698"/>
    <w:rsid w:val="009E4A58"/>
    <w:rsid w:val="009E5A2D"/>
    <w:rsid w:val="009E5AB2"/>
    <w:rsid w:val="009E6219"/>
    <w:rsid w:val="009E631F"/>
    <w:rsid w:val="009E6724"/>
    <w:rsid w:val="009F03B3"/>
    <w:rsid w:val="00A0096C"/>
    <w:rsid w:val="00A01757"/>
    <w:rsid w:val="00A01A17"/>
    <w:rsid w:val="00A028C0"/>
    <w:rsid w:val="00A02BAE"/>
    <w:rsid w:val="00A06A6B"/>
    <w:rsid w:val="00A07E47"/>
    <w:rsid w:val="00A129D0"/>
    <w:rsid w:val="00A12C33"/>
    <w:rsid w:val="00A1388E"/>
    <w:rsid w:val="00A138BA"/>
    <w:rsid w:val="00A14C8E"/>
    <w:rsid w:val="00A153D9"/>
    <w:rsid w:val="00A15F09"/>
    <w:rsid w:val="00A169B6"/>
    <w:rsid w:val="00A215B7"/>
    <w:rsid w:val="00A223C3"/>
    <w:rsid w:val="00A2271D"/>
    <w:rsid w:val="00A237D5"/>
    <w:rsid w:val="00A27469"/>
    <w:rsid w:val="00A30EFC"/>
    <w:rsid w:val="00A3112A"/>
    <w:rsid w:val="00A31984"/>
    <w:rsid w:val="00A32D73"/>
    <w:rsid w:val="00A3367B"/>
    <w:rsid w:val="00A33C67"/>
    <w:rsid w:val="00A356C2"/>
    <w:rsid w:val="00A3597D"/>
    <w:rsid w:val="00A36DD1"/>
    <w:rsid w:val="00A37965"/>
    <w:rsid w:val="00A4006C"/>
    <w:rsid w:val="00A40091"/>
    <w:rsid w:val="00A4030F"/>
    <w:rsid w:val="00A41C79"/>
    <w:rsid w:val="00A41CB5"/>
    <w:rsid w:val="00A41E19"/>
    <w:rsid w:val="00A42CDF"/>
    <w:rsid w:val="00A441B4"/>
    <w:rsid w:val="00A4452E"/>
    <w:rsid w:val="00A4472C"/>
    <w:rsid w:val="00A44E69"/>
    <w:rsid w:val="00A4661E"/>
    <w:rsid w:val="00A475B9"/>
    <w:rsid w:val="00A479ED"/>
    <w:rsid w:val="00A53BA7"/>
    <w:rsid w:val="00A55BD6"/>
    <w:rsid w:val="00A55D50"/>
    <w:rsid w:val="00A57142"/>
    <w:rsid w:val="00A60418"/>
    <w:rsid w:val="00A62EB3"/>
    <w:rsid w:val="00A648CD"/>
    <w:rsid w:val="00A6537A"/>
    <w:rsid w:val="00A65C9B"/>
    <w:rsid w:val="00A67866"/>
    <w:rsid w:val="00A70B07"/>
    <w:rsid w:val="00A710B3"/>
    <w:rsid w:val="00A723F8"/>
    <w:rsid w:val="00A72AD1"/>
    <w:rsid w:val="00A74446"/>
    <w:rsid w:val="00A75CE4"/>
    <w:rsid w:val="00A76BDB"/>
    <w:rsid w:val="00A77CCB"/>
    <w:rsid w:val="00A8354B"/>
    <w:rsid w:val="00A83D8D"/>
    <w:rsid w:val="00A8446B"/>
    <w:rsid w:val="00A8473F"/>
    <w:rsid w:val="00A862D6"/>
    <w:rsid w:val="00A8715E"/>
    <w:rsid w:val="00A9295B"/>
    <w:rsid w:val="00A93B09"/>
    <w:rsid w:val="00A952D7"/>
    <w:rsid w:val="00A95AEE"/>
    <w:rsid w:val="00A963F7"/>
    <w:rsid w:val="00A96AD8"/>
    <w:rsid w:val="00AA052C"/>
    <w:rsid w:val="00AA1E45"/>
    <w:rsid w:val="00AA3B91"/>
    <w:rsid w:val="00AA4286"/>
    <w:rsid w:val="00AA456B"/>
    <w:rsid w:val="00AA57F5"/>
    <w:rsid w:val="00AA672E"/>
    <w:rsid w:val="00AA6959"/>
    <w:rsid w:val="00AA6EC9"/>
    <w:rsid w:val="00AB2D06"/>
    <w:rsid w:val="00AB489C"/>
    <w:rsid w:val="00AB6309"/>
    <w:rsid w:val="00AB67B8"/>
    <w:rsid w:val="00AB6C5F"/>
    <w:rsid w:val="00AB7129"/>
    <w:rsid w:val="00AC19D5"/>
    <w:rsid w:val="00AC27A6"/>
    <w:rsid w:val="00AC2E1B"/>
    <w:rsid w:val="00AC30F7"/>
    <w:rsid w:val="00AC3A5A"/>
    <w:rsid w:val="00AC4D95"/>
    <w:rsid w:val="00AC5DF4"/>
    <w:rsid w:val="00AC7F0B"/>
    <w:rsid w:val="00AD0AEF"/>
    <w:rsid w:val="00AD11B7"/>
    <w:rsid w:val="00AD1A94"/>
    <w:rsid w:val="00AD1C05"/>
    <w:rsid w:val="00AD2EDF"/>
    <w:rsid w:val="00AD4126"/>
    <w:rsid w:val="00AD421C"/>
    <w:rsid w:val="00AD44FA"/>
    <w:rsid w:val="00AD4E7E"/>
    <w:rsid w:val="00AD5795"/>
    <w:rsid w:val="00AE070A"/>
    <w:rsid w:val="00AE101C"/>
    <w:rsid w:val="00AE2A69"/>
    <w:rsid w:val="00AE2DDE"/>
    <w:rsid w:val="00AE37E5"/>
    <w:rsid w:val="00AE4266"/>
    <w:rsid w:val="00AE57EE"/>
    <w:rsid w:val="00AE5BE9"/>
    <w:rsid w:val="00AE5EB4"/>
    <w:rsid w:val="00AE66EB"/>
    <w:rsid w:val="00AE7357"/>
    <w:rsid w:val="00AE7CB7"/>
    <w:rsid w:val="00AF0C18"/>
    <w:rsid w:val="00AF1E5B"/>
    <w:rsid w:val="00AF47C5"/>
    <w:rsid w:val="00AF5398"/>
    <w:rsid w:val="00AF56E5"/>
    <w:rsid w:val="00AF6E8C"/>
    <w:rsid w:val="00B028C5"/>
    <w:rsid w:val="00B039F0"/>
    <w:rsid w:val="00B049AF"/>
    <w:rsid w:val="00B07242"/>
    <w:rsid w:val="00B1050C"/>
    <w:rsid w:val="00B10534"/>
    <w:rsid w:val="00B113DB"/>
    <w:rsid w:val="00B1192D"/>
    <w:rsid w:val="00B11D8A"/>
    <w:rsid w:val="00B12981"/>
    <w:rsid w:val="00B13643"/>
    <w:rsid w:val="00B147DD"/>
    <w:rsid w:val="00B156FD"/>
    <w:rsid w:val="00B21F61"/>
    <w:rsid w:val="00B2421A"/>
    <w:rsid w:val="00B25E81"/>
    <w:rsid w:val="00B261F1"/>
    <w:rsid w:val="00B265BC"/>
    <w:rsid w:val="00B26CCE"/>
    <w:rsid w:val="00B30400"/>
    <w:rsid w:val="00B30EFB"/>
    <w:rsid w:val="00B31977"/>
    <w:rsid w:val="00B31FB1"/>
    <w:rsid w:val="00B33952"/>
    <w:rsid w:val="00B33C5E"/>
    <w:rsid w:val="00B342F4"/>
    <w:rsid w:val="00B34369"/>
    <w:rsid w:val="00B34DC2"/>
    <w:rsid w:val="00B372FE"/>
    <w:rsid w:val="00B378E5"/>
    <w:rsid w:val="00B40DB8"/>
    <w:rsid w:val="00B4346D"/>
    <w:rsid w:val="00B440F4"/>
    <w:rsid w:val="00B44317"/>
    <w:rsid w:val="00B447A5"/>
    <w:rsid w:val="00B4654C"/>
    <w:rsid w:val="00B465CE"/>
    <w:rsid w:val="00B47293"/>
    <w:rsid w:val="00B50B00"/>
    <w:rsid w:val="00B50E50"/>
    <w:rsid w:val="00B52120"/>
    <w:rsid w:val="00B54ABC"/>
    <w:rsid w:val="00B56FBE"/>
    <w:rsid w:val="00B57D33"/>
    <w:rsid w:val="00B60ACF"/>
    <w:rsid w:val="00B610DB"/>
    <w:rsid w:val="00B62B58"/>
    <w:rsid w:val="00B65149"/>
    <w:rsid w:val="00B66567"/>
    <w:rsid w:val="00B66E6D"/>
    <w:rsid w:val="00B66F52"/>
    <w:rsid w:val="00B66FE5"/>
    <w:rsid w:val="00B705F6"/>
    <w:rsid w:val="00B72880"/>
    <w:rsid w:val="00B731F5"/>
    <w:rsid w:val="00B758BF"/>
    <w:rsid w:val="00B77EC8"/>
    <w:rsid w:val="00B8238F"/>
    <w:rsid w:val="00B827A6"/>
    <w:rsid w:val="00B82C9F"/>
    <w:rsid w:val="00B831CE"/>
    <w:rsid w:val="00B85413"/>
    <w:rsid w:val="00B86677"/>
    <w:rsid w:val="00B86D75"/>
    <w:rsid w:val="00B87131"/>
    <w:rsid w:val="00B90D4C"/>
    <w:rsid w:val="00B939B1"/>
    <w:rsid w:val="00B96D40"/>
    <w:rsid w:val="00B97386"/>
    <w:rsid w:val="00B97ED5"/>
    <w:rsid w:val="00BA0141"/>
    <w:rsid w:val="00BA07C5"/>
    <w:rsid w:val="00BA263B"/>
    <w:rsid w:val="00BA42B2"/>
    <w:rsid w:val="00BA58D4"/>
    <w:rsid w:val="00BA5B9E"/>
    <w:rsid w:val="00BA6E60"/>
    <w:rsid w:val="00BA7C9A"/>
    <w:rsid w:val="00BB40B6"/>
    <w:rsid w:val="00BB47FE"/>
    <w:rsid w:val="00BB5F8F"/>
    <w:rsid w:val="00BB657A"/>
    <w:rsid w:val="00BB7445"/>
    <w:rsid w:val="00BB7E57"/>
    <w:rsid w:val="00BC16B6"/>
    <w:rsid w:val="00BC1A4E"/>
    <w:rsid w:val="00BC1DD2"/>
    <w:rsid w:val="00BC54A8"/>
    <w:rsid w:val="00BC5DC7"/>
    <w:rsid w:val="00BC5F43"/>
    <w:rsid w:val="00BC6B8B"/>
    <w:rsid w:val="00BC73D8"/>
    <w:rsid w:val="00BD49AA"/>
    <w:rsid w:val="00BD52D7"/>
    <w:rsid w:val="00BD5AD2"/>
    <w:rsid w:val="00BE1F74"/>
    <w:rsid w:val="00BE22F3"/>
    <w:rsid w:val="00BE5B52"/>
    <w:rsid w:val="00BE5F86"/>
    <w:rsid w:val="00BE75D2"/>
    <w:rsid w:val="00BE7B8D"/>
    <w:rsid w:val="00BF0993"/>
    <w:rsid w:val="00BF0F89"/>
    <w:rsid w:val="00BF10A9"/>
    <w:rsid w:val="00BF1703"/>
    <w:rsid w:val="00BF231C"/>
    <w:rsid w:val="00BF2BBA"/>
    <w:rsid w:val="00BF51E5"/>
    <w:rsid w:val="00BF5548"/>
    <w:rsid w:val="00BF74A6"/>
    <w:rsid w:val="00C00BDC"/>
    <w:rsid w:val="00C013AD"/>
    <w:rsid w:val="00C039A8"/>
    <w:rsid w:val="00C03E42"/>
    <w:rsid w:val="00C04904"/>
    <w:rsid w:val="00C0511D"/>
    <w:rsid w:val="00C056B3"/>
    <w:rsid w:val="00C103E5"/>
    <w:rsid w:val="00C10F22"/>
    <w:rsid w:val="00C12EE2"/>
    <w:rsid w:val="00C13319"/>
    <w:rsid w:val="00C13C18"/>
    <w:rsid w:val="00C13EE9"/>
    <w:rsid w:val="00C21540"/>
    <w:rsid w:val="00C21906"/>
    <w:rsid w:val="00C21BFA"/>
    <w:rsid w:val="00C22838"/>
    <w:rsid w:val="00C22C58"/>
    <w:rsid w:val="00C24652"/>
    <w:rsid w:val="00C24C8D"/>
    <w:rsid w:val="00C25FE2"/>
    <w:rsid w:val="00C26B53"/>
    <w:rsid w:val="00C27229"/>
    <w:rsid w:val="00C279B2"/>
    <w:rsid w:val="00C33E50"/>
    <w:rsid w:val="00C34C20"/>
    <w:rsid w:val="00C3540C"/>
    <w:rsid w:val="00C35A3E"/>
    <w:rsid w:val="00C42130"/>
    <w:rsid w:val="00C423A4"/>
    <w:rsid w:val="00C423E3"/>
    <w:rsid w:val="00C4359F"/>
    <w:rsid w:val="00C44BF5"/>
    <w:rsid w:val="00C521D6"/>
    <w:rsid w:val="00C53A88"/>
    <w:rsid w:val="00C55232"/>
    <w:rsid w:val="00C553A4"/>
    <w:rsid w:val="00C55A06"/>
    <w:rsid w:val="00C55D03"/>
    <w:rsid w:val="00C55FD8"/>
    <w:rsid w:val="00C57F19"/>
    <w:rsid w:val="00C601BC"/>
    <w:rsid w:val="00C61E2E"/>
    <w:rsid w:val="00C6329F"/>
    <w:rsid w:val="00C63340"/>
    <w:rsid w:val="00C643F9"/>
    <w:rsid w:val="00C64E95"/>
    <w:rsid w:val="00C65C8A"/>
    <w:rsid w:val="00C6625B"/>
    <w:rsid w:val="00C673FD"/>
    <w:rsid w:val="00C71372"/>
    <w:rsid w:val="00C72410"/>
    <w:rsid w:val="00C7287F"/>
    <w:rsid w:val="00C779EE"/>
    <w:rsid w:val="00C77B80"/>
    <w:rsid w:val="00C80CB8"/>
    <w:rsid w:val="00C819F8"/>
    <w:rsid w:val="00C8248C"/>
    <w:rsid w:val="00C8277D"/>
    <w:rsid w:val="00C83FF3"/>
    <w:rsid w:val="00C84E33"/>
    <w:rsid w:val="00C86D6F"/>
    <w:rsid w:val="00C86FE6"/>
    <w:rsid w:val="00C9019B"/>
    <w:rsid w:val="00C903B6"/>
    <w:rsid w:val="00C905FC"/>
    <w:rsid w:val="00C92C7E"/>
    <w:rsid w:val="00C92D03"/>
    <w:rsid w:val="00C9319C"/>
    <w:rsid w:val="00C9380E"/>
    <w:rsid w:val="00C9435D"/>
    <w:rsid w:val="00C94DF2"/>
    <w:rsid w:val="00C95EF0"/>
    <w:rsid w:val="00C96741"/>
    <w:rsid w:val="00CA2D1B"/>
    <w:rsid w:val="00CA375D"/>
    <w:rsid w:val="00CA49BE"/>
    <w:rsid w:val="00CA55BC"/>
    <w:rsid w:val="00CA662A"/>
    <w:rsid w:val="00CA7AFD"/>
    <w:rsid w:val="00CA7C3C"/>
    <w:rsid w:val="00CB0189"/>
    <w:rsid w:val="00CB0BA2"/>
    <w:rsid w:val="00CB1A42"/>
    <w:rsid w:val="00CB1B0C"/>
    <w:rsid w:val="00CB2C0B"/>
    <w:rsid w:val="00CB4EEF"/>
    <w:rsid w:val="00CB517D"/>
    <w:rsid w:val="00CB5A0A"/>
    <w:rsid w:val="00CB673E"/>
    <w:rsid w:val="00CC038D"/>
    <w:rsid w:val="00CC08DB"/>
    <w:rsid w:val="00CC39FF"/>
    <w:rsid w:val="00CC3C2F"/>
    <w:rsid w:val="00CC4AC8"/>
    <w:rsid w:val="00CC5233"/>
    <w:rsid w:val="00CC5DE6"/>
    <w:rsid w:val="00CC6E4E"/>
    <w:rsid w:val="00CC6FE8"/>
    <w:rsid w:val="00CC7202"/>
    <w:rsid w:val="00CD2808"/>
    <w:rsid w:val="00CD28BF"/>
    <w:rsid w:val="00CD38F5"/>
    <w:rsid w:val="00CD4092"/>
    <w:rsid w:val="00CD4A20"/>
    <w:rsid w:val="00CD50A1"/>
    <w:rsid w:val="00CD519E"/>
    <w:rsid w:val="00CD5987"/>
    <w:rsid w:val="00CE0C4F"/>
    <w:rsid w:val="00CE29FE"/>
    <w:rsid w:val="00CE30EA"/>
    <w:rsid w:val="00CE74EB"/>
    <w:rsid w:val="00CF048A"/>
    <w:rsid w:val="00CF1322"/>
    <w:rsid w:val="00CF155A"/>
    <w:rsid w:val="00CF2287"/>
    <w:rsid w:val="00CF2947"/>
    <w:rsid w:val="00CF3F04"/>
    <w:rsid w:val="00CF4FB9"/>
    <w:rsid w:val="00CF686F"/>
    <w:rsid w:val="00CF6E60"/>
    <w:rsid w:val="00CF7BCA"/>
    <w:rsid w:val="00D008FD"/>
    <w:rsid w:val="00D028E2"/>
    <w:rsid w:val="00D0321C"/>
    <w:rsid w:val="00D035EC"/>
    <w:rsid w:val="00D039A6"/>
    <w:rsid w:val="00D067CB"/>
    <w:rsid w:val="00D06AB1"/>
    <w:rsid w:val="00D06FC1"/>
    <w:rsid w:val="00D072ED"/>
    <w:rsid w:val="00D07A16"/>
    <w:rsid w:val="00D1067E"/>
    <w:rsid w:val="00D10F50"/>
    <w:rsid w:val="00D11272"/>
    <w:rsid w:val="00D126F5"/>
    <w:rsid w:val="00D1489E"/>
    <w:rsid w:val="00D20737"/>
    <w:rsid w:val="00D2090E"/>
    <w:rsid w:val="00D21E81"/>
    <w:rsid w:val="00D223DE"/>
    <w:rsid w:val="00D25E37"/>
    <w:rsid w:val="00D2661A"/>
    <w:rsid w:val="00D268B8"/>
    <w:rsid w:val="00D27582"/>
    <w:rsid w:val="00D27EC4"/>
    <w:rsid w:val="00D31277"/>
    <w:rsid w:val="00D32719"/>
    <w:rsid w:val="00D33333"/>
    <w:rsid w:val="00D352A2"/>
    <w:rsid w:val="00D40884"/>
    <w:rsid w:val="00D4162B"/>
    <w:rsid w:val="00D4514F"/>
    <w:rsid w:val="00D451E2"/>
    <w:rsid w:val="00D45E89"/>
    <w:rsid w:val="00D45E8D"/>
    <w:rsid w:val="00D466AE"/>
    <w:rsid w:val="00D4734F"/>
    <w:rsid w:val="00D51BF3"/>
    <w:rsid w:val="00D553EA"/>
    <w:rsid w:val="00D57E2B"/>
    <w:rsid w:val="00D65770"/>
    <w:rsid w:val="00D66846"/>
    <w:rsid w:val="00D675FB"/>
    <w:rsid w:val="00D709DB"/>
    <w:rsid w:val="00D71F25"/>
    <w:rsid w:val="00D72A9C"/>
    <w:rsid w:val="00D74B32"/>
    <w:rsid w:val="00D75BB5"/>
    <w:rsid w:val="00D77031"/>
    <w:rsid w:val="00D83918"/>
    <w:rsid w:val="00D84354"/>
    <w:rsid w:val="00D84941"/>
    <w:rsid w:val="00D84FA1"/>
    <w:rsid w:val="00D851F0"/>
    <w:rsid w:val="00D86DB7"/>
    <w:rsid w:val="00D875EE"/>
    <w:rsid w:val="00D87BF5"/>
    <w:rsid w:val="00D90721"/>
    <w:rsid w:val="00D926D0"/>
    <w:rsid w:val="00D93030"/>
    <w:rsid w:val="00D950E1"/>
    <w:rsid w:val="00D952A6"/>
    <w:rsid w:val="00D97F99"/>
    <w:rsid w:val="00DA1E08"/>
    <w:rsid w:val="00DA24F8"/>
    <w:rsid w:val="00DA28E8"/>
    <w:rsid w:val="00DA38D3"/>
    <w:rsid w:val="00DA3932"/>
    <w:rsid w:val="00DA3AFC"/>
    <w:rsid w:val="00DA4187"/>
    <w:rsid w:val="00DA49D5"/>
    <w:rsid w:val="00DA5966"/>
    <w:rsid w:val="00DA64F8"/>
    <w:rsid w:val="00DA6C15"/>
    <w:rsid w:val="00DA6FEC"/>
    <w:rsid w:val="00DA72AA"/>
    <w:rsid w:val="00DB0258"/>
    <w:rsid w:val="00DB38EE"/>
    <w:rsid w:val="00DB498B"/>
    <w:rsid w:val="00DB5112"/>
    <w:rsid w:val="00DB66CA"/>
    <w:rsid w:val="00DB6BCA"/>
    <w:rsid w:val="00DB6F54"/>
    <w:rsid w:val="00DB73F7"/>
    <w:rsid w:val="00DB7462"/>
    <w:rsid w:val="00DC0321"/>
    <w:rsid w:val="00DC1B7C"/>
    <w:rsid w:val="00DC3067"/>
    <w:rsid w:val="00DC370B"/>
    <w:rsid w:val="00DC5B90"/>
    <w:rsid w:val="00DD00FF"/>
    <w:rsid w:val="00DD0619"/>
    <w:rsid w:val="00DD07FB"/>
    <w:rsid w:val="00DD25C6"/>
    <w:rsid w:val="00DD383E"/>
    <w:rsid w:val="00DD4FE5"/>
    <w:rsid w:val="00DD54B0"/>
    <w:rsid w:val="00DD57EE"/>
    <w:rsid w:val="00DD5FFD"/>
    <w:rsid w:val="00DD6BCC"/>
    <w:rsid w:val="00DE0921"/>
    <w:rsid w:val="00DE0A4B"/>
    <w:rsid w:val="00DE104B"/>
    <w:rsid w:val="00DE2410"/>
    <w:rsid w:val="00DE2939"/>
    <w:rsid w:val="00DE3070"/>
    <w:rsid w:val="00DE4D89"/>
    <w:rsid w:val="00DE6E81"/>
    <w:rsid w:val="00DE703F"/>
    <w:rsid w:val="00DE7595"/>
    <w:rsid w:val="00DF17C4"/>
    <w:rsid w:val="00DF1961"/>
    <w:rsid w:val="00DF44DE"/>
    <w:rsid w:val="00E00CD2"/>
    <w:rsid w:val="00E01138"/>
    <w:rsid w:val="00E01BA0"/>
    <w:rsid w:val="00E02DFB"/>
    <w:rsid w:val="00E02F0A"/>
    <w:rsid w:val="00E030F9"/>
    <w:rsid w:val="00E0311A"/>
    <w:rsid w:val="00E03138"/>
    <w:rsid w:val="00E06404"/>
    <w:rsid w:val="00E06F65"/>
    <w:rsid w:val="00E11A85"/>
    <w:rsid w:val="00E12495"/>
    <w:rsid w:val="00E12E2D"/>
    <w:rsid w:val="00E1469A"/>
    <w:rsid w:val="00E15503"/>
    <w:rsid w:val="00E15CCD"/>
    <w:rsid w:val="00E16F87"/>
    <w:rsid w:val="00E202EF"/>
    <w:rsid w:val="00E210B5"/>
    <w:rsid w:val="00E22866"/>
    <w:rsid w:val="00E2552F"/>
    <w:rsid w:val="00E30D64"/>
    <w:rsid w:val="00E3137A"/>
    <w:rsid w:val="00E3167E"/>
    <w:rsid w:val="00E32CCF"/>
    <w:rsid w:val="00E34A98"/>
    <w:rsid w:val="00E35D1E"/>
    <w:rsid w:val="00E364F9"/>
    <w:rsid w:val="00E365FA"/>
    <w:rsid w:val="00E36789"/>
    <w:rsid w:val="00E41D0D"/>
    <w:rsid w:val="00E44A83"/>
    <w:rsid w:val="00E457DA"/>
    <w:rsid w:val="00E502C1"/>
    <w:rsid w:val="00E502DD"/>
    <w:rsid w:val="00E50D3A"/>
    <w:rsid w:val="00E51387"/>
    <w:rsid w:val="00E518F1"/>
    <w:rsid w:val="00E51E68"/>
    <w:rsid w:val="00E52EFD"/>
    <w:rsid w:val="00E5408A"/>
    <w:rsid w:val="00E56800"/>
    <w:rsid w:val="00E60241"/>
    <w:rsid w:val="00E60C63"/>
    <w:rsid w:val="00E61B9D"/>
    <w:rsid w:val="00E62FF9"/>
    <w:rsid w:val="00E635D6"/>
    <w:rsid w:val="00E639BC"/>
    <w:rsid w:val="00E664CC"/>
    <w:rsid w:val="00E679CE"/>
    <w:rsid w:val="00E70388"/>
    <w:rsid w:val="00E70F92"/>
    <w:rsid w:val="00E74313"/>
    <w:rsid w:val="00E74C54"/>
    <w:rsid w:val="00E77192"/>
    <w:rsid w:val="00E77A03"/>
    <w:rsid w:val="00E81C6D"/>
    <w:rsid w:val="00E822E8"/>
    <w:rsid w:val="00E82554"/>
    <w:rsid w:val="00E82606"/>
    <w:rsid w:val="00E831C1"/>
    <w:rsid w:val="00E846C8"/>
    <w:rsid w:val="00E84957"/>
    <w:rsid w:val="00E84A55"/>
    <w:rsid w:val="00E85BFF"/>
    <w:rsid w:val="00E90391"/>
    <w:rsid w:val="00E906C2"/>
    <w:rsid w:val="00E9311F"/>
    <w:rsid w:val="00E934D1"/>
    <w:rsid w:val="00E93916"/>
    <w:rsid w:val="00E94AF0"/>
    <w:rsid w:val="00E95D13"/>
    <w:rsid w:val="00E95DD3"/>
    <w:rsid w:val="00E967D0"/>
    <w:rsid w:val="00E969D5"/>
    <w:rsid w:val="00E974B0"/>
    <w:rsid w:val="00EA11AF"/>
    <w:rsid w:val="00EA22E8"/>
    <w:rsid w:val="00EA2556"/>
    <w:rsid w:val="00EA3223"/>
    <w:rsid w:val="00EA4A41"/>
    <w:rsid w:val="00EA5326"/>
    <w:rsid w:val="00EA58D1"/>
    <w:rsid w:val="00EA61BC"/>
    <w:rsid w:val="00EA681A"/>
    <w:rsid w:val="00EA735B"/>
    <w:rsid w:val="00EB1E69"/>
    <w:rsid w:val="00EB2086"/>
    <w:rsid w:val="00EB31ED"/>
    <w:rsid w:val="00EB3E48"/>
    <w:rsid w:val="00EB4E23"/>
    <w:rsid w:val="00EB5EDF"/>
    <w:rsid w:val="00EB60FE"/>
    <w:rsid w:val="00EB74DB"/>
    <w:rsid w:val="00EC4EBB"/>
    <w:rsid w:val="00EC5359"/>
    <w:rsid w:val="00EC562A"/>
    <w:rsid w:val="00ED0022"/>
    <w:rsid w:val="00ED067A"/>
    <w:rsid w:val="00ED1F38"/>
    <w:rsid w:val="00ED2B50"/>
    <w:rsid w:val="00EE0350"/>
    <w:rsid w:val="00EE0719"/>
    <w:rsid w:val="00EE0E80"/>
    <w:rsid w:val="00EE4AB9"/>
    <w:rsid w:val="00EE5E41"/>
    <w:rsid w:val="00EE613F"/>
    <w:rsid w:val="00EE7295"/>
    <w:rsid w:val="00EE7869"/>
    <w:rsid w:val="00EE7CAD"/>
    <w:rsid w:val="00EE7E1E"/>
    <w:rsid w:val="00EF054A"/>
    <w:rsid w:val="00EF3235"/>
    <w:rsid w:val="00EF35D0"/>
    <w:rsid w:val="00EF3F5F"/>
    <w:rsid w:val="00EF7E72"/>
    <w:rsid w:val="00F04BB5"/>
    <w:rsid w:val="00F06522"/>
    <w:rsid w:val="00F06D37"/>
    <w:rsid w:val="00F07B9D"/>
    <w:rsid w:val="00F11586"/>
    <w:rsid w:val="00F1183B"/>
    <w:rsid w:val="00F11C9F"/>
    <w:rsid w:val="00F12263"/>
    <w:rsid w:val="00F13F8E"/>
    <w:rsid w:val="00F1409D"/>
    <w:rsid w:val="00F14214"/>
    <w:rsid w:val="00F157A9"/>
    <w:rsid w:val="00F16F00"/>
    <w:rsid w:val="00F25BB6"/>
    <w:rsid w:val="00F26B7E"/>
    <w:rsid w:val="00F27A3B"/>
    <w:rsid w:val="00F32780"/>
    <w:rsid w:val="00F33817"/>
    <w:rsid w:val="00F3450D"/>
    <w:rsid w:val="00F37E9B"/>
    <w:rsid w:val="00F420D5"/>
    <w:rsid w:val="00F451EA"/>
    <w:rsid w:val="00F45447"/>
    <w:rsid w:val="00F456C6"/>
    <w:rsid w:val="00F4577B"/>
    <w:rsid w:val="00F46496"/>
    <w:rsid w:val="00F474D0"/>
    <w:rsid w:val="00F50179"/>
    <w:rsid w:val="00F50BFB"/>
    <w:rsid w:val="00F50CF9"/>
    <w:rsid w:val="00F515EE"/>
    <w:rsid w:val="00F56511"/>
    <w:rsid w:val="00F60BB2"/>
    <w:rsid w:val="00F6194E"/>
    <w:rsid w:val="00F623AC"/>
    <w:rsid w:val="00F6412A"/>
    <w:rsid w:val="00F65893"/>
    <w:rsid w:val="00F66A4A"/>
    <w:rsid w:val="00F67ABB"/>
    <w:rsid w:val="00F67EA6"/>
    <w:rsid w:val="00F70228"/>
    <w:rsid w:val="00F70273"/>
    <w:rsid w:val="00F71261"/>
    <w:rsid w:val="00F71E22"/>
    <w:rsid w:val="00F72142"/>
    <w:rsid w:val="00F72AE7"/>
    <w:rsid w:val="00F744CD"/>
    <w:rsid w:val="00F768C4"/>
    <w:rsid w:val="00F833BA"/>
    <w:rsid w:val="00F84FD0"/>
    <w:rsid w:val="00F859A8"/>
    <w:rsid w:val="00F86D87"/>
    <w:rsid w:val="00F870CE"/>
    <w:rsid w:val="00F87D54"/>
    <w:rsid w:val="00F90084"/>
    <w:rsid w:val="00F9108B"/>
    <w:rsid w:val="00F91349"/>
    <w:rsid w:val="00F93A8A"/>
    <w:rsid w:val="00F95248"/>
    <w:rsid w:val="00F956A9"/>
    <w:rsid w:val="00F963ED"/>
    <w:rsid w:val="00F966CF"/>
    <w:rsid w:val="00F967C1"/>
    <w:rsid w:val="00F96CAE"/>
    <w:rsid w:val="00F97C99"/>
    <w:rsid w:val="00FA2E46"/>
    <w:rsid w:val="00FA406A"/>
    <w:rsid w:val="00FA662D"/>
    <w:rsid w:val="00FA73B1"/>
    <w:rsid w:val="00FB0CB9"/>
    <w:rsid w:val="00FB1452"/>
    <w:rsid w:val="00FB231D"/>
    <w:rsid w:val="00FB3000"/>
    <w:rsid w:val="00FB45F1"/>
    <w:rsid w:val="00FB4A72"/>
    <w:rsid w:val="00FB4B6F"/>
    <w:rsid w:val="00FB54E8"/>
    <w:rsid w:val="00FB5CF0"/>
    <w:rsid w:val="00FB7054"/>
    <w:rsid w:val="00FB74D7"/>
    <w:rsid w:val="00FC17B7"/>
    <w:rsid w:val="00FC2CB7"/>
    <w:rsid w:val="00FC4090"/>
    <w:rsid w:val="00FC4D5B"/>
    <w:rsid w:val="00FC55B4"/>
    <w:rsid w:val="00FC68F9"/>
    <w:rsid w:val="00FD00E6"/>
    <w:rsid w:val="00FD03C4"/>
    <w:rsid w:val="00FD09A1"/>
    <w:rsid w:val="00FD0F33"/>
    <w:rsid w:val="00FD2A7C"/>
    <w:rsid w:val="00FD4CE2"/>
    <w:rsid w:val="00FD59EB"/>
    <w:rsid w:val="00FD7299"/>
    <w:rsid w:val="00FE1FBE"/>
    <w:rsid w:val="00FE3901"/>
    <w:rsid w:val="00FE39D3"/>
    <w:rsid w:val="00FE4BCE"/>
    <w:rsid w:val="00FE54AE"/>
    <w:rsid w:val="00FE5664"/>
    <w:rsid w:val="00FE576A"/>
    <w:rsid w:val="00FE7E79"/>
    <w:rsid w:val="00FF3E7D"/>
    <w:rsid w:val="00FF5B99"/>
    <w:rsid w:val="00FF623A"/>
    <w:rsid w:val="00FF730C"/>
    <w:rsid w:val="00FF73F4"/>
    <w:rsid w:val="00FF7CE4"/>
    <w:rsid w:val="00FF7E39"/>
    <w:rsid w:val="4AFB5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tabs>
        <w:tab w:val="left" w:pos="360"/>
      </w:tabs>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MTConvertedEquation"/>
    <w:basedOn w:val="28"/>
    <w:qFormat/>
    <w:uiPriority w:val="0"/>
    <w:rPr>
      <w:rFonts w:ascii="Cambria Math"/>
      <w:i/>
    </w:rPr>
  </w:style>
  <w:style w:type="paragraph" w:styleId="2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5" Type="http://schemas.openxmlformats.org/officeDocument/2006/relationships/glossaryDocument" Target="glossary/document.xml"/><Relationship Id="rId84" Type="http://schemas.openxmlformats.org/officeDocument/2006/relationships/fontTable" Target="fontTable.xml"/><Relationship Id="rId83" Type="http://schemas.openxmlformats.org/officeDocument/2006/relationships/customXml" Target="../customXml/item2.xml"/><Relationship Id="rId82" Type="http://schemas.openxmlformats.org/officeDocument/2006/relationships/numbering" Target="numbering.xml"/><Relationship Id="rId81" Type="http://schemas.openxmlformats.org/officeDocument/2006/relationships/customXml" Target="../customXml/item1.xml"/><Relationship Id="rId80" Type="http://schemas.openxmlformats.org/officeDocument/2006/relationships/image" Target="media/image36.jpeg"/><Relationship Id="rId8" Type="http://schemas.openxmlformats.org/officeDocument/2006/relationships/footer" Target="footer2.xml"/><Relationship Id="rId79" Type="http://schemas.openxmlformats.org/officeDocument/2006/relationships/image" Target="media/image35.wmf"/><Relationship Id="rId78" Type="http://schemas.openxmlformats.org/officeDocument/2006/relationships/oleObject" Target="embeddings/oleObject32.bin"/><Relationship Id="rId77" Type="http://schemas.openxmlformats.org/officeDocument/2006/relationships/image" Target="media/image34.wmf"/><Relationship Id="rId76" Type="http://schemas.openxmlformats.org/officeDocument/2006/relationships/oleObject" Target="embeddings/oleObject31.bin"/><Relationship Id="rId75" Type="http://schemas.openxmlformats.org/officeDocument/2006/relationships/image" Target="media/image33.wmf"/><Relationship Id="rId74" Type="http://schemas.openxmlformats.org/officeDocument/2006/relationships/oleObject" Target="embeddings/oleObject30.bin"/><Relationship Id="rId73" Type="http://schemas.openxmlformats.org/officeDocument/2006/relationships/image" Target="media/image32.wmf"/><Relationship Id="rId72" Type="http://schemas.openxmlformats.org/officeDocument/2006/relationships/oleObject" Target="embeddings/oleObject29.bin"/><Relationship Id="rId71" Type="http://schemas.openxmlformats.org/officeDocument/2006/relationships/image" Target="media/image31.wmf"/><Relationship Id="rId70" Type="http://schemas.openxmlformats.org/officeDocument/2006/relationships/oleObject" Target="embeddings/oleObject28.bin"/><Relationship Id="rId7" Type="http://schemas.openxmlformats.org/officeDocument/2006/relationships/footer" Target="footer1.xml"/><Relationship Id="rId69" Type="http://schemas.openxmlformats.org/officeDocument/2006/relationships/image" Target="media/image30.wmf"/><Relationship Id="rId68" Type="http://schemas.openxmlformats.org/officeDocument/2006/relationships/oleObject" Target="embeddings/oleObject27.bin"/><Relationship Id="rId67" Type="http://schemas.openxmlformats.org/officeDocument/2006/relationships/image" Target="media/image29.wmf"/><Relationship Id="rId66" Type="http://schemas.openxmlformats.org/officeDocument/2006/relationships/oleObject" Target="embeddings/oleObject26.bin"/><Relationship Id="rId65" Type="http://schemas.openxmlformats.org/officeDocument/2006/relationships/image" Target="media/image28.wmf"/><Relationship Id="rId64" Type="http://schemas.openxmlformats.org/officeDocument/2006/relationships/oleObject" Target="embeddings/oleObject25.bin"/><Relationship Id="rId63" Type="http://schemas.openxmlformats.org/officeDocument/2006/relationships/image" Target="media/image27.wmf"/><Relationship Id="rId62" Type="http://schemas.openxmlformats.org/officeDocument/2006/relationships/oleObject" Target="embeddings/oleObject24.bin"/><Relationship Id="rId61" Type="http://schemas.openxmlformats.org/officeDocument/2006/relationships/image" Target="media/image26.wmf"/><Relationship Id="rId60" Type="http://schemas.openxmlformats.org/officeDocument/2006/relationships/oleObject" Target="embeddings/oleObject23.bin"/><Relationship Id="rId6" Type="http://schemas.openxmlformats.org/officeDocument/2006/relationships/header" Target="header2.xml"/><Relationship Id="rId59" Type="http://schemas.openxmlformats.org/officeDocument/2006/relationships/image" Target="media/image25.wmf"/><Relationship Id="rId58" Type="http://schemas.openxmlformats.org/officeDocument/2006/relationships/oleObject" Target="embeddings/oleObject22.bin"/><Relationship Id="rId57" Type="http://schemas.openxmlformats.org/officeDocument/2006/relationships/image" Target="media/image24.wmf"/><Relationship Id="rId56" Type="http://schemas.openxmlformats.org/officeDocument/2006/relationships/oleObject" Target="embeddings/oleObject21.bin"/><Relationship Id="rId55" Type="http://schemas.openxmlformats.org/officeDocument/2006/relationships/image" Target="media/image23.wmf"/><Relationship Id="rId54" Type="http://schemas.openxmlformats.org/officeDocument/2006/relationships/oleObject" Target="embeddings/oleObject20.bin"/><Relationship Id="rId53" Type="http://schemas.openxmlformats.org/officeDocument/2006/relationships/image" Target="media/image22.wmf"/><Relationship Id="rId52" Type="http://schemas.openxmlformats.org/officeDocument/2006/relationships/oleObject" Target="embeddings/oleObject19.bin"/><Relationship Id="rId51" Type="http://schemas.openxmlformats.org/officeDocument/2006/relationships/image" Target="media/image21.wmf"/><Relationship Id="rId50" Type="http://schemas.openxmlformats.org/officeDocument/2006/relationships/oleObject" Target="embeddings/oleObject18.bin"/><Relationship Id="rId5" Type="http://schemas.openxmlformats.org/officeDocument/2006/relationships/header" Target="header1.xml"/><Relationship Id="rId49" Type="http://schemas.openxmlformats.org/officeDocument/2006/relationships/image" Target="media/image20.wmf"/><Relationship Id="rId48" Type="http://schemas.openxmlformats.org/officeDocument/2006/relationships/oleObject" Target="embeddings/oleObject17.bin"/><Relationship Id="rId47" Type="http://schemas.openxmlformats.org/officeDocument/2006/relationships/image" Target="media/image19.wmf"/><Relationship Id="rId46" Type="http://schemas.openxmlformats.org/officeDocument/2006/relationships/oleObject" Target="embeddings/oleObject16.bin"/><Relationship Id="rId45" Type="http://schemas.openxmlformats.org/officeDocument/2006/relationships/oleObject" Target="embeddings/oleObject15.bin"/><Relationship Id="rId44" Type="http://schemas.openxmlformats.org/officeDocument/2006/relationships/image" Target="media/image18.wmf"/><Relationship Id="rId43" Type="http://schemas.openxmlformats.org/officeDocument/2006/relationships/oleObject" Target="embeddings/oleObject14.bin"/><Relationship Id="rId42" Type="http://schemas.openxmlformats.org/officeDocument/2006/relationships/image" Target="media/image17.wmf"/><Relationship Id="rId41" Type="http://schemas.openxmlformats.org/officeDocument/2006/relationships/oleObject" Target="embeddings/oleObject13.bin"/><Relationship Id="rId40" Type="http://schemas.openxmlformats.org/officeDocument/2006/relationships/image" Target="media/image16.wmf"/><Relationship Id="rId4" Type="http://schemas.openxmlformats.org/officeDocument/2006/relationships/endnotes" Target="endnotes.xml"/><Relationship Id="rId39" Type="http://schemas.openxmlformats.org/officeDocument/2006/relationships/oleObject" Target="embeddings/oleObject12.bin"/><Relationship Id="rId38" Type="http://schemas.openxmlformats.org/officeDocument/2006/relationships/image" Target="media/image15.png"/><Relationship Id="rId37" Type="http://schemas.openxmlformats.org/officeDocument/2006/relationships/image" Target="media/image14.wmf"/><Relationship Id="rId36" Type="http://schemas.openxmlformats.org/officeDocument/2006/relationships/oleObject" Target="embeddings/oleObject11.bin"/><Relationship Id="rId35" Type="http://schemas.openxmlformats.org/officeDocument/2006/relationships/image" Target="media/image13.wmf"/><Relationship Id="rId34" Type="http://schemas.openxmlformats.org/officeDocument/2006/relationships/oleObject" Target="embeddings/oleObject10.bin"/><Relationship Id="rId33" Type="http://schemas.openxmlformats.org/officeDocument/2006/relationships/image" Target="media/image12.wmf"/><Relationship Id="rId32" Type="http://schemas.openxmlformats.org/officeDocument/2006/relationships/oleObject" Target="embeddings/oleObject9.bin"/><Relationship Id="rId31" Type="http://schemas.openxmlformats.org/officeDocument/2006/relationships/image" Target="media/image11.wmf"/><Relationship Id="rId30" Type="http://schemas.openxmlformats.org/officeDocument/2006/relationships/oleObject" Target="embeddings/oleObject8.bin"/><Relationship Id="rId3" Type="http://schemas.openxmlformats.org/officeDocument/2006/relationships/footnotes" Target="footnotes.xml"/><Relationship Id="rId29" Type="http://schemas.openxmlformats.org/officeDocument/2006/relationships/image" Target="media/image10.wmf"/><Relationship Id="rId28" Type="http://schemas.openxmlformats.org/officeDocument/2006/relationships/oleObject" Target="embeddings/oleObject7.bin"/><Relationship Id="rId27" Type="http://schemas.openxmlformats.org/officeDocument/2006/relationships/image" Target="media/image9.wmf"/><Relationship Id="rId26" Type="http://schemas.openxmlformats.org/officeDocument/2006/relationships/oleObject" Target="embeddings/oleObject6.bin"/><Relationship Id="rId25" Type="http://schemas.openxmlformats.org/officeDocument/2006/relationships/image" Target="media/image8.wmf"/><Relationship Id="rId24" Type="http://schemas.openxmlformats.org/officeDocument/2006/relationships/oleObject" Target="embeddings/oleObject5.bin"/><Relationship Id="rId23" Type="http://schemas.openxmlformats.org/officeDocument/2006/relationships/image" Target="media/image7.wmf"/><Relationship Id="rId22" Type="http://schemas.openxmlformats.org/officeDocument/2006/relationships/oleObject" Target="embeddings/oleObject4.bin"/><Relationship Id="rId21" Type="http://schemas.openxmlformats.org/officeDocument/2006/relationships/image" Target="media/image6.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2.bin"/><Relationship Id="rId17" Type="http://schemas.openxmlformats.org/officeDocument/2006/relationships/image" Target="media/image4.png"/><Relationship Id="rId16" Type="http://schemas.openxmlformats.org/officeDocument/2006/relationships/image" Target="media/image3.wmf"/><Relationship Id="rId15" Type="http://schemas.openxmlformats.org/officeDocument/2006/relationships/oleObject" Target="embeddings/oleObject1.bin"/><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D3787A4E1904AAFA7BE95C9F6DBDA96"/>
        <w:style w:val=""/>
        <w:category>
          <w:name w:val="常规"/>
          <w:gallery w:val="placeholder"/>
        </w:category>
        <w:types>
          <w:type w:val="bbPlcHdr"/>
        </w:types>
        <w:behaviors>
          <w:behavior w:val="content"/>
        </w:behaviors>
        <w:description w:val=""/>
        <w:guid w:val="{80639874-7692-4738-8FBE-B03259BD9012}"/>
      </w:docPartPr>
      <w:docPartBody>
        <w:p w14:paraId="39698FD7">
          <w:pPr>
            <w:pStyle w:val="5"/>
            <w:rPr>
              <w:rFonts w:hint="eastAsia"/>
            </w:rPr>
          </w:pPr>
          <w:r>
            <w:rPr>
              <w:rStyle w:val="4"/>
              <w:rFonts w:hint="eastAsia"/>
            </w:rPr>
            <w:t>单击或点击此处输入文字。</w:t>
          </w:r>
        </w:p>
      </w:docPartBody>
    </w:docPart>
    <w:docPart>
      <w:docPartPr>
        <w:name w:val="6C9DDD5FAAB04BAEB275FE4D0AFE4638"/>
        <w:style w:val=""/>
        <w:category>
          <w:name w:val="常规"/>
          <w:gallery w:val="placeholder"/>
        </w:category>
        <w:types>
          <w:type w:val="bbPlcHdr"/>
        </w:types>
        <w:behaviors>
          <w:behavior w:val="content"/>
        </w:behaviors>
        <w:description w:val=""/>
        <w:guid w:val="{A0594E48-F7DF-40DF-AFB8-2D48EFBC5A0D}"/>
      </w:docPartPr>
      <w:docPartBody>
        <w:p w14:paraId="28F077AC">
          <w:pPr>
            <w:pStyle w:val="6"/>
            <w:rPr>
              <w:rFonts w:hint="eastAsia"/>
            </w:rPr>
          </w:pPr>
          <w:r>
            <w:rPr>
              <w:rStyle w:val="4"/>
              <w:rFonts w:hint="eastAsia"/>
            </w:rPr>
            <w:t>选择一项。</w:t>
          </w:r>
        </w:p>
      </w:docPartBody>
    </w:docPart>
    <w:docPart>
      <w:docPartPr>
        <w:name w:val="F5B2111ADC024BCC88BCED4D9A99C5AE"/>
        <w:style w:val=""/>
        <w:category>
          <w:name w:val="常规"/>
          <w:gallery w:val="placeholder"/>
        </w:category>
        <w:types>
          <w:type w:val="bbPlcHdr"/>
        </w:types>
        <w:behaviors>
          <w:behavior w:val="content"/>
        </w:behaviors>
        <w:description w:val=""/>
        <w:guid w:val="{6B69E8F3-98C9-420B-9F14-87D235A207D1}"/>
      </w:docPartPr>
      <w:docPartBody>
        <w:p w14:paraId="0D6B4B12">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47"/>
    <w:rsid w:val="0001544C"/>
    <w:rsid w:val="00027135"/>
    <w:rsid w:val="00061EE4"/>
    <w:rsid w:val="00073D4D"/>
    <w:rsid w:val="000A2F85"/>
    <w:rsid w:val="001521A5"/>
    <w:rsid w:val="00157E28"/>
    <w:rsid w:val="001642A9"/>
    <w:rsid w:val="001A52BC"/>
    <w:rsid w:val="001B3761"/>
    <w:rsid w:val="001B79EC"/>
    <w:rsid w:val="001C1E47"/>
    <w:rsid w:val="001F4DE0"/>
    <w:rsid w:val="002614C0"/>
    <w:rsid w:val="002B0454"/>
    <w:rsid w:val="00302700"/>
    <w:rsid w:val="00352BAC"/>
    <w:rsid w:val="00364FCD"/>
    <w:rsid w:val="003C2CB3"/>
    <w:rsid w:val="00412C2F"/>
    <w:rsid w:val="00453FAB"/>
    <w:rsid w:val="00467932"/>
    <w:rsid w:val="00473CFA"/>
    <w:rsid w:val="004E50A6"/>
    <w:rsid w:val="00574099"/>
    <w:rsid w:val="005A00BC"/>
    <w:rsid w:val="00611032"/>
    <w:rsid w:val="0064349A"/>
    <w:rsid w:val="00680E49"/>
    <w:rsid w:val="006923B8"/>
    <w:rsid w:val="006D00D7"/>
    <w:rsid w:val="00780726"/>
    <w:rsid w:val="007A16C3"/>
    <w:rsid w:val="007B3D61"/>
    <w:rsid w:val="008077A8"/>
    <w:rsid w:val="0083067F"/>
    <w:rsid w:val="008C20C0"/>
    <w:rsid w:val="008F4958"/>
    <w:rsid w:val="0095709B"/>
    <w:rsid w:val="009910F2"/>
    <w:rsid w:val="00995EFE"/>
    <w:rsid w:val="009B43E7"/>
    <w:rsid w:val="009B67FD"/>
    <w:rsid w:val="00A0770D"/>
    <w:rsid w:val="00A910E5"/>
    <w:rsid w:val="00A93738"/>
    <w:rsid w:val="00AB2D06"/>
    <w:rsid w:val="00B30476"/>
    <w:rsid w:val="00B73D54"/>
    <w:rsid w:val="00B85413"/>
    <w:rsid w:val="00C20199"/>
    <w:rsid w:val="00C24B05"/>
    <w:rsid w:val="00C4359F"/>
    <w:rsid w:val="00CA49BE"/>
    <w:rsid w:val="00CB799D"/>
    <w:rsid w:val="00D50B4A"/>
    <w:rsid w:val="00D61ABC"/>
    <w:rsid w:val="00DF6E7B"/>
    <w:rsid w:val="00E00CD2"/>
    <w:rsid w:val="00E047CA"/>
    <w:rsid w:val="00E15038"/>
    <w:rsid w:val="00E31BF7"/>
    <w:rsid w:val="00E87410"/>
    <w:rsid w:val="00F06522"/>
    <w:rsid w:val="00F70273"/>
    <w:rsid w:val="00FB00AE"/>
    <w:rsid w:val="00FC4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9D3787A4E1904AAFA7BE95C9F6DBDA9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C9DDD5FAAB04BAEB275FE4D0AFE46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5B2111ADC024BCC88BCED4D9A99C5A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0CD0A-1EB1-4675-B662-D69DB3195F44}">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4043</Words>
  <Characters>4591</Characters>
  <Lines>57</Lines>
  <Paragraphs>16</Paragraphs>
  <TotalTime>355</TotalTime>
  <ScaleCrop>false</ScaleCrop>
  <LinksUpToDate>false</LinksUpToDate>
  <CharactersWithSpaces>4746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2025-04-21T08:43:00Z</dcterms:created>
  <dc:creator>Admin</dc:creator>
  <dc:description>&lt;config cover="true" show_menu="true" version="1.0.0" doctype="SDKXY"&gt;_x000d_
&lt;/config&gt;</dc:description>
  <cp:lastModifiedBy>樱桃</cp:lastModifiedBy>
  <cp:lastPrinted>2021-02-02T08:22:00Z</cp:lastPrinted>
  <dcterms:modified xsi:type="dcterms:W3CDTF">2025-04-25T13:02:55Z</dcterms:modified>
  <dc:title>团体标准</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MTWinEqns">
    <vt:bool>true</vt:bool>
  </property>
  <property fmtid="{D5CDD505-2E9C-101B-9397-08002B2CF9AE}" pid="15" name="KSOTemplateDocerSaveRecord">
    <vt:lpwstr>eyJoZGlkIjoiYzUwYzZhMDcwNGQ3YTc2MjQ0ZWExNjJlOTQ4ZGVlN2UiLCJ1c2VySWQiOiIyMzAwODIyNzYifQ==</vt:lpwstr>
  </property>
  <property fmtid="{D5CDD505-2E9C-101B-9397-08002B2CF9AE}" pid="16" name="KSOProductBuildVer">
    <vt:lpwstr>2052-12.1.0.20784</vt:lpwstr>
  </property>
  <property fmtid="{D5CDD505-2E9C-101B-9397-08002B2CF9AE}" pid="17" name="ICV">
    <vt:lpwstr>575F88996F734AC9AFDE1BE57A778A04_12</vt:lpwstr>
  </property>
</Properties>
</file>