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B6820">
      <w:pPr>
        <w:spacing w:after="156" w:afterLines="50" w:line="440" w:lineRule="exact"/>
        <w:jc w:val="center"/>
        <w:rPr>
          <w:rFonts w:hint="eastAsia" w:ascii="Times New Roman" w:hAnsi="Times New Roman" w:eastAsia="宋体"/>
          <w:b/>
          <w:bCs/>
          <w:sz w:val="32"/>
          <w:szCs w:val="32"/>
        </w:rPr>
      </w:pPr>
      <w:r>
        <w:rPr>
          <w:rFonts w:hint="eastAsia" w:ascii="Times New Roman" w:hAnsi="Times New Roman" w:eastAsia="宋体"/>
          <w:b/>
          <w:bCs/>
          <w:sz w:val="32"/>
          <w:szCs w:val="32"/>
        </w:rPr>
        <w:t>团体标准《灵芝及相关产品多糖的提取与测定技术规程》</w:t>
      </w:r>
    </w:p>
    <w:p w14:paraId="05ADE3C7">
      <w:pPr>
        <w:spacing w:after="156" w:afterLines="50" w:line="440" w:lineRule="exact"/>
        <w:jc w:val="center"/>
        <w:rPr>
          <w:rFonts w:ascii="Times New Roman" w:hAnsi="Times New Roman" w:eastAsia="宋体"/>
          <w:b/>
          <w:bCs/>
          <w:sz w:val="32"/>
          <w:szCs w:val="32"/>
        </w:rPr>
      </w:pPr>
      <w:bookmarkStart w:id="0" w:name="_GoBack"/>
      <w:bookmarkEnd w:id="0"/>
      <w:r>
        <w:rPr>
          <w:rFonts w:hint="eastAsia" w:ascii="Times New Roman" w:hAnsi="Times New Roman" w:eastAsia="宋体"/>
          <w:b/>
          <w:bCs/>
          <w:sz w:val="32"/>
          <w:szCs w:val="32"/>
        </w:rPr>
        <w:t>编制说明</w:t>
      </w:r>
    </w:p>
    <w:p w14:paraId="68AF79A0">
      <w:pPr>
        <w:spacing w:line="440" w:lineRule="exact"/>
        <w:rPr>
          <w:rFonts w:ascii="Times New Roman" w:hAnsi="Times New Roman" w:eastAsia="宋体"/>
          <w:b/>
          <w:bCs/>
          <w:sz w:val="24"/>
        </w:rPr>
      </w:pPr>
      <w:r>
        <w:rPr>
          <w:rFonts w:hint="eastAsia" w:ascii="Times New Roman" w:hAnsi="Times New Roman" w:eastAsia="宋体"/>
          <w:b/>
          <w:bCs/>
          <w:sz w:val="24"/>
        </w:rPr>
        <w:t>一、项目来源</w:t>
      </w:r>
    </w:p>
    <w:p w14:paraId="14DE74D9">
      <w:pPr>
        <w:spacing w:line="440" w:lineRule="exact"/>
        <w:ind w:firstLine="480" w:firstLineChars="200"/>
        <w:rPr>
          <w:rFonts w:ascii="Times New Roman" w:hAnsi="Times New Roman" w:eastAsia="宋体"/>
          <w:sz w:val="24"/>
        </w:rPr>
      </w:pPr>
      <w:r>
        <w:rPr>
          <w:rFonts w:hint="eastAsia" w:ascii="Times New Roman" w:hAnsi="Times New Roman" w:eastAsia="宋体"/>
          <w:kern w:val="0"/>
          <w:sz w:val="24"/>
        </w:rPr>
        <w:t>本项目的任务来源为：广西科技重大专项</w:t>
      </w:r>
      <w:r>
        <w:rPr>
          <w:rFonts w:ascii="Times New Roman" w:hAnsi="Times New Roman" w:eastAsia="宋体"/>
          <w:kern w:val="0"/>
          <w:sz w:val="24"/>
        </w:rPr>
        <w:t xml:space="preserve"> </w:t>
      </w:r>
      <w:r>
        <w:rPr>
          <w:rFonts w:hint="eastAsia" w:ascii="Times New Roman" w:hAnsi="Times New Roman" w:eastAsia="宋体"/>
          <w:kern w:val="0"/>
          <w:sz w:val="24"/>
        </w:rPr>
        <w:t>广西中药民族药产业集群协同攻关与优势产品提质增效研究</w:t>
      </w:r>
      <w:r>
        <w:rPr>
          <w:rFonts w:ascii="Times New Roman" w:hAnsi="Times New Roman" w:eastAsia="宋体"/>
          <w:kern w:val="0"/>
          <w:sz w:val="24"/>
        </w:rPr>
        <w:t xml:space="preserve"> </w:t>
      </w:r>
      <w:r>
        <w:rPr>
          <w:rFonts w:hint="eastAsia" w:ascii="Times New Roman" w:hAnsi="Times New Roman" w:eastAsia="宋体"/>
          <w:kern w:val="0"/>
          <w:sz w:val="24"/>
        </w:rPr>
        <w:t>课题</w:t>
      </w:r>
      <w:r>
        <w:rPr>
          <w:rFonts w:ascii="Times New Roman" w:hAnsi="Times New Roman" w:eastAsia="宋体"/>
          <w:kern w:val="0"/>
          <w:sz w:val="24"/>
        </w:rPr>
        <w:t>6</w:t>
      </w:r>
      <w:r>
        <w:rPr>
          <w:rFonts w:hint="eastAsia" w:ascii="Times New Roman" w:hAnsi="Times New Roman" w:eastAsia="宋体"/>
          <w:kern w:val="0"/>
          <w:sz w:val="24"/>
        </w:rPr>
        <w:t>：药食同源系列产品开发（桂科</w:t>
      </w:r>
      <w:r>
        <w:rPr>
          <w:rFonts w:ascii="Times New Roman" w:hAnsi="Times New Roman" w:eastAsia="宋体"/>
          <w:kern w:val="0"/>
          <w:sz w:val="24"/>
        </w:rPr>
        <w:t>AA23023035-6</w:t>
      </w:r>
      <w:r>
        <w:rPr>
          <w:rFonts w:hint="eastAsia" w:ascii="Times New Roman" w:hAnsi="Times New Roman" w:eastAsia="宋体"/>
          <w:kern w:val="0"/>
          <w:sz w:val="24"/>
        </w:rPr>
        <w:t>）。</w:t>
      </w:r>
      <w:r>
        <w:rPr>
          <w:rFonts w:hint="eastAsia" w:ascii="Times New Roman" w:hAnsi="Times New Roman" w:eastAsia="宋体"/>
          <w:sz w:val="24"/>
        </w:rPr>
        <w:t>根据《广西中药材产业协会关于征集2024年团体标准项目的通知》的文件精神，本标准由广西中医药大学、桂林三金大健康产业有限公司、广西植物研究所、广西寿菌园新技术开发有限公司共同起草。</w:t>
      </w:r>
    </w:p>
    <w:p w14:paraId="6FA045D5">
      <w:pPr>
        <w:spacing w:line="440" w:lineRule="exact"/>
        <w:rPr>
          <w:rFonts w:ascii="Times New Roman" w:hAnsi="Times New Roman" w:eastAsia="宋体"/>
          <w:b/>
          <w:bCs/>
          <w:sz w:val="24"/>
        </w:rPr>
      </w:pPr>
      <w:r>
        <w:rPr>
          <w:rFonts w:hint="eastAsia" w:ascii="Times New Roman" w:hAnsi="Times New Roman" w:eastAsia="宋体"/>
          <w:b/>
          <w:bCs/>
          <w:sz w:val="24"/>
        </w:rPr>
        <w:t>二、项目背景及目的意义</w:t>
      </w:r>
    </w:p>
    <w:p w14:paraId="0F1DE572">
      <w:pPr>
        <w:spacing w:line="440" w:lineRule="exact"/>
        <w:ind w:firstLine="480" w:firstLineChars="200"/>
        <w:rPr>
          <w:rFonts w:ascii="Times New Roman" w:hAnsi="Times New Roman" w:eastAsia="宋体"/>
          <w:sz w:val="24"/>
        </w:rPr>
      </w:pPr>
      <w:r>
        <w:rPr>
          <w:rFonts w:hint="eastAsia" w:ascii="Times New Roman" w:hAnsi="Times New Roman" w:eastAsia="宋体"/>
          <w:sz w:val="24"/>
        </w:rPr>
        <w:t>灵芝是多孔菌科灵芝属真菌紫芝或赤芝的子实体，我国多地均有分布，广为栽培。灵芝始载于我国第一部药物本草著作《神农本草经》，被列为上品，其共性为久服轻身不老，延年神仙，此后《新修本草》、《本草纲目》中均有记载。2000年版《中华人民共和国药典》收录灵芝（赤芝、紫芝）为法定中药材，之后每版都有收载。灵芝性平，味甘。归心经、肺经、肝经、肾经，具有补气安神、止咳平喘，治疗肺虚咳喘、虚劳短气等功效，是我国传统的扶正固本、滋补强壮的名贵药材。2023年，国家卫生健康委员会将其纳入按照传统既是食品又是中药材的物质目录。现代研究表明灵芝含多种活性成分，如多糖、三萜类、甾醇类、蛋白质等，灵芝多糖是其中的主要活性成分之一，具有众多功效，尤其在提高免疫力，抗肿瘤等方面功效显著，也呼应了中医理论中所说的扶正固本，目前广泛应用于药品，保健品等领域。</w:t>
      </w:r>
    </w:p>
    <w:p w14:paraId="156D1D83">
      <w:pPr>
        <w:spacing w:line="440" w:lineRule="exact"/>
        <w:ind w:firstLine="480" w:firstLineChars="200"/>
        <w:rPr>
          <w:rFonts w:ascii="Times New Roman" w:hAnsi="Times New Roman" w:eastAsia="宋体"/>
          <w:sz w:val="24"/>
        </w:rPr>
      </w:pPr>
      <w:r>
        <w:rPr>
          <w:rFonts w:hint="eastAsia" w:ascii="Times New Roman" w:hAnsi="Times New Roman" w:eastAsia="宋体"/>
          <w:sz w:val="24"/>
        </w:rPr>
        <w:t>广西出产灵芝历史悠久，是广西区域特色药材，随着灵芝需求量的增加，广西各地广泛种植灵芝，为当地撑起“致富伞”。但目前我区灵芝采收后主要以子实体、切片、孢子粉（破壁孢子粉）等形式进入市场形成商业化，产品同质化严重，附加值低，难以形成有利的竞争优势。实现活性成分多糖的生产并投入研发，进入市场，可提高产品附加值，提高产品竞争力，具有广阔的应用前景，因此灵芝多糖的提取与测定技术规程至关重要。鉴于此，拟制定《灵芝及相关产品多糖的提取与测定技术规程》团体标准，为灵芝的采收、产地初加工提供指导，为灵芝的质量控制提供借鉴，提高产品附加值，为相关大健康产品的研发提供参考，助力研发，扩大产业链，促进当地经济发展，助力广西灵芝产业的高质量发展。</w:t>
      </w:r>
    </w:p>
    <w:p w14:paraId="614A4F84">
      <w:pPr>
        <w:spacing w:line="440" w:lineRule="exact"/>
        <w:rPr>
          <w:rFonts w:ascii="Times New Roman" w:hAnsi="Times New Roman" w:eastAsia="宋体"/>
          <w:b/>
          <w:bCs/>
          <w:sz w:val="24"/>
        </w:rPr>
      </w:pPr>
      <w:r>
        <w:rPr>
          <w:rFonts w:hint="eastAsia" w:ascii="Times New Roman" w:hAnsi="Times New Roman" w:eastAsia="宋体"/>
          <w:b/>
          <w:bCs/>
          <w:sz w:val="24"/>
        </w:rPr>
        <w:t>三、标准主要内容</w:t>
      </w:r>
    </w:p>
    <w:p w14:paraId="3B3B8B58">
      <w:pPr>
        <w:spacing w:line="440" w:lineRule="exact"/>
        <w:rPr>
          <w:rFonts w:ascii="Times New Roman" w:hAnsi="Times New Roman" w:eastAsia="宋体"/>
          <w:sz w:val="24"/>
        </w:rPr>
      </w:pPr>
      <w:r>
        <w:rPr>
          <w:rFonts w:hint="eastAsia" w:ascii="Times New Roman" w:hAnsi="Times New Roman" w:eastAsia="宋体"/>
          <w:sz w:val="24"/>
        </w:rPr>
        <w:t>（1）范围</w:t>
      </w:r>
    </w:p>
    <w:p w14:paraId="622BC31A">
      <w:pPr>
        <w:spacing w:line="440" w:lineRule="exact"/>
        <w:rPr>
          <w:rFonts w:ascii="Times New Roman" w:hAnsi="Times New Roman" w:eastAsia="宋体"/>
          <w:sz w:val="24"/>
        </w:rPr>
      </w:pPr>
      <w:r>
        <w:rPr>
          <w:rFonts w:hint="eastAsia" w:ascii="Times New Roman" w:hAnsi="Times New Roman" w:eastAsia="宋体"/>
          <w:sz w:val="24"/>
        </w:rPr>
        <w:t>（2）规范性引用文件</w:t>
      </w:r>
    </w:p>
    <w:p w14:paraId="2049F7FE">
      <w:pPr>
        <w:spacing w:line="440" w:lineRule="exact"/>
        <w:rPr>
          <w:rFonts w:ascii="Times New Roman" w:hAnsi="Times New Roman" w:eastAsia="宋体"/>
          <w:sz w:val="24"/>
        </w:rPr>
      </w:pPr>
      <w:r>
        <w:rPr>
          <w:rFonts w:hint="eastAsia" w:ascii="Times New Roman" w:hAnsi="Times New Roman" w:eastAsia="宋体"/>
          <w:sz w:val="24"/>
        </w:rPr>
        <w:t>（3）术语和定义</w:t>
      </w:r>
    </w:p>
    <w:p w14:paraId="45806866">
      <w:pPr>
        <w:spacing w:line="440" w:lineRule="exact"/>
        <w:rPr>
          <w:rFonts w:ascii="Times New Roman" w:hAnsi="Times New Roman" w:eastAsia="宋体"/>
          <w:sz w:val="24"/>
        </w:rPr>
      </w:pPr>
      <w:r>
        <w:rPr>
          <w:rFonts w:hint="eastAsia" w:ascii="Times New Roman" w:hAnsi="Times New Roman" w:eastAsia="宋体"/>
          <w:sz w:val="24"/>
        </w:rPr>
        <w:t>（4）仪器和试剂</w:t>
      </w:r>
    </w:p>
    <w:p w14:paraId="2F9D5164">
      <w:pPr>
        <w:spacing w:line="440" w:lineRule="exact"/>
        <w:rPr>
          <w:rFonts w:ascii="Times New Roman" w:hAnsi="Times New Roman" w:eastAsia="宋体"/>
          <w:sz w:val="24"/>
        </w:rPr>
      </w:pPr>
      <w:r>
        <w:rPr>
          <w:rFonts w:hint="eastAsia" w:ascii="Times New Roman" w:hAnsi="Times New Roman" w:eastAsia="宋体"/>
          <w:sz w:val="24"/>
        </w:rPr>
        <w:t>（5）提取与测定步骤</w:t>
      </w:r>
    </w:p>
    <w:p w14:paraId="0E0DFA9B">
      <w:pPr>
        <w:spacing w:line="440" w:lineRule="exact"/>
        <w:rPr>
          <w:rFonts w:ascii="Times New Roman" w:hAnsi="Times New Roman" w:eastAsia="宋体"/>
          <w:b/>
          <w:bCs/>
          <w:sz w:val="24"/>
        </w:rPr>
      </w:pPr>
      <w:r>
        <w:rPr>
          <w:rFonts w:hint="eastAsia" w:ascii="Times New Roman" w:hAnsi="Times New Roman" w:eastAsia="宋体"/>
          <w:b/>
          <w:bCs/>
          <w:sz w:val="24"/>
        </w:rPr>
        <w:t>四、标准中涉及专利的情况</w:t>
      </w:r>
    </w:p>
    <w:p w14:paraId="7C5625D7">
      <w:pPr>
        <w:spacing w:line="440" w:lineRule="exact"/>
        <w:ind w:firstLine="480" w:firstLineChars="200"/>
        <w:rPr>
          <w:rFonts w:ascii="Times New Roman" w:hAnsi="Times New Roman" w:eastAsia="宋体"/>
          <w:sz w:val="24"/>
        </w:rPr>
      </w:pPr>
      <w:r>
        <w:rPr>
          <w:rFonts w:hint="eastAsia" w:ascii="Times New Roman" w:hAnsi="Times New Roman" w:eastAsia="宋体"/>
          <w:sz w:val="24"/>
        </w:rPr>
        <w:t>本标准技术内容不涉及专利。</w:t>
      </w:r>
    </w:p>
    <w:p w14:paraId="33FD77EB">
      <w:pPr>
        <w:spacing w:line="440" w:lineRule="exact"/>
        <w:rPr>
          <w:rFonts w:ascii="Times New Roman" w:hAnsi="Times New Roman" w:eastAsia="宋体"/>
          <w:b/>
          <w:bCs/>
          <w:sz w:val="24"/>
        </w:rPr>
      </w:pPr>
      <w:r>
        <w:rPr>
          <w:rFonts w:hint="eastAsia" w:ascii="Times New Roman" w:hAnsi="Times New Roman" w:eastAsia="宋体"/>
          <w:b/>
          <w:bCs/>
          <w:sz w:val="24"/>
        </w:rPr>
        <w:t>五、预期达到的社会效益、对产业发展的作用</w:t>
      </w:r>
    </w:p>
    <w:p w14:paraId="480C4DB1">
      <w:pPr>
        <w:spacing w:line="440" w:lineRule="exact"/>
        <w:ind w:firstLine="480" w:firstLineChars="200"/>
        <w:rPr>
          <w:rFonts w:ascii="Times New Roman" w:hAnsi="Times New Roman" w:eastAsia="宋体"/>
          <w:sz w:val="24"/>
        </w:rPr>
      </w:pPr>
      <w:r>
        <w:rPr>
          <w:rFonts w:hint="eastAsia" w:ascii="Times New Roman" w:hAnsi="Times New Roman" w:eastAsia="宋体"/>
          <w:sz w:val="24"/>
        </w:rPr>
        <w:t>灵芝是我区区域特色药材，随着社会需求的增加，目前我区广泛种植灵芝，带动当地经济的发展。但我区灵芝主要以子实体、切片、孢子粉等形式进入市场，产品同质化严重，附加值低。对灵芝中的有效成分多糖进行提取、测定，将其用于产品研发是提高产品附加值，提升产品竞争力，促进灵芝产业及经济发展的有效举措。产业发展，标准先行，有效的标准才能引领灵芝产业高质量发展。本标准的制定和实施，可为灵芝采收、产地初加工提供标准，也可为灵芝质量控制提高借鉴，活性成分多糖的提取测定及后续的应用可提高产品附加值，为灵芝相关产品的研发提供借鉴，提高灵芝及其产品质量及市场竞争力，完善灵芝产业链，带动就业，促进我区灵芝产业的发展，对发展经济有积极意义。</w:t>
      </w:r>
    </w:p>
    <w:p w14:paraId="0FB3323E">
      <w:pPr>
        <w:spacing w:line="440" w:lineRule="exact"/>
        <w:rPr>
          <w:rFonts w:ascii="Times New Roman" w:hAnsi="Times New Roman" w:eastAsia="宋体"/>
          <w:b/>
          <w:bCs/>
          <w:sz w:val="24"/>
        </w:rPr>
      </w:pPr>
      <w:r>
        <w:rPr>
          <w:rFonts w:hint="eastAsia" w:ascii="Times New Roman" w:hAnsi="Times New Roman" w:eastAsia="宋体"/>
          <w:b/>
          <w:bCs/>
          <w:sz w:val="24"/>
        </w:rPr>
        <w:t>六、在标准体系中的位置，与有关现行法律、法规和相关标准，特别是强制性标准的协调性</w:t>
      </w:r>
    </w:p>
    <w:p w14:paraId="6D80AB15">
      <w:pPr>
        <w:spacing w:line="440" w:lineRule="exact"/>
        <w:ind w:firstLine="480" w:firstLineChars="200"/>
        <w:rPr>
          <w:rFonts w:ascii="Times New Roman" w:hAnsi="Times New Roman" w:eastAsia="宋体"/>
          <w:sz w:val="24"/>
        </w:rPr>
      </w:pPr>
      <w:r>
        <w:rPr>
          <w:rFonts w:hint="eastAsia" w:ascii="Times New Roman" w:hAnsi="Times New Roman" w:eastAsia="宋体"/>
          <w:sz w:val="24"/>
        </w:rPr>
        <w:t>本文件属于团体标准，符合国家现行法律、法规要求，且与有关的基础和相关标准不矛盾。</w:t>
      </w:r>
    </w:p>
    <w:p w14:paraId="5CD0A784">
      <w:pPr>
        <w:spacing w:line="440" w:lineRule="exact"/>
        <w:rPr>
          <w:rFonts w:ascii="Times New Roman" w:hAnsi="Times New Roman" w:eastAsia="宋体"/>
          <w:b/>
          <w:bCs/>
          <w:sz w:val="24"/>
        </w:rPr>
      </w:pPr>
      <w:r>
        <w:rPr>
          <w:rFonts w:hint="eastAsia" w:ascii="Times New Roman" w:hAnsi="Times New Roman" w:eastAsia="宋体"/>
          <w:b/>
          <w:bCs/>
          <w:sz w:val="24"/>
        </w:rPr>
        <w:t>七、重大分歧意见的处理经过和依据</w:t>
      </w:r>
    </w:p>
    <w:p w14:paraId="3F69CD4D">
      <w:pPr>
        <w:spacing w:line="440" w:lineRule="exact"/>
        <w:ind w:firstLine="480" w:firstLineChars="200"/>
        <w:rPr>
          <w:rFonts w:ascii="Times New Roman" w:hAnsi="Times New Roman" w:eastAsia="宋体"/>
          <w:sz w:val="24"/>
        </w:rPr>
      </w:pPr>
      <w:r>
        <w:rPr>
          <w:rFonts w:hint="eastAsia" w:ascii="Times New Roman" w:hAnsi="Times New Roman" w:eastAsia="宋体"/>
          <w:sz w:val="24"/>
        </w:rPr>
        <w:t>无。</w:t>
      </w:r>
    </w:p>
    <w:p w14:paraId="21BD0E46">
      <w:pPr>
        <w:spacing w:line="440" w:lineRule="exact"/>
        <w:rPr>
          <w:rFonts w:ascii="Times New Roman" w:hAnsi="Times New Roman" w:eastAsia="宋体"/>
          <w:b/>
          <w:bCs/>
          <w:sz w:val="24"/>
        </w:rPr>
      </w:pPr>
      <w:r>
        <w:rPr>
          <w:rFonts w:hint="eastAsia" w:ascii="Times New Roman" w:hAnsi="Times New Roman" w:eastAsia="宋体"/>
          <w:b/>
          <w:bCs/>
          <w:sz w:val="24"/>
        </w:rPr>
        <w:t>八、标准性质的建议说明</w:t>
      </w:r>
    </w:p>
    <w:p w14:paraId="16321ECF">
      <w:pPr>
        <w:spacing w:line="440" w:lineRule="exact"/>
        <w:ind w:firstLine="480" w:firstLineChars="200"/>
        <w:rPr>
          <w:rFonts w:ascii="Times New Roman" w:hAnsi="Times New Roman" w:eastAsia="宋体"/>
          <w:sz w:val="24"/>
        </w:rPr>
      </w:pPr>
      <w:r>
        <w:rPr>
          <w:rFonts w:hint="eastAsia" w:ascii="Times New Roman" w:hAnsi="Times New Roman" w:eastAsia="宋体"/>
          <w:sz w:val="24"/>
        </w:rPr>
        <w:t xml:space="preserve">本文件为广西中药材产业协会标准，属于团体标准，供协会会员及社会自愿使用。 </w:t>
      </w:r>
    </w:p>
    <w:p w14:paraId="6FDF0AA0">
      <w:pPr>
        <w:spacing w:line="440" w:lineRule="exact"/>
        <w:rPr>
          <w:rFonts w:ascii="Times New Roman" w:hAnsi="Times New Roman" w:eastAsia="宋体"/>
          <w:b/>
          <w:bCs/>
          <w:sz w:val="24"/>
        </w:rPr>
      </w:pPr>
      <w:r>
        <w:rPr>
          <w:rFonts w:hint="eastAsia" w:ascii="Times New Roman" w:hAnsi="Times New Roman" w:eastAsia="宋体"/>
          <w:b/>
          <w:bCs/>
          <w:sz w:val="24"/>
        </w:rPr>
        <w:t>九、废止现行相关标准的建议</w:t>
      </w:r>
    </w:p>
    <w:p w14:paraId="0FFAEDB3">
      <w:pPr>
        <w:spacing w:line="440" w:lineRule="exact"/>
        <w:ind w:firstLine="480" w:firstLineChars="200"/>
        <w:rPr>
          <w:rFonts w:ascii="Times New Roman" w:hAnsi="Times New Roman" w:eastAsia="宋体"/>
          <w:sz w:val="24"/>
        </w:rPr>
      </w:pPr>
      <w:r>
        <w:rPr>
          <w:rFonts w:hint="eastAsia" w:ascii="Times New Roman" w:hAnsi="Times New Roman" w:eastAsia="宋体"/>
          <w:sz w:val="24"/>
        </w:rPr>
        <w:t>无。</w:t>
      </w:r>
    </w:p>
    <w:p w14:paraId="2CF325E0">
      <w:pPr>
        <w:spacing w:line="440" w:lineRule="exact"/>
        <w:rPr>
          <w:rFonts w:ascii="Times New Roman" w:hAnsi="Times New Roman" w:eastAsia="宋体"/>
          <w:b/>
          <w:bCs/>
          <w:sz w:val="24"/>
        </w:rPr>
      </w:pPr>
      <w:r>
        <w:rPr>
          <w:rFonts w:hint="eastAsia" w:ascii="Times New Roman" w:hAnsi="Times New Roman" w:eastAsia="宋体"/>
          <w:b/>
          <w:bCs/>
          <w:sz w:val="24"/>
        </w:rPr>
        <w:t>十、其他应予说明的事项</w:t>
      </w:r>
    </w:p>
    <w:p w14:paraId="0700DC84">
      <w:pPr>
        <w:spacing w:line="440" w:lineRule="exact"/>
        <w:ind w:firstLine="480" w:firstLineChars="200"/>
        <w:rPr>
          <w:rFonts w:ascii="Times New Roman" w:hAnsi="Times New Roman" w:eastAsia="宋体"/>
          <w:sz w:val="24"/>
        </w:rPr>
      </w:pPr>
      <w:r>
        <w:rPr>
          <w:rFonts w:hint="eastAsia" w:ascii="Times New Roman" w:hAnsi="Times New Roman" w:eastAsia="宋体"/>
          <w:sz w:val="24"/>
        </w:rPr>
        <w:t>无。</w:t>
      </w:r>
    </w:p>
    <w:p w14:paraId="76B2B9E2">
      <w:pPr>
        <w:spacing w:line="440" w:lineRule="exact"/>
        <w:ind w:firstLine="480" w:firstLineChars="200"/>
        <w:rPr>
          <w:rFonts w:ascii="Times New Roman" w:hAnsi="Times New Roman" w:eastAsia="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E1"/>
    <w:rsid w:val="00013974"/>
    <w:rsid w:val="000329AB"/>
    <w:rsid w:val="00050338"/>
    <w:rsid w:val="000510C9"/>
    <w:rsid w:val="00055EC2"/>
    <w:rsid w:val="000675E6"/>
    <w:rsid w:val="0007140F"/>
    <w:rsid w:val="00075EEA"/>
    <w:rsid w:val="00087072"/>
    <w:rsid w:val="00090539"/>
    <w:rsid w:val="000A64E9"/>
    <w:rsid w:val="000C4B12"/>
    <w:rsid w:val="00120EBD"/>
    <w:rsid w:val="0013262A"/>
    <w:rsid w:val="00153112"/>
    <w:rsid w:val="00171085"/>
    <w:rsid w:val="001D25C8"/>
    <w:rsid w:val="001E0CA9"/>
    <w:rsid w:val="00201A49"/>
    <w:rsid w:val="002178EA"/>
    <w:rsid w:val="00246347"/>
    <w:rsid w:val="002751B3"/>
    <w:rsid w:val="002933A3"/>
    <w:rsid w:val="00295D67"/>
    <w:rsid w:val="002A6C9F"/>
    <w:rsid w:val="002D17C7"/>
    <w:rsid w:val="002D27FE"/>
    <w:rsid w:val="002E1826"/>
    <w:rsid w:val="002F45C1"/>
    <w:rsid w:val="00323520"/>
    <w:rsid w:val="003326D8"/>
    <w:rsid w:val="0033420E"/>
    <w:rsid w:val="00347D04"/>
    <w:rsid w:val="0037239D"/>
    <w:rsid w:val="00373721"/>
    <w:rsid w:val="0037485E"/>
    <w:rsid w:val="00384EB3"/>
    <w:rsid w:val="003C15AB"/>
    <w:rsid w:val="00447A4D"/>
    <w:rsid w:val="00464FD8"/>
    <w:rsid w:val="00471D20"/>
    <w:rsid w:val="005061A0"/>
    <w:rsid w:val="00507ECC"/>
    <w:rsid w:val="00527B6F"/>
    <w:rsid w:val="00541A5F"/>
    <w:rsid w:val="005D7685"/>
    <w:rsid w:val="005F12C1"/>
    <w:rsid w:val="005F7217"/>
    <w:rsid w:val="00601A6A"/>
    <w:rsid w:val="00615BFB"/>
    <w:rsid w:val="0063137B"/>
    <w:rsid w:val="00644F64"/>
    <w:rsid w:val="00650765"/>
    <w:rsid w:val="0065129E"/>
    <w:rsid w:val="00660398"/>
    <w:rsid w:val="00673CED"/>
    <w:rsid w:val="0067657B"/>
    <w:rsid w:val="0069087D"/>
    <w:rsid w:val="006F1435"/>
    <w:rsid w:val="007170BD"/>
    <w:rsid w:val="0071725B"/>
    <w:rsid w:val="00737ABC"/>
    <w:rsid w:val="0074254A"/>
    <w:rsid w:val="00752B6A"/>
    <w:rsid w:val="007546B9"/>
    <w:rsid w:val="00772952"/>
    <w:rsid w:val="00776413"/>
    <w:rsid w:val="007A273B"/>
    <w:rsid w:val="007D0967"/>
    <w:rsid w:val="007E0E8C"/>
    <w:rsid w:val="00800D2F"/>
    <w:rsid w:val="00801DCC"/>
    <w:rsid w:val="00811240"/>
    <w:rsid w:val="00821744"/>
    <w:rsid w:val="0083364D"/>
    <w:rsid w:val="0084049C"/>
    <w:rsid w:val="00845B15"/>
    <w:rsid w:val="008930AF"/>
    <w:rsid w:val="008C149D"/>
    <w:rsid w:val="008D5304"/>
    <w:rsid w:val="00910965"/>
    <w:rsid w:val="009674E2"/>
    <w:rsid w:val="00993B39"/>
    <w:rsid w:val="00A37A9F"/>
    <w:rsid w:val="00A54D6A"/>
    <w:rsid w:val="00A920ED"/>
    <w:rsid w:val="00A94924"/>
    <w:rsid w:val="00AA3E4A"/>
    <w:rsid w:val="00AE1C65"/>
    <w:rsid w:val="00AF3533"/>
    <w:rsid w:val="00B33DAF"/>
    <w:rsid w:val="00B537F9"/>
    <w:rsid w:val="00B75B78"/>
    <w:rsid w:val="00B94D53"/>
    <w:rsid w:val="00BA4C68"/>
    <w:rsid w:val="00BD11A8"/>
    <w:rsid w:val="00BE336F"/>
    <w:rsid w:val="00C12750"/>
    <w:rsid w:val="00C97802"/>
    <w:rsid w:val="00CD1ECB"/>
    <w:rsid w:val="00CD2C26"/>
    <w:rsid w:val="00CF5307"/>
    <w:rsid w:val="00D1190C"/>
    <w:rsid w:val="00D20A56"/>
    <w:rsid w:val="00D268F1"/>
    <w:rsid w:val="00D379E7"/>
    <w:rsid w:val="00D57DC1"/>
    <w:rsid w:val="00D60FED"/>
    <w:rsid w:val="00D70734"/>
    <w:rsid w:val="00D84BBC"/>
    <w:rsid w:val="00D976E1"/>
    <w:rsid w:val="00DC29F6"/>
    <w:rsid w:val="00E10CF5"/>
    <w:rsid w:val="00E12937"/>
    <w:rsid w:val="00E56961"/>
    <w:rsid w:val="00E823D2"/>
    <w:rsid w:val="00EA24C7"/>
    <w:rsid w:val="00EB38C8"/>
    <w:rsid w:val="00EC2153"/>
    <w:rsid w:val="00EC4939"/>
    <w:rsid w:val="00ED6683"/>
    <w:rsid w:val="00F05448"/>
    <w:rsid w:val="00F17DFC"/>
    <w:rsid w:val="00F51CA3"/>
    <w:rsid w:val="00F5614B"/>
    <w:rsid w:val="00F654DC"/>
    <w:rsid w:val="00F667E1"/>
    <w:rsid w:val="00FC7238"/>
    <w:rsid w:val="00FC7EEE"/>
    <w:rsid w:val="00FE7058"/>
    <w:rsid w:val="70387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1444</Words>
  <Characters>1464</Characters>
  <Lines>10</Lines>
  <Paragraphs>2</Paragraphs>
  <TotalTime>570</TotalTime>
  <ScaleCrop>false</ScaleCrop>
  <LinksUpToDate>false</LinksUpToDate>
  <CharactersWithSpaces>1467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2024-10-14T06:55:00Z</dcterms:created>
  <dc:creator>qingxia yuan</dc:creator>
  <cp:lastModifiedBy>清茶</cp:lastModifiedBy>
  <dcterms:modified xsi:type="dcterms:W3CDTF">2025-04-23T09:49:47Z</dcterms:modified>
  <cp:revision>477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eyJoZGlkIjoiNjViZGZlOTc3ZGIwZjc5NzQzYTk2MmE4YjhlY2EzYjMiLCJ1c2VySWQiOiI0MDAxNzEyNTUifQ==</vt:lpwstr>
  </property>
  <property fmtid="{D5CDD505-2E9C-101B-9397-08002B2CF9AE}" pid="3" name="KSOProductBuildVer">
    <vt:lpwstr>2052-12.1.0.20784</vt:lpwstr>
  </property>
  <property fmtid="{D5CDD505-2E9C-101B-9397-08002B2CF9AE}" pid="4" name="ICV">
    <vt:lpwstr>DF9EE136638C458BAC78C4BEA7506B9A_12</vt:lpwstr>
  </property>
</Properties>
</file>