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2C8AB">
      <w:pPr>
        <w:pStyle w:val="122"/>
        <w:framePr w:wrap="around"/>
      </w:pPr>
      <w:r>
        <w:rPr>
          <w:rFonts w:ascii="Times New Roman"/>
        </w:rPr>
        <w:t>ICS</w:t>
      </w:r>
      <w:r>
        <w:rPr>
          <w:rFonts w:hint="eastAsia" w:ascii="MS Mincho" w:hAnsi="MS Mincho" w:eastAsia="MS Mincho" w:cs="MS Mincho"/>
        </w:rPr>
        <w:t> </w:t>
      </w:r>
    </w:p>
    <w:p w14:paraId="27C90E7B">
      <w:pPr>
        <w:pStyle w:val="122"/>
        <w:framePr w:wrap="around"/>
      </w:pPr>
      <w:r>
        <w:rPr>
          <w:rFonts w:hint="eastAsia"/>
        </w:rPr>
        <w:t>CCS</w:t>
      </w:r>
      <w:r>
        <w:t xml:space="preserve"> </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4"/>
      </w:tblGrid>
      <w:tr w14:paraId="35D94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4" w:type="dxa"/>
            <w:tcBorders>
              <w:top w:val="nil"/>
              <w:left w:val="nil"/>
              <w:bottom w:val="nil"/>
              <w:right w:val="nil"/>
            </w:tcBorders>
            <w:shd w:val="clear" w:color="auto" w:fill="auto"/>
          </w:tcPr>
          <w:p w14:paraId="673D4DA9">
            <w:pPr>
              <w:pStyle w:val="122"/>
              <w:framePr w:wrap="around"/>
            </w:pPr>
            <w: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3810" r="4445" b="0"/>
                      <wp:wrapNone/>
                      <wp:docPr id="214677607"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uL+zVAAAABwEAAA8AAAAAAAAA&#10;AQAgAAAAIgAAAGRycy9kb3ducmV2LnhtbFBLAQIUABQAAAAIAIdO4kAh2b8mFAIAACgEAAAOAAAA&#10;AAAAAAEAIAAAACQBAABkcnMvZTJvRG9jLnhtbFBLBQYAAAAABgAGAFkBAACqBQAAAAA=&#10;">
                      <v:fill on="t" focussize="0,0"/>
                      <v:stroke on="f"/>
                      <v:imagedata o:title=""/>
                      <o:lock v:ext="edit" aspectratio="f"/>
                    </v:rect>
                  </w:pict>
                </mc:Fallback>
              </mc:AlternateContent>
            </w:r>
            <w:r>
              <w:fldChar w:fldCharType="begin">
                <w:ffData>
                  <w:name w:val="BAH"/>
                  <w:enabled/>
                  <w:calcOnExit w:val="0"/>
                  <w:textInput/>
                </w:ffData>
              </w:fldChar>
            </w:r>
            <w:bookmarkStart w:id="0" w:name="BAH"/>
            <w:r>
              <w:instrText xml:space="preserve"> FORMTEXT </w:instrText>
            </w:r>
            <w:r>
              <w:fldChar w:fldCharType="separate"/>
            </w:r>
            <w:r>
              <w:t>     </w:t>
            </w:r>
            <w:r>
              <w:fldChar w:fldCharType="end"/>
            </w:r>
            <w:bookmarkEnd w:id="0"/>
          </w:p>
        </w:tc>
      </w:tr>
    </w:tbl>
    <w:p w14:paraId="16984699">
      <w:pPr>
        <w:pStyle w:val="109"/>
        <w:framePr w:wrap="around"/>
        <w:rPr>
          <w:rFonts w:ascii="Times New Roman" w:hAnsi="Times New Roman"/>
        </w:rPr>
      </w:pPr>
      <w:r>
        <w:rPr>
          <w:rFonts w:hint="eastAsia"/>
        </w:rPr>
        <w:t>团体标准</w:t>
      </w:r>
    </w:p>
    <w:p w14:paraId="6AD91A25">
      <w:pPr>
        <w:pStyle w:val="46"/>
        <w:framePr w:wrap="around"/>
        <w:rPr>
          <w:rFonts w:hint="eastAsia" w:hAnsi="黑体"/>
        </w:rPr>
      </w:pPr>
      <w:r>
        <w:rPr>
          <w:rFonts w:ascii="Times New Roman"/>
        </w:rPr>
        <w:t>T/</w:t>
      </w:r>
      <w:r>
        <w:rPr>
          <w:rFonts w:hint="eastAsia" w:ascii="Times New Roman"/>
        </w:rPr>
        <w:t>XXXX-202X</w:t>
      </w: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14:paraId="4245A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14:paraId="25CCF0FC">
            <w:pPr>
              <w:pStyle w:val="75"/>
              <w:framePr w:wrap="around"/>
              <w:rPr>
                <w:rFonts w:hint="eastAsia" w:hAnsi="宋体"/>
              </w:rPr>
            </w:pPr>
            <w:bookmarkStart w:id="1" w:name="DT"/>
            <w:r>
              <w:rPr>
                <w:rFonts w:hAnsi="宋体"/>
              </w:rPr>
              <mc:AlternateContent>
                <mc:Choice Requires="wps">
                  <w:drawing>
                    <wp:anchor distT="0" distB="0" distL="114300" distR="114300" simplePos="0" relativeHeight="251663360"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1059378748"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53120;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YPLL1gAAAAgBAAAPAAAAAAAAAAEA&#10;IAAAACIAAABkcnMvZG93bnJldi54bWxQSwECFAAUAAAACACHTuJAJtSfUxECAAApBAAADgAAAAAA&#10;AAABACAAAAAlAQAAZHJzL2Uyb0RvYy54bWxQSwUGAAAAAAYABgBZAQAAqAUAAAAA&#10;">
                      <v:fill on="t" focussize="0,0"/>
                      <v:stroke on="f"/>
                      <v:imagedata o:title=""/>
                      <o:lock v:ext="edit" aspectratio="f"/>
                    </v:rect>
                  </w:pict>
                </mc:Fallback>
              </mc:AlternateContent>
            </w:r>
            <w:bookmarkEnd w:id="1"/>
          </w:p>
        </w:tc>
      </w:tr>
    </w:tbl>
    <w:p w14:paraId="05AF5CA6">
      <w:pPr>
        <w:pStyle w:val="46"/>
        <w:framePr w:wrap="around"/>
        <w:rPr>
          <w:rFonts w:hint="eastAsia" w:hAnsi="黑体"/>
        </w:rPr>
      </w:pPr>
    </w:p>
    <w:p w14:paraId="3381F956">
      <w:pPr>
        <w:pStyle w:val="46"/>
        <w:framePr w:wrap="around"/>
        <w:rPr>
          <w:rFonts w:hint="eastAsia" w:hAnsi="黑体"/>
        </w:rPr>
      </w:pPr>
    </w:p>
    <w:p w14:paraId="1C473874">
      <w:pPr>
        <w:pStyle w:val="77"/>
        <w:framePr w:wrap="around"/>
        <w:rPr>
          <w:sz w:val="48"/>
          <w:szCs w:val="48"/>
        </w:rPr>
      </w:pPr>
      <w:r>
        <w:rPr>
          <w:rFonts w:hint="eastAsia"/>
          <w:sz w:val="48"/>
          <w:szCs w:val="48"/>
        </w:rPr>
        <w:t>商业及公共机构用机洗餐具清洁剂评价规范</w:t>
      </w:r>
    </w:p>
    <w:p w14:paraId="7B90DB8B">
      <w:pPr>
        <w:pStyle w:val="77"/>
        <w:framePr w:wrap="around"/>
        <w:rPr>
          <w:sz w:val="30"/>
          <w:szCs w:val="30"/>
        </w:rPr>
      </w:pPr>
      <w:r>
        <w:rPr>
          <w:rFonts w:hint="eastAsia"/>
          <w:sz w:val="30"/>
          <w:szCs w:val="30"/>
        </w:rPr>
        <w:t>（</w:t>
      </w:r>
      <w:r>
        <w:rPr>
          <w:rFonts w:hint="eastAsia"/>
          <w:sz w:val="30"/>
          <w:szCs w:val="30"/>
          <w:lang w:val="en-US" w:eastAsia="zh-CN"/>
        </w:rPr>
        <w:t>征求意见</w:t>
      </w:r>
      <w:r>
        <w:rPr>
          <w:rFonts w:hint="eastAsia"/>
          <w:sz w:val="30"/>
          <w:szCs w:val="30"/>
        </w:rPr>
        <w:t>稿）</w:t>
      </w:r>
    </w:p>
    <w:p w14:paraId="734D764E">
      <w:pPr>
        <w:pStyle w:val="78"/>
        <w:framePr w:wrap="around"/>
      </w:pPr>
    </w:p>
    <w:p w14:paraId="7DC08911">
      <w:pPr>
        <w:pStyle w:val="79"/>
        <w:framePr w:wrap="around"/>
      </w:pPr>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5427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5E573F65">
            <w:pPr>
              <w:pStyle w:val="80"/>
              <w:framePr w:wrap="around"/>
              <w:jc w:val="both"/>
            </w:pPr>
            <w:r>
              <mc:AlternateContent>
                <mc:Choice Requires="wps">
                  <w:drawing>
                    <wp:anchor distT="0" distB="0" distL="114300" distR="114300" simplePos="0" relativeHeight="251664384" behindDoc="1" locked="1" layoutInCell="1" allowOverlap="1">
                      <wp:simplePos x="0" y="0"/>
                      <wp:positionH relativeFrom="column">
                        <wp:posOffset>2200910</wp:posOffset>
                      </wp:positionH>
                      <wp:positionV relativeFrom="paragraph">
                        <wp:posOffset>573405</wp:posOffset>
                      </wp:positionV>
                      <wp:extent cx="1905000" cy="254000"/>
                      <wp:effectExtent l="0" t="3175" r="3175" b="0"/>
                      <wp:wrapNone/>
                      <wp:docPr id="1888598635"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2096;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JrpLVAAAACgEAAA8AAAAAAAAAAQAg&#10;AAAAIgAAAGRycy9kb3ducmV2LnhtbFBLAQIUABQAAAAIAIdO4kBvsVPCEQIAACkEAAAOAAAAAAAA&#10;AAEAIAAAACQBAABkcnMvZTJvRG9jLnhtbFBLBQYAAAAABgAGAFkBAACnBQAAAAA=&#10;">
                      <v:fill on="t" focussize="0,0"/>
                      <v:stroke on="f"/>
                      <v:imagedata o:title=""/>
                      <o:lock v:ext="edit" aspectratio="f"/>
                      <w10:anchorlock/>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3175" t="0" r="3175" b="0"/>
                      <wp:wrapNone/>
                      <wp:docPr id="695647815"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4144;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Phi+XWAAAACQEAAA8AAAAAAAAAAQAg&#10;AAAAIgAAAGRycy9kb3ducmV2LnhtbFBLAQIUABQAAAAIAIdO4kCFa3SQEAIAACgEAAAOAAAAAAAA&#10;AAEAIAAAACUBAABkcnMvZTJvRG9jLnhtbFBLBQYAAAAABgAGAFkBAACnBQAAAAA=&#10;">
                      <v:fill on="t" focussize="0,0"/>
                      <v:stroke on="f"/>
                      <v:imagedata o:title=""/>
                      <o:lock v:ext="edit" aspectratio="f"/>
                    </v:rect>
                  </w:pict>
                </mc:Fallback>
              </mc:AlternateContent>
            </w:r>
          </w:p>
        </w:tc>
      </w:tr>
      <w:tr w14:paraId="5B23D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19D6A926">
            <w:pPr>
              <w:pStyle w:val="81"/>
              <w:framePr w:wrap="around"/>
            </w:pPr>
          </w:p>
        </w:tc>
      </w:tr>
    </w:tbl>
    <w:p w14:paraId="087E2D89">
      <w:pPr>
        <w:pStyle w:val="129"/>
        <w:framePr w:wrap="around" w:vAnchor="page" w:hAnchor="page" w:x="856" w:y="14067"/>
        <w:rPr>
          <w:rFonts w:hint="eastAsia" w:ascii="黑体" w:hAnsi="黑体"/>
        </w:rPr>
      </w:pPr>
      <w:bookmarkStart w:id="2" w:name="_Hlk512600379"/>
      <w:r>
        <w:rPr>
          <w:rFonts w:ascii="黑体" w:hAnsi="黑体"/>
        </w:rPr>
        <w:t>202</w:t>
      </w:r>
      <w:r>
        <w:rPr>
          <w:rFonts w:hint="eastAsia" w:ascii="黑体" w:hAnsi="黑体"/>
          <w:lang w:val="en-US" w:eastAsia="zh-CN"/>
        </w:rPr>
        <w:t>5</w:t>
      </w:r>
      <w:r>
        <w:rPr>
          <w:rFonts w:ascii="黑体" w:hAnsi="黑体"/>
        </w:rPr>
        <w:t>-XX-XX</w:t>
      </w:r>
      <w:r>
        <w:rPr>
          <w:rFonts w:hint="eastAsia" w:ascii="黑体" w:hAnsi="黑体"/>
        </w:rPr>
        <w:t>发布</w:t>
      </w:r>
      <w: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9251315</wp:posOffset>
                </wp:positionV>
                <wp:extent cx="6600825" cy="23495"/>
                <wp:effectExtent l="0" t="4445" r="9525" b="10160"/>
                <wp:wrapNone/>
                <wp:docPr id="7" name="Straight Connector 7"/>
                <wp:cNvGraphicFramePr/>
                <a:graphic xmlns:a="http://schemas.openxmlformats.org/drawingml/2006/main">
                  <a:graphicData uri="http://schemas.microsoft.com/office/word/2010/wordprocessingShape">
                    <wps:wsp>
                      <wps:cNvCnPr>
                        <a:cxnSpLocks noChangeShapeType="1"/>
                      </wps:cNvCnPr>
                      <wps:spPr bwMode="auto">
                        <a:xfrm>
                          <a:off x="0" y="0"/>
                          <a:ext cx="6600825" cy="23495"/>
                        </a:xfrm>
                        <a:prstGeom prst="line">
                          <a:avLst/>
                        </a:prstGeom>
                        <a:noFill/>
                        <a:ln w="9525">
                          <a:solidFill>
                            <a:srgbClr val="000000"/>
                          </a:solidFill>
                          <a:round/>
                        </a:ln>
                      </wps:spPr>
                      <wps:bodyPr/>
                    </wps:wsp>
                  </a:graphicData>
                </a:graphic>
              </wp:anchor>
            </w:drawing>
          </mc:Choice>
          <mc:Fallback>
            <w:pict>
              <v:line id="Straight Connector 7" o:spid="_x0000_s1026" o:spt="20" style="position:absolute;left:0pt;margin-left:-0.05pt;margin-top:728.45pt;height:1.85pt;width:519.75pt;mso-position-vertical-relative:page;z-index:251659264;mso-width-relative:page;mso-height-relative:page;" filled="f" stroked="t" coordsize="21600,21600" o:gfxdata="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ijMpNkAAAAMAQAADwAAAAAAAAAB&#10;ACAAAAAiAAAAZHJzL2Rvd25yZXYueG1sUEsBAhQAFAAAAAgAh07iQKvtNmrWAQAAsQMAAA4AAAAA&#10;AAAAAQAgAAAAKAEAAGRycy9lMm9Eb2MueG1sUEsFBgAAAAAGAAYAWQEAAHAFAAAAAA==&#10;">
                <v:fill on="f" focussize="0,0"/>
                <v:stroke color="#000000" joinstyle="round"/>
                <v:imagedata o:title=""/>
                <o:lock v:ext="edit" aspectratio="f"/>
                <w10:anchorlock/>
              </v:line>
            </w:pict>
          </mc:Fallback>
        </mc:AlternateContent>
      </w:r>
    </w:p>
    <w:bookmarkEnd w:id="2"/>
    <w:p w14:paraId="6BA5A5A0">
      <w:pPr>
        <w:pStyle w:val="130"/>
        <w:framePr w:wrap="around" w:vAnchor="page" w:hAnchor="page" w:x="7328" w:y="14085"/>
        <w:rPr>
          <w:rFonts w:hint="eastAsia" w:ascii="黑体" w:hAnsi="黑体"/>
        </w:rPr>
      </w:pPr>
      <w:bookmarkStart w:id="3" w:name="_Hlk512600385"/>
      <w:r>
        <w:rPr>
          <w:rFonts w:ascii="黑体" w:hAnsi="黑体"/>
        </w:rPr>
        <w:t>202</w:t>
      </w:r>
      <w:r>
        <w:rPr>
          <w:rFonts w:hint="eastAsia" w:ascii="黑体" w:hAnsi="黑体"/>
          <w:lang w:val="en-US" w:eastAsia="zh-CN"/>
        </w:rPr>
        <w:t>5</w:t>
      </w:r>
      <w:r>
        <w:rPr>
          <w:rFonts w:ascii="黑体" w:hAnsi="黑体"/>
        </w:rPr>
        <w:t>-XX-XX</w:t>
      </w:r>
      <w:r>
        <w:rPr>
          <w:rFonts w:hint="eastAsia" w:ascii="黑体" w:hAnsi="黑体"/>
        </w:rPr>
        <w:t>实施</w:t>
      </w:r>
    </w:p>
    <w:bookmarkEnd w:id="3"/>
    <w:p w14:paraId="4CCFE88E">
      <w:pPr>
        <w:pStyle w:val="110"/>
        <w:framePr w:wrap="around" w:x="2239" w:y="14965"/>
        <w:rPr>
          <w:rFonts w:hint="eastAsia" w:ascii="黑体" w:hAnsi="黑体" w:eastAsia="黑体" w:cs="黑体"/>
        </w:rPr>
      </w:pPr>
      <w:r>
        <w:rPr>
          <w:rFonts w:hint="eastAsia" w:ascii="黑体" w:hAnsi="黑体" w:eastAsia="黑体" w:cs="黑体"/>
        </w:rPr>
        <w:t>中国洗涤用品工业协会   </w:t>
      </w:r>
      <w:r>
        <w:rPr>
          <w:rStyle w:val="72"/>
          <w:rFonts w:hint="eastAsia" w:ascii="黑体" w:hAnsi="黑体" w:eastAsia="黑体" w:cs="黑体"/>
        </w:rPr>
        <w:t>发布</w:t>
      </w:r>
    </w:p>
    <w:p w14:paraId="20AA7CC7">
      <w:pPr>
        <w:pStyle w:val="22"/>
        <w:sectPr>
          <w:headerReference r:id="rId3" w:type="even"/>
          <w:footerReference r:id="rId4" w:type="even"/>
          <w:pgSz w:w="11906" w:h="16838"/>
          <w:pgMar w:top="567" w:right="850" w:bottom="1134" w:left="1418" w:header="0" w:footer="0" w:gutter="0"/>
          <w:pgNumType w:start="1"/>
          <w:cols w:space="425"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2339975</wp:posOffset>
                </wp:positionV>
                <wp:extent cx="6120130" cy="0"/>
                <wp:effectExtent l="13970" t="13970" r="9525" b="5080"/>
                <wp:wrapNone/>
                <wp:docPr id="191357689"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5pt;height:0pt;width:481.9pt;z-index:251660288;mso-width-relative:page;mso-height-relative:page;" filled="f" stroked="t" coordsize="21600,21600" o:gfxdata="UEsDBAoAAAAAAIdO4kAAAAAAAAAAAAAAAAAEAAAAZHJzL1BLAwQUAAAACACHTuJAQkHiX9cAAAAJ&#10;AQAADwAAAGRycy9kb3ducmV2LnhtbE2PzU7DMBCE70h9B2uRuFStnUaE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JB4l/XAAAACQEAAA8AAAAAAAAAAQAgAAAAIgAA&#10;AGRycy9kb3ducmV2LnhtbFBLAQIUABQAAAAIAIdO4kDssHFv0AEAAKgDAAAOAAAAAAAAAAEAIAAA&#10;ACYBAABkcnMvZTJvRG9jLnhtbFBLBQYAAAAABgAGAFkBAABoBQAAAAA=&#10;">
                <v:fill on="f" focussize="0,0"/>
                <v:stroke color="#000000" joinstyle="round"/>
                <v:imagedata o:title=""/>
                <o:lock v:ext="edit" aspectratio="f"/>
              </v:line>
            </w:pict>
          </mc:Fallback>
        </mc:AlternateContent>
      </w:r>
    </w:p>
    <w:p w14:paraId="6D55C79C">
      <w:pPr>
        <w:pStyle w:val="111"/>
      </w:pPr>
      <w:r>
        <w:rPr>
          <w:rFonts w:hint="eastAsia"/>
        </w:rPr>
        <w:t>前</w:t>
      </w:r>
      <w:bookmarkStart w:id="37" w:name="_GoBack"/>
      <w:bookmarkEnd w:id="37"/>
      <w:bookmarkStart w:id="4" w:name="BKQY"/>
      <w:r>
        <w:rPr>
          <w:rFonts w:hint="eastAsia" w:ascii="MS Mincho" w:hAnsi="MS Mincho" w:eastAsia="MS Mincho" w:cs="MS Mincho"/>
        </w:rPr>
        <w:t>  </w:t>
      </w:r>
      <w:r>
        <w:rPr>
          <w:rFonts w:hint="eastAsia"/>
        </w:rPr>
        <w:t>言</w:t>
      </w:r>
      <w:bookmarkEnd w:id="4"/>
    </w:p>
    <w:p w14:paraId="034EB440">
      <w:pPr>
        <w:pStyle w:val="22"/>
      </w:pPr>
      <w:r>
        <w:rPr>
          <w:rFonts w:hint="eastAsia"/>
        </w:rPr>
        <w:t>本文件按照GB/T 1.1—2020《标准化工作导则  第1部分：标准化文件的结构和起草规则》的规定起草。</w:t>
      </w:r>
    </w:p>
    <w:p w14:paraId="7D65BDA2">
      <w:pPr>
        <w:pStyle w:val="22"/>
      </w:pPr>
      <w:r>
        <w:rPr>
          <w:rFonts w:hint="eastAsia"/>
        </w:rPr>
        <w:t>请注意本文件的某些内容可能涉及专利。本文件的发布机构不承担识别专利的责任。</w:t>
      </w:r>
    </w:p>
    <w:p w14:paraId="4328ED82">
      <w:pPr>
        <w:pStyle w:val="22"/>
      </w:pPr>
      <w:r>
        <w:rPr>
          <w:rFonts w:hint="eastAsia"/>
        </w:rPr>
        <w:t>声明：本文件的知识产权归属</w:t>
      </w:r>
      <w:bookmarkStart w:id="5" w:name="_Hlk161229063"/>
      <w:r>
        <w:rPr>
          <w:rFonts w:hint="eastAsia"/>
        </w:rPr>
        <w:t>中国洗涤用品工业协会</w:t>
      </w:r>
      <w:bookmarkEnd w:id="5"/>
      <w:r>
        <w:rPr>
          <w:rFonts w:hint="eastAsia"/>
        </w:rPr>
        <w:t>，未经中国洗涤用品工业协会同意，不得印刷、销售。</w:t>
      </w:r>
    </w:p>
    <w:p w14:paraId="142C7629">
      <w:pPr>
        <w:pStyle w:val="22"/>
      </w:pPr>
      <w:r>
        <w:rPr>
          <w:rFonts w:hint="eastAsia"/>
        </w:rPr>
        <w:t>本文件由中国洗涤用品工业协会提出、归口，并组织实施。</w:t>
      </w:r>
    </w:p>
    <w:p w14:paraId="08BDC5E2">
      <w:pPr>
        <w:pStyle w:val="22"/>
      </w:pPr>
      <w:r>
        <w:rPr>
          <w:rFonts w:hint="eastAsia"/>
        </w:rPr>
        <w:t>本文件起草单位：中国洗涤用品工业协会、艺康（中国）投资有限公司、X</w:t>
      </w:r>
      <w:r>
        <w:t>XXXXX、</w:t>
      </w:r>
      <w:r>
        <w:rPr>
          <w:rFonts w:hint="eastAsia"/>
        </w:rPr>
        <w:t>X</w:t>
      </w:r>
      <w:r>
        <w:t>XXXXX</w:t>
      </w:r>
    </w:p>
    <w:p w14:paraId="735D3169">
      <w:pPr>
        <w:pStyle w:val="22"/>
      </w:pPr>
      <w:r>
        <w:rPr>
          <w:rFonts w:hint="eastAsia"/>
        </w:rPr>
        <w:t>本文件主要起草人：XXX</w:t>
      </w:r>
    </w:p>
    <w:p w14:paraId="130D2FB3">
      <w:pPr>
        <w:pStyle w:val="22"/>
        <w:sectPr>
          <w:headerReference r:id="rId5" w:type="default"/>
          <w:footerReference r:id="rId7" w:type="default"/>
          <w:headerReference r:id="rId6" w:type="even"/>
          <w:footerReference r:id="rId8" w:type="even"/>
          <w:type w:val="evenPage"/>
          <w:pgSz w:w="11906" w:h="16838"/>
          <w:pgMar w:top="567" w:right="1134" w:bottom="1134" w:left="1418" w:header="1418" w:footer="1134" w:gutter="0"/>
          <w:pgNumType w:fmt="upperRoman" w:start="1"/>
          <w:cols w:space="425" w:num="1"/>
          <w:formProt w:val="0"/>
          <w:docGrid w:type="lines" w:linePitch="312" w:charSpace="0"/>
        </w:sectPr>
      </w:pPr>
      <w:r>
        <w:rPr>
          <w:rFonts w:hint="eastAsia"/>
        </w:rPr>
        <w:t>首批承诺执行单位：XXX</w:t>
      </w:r>
    </w:p>
    <w:p w14:paraId="6D6C0AD9">
      <w:pPr>
        <w:pStyle w:val="49"/>
      </w:pPr>
      <w:bookmarkStart w:id="6" w:name="OLE_LINK11"/>
      <w:r>
        <w:rPr>
          <w:rFonts w:hint="eastAsia"/>
        </w:rPr>
        <w:t>商业及公共机构用餐具清洁剂</w:t>
      </w:r>
      <w:bookmarkEnd w:id="6"/>
      <w:r>
        <w:rPr>
          <w:rFonts w:hint="eastAsia"/>
        </w:rPr>
        <w:t>评价规范</w:t>
      </w:r>
    </w:p>
    <w:p w14:paraId="64E911AE">
      <w:pPr>
        <w:pStyle w:val="44"/>
      </w:pPr>
      <w:r>
        <w:rPr>
          <w:rFonts w:hint="eastAsia"/>
        </w:rPr>
        <w:t>范围</w:t>
      </w:r>
    </w:p>
    <w:p w14:paraId="5C581AF3">
      <w:pPr>
        <w:pStyle w:val="22"/>
      </w:pPr>
      <w:r>
        <w:rPr>
          <w:rFonts w:hint="eastAsia"/>
        </w:rPr>
        <w:t>本文件规定了专供商业及公共机构使用的电动洗碗机配套使用的机洗餐具清洁剂的洗净性能评价方法。</w:t>
      </w:r>
    </w:p>
    <w:p w14:paraId="0BDB9A77">
      <w:pPr>
        <w:pStyle w:val="22"/>
      </w:pPr>
      <w:bookmarkStart w:id="7" w:name="_Hlk513813785"/>
      <w:r>
        <w:t>本文件不适用于家用电动洗碗机</w:t>
      </w:r>
      <w:r>
        <w:rPr>
          <w:rFonts w:hint="eastAsia"/>
        </w:rPr>
        <w:t>配套使用的机洗餐具清洁剂</w:t>
      </w:r>
      <w:r>
        <w:t>。</w:t>
      </w:r>
    </w:p>
    <w:bookmarkEnd w:id="7"/>
    <w:p w14:paraId="3E3C90C5">
      <w:pPr>
        <w:pStyle w:val="44"/>
      </w:pPr>
      <w:r>
        <w:rPr>
          <w:rFonts w:hint="eastAsia"/>
        </w:rPr>
        <w:t>规范性引用文件</w:t>
      </w:r>
    </w:p>
    <w:p w14:paraId="4063C189">
      <w:pPr>
        <w:pStyle w:val="22"/>
        <w:rPr>
          <w:highlight w:val="none"/>
        </w:rPr>
      </w:pPr>
      <w:bookmarkStart w:id="8" w:name="_Hlk118883995"/>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w:t>
      </w:r>
      <w:r>
        <w:rPr>
          <w:rFonts w:hint="eastAsia"/>
          <w:highlight w:val="none"/>
        </w:rPr>
        <w:t>文件</w:t>
      </w:r>
      <w:bookmarkEnd w:id="8"/>
      <w:r>
        <w:rPr>
          <w:rFonts w:hint="eastAsia"/>
          <w:highlight w:val="none"/>
        </w:rPr>
        <w:t>。</w:t>
      </w:r>
    </w:p>
    <w:p w14:paraId="13B5087B">
      <w:pPr>
        <w:pStyle w:val="22"/>
        <w:rPr>
          <w:highlight w:val="none"/>
        </w:rPr>
      </w:pPr>
      <w:r>
        <w:rPr>
          <w:rFonts w:hint="eastAsia"/>
          <w:highlight w:val="none"/>
        </w:rPr>
        <w:t xml:space="preserve">GB 190 危险货物包装标志  </w:t>
      </w:r>
    </w:p>
    <w:p w14:paraId="2E1D08E9">
      <w:pPr>
        <w:pStyle w:val="22"/>
        <w:rPr>
          <w:highlight w:val="none"/>
        </w:rPr>
      </w:pPr>
      <w:r>
        <w:rPr>
          <w:highlight w:val="none"/>
        </w:rPr>
        <w:t>GB 14930.1</w:t>
      </w:r>
      <w:r>
        <w:rPr>
          <w:rFonts w:hint="eastAsia"/>
          <w:highlight w:val="none"/>
        </w:rPr>
        <w:t xml:space="preserve"> 食品安全国家标准 洗涤剂</w:t>
      </w:r>
    </w:p>
    <w:p w14:paraId="00EBB553">
      <w:pPr>
        <w:pStyle w:val="22"/>
        <w:rPr>
          <w:highlight w:val="none"/>
        </w:rPr>
      </w:pPr>
      <w:r>
        <w:rPr>
          <w:rFonts w:hint="eastAsia"/>
          <w:highlight w:val="none"/>
        </w:rPr>
        <w:t xml:space="preserve">GB 15258 </w:t>
      </w:r>
      <w:bookmarkStart w:id="9" w:name="OLE_LINK1"/>
      <w:r>
        <w:rPr>
          <w:rFonts w:hint="eastAsia"/>
          <w:highlight w:val="none"/>
        </w:rPr>
        <w:t>化学品安全标签编写规定</w:t>
      </w:r>
    </w:p>
    <w:bookmarkEnd w:id="9"/>
    <w:p w14:paraId="4B55CA22">
      <w:pPr>
        <w:pStyle w:val="22"/>
        <w:rPr>
          <w:rFonts w:hint="eastAsia" w:hAnsi="宋体"/>
        </w:rPr>
      </w:pPr>
      <w:bookmarkStart w:id="10" w:name="OLE_LINK12"/>
      <w:r>
        <w:rPr>
          <w:rFonts w:hint="eastAsia" w:hAnsi="宋体"/>
        </w:rPr>
        <w:t>GB/T 44577 商用电动洗碗机 性能测试方法</w:t>
      </w:r>
    </w:p>
    <w:bookmarkEnd w:id="10"/>
    <w:p w14:paraId="4666E6BD">
      <w:pPr>
        <w:ind w:firstLine="420"/>
        <w:rPr>
          <w:rFonts w:hint="eastAsia" w:ascii="宋体" w:hAnsi="宋体"/>
        </w:rPr>
      </w:pPr>
      <w:bookmarkStart w:id="11" w:name="OLE_LINK10"/>
      <w:r>
        <w:rPr>
          <w:rFonts w:hint="eastAsia" w:ascii="宋体" w:hAnsi="宋体"/>
        </w:rPr>
        <w:t>T/ZGXX 0001</w:t>
      </w:r>
      <w:bookmarkEnd w:id="11"/>
      <w:r>
        <w:rPr>
          <w:rFonts w:hint="eastAsia" w:ascii="宋体" w:hAnsi="宋体"/>
        </w:rPr>
        <w:t>餐饮服务业 餐饮具清洗消毒评价规程</w:t>
      </w:r>
    </w:p>
    <w:p w14:paraId="37EE7EEF">
      <w:pPr>
        <w:pStyle w:val="44"/>
      </w:pPr>
      <w:r>
        <w:rPr>
          <w:rFonts w:hint="eastAsia"/>
        </w:rPr>
        <w:t>术语和定义</w:t>
      </w:r>
    </w:p>
    <w:p w14:paraId="068D9034">
      <w:pPr>
        <w:pStyle w:val="41"/>
      </w:pPr>
      <w:r>
        <w:rPr>
          <w:rFonts w:hint="eastAsia"/>
        </w:rPr>
        <w:t xml:space="preserve">商用电动洗碗机 </w:t>
      </w:r>
    </w:p>
    <w:p w14:paraId="67D797A4">
      <w:pPr>
        <w:pStyle w:val="125"/>
        <w:numPr>
          <w:ilvl w:val="0"/>
          <w:numId w:val="0"/>
        </w:numPr>
        <w:ind w:firstLine="420" w:firstLineChars="200"/>
        <w:jc w:val="both"/>
        <w:rPr>
          <w:rFonts w:ascii="宋体" w:eastAsia="宋体"/>
          <w:color w:val="000000" w:themeColor="text1"/>
          <w14:textFill>
            <w14:solidFill>
              <w14:schemeClr w14:val="tx1"/>
            </w14:solidFill>
          </w14:textFill>
        </w:rPr>
      </w:pPr>
      <w:r>
        <w:rPr>
          <w:rFonts w:hint="eastAsia" w:ascii="宋体" w:eastAsia="宋体"/>
          <w:color w:val="000000" w:themeColor="text1"/>
          <w14:textFill>
            <w14:solidFill>
              <w14:schemeClr w14:val="tx1"/>
            </w14:solidFill>
          </w14:textFill>
        </w:rPr>
        <w:t>专门用于商业环境，使用化学、机械、热和电力的方式对碗碟、玻璃器皿、刀叉以及特定情况下的</w:t>
      </w:r>
    </w:p>
    <w:p w14:paraId="17883D5D">
      <w:pPr>
        <w:pStyle w:val="125"/>
        <w:numPr>
          <w:ilvl w:val="0"/>
          <w:numId w:val="0"/>
        </w:numPr>
        <w:ind w:firstLine="420" w:firstLineChars="200"/>
        <w:jc w:val="both"/>
        <w:rPr>
          <w:rFonts w:ascii="宋体" w:eastAsia="宋体"/>
          <w:color w:val="000000" w:themeColor="text1"/>
          <w14:textFill>
            <w14:solidFill>
              <w14:schemeClr w14:val="tx1"/>
            </w14:solidFill>
          </w14:textFill>
        </w:rPr>
      </w:pPr>
      <w:r>
        <w:rPr>
          <w:rFonts w:hint="eastAsia" w:ascii="宋体" w:eastAsia="宋体"/>
          <w:color w:val="000000" w:themeColor="text1"/>
          <w14:textFill>
            <w14:solidFill>
              <w14:schemeClr w14:val="tx1"/>
            </w14:solidFill>
          </w14:textFill>
        </w:rPr>
        <w:t>炊具进行洗涤、漂洗的电动洗碗机。</w:t>
      </w:r>
    </w:p>
    <w:p w14:paraId="1585B9FB">
      <w:pPr>
        <w:pStyle w:val="22"/>
      </w:pPr>
    </w:p>
    <w:p w14:paraId="06BC3E14">
      <w:pPr>
        <w:pStyle w:val="41"/>
      </w:pPr>
      <w:bookmarkStart w:id="12" w:name="OLE_LINK13"/>
      <w:r>
        <w:rPr>
          <w:rFonts w:hint="eastAsia"/>
        </w:rPr>
        <w:t>商业及公共机构用</w:t>
      </w:r>
      <w:bookmarkEnd w:id="12"/>
      <w:r>
        <w:rPr>
          <w:rFonts w:hint="eastAsia"/>
        </w:rPr>
        <w:t>机洗餐具清洁剂</w:t>
      </w:r>
    </w:p>
    <w:p w14:paraId="6E31D393">
      <w:pPr>
        <w:pStyle w:val="22"/>
        <w:rPr>
          <w:color w:val="000000" w:themeColor="text1"/>
          <w14:textFill>
            <w14:solidFill>
              <w14:schemeClr w14:val="tx1"/>
            </w14:solidFill>
          </w14:textFill>
        </w:rPr>
      </w:pPr>
      <w:bookmarkStart w:id="13" w:name="OLE_LINK5"/>
      <w:r>
        <w:rPr>
          <w:rFonts w:hint="eastAsia"/>
          <w:color w:val="000000" w:themeColor="text1"/>
          <w14:textFill>
            <w14:solidFill>
              <w14:schemeClr w14:val="tx1"/>
            </w14:solidFill>
          </w14:textFill>
        </w:rPr>
        <w:t>用于商用电动洗碗机，</w:t>
      </w:r>
      <w:bookmarkEnd w:id="13"/>
      <w:r>
        <w:rPr>
          <w:rFonts w:hint="eastAsia"/>
          <w:color w:val="000000" w:themeColor="text1"/>
          <w14:textFill>
            <w14:solidFill>
              <w14:schemeClr w14:val="tx1"/>
            </w14:solidFill>
          </w14:textFill>
        </w:rPr>
        <w:t>去除餐饮具上污垢的化学产品，产品形态可分为液体、固体或粉剂。</w:t>
      </w:r>
    </w:p>
    <w:p w14:paraId="6C6C7F11">
      <w:pPr>
        <w:pStyle w:val="22"/>
      </w:pPr>
    </w:p>
    <w:p w14:paraId="46850C06">
      <w:pPr>
        <w:pStyle w:val="41"/>
      </w:pPr>
      <w:r>
        <w:rPr>
          <w:rFonts w:hint="eastAsia"/>
        </w:rPr>
        <w:t>商业及公共机构用洗碗机漂洗剂</w:t>
      </w:r>
    </w:p>
    <w:p w14:paraId="792B1040">
      <w:pPr>
        <w:pStyle w:val="22"/>
      </w:pPr>
      <w:r>
        <w:rPr>
          <w:rFonts w:hint="eastAsia"/>
        </w:rPr>
        <w:t>用于商用电动洗碗机，在最后漂洗运行中加入水中的化学试剂，以降低漂洗剂溶液的表面张力。</w:t>
      </w:r>
    </w:p>
    <w:p w14:paraId="65493876">
      <w:pPr>
        <w:pStyle w:val="22"/>
      </w:pPr>
      <w:r>
        <w:rPr>
          <w:rFonts w:hint="eastAsia"/>
        </w:rPr>
        <w:t>注：漂洗剂用于改善干燥效果并减少水渍。</w:t>
      </w:r>
    </w:p>
    <w:p w14:paraId="3A5C23E0">
      <w:pPr>
        <w:pStyle w:val="41"/>
      </w:pPr>
      <w:r>
        <w:rPr>
          <w:rFonts w:hint="eastAsia"/>
        </w:rPr>
        <w:t>清洁过程</w:t>
      </w:r>
    </w:p>
    <w:p w14:paraId="56AE44F1">
      <w:pPr>
        <w:pStyle w:val="22"/>
      </w:pPr>
      <w:r>
        <w:rPr>
          <w:rFonts w:hint="eastAsia"/>
        </w:rPr>
        <w:t>该过程包括至少一次清洗过程和一次清水漂洗过程。</w:t>
      </w:r>
    </w:p>
    <w:p w14:paraId="62B099F0">
      <w:pPr>
        <w:pStyle w:val="22"/>
      </w:pPr>
    </w:p>
    <w:p w14:paraId="7F3AA03A">
      <w:pPr>
        <w:pStyle w:val="44"/>
      </w:pPr>
      <w:r>
        <w:rPr>
          <w:rFonts w:hint="eastAsia"/>
        </w:rPr>
        <w:t>洗净性能要求</w:t>
      </w:r>
    </w:p>
    <w:p w14:paraId="2879EE2F">
      <w:pPr>
        <w:pStyle w:val="22"/>
      </w:pPr>
      <w:r>
        <w:rPr>
          <w:rFonts w:hint="eastAsia"/>
        </w:rPr>
        <w:t>商业及公共机构用餐具清洁剂洗净性能应不低于85%。</w:t>
      </w:r>
    </w:p>
    <w:p w14:paraId="7F21C801">
      <w:pPr>
        <w:pStyle w:val="22"/>
      </w:pPr>
      <w:r>
        <w:rPr>
          <w:rFonts w:hint="eastAsia"/>
        </w:rPr>
        <w:t>洗净性能测试方法见附录C 洗净性能试验方法。</w:t>
      </w:r>
    </w:p>
    <w:p w14:paraId="02A1A44B">
      <w:pPr>
        <w:kinsoku w:val="0"/>
        <w:overflowPunct w:val="0"/>
        <w:autoSpaceDE w:val="0"/>
        <w:autoSpaceDN w:val="0"/>
        <w:adjustRightInd w:val="0"/>
        <w:ind w:left="40"/>
        <w:jc w:val="center"/>
        <w:rPr>
          <w:rFonts w:ascii="宋体" w:cs="宋体"/>
          <w:b/>
          <w:bCs/>
          <w:spacing w:val="-2"/>
          <w:kern w:val="0"/>
          <w:szCs w:val="21"/>
        </w:rPr>
      </w:pPr>
    </w:p>
    <w:p w14:paraId="59A0E2E5">
      <w:pPr>
        <w:kinsoku w:val="0"/>
        <w:overflowPunct w:val="0"/>
        <w:autoSpaceDE w:val="0"/>
        <w:autoSpaceDN w:val="0"/>
        <w:adjustRightInd w:val="0"/>
        <w:ind w:left="40"/>
        <w:jc w:val="left"/>
        <w:rPr>
          <w:rFonts w:ascii="宋体" w:cs="宋体"/>
          <w:b/>
          <w:bCs/>
          <w:spacing w:val="-2"/>
          <w:kern w:val="0"/>
          <w:szCs w:val="21"/>
        </w:rPr>
      </w:pPr>
      <w:r>
        <w:rPr>
          <w:rFonts w:hint="eastAsia" w:ascii="宋体" w:cs="宋体"/>
          <w:b/>
          <w:bCs/>
          <w:spacing w:val="-2"/>
          <w:kern w:val="0"/>
          <w:szCs w:val="21"/>
        </w:rPr>
        <w:t>5.产品安全要求</w:t>
      </w:r>
    </w:p>
    <w:p w14:paraId="0E239F3C">
      <w:pPr>
        <w:kinsoku w:val="0"/>
        <w:overflowPunct w:val="0"/>
        <w:autoSpaceDE w:val="0"/>
        <w:autoSpaceDN w:val="0"/>
        <w:adjustRightInd w:val="0"/>
        <w:ind w:left="40" w:firstLine="412" w:firstLineChars="200"/>
        <w:jc w:val="left"/>
        <w:rPr>
          <w:rFonts w:ascii="宋体" w:cs="宋体"/>
          <w:spacing w:val="-2"/>
          <w:kern w:val="0"/>
          <w:szCs w:val="21"/>
        </w:rPr>
      </w:pPr>
      <w:r>
        <w:rPr>
          <w:rFonts w:hint="eastAsia" w:ascii="宋体" w:cs="宋体"/>
          <w:spacing w:val="-2"/>
          <w:kern w:val="0"/>
          <w:szCs w:val="21"/>
        </w:rPr>
        <w:t>应符合GB 14930.1《食品安全国家标准 洗涤剂》规定。</w:t>
      </w:r>
    </w:p>
    <w:p w14:paraId="6E0150B3">
      <w:pPr>
        <w:kinsoku w:val="0"/>
        <w:overflowPunct w:val="0"/>
        <w:autoSpaceDE w:val="0"/>
        <w:autoSpaceDN w:val="0"/>
        <w:adjustRightInd w:val="0"/>
        <w:ind w:left="40" w:firstLine="412" w:firstLineChars="200"/>
        <w:jc w:val="left"/>
        <w:rPr>
          <w:rFonts w:ascii="宋体" w:cs="宋体"/>
          <w:spacing w:val="-2"/>
          <w:kern w:val="0"/>
          <w:szCs w:val="21"/>
        </w:rPr>
      </w:pPr>
    </w:p>
    <w:p w14:paraId="529F7A14">
      <w:pPr>
        <w:kinsoku w:val="0"/>
        <w:overflowPunct w:val="0"/>
        <w:autoSpaceDE w:val="0"/>
        <w:autoSpaceDN w:val="0"/>
        <w:adjustRightInd w:val="0"/>
        <w:ind w:left="40"/>
        <w:jc w:val="left"/>
        <w:rPr>
          <w:rFonts w:ascii="宋体" w:cs="宋体"/>
          <w:b/>
          <w:bCs/>
          <w:spacing w:val="-2"/>
          <w:kern w:val="0"/>
          <w:szCs w:val="21"/>
        </w:rPr>
      </w:pPr>
      <w:r>
        <w:rPr>
          <w:rFonts w:hint="eastAsia" w:ascii="宋体" w:cs="宋体"/>
          <w:b/>
          <w:bCs/>
          <w:spacing w:val="-2"/>
          <w:kern w:val="0"/>
          <w:szCs w:val="21"/>
        </w:rPr>
        <w:t>6.标识</w:t>
      </w:r>
    </w:p>
    <w:p w14:paraId="7EB3CCF6">
      <w:pPr>
        <w:kinsoku w:val="0"/>
        <w:overflowPunct w:val="0"/>
        <w:autoSpaceDE w:val="0"/>
        <w:autoSpaceDN w:val="0"/>
        <w:adjustRightInd w:val="0"/>
        <w:ind w:left="40" w:firstLine="412" w:firstLineChars="200"/>
        <w:jc w:val="left"/>
        <w:rPr>
          <w:rFonts w:ascii="宋体" w:cs="宋体"/>
          <w:spacing w:val="-2"/>
          <w:kern w:val="0"/>
          <w:szCs w:val="21"/>
        </w:rPr>
      </w:pPr>
      <w:r>
        <w:rPr>
          <w:rFonts w:hint="eastAsia" w:ascii="宋体" w:cs="宋体"/>
          <w:spacing w:val="-2"/>
          <w:kern w:val="0"/>
          <w:szCs w:val="21"/>
        </w:rPr>
        <w:t>产品大包装上的标志（图案及文字）应端正、清晰、牢固、易于识别。</w:t>
      </w:r>
      <w:bookmarkStart w:id="14" w:name="OLE_LINK16"/>
      <w:r>
        <w:rPr>
          <w:rFonts w:hint="eastAsia" w:ascii="宋体" w:cs="宋体"/>
          <w:spacing w:val="-2"/>
          <w:kern w:val="0"/>
          <w:szCs w:val="21"/>
        </w:rPr>
        <w:t>标注内容应符合GB 14930.1及相关法规标准的标识要求。</w:t>
      </w:r>
    </w:p>
    <w:bookmarkEnd w:id="14"/>
    <w:p w14:paraId="5B517BEF">
      <w:pPr>
        <w:kinsoku w:val="0"/>
        <w:overflowPunct w:val="0"/>
        <w:autoSpaceDE w:val="0"/>
        <w:autoSpaceDN w:val="0"/>
        <w:adjustRightInd w:val="0"/>
        <w:ind w:left="40" w:firstLine="412" w:firstLineChars="200"/>
        <w:jc w:val="left"/>
        <w:rPr>
          <w:rFonts w:ascii="宋体" w:cs="宋体"/>
          <w:spacing w:val="-2"/>
          <w:kern w:val="0"/>
          <w:szCs w:val="21"/>
        </w:rPr>
      </w:pPr>
      <w:r>
        <w:rPr>
          <w:rFonts w:hint="eastAsia" w:ascii="宋体" w:cs="宋体"/>
          <w:spacing w:val="-2"/>
          <w:kern w:val="0"/>
          <w:szCs w:val="21"/>
        </w:rPr>
        <w:t>此外，如果产品属于危险化学品的，应当按照GB 15258 《化学品安全标签编写规定》的要求在标签中披露对应信息；如产品属于危险货物的，应当按照GB 190《危险货物包装标志》的要求在包件上披露对应的标记和运输标签。</w:t>
      </w:r>
    </w:p>
    <w:p w14:paraId="5EC76DE8">
      <w:pPr>
        <w:widowControl/>
        <w:jc w:val="left"/>
        <w:rPr>
          <w:rFonts w:ascii="黑体" w:eastAsia="黑体" w:cs="黑体"/>
          <w:kern w:val="0"/>
          <w:szCs w:val="21"/>
        </w:rPr>
      </w:pPr>
      <w:r>
        <w:rPr>
          <w:rFonts w:ascii="黑体" w:eastAsia="黑体" w:cs="黑体"/>
          <w:kern w:val="0"/>
          <w:szCs w:val="21"/>
        </w:rPr>
        <w:br w:type="page"/>
      </w:r>
    </w:p>
    <w:p w14:paraId="13FB2D34">
      <w:pPr>
        <w:autoSpaceDE w:val="0"/>
        <w:autoSpaceDN w:val="0"/>
        <w:adjustRightInd w:val="0"/>
        <w:jc w:val="center"/>
        <w:rPr>
          <w:rFonts w:ascii="黑体" w:eastAsia="黑体" w:cs="黑体"/>
          <w:kern w:val="0"/>
          <w:szCs w:val="21"/>
        </w:rPr>
      </w:pPr>
      <w:r>
        <w:rPr>
          <w:rFonts w:hint="eastAsia" w:ascii="黑体" w:eastAsia="黑体" w:cs="黑体"/>
          <w:kern w:val="0"/>
          <w:szCs w:val="21"/>
        </w:rPr>
        <w:t>附录A</w:t>
      </w:r>
    </w:p>
    <w:p w14:paraId="2601E2E8">
      <w:pPr>
        <w:autoSpaceDE w:val="0"/>
        <w:autoSpaceDN w:val="0"/>
        <w:adjustRightInd w:val="0"/>
        <w:jc w:val="center"/>
        <w:rPr>
          <w:rFonts w:ascii="黑体" w:eastAsia="黑体" w:cs="黑体"/>
          <w:kern w:val="0"/>
          <w:szCs w:val="21"/>
        </w:rPr>
      </w:pPr>
      <w:r>
        <w:rPr>
          <w:rFonts w:hint="eastAsia" w:ascii="黑体" w:eastAsia="黑体" w:cs="黑体"/>
          <w:kern w:val="0"/>
          <w:szCs w:val="21"/>
        </w:rPr>
        <w:t>（规范性）</w:t>
      </w:r>
    </w:p>
    <w:p w14:paraId="316AAEE8">
      <w:pPr>
        <w:kinsoku w:val="0"/>
        <w:overflowPunct w:val="0"/>
        <w:autoSpaceDE w:val="0"/>
        <w:autoSpaceDN w:val="0"/>
        <w:adjustRightInd w:val="0"/>
        <w:ind w:left="40"/>
        <w:jc w:val="center"/>
        <w:rPr>
          <w:rFonts w:ascii="宋体" w:cs="宋体"/>
          <w:b/>
          <w:bCs/>
          <w:spacing w:val="-2"/>
          <w:kern w:val="0"/>
          <w:szCs w:val="21"/>
        </w:rPr>
      </w:pPr>
      <w:r>
        <w:rPr>
          <w:rFonts w:hint="eastAsia" w:ascii="黑体" w:eastAsia="黑体" w:cs="黑体"/>
          <w:kern w:val="0"/>
          <w:szCs w:val="21"/>
        </w:rPr>
        <w:t>洗净性能测试方法</w:t>
      </w:r>
    </w:p>
    <w:p w14:paraId="64C4BED7">
      <w:pPr>
        <w:widowControl/>
        <w:spacing w:before="312" w:beforeLines="100" w:after="312" w:afterLines="100"/>
        <w:outlineLvl w:val="1"/>
        <w:rPr>
          <w:rFonts w:ascii="黑体" w:eastAsia="黑体"/>
          <w:kern w:val="0"/>
          <w:szCs w:val="20"/>
        </w:rPr>
      </w:pPr>
      <w:r>
        <w:rPr>
          <w:rFonts w:hint="eastAsia" w:ascii="黑体" w:eastAsia="黑体"/>
          <w:kern w:val="0"/>
          <w:szCs w:val="20"/>
        </w:rPr>
        <w:t>A.1试验的一般条件</w:t>
      </w:r>
    </w:p>
    <w:p w14:paraId="6ADA1FA9">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A.1.1一般要求</w:t>
      </w:r>
    </w:p>
    <w:p w14:paraId="4CFD8344">
      <w:pPr>
        <w:widowControl/>
        <w:tabs>
          <w:tab w:val="center" w:pos="4201"/>
          <w:tab w:val="right" w:leader="dot" w:pos="9298"/>
        </w:tabs>
        <w:autoSpaceDE w:val="0"/>
        <w:autoSpaceDN w:val="0"/>
        <w:ind w:firstLine="420" w:firstLineChars="200"/>
        <w:rPr>
          <w:rFonts w:hint="eastAsia" w:ascii="宋体" w:hAnsi="宋体"/>
          <w:kern w:val="0"/>
          <w:szCs w:val="20"/>
        </w:rPr>
      </w:pPr>
      <w:bookmarkStart w:id="15" w:name="OLE_LINK3"/>
      <w:r>
        <w:rPr>
          <w:rFonts w:hint="eastAsia" w:ascii="宋体" w:hAnsi="宋体"/>
          <w:kern w:val="0"/>
          <w:szCs w:val="20"/>
        </w:rPr>
        <w:t>应遵循洗碗机或清洁剂制造商关于商用洗碗机使用清洁剂的说明。</w:t>
      </w:r>
    </w:p>
    <w:bookmarkEnd w:id="15"/>
    <w:p w14:paraId="34A19EB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如果洗碗机的门或罩关闭时，对于具有自动开启循环的器具停用自动开启功能。</w:t>
      </w:r>
    </w:p>
    <w:p w14:paraId="3751E815">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测试过程中不应使用除了A.1.7 和A.1.8 中提到的化学试剂以外的其他化学试剂。</w:t>
      </w:r>
    </w:p>
    <w:p w14:paraId="5C414A2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所有试验应在同一台机器上进行。</w:t>
      </w:r>
    </w:p>
    <w:p w14:paraId="4FC7139C">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在开始测试之前，应检查试验用商用洗碗机，以确保它运行正常。</w:t>
      </w:r>
    </w:p>
    <w:p w14:paraId="23482629">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所有试验应在符合A.1.5 的环境条件下进行。</w:t>
      </w:r>
    </w:p>
    <w:p w14:paraId="21ECA83F">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附录B 规定了实验室的试验材料。</w:t>
      </w:r>
    </w:p>
    <w:p w14:paraId="0EFF38F4">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A.1.2试验用商用洗碗机条件化和试验顺序</w:t>
      </w:r>
    </w:p>
    <w:p w14:paraId="7038A7B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在进行性能试验之前，应先在洗碗机中注水并添加试验用清洁剂（见A.1.7）和标准漂洗剂（见A.1.8）。</w:t>
      </w:r>
    </w:p>
    <w:p w14:paraId="48878886">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A.1.3电源</w:t>
      </w:r>
    </w:p>
    <w:p w14:paraId="128D638F">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在整个试验过程中试验电压应保持在试验样机额定电压±2%的公差范围内。</w:t>
      </w:r>
    </w:p>
    <w:p w14:paraId="5531277C">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如果器具具有额定电压范围，则在器具预定使用的国家的标称电压下进行试验。</w:t>
      </w:r>
    </w:p>
    <w:p w14:paraId="59C4A54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电源频率应保持在额定频率±1%的公差范围内。</w:t>
      </w:r>
    </w:p>
    <w:p w14:paraId="6805577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如果器具具有指定的频率范围，则试验频率应为器具预定使用的国家的标称频率。</w:t>
      </w:r>
    </w:p>
    <w:p w14:paraId="2FF9D67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试验期间应测量并记录电压和频率。</w:t>
      </w:r>
    </w:p>
    <w:p w14:paraId="1EA633DB">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A.1.4试验程序</w:t>
      </w:r>
    </w:p>
    <w:p w14:paraId="6920261B">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待试验程序应为清洗常规的脏污洗涤器具的程序（标准清洁循环）。</w:t>
      </w:r>
    </w:p>
    <w:p w14:paraId="1162D9F0">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制造商应明示用于试验的程序。</w:t>
      </w:r>
    </w:p>
    <w:p w14:paraId="184F96E5">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A.1.5环境条件</w:t>
      </w:r>
    </w:p>
    <w:p w14:paraId="405C8657">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在整个试验过程中，应保持以下环境条件：</w:t>
      </w:r>
    </w:p>
    <w:p w14:paraId="389A8575">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 室温： （23±2）℃</w:t>
      </w:r>
    </w:p>
    <w:p w14:paraId="1AFEA8C8">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 xml:space="preserve">—— 相对湿度： （55±5）% </w:t>
      </w:r>
    </w:p>
    <w:p w14:paraId="369DBAE0">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 最大风速： 1 m/s</w:t>
      </w:r>
    </w:p>
    <w:p w14:paraId="5C170262">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空气流速的极限值应仅适用于对污染盘子干燥的区域（见A.2.2.3）。</w:t>
      </w:r>
    </w:p>
    <w:p w14:paraId="79C34FBA">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应测量并记录试验过程中的环境温度和相对湿度。</w:t>
      </w:r>
    </w:p>
    <w:p w14:paraId="54D68283">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A.1.6水源</w:t>
      </w:r>
    </w:p>
    <w:p w14:paraId="4459C3D1">
      <w:pPr>
        <w:widowControl/>
        <w:spacing w:before="156" w:beforeLines="50" w:after="156" w:afterLines="50"/>
        <w:jc w:val="left"/>
        <w:outlineLvl w:val="2"/>
        <w:rPr>
          <w:rFonts w:ascii="黑体" w:eastAsia="黑体"/>
          <w:kern w:val="0"/>
          <w:szCs w:val="21"/>
        </w:rPr>
      </w:pPr>
      <w:bookmarkStart w:id="16" w:name="OLE_LINK2"/>
      <w:r>
        <w:rPr>
          <w:rFonts w:hint="eastAsia" w:ascii="黑体" w:eastAsia="黑体"/>
          <w:kern w:val="0"/>
          <w:szCs w:val="21"/>
        </w:rPr>
        <w:t>A.1.6.1</w:t>
      </w:r>
      <w:bookmarkEnd w:id="16"/>
      <w:r>
        <w:rPr>
          <w:rFonts w:hint="eastAsia" w:ascii="黑体" w:eastAsia="黑体"/>
          <w:kern w:val="0"/>
          <w:szCs w:val="21"/>
        </w:rPr>
        <w:t>一般要求</w:t>
      </w:r>
    </w:p>
    <w:p w14:paraId="42B9F5C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应测量和记录试验期间实际水温和水压。应测量水硬度。</w:t>
      </w:r>
    </w:p>
    <w:p w14:paraId="7317A13F">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A.1.6.2水源温度</w:t>
      </w:r>
    </w:p>
    <w:p w14:paraId="6C91DDA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水源的温度应为（15±2）℃。</w:t>
      </w:r>
    </w:p>
    <w:p w14:paraId="32F2365A">
      <w:pPr>
        <w:widowControl/>
        <w:tabs>
          <w:tab w:val="center" w:pos="4201"/>
          <w:tab w:val="right" w:leader="dot" w:pos="9298"/>
        </w:tabs>
        <w:autoSpaceDE w:val="0"/>
        <w:autoSpaceDN w:val="0"/>
        <w:rPr>
          <w:rFonts w:hint="eastAsia" w:ascii="黑体" w:hAnsi="宋体" w:eastAsia="黑体"/>
          <w:kern w:val="0"/>
          <w:szCs w:val="21"/>
        </w:rPr>
      </w:pPr>
      <w:r>
        <w:rPr>
          <w:rFonts w:hint="eastAsia" w:ascii="黑体" w:hAnsi="宋体" w:eastAsia="黑体"/>
          <w:kern w:val="0"/>
          <w:szCs w:val="21"/>
        </w:rPr>
        <w:t>A.1.6.3 水硬度</w:t>
      </w:r>
    </w:p>
    <w:p w14:paraId="111BE1F5">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如果洗碗机配有集成的水软化装置（软水器），则应停用（设置为软水供应）。在试验过程中，软水的(Ca</w:t>
      </w:r>
      <w:r>
        <w:rPr>
          <w:rFonts w:hint="eastAsia" w:ascii="宋体" w:hAnsi="宋体"/>
          <w:kern w:val="0"/>
          <w:szCs w:val="20"/>
          <w:vertAlign w:val="superscript"/>
        </w:rPr>
        <w:t>2+</w:t>
      </w:r>
      <w:r>
        <w:rPr>
          <w:rFonts w:hint="eastAsia" w:ascii="宋体" w:hAnsi="宋体"/>
          <w:kern w:val="0"/>
          <w:szCs w:val="20"/>
        </w:rPr>
        <w:t xml:space="preserve"> +Mg</w:t>
      </w:r>
      <w:r>
        <w:rPr>
          <w:rFonts w:hint="eastAsia" w:ascii="宋体" w:hAnsi="宋体"/>
          <w:kern w:val="0"/>
          <w:szCs w:val="20"/>
          <w:vertAlign w:val="superscript"/>
        </w:rPr>
        <w:t>2+</w:t>
      </w:r>
      <w:r>
        <w:rPr>
          <w:rFonts w:hint="eastAsia" w:ascii="宋体" w:hAnsi="宋体"/>
          <w:kern w:val="0"/>
          <w:szCs w:val="20"/>
        </w:rPr>
        <w:t>)总硬度&lt; 0.54 mmoL/L。</w:t>
      </w:r>
    </w:p>
    <w:p w14:paraId="75B81D83">
      <w:pPr>
        <w:widowControl/>
        <w:tabs>
          <w:tab w:val="center" w:pos="4201"/>
          <w:tab w:val="right" w:leader="dot" w:pos="9298"/>
        </w:tabs>
        <w:autoSpaceDE w:val="0"/>
        <w:autoSpaceDN w:val="0"/>
        <w:rPr>
          <w:rFonts w:hint="eastAsia" w:ascii="黑体" w:hAnsi="宋体" w:eastAsia="黑体"/>
          <w:kern w:val="0"/>
          <w:szCs w:val="21"/>
        </w:rPr>
      </w:pPr>
      <w:r>
        <w:rPr>
          <w:rFonts w:hint="eastAsia" w:ascii="黑体" w:hAnsi="宋体" w:eastAsia="黑体"/>
          <w:kern w:val="0"/>
          <w:szCs w:val="21"/>
        </w:rPr>
        <w:t>A.1.6.4 水压</w:t>
      </w:r>
    </w:p>
    <w:p w14:paraId="33511C8F">
      <w:pPr>
        <w:widowControl/>
        <w:tabs>
          <w:tab w:val="center" w:pos="4201"/>
          <w:tab w:val="right" w:leader="dot" w:pos="9298"/>
        </w:tabs>
        <w:autoSpaceDE w:val="0"/>
        <w:autoSpaceDN w:val="0"/>
        <w:snapToGrid w:val="0"/>
        <w:ind w:firstLine="420" w:firstLineChars="200"/>
        <w:contextualSpacing/>
        <w:rPr>
          <w:rFonts w:hint="eastAsia" w:ascii="宋体" w:hAnsi="宋体"/>
          <w:kern w:val="0"/>
          <w:szCs w:val="20"/>
        </w:rPr>
      </w:pPr>
      <w:r>
        <w:rPr>
          <w:rFonts w:hint="eastAsia" w:ascii="微软雅黑" w:hAnsi="微软雅黑" w:eastAsia="微软雅黑" w:cs="微软雅黑"/>
          <w:kern w:val="0"/>
          <w:szCs w:val="20"/>
        </w:rPr>
        <w:t>⽔</w:t>
      </w:r>
      <w:r>
        <w:rPr>
          <w:rFonts w:hint="eastAsia" w:ascii="宋体" w:hAnsi="宋体"/>
          <w:kern w:val="0"/>
          <w:szCs w:val="20"/>
        </w:rPr>
        <w:t>压应设置为240 kPa且保持在±20 kPa范围内。如果无法将水压保持在这个范围内，则应保持水流量在(15±2) L/min范围内。</w:t>
      </w:r>
    </w:p>
    <w:p w14:paraId="49C15811">
      <w:pPr>
        <w:widowControl/>
        <w:tabs>
          <w:tab w:val="center" w:pos="4201"/>
          <w:tab w:val="right" w:leader="dot" w:pos="9298"/>
        </w:tabs>
        <w:autoSpaceDE w:val="0"/>
        <w:autoSpaceDN w:val="0"/>
        <w:rPr>
          <w:rFonts w:hint="eastAsia" w:ascii="宋体" w:hAnsi="宋体"/>
          <w:kern w:val="0"/>
          <w:szCs w:val="20"/>
        </w:rPr>
      </w:pPr>
    </w:p>
    <w:p w14:paraId="05258CEF">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A.1.7试验用清洁剂</w:t>
      </w:r>
    </w:p>
    <w:p w14:paraId="0C9C638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应遵循洗碗机及清洁剂制造商关于商用洗碗机使用清洁剂的说明。</w:t>
      </w:r>
    </w:p>
    <w:p w14:paraId="66A2D615">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试验用清洁剂的用量应根据以上使用说明和先前运行时测量的用水量进行计算。</w:t>
      </w:r>
    </w:p>
    <w:p w14:paraId="0FFBCBA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测试时清洁剂应手动加入洗涤槽中。</w:t>
      </w:r>
    </w:p>
    <w:p w14:paraId="49BFBDD3">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全部测试应使用同一批次的清洁剂。</w:t>
      </w:r>
    </w:p>
    <w:p w14:paraId="5BE2156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应遵守清洁剂制造商关于储存和处理清洁剂的说明。</w:t>
      </w:r>
    </w:p>
    <w:p w14:paraId="0B5CE545">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A.1.8漂洗剂</w:t>
      </w:r>
    </w:p>
    <w:p w14:paraId="16A779A3">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对于试验，仅能使用B.2中规定的标准漂洗剂。</w:t>
      </w:r>
    </w:p>
    <w:p w14:paraId="31F21FCF">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按照制造商的说明添加剂量(能通过设置自动分配器实现)。</w:t>
      </w:r>
    </w:p>
    <w:p w14:paraId="30BB0784">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浓度应按照制造商说明进行设置。</w:t>
      </w:r>
    </w:p>
    <w:p w14:paraId="121C1917">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被测洗碗机应使用同</w:t>
      </w:r>
      <w:r>
        <w:rPr>
          <w:rFonts w:hint="eastAsia" w:ascii="微软雅黑" w:hAnsi="微软雅黑" w:eastAsia="微软雅黑" w:cs="微软雅黑"/>
          <w:kern w:val="0"/>
          <w:szCs w:val="20"/>
        </w:rPr>
        <w:t>⼀</w:t>
      </w:r>
      <w:r>
        <w:rPr>
          <w:rFonts w:hint="eastAsia" w:ascii="宋体" w:hAnsi="宋体" w:cs="宋体"/>
          <w:kern w:val="0"/>
          <w:szCs w:val="20"/>
        </w:rPr>
        <w:t>批次的漂洗剂。</w:t>
      </w:r>
    </w:p>
    <w:p w14:paraId="5BECFD1E">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应遵守漂洗剂制造商关于储存和处理漂洗剂的说明。</w:t>
      </w:r>
    </w:p>
    <w:p w14:paraId="7959E4D7">
      <w:pPr>
        <w:widowControl/>
        <w:tabs>
          <w:tab w:val="center" w:pos="4201"/>
          <w:tab w:val="right" w:leader="dot" w:pos="9298"/>
        </w:tabs>
        <w:autoSpaceDE w:val="0"/>
        <w:autoSpaceDN w:val="0"/>
        <w:ind w:firstLine="420" w:firstLineChars="200"/>
        <w:rPr>
          <w:rFonts w:hint="eastAsia" w:ascii="宋体" w:hAnsi="宋体"/>
          <w:kern w:val="0"/>
          <w:szCs w:val="20"/>
        </w:rPr>
      </w:pPr>
    </w:p>
    <w:p w14:paraId="6DDE5123">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A.1.9 洗碗机</w:t>
      </w:r>
    </w:p>
    <w:p w14:paraId="3E1A954E">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对于试验，仅能使用B.1中规定的洗碗机。</w:t>
      </w:r>
    </w:p>
    <w:p w14:paraId="174F77AE">
      <w:pPr>
        <w:widowControl/>
        <w:tabs>
          <w:tab w:val="center" w:pos="4201"/>
          <w:tab w:val="right" w:leader="dot" w:pos="9298"/>
        </w:tabs>
        <w:autoSpaceDE w:val="0"/>
        <w:autoSpaceDN w:val="0"/>
        <w:ind w:firstLine="420" w:firstLineChars="200"/>
        <w:rPr>
          <w:rFonts w:hint="eastAsia" w:ascii="宋体" w:hAnsi="宋体"/>
          <w:kern w:val="0"/>
          <w:szCs w:val="20"/>
        </w:rPr>
      </w:pPr>
    </w:p>
    <w:p w14:paraId="63F70E1F">
      <w:pPr>
        <w:widowControl/>
        <w:spacing w:before="156" w:beforeLines="50" w:after="156" w:afterLines="50"/>
        <w:jc w:val="left"/>
        <w:outlineLvl w:val="2"/>
        <w:rPr>
          <w:rFonts w:ascii="黑体" w:eastAsia="黑体"/>
          <w:kern w:val="0"/>
          <w:szCs w:val="21"/>
        </w:rPr>
      </w:pPr>
      <w:r>
        <w:rPr>
          <w:rFonts w:hint="eastAsia" w:ascii="黑体" w:eastAsia="黑体"/>
          <w:kern w:val="0"/>
          <w:szCs w:val="21"/>
        </w:rPr>
        <w:t>A.1.10负载</w:t>
      </w:r>
    </w:p>
    <w:p w14:paraId="17E59F38">
      <w:pPr>
        <w:widowControl/>
        <w:tabs>
          <w:tab w:val="center" w:pos="4201"/>
          <w:tab w:val="right" w:leader="dot" w:pos="9298"/>
        </w:tabs>
        <w:autoSpaceDE w:val="0"/>
        <w:autoSpaceDN w:val="0"/>
        <w:ind w:firstLine="420" w:firstLineChars="200"/>
        <w:jc w:val="left"/>
        <w:rPr>
          <w:rFonts w:hint="eastAsia" w:ascii="宋体" w:hAnsi="宋体"/>
          <w:kern w:val="0"/>
          <w:szCs w:val="20"/>
        </w:rPr>
      </w:pPr>
      <w:bookmarkStart w:id="17" w:name="_Hlk161300588"/>
      <w:r>
        <w:rPr>
          <w:rFonts w:hint="eastAsia" w:ascii="宋体" w:hAnsi="宋体"/>
          <w:kern w:val="0"/>
          <w:szCs w:val="20"/>
        </w:rPr>
        <w:t>负载是B.4 中规定的被测器具的碗篮。</w:t>
      </w:r>
    </w:p>
    <w:p w14:paraId="5F19E6A8">
      <w:pPr>
        <w:widowControl/>
        <w:tabs>
          <w:tab w:val="center" w:pos="4201"/>
          <w:tab w:val="right" w:leader="dot" w:pos="9298"/>
        </w:tabs>
        <w:autoSpaceDE w:val="0"/>
        <w:autoSpaceDN w:val="0"/>
        <w:ind w:firstLine="420" w:firstLineChars="200"/>
        <w:jc w:val="left"/>
        <w:rPr>
          <w:rFonts w:hint="eastAsia" w:ascii="宋体" w:hAnsi="宋体"/>
          <w:kern w:val="0"/>
          <w:szCs w:val="20"/>
        </w:rPr>
      </w:pPr>
      <w:r>
        <w:rPr>
          <w:rFonts w:hint="eastAsia" w:ascii="宋体" w:hAnsi="宋体"/>
          <w:kern w:val="0"/>
          <w:szCs w:val="20"/>
        </w:rPr>
        <w:t>根据制造商说明对碗篮进行装载。B.4 规定了试验用洗涤器具。</w:t>
      </w:r>
    </w:p>
    <w:p w14:paraId="7FB2A786">
      <w:pPr>
        <w:widowControl/>
        <w:tabs>
          <w:tab w:val="center" w:pos="4201"/>
          <w:tab w:val="right" w:leader="dot" w:pos="9298"/>
        </w:tabs>
        <w:autoSpaceDE w:val="0"/>
        <w:autoSpaceDN w:val="0"/>
        <w:ind w:firstLine="420" w:firstLineChars="200"/>
        <w:jc w:val="left"/>
        <w:rPr>
          <w:rFonts w:hint="eastAsia" w:ascii="宋体" w:hAnsi="宋体"/>
          <w:kern w:val="0"/>
          <w:szCs w:val="20"/>
        </w:rPr>
      </w:pPr>
      <w:r>
        <w:rPr>
          <w:rFonts w:hint="eastAsia" w:ascii="宋体" w:hAnsi="宋体"/>
          <w:kern w:val="0"/>
          <w:szCs w:val="20"/>
        </w:rPr>
        <w:t>仅应使用表面没有可见损坏（如刮痕或类似损坏）且没有任何残留物的洗涤器具。</w:t>
      </w:r>
    </w:p>
    <w:bookmarkEnd w:id="17"/>
    <w:p w14:paraId="03D1C07C">
      <w:pPr>
        <w:widowControl/>
        <w:spacing w:before="312" w:beforeLines="100" w:after="312" w:afterLines="100"/>
        <w:outlineLvl w:val="1"/>
        <w:rPr>
          <w:rFonts w:ascii="黑体" w:eastAsia="黑体"/>
          <w:color w:val="FF0000"/>
          <w:kern w:val="0"/>
          <w:szCs w:val="20"/>
        </w:rPr>
      </w:pPr>
      <w:r>
        <w:rPr>
          <w:rFonts w:hint="eastAsia" w:ascii="黑体" w:eastAsia="黑体"/>
          <w:kern w:val="0"/>
          <w:szCs w:val="20"/>
        </w:rPr>
        <w:t xml:space="preserve">A.2 洗净性能试验 </w:t>
      </w:r>
    </w:p>
    <w:p w14:paraId="20D211D1">
      <w:pPr>
        <w:widowControl/>
        <w:spacing w:before="156" w:beforeLines="50" w:after="156" w:afterLines="50"/>
        <w:jc w:val="left"/>
        <w:outlineLvl w:val="2"/>
        <w:rPr>
          <w:rFonts w:ascii="黑体" w:eastAsia="黑体"/>
          <w:kern w:val="0"/>
          <w:szCs w:val="21"/>
        </w:rPr>
      </w:pPr>
      <w:r>
        <w:rPr>
          <w:rFonts w:hint="eastAsia" w:ascii="黑体" w:eastAsia="黑体"/>
          <w:kern w:val="0"/>
          <w:szCs w:val="21"/>
        </w:rPr>
        <w:t>A.2.1 目的和一般描述</w:t>
      </w:r>
    </w:p>
    <w:p w14:paraId="36023E51">
      <w:pPr>
        <w:widowControl/>
        <w:tabs>
          <w:tab w:val="center" w:pos="4201"/>
          <w:tab w:val="right" w:leader="dot" w:pos="9298"/>
        </w:tabs>
        <w:autoSpaceDE w:val="0"/>
        <w:autoSpaceDN w:val="0"/>
        <w:ind w:firstLine="420" w:firstLineChars="200"/>
        <w:rPr>
          <w:rFonts w:hint="eastAsia" w:ascii="宋体" w:hAnsi="宋体"/>
          <w:kern w:val="0"/>
          <w:szCs w:val="20"/>
        </w:rPr>
      </w:pPr>
      <w:bookmarkStart w:id="18" w:name="_Hlk513814378"/>
      <w:r>
        <w:rPr>
          <w:rFonts w:hint="eastAsia" w:ascii="宋体" w:hAnsi="宋体"/>
          <w:kern w:val="0"/>
          <w:szCs w:val="20"/>
        </w:rPr>
        <w:t>本试验的目的是评估商用洗碗机清洁剂的洗净性能。</w:t>
      </w:r>
    </w:p>
    <w:p w14:paraId="0F1D7688">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程序包括试验污染物的去除，每个西式餐具上涂覆33个污染点，每个中式餐具上涂覆17个污染点。</w:t>
      </w:r>
    </w:p>
    <w:p w14:paraId="7858EF5B">
      <w:pPr>
        <w:widowControl/>
        <w:tabs>
          <w:tab w:val="center" w:pos="4201"/>
          <w:tab w:val="right" w:leader="dot" w:pos="9298"/>
        </w:tabs>
        <w:autoSpaceDE w:val="0"/>
        <w:autoSpaceDN w:val="0"/>
        <w:rPr>
          <w:rFonts w:hint="eastAsia" w:ascii="宋体" w:hAnsi="宋体"/>
          <w:kern w:val="0"/>
          <w:szCs w:val="20"/>
        </w:rPr>
      </w:pPr>
      <w:r>
        <w:rPr>
          <w:rFonts w:hint="eastAsia" w:ascii="宋体" w:hAnsi="宋体"/>
          <w:kern w:val="0"/>
          <w:szCs w:val="20"/>
        </w:rPr>
        <w:t>污染点涂覆后，盘子在A.1.5 规定的环境条件下空气干燥。</w:t>
      </w:r>
    </w:p>
    <w:p w14:paraId="60ACA988">
      <w:pPr>
        <w:widowControl/>
        <w:tabs>
          <w:tab w:val="center" w:pos="4201"/>
          <w:tab w:val="right" w:leader="dot" w:pos="9298"/>
        </w:tabs>
        <w:autoSpaceDE w:val="0"/>
        <w:autoSpaceDN w:val="0"/>
        <w:snapToGrid w:val="0"/>
        <w:ind w:firstLine="420" w:firstLineChars="200"/>
        <w:contextualSpacing/>
        <w:rPr>
          <w:rFonts w:hint="eastAsia" w:ascii="宋体" w:hAnsi="宋体"/>
          <w:kern w:val="0"/>
          <w:szCs w:val="20"/>
        </w:rPr>
      </w:pPr>
      <w:r>
        <w:rPr>
          <w:rFonts w:hint="eastAsia" w:ascii="宋体" w:hAnsi="宋体"/>
          <w:kern w:val="0"/>
          <w:szCs w:val="20"/>
        </w:rPr>
        <w:t>为了统计上的合理性，应按照制造商描述的清洗溶液和标准设置，在预处理洗碗机中共进行5个循环。在程序结束时，对盘子进行视检评估。按照A.2.2 中规定的程序，对盘子上没有完全去除的污点进行计数和统计分析。</w:t>
      </w:r>
    </w:p>
    <w:p w14:paraId="5AF0B05B">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如果在一个循环内清洁的碗篮数量大于一个，则应考虑涉及到的碗篮数量的参数。</w:t>
      </w:r>
    </w:p>
    <w:bookmarkEnd w:id="18"/>
    <w:p w14:paraId="5EAA66C0">
      <w:pPr>
        <w:widowControl/>
        <w:spacing w:before="156" w:beforeLines="50" w:after="156" w:afterLines="50"/>
        <w:jc w:val="left"/>
        <w:outlineLvl w:val="2"/>
        <w:rPr>
          <w:rFonts w:ascii="黑体" w:eastAsia="黑体"/>
          <w:kern w:val="0"/>
          <w:szCs w:val="21"/>
        </w:rPr>
      </w:pPr>
      <w:r>
        <w:rPr>
          <w:rFonts w:hint="eastAsia" w:ascii="黑体" w:eastAsia="黑体"/>
          <w:kern w:val="0"/>
          <w:szCs w:val="21"/>
        </w:rPr>
        <w:t>A.2.2洗净性能试验程序的描述</w:t>
      </w:r>
    </w:p>
    <w:p w14:paraId="4A34CFD5">
      <w:pPr>
        <w:widowControl/>
        <w:spacing w:before="156" w:beforeLines="50" w:after="156" w:afterLines="50"/>
        <w:jc w:val="left"/>
        <w:outlineLvl w:val="3"/>
        <w:rPr>
          <w:rFonts w:ascii="黑体" w:eastAsia="黑体"/>
          <w:kern w:val="0"/>
          <w:szCs w:val="21"/>
        </w:rPr>
      </w:pPr>
      <w:r>
        <w:rPr>
          <w:rFonts w:hint="eastAsia" w:ascii="黑体" w:eastAsia="黑体"/>
          <w:kern w:val="0"/>
          <w:szCs w:val="21"/>
        </w:rPr>
        <w:t>A.2.2.1准备</w:t>
      </w:r>
    </w:p>
    <w:p w14:paraId="6715F06C">
      <w:pPr>
        <w:widowControl/>
        <w:spacing w:before="156" w:beforeLines="50" w:after="156" w:afterLines="50"/>
        <w:jc w:val="left"/>
        <w:outlineLvl w:val="2"/>
        <w:rPr>
          <w:rFonts w:ascii="黑体" w:eastAsia="黑体"/>
          <w:kern w:val="0"/>
          <w:szCs w:val="21"/>
        </w:rPr>
      </w:pPr>
      <w:bookmarkStart w:id="19" w:name="_Hlk168584555"/>
      <w:r>
        <w:rPr>
          <w:rFonts w:hint="eastAsia" w:ascii="黑体" w:eastAsia="黑体"/>
          <w:kern w:val="0"/>
          <w:szCs w:val="21"/>
        </w:rPr>
        <w:t>A.2.2.1.1</w:t>
      </w:r>
      <w:bookmarkEnd w:id="19"/>
      <w:r>
        <w:rPr>
          <w:rFonts w:hint="eastAsia" w:ascii="黑体" w:eastAsia="黑体"/>
          <w:kern w:val="0"/>
          <w:szCs w:val="21"/>
        </w:rPr>
        <w:t>盘子的基本清洁</w:t>
      </w:r>
    </w:p>
    <w:p w14:paraId="4FB55B77">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如果使用新盘子，应遵循A.2.2.1.2的程序。</w:t>
      </w:r>
    </w:p>
    <w:p w14:paraId="7B82C43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每次试验前，所有的盘子都需要按照基本的清洗程序进行预处理。在每10 L 水加入（300±15）g</w:t>
      </w:r>
    </w:p>
    <w:p w14:paraId="62AE3F9B">
      <w:pPr>
        <w:widowControl/>
        <w:tabs>
          <w:tab w:val="center" w:pos="4201"/>
          <w:tab w:val="right" w:leader="dot" w:pos="9298"/>
        </w:tabs>
        <w:autoSpaceDE w:val="0"/>
        <w:autoSpaceDN w:val="0"/>
        <w:rPr>
          <w:rFonts w:hint="eastAsia" w:ascii="宋体" w:hAnsi="宋体"/>
          <w:kern w:val="0"/>
          <w:szCs w:val="20"/>
        </w:rPr>
      </w:pPr>
      <w:r>
        <w:rPr>
          <w:rFonts w:hint="eastAsia" w:ascii="宋体" w:hAnsi="宋体"/>
          <w:kern w:val="0"/>
          <w:szCs w:val="20"/>
        </w:rPr>
        <w:t>基础清洁剂（见B.3）、水温为50 ℃~65 ℃的条件下进行预浸泡。如果需要，应将盘子预浸泡至少20min，然后手动预刮，使污染物从盘子表面完全清除。为保证盘子基本清洗后基础清洁剂完全去除，所有盘子都要用清水冲洗并在洗碗机中清洗2个循环。洗碗机只能使用电导率&lt;80 μS（无化学物质）的软化水，以避免盘子表面有任何残留物。</w:t>
      </w:r>
    </w:p>
    <w:p w14:paraId="51CAFE0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基本清洗后，需要将盘子完全风干并冷却至环境温度。</w:t>
      </w:r>
    </w:p>
    <w:p w14:paraId="7380B293">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如果可获得相同的结果，可以使用替代程序（见A.2.2.3）。</w:t>
      </w:r>
    </w:p>
    <w:p w14:paraId="2B4FB5A7">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只有在环境条件下完全干燥的盘子才能进行试验。</w:t>
      </w:r>
    </w:p>
    <w:p w14:paraId="2BF89213">
      <w:pPr>
        <w:widowControl/>
        <w:spacing w:before="156" w:beforeLines="50" w:after="156" w:afterLines="50"/>
        <w:jc w:val="left"/>
        <w:outlineLvl w:val="2"/>
        <w:rPr>
          <w:rFonts w:ascii="黑体" w:eastAsia="黑体"/>
          <w:kern w:val="0"/>
          <w:szCs w:val="21"/>
        </w:rPr>
      </w:pPr>
      <w:r>
        <w:rPr>
          <w:rFonts w:hint="eastAsia" w:ascii="黑体" w:eastAsia="黑体"/>
          <w:kern w:val="0"/>
          <w:szCs w:val="21"/>
        </w:rPr>
        <w:t>A.2.2.1.2  新盘子的基本清洁</w:t>
      </w:r>
    </w:p>
    <w:p w14:paraId="389D2078">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如果在试验中使用新盘子，应遵循以下程序。应使用基础清洁剂，用量为每10 L 水使用（300±15）g（见B.3）。清洁剂直接加入清洗槽中。把新盘</w:t>
      </w:r>
      <w:r>
        <w:rPr>
          <w:rFonts w:hint="eastAsia" w:ascii="微软雅黑" w:hAnsi="微软雅黑" w:eastAsia="微软雅黑" w:cs="微软雅黑"/>
          <w:kern w:val="0"/>
          <w:szCs w:val="20"/>
        </w:rPr>
        <w:t>⼦</w:t>
      </w:r>
      <w:r>
        <w:rPr>
          <w:rFonts w:hint="eastAsia" w:ascii="宋体" w:hAnsi="宋体"/>
          <w:kern w:val="0"/>
          <w:szCs w:val="20"/>
        </w:rPr>
        <w:t>装载到碗篮上，放进洗碗机，在洗涤温度为60 ℃~65 ℃、漂洗温度为80 ℃~85 ℃的洗碗机中清洗10个循环。10个循环结束后，将洗碗机里的水排尽，重新注入干净的软化水。为了去除清洁剂残留，洗碗机应在不使用任何化学品的情况下，运行</w:t>
      </w:r>
      <w:r>
        <w:rPr>
          <w:rFonts w:hint="eastAsia" w:ascii="微软雅黑" w:hAnsi="微软雅黑" w:eastAsia="微软雅黑" w:cs="微软雅黑"/>
          <w:kern w:val="0"/>
          <w:szCs w:val="20"/>
        </w:rPr>
        <w:t>⼀</w:t>
      </w:r>
      <w:r>
        <w:rPr>
          <w:rFonts w:hint="eastAsia" w:ascii="宋体" w:hAnsi="宋体"/>
          <w:kern w:val="0"/>
          <w:szCs w:val="20"/>
        </w:rPr>
        <w:t>个循环时间≥180 s 的完整循环。</w:t>
      </w:r>
    </w:p>
    <w:p w14:paraId="7EF36971">
      <w:pPr>
        <w:widowControl/>
        <w:tabs>
          <w:tab w:val="center" w:pos="4201"/>
          <w:tab w:val="right" w:leader="dot" w:pos="9298"/>
        </w:tabs>
        <w:autoSpaceDE w:val="0"/>
        <w:autoSpaceDN w:val="0"/>
        <w:rPr>
          <w:rFonts w:hint="eastAsia" w:ascii="宋体" w:hAnsi="宋体"/>
          <w:kern w:val="0"/>
          <w:szCs w:val="20"/>
        </w:rPr>
      </w:pPr>
    </w:p>
    <w:p w14:paraId="5B2109B0">
      <w:pPr>
        <w:widowControl/>
        <w:tabs>
          <w:tab w:val="center" w:pos="4201"/>
          <w:tab w:val="right" w:leader="dot" w:pos="9298"/>
        </w:tabs>
        <w:autoSpaceDE w:val="0"/>
        <w:autoSpaceDN w:val="0"/>
        <w:rPr>
          <w:rFonts w:ascii="黑体" w:eastAsia="黑体"/>
          <w:kern w:val="0"/>
          <w:szCs w:val="21"/>
        </w:rPr>
      </w:pPr>
      <w:bookmarkStart w:id="20" w:name="OLE_LINK8"/>
      <w:r>
        <w:rPr>
          <w:rFonts w:hint="eastAsia" w:ascii="黑体" w:eastAsia="黑体"/>
          <w:kern w:val="0"/>
          <w:szCs w:val="21"/>
        </w:rPr>
        <w:t>A.2.2.1.3</w:t>
      </w:r>
      <w:bookmarkEnd w:id="20"/>
      <w:r>
        <w:rPr>
          <w:rFonts w:hint="eastAsia" w:ascii="黑体" w:eastAsia="黑体"/>
          <w:kern w:val="0"/>
          <w:szCs w:val="21"/>
        </w:rPr>
        <w:t xml:space="preserve"> 洗碗机</w:t>
      </w:r>
    </w:p>
    <w:p w14:paraId="1D7D85AC">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洗碗机应按照A.3中所述的标准测量进程进行预处理。</w:t>
      </w:r>
    </w:p>
    <w:p w14:paraId="737DDE10">
      <w:pPr>
        <w:widowControl/>
        <w:spacing w:before="156" w:beforeLines="50" w:after="156" w:afterLines="50"/>
        <w:jc w:val="left"/>
        <w:outlineLvl w:val="2"/>
        <w:rPr>
          <w:rFonts w:ascii="黑体" w:eastAsia="黑体"/>
          <w:kern w:val="0"/>
          <w:szCs w:val="21"/>
        </w:rPr>
      </w:pPr>
      <w:bookmarkStart w:id="21" w:name="_Hlk161300807"/>
      <w:r>
        <w:rPr>
          <w:rFonts w:hint="eastAsia" w:ascii="黑体" w:eastAsia="黑体"/>
          <w:kern w:val="0"/>
          <w:szCs w:val="21"/>
        </w:rPr>
        <w:t>A.2.2.1.4  污染模板</w:t>
      </w:r>
    </w:p>
    <w:bookmarkEnd w:id="21"/>
    <w:p w14:paraId="3EBD1010">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图A1和图A2为涂覆污点的模板。</w:t>
      </w:r>
    </w:p>
    <w:p w14:paraId="761E0037">
      <w:pPr>
        <w:widowControl/>
        <w:tabs>
          <w:tab w:val="center" w:pos="4201"/>
          <w:tab w:val="right" w:leader="dot" w:pos="9298"/>
        </w:tabs>
        <w:autoSpaceDE w:val="0"/>
        <w:autoSpaceDN w:val="0"/>
        <w:rPr>
          <w:rFonts w:hint="eastAsia" w:ascii="宋体" w:hAnsi="宋体"/>
          <w:kern w:val="0"/>
          <w:szCs w:val="20"/>
        </w:rPr>
      </w:pPr>
      <w:r>
        <w:rPr>
          <w:rFonts w:ascii="宋体" w:hAnsi="宋体"/>
          <w:kern w:val="0"/>
          <w:szCs w:val="20"/>
        </w:rPr>
        <w:drawing>
          <wp:inline distT="0" distB="0" distL="0" distR="0">
            <wp:extent cx="5478780" cy="7208520"/>
            <wp:effectExtent l="0" t="0" r="7620" b="0"/>
            <wp:docPr id="4070650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6501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78780" cy="7208520"/>
                    </a:xfrm>
                    <a:prstGeom prst="rect">
                      <a:avLst/>
                    </a:prstGeom>
                    <a:noFill/>
                    <a:ln>
                      <a:noFill/>
                    </a:ln>
                  </pic:spPr>
                </pic:pic>
              </a:graphicData>
            </a:graphic>
          </wp:inline>
        </w:drawing>
      </w:r>
    </w:p>
    <w:p w14:paraId="77FB25FA">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图A1 带点试验图案模板</w:t>
      </w:r>
    </w:p>
    <w:p w14:paraId="78ECEC84">
      <w:pPr>
        <w:widowControl/>
        <w:tabs>
          <w:tab w:val="center" w:pos="4201"/>
          <w:tab w:val="right" w:leader="dot" w:pos="9298"/>
        </w:tabs>
        <w:autoSpaceDE w:val="0"/>
        <w:autoSpaceDN w:val="0"/>
        <w:jc w:val="center"/>
        <w:rPr>
          <w:rFonts w:hint="eastAsia" w:ascii="宋体" w:hAnsi="宋体"/>
          <w:b/>
          <w:bCs/>
          <w:kern w:val="0"/>
          <w:szCs w:val="20"/>
        </w:rPr>
      </w:pPr>
      <w:r>
        <w:rPr>
          <w:rFonts w:ascii="宋体" w:hAnsi="宋体"/>
          <w:b/>
          <w:kern w:val="0"/>
          <w:szCs w:val="20"/>
        </w:rPr>
        <w:drawing>
          <wp:inline distT="0" distB="0" distL="0" distR="0">
            <wp:extent cx="3032760" cy="1516380"/>
            <wp:effectExtent l="0" t="0" r="0" b="7620"/>
            <wp:docPr id="19880174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17481"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32760" cy="1516380"/>
                    </a:xfrm>
                    <a:prstGeom prst="rect">
                      <a:avLst/>
                    </a:prstGeom>
                    <a:noFill/>
                    <a:ln>
                      <a:noFill/>
                    </a:ln>
                  </pic:spPr>
                </pic:pic>
              </a:graphicData>
            </a:graphic>
          </wp:inline>
        </w:drawing>
      </w:r>
    </w:p>
    <w:p w14:paraId="343A782B">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图A2 3D视图模板</w:t>
      </w:r>
    </w:p>
    <w:p w14:paraId="4220D8F8">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模板厚度宜在1 mm到3 mm之间。</w:t>
      </w:r>
    </w:p>
    <w:p w14:paraId="013089A6">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孔的最大直径应为12 mm。</w:t>
      </w:r>
    </w:p>
    <w:p w14:paraId="3E1D59D4">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推荐的材料为不锈钢或橡胶。应确保模板与盘子同心。</w:t>
      </w:r>
    </w:p>
    <w:p w14:paraId="070C0086">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如果模板使用的是坚硬的材料，垂悬平片应向上弯曲，以使模板在盘子表面上方最多悬停5mm处。</w:t>
      </w:r>
    </w:p>
    <w:p w14:paraId="727CBFD6">
      <w:pPr>
        <w:widowControl/>
        <w:tabs>
          <w:tab w:val="center" w:pos="4201"/>
          <w:tab w:val="right" w:leader="dot" w:pos="9298"/>
        </w:tabs>
        <w:autoSpaceDE w:val="0"/>
        <w:autoSpaceDN w:val="0"/>
        <w:snapToGrid w:val="0"/>
        <w:rPr>
          <w:rFonts w:hint="eastAsia" w:ascii="宋体" w:hAnsi="宋体"/>
          <w:kern w:val="0"/>
          <w:szCs w:val="20"/>
        </w:rPr>
      </w:pPr>
      <w:r>
        <w:rPr>
          <w:rFonts w:hint="eastAsia" w:ascii="宋体" w:hAnsi="宋体"/>
          <w:kern w:val="0"/>
          <w:szCs w:val="20"/>
        </w:rPr>
        <w:t>模板不应与试验污染物接触。一个模板宜足以涂覆所有的盘子的污染物。</w:t>
      </w:r>
    </w:p>
    <w:p w14:paraId="36D8668F">
      <w:pPr>
        <w:widowControl/>
        <w:spacing w:before="156" w:beforeLines="50" w:after="156" w:afterLines="50"/>
        <w:jc w:val="left"/>
        <w:outlineLvl w:val="2"/>
        <w:rPr>
          <w:rFonts w:ascii="黑体" w:eastAsia="黑体"/>
          <w:kern w:val="0"/>
          <w:szCs w:val="21"/>
        </w:rPr>
      </w:pPr>
      <w:r>
        <w:rPr>
          <w:rFonts w:hint="eastAsia" w:ascii="黑体" w:eastAsia="黑体"/>
          <w:kern w:val="0"/>
          <w:szCs w:val="21"/>
        </w:rPr>
        <w:t>A.2.2.1.5 滴涂覆的移液器/分液器</w:t>
      </w:r>
    </w:p>
    <w:p w14:paraId="26E3527E">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为了将点涂覆到盘子的表面，应使用可重复的具有所需精度的移液器，移液器每次滴出的量应为25μL。</w:t>
      </w:r>
    </w:p>
    <w:p w14:paraId="79E07DBE">
      <w:pPr>
        <w:widowControl/>
        <w:spacing w:before="156" w:beforeLines="50" w:after="156" w:afterLines="50"/>
        <w:jc w:val="left"/>
        <w:outlineLvl w:val="3"/>
        <w:rPr>
          <w:rFonts w:ascii="黑体" w:eastAsia="黑体"/>
          <w:kern w:val="0"/>
          <w:szCs w:val="21"/>
        </w:rPr>
      </w:pPr>
      <w:bookmarkStart w:id="22" w:name="OLE_LINK9"/>
      <w:r>
        <w:rPr>
          <w:rFonts w:hint="eastAsia" w:ascii="黑体" w:eastAsia="黑体"/>
          <w:kern w:val="0"/>
          <w:szCs w:val="21"/>
        </w:rPr>
        <w:t>A.2.2.2</w:t>
      </w:r>
      <w:bookmarkEnd w:id="22"/>
      <w:r>
        <w:rPr>
          <w:rFonts w:hint="eastAsia" w:ascii="黑体" w:eastAsia="黑体"/>
          <w:kern w:val="0"/>
          <w:szCs w:val="21"/>
        </w:rPr>
        <w:t>试验污染物的配方</w:t>
      </w:r>
    </w:p>
    <w:p w14:paraId="3444D74A">
      <w:pPr>
        <w:widowControl/>
        <w:spacing w:before="156" w:beforeLines="50" w:after="156" w:afterLines="50"/>
        <w:jc w:val="left"/>
        <w:outlineLvl w:val="3"/>
        <w:rPr>
          <w:rFonts w:ascii="黑体" w:eastAsia="黑体"/>
          <w:kern w:val="0"/>
          <w:szCs w:val="21"/>
        </w:rPr>
      </w:pPr>
      <w:bookmarkStart w:id="23" w:name="OLE_LINK14"/>
      <w:r>
        <w:rPr>
          <w:rFonts w:hint="eastAsia" w:ascii="黑体" w:eastAsia="黑体"/>
          <w:kern w:val="0"/>
          <w:szCs w:val="21"/>
        </w:rPr>
        <w:t>A.2.2.2.1</w:t>
      </w:r>
      <w:bookmarkEnd w:id="23"/>
      <w:r>
        <w:rPr>
          <w:rFonts w:hint="eastAsia" w:ascii="黑体" w:eastAsia="黑体"/>
          <w:kern w:val="0"/>
          <w:szCs w:val="21"/>
        </w:rPr>
        <w:t xml:space="preserve"> 成分</w:t>
      </w:r>
    </w:p>
    <w:p w14:paraId="5003EFB3">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290 g 牛奶（3.5%脂肪，巴</w:t>
      </w:r>
      <w:r>
        <w:rPr>
          <w:rFonts w:hint="eastAsia" w:ascii="微软雅黑" w:hAnsi="微软雅黑" w:eastAsia="微软雅黑" w:cs="微软雅黑"/>
          <w:kern w:val="0"/>
          <w:szCs w:val="20"/>
        </w:rPr>
        <w:t>⽒</w:t>
      </w:r>
      <w:r>
        <w:rPr>
          <w:rFonts w:hint="eastAsia" w:ascii="宋体" w:hAnsi="宋体"/>
          <w:kern w:val="0"/>
          <w:szCs w:val="20"/>
        </w:rPr>
        <w:t xml:space="preserve">灭菌，均质）                                               </w:t>
      </w:r>
    </w:p>
    <w:p w14:paraId="420F7A3F">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0.2 g 苯胺黑（CAS号101357–32–8) (C.I. 50420）</w:t>
      </w:r>
    </w:p>
    <w:p w14:paraId="66D1A305">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80 g 蛋清蛋黄混合物</w:t>
      </w:r>
    </w:p>
    <w:p w14:paraId="1367D262">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80 g 白砂糖（粒状）</w:t>
      </w:r>
    </w:p>
    <w:p w14:paraId="10FEABBB">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210 g 含0.5%矿物质的干制糕点用小麦粉。</w:t>
      </w:r>
    </w:p>
    <w:p w14:paraId="150EEC45">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使用环境温度下质量为50 g到65 g的优质鸡蛋。鸡蛋应至少放置7天但没有超过保质期。鸡蛋应在使用之前保持冷藏。搅拌时应至少使用3颗鸡蛋。</w:t>
      </w:r>
    </w:p>
    <w:p w14:paraId="788AC38B">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蛋清和蛋黄应在碗里用搅拌器搅拌10 s。</w:t>
      </w:r>
    </w:p>
    <w:p w14:paraId="0D13838A">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可使用脂肪含量为3.5%的U.H.T（超热处理）牛奶。U.H.T牛奶的使用期限或有效期应至少为试验日期后的1.5个月。U.H.T牛奶在开封后应冷藏，并应在开封后2天内使用完。</w:t>
      </w:r>
    </w:p>
    <w:p w14:paraId="40A9EC05">
      <w:pPr>
        <w:widowControl/>
        <w:spacing w:before="156" w:beforeLines="50" w:after="156" w:afterLines="50"/>
        <w:jc w:val="left"/>
        <w:outlineLvl w:val="3"/>
        <w:rPr>
          <w:rFonts w:ascii="黑体" w:eastAsia="黑体"/>
          <w:kern w:val="0"/>
          <w:szCs w:val="21"/>
        </w:rPr>
      </w:pPr>
      <w:r>
        <w:rPr>
          <w:rFonts w:hint="eastAsia" w:ascii="黑体" w:eastAsia="黑体"/>
          <w:kern w:val="0"/>
          <w:szCs w:val="21"/>
        </w:rPr>
        <w:t>A.2.2.2.2 配方</w:t>
      </w:r>
    </w:p>
    <w:p w14:paraId="51D06012">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大颗粒的苯胺黑用化学研磨钵磨成细粉（见图A3）。</w:t>
      </w:r>
    </w:p>
    <w:p w14:paraId="42026DBA">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180 g牛奶倒入800 mL的烧杯中。</w:t>
      </w:r>
    </w:p>
    <w:p w14:paraId="72385494">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牛奶应在6 ℃~8 ℃的温度下添加。</w:t>
      </w:r>
    </w:p>
    <w:p w14:paraId="7611B410">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把0.2 g苯胺黑，80 g糖，80 g鸡蛋和210 g面粉加入180 g牛奶中。</w:t>
      </w:r>
    </w:p>
    <w:p w14:paraId="49DBD57A">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用搅拌器搅拌2 min。完成后，再加入110 g牛奶。用搅拌器或刮刀手动搅拌混合物，把烧杯壁上的残余成分刮下来。将混合物再混合2 min，并静置30 min以去除气泡（见图A4）。</w:t>
      </w:r>
    </w:p>
    <w:p w14:paraId="498BAA97">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做好的试验用污染物最多可使用3 h。如果暂时不用，应用塑料箔覆盖以防由于脱水而形成薄膜。如果生成了一层薄膜，可将其混合在下面以使薄膜碎片再水化。</w:t>
      </w:r>
    </w:p>
    <w:p w14:paraId="0E1C508E">
      <w:pPr>
        <w:widowControl/>
        <w:tabs>
          <w:tab w:val="center" w:pos="4201"/>
          <w:tab w:val="right" w:leader="dot" w:pos="9298"/>
        </w:tabs>
        <w:autoSpaceDE w:val="0"/>
        <w:autoSpaceDN w:val="0"/>
        <w:jc w:val="center"/>
        <w:rPr>
          <w:rFonts w:hint="eastAsia" w:ascii="宋体" w:hAnsi="宋体"/>
          <w:kern w:val="0"/>
          <w:szCs w:val="20"/>
        </w:rPr>
      </w:pPr>
      <w:r>
        <w:rPr>
          <w:rFonts w:ascii="宋体" w:hAnsi="宋体"/>
          <w:kern w:val="0"/>
          <w:szCs w:val="20"/>
        </w:rPr>
        <w:drawing>
          <wp:inline distT="0" distB="0" distL="0" distR="0">
            <wp:extent cx="3566160" cy="2674620"/>
            <wp:effectExtent l="0" t="0" r="0" b="0"/>
            <wp:docPr id="6348341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34194"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66160" cy="2674620"/>
                    </a:xfrm>
                    <a:prstGeom prst="rect">
                      <a:avLst/>
                    </a:prstGeom>
                    <a:noFill/>
                    <a:ln>
                      <a:noFill/>
                    </a:ln>
                  </pic:spPr>
                </pic:pic>
              </a:graphicData>
            </a:graphic>
          </wp:inline>
        </w:drawing>
      </w:r>
    </w:p>
    <w:p w14:paraId="6F4B0810">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图A3 大颗粒的苯胺黑在化学研磨钵中研磨</w:t>
      </w:r>
    </w:p>
    <w:p w14:paraId="2C813BA9">
      <w:pPr>
        <w:widowControl/>
        <w:tabs>
          <w:tab w:val="center" w:pos="4201"/>
          <w:tab w:val="right" w:leader="dot" w:pos="9298"/>
        </w:tabs>
        <w:autoSpaceDE w:val="0"/>
        <w:autoSpaceDN w:val="0"/>
        <w:jc w:val="center"/>
        <w:rPr>
          <w:rFonts w:hint="eastAsia" w:ascii="宋体" w:hAnsi="宋体"/>
          <w:b/>
          <w:bCs/>
          <w:kern w:val="0"/>
          <w:szCs w:val="20"/>
        </w:rPr>
      </w:pPr>
      <w:r>
        <w:rPr>
          <w:rFonts w:ascii="宋体" w:hAnsi="宋体"/>
          <w:b/>
          <w:kern w:val="0"/>
          <w:szCs w:val="20"/>
        </w:rPr>
        <w:drawing>
          <wp:inline distT="0" distB="0" distL="0" distR="0">
            <wp:extent cx="4564380" cy="3413760"/>
            <wp:effectExtent l="0" t="0" r="7620" b="0"/>
            <wp:docPr id="12278537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5373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64380" cy="3413760"/>
                    </a:xfrm>
                    <a:prstGeom prst="rect">
                      <a:avLst/>
                    </a:prstGeom>
                    <a:noFill/>
                    <a:ln>
                      <a:noFill/>
                    </a:ln>
                  </pic:spPr>
                </pic:pic>
              </a:graphicData>
            </a:graphic>
          </wp:inline>
        </w:drawing>
      </w:r>
    </w:p>
    <w:p w14:paraId="74DA80F5">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图A4 混合好的试验用污染物</w:t>
      </w:r>
    </w:p>
    <w:p w14:paraId="7D922A8A">
      <w:pPr>
        <w:widowControl/>
        <w:spacing w:before="156" w:beforeLines="50" w:after="156" w:afterLines="50"/>
        <w:jc w:val="left"/>
        <w:outlineLvl w:val="3"/>
        <w:rPr>
          <w:rFonts w:ascii="黑体" w:eastAsia="黑体"/>
          <w:kern w:val="0"/>
          <w:szCs w:val="21"/>
        </w:rPr>
      </w:pPr>
      <w:r>
        <w:rPr>
          <w:rFonts w:hint="eastAsia" w:ascii="黑体" w:eastAsia="黑体"/>
          <w:kern w:val="0"/>
          <w:szCs w:val="21"/>
        </w:rPr>
        <w:t>A.2.2.3试验污染物的使用</w:t>
      </w:r>
    </w:p>
    <w:p w14:paraId="6B76F3EE">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使用和干燥过程应在A.1.5中规定的环境下进</w:t>
      </w:r>
      <w:r>
        <w:rPr>
          <w:rFonts w:hint="eastAsia" w:ascii="微软雅黑" w:hAnsi="微软雅黑" w:eastAsia="微软雅黑" w:cs="微软雅黑"/>
          <w:kern w:val="0"/>
          <w:szCs w:val="20"/>
        </w:rPr>
        <w:t>⾏</w:t>
      </w:r>
      <w:r>
        <w:rPr>
          <w:rFonts w:hint="eastAsia" w:ascii="宋体" w:hAnsi="宋体"/>
          <w:kern w:val="0"/>
          <w:szCs w:val="20"/>
        </w:rPr>
        <w:t>。试验污染点仅使用在盘子的正面。</w:t>
      </w:r>
    </w:p>
    <w:p w14:paraId="4D78DEC8">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对于西式餐盘，将模板放置在盘子的中同心位置。使用移液管将33个点涂覆在给定区域的中间。每</w:t>
      </w:r>
    </w:p>
    <w:p w14:paraId="31077919">
      <w:pPr>
        <w:widowControl/>
        <w:tabs>
          <w:tab w:val="center" w:pos="4201"/>
          <w:tab w:val="right" w:leader="dot" w:pos="9298"/>
        </w:tabs>
        <w:autoSpaceDE w:val="0"/>
        <w:autoSpaceDN w:val="0"/>
        <w:snapToGrid w:val="0"/>
        <w:rPr>
          <w:rFonts w:hint="eastAsia" w:ascii="宋体" w:hAnsi="宋体"/>
          <w:kern w:val="0"/>
          <w:szCs w:val="20"/>
        </w:rPr>
      </w:pPr>
      <w:r>
        <w:rPr>
          <w:rFonts w:hint="eastAsia" w:ascii="宋体" w:hAnsi="宋体"/>
          <w:kern w:val="0"/>
          <w:szCs w:val="20"/>
        </w:rPr>
        <w:t>个点的质量应在0.024 g到0.030 g之间，对应的平均体积约为25 μL。每个盘子上的污物总和应为（0.9±0.1）g。每个碗篮的总干燥时间应是从开始污染过程开始算起的2 h20 min（从涂覆第一个污点开始）。每个碗篮的污染过程时间不能超过20 min。</w:t>
      </w:r>
    </w:p>
    <w:p w14:paraId="06BD70C7">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对于中式餐盘，将模板放置在盘子的中同心位置使用移液管将17个点涂覆在给定区域的中间。每个</w:t>
      </w:r>
    </w:p>
    <w:p w14:paraId="154F8256">
      <w:pPr>
        <w:widowControl/>
        <w:tabs>
          <w:tab w:val="center" w:pos="4201"/>
          <w:tab w:val="right" w:leader="dot" w:pos="9298"/>
        </w:tabs>
        <w:autoSpaceDE w:val="0"/>
        <w:autoSpaceDN w:val="0"/>
        <w:snapToGrid w:val="0"/>
        <w:rPr>
          <w:rFonts w:hint="eastAsia" w:ascii="宋体" w:hAnsi="宋体"/>
          <w:kern w:val="0"/>
          <w:szCs w:val="20"/>
        </w:rPr>
      </w:pPr>
      <w:r>
        <w:rPr>
          <w:rFonts w:hint="eastAsia" w:ascii="宋体" w:hAnsi="宋体"/>
          <w:kern w:val="0"/>
          <w:szCs w:val="20"/>
        </w:rPr>
        <w:t>点的质量应在0.024 g到0.030 g之间，对应的平均体积约为25 μL。每个盘</w:t>
      </w:r>
      <w:r>
        <w:rPr>
          <w:rFonts w:hint="eastAsia" w:ascii="微软雅黑" w:hAnsi="微软雅黑" w:eastAsia="微软雅黑" w:cs="微软雅黑"/>
          <w:kern w:val="0"/>
          <w:szCs w:val="20"/>
        </w:rPr>
        <w:t>⼦</w:t>
      </w:r>
      <w:r>
        <w:rPr>
          <w:rFonts w:hint="eastAsia" w:ascii="宋体" w:hAnsi="宋体"/>
          <w:kern w:val="0"/>
          <w:szCs w:val="20"/>
        </w:rPr>
        <w:t>上的污物总和应为（0.46±0.05）g。每个碗篮的总干燥时间应是从开始污染过程开始算起的2h20 min（从涂覆上第一个污点开始）。每个碗篮的污染过程时间不能超过20 min。</w:t>
      </w:r>
    </w:p>
    <w:p w14:paraId="2647DDD5">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污染后，盘子应开口朝上放置干燥，不覆盖或堆叠。</w:t>
      </w:r>
    </w:p>
    <w:p w14:paraId="2E160963">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2 h的干燥期结束后，污点脱水为尺寸（6.75±1.00）mm的点。</w:t>
      </w:r>
      <w:r>
        <w:rPr>
          <w:rFonts w:hint="eastAsia" w:ascii="微软雅黑" w:hAnsi="微软雅黑" w:eastAsia="微软雅黑" w:cs="微软雅黑"/>
          <w:kern w:val="0"/>
          <w:szCs w:val="20"/>
        </w:rPr>
        <w:t>⼀</w:t>
      </w:r>
      <w:r>
        <w:rPr>
          <w:rFonts w:hint="eastAsia" w:ascii="宋体" w:hAnsi="宋体"/>
          <w:kern w:val="0"/>
          <w:szCs w:val="20"/>
        </w:rPr>
        <w:t>个污染的西式餐具如图A5所示，一个污染的中式餐具如图A6所示。</w:t>
      </w:r>
    </w:p>
    <w:p w14:paraId="1E72E45C">
      <w:pPr>
        <w:widowControl/>
        <w:tabs>
          <w:tab w:val="center" w:pos="4201"/>
          <w:tab w:val="right" w:leader="dot" w:pos="9298"/>
        </w:tabs>
        <w:autoSpaceDE w:val="0"/>
        <w:autoSpaceDN w:val="0"/>
        <w:jc w:val="center"/>
        <w:rPr>
          <w:rFonts w:hint="eastAsia" w:ascii="宋体" w:hAnsi="宋体"/>
          <w:kern w:val="0"/>
          <w:szCs w:val="20"/>
        </w:rPr>
      </w:pPr>
      <w:r>
        <w:rPr>
          <w:rFonts w:ascii="宋体" w:hAnsi="宋体"/>
          <w:kern w:val="0"/>
          <w:szCs w:val="20"/>
        </w:rPr>
        <w:drawing>
          <wp:inline distT="0" distB="0" distL="0" distR="0">
            <wp:extent cx="2308860" cy="2209800"/>
            <wp:effectExtent l="0" t="0" r="0" b="0"/>
            <wp:docPr id="7406964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96416"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08860" cy="2209800"/>
                    </a:xfrm>
                    <a:prstGeom prst="rect">
                      <a:avLst/>
                    </a:prstGeom>
                    <a:noFill/>
                    <a:ln>
                      <a:noFill/>
                    </a:ln>
                  </pic:spPr>
                </pic:pic>
              </a:graphicData>
            </a:graphic>
          </wp:inline>
        </w:drawing>
      </w:r>
    </w:p>
    <w:p w14:paraId="38AF60E5">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 xml:space="preserve">图A5 </w:t>
      </w:r>
      <w:r>
        <w:rPr>
          <w:rFonts w:hint="eastAsia" w:ascii="微软雅黑" w:hAnsi="微软雅黑" w:eastAsia="微软雅黑" w:cs="微软雅黑"/>
          <w:b/>
          <w:bCs/>
          <w:kern w:val="0"/>
          <w:szCs w:val="20"/>
        </w:rPr>
        <w:t>⼲</w:t>
      </w:r>
      <w:r>
        <w:rPr>
          <w:rFonts w:hint="eastAsia" w:ascii="宋体" w:hAnsi="宋体" w:cs="宋体"/>
          <w:b/>
          <w:bCs/>
          <w:kern w:val="0"/>
          <w:szCs w:val="20"/>
        </w:rPr>
        <w:t>燥后有</w:t>
      </w:r>
      <w:r>
        <w:rPr>
          <w:rFonts w:hint="eastAsia" w:ascii="宋体" w:hAnsi="宋体"/>
          <w:b/>
          <w:bCs/>
          <w:kern w:val="0"/>
          <w:szCs w:val="20"/>
        </w:rPr>
        <w:t>33个污染点的盘子</w:t>
      </w:r>
    </w:p>
    <w:p w14:paraId="3B250D9E">
      <w:pPr>
        <w:widowControl/>
        <w:tabs>
          <w:tab w:val="center" w:pos="4201"/>
          <w:tab w:val="right" w:leader="dot" w:pos="9298"/>
        </w:tabs>
        <w:autoSpaceDE w:val="0"/>
        <w:autoSpaceDN w:val="0"/>
        <w:jc w:val="center"/>
        <w:rPr>
          <w:rFonts w:hint="eastAsia" w:ascii="宋体" w:hAnsi="宋体"/>
          <w:b/>
          <w:bCs/>
          <w:kern w:val="0"/>
          <w:szCs w:val="20"/>
        </w:rPr>
      </w:pPr>
      <w:r>
        <w:rPr>
          <w:rFonts w:ascii="宋体" w:hAnsi="宋体"/>
          <w:b/>
          <w:kern w:val="0"/>
          <w:szCs w:val="20"/>
        </w:rPr>
        <w:drawing>
          <wp:inline distT="0" distB="0" distL="0" distR="0">
            <wp:extent cx="2430780" cy="2697480"/>
            <wp:effectExtent l="0" t="0" r="7620" b="7620"/>
            <wp:docPr id="8267558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5811"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30780" cy="2697480"/>
                    </a:xfrm>
                    <a:prstGeom prst="rect">
                      <a:avLst/>
                    </a:prstGeom>
                    <a:noFill/>
                    <a:ln>
                      <a:noFill/>
                    </a:ln>
                  </pic:spPr>
                </pic:pic>
              </a:graphicData>
            </a:graphic>
          </wp:inline>
        </w:drawing>
      </w:r>
    </w:p>
    <w:p w14:paraId="17882F15">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图A6 干燥后有17个污染点的盘子</w:t>
      </w:r>
    </w:p>
    <w:p w14:paraId="5E82F372">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如果没有形成规定尺寸的污点，说明盘子表面的基本清洁不成功，导致盘子表面仍有残留物，或其他参数不在范围内。这会导致洗净性能的改变，因此应避免。</w:t>
      </w:r>
    </w:p>
    <w:p w14:paraId="6B11CFAF">
      <w:pPr>
        <w:widowControl/>
        <w:tabs>
          <w:tab w:val="center" w:pos="4201"/>
          <w:tab w:val="right" w:leader="dot" w:pos="9298"/>
        </w:tabs>
        <w:autoSpaceDE w:val="0"/>
        <w:autoSpaceDN w:val="0"/>
        <w:snapToGrid w:val="0"/>
        <w:ind w:firstLine="420" w:firstLineChars="200"/>
        <w:rPr>
          <w:rFonts w:hint="eastAsia" w:ascii="宋体" w:hAnsi="宋体"/>
          <w:kern w:val="0"/>
          <w:szCs w:val="20"/>
        </w:rPr>
      </w:pPr>
      <w:bookmarkStart w:id="24" w:name="OLE_LINK17"/>
      <w:r>
        <w:rPr>
          <w:rFonts w:hint="eastAsia" w:ascii="宋体" w:hAnsi="宋体"/>
          <w:kern w:val="0"/>
          <w:szCs w:val="20"/>
        </w:rPr>
        <w:t>如图A7所示，应总共准备5个装载污染盘子的碗篮。在2 h干燥结束时，第一个碗篮已经可以进行洗净性能试验，应按照A.3规定和附录C中流程图所示的试验顺序进行。</w:t>
      </w:r>
    </w:p>
    <w:p w14:paraId="1909665C">
      <w:pPr>
        <w:widowControl/>
        <w:tabs>
          <w:tab w:val="center" w:pos="4201"/>
          <w:tab w:val="right" w:leader="dot" w:pos="9298"/>
        </w:tabs>
        <w:autoSpaceDE w:val="0"/>
        <w:autoSpaceDN w:val="0"/>
        <w:snapToGrid w:val="0"/>
        <w:rPr>
          <w:rFonts w:hint="eastAsia" w:ascii="宋体" w:hAnsi="宋体"/>
          <w:kern w:val="0"/>
          <w:szCs w:val="20"/>
        </w:rPr>
      </w:pPr>
      <w:r>
        <w:rPr>
          <w:rFonts w:hint="eastAsia" w:ascii="宋体" w:hAnsi="宋体"/>
          <w:kern w:val="0"/>
          <w:szCs w:val="20"/>
        </w:rPr>
        <w:t>试验过程的流程时间表如图A7所示。</w:t>
      </w:r>
    </w:p>
    <w:bookmarkEnd w:id="24"/>
    <w:p w14:paraId="18A8A400">
      <w:pPr>
        <w:widowControl/>
        <w:tabs>
          <w:tab w:val="center" w:pos="4201"/>
          <w:tab w:val="right" w:leader="dot" w:pos="9298"/>
        </w:tabs>
        <w:autoSpaceDE w:val="0"/>
        <w:autoSpaceDN w:val="0"/>
        <w:rPr>
          <w:rFonts w:hint="eastAsia" w:ascii="宋体" w:hAnsi="宋体"/>
          <w:kern w:val="0"/>
          <w:szCs w:val="20"/>
        </w:rPr>
      </w:pPr>
      <w:r>
        <w:rPr>
          <w:rFonts w:ascii="宋体" w:hAnsi="宋体"/>
          <w:kern w:val="0"/>
          <w:szCs w:val="20"/>
        </w:rPr>
        <w:drawing>
          <wp:inline distT="0" distB="0" distL="0" distR="0">
            <wp:extent cx="5939790" cy="1317625"/>
            <wp:effectExtent l="0" t="0" r="3810" b="0"/>
            <wp:docPr id="14278793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9397"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39790" cy="1317625"/>
                    </a:xfrm>
                    <a:prstGeom prst="rect">
                      <a:avLst/>
                    </a:prstGeom>
                    <a:noFill/>
                    <a:ln>
                      <a:noFill/>
                    </a:ln>
                  </pic:spPr>
                </pic:pic>
              </a:graphicData>
            </a:graphic>
          </wp:inline>
        </w:drawing>
      </w:r>
    </w:p>
    <w:p w14:paraId="18A85FE8">
      <w:pPr>
        <w:widowControl/>
        <w:tabs>
          <w:tab w:val="center" w:pos="4201"/>
          <w:tab w:val="right" w:leader="dot" w:pos="9298"/>
        </w:tabs>
        <w:autoSpaceDE w:val="0"/>
        <w:autoSpaceDN w:val="0"/>
        <w:jc w:val="center"/>
        <w:rPr>
          <w:rFonts w:hint="eastAsia" w:ascii="宋体" w:hAnsi="宋体"/>
          <w:b/>
          <w:bCs/>
          <w:kern w:val="0"/>
          <w:szCs w:val="20"/>
        </w:rPr>
      </w:pPr>
      <w:r>
        <w:rPr>
          <w:rFonts w:hint="eastAsia" w:ascii="宋体" w:hAnsi="宋体"/>
          <w:b/>
          <w:bCs/>
          <w:kern w:val="0"/>
          <w:szCs w:val="20"/>
        </w:rPr>
        <w:t>图A7 试验过程的时间表</w:t>
      </w:r>
    </w:p>
    <w:p w14:paraId="126A9606">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为了计算平均清洁结果，每组试验都要重复5次。应测量机器在循环过程中重新补充的供水量，以补偿水箱的排水。根据这个水量，在每个循环之后手动添加按照产品使用说明计算出的清洁剂以确保清洁剂浓度恒定。</w:t>
      </w:r>
    </w:p>
    <w:p w14:paraId="1E0A1316">
      <w:pPr>
        <w:widowControl/>
        <w:tabs>
          <w:tab w:val="center" w:pos="4201"/>
          <w:tab w:val="right" w:leader="dot" w:pos="9298"/>
        </w:tabs>
        <w:autoSpaceDE w:val="0"/>
        <w:autoSpaceDN w:val="0"/>
        <w:rPr>
          <w:rFonts w:hint="eastAsia" w:ascii="宋体" w:hAnsi="宋体"/>
          <w:kern w:val="0"/>
          <w:szCs w:val="20"/>
        </w:rPr>
      </w:pPr>
    </w:p>
    <w:p w14:paraId="038B0199">
      <w:pPr>
        <w:widowControl/>
        <w:spacing w:before="156" w:beforeLines="50" w:after="156" w:afterLines="50"/>
        <w:jc w:val="left"/>
        <w:outlineLvl w:val="3"/>
        <w:rPr>
          <w:rFonts w:ascii="黑体" w:eastAsia="黑体"/>
          <w:kern w:val="0"/>
          <w:szCs w:val="21"/>
        </w:rPr>
      </w:pPr>
      <w:bookmarkStart w:id="25" w:name="OLE_LINK6"/>
      <w:r>
        <w:rPr>
          <w:rFonts w:hint="eastAsia" w:ascii="黑体" w:eastAsia="黑体"/>
          <w:kern w:val="0"/>
          <w:szCs w:val="21"/>
        </w:rPr>
        <w:t>A.2.3评估</w:t>
      </w:r>
    </w:p>
    <w:bookmarkEnd w:id="25"/>
    <w:p w14:paraId="597B2415">
      <w:pPr>
        <w:widowControl/>
        <w:tabs>
          <w:tab w:val="center" w:pos="4201"/>
          <w:tab w:val="right" w:leader="dot" w:pos="9298"/>
        </w:tabs>
        <w:autoSpaceDE w:val="0"/>
        <w:autoSpaceDN w:val="0"/>
        <w:rPr>
          <w:rFonts w:hint="eastAsia" w:ascii="黑体" w:hAnsi="宋体" w:eastAsia="黑体"/>
          <w:kern w:val="0"/>
          <w:szCs w:val="21"/>
        </w:rPr>
      </w:pPr>
      <w:r>
        <w:rPr>
          <w:rFonts w:hint="eastAsia" w:ascii="黑体" w:hAnsi="宋体" w:eastAsia="黑体"/>
          <w:kern w:val="0"/>
          <w:szCs w:val="21"/>
        </w:rPr>
        <w:t>A.2.3.1 一般情况</w:t>
      </w:r>
    </w:p>
    <w:p w14:paraId="6523D583">
      <w:pPr>
        <w:widowControl/>
        <w:tabs>
          <w:tab w:val="center" w:pos="4201"/>
          <w:tab w:val="right" w:leader="dot" w:pos="9298"/>
        </w:tabs>
        <w:autoSpaceDE w:val="0"/>
        <w:autoSpaceDN w:val="0"/>
        <w:ind w:firstLine="420" w:firstLineChars="200"/>
        <w:rPr>
          <w:rFonts w:hint="eastAsia" w:ascii="黑体" w:hAnsi="宋体" w:eastAsia="黑体"/>
          <w:kern w:val="0"/>
          <w:szCs w:val="21"/>
        </w:rPr>
      </w:pPr>
      <w:r>
        <w:rPr>
          <w:rFonts w:hint="eastAsia" w:ascii="宋体" w:hAnsi="宋体"/>
          <w:kern w:val="0"/>
          <w:szCs w:val="20"/>
        </w:rPr>
        <w:t>在每个循环后，立刻取出装有盘子的碗篮。当盘子干燥之后，视检所有盘子上是否有污点。</w:t>
      </w:r>
    </w:p>
    <w:p w14:paraId="2AC2E559">
      <w:pPr>
        <w:widowControl/>
        <w:tabs>
          <w:tab w:val="center" w:pos="4201"/>
          <w:tab w:val="right" w:leader="dot" w:pos="9298"/>
        </w:tabs>
        <w:autoSpaceDE w:val="0"/>
        <w:autoSpaceDN w:val="0"/>
        <w:snapToGrid w:val="0"/>
        <w:rPr>
          <w:rFonts w:hint="eastAsia" w:ascii="宋体" w:hAnsi="宋体"/>
          <w:kern w:val="0"/>
          <w:szCs w:val="20"/>
        </w:rPr>
      </w:pPr>
      <w:r>
        <w:rPr>
          <w:rFonts w:hint="eastAsia" w:ascii="宋体" w:hAnsi="宋体"/>
          <w:kern w:val="0"/>
          <w:szCs w:val="20"/>
        </w:rPr>
        <w:t>对每个盘子上的污点进行计数。</w:t>
      </w:r>
    </w:p>
    <w:p w14:paraId="11E54A3F">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如果循环结束之后有任何可见的痕迹，则计算所有残留的点。</w:t>
      </w:r>
    </w:p>
    <w:p w14:paraId="245E0E3B">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每个盘子的评估时间为10 s。</w:t>
      </w:r>
    </w:p>
    <w:p w14:paraId="4754C1E1">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评估时的光源条件如下：</w:t>
      </w:r>
    </w:p>
    <w:p w14:paraId="199EA36A">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——色温为3500 K~4500 K（“日光”或“冷白光”灯）</w:t>
      </w:r>
    </w:p>
    <w:p w14:paraId="75EFE8B4">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——评估位置的光照强度应为1000 lx~1500 lx。</w:t>
      </w:r>
    </w:p>
    <w:p w14:paraId="0FBF415F">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对于污点的评估，只考虑盘子正面。</w:t>
      </w:r>
    </w:p>
    <w:p w14:paraId="373B9648">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将盘子正面的污点数记入表A4。。</w:t>
      </w:r>
    </w:p>
    <w:p w14:paraId="0401078D">
      <w:pPr>
        <w:widowControl/>
        <w:tabs>
          <w:tab w:val="center" w:pos="4201"/>
          <w:tab w:val="right" w:leader="dot" w:pos="9298"/>
        </w:tabs>
        <w:autoSpaceDE w:val="0"/>
        <w:autoSpaceDN w:val="0"/>
        <w:rPr>
          <w:rFonts w:hint="eastAsia" w:ascii="黑体" w:hAnsi="宋体" w:eastAsia="黑体"/>
          <w:kern w:val="0"/>
          <w:szCs w:val="21"/>
        </w:rPr>
      </w:pPr>
      <w:r>
        <w:rPr>
          <w:rFonts w:hint="eastAsia" w:ascii="黑体" w:hAnsi="宋体" w:eastAsia="黑体"/>
          <w:kern w:val="0"/>
          <w:szCs w:val="21"/>
        </w:rPr>
        <w:t>A.2.3.2 性能结果的计算</w:t>
      </w:r>
    </w:p>
    <w:p w14:paraId="368B52F6">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为了统计上的合理性，采用5 个循环的平均值作为最终结果。</w:t>
      </w:r>
    </w:p>
    <w:p w14:paraId="19FA7DB0">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洗净性能按照式（A1）公式进</w:t>
      </w:r>
      <w:r>
        <w:rPr>
          <w:rFonts w:hint="eastAsia" w:ascii="微软雅黑" w:hAnsi="微软雅黑" w:eastAsia="微软雅黑" w:cs="微软雅黑"/>
          <w:kern w:val="0"/>
          <w:szCs w:val="20"/>
        </w:rPr>
        <w:t>⾏</w:t>
      </w:r>
      <w:r>
        <w:rPr>
          <w:rFonts w:hint="eastAsia" w:ascii="宋体" w:hAnsi="宋体"/>
          <w:kern w:val="0"/>
          <w:szCs w:val="20"/>
        </w:rPr>
        <w:t>计算：</w:t>
      </w:r>
      <w:bookmarkStart w:id="26" w:name="7.1_一般信息"/>
      <w:bookmarkEnd w:id="26"/>
      <w:bookmarkStart w:id="27" w:name="6.3_评估"/>
      <w:bookmarkEnd w:id="27"/>
      <w:bookmarkStart w:id="28" w:name="7_耗电量、用水量和时间的测量"/>
      <w:bookmarkEnd w:id="28"/>
      <w:bookmarkStart w:id="29" w:name="_bookmark1"/>
      <w:bookmarkEnd w:id="29"/>
      <w:bookmarkStart w:id="30" w:name="_bookmark0"/>
      <w:bookmarkEnd w:id="30"/>
      <w:bookmarkStart w:id="31" w:name="_bookmark2"/>
      <w:bookmarkEnd w:id="31"/>
    </w:p>
    <w:p w14:paraId="39B48601">
      <w:pPr>
        <w:widowControl/>
        <w:tabs>
          <w:tab w:val="center" w:pos="4201"/>
          <w:tab w:val="right" w:leader="dot" w:pos="9298"/>
        </w:tabs>
        <w:autoSpaceDE w:val="0"/>
        <w:autoSpaceDN w:val="0"/>
        <w:snapToGrid w:val="0"/>
        <w:ind w:left="420" w:firstLine="420" w:firstLineChars="200"/>
        <w:rPr>
          <w:rFonts w:hint="eastAsia" w:ascii="宋体" w:hAnsi="宋体"/>
          <w:kern w:val="0"/>
          <w:szCs w:val="20"/>
        </w:rPr>
      </w:pPr>
    </w:p>
    <w:p w14:paraId="5D85AFA0">
      <w:pPr>
        <w:widowControl/>
        <w:tabs>
          <w:tab w:val="center" w:pos="4201"/>
          <w:tab w:val="right" w:leader="dot" w:pos="9298"/>
        </w:tabs>
        <w:autoSpaceDE w:val="0"/>
        <w:autoSpaceDN w:val="0"/>
        <w:snapToGrid w:val="0"/>
        <w:ind w:left="420" w:firstLine="420" w:firstLineChars="200"/>
        <w:rPr>
          <w:rFonts w:hint="eastAsia" w:ascii="宋体" w:hAnsi="宋体"/>
          <w:kern w:val="0"/>
          <w:szCs w:val="20"/>
        </w:rPr>
      </w:pPr>
      <w:r>
        <w:rPr>
          <w:rFonts w:hint="eastAsia" w:ascii="宋体" w:hAnsi="宋体"/>
          <w:kern w:val="0"/>
          <w:szCs w:val="20"/>
        </w:rPr>
        <w:t xml:space="preserve">          公式</w:t>
      </w:r>
    </w:p>
    <w:p w14:paraId="6CAF701A">
      <w:pPr>
        <w:widowControl/>
        <w:tabs>
          <w:tab w:val="center" w:pos="4201"/>
          <w:tab w:val="right" w:leader="dot" w:pos="9298"/>
        </w:tabs>
        <w:autoSpaceDE w:val="0"/>
        <w:autoSpaceDN w:val="0"/>
        <w:snapToGrid w:val="0"/>
        <w:ind w:left="420" w:firstLine="420" w:firstLineChars="200"/>
        <w:rPr>
          <w:rFonts w:hint="eastAsia" w:ascii="宋体" w:hAnsi="宋体"/>
          <w:kern w:val="0"/>
          <w:szCs w:val="20"/>
        </w:rPr>
      </w:pPr>
      <m:oMathPara>
        <m:oMathParaPr>
          <m:jc m:val="right"/>
        </m:oMathParaPr>
        <m:oMath>
          <m:sSub>
            <m:sSubPr>
              <m:ctrlPr>
                <w:rPr>
                  <w:rFonts w:ascii="Cambria Math" w:hAnsi="Cambria Math"/>
                  <w:kern w:val="0"/>
                  <w:szCs w:val="20"/>
                </w:rPr>
              </m:ctrlPr>
            </m:sSubPr>
            <m:e>
              <m:r>
                <m:rPr/>
                <w:rPr>
                  <w:rFonts w:ascii="Cambria Math" w:hAnsi="Cambria Math"/>
                  <w:kern w:val="0"/>
                  <w:szCs w:val="20"/>
                </w:rPr>
                <m:t>X</m:t>
              </m:r>
              <m:ctrlPr>
                <w:rPr>
                  <w:rFonts w:ascii="Cambria Math" w:hAnsi="Cambria Math"/>
                  <w:kern w:val="0"/>
                  <w:szCs w:val="20"/>
                </w:rPr>
              </m:ctrlPr>
            </m:e>
            <m:sub>
              <m:r>
                <m:rPr/>
                <w:rPr>
                  <w:rFonts w:ascii="Cambria Math" w:hAnsi="Cambria Math"/>
                  <w:kern w:val="0"/>
                  <w:szCs w:val="20"/>
                </w:rPr>
                <m:t>C</m:t>
              </m:r>
              <m:ctrlPr>
                <w:rPr>
                  <w:rFonts w:ascii="Cambria Math" w:hAnsi="Cambria Math"/>
                  <w:kern w:val="0"/>
                  <w:szCs w:val="20"/>
                </w:rPr>
              </m:ctrlPr>
            </m:sub>
          </m:sSub>
          <m:r>
            <m:rPr>
              <m:sty m:val="p"/>
            </m:rPr>
            <w:rPr>
              <w:rFonts w:ascii="Cambria Math" w:hAnsi="Cambria Math"/>
              <w:kern w:val="0"/>
              <w:szCs w:val="20"/>
            </w:rPr>
            <m:t>=</m:t>
          </m:r>
          <m:d>
            <m:dPr>
              <m:ctrlPr>
                <w:rPr>
                  <w:rFonts w:ascii="Cambria Math" w:hAnsi="Cambria Math"/>
                  <w:kern w:val="0"/>
                  <w:szCs w:val="20"/>
                </w:rPr>
              </m:ctrlPr>
            </m:dPr>
            <m:e>
              <m:r>
                <m:rPr/>
                <w:rPr>
                  <w:rFonts w:ascii="Cambria Math" w:hAnsi="Cambria Math"/>
                  <w:kern w:val="0"/>
                  <w:szCs w:val="20"/>
                </w:rPr>
                <m:t>1−</m:t>
              </m:r>
              <m:f>
                <m:fPr>
                  <m:ctrlPr>
                    <w:rPr>
                      <w:rFonts w:ascii="Cambria Math" w:hAnsi="Cambria Math"/>
                      <w:i/>
                      <w:kern w:val="0"/>
                      <w:szCs w:val="20"/>
                    </w:rPr>
                  </m:ctrlPr>
                </m:fPr>
                <m:num>
                  <m:sSub>
                    <m:sSubPr>
                      <m:ctrlPr>
                        <w:rPr>
                          <w:rFonts w:ascii="Cambria Math" w:hAnsi="Cambria Math"/>
                          <w:i/>
                          <w:kern w:val="0"/>
                          <w:szCs w:val="20"/>
                        </w:rPr>
                      </m:ctrlPr>
                    </m:sSubPr>
                    <m:e>
                      <m:r>
                        <m:rPr/>
                        <w:rPr>
                          <w:rFonts w:ascii="Cambria Math" w:hAnsi="Cambria Math"/>
                          <w:kern w:val="0"/>
                          <w:szCs w:val="20"/>
                        </w:rPr>
                        <m:t>T</m:t>
                      </m:r>
                      <m:ctrlPr>
                        <w:rPr>
                          <w:rFonts w:ascii="Cambria Math" w:hAnsi="Cambria Math"/>
                          <w:i/>
                          <w:kern w:val="0"/>
                          <w:szCs w:val="20"/>
                        </w:rPr>
                      </m:ctrlPr>
                    </m:e>
                    <m:sub>
                      <m:r>
                        <m:rPr/>
                        <w:rPr>
                          <w:rFonts w:ascii="Cambria Math" w:hAnsi="Cambria Math"/>
                          <w:kern w:val="0"/>
                          <w:szCs w:val="20"/>
                        </w:rPr>
                        <m:t>NRD</m:t>
                      </m:r>
                      <m:ctrlPr>
                        <w:rPr>
                          <w:rFonts w:ascii="Cambria Math" w:hAnsi="Cambria Math"/>
                          <w:i/>
                          <w:kern w:val="0"/>
                          <w:szCs w:val="20"/>
                        </w:rPr>
                      </m:ctrlPr>
                    </m:sub>
                  </m:sSub>
                  <m:ctrlPr>
                    <w:rPr>
                      <w:rFonts w:ascii="Cambria Math" w:hAnsi="Cambria Math"/>
                      <w:i/>
                      <w:kern w:val="0"/>
                      <w:szCs w:val="20"/>
                    </w:rPr>
                  </m:ctrlPr>
                </m:num>
                <m:den>
                  <m:sSub>
                    <m:sSubPr>
                      <m:ctrlPr>
                        <w:rPr>
                          <w:rFonts w:ascii="Cambria Math" w:hAnsi="Cambria Math"/>
                          <w:i/>
                          <w:kern w:val="0"/>
                          <w:szCs w:val="20"/>
                        </w:rPr>
                      </m:ctrlPr>
                    </m:sSubPr>
                    <m:e>
                      <m:r>
                        <m:rPr/>
                        <w:rPr>
                          <w:rFonts w:ascii="Cambria Math" w:hAnsi="Cambria Math"/>
                          <w:kern w:val="0"/>
                          <w:szCs w:val="20"/>
                        </w:rPr>
                        <m:t>T</m:t>
                      </m:r>
                      <m:ctrlPr>
                        <w:rPr>
                          <w:rFonts w:ascii="Cambria Math" w:hAnsi="Cambria Math"/>
                          <w:i/>
                          <w:kern w:val="0"/>
                          <w:szCs w:val="20"/>
                        </w:rPr>
                      </m:ctrlPr>
                    </m:e>
                    <m:sub>
                      <m:r>
                        <m:rPr/>
                        <w:rPr>
                          <w:rFonts w:ascii="Cambria Math" w:hAnsi="Cambria Math"/>
                          <w:kern w:val="0"/>
                          <w:szCs w:val="20"/>
                        </w:rPr>
                        <m:t>NAD</m:t>
                      </m:r>
                      <m:ctrlPr>
                        <w:rPr>
                          <w:rFonts w:ascii="Cambria Math" w:hAnsi="Cambria Math"/>
                          <w:i/>
                          <w:kern w:val="0"/>
                          <w:szCs w:val="20"/>
                        </w:rPr>
                      </m:ctrlPr>
                    </m:sub>
                  </m:sSub>
                  <m:ctrlPr>
                    <w:rPr>
                      <w:rFonts w:ascii="Cambria Math" w:hAnsi="Cambria Math"/>
                      <w:i/>
                      <w:kern w:val="0"/>
                      <w:szCs w:val="20"/>
                    </w:rPr>
                  </m:ctrlPr>
                </m:den>
              </m:f>
              <m:ctrlPr>
                <w:rPr>
                  <w:rFonts w:ascii="Cambria Math" w:hAnsi="Cambria Math"/>
                  <w:kern w:val="0"/>
                  <w:szCs w:val="20"/>
                </w:rPr>
              </m:ctrlPr>
            </m:e>
          </m:d>
          <m:r>
            <m:rPr>
              <m:sty m:val="p"/>
            </m:rPr>
            <w:rPr>
              <w:rFonts w:ascii="Cambria Math" w:hAnsi="Cambria Math"/>
              <w:kern w:val="0"/>
              <w:szCs w:val="20"/>
            </w:rPr>
            <m:t>×100%⋯⋯⋯⋯⋯⋯⋯⋯⋯⋯⋯⋯⋯⋯⋯⋯⋯⋯⋯⋯</m:t>
          </m:r>
          <m:d>
            <m:dPr>
              <m:ctrlPr>
                <w:rPr>
                  <w:rFonts w:ascii="Cambria Math" w:hAnsi="Cambria Math"/>
                  <w:kern w:val="0"/>
                  <w:szCs w:val="20"/>
                </w:rPr>
              </m:ctrlPr>
            </m:dPr>
            <m:e>
              <m:r>
                <m:rPr>
                  <m:sty m:val="p"/>
                </m:rPr>
                <w:rPr>
                  <w:rFonts w:ascii="Cambria Math" w:hAnsi="Cambria Math"/>
                  <w:kern w:val="0"/>
                  <w:szCs w:val="20"/>
                </w:rPr>
                <m:t>A1</m:t>
              </m:r>
              <m:ctrlPr>
                <w:rPr>
                  <w:rFonts w:ascii="Cambria Math" w:hAnsi="Cambria Math"/>
                  <w:kern w:val="0"/>
                  <w:szCs w:val="20"/>
                </w:rPr>
              </m:ctrlPr>
            </m:e>
          </m:d>
        </m:oMath>
      </m:oMathPara>
    </w:p>
    <w:p w14:paraId="216C93A0">
      <w:pPr>
        <w:widowControl/>
        <w:tabs>
          <w:tab w:val="center" w:pos="4201"/>
          <w:tab w:val="right" w:leader="dot" w:pos="9298"/>
        </w:tabs>
        <w:autoSpaceDE w:val="0"/>
        <w:autoSpaceDN w:val="0"/>
        <w:snapToGrid w:val="0"/>
        <w:ind w:firstLine="420" w:firstLineChars="200"/>
        <w:rPr>
          <w:rFonts w:hint="eastAsia" w:ascii="宋体" w:hAnsi="宋体"/>
          <w:kern w:val="0"/>
          <w:szCs w:val="20"/>
        </w:rPr>
      </w:pPr>
      <w:r>
        <w:rPr>
          <w:rFonts w:hint="eastAsia" w:ascii="宋体" w:hAnsi="宋体"/>
          <w:kern w:val="0"/>
          <w:szCs w:val="20"/>
        </w:rPr>
        <w:t>式中：</w:t>
      </w:r>
    </w:p>
    <w:p w14:paraId="5D683678">
      <w:pPr>
        <w:widowControl/>
        <w:tabs>
          <w:tab w:val="center" w:pos="4201"/>
          <w:tab w:val="right" w:leader="dot" w:pos="9298"/>
        </w:tabs>
        <w:autoSpaceDE w:val="0"/>
        <w:autoSpaceDN w:val="0"/>
        <w:snapToGrid w:val="0"/>
        <w:rPr>
          <w:rFonts w:hint="eastAsia" w:ascii="宋体" w:hAnsi="宋体"/>
          <w:kern w:val="0"/>
          <w:szCs w:val="20"/>
        </w:rPr>
      </w:pPr>
      <m:oMath>
        <m:r>
          <m:rPr/>
          <w:rPr>
            <w:rFonts w:ascii="Cambria Math" w:hAnsi="Cambria Math"/>
            <w:kern w:val="0"/>
            <w:szCs w:val="20"/>
          </w:rPr>
          <m:t xml:space="preserve">         </m:t>
        </m:r>
        <m:sSub>
          <m:sSubPr>
            <m:ctrlPr>
              <w:rPr>
                <w:rFonts w:ascii="Cambria Math" w:hAnsi="Cambria Math"/>
                <w:kern w:val="0"/>
                <w:szCs w:val="20"/>
              </w:rPr>
            </m:ctrlPr>
          </m:sSubPr>
          <m:e>
            <m:r>
              <m:rPr/>
              <w:rPr>
                <w:rFonts w:ascii="Cambria Math" w:hAnsi="Cambria Math"/>
                <w:kern w:val="0"/>
                <w:szCs w:val="20"/>
              </w:rPr>
              <m:t>T</m:t>
            </m:r>
            <m:ctrlPr>
              <w:rPr>
                <w:rFonts w:ascii="Cambria Math" w:hAnsi="Cambria Math"/>
                <w:kern w:val="0"/>
                <w:szCs w:val="20"/>
              </w:rPr>
            </m:ctrlPr>
          </m:e>
          <m:sub>
            <m:r>
              <m:rPr/>
              <w:rPr>
                <w:rFonts w:ascii="Cambria Math" w:hAnsi="Cambria Math"/>
                <w:kern w:val="0"/>
                <w:szCs w:val="20"/>
              </w:rPr>
              <m:t>NRD</m:t>
            </m:r>
            <m:ctrlPr>
              <w:rPr>
                <w:rFonts w:ascii="Cambria Math" w:hAnsi="Cambria Math"/>
                <w:kern w:val="0"/>
                <w:szCs w:val="20"/>
              </w:rPr>
            </m:ctrlPr>
          </m:sub>
        </m:sSub>
      </m:oMath>
      <w:r>
        <w:rPr>
          <w:rFonts w:hint="eastAsia" w:ascii="宋体" w:hAnsi="宋体"/>
          <w:kern w:val="0"/>
          <w:szCs w:val="20"/>
        </w:rPr>
        <w:t>——残留污点总数</w:t>
      </w:r>
    </w:p>
    <w:p w14:paraId="01FE6F2A">
      <w:pPr>
        <w:widowControl/>
        <w:tabs>
          <w:tab w:val="center" w:pos="4201"/>
          <w:tab w:val="right" w:leader="dot" w:pos="9298"/>
        </w:tabs>
        <w:autoSpaceDE w:val="0"/>
        <w:autoSpaceDN w:val="0"/>
        <w:snapToGrid w:val="0"/>
        <w:rPr>
          <w:rFonts w:hint="eastAsia" w:ascii="宋体" w:hAnsi="宋体"/>
          <w:kern w:val="0"/>
          <w:szCs w:val="20"/>
        </w:rPr>
      </w:pPr>
      <m:oMath>
        <m:r>
          <m:rPr/>
          <w:rPr>
            <w:rFonts w:ascii="Cambria Math" w:hAnsi="Cambria Math"/>
            <w:kern w:val="0"/>
            <w:szCs w:val="20"/>
          </w:rPr>
          <m:t xml:space="preserve">         </m:t>
        </m:r>
        <m:sSub>
          <m:sSubPr>
            <m:ctrlPr>
              <w:rPr>
                <w:rFonts w:ascii="Cambria Math" w:hAnsi="Cambria Math"/>
                <w:kern w:val="0"/>
                <w:szCs w:val="20"/>
              </w:rPr>
            </m:ctrlPr>
          </m:sSubPr>
          <m:e>
            <m:r>
              <m:rPr/>
              <w:rPr>
                <w:rFonts w:ascii="Cambria Math" w:hAnsi="Cambria Math"/>
                <w:kern w:val="0"/>
                <w:szCs w:val="20"/>
              </w:rPr>
              <m:t>T</m:t>
            </m:r>
            <m:ctrlPr>
              <w:rPr>
                <w:rFonts w:ascii="Cambria Math" w:hAnsi="Cambria Math"/>
                <w:kern w:val="0"/>
                <w:szCs w:val="20"/>
              </w:rPr>
            </m:ctrlPr>
          </m:e>
          <m:sub>
            <m:r>
              <m:rPr/>
              <w:rPr>
                <w:rFonts w:ascii="Cambria Math" w:hAnsi="Cambria Math"/>
                <w:kern w:val="0"/>
                <w:szCs w:val="20"/>
              </w:rPr>
              <m:t>NAD</m:t>
            </m:r>
            <m:ctrlPr>
              <w:rPr>
                <w:rFonts w:ascii="Cambria Math" w:hAnsi="Cambria Math"/>
                <w:kern w:val="0"/>
                <w:szCs w:val="20"/>
              </w:rPr>
            </m:ctrlPr>
          </m:sub>
        </m:sSub>
      </m:oMath>
      <w:r>
        <w:rPr>
          <w:rFonts w:hint="eastAsia" w:ascii="宋体" w:hAnsi="宋体"/>
          <w:kern w:val="0"/>
          <w:szCs w:val="20"/>
        </w:rPr>
        <w:t>——涂覆污点总数</w:t>
      </w:r>
    </w:p>
    <w:p w14:paraId="46D37037">
      <w:pPr>
        <w:widowControl/>
        <w:tabs>
          <w:tab w:val="center" w:pos="4201"/>
          <w:tab w:val="right" w:leader="dot" w:pos="9298"/>
        </w:tabs>
        <w:autoSpaceDE w:val="0"/>
        <w:autoSpaceDN w:val="0"/>
        <w:rPr>
          <w:rFonts w:hint="eastAsia" w:ascii="宋体" w:hAnsi="宋体"/>
          <w:kern w:val="0"/>
          <w:szCs w:val="20"/>
        </w:rPr>
      </w:pPr>
    </w:p>
    <w:p w14:paraId="3884B9BC">
      <w:pPr>
        <w:widowControl/>
        <w:tabs>
          <w:tab w:val="center" w:pos="4201"/>
          <w:tab w:val="right" w:leader="dot" w:pos="9298"/>
        </w:tabs>
        <w:autoSpaceDE w:val="0"/>
        <w:autoSpaceDN w:val="0"/>
        <w:rPr>
          <w:rFonts w:ascii="黑体" w:eastAsia="黑体"/>
          <w:kern w:val="0"/>
          <w:szCs w:val="21"/>
        </w:rPr>
      </w:pPr>
      <w:r>
        <w:rPr>
          <w:rFonts w:hint="eastAsia" w:ascii="黑体" w:eastAsia="黑体"/>
          <w:kern w:val="0"/>
          <w:szCs w:val="21"/>
        </w:rPr>
        <w:t>A.3 洗净程序</w:t>
      </w:r>
    </w:p>
    <w:p w14:paraId="00D6C0EC">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机器应按照A.1.2进行调试。</w:t>
      </w:r>
    </w:p>
    <w:p w14:paraId="56D62D4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机器应处于即用模式。</w:t>
      </w:r>
    </w:p>
    <w:p w14:paraId="4AEC4C95">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考虑到整个机器的温度调节和洗涤槽的浑浊度调节，应连续洗涤3个装载了盘子的碗篮。对每个调试循环，应在过滤（如果有过滤的话）之前，将规定量的配载污染物添加到洗碗机洗涤腔室中心。配载污染物应在循环开始之前加入。</w:t>
      </w:r>
    </w:p>
    <w:p w14:paraId="6642C5C5">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每个待测盘子按A.2.2.3加入试验污染物。</w:t>
      </w:r>
    </w:p>
    <w:p w14:paraId="2AAA080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试验污染物的描述见 A.2.2.2。</w:t>
      </w:r>
    </w:p>
    <w:p w14:paraId="58020EB7">
      <w:pPr>
        <w:widowControl/>
        <w:tabs>
          <w:tab w:val="center" w:pos="4201"/>
          <w:tab w:val="right" w:leader="dot" w:pos="9298"/>
        </w:tabs>
        <w:autoSpaceDE w:val="0"/>
        <w:autoSpaceDN w:val="0"/>
        <w:ind w:firstLine="420" w:firstLineChars="200"/>
        <w:rPr>
          <w:rFonts w:hint="eastAsia" w:ascii="宋体" w:hAnsi="宋体"/>
          <w:kern w:val="0"/>
          <w:sz w:val="18"/>
          <w:szCs w:val="16"/>
        </w:rPr>
      </w:pPr>
      <w:r>
        <w:rPr>
          <w:rFonts w:hint="eastAsia" w:ascii="黑体" w:eastAsia="黑体"/>
          <w:kern w:val="0"/>
          <w:szCs w:val="21"/>
        </w:rPr>
        <w:t>注：</w:t>
      </w:r>
      <w:r>
        <w:rPr>
          <w:rFonts w:hint="eastAsia" w:ascii="宋体" w:hAnsi="宋体"/>
          <w:kern w:val="0"/>
          <w:sz w:val="18"/>
          <w:szCs w:val="16"/>
        </w:rPr>
        <w:t>例，如果</w:t>
      </w:r>
      <w:r>
        <w:rPr>
          <w:rFonts w:hint="eastAsia" w:ascii="微软雅黑" w:hAnsi="微软雅黑" w:eastAsia="微软雅黑" w:cs="微软雅黑"/>
          <w:kern w:val="0"/>
          <w:sz w:val="18"/>
          <w:szCs w:val="16"/>
        </w:rPr>
        <w:t>⼀</w:t>
      </w:r>
      <w:r>
        <w:rPr>
          <w:rFonts w:hint="eastAsia" w:ascii="宋体" w:hAnsi="宋体" w:cs="宋体"/>
          <w:kern w:val="0"/>
          <w:sz w:val="18"/>
          <w:szCs w:val="16"/>
        </w:rPr>
        <w:t>个碗篮装载了</w:t>
      </w:r>
      <w:r>
        <w:rPr>
          <w:rFonts w:hint="eastAsia" w:ascii="宋体" w:hAnsi="宋体"/>
          <w:kern w:val="0"/>
          <w:sz w:val="18"/>
          <w:szCs w:val="16"/>
        </w:rPr>
        <w:t>18个盘子，则每个循环在洗涤腔室中加入18×0.9 g=16.2 g试验污染物。</w:t>
      </w:r>
    </w:p>
    <w:p w14:paraId="61FB621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装载机器，关门或罩，开始第一个程序循环。</w:t>
      </w:r>
    </w:p>
    <w:p w14:paraId="03EEDD8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在机器指示程序结束后，等待所有耗能元件均处于非活动状态。</w:t>
      </w:r>
    </w:p>
    <w:p w14:paraId="7DB46CD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打开门或罩并保持打开30 s，以便卸载并再次装载下一个碗篮，并加入洗涤剂和配载污染物。</w:t>
      </w:r>
    </w:p>
    <w:p w14:paraId="0DC038D1">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立即关上门或罩并开始下一个调试循环。</w:t>
      </w:r>
    </w:p>
    <w:p w14:paraId="2250732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第3轮调试循环后，卸载机器并关上门或罩。</w:t>
      </w:r>
    </w:p>
    <w:p w14:paraId="035DA497">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等到洗碗机到达即用模式，所有耗能元件均处于非活动状态。洗净性能试验应在15 min内开始。</w:t>
      </w:r>
    </w:p>
    <w:p w14:paraId="3A7FE20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对装载有污染盘子的碗篮应清洗5个循环。</w:t>
      </w:r>
    </w:p>
    <w:p w14:paraId="570F616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开始记录。</w:t>
      </w:r>
    </w:p>
    <w:p w14:paraId="0418F9C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打开门或罩并保持打开30 s，以便往机器中装载有污染盘子的碗篮。</w:t>
      </w:r>
    </w:p>
    <w:p w14:paraId="4D33DC3A">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立即关闭门或罩并开始程序循环。</w:t>
      </w:r>
    </w:p>
    <w:p w14:paraId="59948418">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当机器指示程序结束后，等待直到所有耗能元件均处于非活动状态。</w:t>
      </w:r>
    </w:p>
    <w:p w14:paraId="319C838E">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打开门或罩并保持打开30 s，以便卸载机器。</w:t>
      </w:r>
    </w:p>
    <w:p w14:paraId="5C6FBB92">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关上门或罩，直到按照A.2.2.3规定准备好下一个装载了污染盘子的碗篮。</w:t>
      </w:r>
    </w:p>
    <w:p w14:paraId="457BB9D6">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打开门或罩并保持打开30 s，以便装载下一个碗篮，并添加洗涤剂。</w:t>
      </w:r>
    </w:p>
    <w:p w14:paraId="369532DD">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关闭门或罩，立即开始下一轮程序循环。</w:t>
      </w:r>
    </w:p>
    <w:p w14:paraId="14CD2640">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在第5个程序循环之后，当机器指示清洗循环结束时，等待直到所有耗能元件均处于非活动状态停</w:t>
      </w:r>
    </w:p>
    <w:p w14:paraId="1D411030">
      <w:pPr>
        <w:widowControl/>
        <w:tabs>
          <w:tab w:val="center" w:pos="4201"/>
          <w:tab w:val="right" w:leader="dot" w:pos="9298"/>
        </w:tabs>
        <w:autoSpaceDE w:val="0"/>
        <w:autoSpaceDN w:val="0"/>
        <w:rPr>
          <w:rFonts w:hint="eastAsia" w:ascii="宋体" w:hAnsi="宋体"/>
          <w:kern w:val="0"/>
          <w:szCs w:val="20"/>
        </w:rPr>
      </w:pPr>
      <w:r>
        <w:rPr>
          <w:rFonts w:hint="eastAsia" w:ascii="宋体" w:hAnsi="宋体"/>
          <w:kern w:val="0"/>
          <w:szCs w:val="20"/>
        </w:rPr>
        <w:t>滞。</w:t>
      </w:r>
    </w:p>
    <w:p w14:paraId="6416B7FC">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打开门或罩并保持打开30 s，以便卸载机器。</w:t>
      </w:r>
    </w:p>
    <w:p w14:paraId="569D2160">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关上门或罩。</w:t>
      </w:r>
    </w:p>
    <w:p w14:paraId="6516501E">
      <w:pPr>
        <w:widowControl/>
        <w:tabs>
          <w:tab w:val="center" w:pos="4201"/>
          <w:tab w:val="right" w:leader="dot" w:pos="9298"/>
        </w:tabs>
        <w:autoSpaceDE w:val="0"/>
        <w:autoSpaceDN w:val="0"/>
        <w:ind w:firstLine="420" w:firstLineChars="200"/>
        <w:rPr>
          <w:rFonts w:hint="eastAsia" w:ascii="宋体" w:hAnsi="宋体"/>
          <w:kern w:val="0"/>
          <w:szCs w:val="20"/>
        </w:rPr>
      </w:pPr>
      <w:r>
        <w:rPr>
          <w:rFonts w:hint="eastAsia" w:ascii="宋体" w:hAnsi="宋体"/>
          <w:kern w:val="0"/>
          <w:szCs w:val="20"/>
        </w:rPr>
        <w:t>第5个清洁循环开始后20 min，停止记录。</w:t>
      </w:r>
    </w:p>
    <w:p w14:paraId="240C6C7C">
      <w:pPr>
        <w:widowControl/>
        <w:tabs>
          <w:tab w:val="center" w:pos="4201"/>
          <w:tab w:val="right" w:leader="dot" w:pos="9298"/>
        </w:tabs>
        <w:autoSpaceDE w:val="0"/>
        <w:autoSpaceDN w:val="0"/>
        <w:rPr>
          <w:rFonts w:hint="eastAsia" w:ascii="宋体" w:hAnsi="宋体"/>
          <w:kern w:val="0"/>
          <w:szCs w:val="20"/>
        </w:rPr>
      </w:pPr>
    </w:p>
    <w:p w14:paraId="0BAAA5DF">
      <w:pPr>
        <w:widowControl/>
        <w:tabs>
          <w:tab w:val="center" w:pos="4201"/>
          <w:tab w:val="right" w:leader="dot" w:pos="9298"/>
        </w:tabs>
        <w:autoSpaceDE w:val="0"/>
        <w:autoSpaceDN w:val="0"/>
        <w:rPr>
          <w:rFonts w:hint="eastAsia" w:ascii="宋体" w:hAnsi="宋体"/>
          <w:kern w:val="0"/>
          <w:szCs w:val="20"/>
        </w:rPr>
      </w:pPr>
      <w:r>
        <w:rPr>
          <w:rFonts w:hint="eastAsia" w:ascii="黑体" w:eastAsia="黑体"/>
          <w:kern w:val="0"/>
          <w:szCs w:val="20"/>
        </w:rPr>
        <w:t xml:space="preserve">A.4数据记录 </w:t>
      </w:r>
    </w:p>
    <w:p w14:paraId="2CAA00CE">
      <w:pPr>
        <w:widowControl/>
        <w:tabs>
          <w:tab w:val="center" w:pos="4201"/>
          <w:tab w:val="right" w:leader="dot" w:pos="9298"/>
        </w:tabs>
        <w:autoSpaceDE w:val="0"/>
        <w:autoSpaceDN w:val="0"/>
        <w:rPr>
          <w:rFonts w:hint="eastAsia" w:ascii="黑体" w:hAnsi="宋体" w:eastAsia="黑体"/>
          <w:kern w:val="0"/>
          <w:szCs w:val="21"/>
        </w:rPr>
      </w:pPr>
      <w:r>
        <w:rPr>
          <w:rFonts w:hint="eastAsia" w:ascii="黑体" w:hAnsi="宋体" w:eastAsia="黑体"/>
          <w:kern w:val="0"/>
          <w:szCs w:val="21"/>
        </w:rPr>
        <w:t>A.4.1 实验室和试验数据</w:t>
      </w:r>
    </w:p>
    <w:p w14:paraId="10ED996F">
      <w:pPr>
        <w:widowControl/>
        <w:tabs>
          <w:tab w:val="center" w:pos="4201"/>
          <w:tab w:val="right" w:leader="dot" w:pos="9298"/>
        </w:tabs>
        <w:autoSpaceDE w:val="0"/>
        <w:autoSpaceDN w:val="0"/>
        <w:rPr>
          <w:rFonts w:hint="eastAsia" w:ascii="宋体" w:hAnsi="宋体"/>
          <w:kern w:val="0"/>
          <w:szCs w:val="20"/>
        </w:rPr>
      </w:pPr>
      <w:r>
        <w:rPr>
          <w:rFonts w:hint="eastAsia" w:ascii="宋体" w:hAnsi="宋体"/>
          <w:kern w:val="0"/>
          <w:szCs w:val="20"/>
        </w:rPr>
        <w:t>实验室数据应按照表A1记录。</w:t>
      </w:r>
    </w:p>
    <w:p w14:paraId="0623EC74">
      <w:pPr>
        <w:widowControl/>
        <w:tabs>
          <w:tab w:val="center" w:pos="4201"/>
          <w:tab w:val="right" w:leader="dot" w:pos="9298"/>
        </w:tabs>
        <w:autoSpaceDE w:val="0"/>
        <w:autoSpaceDN w:val="0"/>
        <w:rPr>
          <w:rFonts w:hint="eastAsia" w:ascii="宋体" w:hAnsi="宋体"/>
          <w:kern w:val="0"/>
          <w:szCs w:val="20"/>
        </w:rPr>
      </w:pPr>
    </w:p>
    <w:p w14:paraId="2B32C94D">
      <w:pPr>
        <w:widowControl/>
        <w:tabs>
          <w:tab w:val="center" w:pos="4201"/>
          <w:tab w:val="right" w:leader="dot" w:pos="9298"/>
        </w:tabs>
        <w:autoSpaceDE w:val="0"/>
        <w:autoSpaceDN w:val="0"/>
        <w:jc w:val="center"/>
        <w:rPr>
          <w:rFonts w:hint="eastAsia" w:ascii="黑体" w:hAnsi="宋体" w:eastAsia="黑体" w:cs="黑体"/>
          <w:kern w:val="0"/>
          <w:szCs w:val="21"/>
        </w:rPr>
      </w:pPr>
      <w:r>
        <w:rPr>
          <w:rFonts w:hint="eastAsia" w:ascii="黑体" w:hAnsi="宋体" w:eastAsia="黑体" w:cs="黑体"/>
          <w:kern w:val="0"/>
          <w:szCs w:val="21"/>
        </w:rPr>
        <w:t>表A1 实验室数据</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2"/>
        <w:gridCol w:w="4672"/>
      </w:tblGrid>
      <w:tr w14:paraId="2111F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56615A6D">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公司、地址</w:t>
            </w:r>
          </w:p>
        </w:tc>
        <w:tc>
          <w:tcPr>
            <w:tcW w:w="4672" w:type="dxa"/>
            <w:tcBorders>
              <w:top w:val="single" w:color="000000" w:sz="4" w:space="0"/>
              <w:left w:val="single" w:color="000000" w:sz="4" w:space="0"/>
              <w:bottom w:val="single" w:color="000000" w:sz="4" w:space="0"/>
              <w:right w:val="single" w:color="000000" w:sz="4" w:space="0"/>
            </w:tcBorders>
          </w:tcPr>
          <w:p w14:paraId="6FD6DE10">
            <w:pPr>
              <w:widowControl/>
              <w:tabs>
                <w:tab w:val="center" w:pos="4201"/>
                <w:tab w:val="right" w:leader="dot" w:pos="9298"/>
              </w:tabs>
              <w:autoSpaceDE w:val="0"/>
              <w:autoSpaceDN w:val="0"/>
              <w:jc w:val="center"/>
              <w:rPr>
                <w:rFonts w:hint="eastAsia" w:ascii="宋体" w:hAnsi="宋体"/>
                <w:kern w:val="0"/>
                <w:szCs w:val="18"/>
              </w:rPr>
            </w:pPr>
          </w:p>
        </w:tc>
      </w:tr>
      <w:tr w14:paraId="0D76F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4A2AA0CE">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试验人员</w:t>
            </w:r>
          </w:p>
        </w:tc>
        <w:tc>
          <w:tcPr>
            <w:tcW w:w="4672" w:type="dxa"/>
            <w:tcBorders>
              <w:top w:val="single" w:color="000000" w:sz="4" w:space="0"/>
              <w:left w:val="single" w:color="000000" w:sz="4" w:space="0"/>
              <w:bottom w:val="single" w:color="000000" w:sz="4" w:space="0"/>
              <w:right w:val="single" w:color="000000" w:sz="4" w:space="0"/>
            </w:tcBorders>
          </w:tcPr>
          <w:p w14:paraId="6067E988">
            <w:pPr>
              <w:widowControl/>
              <w:tabs>
                <w:tab w:val="center" w:pos="4201"/>
                <w:tab w:val="right" w:leader="dot" w:pos="9298"/>
              </w:tabs>
              <w:autoSpaceDE w:val="0"/>
              <w:autoSpaceDN w:val="0"/>
              <w:jc w:val="center"/>
              <w:rPr>
                <w:rFonts w:hint="eastAsia" w:ascii="宋体" w:hAnsi="宋体"/>
                <w:kern w:val="0"/>
                <w:szCs w:val="18"/>
              </w:rPr>
            </w:pPr>
          </w:p>
        </w:tc>
      </w:tr>
      <w:tr w14:paraId="14C71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284B771B">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日期</w:t>
            </w:r>
          </w:p>
        </w:tc>
        <w:tc>
          <w:tcPr>
            <w:tcW w:w="4672" w:type="dxa"/>
            <w:tcBorders>
              <w:top w:val="single" w:color="000000" w:sz="4" w:space="0"/>
              <w:left w:val="single" w:color="000000" w:sz="4" w:space="0"/>
              <w:bottom w:val="single" w:color="000000" w:sz="4" w:space="0"/>
              <w:right w:val="single" w:color="000000" w:sz="4" w:space="0"/>
            </w:tcBorders>
          </w:tcPr>
          <w:p w14:paraId="72251C99">
            <w:pPr>
              <w:widowControl/>
              <w:tabs>
                <w:tab w:val="center" w:pos="4201"/>
                <w:tab w:val="right" w:leader="dot" w:pos="9298"/>
              </w:tabs>
              <w:autoSpaceDE w:val="0"/>
              <w:autoSpaceDN w:val="0"/>
              <w:jc w:val="center"/>
              <w:rPr>
                <w:rFonts w:hint="eastAsia" w:ascii="宋体" w:hAnsi="宋体"/>
                <w:kern w:val="0"/>
                <w:szCs w:val="18"/>
              </w:rPr>
            </w:pPr>
          </w:p>
        </w:tc>
      </w:tr>
      <w:tr w14:paraId="52995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3515671D">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室温[℃]</w:t>
            </w:r>
          </w:p>
        </w:tc>
        <w:tc>
          <w:tcPr>
            <w:tcW w:w="4672" w:type="dxa"/>
            <w:tcBorders>
              <w:top w:val="single" w:color="000000" w:sz="4" w:space="0"/>
              <w:left w:val="single" w:color="000000" w:sz="4" w:space="0"/>
              <w:bottom w:val="single" w:color="000000" w:sz="4" w:space="0"/>
              <w:right w:val="single" w:color="000000" w:sz="4" w:space="0"/>
            </w:tcBorders>
          </w:tcPr>
          <w:p w14:paraId="1121A3E5">
            <w:pPr>
              <w:widowControl/>
              <w:tabs>
                <w:tab w:val="center" w:pos="4201"/>
                <w:tab w:val="right" w:leader="dot" w:pos="9298"/>
              </w:tabs>
              <w:autoSpaceDE w:val="0"/>
              <w:autoSpaceDN w:val="0"/>
              <w:jc w:val="center"/>
              <w:rPr>
                <w:rFonts w:hint="eastAsia" w:ascii="宋体" w:hAnsi="宋体"/>
                <w:kern w:val="0"/>
                <w:szCs w:val="18"/>
              </w:rPr>
            </w:pPr>
          </w:p>
        </w:tc>
      </w:tr>
      <w:tr w14:paraId="3FC09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5EF6F9BC">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空气湿度[%]</w:t>
            </w:r>
          </w:p>
        </w:tc>
        <w:tc>
          <w:tcPr>
            <w:tcW w:w="4672" w:type="dxa"/>
            <w:tcBorders>
              <w:top w:val="single" w:color="000000" w:sz="4" w:space="0"/>
              <w:left w:val="single" w:color="000000" w:sz="4" w:space="0"/>
              <w:bottom w:val="single" w:color="000000" w:sz="4" w:space="0"/>
              <w:right w:val="single" w:color="000000" w:sz="4" w:space="0"/>
            </w:tcBorders>
          </w:tcPr>
          <w:p w14:paraId="43D7901E">
            <w:pPr>
              <w:widowControl/>
              <w:tabs>
                <w:tab w:val="center" w:pos="4201"/>
                <w:tab w:val="right" w:leader="dot" w:pos="9298"/>
              </w:tabs>
              <w:autoSpaceDE w:val="0"/>
              <w:autoSpaceDN w:val="0"/>
              <w:jc w:val="center"/>
              <w:rPr>
                <w:rFonts w:hint="eastAsia" w:ascii="宋体" w:hAnsi="宋体"/>
                <w:kern w:val="0"/>
                <w:szCs w:val="18"/>
              </w:rPr>
            </w:pPr>
          </w:p>
        </w:tc>
      </w:tr>
      <w:tr w14:paraId="3396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5B0DE3BD">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水硬度[mmoL/l]</w:t>
            </w:r>
          </w:p>
        </w:tc>
        <w:tc>
          <w:tcPr>
            <w:tcW w:w="4672" w:type="dxa"/>
            <w:tcBorders>
              <w:top w:val="single" w:color="000000" w:sz="4" w:space="0"/>
              <w:left w:val="single" w:color="000000" w:sz="4" w:space="0"/>
              <w:bottom w:val="single" w:color="000000" w:sz="4" w:space="0"/>
              <w:right w:val="single" w:color="000000" w:sz="4" w:space="0"/>
            </w:tcBorders>
          </w:tcPr>
          <w:p w14:paraId="3EE6B40F">
            <w:pPr>
              <w:widowControl/>
              <w:tabs>
                <w:tab w:val="center" w:pos="4201"/>
                <w:tab w:val="right" w:leader="dot" w:pos="9298"/>
              </w:tabs>
              <w:autoSpaceDE w:val="0"/>
              <w:autoSpaceDN w:val="0"/>
              <w:jc w:val="center"/>
              <w:rPr>
                <w:rFonts w:hint="eastAsia" w:ascii="宋体" w:hAnsi="宋体"/>
                <w:kern w:val="0"/>
                <w:szCs w:val="18"/>
              </w:rPr>
            </w:pPr>
          </w:p>
        </w:tc>
      </w:tr>
      <w:tr w14:paraId="2F42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2EE9D636">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水温[℃]</w:t>
            </w:r>
          </w:p>
        </w:tc>
        <w:tc>
          <w:tcPr>
            <w:tcW w:w="4672" w:type="dxa"/>
            <w:tcBorders>
              <w:top w:val="single" w:color="000000" w:sz="4" w:space="0"/>
              <w:left w:val="single" w:color="000000" w:sz="4" w:space="0"/>
              <w:bottom w:val="single" w:color="000000" w:sz="4" w:space="0"/>
              <w:right w:val="single" w:color="000000" w:sz="4" w:space="0"/>
            </w:tcBorders>
          </w:tcPr>
          <w:p w14:paraId="5BCBA9E9">
            <w:pPr>
              <w:widowControl/>
              <w:tabs>
                <w:tab w:val="center" w:pos="4201"/>
                <w:tab w:val="right" w:leader="dot" w:pos="9298"/>
              </w:tabs>
              <w:autoSpaceDE w:val="0"/>
              <w:autoSpaceDN w:val="0"/>
              <w:jc w:val="center"/>
              <w:rPr>
                <w:rFonts w:hint="eastAsia" w:ascii="宋体" w:hAnsi="宋体"/>
                <w:kern w:val="0"/>
                <w:szCs w:val="18"/>
              </w:rPr>
            </w:pPr>
          </w:p>
        </w:tc>
      </w:tr>
      <w:tr w14:paraId="3BD85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1A3B14D5">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水压[kPa]</w:t>
            </w:r>
          </w:p>
        </w:tc>
        <w:tc>
          <w:tcPr>
            <w:tcW w:w="4672" w:type="dxa"/>
            <w:tcBorders>
              <w:top w:val="single" w:color="000000" w:sz="4" w:space="0"/>
              <w:left w:val="single" w:color="000000" w:sz="4" w:space="0"/>
              <w:bottom w:val="single" w:color="000000" w:sz="4" w:space="0"/>
              <w:right w:val="single" w:color="000000" w:sz="4" w:space="0"/>
            </w:tcBorders>
          </w:tcPr>
          <w:p w14:paraId="679AE1E1">
            <w:pPr>
              <w:widowControl/>
              <w:tabs>
                <w:tab w:val="center" w:pos="4201"/>
                <w:tab w:val="right" w:leader="dot" w:pos="9298"/>
              </w:tabs>
              <w:autoSpaceDE w:val="0"/>
              <w:autoSpaceDN w:val="0"/>
              <w:jc w:val="center"/>
              <w:rPr>
                <w:rFonts w:hint="eastAsia" w:ascii="宋体" w:hAnsi="宋体"/>
                <w:kern w:val="0"/>
                <w:szCs w:val="18"/>
              </w:rPr>
            </w:pPr>
          </w:p>
        </w:tc>
      </w:tr>
      <w:tr w14:paraId="01C2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76BDF93E">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清洁剂，类型</w:t>
            </w:r>
          </w:p>
        </w:tc>
        <w:tc>
          <w:tcPr>
            <w:tcW w:w="4672" w:type="dxa"/>
            <w:tcBorders>
              <w:top w:val="single" w:color="000000" w:sz="4" w:space="0"/>
              <w:left w:val="single" w:color="000000" w:sz="4" w:space="0"/>
              <w:bottom w:val="single" w:color="000000" w:sz="4" w:space="0"/>
              <w:right w:val="single" w:color="000000" w:sz="4" w:space="0"/>
            </w:tcBorders>
          </w:tcPr>
          <w:p w14:paraId="710FAF3D">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生产批号</w:t>
            </w:r>
          </w:p>
        </w:tc>
      </w:tr>
      <w:tr w14:paraId="47ED6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250447EA">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漂洗剂，类型</w:t>
            </w:r>
          </w:p>
        </w:tc>
        <w:tc>
          <w:tcPr>
            <w:tcW w:w="4672" w:type="dxa"/>
            <w:tcBorders>
              <w:top w:val="single" w:color="000000" w:sz="4" w:space="0"/>
              <w:left w:val="single" w:color="000000" w:sz="4" w:space="0"/>
              <w:bottom w:val="single" w:color="000000" w:sz="4" w:space="0"/>
              <w:right w:val="single" w:color="000000" w:sz="4" w:space="0"/>
            </w:tcBorders>
          </w:tcPr>
          <w:p w14:paraId="3047A764">
            <w:pPr>
              <w:widowControl/>
              <w:tabs>
                <w:tab w:val="center" w:pos="4201"/>
                <w:tab w:val="right" w:leader="dot" w:pos="9298"/>
              </w:tabs>
              <w:autoSpaceDE w:val="0"/>
              <w:autoSpaceDN w:val="0"/>
              <w:jc w:val="left"/>
              <w:rPr>
                <w:rFonts w:hint="eastAsia" w:ascii="宋体" w:hAnsi="宋体"/>
                <w:kern w:val="0"/>
                <w:szCs w:val="18"/>
              </w:rPr>
            </w:pPr>
            <w:r>
              <w:rPr>
                <w:rFonts w:hint="eastAsia" w:ascii="宋体" w:hAnsi="宋体"/>
                <w:kern w:val="0"/>
                <w:szCs w:val="18"/>
              </w:rPr>
              <w:t>生产批号</w:t>
            </w:r>
          </w:p>
        </w:tc>
      </w:tr>
    </w:tbl>
    <w:p w14:paraId="79A72CA6">
      <w:pPr>
        <w:widowControl/>
        <w:tabs>
          <w:tab w:val="center" w:pos="4201"/>
          <w:tab w:val="right" w:leader="dot" w:pos="9298"/>
        </w:tabs>
        <w:autoSpaceDE w:val="0"/>
        <w:autoSpaceDN w:val="0"/>
        <w:ind w:firstLine="420" w:firstLineChars="200"/>
        <w:jc w:val="left"/>
        <w:rPr>
          <w:rFonts w:hint="eastAsia" w:ascii="宋体" w:hAnsi="宋体"/>
          <w:kern w:val="0"/>
          <w:szCs w:val="20"/>
        </w:rPr>
      </w:pPr>
    </w:p>
    <w:p w14:paraId="1D68D624">
      <w:pPr>
        <w:widowControl/>
        <w:tabs>
          <w:tab w:val="center" w:pos="4201"/>
          <w:tab w:val="right" w:leader="dot" w:pos="9298"/>
        </w:tabs>
        <w:autoSpaceDE w:val="0"/>
        <w:autoSpaceDN w:val="0"/>
        <w:jc w:val="left"/>
        <w:rPr>
          <w:rFonts w:ascii="宋体"/>
          <w:strike/>
          <w:kern w:val="0"/>
          <w:szCs w:val="20"/>
        </w:rPr>
      </w:pPr>
      <w:r>
        <w:rPr>
          <w:rFonts w:hint="eastAsia" w:ascii="宋体" w:hAnsi="宋体"/>
          <w:kern w:val="0"/>
          <w:szCs w:val="20"/>
        </w:rPr>
        <w:t>洗碗机数据应按照表A2记录。</w:t>
      </w:r>
    </w:p>
    <w:p w14:paraId="59EBE40A">
      <w:pPr>
        <w:widowControl/>
        <w:tabs>
          <w:tab w:val="center" w:pos="4201"/>
          <w:tab w:val="right" w:leader="dot" w:pos="9298"/>
        </w:tabs>
        <w:autoSpaceDE w:val="0"/>
        <w:autoSpaceDN w:val="0"/>
        <w:jc w:val="center"/>
        <w:rPr>
          <w:rFonts w:hint="eastAsia" w:ascii="黑体" w:hAnsi="宋体" w:eastAsia="黑体" w:cs="黑体"/>
          <w:kern w:val="0"/>
          <w:szCs w:val="21"/>
        </w:rPr>
      </w:pPr>
      <w:r>
        <w:rPr>
          <w:rFonts w:hint="eastAsia" w:ascii="黑体" w:hAnsi="宋体" w:eastAsia="黑体" w:cs="黑体"/>
          <w:kern w:val="0"/>
          <w:szCs w:val="21"/>
        </w:rPr>
        <w:t>表A</w:t>
      </w:r>
      <w:r>
        <w:rPr>
          <w:rFonts w:ascii="黑体" w:hAnsi="宋体" w:eastAsia="黑体" w:cs="黑体"/>
          <w:kern w:val="0"/>
          <w:szCs w:val="21"/>
        </w:rPr>
        <w:t xml:space="preserve">2 </w:t>
      </w:r>
      <w:r>
        <w:rPr>
          <w:rFonts w:hint="eastAsia" w:ascii="黑体" w:hAnsi="宋体" w:eastAsia="黑体" w:cs="黑体"/>
          <w:kern w:val="0"/>
          <w:szCs w:val="21"/>
        </w:rPr>
        <w:t>洗碗机数据</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2"/>
        <w:gridCol w:w="4672"/>
      </w:tblGrid>
      <w:tr w14:paraId="2819C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49983FFB">
            <w:pPr>
              <w:widowControl/>
              <w:tabs>
                <w:tab w:val="center" w:pos="4201"/>
                <w:tab w:val="right" w:leader="dot" w:pos="9298"/>
              </w:tabs>
              <w:autoSpaceDE w:val="0"/>
              <w:autoSpaceDN w:val="0"/>
              <w:ind w:firstLine="420" w:firstLineChars="200"/>
              <w:jc w:val="center"/>
              <w:rPr>
                <w:rFonts w:hint="eastAsia" w:ascii="宋体" w:hAnsi="宋体"/>
                <w:kern w:val="0"/>
                <w:szCs w:val="18"/>
              </w:rPr>
            </w:pPr>
            <w:r>
              <w:rPr>
                <w:rFonts w:hint="eastAsia" w:ascii="宋体" w:hAnsi="宋体"/>
                <w:kern w:val="0"/>
                <w:szCs w:val="18"/>
              </w:rPr>
              <w:t>制造商/提供者</w:t>
            </w:r>
          </w:p>
        </w:tc>
        <w:tc>
          <w:tcPr>
            <w:tcW w:w="4672" w:type="dxa"/>
            <w:tcBorders>
              <w:top w:val="single" w:color="000000" w:sz="4" w:space="0"/>
              <w:left w:val="single" w:color="000000" w:sz="4" w:space="0"/>
              <w:bottom w:val="single" w:color="000000" w:sz="4" w:space="0"/>
              <w:right w:val="single" w:color="000000" w:sz="4" w:space="0"/>
            </w:tcBorders>
          </w:tcPr>
          <w:p w14:paraId="70DB4CAF">
            <w:pPr>
              <w:widowControl/>
              <w:tabs>
                <w:tab w:val="center" w:pos="4201"/>
                <w:tab w:val="right" w:leader="dot" w:pos="9298"/>
              </w:tabs>
              <w:autoSpaceDE w:val="0"/>
              <w:autoSpaceDN w:val="0"/>
              <w:jc w:val="center"/>
              <w:rPr>
                <w:rFonts w:hint="eastAsia" w:ascii="宋体" w:hAnsi="宋体"/>
                <w:kern w:val="0"/>
                <w:szCs w:val="18"/>
              </w:rPr>
            </w:pPr>
          </w:p>
        </w:tc>
      </w:tr>
      <w:tr w14:paraId="3C8B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7F09090B">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产品名称</w:t>
            </w:r>
          </w:p>
        </w:tc>
        <w:tc>
          <w:tcPr>
            <w:tcW w:w="4672" w:type="dxa"/>
            <w:tcBorders>
              <w:top w:val="single" w:color="000000" w:sz="4" w:space="0"/>
              <w:left w:val="single" w:color="000000" w:sz="4" w:space="0"/>
              <w:bottom w:val="single" w:color="000000" w:sz="4" w:space="0"/>
              <w:right w:val="single" w:color="000000" w:sz="4" w:space="0"/>
            </w:tcBorders>
          </w:tcPr>
          <w:p w14:paraId="18ACE9A1">
            <w:pPr>
              <w:widowControl/>
              <w:tabs>
                <w:tab w:val="center" w:pos="4201"/>
                <w:tab w:val="right" w:leader="dot" w:pos="9298"/>
              </w:tabs>
              <w:autoSpaceDE w:val="0"/>
              <w:autoSpaceDN w:val="0"/>
              <w:jc w:val="center"/>
              <w:rPr>
                <w:rFonts w:hint="eastAsia" w:ascii="宋体" w:hAnsi="宋体"/>
                <w:kern w:val="0"/>
                <w:szCs w:val="18"/>
              </w:rPr>
            </w:pPr>
          </w:p>
        </w:tc>
      </w:tr>
      <w:tr w14:paraId="1B68C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4D89EEF4">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序列号</w:t>
            </w:r>
          </w:p>
        </w:tc>
        <w:tc>
          <w:tcPr>
            <w:tcW w:w="4672" w:type="dxa"/>
            <w:tcBorders>
              <w:top w:val="single" w:color="000000" w:sz="4" w:space="0"/>
              <w:left w:val="single" w:color="000000" w:sz="4" w:space="0"/>
              <w:bottom w:val="single" w:color="000000" w:sz="4" w:space="0"/>
              <w:right w:val="single" w:color="000000" w:sz="4" w:space="0"/>
            </w:tcBorders>
          </w:tcPr>
          <w:p w14:paraId="3FA0EB1F">
            <w:pPr>
              <w:widowControl/>
              <w:tabs>
                <w:tab w:val="center" w:pos="4201"/>
                <w:tab w:val="right" w:leader="dot" w:pos="9298"/>
              </w:tabs>
              <w:autoSpaceDE w:val="0"/>
              <w:autoSpaceDN w:val="0"/>
              <w:jc w:val="center"/>
              <w:rPr>
                <w:rFonts w:hint="eastAsia" w:ascii="宋体" w:hAnsi="宋体"/>
                <w:kern w:val="0"/>
                <w:szCs w:val="18"/>
              </w:rPr>
            </w:pPr>
          </w:p>
        </w:tc>
      </w:tr>
      <w:tr w14:paraId="4F148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1EB358ED">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电源[V，Hz]</w:t>
            </w:r>
          </w:p>
        </w:tc>
        <w:tc>
          <w:tcPr>
            <w:tcW w:w="4672" w:type="dxa"/>
            <w:tcBorders>
              <w:top w:val="single" w:color="000000" w:sz="4" w:space="0"/>
              <w:left w:val="single" w:color="000000" w:sz="4" w:space="0"/>
              <w:bottom w:val="single" w:color="000000" w:sz="4" w:space="0"/>
              <w:right w:val="single" w:color="000000" w:sz="4" w:space="0"/>
            </w:tcBorders>
          </w:tcPr>
          <w:p w14:paraId="616732CB">
            <w:pPr>
              <w:widowControl/>
              <w:tabs>
                <w:tab w:val="center" w:pos="4201"/>
                <w:tab w:val="right" w:leader="dot" w:pos="9298"/>
              </w:tabs>
              <w:autoSpaceDE w:val="0"/>
              <w:autoSpaceDN w:val="0"/>
              <w:jc w:val="center"/>
              <w:rPr>
                <w:rFonts w:hint="eastAsia" w:ascii="宋体" w:hAnsi="宋体"/>
                <w:kern w:val="0"/>
                <w:szCs w:val="18"/>
              </w:rPr>
            </w:pPr>
          </w:p>
        </w:tc>
      </w:tr>
      <w:tr w14:paraId="4A9A7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61793797">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Pmax [kW]</w:t>
            </w:r>
          </w:p>
        </w:tc>
        <w:tc>
          <w:tcPr>
            <w:tcW w:w="4672" w:type="dxa"/>
            <w:tcBorders>
              <w:top w:val="single" w:color="000000" w:sz="4" w:space="0"/>
              <w:left w:val="single" w:color="000000" w:sz="4" w:space="0"/>
              <w:bottom w:val="single" w:color="000000" w:sz="4" w:space="0"/>
              <w:right w:val="single" w:color="000000" w:sz="4" w:space="0"/>
            </w:tcBorders>
          </w:tcPr>
          <w:p w14:paraId="02567A32">
            <w:pPr>
              <w:widowControl/>
              <w:tabs>
                <w:tab w:val="center" w:pos="4201"/>
                <w:tab w:val="right" w:leader="dot" w:pos="9298"/>
              </w:tabs>
              <w:autoSpaceDE w:val="0"/>
              <w:autoSpaceDN w:val="0"/>
              <w:jc w:val="center"/>
              <w:rPr>
                <w:rFonts w:hint="eastAsia" w:ascii="宋体" w:hAnsi="宋体"/>
                <w:kern w:val="0"/>
                <w:szCs w:val="18"/>
              </w:rPr>
            </w:pPr>
          </w:p>
        </w:tc>
      </w:tr>
      <w:tr w14:paraId="22A9F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22EA3113">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Imax [A]</w:t>
            </w:r>
          </w:p>
        </w:tc>
        <w:tc>
          <w:tcPr>
            <w:tcW w:w="4672" w:type="dxa"/>
            <w:tcBorders>
              <w:top w:val="single" w:color="000000" w:sz="4" w:space="0"/>
              <w:left w:val="single" w:color="000000" w:sz="4" w:space="0"/>
              <w:bottom w:val="single" w:color="000000" w:sz="4" w:space="0"/>
              <w:right w:val="single" w:color="000000" w:sz="4" w:space="0"/>
            </w:tcBorders>
          </w:tcPr>
          <w:p w14:paraId="0D697B40">
            <w:pPr>
              <w:widowControl/>
              <w:tabs>
                <w:tab w:val="center" w:pos="4201"/>
                <w:tab w:val="right" w:leader="dot" w:pos="9298"/>
              </w:tabs>
              <w:autoSpaceDE w:val="0"/>
              <w:autoSpaceDN w:val="0"/>
              <w:jc w:val="center"/>
              <w:rPr>
                <w:rFonts w:hint="eastAsia" w:ascii="宋体" w:hAnsi="宋体"/>
                <w:kern w:val="0"/>
                <w:szCs w:val="18"/>
              </w:rPr>
            </w:pPr>
          </w:p>
        </w:tc>
      </w:tr>
      <w:tr w14:paraId="1EE89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6D3A4D9C">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使用程序</w:t>
            </w:r>
          </w:p>
        </w:tc>
        <w:tc>
          <w:tcPr>
            <w:tcW w:w="4672" w:type="dxa"/>
            <w:tcBorders>
              <w:top w:val="single" w:color="000000" w:sz="4" w:space="0"/>
              <w:left w:val="single" w:color="000000" w:sz="4" w:space="0"/>
              <w:bottom w:val="single" w:color="000000" w:sz="4" w:space="0"/>
              <w:right w:val="single" w:color="000000" w:sz="4" w:space="0"/>
            </w:tcBorders>
          </w:tcPr>
          <w:p w14:paraId="70C05E24">
            <w:pPr>
              <w:widowControl/>
              <w:tabs>
                <w:tab w:val="center" w:pos="4201"/>
                <w:tab w:val="right" w:leader="dot" w:pos="9298"/>
              </w:tabs>
              <w:autoSpaceDE w:val="0"/>
              <w:autoSpaceDN w:val="0"/>
              <w:jc w:val="center"/>
              <w:rPr>
                <w:rFonts w:hint="eastAsia" w:ascii="宋体" w:hAnsi="宋体"/>
                <w:kern w:val="0"/>
                <w:szCs w:val="18"/>
              </w:rPr>
            </w:pPr>
          </w:p>
        </w:tc>
      </w:tr>
      <w:tr w14:paraId="259D2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5B031197">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制造商水箱温度设定</w:t>
            </w:r>
          </w:p>
        </w:tc>
        <w:tc>
          <w:tcPr>
            <w:tcW w:w="4672" w:type="dxa"/>
            <w:tcBorders>
              <w:top w:val="single" w:color="000000" w:sz="4" w:space="0"/>
              <w:left w:val="single" w:color="000000" w:sz="4" w:space="0"/>
              <w:bottom w:val="single" w:color="000000" w:sz="4" w:space="0"/>
              <w:right w:val="single" w:color="000000" w:sz="4" w:space="0"/>
            </w:tcBorders>
          </w:tcPr>
          <w:p w14:paraId="1FC6B868">
            <w:pPr>
              <w:widowControl/>
              <w:tabs>
                <w:tab w:val="center" w:pos="4201"/>
                <w:tab w:val="right" w:leader="dot" w:pos="9298"/>
              </w:tabs>
              <w:autoSpaceDE w:val="0"/>
              <w:autoSpaceDN w:val="0"/>
              <w:jc w:val="center"/>
              <w:rPr>
                <w:rFonts w:hint="eastAsia" w:ascii="宋体" w:hAnsi="宋体"/>
                <w:kern w:val="0"/>
                <w:szCs w:val="18"/>
              </w:rPr>
            </w:pPr>
          </w:p>
        </w:tc>
      </w:tr>
      <w:tr w14:paraId="4457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19C0DF41">
            <w:pPr>
              <w:widowControl/>
              <w:tabs>
                <w:tab w:val="center" w:pos="4201"/>
                <w:tab w:val="right" w:leader="dot" w:pos="9298"/>
              </w:tabs>
              <w:autoSpaceDE w:val="0"/>
              <w:autoSpaceDN w:val="0"/>
              <w:ind w:firstLine="1050" w:firstLineChars="500"/>
              <w:rPr>
                <w:rFonts w:hint="eastAsia" w:ascii="宋体" w:hAnsi="宋体"/>
                <w:kern w:val="0"/>
                <w:szCs w:val="18"/>
              </w:rPr>
            </w:pPr>
            <w:r>
              <w:rPr>
                <w:rFonts w:hint="eastAsia" w:ascii="宋体" w:hAnsi="宋体"/>
                <w:kern w:val="0"/>
                <w:szCs w:val="18"/>
              </w:rPr>
              <w:t>制造商加热器温度设定</w:t>
            </w:r>
          </w:p>
        </w:tc>
        <w:tc>
          <w:tcPr>
            <w:tcW w:w="4672" w:type="dxa"/>
            <w:tcBorders>
              <w:top w:val="single" w:color="000000" w:sz="4" w:space="0"/>
              <w:left w:val="single" w:color="000000" w:sz="4" w:space="0"/>
              <w:bottom w:val="single" w:color="000000" w:sz="4" w:space="0"/>
              <w:right w:val="single" w:color="000000" w:sz="4" w:space="0"/>
            </w:tcBorders>
          </w:tcPr>
          <w:p w14:paraId="17416F4C">
            <w:pPr>
              <w:widowControl/>
              <w:tabs>
                <w:tab w:val="center" w:pos="4201"/>
                <w:tab w:val="right" w:leader="dot" w:pos="9298"/>
              </w:tabs>
              <w:autoSpaceDE w:val="0"/>
              <w:autoSpaceDN w:val="0"/>
              <w:jc w:val="center"/>
              <w:rPr>
                <w:rFonts w:hint="eastAsia" w:ascii="宋体" w:hAnsi="宋体"/>
                <w:kern w:val="0"/>
                <w:szCs w:val="18"/>
              </w:rPr>
            </w:pPr>
          </w:p>
        </w:tc>
      </w:tr>
      <w:tr w14:paraId="00A37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697C34EE">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特点</w:t>
            </w:r>
          </w:p>
        </w:tc>
        <w:tc>
          <w:tcPr>
            <w:tcW w:w="4672" w:type="dxa"/>
            <w:tcBorders>
              <w:top w:val="single" w:color="000000" w:sz="4" w:space="0"/>
              <w:left w:val="single" w:color="000000" w:sz="4" w:space="0"/>
              <w:bottom w:val="single" w:color="000000" w:sz="4" w:space="0"/>
              <w:right w:val="single" w:color="000000" w:sz="4" w:space="0"/>
            </w:tcBorders>
          </w:tcPr>
          <w:p w14:paraId="5D076B12">
            <w:pPr>
              <w:widowControl/>
              <w:tabs>
                <w:tab w:val="center" w:pos="4201"/>
                <w:tab w:val="right" w:leader="dot" w:pos="9298"/>
              </w:tabs>
              <w:autoSpaceDE w:val="0"/>
              <w:autoSpaceDN w:val="0"/>
              <w:jc w:val="center"/>
              <w:rPr>
                <w:rFonts w:hint="eastAsia" w:ascii="宋体" w:hAnsi="宋体"/>
                <w:kern w:val="0"/>
                <w:szCs w:val="18"/>
              </w:rPr>
            </w:pPr>
          </w:p>
        </w:tc>
      </w:tr>
      <w:tr w14:paraId="6BB69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1B46984A">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清洁剂溶液浓度[g/L]</w:t>
            </w:r>
          </w:p>
        </w:tc>
        <w:tc>
          <w:tcPr>
            <w:tcW w:w="4672" w:type="dxa"/>
            <w:tcBorders>
              <w:top w:val="single" w:color="000000" w:sz="4" w:space="0"/>
              <w:left w:val="single" w:color="000000" w:sz="4" w:space="0"/>
              <w:bottom w:val="single" w:color="000000" w:sz="4" w:space="0"/>
              <w:right w:val="single" w:color="000000" w:sz="4" w:space="0"/>
            </w:tcBorders>
          </w:tcPr>
          <w:p w14:paraId="7E4D049B">
            <w:pPr>
              <w:widowControl/>
              <w:tabs>
                <w:tab w:val="center" w:pos="4201"/>
                <w:tab w:val="right" w:leader="dot" w:pos="9298"/>
              </w:tabs>
              <w:autoSpaceDE w:val="0"/>
              <w:autoSpaceDN w:val="0"/>
              <w:jc w:val="center"/>
              <w:rPr>
                <w:rFonts w:hint="eastAsia" w:ascii="宋体" w:hAnsi="宋体"/>
                <w:kern w:val="0"/>
                <w:szCs w:val="18"/>
              </w:rPr>
            </w:pPr>
          </w:p>
        </w:tc>
      </w:tr>
      <w:tr w14:paraId="0AE7A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2" w:type="dxa"/>
            <w:tcBorders>
              <w:top w:val="single" w:color="000000" w:sz="4" w:space="0"/>
              <w:left w:val="single" w:color="000000" w:sz="4" w:space="0"/>
              <w:bottom w:val="single" w:color="000000" w:sz="4" w:space="0"/>
              <w:right w:val="single" w:color="000000" w:sz="4" w:space="0"/>
            </w:tcBorders>
          </w:tcPr>
          <w:p w14:paraId="57A6F803">
            <w:pPr>
              <w:widowControl/>
              <w:tabs>
                <w:tab w:val="center" w:pos="4201"/>
                <w:tab w:val="right" w:leader="dot" w:pos="9298"/>
              </w:tabs>
              <w:autoSpaceDE w:val="0"/>
              <w:autoSpaceDN w:val="0"/>
              <w:jc w:val="center"/>
              <w:rPr>
                <w:rFonts w:hint="eastAsia" w:ascii="宋体" w:hAnsi="宋体"/>
                <w:kern w:val="0"/>
                <w:szCs w:val="18"/>
              </w:rPr>
            </w:pPr>
            <w:r>
              <w:rPr>
                <w:rFonts w:hint="eastAsia" w:ascii="宋体" w:hAnsi="宋体"/>
                <w:kern w:val="0"/>
                <w:szCs w:val="18"/>
              </w:rPr>
              <w:t>漂洗剂溶液浓度[g/L]</w:t>
            </w:r>
          </w:p>
        </w:tc>
        <w:tc>
          <w:tcPr>
            <w:tcW w:w="4672" w:type="dxa"/>
            <w:tcBorders>
              <w:top w:val="single" w:color="000000" w:sz="4" w:space="0"/>
              <w:left w:val="single" w:color="000000" w:sz="4" w:space="0"/>
              <w:bottom w:val="single" w:color="000000" w:sz="4" w:space="0"/>
              <w:right w:val="single" w:color="000000" w:sz="4" w:space="0"/>
            </w:tcBorders>
          </w:tcPr>
          <w:p w14:paraId="3B857BB5">
            <w:pPr>
              <w:widowControl/>
              <w:tabs>
                <w:tab w:val="center" w:pos="4201"/>
                <w:tab w:val="right" w:leader="dot" w:pos="9298"/>
              </w:tabs>
              <w:autoSpaceDE w:val="0"/>
              <w:autoSpaceDN w:val="0"/>
              <w:jc w:val="center"/>
              <w:rPr>
                <w:rFonts w:hint="eastAsia" w:ascii="宋体" w:hAnsi="宋体"/>
                <w:kern w:val="0"/>
                <w:szCs w:val="18"/>
              </w:rPr>
            </w:pPr>
          </w:p>
        </w:tc>
      </w:tr>
    </w:tbl>
    <w:p w14:paraId="74444080">
      <w:pPr>
        <w:widowControl/>
        <w:tabs>
          <w:tab w:val="center" w:pos="4201"/>
          <w:tab w:val="right" w:leader="dot" w:pos="9298"/>
        </w:tabs>
        <w:autoSpaceDE w:val="0"/>
        <w:autoSpaceDN w:val="0"/>
        <w:jc w:val="center"/>
        <w:rPr>
          <w:rFonts w:ascii="宋体"/>
          <w:kern w:val="0"/>
          <w:szCs w:val="20"/>
        </w:rPr>
      </w:pPr>
    </w:p>
    <w:p w14:paraId="71489208">
      <w:pPr>
        <w:widowControl/>
        <w:tabs>
          <w:tab w:val="center" w:pos="4201"/>
          <w:tab w:val="right" w:leader="dot" w:pos="9298"/>
        </w:tabs>
        <w:autoSpaceDE w:val="0"/>
        <w:autoSpaceDN w:val="0"/>
        <w:jc w:val="center"/>
        <w:rPr>
          <w:rFonts w:ascii="宋体"/>
          <w:kern w:val="0"/>
          <w:szCs w:val="20"/>
        </w:rPr>
      </w:pPr>
    </w:p>
    <w:p w14:paraId="0817285B">
      <w:pPr>
        <w:kinsoku w:val="0"/>
        <w:overflowPunct w:val="0"/>
        <w:autoSpaceDE w:val="0"/>
        <w:autoSpaceDN w:val="0"/>
        <w:adjustRightInd w:val="0"/>
        <w:spacing w:line="239" w:lineRule="exact"/>
        <w:ind w:left="40"/>
        <w:jc w:val="left"/>
        <w:rPr>
          <w:rFonts w:ascii="黑体" w:eastAsia="黑体" w:cs="黑体"/>
          <w:kern w:val="0"/>
          <w:szCs w:val="21"/>
        </w:rPr>
      </w:pPr>
      <w:bookmarkStart w:id="32" w:name="8.2_洗净性能计算评估表"/>
      <w:bookmarkEnd w:id="32"/>
      <w:r>
        <w:rPr>
          <w:rFonts w:hint="eastAsia" w:ascii="黑体" w:eastAsia="黑体" w:cs="黑体"/>
          <w:kern w:val="0"/>
          <w:szCs w:val="21"/>
        </w:rPr>
        <w:t>A.4.2 洗净性能计算评估表</w:t>
      </w:r>
    </w:p>
    <w:p w14:paraId="7B73F0D0">
      <w:pPr>
        <w:kinsoku w:val="0"/>
        <w:overflowPunct w:val="0"/>
        <w:autoSpaceDE w:val="0"/>
        <w:autoSpaceDN w:val="0"/>
        <w:adjustRightInd w:val="0"/>
        <w:ind w:left="40" w:firstLine="412" w:firstLineChars="200"/>
        <w:jc w:val="left"/>
        <w:rPr>
          <w:rFonts w:ascii="宋体" w:cs="宋体"/>
          <w:spacing w:val="-2"/>
          <w:kern w:val="0"/>
          <w:szCs w:val="21"/>
        </w:rPr>
      </w:pPr>
    </w:p>
    <w:p w14:paraId="29EA5FE3">
      <w:pPr>
        <w:kinsoku w:val="0"/>
        <w:overflowPunct w:val="0"/>
        <w:autoSpaceDE w:val="0"/>
        <w:autoSpaceDN w:val="0"/>
        <w:adjustRightInd w:val="0"/>
        <w:jc w:val="left"/>
        <w:rPr>
          <w:rFonts w:ascii="宋体" w:cs="宋体"/>
          <w:spacing w:val="-2"/>
          <w:kern w:val="0"/>
          <w:szCs w:val="21"/>
        </w:rPr>
      </w:pPr>
      <w:r>
        <w:rPr>
          <w:rFonts w:hint="eastAsia" w:ascii="宋体" w:cs="宋体"/>
          <w:spacing w:val="-2"/>
          <w:kern w:val="0"/>
          <w:szCs w:val="21"/>
        </w:rPr>
        <w:t>在洗净性能评估过程中，应根据表A</w:t>
      </w:r>
      <w:r>
        <w:rPr>
          <w:rFonts w:hint="eastAsia"/>
          <w:spacing w:val="-2"/>
          <w:kern w:val="0"/>
          <w:szCs w:val="21"/>
        </w:rPr>
        <w:t>3</w:t>
      </w:r>
      <w:r>
        <w:rPr>
          <w:rFonts w:hint="eastAsia" w:ascii="宋体" w:cs="宋体"/>
          <w:spacing w:val="-2"/>
          <w:kern w:val="0"/>
          <w:szCs w:val="21"/>
        </w:rPr>
        <w:t>记录数据。</w:t>
      </w:r>
    </w:p>
    <w:p w14:paraId="1F6D58EA">
      <w:pPr>
        <w:kinsoku w:val="0"/>
        <w:overflowPunct w:val="0"/>
        <w:autoSpaceDE w:val="0"/>
        <w:autoSpaceDN w:val="0"/>
        <w:adjustRightInd w:val="0"/>
        <w:ind w:left="40"/>
        <w:jc w:val="center"/>
        <w:rPr>
          <w:rFonts w:ascii="宋体" w:cs="宋体"/>
          <w:b/>
          <w:bCs/>
          <w:spacing w:val="-2"/>
          <w:kern w:val="0"/>
          <w:szCs w:val="21"/>
        </w:rPr>
      </w:pPr>
      <w:r>
        <w:rPr>
          <w:rFonts w:hint="eastAsia" w:ascii="宋体" w:cs="宋体"/>
          <w:b/>
          <w:bCs/>
          <w:spacing w:val="-2"/>
          <w:kern w:val="0"/>
          <w:szCs w:val="21"/>
        </w:rPr>
        <w:t>表A3 评估表</w:t>
      </w:r>
    </w:p>
    <w:tbl>
      <w:tblPr>
        <w:tblStyle w:val="32"/>
        <w:tblW w:w="0" w:type="auto"/>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9"/>
        <w:gridCol w:w="1330"/>
        <w:gridCol w:w="1329"/>
        <w:gridCol w:w="1329"/>
        <w:gridCol w:w="1329"/>
        <w:gridCol w:w="1329"/>
        <w:gridCol w:w="1329"/>
      </w:tblGrid>
      <w:tr w14:paraId="7D149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9" w:type="dxa"/>
            <w:gridSpan w:val="2"/>
            <w:tcBorders>
              <w:top w:val="single" w:color="000000" w:sz="4" w:space="0"/>
              <w:left w:val="single" w:color="000000" w:sz="4" w:space="0"/>
              <w:bottom w:val="single" w:color="000000" w:sz="4" w:space="0"/>
              <w:right w:val="single" w:color="000000" w:sz="4" w:space="0"/>
            </w:tcBorders>
          </w:tcPr>
          <w:p w14:paraId="40F8CD7E">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3F0355D">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碗篮1</w:t>
            </w:r>
          </w:p>
        </w:tc>
        <w:tc>
          <w:tcPr>
            <w:tcW w:w="1329" w:type="dxa"/>
            <w:tcBorders>
              <w:top w:val="single" w:color="000000" w:sz="4" w:space="0"/>
              <w:left w:val="single" w:color="000000" w:sz="4" w:space="0"/>
              <w:bottom w:val="single" w:color="000000" w:sz="4" w:space="0"/>
              <w:right w:val="single" w:color="000000" w:sz="4" w:space="0"/>
            </w:tcBorders>
          </w:tcPr>
          <w:p w14:paraId="513BFB6A">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碗篮2</w:t>
            </w:r>
          </w:p>
        </w:tc>
        <w:tc>
          <w:tcPr>
            <w:tcW w:w="1329" w:type="dxa"/>
            <w:tcBorders>
              <w:top w:val="single" w:color="000000" w:sz="4" w:space="0"/>
              <w:left w:val="single" w:color="000000" w:sz="4" w:space="0"/>
              <w:bottom w:val="single" w:color="000000" w:sz="4" w:space="0"/>
              <w:right w:val="single" w:color="000000" w:sz="4" w:space="0"/>
            </w:tcBorders>
          </w:tcPr>
          <w:p w14:paraId="0528E80E">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碗篮3</w:t>
            </w:r>
          </w:p>
        </w:tc>
        <w:tc>
          <w:tcPr>
            <w:tcW w:w="1329" w:type="dxa"/>
            <w:tcBorders>
              <w:top w:val="single" w:color="000000" w:sz="4" w:space="0"/>
              <w:left w:val="single" w:color="000000" w:sz="4" w:space="0"/>
              <w:bottom w:val="single" w:color="000000" w:sz="4" w:space="0"/>
              <w:right w:val="single" w:color="000000" w:sz="4" w:space="0"/>
            </w:tcBorders>
          </w:tcPr>
          <w:p w14:paraId="0D5B0CB3">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碗篮4</w:t>
            </w:r>
          </w:p>
        </w:tc>
        <w:tc>
          <w:tcPr>
            <w:tcW w:w="1329" w:type="dxa"/>
            <w:tcBorders>
              <w:top w:val="single" w:color="000000" w:sz="4" w:space="0"/>
              <w:left w:val="single" w:color="000000" w:sz="4" w:space="0"/>
              <w:bottom w:val="single" w:color="000000" w:sz="4" w:space="0"/>
              <w:right w:val="single" w:color="000000" w:sz="4" w:space="0"/>
            </w:tcBorders>
          </w:tcPr>
          <w:p w14:paraId="7902D78F">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碗篮5</w:t>
            </w:r>
          </w:p>
        </w:tc>
      </w:tr>
      <w:tr w14:paraId="2782A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9" w:type="dxa"/>
            <w:gridSpan w:val="2"/>
            <w:tcBorders>
              <w:top w:val="single" w:color="000000" w:sz="4" w:space="0"/>
              <w:left w:val="single" w:color="000000" w:sz="4" w:space="0"/>
              <w:bottom w:val="single" w:color="000000" w:sz="4" w:space="0"/>
              <w:right w:val="single" w:color="000000" w:sz="4" w:space="0"/>
            </w:tcBorders>
          </w:tcPr>
          <w:p w14:paraId="19683D20">
            <w:pPr>
              <w:kinsoku w:val="0"/>
              <w:overflowPunct w:val="0"/>
              <w:autoSpaceDE w:val="0"/>
              <w:autoSpaceDN w:val="0"/>
              <w:adjustRightInd w:val="0"/>
              <w:jc w:val="center"/>
              <w:rPr>
                <w:rFonts w:ascii="宋体" w:cs="宋体"/>
                <w:spacing w:val="-2"/>
                <w:kern w:val="0"/>
                <w:szCs w:val="21"/>
              </w:rPr>
            </w:pPr>
            <w:bookmarkStart w:id="33" w:name="_Hlk162437170"/>
            <w:r>
              <w:rPr>
                <w:rFonts w:hint="eastAsia" w:ascii="宋体" w:cs="宋体"/>
                <w:spacing w:val="-2"/>
                <w:kern w:val="0"/>
                <w:szCs w:val="21"/>
              </w:rPr>
              <w:t>盘子表面</w:t>
            </w:r>
          </w:p>
        </w:tc>
        <w:tc>
          <w:tcPr>
            <w:tcW w:w="1329" w:type="dxa"/>
            <w:tcBorders>
              <w:top w:val="single" w:color="000000" w:sz="4" w:space="0"/>
              <w:left w:val="single" w:color="000000" w:sz="4" w:space="0"/>
              <w:bottom w:val="single" w:color="000000" w:sz="4" w:space="0"/>
              <w:right w:val="single" w:color="000000" w:sz="4" w:space="0"/>
            </w:tcBorders>
          </w:tcPr>
          <w:p w14:paraId="4EFDB297">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正面</w:t>
            </w:r>
          </w:p>
        </w:tc>
        <w:tc>
          <w:tcPr>
            <w:tcW w:w="1329" w:type="dxa"/>
            <w:tcBorders>
              <w:top w:val="single" w:color="000000" w:sz="4" w:space="0"/>
              <w:left w:val="single" w:color="000000" w:sz="4" w:space="0"/>
              <w:bottom w:val="single" w:color="000000" w:sz="4" w:space="0"/>
              <w:right w:val="single" w:color="000000" w:sz="4" w:space="0"/>
            </w:tcBorders>
          </w:tcPr>
          <w:p w14:paraId="75B92D02">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正面</w:t>
            </w:r>
          </w:p>
        </w:tc>
        <w:tc>
          <w:tcPr>
            <w:tcW w:w="1329" w:type="dxa"/>
            <w:tcBorders>
              <w:top w:val="single" w:color="000000" w:sz="4" w:space="0"/>
              <w:left w:val="single" w:color="000000" w:sz="4" w:space="0"/>
              <w:bottom w:val="single" w:color="000000" w:sz="4" w:space="0"/>
              <w:right w:val="single" w:color="000000" w:sz="4" w:space="0"/>
            </w:tcBorders>
          </w:tcPr>
          <w:p w14:paraId="5C00A3FB">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正面</w:t>
            </w:r>
          </w:p>
        </w:tc>
        <w:tc>
          <w:tcPr>
            <w:tcW w:w="1329" w:type="dxa"/>
            <w:tcBorders>
              <w:top w:val="single" w:color="000000" w:sz="4" w:space="0"/>
              <w:left w:val="single" w:color="000000" w:sz="4" w:space="0"/>
              <w:bottom w:val="single" w:color="000000" w:sz="4" w:space="0"/>
              <w:right w:val="single" w:color="000000" w:sz="4" w:space="0"/>
            </w:tcBorders>
          </w:tcPr>
          <w:p w14:paraId="1F9FB093">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正面</w:t>
            </w:r>
          </w:p>
        </w:tc>
        <w:tc>
          <w:tcPr>
            <w:tcW w:w="1329" w:type="dxa"/>
            <w:tcBorders>
              <w:top w:val="single" w:color="000000" w:sz="4" w:space="0"/>
              <w:left w:val="single" w:color="000000" w:sz="4" w:space="0"/>
              <w:bottom w:val="single" w:color="000000" w:sz="4" w:space="0"/>
              <w:right w:val="single" w:color="000000" w:sz="4" w:space="0"/>
            </w:tcBorders>
          </w:tcPr>
          <w:p w14:paraId="4C45A974">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正面</w:t>
            </w:r>
          </w:p>
        </w:tc>
      </w:tr>
      <w:tr w14:paraId="065D0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9" w:type="dxa"/>
            <w:gridSpan w:val="2"/>
            <w:tcBorders>
              <w:top w:val="single" w:color="000000" w:sz="4" w:space="0"/>
              <w:left w:val="single" w:color="000000" w:sz="4" w:space="0"/>
              <w:bottom w:val="single" w:color="000000" w:sz="4" w:space="0"/>
              <w:right w:val="single" w:color="000000" w:sz="4" w:space="0"/>
            </w:tcBorders>
          </w:tcPr>
          <w:p w14:paraId="5B54F89C">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数量</w:t>
            </w:r>
          </w:p>
        </w:tc>
        <w:tc>
          <w:tcPr>
            <w:tcW w:w="1329" w:type="dxa"/>
            <w:tcBorders>
              <w:top w:val="single" w:color="000000" w:sz="4" w:space="0"/>
              <w:left w:val="single" w:color="000000" w:sz="4" w:space="0"/>
              <w:bottom w:val="single" w:color="000000" w:sz="4" w:space="0"/>
              <w:right w:val="single" w:color="000000" w:sz="4" w:space="0"/>
            </w:tcBorders>
          </w:tcPr>
          <w:p w14:paraId="65D26624">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残留污点</w:t>
            </w:r>
          </w:p>
        </w:tc>
        <w:tc>
          <w:tcPr>
            <w:tcW w:w="1329" w:type="dxa"/>
            <w:tcBorders>
              <w:top w:val="single" w:color="000000" w:sz="4" w:space="0"/>
              <w:left w:val="single" w:color="000000" w:sz="4" w:space="0"/>
              <w:bottom w:val="single" w:color="000000" w:sz="4" w:space="0"/>
              <w:right w:val="single" w:color="000000" w:sz="4" w:space="0"/>
            </w:tcBorders>
          </w:tcPr>
          <w:p w14:paraId="53A55B61">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残留污点</w:t>
            </w:r>
          </w:p>
        </w:tc>
        <w:tc>
          <w:tcPr>
            <w:tcW w:w="1329" w:type="dxa"/>
            <w:tcBorders>
              <w:top w:val="single" w:color="000000" w:sz="4" w:space="0"/>
              <w:left w:val="single" w:color="000000" w:sz="4" w:space="0"/>
              <w:bottom w:val="single" w:color="000000" w:sz="4" w:space="0"/>
              <w:right w:val="single" w:color="000000" w:sz="4" w:space="0"/>
            </w:tcBorders>
          </w:tcPr>
          <w:p w14:paraId="09AF6C16">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残留污点</w:t>
            </w:r>
          </w:p>
        </w:tc>
        <w:tc>
          <w:tcPr>
            <w:tcW w:w="1329" w:type="dxa"/>
            <w:tcBorders>
              <w:top w:val="single" w:color="000000" w:sz="4" w:space="0"/>
              <w:left w:val="single" w:color="000000" w:sz="4" w:space="0"/>
              <w:bottom w:val="single" w:color="000000" w:sz="4" w:space="0"/>
              <w:right w:val="single" w:color="000000" w:sz="4" w:space="0"/>
            </w:tcBorders>
          </w:tcPr>
          <w:p w14:paraId="29D24549">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残留污点</w:t>
            </w:r>
          </w:p>
        </w:tc>
        <w:tc>
          <w:tcPr>
            <w:tcW w:w="1329" w:type="dxa"/>
            <w:tcBorders>
              <w:top w:val="single" w:color="000000" w:sz="4" w:space="0"/>
              <w:left w:val="single" w:color="000000" w:sz="4" w:space="0"/>
              <w:bottom w:val="single" w:color="000000" w:sz="4" w:space="0"/>
              <w:right w:val="single" w:color="000000" w:sz="4" w:space="0"/>
            </w:tcBorders>
          </w:tcPr>
          <w:p w14:paraId="02B8CB54">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残留污点</w:t>
            </w:r>
          </w:p>
          <w:bookmarkEnd w:id="33"/>
        </w:tc>
      </w:tr>
      <w:tr w14:paraId="0B7CF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39B32F82">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w:t>
            </w:r>
          </w:p>
        </w:tc>
        <w:tc>
          <w:tcPr>
            <w:tcW w:w="1330" w:type="dxa"/>
            <w:tcBorders>
              <w:top w:val="single" w:color="000000" w:sz="4" w:space="0"/>
              <w:left w:val="single" w:color="000000" w:sz="4" w:space="0"/>
              <w:bottom w:val="single" w:color="000000" w:sz="4" w:space="0"/>
              <w:right w:val="single" w:color="000000" w:sz="4" w:space="0"/>
            </w:tcBorders>
          </w:tcPr>
          <w:p w14:paraId="2A32700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BFF7C2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349C67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04ECFC5">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A856F9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C15CD98">
            <w:pPr>
              <w:kinsoku w:val="0"/>
              <w:overflowPunct w:val="0"/>
              <w:autoSpaceDE w:val="0"/>
              <w:autoSpaceDN w:val="0"/>
              <w:adjustRightInd w:val="0"/>
              <w:jc w:val="center"/>
              <w:rPr>
                <w:rFonts w:ascii="宋体" w:cs="宋体"/>
                <w:spacing w:val="-2"/>
                <w:kern w:val="0"/>
                <w:szCs w:val="21"/>
              </w:rPr>
            </w:pPr>
          </w:p>
        </w:tc>
      </w:tr>
      <w:tr w14:paraId="1CD32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56C9083">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2</w:t>
            </w:r>
          </w:p>
        </w:tc>
        <w:tc>
          <w:tcPr>
            <w:tcW w:w="1330" w:type="dxa"/>
            <w:tcBorders>
              <w:top w:val="single" w:color="000000" w:sz="4" w:space="0"/>
              <w:left w:val="single" w:color="000000" w:sz="4" w:space="0"/>
              <w:bottom w:val="single" w:color="000000" w:sz="4" w:space="0"/>
              <w:right w:val="single" w:color="000000" w:sz="4" w:space="0"/>
            </w:tcBorders>
          </w:tcPr>
          <w:p w14:paraId="40F0E60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4B57EB8">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1CB536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04C5CB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C8E4D93">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A42B97F">
            <w:pPr>
              <w:kinsoku w:val="0"/>
              <w:overflowPunct w:val="0"/>
              <w:autoSpaceDE w:val="0"/>
              <w:autoSpaceDN w:val="0"/>
              <w:adjustRightInd w:val="0"/>
              <w:jc w:val="center"/>
              <w:rPr>
                <w:rFonts w:ascii="宋体" w:cs="宋体"/>
                <w:spacing w:val="-2"/>
                <w:kern w:val="0"/>
                <w:szCs w:val="21"/>
              </w:rPr>
            </w:pPr>
          </w:p>
        </w:tc>
      </w:tr>
      <w:tr w14:paraId="31B3E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6B80EB55">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3</w:t>
            </w:r>
          </w:p>
        </w:tc>
        <w:tc>
          <w:tcPr>
            <w:tcW w:w="1330" w:type="dxa"/>
            <w:tcBorders>
              <w:top w:val="single" w:color="000000" w:sz="4" w:space="0"/>
              <w:left w:val="single" w:color="000000" w:sz="4" w:space="0"/>
              <w:bottom w:val="single" w:color="000000" w:sz="4" w:space="0"/>
              <w:right w:val="single" w:color="000000" w:sz="4" w:space="0"/>
            </w:tcBorders>
          </w:tcPr>
          <w:p w14:paraId="4BD1063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CE7C92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31C3229">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BBD1EB1">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14F574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BD4E722">
            <w:pPr>
              <w:kinsoku w:val="0"/>
              <w:overflowPunct w:val="0"/>
              <w:autoSpaceDE w:val="0"/>
              <w:autoSpaceDN w:val="0"/>
              <w:adjustRightInd w:val="0"/>
              <w:jc w:val="center"/>
              <w:rPr>
                <w:rFonts w:ascii="宋体" w:cs="宋体"/>
                <w:spacing w:val="-2"/>
                <w:kern w:val="0"/>
                <w:szCs w:val="21"/>
              </w:rPr>
            </w:pPr>
          </w:p>
        </w:tc>
      </w:tr>
      <w:tr w14:paraId="4E293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E7578E3">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4</w:t>
            </w:r>
          </w:p>
        </w:tc>
        <w:tc>
          <w:tcPr>
            <w:tcW w:w="1330" w:type="dxa"/>
            <w:tcBorders>
              <w:top w:val="single" w:color="000000" w:sz="4" w:space="0"/>
              <w:left w:val="single" w:color="000000" w:sz="4" w:space="0"/>
              <w:bottom w:val="single" w:color="000000" w:sz="4" w:space="0"/>
              <w:right w:val="single" w:color="000000" w:sz="4" w:space="0"/>
            </w:tcBorders>
          </w:tcPr>
          <w:p w14:paraId="5BAB755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BC101B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66AA58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45D687E">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E7E569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FCC5D6F">
            <w:pPr>
              <w:kinsoku w:val="0"/>
              <w:overflowPunct w:val="0"/>
              <w:autoSpaceDE w:val="0"/>
              <w:autoSpaceDN w:val="0"/>
              <w:adjustRightInd w:val="0"/>
              <w:jc w:val="center"/>
              <w:rPr>
                <w:rFonts w:ascii="宋体" w:cs="宋体"/>
                <w:spacing w:val="-2"/>
                <w:kern w:val="0"/>
                <w:szCs w:val="21"/>
              </w:rPr>
            </w:pPr>
          </w:p>
        </w:tc>
      </w:tr>
      <w:tr w14:paraId="0E215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1DB72BCE">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5</w:t>
            </w:r>
          </w:p>
        </w:tc>
        <w:tc>
          <w:tcPr>
            <w:tcW w:w="1330" w:type="dxa"/>
            <w:tcBorders>
              <w:top w:val="single" w:color="000000" w:sz="4" w:space="0"/>
              <w:left w:val="single" w:color="000000" w:sz="4" w:space="0"/>
              <w:bottom w:val="single" w:color="000000" w:sz="4" w:space="0"/>
              <w:right w:val="single" w:color="000000" w:sz="4" w:space="0"/>
            </w:tcBorders>
          </w:tcPr>
          <w:p w14:paraId="1718501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AC6069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9F755C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0A1757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D2585A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385C69E">
            <w:pPr>
              <w:kinsoku w:val="0"/>
              <w:overflowPunct w:val="0"/>
              <w:autoSpaceDE w:val="0"/>
              <w:autoSpaceDN w:val="0"/>
              <w:adjustRightInd w:val="0"/>
              <w:jc w:val="center"/>
              <w:rPr>
                <w:rFonts w:ascii="宋体" w:cs="宋体"/>
                <w:spacing w:val="-2"/>
                <w:kern w:val="0"/>
                <w:szCs w:val="21"/>
              </w:rPr>
            </w:pPr>
          </w:p>
        </w:tc>
      </w:tr>
      <w:tr w14:paraId="3E3A2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304E885D">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6</w:t>
            </w:r>
          </w:p>
        </w:tc>
        <w:tc>
          <w:tcPr>
            <w:tcW w:w="1330" w:type="dxa"/>
            <w:tcBorders>
              <w:top w:val="single" w:color="000000" w:sz="4" w:space="0"/>
              <w:left w:val="single" w:color="000000" w:sz="4" w:space="0"/>
              <w:bottom w:val="single" w:color="000000" w:sz="4" w:space="0"/>
              <w:right w:val="single" w:color="000000" w:sz="4" w:space="0"/>
            </w:tcBorders>
          </w:tcPr>
          <w:p w14:paraId="4FD236A5">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E87302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34E5A2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FE6314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CFE900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CE8E8DC">
            <w:pPr>
              <w:kinsoku w:val="0"/>
              <w:overflowPunct w:val="0"/>
              <w:autoSpaceDE w:val="0"/>
              <w:autoSpaceDN w:val="0"/>
              <w:adjustRightInd w:val="0"/>
              <w:jc w:val="center"/>
              <w:rPr>
                <w:rFonts w:ascii="宋体" w:cs="宋体"/>
                <w:spacing w:val="-2"/>
                <w:kern w:val="0"/>
                <w:szCs w:val="21"/>
              </w:rPr>
            </w:pPr>
          </w:p>
        </w:tc>
      </w:tr>
      <w:tr w14:paraId="5B4A7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898E161">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7</w:t>
            </w:r>
          </w:p>
        </w:tc>
        <w:tc>
          <w:tcPr>
            <w:tcW w:w="1330" w:type="dxa"/>
            <w:tcBorders>
              <w:top w:val="single" w:color="000000" w:sz="4" w:space="0"/>
              <w:left w:val="single" w:color="000000" w:sz="4" w:space="0"/>
              <w:bottom w:val="single" w:color="000000" w:sz="4" w:space="0"/>
              <w:right w:val="single" w:color="000000" w:sz="4" w:space="0"/>
            </w:tcBorders>
          </w:tcPr>
          <w:p w14:paraId="7C0B1E8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19E13A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864D0F3">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EB0C79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EE64A2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3B82AB0">
            <w:pPr>
              <w:kinsoku w:val="0"/>
              <w:overflowPunct w:val="0"/>
              <w:autoSpaceDE w:val="0"/>
              <w:autoSpaceDN w:val="0"/>
              <w:adjustRightInd w:val="0"/>
              <w:jc w:val="center"/>
              <w:rPr>
                <w:rFonts w:ascii="宋体" w:cs="宋体"/>
                <w:spacing w:val="-2"/>
                <w:kern w:val="0"/>
                <w:szCs w:val="21"/>
              </w:rPr>
            </w:pPr>
          </w:p>
        </w:tc>
      </w:tr>
      <w:tr w14:paraId="0DD80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3DD0E91">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8</w:t>
            </w:r>
          </w:p>
        </w:tc>
        <w:tc>
          <w:tcPr>
            <w:tcW w:w="1330" w:type="dxa"/>
            <w:tcBorders>
              <w:top w:val="single" w:color="000000" w:sz="4" w:space="0"/>
              <w:left w:val="single" w:color="000000" w:sz="4" w:space="0"/>
              <w:bottom w:val="single" w:color="000000" w:sz="4" w:space="0"/>
              <w:right w:val="single" w:color="000000" w:sz="4" w:space="0"/>
            </w:tcBorders>
          </w:tcPr>
          <w:p w14:paraId="6284B76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87CC56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5AD07B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A0D930E">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5CF53EE">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DD3B51E">
            <w:pPr>
              <w:kinsoku w:val="0"/>
              <w:overflowPunct w:val="0"/>
              <w:autoSpaceDE w:val="0"/>
              <w:autoSpaceDN w:val="0"/>
              <w:adjustRightInd w:val="0"/>
              <w:jc w:val="center"/>
              <w:rPr>
                <w:rFonts w:ascii="宋体" w:cs="宋体"/>
                <w:spacing w:val="-2"/>
                <w:kern w:val="0"/>
                <w:szCs w:val="21"/>
              </w:rPr>
            </w:pPr>
          </w:p>
        </w:tc>
      </w:tr>
      <w:tr w14:paraId="7DF9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33F91502">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9</w:t>
            </w:r>
          </w:p>
        </w:tc>
        <w:tc>
          <w:tcPr>
            <w:tcW w:w="1330" w:type="dxa"/>
            <w:tcBorders>
              <w:top w:val="single" w:color="000000" w:sz="4" w:space="0"/>
              <w:left w:val="single" w:color="000000" w:sz="4" w:space="0"/>
              <w:bottom w:val="single" w:color="000000" w:sz="4" w:space="0"/>
              <w:right w:val="single" w:color="000000" w:sz="4" w:space="0"/>
            </w:tcBorders>
          </w:tcPr>
          <w:p w14:paraId="75A7C6A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07D58E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3C8542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75266B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F3C4E6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799AFC6">
            <w:pPr>
              <w:kinsoku w:val="0"/>
              <w:overflowPunct w:val="0"/>
              <w:autoSpaceDE w:val="0"/>
              <w:autoSpaceDN w:val="0"/>
              <w:adjustRightInd w:val="0"/>
              <w:jc w:val="center"/>
              <w:rPr>
                <w:rFonts w:ascii="宋体" w:cs="宋体"/>
                <w:spacing w:val="-2"/>
                <w:kern w:val="0"/>
                <w:szCs w:val="21"/>
              </w:rPr>
            </w:pPr>
          </w:p>
        </w:tc>
      </w:tr>
      <w:tr w14:paraId="3565A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4D9B609">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10</w:t>
            </w:r>
          </w:p>
        </w:tc>
        <w:tc>
          <w:tcPr>
            <w:tcW w:w="1330" w:type="dxa"/>
            <w:tcBorders>
              <w:top w:val="single" w:color="000000" w:sz="4" w:space="0"/>
              <w:left w:val="single" w:color="000000" w:sz="4" w:space="0"/>
              <w:bottom w:val="single" w:color="000000" w:sz="4" w:space="0"/>
              <w:right w:val="single" w:color="000000" w:sz="4" w:space="0"/>
            </w:tcBorders>
          </w:tcPr>
          <w:p w14:paraId="3F29598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05B625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CD93B9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4D0C7D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89003E3">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7F1E187">
            <w:pPr>
              <w:kinsoku w:val="0"/>
              <w:overflowPunct w:val="0"/>
              <w:autoSpaceDE w:val="0"/>
              <w:autoSpaceDN w:val="0"/>
              <w:adjustRightInd w:val="0"/>
              <w:jc w:val="center"/>
              <w:rPr>
                <w:rFonts w:ascii="宋体" w:cs="宋体"/>
                <w:spacing w:val="-2"/>
                <w:kern w:val="0"/>
                <w:szCs w:val="21"/>
              </w:rPr>
            </w:pPr>
          </w:p>
        </w:tc>
      </w:tr>
      <w:tr w14:paraId="7118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177D89FC">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11</w:t>
            </w:r>
          </w:p>
        </w:tc>
        <w:tc>
          <w:tcPr>
            <w:tcW w:w="1330" w:type="dxa"/>
            <w:tcBorders>
              <w:top w:val="single" w:color="000000" w:sz="4" w:space="0"/>
              <w:left w:val="single" w:color="000000" w:sz="4" w:space="0"/>
              <w:bottom w:val="single" w:color="000000" w:sz="4" w:space="0"/>
              <w:right w:val="single" w:color="000000" w:sz="4" w:space="0"/>
            </w:tcBorders>
          </w:tcPr>
          <w:p w14:paraId="46234098">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171DBF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81056E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5E3341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8520B1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E80DFDA">
            <w:pPr>
              <w:kinsoku w:val="0"/>
              <w:overflowPunct w:val="0"/>
              <w:autoSpaceDE w:val="0"/>
              <w:autoSpaceDN w:val="0"/>
              <w:adjustRightInd w:val="0"/>
              <w:jc w:val="center"/>
              <w:rPr>
                <w:rFonts w:ascii="宋体" w:cs="宋体"/>
                <w:spacing w:val="-2"/>
                <w:kern w:val="0"/>
                <w:szCs w:val="21"/>
              </w:rPr>
            </w:pPr>
          </w:p>
        </w:tc>
      </w:tr>
      <w:tr w14:paraId="0494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56162835">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12</w:t>
            </w:r>
          </w:p>
        </w:tc>
        <w:tc>
          <w:tcPr>
            <w:tcW w:w="1330" w:type="dxa"/>
            <w:tcBorders>
              <w:top w:val="single" w:color="000000" w:sz="4" w:space="0"/>
              <w:left w:val="single" w:color="000000" w:sz="4" w:space="0"/>
              <w:bottom w:val="single" w:color="000000" w:sz="4" w:space="0"/>
              <w:right w:val="single" w:color="000000" w:sz="4" w:space="0"/>
            </w:tcBorders>
          </w:tcPr>
          <w:p w14:paraId="2B1155F1">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31ACC7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6233A9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08A82C6">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CC7C55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6E970AB">
            <w:pPr>
              <w:kinsoku w:val="0"/>
              <w:overflowPunct w:val="0"/>
              <w:autoSpaceDE w:val="0"/>
              <w:autoSpaceDN w:val="0"/>
              <w:adjustRightInd w:val="0"/>
              <w:jc w:val="center"/>
              <w:rPr>
                <w:rFonts w:ascii="宋体" w:cs="宋体"/>
                <w:spacing w:val="-2"/>
                <w:kern w:val="0"/>
                <w:szCs w:val="21"/>
              </w:rPr>
            </w:pPr>
          </w:p>
        </w:tc>
      </w:tr>
      <w:tr w14:paraId="1A68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43541174">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13</w:t>
            </w:r>
          </w:p>
        </w:tc>
        <w:tc>
          <w:tcPr>
            <w:tcW w:w="1330" w:type="dxa"/>
            <w:tcBorders>
              <w:top w:val="single" w:color="000000" w:sz="4" w:space="0"/>
              <w:left w:val="single" w:color="000000" w:sz="4" w:space="0"/>
              <w:bottom w:val="single" w:color="000000" w:sz="4" w:space="0"/>
              <w:right w:val="single" w:color="000000" w:sz="4" w:space="0"/>
            </w:tcBorders>
          </w:tcPr>
          <w:p w14:paraId="0B2E62D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D92817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87D5DE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C88AFE1">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2D0045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1440B0C">
            <w:pPr>
              <w:kinsoku w:val="0"/>
              <w:overflowPunct w:val="0"/>
              <w:autoSpaceDE w:val="0"/>
              <w:autoSpaceDN w:val="0"/>
              <w:adjustRightInd w:val="0"/>
              <w:jc w:val="center"/>
              <w:rPr>
                <w:rFonts w:ascii="宋体" w:cs="宋体"/>
                <w:spacing w:val="-2"/>
                <w:kern w:val="0"/>
                <w:szCs w:val="21"/>
              </w:rPr>
            </w:pPr>
          </w:p>
        </w:tc>
      </w:tr>
      <w:tr w14:paraId="325B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3C9EDB4D">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14</w:t>
            </w:r>
          </w:p>
        </w:tc>
        <w:tc>
          <w:tcPr>
            <w:tcW w:w="1330" w:type="dxa"/>
            <w:tcBorders>
              <w:top w:val="single" w:color="000000" w:sz="4" w:space="0"/>
              <w:left w:val="single" w:color="000000" w:sz="4" w:space="0"/>
              <w:bottom w:val="single" w:color="000000" w:sz="4" w:space="0"/>
              <w:right w:val="single" w:color="000000" w:sz="4" w:space="0"/>
            </w:tcBorders>
          </w:tcPr>
          <w:p w14:paraId="354FF6D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7BE204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3E81848">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9F8649C">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938A86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DA29C85">
            <w:pPr>
              <w:kinsoku w:val="0"/>
              <w:overflowPunct w:val="0"/>
              <w:autoSpaceDE w:val="0"/>
              <w:autoSpaceDN w:val="0"/>
              <w:adjustRightInd w:val="0"/>
              <w:jc w:val="center"/>
              <w:rPr>
                <w:rFonts w:ascii="宋体" w:cs="宋体"/>
                <w:spacing w:val="-2"/>
                <w:kern w:val="0"/>
                <w:szCs w:val="21"/>
              </w:rPr>
            </w:pPr>
          </w:p>
        </w:tc>
      </w:tr>
      <w:tr w14:paraId="4AB0A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72BBC250">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15</w:t>
            </w:r>
          </w:p>
        </w:tc>
        <w:tc>
          <w:tcPr>
            <w:tcW w:w="1330" w:type="dxa"/>
            <w:tcBorders>
              <w:top w:val="single" w:color="000000" w:sz="4" w:space="0"/>
              <w:left w:val="single" w:color="000000" w:sz="4" w:space="0"/>
              <w:bottom w:val="single" w:color="000000" w:sz="4" w:space="0"/>
              <w:right w:val="single" w:color="000000" w:sz="4" w:space="0"/>
            </w:tcBorders>
          </w:tcPr>
          <w:p w14:paraId="281A725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9A085F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E40F85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D846C6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C40D310">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1DEDE681">
            <w:pPr>
              <w:kinsoku w:val="0"/>
              <w:overflowPunct w:val="0"/>
              <w:autoSpaceDE w:val="0"/>
              <w:autoSpaceDN w:val="0"/>
              <w:adjustRightInd w:val="0"/>
              <w:jc w:val="center"/>
              <w:rPr>
                <w:rFonts w:ascii="宋体" w:cs="宋体"/>
                <w:spacing w:val="-2"/>
                <w:kern w:val="0"/>
                <w:szCs w:val="21"/>
              </w:rPr>
            </w:pPr>
          </w:p>
        </w:tc>
      </w:tr>
      <w:tr w14:paraId="6ABD0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75F41D36">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16</w:t>
            </w:r>
          </w:p>
        </w:tc>
        <w:tc>
          <w:tcPr>
            <w:tcW w:w="1330" w:type="dxa"/>
            <w:tcBorders>
              <w:top w:val="single" w:color="000000" w:sz="4" w:space="0"/>
              <w:left w:val="single" w:color="000000" w:sz="4" w:space="0"/>
              <w:bottom w:val="single" w:color="000000" w:sz="4" w:space="0"/>
              <w:right w:val="single" w:color="000000" w:sz="4" w:space="0"/>
            </w:tcBorders>
          </w:tcPr>
          <w:p w14:paraId="31119475">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0A791F7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3B85B89">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29C9207">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B9AE8A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0DC9E98">
            <w:pPr>
              <w:kinsoku w:val="0"/>
              <w:overflowPunct w:val="0"/>
              <w:autoSpaceDE w:val="0"/>
              <w:autoSpaceDN w:val="0"/>
              <w:adjustRightInd w:val="0"/>
              <w:jc w:val="center"/>
              <w:rPr>
                <w:rFonts w:ascii="宋体" w:cs="宋体"/>
                <w:spacing w:val="-2"/>
                <w:kern w:val="0"/>
                <w:szCs w:val="21"/>
              </w:rPr>
            </w:pPr>
          </w:p>
        </w:tc>
      </w:tr>
      <w:tr w14:paraId="6A7CB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711238A0">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17</w:t>
            </w:r>
          </w:p>
        </w:tc>
        <w:tc>
          <w:tcPr>
            <w:tcW w:w="1330" w:type="dxa"/>
            <w:tcBorders>
              <w:top w:val="single" w:color="000000" w:sz="4" w:space="0"/>
              <w:left w:val="single" w:color="000000" w:sz="4" w:space="0"/>
              <w:bottom w:val="single" w:color="000000" w:sz="4" w:space="0"/>
              <w:right w:val="single" w:color="000000" w:sz="4" w:space="0"/>
            </w:tcBorders>
          </w:tcPr>
          <w:p w14:paraId="631355B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77CB8C5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6D4D1E8">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D85908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805EC9F">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6537358">
            <w:pPr>
              <w:kinsoku w:val="0"/>
              <w:overflowPunct w:val="0"/>
              <w:autoSpaceDE w:val="0"/>
              <w:autoSpaceDN w:val="0"/>
              <w:adjustRightInd w:val="0"/>
              <w:jc w:val="center"/>
              <w:rPr>
                <w:rFonts w:ascii="宋体" w:cs="宋体"/>
                <w:spacing w:val="-2"/>
                <w:kern w:val="0"/>
                <w:szCs w:val="21"/>
              </w:rPr>
            </w:pPr>
          </w:p>
        </w:tc>
      </w:tr>
      <w:tr w14:paraId="28482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4DF0EE93">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18</w:t>
            </w:r>
          </w:p>
        </w:tc>
        <w:tc>
          <w:tcPr>
            <w:tcW w:w="1330" w:type="dxa"/>
            <w:tcBorders>
              <w:top w:val="single" w:color="000000" w:sz="4" w:space="0"/>
              <w:left w:val="single" w:color="000000" w:sz="4" w:space="0"/>
              <w:bottom w:val="single" w:color="000000" w:sz="4" w:space="0"/>
              <w:right w:val="single" w:color="000000" w:sz="4" w:space="0"/>
            </w:tcBorders>
          </w:tcPr>
          <w:p w14:paraId="2EFD55F8">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7D7D965">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EBBCA6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45510C5D">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1542D0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550CFFF">
            <w:pPr>
              <w:kinsoku w:val="0"/>
              <w:overflowPunct w:val="0"/>
              <w:autoSpaceDE w:val="0"/>
              <w:autoSpaceDN w:val="0"/>
              <w:adjustRightInd w:val="0"/>
              <w:jc w:val="center"/>
              <w:rPr>
                <w:rFonts w:ascii="宋体" w:cs="宋体"/>
                <w:spacing w:val="-2"/>
                <w:kern w:val="0"/>
                <w:szCs w:val="21"/>
              </w:rPr>
            </w:pPr>
          </w:p>
        </w:tc>
      </w:tr>
      <w:tr w14:paraId="0F266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29" w:type="dxa"/>
            <w:tcBorders>
              <w:top w:val="single" w:color="000000" w:sz="4" w:space="0"/>
              <w:left w:val="single" w:color="000000" w:sz="4" w:space="0"/>
              <w:bottom w:val="single" w:color="000000" w:sz="4" w:space="0"/>
              <w:right w:val="single" w:color="000000" w:sz="4" w:space="0"/>
            </w:tcBorders>
          </w:tcPr>
          <w:p w14:paraId="7399FBCC">
            <w:pPr>
              <w:kinsoku w:val="0"/>
              <w:overflowPunct w:val="0"/>
              <w:autoSpaceDE w:val="0"/>
              <w:autoSpaceDN w:val="0"/>
              <w:adjustRightInd w:val="0"/>
              <w:jc w:val="center"/>
              <w:rPr>
                <w:rFonts w:ascii="宋体" w:cs="宋体"/>
                <w:spacing w:val="-2"/>
                <w:kern w:val="0"/>
                <w:szCs w:val="21"/>
              </w:rPr>
            </w:pPr>
            <w:r>
              <w:rPr>
                <w:rFonts w:hint="eastAsia" w:ascii="宋体" w:cs="宋体"/>
                <w:spacing w:val="-2"/>
                <w:kern w:val="0"/>
                <w:szCs w:val="21"/>
              </w:rPr>
              <w:t>数量</w:t>
            </w:r>
          </w:p>
        </w:tc>
        <w:tc>
          <w:tcPr>
            <w:tcW w:w="1330" w:type="dxa"/>
            <w:tcBorders>
              <w:top w:val="single" w:color="000000" w:sz="4" w:space="0"/>
              <w:left w:val="single" w:color="000000" w:sz="4" w:space="0"/>
              <w:bottom w:val="single" w:color="000000" w:sz="4" w:space="0"/>
              <w:right w:val="single" w:color="000000" w:sz="4" w:space="0"/>
            </w:tcBorders>
          </w:tcPr>
          <w:p w14:paraId="755DAFDA">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6302A05">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20C8C3FB">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51133692">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69215654">
            <w:pPr>
              <w:kinsoku w:val="0"/>
              <w:overflowPunct w:val="0"/>
              <w:autoSpaceDE w:val="0"/>
              <w:autoSpaceDN w:val="0"/>
              <w:adjustRightInd w:val="0"/>
              <w:jc w:val="center"/>
              <w:rPr>
                <w:rFonts w:ascii="宋体" w:cs="宋体"/>
                <w:spacing w:val="-2"/>
                <w:kern w:val="0"/>
                <w:szCs w:val="21"/>
              </w:rPr>
            </w:pPr>
          </w:p>
        </w:tc>
        <w:tc>
          <w:tcPr>
            <w:tcW w:w="1329" w:type="dxa"/>
            <w:tcBorders>
              <w:top w:val="single" w:color="000000" w:sz="4" w:space="0"/>
              <w:left w:val="single" w:color="000000" w:sz="4" w:space="0"/>
              <w:bottom w:val="single" w:color="000000" w:sz="4" w:space="0"/>
              <w:right w:val="single" w:color="000000" w:sz="4" w:space="0"/>
            </w:tcBorders>
          </w:tcPr>
          <w:p w14:paraId="3EF9C5CF">
            <w:pPr>
              <w:kinsoku w:val="0"/>
              <w:overflowPunct w:val="0"/>
              <w:autoSpaceDE w:val="0"/>
              <w:autoSpaceDN w:val="0"/>
              <w:adjustRightInd w:val="0"/>
              <w:jc w:val="center"/>
              <w:rPr>
                <w:rFonts w:ascii="宋体" w:cs="宋体"/>
                <w:spacing w:val="-2"/>
                <w:kern w:val="0"/>
                <w:szCs w:val="21"/>
              </w:rPr>
            </w:pPr>
          </w:p>
        </w:tc>
      </w:tr>
    </w:tbl>
    <w:p w14:paraId="4E94191A">
      <w:pPr>
        <w:kinsoku w:val="0"/>
        <w:overflowPunct w:val="0"/>
        <w:autoSpaceDE w:val="0"/>
        <w:autoSpaceDN w:val="0"/>
        <w:adjustRightInd w:val="0"/>
        <w:ind w:left="40"/>
        <w:jc w:val="center"/>
        <w:rPr>
          <w:rFonts w:ascii="宋体" w:cs="宋体"/>
          <w:b/>
          <w:bCs/>
          <w:spacing w:val="-2"/>
          <w:kern w:val="0"/>
          <w:szCs w:val="21"/>
        </w:rPr>
      </w:pPr>
    </w:p>
    <w:p w14:paraId="2293CAD8">
      <w:pPr>
        <w:kinsoku w:val="0"/>
        <w:overflowPunct w:val="0"/>
        <w:autoSpaceDE w:val="0"/>
        <w:autoSpaceDN w:val="0"/>
        <w:adjustRightInd w:val="0"/>
        <w:jc w:val="left"/>
        <w:rPr>
          <w:rFonts w:ascii="宋体" w:cs="宋体"/>
          <w:spacing w:val="-2"/>
          <w:kern w:val="0"/>
          <w:szCs w:val="21"/>
        </w:rPr>
      </w:pPr>
      <w:r>
        <w:rPr>
          <w:rFonts w:hint="eastAsia" w:ascii="宋体" w:cs="宋体"/>
          <w:spacing w:val="-2"/>
          <w:kern w:val="0"/>
          <w:szCs w:val="21"/>
        </w:rPr>
        <w:t>图A8中显示了为残留污点示例。</w:t>
      </w:r>
    </w:p>
    <w:p w14:paraId="1AD9967D">
      <w:pPr>
        <w:kinsoku w:val="0"/>
        <w:overflowPunct w:val="0"/>
        <w:autoSpaceDE w:val="0"/>
        <w:autoSpaceDN w:val="0"/>
        <w:adjustRightInd w:val="0"/>
        <w:jc w:val="left"/>
        <w:rPr>
          <w:rFonts w:ascii="宋体" w:cs="宋体"/>
          <w:spacing w:val="-2"/>
          <w:kern w:val="0"/>
          <w:szCs w:val="21"/>
        </w:rPr>
      </w:pPr>
      <w:r>
        <w:rPr>
          <w:rFonts w:hint="eastAsia" w:ascii="宋体" w:cs="宋体"/>
          <w:spacing w:val="-2"/>
          <w:kern w:val="0"/>
          <w:szCs w:val="21"/>
        </w:rPr>
        <w:t>在完成机器循环后，盘子上仍可以看到14个点。</w:t>
      </w:r>
    </w:p>
    <w:p w14:paraId="286F00F8">
      <w:pPr>
        <w:kinsoku w:val="0"/>
        <w:overflowPunct w:val="0"/>
        <w:autoSpaceDE w:val="0"/>
        <w:autoSpaceDN w:val="0"/>
        <w:adjustRightInd w:val="0"/>
        <w:ind w:left="40"/>
        <w:jc w:val="center"/>
        <w:rPr>
          <w:rFonts w:ascii="宋体" w:cs="宋体"/>
          <w:b/>
          <w:bCs/>
          <w:spacing w:val="-2"/>
          <w:kern w:val="0"/>
          <w:szCs w:val="21"/>
        </w:rPr>
      </w:pPr>
      <w:r>
        <w:rPr>
          <w:rFonts w:ascii="宋体" w:cs="宋体"/>
          <w:b/>
          <w:spacing w:val="-2"/>
          <w:kern w:val="0"/>
          <w:szCs w:val="21"/>
        </w:rPr>
        <w:drawing>
          <wp:inline distT="0" distB="0" distL="0" distR="0">
            <wp:extent cx="5928360" cy="4427220"/>
            <wp:effectExtent l="0" t="0" r="0" b="0"/>
            <wp:docPr id="1764779932" name="图片 1" descr="碗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9932" name="图片 1" descr="碗里&#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28360" cy="4427220"/>
                    </a:xfrm>
                    <a:prstGeom prst="rect">
                      <a:avLst/>
                    </a:prstGeom>
                    <a:noFill/>
                    <a:ln>
                      <a:noFill/>
                    </a:ln>
                  </pic:spPr>
                </pic:pic>
              </a:graphicData>
            </a:graphic>
          </wp:inline>
        </w:drawing>
      </w:r>
    </w:p>
    <w:p w14:paraId="4584EF7A">
      <w:pPr>
        <w:kinsoku w:val="0"/>
        <w:overflowPunct w:val="0"/>
        <w:autoSpaceDE w:val="0"/>
        <w:autoSpaceDN w:val="0"/>
        <w:adjustRightInd w:val="0"/>
        <w:ind w:left="40"/>
        <w:jc w:val="center"/>
        <w:rPr>
          <w:rFonts w:ascii="宋体" w:cs="宋体"/>
          <w:b/>
          <w:bCs/>
          <w:spacing w:val="-2"/>
          <w:kern w:val="0"/>
          <w:szCs w:val="21"/>
        </w:rPr>
      </w:pPr>
      <w:r>
        <w:rPr>
          <w:rFonts w:hint="eastAsia" w:ascii="黑体" w:eastAsia="黑体" w:cs="黑体"/>
          <w:kern w:val="0"/>
          <w:szCs w:val="21"/>
        </w:rPr>
        <w:t>图A8 评价示例</w:t>
      </w:r>
    </w:p>
    <w:p w14:paraId="1C774D03">
      <w:pPr>
        <w:kinsoku w:val="0"/>
        <w:overflowPunct w:val="0"/>
        <w:autoSpaceDE w:val="0"/>
        <w:autoSpaceDN w:val="0"/>
        <w:adjustRightInd w:val="0"/>
        <w:ind w:left="40"/>
        <w:jc w:val="center"/>
        <w:rPr>
          <w:rFonts w:ascii="宋体" w:cs="宋体"/>
          <w:b/>
          <w:bCs/>
          <w:spacing w:val="-2"/>
          <w:kern w:val="0"/>
          <w:szCs w:val="21"/>
        </w:rPr>
      </w:pPr>
    </w:p>
    <w:p w14:paraId="6E972487">
      <w:pPr>
        <w:kinsoku w:val="0"/>
        <w:overflowPunct w:val="0"/>
        <w:autoSpaceDE w:val="0"/>
        <w:autoSpaceDN w:val="0"/>
        <w:adjustRightInd w:val="0"/>
        <w:rPr>
          <w:rFonts w:ascii="宋体" w:cs="宋体"/>
          <w:b/>
          <w:bCs/>
          <w:spacing w:val="-2"/>
          <w:kern w:val="0"/>
          <w:szCs w:val="21"/>
        </w:rPr>
      </w:pPr>
    </w:p>
    <w:p w14:paraId="0BB2121B">
      <w:pPr>
        <w:kinsoku w:val="0"/>
        <w:overflowPunct w:val="0"/>
        <w:autoSpaceDE w:val="0"/>
        <w:autoSpaceDN w:val="0"/>
        <w:adjustRightInd w:val="0"/>
        <w:rPr>
          <w:rFonts w:ascii="宋体" w:cs="宋体"/>
          <w:b/>
          <w:bCs/>
          <w:spacing w:val="-2"/>
          <w:kern w:val="0"/>
          <w:szCs w:val="21"/>
        </w:rPr>
      </w:pPr>
    </w:p>
    <w:p w14:paraId="3FA866B4">
      <w:pPr>
        <w:widowControl/>
        <w:jc w:val="left"/>
        <w:rPr>
          <w:rFonts w:ascii="黑体" w:eastAsia="黑体" w:cs="黑体"/>
          <w:kern w:val="0"/>
          <w:szCs w:val="21"/>
        </w:rPr>
      </w:pPr>
      <w:bookmarkStart w:id="34" w:name="_Hlk168583745"/>
      <w:r>
        <w:rPr>
          <w:rFonts w:ascii="黑体" w:eastAsia="黑体" w:cs="黑体"/>
          <w:kern w:val="0"/>
          <w:szCs w:val="21"/>
        </w:rPr>
        <w:br w:type="page"/>
      </w:r>
    </w:p>
    <w:p w14:paraId="6525C62D">
      <w:pPr>
        <w:autoSpaceDE w:val="0"/>
        <w:autoSpaceDN w:val="0"/>
        <w:adjustRightInd w:val="0"/>
        <w:jc w:val="center"/>
        <w:rPr>
          <w:rFonts w:ascii="黑体" w:eastAsia="黑体" w:cs="黑体"/>
          <w:kern w:val="0"/>
          <w:szCs w:val="21"/>
        </w:rPr>
      </w:pPr>
      <w:r>
        <w:rPr>
          <w:rFonts w:hint="eastAsia" w:ascii="黑体" w:eastAsia="黑体" w:cs="黑体"/>
          <w:kern w:val="0"/>
          <w:szCs w:val="21"/>
        </w:rPr>
        <w:t>附录B</w:t>
      </w:r>
    </w:p>
    <w:p w14:paraId="75309612">
      <w:pPr>
        <w:autoSpaceDE w:val="0"/>
        <w:autoSpaceDN w:val="0"/>
        <w:adjustRightInd w:val="0"/>
        <w:jc w:val="center"/>
        <w:rPr>
          <w:rFonts w:ascii="黑体" w:eastAsia="黑体" w:cs="黑体"/>
          <w:kern w:val="0"/>
          <w:szCs w:val="21"/>
        </w:rPr>
      </w:pPr>
      <w:r>
        <w:rPr>
          <w:rFonts w:hint="eastAsia" w:ascii="黑体" w:eastAsia="黑体" w:cs="黑体"/>
          <w:kern w:val="0"/>
          <w:szCs w:val="21"/>
        </w:rPr>
        <w:t>（规范性）</w:t>
      </w:r>
    </w:p>
    <w:p w14:paraId="73AD660A">
      <w:pPr>
        <w:kinsoku w:val="0"/>
        <w:overflowPunct w:val="0"/>
        <w:autoSpaceDE w:val="0"/>
        <w:autoSpaceDN w:val="0"/>
        <w:adjustRightInd w:val="0"/>
        <w:ind w:left="40"/>
        <w:jc w:val="center"/>
        <w:rPr>
          <w:rFonts w:ascii="宋体" w:cs="宋体"/>
          <w:b/>
          <w:bCs/>
          <w:spacing w:val="-2"/>
          <w:kern w:val="0"/>
          <w:szCs w:val="21"/>
        </w:rPr>
      </w:pPr>
      <w:r>
        <w:rPr>
          <w:rFonts w:hint="eastAsia" w:ascii="黑体" w:eastAsia="黑体" w:cs="黑体"/>
          <w:kern w:val="0"/>
          <w:szCs w:val="21"/>
        </w:rPr>
        <w:t>实验室试验材料</w:t>
      </w:r>
    </w:p>
    <w:bookmarkEnd w:id="34"/>
    <w:p w14:paraId="0559D81D">
      <w:pPr>
        <w:kinsoku w:val="0"/>
        <w:overflowPunct w:val="0"/>
        <w:autoSpaceDE w:val="0"/>
        <w:autoSpaceDN w:val="0"/>
        <w:adjustRightInd w:val="0"/>
        <w:ind w:left="40"/>
        <w:jc w:val="center"/>
        <w:rPr>
          <w:rFonts w:ascii="宋体" w:cs="宋体"/>
          <w:b/>
          <w:bCs/>
          <w:spacing w:val="-2"/>
          <w:kern w:val="0"/>
          <w:szCs w:val="21"/>
        </w:rPr>
      </w:pPr>
    </w:p>
    <w:p w14:paraId="0868FEE2">
      <w:pPr>
        <w:pStyle w:val="22"/>
        <w:ind w:firstLine="0" w:firstLineChars="0"/>
        <w:jc w:val="left"/>
        <w:rPr>
          <w:rFonts w:ascii="黑体" w:eastAsia="黑体" w:cs="黑体"/>
          <w:szCs w:val="21"/>
        </w:rPr>
      </w:pPr>
      <w:r>
        <w:rPr>
          <w:rFonts w:hint="eastAsia" w:ascii="黑体" w:eastAsia="黑体" w:cs="黑体"/>
          <w:szCs w:val="21"/>
        </w:rPr>
        <w:t>B</w:t>
      </w:r>
      <w:r>
        <w:rPr>
          <w:rFonts w:ascii="黑体" w:eastAsia="黑体" w:cs="黑体"/>
          <w:szCs w:val="21"/>
        </w:rPr>
        <w:t xml:space="preserve">.1 </w:t>
      </w:r>
      <w:r>
        <w:rPr>
          <w:rFonts w:hint="eastAsia" w:ascii="黑体" w:eastAsia="黑体" w:cs="黑体"/>
          <w:szCs w:val="21"/>
        </w:rPr>
        <w:t>标准洗碗机</w:t>
      </w:r>
    </w:p>
    <w:p w14:paraId="403F9420">
      <w:pPr>
        <w:pStyle w:val="22"/>
        <w:jc w:val="left"/>
        <w:rPr>
          <w:rFonts w:cs="宋体"/>
          <w:szCs w:val="21"/>
        </w:rPr>
      </w:pPr>
      <w:r>
        <w:rPr>
          <w:rFonts w:hint="eastAsia" w:cs="宋体"/>
          <w:szCs w:val="21"/>
        </w:rPr>
        <w:t>符合</w:t>
      </w:r>
      <w:r>
        <w:rPr>
          <w:rFonts w:cs="宋体"/>
          <w:szCs w:val="21"/>
        </w:rPr>
        <w:t>T/ZGXX 0001-2018</w:t>
      </w:r>
      <w:r>
        <w:rPr>
          <w:rFonts w:hint="eastAsia" w:cs="宋体"/>
          <w:szCs w:val="21"/>
        </w:rPr>
        <w:t>附录A规定的商用电动洗碗机。</w:t>
      </w:r>
    </w:p>
    <w:p w14:paraId="63076FB7">
      <w:pPr>
        <w:pStyle w:val="22"/>
        <w:ind w:firstLine="0" w:firstLineChars="0"/>
        <w:jc w:val="left"/>
      </w:pPr>
    </w:p>
    <w:p w14:paraId="4B58BD6A">
      <w:pPr>
        <w:autoSpaceDE w:val="0"/>
        <w:autoSpaceDN w:val="0"/>
        <w:adjustRightInd w:val="0"/>
        <w:jc w:val="left"/>
        <w:rPr>
          <w:rFonts w:ascii="黑体" w:eastAsia="黑体" w:cs="黑体"/>
          <w:kern w:val="0"/>
          <w:szCs w:val="21"/>
        </w:rPr>
      </w:pPr>
      <w:r>
        <w:rPr>
          <w:rFonts w:hint="eastAsia" w:ascii="黑体" w:eastAsia="黑体" w:cs="黑体"/>
          <w:kern w:val="0"/>
          <w:szCs w:val="21"/>
        </w:rPr>
        <w:t>B</w:t>
      </w:r>
      <w:r>
        <w:rPr>
          <w:rFonts w:ascii="黑体" w:eastAsia="黑体" w:cs="黑体"/>
          <w:kern w:val="0"/>
          <w:szCs w:val="21"/>
        </w:rPr>
        <w:t xml:space="preserve">.2 </w:t>
      </w:r>
      <w:r>
        <w:rPr>
          <w:rFonts w:hint="eastAsia" w:ascii="黑体" w:eastAsia="黑体" w:cs="黑体"/>
          <w:kern w:val="0"/>
          <w:szCs w:val="21"/>
        </w:rPr>
        <w:t>标准漂洗剂</w:t>
      </w:r>
    </w:p>
    <w:p w14:paraId="612F3A9C">
      <w:pPr>
        <w:pStyle w:val="22"/>
        <w:jc w:val="left"/>
        <w:rPr>
          <w:rFonts w:cs="宋体"/>
          <w:szCs w:val="21"/>
        </w:rPr>
      </w:pPr>
      <w:r>
        <w:rPr>
          <w:rFonts w:hint="eastAsia" w:cs="宋体"/>
          <w:szCs w:val="21"/>
        </w:rPr>
        <w:t>漂洗剂按表</w:t>
      </w:r>
      <w:r>
        <w:rPr>
          <w:rFonts w:hint="eastAsia" w:ascii="TimesNewRomanPSMT" w:eastAsia="TimesNewRomanPSMT" w:cs="TimesNewRomanPSMT"/>
          <w:szCs w:val="21"/>
        </w:rPr>
        <w:t>B</w:t>
      </w:r>
      <w:r>
        <w:rPr>
          <w:rFonts w:ascii="TimesNewRomanPSMT" w:eastAsia="TimesNewRomanPSMT" w:cs="TimesNewRomanPSMT"/>
          <w:szCs w:val="21"/>
        </w:rPr>
        <w:t xml:space="preserve">.2 </w:t>
      </w:r>
      <w:r>
        <w:rPr>
          <w:rFonts w:hint="eastAsia" w:cs="宋体"/>
          <w:szCs w:val="21"/>
        </w:rPr>
        <w:t>规定的配方配制。</w:t>
      </w:r>
    </w:p>
    <w:p w14:paraId="3C48DB19">
      <w:pPr>
        <w:pStyle w:val="22"/>
        <w:jc w:val="left"/>
        <w:rPr>
          <w:rFonts w:cs="宋体"/>
          <w:szCs w:val="21"/>
        </w:rPr>
      </w:pPr>
      <w:r>
        <w:rPr>
          <w:rFonts w:hint="eastAsia" w:cs="宋体"/>
          <w:szCs w:val="21"/>
        </w:rPr>
        <w:t>在搅拌去离子水的同时，加入透明的柠檬酸并使其完全溶解。</w:t>
      </w:r>
    </w:p>
    <w:p w14:paraId="480C879A">
      <w:pPr>
        <w:pStyle w:val="22"/>
        <w:ind w:firstLine="0" w:firstLineChars="0"/>
        <w:jc w:val="left"/>
        <w:rPr>
          <w:rFonts w:cs="宋体"/>
          <w:szCs w:val="21"/>
        </w:rPr>
      </w:pPr>
      <w:r>
        <w:rPr>
          <w:rFonts w:hint="eastAsia" w:cs="宋体"/>
          <w:szCs w:val="21"/>
        </w:rPr>
        <w:t>随后，连续搅拌的同时加入下面2 种液体原材料。</w:t>
      </w:r>
    </w:p>
    <w:p w14:paraId="4F937614">
      <w:pPr>
        <w:pStyle w:val="22"/>
        <w:ind w:firstLine="0" w:firstLineChars="0"/>
        <w:jc w:val="center"/>
        <w:rPr>
          <w:rFonts w:ascii="黑体" w:eastAsia="黑体" w:cs="黑体"/>
          <w:szCs w:val="21"/>
        </w:rPr>
      </w:pPr>
      <w:r>
        <w:rPr>
          <w:rFonts w:hint="eastAsia" w:ascii="黑体" w:eastAsia="黑体" w:cs="黑体"/>
          <w:szCs w:val="21"/>
        </w:rPr>
        <w:t>表B</w:t>
      </w:r>
      <w:r>
        <w:rPr>
          <w:rFonts w:ascii="黑体" w:eastAsia="黑体" w:cs="黑体"/>
          <w:szCs w:val="21"/>
        </w:rPr>
        <w:t xml:space="preserve">.2 </w:t>
      </w:r>
      <w:r>
        <w:rPr>
          <w:rFonts w:hint="eastAsia" w:ascii="黑体" w:eastAsia="黑体" w:cs="黑体"/>
          <w:szCs w:val="21"/>
        </w:rPr>
        <w:t>漂洗剂</w:t>
      </w:r>
    </w:p>
    <w:tbl>
      <w:tblPr>
        <w:tblStyle w:val="31"/>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90"/>
        <w:gridCol w:w="3190"/>
        <w:gridCol w:w="2341"/>
      </w:tblGrid>
      <w:tr w14:paraId="5690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3190" w:type="dxa"/>
          </w:tcPr>
          <w:p w14:paraId="1FE54AA9">
            <w:pPr>
              <w:kinsoku w:val="0"/>
              <w:overflowPunct w:val="0"/>
              <w:autoSpaceDE w:val="0"/>
              <w:autoSpaceDN w:val="0"/>
              <w:adjustRightInd w:val="0"/>
              <w:spacing w:before="106"/>
              <w:ind w:left="10" w:right="3"/>
              <w:jc w:val="center"/>
              <w:rPr>
                <w:rFonts w:ascii="宋体" w:cs="宋体"/>
                <w:b/>
                <w:bCs/>
                <w:spacing w:val="-4"/>
                <w:kern w:val="0"/>
                <w:sz w:val="18"/>
                <w:szCs w:val="18"/>
              </w:rPr>
            </w:pPr>
            <w:r>
              <w:rPr>
                <w:rFonts w:hint="eastAsia" w:ascii="宋体" w:cs="宋体"/>
                <w:b/>
                <w:bCs/>
                <w:spacing w:val="-4"/>
                <w:kern w:val="0"/>
                <w:sz w:val="18"/>
                <w:szCs w:val="18"/>
              </w:rPr>
              <w:t>原材料</w:t>
            </w:r>
          </w:p>
        </w:tc>
        <w:tc>
          <w:tcPr>
            <w:tcW w:w="3190" w:type="dxa"/>
          </w:tcPr>
          <w:p w14:paraId="3A6DF5FC">
            <w:pPr>
              <w:kinsoku w:val="0"/>
              <w:overflowPunct w:val="0"/>
              <w:autoSpaceDE w:val="0"/>
              <w:autoSpaceDN w:val="0"/>
              <w:adjustRightInd w:val="0"/>
              <w:spacing w:before="106"/>
              <w:ind w:left="10" w:right="4"/>
              <w:jc w:val="center"/>
              <w:rPr>
                <w:b/>
                <w:bCs/>
                <w:spacing w:val="-2"/>
                <w:kern w:val="0"/>
                <w:sz w:val="18"/>
                <w:szCs w:val="18"/>
              </w:rPr>
            </w:pPr>
            <w:r>
              <w:rPr>
                <w:rFonts w:hint="eastAsia" w:ascii="宋体" w:cs="宋体"/>
                <w:b/>
                <w:bCs/>
                <w:spacing w:val="-2"/>
                <w:kern w:val="0"/>
                <w:sz w:val="18"/>
                <w:szCs w:val="18"/>
              </w:rPr>
              <w:t>质量百分比</w:t>
            </w:r>
            <w:r>
              <w:rPr>
                <w:b/>
                <w:bCs/>
                <w:spacing w:val="-2"/>
                <w:kern w:val="0"/>
                <w:sz w:val="18"/>
                <w:szCs w:val="18"/>
              </w:rPr>
              <w:t>[%]</w:t>
            </w:r>
          </w:p>
        </w:tc>
        <w:tc>
          <w:tcPr>
            <w:tcW w:w="2341" w:type="dxa"/>
          </w:tcPr>
          <w:p w14:paraId="27828E0E">
            <w:pPr>
              <w:kinsoku w:val="0"/>
              <w:overflowPunct w:val="0"/>
              <w:autoSpaceDE w:val="0"/>
              <w:autoSpaceDN w:val="0"/>
              <w:adjustRightInd w:val="0"/>
              <w:spacing w:before="106"/>
              <w:ind w:left="1048"/>
              <w:jc w:val="left"/>
              <w:rPr>
                <w:rFonts w:ascii="宋体" w:cs="宋体"/>
                <w:b/>
                <w:bCs/>
                <w:kern w:val="0"/>
                <w:sz w:val="18"/>
                <w:szCs w:val="18"/>
              </w:rPr>
            </w:pPr>
            <w:r>
              <w:rPr>
                <w:b/>
                <w:bCs/>
                <w:kern w:val="0"/>
                <w:sz w:val="18"/>
                <w:szCs w:val="18"/>
              </w:rPr>
              <w:t xml:space="preserve">1 kg </w:t>
            </w:r>
            <w:r>
              <w:rPr>
                <w:rFonts w:hint="eastAsia" w:ascii="宋体" w:cs="宋体"/>
                <w:b/>
                <w:bCs/>
                <w:kern w:val="0"/>
                <w:sz w:val="18"/>
                <w:szCs w:val="18"/>
              </w:rPr>
              <w:t>中的质量</w:t>
            </w:r>
          </w:p>
        </w:tc>
      </w:tr>
      <w:tr w14:paraId="00D4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3190" w:type="dxa"/>
          </w:tcPr>
          <w:p w14:paraId="7D38D370">
            <w:pPr>
              <w:kinsoku w:val="0"/>
              <w:overflowPunct w:val="0"/>
              <w:autoSpaceDE w:val="0"/>
              <w:autoSpaceDN w:val="0"/>
              <w:adjustRightInd w:val="0"/>
              <w:spacing w:before="105"/>
              <w:ind w:left="10" w:right="1"/>
              <w:jc w:val="center"/>
              <w:rPr>
                <w:rFonts w:ascii="宋体" w:cs="宋体"/>
                <w:spacing w:val="-2"/>
                <w:kern w:val="0"/>
                <w:sz w:val="18"/>
                <w:szCs w:val="18"/>
              </w:rPr>
            </w:pPr>
            <w:r>
              <w:rPr>
                <w:rFonts w:hint="eastAsia" w:ascii="宋体" w:cs="宋体"/>
                <w:spacing w:val="-2"/>
                <w:kern w:val="0"/>
                <w:sz w:val="18"/>
                <w:szCs w:val="18"/>
              </w:rPr>
              <w:t>去离子水</w:t>
            </w:r>
          </w:p>
        </w:tc>
        <w:tc>
          <w:tcPr>
            <w:tcW w:w="3190" w:type="dxa"/>
          </w:tcPr>
          <w:p w14:paraId="08145F56">
            <w:pPr>
              <w:kinsoku w:val="0"/>
              <w:overflowPunct w:val="0"/>
              <w:autoSpaceDE w:val="0"/>
              <w:autoSpaceDN w:val="0"/>
              <w:adjustRightInd w:val="0"/>
              <w:spacing w:before="120"/>
              <w:ind w:left="10"/>
              <w:jc w:val="center"/>
              <w:rPr>
                <w:spacing w:val="-4"/>
                <w:kern w:val="0"/>
                <w:sz w:val="18"/>
                <w:szCs w:val="18"/>
              </w:rPr>
            </w:pPr>
            <w:r>
              <w:rPr>
                <w:spacing w:val="-4"/>
                <w:kern w:val="0"/>
                <w:sz w:val="18"/>
                <w:szCs w:val="18"/>
              </w:rPr>
              <w:t>70.0</w:t>
            </w:r>
          </w:p>
        </w:tc>
        <w:tc>
          <w:tcPr>
            <w:tcW w:w="2341" w:type="dxa"/>
          </w:tcPr>
          <w:p w14:paraId="109A0C3C">
            <w:pPr>
              <w:kinsoku w:val="0"/>
              <w:overflowPunct w:val="0"/>
              <w:autoSpaceDE w:val="0"/>
              <w:autoSpaceDN w:val="0"/>
              <w:adjustRightInd w:val="0"/>
              <w:spacing w:before="120"/>
              <w:ind w:left="1324"/>
              <w:jc w:val="left"/>
              <w:rPr>
                <w:kern w:val="0"/>
                <w:sz w:val="18"/>
                <w:szCs w:val="18"/>
              </w:rPr>
            </w:pPr>
            <w:r>
              <w:rPr>
                <w:kern w:val="0"/>
                <w:sz w:val="18"/>
                <w:szCs w:val="18"/>
              </w:rPr>
              <w:t>700.0 g</w:t>
            </w:r>
          </w:p>
        </w:tc>
      </w:tr>
      <w:tr w14:paraId="33C9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3190" w:type="dxa"/>
          </w:tcPr>
          <w:p w14:paraId="62952205">
            <w:pPr>
              <w:kinsoku w:val="0"/>
              <w:overflowPunct w:val="0"/>
              <w:autoSpaceDE w:val="0"/>
              <w:autoSpaceDN w:val="0"/>
              <w:adjustRightInd w:val="0"/>
              <w:spacing w:before="104"/>
              <w:ind w:left="108"/>
              <w:jc w:val="center"/>
              <w:rPr>
                <w:rFonts w:ascii="宋体" w:cs="宋体"/>
                <w:spacing w:val="-8"/>
                <w:kern w:val="0"/>
                <w:sz w:val="18"/>
                <w:szCs w:val="18"/>
              </w:rPr>
            </w:pPr>
            <w:r>
              <w:rPr>
                <w:rFonts w:hint="eastAsia" w:ascii="宋体" w:cs="宋体"/>
                <w:spacing w:val="-8"/>
                <w:kern w:val="0"/>
                <w:sz w:val="18"/>
                <w:szCs w:val="18"/>
              </w:rPr>
              <w:t>一水柠檬酸，无色结晶</w:t>
            </w:r>
          </w:p>
        </w:tc>
        <w:tc>
          <w:tcPr>
            <w:tcW w:w="3190" w:type="dxa"/>
          </w:tcPr>
          <w:p w14:paraId="0E4717B3">
            <w:pPr>
              <w:kinsoku w:val="0"/>
              <w:overflowPunct w:val="0"/>
              <w:autoSpaceDE w:val="0"/>
              <w:autoSpaceDN w:val="0"/>
              <w:adjustRightInd w:val="0"/>
              <w:spacing w:before="120"/>
              <w:ind w:left="10"/>
              <w:jc w:val="center"/>
              <w:rPr>
                <w:spacing w:val="-4"/>
                <w:kern w:val="0"/>
                <w:sz w:val="18"/>
                <w:szCs w:val="18"/>
              </w:rPr>
            </w:pPr>
            <w:r>
              <w:rPr>
                <w:spacing w:val="-4"/>
                <w:kern w:val="0"/>
                <w:sz w:val="18"/>
                <w:szCs w:val="18"/>
              </w:rPr>
              <w:t>5.0</w:t>
            </w:r>
          </w:p>
        </w:tc>
        <w:tc>
          <w:tcPr>
            <w:tcW w:w="2341" w:type="dxa"/>
          </w:tcPr>
          <w:p w14:paraId="5864F2F6">
            <w:pPr>
              <w:kinsoku w:val="0"/>
              <w:overflowPunct w:val="0"/>
              <w:autoSpaceDE w:val="0"/>
              <w:autoSpaceDN w:val="0"/>
              <w:adjustRightInd w:val="0"/>
              <w:spacing w:before="120"/>
              <w:ind w:left="1324"/>
              <w:jc w:val="left"/>
              <w:rPr>
                <w:kern w:val="0"/>
                <w:sz w:val="18"/>
                <w:szCs w:val="18"/>
              </w:rPr>
            </w:pPr>
            <w:r>
              <w:rPr>
                <w:kern w:val="0"/>
                <w:sz w:val="18"/>
                <w:szCs w:val="18"/>
              </w:rPr>
              <w:t>50.0 g</w:t>
            </w:r>
          </w:p>
        </w:tc>
      </w:tr>
      <w:tr w14:paraId="341C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3190" w:type="dxa"/>
          </w:tcPr>
          <w:p w14:paraId="59DB38AF">
            <w:pPr>
              <w:kinsoku w:val="0"/>
              <w:overflowPunct w:val="0"/>
              <w:autoSpaceDE w:val="0"/>
              <w:autoSpaceDN w:val="0"/>
              <w:adjustRightInd w:val="0"/>
              <w:spacing w:before="106" w:line="233" w:lineRule="exact"/>
              <w:ind w:left="350"/>
              <w:jc w:val="left"/>
              <w:rPr>
                <w:rFonts w:ascii="宋体" w:cs="宋体"/>
                <w:spacing w:val="-2"/>
                <w:kern w:val="0"/>
                <w:sz w:val="18"/>
                <w:szCs w:val="18"/>
              </w:rPr>
            </w:pPr>
            <w:r>
              <w:rPr>
                <w:rFonts w:hint="eastAsia" w:ascii="宋体" w:cs="宋体"/>
                <w:spacing w:val="-2"/>
                <w:kern w:val="0"/>
                <w:sz w:val="18"/>
                <w:szCs w:val="18"/>
              </w:rPr>
              <w:t>Niotensid 脂肪醇C12/C14+5EO+4PO</w:t>
            </w:r>
          </w:p>
        </w:tc>
        <w:tc>
          <w:tcPr>
            <w:tcW w:w="3190" w:type="dxa"/>
          </w:tcPr>
          <w:p w14:paraId="4A1A6A5D">
            <w:pPr>
              <w:kinsoku w:val="0"/>
              <w:overflowPunct w:val="0"/>
              <w:autoSpaceDE w:val="0"/>
              <w:autoSpaceDN w:val="0"/>
              <w:adjustRightInd w:val="0"/>
              <w:spacing w:before="119"/>
              <w:ind w:left="10"/>
              <w:jc w:val="center"/>
              <w:rPr>
                <w:spacing w:val="-4"/>
                <w:kern w:val="0"/>
                <w:sz w:val="18"/>
                <w:szCs w:val="18"/>
              </w:rPr>
            </w:pPr>
            <w:r>
              <w:rPr>
                <w:spacing w:val="-4"/>
                <w:kern w:val="0"/>
                <w:sz w:val="18"/>
                <w:szCs w:val="18"/>
              </w:rPr>
              <w:t>20.0</w:t>
            </w:r>
          </w:p>
        </w:tc>
        <w:tc>
          <w:tcPr>
            <w:tcW w:w="2341" w:type="dxa"/>
          </w:tcPr>
          <w:p w14:paraId="726F54FD">
            <w:pPr>
              <w:kinsoku w:val="0"/>
              <w:overflowPunct w:val="0"/>
              <w:autoSpaceDE w:val="0"/>
              <w:autoSpaceDN w:val="0"/>
              <w:adjustRightInd w:val="0"/>
              <w:spacing w:before="119"/>
              <w:ind w:left="1324"/>
              <w:jc w:val="left"/>
              <w:rPr>
                <w:kern w:val="0"/>
                <w:sz w:val="18"/>
                <w:szCs w:val="18"/>
              </w:rPr>
            </w:pPr>
            <w:r>
              <w:rPr>
                <w:kern w:val="0"/>
                <w:sz w:val="18"/>
                <w:szCs w:val="18"/>
              </w:rPr>
              <w:t>200.0 g</w:t>
            </w:r>
          </w:p>
        </w:tc>
      </w:tr>
      <w:tr w14:paraId="3008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3190" w:type="dxa"/>
          </w:tcPr>
          <w:p w14:paraId="7694BEF0">
            <w:pPr>
              <w:kinsoku w:val="0"/>
              <w:overflowPunct w:val="0"/>
              <w:autoSpaceDE w:val="0"/>
              <w:autoSpaceDN w:val="0"/>
              <w:adjustRightInd w:val="0"/>
              <w:ind w:left="362"/>
              <w:jc w:val="left"/>
              <w:rPr>
                <w:spacing w:val="-2"/>
                <w:kern w:val="0"/>
                <w:sz w:val="18"/>
                <w:szCs w:val="18"/>
              </w:rPr>
            </w:pPr>
            <w:r>
              <w:rPr>
                <w:rFonts w:hint="eastAsia" w:ascii="宋体" w:cs="宋体"/>
                <w:spacing w:val="-2"/>
                <w:kern w:val="0"/>
                <w:sz w:val="18"/>
                <w:szCs w:val="18"/>
              </w:rPr>
              <w:t>异苯丙磺酸钠40%（质量百分比）</w:t>
            </w:r>
          </w:p>
        </w:tc>
        <w:tc>
          <w:tcPr>
            <w:tcW w:w="3190" w:type="dxa"/>
          </w:tcPr>
          <w:p w14:paraId="436DFF57">
            <w:pPr>
              <w:kinsoku w:val="0"/>
              <w:overflowPunct w:val="0"/>
              <w:autoSpaceDE w:val="0"/>
              <w:autoSpaceDN w:val="0"/>
              <w:adjustRightInd w:val="0"/>
              <w:jc w:val="center"/>
              <w:rPr>
                <w:kern w:val="0"/>
                <w:sz w:val="18"/>
                <w:szCs w:val="18"/>
              </w:rPr>
            </w:pPr>
            <w:r>
              <w:rPr>
                <w:kern w:val="0"/>
                <w:sz w:val="18"/>
                <w:szCs w:val="18"/>
              </w:rPr>
              <w:t>5.0</w:t>
            </w:r>
          </w:p>
        </w:tc>
        <w:tc>
          <w:tcPr>
            <w:tcW w:w="2341" w:type="dxa"/>
          </w:tcPr>
          <w:p w14:paraId="6DE973B6">
            <w:pPr>
              <w:kinsoku w:val="0"/>
              <w:overflowPunct w:val="0"/>
              <w:autoSpaceDE w:val="0"/>
              <w:autoSpaceDN w:val="0"/>
              <w:adjustRightInd w:val="0"/>
              <w:ind w:left="1324"/>
              <w:jc w:val="left"/>
              <w:rPr>
                <w:kern w:val="0"/>
                <w:sz w:val="18"/>
                <w:szCs w:val="18"/>
              </w:rPr>
            </w:pPr>
            <w:r>
              <w:rPr>
                <w:kern w:val="0"/>
                <w:sz w:val="18"/>
                <w:szCs w:val="18"/>
              </w:rPr>
              <w:t>50.0 g</w:t>
            </w:r>
          </w:p>
        </w:tc>
      </w:tr>
      <w:tr w14:paraId="1C46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3190" w:type="dxa"/>
          </w:tcPr>
          <w:p w14:paraId="5C359922">
            <w:pPr>
              <w:kinsoku w:val="0"/>
              <w:overflowPunct w:val="0"/>
              <w:autoSpaceDE w:val="0"/>
              <w:autoSpaceDN w:val="0"/>
              <w:adjustRightInd w:val="0"/>
              <w:spacing w:before="33"/>
              <w:ind w:left="144"/>
              <w:jc w:val="center"/>
              <w:rPr>
                <w:rFonts w:ascii="宋体" w:cs="宋体"/>
                <w:spacing w:val="-6"/>
                <w:kern w:val="0"/>
                <w:sz w:val="18"/>
                <w:szCs w:val="18"/>
              </w:rPr>
            </w:pPr>
            <w:r>
              <w:rPr>
                <w:rFonts w:hint="eastAsia" w:ascii="宋体" w:cs="宋体"/>
                <w:spacing w:val="-6"/>
                <w:kern w:val="0"/>
                <w:sz w:val="18"/>
                <w:szCs w:val="18"/>
              </w:rPr>
              <w:t>合计</w:t>
            </w:r>
          </w:p>
        </w:tc>
        <w:tc>
          <w:tcPr>
            <w:tcW w:w="3190" w:type="dxa"/>
          </w:tcPr>
          <w:p w14:paraId="0F409D86">
            <w:pPr>
              <w:kinsoku w:val="0"/>
              <w:overflowPunct w:val="0"/>
              <w:autoSpaceDE w:val="0"/>
              <w:autoSpaceDN w:val="0"/>
              <w:adjustRightInd w:val="0"/>
              <w:spacing w:before="49"/>
              <w:ind w:left="10" w:right="3"/>
              <w:jc w:val="center"/>
              <w:rPr>
                <w:spacing w:val="-2"/>
                <w:kern w:val="0"/>
                <w:sz w:val="18"/>
                <w:szCs w:val="18"/>
              </w:rPr>
            </w:pPr>
            <w:r>
              <w:rPr>
                <w:spacing w:val="-2"/>
                <w:kern w:val="0"/>
                <w:sz w:val="18"/>
                <w:szCs w:val="18"/>
              </w:rPr>
              <w:t>100.0</w:t>
            </w:r>
          </w:p>
        </w:tc>
        <w:tc>
          <w:tcPr>
            <w:tcW w:w="2341" w:type="dxa"/>
          </w:tcPr>
          <w:p w14:paraId="23D422C4">
            <w:pPr>
              <w:kinsoku w:val="0"/>
              <w:overflowPunct w:val="0"/>
              <w:autoSpaceDE w:val="0"/>
              <w:autoSpaceDN w:val="0"/>
              <w:adjustRightInd w:val="0"/>
              <w:jc w:val="center"/>
              <w:rPr>
                <w:kern w:val="0"/>
                <w:sz w:val="18"/>
                <w:szCs w:val="18"/>
              </w:rPr>
            </w:pPr>
            <w:r>
              <w:rPr>
                <w:kern w:val="0"/>
                <w:sz w:val="18"/>
                <w:szCs w:val="18"/>
              </w:rPr>
              <w:t xml:space="preserve">         1000.0</w:t>
            </w:r>
            <w:r>
              <w:rPr>
                <w:spacing w:val="-2"/>
                <w:kern w:val="0"/>
                <w:sz w:val="18"/>
                <w:szCs w:val="18"/>
              </w:rPr>
              <w:t xml:space="preserve"> </w:t>
            </w:r>
            <w:r>
              <w:rPr>
                <w:kern w:val="0"/>
                <w:sz w:val="18"/>
                <w:szCs w:val="18"/>
              </w:rPr>
              <w:t>g</w:t>
            </w:r>
          </w:p>
        </w:tc>
      </w:tr>
    </w:tbl>
    <w:p w14:paraId="584218A9">
      <w:pPr>
        <w:kinsoku w:val="0"/>
        <w:overflowPunct w:val="0"/>
        <w:autoSpaceDE w:val="0"/>
        <w:autoSpaceDN w:val="0"/>
        <w:adjustRightInd w:val="0"/>
        <w:jc w:val="left"/>
        <w:rPr>
          <w:kern w:val="0"/>
          <w:sz w:val="24"/>
        </w:rPr>
      </w:pPr>
      <w:bookmarkStart w:id="35" w:name="_bookmark3"/>
      <w:bookmarkEnd w:id="35"/>
      <w:bookmarkStart w:id="36" w:name="_bookmark4"/>
      <w:bookmarkEnd w:id="36"/>
    </w:p>
    <w:p w14:paraId="00EE50A0">
      <w:pPr>
        <w:autoSpaceDE w:val="0"/>
        <w:autoSpaceDN w:val="0"/>
        <w:adjustRightInd w:val="0"/>
        <w:jc w:val="left"/>
        <w:rPr>
          <w:rFonts w:ascii="黑体" w:eastAsia="黑体" w:cs="黑体"/>
          <w:kern w:val="0"/>
          <w:szCs w:val="21"/>
        </w:rPr>
      </w:pPr>
      <w:r>
        <w:rPr>
          <w:rFonts w:hint="eastAsia" w:ascii="黑体" w:eastAsia="黑体" w:cs="黑体"/>
          <w:kern w:val="0"/>
          <w:szCs w:val="21"/>
        </w:rPr>
        <w:t>B</w:t>
      </w:r>
      <w:r>
        <w:rPr>
          <w:rFonts w:ascii="黑体" w:eastAsia="黑体" w:cs="黑体"/>
          <w:kern w:val="0"/>
          <w:szCs w:val="21"/>
        </w:rPr>
        <w:t xml:space="preserve">.3 </w:t>
      </w:r>
      <w:r>
        <w:rPr>
          <w:rFonts w:hint="eastAsia" w:ascii="黑体" w:eastAsia="黑体" w:cs="黑体"/>
          <w:kern w:val="0"/>
          <w:szCs w:val="21"/>
        </w:rPr>
        <w:t>基础清洁清洁剂</w:t>
      </w:r>
    </w:p>
    <w:p w14:paraId="5197C9BD">
      <w:pPr>
        <w:autoSpaceDE w:val="0"/>
        <w:autoSpaceDN w:val="0"/>
        <w:adjustRightInd w:val="0"/>
        <w:ind w:firstLine="420" w:firstLineChars="200"/>
        <w:jc w:val="left"/>
        <w:rPr>
          <w:rFonts w:ascii="宋体" w:cs="宋体"/>
          <w:kern w:val="0"/>
          <w:szCs w:val="21"/>
        </w:rPr>
      </w:pPr>
      <w:r>
        <w:rPr>
          <w:rFonts w:hint="eastAsia" w:ascii="宋体" w:cs="宋体"/>
          <w:kern w:val="0"/>
          <w:szCs w:val="21"/>
        </w:rPr>
        <w:t>基础清洁清洁剂按表</w:t>
      </w:r>
      <w:r>
        <w:rPr>
          <w:rFonts w:hint="eastAsia" w:ascii="TimesNewRomanPSMT" w:eastAsia="TimesNewRomanPSMT" w:cs="TimesNewRomanPSMT"/>
          <w:kern w:val="0"/>
          <w:szCs w:val="21"/>
        </w:rPr>
        <w:t>B</w:t>
      </w:r>
      <w:r>
        <w:rPr>
          <w:rFonts w:ascii="TimesNewRomanPSMT" w:eastAsia="TimesNewRomanPSMT" w:cs="TimesNewRomanPSMT"/>
          <w:kern w:val="0"/>
          <w:szCs w:val="21"/>
        </w:rPr>
        <w:t xml:space="preserve">.3 </w:t>
      </w:r>
      <w:r>
        <w:rPr>
          <w:rFonts w:hint="eastAsia" w:ascii="宋体" w:cs="宋体"/>
          <w:kern w:val="0"/>
          <w:szCs w:val="21"/>
        </w:rPr>
        <w:t>规定的配方进行配制。</w:t>
      </w:r>
    </w:p>
    <w:p w14:paraId="4839F030">
      <w:pPr>
        <w:kinsoku w:val="0"/>
        <w:overflowPunct w:val="0"/>
        <w:autoSpaceDE w:val="0"/>
        <w:autoSpaceDN w:val="0"/>
        <w:adjustRightInd w:val="0"/>
        <w:jc w:val="left"/>
        <w:rPr>
          <w:kern w:val="0"/>
          <w:sz w:val="24"/>
        </w:rPr>
      </w:pPr>
      <w:r>
        <w:rPr>
          <w:rFonts w:hint="eastAsia" w:ascii="宋体" w:cs="宋体"/>
          <w:kern w:val="0"/>
          <w:szCs w:val="21"/>
        </w:rPr>
        <w:t>所有成分均充分混合。</w:t>
      </w:r>
    </w:p>
    <w:p w14:paraId="055A89A5">
      <w:pPr>
        <w:pStyle w:val="22"/>
        <w:ind w:firstLine="0" w:firstLineChars="0"/>
        <w:jc w:val="center"/>
        <w:rPr>
          <w:rFonts w:ascii="黑体" w:eastAsia="黑体" w:cs="黑体"/>
          <w:szCs w:val="21"/>
        </w:rPr>
      </w:pPr>
      <w:r>
        <w:rPr>
          <w:rFonts w:hint="eastAsia" w:ascii="黑体" w:eastAsia="黑体" w:cs="黑体"/>
          <w:szCs w:val="21"/>
        </w:rPr>
        <w:t>表B</w:t>
      </w:r>
      <w:r>
        <w:rPr>
          <w:rFonts w:ascii="黑体" w:eastAsia="黑体" w:cs="黑体"/>
          <w:szCs w:val="21"/>
        </w:rPr>
        <w:t xml:space="preserve">.3 </w:t>
      </w:r>
      <w:r>
        <w:rPr>
          <w:rFonts w:hint="eastAsia" w:ascii="黑体" w:eastAsia="黑体" w:cs="黑体"/>
          <w:szCs w:val="21"/>
        </w:rPr>
        <w:t>基础清洁清洁剂</w:t>
      </w:r>
    </w:p>
    <w:tbl>
      <w:tblPr>
        <w:tblStyle w:val="31"/>
        <w:tblW w:w="0" w:type="auto"/>
        <w:tblInd w:w="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5"/>
        <w:gridCol w:w="3190"/>
        <w:gridCol w:w="2340"/>
      </w:tblGrid>
      <w:tr w14:paraId="5162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4471F05E">
            <w:pPr>
              <w:kinsoku w:val="0"/>
              <w:overflowPunct w:val="0"/>
              <w:autoSpaceDE w:val="0"/>
              <w:autoSpaceDN w:val="0"/>
              <w:adjustRightInd w:val="0"/>
              <w:spacing w:before="106"/>
              <w:ind w:left="377"/>
              <w:jc w:val="left"/>
              <w:rPr>
                <w:rFonts w:ascii="宋体" w:cs="宋体"/>
                <w:b/>
                <w:bCs/>
                <w:spacing w:val="-4"/>
                <w:kern w:val="0"/>
                <w:sz w:val="18"/>
                <w:szCs w:val="18"/>
              </w:rPr>
            </w:pPr>
            <w:r>
              <w:rPr>
                <w:rFonts w:hint="eastAsia" w:ascii="宋体" w:cs="宋体"/>
                <w:b/>
                <w:bCs/>
                <w:spacing w:val="-4"/>
                <w:kern w:val="0"/>
                <w:sz w:val="18"/>
                <w:szCs w:val="18"/>
              </w:rPr>
              <w:t>原材料</w:t>
            </w:r>
          </w:p>
        </w:tc>
        <w:tc>
          <w:tcPr>
            <w:tcW w:w="3190" w:type="dxa"/>
          </w:tcPr>
          <w:p w14:paraId="621F11C0">
            <w:pPr>
              <w:kinsoku w:val="0"/>
              <w:overflowPunct w:val="0"/>
              <w:autoSpaceDE w:val="0"/>
              <w:autoSpaceDN w:val="0"/>
              <w:adjustRightInd w:val="0"/>
              <w:spacing w:before="106"/>
              <w:ind w:right="1"/>
              <w:jc w:val="center"/>
              <w:rPr>
                <w:b/>
                <w:bCs/>
                <w:spacing w:val="-2"/>
                <w:kern w:val="0"/>
                <w:sz w:val="18"/>
                <w:szCs w:val="18"/>
              </w:rPr>
            </w:pPr>
            <w:r>
              <w:rPr>
                <w:rFonts w:hint="eastAsia" w:ascii="宋体" w:cs="宋体"/>
                <w:b/>
                <w:bCs/>
                <w:spacing w:val="-2"/>
                <w:kern w:val="0"/>
                <w:sz w:val="18"/>
                <w:szCs w:val="18"/>
              </w:rPr>
              <w:t>质量百分比</w:t>
            </w:r>
            <w:r>
              <w:rPr>
                <w:b/>
                <w:bCs/>
                <w:spacing w:val="-2"/>
                <w:kern w:val="0"/>
                <w:sz w:val="18"/>
                <w:szCs w:val="18"/>
              </w:rPr>
              <w:t>[%]</w:t>
            </w:r>
          </w:p>
        </w:tc>
        <w:tc>
          <w:tcPr>
            <w:tcW w:w="2340" w:type="dxa"/>
          </w:tcPr>
          <w:p w14:paraId="5CF8D727">
            <w:pPr>
              <w:kinsoku w:val="0"/>
              <w:overflowPunct w:val="0"/>
              <w:autoSpaceDE w:val="0"/>
              <w:autoSpaceDN w:val="0"/>
              <w:adjustRightInd w:val="0"/>
              <w:spacing w:before="106"/>
              <w:ind w:left="843"/>
              <w:jc w:val="center"/>
              <w:rPr>
                <w:rFonts w:ascii="宋体" w:cs="宋体"/>
                <w:b/>
                <w:bCs/>
                <w:kern w:val="0"/>
                <w:sz w:val="18"/>
                <w:szCs w:val="18"/>
              </w:rPr>
            </w:pPr>
            <w:r>
              <w:rPr>
                <w:b/>
                <w:bCs/>
                <w:kern w:val="0"/>
                <w:sz w:val="18"/>
                <w:szCs w:val="18"/>
              </w:rPr>
              <w:t xml:space="preserve">1 kg </w:t>
            </w:r>
            <w:r>
              <w:rPr>
                <w:rFonts w:hint="eastAsia" w:ascii="宋体" w:cs="宋体"/>
                <w:b/>
                <w:bCs/>
                <w:kern w:val="0"/>
                <w:sz w:val="18"/>
                <w:szCs w:val="18"/>
              </w:rPr>
              <w:t>中的质量</w:t>
            </w:r>
          </w:p>
        </w:tc>
      </w:tr>
      <w:tr w14:paraId="6BE5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58A9FD04">
            <w:pPr>
              <w:kinsoku w:val="0"/>
              <w:overflowPunct w:val="0"/>
              <w:autoSpaceDE w:val="0"/>
              <w:autoSpaceDN w:val="0"/>
              <w:adjustRightInd w:val="0"/>
              <w:spacing w:before="105"/>
              <w:ind w:left="288"/>
              <w:jc w:val="left"/>
              <w:rPr>
                <w:rFonts w:ascii="宋体" w:cs="宋体"/>
                <w:spacing w:val="-4"/>
                <w:kern w:val="0"/>
                <w:sz w:val="18"/>
                <w:szCs w:val="18"/>
              </w:rPr>
            </w:pPr>
            <w:r>
              <w:rPr>
                <w:rFonts w:hint="eastAsia" w:ascii="宋体" w:cs="宋体"/>
                <w:spacing w:val="-4"/>
                <w:kern w:val="0"/>
                <w:sz w:val="18"/>
                <w:szCs w:val="18"/>
              </w:rPr>
              <w:t>氢氧化钠</w:t>
            </w:r>
          </w:p>
        </w:tc>
        <w:tc>
          <w:tcPr>
            <w:tcW w:w="3190" w:type="dxa"/>
          </w:tcPr>
          <w:p w14:paraId="0C5C5F25">
            <w:pPr>
              <w:kinsoku w:val="0"/>
              <w:overflowPunct w:val="0"/>
              <w:autoSpaceDE w:val="0"/>
              <w:autoSpaceDN w:val="0"/>
              <w:adjustRightInd w:val="0"/>
              <w:spacing w:before="120"/>
              <w:ind w:left="1" w:right="1"/>
              <w:jc w:val="center"/>
              <w:rPr>
                <w:spacing w:val="-4"/>
                <w:kern w:val="0"/>
                <w:sz w:val="18"/>
                <w:szCs w:val="18"/>
              </w:rPr>
            </w:pPr>
            <w:r>
              <w:rPr>
                <w:spacing w:val="-4"/>
                <w:kern w:val="0"/>
                <w:sz w:val="18"/>
                <w:szCs w:val="18"/>
              </w:rPr>
              <w:t>30.0</w:t>
            </w:r>
          </w:p>
        </w:tc>
        <w:tc>
          <w:tcPr>
            <w:tcW w:w="2340" w:type="dxa"/>
          </w:tcPr>
          <w:p w14:paraId="4EBAB601">
            <w:pPr>
              <w:kinsoku w:val="0"/>
              <w:overflowPunct w:val="0"/>
              <w:autoSpaceDE w:val="0"/>
              <w:autoSpaceDN w:val="0"/>
              <w:adjustRightInd w:val="0"/>
              <w:spacing w:before="120"/>
              <w:ind w:left="1319"/>
              <w:jc w:val="left"/>
              <w:rPr>
                <w:kern w:val="0"/>
                <w:sz w:val="18"/>
                <w:szCs w:val="18"/>
              </w:rPr>
            </w:pPr>
            <w:r>
              <w:rPr>
                <w:kern w:val="0"/>
                <w:sz w:val="18"/>
                <w:szCs w:val="18"/>
              </w:rPr>
              <w:t>300.0 g</w:t>
            </w:r>
          </w:p>
        </w:tc>
      </w:tr>
      <w:tr w14:paraId="446D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4F3A88C5">
            <w:pPr>
              <w:kinsoku w:val="0"/>
              <w:overflowPunct w:val="0"/>
              <w:autoSpaceDE w:val="0"/>
              <w:autoSpaceDN w:val="0"/>
              <w:adjustRightInd w:val="0"/>
              <w:spacing w:before="105"/>
              <w:ind w:left="200"/>
              <w:jc w:val="left"/>
              <w:rPr>
                <w:rFonts w:ascii="宋体" w:cs="宋体"/>
                <w:spacing w:val="-2"/>
                <w:kern w:val="0"/>
                <w:sz w:val="18"/>
                <w:szCs w:val="18"/>
              </w:rPr>
            </w:pPr>
            <w:r>
              <w:rPr>
                <w:rFonts w:hint="eastAsia" w:ascii="宋体" w:cs="宋体"/>
                <w:spacing w:val="-2"/>
                <w:kern w:val="0"/>
                <w:sz w:val="18"/>
                <w:szCs w:val="18"/>
              </w:rPr>
              <w:t>三聚磷酸钠</w:t>
            </w:r>
          </w:p>
        </w:tc>
        <w:tc>
          <w:tcPr>
            <w:tcW w:w="3190" w:type="dxa"/>
          </w:tcPr>
          <w:p w14:paraId="139DCD1A">
            <w:pPr>
              <w:kinsoku w:val="0"/>
              <w:overflowPunct w:val="0"/>
              <w:autoSpaceDE w:val="0"/>
              <w:autoSpaceDN w:val="0"/>
              <w:adjustRightInd w:val="0"/>
              <w:spacing w:before="120"/>
              <w:ind w:left="1" w:right="1"/>
              <w:jc w:val="center"/>
              <w:rPr>
                <w:spacing w:val="-4"/>
                <w:kern w:val="0"/>
                <w:sz w:val="18"/>
                <w:szCs w:val="18"/>
              </w:rPr>
            </w:pPr>
            <w:r>
              <w:rPr>
                <w:spacing w:val="-4"/>
                <w:kern w:val="0"/>
                <w:sz w:val="18"/>
                <w:szCs w:val="18"/>
              </w:rPr>
              <w:t>30.0</w:t>
            </w:r>
          </w:p>
        </w:tc>
        <w:tc>
          <w:tcPr>
            <w:tcW w:w="2340" w:type="dxa"/>
          </w:tcPr>
          <w:p w14:paraId="27D228A0">
            <w:pPr>
              <w:kinsoku w:val="0"/>
              <w:overflowPunct w:val="0"/>
              <w:autoSpaceDE w:val="0"/>
              <w:autoSpaceDN w:val="0"/>
              <w:adjustRightInd w:val="0"/>
              <w:spacing w:before="120"/>
              <w:ind w:left="1319"/>
              <w:jc w:val="left"/>
              <w:rPr>
                <w:kern w:val="0"/>
                <w:sz w:val="18"/>
                <w:szCs w:val="18"/>
              </w:rPr>
            </w:pPr>
            <w:r>
              <w:rPr>
                <w:kern w:val="0"/>
                <w:sz w:val="18"/>
                <w:szCs w:val="18"/>
              </w:rPr>
              <w:t>300.0 g</w:t>
            </w:r>
          </w:p>
        </w:tc>
      </w:tr>
      <w:tr w14:paraId="4B71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316B300B">
            <w:pPr>
              <w:kinsoku w:val="0"/>
              <w:overflowPunct w:val="0"/>
              <w:autoSpaceDE w:val="0"/>
              <w:autoSpaceDN w:val="0"/>
              <w:adjustRightInd w:val="0"/>
              <w:spacing w:before="104"/>
              <w:ind w:left="288"/>
              <w:jc w:val="left"/>
              <w:rPr>
                <w:rFonts w:ascii="宋体" w:cs="宋体"/>
                <w:spacing w:val="-4"/>
                <w:kern w:val="0"/>
                <w:sz w:val="18"/>
                <w:szCs w:val="18"/>
              </w:rPr>
            </w:pPr>
            <w:r>
              <w:rPr>
                <w:rFonts w:hint="eastAsia" w:ascii="宋体" w:cs="宋体"/>
                <w:spacing w:val="-4"/>
                <w:kern w:val="0"/>
                <w:sz w:val="18"/>
                <w:szCs w:val="18"/>
              </w:rPr>
              <w:t>过碳酸钠</w:t>
            </w:r>
          </w:p>
        </w:tc>
        <w:tc>
          <w:tcPr>
            <w:tcW w:w="3190" w:type="dxa"/>
          </w:tcPr>
          <w:p w14:paraId="781EE2A5">
            <w:pPr>
              <w:kinsoku w:val="0"/>
              <w:overflowPunct w:val="0"/>
              <w:autoSpaceDE w:val="0"/>
              <w:autoSpaceDN w:val="0"/>
              <w:adjustRightInd w:val="0"/>
              <w:spacing w:before="120"/>
              <w:ind w:left="1" w:right="1"/>
              <w:jc w:val="center"/>
              <w:rPr>
                <w:spacing w:val="-4"/>
                <w:kern w:val="0"/>
                <w:sz w:val="18"/>
                <w:szCs w:val="18"/>
              </w:rPr>
            </w:pPr>
            <w:r>
              <w:rPr>
                <w:spacing w:val="-4"/>
                <w:kern w:val="0"/>
                <w:sz w:val="18"/>
                <w:szCs w:val="18"/>
              </w:rPr>
              <w:t>20.0</w:t>
            </w:r>
          </w:p>
        </w:tc>
        <w:tc>
          <w:tcPr>
            <w:tcW w:w="2340" w:type="dxa"/>
          </w:tcPr>
          <w:p w14:paraId="53E9CD2D">
            <w:pPr>
              <w:kinsoku w:val="0"/>
              <w:overflowPunct w:val="0"/>
              <w:autoSpaceDE w:val="0"/>
              <w:autoSpaceDN w:val="0"/>
              <w:adjustRightInd w:val="0"/>
              <w:spacing w:before="120"/>
              <w:ind w:left="1319"/>
              <w:jc w:val="left"/>
              <w:rPr>
                <w:kern w:val="0"/>
                <w:sz w:val="18"/>
                <w:szCs w:val="18"/>
              </w:rPr>
            </w:pPr>
            <w:r>
              <w:rPr>
                <w:kern w:val="0"/>
                <w:sz w:val="18"/>
                <w:szCs w:val="18"/>
              </w:rPr>
              <w:t>200.0 g</w:t>
            </w:r>
          </w:p>
        </w:tc>
      </w:tr>
      <w:tr w14:paraId="1AE1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4B17B6D5">
            <w:pPr>
              <w:kinsoku w:val="0"/>
              <w:overflowPunct w:val="0"/>
              <w:autoSpaceDE w:val="0"/>
              <w:autoSpaceDN w:val="0"/>
              <w:adjustRightInd w:val="0"/>
              <w:spacing w:before="106" w:line="233" w:lineRule="exact"/>
              <w:ind w:left="200"/>
              <w:jc w:val="left"/>
              <w:rPr>
                <w:rFonts w:ascii="宋体" w:cs="宋体"/>
                <w:spacing w:val="-2"/>
                <w:kern w:val="0"/>
                <w:sz w:val="18"/>
                <w:szCs w:val="18"/>
              </w:rPr>
            </w:pPr>
            <w:r>
              <w:rPr>
                <w:rFonts w:hint="eastAsia" w:ascii="宋体" w:cs="宋体"/>
                <w:spacing w:val="-2"/>
                <w:kern w:val="0"/>
                <w:sz w:val="18"/>
                <w:szCs w:val="18"/>
              </w:rPr>
              <w:t>偏硅酸二钠</w:t>
            </w:r>
          </w:p>
        </w:tc>
        <w:tc>
          <w:tcPr>
            <w:tcW w:w="3190" w:type="dxa"/>
          </w:tcPr>
          <w:p w14:paraId="67CDF93F">
            <w:pPr>
              <w:kinsoku w:val="0"/>
              <w:overflowPunct w:val="0"/>
              <w:autoSpaceDE w:val="0"/>
              <w:autoSpaceDN w:val="0"/>
              <w:adjustRightInd w:val="0"/>
              <w:spacing w:before="119"/>
              <w:ind w:left="1" w:right="1"/>
              <w:jc w:val="center"/>
              <w:rPr>
                <w:spacing w:val="-4"/>
                <w:kern w:val="0"/>
                <w:sz w:val="18"/>
                <w:szCs w:val="18"/>
              </w:rPr>
            </w:pPr>
            <w:r>
              <w:rPr>
                <w:spacing w:val="-4"/>
                <w:kern w:val="0"/>
                <w:sz w:val="18"/>
                <w:szCs w:val="18"/>
              </w:rPr>
              <w:t>20.0</w:t>
            </w:r>
          </w:p>
        </w:tc>
        <w:tc>
          <w:tcPr>
            <w:tcW w:w="2340" w:type="dxa"/>
          </w:tcPr>
          <w:p w14:paraId="63DFC6FE">
            <w:pPr>
              <w:kinsoku w:val="0"/>
              <w:overflowPunct w:val="0"/>
              <w:autoSpaceDE w:val="0"/>
              <w:autoSpaceDN w:val="0"/>
              <w:adjustRightInd w:val="0"/>
              <w:spacing w:before="119"/>
              <w:ind w:left="1319"/>
              <w:jc w:val="left"/>
              <w:rPr>
                <w:kern w:val="0"/>
                <w:sz w:val="18"/>
                <w:szCs w:val="18"/>
              </w:rPr>
            </w:pPr>
            <w:r>
              <w:rPr>
                <w:kern w:val="0"/>
                <w:sz w:val="18"/>
                <w:szCs w:val="18"/>
              </w:rPr>
              <w:t>200.0 g</w:t>
            </w:r>
          </w:p>
        </w:tc>
      </w:tr>
      <w:tr w14:paraId="1D78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2245" w:type="dxa"/>
          </w:tcPr>
          <w:p w14:paraId="6782874E">
            <w:pPr>
              <w:kinsoku w:val="0"/>
              <w:overflowPunct w:val="0"/>
              <w:autoSpaceDE w:val="0"/>
              <w:autoSpaceDN w:val="0"/>
              <w:adjustRightInd w:val="0"/>
              <w:spacing w:before="106" w:line="234" w:lineRule="exact"/>
              <w:ind w:left="468"/>
              <w:jc w:val="left"/>
              <w:rPr>
                <w:rFonts w:ascii="宋体" w:cs="宋体"/>
                <w:spacing w:val="-6"/>
                <w:kern w:val="0"/>
                <w:sz w:val="18"/>
                <w:szCs w:val="18"/>
              </w:rPr>
            </w:pPr>
            <w:r>
              <w:rPr>
                <w:rFonts w:hint="eastAsia" w:ascii="宋体" w:cs="宋体"/>
                <w:spacing w:val="-6"/>
                <w:kern w:val="0"/>
                <w:sz w:val="18"/>
                <w:szCs w:val="18"/>
              </w:rPr>
              <w:t>总数</w:t>
            </w:r>
          </w:p>
        </w:tc>
        <w:tc>
          <w:tcPr>
            <w:tcW w:w="3190" w:type="dxa"/>
          </w:tcPr>
          <w:p w14:paraId="158DADE7">
            <w:pPr>
              <w:kinsoku w:val="0"/>
              <w:overflowPunct w:val="0"/>
              <w:autoSpaceDE w:val="0"/>
              <w:autoSpaceDN w:val="0"/>
              <w:adjustRightInd w:val="0"/>
              <w:spacing w:before="119"/>
              <w:ind w:left="1" w:right="1"/>
              <w:jc w:val="center"/>
              <w:rPr>
                <w:spacing w:val="-2"/>
                <w:kern w:val="0"/>
                <w:sz w:val="18"/>
                <w:szCs w:val="18"/>
              </w:rPr>
            </w:pPr>
            <w:r>
              <w:rPr>
                <w:spacing w:val="-2"/>
                <w:kern w:val="0"/>
                <w:sz w:val="18"/>
                <w:szCs w:val="18"/>
              </w:rPr>
              <w:t>100.0</w:t>
            </w:r>
          </w:p>
        </w:tc>
        <w:tc>
          <w:tcPr>
            <w:tcW w:w="2340" w:type="dxa"/>
          </w:tcPr>
          <w:p w14:paraId="77554657">
            <w:pPr>
              <w:kinsoku w:val="0"/>
              <w:overflowPunct w:val="0"/>
              <w:autoSpaceDE w:val="0"/>
              <w:autoSpaceDN w:val="0"/>
              <w:adjustRightInd w:val="0"/>
              <w:spacing w:before="119"/>
              <w:ind w:left="843" w:right="1"/>
              <w:jc w:val="center"/>
              <w:rPr>
                <w:kern w:val="0"/>
                <w:sz w:val="18"/>
                <w:szCs w:val="18"/>
              </w:rPr>
            </w:pPr>
            <w:r>
              <w:rPr>
                <w:kern w:val="0"/>
                <w:sz w:val="18"/>
                <w:szCs w:val="18"/>
              </w:rPr>
              <w:t>1000.0 g</w:t>
            </w:r>
          </w:p>
        </w:tc>
      </w:tr>
    </w:tbl>
    <w:p w14:paraId="2EF2B078">
      <w:pPr>
        <w:kinsoku w:val="0"/>
        <w:overflowPunct w:val="0"/>
        <w:autoSpaceDE w:val="0"/>
        <w:autoSpaceDN w:val="0"/>
        <w:adjustRightInd w:val="0"/>
        <w:jc w:val="left"/>
        <w:rPr>
          <w:kern w:val="0"/>
          <w:sz w:val="24"/>
        </w:rPr>
      </w:pPr>
    </w:p>
    <w:p w14:paraId="15357BB5">
      <w:pPr>
        <w:autoSpaceDE w:val="0"/>
        <w:autoSpaceDN w:val="0"/>
        <w:adjustRightInd w:val="0"/>
        <w:jc w:val="left"/>
        <w:rPr>
          <w:rFonts w:ascii="黑体" w:eastAsia="黑体" w:cs="黑体"/>
          <w:kern w:val="0"/>
          <w:szCs w:val="21"/>
        </w:rPr>
      </w:pPr>
      <w:r>
        <w:rPr>
          <w:rFonts w:hint="eastAsia" w:ascii="黑体" w:eastAsia="黑体" w:cs="黑体"/>
          <w:kern w:val="0"/>
          <w:szCs w:val="21"/>
        </w:rPr>
        <w:t>B</w:t>
      </w:r>
      <w:r>
        <w:rPr>
          <w:rFonts w:ascii="黑体" w:eastAsia="黑体" w:cs="黑体"/>
          <w:kern w:val="0"/>
          <w:szCs w:val="21"/>
        </w:rPr>
        <w:t xml:space="preserve">.4 </w:t>
      </w:r>
      <w:r>
        <w:rPr>
          <w:rFonts w:hint="eastAsia" w:ascii="黑体" w:eastAsia="黑体" w:cs="黑体"/>
          <w:kern w:val="0"/>
          <w:szCs w:val="21"/>
        </w:rPr>
        <w:t xml:space="preserve">装载 </w:t>
      </w:r>
    </w:p>
    <w:p w14:paraId="5AEFE0FA">
      <w:pPr>
        <w:autoSpaceDE w:val="0"/>
        <w:autoSpaceDN w:val="0"/>
        <w:adjustRightInd w:val="0"/>
        <w:ind w:firstLine="420" w:firstLineChars="200"/>
        <w:jc w:val="left"/>
        <w:rPr>
          <w:rFonts w:ascii="宋体" w:cs="宋体"/>
          <w:kern w:val="0"/>
          <w:szCs w:val="21"/>
        </w:rPr>
      </w:pPr>
      <w:r>
        <w:rPr>
          <w:rFonts w:hint="eastAsia" w:ascii="宋体" w:cs="宋体"/>
          <w:kern w:val="0"/>
          <w:szCs w:val="21"/>
        </w:rPr>
        <w:t>如果洗碗机配有碗篮，则应使用该碗篮进行试验。</w:t>
      </w:r>
    </w:p>
    <w:p w14:paraId="3F96C9C3">
      <w:pPr>
        <w:autoSpaceDE w:val="0"/>
        <w:autoSpaceDN w:val="0"/>
        <w:adjustRightInd w:val="0"/>
        <w:ind w:firstLine="420" w:firstLineChars="200"/>
        <w:jc w:val="left"/>
        <w:rPr>
          <w:rFonts w:ascii="宋体" w:cs="宋体"/>
          <w:kern w:val="0"/>
          <w:szCs w:val="21"/>
        </w:rPr>
      </w:pPr>
      <w:r>
        <w:rPr>
          <w:rFonts w:hint="eastAsia" w:ascii="宋体" w:cs="宋体"/>
          <w:kern w:val="0"/>
          <w:szCs w:val="21"/>
        </w:rPr>
        <w:t>如果洗碗机没有提供碗篮，则应使用可用的标准碗篮。</w:t>
      </w:r>
    </w:p>
    <w:p w14:paraId="42D9DA9E">
      <w:pPr>
        <w:autoSpaceDE w:val="0"/>
        <w:autoSpaceDN w:val="0"/>
        <w:adjustRightInd w:val="0"/>
        <w:ind w:firstLine="420" w:firstLineChars="200"/>
        <w:jc w:val="left"/>
        <w:rPr>
          <w:rFonts w:ascii="宋体" w:cs="宋体"/>
          <w:kern w:val="0"/>
          <w:szCs w:val="21"/>
        </w:rPr>
      </w:pPr>
      <w:r>
        <w:rPr>
          <w:rFonts w:hint="eastAsia" w:ascii="宋体" w:cs="宋体"/>
          <w:kern w:val="0"/>
          <w:szCs w:val="21"/>
        </w:rPr>
        <w:t>负载可选择使用西式餐具或中式餐具。</w:t>
      </w:r>
    </w:p>
    <w:p w14:paraId="6CCD97EF">
      <w:pPr>
        <w:autoSpaceDE w:val="0"/>
        <w:autoSpaceDN w:val="0"/>
        <w:adjustRightInd w:val="0"/>
        <w:ind w:firstLine="420" w:firstLineChars="200"/>
        <w:jc w:val="left"/>
        <w:rPr>
          <w:rFonts w:ascii="宋体" w:cs="宋体"/>
          <w:kern w:val="0"/>
          <w:szCs w:val="21"/>
        </w:rPr>
      </w:pPr>
      <w:r>
        <w:rPr>
          <w:rFonts w:hint="eastAsia" w:ascii="宋体" w:cs="宋体"/>
          <w:kern w:val="0"/>
          <w:szCs w:val="21"/>
        </w:rPr>
        <w:t>西式餐具的装载：对于碗篮尺寸为500 mm×500 mm 的洗碗机，碗篮应装载18 个盘子；对于碗篮尺寸为400 mm×400 mm 的洗碗机，碗篮应装载10 个盘子。</w:t>
      </w:r>
    </w:p>
    <w:p w14:paraId="264AAAD4">
      <w:pPr>
        <w:autoSpaceDE w:val="0"/>
        <w:autoSpaceDN w:val="0"/>
        <w:adjustRightInd w:val="0"/>
        <w:ind w:firstLine="420" w:firstLineChars="200"/>
        <w:jc w:val="left"/>
        <w:rPr>
          <w:rFonts w:ascii="宋体" w:cs="宋体"/>
          <w:kern w:val="0"/>
          <w:szCs w:val="21"/>
        </w:rPr>
      </w:pPr>
      <w:r>
        <w:rPr>
          <w:rFonts w:hint="eastAsia" w:ascii="宋体" w:cs="宋体"/>
          <w:kern w:val="0"/>
          <w:szCs w:val="21"/>
        </w:rPr>
        <w:t>盘子为瓷盘。</w:t>
      </w:r>
    </w:p>
    <w:p w14:paraId="1F4C0AFE">
      <w:pPr>
        <w:autoSpaceDE w:val="0"/>
        <w:autoSpaceDN w:val="0"/>
        <w:adjustRightInd w:val="0"/>
        <w:ind w:firstLine="420" w:firstLineChars="200"/>
        <w:jc w:val="left"/>
        <w:rPr>
          <w:rFonts w:ascii="宋体" w:cs="宋体"/>
          <w:kern w:val="0"/>
          <w:szCs w:val="21"/>
        </w:rPr>
      </w:pPr>
      <w:r>
        <w:rPr>
          <w:rFonts w:hint="eastAsia" w:ascii="宋体" w:cs="宋体"/>
          <w:kern w:val="0"/>
          <w:szCs w:val="21"/>
        </w:rPr>
        <w:t>符合本文件的盘子示例：盘子平直径为240 mm，可选编号Nr.9051244或与其质量规格相同的盘子。</w:t>
      </w:r>
    </w:p>
    <w:p w14:paraId="434E7662">
      <w:pPr>
        <w:autoSpaceDE w:val="0"/>
        <w:autoSpaceDN w:val="0"/>
        <w:adjustRightInd w:val="0"/>
        <w:ind w:firstLine="420" w:firstLineChars="200"/>
        <w:jc w:val="left"/>
        <w:rPr>
          <w:rFonts w:ascii="宋体" w:cs="宋体"/>
          <w:kern w:val="0"/>
          <w:szCs w:val="21"/>
        </w:rPr>
      </w:pPr>
      <w:r>
        <w:rPr>
          <w:rFonts w:hint="eastAsia" w:ascii="宋体" w:cs="宋体"/>
          <w:kern w:val="0"/>
          <w:szCs w:val="21"/>
        </w:rPr>
        <w:t>建议在盘子之间放置纸张，以免刮蹭盘子。</w:t>
      </w:r>
    </w:p>
    <w:p w14:paraId="566F7109">
      <w:pPr>
        <w:autoSpaceDE w:val="0"/>
        <w:autoSpaceDN w:val="0"/>
        <w:adjustRightInd w:val="0"/>
        <w:ind w:firstLine="420" w:firstLineChars="200"/>
        <w:jc w:val="left"/>
        <w:rPr>
          <w:rFonts w:ascii="宋体" w:cs="宋体"/>
          <w:kern w:val="0"/>
          <w:szCs w:val="21"/>
        </w:rPr>
      </w:pPr>
      <w:r>
        <w:rPr>
          <w:rFonts w:hint="eastAsia" w:ascii="宋体" w:cs="宋体"/>
          <w:kern w:val="0"/>
          <w:szCs w:val="21"/>
        </w:rPr>
        <w:t>中式餐具装载规格：平直径（155±2） mm，强化瓷，质量为（250±10）g。中式餐具的平直径如图B.1 所示。对于碗篮尺寸为500 mm ×500 mm 的洗碗机，每个碗篮应装载24 个盘子；对于碗篮尺寸为400 mm ×400 mm 的洗碗机，每个碗篮应装载14 个盘子。</w:t>
      </w:r>
    </w:p>
    <w:p w14:paraId="6DEBC3D5">
      <w:pPr>
        <w:pStyle w:val="22"/>
        <w:jc w:val="center"/>
        <w:rPr>
          <w:rFonts w:ascii="黑体" w:eastAsia="黑体" w:cs="黑体"/>
          <w:szCs w:val="21"/>
        </w:rPr>
      </w:pPr>
      <w:r>
        <w:rPr>
          <w:rFonts w:hint="eastAsia" w:ascii="黑体" w:eastAsia="黑体" w:cs="黑体"/>
          <w:szCs w:val="21"/>
        </w:rPr>
        <w:drawing>
          <wp:inline distT="0" distB="0" distL="0" distR="0">
            <wp:extent cx="4420235" cy="1615440"/>
            <wp:effectExtent l="0" t="0" r="0" b="3810"/>
            <wp:docPr id="1124215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15625"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47368" cy="1625567"/>
                    </a:xfrm>
                    <a:prstGeom prst="rect">
                      <a:avLst/>
                    </a:prstGeom>
                    <a:noFill/>
                    <a:ln>
                      <a:noFill/>
                    </a:ln>
                  </pic:spPr>
                </pic:pic>
              </a:graphicData>
            </a:graphic>
          </wp:inline>
        </w:drawing>
      </w:r>
    </w:p>
    <w:p w14:paraId="199B034B">
      <w:pPr>
        <w:pStyle w:val="22"/>
        <w:jc w:val="center"/>
        <w:rPr>
          <w:rFonts w:ascii="黑体" w:eastAsia="黑体" w:cs="黑体"/>
          <w:szCs w:val="21"/>
        </w:rPr>
      </w:pPr>
      <w:r>
        <w:rPr>
          <w:rFonts w:hint="eastAsia" w:ascii="黑体" w:eastAsia="黑体" w:cs="黑体"/>
          <w:szCs w:val="21"/>
        </w:rPr>
        <w:t>图B</w:t>
      </w:r>
      <w:r>
        <w:rPr>
          <w:rFonts w:ascii="黑体" w:eastAsia="黑体" w:cs="黑体"/>
          <w:szCs w:val="21"/>
        </w:rPr>
        <w:t xml:space="preserve">.1 </w:t>
      </w:r>
      <w:r>
        <w:rPr>
          <w:rFonts w:hint="eastAsia" w:ascii="黑体" w:eastAsia="黑体" w:cs="黑体"/>
          <w:szCs w:val="21"/>
        </w:rPr>
        <w:t>中式餐具的平直径</w:t>
      </w:r>
    </w:p>
    <w:p w14:paraId="6FC57EB4">
      <w:pPr>
        <w:pStyle w:val="22"/>
        <w:jc w:val="center"/>
        <w:rPr>
          <w:rFonts w:ascii="黑体" w:eastAsia="黑体" w:cs="黑体"/>
          <w:szCs w:val="21"/>
        </w:rPr>
      </w:pPr>
    </w:p>
    <w:p w14:paraId="75009213">
      <w:pPr>
        <w:pStyle w:val="22"/>
        <w:jc w:val="center"/>
        <w:rPr>
          <w:rFonts w:ascii="黑体" w:eastAsia="黑体" w:cs="黑体"/>
          <w:szCs w:val="21"/>
        </w:rPr>
      </w:pPr>
    </w:p>
    <w:p w14:paraId="014274C4">
      <w:pPr>
        <w:pStyle w:val="22"/>
        <w:jc w:val="center"/>
        <w:rPr>
          <w:rFonts w:ascii="黑体" w:eastAsia="黑体" w:cs="黑体"/>
          <w:szCs w:val="21"/>
        </w:rPr>
      </w:pPr>
    </w:p>
    <w:p w14:paraId="4DD046B5">
      <w:pPr>
        <w:pStyle w:val="22"/>
        <w:jc w:val="center"/>
        <w:rPr>
          <w:rFonts w:ascii="黑体" w:eastAsia="黑体" w:cs="黑体"/>
          <w:szCs w:val="21"/>
        </w:rPr>
      </w:pPr>
    </w:p>
    <w:p w14:paraId="7E1900C9">
      <w:pPr>
        <w:pStyle w:val="22"/>
        <w:jc w:val="center"/>
        <w:rPr>
          <w:rFonts w:ascii="黑体" w:eastAsia="黑体" w:cs="黑体"/>
          <w:szCs w:val="21"/>
        </w:rPr>
      </w:pPr>
    </w:p>
    <w:p w14:paraId="53968682">
      <w:pPr>
        <w:pStyle w:val="22"/>
        <w:jc w:val="center"/>
        <w:rPr>
          <w:rFonts w:ascii="黑体" w:eastAsia="黑体" w:cs="黑体"/>
          <w:szCs w:val="21"/>
        </w:rPr>
      </w:pPr>
    </w:p>
    <w:p w14:paraId="020D2C5F">
      <w:pPr>
        <w:pStyle w:val="22"/>
        <w:jc w:val="center"/>
        <w:rPr>
          <w:rFonts w:ascii="黑体" w:eastAsia="黑体" w:cs="黑体"/>
          <w:szCs w:val="21"/>
        </w:rPr>
      </w:pPr>
    </w:p>
    <w:p w14:paraId="1F62A267">
      <w:pPr>
        <w:pStyle w:val="22"/>
        <w:jc w:val="center"/>
        <w:rPr>
          <w:rFonts w:ascii="黑体" w:eastAsia="黑体" w:cs="黑体"/>
          <w:szCs w:val="21"/>
        </w:rPr>
      </w:pPr>
    </w:p>
    <w:p w14:paraId="785E8DC1">
      <w:pPr>
        <w:pStyle w:val="22"/>
        <w:jc w:val="center"/>
        <w:rPr>
          <w:rFonts w:ascii="黑体" w:eastAsia="黑体" w:cs="黑体"/>
          <w:szCs w:val="21"/>
        </w:rPr>
      </w:pPr>
    </w:p>
    <w:p w14:paraId="32C0480F">
      <w:pPr>
        <w:pStyle w:val="22"/>
        <w:jc w:val="center"/>
        <w:rPr>
          <w:rFonts w:ascii="黑体" w:eastAsia="黑体" w:cs="黑体"/>
          <w:szCs w:val="21"/>
        </w:rPr>
      </w:pPr>
    </w:p>
    <w:p w14:paraId="2F7992F3">
      <w:pPr>
        <w:pStyle w:val="22"/>
        <w:jc w:val="center"/>
        <w:rPr>
          <w:rFonts w:ascii="黑体" w:eastAsia="黑体" w:cs="黑体"/>
          <w:szCs w:val="21"/>
        </w:rPr>
      </w:pPr>
    </w:p>
    <w:p w14:paraId="3F895AE0">
      <w:pPr>
        <w:pStyle w:val="22"/>
        <w:jc w:val="center"/>
        <w:rPr>
          <w:rFonts w:ascii="黑体" w:eastAsia="黑体" w:cs="黑体"/>
          <w:szCs w:val="21"/>
        </w:rPr>
      </w:pPr>
    </w:p>
    <w:p w14:paraId="4E46025A">
      <w:pPr>
        <w:pStyle w:val="22"/>
        <w:jc w:val="center"/>
        <w:rPr>
          <w:rFonts w:ascii="黑体" w:eastAsia="黑体" w:cs="黑体"/>
          <w:szCs w:val="21"/>
        </w:rPr>
      </w:pPr>
    </w:p>
    <w:p w14:paraId="7F2A4677">
      <w:pPr>
        <w:pStyle w:val="22"/>
        <w:jc w:val="center"/>
        <w:rPr>
          <w:rFonts w:ascii="黑体" w:eastAsia="黑体" w:cs="黑体"/>
          <w:szCs w:val="21"/>
        </w:rPr>
      </w:pPr>
    </w:p>
    <w:p w14:paraId="4E0AAAE2">
      <w:pPr>
        <w:pStyle w:val="22"/>
        <w:jc w:val="center"/>
        <w:rPr>
          <w:rFonts w:ascii="黑体" w:eastAsia="黑体" w:cs="黑体"/>
          <w:szCs w:val="21"/>
        </w:rPr>
      </w:pPr>
    </w:p>
    <w:p w14:paraId="69A19CC7">
      <w:pPr>
        <w:pStyle w:val="22"/>
        <w:jc w:val="center"/>
        <w:rPr>
          <w:rFonts w:ascii="黑体" w:eastAsia="黑体" w:cs="黑体"/>
          <w:szCs w:val="21"/>
        </w:rPr>
      </w:pPr>
    </w:p>
    <w:p w14:paraId="74747326">
      <w:pPr>
        <w:pStyle w:val="22"/>
        <w:jc w:val="center"/>
        <w:rPr>
          <w:rFonts w:ascii="黑体" w:eastAsia="黑体" w:cs="黑体"/>
          <w:szCs w:val="21"/>
        </w:rPr>
      </w:pPr>
    </w:p>
    <w:p w14:paraId="6A826B87">
      <w:pPr>
        <w:pStyle w:val="22"/>
        <w:jc w:val="center"/>
        <w:rPr>
          <w:rFonts w:ascii="黑体" w:eastAsia="黑体" w:cs="黑体"/>
          <w:szCs w:val="21"/>
        </w:rPr>
      </w:pPr>
    </w:p>
    <w:p w14:paraId="1E6D4CD1">
      <w:pPr>
        <w:pStyle w:val="22"/>
        <w:jc w:val="center"/>
        <w:rPr>
          <w:rFonts w:ascii="黑体" w:eastAsia="黑体" w:cs="黑体"/>
          <w:szCs w:val="21"/>
        </w:rPr>
      </w:pPr>
    </w:p>
    <w:p w14:paraId="4FE3AEA0">
      <w:pPr>
        <w:pStyle w:val="22"/>
        <w:jc w:val="center"/>
        <w:rPr>
          <w:rFonts w:ascii="黑体" w:eastAsia="黑体" w:cs="黑体"/>
          <w:szCs w:val="21"/>
        </w:rPr>
      </w:pPr>
    </w:p>
    <w:p w14:paraId="155CD508">
      <w:pPr>
        <w:pStyle w:val="22"/>
        <w:jc w:val="center"/>
        <w:rPr>
          <w:rFonts w:ascii="黑体" w:eastAsia="黑体" w:cs="黑体"/>
          <w:szCs w:val="21"/>
        </w:rPr>
      </w:pPr>
    </w:p>
    <w:p w14:paraId="391FCFE5">
      <w:pPr>
        <w:pStyle w:val="22"/>
        <w:jc w:val="center"/>
        <w:rPr>
          <w:rFonts w:ascii="黑体" w:eastAsia="黑体" w:cs="黑体"/>
          <w:szCs w:val="21"/>
        </w:rPr>
      </w:pPr>
    </w:p>
    <w:p w14:paraId="42596AD6">
      <w:pPr>
        <w:pStyle w:val="22"/>
        <w:jc w:val="center"/>
        <w:rPr>
          <w:rFonts w:ascii="黑体" w:eastAsia="黑体" w:cs="黑体"/>
          <w:szCs w:val="21"/>
        </w:rPr>
      </w:pPr>
    </w:p>
    <w:p w14:paraId="57F7B15A">
      <w:pPr>
        <w:pStyle w:val="22"/>
        <w:jc w:val="center"/>
        <w:rPr>
          <w:rFonts w:ascii="黑体" w:eastAsia="黑体" w:cs="黑体"/>
          <w:szCs w:val="21"/>
        </w:rPr>
      </w:pPr>
    </w:p>
    <w:p w14:paraId="59951C57">
      <w:pPr>
        <w:pStyle w:val="22"/>
        <w:jc w:val="center"/>
        <w:rPr>
          <w:rFonts w:ascii="黑体" w:eastAsia="黑体" w:cs="黑体"/>
          <w:szCs w:val="21"/>
        </w:rPr>
      </w:pPr>
    </w:p>
    <w:p w14:paraId="3BA9DDAD">
      <w:pPr>
        <w:pStyle w:val="22"/>
        <w:jc w:val="center"/>
        <w:rPr>
          <w:rFonts w:ascii="黑体" w:eastAsia="黑体" w:cs="黑体"/>
          <w:szCs w:val="21"/>
        </w:rPr>
      </w:pPr>
    </w:p>
    <w:p w14:paraId="5EF1B00C">
      <w:pPr>
        <w:pStyle w:val="22"/>
        <w:jc w:val="center"/>
        <w:rPr>
          <w:rFonts w:ascii="黑体" w:eastAsia="黑体" w:cs="黑体"/>
          <w:szCs w:val="21"/>
        </w:rPr>
      </w:pPr>
    </w:p>
    <w:p w14:paraId="083C30E8">
      <w:pPr>
        <w:pStyle w:val="22"/>
        <w:ind w:firstLine="0" w:firstLineChars="0"/>
        <w:rPr>
          <w:rFonts w:ascii="黑体" w:eastAsia="黑体" w:cs="黑体"/>
          <w:szCs w:val="21"/>
        </w:rPr>
      </w:pPr>
    </w:p>
    <w:p w14:paraId="7D298E4A">
      <w:pPr>
        <w:autoSpaceDE w:val="0"/>
        <w:autoSpaceDN w:val="0"/>
        <w:adjustRightInd w:val="0"/>
        <w:jc w:val="center"/>
        <w:rPr>
          <w:rFonts w:ascii="黑体" w:eastAsia="黑体" w:cs="黑体"/>
          <w:kern w:val="0"/>
          <w:szCs w:val="21"/>
        </w:rPr>
      </w:pPr>
      <w:r>
        <w:rPr>
          <w:rFonts w:hint="eastAsia" w:ascii="黑体" w:eastAsia="黑体" w:cs="黑体"/>
          <w:kern w:val="0"/>
          <w:szCs w:val="21"/>
        </w:rPr>
        <w:t>附 录 C</w:t>
      </w:r>
    </w:p>
    <w:p w14:paraId="3E44ADFD">
      <w:pPr>
        <w:autoSpaceDE w:val="0"/>
        <w:autoSpaceDN w:val="0"/>
        <w:adjustRightInd w:val="0"/>
        <w:jc w:val="center"/>
        <w:rPr>
          <w:rFonts w:ascii="黑体" w:eastAsia="黑体" w:cs="黑体"/>
          <w:kern w:val="0"/>
          <w:szCs w:val="21"/>
        </w:rPr>
      </w:pPr>
      <w:r>
        <w:rPr>
          <w:rFonts w:hint="eastAsia" w:ascii="黑体" w:eastAsia="黑体" w:cs="黑体"/>
          <w:kern w:val="0"/>
          <w:szCs w:val="21"/>
        </w:rPr>
        <w:t>（资料性）</w:t>
      </w:r>
    </w:p>
    <w:p w14:paraId="48C9B9B8">
      <w:pPr>
        <w:pStyle w:val="22"/>
        <w:ind w:firstLine="3990" w:firstLineChars="1900"/>
        <w:rPr>
          <w:rFonts w:ascii="黑体" w:eastAsia="黑体" w:cs="黑体"/>
          <w:szCs w:val="21"/>
        </w:rPr>
      </w:pPr>
      <w:r>
        <w:rPr>
          <w:rFonts w:hint="eastAsia" w:ascii="黑体" w:eastAsia="黑体" w:cs="黑体"/>
          <w:szCs w:val="21"/>
        </w:rPr>
        <w:t>试验步骤流程图</w:t>
      </w:r>
    </w:p>
    <w:p w14:paraId="213CA607">
      <w:pPr>
        <w:pStyle w:val="22"/>
        <w:jc w:val="left"/>
        <w:rPr>
          <w:rFonts w:ascii="黑体" w:eastAsia="黑体" w:cs="黑体"/>
          <w:szCs w:val="21"/>
        </w:rPr>
      </w:pPr>
      <w:r>
        <w:rPr>
          <w:rFonts w:hint="eastAsia" w:ascii="黑体" w:eastAsia="黑体" w:cs="黑体"/>
          <w:szCs w:val="21"/>
        </w:rPr>
        <w:t>图C.1 为试验顺序。</w:t>
      </w:r>
    </w:p>
    <w:p w14:paraId="3561E8D7">
      <w:pPr>
        <w:pStyle w:val="22"/>
        <w:jc w:val="center"/>
        <w:rPr>
          <w:rFonts w:ascii="黑体" w:eastAsia="黑体" w:cs="黑体"/>
          <w:szCs w:val="21"/>
        </w:rPr>
      </w:pPr>
      <w:r>
        <w:rPr>
          <w:rFonts w:hint="eastAsia" w:ascii="黑体" w:eastAsia="黑体" w:cs="黑体"/>
          <w:szCs w:val="21"/>
        </w:rPr>
        <w:drawing>
          <wp:inline distT="0" distB="0" distL="0" distR="0">
            <wp:extent cx="5939790" cy="1753235"/>
            <wp:effectExtent l="0" t="0" r="3810" b="0"/>
            <wp:docPr id="1738359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59535"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39790" cy="1753235"/>
                    </a:xfrm>
                    <a:prstGeom prst="rect">
                      <a:avLst/>
                    </a:prstGeom>
                    <a:noFill/>
                    <a:ln>
                      <a:noFill/>
                    </a:ln>
                  </pic:spPr>
                </pic:pic>
              </a:graphicData>
            </a:graphic>
          </wp:inline>
        </w:drawing>
      </w:r>
    </w:p>
    <w:p w14:paraId="0B9643E4">
      <w:pPr>
        <w:pStyle w:val="22"/>
        <w:jc w:val="center"/>
        <w:rPr>
          <w:rFonts w:ascii="黑体" w:eastAsia="黑体" w:cs="黑体"/>
          <w:szCs w:val="21"/>
        </w:rPr>
      </w:pPr>
    </w:p>
    <w:p w14:paraId="139C0AD6">
      <w:pPr>
        <w:pStyle w:val="22"/>
        <w:jc w:val="center"/>
        <w:rPr>
          <w:rFonts w:ascii="黑体" w:eastAsia="黑体" w:cs="黑体"/>
          <w:szCs w:val="21"/>
        </w:rPr>
      </w:pPr>
      <w:r>
        <w:rPr>
          <w:rFonts w:hint="eastAsia" w:ascii="黑体" w:eastAsia="黑体" w:cs="黑体"/>
          <w:szCs w:val="21"/>
        </w:rPr>
        <w:t>图C.1 试验顺序流程图</w:t>
      </w:r>
    </w:p>
    <w:p w14:paraId="061E3308">
      <w:pPr>
        <w:pStyle w:val="22"/>
        <w:jc w:val="center"/>
        <w:rPr>
          <w:rFonts w:ascii="黑体" w:eastAsia="黑体" w:cs="黑体"/>
          <w:szCs w:val="21"/>
        </w:rPr>
      </w:pPr>
    </w:p>
    <w:p w14:paraId="5AF3DC73">
      <w:pPr>
        <w:pStyle w:val="128"/>
        <w:framePr w:wrap="around" w:hAnchor="page" w:x="4825" w:y="50"/>
      </w:pPr>
      <w:r>
        <w:t>_________________________________</w:t>
      </w:r>
    </w:p>
    <w:p w14:paraId="7418AD87">
      <w:pPr>
        <w:pStyle w:val="22"/>
        <w:jc w:val="left"/>
        <w:rPr>
          <w:rFonts w:ascii="黑体" w:eastAsia="黑体" w:cs="黑体"/>
          <w:szCs w:val="21"/>
        </w:rPr>
      </w:pPr>
    </w:p>
    <w:p w14:paraId="57C6FDD7">
      <w:pPr>
        <w:pStyle w:val="22"/>
        <w:jc w:val="center"/>
        <w:rPr>
          <w:rFonts w:ascii="黑体" w:eastAsia="黑体" w:cs="黑体"/>
          <w:szCs w:val="21"/>
        </w:rPr>
      </w:pPr>
    </w:p>
    <w:sectPr>
      <w:headerReference r:id="rId9" w:type="default"/>
      <w:footerReference r:id="rId11" w:type="default"/>
      <w:headerReference r:id="rId10" w:type="even"/>
      <w:footerReference r:id="rId12" w:type="even"/>
      <w:pgSz w:w="11906" w:h="16838"/>
      <w:pgMar w:top="567" w:right="1134" w:bottom="1134" w:left="1418"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imesNewRomanPSMT">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619C2">
    <w:pPr>
      <w:pStyle w:val="16"/>
    </w:pPr>
    <w:r>
      <w:rPr>
        <w:rFonts w:hint="eastAsia"/>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D71C7">
    <w:pPr>
      <w:pStyle w:val="42"/>
    </w:pP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E3604">
    <w:pPr>
      <w:pStyle w:val="16"/>
    </w:pPr>
    <w:r>
      <w:rPr>
        <w:rFonts w:hint="eastAsia"/>
      </w:rP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951F5">
    <w:pPr>
      <w:pStyle w:val="42"/>
    </w:pPr>
    <w:r>
      <w:fldChar w:fldCharType="begin"/>
    </w:r>
    <w:r>
      <w:instrText xml:space="preserve"> PAGE  \* MERGEFORMAT </w:instrText>
    </w:r>
    <w:r>
      <w:fldChar w:fldCharType="separate"/>
    </w:r>
    <w:r>
      <w:t>11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5958F">
    <w:pPr>
      <w:pStyle w:val="16"/>
      <w:jc w:val="left"/>
    </w:pPr>
    <w:r>
      <w:fldChar w:fldCharType="begin"/>
    </w:r>
    <w:r>
      <w:instrText xml:space="preserve"> PAGE   \* MERGEFORMAT </w:instrText>
    </w:r>
    <w:r>
      <w:fldChar w:fldCharType="separate"/>
    </w:r>
    <w:r>
      <w:t>12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7F8E9">
    <w:pPr>
      <w:pStyle w:val="43"/>
      <w:rPr>
        <w:rFonts w:hint="eastAsia" w:hAnsi="黑体"/>
      </w:rPr>
    </w:pPr>
    <w:r>
      <w:rPr>
        <w:rFonts w:hAnsi="黑体"/>
      </w:rPr>
      <w:t>Q/</w:t>
    </w:r>
    <w:r>
      <w:rPr>
        <w:rFonts w:hint="eastAsia" w:hAnsi="黑体"/>
      </w:rPr>
      <w:t>320585</w:t>
    </w:r>
    <w:r>
      <w:rPr>
        <w:rFonts w:hAnsi="黑体"/>
      </w:rPr>
      <w:t xml:space="preserve"> </w:t>
    </w:r>
    <w:r>
      <w:rPr>
        <w:rFonts w:hint="eastAsia" w:hAnsi="黑体"/>
      </w:rPr>
      <w:t>AAKS 001</w:t>
    </w:r>
    <w:r>
      <w:rPr>
        <w:rFonts w:hAnsi="黑体"/>
      </w:rPr>
      <w:t>—</w:t>
    </w:r>
    <w:r>
      <w:rPr>
        <w:rFonts w:hint="eastAsia" w:hAnsi="黑体"/>
      </w:rPr>
      <w:t>201</w:t>
    </w:r>
    <w:r>
      <w:rPr>
        <w:rFonts w:hAnsi="黑体"/>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749D">
    <w:pPr>
      <w:pStyle w:val="43"/>
      <w:rPr>
        <w:rFonts w:hint="eastAsia" w:hAnsi="黑体"/>
      </w:rPr>
    </w:pPr>
    <w:r>
      <w:rPr>
        <w:rFonts w:hAnsi="黑体"/>
      </w:rPr>
      <w:t>Q/</w:t>
    </w:r>
    <w:r>
      <w:rPr>
        <w:rFonts w:hint="eastAsia" w:hAnsi="黑体"/>
      </w:rPr>
      <w:t>320585</w:t>
    </w:r>
    <w:r>
      <w:rPr>
        <w:rFonts w:hAnsi="黑体"/>
      </w:rPr>
      <w:t xml:space="preserve"> </w:t>
    </w:r>
    <w:r>
      <w:rPr>
        <w:rFonts w:hint="eastAsia" w:hAnsi="黑体"/>
      </w:rPr>
      <w:t>AAKS 001</w:t>
    </w:r>
    <w:r>
      <w:rPr>
        <w:rFonts w:hAnsi="黑体"/>
      </w:rPr>
      <w:t>—</w:t>
    </w:r>
    <w:r>
      <w:rPr>
        <w:rFonts w:hint="eastAsia" w:hAnsi="黑体"/>
      </w:rPr>
      <w:t>201</w:t>
    </w:r>
    <w:r>
      <w:rPr>
        <w:rFonts w:hAnsi="黑体"/>
      </w:rPr>
      <w:t>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2E128">
    <w:pPr>
      <w:pStyle w:val="43"/>
      <w:rPr>
        <w:rFonts w:hint="eastAsia" w:hAnsi="黑体"/>
      </w:rPr>
    </w:pPr>
    <w:r>
      <w:rPr>
        <w:rFonts w:hAnsi="黑体"/>
      </w:rPr>
      <w:t>T/XXXX—</w:t>
    </w:r>
    <w:r>
      <w:rPr>
        <w:rFonts w:hint="eastAsia" w:hAnsi="黑体"/>
      </w:rPr>
      <w:t>20</w:t>
    </w:r>
    <w:r>
      <w:rPr>
        <w:rFonts w:hAnsi="黑体"/>
      </w:rPr>
      <w:t>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E040">
    <w:pPr>
      <w:pStyle w:val="43"/>
      <w:rPr>
        <w:rFonts w:hint="eastAsia" w:hAnsi="黑体"/>
      </w:rPr>
    </w:pPr>
    <w:r>
      <w:rPr>
        <w:rFonts w:hAnsi="黑体"/>
      </w:rPr>
      <w:t>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737CC">
    <w:pPr>
      <w:pStyle w:val="17"/>
    </w:pPr>
    <w:r>
      <w:rPr>
        <w:rFonts w:ascii="黑体" w:hAnsi="黑体" w:eastAsia="黑体"/>
        <w:kern w:val="0"/>
        <w:sz w:val="21"/>
        <w:szCs w:val="21"/>
      </w:rPr>
      <w:t>T/XXXXX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57"/>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115"/>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51"/>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tentative="0">
      <w:start w:val="1"/>
      <w:numFmt w:val="lowerLetter"/>
      <w:pStyle w:val="120"/>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DBF583A"/>
    <w:multiLevelType w:val="multilevel"/>
    <w:tmpl w:val="1DBF583A"/>
    <w:lvl w:ilvl="0" w:tentative="0">
      <w:start w:val="1"/>
      <w:numFmt w:val="decimal"/>
      <w:pStyle w:val="64"/>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
    <w:nsid w:val="1FC91163"/>
    <w:multiLevelType w:val="multilevel"/>
    <w:tmpl w:val="1FC91163"/>
    <w:lvl w:ilvl="0" w:tentative="0">
      <w:start w:val="1"/>
      <w:numFmt w:val="decimal"/>
      <w:pStyle w:val="4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1"/>
      <w:suff w:val="nothing"/>
      <w:lvlText w:val="%1.%2　"/>
      <w:lvlJc w:val="left"/>
      <w:pPr>
        <w:ind w:left="425"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5"/>
      <w:suff w:val="nothing"/>
      <w:lvlText w:val="%1.%2.%3　"/>
      <w:lvlJc w:val="left"/>
      <w:pPr>
        <w:ind w:left="142" w:firstLine="0"/>
      </w:pPr>
      <w:rPr>
        <w:rFonts w:hint="eastAsia" w:ascii="黑体" w:hAnsi="Times New Roman" w:eastAsia="黑体"/>
        <w:b w:val="0"/>
        <w:i w:val="0"/>
        <w:sz w:val="21"/>
      </w:rPr>
    </w:lvl>
    <w:lvl w:ilvl="3" w:tentative="0">
      <w:start w:val="1"/>
      <w:numFmt w:val="decimal"/>
      <w:pStyle w:val="50"/>
      <w:suff w:val="nothing"/>
      <w:lvlText w:val="%1.%2.%3"/>
      <w:lvlJc w:val="left"/>
      <w:pPr>
        <w:ind w:left="0" w:firstLine="0"/>
      </w:pPr>
      <w:rPr>
        <w:rFonts w:hint="eastAsia" w:ascii="黑体" w:hAnsi="Times New Roman" w:eastAsia="黑体"/>
        <w:b w:val="0"/>
        <w:i w:val="0"/>
        <w:sz w:val="21"/>
      </w:rPr>
    </w:lvl>
    <w:lvl w:ilvl="4" w:tentative="0">
      <w:start w:val="1"/>
      <w:numFmt w:val="decimal"/>
      <w:pStyle w:val="54"/>
      <w:suff w:val="nothing"/>
      <w:lvlText w:val="%1.%2.%3.%4.%5　"/>
      <w:lvlJc w:val="left"/>
      <w:pPr>
        <w:ind w:left="0" w:firstLine="0"/>
      </w:pPr>
      <w:rPr>
        <w:rFonts w:hint="eastAsia" w:ascii="黑体" w:hAnsi="Times New Roman" w:eastAsia="黑体"/>
        <w:b w:val="0"/>
        <w:i w:val="0"/>
        <w:sz w:val="21"/>
      </w:rPr>
    </w:lvl>
    <w:lvl w:ilvl="5" w:tentative="0">
      <w:start w:val="1"/>
      <w:numFmt w:val="decimal"/>
      <w:pStyle w:val="55"/>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2A8F7113"/>
    <w:multiLevelType w:val="multilevel"/>
    <w:tmpl w:val="2A8F7113"/>
    <w:lvl w:ilvl="0" w:tentative="0">
      <w:start w:val="1"/>
      <w:numFmt w:val="upperLetter"/>
      <w:pStyle w:val="97"/>
      <w:suff w:val="space"/>
      <w:lvlText w:val="%1"/>
      <w:lvlJc w:val="left"/>
      <w:pPr>
        <w:ind w:left="623" w:hanging="425"/>
      </w:pPr>
      <w:rPr>
        <w:rFonts w:hint="eastAsia"/>
      </w:rPr>
    </w:lvl>
    <w:lvl w:ilvl="1" w:tentative="0">
      <w:start w:val="1"/>
      <w:numFmt w:val="decimal"/>
      <w:pStyle w:val="98"/>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
    <w:nsid w:val="2C5917C3"/>
    <w:multiLevelType w:val="multilevel"/>
    <w:tmpl w:val="2C5917C3"/>
    <w:lvl w:ilvl="0" w:tentative="0">
      <w:start w:val="1"/>
      <w:numFmt w:val="none"/>
      <w:pStyle w:val="47"/>
      <w:suff w:val="nothing"/>
      <w:lvlText w:val="%1——"/>
      <w:lvlJc w:val="left"/>
      <w:pPr>
        <w:ind w:left="833" w:hanging="408"/>
      </w:pPr>
      <w:rPr>
        <w:rFonts w:hint="eastAsia"/>
      </w:rPr>
    </w:lvl>
    <w:lvl w:ilvl="1" w:tentative="0">
      <w:start w:val="1"/>
      <w:numFmt w:val="bullet"/>
      <w:pStyle w:val="48"/>
      <w:lvlText w:val=""/>
      <w:lvlJc w:val="left"/>
      <w:pPr>
        <w:tabs>
          <w:tab w:val="left" w:pos="760"/>
        </w:tabs>
        <w:ind w:left="1264" w:hanging="413"/>
      </w:pPr>
      <w:rPr>
        <w:rFonts w:hint="default" w:ascii="Symbol" w:hAnsi="Symbol"/>
        <w:color w:val="auto"/>
      </w:rPr>
    </w:lvl>
    <w:lvl w:ilvl="2" w:tentative="0">
      <w:start w:val="1"/>
      <w:numFmt w:val="bullet"/>
      <w:pStyle w:val="59"/>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3D733618"/>
    <w:multiLevelType w:val="multilevel"/>
    <w:tmpl w:val="3D733618"/>
    <w:lvl w:ilvl="0" w:tentative="0">
      <w:start w:val="1"/>
      <w:numFmt w:val="decimal"/>
      <w:pStyle w:val="23"/>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9">
    <w:nsid w:val="44C50F90"/>
    <w:multiLevelType w:val="multilevel"/>
    <w:tmpl w:val="44C50F90"/>
    <w:lvl w:ilvl="0" w:tentative="0">
      <w:start w:val="1"/>
      <w:numFmt w:val="lowerLetter"/>
      <w:pStyle w:val="58"/>
      <w:lvlText w:val="%1)"/>
      <w:lvlJc w:val="left"/>
      <w:pPr>
        <w:tabs>
          <w:tab w:val="left" w:pos="840"/>
        </w:tabs>
        <w:ind w:left="839" w:hanging="419"/>
      </w:pPr>
      <w:rPr>
        <w:rFonts w:hint="eastAsia" w:ascii="宋体" w:eastAsia="宋体"/>
        <w:b w:val="0"/>
        <w:i w:val="0"/>
        <w:sz w:val="21"/>
        <w:szCs w:val="21"/>
      </w:rPr>
    </w:lvl>
    <w:lvl w:ilvl="1" w:tentative="0">
      <w:start w:val="1"/>
      <w:numFmt w:val="decimal"/>
      <w:pStyle w:val="53"/>
      <w:lvlText w:val="%2)"/>
      <w:lvlJc w:val="left"/>
      <w:pPr>
        <w:tabs>
          <w:tab w:val="left" w:pos="1260"/>
        </w:tabs>
        <w:ind w:left="1259" w:hanging="419"/>
      </w:pPr>
      <w:rPr>
        <w:rFonts w:hint="eastAsia"/>
      </w:rPr>
    </w:lvl>
    <w:lvl w:ilvl="2" w:tentative="0">
      <w:start w:val="1"/>
      <w:numFmt w:val="decimal"/>
      <w:pStyle w:val="60"/>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0">
    <w:nsid w:val="4B733A5F"/>
    <w:multiLevelType w:val="multilevel"/>
    <w:tmpl w:val="4B733A5F"/>
    <w:lvl w:ilvl="0" w:tentative="0">
      <w:start w:val="1"/>
      <w:numFmt w:val="decimal"/>
      <w:pStyle w:val="61"/>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1">
    <w:nsid w:val="557C2AF5"/>
    <w:multiLevelType w:val="multilevel"/>
    <w:tmpl w:val="557C2AF5"/>
    <w:lvl w:ilvl="0" w:tentative="0">
      <w:start w:val="1"/>
      <w:numFmt w:val="decimal"/>
      <w:pStyle w:val="12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60B55DC2"/>
    <w:multiLevelType w:val="multilevel"/>
    <w:tmpl w:val="60B55DC2"/>
    <w:lvl w:ilvl="0" w:tentative="0">
      <w:start w:val="1"/>
      <w:numFmt w:val="upperLetter"/>
      <w:pStyle w:val="85"/>
      <w:lvlText w:val="%1"/>
      <w:lvlJc w:val="left"/>
      <w:pPr>
        <w:tabs>
          <w:tab w:val="left" w:pos="0"/>
        </w:tabs>
        <w:ind w:left="0" w:hanging="425"/>
      </w:pPr>
      <w:rPr>
        <w:rFonts w:hint="eastAsia"/>
      </w:rPr>
    </w:lvl>
    <w:lvl w:ilvl="1" w:tentative="0">
      <w:start w:val="1"/>
      <w:numFmt w:val="decimal"/>
      <w:pStyle w:val="86"/>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
    <w:nsid w:val="646260FA"/>
    <w:multiLevelType w:val="multilevel"/>
    <w:tmpl w:val="646260FA"/>
    <w:lvl w:ilvl="0" w:tentative="0">
      <w:start w:val="1"/>
      <w:numFmt w:val="decimal"/>
      <w:pStyle w:val="12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pStyle w:val="83"/>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0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2"/>
      <w:suff w:val="nothing"/>
      <w:lvlText w:val="%1.%2.%3　"/>
      <w:lvlJc w:val="left"/>
      <w:pPr>
        <w:ind w:left="0" w:firstLine="0"/>
      </w:pPr>
      <w:rPr>
        <w:rFonts w:hint="eastAsia" w:ascii="黑体" w:hAnsi="Times New Roman" w:eastAsia="黑体"/>
        <w:b w:val="0"/>
        <w:i w:val="0"/>
        <w:sz w:val="21"/>
      </w:rPr>
    </w:lvl>
    <w:lvl w:ilvl="3" w:tentative="0">
      <w:start w:val="1"/>
      <w:numFmt w:val="decimal"/>
      <w:pStyle w:val="87"/>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5"/>
      <w:suff w:val="nothing"/>
      <w:lvlText w:val="%1.%2.%3.%4.%5.%6　"/>
      <w:lvlJc w:val="left"/>
      <w:pPr>
        <w:ind w:left="0" w:firstLine="0"/>
      </w:pPr>
      <w:rPr>
        <w:rFonts w:hint="eastAsia" w:ascii="黑体" w:hAnsi="Times New Roman" w:eastAsia="黑体"/>
        <w:b w:val="0"/>
        <w:i w:val="0"/>
        <w:sz w:val="21"/>
      </w:rPr>
    </w:lvl>
    <w:lvl w:ilvl="6" w:tentative="0">
      <w:start w:val="1"/>
      <w:numFmt w:val="decimal"/>
      <w:pStyle w:val="9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50"/>
      <w:suff w:val="nothing"/>
      <w:lvlText w:val="%1%2　"/>
      <w:lvlJc w:val="left"/>
      <w:pPr>
        <w:ind w:left="0" w:firstLine="0"/>
      </w:pPr>
      <w:rPr>
        <w:rFonts w:hint="eastAsia" w:ascii="黑体" w:eastAsia="黑体"/>
        <w:b w:val="0"/>
        <w:i w:val="0"/>
        <w:sz w:val="21"/>
      </w:rPr>
    </w:lvl>
    <w:lvl w:ilvl="2" w:tentative="0">
      <w:start w:val="1"/>
      <w:numFmt w:val="decimal"/>
      <w:pStyle w:val="151"/>
      <w:suff w:val="nothing"/>
      <w:lvlText w:val="%1%2.%3　"/>
      <w:lvlJc w:val="left"/>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46"/>
      <w:suff w:val="nothing"/>
      <w:lvlText w:val="%1%2.%3.%4　"/>
      <w:lvlJc w:val="left"/>
      <w:pPr>
        <w:ind w:left="0" w:firstLine="0"/>
      </w:pPr>
      <w:rPr>
        <w:rFonts w:hint="eastAsia" w:ascii="黑体" w:eastAsia="黑体"/>
        <w:b w:val="0"/>
        <w:i w:val="0"/>
        <w:sz w:val="21"/>
      </w:rPr>
    </w:lvl>
    <w:lvl w:ilvl="4" w:tentative="0">
      <w:start w:val="1"/>
      <w:numFmt w:val="decimal"/>
      <w:pStyle w:val="147"/>
      <w:suff w:val="nothing"/>
      <w:lvlText w:val="%1%2.%3.%4.%5　"/>
      <w:lvlJc w:val="left"/>
      <w:pPr>
        <w:ind w:left="0" w:firstLine="0"/>
      </w:pPr>
      <w:rPr>
        <w:rFonts w:hint="eastAsia" w:ascii="黑体" w:eastAsia="黑体"/>
        <w:b w:val="0"/>
        <w:i w:val="0"/>
        <w:sz w:val="21"/>
      </w:rPr>
    </w:lvl>
    <w:lvl w:ilvl="5" w:tentative="0">
      <w:start w:val="1"/>
      <w:numFmt w:val="decimal"/>
      <w:pStyle w:val="148"/>
      <w:suff w:val="nothing"/>
      <w:lvlText w:val="%1%2.%3.%4.%5.%6　"/>
      <w:lvlJc w:val="left"/>
      <w:pPr>
        <w:ind w:left="0" w:firstLine="0"/>
      </w:pPr>
      <w:rPr>
        <w:rFonts w:hint="eastAsia" w:ascii="黑体" w:eastAsia="黑体"/>
        <w:b w:val="0"/>
        <w:i w:val="0"/>
        <w:sz w:val="21"/>
      </w:rPr>
    </w:lvl>
    <w:lvl w:ilvl="6" w:tentative="0">
      <w:start w:val="1"/>
      <w:numFmt w:val="decimal"/>
      <w:pStyle w:val="14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6D6C07CD"/>
    <w:multiLevelType w:val="multilevel"/>
    <w:tmpl w:val="6D6C07CD"/>
    <w:lvl w:ilvl="0" w:tentative="0">
      <w:start w:val="1"/>
      <w:numFmt w:val="lowerLetter"/>
      <w:pStyle w:val="104"/>
      <w:lvlText w:val="%1)"/>
      <w:lvlJc w:val="left"/>
      <w:pPr>
        <w:tabs>
          <w:tab w:val="left" w:pos="839"/>
        </w:tabs>
        <w:ind w:left="839" w:hanging="419"/>
      </w:pPr>
      <w:rPr>
        <w:rFonts w:hint="eastAsia" w:ascii="宋体" w:eastAsia="宋体"/>
        <w:b w:val="0"/>
        <w:i w:val="0"/>
        <w:sz w:val="21"/>
      </w:rPr>
    </w:lvl>
    <w:lvl w:ilvl="1" w:tentative="0">
      <w:start w:val="1"/>
      <w:numFmt w:val="decimal"/>
      <w:pStyle w:val="94"/>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7">
    <w:nsid w:val="6DBF04F4"/>
    <w:multiLevelType w:val="multilevel"/>
    <w:tmpl w:val="6DBF04F4"/>
    <w:lvl w:ilvl="0" w:tentative="0">
      <w:start w:val="1"/>
      <w:numFmt w:val="none"/>
      <w:pStyle w:val="56"/>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8"/>
  </w:num>
  <w:num w:numId="2">
    <w:abstractNumId w:val="5"/>
  </w:num>
  <w:num w:numId="3">
    <w:abstractNumId w:val="7"/>
  </w:num>
  <w:num w:numId="4">
    <w:abstractNumId w:val="2"/>
  </w:num>
  <w:num w:numId="5">
    <w:abstractNumId w:val="9"/>
  </w:num>
  <w:num w:numId="6">
    <w:abstractNumId w:val="17"/>
  </w:num>
  <w:num w:numId="7">
    <w:abstractNumId w:val="0"/>
  </w:num>
  <w:num w:numId="8">
    <w:abstractNumId w:val="10"/>
  </w:num>
  <w:num w:numId="9">
    <w:abstractNumId w:val="4"/>
  </w:num>
  <w:num w:numId="10">
    <w:abstractNumId w:val="14"/>
  </w:num>
  <w:num w:numId="11">
    <w:abstractNumId w:val="12"/>
  </w:num>
  <w:num w:numId="12">
    <w:abstractNumId w:val="16"/>
  </w:num>
  <w:num w:numId="13">
    <w:abstractNumId w:val="6"/>
  </w:num>
  <w:num w:numId="14">
    <w:abstractNumId w:val="1"/>
  </w:num>
  <w:num w:numId="15">
    <w:abstractNumId w:val="3"/>
  </w:num>
  <w:num w:numId="16">
    <w:abstractNumId w:val="13"/>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925"/>
    <w:rsid w:val="00000244"/>
    <w:rsid w:val="0000185F"/>
    <w:rsid w:val="00004619"/>
    <w:rsid w:val="00004CD3"/>
    <w:rsid w:val="0000586F"/>
    <w:rsid w:val="00006A62"/>
    <w:rsid w:val="00006D3B"/>
    <w:rsid w:val="00006F10"/>
    <w:rsid w:val="00007A5E"/>
    <w:rsid w:val="00010045"/>
    <w:rsid w:val="00010B82"/>
    <w:rsid w:val="00013D86"/>
    <w:rsid w:val="00013E02"/>
    <w:rsid w:val="0002143C"/>
    <w:rsid w:val="00025A65"/>
    <w:rsid w:val="0002648D"/>
    <w:rsid w:val="00026C31"/>
    <w:rsid w:val="00027280"/>
    <w:rsid w:val="00027688"/>
    <w:rsid w:val="0003065B"/>
    <w:rsid w:val="00030F22"/>
    <w:rsid w:val="00031BB8"/>
    <w:rsid w:val="00032087"/>
    <w:rsid w:val="000320A7"/>
    <w:rsid w:val="00035925"/>
    <w:rsid w:val="00036F86"/>
    <w:rsid w:val="00037126"/>
    <w:rsid w:val="000377E4"/>
    <w:rsid w:val="00037D60"/>
    <w:rsid w:val="00040D9D"/>
    <w:rsid w:val="00042870"/>
    <w:rsid w:val="0004462A"/>
    <w:rsid w:val="00045F0C"/>
    <w:rsid w:val="00046ECC"/>
    <w:rsid w:val="00047CA8"/>
    <w:rsid w:val="00050817"/>
    <w:rsid w:val="000522D1"/>
    <w:rsid w:val="00052B8C"/>
    <w:rsid w:val="000538C4"/>
    <w:rsid w:val="000649B9"/>
    <w:rsid w:val="00067CDF"/>
    <w:rsid w:val="00074FBE"/>
    <w:rsid w:val="00075967"/>
    <w:rsid w:val="00076B30"/>
    <w:rsid w:val="00076EED"/>
    <w:rsid w:val="00080B9C"/>
    <w:rsid w:val="00083A09"/>
    <w:rsid w:val="0008707A"/>
    <w:rsid w:val="00087203"/>
    <w:rsid w:val="0009005E"/>
    <w:rsid w:val="00091C41"/>
    <w:rsid w:val="00092857"/>
    <w:rsid w:val="00093D97"/>
    <w:rsid w:val="000A0096"/>
    <w:rsid w:val="000A20A9"/>
    <w:rsid w:val="000A3C85"/>
    <w:rsid w:val="000A48B1"/>
    <w:rsid w:val="000B20E0"/>
    <w:rsid w:val="000B3143"/>
    <w:rsid w:val="000B5C15"/>
    <w:rsid w:val="000B676D"/>
    <w:rsid w:val="000C3A90"/>
    <w:rsid w:val="000C3B3D"/>
    <w:rsid w:val="000C3B55"/>
    <w:rsid w:val="000C5B7F"/>
    <w:rsid w:val="000C6B05"/>
    <w:rsid w:val="000C6DD6"/>
    <w:rsid w:val="000C73D4"/>
    <w:rsid w:val="000C7982"/>
    <w:rsid w:val="000D061B"/>
    <w:rsid w:val="000D2EF5"/>
    <w:rsid w:val="000D3D4C"/>
    <w:rsid w:val="000D4F51"/>
    <w:rsid w:val="000D6350"/>
    <w:rsid w:val="000D718B"/>
    <w:rsid w:val="000D7945"/>
    <w:rsid w:val="000E0B9A"/>
    <w:rsid w:val="000E0C46"/>
    <w:rsid w:val="000E2BB4"/>
    <w:rsid w:val="000E3870"/>
    <w:rsid w:val="000E461B"/>
    <w:rsid w:val="000F030C"/>
    <w:rsid w:val="000F129C"/>
    <w:rsid w:val="00100627"/>
    <w:rsid w:val="001035AC"/>
    <w:rsid w:val="0010547C"/>
    <w:rsid w:val="001056DE"/>
    <w:rsid w:val="00106788"/>
    <w:rsid w:val="00107B5B"/>
    <w:rsid w:val="00110389"/>
    <w:rsid w:val="0011065D"/>
    <w:rsid w:val="0011081E"/>
    <w:rsid w:val="00110825"/>
    <w:rsid w:val="00110C6A"/>
    <w:rsid w:val="0011211F"/>
    <w:rsid w:val="001124C0"/>
    <w:rsid w:val="00113CC9"/>
    <w:rsid w:val="00116C56"/>
    <w:rsid w:val="00117944"/>
    <w:rsid w:val="0012241C"/>
    <w:rsid w:val="00122482"/>
    <w:rsid w:val="001248A9"/>
    <w:rsid w:val="001254D6"/>
    <w:rsid w:val="00130BA6"/>
    <w:rsid w:val="0013175F"/>
    <w:rsid w:val="001347C1"/>
    <w:rsid w:val="00135582"/>
    <w:rsid w:val="00135C23"/>
    <w:rsid w:val="00137EF1"/>
    <w:rsid w:val="001405F1"/>
    <w:rsid w:val="00140E5B"/>
    <w:rsid w:val="00143299"/>
    <w:rsid w:val="001512B4"/>
    <w:rsid w:val="001519C6"/>
    <w:rsid w:val="001553B3"/>
    <w:rsid w:val="001620A5"/>
    <w:rsid w:val="00162215"/>
    <w:rsid w:val="00162951"/>
    <w:rsid w:val="00163258"/>
    <w:rsid w:val="001636EE"/>
    <w:rsid w:val="00163D6E"/>
    <w:rsid w:val="00164AC9"/>
    <w:rsid w:val="00164E53"/>
    <w:rsid w:val="00166110"/>
    <w:rsid w:val="0016699D"/>
    <w:rsid w:val="0017310F"/>
    <w:rsid w:val="00173158"/>
    <w:rsid w:val="00174D5B"/>
    <w:rsid w:val="00175159"/>
    <w:rsid w:val="00176208"/>
    <w:rsid w:val="001763B9"/>
    <w:rsid w:val="0018211B"/>
    <w:rsid w:val="001840D3"/>
    <w:rsid w:val="00186DA9"/>
    <w:rsid w:val="00186F1F"/>
    <w:rsid w:val="001873FD"/>
    <w:rsid w:val="001900F8"/>
    <w:rsid w:val="00191258"/>
    <w:rsid w:val="00192680"/>
    <w:rsid w:val="00193037"/>
    <w:rsid w:val="001938CB"/>
    <w:rsid w:val="00193A2C"/>
    <w:rsid w:val="00195667"/>
    <w:rsid w:val="001A0C04"/>
    <w:rsid w:val="001A288E"/>
    <w:rsid w:val="001A4795"/>
    <w:rsid w:val="001A6EF2"/>
    <w:rsid w:val="001B060C"/>
    <w:rsid w:val="001B402B"/>
    <w:rsid w:val="001B6DC2"/>
    <w:rsid w:val="001B710B"/>
    <w:rsid w:val="001C149C"/>
    <w:rsid w:val="001C21AC"/>
    <w:rsid w:val="001C3516"/>
    <w:rsid w:val="001C47BA"/>
    <w:rsid w:val="001C59EA"/>
    <w:rsid w:val="001C5CB4"/>
    <w:rsid w:val="001C65E6"/>
    <w:rsid w:val="001C68DE"/>
    <w:rsid w:val="001D1C70"/>
    <w:rsid w:val="001D2A87"/>
    <w:rsid w:val="001D406C"/>
    <w:rsid w:val="001D41EE"/>
    <w:rsid w:val="001E0380"/>
    <w:rsid w:val="001E13B1"/>
    <w:rsid w:val="001E4F73"/>
    <w:rsid w:val="001E5DB0"/>
    <w:rsid w:val="001E66BE"/>
    <w:rsid w:val="001E779D"/>
    <w:rsid w:val="001F2406"/>
    <w:rsid w:val="001F3523"/>
    <w:rsid w:val="001F3A19"/>
    <w:rsid w:val="001F4758"/>
    <w:rsid w:val="001F668B"/>
    <w:rsid w:val="001F6766"/>
    <w:rsid w:val="0020128E"/>
    <w:rsid w:val="00206889"/>
    <w:rsid w:val="00207B02"/>
    <w:rsid w:val="00210F66"/>
    <w:rsid w:val="0021140F"/>
    <w:rsid w:val="00212204"/>
    <w:rsid w:val="00213D2D"/>
    <w:rsid w:val="00214172"/>
    <w:rsid w:val="00214F94"/>
    <w:rsid w:val="0021580D"/>
    <w:rsid w:val="00215948"/>
    <w:rsid w:val="00215BFE"/>
    <w:rsid w:val="002165B3"/>
    <w:rsid w:val="00221736"/>
    <w:rsid w:val="002243C7"/>
    <w:rsid w:val="0022683F"/>
    <w:rsid w:val="002317EE"/>
    <w:rsid w:val="002333DF"/>
    <w:rsid w:val="00234467"/>
    <w:rsid w:val="0023578B"/>
    <w:rsid w:val="002371C1"/>
    <w:rsid w:val="00237D8D"/>
    <w:rsid w:val="00241DA2"/>
    <w:rsid w:val="00243DB4"/>
    <w:rsid w:val="00243ED2"/>
    <w:rsid w:val="0024433C"/>
    <w:rsid w:val="00247FEE"/>
    <w:rsid w:val="00250630"/>
    <w:rsid w:val="00250E7D"/>
    <w:rsid w:val="00251858"/>
    <w:rsid w:val="002519E9"/>
    <w:rsid w:val="002565D5"/>
    <w:rsid w:val="002577E7"/>
    <w:rsid w:val="00257BB6"/>
    <w:rsid w:val="002622C0"/>
    <w:rsid w:val="002625F3"/>
    <w:rsid w:val="002700B7"/>
    <w:rsid w:val="0027260E"/>
    <w:rsid w:val="00273883"/>
    <w:rsid w:val="00276D7D"/>
    <w:rsid w:val="002778AE"/>
    <w:rsid w:val="00280E8E"/>
    <w:rsid w:val="0028269A"/>
    <w:rsid w:val="00282888"/>
    <w:rsid w:val="00283590"/>
    <w:rsid w:val="0028472B"/>
    <w:rsid w:val="0028657F"/>
    <w:rsid w:val="00286973"/>
    <w:rsid w:val="00286FB9"/>
    <w:rsid w:val="0029300E"/>
    <w:rsid w:val="002938F5"/>
    <w:rsid w:val="00293FBA"/>
    <w:rsid w:val="0029473C"/>
    <w:rsid w:val="00294E70"/>
    <w:rsid w:val="00295477"/>
    <w:rsid w:val="00296E3C"/>
    <w:rsid w:val="002A04DC"/>
    <w:rsid w:val="002A0D12"/>
    <w:rsid w:val="002A1924"/>
    <w:rsid w:val="002A3951"/>
    <w:rsid w:val="002A7420"/>
    <w:rsid w:val="002B0417"/>
    <w:rsid w:val="002B0C06"/>
    <w:rsid w:val="002B0F12"/>
    <w:rsid w:val="002B1308"/>
    <w:rsid w:val="002B140C"/>
    <w:rsid w:val="002B3244"/>
    <w:rsid w:val="002B344E"/>
    <w:rsid w:val="002B4554"/>
    <w:rsid w:val="002B49B2"/>
    <w:rsid w:val="002B5350"/>
    <w:rsid w:val="002B7F02"/>
    <w:rsid w:val="002C5825"/>
    <w:rsid w:val="002C6539"/>
    <w:rsid w:val="002C72D8"/>
    <w:rsid w:val="002C7C1A"/>
    <w:rsid w:val="002D03B4"/>
    <w:rsid w:val="002D0D96"/>
    <w:rsid w:val="002D11FA"/>
    <w:rsid w:val="002D602A"/>
    <w:rsid w:val="002E0A96"/>
    <w:rsid w:val="002E0DDF"/>
    <w:rsid w:val="002E2906"/>
    <w:rsid w:val="002E4899"/>
    <w:rsid w:val="002E5635"/>
    <w:rsid w:val="002E64C3"/>
    <w:rsid w:val="002E6A2C"/>
    <w:rsid w:val="002E6E58"/>
    <w:rsid w:val="002E6FB2"/>
    <w:rsid w:val="002F1D8C"/>
    <w:rsid w:val="002F21DA"/>
    <w:rsid w:val="002F2818"/>
    <w:rsid w:val="002F2FA5"/>
    <w:rsid w:val="002F4A3D"/>
    <w:rsid w:val="00301AB4"/>
    <w:rsid w:val="00301F39"/>
    <w:rsid w:val="003053FC"/>
    <w:rsid w:val="00307A98"/>
    <w:rsid w:val="00322483"/>
    <w:rsid w:val="00323A2B"/>
    <w:rsid w:val="003247A6"/>
    <w:rsid w:val="003258F5"/>
    <w:rsid w:val="00325926"/>
    <w:rsid w:val="00327A8A"/>
    <w:rsid w:val="00330699"/>
    <w:rsid w:val="00335826"/>
    <w:rsid w:val="00336610"/>
    <w:rsid w:val="00337CAC"/>
    <w:rsid w:val="00341C62"/>
    <w:rsid w:val="00342D67"/>
    <w:rsid w:val="00343F73"/>
    <w:rsid w:val="00345060"/>
    <w:rsid w:val="00346CB5"/>
    <w:rsid w:val="0035323B"/>
    <w:rsid w:val="003609D2"/>
    <w:rsid w:val="00363F22"/>
    <w:rsid w:val="00364885"/>
    <w:rsid w:val="00364B46"/>
    <w:rsid w:val="00364F5C"/>
    <w:rsid w:val="00367FD6"/>
    <w:rsid w:val="00370EBA"/>
    <w:rsid w:val="00372752"/>
    <w:rsid w:val="00373A44"/>
    <w:rsid w:val="00374152"/>
    <w:rsid w:val="0037498F"/>
    <w:rsid w:val="00375564"/>
    <w:rsid w:val="00377B71"/>
    <w:rsid w:val="003819CF"/>
    <w:rsid w:val="00382912"/>
    <w:rsid w:val="00383191"/>
    <w:rsid w:val="00384FD6"/>
    <w:rsid w:val="00385360"/>
    <w:rsid w:val="00386DED"/>
    <w:rsid w:val="0039051E"/>
    <w:rsid w:val="003912E7"/>
    <w:rsid w:val="0039146D"/>
    <w:rsid w:val="00393947"/>
    <w:rsid w:val="00394013"/>
    <w:rsid w:val="0039509B"/>
    <w:rsid w:val="00397F99"/>
    <w:rsid w:val="003A1A9F"/>
    <w:rsid w:val="003A2275"/>
    <w:rsid w:val="003A32BE"/>
    <w:rsid w:val="003A3413"/>
    <w:rsid w:val="003A405D"/>
    <w:rsid w:val="003A5C03"/>
    <w:rsid w:val="003A6A4F"/>
    <w:rsid w:val="003A7088"/>
    <w:rsid w:val="003A768E"/>
    <w:rsid w:val="003A7D3B"/>
    <w:rsid w:val="003B00DF"/>
    <w:rsid w:val="003B1275"/>
    <w:rsid w:val="003B1778"/>
    <w:rsid w:val="003B1A6D"/>
    <w:rsid w:val="003B3948"/>
    <w:rsid w:val="003B4FA6"/>
    <w:rsid w:val="003B7E35"/>
    <w:rsid w:val="003C11CB"/>
    <w:rsid w:val="003C1331"/>
    <w:rsid w:val="003C1623"/>
    <w:rsid w:val="003C1B6C"/>
    <w:rsid w:val="003C4C1B"/>
    <w:rsid w:val="003C75F3"/>
    <w:rsid w:val="003C78A3"/>
    <w:rsid w:val="003D194C"/>
    <w:rsid w:val="003D2030"/>
    <w:rsid w:val="003D2EB3"/>
    <w:rsid w:val="003D3205"/>
    <w:rsid w:val="003E0B94"/>
    <w:rsid w:val="003E1867"/>
    <w:rsid w:val="003E5729"/>
    <w:rsid w:val="003F0875"/>
    <w:rsid w:val="003F0973"/>
    <w:rsid w:val="003F40AA"/>
    <w:rsid w:val="003F4EE0"/>
    <w:rsid w:val="003F5091"/>
    <w:rsid w:val="003F52E2"/>
    <w:rsid w:val="004018B9"/>
    <w:rsid w:val="0040192B"/>
    <w:rsid w:val="00402153"/>
    <w:rsid w:val="00402FC1"/>
    <w:rsid w:val="004035F8"/>
    <w:rsid w:val="004044AA"/>
    <w:rsid w:val="00404EB9"/>
    <w:rsid w:val="00405AF1"/>
    <w:rsid w:val="00414929"/>
    <w:rsid w:val="004176C2"/>
    <w:rsid w:val="00425082"/>
    <w:rsid w:val="00426234"/>
    <w:rsid w:val="0042678A"/>
    <w:rsid w:val="00427D3C"/>
    <w:rsid w:val="00427EF5"/>
    <w:rsid w:val="00431DEB"/>
    <w:rsid w:val="004350B3"/>
    <w:rsid w:val="00440671"/>
    <w:rsid w:val="004412D5"/>
    <w:rsid w:val="00441637"/>
    <w:rsid w:val="0044366A"/>
    <w:rsid w:val="00446B29"/>
    <w:rsid w:val="00446E18"/>
    <w:rsid w:val="00450F49"/>
    <w:rsid w:val="00452492"/>
    <w:rsid w:val="00453F9A"/>
    <w:rsid w:val="004637BF"/>
    <w:rsid w:val="00463E19"/>
    <w:rsid w:val="00465403"/>
    <w:rsid w:val="00470202"/>
    <w:rsid w:val="00471E91"/>
    <w:rsid w:val="0047454B"/>
    <w:rsid w:val="00474675"/>
    <w:rsid w:val="0047470C"/>
    <w:rsid w:val="0047654F"/>
    <w:rsid w:val="00476A16"/>
    <w:rsid w:val="00481ABA"/>
    <w:rsid w:val="00482FEF"/>
    <w:rsid w:val="00486376"/>
    <w:rsid w:val="00490768"/>
    <w:rsid w:val="00490DBA"/>
    <w:rsid w:val="00496ED4"/>
    <w:rsid w:val="004A0EB7"/>
    <w:rsid w:val="004A2064"/>
    <w:rsid w:val="004A22F8"/>
    <w:rsid w:val="004A31E6"/>
    <w:rsid w:val="004A35F9"/>
    <w:rsid w:val="004A3A2B"/>
    <w:rsid w:val="004A4DA6"/>
    <w:rsid w:val="004A53B3"/>
    <w:rsid w:val="004A5801"/>
    <w:rsid w:val="004A5B8F"/>
    <w:rsid w:val="004A70E1"/>
    <w:rsid w:val="004B2008"/>
    <w:rsid w:val="004B224F"/>
    <w:rsid w:val="004B24C1"/>
    <w:rsid w:val="004B30E9"/>
    <w:rsid w:val="004B6B06"/>
    <w:rsid w:val="004B6D76"/>
    <w:rsid w:val="004C1444"/>
    <w:rsid w:val="004C292F"/>
    <w:rsid w:val="004C386B"/>
    <w:rsid w:val="004C62E1"/>
    <w:rsid w:val="004C6B42"/>
    <w:rsid w:val="004C7580"/>
    <w:rsid w:val="004C7BB9"/>
    <w:rsid w:val="004D0E46"/>
    <w:rsid w:val="004D1462"/>
    <w:rsid w:val="004D3BAB"/>
    <w:rsid w:val="004D3EFA"/>
    <w:rsid w:val="004D780D"/>
    <w:rsid w:val="004D7D69"/>
    <w:rsid w:val="004E01AF"/>
    <w:rsid w:val="004E17AE"/>
    <w:rsid w:val="004E1D0A"/>
    <w:rsid w:val="004E22D7"/>
    <w:rsid w:val="004E247E"/>
    <w:rsid w:val="004E67EE"/>
    <w:rsid w:val="004E683B"/>
    <w:rsid w:val="004E7098"/>
    <w:rsid w:val="004F64BF"/>
    <w:rsid w:val="004F6A9A"/>
    <w:rsid w:val="004F75FE"/>
    <w:rsid w:val="005039C2"/>
    <w:rsid w:val="00505A3B"/>
    <w:rsid w:val="00507AE2"/>
    <w:rsid w:val="00510280"/>
    <w:rsid w:val="005104D3"/>
    <w:rsid w:val="0051141F"/>
    <w:rsid w:val="005117D0"/>
    <w:rsid w:val="00513D73"/>
    <w:rsid w:val="00514483"/>
    <w:rsid w:val="00514A43"/>
    <w:rsid w:val="00514E1B"/>
    <w:rsid w:val="005174E5"/>
    <w:rsid w:val="00522348"/>
    <w:rsid w:val="00522393"/>
    <w:rsid w:val="00522620"/>
    <w:rsid w:val="0052318D"/>
    <w:rsid w:val="00524D88"/>
    <w:rsid w:val="00525656"/>
    <w:rsid w:val="005278EF"/>
    <w:rsid w:val="0053069B"/>
    <w:rsid w:val="0053240F"/>
    <w:rsid w:val="00533849"/>
    <w:rsid w:val="00534C02"/>
    <w:rsid w:val="005375A6"/>
    <w:rsid w:val="00537947"/>
    <w:rsid w:val="005413D3"/>
    <w:rsid w:val="00541973"/>
    <w:rsid w:val="0054264B"/>
    <w:rsid w:val="00543786"/>
    <w:rsid w:val="00545810"/>
    <w:rsid w:val="00547D51"/>
    <w:rsid w:val="00547DB3"/>
    <w:rsid w:val="005507F4"/>
    <w:rsid w:val="00551C57"/>
    <w:rsid w:val="00552617"/>
    <w:rsid w:val="005533D7"/>
    <w:rsid w:val="00556A7B"/>
    <w:rsid w:val="00560830"/>
    <w:rsid w:val="005703DE"/>
    <w:rsid w:val="00570C30"/>
    <w:rsid w:val="005764D4"/>
    <w:rsid w:val="0057767F"/>
    <w:rsid w:val="00580893"/>
    <w:rsid w:val="00581620"/>
    <w:rsid w:val="005824D0"/>
    <w:rsid w:val="00583BF3"/>
    <w:rsid w:val="0058464E"/>
    <w:rsid w:val="00584C63"/>
    <w:rsid w:val="00585C4F"/>
    <w:rsid w:val="00586830"/>
    <w:rsid w:val="00587323"/>
    <w:rsid w:val="00590EE5"/>
    <w:rsid w:val="00591CE6"/>
    <w:rsid w:val="0059336E"/>
    <w:rsid w:val="00593A07"/>
    <w:rsid w:val="0059763D"/>
    <w:rsid w:val="00597839"/>
    <w:rsid w:val="005A01CB"/>
    <w:rsid w:val="005A3FDE"/>
    <w:rsid w:val="005A46FB"/>
    <w:rsid w:val="005A4886"/>
    <w:rsid w:val="005A58FF"/>
    <w:rsid w:val="005A5EAF"/>
    <w:rsid w:val="005A6474"/>
    <w:rsid w:val="005A64C0"/>
    <w:rsid w:val="005A68D4"/>
    <w:rsid w:val="005A78AC"/>
    <w:rsid w:val="005A7E17"/>
    <w:rsid w:val="005B3C11"/>
    <w:rsid w:val="005B4276"/>
    <w:rsid w:val="005B43CA"/>
    <w:rsid w:val="005B4D59"/>
    <w:rsid w:val="005B6819"/>
    <w:rsid w:val="005B6F18"/>
    <w:rsid w:val="005B7625"/>
    <w:rsid w:val="005B7C32"/>
    <w:rsid w:val="005C1C28"/>
    <w:rsid w:val="005C50D3"/>
    <w:rsid w:val="005C6DB5"/>
    <w:rsid w:val="005C7501"/>
    <w:rsid w:val="005C7530"/>
    <w:rsid w:val="005C7E40"/>
    <w:rsid w:val="005D3742"/>
    <w:rsid w:val="005D7EFC"/>
    <w:rsid w:val="005E19E7"/>
    <w:rsid w:val="005E1AA3"/>
    <w:rsid w:val="005E7B64"/>
    <w:rsid w:val="005F2AFE"/>
    <w:rsid w:val="005F38CF"/>
    <w:rsid w:val="00600D35"/>
    <w:rsid w:val="00605406"/>
    <w:rsid w:val="00605AF7"/>
    <w:rsid w:val="006062DD"/>
    <w:rsid w:val="00606D40"/>
    <w:rsid w:val="00610722"/>
    <w:rsid w:val="00612763"/>
    <w:rsid w:val="006133DE"/>
    <w:rsid w:val="006135A3"/>
    <w:rsid w:val="00614EDB"/>
    <w:rsid w:val="0061716C"/>
    <w:rsid w:val="00620D0C"/>
    <w:rsid w:val="006211BA"/>
    <w:rsid w:val="006237CB"/>
    <w:rsid w:val="006243A1"/>
    <w:rsid w:val="006251E9"/>
    <w:rsid w:val="00627A35"/>
    <w:rsid w:val="00630517"/>
    <w:rsid w:val="006322EC"/>
    <w:rsid w:val="00632964"/>
    <w:rsid w:val="00632E56"/>
    <w:rsid w:val="00632ED2"/>
    <w:rsid w:val="00633AEE"/>
    <w:rsid w:val="00635CBA"/>
    <w:rsid w:val="00641A83"/>
    <w:rsid w:val="00642621"/>
    <w:rsid w:val="0064338B"/>
    <w:rsid w:val="00643501"/>
    <w:rsid w:val="00646542"/>
    <w:rsid w:val="006504F4"/>
    <w:rsid w:val="006528D3"/>
    <w:rsid w:val="006535FB"/>
    <w:rsid w:val="00654BC9"/>
    <w:rsid w:val="006552FD"/>
    <w:rsid w:val="0066228D"/>
    <w:rsid w:val="00662D8C"/>
    <w:rsid w:val="00663AF3"/>
    <w:rsid w:val="00666B6C"/>
    <w:rsid w:val="0066787A"/>
    <w:rsid w:val="006700EF"/>
    <w:rsid w:val="006707BC"/>
    <w:rsid w:val="00673820"/>
    <w:rsid w:val="0067460F"/>
    <w:rsid w:val="0067543D"/>
    <w:rsid w:val="00676B38"/>
    <w:rsid w:val="006805E0"/>
    <w:rsid w:val="00682682"/>
    <w:rsid w:val="00682702"/>
    <w:rsid w:val="006860EF"/>
    <w:rsid w:val="0068736D"/>
    <w:rsid w:val="00690A58"/>
    <w:rsid w:val="00690D1F"/>
    <w:rsid w:val="0069105A"/>
    <w:rsid w:val="00692368"/>
    <w:rsid w:val="00692561"/>
    <w:rsid w:val="00696535"/>
    <w:rsid w:val="006A1841"/>
    <w:rsid w:val="006A2EBC"/>
    <w:rsid w:val="006A413D"/>
    <w:rsid w:val="006A5E43"/>
    <w:rsid w:val="006A5EA0"/>
    <w:rsid w:val="006A783B"/>
    <w:rsid w:val="006A7B33"/>
    <w:rsid w:val="006B06EF"/>
    <w:rsid w:val="006B1054"/>
    <w:rsid w:val="006B2236"/>
    <w:rsid w:val="006B2C27"/>
    <w:rsid w:val="006B2C83"/>
    <w:rsid w:val="006B3B10"/>
    <w:rsid w:val="006B4E13"/>
    <w:rsid w:val="006B514D"/>
    <w:rsid w:val="006B712F"/>
    <w:rsid w:val="006B75DD"/>
    <w:rsid w:val="006C155B"/>
    <w:rsid w:val="006C16F9"/>
    <w:rsid w:val="006C194F"/>
    <w:rsid w:val="006C3F5C"/>
    <w:rsid w:val="006C49B8"/>
    <w:rsid w:val="006C5FC4"/>
    <w:rsid w:val="006C6513"/>
    <w:rsid w:val="006C67E0"/>
    <w:rsid w:val="006C6883"/>
    <w:rsid w:val="006C7ABA"/>
    <w:rsid w:val="006D0D60"/>
    <w:rsid w:val="006D1122"/>
    <w:rsid w:val="006D3C00"/>
    <w:rsid w:val="006D68F4"/>
    <w:rsid w:val="006E3675"/>
    <w:rsid w:val="006E4A7F"/>
    <w:rsid w:val="006E7309"/>
    <w:rsid w:val="006F0021"/>
    <w:rsid w:val="006F0692"/>
    <w:rsid w:val="006F0DE5"/>
    <w:rsid w:val="006F23B3"/>
    <w:rsid w:val="006F2B1B"/>
    <w:rsid w:val="006F40BD"/>
    <w:rsid w:val="006F40F2"/>
    <w:rsid w:val="006F539B"/>
    <w:rsid w:val="0070048F"/>
    <w:rsid w:val="00701EA0"/>
    <w:rsid w:val="00704DF6"/>
    <w:rsid w:val="0070651C"/>
    <w:rsid w:val="007076B3"/>
    <w:rsid w:val="00710C66"/>
    <w:rsid w:val="00711F10"/>
    <w:rsid w:val="007128AE"/>
    <w:rsid w:val="007132A3"/>
    <w:rsid w:val="00716421"/>
    <w:rsid w:val="0072062C"/>
    <w:rsid w:val="00720D57"/>
    <w:rsid w:val="00721CE7"/>
    <w:rsid w:val="00721D61"/>
    <w:rsid w:val="007238A3"/>
    <w:rsid w:val="00724680"/>
    <w:rsid w:val="00724EFB"/>
    <w:rsid w:val="00725017"/>
    <w:rsid w:val="0072557C"/>
    <w:rsid w:val="00731341"/>
    <w:rsid w:val="0073281C"/>
    <w:rsid w:val="00734253"/>
    <w:rsid w:val="00734C9C"/>
    <w:rsid w:val="00740ED9"/>
    <w:rsid w:val="007419C3"/>
    <w:rsid w:val="00741C3C"/>
    <w:rsid w:val="00743F03"/>
    <w:rsid w:val="00744EFE"/>
    <w:rsid w:val="0074641D"/>
    <w:rsid w:val="007467A7"/>
    <w:rsid w:val="007469DD"/>
    <w:rsid w:val="00746FE2"/>
    <w:rsid w:val="0074741B"/>
    <w:rsid w:val="0074759E"/>
    <w:rsid w:val="007478EA"/>
    <w:rsid w:val="0075415C"/>
    <w:rsid w:val="00763502"/>
    <w:rsid w:val="00766D6B"/>
    <w:rsid w:val="00767713"/>
    <w:rsid w:val="00767E0D"/>
    <w:rsid w:val="00771A2B"/>
    <w:rsid w:val="00776905"/>
    <w:rsid w:val="007817D3"/>
    <w:rsid w:val="00781AE7"/>
    <w:rsid w:val="007839F3"/>
    <w:rsid w:val="007862A5"/>
    <w:rsid w:val="00786B04"/>
    <w:rsid w:val="00786F17"/>
    <w:rsid w:val="007870E7"/>
    <w:rsid w:val="007873A4"/>
    <w:rsid w:val="00790279"/>
    <w:rsid w:val="007913AB"/>
    <w:rsid w:val="00791465"/>
    <w:rsid w:val="007914F7"/>
    <w:rsid w:val="00791775"/>
    <w:rsid w:val="00794ED9"/>
    <w:rsid w:val="00795CF1"/>
    <w:rsid w:val="00796D0E"/>
    <w:rsid w:val="007979A8"/>
    <w:rsid w:val="00797E8A"/>
    <w:rsid w:val="007A1F83"/>
    <w:rsid w:val="007A25E1"/>
    <w:rsid w:val="007A4491"/>
    <w:rsid w:val="007A61AF"/>
    <w:rsid w:val="007B1007"/>
    <w:rsid w:val="007B1625"/>
    <w:rsid w:val="007B1F35"/>
    <w:rsid w:val="007B54A0"/>
    <w:rsid w:val="007B5844"/>
    <w:rsid w:val="007B5E85"/>
    <w:rsid w:val="007B706E"/>
    <w:rsid w:val="007B71EB"/>
    <w:rsid w:val="007C0458"/>
    <w:rsid w:val="007C13D9"/>
    <w:rsid w:val="007C20B0"/>
    <w:rsid w:val="007C2FF4"/>
    <w:rsid w:val="007C6205"/>
    <w:rsid w:val="007C686A"/>
    <w:rsid w:val="007C6AFE"/>
    <w:rsid w:val="007C728E"/>
    <w:rsid w:val="007D2099"/>
    <w:rsid w:val="007D265E"/>
    <w:rsid w:val="007D2C53"/>
    <w:rsid w:val="007D34AB"/>
    <w:rsid w:val="007D3D60"/>
    <w:rsid w:val="007D3F34"/>
    <w:rsid w:val="007E05C2"/>
    <w:rsid w:val="007E1980"/>
    <w:rsid w:val="007E2D72"/>
    <w:rsid w:val="007E407D"/>
    <w:rsid w:val="007E4B76"/>
    <w:rsid w:val="007E5EA8"/>
    <w:rsid w:val="007E6A32"/>
    <w:rsid w:val="007F0CF1"/>
    <w:rsid w:val="007F12A5"/>
    <w:rsid w:val="007F4CF1"/>
    <w:rsid w:val="007F676E"/>
    <w:rsid w:val="007F758D"/>
    <w:rsid w:val="007F7D52"/>
    <w:rsid w:val="0080053C"/>
    <w:rsid w:val="00800902"/>
    <w:rsid w:val="0080359B"/>
    <w:rsid w:val="00804B36"/>
    <w:rsid w:val="0080654C"/>
    <w:rsid w:val="008071C6"/>
    <w:rsid w:val="00807816"/>
    <w:rsid w:val="008106B3"/>
    <w:rsid w:val="00812547"/>
    <w:rsid w:val="008147F5"/>
    <w:rsid w:val="00816BB7"/>
    <w:rsid w:val="00817A00"/>
    <w:rsid w:val="0082593C"/>
    <w:rsid w:val="00831AF9"/>
    <w:rsid w:val="00832361"/>
    <w:rsid w:val="00832451"/>
    <w:rsid w:val="00833556"/>
    <w:rsid w:val="00833BAF"/>
    <w:rsid w:val="00834AD5"/>
    <w:rsid w:val="00834B4D"/>
    <w:rsid w:val="00835D72"/>
    <w:rsid w:val="00835DB3"/>
    <w:rsid w:val="0083617B"/>
    <w:rsid w:val="008371BD"/>
    <w:rsid w:val="008436C8"/>
    <w:rsid w:val="00844666"/>
    <w:rsid w:val="0084759F"/>
    <w:rsid w:val="008504A8"/>
    <w:rsid w:val="00850F31"/>
    <w:rsid w:val="0085282E"/>
    <w:rsid w:val="00853433"/>
    <w:rsid w:val="00853791"/>
    <w:rsid w:val="00856D0F"/>
    <w:rsid w:val="008616B2"/>
    <w:rsid w:val="00861E62"/>
    <w:rsid w:val="008625C2"/>
    <w:rsid w:val="00864CA8"/>
    <w:rsid w:val="0086526C"/>
    <w:rsid w:val="00867D56"/>
    <w:rsid w:val="008709D7"/>
    <w:rsid w:val="00870B5E"/>
    <w:rsid w:val="0087198C"/>
    <w:rsid w:val="0087228E"/>
    <w:rsid w:val="00872C1F"/>
    <w:rsid w:val="00873B42"/>
    <w:rsid w:val="008749D5"/>
    <w:rsid w:val="00874EC0"/>
    <w:rsid w:val="00875461"/>
    <w:rsid w:val="0088041B"/>
    <w:rsid w:val="008809CB"/>
    <w:rsid w:val="0088129B"/>
    <w:rsid w:val="00882457"/>
    <w:rsid w:val="00882832"/>
    <w:rsid w:val="00884048"/>
    <w:rsid w:val="008856D8"/>
    <w:rsid w:val="00885FAF"/>
    <w:rsid w:val="00887831"/>
    <w:rsid w:val="0089005B"/>
    <w:rsid w:val="00892E82"/>
    <w:rsid w:val="0089592E"/>
    <w:rsid w:val="00897CD4"/>
    <w:rsid w:val="00897CE9"/>
    <w:rsid w:val="008A11E0"/>
    <w:rsid w:val="008A4EF8"/>
    <w:rsid w:val="008A5DD6"/>
    <w:rsid w:val="008A697D"/>
    <w:rsid w:val="008A6C02"/>
    <w:rsid w:val="008B2A14"/>
    <w:rsid w:val="008B4576"/>
    <w:rsid w:val="008B6566"/>
    <w:rsid w:val="008B71AD"/>
    <w:rsid w:val="008C1A46"/>
    <w:rsid w:val="008C1B58"/>
    <w:rsid w:val="008C39AE"/>
    <w:rsid w:val="008C4553"/>
    <w:rsid w:val="008C590D"/>
    <w:rsid w:val="008D1093"/>
    <w:rsid w:val="008D6713"/>
    <w:rsid w:val="008D7E33"/>
    <w:rsid w:val="008E031B"/>
    <w:rsid w:val="008E48E4"/>
    <w:rsid w:val="008E7029"/>
    <w:rsid w:val="008E7467"/>
    <w:rsid w:val="008E7EF6"/>
    <w:rsid w:val="008F1F98"/>
    <w:rsid w:val="008F5392"/>
    <w:rsid w:val="008F6758"/>
    <w:rsid w:val="008F6D02"/>
    <w:rsid w:val="008F746D"/>
    <w:rsid w:val="009040DD"/>
    <w:rsid w:val="00905777"/>
    <w:rsid w:val="00905B47"/>
    <w:rsid w:val="00910DD6"/>
    <w:rsid w:val="009110A0"/>
    <w:rsid w:val="00911E09"/>
    <w:rsid w:val="0091264D"/>
    <w:rsid w:val="00912AE8"/>
    <w:rsid w:val="0091331C"/>
    <w:rsid w:val="00914968"/>
    <w:rsid w:val="009279DE"/>
    <w:rsid w:val="00930116"/>
    <w:rsid w:val="00930A6F"/>
    <w:rsid w:val="009322C8"/>
    <w:rsid w:val="009341E7"/>
    <w:rsid w:val="009409D3"/>
    <w:rsid w:val="0094212C"/>
    <w:rsid w:val="0094312F"/>
    <w:rsid w:val="00944DC1"/>
    <w:rsid w:val="00946F3D"/>
    <w:rsid w:val="009473DC"/>
    <w:rsid w:val="00947C39"/>
    <w:rsid w:val="00953221"/>
    <w:rsid w:val="00954689"/>
    <w:rsid w:val="00957030"/>
    <w:rsid w:val="0096059D"/>
    <w:rsid w:val="009617C9"/>
    <w:rsid w:val="00961C93"/>
    <w:rsid w:val="00961E21"/>
    <w:rsid w:val="0096290E"/>
    <w:rsid w:val="009632B6"/>
    <w:rsid w:val="00965096"/>
    <w:rsid w:val="00965324"/>
    <w:rsid w:val="0097091E"/>
    <w:rsid w:val="0097282D"/>
    <w:rsid w:val="009760D3"/>
    <w:rsid w:val="00977132"/>
    <w:rsid w:val="009771BD"/>
    <w:rsid w:val="0098103E"/>
    <w:rsid w:val="0098196F"/>
    <w:rsid w:val="00981A4B"/>
    <w:rsid w:val="00982501"/>
    <w:rsid w:val="0098767B"/>
    <w:rsid w:val="009877D3"/>
    <w:rsid w:val="009914FF"/>
    <w:rsid w:val="00992EE9"/>
    <w:rsid w:val="0099371B"/>
    <w:rsid w:val="00994305"/>
    <w:rsid w:val="00994E8F"/>
    <w:rsid w:val="009951DC"/>
    <w:rsid w:val="009959BB"/>
    <w:rsid w:val="009960AA"/>
    <w:rsid w:val="00997158"/>
    <w:rsid w:val="009A3A7C"/>
    <w:rsid w:val="009A6B33"/>
    <w:rsid w:val="009A6E22"/>
    <w:rsid w:val="009A7792"/>
    <w:rsid w:val="009B128A"/>
    <w:rsid w:val="009B2ADB"/>
    <w:rsid w:val="009B4994"/>
    <w:rsid w:val="009B603A"/>
    <w:rsid w:val="009B61AE"/>
    <w:rsid w:val="009C2D0E"/>
    <w:rsid w:val="009C3DAC"/>
    <w:rsid w:val="009C42E0"/>
    <w:rsid w:val="009C4DDF"/>
    <w:rsid w:val="009C5E1D"/>
    <w:rsid w:val="009D0466"/>
    <w:rsid w:val="009D3966"/>
    <w:rsid w:val="009D422D"/>
    <w:rsid w:val="009D5362"/>
    <w:rsid w:val="009D580C"/>
    <w:rsid w:val="009D5B96"/>
    <w:rsid w:val="009D5DBD"/>
    <w:rsid w:val="009D717F"/>
    <w:rsid w:val="009E02CA"/>
    <w:rsid w:val="009E0710"/>
    <w:rsid w:val="009E1415"/>
    <w:rsid w:val="009E1519"/>
    <w:rsid w:val="009E6116"/>
    <w:rsid w:val="009F1E12"/>
    <w:rsid w:val="009F27F3"/>
    <w:rsid w:val="009F4256"/>
    <w:rsid w:val="009F768B"/>
    <w:rsid w:val="009F7FB4"/>
    <w:rsid w:val="00A01391"/>
    <w:rsid w:val="00A018D9"/>
    <w:rsid w:val="00A01A10"/>
    <w:rsid w:val="00A01BC0"/>
    <w:rsid w:val="00A02524"/>
    <w:rsid w:val="00A02E43"/>
    <w:rsid w:val="00A03086"/>
    <w:rsid w:val="00A048E5"/>
    <w:rsid w:val="00A065F9"/>
    <w:rsid w:val="00A07F34"/>
    <w:rsid w:val="00A13FBD"/>
    <w:rsid w:val="00A20E7F"/>
    <w:rsid w:val="00A22154"/>
    <w:rsid w:val="00A2303B"/>
    <w:rsid w:val="00A246E8"/>
    <w:rsid w:val="00A25C38"/>
    <w:rsid w:val="00A341BB"/>
    <w:rsid w:val="00A346B5"/>
    <w:rsid w:val="00A357C8"/>
    <w:rsid w:val="00A35CC5"/>
    <w:rsid w:val="00A364D4"/>
    <w:rsid w:val="00A36BBE"/>
    <w:rsid w:val="00A425FB"/>
    <w:rsid w:val="00A4307A"/>
    <w:rsid w:val="00A43205"/>
    <w:rsid w:val="00A43B21"/>
    <w:rsid w:val="00A47081"/>
    <w:rsid w:val="00A47EBB"/>
    <w:rsid w:val="00A5041B"/>
    <w:rsid w:val="00A511E7"/>
    <w:rsid w:val="00A51611"/>
    <w:rsid w:val="00A51CDD"/>
    <w:rsid w:val="00A53593"/>
    <w:rsid w:val="00A5598C"/>
    <w:rsid w:val="00A55D37"/>
    <w:rsid w:val="00A61807"/>
    <w:rsid w:val="00A65B59"/>
    <w:rsid w:val="00A666A0"/>
    <w:rsid w:val="00A6730D"/>
    <w:rsid w:val="00A70F48"/>
    <w:rsid w:val="00A71625"/>
    <w:rsid w:val="00A71A50"/>
    <w:rsid w:val="00A71B9B"/>
    <w:rsid w:val="00A724B0"/>
    <w:rsid w:val="00A72B7A"/>
    <w:rsid w:val="00A751C7"/>
    <w:rsid w:val="00A773DB"/>
    <w:rsid w:val="00A80891"/>
    <w:rsid w:val="00A82610"/>
    <w:rsid w:val="00A831D5"/>
    <w:rsid w:val="00A84EE0"/>
    <w:rsid w:val="00A86333"/>
    <w:rsid w:val="00A87844"/>
    <w:rsid w:val="00A9167B"/>
    <w:rsid w:val="00A967D5"/>
    <w:rsid w:val="00A969C2"/>
    <w:rsid w:val="00A96D65"/>
    <w:rsid w:val="00A97F50"/>
    <w:rsid w:val="00AA038C"/>
    <w:rsid w:val="00AA07EE"/>
    <w:rsid w:val="00AA20A8"/>
    <w:rsid w:val="00AA2598"/>
    <w:rsid w:val="00AA2C16"/>
    <w:rsid w:val="00AA348A"/>
    <w:rsid w:val="00AA3CDD"/>
    <w:rsid w:val="00AA5ABC"/>
    <w:rsid w:val="00AA7978"/>
    <w:rsid w:val="00AA7A09"/>
    <w:rsid w:val="00AA7A4B"/>
    <w:rsid w:val="00AA7ECC"/>
    <w:rsid w:val="00AA7F08"/>
    <w:rsid w:val="00AB01C1"/>
    <w:rsid w:val="00AB277C"/>
    <w:rsid w:val="00AB3B50"/>
    <w:rsid w:val="00AB4037"/>
    <w:rsid w:val="00AB6E89"/>
    <w:rsid w:val="00AC05B1"/>
    <w:rsid w:val="00AC172C"/>
    <w:rsid w:val="00AC187B"/>
    <w:rsid w:val="00AC213B"/>
    <w:rsid w:val="00AC2889"/>
    <w:rsid w:val="00AC3BEB"/>
    <w:rsid w:val="00AC7B43"/>
    <w:rsid w:val="00AD031A"/>
    <w:rsid w:val="00AD0D6B"/>
    <w:rsid w:val="00AD128B"/>
    <w:rsid w:val="00AD1404"/>
    <w:rsid w:val="00AD356C"/>
    <w:rsid w:val="00AD40D6"/>
    <w:rsid w:val="00AD5DB8"/>
    <w:rsid w:val="00AE13BC"/>
    <w:rsid w:val="00AE1C7E"/>
    <w:rsid w:val="00AE2914"/>
    <w:rsid w:val="00AE4A01"/>
    <w:rsid w:val="00AE6D15"/>
    <w:rsid w:val="00AE7C86"/>
    <w:rsid w:val="00AF10CD"/>
    <w:rsid w:val="00AF128C"/>
    <w:rsid w:val="00AF1457"/>
    <w:rsid w:val="00AF2EB4"/>
    <w:rsid w:val="00AF455B"/>
    <w:rsid w:val="00AF46DE"/>
    <w:rsid w:val="00AF5655"/>
    <w:rsid w:val="00AF6566"/>
    <w:rsid w:val="00B00C46"/>
    <w:rsid w:val="00B04182"/>
    <w:rsid w:val="00B04B95"/>
    <w:rsid w:val="00B059E7"/>
    <w:rsid w:val="00B05E54"/>
    <w:rsid w:val="00B07AE3"/>
    <w:rsid w:val="00B10148"/>
    <w:rsid w:val="00B101D3"/>
    <w:rsid w:val="00B11430"/>
    <w:rsid w:val="00B12385"/>
    <w:rsid w:val="00B13EDF"/>
    <w:rsid w:val="00B14B29"/>
    <w:rsid w:val="00B17391"/>
    <w:rsid w:val="00B22F55"/>
    <w:rsid w:val="00B24B5D"/>
    <w:rsid w:val="00B25DF5"/>
    <w:rsid w:val="00B27A4B"/>
    <w:rsid w:val="00B31412"/>
    <w:rsid w:val="00B352BC"/>
    <w:rsid w:val="00B353EB"/>
    <w:rsid w:val="00B41AA3"/>
    <w:rsid w:val="00B41D3B"/>
    <w:rsid w:val="00B42233"/>
    <w:rsid w:val="00B439C4"/>
    <w:rsid w:val="00B4535E"/>
    <w:rsid w:val="00B46B59"/>
    <w:rsid w:val="00B46D54"/>
    <w:rsid w:val="00B508E6"/>
    <w:rsid w:val="00B52A8C"/>
    <w:rsid w:val="00B54598"/>
    <w:rsid w:val="00B548BF"/>
    <w:rsid w:val="00B54A76"/>
    <w:rsid w:val="00B54CAD"/>
    <w:rsid w:val="00B55C4F"/>
    <w:rsid w:val="00B565BE"/>
    <w:rsid w:val="00B566BF"/>
    <w:rsid w:val="00B60569"/>
    <w:rsid w:val="00B60E56"/>
    <w:rsid w:val="00B636A8"/>
    <w:rsid w:val="00B645EA"/>
    <w:rsid w:val="00B64E9C"/>
    <w:rsid w:val="00B65EBA"/>
    <w:rsid w:val="00B665C6"/>
    <w:rsid w:val="00B730CA"/>
    <w:rsid w:val="00B73346"/>
    <w:rsid w:val="00B7542D"/>
    <w:rsid w:val="00B80251"/>
    <w:rsid w:val="00B805AF"/>
    <w:rsid w:val="00B83002"/>
    <w:rsid w:val="00B8430C"/>
    <w:rsid w:val="00B843F5"/>
    <w:rsid w:val="00B84FF8"/>
    <w:rsid w:val="00B869EC"/>
    <w:rsid w:val="00B8748B"/>
    <w:rsid w:val="00B9018A"/>
    <w:rsid w:val="00B920C1"/>
    <w:rsid w:val="00B9397A"/>
    <w:rsid w:val="00B9633D"/>
    <w:rsid w:val="00B97E8A"/>
    <w:rsid w:val="00BA2EBE"/>
    <w:rsid w:val="00BA458E"/>
    <w:rsid w:val="00BB0F28"/>
    <w:rsid w:val="00BB2AB7"/>
    <w:rsid w:val="00BB458A"/>
    <w:rsid w:val="00BB4788"/>
    <w:rsid w:val="00BB77DD"/>
    <w:rsid w:val="00BC16B5"/>
    <w:rsid w:val="00BC2220"/>
    <w:rsid w:val="00BC4423"/>
    <w:rsid w:val="00BC7462"/>
    <w:rsid w:val="00BD00B5"/>
    <w:rsid w:val="00BD00D3"/>
    <w:rsid w:val="00BD035B"/>
    <w:rsid w:val="00BD081C"/>
    <w:rsid w:val="00BD0848"/>
    <w:rsid w:val="00BD1659"/>
    <w:rsid w:val="00BD1E16"/>
    <w:rsid w:val="00BD3AA9"/>
    <w:rsid w:val="00BD44D4"/>
    <w:rsid w:val="00BD4518"/>
    <w:rsid w:val="00BD4A18"/>
    <w:rsid w:val="00BD6DB2"/>
    <w:rsid w:val="00BE016E"/>
    <w:rsid w:val="00BE0858"/>
    <w:rsid w:val="00BE11CF"/>
    <w:rsid w:val="00BE21AB"/>
    <w:rsid w:val="00BE44FB"/>
    <w:rsid w:val="00BE504B"/>
    <w:rsid w:val="00BE55CB"/>
    <w:rsid w:val="00BE609B"/>
    <w:rsid w:val="00BF1831"/>
    <w:rsid w:val="00BF35AD"/>
    <w:rsid w:val="00BF39BA"/>
    <w:rsid w:val="00BF476D"/>
    <w:rsid w:val="00BF4B58"/>
    <w:rsid w:val="00BF617A"/>
    <w:rsid w:val="00BF68EB"/>
    <w:rsid w:val="00C0379D"/>
    <w:rsid w:val="00C03931"/>
    <w:rsid w:val="00C040F3"/>
    <w:rsid w:val="00C04B33"/>
    <w:rsid w:val="00C04D03"/>
    <w:rsid w:val="00C05C04"/>
    <w:rsid w:val="00C05FE3"/>
    <w:rsid w:val="00C11DFB"/>
    <w:rsid w:val="00C12409"/>
    <w:rsid w:val="00C13585"/>
    <w:rsid w:val="00C13CE2"/>
    <w:rsid w:val="00C13FAF"/>
    <w:rsid w:val="00C1452C"/>
    <w:rsid w:val="00C15E9A"/>
    <w:rsid w:val="00C20232"/>
    <w:rsid w:val="00C20D61"/>
    <w:rsid w:val="00C20FA5"/>
    <w:rsid w:val="00C2136D"/>
    <w:rsid w:val="00C213E6"/>
    <w:rsid w:val="00C214EE"/>
    <w:rsid w:val="00C21FE5"/>
    <w:rsid w:val="00C2314B"/>
    <w:rsid w:val="00C23C24"/>
    <w:rsid w:val="00C24971"/>
    <w:rsid w:val="00C25091"/>
    <w:rsid w:val="00C26BE5"/>
    <w:rsid w:val="00C26E4D"/>
    <w:rsid w:val="00C27909"/>
    <w:rsid w:val="00C27B03"/>
    <w:rsid w:val="00C30E55"/>
    <w:rsid w:val="00C314E1"/>
    <w:rsid w:val="00C32524"/>
    <w:rsid w:val="00C34397"/>
    <w:rsid w:val="00C348CA"/>
    <w:rsid w:val="00C3516B"/>
    <w:rsid w:val="00C40039"/>
    <w:rsid w:val="00C406ED"/>
    <w:rsid w:val="00C4095D"/>
    <w:rsid w:val="00C41381"/>
    <w:rsid w:val="00C4188D"/>
    <w:rsid w:val="00C4322D"/>
    <w:rsid w:val="00C459B2"/>
    <w:rsid w:val="00C45BC1"/>
    <w:rsid w:val="00C46686"/>
    <w:rsid w:val="00C50296"/>
    <w:rsid w:val="00C50844"/>
    <w:rsid w:val="00C50F40"/>
    <w:rsid w:val="00C51647"/>
    <w:rsid w:val="00C53D80"/>
    <w:rsid w:val="00C566D4"/>
    <w:rsid w:val="00C56EFC"/>
    <w:rsid w:val="00C601D2"/>
    <w:rsid w:val="00C6205C"/>
    <w:rsid w:val="00C620F7"/>
    <w:rsid w:val="00C64D57"/>
    <w:rsid w:val="00C657AB"/>
    <w:rsid w:val="00C65BCC"/>
    <w:rsid w:val="00C66970"/>
    <w:rsid w:val="00C66C1E"/>
    <w:rsid w:val="00C674C9"/>
    <w:rsid w:val="00C7718D"/>
    <w:rsid w:val="00C82256"/>
    <w:rsid w:val="00C83B95"/>
    <w:rsid w:val="00C8422E"/>
    <w:rsid w:val="00C848AC"/>
    <w:rsid w:val="00C84923"/>
    <w:rsid w:val="00C8691C"/>
    <w:rsid w:val="00C90FAA"/>
    <w:rsid w:val="00C92189"/>
    <w:rsid w:val="00C94952"/>
    <w:rsid w:val="00C964AF"/>
    <w:rsid w:val="00C96894"/>
    <w:rsid w:val="00CA12B3"/>
    <w:rsid w:val="00CA168A"/>
    <w:rsid w:val="00CA357E"/>
    <w:rsid w:val="00CA3660"/>
    <w:rsid w:val="00CA3BC1"/>
    <w:rsid w:val="00CA44F9"/>
    <w:rsid w:val="00CA4A69"/>
    <w:rsid w:val="00CA577B"/>
    <w:rsid w:val="00CB35D6"/>
    <w:rsid w:val="00CB6323"/>
    <w:rsid w:val="00CB6432"/>
    <w:rsid w:val="00CB65B2"/>
    <w:rsid w:val="00CB674C"/>
    <w:rsid w:val="00CB6B17"/>
    <w:rsid w:val="00CB7EB9"/>
    <w:rsid w:val="00CC1EA9"/>
    <w:rsid w:val="00CC3E0C"/>
    <w:rsid w:val="00CC4E3D"/>
    <w:rsid w:val="00CC58D3"/>
    <w:rsid w:val="00CC5F1F"/>
    <w:rsid w:val="00CC71B4"/>
    <w:rsid w:val="00CC784D"/>
    <w:rsid w:val="00CD066F"/>
    <w:rsid w:val="00CD1A31"/>
    <w:rsid w:val="00CD1E2C"/>
    <w:rsid w:val="00CD4CC1"/>
    <w:rsid w:val="00CD5499"/>
    <w:rsid w:val="00CD5D6A"/>
    <w:rsid w:val="00CD65D2"/>
    <w:rsid w:val="00CD7130"/>
    <w:rsid w:val="00CD72C4"/>
    <w:rsid w:val="00CD7DDB"/>
    <w:rsid w:val="00CE7363"/>
    <w:rsid w:val="00CF013F"/>
    <w:rsid w:val="00CF4D41"/>
    <w:rsid w:val="00CF52A6"/>
    <w:rsid w:val="00CF5742"/>
    <w:rsid w:val="00CF59BC"/>
    <w:rsid w:val="00D0057D"/>
    <w:rsid w:val="00D00CAB"/>
    <w:rsid w:val="00D0337B"/>
    <w:rsid w:val="00D03A79"/>
    <w:rsid w:val="00D05330"/>
    <w:rsid w:val="00D079B2"/>
    <w:rsid w:val="00D10208"/>
    <w:rsid w:val="00D114E9"/>
    <w:rsid w:val="00D11C0D"/>
    <w:rsid w:val="00D1228F"/>
    <w:rsid w:val="00D23E85"/>
    <w:rsid w:val="00D24B8D"/>
    <w:rsid w:val="00D30671"/>
    <w:rsid w:val="00D317C1"/>
    <w:rsid w:val="00D31DDC"/>
    <w:rsid w:val="00D3378C"/>
    <w:rsid w:val="00D367E2"/>
    <w:rsid w:val="00D36932"/>
    <w:rsid w:val="00D40EF8"/>
    <w:rsid w:val="00D429C6"/>
    <w:rsid w:val="00D44C31"/>
    <w:rsid w:val="00D45CF1"/>
    <w:rsid w:val="00D47748"/>
    <w:rsid w:val="00D508A3"/>
    <w:rsid w:val="00D51839"/>
    <w:rsid w:val="00D521F2"/>
    <w:rsid w:val="00D52D1A"/>
    <w:rsid w:val="00D5367B"/>
    <w:rsid w:val="00D54CC3"/>
    <w:rsid w:val="00D54FA7"/>
    <w:rsid w:val="00D5627E"/>
    <w:rsid w:val="00D6039A"/>
    <w:rsid w:val="00D6041A"/>
    <w:rsid w:val="00D633EB"/>
    <w:rsid w:val="00D645FF"/>
    <w:rsid w:val="00D662E0"/>
    <w:rsid w:val="00D677F4"/>
    <w:rsid w:val="00D7194E"/>
    <w:rsid w:val="00D7277B"/>
    <w:rsid w:val="00D7529B"/>
    <w:rsid w:val="00D75E3D"/>
    <w:rsid w:val="00D75E78"/>
    <w:rsid w:val="00D76DA6"/>
    <w:rsid w:val="00D7791D"/>
    <w:rsid w:val="00D77E1E"/>
    <w:rsid w:val="00D80332"/>
    <w:rsid w:val="00D820E1"/>
    <w:rsid w:val="00D82FF7"/>
    <w:rsid w:val="00D847FE"/>
    <w:rsid w:val="00D84CA8"/>
    <w:rsid w:val="00D87DCA"/>
    <w:rsid w:val="00D92952"/>
    <w:rsid w:val="00D929DF"/>
    <w:rsid w:val="00D93DA6"/>
    <w:rsid w:val="00D95755"/>
    <w:rsid w:val="00D95AB1"/>
    <w:rsid w:val="00D964EA"/>
    <w:rsid w:val="00D96557"/>
    <w:rsid w:val="00D966D0"/>
    <w:rsid w:val="00D97A34"/>
    <w:rsid w:val="00DA0C59"/>
    <w:rsid w:val="00DA1C6C"/>
    <w:rsid w:val="00DA3991"/>
    <w:rsid w:val="00DA4CC4"/>
    <w:rsid w:val="00DA6072"/>
    <w:rsid w:val="00DB106A"/>
    <w:rsid w:val="00DB4192"/>
    <w:rsid w:val="00DB4B02"/>
    <w:rsid w:val="00DB696D"/>
    <w:rsid w:val="00DB7E6C"/>
    <w:rsid w:val="00DC0FBA"/>
    <w:rsid w:val="00DC264D"/>
    <w:rsid w:val="00DC28AD"/>
    <w:rsid w:val="00DC594E"/>
    <w:rsid w:val="00DC59ED"/>
    <w:rsid w:val="00DC5DC8"/>
    <w:rsid w:val="00DC6F20"/>
    <w:rsid w:val="00DD08C2"/>
    <w:rsid w:val="00DD0DB8"/>
    <w:rsid w:val="00DD2651"/>
    <w:rsid w:val="00DD28EE"/>
    <w:rsid w:val="00DD313C"/>
    <w:rsid w:val="00DD3765"/>
    <w:rsid w:val="00DD40F5"/>
    <w:rsid w:val="00DD5A29"/>
    <w:rsid w:val="00DD5D9D"/>
    <w:rsid w:val="00DD5E58"/>
    <w:rsid w:val="00DD6BB0"/>
    <w:rsid w:val="00DE35CB"/>
    <w:rsid w:val="00DE4412"/>
    <w:rsid w:val="00DE4830"/>
    <w:rsid w:val="00DE498F"/>
    <w:rsid w:val="00DE5142"/>
    <w:rsid w:val="00DE520E"/>
    <w:rsid w:val="00DE6A26"/>
    <w:rsid w:val="00DE75D4"/>
    <w:rsid w:val="00DF14D3"/>
    <w:rsid w:val="00DF21E9"/>
    <w:rsid w:val="00DF30DF"/>
    <w:rsid w:val="00DF332B"/>
    <w:rsid w:val="00DF45B3"/>
    <w:rsid w:val="00DF55C6"/>
    <w:rsid w:val="00E00833"/>
    <w:rsid w:val="00E00F14"/>
    <w:rsid w:val="00E05701"/>
    <w:rsid w:val="00E06386"/>
    <w:rsid w:val="00E06D40"/>
    <w:rsid w:val="00E0757F"/>
    <w:rsid w:val="00E11120"/>
    <w:rsid w:val="00E11FDF"/>
    <w:rsid w:val="00E14148"/>
    <w:rsid w:val="00E14ED6"/>
    <w:rsid w:val="00E17049"/>
    <w:rsid w:val="00E178AE"/>
    <w:rsid w:val="00E17F23"/>
    <w:rsid w:val="00E21F45"/>
    <w:rsid w:val="00E24EB4"/>
    <w:rsid w:val="00E272B7"/>
    <w:rsid w:val="00E320ED"/>
    <w:rsid w:val="00E33AFB"/>
    <w:rsid w:val="00E34218"/>
    <w:rsid w:val="00E344D4"/>
    <w:rsid w:val="00E3474B"/>
    <w:rsid w:val="00E3526B"/>
    <w:rsid w:val="00E35842"/>
    <w:rsid w:val="00E36DAB"/>
    <w:rsid w:val="00E43A04"/>
    <w:rsid w:val="00E441B0"/>
    <w:rsid w:val="00E44E5D"/>
    <w:rsid w:val="00E4530C"/>
    <w:rsid w:val="00E46282"/>
    <w:rsid w:val="00E46DD0"/>
    <w:rsid w:val="00E515B3"/>
    <w:rsid w:val="00E51680"/>
    <w:rsid w:val="00E5216E"/>
    <w:rsid w:val="00E52DBD"/>
    <w:rsid w:val="00E53282"/>
    <w:rsid w:val="00E53B40"/>
    <w:rsid w:val="00E5593E"/>
    <w:rsid w:val="00E56E83"/>
    <w:rsid w:val="00E570C8"/>
    <w:rsid w:val="00E62326"/>
    <w:rsid w:val="00E6369C"/>
    <w:rsid w:val="00E64A3D"/>
    <w:rsid w:val="00E65824"/>
    <w:rsid w:val="00E73FED"/>
    <w:rsid w:val="00E74228"/>
    <w:rsid w:val="00E7552E"/>
    <w:rsid w:val="00E7560E"/>
    <w:rsid w:val="00E77707"/>
    <w:rsid w:val="00E77FBE"/>
    <w:rsid w:val="00E80258"/>
    <w:rsid w:val="00E820E4"/>
    <w:rsid w:val="00E82344"/>
    <w:rsid w:val="00E845D7"/>
    <w:rsid w:val="00E84C82"/>
    <w:rsid w:val="00E84D64"/>
    <w:rsid w:val="00E8542B"/>
    <w:rsid w:val="00E85757"/>
    <w:rsid w:val="00E8690D"/>
    <w:rsid w:val="00E87408"/>
    <w:rsid w:val="00E8787E"/>
    <w:rsid w:val="00E87AFC"/>
    <w:rsid w:val="00E914C4"/>
    <w:rsid w:val="00E929D4"/>
    <w:rsid w:val="00E934F5"/>
    <w:rsid w:val="00E953CF"/>
    <w:rsid w:val="00E95FF2"/>
    <w:rsid w:val="00E965FA"/>
    <w:rsid w:val="00E96961"/>
    <w:rsid w:val="00E97F0C"/>
    <w:rsid w:val="00EA0208"/>
    <w:rsid w:val="00EA509E"/>
    <w:rsid w:val="00EA72EC"/>
    <w:rsid w:val="00EB06F1"/>
    <w:rsid w:val="00EB0C9F"/>
    <w:rsid w:val="00EB11CB"/>
    <w:rsid w:val="00EB1B0C"/>
    <w:rsid w:val="00EB23BB"/>
    <w:rsid w:val="00EB275A"/>
    <w:rsid w:val="00EB3D25"/>
    <w:rsid w:val="00EB52EE"/>
    <w:rsid w:val="00EB786A"/>
    <w:rsid w:val="00EC03DE"/>
    <w:rsid w:val="00EC0B8C"/>
    <w:rsid w:val="00EC1578"/>
    <w:rsid w:val="00EC1C72"/>
    <w:rsid w:val="00EC1D39"/>
    <w:rsid w:val="00EC2A28"/>
    <w:rsid w:val="00EC2A9C"/>
    <w:rsid w:val="00EC39D7"/>
    <w:rsid w:val="00EC3CC9"/>
    <w:rsid w:val="00EC3D6F"/>
    <w:rsid w:val="00EC4E56"/>
    <w:rsid w:val="00EC57EA"/>
    <w:rsid w:val="00EC5950"/>
    <w:rsid w:val="00EC6266"/>
    <w:rsid w:val="00EC680A"/>
    <w:rsid w:val="00ED0AA6"/>
    <w:rsid w:val="00ED0CCA"/>
    <w:rsid w:val="00ED1F91"/>
    <w:rsid w:val="00ED2845"/>
    <w:rsid w:val="00ED6AED"/>
    <w:rsid w:val="00ED769F"/>
    <w:rsid w:val="00ED777C"/>
    <w:rsid w:val="00EE260E"/>
    <w:rsid w:val="00EE2BED"/>
    <w:rsid w:val="00EE374B"/>
    <w:rsid w:val="00EE4340"/>
    <w:rsid w:val="00EE74BB"/>
    <w:rsid w:val="00EF0C8B"/>
    <w:rsid w:val="00EF1E73"/>
    <w:rsid w:val="00EF57A1"/>
    <w:rsid w:val="00EF5D6C"/>
    <w:rsid w:val="00EF659B"/>
    <w:rsid w:val="00EF7A7A"/>
    <w:rsid w:val="00F0268E"/>
    <w:rsid w:val="00F0418D"/>
    <w:rsid w:val="00F05CE7"/>
    <w:rsid w:val="00F07FD3"/>
    <w:rsid w:val="00F11A3C"/>
    <w:rsid w:val="00F11BB5"/>
    <w:rsid w:val="00F140E7"/>
    <w:rsid w:val="00F1417B"/>
    <w:rsid w:val="00F1519A"/>
    <w:rsid w:val="00F20AF6"/>
    <w:rsid w:val="00F32640"/>
    <w:rsid w:val="00F34B99"/>
    <w:rsid w:val="00F3540E"/>
    <w:rsid w:val="00F35F33"/>
    <w:rsid w:val="00F365D5"/>
    <w:rsid w:val="00F3732A"/>
    <w:rsid w:val="00F408A2"/>
    <w:rsid w:val="00F412A3"/>
    <w:rsid w:val="00F45FE1"/>
    <w:rsid w:val="00F47A51"/>
    <w:rsid w:val="00F52DAB"/>
    <w:rsid w:val="00F543F0"/>
    <w:rsid w:val="00F54756"/>
    <w:rsid w:val="00F55121"/>
    <w:rsid w:val="00F5569D"/>
    <w:rsid w:val="00F57237"/>
    <w:rsid w:val="00F57375"/>
    <w:rsid w:val="00F62B0A"/>
    <w:rsid w:val="00F70E6B"/>
    <w:rsid w:val="00F72F14"/>
    <w:rsid w:val="00F73E2E"/>
    <w:rsid w:val="00F7736F"/>
    <w:rsid w:val="00F816FF"/>
    <w:rsid w:val="00F81D29"/>
    <w:rsid w:val="00F84688"/>
    <w:rsid w:val="00F85D2B"/>
    <w:rsid w:val="00F9023C"/>
    <w:rsid w:val="00F90602"/>
    <w:rsid w:val="00F91C4D"/>
    <w:rsid w:val="00F92FD9"/>
    <w:rsid w:val="00F93ECD"/>
    <w:rsid w:val="00F95E59"/>
    <w:rsid w:val="00F96382"/>
    <w:rsid w:val="00F97566"/>
    <w:rsid w:val="00FA0E2D"/>
    <w:rsid w:val="00FA1327"/>
    <w:rsid w:val="00FA1664"/>
    <w:rsid w:val="00FA1A46"/>
    <w:rsid w:val="00FA1F0B"/>
    <w:rsid w:val="00FA5801"/>
    <w:rsid w:val="00FA6684"/>
    <w:rsid w:val="00FA731E"/>
    <w:rsid w:val="00FB2B38"/>
    <w:rsid w:val="00FC0A7E"/>
    <w:rsid w:val="00FC274F"/>
    <w:rsid w:val="00FC4AEA"/>
    <w:rsid w:val="00FC6358"/>
    <w:rsid w:val="00FD0A50"/>
    <w:rsid w:val="00FD320D"/>
    <w:rsid w:val="00FD74BD"/>
    <w:rsid w:val="00FE0BF8"/>
    <w:rsid w:val="00FE23DE"/>
    <w:rsid w:val="00FE3312"/>
    <w:rsid w:val="00FE3374"/>
    <w:rsid w:val="00FE35CC"/>
    <w:rsid w:val="00FE3E69"/>
    <w:rsid w:val="00FE4E71"/>
    <w:rsid w:val="00FE64A7"/>
    <w:rsid w:val="00FE7CEF"/>
    <w:rsid w:val="00FF15EE"/>
    <w:rsid w:val="00FF2678"/>
    <w:rsid w:val="00FF353D"/>
    <w:rsid w:val="00FF35D6"/>
    <w:rsid w:val="00FF422A"/>
    <w:rsid w:val="00FF6EC1"/>
    <w:rsid w:val="014D2230"/>
    <w:rsid w:val="02DE7C7D"/>
    <w:rsid w:val="04B862AB"/>
    <w:rsid w:val="05665D59"/>
    <w:rsid w:val="05714444"/>
    <w:rsid w:val="0ACF6A37"/>
    <w:rsid w:val="0D9B3F04"/>
    <w:rsid w:val="11001706"/>
    <w:rsid w:val="138A3509"/>
    <w:rsid w:val="1DB9478A"/>
    <w:rsid w:val="1DD834A6"/>
    <w:rsid w:val="27656ECC"/>
    <w:rsid w:val="277708A8"/>
    <w:rsid w:val="2A985631"/>
    <w:rsid w:val="2CB76CC5"/>
    <w:rsid w:val="2E400F3C"/>
    <w:rsid w:val="31196712"/>
    <w:rsid w:val="34943D90"/>
    <w:rsid w:val="54FA3147"/>
    <w:rsid w:val="59E93B6B"/>
    <w:rsid w:val="61EF2F36"/>
    <w:rsid w:val="657054C1"/>
    <w:rsid w:val="677464DB"/>
    <w:rsid w:val="6A164B61"/>
    <w:rsid w:val="6B04265E"/>
    <w:rsid w:val="70441BEA"/>
    <w:rsid w:val="70FE59BB"/>
    <w:rsid w:val="72934A54"/>
    <w:rsid w:val="78593D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autoRedefine/>
    <w:semiHidden/>
    <w:qFormat/>
    <w:uiPriority w:val="0"/>
    <w:pPr>
      <w:tabs>
        <w:tab w:val="right" w:leader="dot" w:pos="9241"/>
      </w:tabs>
      <w:ind w:firstLine="500" w:firstLineChars="500"/>
      <w:jc w:val="left"/>
    </w:pPr>
    <w:rPr>
      <w:rFonts w:ascii="宋体"/>
      <w:szCs w:val="21"/>
    </w:rPr>
  </w:style>
  <w:style w:type="paragraph" w:styleId="3">
    <w:name w:val="index 8"/>
    <w:basedOn w:val="1"/>
    <w:next w:val="1"/>
    <w:autoRedefine/>
    <w:qFormat/>
    <w:uiPriority w:val="0"/>
    <w:pPr>
      <w:ind w:left="1680" w:hanging="210"/>
      <w:jc w:val="left"/>
    </w:pPr>
    <w:rPr>
      <w:rFonts w:ascii="Calibri" w:hAnsi="Calibri"/>
      <w:sz w:val="20"/>
      <w:szCs w:val="20"/>
    </w:rPr>
  </w:style>
  <w:style w:type="paragraph" w:styleId="4">
    <w:name w:val="caption"/>
    <w:basedOn w:val="1"/>
    <w:next w:val="1"/>
    <w:qFormat/>
    <w:uiPriority w:val="0"/>
    <w:pPr>
      <w:spacing w:before="152" w:after="160"/>
    </w:pPr>
    <w:rPr>
      <w:rFonts w:ascii="Arial" w:hAnsi="Arial" w:eastAsia="黑体" w:cs="Arial"/>
      <w:sz w:val="20"/>
      <w:szCs w:val="20"/>
    </w:rPr>
  </w:style>
  <w:style w:type="paragraph" w:styleId="5">
    <w:name w:val="index 5"/>
    <w:basedOn w:val="1"/>
    <w:next w:val="1"/>
    <w:autoRedefine/>
    <w:qFormat/>
    <w:uiPriority w:val="0"/>
    <w:pPr>
      <w:ind w:left="1050" w:hanging="210"/>
      <w:jc w:val="left"/>
    </w:pPr>
    <w:rPr>
      <w:rFonts w:ascii="Calibri" w:hAnsi="Calibri"/>
      <w:sz w:val="20"/>
      <w:szCs w:val="20"/>
    </w:rPr>
  </w:style>
  <w:style w:type="paragraph" w:styleId="6">
    <w:name w:val="Document Map"/>
    <w:basedOn w:val="1"/>
    <w:semiHidden/>
    <w:qFormat/>
    <w:uiPriority w:val="0"/>
    <w:pPr>
      <w:shd w:val="clear" w:color="auto" w:fill="000080"/>
    </w:pPr>
  </w:style>
  <w:style w:type="paragraph" w:styleId="7">
    <w:name w:val="annotation text"/>
    <w:basedOn w:val="1"/>
    <w:link w:val="137"/>
    <w:qFormat/>
    <w:uiPriority w:val="0"/>
    <w:pPr>
      <w:jc w:val="left"/>
    </w:pPr>
    <w:rPr>
      <w:lang w:val="zh-CN"/>
    </w:rPr>
  </w:style>
  <w:style w:type="paragraph" w:styleId="8">
    <w:name w:val="index 6"/>
    <w:basedOn w:val="1"/>
    <w:next w:val="1"/>
    <w:autoRedefine/>
    <w:qFormat/>
    <w:uiPriority w:val="0"/>
    <w:pPr>
      <w:ind w:left="1260" w:hanging="210"/>
      <w:jc w:val="left"/>
    </w:pPr>
    <w:rPr>
      <w:rFonts w:ascii="Calibri" w:hAnsi="Calibri"/>
      <w:sz w:val="20"/>
      <w:szCs w:val="20"/>
    </w:rPr>
  </w:style>
  <w:style w:type="paragraph" w:styleId="9">
    <w:name w:val="index 4"/>
    <w:basedOn w:val="1"/>
    <w:next w:val="1"/>
    <w:autoRedefine/>
    <w:qFormat/>
    <w:uiPriority w:val="0"/>
    <w:pPr>
      <w:ind w:left="840" w:hanging="210"/>
      <w:jc w:val="left"/>
    </w:pPr>
    <w:rPr>
      <w:rFonts w:ascii="Calibri" w:hAnsi="Calibri"/>
      <w:sz w:val="20"/>
      <w:szCs w:val="20"/>
    </w:rPr>
  </w:style>
  <w:style w:type="paragraph" w:styleId="10">
    <w:name w:val="toc 5"/>
    <w:basedOn w:val="1"/>
    <w:next w:val="1"/>
    <w:autoRedefine/>
    <w:semiHidden/>
    <w:qFormat/>
    <w:uiPriority w:val="0"/>
    <w:pPr>
      <w:tabs>
        <w:tab w:val="right" w:leader="dot" w:pos="9241"/>
      </w:tabs>
      <w:ind w:firstLine="300" w:firstLineChars="300"/>
      <w:jc w:val="left"/>
    </w:pPr>
    <w:rPr>
      <w:rFonts w:ascii="宋体"/>
      <w:szCs w:val="21"/>
    </w:rPr>
  </w:style>
  <w:style w:type="paragraph" w:styleId="11">
    <w:name w:val="toc 3"/>
    <w:basedOn w:val="1"/>
    <w:next w:val="1"/>
    <w:autoRedefine/>
    <w:semiHidden/>
    <w:qFormat/>
    <w:uiPriority w:val="0"/>
    <w:pPr>
      <w:tabs>
        <w:tab w:val="right" w:leader="dot" w:pos="9241"/>
      </w:tabs>
      <w:ind w:firstLine="100" w:firstLineChars="100"/>
      <w:jc w:val="left"/>
    </w:pPr>
    <w:rPr>
      <w:rFonts w:ascii="宋体"/>
      <w:szCs w:val="21"/>
    </w:rPr>
  </w:style>
  <w:style w:type="paragraph" w:styleId="12">
    <w:name w:val="toc 8"/>
    <w:basedOn w:val="1"/>
    <w:next w:val="1"/>
    <w:autoRedefine/>
    <w:semiHidden/>
    <w:qFormat/>
    <w:uiPriority w:val="0"/>
    <w:pPr>
      <w:tabs>
        <w:tab w:val="right" w:leader="dot" w:pos="9241"/>
      </w:tabs>
      <w:ind w:firstLine="607" w:firstLineChars="600"/>
      <w:jc w:val="left"/>
    </w:pPr>
    <w:rPr>
      <w:rFonts w:ascii="宋体"/>
      <w:szCs w:val="21"/>
    </w:rPr>
  </w:style>
  <w:style w:type="paragraph" w:styleId="13">
    <w:name w:val="index 3"/>
    <w:basedOn w:val="1"/>
    <w:next w:val="1"/>
    <w:autoRedefine/>
    <w:qFormat/>
    <w:uiPriority w:val="0"/>
    <w:pPr>
      <w:ind w:left="630" w:hanging="210"/>
      <w:jc w:val="left"/>
    </w:pPr>
    <w:rPr>
      <w:rFonts w:ascii="Calibri" w:hAnsi="Calibri"/>
      <w:sz w:val="20"/>
      <w:szCs w:val="20"/>
    </w:rPr>
  </w:style>
  <w:style w:type="paragraph" w:styleId="14">
    <w:name w:val="endnote text"/>
    <w:basedOn w:val="1"/>
    <w:semiHidden/>
    <w:qFormat/>
    <w:uiPriority w:val="0"/>
    <w:pPr>
      <w:snapToGrid w:val="0"/>
      <w:jc w:val="left"/>
    </w:pPr>
  </w:style>
  <w:style w:type="paragraph" w:styleId="15">
    <w:name w:val="Balloon Text"/>
    <w:basedOn w:val="1"/>
    <w:link w:val="139"/>
    <w:qFormat/>
    <w:uiPriority w:val="0"/>
    <w:rPr>
      <w:sz w:val="18"/>
      <w:szCs w:val="18"/>
      <w:lang w:val="zh-CN"/>
    </w:rPr>
  </w:style>
  <w:style w:type="paragraph" w:styleId="16">
    <w:name w:val="footer"/>
    <w:basedOn w:val="1"/>
    <w:link w:val="143"/>
    <w:qFormat/>
    <w:uiPriority w:val="99"/>
    <w:pPr>
      <w:snapToGrid w:val="0"/>
      <w:ind w:right="210" w:rightChars="100"/>
      <w:jc w:val="right"/>
    </w:pPr>
    <w:rPr>
      <w:sz w:val="18"/>
      <w:szCs w:val="18"/>
    </w:rPr>
  </w:style>
  <w:style w:type="paragraph" w:styleId="17">
    <w:name w:val="header"/>
    <w:basedOn w:val="1"/>
    <w:link w:val="142"/>
    <w:qFormat/>
    <w:uiPriority w:val="99"/>
    <w:pPr>
      <w:snapToGrid w:val="0"/>
      <w:jc w:val="left"/>
    </w:pPr>
    <w:rPr>
      <w:sz w:val="18"/>
      <w:szCs w:val="18"/>
    </w:rPr>
  </w:style>
  <w:style w:type="paragraph" w:styleId="18">
    <w:name w:val="toc 1"/>
    <w:basedOn w:val="1"/>
    <w:next w:val="1"/>
    <w:autoRedefine/>
    <w:semiHidden/>
    <w:qFormat/>
    <w:uiPriority w:val="0"/>
    <w:pPr>
      <w:tabs>
        <w:tab w:val="right" w:leader="dot" w:pos="9242"/>
      </w:tabs>
      <w:spacing w:before="25" w:beforeLines="25" w:after="25" w:afterLines="25"/>
      <w:jc w:val="left"/>
    </w:pPr>
    <w:rPr>
      <w:rFonts w:ascii="宋体"/>
      <w:szCs w:val="21"/>
    </w:rPr>
  </w:style>
  <w:style w:type="paragraph" w:styleId="19">
    <w:name w:val="toc 4"/>
    <w:basedOn w:val="1"/>
    <w:next w:val="1"/>
    <w:autoRedefine/>
    <w:semiHidden/>
    <w:qFormat/>
    <w:uiPriority w:val="0"/>
    <w:pPr>
      <w:tabs>
        <w:tab w:val="right" w:leader="dot" w:pos="9241"/>
      </w:tabs>
      <w:ind w:firstLine="200" w:firstLineChars="200"/>
      <w:jc w:val="left"/>
    </w:pPr>
    <w:rPr>
      <w:rFonts w:ascii="宋体"/>
      <w:szCs w:val="21"/>
    </w:rPr>
  </w:style>
  <w:style w:type="paragraph" w:styleId="20">
    <w:name w:val="index heading"/>
    <w:basedOn w:val="1"/>
    <w:next w:val="21"/>
    <w:qFormat/>
    <w:uiPriority w:val="0"/>
    <w:pPr>
      <w:spacing w:before="120" w:after="120"/>
      <w:jc w:val="center"/>
    </w:pPr>
    <w:rPr>
      <w:rFonts w:ascii="Calibri" w:hAnsi="Calibri"/>
      <w:b/>
      <w:bCs/>
      <w:iCs/>
      <w:szCs w:val="20"/>
    </w:rPr>
  </w:style>
  <w:style w:type="paragraph" w:styleId="21">
    <w:name w:val="index 1"/>
    <w:basedOn w:val="1"/>
    <w:next w:val="22"/>
    <w:qFormat/>
    <w:uiPriority w:val="0"/>
    <w:pPr>
      <w:tabs>
        <w:tab w:val="right" w:leader="dot" w:pos="9299"/>
      </w:tabs>
      <w:jc w:val="left"/>
    </w:pPr>
    <w:rPr>
      <w:rFonts w:ascii="宋体"/>
      <w:szCs w:val="21"/>
    </w:rPr>
  </w:style>
  <w:style w:type="paragraph" w:customStyle="1" w:styleId="22">
    <w:name w:val="段"/>
    <w:link w:val="4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3">
    <w:name w:val="footnote text"/>
    <w:basedOn w:val="1"/>
    <w:qFormat/>
    <w:uiPriority w:val="0"/>
    <w:pPr>
      <w:numPr>
        <w:ilvl w:val="0"/>
        <w:numId w:val="1"/>
      </w:numPr>
      <w:snapToGrid w:val="0"/>
      <w:jc w:val="left"/>
    </w:pPr>
    <w:rPr>
      <w:rFonts w:ascii="宋体"/>
      <w:sz w:val="18"/>
      <w:szCs w:val="18"/>
    </w:rPr>
  </w:style>
  <w:style w:type="paragraph" w:styleId="24">
    <w:name w:val="toc 6"/>
    <w:basedOn w:val="1"/>
    <w:next w:val="1"/>
    <w:autoRedefine/>
    <w:semiHidden/>
    <w:qFormat/>
    <w:uiPriority w:val="0"/>
    <w:pPr>
      <w:tabs>
        <w:tab w:val="right" w:leader="dot" w:pos="9241"/>
      </w:tabs>
      <w:ind w:firstLine="400" w:firstLineChars="400"/>
      <w:jc w:val="left"/>
    </w:pPr>
    <w:rPr>
      <w:rFonts w:ascii="宋体"/>
      <w:szCs w:val="21"/>
    </w:rPr>
  </w:style>
  <w:style w:type="paragraph" w:styleId="25">
    <w:name w:val="index 7"/>
    <w:basedOn w:val="1"/>
    <w:next w:val="1"/>
    <w:autoRedefine/>
    <w:qFormat/>
    <w:uiPriority w:val="0"/>
    <w:pPr>
      <w:ind w:left="1470" w:hanging="210"/>
      <w:jc w:val="left"/>
    </w:pPr>
    <w:rPr>
      <w:rFonts w:ascii="Calibri" w:hAnsi="Calibri"/>
      <w:sz w:val="20"/>
      <w:szCs w:val="20"/>
    </w:rPr>
  </w:style>
  <w:style w:type="paragraph" w:styleId="26">
    <w:name w:val="index 9"/>
    <w:basedOn w:val="1"/>
    <w:next w:val="1"/>
    <w:autoRedefine/>
    <w:qFormat/>
    <w:uiPriority w:val="0"/>
    <w:pPr>
      <w:ind w:left="1890" w:hanging="210"/>
      <w:jc w:val="left"/>
    </w:pPr>
    <w:rPr>
      <w:rFonts w:ascii="Calibri" w:hAnsi="Calibri"/>
      <w:sz w:val="20"/>
      <w:szCs w:val="20"/>
    </w:rPr>
  </w:style>
  <w:style w:type="paragraph" w:styleId="27">
    <w:name w:val="toc 2"/>
    <w:basedOn w:val="1"/>
    <w:next w:val="1"/>
    <w:autoRedefine/>
    <w:semiHidden/>
    <w:qFormat/>
    <w:uiPriority w:val="0"/>
    <w:pPr>
      <w:tabs>
        <w:tab w:val="right" w:leader="dot" w:pos="9242"/>
      </w:tabs>
    </w:pPr>
    <w:rPr>
      <w:rFonts w:ascii="宋体"/>
      <w:szCs w:val="21"/>
    </w:rPr>
  </w:style>
  <w:style w:type="paragraph" w:styleId="28">
    <w:name w:val="toc 9"/>
    <w:basedOn w:val="1"/>
    <w:next w:val="1"/>
    <w:autoRedefine/>
    <w:semiHidden/>
    <w:qFormat/>
    <w:uiPriority w:val="0"/>
    <w:pPr>
      <w:ind w:left="1470"/>
      <w:jc w:val="left"/>
    </w:pPr>
    <w:rPr>
      <w:sz w:val="20"/>
      <w:szCs w:val="20"/>
    </w:rPr>
  </w:style>
  <w:style w:type="paragraph" w:styleId="29">
    <w:name w:val="index 2"/>
    <w:basedOn w:val="1"/>
    <w:next w:val="1"/>
    <w:autoRedefine/>
    <w:qFormat/>
    <w:uiPriority w:val="0"/>
    <w:pPr>
      <w:ind w:left="420" w:hanging="210"/>
      <w:jc w:val="left"/>
    </w:pPr>
    <w:rPr>
      <w:rFonts w:ascii="Calibri" w:hAnsi="Calibri"/>
      <w:sz w:val="20"/>
      <w:szCs w:val="20"/>
    </w:rPr>
  </w:style>
  <w:style w:type="paragraph" w:styleId="30">
    <w:name w:val="annotation subject"/>
    <w:basedOn w:val="7"/>
    <w:next w:val="7"/>
    <w:link w:val="138"/>
    <w:qFormat/>
    <w:uiPriority w:val="0"/>
    <w:rPr>
      <w:b/>
      <w:bCs/>
    </w:rPr>
  </w:style>
  <w:style w:type="table" w:styleId="32">
    <w:name w:val="Table Grid"/>
    <w:basedOn w:val="31"/>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endnote reference"/>
    <w:semiHidden/>
    <w:qFormat/>
    <w:uiPriority w:val="0"/>
    <w:rPr>
      <w:vertAlign w:val="superscript"/>
    </w:rPr>
  </w:style>
  <w:style w:type="character" w:styleId="35">
    <w:name w:val="page number"/>
    <w:qFormat/>
    <w:uiPriority w:val="0"/>
    <w:rPr>
      <w:rFonts w:ascii="Times New Roman" w:hAnsi="Times New Roman" w:eastAsia="宋体"/>
      <w:sz w:val="18"/>
    </w:rPr>
  </w:style>
  <w:style w:type="character" w:styleId="36">
    <w:name w:val="FollowedHyperlink"/>
    <w:qFormat/>
    <w:uiPriority w:val="0"/>
    <w:rPr>
      <w:color w:val="800080"/>
      <w:u w:val="single"/>
    </w:rPr>
  </w:style>
  <w:style w:type="character" w:styleId="37">
    <w:name w:val="Hyperlink"/>
    <w:qFormat/>
    <w:uiPriority w:val="0"/>
    <w:rPr>
      <w:color w:val="0000FF"/>
      <w:spacing w:val="0"/>
      <w:w w:val="100"/>
      <w:szCs w:val="21"/>
      <w:u w:val="single"/>
    </w:rPr>
  </w:style>
  <w:style w:type="character" w:styleId="38">
    <w:name w:val="annotation reference"/>
    <w:qFormat/>
    <w:uiPriority w:val="0"/>
    <w:rPr>
      <w:sz w:val="21"/>
      <w:szCs w:val="21"/>
    </w:rPr>
  </w:style>
  <w:style w:type="character" w:styleId="39">
    <w:name w:val="footnote reference"/>
    <w:semiHidden/>
    <w:qFormat/>
    <w:uiPriority w:val="0"/>
    <w:rPr>
      <w:vertAlign w:val="superscript"/>
    </w:rPr>
  </w:style>
  <w:style w:type="character" w:customStyle="1" w:styleId="40">
    <w:name w:val="段 Char"/>
    <w:link w:val="22"/>
    <w:qFormat/>
    <w:uiPriority w:val="0"/>
    <w:rPr>
      <w:rFonts w:ascii="宋体"/>
      <w:sz w:val="21"/>
      <w:lang w:val="en-US" w:eastAsia="zh-CN" w:bidi="ar-SA"/>
    </w:rPr>
  </w:style>
  <w:style w:type="paragraph" w:customStyle="1" w:styleId="41">
    <w:name w:val="一级条标题"/>
    <w:next w:val="22"/>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3">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4">
    <w:name w:val="章标题"/>
    <w:next w:val="22"/>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5">
    <w:name w:val="二级条标题"/>
    <w:basedOn w:val="41"/>
    <w:next w:val="22"/>
    <w:qFormat/>
    <w:uiPriority w:val="0"/>
    <w:pPr>
      <w:numPr>
        <w:ilvl w:val="2"/>
      </w:numPr>
      <w:spacing w:before="50" w:after="50"/>
      <w:outlineLvl w:val="3"/>
    </w:pPr>
  </w:style>
  <w:style w:type="paragraph" w:customStyle="1" w:styleId="4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7">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48">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49">
    <w:name w:val="目次、标准名称标题"/>
    <w:basedOn w:val="1"/>
    <w:next w:val="22"/>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0">
    <w:name w:val="三级条标题"/>
    <w:basedOn w:val="45"/>
    <w:next w:val="22"/>
    <w:qFormat/>
    <w:uiPriority w:val="0"/>
    <w:pPr>
      <w:numPr>
        <w:ilvl w:val="3"/>
      </w:numPr>
      <w:outlineLvl w:val="4"/>
    </w:pPr>
  </w:style>
  <w:style w:type="paragraph" w:customStyle="1" w:styleId="51">
    <w:name w:val="示例"/>
    <w:next w:val="52"/>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2">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3">
    <w:name w:val="数字编号列项（二级）"/>
    <w:qFormat/>
    <w:uiPriority w:val="0"/>
    <w:pPr>
      <w:numPr>
        <w:ilvl w:val="1"/>
        <w:numId w:val="5"/>
      </w:numPr>
      <w:jc w:val="both"/>
    </w:pPr>
    <w:rPr>
      <w:rFonts w:ascii="宋体" w:hAnsi="Times New Roman" w:eastAsia="宋体" w:cs="Times New Roman"/>
      <w:sz w:val="21"/>
      <w:lang w:val="en-US" w:eastAsia="zh-CN" w:bidi="ar-SA"/>
    </w:rPr>
  </w:style>
  <w:style w:type="paragraph" w:customStyle="1" w:styleId="54">
    <w:name w:val="四级条标题"/>
    <w:basedOn w:val="50"/>
    <w:next w:val="22"/>
    <w:qFormat/>
    <w:uiPriority w:val="0"/>
    <w:pPr>
      <w:numPr>
        <w:ilvl w:val="4"/>
      </w:numPr>
      <w:outlineLvl w:val="5"/>
    </w:pPr>
  </w:style>
  <w:style w:type="paragraph" w:customStyle="1" w:styleId="55">
    <w:name w:val="五级条标题"/>
    <w:basedOn w:val="54"/>
    <w:next w:val="22"/>
    <w:qFormat/>
    <w:uiPriority w:val="0"/>
    <w:pPr>
      <w:numPr>
        <w:ilvl w:val="5"/>
      </w:numPr>
      <w:outlineLvl w:val="6"/>
    </w:pPr>
  </w:style>
  <w:style w:type="paragraph" w:customStyle="1" w:styleId="56">
    <w:name w:val="注："/>
    <w:next w:val="22"/>
    <w:qFormat/>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57">
    <w:name w:val="注×："/>
    <w:qFormat/>
    <w:uiPriority w:val="0"/>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58">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59">
    <w:name w:val="列项◆（三级）"/>
    <w:basedOn w:val="1"/>
    <w:qFormat/>
    <w:uiPriority w:val="0"/>
    <w:pPr>
      <w:numPr>
        <w:ilvl w:val="2"/>
        <w:numId w:val="3"/>
      </w:numPr>
    </w:pPr>
    <w:rPr>
      <w:rFonts w:ascii="宋体"/>
      <w:szCs w:val="21"/>
    </w:rPr>
  </w:style>
  <w:style w:type="paragraph" w:customStyle="1" w:styleId="60">
    <w:name w:val="编号列项（三级）"/>
    <w:qFormat/>
    <w:uiPriority w:val="0"/>
    <w:pPr>
      <w:numPr>
        <w:ilvl w:val="2"/>
        <w:numId w:val="5"/>
      </w:numPr>
    </w:pPr>
    <w:rPr>
      <w:rFonts w:ascii="宋体" w:hAnsi="Times New Roman" w:eastAsia="宋体" w:cs="Times New Roman"/>
      <w:sz w:val="21"/>
      <w:lang w:val="en-US" w:eastAsia="zh-CN" w:bidi="ar-SA"/>
    </w:rPr>
  </w:style>
  <w:style w:type="paragraph" w:customStyle="1" w:styleId="61">
    <w:name w:val="示例×："/>
    <w:basedOn w:val="44"/>
    <w:qFormat/>
    <w:uiPriority w:val="0"/>
    <w:pPr>
      <w:numPr>
        <w:numId w:val="8"/>
      </w:numPr>
      <w:spacing w:before="0" w:beforeLines="0" w:after="0" w:afterLines="0"/>
      <w:outlineLvl w:val="9"/>
    </w:pPr>
    <w:rPr>
      <w:rFonts w:ascii="宋体" w:eastAsia="宋体"/>
      <w:sz w:val="18"/>
      <w:szCs w:val="18"/>
    </w:rPr>
  </w:style>
  <w:style w:type="paragraph" w:customStyle="1" w:styleId="62">
    <w:name w:val="二级无"/>
    <w:basedOn w:val="45"/>
    <w:qFormat/>
    <w:uiPriority w:val="0"/>
    <w:pPr>
      <w:spacing w:before="0" w:beforeLines="0" w:after="0" w:afterLines="0"/>
    </w:pPr>
    <w:rPr>
      <w:rFonts w:ascii="宋体" w:eastAsia="宋体"/>
    </w:rPr>
  </w:style>
  <w:style w:type="paragraph" w:customStyle="1" w:styleId="63">
    <w:name w:val="注：（正文）"/>
    <w:basedOn w:val="56"/>
    <w:next w:val="22"/>
    <w:qFormat/>
    <w:uiPriority w:val="0"/>
  </w:style>
  <w:style w:type="paragraph" w:customStyle="1" w:styleId="64">
    <w:name w:val="注×：（正文）"/>
    <w:qFormat/>
    <w:uiPriority w:val="0"/>
    <w:pPr>
      <w:numPr>
        <w:ilvl w:val="0"/>
        <w:numId w:val="9"/>
      </w:numPr>
      <w:jc w:val="both"/>
    </w:pPr>
    <w:rPr>
      <w:rFonts w:ascii="宋体" w:hAnsi="Times New Roman" w:eastAsia="宋体" w:cs="Times New Roman"/>
      <w:sz w:val="18"/>
      <w:szCs w:val="18"/>
      <w:lang w:val="en-US" w:eastAsia="zh-CN" w:bidi="ar-SA"/>
    </w:rPr>
  </w:style>
  <w:style w:type="paragraph" w:customStyle="1" w:styleId="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6">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7">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8">
    <w:name w:val="标准书眉_偶数页"/>
    <w:basedOn w:val="43"/>
    <w:next w:val="1"/>
    <w:qFormat/>
    <w:uiPriority w:val="0"/>
    <w:pPr>
      <w:jc w:val="left"/>
    </w:pPr>
  </w:style>
  <w:style w:type="paragraph" w:customStyle="1" w:styleId="69">
    <w:name w:val="标准书眉一"/>
    <w:qFormat/>
    <w:uiPriority w:val="0"/>
    <w:pPr>
      <w:jc w:val="both"/>
    </w:pPr>
    <w:rPr>
      <w:rFonts w:ascii="Times New Roman" w:hAnsi="Times New Roman" w:eastAsia="宋体" w:cs="Times New Roman"/>
      <w:lang w:val="en-US" w:eastAsia="zh-CN" w:bidi="ar-SA"/>
    </w:rPr>
  </w:style>
  <w:style w:type="paragraph" w:customStyle="1" w:styleId="70">
    <w:name w:val="参考文献"/>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1">
    <w:name w:val="参考文献、索引标题"/>
    <w:basedOn w:val="1"/>
    <w:next w:val="22"/>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2">
    <w:name w:val="发布"/>
    <w:qFormat/>
    <w:uiPriority w:val="0"/>
    <w:rPr>
      <w:rFonts w:ascii="黑体" w:eastAsia="黑体"/>
      <w:spacing w:val="85"/>
      <w:w w:val="100"/>
      <w:position w:val="3"/>
      <w:sz w:val="28"/>
      <w:szCs w:val="28"/>
    </w:rPr>
  </w:style>
  <w:style w:type="paragraph" w:customStyle="1" w:styleId="73">
    <w:name w:val="发布部门"/>
    <w:next w:val="2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4">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5">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7">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8">
    <w:name w:val="封面标准英文名称"/>
    <w:basedOn w:val="77"/>
    <w:qFormat/>
    <w:uiPriority w:val="0"/>
    <w:pPr>
      <w:framePr w:wrap="around"/>
      <w:spacing w:before="370" w:line="400" w:lineRule="exact"/>
    </w:pPr>
    <w:rPr>
      <w:rFonts w:ascii="Times New Roman"/>
      <w:sz w:val="28"/>
      <w:szCs w:val="28"/>
    </w:rPr>
  </w:style>
  <w:style w:type="paragraph" w:customStyle="1" w:styleId="79">
    <w:name w:val="封面一致性程度标识"/>
    <w:basedOn w:val="78"/>
    <w:qFormat/>
    <w:uiPriority w:val="0"/>
    <w:pPr>
      <w:framePr w:wrap="around"/>
      <w:spacing w:before="440"/>
    </w:pPr>
    <w:rPr>
      <w:rFonts w:ascii="宋体" w:eastAsia="宋体"/>
    </w:rPr>
  </w:style>
  <w:style w:type="paragraph" w:customStyle="1" w:styleId="80">
    <w:name w:val="封面标准文稿类别"/>
    <w:basedOn w:val="79"/>
    <w:qFormat/>
    <w:uiPriority w:val="0"/>
    <w:pPr>
      <w:framePr w:wrap="around"/>
      <w:spacing w:after="160" w:line="240" w:lineRule="auto"/>
    </w:pPr>
    <w:rPr>
      <w:sz w:val="24"/>
    </w:rPr>
  </w:style>
  <w:style w:type="paragraph" w:customStyle="1" w:styleId="81">
    <w:name w:val="封面标准文稿编辑信息"/>
    <w:basedOn w:val="80"/>
    <w:qFormat/>
    <w:uiPriority w:val="0"/>
    <w:pPr>
      <w:framePr w:wrap="around"/>
      <w:spacing w:before="180" w:line="180" w:lineRule="exact"/>
    </w:pPr>
    <w:rPr>
      <w:sz w:val="21"/>
    </w:rPr>
  </w:style>
  <w:style w:type="paragraph" w:customStyle="1" w:styleId="82">
    <w:name w:val="封面正文"/>
    <w:qFormat/>
    <w:uiPriority w:val="0"/>
    <w:pPr>
      <w:jc w:val="both"/>
    </w:pPr>
    <w:rPr>
      <w:rFonts w:ascii="Times New Roman" w:hAnsi="Times New Roman" w:eastAsia="宋体" w:cs="Times New Roman"/>
      <w:lang w:val="en-US" w:eastAsia="zh-CN" w:bidi="ar-SA"/>
    </w:rPr>
  </w:style>
  <w:style w:type="paragraph" w:customStyle="1" w:styleId="83">
    <w:name w:val="附录标识"/>
    <w:basedOn w:val="1"/>
    <w:next w:val="22"/>
    <w:qFormat/>
    <w:uiPriority w:val="0"/>
    <w:pPr>
      <w:keepNext/>
      <w:widowControl/>
      <w:numPr>
        <w:ilvl w:val="0"/>
        <w:numId w:val="10"/>
      </w:numPr>
      <w:shd w:val="clear" w:color="FFFFFF" w:fill="FFFFFF"/>
      <w:tabs>
        <w:tab w:val="left" w:pos="6405"/>
      </w:tabs>
      <w:spacing w:before="640" w:after="280"/>
      <w:jc w:val="center"/>
      <w:outlineLvl w:val="0"/>
    </w:pPr>
    <w:rPr>
      <w:rFonts w:ascii="黑体" w:eastAsia="黑体"/>
      <w:kern w:val="0"/>
      <w:szCs w:val="20"/>
    </w:rPr>
  </w:style>
  <w:style w:type="paragraph" w:customStyle="1" w:styleId="84">
    <w:name w:val="附录标题"/>
    <w:basedOn w:val="22"/>
    <w:next w:val="22"/>
    <w:qFormat/>
    <w:uiPriority w:val="0"/>
    <w:pPr>
      <w:ind w:firstLine="0" w:firstLineChars="0"/>
      <w:jc w:val="center"/>
    </w:pPr>
    <w:rPr>
      <w:rFonts w:ascii="黑体" w:eastAsia="黑体"/>
    </w:rPr>
  </w:style>
  <w:style w:type="paragraph" w:customStyle="1" w:styleId="85">
    <w:name w:val="附录表标号"/>
    <w:basedOn w:val="1"/>
    <w:next w:val="22"/>
    <w:qFormat/>
    <w:uiPriority w:val="0"/>
    <w:pPr>
      <w:numPr>
        <w:ilvl w:val="0"/>
        <w:numId w:val="11"/>
      </w:numPr>
      <w:tabs>
        <w:tab w:val="clear" w:pos="0"/>
      </w:tabs>
      <w:spacing w:line="14" w:lineRule="exact"/>
      <w:ind w:left="811" w:hanging="448"/>
      <w:jc w:val="center"/>
      <w:outlineLvl w:val="0"/>
    </w:pPr>
    <w:rPr>
      <w:color w:val="FFFFFF"/>
    </w:rPr>
  </w:style>
  <w:style w:type="paragraph" w:customStyle="1" w:styleId="86">
    <w:name w:val="附录表标题"/>
    <w:basedOn w:val="1"/>
    <w:next w:val="22"/>
    <w:qFormat/>
    <w:uiPriority w:val="0"/>
    <w:pPr>
      <w:numPr>
        <w:ilvl w:val="1"/>
        <w:numId w:val="11"/>
      </w:numPr>
      <w:tabs>
        <w:tab w:val="left" w:pos="180"/>
      </w:tabs>
      <w:spacing w:before="50" w:beforeLines="50" w:after="50" w:afterLines="50"/>
      <w:ind w:left="0" w:firstLine="0"/>
      <w:jc w:val="center"/>
    </w:pPr>
    <w:rPr>
      <w:rFonts w:ascii="黑体" w:eastAsia="黑体"/>
      <w:szCs w:val="21"/>
    </w:rPr>
  </w:style>
  <w:style w:type="paragraph" w:customStyle="1" w:styleId="87">
    <w:name w:val="附录二级条标题"/>
    <w:basedOn w:val="1"/>
    <w:next w:val="22"/>
    <w:qFormat/>
    <w:uiPriority w:val="0"/>
    <w:pPr>
      <w:widowControl/>
      <w:numPr>
        <w:ilvl w:val="3"/>
        <w:numId w:val="10"/>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88">
    <w:name w:val="附录二级无"/>
    <w:basedOn w:val="87"/>
    <w:qFormat/>
    <w:uiPriority w:val="0"/>
    <w:pPr>
      <w:tabs>
        <w:tab w:val="clear" w:pos="360"/>
      </w:tabs>
      <w:spacing w:before="0" w:beforeLines="0" w:after="0" w:afterLines="0"/>
    </w:pPr>
    <w:rPr>
      <w:rFonts w:ascii="宋体" w:eastAsia="宋体"/>
      <w:szCs w:val="21"/>
    </w:rPr>
  </w:style>
  <w:style w:type="paragraph" w:customStyle="1" w:styleId="89">
    <w:name w:val="附录公式"/>
    <w:basedOn w:val="22"/>
    <w:next w:val="22"/>
    <w:link w:val="90"/>
    <w:qFormat/>
    <w:uiPriority w:val="0"/>
  </w:style>
  <w:style w:type="character" w:customStyle="1" w:styleId="90">
    <w:name w:val="附录公式 Char"/>
    <w:basedOn w:val="40"/>
    <w:link w:val="89"/>
    <w:qFormat/>
    <w:uiPriority w:val="0"/>
    <w:rPr>
      <w:rFonts w:ascii="宋体"/>
      <w:sz w:val="21"/>
      <w:lang w:val="en-US" w:eastAsia="zh-CN" w:bidi="ar-SA"/>
    </w:rPr>
  </w:style>
  <w:style w:type="paragraph" w:customStyle="1" w:styleId="91">
    <w:name w:val="附录公式编号制表符"/>
    <w:basedOn w:val="1"/>
    <w:next w:val="22"/>
    <w:qFormat/>
    <w:uiPriority w:val="0"/>
    <w:pPr>
      <w:widowControl/>
      <w:tabs>
        <w:tab w:val="center" w:pos="4201"/>
        <w:tab w:val="right" w:leader="dot" w:pos="9298"/>
      </w:tabs>
      <w:autoSpaceDE w:val="0"/>
      <w:autoSpaceDN w:val="0"/>
    </w:pPr>
    <w:rPr>
      <w:rFonts w:ascii="宋体"/>
      <w:kern w:val="0"/>
      <w:szCs w:val="20"/>
    </w:rPr>
  </w:style>
  <w:style w:type="paragraph" w:customStyle="1" w:styleId="92">
    <w:name w:val="附录三级条标题"/>
    <w:basedOn w:val="87"/>
    <w:next w:val="22"/>
    <w:qFormat/>
    <w:uiPriority w:val="0"/>
    <w:pPr>
      <w:numPr>
        <w:ilvl w:val="4"/>
      </w:numPr>
      <w:outlineLvl w:val="4"/>
    </w:pPr>
  </w:style>
  <w:style w:type="paragraph" w:customStyle="1" w:styleId="93">
    <w:name w:val="附录三级无"/>
    <w:basedOn w:val="92"/>
    <w:qFormat/>
    <w:uiPriority w:val="0"/>
    <w:pPr>
      <w:tabs>
        <w:tab w:val="clear" w:pos="360"/>
      </w:tabs>
      <w:spacing w:before="0" w:beforeLines="0" w:after="0" w:afterLines="0"/>
    </w:pPr>
    <w:rPr>
      <w:rFonts w:ascii="宋体" w:eastAsia="宋体"/>
      <w:szCs w:val="21"/>
    </w:rPr>
  </w:style>
  <w:style w:type="paragraph" w:customStyle="1" w:styleId="94">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95">
    <w:name w:val="附录四级条标题"/>
    <w:basedOn w:val="92"/>
    <w:next w:val="22"/>
    <w:qFormat/>
    <w:uiPriority w:val="0"/>
    <w:pPr>
      <w:numPr>
        <w:ilvl w:val="5"/>
      </w:numPr>
      <w:outlineLvl w:val="5"/>
    </w:pPr>
  </w:style>
  <w:style w:type="paragraph" w:customStyle="1" w:styleId="96">
    <w:name w:val="附录四级无"/>
    <w:basedOn w:val="95"/>
    <w:qFormat/>
    <w:uiPriority w:val="0"/>
    <w:pPr>
      <w:tabs>
        <w:tab w:val="clear" w:pos="360"/>
      </w:tabs>
      <w:spacing w:before="0" w:beforeLines="0" w:after="0" w:afterLines="0"/>
    </w:pPr>
    <w:rPr>
      <w:rFonts w:ascii="宋体" w:eastAsia="宋体"/>
      <w:szCs w:val="21"/>
    </w:rPr>
  </w:style>
  <w:style w:type="paragraph" w:customStyle="1" w:styleId="97">
    <w:name w:val="附录图标号"/>
    <w:basedOn w:val="1"/>
    <w:qFormat/>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98">
    <w:name w:val="附录图标题"/>
    <w:basedOn w:val="1"/>
    <w:next w:val="22"/>
    <w:qFormat/>
    <w:uiPriority w:val="0"/>
    <w:pPr>
      <w:numPr>
        <w:ilvl w:val="1"/>
        <w:numId w:val="13"/>
      </w:numPr>
      <w:tabs>
        <w:tab w:val="left" w:pos="363"/>
      </w:tabs>
      <w:spacing w:before="50" w:beforeLines="50" w:after="50" w:afterLines="50"/>
      <w:ind w:left="0" w:firstLine="0"/>
      <w:jc w:val="center"/>
    </w:pPr>
    <w:rPr>
      <w:rFonts w:ascii="黑体" w:eastAsia="黑体"/>
      <w:szCs w:val="21"/>
    </w:rPr>
  </w:style>
  <w:style w:type="paragraph" w:customStyle="1" w:styleId="99">
    <w:name w:val="附录五级条标题"/>
    <w:basedOn w:val="95"/>
    <w:next w:val="22"/>
    <w:qFormat/>
    <w:uiPriority w:val="0"/>
    <w:pPr>
      <w:numPr>
        <w:ilvl w:val="6"/>
      </w:numPr>
      <w:outlineLvl w:val="6"/>
    </w:pPr>
  </w:style>
  <w:style w:type="paragraph" w:customStyle="1" w:styleId="100">
    <w:name w:val="附录五级无"/>
    <w:basedOn w:val="99"/>
    <w:qFormat/>
    <w:uiPriority w:val="0"/>
    <w:pPr>
      <w:tabs>
        <w:tab w:val="clear" w:pos="360"/>
      </w:tabs>
      <w:spacing w:before="0" w:beforeLines="0" w:after="0" w:afterLines="0"/>
    </w:pPr>
    <w:rPr>
      <w:rFonts w:ascii="宋体" w:eastAsia="宋体"/>
      <w:szCs w:val="21"/>
    </w:rPr>
  </w:style>
  <w:style w:type="paragraph" w:customStyle="1" w:styleId="101">
    <w:name w:val="附录章标题"/>
    <w:next w:val="22"/>
    <w:qFormat/>
    <w:uiPriority w:val="0"/>
    <w:pPr>
      <w:numPr>
        <w:ilvl w:val="1"/>
        <w:numId w:val="10"/>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2">
    <w:name w:val="附录一级条标题"/>
    <w:basedOn w:val="101"/>
    <w:next w:val="22"/>
    <w:qFormat/>
    <w:uiPriority w:val="0"/>
    <w:pPr>
      <w:numPr>
        <w:ilvl w:val="2"/>
      </w:numPr>
      <w:autoSpaceDN w:val="0"/>
      <w:spacing w:before="50" w:beforeLines="50" w:after="50" w:afterLines="50"/>
      <w:outlineLvl w:val="2"/>
    </w:pPr>
  </w:style>
  <w:style w:type="paragraph" w:customStyle="1" w:styleId="103">
    <w:name w:val="附录一级无"/>
    <w:basedOn w:val="102"/>
    <w:qFormat/>
    <w:uiPriority w:val="0"/>
    <w:pPr>
      <w:spacing w:before="0" w:beforeLines="0" w:after="0" w:afterLines="0"/>
    </w:pPr>
    <w:rPr>
      <w:rFonts w:ascii="宋体" w:eastAsia="宋体"/>
      <w:szCs w:val="21"/>
    </w:rPr>
  </w:style>
  <w:style w:type="paragraph" w:customStyle="1" w:styleId="104">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05">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6">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8">
    <w:name w:val="其他标准标志"/>
    <w:basedOn w:val="65"/>
    <w:qFormat/>
    <w:uiPriority w:val="0"/>
    <w:pPr>
      <w:framePr w:w="6101" w:wrap="around" w:vAnchor="page" w:hAnchor="page" w:x="4673" w:y="942"/>
    </w:pPr>
    <w:rPr>
      <w:w w:val="130"/>
    </w:rPr>
  </w:style>
  <w:style w:type="paragraph" w:customStyle="1" w:styleId="10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0">
    <w:name w:val="其他发布部门"/>
    <w:basedOn w:val="73"/>
    <w:qFormat/>
    <w:uiPriority w:val="0"/>
    <w:pPr>
      <w:framePr w:wrap="around" w:y="15310"/>
      <w:spacing w:line="0" w:lineRule="atLeast"/>
    </w:pPr>
    <w:rPr>
      <w:rFonts w:ascii="黑体" w:eastAsia="黑体"/>
      <w:b w:val="0"/>
    </w:rPr>
  </w:style>
  <w:style w:type="paragraph" w:customStyle="1" w:styleId="111">
    <w:name w:val="前言、引言标题"/>
    <w:next w:val="22"/>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2">
    <w:name w:val="三级无"/>
    <w:basedOn w:val="50"/>
    <w:qFormat/>
    <w:uiPriority w:val="0"/>
    <w:pPr>
      <w:spacing w:before="0" w:beforeLines="0" w:after="0" w:afterLines="0"/>
    </w:pPr>
    <w:rPr>
      <w:rFonts w:ascii="宋体" w:eastAsia="宋体"/>
    </w:rPr>
  </w:style>
  <w:style w:type="paragraph" w:customStyle="1" w:styleId="113">
    <w:name w:val="实施日期"/>
    <w:basedOn w:val="74"/>
    <w:qFormat/>
    <w:uiPriority w:val="0"/>
    <w:pPr>
      <w:framePr w:wrap="around" w:vAnchor="page" w:hAnchor="text"/>
      <w:jc w:val="right"/>
    </w:pPr>
  </w:style>
  <w:style w:type="paragraph" w:customStyle="1" w:styleId="114">
    <w:name w:val="示例后文字"/>
    <w:basedOn w:val="22"/>
    <w:next w:val="22"/>
    <w:qFormat/>
    <w:uiPriority w:val="0"/>
    <w:pPr>
      <w:ind w:firstLine="360"/>
    </w:pPr>
    <w:rPr>
      <w:sz w:val="18"/>
    </w:rPr>
  </w:style>
  <w:style w:type="paragraph" w:customStyle="1" w:styleId="115">
    <w:name w:val="首示例"/>
    <w:next w:val="22"/>
    <w:link w:val="116"/>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16">
    <w:name w:val="首示例 Char"/>
    <w:link w:val="115"/>
    <w:qFormat/>
    <w:uiPriority w:val="0"/>
    <w:rPr>
      <w:rFonts w:ascii="宋体" w:hAnsi="宋体"/>
      <w:kern w:val="2"/>
      <w:sz w:val="18"/>
      <w:szCs w:val="18"/>
    </w:rPr>
  </w:style>
  <w:style w:type="paragraph" w:customStyle="1" w:styleId="117">
    <w:name w:val="四级无"/>
    <w:basedOn w:val="54"/>
    <w:qFormat/>
    <w:uiPriority w:val="0"/>
    <w:pPr>
      <w:spacing w:before="0" w:beforeLines="0" w:after="0" w:afterLines="0"/>
    </w:pPr>
    <w:rPr>
      <w:rFonts w:ascii="宋体" w:eastAsia="宋体"/>
    </w:rPr>
  </w:style>
  <w:style w:type="paragraph" w:customStyle="1" w:styleId="118">
    <w:name w:val="条文脚注"/>
    <w:basedOn w:val="23"/>
    <w:qFormat/>
    <w:uiPriority w:val="0"/>
    <w:pPr>
      <w:numPr>
        <w:numId w:val="0"/>
      </w:numPr>
      <w:jc w:val="both"/>
    </w:pPr>
  </w:style>
  <w:style w:type="paragraph" w:customStyle="1" w:styleId="119">
    <w:name w:val="图标脚注说明"/>
    <w:basedOn w:val="22"/>
    <w:qFormat/>
    <w:uiPriority w:val="0"/>
    <w:pPr>
      <w:ind w:left="840" w:hanging="420" w:firstLineChars="0"/>
    </w:pPr>
    <w:rPr>
      <w:sz w:val="18"/>
      <w:szCs w:val="18"/>
    </w:rPr>
  </w:style>
  <w:style w:type="paragraph" w:customStyle="1" w:styleId="120">
    <w:name w:val="图表脚注说明"/>
    <w:basedOn w:val="1"/>
    <w:qFormat/>
    <w:uiPriority w:val="0"/>
    <w:pPr>
      <w:numPr>
        <w:ilvl w:val="0"/>
        <w:numId w:val="15"/>
      </w:numPr>
    </w:pPr>
    <w:rPr>
      <w:rFonts w:ascii="宋体"/>
      <w:sz w:val="18"/>
      <w:szCs w:val="18"/>
    </w:rPr>
  </w:style>
  <w:style w:type="paragraph" w:customStyle="1" w:styleId="121">
    <w:name w:val="图的脚注"/>
    <w:next w:val="22"/>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2">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3">
    <w:name w:val="五级无"/>
    <w:basedOn w:val="55"/>
    <w:qFormat/>
    <w:uiPriority w:val="0"/>
    <w:pPr>
      <w:spacing w:before="0" w:beforeLines="0" w:after="0" w:afterLines="0"/>
    </w:pPr>
    <w:rPr>
      <w:rFonts w:ascii="宋体" w:eastAsia="宋体"/>
    </w:rPr>
  </w:style>
  <w:style w:type="paragraph" w:customStyle="1" w:styleId="124">
    <w:name w:val="一级无"/>
    <w:basedOn w:val="41"/>
    <w:qFormat/>
    <w:uiPriority w:val="0"/>
    <w:pPr>
      <w:spacing w:before="0" w:beforeLines="0" w:after="0" w:afterLines="0"/>
    </w:pPr>
    <w:rPr>
      <w:rFonts w:ascii="宋体" w:eastAsia="宋体"/>
    </w:rPr>
  </w:style>
  <w:style w:type="paragraph" w:customStyle="1" w:styleId="125">
    <w:name w:val="正文表标题"/>
    <w:next w:val="22"/>
    <w:qFormat/>
    <w:uiPriority w:val="0"/>
    <w:pPr>
      <w:numPr>
        <w:ilvl w:val="0"/>
        <w:numId w:val="16"/>
      </w:numPr>
      <w:spacing w:before="156" w:beforeLines="50" w:after="156" w:afterLines="50"/>
      <w:jc w:val="center"/>
    </w:pPr>
    <w:rPr>
      <w:rFonts w:ascii="黑体" w:hAnsi="Times New Roman" w:eastAsia="黑体" w:cs="Times New Roman"/>
      <w:sz w:val="21"/>
      <w:lang w:val="en-US" w:eastAsia="zh-CN" w:bidi="ar-SA"/>
    </w:rPr>
  </w:style>
  <w:style w:type="paragraph" w:customStyle="1" w:styleId="126">
    <w:name w:val="正文公式编号制表符"/>
    <w:basedOn w:val="22"/>
    <w:next w:val="22"/>
    <w:qFormat/>
    <w:uiPriority w:val="0"/>
    <w:pPr>
      <w:ind w:firstLine="0" w:firstLineChars="0"/>
    </w:pPr>
  </w:style>
  <w:style w:type="paragraph" w:customStyle="1" w:styleId="127">
    <w:name w:val="正文图标题"/>
    <w:next w:val="22"/>
    <w:qFormat/>
    <w:uiPriority w:val="0"/>
    <w:pPr>
      <w:numPr>
        <w:ilvl w:val="0"/>
        <w:numId w:val="17"/>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28">
    <w:name w:val="终结线"/>
    <w:basedOn w:val="1"/>
    <w:qFormat/>
    <w:uiPriority w:val="0"/>
    <w:pPr>
      <w:framePr w:hSpace="181" w:vSpace="181" w:wrap="around" w:vAnchor="text" w:hAnchor="margin" w:xAlign="center" w:y="285"/>
    </w:pPr>
  </w:style>
  <w:style w:type="paragraph" w:customStyle="1" w:styleId="129">
    <w:name w:val="其他发布日期"/>
    <w:basedOn w:val="74"/>
    <w:qFormat/>
    <w:uiPriority w:val="0"/>
    <w:pPr>
      <w:framePr w:wrap="around" w:vAnchor="page" w:hAnchor="text" w:x="1419"/>
    </w:pPr>
  </w:style>
  <w:style w:type="paragraph" w:customStyle="1" w:styleId="130">
    <w:name w:val="其他实施日期"/>
    <w:basedOn w:val="113"/>
    <w:qFormat/>
    <w:uiPriority w:val="0"/>
    <w:pPr>
      <w:framePr w:wrap="around"/>
    </w:pPr>
  </w:style>
  <w:style w:type="paragraph" w:customStyle="1" w:styleId="131">
    <w:name w:val="封面标准名称2"/>
    <w:basedOn w:val="77"/>
    <w:qFormat/>
    <w:uiPriority w:val="0"/>
    <w:pPr>
      <w:framePr w:wrap="around" w:y="4469"/>
      <w:spacing w:before="630" w:beforeLines="630"/>
    </w:pPr>
  </w:style>
  <w:style w:type="paragraph" w:customStyle="1" w:styleId="132">
    <w:name w:val="封面标准英文名称2"/>
    <w:basedOn w:val="78"/>
    <w:qFormat/>
    <w:uiPriority w:val="0"/>
    <w:pPr>
      <w:framePr w:wrap="around" w:y="4469"/>
    </w:pPr>
  </w:style>
  <w:style w:type="paragraph" w:customStyle="1" w:styleId="133">
    <w:name w:val="封面一致性程度标识2"/>
    <w:basedOn w:val="79"/>
    <w:qFormat/>
    <w:uiPriority w:val="0"/>
    <w:pPr>
      <w:framePr w:wrap="around" w:y="4469"/>
    </w:pPr>
  </w:style>
  <w:style w:type="paragraph" w:customStyle="1" w:styleId="134">
    <w:name w:val="封面标准文稿类别2"/>
    <w:basedOn w:val="80"/>
    <w:qFormat/>
    <w:uiPriority w:val="0"/>
    <w:pPr>
      <w:framePr w:wrap="around" w:y="4469"/>
    </w:pPr>
  </w:style>
  <w:style w:type="paragraph" w:customStyle="1" w:styleId="135">
    <w:name w:val="封面标准文稿编辑信息2"/>
    <w:basedOn w:val="81"/>
    <w:qFormat/>
    <w:uiPriority w:val="0"/>
    <w:pPr>
      <w:framePr w:wrap="around" w:y="4469"/>
    </w:pPr>
  </w:style>
  <w:style w:type="paragraph" w:customStyle="1" w:styleId="136">
    <w:name w:val="正文1"/>
    <w:basedOn w:val="1"/>
    <w:qFormat/>
    <w:uiPriority w:val="0"/>
    <w:pPr>
      <w:ind w:firstLine="420"/>
    </w:pPr>
    <w:rPr>
      <w:rFonts w:ascii="宋体"/>
      <w:szCs w:val="20"/>
    </w:rPr>
  </w:style>
  <w:style w:type="character" w:customStyle="1" w:styleId="137">
    <w:name w:val="批注文字 字符"/>
    <w:link w:val="7"/>
    <w:qFormat/>
    <w:uiPriority w:val="0"/>
    <w:rPr>
      <w:kern w:val="2"/>
      <w:sz w:val="21"/>
      <w:szCs w:val="24"/>
    </w:rPr>
  </w:style>
  <w:style w:type="character" w:customStyle="1" w:styleId="138">
    <w:name w:val="批注主题 字符"/>
    <w:link w:val="30"/>
    <w:qFormat/>
    <w:uiPriority w:val="0"/>
    <w:rPr>
      <w:b/>
      <w:bCs/>
      <w:kern w:val="2"/>
      <w:sz w:val="21"/>
      <w:szCs w:val="24"/>
    </w:rPr>
  </w:style>
  <w:style w:type="character" w:customStyle="1" w:styleId="139">
    <w:name w:val="批注框文本 字符"/>
    <w:link w:val="15"/>
    <w:qFormat/>
    <w:uiPriority w:val="0"/>
    <w:rPr>
      <w:kern w:val="2"/>
      <w:sz w:val="18"/>
      <w:szCs w:val="18"/>
    </w:rPr>
  </w:style>
  <w:style w:type="paragraph" w:styleId="140">
    <w:name w:val="List Paragraph"/>
    <w:basedOn w:val="1"/>
    <w:qFormat/>
    <w:uiPriority w:val="34"/>
    <w:pPr>
      <w:ind w:firstLine="420" w:firstLineChars="200"/>
    </w:pPr>
    <w:rPr>
      <w:rFonts w:ascii="Calibri" w:hAnsi="Calibri"/>
      <w:szCs w:val="22"/>
    </w:rPr>
  </w:style>
  <w:style w:type="character" w:styleId="141">
    <w:name w:val="Placeholder Text"/>
    <w:semiHidden/>
    <w:qFormat/>
    <w:uiPriority w:val="99"/>
    <w:rPr>
      <w:color w:val="808080"/>
    </w:rPr>
  </w:style>
  <w:style w:type="character" w:customStyle="1" w:styleId="142">
    <w:name w:val="页眉 字符"/>
    <w:link w:val="17"/>
    <w:qFormat/>
    <w:uiPriority w:val="99"/>
    <w:rPr>
      <w:kern w:val="2"/>
      <w:sz w:val="18"/>
      <w:szCs w:val="18"/>
    </w:rPr>
  </w:style>
  <w:style w:type="character" w:customStyle="1" w:styleId="143">
    <w:name w:val="页脚 字符"/>
    <w:link w:val="16"/>
    <w:qFormat/>
    <w:uiPriority w:val="99"/>
    <w:rPr>
      <w:kern w:val="2"/>
      <w:sz w:val="18"/>
      <w:szCs w:val="18"/>
    </w:rPr>
  </w:style>
  <w:style w:type="paragraph" w:customStyle="1" w:styleId="144">
    <w:name w:val="标准文件_段"/>
    <w:link w:val="14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5">
    <w:name w:val="标准文件_段 Char"/>
    <w:link w:val="144"/>
    <w:qFormat/>
    <w:uiPriority w:val="0"/>
    <w:rPr>
      <w:rFonts w:ascii="宋体"/>
      <w:sz w:val="21"/>
    </w:rPr>
  </w:style>
  <w:style w:type="paragraph" w:customStyle="1" w:styleId="146">
    <w:name w:val="标准文件_二级条标题"/>
    <w:next w:val="144"/>
    <w:qFormat/>
    <w:uiPriority w:val="0"/>
    <w:pPr>
      <w:widowControl w:val="0"/>
      <w:numPr>
        <w:ilvl w:val="3"/>
        <w:numId w:val="18"/>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147">
    <w:name w:val="标准文件_三级条标题"/>
    <w:basedOn w:val="146"/>
    <w:next w:val="144"/>
    <w:qFormat/>
    <w:uiPriority w:val="0"/>
    <w:pPr>
      <w:widowControl/>
      <w:numPr>
        <w:ilvl w:val="4"/>
      </w:numPr>
      <w:outlineLvl w:val="3"/>
    </w:pPr>
  </w:style>
  <w:style w:type="paragraph" w:customStyle="1" w:styleId="148">
    <w:name w:val="标准文件_四级条标题"/>
    <w:next w:val="144"/>
    <w:qFormat/>
    <w:uiPriority w:val="0"/>
    <w:pPr>
      <w:widowControl w:val="0"/>
      <w:numPr>
        <w:ilvl w:val="5"/>
        <w:numId w:val="18"/>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149">
    <w:name w:val="标准文件_五级条标题"/>
    <w:next w:val="144"/>
    <w:qFormat/>
    <w:uiPriority w:val="0"/>
    <w:pPr>
      <w:widowControl w:val="0"/>
      <w:numPr>
        <w:ilvl w:val="6"/>
        <w:numId w:val="18"/>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50">
    <w:name w:val="标准文件_章标题"/>
    <w:next w:val="144"/>
    <w:qFormat/>
    <w:uiPriority w:val="0"/>
    <w:pPr>
      <w:numPr>
        <w:ilvl w:val="1"/>
        <w:numId w:val="18"/>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51">
    <w:name w:val="标准文件_一级条标题"/>
    <w:basedOn w:val="150"/>
    <w:next w:val="144"/>
    <w:qFormat/>
    <w:uiPriority w:val="0"/>
    <w:pPr>
      <w:numPr>
        <w:ilvl w:val="2"/>
      </w:numPr>
      <w:spacing w:before="50" w:beforeLines="50" w:after="50" w:afterLines="50"/>
      <w:outlineLvl w:val="1"/>
    </w:pPr>
  </w:style>
  <w:style w:type="paragraph" w:customStyle="1" w:styleId="152">
    <w:name w:val="前言标题"/>
    <w:next w:val="1"/>
    <w:qFormat/>
    <w:uiPriority w:val="0"/>
    <w:pPr>
      <w:numPr>
        <w:ilvl w:val="0"/>
        <w:numId w:val="18"/>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二级无标题条"/>
    <w:basedOn w:val="1"/>
    <w:qFormat/>
    <w:uiPriority w:val="0"/>
    <w:rPr>
      <w:rFonts w:ascii="宋体" w:hAnsi="宋体"/>
    </w:rPr>
  </w:style>
  <w:style w:type="paragraph" w:customStyle="1" w:styleId="154">
    <w:name w:val="三级无标题条"/>
    <w:basedOn w:val="1"/>
    <w:qFormat/>
    <w:uiPriority w:val="0"/>
    <w:rPr>
      <w:rFonts w:ascii="宋体" w:hAnsi="宋体"/>
    </w:rPr>
  </w:style>
  <w:style w:type="paragraph" w:customStyle="1" w:styleId="155">
    <w:name w:val="四级无标题条"/>
    <w:basedOn w:val="1"/>
    <w:qFormat/>
    <w:uiPriority w:val="0"/>
    <w:rPr>
      <w:rFonts w:ascii="宋体" w:hAnsi="宋体"/>
    </w:rPr>
  </w:style>
  <w:style w:type="paragraph" w:customStyle="1" w:styleId="156">
    <w:name w:val="五级无标题条"/>
    <w:basedOn w:val="1"/>
    <w:qFormat/>
    <w:uiPriority w:val="0"/>
    <w:pPr>
      <w:spacing w:line="400" w:lineRule="exact"/>
    </w:pPr>
    <w:rPr>
      <w:rFonts w:ascii="Calibri" w:hAnsi="Calibri"/>
    </w:rPr>
  </w:style>
  <w:style w:type="paragraph" w:customStyle="1" w:styleId="157">
    <w:name w:val="一级无标题条"/>
    <w:basedOn w:val="1"/>
    <w:qFormat/>
    <w:uiPriority w:val="0"/>
    <w:pPr>
      <w:spacing w:before="10" w:after="10"/>
    </w:pPr>
    <w:rPr>
      <w:rFonts w:ascii="宋体" w:hAnsi="宋体"/>
    </w:rPr>
  </w:style>
  <w:style w:type="paragraph" w:customStyle="1" w:styleId="15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5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microsoft.com/office/2006/relationships/keyMapCustomizations" Target="customizations.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emf"/><Relationship Id="rId22" Type="http://schemas.openxmlformats.org/officeDocument/2006/relationships/image" Target="media/image9.emf"/><Relationship Id="rId21" Type="http://schemas.openxmlformats.org/officeDocument/2006/relationships/image" Target="media/image8.jpe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emf"/><Relationship Id="rId17" Type="http://schemas.openxmlformats.org/officeDocument/2006/relationships/image" Target="media/image4.emf"/><Relationship Id="rId16" Type="http://schemas.openxmlformats.org/officeDocument/2006/relationships/image" Target="media/image3.emf"/><Relationship Id="rId15" Type="http://schemas.openxmlformats.org/officeDocument/2006/relationships/image" Target="media/image2.emf"/><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6074</Words>
  <Characters>7017</Characters>
  <Lines>390</Lines>
  <Paragraphs>400</Paragraphs>
  <TotalTime>1</TotalTime>
  <ScaleCrop>false</ScaleCrop>
  <LinksUpToDate>false</LinksUpToDate>
  <CharactersWithSpaces>7308</CharactersWithSpaces>
  <Application>WPS Office_12.1.0.20784_F1E327BC-269C-435d-A152-05C5408002CA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2025-04-22T07:36:00Z</dcterms:created>
  <dc:creator>Luo, Breeze</dc:creator>
  <cp:lastModifiedBy>夏末末</cp:lastModifiedBy>
  <dcterms:modified xsi:type="dcterms:W3CDTF">2025-04-22T08:07:41Z</dcterms:modified>
  <dc:title>标准名称</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eyJoZGlkIjoiNmIzMWM0YjgwMDM1OTlmMjBiYTI0NTBiMGFhODI0ODIiLCJ1c2VySWQiOiI0NDE3MjE1ODEifQ==</vt:lpwstr>
  </property>
  <property fmtid="{D5CDD505-2E9C-101B-9397-08002B2CF9AE}" pid="3" name="KSOProductBuildVer">
    <vt:lpwstr>2052-12.1.0.20784</vt:lpwstr>
  </property>
  <property fmtid="{D5CDD505-2E9C-101B-9397-08002B2CF9AE}" pid="4" name="ICV">
    <vt:lpwstr>D123770D75A341DF8570395C286D0C9A_12</vt:lpwstr>
  </property>
</Properties>
</file>