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61D2D0">
      <w:pPr>
        <w:jc w:val="left"/>
        <w:rPr>
          <w:rFonts w:ascii="宋体" w:hAnsi="宋体"/>
          <w:bCs/>
          <w:sz w:val="32"/>
          <w:szCs w:val="32"/>
        </w:rPr>
      </w:pPr>
      <w:r>
        <w:rPr>
          <w:rFonts w:hint="eastAsia" w:ascii="仿宋" w:hAnsi="仿宋" w:eastAsia="仿宋"/>
          <w:bCs/>
          <w:sz w:val="32"/>
          <w:szCs w:val="32"/>
        </w:rPr>
        <w:t>附件2</w:t>
      </w:r>
      <w:r>
        <w:rPr>
          <w:rFonts w:hint="eastAsia" w:ascii="宋体" w:hAnsi="宋体"/>
          <w:bCs/>
          <w:sz w:val="32"/>
          <w:szCs w:val="32"/>
        </w:rPr>
        <w:t>：</w:t>
      </w:r>
    </w:p>
    <w:p w14:paraId="69E228A9">
      <w:pPr>
        <w:jc w:val="center"/>
        <w:rPr>
          <w:rFonts w:ascii="Times New Roman" w:hAnsi="Times New Roman" w:eastAsia="黑体" w:cs="Times New Roman"/>
          <w:b/>
          <w:sz w:val="28"/>
          <w:szCs w:val="28"/>
        </w:rPr>
      </w:pPr>
      <w:r>
        <w:rPr>
          <w:rFonts w:hint="eastAsia" w:ascii="Times New Roman" w:hAnsi="Times New Roman" w:eastAsia="黑体" w:cs="Times New Roman"/>
          <w:b/>
          <w:sz w:val="28"/>
          <w:szCs w:val="28"/>
          <w:lang w:val="en-US" w:eastAsia="zh-CN"/>
        </w:rPr>
        <w:t>《农产品气候品质评价服务规范》编制说明</w:t>
      </w:r>
    </w:p>
    <w:p w14:paraId="23285F37">
      <w:pPr>
        <w:spacing w:line="360" w:lineRule="auto"/>
        <w:jc w:val="left"/>
        <w:rPr>
          <w:rFonts w:hint="eastAsia" w:ascii="Times New Roman" w:hAnsi="Times New Roman" w:cs="Times New Roman" w:eastAsiaTheme="minorEastAsia"/>
          <w:b/>
          <w:color w:val="000000"/>
          <w:kern w:val="0"/>
          <w:szCs w:val="21"/>
        </w:rPr>
      </w:pPr>
      <w:r>
        <w:rPr>
          <w:rFonts w:hint="eastAsia" w:ascii="Times New Roman" w:hAnsi="Times New Roman" w:cs="Times New Roman" w:eastAsiaTheme="minorEastAsia"/>
          <w:b/>
          <w:color w:val="000000"/>
          <w:kern w:val="0"/>
          <w:szCs w:val="21"/>
          <w:lang w:val="en-US" w:eastAsia="zh-CN"/>
        </w:rPr>
        <w:t>一、</w:t>
      </w:r>
      <w:r>
        <w:rPr>
          <w:rFonts w:hint="eastAsia" w:ascii="Times New Roman" w:hAnsi="Times New Roman" w:cs="Times New Roman" w:eastAsiaTheme="minorEastAsia"/>
          <w:b/>
          <w:color w:val="000000"/>
          <w:kern w:val="0"/>
          <w:szCs w:val="21"/>
        </w:rPr>
        <w:t>项目背景</w:t>
      </w:r>
    </w:p>
    <w:p w14:paraId="75887490">
      <w:pPr>
        <w:spacing w:line="360" w:lineRule="auto"/>
        <w:jc w:val="left"/>
        <w:rPr>
          <w:rFonts w:hint="default" w:ascii="Times New Roman" w:hAnsi="Times New Roman" w:cs="Times New Roman" w:eastAsiaTheme="minorEastAsia"/>
          <w:b/>
          <w:color w:val="000000"/>
          <w:kern w:val="0"/>
          <w:szCs w:val="21"/>
          <w:lang w:val="en-US" w:eastAsia="zh-CN"/>
        </w:rPr>
      </w:pPr>
      <w:r>
        <w:rPr>
          <w:rFonts w:hint="eastAsia" w:ascii="Times New Roman" w:hAnsi="Times New Roman" w:cs="Times New Roman" w:eastAsiaTheme="minorEastAsia"/>
          <w:b/>
          <w:color w:val="000000"/>
          <w:kern w:val="0"/>
          <w:szCs w:val="21"/>
          <w:lang w:val="en-US" w:eastAsia="zh-CN"/>
        </w:rPr>
        <w:t>（一）贵州气候造就得天独厚的农业产业发展形势</w:t>
      </w:r>
    </w:p>
    <w:p w14:paraId="17FE3AB4">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贵州地处云贵高原，兼具亚热带湿润季风气候与山地立体气候特征，呈现出</w:t>
      </w:r>
      <w:r>
        <w:rPr>
          <w:rFonts w:hint="eastAsia" w:cs="Times New Roman"/>
          <w:szCs w:val="21"/>
          <w:lang w:val="en-US" w:eastAsia="zh-CN"/>
        </w:rPr>
        <w:t>“</w:t>
      </w:r>
      <w:r>
        <w:rPr>
          <w:rFonts w:hint="eastAsia" w:ascii="Times New Roman" w:hAnsi="Times New Roman" w:eastAsia="宋体" w:cs="Times New Roman"/>
          <w:szCs w:val="21"/>
          <w:lang w:val="en-US" w:eastAsia="zh-CN"/>
        </w:rPr>
        <w:t>一山分四季、十里不同天</w:t>
      </w:r>
      <w:r>
        <w:rPr>
          <w:rFonts w:hint="eastAsia" w:cs="Times New Roman"/>
          <w:szCs w:val="21"/>
          <w:lang w:val="en-US" w:eastAsia="zh-CN"/>
        </w:rPr>
        <w:t>”</w:t>
      </w:r>
      <w:r>
        <w:rPr>
          <w:rFonts w:hint="eastAsia" w:ascii="Times New Roman" w:hAnsi="Times New Roman" w:eastAsia="宋体" w:cs="Times New Roman"/>
          <w:szCs w:val="21"/>
          <w:lang w:val="en-US" w:eastAsia="zh-CN"/>
        </w:rPr>
        <w:t>的独特气候格局，为农产品发展赋予了得天独厚的优势，</w:t>
      </w:r>
      <w:r>
        <w:rPr>
          <w:rFonts w:hint="eastAsia" w:cs="Times New Roman"/>
          <w:szCs w:val="21"/>
          <w:lang w:val="en-US" w:eastAsia="zh-CN"/>
        </w:rPr>
        <w:t>有</w:t>
      </w:r>
      <w:r>
        <w:rPr>
          <w:rFonts w:hint="eastAsia" w:ascii="Times New Roman" w:hAnsi="Times New Roman" w:eastAsia="宋体" w:cs="Times New Roman"/>
          <w:szCs w:val="21"/>
          <w:lang w:val="en-US" w:eastAsia="zh-CN"/>
        </w:rPr>
        <w:t>低热河谷的错季蔬菜，中海拔的特色水果，高海拔区域的耐寒药材等，作物分布错落有致</w:t>
      </w:r>
      <w:r>
        <w:rPr>
          <w:rFonts w:hint="eastAsia" w:cs="Times New Roman"/>
          <w:szCs w:val="21"/>
          <w:lang w:val="en-US" w:eastAsia="zh-CN"/>
        </w:rPr>
        <w:t>；</w:t>
      </w:r>
      <w:r>
        <w:rPr>
          <w:rFonts w:hint="eastAsia" w:ascii="Times New Roman" w:hAnsi="Times New Roman" w:eastAsia="宋体" w:cs="Times New Roman"/>
          <w:szCs w:val="21"/>
          <w:lang w:val="en-US" w:eastAsia="zh-CN"/>
        </w:rPr>
        <w:t>同时既有适宜温润环境的茶叶、食用菌，也有适宜热带环境的百香果、火龙果</w:t>
      </w:r>
      <w:r>
        <w:rPr>
          <w:rFonts w:hint="eastAsia" w:cs="Times New Roman"/>
          <w:szCs w:val="21"/>
          <w:lang w:val="en-US" w:eastAsia="zh-CN"/>
        </w:rPr>
        <w:t>；加之</w:t>
      </w:r>
      <w:r>
        <w:rPr>
          <w:rFonts w:hint="eastAsia" w:ascii="Times New Roman" w:hAnsi="Times New Roman" w:eastAsia="宋体" w:cs="Times New Roman"/>
          <w:szCs w:val="21"/>
          <w:lang w:val="en-US" w:eastAsia="zh-CN"/>
        </w:rPr>
        <w:t>受多民族农耕传统影响，各地保留着诸如苗族红米、布依族糯米等特色作物，种植结构呈现出百花齐放的复杂格局，饱含独特的地域魅力。孕育出了包含茶产业、辣椒产业、食用菌产业、油茶产业、蔬菜产业、石斛产业、水果产业、刺梨产业、中药材产业、竹产业、生态畜牧业、生态渔业的贵州省十二个重点特色优势产业。</w:t>
      </w:r>
    </w:p>
    <w:p w14:paraId="76A7E8FF">
      <w:pPr>
        <w:spacing w:line="360" w:lineRule="auto"/>
        <w:ind w:firstLine="420" w:firstLineChars="20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贵州得天独厚的气候禀赋不仅塑造了农产品"生态、优质、稀缺"的核心竞争力，更通过科学的气候资源开发</w:t>
      </w:r>
      <w:r>
        <w:rPr>
          <w:rFonts w:hint="eastAsia" w:cs="Times New Roman"/>
          <w:szCs w:val="21"/>
          <w:lang w:val="en-US" w:eastAsia="zh-CN"/>
        </w:rPr>
        <w:t>与利用</w:t>
      </w:r>
      <w:r>
        <w:rPr>
          <w:rFonts w:hint="default" w:ascii="Times New Roman" w:hAnsi="Times New Roman" w:eastAsia="宋体" w:cs="Times New Roman"/>
          <w:szCs w:val="21"/>
          <w:lang w:val="en-US" w:eastAsia="zh-CN"/>
        </w:rPr>
        <w:t>，持续将"天时优势"转化为"品质优势"，为"黔货出山"注入</w:t>
      </w:r>
      <w:r>
        <w:rPr>
          <w:rFonts w:hint="eastAsia" w:cs="Times New Roman"/>
          <w:szCs w:val="21"/>
          <w:lang w:val="en-US" w:eastAsia="zh-CN"/>
        </w:rPr>
        <w:t>源源不断的</w:t>
      </w:r>
      <w:r>
        <w:rPr>
          <w:rFonts w:hint="default" w:ascii="Times New Roman" w:hAnsi="Times New Roman" w:eastAsia="宋体" w:cs="Times New Roman"/>
          <w:szCs w:val="21"/>
          <w:lang w:val="en-US" w:eastAsia="zh-CN"/>
        </w:rPr>
        <w:t>动能。气候-品质转化机制缔造</w:t>
      </w:r>
      <w:r>
        <w:rPr>
          <w:rFonts w:hint="eastAsia" w:cs="Times New Roman"/>
          <w:szCs w:val="21"/>
          <w:lang w:val="en-US" w:eastAsia="zh-CN"/>
        </w:rPr>
        <w:t>出贵州优质农产品的独特</w:t>
      </w:r>
      <w:r>
        <w:rPr>
          <w:rFonts w:hint="default" w:ascii="Times New Roman" w:hAnsi="Times New Roman" w:eastAsia="宋体" w:cs="Times New Roman"/>
          <w:szCs w:val="21"/>
          <w:lang w:val="en-US" w:eastAsia="zh-CN"/>
        </w:rPr>
        <w:t>品质</w:t>
      </w:r>
      <w:r>
        <w:rPr>
          <w:rFonts w:hint="eastAsia" w:cs="Times New Roman"/>
          <w:szCs w:val="21"/>
          <w:lang w:val="en-US" w:eastAsia="zh-CN"/>
        </w:rPr>
        <w:t>。</w:t>
      </w:r>
      <w:r>
        <w:rPr>
          <w:rFonts w:hint="default" w:ascii="Times New Roman" w:hAnsi="Times New Roman" w:eastAsia="宋体" w:cs="Times New Roman"/>
          <w:szCs w:val="21"/>
          <w:lang w:val="en-US" w:eastAsia="zh-CN"/>
        </w:rPr>
        <w:t>在高海拔地区，日均10℃以上的显著昼夜温差催化了贵州刺梨维生素C含量的超常积累（≥2000mg/100g），相当于柑橘类水果的100倍</w:t>
      </w:r>
      <w:r>
        <w:rPr>
          <w:rFonts w:hint="eastAsia" w:cs="Times New Roman"/>
          <w:szCs w:val="21"/>
          <w:lang w:val="en-US" w:eastAsia="zh-CN"/>
        </w:rPr>
        <w:t>；</w:t>
      </w:r>
      <w:r>
        <w:rPr>
          <w:rFonts w:hint="default" w:ascii="Times New Roman" w:hAnsi="Times New Roman" w:eastAsia="宋体" w:cs="Times New Roman"/>
          <w:szCs w:val="21"/>
          <w:lang w:val="en-US" w:eastAsia="zh-CN"/>
        </w:rPr>
        <w:t>年均1800小时的漫射光环境则促进茶树叶片叶绿素合成，使都匀毛尖茶多酚与氨基酸形成黄金配比（1:2.8），造就其"三绿透三黄"的独特品质</w:t>
      </w:r>
      <w:r>
        <w:rPr>
          <w:rFonts w:hint="eastAsia" w:cs="Times New Roman"/>
          <w:szCs w:val="21"/>
          <w:lang w:val="en-US" w:eastAsia="zh-CN"/>
        </w:rPr>
        <w:t>；</w:t>
      </w:r>
      <w:r>
        <w:rPr>
          <w:rFonts w:hint="default" w:ascii="Times New Roman" w:hAnsi="Times New Roman" w:eastAsia="宋体" w:cs="Times New Roman"/>
          <w:szCs w:val="21"/>
          <w:lang w:val="en-US" w:eastAsia="zh-CN"/>
        </w:rPr>
        <w:t>雨热同期的季风气候（年均降水量1100-1300mm）与70-80%的湿度环境，使黔北辣椒表皮角质层增厚15-20μm，辣椒素含量突破1.5%，成为复合调味品行业的"黄金原料"</w:t>
      </w:r>
      <w:r>
        <w:rPr>
          <w:rFonts w:hint="eastAsia" w:cs="Times New Roman"/>
          <w:szCs w:val="21"/>
          <w:lang w:val="en-US" w:eastAsia="zh-CN"/>
        </w:rPr>
        <w:t>；</w:t>
      </w:r>
      <w:r>
        <w:rPr>
          <w:rFonts w:hint="default" w:ascii="Times New Roman" w:hAnsi="Times New Roman" w:eastAsia="宋体" w:cs="Times New Roman"/>
          <w:szCs w:val="21"/>
          <w:lang w:val="en-US" w:eastAsia="zh-CN"/>
        </w:rPr>
        <w:t>修文县13.6℃的年均</w:t>
      </w:r>
      <w:r>
        <w:rPr>
          <w:rFonts w:hint="eastAsia" w:cs="Times New Roman"/>
          <w:szCs w:val="21"/>
          <w:lang w:val="en-US" w:eastAsia="zh-CN"/>
        </w:rPr>
        <w:t>气</w:t>
      </w:r>
      <w:r>
        <w:rPr>
          <w:rFonts w:hint="default" w:ascii="Times New Roman" w:hAnsi="Times New Roman" w:eastAsia="宋体" w:cs="Times New Roman"/>
          <w:szCs w:val="21"/>
          <w:lang w:val="en-US" w:eastAsia="zh-CN"/>
        </w:rPr>
        <w:t>温和1100小时的日照时长，使得果实可溶性固形物含量突破16%的行业标杆</w:t>
      </w:r>
      <w:r>
        <w:rPr>
          <w:rFonts w:hint="eastAsia" w:cs="Times New Roman"/>
          <w:szCs w:val="21"/>
          <w:lang w:val="en-US" w:eastAsia="zh-CN"/>
        </w:rPr>
        <w:t>；</w:t>
      </w:r>
      <w:r>
        <w:rPr>
          <w:rFonts w:hint="default" w:ascii="Times New Roman" w:hAnsi="Times New Roman" w:eastAsia="宋体" w:cs="Times New Roman"/>
          <w:szCs w:val="21"/>
          <w:lang w:val="en-US" w:eastAsia="zh-CN"/>
        </w:rPr>
        <w:t>赤水河谷特有的"立体气候"（海拔落差1500m，年降水1200mm）形成天然药材培育室，金钗石斛碱含量稳定在0.6-0.8%的药典优级标准</w:t>
      </w:r>
      <w:r>
        <w:rPr>
          <w:rFonts w:hint="eastAsia" w:cs="Times New Roman"/>
          <w:szCs w:val="21"/>
          <w:lang w:val="en-US" w:eastAsia="zh-CN"/>
        </w:rPr>
        <w:t>；</w:t>
      </w:r>
      <w:r>
        <w:rPr>
          <w:rFonts w:hint="default" w:ascii="Times New Roman" w:hAnsi="Times New Roman" w:eastAsia="宋体" w:cs="Times New Roman"/>
          <w:szCs w:val="21"/>
          <w:lang w:val="en-US" w:eastAsia="zh-CN"/>
        </w:rPr>
        <w:t>赫章县2200米海拔带来的冷凉气候，将核桃生长周期延长至200天，单宁含量降至0.8%以下，实现出仁率与食味值的双重突破。通过构建"气候品质认证+溯源体系"双轮驱动模式，贵州已培育12个国家级地理标志农产品</w:t>
      </w:r>
      <w:r>
        <w:rPr>
          <w:rFonts w:hint="eastAsia" w:cs="Times New Roman"/>
          <w:szCs w:val="21"/>
          <w:lang w:val="en-US" w:eastAsia="zh-CN"/>
        </w:rPr>
        <w:t>，据</w:t>
      </w:r>
      <w:r>
        <w:rPr>
          <w:rFonts w:hint="default" w:ascii="Times New Roman" w:hAnsi="Times New Roman" w:eastAsia="宋体" w:cs="Times New Roman"/>
          <w:szCs w:val="21"/>
          <w:lang w:val="en-US" w:eastAsia="zh-CN"/>
        </w:rPr>
        <w:t>贵州省农科院数据显示，气候敏感型农产品产值近三年保持12%的年均增速，带动62万农户户均增收3500元，验证了"绿水青山就是金山银山"的贵州实践。</w:t>
      </w:r>
    </w:p>
    <w:p w14:paraId="6DC129EB">
      <w:pPr>
        <w:spacing w:line="360" w:lineRule="auto"/>
        <w:jc w:val="left"/>
        <w:rPr>
          <w:rFonts w:hint="default" w:ascii="Times New Roman" w:hAnsi="Times New Roman" w:cs="Times New Roman" w:eastAsiaTheme="minorEastAsia"/>
          <w:b/>
          <w:color w:val="000000"/>
          <w:kern w:val="0"/>
          <w:szCs w:val="21"/>
          <w:lang w:val="en-US" w:eastAsia="zh-CN"/>
        </w:rPr>
      </w:pPr>
      <w:r>
        <w:rPr>
          <w:rFonts w:hint="eastAsia" w:ascii="Times New Roman" w:hAnsi="Times New Roman" w:cs="Times New Roman" w:eastAsiaTheme="minorEastAsia"/>
          <w:b/>
          <w:color w:val="000000"/>
          <w:kern w:val="0"/>
          <w:szCs w:val="21"/>
          <w:lang w:val="en-US" w:eastAsia="zh-CN"/>
        </w:rPr>
        <w:t>（二）气象赋能农产品品牌提升已成为贵州特色农业发展的迫切需求。</w:t>
      </w:r>
    </w:p>
    <w:p w14:paraId="464892D3">
      <w:pPr>
        <w:autoSpaceDE w:val="0"/>
        <w:autoSpaceDN w:val="0"/>
        <w:adjustRightInd w:val="0"/>
        <w:spacing w:line="360" w:lineRule="auto"/>
        <w:ind w:firstLine="420" w:firstLineChars="200"/>
        <w:jc w:val="left"/>
        <w:rPr>
          <w:rFonts w:hint="eastAsia" w:cs="Times New Roman"/>
          <w:szCs w:val="21"/>
          <w:lang w:val="en-US" w:eastAsia="zh-CN"/>
        </w:rPr>
      </w:pPr>
      <w:r>
        <w:rPr>
          <w:rFonts w:hint="eastAsia" w:cs="Times New Roman"/>
          <w:szCs w:val="21"/>
          <w:lang w:val="en-US" w:eastAsia="zh-CN"/>
        </w:rPr>
        <w:t xml:space="preserve">在全球气候变化加剧与农业高质量发展双重挑战下，以气象科技重构农产品价值链已成为现代农业竞争的新赛道。贵州作为全国唯一无平原支撑的农业大省，正以制度创新破解山地特色高效农业发展桎梏——通过构建"国家战略导向+省级实践创新"的双层驱动机制，将气象要素深度植入农业品牌建设全链条。一场以气象数据为生产要素、以气候标识为品质背书、以政策法规为制度保障的农业品牌革命正在黔地展开。  </w:t>
      </w:r>
    </w:p>
    <w:p w14:paraId="3FFDA4A5">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eastAsia" w:cs="Times New Roman"/>
          <w:szCs w:val="21"/>
          <w:lang w:val="en-US" w:eastAsia="zh-CN"/>
        </w:rPr>
        <w:t>《农业农村部关于大力发展智慧农业的指导意见》指出：要推进产地农产品溯源体系建设。 </w:t>
      </w:r>
    </w:p>
    <w:p w14:paraId="25FC3ABF">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《中国气象局关于</w:t>
      </w:r>
      <w:r>
        <w:rPr>
          <w:rFonts w:hint="eastAsia" w:cs="Times New Roman"/>
          <w:szCs w:val="21"/>
          <w:lang w:val="en-US" w:eastAsia="zh-CN"/>
        </w:rPr>
        <w:t>构建新型气象为农服务体系助力乡村全面振兴的指导意见</w:t>
      </w:r>
      <w:r>
        <w:rPr>
          <w:rFonts w:hint="default" w:ascii="Times New Roman" w:hAnsi="Times New Roman" w:eastAsia="宋体" w:cs="Times New Roman"/>
          <w:szCs w:val="21"/>
          <w:lang w:val="en-US" w:eastAsia="zh-CN"/>
        </w:rPr>
        <w:t>》明确</w:t>
      </w:r>
      <w:r>
        <w:rPr>
          <w:rFonts w:hint="eastAsia" w:ascii="Times New Roman" w:hAnsi="Times New Roman" w:eastAsia="宋体" w:cs="Times New Roman"/>
          <w:szCs w:val="21"/>
          <w:lang w:val="en-US" w:eastAsia="zh-CN"/>
        </w:rPr>
        <w:t>：</w:t>
      </w:r>
      <w:r>
        <w:rPr>
          <w:rFonts w:hint="eastAsia" w:cs="Times New Roman"/>
          <w:szCs w:val="21"/>
          <w:lang w:val="en-US" w:eastAsia="zh-CN"/>
        </w:rPr>
        <w:t>“</w:t>
      </w:r>
      <w:r>
        <w:rPr>
          <w:rFonts w:hint="default" w:ascii="Times New Roman" w:hAnsi="Times New Roman" w:eastAsia="宋体" w:cs="Times New Roman"/>
          <w:szCs w:val="21"/>
          <w:lang w:val="en-US" w:eastAsia="zh-CN"/>
        </w:rPr>
        <w:t>发展特色农业气象服务，健全气候生态产品价值实现机制</w:t>
      </w:r>
      <w:r>
        <w:rPr>
          <w:rFonts w:hint="eastAsia" w:cs="Times New Roman"/>
          <w:szCs w:val="21"/>
          <w:lang w:val="en-US" w:eastAsia="zh-CN"/>
        </w:rPr>
        <w:t>”</w:t>
      </w:r>
      <w:r>
        <w:rPr>
          <w:rFonts w:hint="default" w:ascii="Times New Roman" w:hAnsi="Times New Roman" w:eastAsia="宋体" w:cs="Times New Roman"/>
          <w:szCs w:val="21"/>
          <w:lang w:val="en-US" w:eastAsia="zh-CN"/>
        </w:rPr>
        <w:t xml:space="preserve">。  </w:t>
      </w:r>
    </w:p>
    <w:p w14:paraId="0DA720A7">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《全国农业现代化规划（2021-2025年）》提出</w:t>
      </w:r>
      <w:r>
        <w:rPr>
          <w:rFonts w:hint="eastAsia" w:ascii="Times New Roman" w:hAnsi="Times New Roman" w:eastAsia="宋体" w:cs="Times New Roman"/>
          <w:szCs w:val="21"/>
          <w:lang w:val="en-US" w:eastAsia="zh-CN"/>
        </w:rPr>
        <w:t>：</w:t>
      </w:r>
      <w:r>
        <w:rPr>
          <w:rFonts w:hint="eastAsia" w:cs="Times New Roman"/>
          <w:szCs w:val="21"/>
          <w:lang w:val="en-US" w:eastAsia="zh-CN"/>
        </w:rPr>
        <w:t>“</w:t>
      </w:r>
      <w:r>
        <w:rPr>
          <w:rFonts w:hint="default" w:ascii="Times New Roman" w:hAnsi="Times New Roman" w:eastAsia="宋体" w:cs="Times New Roman"/>
          <w:szCs w:val="21"/>
          <w:lang w:val="en-US" w:eastAsia="zh-CN"/>
        </w:rPr>
        <w:t>强化农业气象服务，发展气候品质认证，提升农产品附加值</w:t>
      </w:r>
      <w:r>
        <w:rPr>
          <w:rFonts w:hint="eastAsia" w:cs="Times New Roman"/>
          <w:szCs w:val="21"/>
          <w:lang w:val="en-US" w:eastAsia="zh-CN"/>
        </w:rPr>
        <w:t>”</w:t>
      </w:r>
      <w:r>
        <w:rPr>
          <w:rFonts w:hint="default" w:ascii="Times New Roman" w:hAnsi="Times New Roman" w:eastAsia="宋体" w:cs="Times New Roman"/>
          <w:szCs w:val="21"/>
          <w:lang w:val="en-US" w:eastAsia="zh-CN"/>
        </w:rPr>
        <w:t xml:space="preserve">。 </w:t>
      </w:r>
    </w:p>
    <w:p w14:paraId="4CA31AAA">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《国家地理标志农产品保护工程》要求：支持</w:t>
      </w:r>
      <w:r>
        <w:rPr>
          <w:rFonts w:hint="eastAsia" w:cs="Times New Roman"/>
          <w:szCs w:val="21"/>
          <w:lang w:val="en-US" w:eastAsia="zh-CN"/>
        </w:rPr>
        <w:t>“</w:t>
      </w:r>
      <w:r>
        <w:rPr>
          <w:rFonts w:hint="default" w:ascii="Times New Roman" w:hAnsi="Times New Roman" w:eastAsia="宋体" w:cs="Times New Roman"/>
          <w:szCs w:val="21"/>
          <w:lang w:val="en-US" w:eastAsia="zh-CN"/>
        </w:rPr>
        <w:t>挖掘地理气候与农产品品质关联性，强化品牌科技内涵</w:t>
      </w:r>
      <w:r>
        <w:rPr>
          <w:rFonts w:hint="eastAsia" w:cs="Times New Roman"/>
          <w:szCs w:val="21"/>
          <w:lang w:val="en-US" w:eastAsia="zh-CN"/>
        </w:rPr>
        <w:t>”</w:t>
      </w:r>
      <w:r>
        <w:rPr>
          <w:rFonts w:hint="default" w:ascii="Times New Roman" w:hAnsi="Times New Roman" w:eastAsia="宋体" w:cs="Times New Roman"/>
          <w:szCs w:val="21"/>
          <w:lang w:val="en-US" w:eastAsia="zh-CN"/>
        </w:rPr>
        <w:t xml:space="preserve">。  </w:t>
      </w:r>
    </w:p>
    <w:p w14:paraId="674F7771">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《贵州省</w:t>
      </w:r>
      <w:r>
        <w:rPr>
          <w:rFonts w:hint="eastAsia" w:cs="Times New Roman"/>
          <w:szCs w:val="21"/>
          <w:lang w:val="en-US" w:eastAsia="zh-CN"/>
        </w:rPr>
        <w:t>“</w:t>
      </w:r>
      <w:r>
        <w:rPr>
          <w:rFonts w:hint="default" w:ascii="Times New Roman" w:hAnsi="Times New Roman" w:eastAsia="宋体" w:cs="Times New Roman"/>
          <w:szCs w:val="21"/>
          <w:lang w:val="en-US" w:eastAsia="zh-CN"/>
        </w:rPr>
        <w:t>十四五</w:t>
      </w:r>
      <w:r>
        <w:rPr>
          <w:rFonts w:hint="eastAsia" w:cs="Times New Roman"/>
          <w:szCs w:val="21"/>
          <w:lang w:val="en-US" w:eastAsia="zh-CN"/>
        </w:rPr>
        <w:t>”</w:t>
      </w:r>
      <w:r>
        <w:rPr>
          <w:rFonts w:hint="default" w:ascii="Times New Roman" w:hAnsi="Times New Roman" w:eastAsia="宋体" w:cs="Times New Roman"/>
          <w:szCs w:val="21"/>
          <w:lang w:val="en-US" w:eastAsia="zh-CN"/>
        </w:rPr>
        <w:t>农业农村现代化发展规划》</w:t>
      </w:r>
      <w:r>
        <w:rPr>
          <w:rFonts w:hint="eastAsia" w:ascii="Times New Roman" w:hAnsi="Times New Roman" w:eastAsia="宋体" w:cs="Times New Roman"/>
          <w:szCs w:val="21"/>
          <w:lang w:val="en-US" w:eastAsia="zh-CN"/>
        </w:rPr>
        <w:t>中将</w:t>
      </w:r>
      <w:r>
        <w:rPr>
          <w:rFonts w:hint="default" w:ascii="Times New Roman" w:hAnsi="Times New Roman" w:eastAsia="宋体" w:cs="Times New Roman"/>
          <w:szCs w:val="21"/>
          <w:lang w:val="en-US" w:eastAsia="zh-CN"/>
        </w:rPr>
        <w:t>建设</w:t>
      </w:r>
      <w:r>
        <w:rPr>
          <w:rFonts w:hint="eastAsia" w:cs="Times New Roman"/>
          <w:szCs w:val="21"/>
          <w:lang w:val="en-US" w:eastAsia="zh-CN"/>
        </w:rPr>
        <w:t>“</w:t>
      </w:r>
      <w:r>
        <w:rPr>
          <w:rFonts w:hint="default" w:ascii="Times New Roman" w:hAnsi="Times New Roman" w:eastAsia="宋体" w:cs="Times New Roman"/>
          <w:szCs w:val="21"/>
          <w:lang w:val="en-US" w:eastAsia="zh-CN"/>
        </w:rPr>
        <w:t>山地特色气象服务示范区</w:t>
      </w:r>
      <w:r>
        <w:rPr>
          <w:rFonts w:hint="eastAsia" w:cs="Times New Roman"/>
          <w:szCs w:val="21"/>
          <w:lang w:val="en-US" w:eastAsia="zh-CN"/>
        </w:rPr>
        <w:t>”</w:t>
      </w:r>
      <w:r>
        <w:rPr>
          <w:rFonts w:hint="default" w:ascii="Times New Roman" w:hAnsi="Times New Roman" w:eastAsia="宋体" w:cs="Times New Roman"/>
          <w:szCs w:val="21"/>
          <w:lang w:val="en-US" w:eastAsia="zh-CN"/>
        </w:rPr>
        <w:t>，开发</w:t>
      </w:r>
      <w:r>
        <w:rPr>
          <w:rFonts w:hint="eastAsia" w:cs="Times New Roman"/>
          <w:szCs w:val="21"/>
          <w:lang w:val="en-US" w:eastAsia="zh-CN"/>
        </w:rPr>
        <w:t>“</w:t>
      </w:r>
      <w:r>
        <w:rPr>
          <w:rFonts w:hint="default" w:ascii="Times New Roman" w:hAnsi="Times New Roman" w:eastAsia="宋体" w:cs="Times New Roman"/>
          <w:szCs w:val="21"/>
          <w:lang w:val="en-US" w:eastAsia="zh-CN"/>
        </w:rPr>
        <w:t>一县一品</w:t>
      </w:r>
      <w:r>
        <w:rPr>
          <w:rFonts w:hint="eastAsia" w:cs="Times New Roman"/>
          <w:szCs w:val="21"/>
          <w:lang w:val="en-US" w:eastAsia="zh-CN"/>
        </w:rPr>
        <w:t>”</w:t>
      </w:r>
      <w:r>
        <w:rPr>
          <w:rFonts w:hint="default" w:ascii="Times New Roman" w:hAnsi="Times New Roman" w:eastAsia="宋体" w:cs="Times New Roman"/>
          <w:szCs w:val="21"/>
          <w:lang w:val="en-US" w:eastAsia="zh-CN"/>
        </w:rPr>
        <w:t>气候认证模型</w:t>
      </w:r>
      <w:r>
        <w:rPr>
          <w:rFonts w:hint="eastAsia" w:ascii="Times New Roman" w:hAnsi="Times New Roman" w:eastAsia="宋体" w:cs="Times New Roman"/>
          <w:szCs w:val="21"/>
          <w:lang w:val="en-US" w:eastAsia="zh-CN"/>
        </w:rPr>
        <w:t>和</w:t>
      </w:r>
      <w:r>
        <w:rPr>
          <w:rFonts w:hint="default" w:ascii="Times New Roman" w:hAnsi="Times New Roman" w:eastAsia="宋体" w:cs="Times New Roman"/>
          <w:szCs w:val="21"/>
          <w:lang w:val="en-US" w:eastAsia="zh-CN"/>
        </w:rPr>
        <w:t>推动</w:t>
      </w:r>
      <w:r>
        <w:rPr>
          <w:rFonts w:hint="eastAsia" w:cs="Times New Roman"/>
          <w:szCs w:val="21"/>
          <w:lang w:val="en-US" w:eastAsia="zh-CN"/>
        </w:rPr>
        <w:t>“</w:t>
      </w:r>
      <w:r>
        <w:rPr>
          <w:rFonts w:hint="default" w:ascii="Times New Roman" w:hAnsi="Times New Roman" w:eastAsia="宋体" w:cs="Times New Roman"/>
          <w:szCs w:val="21"/>
          <w:lang w:val="en-US" w:eastAsia="zh-CN"/>
        </w:rPr>
        <w:t>气象+电商</w:t>
      </w:r>
      <w:r>
        <w:rPr>
          <w:rFonts w:hint="eastAsia" w:cs="Times New Roman"/>
          <w:szCs w:val="21"/>
          <w:lang w:val="en-US" w:eastAsia="zh-CN"/>
        </w:rPr>
        <w:t>”</w:t>
      </w:r>
      <w:r>
        <w:rPr>
          <w:rFonts w:hint="default" w:ascii="Times New Roman" w:hAnsi="Times New Roman" w:eastAsia="宋体" w:cs="Times New Roman"/>
          <w:szCs w:val="21"/>
          <w:lang w:val="en-US" w:eastAsia="zh-CN"/>
        </w:rPr>
        <w:t>融合，在</w:t>
      </w:r>
      <w:r>
        <w:rPr>
          <w:rFonts w:hint="eastAsia" w:cs="Times New Roman"/>
          <w:szCs w:val="21"/>
          <w:lang w:val="en-US" w:eastAsia="zh-CN"/>
        </w:rPr>
        <w:t>“</w:t>
      </w:r>
      <w:r>
        <w:rPr>
          <w:rFonts w:hint="default" w:ascii="Times New Roman" w:hAnsi="Times New Roman" w:eastAsia="宋体" w:cs="Times New Roman"/>
          <w:szCs w:val="21"/>
          <w:lang w:val="en-US" w:eastAsia="zh-CN"/>
        </w:rPr>
        <w:t>黔货出山</w:t>
      </w:r>
      <w:r>
        <w:rPr>
          <w:rFonts w:hint="eastAsia" w:cs="Times New Roman"/>
          <w:szCs w:val="21"/>
          <w:lang w:val="en-US" w:eastAsia="zh-CN"/>
        </w:rPr>
        <w:t>”</w:t>
      </w:r>
      <w:r>
        <w:rPr>
          <w:rFonts w:hint="default" w:ascii="Times New Roman" w:hAnsi="Times New Roman" w:eastAsia="宋体" w:cs="Times New Roman"/>
          <w:szCs w:val="21"/>
          <w:lang w:val="en-US" w:eastAsia="zh-CN"/>
        </w:rPr>
        <w:t>平台标注气候品质等级</w:t>
      </w:r>
      <w:r>
        <w:rPr>
          <w:rFonts w:hint="eastAsia" w:ascii="Times New Roman" w:hAnsi="Times New Roman" w:eastAsia="宋体" w:cs="Times New Roman"/>
          <w:szCs w:val="21"/>
          <w:lang w:val="en-US" w:eastAsia="zh-CN"/>
        </w:rPr>
        <w:t>，列为重点任务。</w:t>
      </w:r>
    </w:p>
    <w:p w14:paraId="67EF2D87">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《贵州省特色农产品品牌建设三年行动方</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2023-2025）》政策亮点</w:t>
      </w:r>
      <w:r>
        <w:rPr>
          <w:rFonts w:hint="eastAsia" w:ascii="Times New Roman" w:hAnsi="Times New Roman" w:eastAsia="宋体" w:cs="Times New Roman"/>
          <w:szCs w:val="21"/>
          <w:lang w:val="en-US" w:eastAsia="zh-CN"/>
        </w:rPr>
        <w:t>要求</w:t>
      </w:r>
      <w:r>
        <w:rPr>
          <w:rFonts w:hint="default" w:ascii="Times New Roman" w:hAnsi="Times New Roman" w:eastAsia="宋体" w:cs="Times New Roman"/>
          <w:szCs w:val="21"/>
          <w:lang w:val="en-US" w:eastAsia="zh-CN"/>
        </w:rPr>
        <w:t>气候标签强制应用：省级以上龙头企业产品需标注气候评分（如温度、降水、光照指标）；</w:t>
      </w:r>
      <w:r>
        <w:rPr>
          <w:rFonts w:hint="eastAsia" w:ascii="Times New Roman" w:hAnsi="Times New Roman" w:eastAsia="宋体" w:cs="Times New Roman"/>
          <w:szCs w:val="21"/>
          <w:lang w:val="en-US" w:eastAsia="zh-CN"/>
        </w:rPr>
        <w:t>并</w:t>
      </w:r>
      <w:r>
        <w:rPr>
          <w:rFonts w:hint="default" w:ascii="Times New Roman" w:hAnsi="Times New Roman" w:eastAsia="宋体" w:cs="Times New Roman"/>
          <w:szCs w:val="21"/>
          <w:lang w:val="en-US" w:eastAsia="zh-CN"/>
        </w:rPr>
        <w:t>对通过气候认证的企业给予每产品5万元奖励。</w:t>
      </w:r>
    </w:p>
    <w:p w14:paraId="20CD73E5">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《贵州省气候资源开发利用和保护条例》立法</w:t>
      </w:r>
      <w:r>
        <w:rPr>
          <w:rFonts w:hint="eastAsia" w:ascii="Times New Roman" w:hAnsi="Times New Roman" w:eastAsia="宋体" w:cs="Times New Roman"/>
          <w:szCs w:val="21"/>
          <w:lang w:val="en-US" w:eastAsia="zh-CN"/>
        </w:rPr>
        <w:t>保障</w:t>
      </w:r>
      <w:r>
        <w:rPr>
          <w:rFonts w:hint="default" w:ascii="Times New Roman" w:hAnsi="Times New Roman" w:eastAsia="宋体" w:cs="Times New Roman"/>
          <w:szCs w:val="21"/>
          <w:lang w:val="en-US" w:eastAsia="zh-CN"/>
        </w:rPr>
        <w:t>明确</w:t>
      </w:r>
      <w:r>
        <w:rPr>
          <w:rFonts w:hint="eastAsia" w:ascii="Times New Roman" w:hAnsi="Times New Roman" w:eastAsia="宋体" w:cs="Times New Roman"/>
          <w:szCs w:val="21"/>
          <w:lang w:val="en-US" w:eastAsia="zh-CN"/>
        </w:rPr>
        <w:t>要求</w:t>
      </w:r>
      <w:r>
        <w:rPr>
          <w:rFonts w:hint="eastAsia" w:cs="Times New Roman"/>
          <w:szCs w:val="21"/>
          <w:lang w:val="en-US" w:eastAsia="zh-CN"/>
        </w:rPr>
        <w:t>“</w:t>
      </w:r>
      <w:r>
        <w:rPr>
          <w:rFonts w:hint="default" w:ascii="Times New Roman" w:hAnsi="Times New Roman" w:eastAsia="宋体" w:cs="Times New Roman"/>
          <w:szCs w:val="21"/>
          <w:lang w:val="en-US" w:eastAsia="zh-CN"/>
        </w:rPr>
        <w:t>气象部门应提供农产品气候品质评价公共服务</w:t>
      </w:r>
      <w:r>
        <w:rPr>
          <w:rFonts w:hint="eastAsia" w:cs="Times New Roman"/>
          <w:szCs w:val="21"/>
          <w:lang w:val="en-US" w:eastAsia="zh-CN"/>
        </w:rPr>
        <w:t>”</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禁止滥用</w:t>
      </w:r>
      <w:r>
        <w:rPr>
          <w:rFonts w:hint="eastAsia" w:cs="Times New Roman"/>
          <w:szCs w:val="21"/>
          <w:lang w:val="en-US" w:eastAsia="zh-CN"/>
        </w:rPr>
        <w:t>“</w:t>
      </w:r>
      <w:r>
        <w:rPr>
          <w:rFonts w:hint="default" w:ascii="Times New Roman" w:hAnsi="Times New Roman" w:eastAsia="宋体" w:cs="Times New Roman"/>
          <w:szCs w:val="21"/>
          <w:lang w:val="en-US" w:eastAsia="zh-CN"/>
        </w:rPr>
        <w:t>气候特优</w:t>
      </w:r>
      <w:r>
        <w:rPr>
          <w:rFonts w:hint="eastAsia" w:cs="Times New Roman"/>
          <w:szCs w:val="21"/>
          <w:lang w:val="en-US" w:eastAsia="zh-CN"/>
        </w:rPr>
        <w:t>”</w:t>
      </w:r>
      <w:r>
        <w:rPr>
          <w:rFonts w:hint="default" w:ascii="Times New Roman" w:hAnsi="Times New Roman" w:eastAsia="宋体" w:cs="Times New Roman"/>
          <w:szCs w:val="21"/>
          <w:lang w:val="en-US" w:eastAsia="zh-CN"/>
        </w:rPr>
        <w:t>等虚假宣传，维护品牌公信力。</w:t>
      </w:r>
    </w:p>
    <w:p w14:paraId="41D4D99C">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2024年贵州省政府工作报告（全文）</w:t>
      </w:r>
      <w:r>
        <w:rPr>
          <w:rFonts w:hint="eastAsia" w:ascii="Times New Roman" w:hAnsi="Times New Roman" w:eastAsia="宋体" w:cs="Times New Roman"/>
          <w:szCs w:val="21"/>
          <w:lang w:val="en-US" w:eastAsia="zh-CN"/>
        </w:rPr>
        <w:t>》中提出：要提升乡村产业发展质效。聚焦品种品质品牌，推进标准化、规模化、绿色化、市场化，发展壮大茶叶、辣椒、刺梨、蔬菜、中药材等种植业，农业特色优势产业产值增长4%左右。</w:t>
      </w:r>
    </w:p>
    <w:p w14:paraId="1695CDC5">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通过政策体系</w:t>
      </w:r>
      <w:r>
        <w:rPr>
          <w:rFonts w:hint="eastAsia" w:cs="Times New Roman"/>
          <w:szCs w:val="21"/>
          <w:lang w:val="en-US" w:eastAsia="zh-CN"/>
        </w:rPr>
        <w:t>“</w:t>
      </w:r>
      <w:r>
        <w:rPr>
          <w:rFonts w:hint="default" w:ascii="Times New Roman" w:hAnsi="Times New Roman" w:eastAsia="宋体" w:cs="Times New Roman"/>
          <w:szCs w:val="21"/>
          <w:lang w:val="en-US" w:eastAsia="zh-CN"/>
        </w:rPr>
        <w:t>自上而下</w:t>
      </w:r>
      <w:r>
        <w:rPr>
          <w:rFonts w:hint="eastAsia" w:cs="Times New Roman"/>
          <w:szCs w:val="21"/>
          <w:lang w:val="en-US" w:eastAsia="zh-CN"/>
        </w:rPr>
        <w:t>”</w:t>
      </w:r>
      <w:r>
        <w:rPr>
          <w:rFonts w:hint="default" w:ascii="Times New Roman" w:hAnsi="Times New Roman" w:eastAsia="宋体" w:cs="Times New Roman"/>
          <w:szCs w:val="21"/>
          <w:lang w:val="en-US" w:eastAsia="zh-CN"/>
        </w:rPr>
        <w:t>的牵引，贵州将气候资源转化为品牌价值，实现了从</w:t>
      </w:r>
      <w:r>
        <w:rPr>
          <w:rFonts w:hint="eastAsia" w:cs="Times New Roman"/>
          <w:szCs w:val="21"/>
          <w:lang w:val="en-US" w:eastAsia="zh-CN"/>
        </w:rPr>
        <w:t>“</w:t>
      </w:r>
      <w:r>
        <w:rPr>
          <w:rFonts w:hint="default" w:ascii="Times New Roman" w:hAnsi="Times New Roman" w:eastAsia="宋体" w:cs="Times New Roman"/>
          <w:szCs w:val="21"/>
          <w:lang w:val="en-US" w:eastAsia="zh-CN"/>
        </w:rPr>
        <w:t>靠天吃饭</w:t>
      </w:r>
      <w:r>
        <w:rPr>
          <w:rFonts w:hint="eastAsia" w:cs="Times New Roman"/>
          <w:szCs w:val="21"/>
          <w:lang w:val="en-US" w:eastAsia="zh-CN"/>
        </w:rPr>
        <w:t>”</w:t>
      </w:r>
      <w:r>
        <w:rPr>
          <w:rFonts w:hint="default" w:ascii="Times New Roman" w:hAnsi="Times New Roman" w:eastAsia="宋体" w:cs="Times New Roman"/>
          <w:szCs w:val="21"/>
          <w:lang w:val="en-US" w:eastAsia="zh-CN"/>
        </w:rPr>
        <w:t>到</w:t>
      </w:r>
      <w:r>
        <w:rPr>
          <w:rFonts w:hint="eastAsia" w:cs="Times New Roman"/>
          <w:szCs w:val="21"/>
          <w:lang w:val="en-US" w:eastAsia="zh-CN"/>
        </w:rPr>
        <w:t>“</w:t>
      </w:r>
      <w:r>
        <w:rPr>
          <w:rFonts w:hint="default" w:ascii="Times New Roman" w:hAnsi="Times New Roman" w:eastAsia="宋体" w:cs="Times New Roman"/>
          <w:szCs w:val="21"/>
          <w:lang w:val="en-US" w:eastAsia="zh-CN"/>
        </w:rPr>
        <w:t>借天致富</w:t>
      </w:r>
      <w:r>
        <w:rPr>
          <w:rFonts w:hint="eastAsia" w:cs="Times New Roman"/>
          <w:szCs w:val="21"/>
          <w:lang w:val="en-US" w:eastAsia="zh-CN"/>
        </w:rPr>
        <w:t>”</w:t>
      </w:r>
      <w:r>
        <w:rPr>
          <w:rFonts w:hint="default" w:ascii="Times New Roman" w:hAnsi="Times New Roman" w:eastAsia="宋体" w:cs="Times New Roman"/>
          <w:szCs w:val="21"/>
          <w:lang w:val="en-US" w:eastAsia="zh-CN"/>
        </w:rPr>
        <w:t>的转型升级。</w:t>
      </w:r>
    </w:p>
    <w:p w14:paraId="31374914">
      <w:pPr>
        <w:spacing w:line="360" w:lineRule="auto"/>
        <w:jc w:val="left"/>
        <w:rPr>
          <w:rFonts w:hint="default" w:ascii="Times New Roman" w:hAnsi="Times New Roman" w:cs="Times New Roman" w:eastAsiaTheme="minorEastAsia"/>
          <w:b/>
          <w:color w:val="000000"/>
          <w:kern w:val="0"/>
          <w:szCs w:val="21"/>
          <w:lang w:val="en-US" w:eastAsia="zh-CN"/>
        </w:rPr>
      </w:pPr>
      <w:r>
        <w:rPr>
          <w:rFonts w:hint="eastAsia" w:ascii="Times New Roman" w:hAnsi="Times New Roman" w:cs="Times New Roman" w:eastAsiaTheme="minorEastAsia"/>
          <w:b/>
          <w:color w:val="000000"/>
          <w:kern w:val="0"/>
          <w:szCs w:val="21"/>
          <w:lang w:val="en-US" w:eastAsia="zh-CN"/>
        </w:rPr>
        <w:t>（三）贵州农产品气候品质评价标准及规范存在空白。</w:t>
      </w:r>
    </w:p>
    <w:p w14:paraId="42311EC3">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目前，</w:t>
      </w:r>
      <w:r>
        <w:rPr>
          <w:rFonts w:hint="eastAsia" w:cs="Times New Roman"/>
          <w:szCs w:val="21"/>
          <w:lang w:val="en-US" w:eastAsia="zh-CN"/>
        </w:rPr>
        <w:t>中国气象局与2019年印发实施了《农产品气候品质认证技术规范》（QX/T 486-2019），但标准中未对认证流程进行规范，也没有对报告格式和等级标识进行规范。黑龙江、重庆、江苏、湖南、内蒙古、新疆等地也陆续出台了与气候品质评价的相关的不同作物气候品质认证的地方标准，而贵州未有相关</w:t>
      </w:r>
      <w:r>
        <w:rPr>
          <w:rFonts w:hint="eastAsia" w:ascii="Times New Roman" w:hAnsi="Times New Roman" w:eastAsia="宋体" w:cs="Times New Roman"/>
          <w:szCs w:val="21"/>
          <w:lang w:val="en-US" w:eastAsia="zh-CN"/>
        </w:rPr>
        <w:t>评价标准</w:t>
      </w:r>
      <w:r>
        <w:rPr>
          <w:rFonts w:hint="eastAsia" w:cs="Times New Roman"/>
          <w:szCs w:val="21"/>
          <w:lang w:val="en-US" w:eastAsia="zh-CN"/>
        </w:rPr>
        <w:t>或</w:t>
      </w:r>
      <w:r>
        <w:rPr>
          <w:rFonts w:hint="eastAsia" w:ascii="Times New Roman" w:hAnsi="Times New Roman" w:eastAsia="宋体" w:cs="Times New Roman"/>
          <w:szCs w:val="21"/>
          <w:lang w:val="en-US" w:eastAsia="zh-CN"/>
        </w:rPr>
        <w:t>规范</w:t>
      </w:r>
      <w:bookmarkStart w:id="41" w:name="_GoBack"/>
      <w:bookmarkEnd w:id="41"/>
      <w:r>
        <w:rPr>
          <w:rFonts w:hint="eastAsia" w:ascii="Times New Roman" w:hAnsi="Times New Roman" w:eastAsia="宋体" w:cs="Times New Roman"/>
          <w:szCs w:val="21"/>
          <w:lang w:val="en-US" w:eastAsia="zh-CN"/>
        </w:rPr>
        <w:t>。这导致在实际操作中，缺乏统一、科学的评价依据，难以准确、客观地反映农产品的气候品质，影响了贵州农产品品牌的进一步提升和市场竞争力</w:t>
      </w:r>
      <w:r>
        <w:rPr>
          <w:rFonts w:hint="eastAsia" w:cs="Times New Roman"/>
          <w:szCs w:val="21"/>
          <w:lang w:val="en-US" w:eastAsia="zh-CN"/>
        </w:rPr>
        <w:t>，同时，多数农产品品质评价技术规范多适用于种植业农产，鲜少见到对于养殖业的评价规范</w:t>
      </w:r>
      <w:r>
        <w:rPr>
          <w:rFonts w:hint="eastAsia" w:ascii="Times New Roman" w:hAnsi="Times New Roman" w:eastAsia="宋体" w:cs="Times New Roman"/>
          <w:szCs w:val="21"/>
          <w:lang w:val="en-US" w:eastAsia="zh-CN"/>
        </w:rPr>
        <w:t>。因此，制定《农产品气候品质评价服务规范》显得尤为迫切和重要，将填补这一空白，为贵州农产品气候品质评价提供科学依据和技术支撑，推动贵州特色农业持续健康发展。</w:t>
      </w:r>
    </w:p>
    <w:p w14:paraId="7B88722A">
      <w:pPr>
        <w:spacing w:line="360" w:lineRule="auto"/>
        <w:jc w:val="left"/>
        <w:rPr>
          <w:rFonts w:hint="eastAsia" w:ascii="Times New Roman" w:hAnsi="Times New Roman" w:cs="Times New Roman" w:eastAsiaTheme="minorEastAsia"/>
          <w:b/>
          <w:color w:val="000000"/>
          <w:kern w:val="0"/>
          <w:szCs w:val="21"/>
        </w:rPr>
      </w:pPr>
      <w:r>
        <w:rPr>
          <w:rFonts w:hint="eastAsia" w:cs="Times New Roman" w:eastAsiaTheme="minorEastAsia"/>
          <w:b/>
          <w:color w:val="000000"/>
          <w:kern w:val="0"/>
          <w:szCs w:val="21"/>
          <w:lang w:val="en-US" w:eastAsia="zh-CN"/>
        </w:rPr>
        <w:t>二、</w:t>
      </w:r>
      <w:r>
        <w:rPr>
          <w:rFonts w:hint="eastAsia" w:ascii="Times New Roman" w:hAnsi="Times New Roman" w:cs="Times New Roman" w:eastAsiaTheme="minorEastAsia"/>
          <w:b/>
          <w:color w:val="000000"/>
          <w:kern w:val="0"/>
          <w:szCs w:val="21"/>
        </w:rPr>
        <w:t>工作简况</w:t>
      </w:r>
    </w:p>
    <w:p w14:paraId="0F5A07C9">
      <w:pPr>
        <w:spacing w:line="360" w:lineRule="auto"/>
        <w:jc w:val="left"/>
        <w:rPr>
          <w:rFonts w:hint="eastAsia" w:ascii="Times New Roman" w:hAnsi="Times New Roman" w:cs="Times New Roman" w:eastAsiaTheme="minorEastAsia"/>
          <w:b/>
          <w:color w:val="000000"/>
          <w:kern w:val="0"/>
          <w:szCs w:val="21"/>
          <w:lang w:val="en-US" w:eastAsia="zh-CN"/>
        </w:rPr>
      </w:pPr>
      <w:r>
        <w:rPr>
          <w:rFonts w:hint="eastAsia" w:ascii="Times New Roman" w:hAnsi="Times New Roman" w:cs="Times New Roman" w:eastAsiaTheme="minorEastAsia"/>
          <w:b/>
          <w:color w:val="000000"/>
          <w:kern w:val="0"/>
          <w:szCs w:val="21"/>
          <w:lang w:val="en-US" w:eastAsia="zh-CN"/>
        </w:rPr>
        <w:t xml:space="preserve"> （一）任务来源</w:t>
      </w:r>
    </w:p>
    <w:p w14:paraId="00309F94">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按照《贵州省气象学会关于征集2025年团体标准的通知》</w:t>
      </w:r>
      <w:bookmarkStart w:id="0" w:name="文号"/>
      <w:r>
        <w:rPr>
          <w:rFonts w:hint="eastAsia" w:ascii="Times New Roman" w:hAnsi="Times New Roman" w:eastAsia="宋体" w:cs="Times New Roman"/>
          <w:szCs w:val="21"/>
          <w:lang w:val="en-US" w:eastAsia="zh-CN"/>
        </w:rPr>
        <w:t>黔气会发〔2025〕1号</w:t>
      </w:r>
      <w:bookmarkEnd w:id="0"/>
      <w:r>
        <w:rPr>
          <w:rFonts w:hint="eastAsia" w:ascii="Times New Roman" w:hAnsi="Times New Roman" w:eastAsia="宋体" w:cs="Times New Roman"/>
          <w:szCs w:val="21"/>
          <w:lang w:val="en-US" w:eastAsia="zh-CN"/>
        </w:rPr>
        <w:t>以及对相关农业产业协会和企业的调研需求，制定《农产品气候品质评价技术规范》草案，由贵州省气象标准化技术委员会提出并归口，由贵州省生态与农业气象中心起草完成。</w:t>
      </w:r>
    </w:p>
    <w:p w14:paraId="2B3C0CAC">
      <w:pPr>
        <w:spacing w:line="360" w:lineRule="auto"/>
        <w:jc w:val="left"/>
        <w:rPr>
          <w:rFonts w:hint="eastAsia" w:ascii="Times New Roman" w:hAnsi="Times New Roman" w:cs="Times New Roman" w:eastAsiaTheme="minorEastAsia"/>
          <w:b/>
          <w:color w:val="000000"/>
          <w:kern w:val="0"/>
          <w:szCs w:val="21"/>
          <w:lang w:val="en-US" w:eastAsia="zh-CN"/>
        </w:rPr>
      </w:pPr>
      <w:r>
        <w:rPr>
          <w:rFonts w:hint="eastAsia" w:ascii="Times New Roman" w:hAnsi="Times New Roman" w:cs="Times New Roman" w:eastAsiaTheme="minorEastAsia"/>
          <w:b/>
          <w:color w:val="000000"/>
          <w:kern w:val="0"/>
          <w:szCs w:val="21"/>
          <w:lang w:val="en-US" w:eastAsia="zh-CN"/>
        </w:rPr>
        <w:t>（二）协作单位</w:t>
      </w:r>
    </w:p>
    <w:p w14:paraId="67787A05">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贵州省山地气象科研所。</w:t>
      </w:r>
    </w:p>
    <w:p w14:paraId="4A0A0AD4">
      <w:pPr>
        <w:spacing w:line="360" w:lineRule="auto"/>
        <w:jc w:val="left"/>
        <w:rPr>
          <w:rFonts w:hint="default" w:ascii="Times New Roman" w:hAnsi="Times New Roman" w:cs="Times New Roman" w:eastAsiaTheme="minorEastAsia"/>
          <w:b/>
          <w:color w:val="000000"/>
          <w:kern w:val="0"/>
          <w:szCs w:val="21"/>
          <w:lang w:val="en-US" w:eastAsia="zh-CN"/>
        </w:rPr>
      </w:pPr>
      <w:r>
        <w:rPr>
          <w:rFonts w:hint="eastAsia" w:ascii="Times New Roman" w:hAnsi="Times New Roman" w:cs="Times New Roman" w:eastAsiaTheme="minorEastAsia"/>
          <w:b/>
          <w:color w:val="000000"/>
          <w:kern w:val="0"/>
          <w:szCs w:val="21"/>
          <w:lang w:val="en-US" w:eastAsia="zh-CN"/>
        </w:rPr>
        <w:t>（三）主要工作过程</w:t>
      </w:r>
    </w:p>
    <w:p w14:paraId="318521C8">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2024年8月：修订《贵州省农产品气候品质认证工作暂行规定》并编制《贵州省农产品气候品质服务工作实施细则》（试行）</w:t>
      </w:r>
    </w:p>
    <w:p w14:paraId="4EA22C40">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2024年10月-12月：编写小组确定农产品气候品质评价编制技术方案；并开展18个气候品质评价工作。</w:t>
      </w:r>
    </w:p>
    <w:p w14:paraId="69E1B9D4">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2024年12月-2025年4月：多次与贵州省品牌建设促进会进行对接，就如何深入挖掘贵州气候优势和特色优质产品品质特色进行多次研讨，并分别与茶产业协会、辣椒产业协会、多家涉农企业开展调研，了解气候品质评价工作对品牌增值的作用，明确气候品质评价的侧重方向。</w:t>
      </w:r>
    </w:p>
    <w:p w14:paraId="2E68A979">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2025年3月-4月：根据需求完成了《农产品气候品质评价技术规范》（草案）编制计划及编制大纲，</w:t>
      </w:r>
    </w:p>
    <w:p w14:paraId="09278277">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2025年4月：编写小组完成</w:t>
      </w:r>
      <w:r>
        <w:rPr>
          <w:rFonts w:hint="eastAsia" w:cs="Times New Roman"/>
          <w:szCs w:val="21"/>
          <w:lang w:val="en-US" w:eastAsia="zh-CN"/>
        </w:rPr>
        <w:t>“</w:t>
      </w:r>
      <w:r>
        <w:rPr>
          <w:rFonts w:hint="eastAsia" w:ascii="Times New Roman" w:hAnsi="Times New Roman" w:eastAsia="宋体" w:cs="Times New Roman"/>
          <w:szCs w:val="21"/>
          <w:lang w:val="en-US" w:eastAsia="zh-CN"/>
        </w:rPr>
        <w:t>标准</w:t>
      </w:r>
      <w:r>
        <w:rPr>
          <w:rFonts w:hint="eastAsia" w:cs="Times New Roman"/>
          <w:szCs w:val="21"/>
          <w:lang w:val="en-US" w:eastAsia="zh-CN"/>
        </w:rPr>
        <w:t>”</w:t>
      </w:r>
      <w:r>
        <w:rPr>
          <w:rFonts w:hint="eastAsia" w:ascii="Times New Roman" w:hAnsi="Times New Roman" w:eastAsia="宋体" w:cs="Times New Roman"/>
          <w:szCs w:val="21"/>
          <w:lang w:val="en-US" w:eastAsia="zh-CN"/>
        </w:rPr>
        <w:t>修订初稿，并多次修改。</w:t>
      </w:r>
    </w:p>
    <w:p w14:paraId="08DA5C19">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2025年4月11日：贵州省生态与农业气象中心组织专家对标准进行初审审定。</w:t>
      </w:r>
    </w:p>
    <w:p w14:paraId="02ACD274">
      <w:pPr>
        <w:spacing w:line="360" w:lineRule="auto"/>
        <w:jc w:val="left"/>
        <w:rPr>
          <w:rFonts w:hint="eastAsia" w:ascii="Times New Roman" w:hAnsi="Times New Roman"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（四）</w:t>
      </w:r>
      <w:r>
        <w:rPr>
          <w:rFonts w:hint="eastAsia" w:ascii="Times New Roman" w:hAnsi="Times New Roman" w:cs="Times New Roman" w:eastAsiaTheme="minorEastAsia"/>
          <w:b/>
          <w:color w:val="000000"/>
          <w:kern w:val="0"/>
          <w:szCs w:val="21"/>
          <w:lang w:val="en-US" w:eastAsia="zh-CN"/>
        </w:rPr>
        <w:t>标准主要起草人及其所做的工作</w:t>
      </w:r>
    </w:p>
    <w:tbl>
      <w:tblPr>
        <w:tblStyle w:val="8"/>
        <w:tblW w:w="0" w:type="auto"/>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42"/>
        <w:gridCol w:w="3075"/>
        <w:gridCol w:w="1172"/>
        <w:gridCol w:w="2841"/>
      </w:tblGrid>
      <w:tr w14:paraId="4B86DC20">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tcBorders>
              <w:bottom w:val="single" w:color="008000" w:sz="6" w:space="0"/>
            </w:tcBorders>
            <w:shd w:val="clear" w:color="auto" w:fill="auto"/>
          </w:tcPr>
          <w:p w14:paraId="5A6ACC18">
            <w:pPr>
              <w:spacing w:line="276" w:lineRule="auto"/>
              <w:jc w:val="center"/>
              <w:rPr>
                <w:rFonts w:ascii="Times New Roman" w:hAnsi="Times New Roman" w:cs="Times New Roman"/>
                <w:szCs w:val="21"/>
              </w:rPr>
            </w:pPr>
            <w:r>
              <w:rPr>
                <w:rFonts w:ascii="Times New Roman" w:hAnsi="Times New Roman" w:cs="Times New Roman"/>
                <w:szCs w:val="21"/>
              </w:rPr>
              <w:t>姓名</w:t>
            </w:r>
          </w:p>
        </w:tc>
        <w:tc>
          <w:tcPr>
            <w:tcW w:w="3075" w:type="dxa"/>
            <w:tcBorders>
              <w:bottom w:val="single" w:color="008000" w:sz="6" w:space="0"/>
            </w:tcBorders>
            <w:shd w:val="clear" w:color="auto" w:fill="auto"/>
          </w:tcPr>
          <w:p w14:paraId="0022D4A6">
            <w:pPr>
              <w:spacing w:line="276" w:lineRule="auto"/>
              <w:jc w:val="center"/>
              <w:rPr>
                <w:rFonts w:ascii="Times New Roman" w:hAnsi="Times New Roman" w:cs="Times New Roman"/>
                <w:szCs w:val="21"/>
              </w:rPr>
            </w:pPr>
            <w:r>
              <w:rPr>
                <w:rFonts w:ascii="Times New Roman" w:hAnsi="Times New Roman" w:cs="Times New Roman"/>
                <w:szCs w:val="21"/>
              </w:rPr>
              <w:t>工作单位</w:t>
            </w:r>
          </w:p>
        </w:tc>
        <w:tc>
          <w:tcPr>
            <w:tcW w:w="1172" w:type="dxa"/>
            <w:tcBorders>
              <w:bottom w:val="single" w:color="008000" w:sz="6" w:space="0"/>
            </w:tcBorders>
            <w:shd w:val="clear" w:color="auto" w:fill="auto"/>
          </w:tcPr>
          <w:p w14:paraId="25401F29">
            <w:pPr>
              <w:spacing w:line="276" w:lineRule="auto"/>
              <w:jc w:val="center"/>
              <w:rPr>
                <w:rFonts w:ascii="Times New Roman" w:hAnsi="Times New Roman" w:cs="Times New Roman"/>
                <w:szCs w:val="21"/>
              </w:rPr>
            </w:pPr>
            <w:r>
              <w:rPr>
                <w:rFonts w:ascii="Times New Roman" w:hAnsi="Times New Roman" w:cs="Times New Roman"/>
                <w:szCs w:val="21"/>
              </w:rPr>
              <w:t>职称</w:t>
            </w:r>
          </w:p>
        </w:tc>
        <w:tc>
          <w:tcPr>
            <w:tcW w:w="2841" w:type="dxa"/>
            <w:tcBorders>
              <w:bottom w:val="single" w:color="008000" w:sz="6" w:space="0"/>
            </w:tcBorders>
            <w:shd w:val="clear" w:color="auto" w:fill="auto"/>
          </w:tcPr>
          <w:p w14:paraId="445F87D9">
            <w:pPr>
              <w:spacing w:line="276" w:lineRule="auto"/>
              <w:jc w:val="center"/>
              <w:rPr>
                <w:rFonts w:ascii="Times New Roman" w:hAnsi="Times New Roman" w:cs="Times New Roman"/>
                <w:szCs w:val="21"/>
              </w:rPr>
            </w:pPr>
            <w:r>
              <w:rPr>
                <w:rFonts w:ascii="Times New Roman" w:hAnsi="Times New Roman" w:cs="Times New Roman"/>
                <w:szCs w:val="21"/>
              </w:rPr>
              <w:t>所做工作</w:t>
            </w:r>
          </w:p>
        </w:tc>
      </w:tr>
      <w:tr w14:paraId="175B6913">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3ADFCAE8">
            <w:pPr>
              <w:spacing w:line="276" w:lineRule="auto"/>
              <w:jc w:val="center"/>
              <w:rPr>
                <w:rFonts w:hint="default" w:ascii="Times New Roman" w:hAnsi="Times New Roman" w:eastAsia="宋体" w:cs="Times New Roman"/>
                <w:szCs w:val="21"/>
                <w:lang w:val="en-US" w:eastAsia="zh-CN"/>
              </w:rPr>
            </w:pPr>
            <w:r>
              <w:rPr>
                <w:rFonts w:hint="eastAsia" w:cs="Times New Roman"/>
                <w:szCs w:val="21"/>
                <w:lang w:val="en-US" w:eastAsia="zh-CN"/>
              </w:rPr>
              <w:t>付芳婧</w:t>
            </w:r>
          </w:p>
        </w:tc>
        <w:tc>
          <w:tcPr>
            <w:tcW w:w="3075" w:type="dxa"/>
            <w:shd w:val="clear" w:color="auto" w:fill="auto"/>
            <w:vAlign w:val="center"/>
          </w:tcPr>
          <w:p w14:paraId="389D5F43">
            <w:pPr>
              <w:spacing w:line="276" w:lineRule="auto"/>
              <w:jc w:val="center"/>
              <w:rPr>
                <w:rFonts w:hint="default" w:ascii="Times New Roman" w:hAnsi="Times New Roman" w:eastAsia="宋体" w:cs="Times New Roman"/>
                <w:szCs w:val="21"/>
                <w:lang w:val="en-US" w:eastAsia="zh-CN"/>
              </w:rPr>
            </w:pPr>
            <w:r>
              <w:rPr>
                <w:rFonts w:hint="eastAsia" w:cs="Times New Roman"/>
                <w:szCs w:val="21"/>
                <w:lang w:val="en-US" w:eastAsia="zh-CN"/>
              </w:rPr>
              <w:t>贵州省生态与农业气象中心</w:t>
            </w:r>
          </w:p>
        </w:tc>
        <w:tc>
          <w:tcPr>
            <w:tcW w:w="1172" w:type="dxa"/>
            <w:shd w:val="clear" w:color="auto" w:fill="auto"/>
            <w:vAlign w:val="center"/>
          </w:tcPr>
          <w:p w14:paraId="60A7C7BD">
            <w:pPr>
              <w:spacing w:line="276" w:lineRule="auto"/>
              <w:jc w:val="center"/>
              <w:rPr>
                <w:rFonts w:hint="eastAsia" w:ascii="Times New Roman" w:hAnsi="Times New Roman" w:eastAsia="宋体" w:cs="Times New Roman"/>
                <w:szCs w:val="21"/>
                <w:lang w:val="en-US" w:eastAsia="zh-CN"/>
              </w:rPr>
            </w:pPr>
            <w:r>
              <w:rPr>
                <w:rFonts w:hint="eastAsia" w:cs="Times New Roman"/>
                <w:szCs w:val="21"/>
                <w:lang w:val="en-US" w:eastAsia="zh-CN"/>
              </w:rPr>
              <w:t>副高</w:t>
            </w:r>
          </w:p>
        </w:tc>
        <w:tc>
          <w:tcPr>
            <w:tcW w:w="2841" w:type="dxa"/>
            <w:shd w:val="clear" w:color="auto" w:fill="auto"/>
            <w:vAlign w:val="center"/>
          </w:tcPr>
          <w:p w14:paraId="2581E3F2">
            <w:pPr>
              <w:spacing w:line="276" w:lineRule="auto"/>
              <w:jc w:val="center"/>
              <w:rPr>
                <w:rFonts w:ascii="Times New Roman" w:hAnsi="Times New Roman" w:cs="Times New Roman"/>
                <w:szCs w:val="21"/>
              </w:rPr>
            </w:pPr>
            <w:r>
              <w:rPr>
                <w:rFonts w:ascii="Times New Roman" w:hAnsi="Times New Roman" w:cs="Times New Roman"/>
                <w:szCs w:val="21"/>
              </w:rPr>
              <w:t>主持、审核修订</w:t>
            </w:r>
            <w:r>
              <w:rPr>
                <w:rFonts w:hint="eastAsia" w:cs="Times New Roman"/>
                <w:szCs w:val="21"/>
                <w:lang w:eastAsia="zh-CN"/>
              </w:rPr>
              <w:t>、</w:t>
            </w:r>
            <w:r>
              <w:rPr>
                <w:rFonts w:ascii="Times New Roman" w:hAnsi="Times New Roman" w:cs="Times New Roman"/>
                <w:szCs w:val="21"/>
              </w:rPr>
              <w:t>模型</w:t>
            </w:r>
            <w:r>
              <w:rPr>
                <w:rFonts w:hint="eastAsia" w:ascii="Times New Roman" w:hAnsi="Times New Roman" w:cs="Times New Roman"/>
                <w:szCs w:val="21"/>
                <w:lang w:val="en-US" w:eastAsia="zh-CN"/>
              </w:rPr>
              <w:t>构建</w:t>
            </w:r>
          </w:p>
        </w:tc>
      </w:tr>
      <w:tr w14:paraId="24E8E3A5">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0C69EC3F">
            <w:pPr>
              <w:spacing w:line="276" w:lineRule="auto"/>
              <w:jc w:val="center"/>
              <w:rPr>
                <w:rFonts w:hint="default" w:ascii="Times New Roman" w:hAnsi="Times New Roman" w:eastAsia="宋体" w:cs="Times New Roman"/>
                <w:szCs w:val="21"/>
                <w:lang w:val="en-US" w:eastAsia="zh-CN"/>
              </w:rPr>
            </w:pPr>
            <w:r>
              <w:rPr>
                <w:rFonts w:hint="eastAsia" w:cs="Times New Roman"/>
                <w:szCs w:val="21"/>
                <w:lang w:val="en-US" w:eastAsia="zh-CN"/>
              </w:rPr>
              <w:t>崔蕾</w:t>
            </w:r>
          </w:p>
        </w:tc>
        <w:tc>
          <w:tcPr>
            <w:tcW w:w="3075" w:type="dxa"/>
            <w:shd w:val="clear" w:color="auto" w:fill="auto"/>
            <w:vAlign w:val="center"/>
          </w:tcPr>
          <w:p w14:paraId="1D2E1C81">
            <w:pPr>
              <w:spacing w:line="276" w:lineRule="auto"/>
              <w:jc w:val="center"/>
              <w:rPr>
                <w:rFonts w:ascii="Times New Roman" w:hAnsi="Times New Roman" w:cs="Times New Roman"/>
                <w:szCs w:val="21"/>
              </w:rPr>
            </w:pPr>
            <w:r>
              <w:rPr>
                <w:rFonts w:hint="eastAsia" w:cs="Times New Roman"/>
                <w:szCs w:val="21"/>
                <w:lang w:val="en-US" w:eastAsia="zh-CN"/>
              </w:rPr>
              <w:t>贵州省生态与农业气象中心</w:t>
            </w:r>
          </w:p>
        </w:tc>
        <w:tc>
          <w:tcPr>
            <w:tcW w:w="1172" w:type="dxa"/>
            <w:shd w:val="clear" w:color="auto" w:fill="auto"/>
            <w:vAlign w:val="center"/>
          </w:tcPr>
          <w:p w14:paraId="3AA98A15">
            <w:pPr>
              <w:spacing w:line="276" w:lineRule="auto"/>
              <w:jc w:val="center"/>
              <w:rPr>
                <w:rFonts w:hint="eastAsia" w:ascii="Times New Roman" w:hAnsi="Times New Roman" w:eastAsia="宋体" w:cs="Times New Roman"/>
                <w:szCs w:val="21"/>
                <w:lang w:val="en-US" w:eastAsia="zh-CN"/>
              </w:rPr>
            </w:pPr>
            <w:r>
              <w:rPr>
                <w:rFonts w:hint="eastAsia" w:cs="Times New Roman"/>
                <w:szCs w:val="21"/>
                <w:lang w:val="en-US" w:eastAsia="zh-CN"/>
              </w:rPr>
              <w:t>工程师</w:t>
            </w:r>
          </w:p>
        </w:tc>
        <w:tc>
          <w:tcPr>
            <w:tcW w:w="2841" w:type="dxa"/>
            <w:shd w:val="clear" w:color="auto" w:fill="auto"/>
            <w:vAlign w:val="center"/>
          </w:tcPr>
          <w:p w14:paraId="6674E3C6">
            <w:pPr>
              <w:spacing w:line="276" w:lineRule="auto"/>
              <w:jc w:val="center"/>
              <w:rPr>
                <w:rFonts w:ascii="Times New Roman" w:hAnsi="Times New Roman" w:cs="Times New Roman"/>
                <w:szCs w:val="21"/>
              </w:rPr>
            </w:pPr>
            <w:r>
              <w:rPr>
                <w:rFonts w:ascii="Times New Roman" w:hAnsi="Times New Roman" w:cs="Times New Roman"/>
                <w:szCs w:val="21"/>
              </w:rPr>
              <w:t>标准编制说明、修订</w:t>
            </w:r>
          </w:p>
        </w:tc>
      </w:tr>
      <w:tr w14:paraId="51998F1A">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6DFF21F7">
            <w:pPr>
              <w:spacing w:line="276" w:lineRule="auto"/>
              <w:jc w:val="center"/>
              <w:rPr>
                <w:rFonts w:ascii="Times New Roman" w:hAnsi="Times New Roman" w:cs="Times New Roman"/>
                <w:szCs w:val="21"/>
              </w:rPr>
            </w:pPr>
            <w:r>
              <w:rPr>
                <w:rFonts w:hint="eastAsia" w:ascii="Times New Roman" w:hAnsi="Times New Roman" w:cs="Times New Roman"/>
                <w:szCs w:val="21"/>
              </w:rPr>
              <w:t>古书鸿</w:t>
            </w:r>
          </w:p>
        </w:tc>
        <w:tc>
          <w:tcPr>
            <w:tcW w:w="3075" w:type="dxa"/>
            <w:shd w:val="clear" w:color="auto" w:fill="auto"/>
            <w:vAlign w:val="center"/>
          </w:tcPr>
          <w:p w14:paraId="7EB77B0F">
            <w:pPr>
              <w:spacing w:line="276" w:lineRule="auto"/>
              <w:jc w:val="center"/>
              <w:rPr>
                <w:rFonts w:ascii="Times New Roman" w:hAnsi="Times New Roman" w:cs="Times New Roman"/>
                <w:szCs w:val="21"/>
              </w:rPr>
            </w:pPr>
            <w:r>
              <w:rPr>
                <w:rFonts w:hint="eastAsia" w:cs="Times New Roman"/>
                <w:szCs w:val="21"/>
                <w:lang w:val="en-US" w:eastAsia="zh-CN"/>
              </w:rPr>
              <w:t>贵州省生态与农业气象中心</w:t>
            </w:r>
          </w:p>
        </w:tc>
        <w:tc>
          <w:tcPr>
            <w:tcW w:w="1172" w:type="dxa"/>
            <w:shd w:val="clear" w:color="auto" w:fill="auto"/>
            <w:vAlign w:val="center"/>
          </w:tcPr>
          <w:p w14:paraId="4120B598">
            <w:pPr>
              <w:spacing w:line="276" w:lineRule="auto"/>
              <w:jc w:val="center"/>
              <w:rPr>
                <w:rFonts w:hint="eastAsia" w:ascii="Times New Roman" w:hAnsi="Times New Roman" w:eastAsia="宋体" w:cs="Times New Roman"/>
                <w:szCs w:val="21"/>
                <w:lang w:val="en-US" w:eastAsia="zh-CN"/>
              </w:rPr>
            </w:pPr>
            <w:r>
              <w:rPr>
                <w:rFonts w:hint="eastAsia" w:cs="Times New Roman"/>
                <w:szCs w:val="21"/>
                <w:lang w:val="en-US" w:eastAsia="zh-CN"/>
              </w:rPr>
              <w:t>正高</w:t>
            </w:r>
          </w:p>
        </w:tc>
        <w:tc>
          <w:tcPr>
            <w:tcW w:w="2841" w:type="dxa"/>
            <w:shd w:val="clear" w:color="auto" w:fill="auto"/>
            <w:vAlign w:val="center"/>
          </w:tcPr>
          <w:p w14:paraId="74CE92BF">
            <w:pPr>
              <w:spacing w:line="276" w:lineRule="auto"/>
              <w:jc w:val="center"/>
              <w:rPr>
                <w:rFonts w:ascii="Times New Roman" w:hAnsi="Times New Roman" w:cs="Times New Roman"/>
                <w:szCs w:val="21"/>
              </w:rPr>
            </w:pPr>
            <w:r>
              <w:rPr>
                <w:rFonts w:ascii="Times New Roman" w:hAnsi="Times New Roman" w:cs="Times New Roman"/>
                <w:szCs w:val="21"/>
              </w:rPr>
              <w:t>标准修订</w:t>
            </w:r>
          </w:p>
        </w:tc>
      </w:tr>
      <w:tr w14:paraId="0AA6BCBF">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782611FB">
            <w:pPr>
              <w:spacing w:line="276" w:lineRule="auto"/>
              <w:jc w:val="center"/>
              <w:rPr>
                <w:rFonts w:ascii="Times New Roman" w:hAnsi="Times New Roman" w:cs="Times New Roman"/>
                <w:szCs w:val="21"/>
              </w:rPr>
            </w:pPr>
            <w:r>
              <w:rPr>
                <w:rFonts w:hint="eastAsia" w:ascii="Times New Roman" w:hAnsi="Times New Roman" w:cs="Times New Roman"/>
                <w:szCs w:val="21"/>
              </w:rPr>
              <w:t>左晋</w:t>
            </w:r>
          </w:p>
        </w:tc>
        <w:tc>
          <w:tcPr>
            <w:tcW w:w="3075" w:type="dxa"/>
            <w:shd w:val="clear" w:color="auto" w:fill="auto"/>
            <w:vAlign w:val="center"/>
          </w:tcPr>
          <w:p w14:paraId="62228BE2">
            <w:pPr>
              <w:spacing w:line="276" w:lineRule="auto"/>
              <w:jc w:val="center"/>
              <w:rPr>
                <w:rFonts w:ascii="Times New Roman" w:hAnsi="Times New Roman" w:cs="Times New Roman"/>
                <w:szCs w:val="21"/>
              </w:rPr>
            </w:pPr>
            <w:r>
              <w:rPr>
                <w:rFonts w:hint="eastAsia" w:cs="Times New Roman"/>
                <w:szCs w:val="21"/>
                <w:lang w:val="en-US" w:eastAsia="zh-CN"/>
              </w:rPr>
              <w:t>贵州省生态与农业气象中心</w:t>
            </w:r>
          </w:p>
        </w:tc>
        <w:tc>
          <w:tcPr>
            <w:tcW w:w="1172" w:type="dxa"/>
            <w:shd w:val="clear" w:color="auto" w:fill="auto"/>
            <w:vAlign w:val="center"/>
          </w:tcPr>
          <w:p w14:paraId="36B89A63">
            <w:pPr>
              <w:spacing w:line="276" w:lineRule="auto"/>
              <w:jc w:val="center"/>
              <w:rPr>
                <w:rFonts w:hint="eastAsia" w:ascii="Times New Roman" w:hAnsi="Times New Roman" w:eastAsia="宋体" w:cs="Times New Roman"/>
                <w:szCs w:val="21"/>
                <w:lang w:val="en-US" w:eastAsia="zh-CN"/>
              </w:rPr>
            </w:pPr>
            <w:r>
              <w:rPr>
                <w:rFonts w:hint="eastAsia" w:cs="Times New Roman"/>
                <w:szCs w:val="21"/>
                <w:lang w:val="en-US" w:eastAsia="zh-CN"/>
              </w:rPr>
              <w:t>副高</w:t>
            </w:r>
          </w:p>
        </w:tc>
        <w:tc>
          <w:tcPr>
            <w:tcW w:w="2841" w:type="dxa"/>
            <w:shd w:val="clear" w:color="auto" w:fill="auto"/>
            <w:vAlign w:val="center"/>
          </w:tcPr>
          <w:p w14:paraId="3DF9FB4D">
            <w:pPr>
              <w:spacing w:line="276" w:lineRule="auto"/>
              <w:jc w:val="center"/>
              <w:rPr>
                <w:rFonts w:ascii="Times New Roman" w:hAnsi="Times New Roman" w:cs="Times New Roman"/>
                <w:szCs w:val="21"/>
              </w:rPr>
            </w:pPr>
            <w:r>
              <w:rPr>
                <w:rFonts w:ascii="Times New Roman" w:hAnsi="Times New Roman" w:cs="Times New Roman"/>
                <w:szCs w:val="21"/>
              </w:rPr>
              <w:t>标准修订</w:t>
            </w:r>
          </w:p>
        </w:tc>
      </w:tr>
      <w:tr w14:paraId="5AA91B8A">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78151B41">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徐永灵</w:t>
            </w:r>
          </w:p>
        </w:tc>
        <w:tc>
          <w:tcPr>
            <w:tcW w:w="3075" w:type="dxa"/>
            <w:shd w:val="clear" w:color="auto" w:fill="auto"/>
            <w:vAlign w:val="center"/>
          </w:tcPr>
          <w:p w14:paraId="7966A94B">
            <w:pPr>
              <w:spacing w:line="276" w:lineRule="auto"/>
              <w:jc w:val="center"/>
              <w:rPr>
                <w:rFonts w:ascii="Times New Roman" w:hAnsi="Times New Roman" w:cs="Times New Roman"/>
                <w:szCs w:val="21"/>
              </w:rPr>
            </w:pPr>
            <w:r>
              <w:rPr>
                <w:rFonts w:hint="eastAsia" w:cs="Times New Roman"/>
                <w:szCs w:val="21"/>
                <w:lang w:val="en-US" w:eastAsia="zh-CN"/>
              </w:rPr>
              <w:t>贵州省生态与农业气象中心</w:t>
            </w:r>
          </w:p>
        </w:tc>
        <w:tc>
          <w:tcPr>
            <w:tcW w:w="1172" w:type="dxa"/>
            <w:shd w:val="clear" w:color="auto" w:fill="auto"/>
            <w:vAlign w:val="center"/>
          </w:tcPr>
          <w:p w14:paraId="61B15488">
            <w:pPr>
              <w:spacing w:line="276" w:lineRule="auto"/>
              <w:jc w:val="center"/>
              <w:rPr>
                <w:rFonts w:ascii="Times New Roman" w:hAnsi="Times New Roman" w:cs="Times New Roman"/>
                <w:szCs w:val="21"/>
              </w:rPr>
            </w:pPr>
            <w:r>
              <w:rPr>
                <w:rFonts w:hint="eastAsia" w:cs="Times New Roman"/>
                <w:szCs w:val="21"/>
                <w:lang w:val="en-US" w:eastAsia="zh-CN"/>
              </w:rPr>
              <w:t>副高</w:t>
            </w:r>
          </w:p>
        </w:tc>
        <w:tc>
          <w:tcPr>
            <w:tcW w:w="2841" w:type="dxa"/>
            <w:shd w:val="clear" w:color="auto" w:fill="auto"/>
            <w:vAlign w:val="center"/>
          </w:tcPr>
          <w:p w14:paraId="2756D772">
            <w:pPr>
              <w:spacing w:line="276" w:lineRule="auto"/>
              <w:jc w:val="center"/>
              <w:rPr>
                <w:rFonts w:ascii="Times New Roman" w:hAnsi="Times New Roman" w:cs="Times New Roman"/>
                <w:szCs w:val="21"/>
              </w:rPr>
            </w:pPr>
            <w:r>
              <w:rPr>
                <w:rFonts w:ascii="Times New Roman" w:hAnsi="Times New Roman" w:cs="Times New Roman"/>
                <w:szCs w:val="21"/>
              </w:rPr>
              <w:t>模型</w:t>
            </w:r>
            <w:r>
              <w:rPr>
                <w:rFonts w:hint="eastAsia" w:ascii="Times New Roman" w:hAnsi="Times New Roman" w:cs="Times New Roman"/>
                <w:szCs w:val="21"/>
                <w:lang w:val="en-US" w:eastAsia="zh-CN"/>
              </w:rPr>
              <w:t>构建</w:t>
            </w:r>
          </w:p>
        </w:tc>
      </w:tr>
      <w:tr w14:paraId="3AC16E0B">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034E7429">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谭文</w:t>
            </w:r>
          </w:p>
        </w:tc>
        <w:tc>
          <w:tcPr>
            <w:tcW w:w="3075" w:type="dxa"/>
            <w:shd w:val="clear" w:color="auto" w:fill="auto"/>
            <w:vAlign w:val="center"/>
          </w:tcPr>
          <w:p w14:paraId="3C436702">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贵州省生态与农业气象中心</w:t>
            </w:r>
          </w:p>
        </w:tc>
        <w:tc>
          <w:tcPr>
            <w:tcW w:w="1172" w:type="dxa"/>
            <w:shd w:val="clear" w:color="auto" w:fill="auto"/>
            <w:vAlign w:val="center"/>
          </w:tcPr>
          <w:p w14:paraId="3A7C2CEF">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副高</w:t>
            </w:r>
          </w:p>
        </w:tc>
        <w:tc>
          <w:tcPr>
            <w:tcW w:w="2841" w:type="dxa"/>
            <w:shd w:val="clear" w:color="auto" w:fill="auto"/>
            <w:vAlign w:val="center"/>
          </w:tcPr>
          <w:p w14:paraId="59842C94">
            <w:pPr>
              <w:spacing w:line="276" w:lineRule="auto"/>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模型</w:t>
            </w:r>
            <w:r>
              <w:rPr>
                <w:rFonts w:hint="eastAsia" w:ascii="Times New Roman" w:hAnsi="Times New Roman" w:cs="Times New Roman"/>
                <w:szCs w:val="21"/>
                <w:lang w:val="en-US" w:eastAsia="zh-CN"/>
              </w:rPr>
              <w:t>构建</w:t>
            </w:r>
          </w:p>
        </w:tc>
      </w:tr>
      <w:tr w14:paraId="72A2CBC8">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13390190">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杨世琼</w:t>
            </w:r>
          </w:p>
        </w:tc>
        <w:tc>
          <w:tcPr>
            <w:tcW w:w="3075" w:type="dxa"/>
            <w:shd w:val="clear" w:color="auto" w:fill="auto"/>
            <w:vAlign w:val="center"/>
          </w:tcPr>
          <w:p w14:paraId="0D8E3D9B">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贵州省生态与农业气象中心</w:t>
            </w:r>
          </w:p>
        </w:tc>
        <w:tc>
          <w:tcPr>
            <w:tcW w:w="1172" w:type="dxa"/>
            <w:shd w:val="clear" w:color="auto" w:fill="auto"/>
            <w:vAlign w:val="center"/>
          </w:tcPr>
          <w:p w14:paraId="305C30F5">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工程师</w:t>
            </w:r>
          </w:p>
        </w:tc>
        <w:tc>
          <w:tcPr>
            <w:tcW w:w="2841" w:type="dxa"/>
            <w:shd w:val="clear" w:color="auto" w:fill="auto"/>
            <w:vAlign w:val="center"/>
          </w:tcPr>
          <w:p w14:paraId="6C3FBE12">
            <w:pPr>
              <w:spacing w:line="276" w:lineRule="auto"/>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模型调试</w:t>
            </w:r>
          </w:p>
        </w:tc>
      </w:tr>
      <w:tr w14:paraId="1CE7CC13">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7B6A35CF">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唐辟如</w:t>
            </w:r>
          </w:p>
        </w:tc>
        <w:tc>
          <w:tcPr>
            <w:tcW w:w="3075" w:type="dxa"/>
            <w:shd w:val="clear" w:color="auto" w:fill="auto"/>
            <w:vAlign w:val="center"/>
          </w:tcPr>
          <w:p w14:paraId="27D83645">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贵州省生态与农业气象中心</w:t>
            </w:r>
          </w:p>
        </w:tc>
        <w:tc>
          <w:tcPr>
            <w:tcW w:w="1172" w:type="dxa"/>
            <w:shd w:val="clear" w:color="auto" w:fill="auto"/>
            <w:vAlign w:val="center"/>
          </w:tcPr>
          <w:p w14:paraId="7ABC5D60">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工程师</w:t>
            </w:r>
          </w:p>
        </w:tc>
        <w:tc>
          <w:tcPr>
            <w:tcW w:w="2841" w:type="dxa"/>
            <w:shd w:val="clear" w:color="auto" w:fill="auto"/>
            <w:vAlign w:val="center"/>
          </w:tcPr>
          <w:p w14:paraId="51C4A2F4">
            <w:pPr>
              <w:spacing w:line="276" w:lineRule="auto"/>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模型调试</w:t>
            </w:r>
          </w:p>
        </w:tc>
      </w:tr>
      <w:tr w14:paraId="6615A6C2">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6CF4FD59">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胡家敏</w:t>
            </w:r>
          </w:p>
        </w:tc>
        <w:tc>
          <w:tcPr>
            <w:tcW w:w="3075" w:type="dxa"/>
            <w:shd w:val="clear" w:color="auto" w:fill="auto"/>
            <w:vAlign w:val="center"/>
          </w:tcPr>
          <w:p w14:paraId="4DE332E8">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贵州省生态与农业气象中心</w:t>
            </w:r>
          </w:p>
        </w:tc>
        <w:tc>
          <w:tcPr>
            <w:tcW w:w="1172" w:type="dxa"/>
            <w:shd w:val="clear" w:color="auto" w:fill="auto"/>
            <w:vAlign w:val="center"/>
          </w:tcPr>
          <w:p w14:paraId="3B4BF107">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正高</w:t>
            </w:r>
          </w:p>
        </w:tc>
        <w:tc>
          <w:tcPr>
            <w:tcW w:w="2841" w:type="dxa"/>
            <w:shd w:val="clear" w:color="auto" w:fill="auto"/>
            <w:vAlign w:val="center"/>
          </w:tcPr>
          <w:p w14:paraId="506B403E">
            <w:pPr>
              <w:spacing w:line="276" w:lineRule="auto"/>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模型调试</w:t>
            </w:r>
          </w:p>
        </w:tc>
      </w:tr>
      <w:tr w14:paraId="1A2A4279">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3E67D6C9">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刘宇鹏</w:t>
            </w:r>
          </w:p>
        </w:tc>
        <w:tc>
          <w:tcPr>
            <w:tcW w:w="3075" w:type="dxa"/>
            <w:shd w:val="clear" w:color="auto" w:fill="auto"/>
            <w:vAlign w:val="center"/>
          </w:tcPr>
          <w:p w14:paraId="2DC62B56">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贵州省生态与农业气象中心</w:t>
            </w:r>
          </w:p>
        </w:tc>
        <w:tc>
          <w:tcPr>
            <w:tcW w:w="1172" w:type="dxa"/>
            <w:shd w:val="clear" w:color="auto" w:fill="auto"/>
            <w:vAlign w:val="center"/>
          </w:tcPr>
          <w:p w14:paraId="415EC521">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副高</w:t>
            </w:r>
          </w:p>
        </w:tc>
        <w:tc>
          <w:tcPr>
            <w:tcW w:w="2841" w:type="dxa"/>
            <w:shd w:val="clear" w:color="auto" w:fill="auto"/>
            <w:vAlign w:val="center"/>
          </w:tcPr>
          <w:p w14:paraId="16BBB67D">
            <w:pPr>
              <w:spacing w:line="276" w:lineRule="auto"/>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模型调试</w:t>
            </w:r>
          </w:p>
        </w:tc>
      </w:tr>
      <w:tr w14:paraId="4B47CCE8">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7C69E6ED">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曾晓珊</w:t>
            </w:r>
          </w:p>
        </w:tc>
        <w:tc>
          <w:tcPr>
            <w:tcW w:w="3075" w:type="dxa"/>
            <w:shd w:val="clear" w:color="auto" w:fill="auto"/>
            <w:vAlign w:val="center"/>
          </w:tcPr>
          <w:p w14:paraId="5F445154">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贵州省生态与农业气象中心</w:t>
            </w:r>
          </w:p>
        </w:tc>
        <w:tc>
          <w:tcPr>
            <w:tcW w:w="1172" w:type="dxa"/>
            <w:shd w:val="clear" w:color="auto" w:fill="auto"/>
            <w:vAlign w:val="center"/>
          </w:tcPr>
          <w:p w14:paraId="10780770">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工程师</w:t>
            </w:r>
          </w:p>
        </w:tc>
        <w:tc>
          <w:tcPr>
            <w:tcW w:w="2841" w:type="dxa"/>
            <w:shd w:val="clear" w:color="auto" w:fill="auto"/>
            <w:vAlign w:val="center"/>
          </w:tcPr>
          <w:p w14:paraId="78EC6FFF">
            <w:pPr>
              <w:spacing w:line="276" w:lineRule="auto"/>
              <w:jc w:val="center"/>
              <w:rPr>
                <w:rFonts w:ascii="Times New Roman" w:hAnsi="Times New Roman" w:eastAsia="宋体" w:cs="Times New Roman"/>
                <w:kern w:val="2"/>
                <w:sz w:val="21"/>
                <w:szCs w:val="21"/>
                <w:lang w:val="en-US" w:eastAsia="zh-CN" w:bidi="ar-SA"/>
              </w:rPr>
            </w:pPr>
            <w:r>
              <w:rPr>
                <w:rFonts w:ascii="Times New Roman" w:hAnsi="Times New Roman" w:cs="Times New Roman"/>
                <w:szCs w:val="21"/>
              </w:rPr>
              <w:t>模型调试</w:t>
            </w:r>
          </w:p>
        </w:tc>
      </w:tr>
      <w:tr w14:paraId="22FD1D3D">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2EE99642">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陈芳</w:t>
            </w:r>
          </w:p>
        </w:tc>
        <w:tc>
          <w:tcPr>
            <w:tcW w:w="3075" w:type="dxa"/>
            <w:shd w:val="clear" w:color="auto" w:fill="auto"/>
            <w:vAlign w:val="center"/>
          </w:tcPr>
          <w:p w14:paraId="6A7FF3D9">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贵州省生态与农业气象中心</w:t>
            </w:r>
          </w:p>
        </w:tc>
        <w:tc>
          <w:tcPr>
            <w:tcW w:w="1172" w:type="dxa"/>
            <w:shd w:val="clear" w:color="auto" w:fill="auto"/>
            <w:vAlign w:val="center"/>
          </w:tcPr>
          <w:p w14:paraId="43EF172E">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工程师</w:t>
            </w:r>
          </w:p>
        </w:tc>
        <w:tc>
          <w:tcPr>
            <w:tcW w:w="2841" w:type="dxa"/>
            <w:shd w:val="clear" w:color="auto" w:fill="auto"/>
            <w:vAlign w:val="center"/>
          </w:tcPr>
          <w:p w14:paraId="6C7E33FB">
            <w:pPr>
              <w:spacing w:line="276" w:lineRule="auto"/>
              <w:jc w:val="center"/>
              <w:rPr>
                <w:rFonts w:ascii="Times New Roman" w:hAnsi="Times New Roman" w:cs="Times New Roman"/>
                <w:szCs w:val="21"/>
              </w:rPr>
            </w:pPr>
            <w:r>
              <w:rPr>
                <w:rFonts w:ascii="Times New Roman" w:hAnsi="Times New Roman" w:cs="Times New Roman"/>
                <w:szCs w:val="21"/>
              </w:rPr>
              <w:t>模型调试</w:t>
            </w:r>
          </w:p>
        </w:tc>
      </w:tr>
      <w:tr w14:paraId="3676BF25">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5CA9D762">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唐红祥</w:t>
            </w:r>
          </w:p>
        </w:tc>
        <w:tc>
          <w:tcPr>
            <w:tcW w:w="3075" w:type="dxa"/>
            <w:shd w:val="clear" w:color="auto" w:fill="auto"/>
            <w:vAlign w:val="center"/>
          </w:tcPr>
          <w:p w14:paraId="46A66F48">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贵州省生态与农业气象中心</w:t>
            </w:r>
          </w:p>
        </w:tc>
        <w:tc>
          <w:tcPr>
            <w:tcW w:w="1172" w:type="dxa"/>
            <w:shd w:val="clear" w:color="auto" w:fill="auto"/>
            <w:vAlign w:val="center"/>
          </w:tcPr>
          <w:p w14:paraId="3668AFB6">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副高</w:t>
            </w:r>
          </w:p>
        </w:tc>
        <w:tc>
          <w:tcPr>
            <w:tcW w:w="2841" w:type="dxa"/>
            <w:shd w:val="clear" w:color="auto" w:fill="auto"/>
            <w:vAlign w:val="center"/>
          </w:tcPr>
          <w:p w14:paraId="23A5CEE1">
            <w:pPr>
              <w:spacing w:line="276" w:lineRule="auto"/>
              <w:jc w:val="center"/>
              <w:rPr>
                <w:rFonts w:ascii="Times New Roman" w:hAnsi="Times New Roman" w:cs="Times New Roman"/>
                <w:szCs w:val="21"/>
              </w:rPr>
            </w:pPr>
            <w:r>
              <w:rPr>
                <w:rFonts w:ascii="Times New Roman" w:hAnsi="Times New Roman" w:cs="Times New Roman"/>
                <w:szCs w:val="21"/>
              </w:rPr>
              <w:t>模型调试</w:t>
            </w:r>
          </w:p>
        </w:tc>
      </w:tr>
      <w:tr w14:paraId="2D23D1C0">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1A338FC6">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史学家</w:t>
            </w:r>
          </w:p>
        </w:tc>
        <w:tc>
          <w:tcPr>
            <w:tcW w:w="3075" w:type="dxa"/>
            <w:shd w:val="clear" w:color="auto" w:fill="auto"/>
            <w:vAlign w:val="center"/>
          </w:tcPr>
          <w:p w14:paraId="7D55DABE">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贵州省生态与农业气象中心</w:t>
            </w:r>
          </w:p>
        </w:tc>
        <w:tc>
          <w:tcPr>
            <w:tcW w:w="1172" w:type="dxa"/>
            <w:shd w:val="clear" w:color="auto" w:fill="auto"/>
            <w:vAlign w:val="center"/>
          </w:tcPr>
          <w:p w14:paraId="5F29B702">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工程师</w:t>
            </w:r>
          </w:p>
        </w:tc>
        <w:tc>
          <w:tcPr>
            <w:tcW w:w="2841" w:type="dxa"/>
            <w:shd w:val="clear" w:color="auto" w:fill="auto"/>
            <w:vAlign w:val="center"/>
          </w:tcPr>
          <w:p w14:paraId="7E40B3F8">
            <w:pPr>
              <w:spacing w:line="276" w:lineRule="auto"/>
              <w:jc w:val="center"/>
              <w:rPr>
                <w:rFonts w:ascii="Times New Roman" w:hAnsi="Times New Roman" w:cs="Times New Roman"/>
                <w:szCs w:val="21"/>
              </w:rPr>
            </w:pPr>
            <w:r>
              <w:rPr>
                <w:rFonts w:ascii="Times New Roman" w:hAnsi="Times New Roman" w:cs="Times New Roman"/>
                <w:szCs w:val="21"/>
              </w:rPr>
              <w:t>模型调试</w:t>
            </w:r>
          </w:p>
        </w:tc>
      </w:tr>
      <w:tr w14:paraId="3669EB3C">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6A5BB23E">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罗楠</w:t>
            </w:r>
          </w:p>
        </w:tc>
        <w:tc>
          <w:tcPr>
            <w:tcW w:w="3075" w:type="dxa"/>
            <w:shd w:val="clear" w:color="auto" w:fill="auto"/>
            <w:vAlign w:val="center"/>
          </w:tcPr>
          <w:p w14:paraId="1D8F1B22">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贵州省生态与农业气象中心</w:t>
            </w:r>
          </w:p>
        </w:tc>
        <w:tc>
          <w:tcPr>
            <w:tcW w:w="1172" w:type="dxa"/>
            <w:shd w:val="clear" w:color="auto" w:fill="auto"/>
            <w:vAlign w:val="center"/>
          </w:tcPr>
          <w:p w14:paraId="0515F51A">
            <w:pPr>
              <w:spacing w:line="276" w:lineRule="auto"/>
              <w:jc w:val="center"/>
              <w:rPr>
                <w:rFonts w:ascii="Times New Roman" w:hAnsi="Times New Roman" w:eastAsia="宋体" w:cs="Times New Roman"/>
                <w:kern w:val="2"/>
                <w:sz w:val="21"/>
                <w:szCs w:val="21"/>
                <w:lang w:val="en-US" w:eastAsia="zh-CN" w:bidi="ar-SA"/>
              </w:rPr>
            </w:pPr>
            <w:r>
              <w:rPr>
                <w:rFonts w:hint="eastAsia" w:cs="Times New Roman"/>
                <w:szCs w:val="21"/>
                <w:lang w:val="en-US" w:eastAsia="zh-CN"/>
              </w:rPr>
              <w:t>工程师</w:t>
            </w:r>
          </w:p>
        </w:tc>
        <w:tc>
          <w:tcPr>
            <w:tcW w:w="2841" w:type="dxa"/>
            <w:shd w:val="clear" w:color="auto" w:fill="auto"/>
            <w:vAlign w:val="center"/>
          </w:tcPr>
          <w:p w14:paraId="6A0EBEB8">
            <w:pPr>
              <w:spacing w:line="276" w:lineRule="auto"/>
              <w:jc w:val="center"/>
              <w:rPr>
                <w:rFonts w:hint="eastAsia" w:ascii="Times New Roman" w:hAnsi="Times New Roman" w:eastAsia="宋体" w:cs="Times New Roman"/>
                <w:szCs w:val="21"/>
                <w:lang w:val="en-US" w:eastAsia="zh-CN"/>
              </w:rPr>
            </w:pPr>
            <w:r>
              <w:rPr>
                <w:rFonts w:hint="eastAsia" w:cs="Times New Roman"/>
                <w:szCs w:val="21"/>
                <w:lang w:val="en-US" w:eastAsia="zh-CN"/>
              </w:rPr>
              <w:t>调研</w:t>
            </w:r>
          </w:p>
        </w:tc>
      </w:tr>
      <w:tr w14:paraId="0868218E">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shd w:val="clear" w:color="auto" w:fill="auto"/>
            <w:vAlign w:val="center"/>
          </w:tcPr>
          <w:p w14:paraId="706ECF6D">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陈中云</w:t>
            </w:r>
          </w:p>
        </w:tc>
        <w:tc>
          <w:tcPr>
            <w:tcW w:w="3075" w:type="dxa"/>
            <w:shd w:val="clear" w:color="auto" w:fill="auto"/>
            <w:vAlign w:val="center"/>
          </w:tcPr>
          <w:p w14:paraId="3557E9E5">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贵州省生态与农业气象中心</w:t>
            </w:r>
          </w:p>
        </w:tc>
        <w:tc>
          <w:tcPr>
            <w:tcW w:w="1172" w:type="dxa"/>
            <w:shd w:val="clear" w:color="auto" w:fill="auto"/>
            <w:vAlign w:val="center"/>
          </w:tcPr>
          <w:p w14:paraId="7A562451">
            <w:pPr>
              <w:spacing w:line="276" w:lineRule="auto"/>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副高</w:t>
            </w:r>
          </w:p>
        </w:tc>
        <w:tc>
          <w:tcPr>
            <w:tcW w:w="2841" w:type="dxa"/>
            <w:shd w:val="clear" w:color="auto" w:fill="auto"/>
            <w:vAlign w:val="center"/>
          </w:tcPr>
          <w:p w14:paraId="1B907E15">
            <w:pPr>
              <w:spacing w:line="276" w:lineRule="auto"/>
              <w:jc w:val="center"/>
              <w:rPr>
                <w:rFonts w:hint="eastAsia" w:ascii="Times New Roman" w:hAnsi="Times New Roman" w:eastAsia="宋体" w:cs="Times New Roman"/>
                <w:szCs w:val="21"/>
                <w:lang w:val="en-US" w:eastAsia="zh-CN"/>
              </w:rPr>
            </w:pPr>
            <w:r>
              <w:rPr>
                <w:rFonts w:hint="eastAsia" w:cs="Times New Roman"/>
                <w:szCs w:val="21"/>
                <w:lang w:val="en-US" w:eastAsia="zh-CN"/>
              </w:rPr>
              <w:t>调研</w:t>
            </w:r>
          </w:p>
        </w:tc>
      </w:tr>
    </w:tbl>
    <w:p w14:paraId="37BACF71">
      <w:pPr>
        <w:spacing w:line="360" w:lineRule="auto"/>
        <w:jc w:val="left"/>
        <w:rPr>
          <w:rFonts w:hint="eastAsia"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三、制定标准的原则和依据，与现行法律、法规、标准的关系，国内外现行相关法律、法规和标准情况；</w:t>
      </w:r>
    </w:p>
    <w:p w14:paraId="38AC3C44">
      <w:pPr>
        <w:spacing w:line="360" w:lineRule="auto"/>
        <w:jc w:val="left"/>
        <w:rPr>
          <w:rFonts w:hint="eastAsia" w:ascii="Times New Roman" w:hAnsi="Times New Roman"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（一）</w:t>
      </w:r>
      <w:r>
        <w:rPr>
          <w:rFonts w:hint="eastAsia" w:ascii="Times New Roman" w:hAnsi="Times New Roman" w:cs="Times New Roman" w:eastAsiaTheme="minorEastAsia"/>
          <w:b/>
          <w:color w:val="000000"/>
          <w:kern w:val="0"/>
          <w:szCs w:val="21"/>
          <w:lang w:val="en-US" w:eastAsia="zh-CN"/>
        </w:rPr>
        <w:t xml:space="preserve">制定原则 </w:t>
      </w:r>
    </w:p>
    <w:p w14:paraId="3C125486">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科学性原则：基于气象学、农学及统计学理论，结合贵州省气候特征与农产品生长规律，构建客观、量化的气候品质评价模型。  </w:t>
      </w:r>
    </w:p>
    <w:p w14:paraId="624FD083">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区域适用性原则：针对贵州省多山地、立体气候显著的特点，</w:t>
      </w:r>
      <w:r>
        <w:rPr>
          <w:rFonts w:hint="eastAsia" w:cs="Times New Roman"/>
          <w:szCs w:val="21"/>
          <w:lang w:val="en-US" w:eastAsia="zh-CN"/>
        </w:rPr>
        <w:t>细化贵州</w:t>
      </w:r>
      <w:r>
        <w:rPr>
          <w:rFonts w:hint="eastAsia" w:ascii="Times New Roman" w:hAnsi="Times New Roman" w:eastAsia="宋体" w:cs="Times New Roman"/>
          <w:szCs w:val="21"/>
          <w:lang w:val="en-US" w:eastAsia="zh-CN"/>
        </w:rPr>
        <w:t xml:space="preserve">的评价指标，体现地域特色。  </w:t>
      </w:r>
    </w:p>
    <w:p w14:paraId="0726ECFF">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可操作性原则：指标选取兼顾数据获取的可行性和可用性，确保气象部门和企业能够便捷应用。  </w:t>
      </w:r>
    </w:p>
    <w:p w14:paraId="2E2CA959">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动态性原则：结合气候变化趋势，建立评价参数的动态更新机制，保障标准的时效性。    </w:t>
      </w:r>
    </w:p>
    <w:p w14:paraId="63AF48D9">
      <w:pPr>
        <w:spacing w:line="360" w:lineRule="auto"/>
        <w:jc w:val="left"/>
        <w:rPr>
          <w:rFonts w:hint="eastAsia" w:ascii="Times New Roman" w:hAnsi="Times New Roman"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（二）</w:t>
      </w:r>
      <w:r>
        <w:rPr>
          <w:rFonts w:hint="eastAsia" w:ascii="Times New Roman" w:hAnsi="Times New Roman" w:cs="Times New Roman" w:eastAsiaTheme="minorEastAsia"/>
          <w:b/>
          <w:color w:val="000000"/>
          <w:kern w:val="0"/>
          <w:szCs w:val="21"/>
          <w:lang w:val="en-US" w:eastAsia="zh-CN"/>
        </w:rPr>
        <w:t>制定依据</w:t>
      </w:r>
    </w:p>
    <w:p w14:paraId="5D7AEDC1">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本标准以GB/T 1.1—2009《标准化工作导则第1部分：标准的结构和编写》为基础遵照我国相关法律、法规、规章、技术规范、标准及其规范，以及气象行业标准的特点，本着尊重历史、注重现状、取之业务、服务社会以及科学、客观、适用、可行的原则进行编制。</w:t>
      </w:r>
    </w:p>
    <w:p w14:paraId="6E5950FC">
      <w:pPr>
        <w:numPr>
          <w:ilvl w:val="0"/>
          <w:numId w:val="0"/>
        </w:numPr>
        <w:autoSpaceDE w:val="0"/>
        <w:autoSpaceDN w:val="0"/>
        <w:adjustRightInd w:val="0"/>
        <w:spacing w:line="360" w:lineRule="auto"/>
        <w:ind w:firstLine="420" w:firstLineChars="200"/>
        <w:jc w:val="left"/>
        <w:rPr>
          <w:rFonts w:hint="eastAsia" w:ascii="仿宋" w:hAnsi="仿宋" w:eastAsia="仿宋"/>
          <w:color w:val="000000"/>
          <w:sz w:val="32"/>
          <w:szCs w:val="32"/>
        </w:rPr>
      </w:pPr>
      <w:r>
        <w:rPr>
          <w:rFonts w:hint="eastAsia" w:ascii="Times New Roman" w:hAnsi="Times New Roman" w:eastAsia="宋体" w:cs="Times New Roman"/>
          <w:szCs w:val="21"/>
          <w:lang w:val="en-US" w:eastAsia="zh-CN"/>
        </w:rPr>
        <w:t>本规范是对国家标准</w:t>
      </w:r>
      <w:r>
        <w:rPr>
          <w:rFonts w:hint="eastAsia" w:cs="Times New Roman"/>
          <w:szCs w:val="21"/>
          <w:lang w:val="en-US" w:eastAsia="zh-CN"/>
        </w:rPr>
        <w:t>《农产品气候品质认证技术规范》（QX/T 486-2019）</w:t>
      </w:r>
      <w:r>
        <w:rPr>
          <w:rFonts w:hint="eastAsia" w:ascii="Times New Roman" w:hAnsi="Times New Roman" w:eastAsia="宋体" w:cs="Times New Roman"/>
          <w:szCs w:val="21"/>
          <w:lang w:val="en-US" w:eastAsia="zh-CN"/>
        </w:rPr>
        <w:t>的细化和补充，结合贵州省独特气候特征和特色农产品（如都匀毛尖茶、修文猕猴桃、遵义辣椒）设计差异化评价指标</w:t>
      </w:r>
      <w:r>
        <w:rPr>
          <w:rFonts w:hint="eastAsia" w:cs="Times New Roman"/>
          <w:szCs w:val="21"/>
          <w:lang w:val="en-US" w:eastAsia="zh-CN"/>
        </w:rPr>
        <w:t>，</w:t>
      </w:r>
      <w:r>
        <w:rPr>
          <w:rFonts w:hint="eastAsia" w:ascii="Times New Roman" w:hAnsi="Times New Roman" w:eastAsia="宋体" w:cs="Times New Roman"/>
          <w:szCs w:val="21"/>
          <w:lang w:val="en-US" w:eastAsia="zh-CN"/>
        </w:rPr>
        <w:t>将气候因素纳入品质认证体系，规定了农产品气候品质评价的资料要求、评价指标、评分模型、报告内容、等级划分和等级标志的使用等</w:t>
      </w:r>
      <w:r>
        <w:rPr>
          <w:rFonts w:hint="eastAsia" w:cs="Times New Roman"/>
          <w:szCs w:val="21"/>
          <w:lang w:val="en-US" w:eastAsia="zh-CN"/>
        </w:rPr>
        <w:t>内容，</w:t>
      </w:r>
      <w:r>
        <w:rPr>
          <w:rFonts w:hint="eastAsia" w:ascii="Times New Roman" w:hAnsi="Times New Roman" w:eastAsia="宋体" w:cs="Times New Roman"/>
          <w:szCs w:val="21"/>
          <w:lang w:val="en-US" w:eastAsia="zh-CN"/>
        </w:rPr>
        <w:t>为</w:t>
      </w:r>
      <w:r>
        <w:rPr>
          <w:rFonts w:hint="eastAsia" w:cs="Times New Roman"/>
          <w:szCs w:val="21"/>
          <w:lang w:val="en-US" w:eastAsia="zh-CN"/>
        </w:rPr>
        <w:t>贵州</w:t>
      </w:r>
      <w:r>
        <w:rPr>
          <w:rFonts w:hint="eastAsia" w:ascii="Times New Roman" w:hAnsi="Times New Roman" w:eastAsia="宋体" w:cs="Times New Roman"/>
          <w:szCs w:val="21"/>
          <w:lang w:val="en-US" w:eastAsia="zh-CN"/>
        </w:rPr>
        <w:t>农产品</w:t>
      </w:r>
      <w:r>
        <w:rPr>
          <w:rFonts w:hint="eastAsia" w:cs="Times New Roman"/>
          <w:szCs w:val="21"/>
          <w:lang w:val="en-US" w:eastAsia="zh-CN"/>
        </w:rPr>
        <w:t>品质评价</w:t>
      </w:r>
      <w:r>
        <w:rPr>
          <w:rFonts w:hint="eastAsia" w:ascii="Times New Roman" w:hAnsi="Times New Roman" w:eastAsia="宋体" w:cs="Times New Roman"/>
          <w:szCs w:val="21"/>
          <w:lang w:val="en-US" w:eastAsia="zh-CN"/>
        </w:rPr>
        <w:t xml:space="preserve">提供科学支撑。  </w:t>
      </w:r>
    </w:p>
    <w:p w14:paraId="2E35E610">
      <w:pPr>
        <w:spacing w:line="360" w:lineRule="auto"/>
        <w:jc w:val="left"/>
        <w:rPr>
          <w:rFonts w:hint="eastAsia" w:ascii="Times New Roman" w:hAnsi="Times New Roman"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（三）</w:t>
      </w:r>
      <w:r>
        <w:rPr>
          <w:rFonts w:hint="eastAsia" w:ascii="Times New Roman" w:hAnsi="Times New Roman" w:cs="Times New Roman" w:eastAsiaTheme="minorEastAsia"/>
          <w:b/>
          <w:color w:val="000000"/>
          <w:kern w:val="0"/>
          <w:szCs w:val="21"/>
          <w:lang w:val="en-US" w:eastAsia="zh-CN"/>
        </w:rPr>
        <w:t xml:space="preserve"> 与现行标准的协调性 </w:t>
      </w:r>
    </w:p>
    <w:p w14:paraId="2FA17976">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国家标准：中国气象局已发布《农产品气候品质认证技术规范》（QX/T 486-2019），但未细化到省级尺度；  </w:t>
      </w:r>
    </w:p>
    <w:p w14:paraId="7E7E7B7D">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地方标准：青海省《</w:t>
      </w:r>
      <w:r>
        <w:rPr>
          <w:rFonts w:hint="eastAsia" w:ascii="Times New Roman" w:hAnsi="Times New Roman" w:eastAsia="宋体" w:cs="Times New Roman"/>
          <w:szCs w:val="21"/>
          <w:lang w:val="en-US" w:eastAsia="zh-CN"/>
        </w:rPr>
        <w:fldChar w:fldCharType="begin"/>
      </w:r>
      <w:r>
        <w:rPr>
          <w:rFonts w:hint="eastAsia" w:ascii="Times New Roman" w:hAnsi="Times New Roman" w:eastAsia="宋体" w:cs="Times New Roman"/>
          <w:szCs w:val="21"/>
          <w:lang w:val="en-US" w:eastAsia="zh-CN"/>
        </w:rPr>
        <w:instrText xml:space="preserve"> HYPERLINK "http://www.cmastd.cn/standardView.jspx?id=4558" \t "http://www.cmastd.cn/_blank" </w:instrText>
      </w:r>
      <w:r>
        <w:rPr>
          <w:rFonts w:hint="eastAsia" w:ascii="Times New Roman" w:hAnsi="Times New Roman" w:eastAsia="宋体" w:cs="Times New Roman"/>
          <w:szCs w:val="21"/>
          <w:lang w:val="en-US" w:eastAsia="zh-CN"/>
        </w:rPr>
        <w:fldChar w:fldCharType="separate"/>
      </w:r>
      <w:r>
        <w:rPr>
          <w:rFonts w:hint="eastAsia" w:ascii="Times New Roman" w:hAnsi="Times New Roman" w:eastAsia="宋体" w:cs="Times New Roman"/>
          <w:szCs w:val="21"/>
          <w:lang w:val="en-US" w:eastAsia="zh-CN"/>
        </w:rPr>
        <w:t>气候品质评价 枸杞</w:t>
      </w:r>
      <w:r>
        <w:rPr>
          <w:rFonts w:hint="eastAsia" w:ascii="Times New Roman" w:hAnsi="Times New Roman" w:eastAsia="宋体" w:cs="Times New Roman"/>
          <w:szCs w:val="21"/>
          <w:lang w:val="en-US" w:eastAsia="zh-CN"/>
        </w:rPr>
        <w:fldChar w:fldCharType="end"/>
      </w:r>
      <w:r>
        <w:rPr>
          <w:rFonts w:hint="eastAsia" w:ascii="Times New Roman" w:hAnsi="Times New Roman" w:eastAsia="宋体" w:cs="Times New Roman"/>
          <w:szCs w:val="21"/>
          <w:lang w:val="en-US" w:eastAsia="zh-CN"/>
        </w:rPr>
        <w:t>》（DB63/T 2176-2023）、湖南省《</w:t>
      </w:r>
      <w:r>
        <w:rPr>
          <w:rFonts w:hint="eastAsia" w:ascii="Times New Roman" w:hAnsi="Times New Roman" w:eastAsia="宋体" w:cs="Times New Roman"/>
          <w:szCs w:val="21"/>
          <w:lang w:val="en-US" w:eastAsia="zh-CN"/>
        </w:rPr>
        <w:fldChar w:fldCharType="begin"/>
      </w:r>
      <w:r>
        <w:rPr>
          <w:rFonts w:hint="eastAsia" w:ascii="Times New Roman" w:hAnsi="Times New Roman" w:eastAsia="宋体" w:cs="Times New Roman"/>
          <w:szCs w:val="21"/>
          <w:lang w:val="en-US" w:eastAsia="zh-CN"/>
        </w:rPr>
        <w:instrText xml:space="preserve"> HYPERLINK "http://www.cmastd.cn/standardView.jspx?id=4428" \t "http://www.cmastd.cn/_blank" </w:instrText>
      </w:r>
      <w:r>
        <w:rPr>
          <w:rFonts w:hint="eastAsia" w:ascii="Times New Roman" w:hAnsi="Times New Roman" w:eastAsia="宋体" w:cs="Times New Roman"/>
          <w:szCs w:val="21"/>
          <w:lang w:val="en-US" w:eastAsia="zh-CN"/>
        </w:rPr>
        <w:fldChar w:fldCharType="separate"/>
      </w:r>
      <w:r>
        <w:rPr>
          <w:rFonts w:hint="eastAsia" w:ascii="Times New Roman" w:hAnsi="Times New Roman" w:eastAsia="宋体" w:cs="Times New Roman"/>
          <w:szCs w:val="21"/>
          <w:lang w:val="en-US" w:eastAsia="zh-CN"/>
        </w:rPr>
        <w:t>湖南柑橘气候品质评价技术规范</w:t>
      </w:r>
      <w:r>
        <w:rPr>
          <w:rFonts w:hint="eastAsia" w:ascii="Times New Roman" w:hAnsi="Times New Roman" w:eastAsia="宋体" w:cs="Times New Roman"/>
          <w:szCs w:val="21"/>
          <w:lang w:val="en-US" w:eastAsia="zh-CN"/>
        </w:rPr>
        <w:fldChar w:fldCharType="end"/>
      </w:r>
      <w:r>
        <w:rPr>
          <w:rFonts w:hint="eastAsia" w:ascii="Times New Roman" w:hAnsi="Times New Roman" w:eastAsia="宋体" w:cs="Times New Roman"/>
          <w:szCs w:val="21"/>
          <w:lang w:val="en-US" w:eastAsia="zh-CN"/>
        </w:rPr>
        <w:t>》（DB43/T 2536-2022）、黑龙江省《</w:t>
      </w:r>
      <w:r>
        <w:rPr>
          <w:rFonts w:hint="eastAsia" w:ascii="Times New Roman" w:hAnsi="Times New Roman" w:eastAsia="宋体" w:cs="Times New Roman"/>
          <w:szCs w:val="21"/>
          <w:lang w:val="en-US" w:eastAsia="zh-CN"/>
        </w:rPr>
        <w:fldChar w:fldCharType="begin"/>
      </w:r>
      <w:r>
        <w:rPr>
          <w:rFonts w:hint="eastAsia" w:ascii="Times New Roman" w:hAnsi="Times New Roman" w:eastAsia="宋体" w:cs="Times New Roman"/>
          <w:szCs w:val="21"/>
          <w:lang w:val="en-US" w:eastAsia="zh-CN"/>
        </w:rPr>
        <w:instrText xml:space="preserve"> HYPERLINK "http://www.cmastd.cn/standardView.jspx?id=4467" \t "http://www.cmastd.cn/_blank" </w:instrText>
      </w:r>
      <w:r>
        <w:rPr>
          <w:rFonts w:hint="eastAsia" w:ascii="Times New Roman" w:hAnsi="Times New Roman" w:eastAsia="宋体" w:cs="Times New Roman"/>
          <w:szCs w:val="21"/>
          <w:lang w:val="en-US" w:eastAsia="zh-CN"/>
        </w:rPr>
        <w:fldChar w:fldCharType="separate"/>
      </w:r>
      <w:r>
        <w:rPr>
          <w:rFonts w:hint="eastAsia" w:ascii="Times New Roman" w:hAnsi="Times New Roman" w:eastAsia="宋体" w:cs="Times New Roman"/>
          <w:szCs w:val="21"/>
          <w:lang w:val="en-US" w:eastAsia="zh-CN"/>
        </w:rPr>
        <w:t>区域农产品气候品质评价 实施指南</w:t>
      </w:r>
      <w:r>
        <w:rPr>
          <w:rFonts w:hint="eastAsia" w:ascii="Times New Roman" w:hAnsi="Times New Roman" w:eastAsia="宋体" w:cs="Times New Roman"/>
          <w:szCs w:val="21"/>
          <w:lang w:val="en-US" w:eastAsia="zh-CN"/>
        </w:rPr>
        <w:fldChar w:fldCharType="end"/>
      </w:r>
      <w:r>
        <w:rPr>
          <w:rFonts w:hint="eastAsia" w:ascii="Times New Roman" w:hAnsi="Times New Roman" w:eastAsia="宋体" w:cs="Times New Roman"/>
          <w:szCs w:val="21"/>
          <w:lang w:val="en-US" w:eastAsia="zh-CN"/>
        </w:rPr>
        <w:t xml:space="preserve">》DB23/T 3643-2023等已制定省级农产品气候品质评价标准，聚焦本地主导产业（如青海枸杞、湖南柑橘、黑龙江农产品气候品质评价）；  </w:t>
      </w:r>
    </w:p>
    <w:p w14:paraId="631C323A">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行业实践：贵州省将气候因素纳入农产品增值的辅助指标，</w:t>
      </w:r>
      <w:r>
        <w:rPr>
          <w:rFonts w:hint="eastAsia" w:cs="Times New Roman"/>
          <w:szCs w:val="21"/>
          <w:lang w:val="en-US" w:eastAsia="zh-CN"/>
        </w:rPr>
        <w:t>并已作出相关尝试与实践、开展了都匀毛尖、七星太古茶、赤水金钗石斛等农产品的气候品质评价工作，</w:t>
      </w:r>
      <w:r>
        <w:rPr>
          <w:rFonts w:hint="eastAsia" w:ascii="Times New Roman" w:hAnsi="Times New Roman" w:eastAsia="宋体" w:cs="Times New Roman"/>
          <w:szCs w:val="21"/>
          <w:lang w:val="en-US" w:eastAsia="zh-CN"/>
        </w:rPr>
        <w:t>但缺乏定量化</w:t>
      </w:r>
      <w:r>
        <w:rPr>
          <w:rFonts w:hint="eastAsia" w:cs="Times New Roman"/>
          <w:szCs w:val="21"/>
          <w:lang w:val="en-US" w:eastAsia="zh-CN"/>
        </w:rPr>
        <w:t>本地化的模型指标及规范</w:t>
      </w:r>
      <w:r>
        <w:rPr>
          <w:rFonts w:hint="eastAsia" w:ascii="Times New Roman" w:hAnsi="Times New Roman" w:eastAsia="宋体" w:cs="Times New Roman"/>
          <w:szCs w:val="21"/>
          <w:lang w:val="en-US" w:eastAsia="zh-CN"/>
        </w:rPr>
        <w:t xml:space="preserve">。  </w:t>
      </w:r>
    </w:p>
    <w:p w14:paraId="67CA970F">
      <w:pPr>
        <w:numPr>
          <w:ilvl w:val="0"/>
          <w:numId w:val="0"/>
        </w:numPr>
        <w:spacing w:line="360" w:lineRule="auto"/>
        <w:jc w:val="left"/>
        <w:rPr>
          <w:rFonts w:hint="eastAsia"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四、主要条款的说明及确定依据（如技术指标、参数、公式、性能要求、试验方法、检验规则等的依据）；</w:t>
      </w:r>
    </w:p>
    <w:p w14:paraId="054D8179">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本标准规定了农产品气候品质评价的资料要求、评价指标、评分模型、报告内容、等级划分和等级标志的使用等。</w:t>
      </w:r>
    </w:p>
    <w:p w14:paraId="04283D12">
      <w:pPr>
        <w:pStyle w:val="12"/>
        <w:spacing w:line="360" w:lineRule="auto"/>
        <w:ind w:left="0" w:leftChars="0" w:firstLine="0" w:firstLineChars="0"/>
        <w:rPr>
          <w:rFonts w:hint="eastAsia" w:eastAsia="宋体" w:cs="Times New Roman"/>
          <w:b/>
          <w:bCs/>
          <w:szCs w:val="21"/>
          <w:lang w:val="en-US" w:eastAsia="zh-CN"/>
        </w:rPr>
      </w:pPr>
      <w:r>
        <w:rPr>
          <w:rFonts w:hint="eastAsia" w:cs="Times New Roman"/>
          <w:b/>
          <w:bCs/>
          <w:szCs w:val="21"/>
          <w:lang w:val="en-US" w:eastAsia="zh-CN"/>
        </w:rPr>
        <w:t>（一）</w:t>
      </w:r>
      <w:r>
        <w:rPr>
          <w:rFonts w:ascii="Times New Roman"/>
          <w:b/>
          <w:bCs/>
          <w:color w:val="000000"/>
          <w:szCs w:val="21"/>
        </w:rPr>
        <w:t>术语和定义</w:t>
      </w:r>
    </w:p>
    <w:p w14:paraId="41936A0F">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eastAsia" w:cs="Times New Roman"/>
          <w:szCs w:val="21"/>
          <w:lang w:val="en-US" w:eastAsia="zh-CN"/>
        </w:rPr>
        <w:t xml:space="preserve">农产品气候品质评价规定了适用于开展农产品气候品质评价的农产品范围，明确规定了什么叫作气候品质评价以及开展气候品质评价的指标指标，是开展气候品质的核心要素。 所定义的术语如下： </w:t>
      </w:r>
    </w:p>
    <w:p w14:paraId="74BCC4FE">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cs="Times New Roman"/>
          <w:szCs w:val="21"/>
          <w:lang w:val="en-US" w:eastAsia="zh-CN"/>
        </w:rPr>
        <w:t>（1）</w:t>
      </w:r>
      <w:r>
        <w:rPr>
          <w:rFonts w:hint="eastAsia" w:ascii="Times New Roman" w:hAnsi="Times New Roman" w:eastAsia="宋体" w:cs="Times New Roman"/>
          <w:szCs w:val="21"/>
          <w:lang w:val="en-US" w:eastAsia="zh-CN"/>
        </w:rPr>
        <w:t>初级农产品</w:t>
      </w:r>
      <w:r>
        <w:rPr>
          <w:rFonts w:hint="eastAsia" w:cs="Times New Roman"/>
          <w:szCs w:val="21"/>
          <w:lang w:val="en-US" w:eastAsia="zh-CN"/>
        </w:rPr>
        <w:t>：</w:t>
      </w:r>
      <w:r>
        <w:rPr>
          <w:rFonts w:hint="eastAsia" w:ascii="Times New Roman" w:hAnsi="Times New Roman" w:eastAsia="宋体" w:cs="Times New Roman"/>
          <w:szCs w:val="21"/>
          <w:lang w:val="en-US" w:eastAsia="zh-CN"/>
        </w:rPr>
        <w:t>未经过加工、生理生化指标未发生改变的种植业生产的产品。</w:t>
      </w:r>
    </w:p>
    <w:p w14:paraId="253AC436">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cs="Times New Roman"/>
          <w:szCs w:val="21"/>
          <w:lang w:val="en-US" w:eastAsia="zh-CN"/>
        </w:rPr>
        <w:t>（2）</w:t>
      </w:r>
      <w:r>
        <w:rPr>
          <w:rFonts w:hint="eastAsia" w:ascii="Times New Roman" w:hAnsi="Times New Roman" w:eastAsia="宋体" w:cs="Times New Roman"/>
          <w:szCs w:val="21"/>
          <w:lang w:val="en-US" w:eastAsia="zh-CN"/>
        </w:rPr>
        <w:t>农产品气候品质</w:t>
      </w:r>
      <w:r>
        <w:rPr>
          <w:rFonts w:hint="eastAsia" w:cs="Times New Roman"/>
          <w:szCs w:val="21"/>
          <w:lang w:val="en-US" w:eastAsia="zh-CN"/>
        </w:rPr>
        <w:t>：</w:t>
      </w:r>
      <w:r>
        <w:rPr>
          <w:rFonts w:hint="eastAsia" w:ascii="Times New Roman" w:hAnsi="Times New Roman" w:eastAsia="宋体" w:cs="Times New Roman"/>
          <w:szCs w:val="21"/>
          <w:lang w:val="en-US" w:eastAsia="zh-CN"/>
        </w:rPr>
        <w:t>由天气气候条件决定的初级农产品品质。</w:t>
      </w:r>
    </w:p>
    <w:p w14:paraId="664D2874">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cs="Times New Roman"/>
          <w:szCs w:val="21"/>
          <w:lang w:val="en-US" w:eastAsia="zh-CN"/>
        </w:rPr>
        <w:t>（3）</w:t>
      </w:r>
      <w:r>
        <w:rPr>
          <w:rFonts w:hint="eastAsia" w:ascii="Times New Roman" w:hAnsi="Times New Roman" w:eastAsia="宋体" w:cs="Times New Roman"/>
          <w:szCs w:val="21"/>
          <w:lang w:val="en-US" w:eastAsia="zh-CN"/>
        </w:rPr>
        <w:t>气候品质评价</w:t>
      </w:r>
      <w:r>
        <w:rPr>
          <w:rFonts w:hint="eastAsia" w:cs="Times New Roman"/>
          <w:szCs w:val="21"/>
          <w:lang w:val="en-US" w:eastAsia="zh-CN"/>
        </w:rPr>
        <w:t>：</w:t>
      </w:r>
      <w:r>
        <w:rPr>
          <w:rFonts w:hint="eastAsia" w:ascii="Times New Roman" w:hAnsi="Times New Roman" w:eastAsia="宋体" w:cs="Times New Roman"/>
          <w:szCs w:val="21"/>
          <w:lang w:val="en-US" w:eastAsia="zh-CN"/>
        </w:rPr>
        <w:t>用表征农产品品质的气候指标对农产品品质优劣等级所做的评定。</w:t>
      </w:r>
    </w:p>
    <w:p w14:paraId="4B27266A">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cs="Times New Roman"/>
          <w:szCs w:val="21"/>
          <w:lang w:val="en-US" w:eastAsia="zh-CN"/>
        </w:rPr>
        <w:t>（4）</w:t>
      </w:r>
      <w:r>
        <w:rPr>
          <w:rFonts w:hint="eastAsia" w:ascii="Times New Roman" w:hAnsi="Times New Roman" w:eastAsia="宋体" w:cs="Times New Roman"/>
          <w:szCs w:val="21"/>
          <w:lang w:val="en-US" w:eastAsia="zh-CN"/>
        </w:rPr>
        <w:t>气候品质指标</w:t>
      </w:r>
      <w:r>
        <w:rPr>
          <w:rFonts w:hint="eastAsia" w:cs="Times New Roman"/>
          <w:szCs w:val="21"/>
          <w:lang w:val="en-US" w:eastAsia="zh-CN"/>
        </w:rPr>
        <w:t>：</w:t>
      </w:r>
      <w:r>
        <w:rPr>
          <w:rFonts w:hint="eastAsia" w:ascii="Times New Roman" w:hAnsi="Times New Roman" w:eastAsia="宋体" w:cs="Times New Roman"/>
          <w:szCs w:val="21"/>
          <w:lang w:val="en-US" w:eastAsia="zh-CN"/>
        </w:rPr>
        <w:t>表征农产品气候品质的气候指标。</w:t>
      </w:r>
    </w:p>
    <w:p w14:paraId="4852CB82">
      <w:pPr>
        <w:pStyle w:val="12"/>
        <w:spacing w:line="360" w:lineRule="auto"/>
        <w:ind w:left="0" w:leftChars="0" w:firstLine="0" w:firstLineChars="0"/>
        <w:rPr>
          <w:rFonts w:hint="eastAsia" w:cs="Times New Roman"/>
          <w:b/>
          <w:bCs/>
          <w:szCs w:val="21"/>
          <w:lang w:val="en-US" w:eastAsia="zh-CN"/>
        </w:rPr>
      </w:pPr>
      <w:r>
        <w:rPr>
          <w:rFonts w:hint="eastAsia" w:cs="Times New Roman"/>
          <w:b/>
          <w:bCs/>
          <w:szCs w:val="21"/>
          <w:lang w:val="en-US" w:eastAsia="zh-CN"/>
        </w:rPr>
        <w:t>（二）资料要求</w:t>
      </w:r>
    </w:p>
    <w:p w14:paraId="13416CA3">
      <w:pPr>
        <w:pStyle w:val="12"/>
        <w:spacing w:line="360" w:lineRule="auto"/>
        <w:ind w:firstLine="420" w:firstLineChars="200"/>
        <w:rPr>
          <w:rFonts w:hint="eastAsia" w:cs="Times New Roman"/>
          <w:szCs w:val="21"/>
          <w:lang w:val="en-US" w:eastAsia="zh-CN"/>
        </w:rPr>
      </w:pPr>
      <w:r>
        <w:rPr>
          <w:rFonts w:hint="eastAsia" w:cs="Times New Roman"/>
          <w:szCs w:val="21"/>
          <w:lang w:val="en-US" w:eastAsia="zh-CN"/>
        </w:rPr>
        <w:t xml:space="preserve"> 规定了开展农产品气候品质评价的农产品范围以及所需要的农业生产资料和所需气象资料要求，这是开展气候品质评价的数据及资料基础。</w:t>
      </w:r>
    </w:p>
    <w:p w14:paraId="303EDAE2">
      <w:pPr>
        <w:autoSpaceDE w:val="0"/>
        <w:autoSpaceDN w:val="0"/>
        <w:adjustRightInd w:val="0"/>
        <w:spacing w:line="360" w:lineRule="auto"/>
        <w:ind w:firstLine="420" w:firstLineChars="200"/>
        <w:jc w:val="left"/>
        <w:rPr>
          <w:rFonts w:hint="default" w:cs="Times New Roman"/>
          <w:szCs w:val="21"/>
          <w:lang w:val="en-US" w:eastAsia="zh-CN"/>
        </w:rPr>
      </w:pPr>
      <w:bookmarkStart w:id="1" w:name="_Toc12738"/>
      <w:bookmarkStart w:id="2" w:name="OLE_LINK4"/>
      <w:r>
        <w:rPr>
          <w:rFonts w:hint="eastAsia" w:cs="Times New Roman"/>
          <w:szCs w:val="21"/>
          <w:lang w:val="en-US" w:eastAsia="zh-CN"/>
        </w:rPr>
        <w:t>（1） 农产品要求</w:t>
      </w:r>
      <w:bookmarkEnd w:id="1"/>
    </w:p>
    <w:bookmarkEnd w:id="2"/>
    <w:p w14:paraId="477E42B9">
      <w:pPr>
        <w:autoSpaceDE w:val="0"/>
        <w:autoSpaceDN w:val="0"/>
        <w:adjustRightInd w:val="0"/>
        <w:spacing w:line="360" w:lineRule="auto"/>
        <w:ind w:firstLine="420" w:firstLineChars="200"/>
        <w:jc w:val="left"/>
        <w:rPr>
          <w:rFonts w:hint="default" w:cs="Times New Roman"/>
          <w:szCs w:val="21"/>
          <w:lang w:val="en-US" w:eastAsia="zh-CN"/>
        </w:rPr>
      </w:pPr>
      <w:r>
        <w:rPr>
          <w:rFonts w:hint="eastAsia" w:cs="Times New Roman"/>
          <w:szCs w:val="21"/>
          <w:lang w:val="en-US" w:eastAsia="zh-CN"/>
        </w:rPr>
        <w:t>申请气候品质评价的农产品应是具有地方特色和一定规模,以常规方式种植</w:t>
      </w:r>
      <w:r>
        <w:rPr>
          <w:rFonts w:hint="default" w:cs="Times New Roman"/>
          <w:szCs w:val="21"/>
          <w:lang w:val="en-US" w:eastAsia="zh-CN"/>
        </w:rPr>
        <w:t>养</w:t>
      </w:r>
      <w:r>
        <w:rPr>
          <w:rFonts w:hint="eastAsia" w:cs="Times New Roman"/>
          <w:szCs w:val="21"/>
          <w:lang w:val="en-US" w:eastAsia="zh-CN"/>
        </w:rPr>
        <w:t>殖的生产区域范围内的初级农产品，其</w:t>
      </w:r>
      <w:r>
        <w:rPr>
          <w:rFonts w:hint="default" w:cs="Times New Roman"/>
          <w:szCs w:val="21"/>
          <w:lang w:val="en-US" w:eastAsia="zh-CN"/>
        </w:rPr>
        <w:t>品质形成主要取决于其独特自然生态环境和气候条件，且产地环境、土壤（水）质量、产品质量符合国家强制性技术规范要求。</w:t>
      </w:r>
    </w:p>
    <w:p w14:paraId="41BD8973">
      <w:pPr>
        <w:autoSpaceDE w:val="0"/>
        <w:autoSpaceDN w:val="0"/>
        <w:adjustRightInd w:val="0"/>
        <w:spacing w:line="360" w:lineRule="auto"/>
        <w:ind w:firstLine="420" w:firstLineChars="200"/>
        <w:jc w:val="left"/>
        <w:rPr>
          <w:rFonts w:hint="eastAsia" w:cs="Times New Roman"/>
          <w:szCs w:val="21"/>
          <w:lang w:val="en-US" w:eastAsia="zh-CN"/>
        </w:rPr>
      </w:pPr>
      <w:bookmarkStart w:id="3" w:name="_Toc13213"/>
      <w:r>
        <w:rPr>
          <w:rFonts w:hint="eastAsia" w:cs="Times New Roman"/>
          <w:szCs w:val="21"/>
          <w:lang w:val="en-US" w:eastAsia="zh-CN"/>
        </w:rPr>
        <w:t>（2）农产品资料</w:t>
      </w:r>
      <w:bookmarkEnd w:id="3"/>
    </w:p>
    <w:p w14:paraId="37F6BF0F">
      <w:pPr>
        <w:autoSpaceDE w:val="0"/>
        <w:autoSpaceDN w:val="0"/>
        <w:adjustRightInd w:val="0"/>
        <w:spacing w:line="360" w:lineRule="auto"/>
        <w:ind w:firstLine="420" w:firstLineChars="200"/>
        <w:jc w:val="left"/>
        <w:rPr>
          <w:rFonts w:hint="eastAsia" w:cs="Times New Roman"/>
          <w:szCs w:val="21"/>
          <w:lang w:val="en-US" w:eastAsia="zh-CN"/>
        </w:rPr>
      </w:pPr>
      <w:r>
        <w:rPr>
          <w:rFonts w:hint="default" w:cs="Times New Roman"/>
          <w:szCs w:val="21"/>
          <w:lang w:val="en-US" w:eastAsia="zh-CN"/>
        </w:rPr>
        <w:t>申请</w:t>
      </w:r>
      <w:r>
        <w:rPr>
          <w:rFonts w:hint="eastAsia" w:cs="Times New Roman"/>
          <w:szCs w:val="21"/>
          <w:lang w:val="en-US" w:eastAsia="zh-CN"/>
        </w:rPr>
        <w:t>评价</w:t>
      </w:r>
      <w:r>
        <w:rPr>
          <w:rFonts w:hint="default" w:cs="Times New Roman"/>
          <w:szCs w:val="21"/>
          <w:lang w:val="en-US" w:eastAsia="zh-CN"/>
        </w:rPr>
        <w:t>的农产品资料包括农产品的名称</w:t>
      </w:r>
      <w:r>
        <w:rPr>
          <w:rFonts w:hint="eastAsia" w:cs="Times New Roman"/>
          <w:szCs w:val="21"/>
          <w:lang w:val="en-US" w:eastAsia="zh-CN"/>
        </w:rPr>
        <w:t>、</w:t>
      </w:r>
      <w:r>
        <w:rPr>
          <w:rFonts w:hint="default" w:cs="Times New Roman"/>
          <w:szCs w:val="21"/>
          <w:lang w:val="en-US" w:eastAsia="zh-CN"/>
        </w:rPr>
        <w:t>品种</w:t>
      </w:r>
      <w:r>
        <w:rPr>
          <w:rFonts w:hint="eastAsia" w:cs="Times New Roman"/>
          <w:szCs w:val="21"/>
          <w:lang w:val="en-US" w:eastAsia="zh-CN"/>
        </w:rPr>
        <w:t>、</w:t>
      </w:r>
      <w:r>
        <w:rPr>
          <w:rFonts w:hint="default" w:cs="Times New Roman"/>
          <w:szCs w:val="21"/>
          <w:lang w:val="en-US" w:eastAsia="zh-CN"/>
        </w:rPr>
        <w:t>品质指标、生产基地信息。其中</w:t>
      </w:r>
      <w:r>
        <w:rPr>
          <w:rFonts w:hint="eastAsia" w:cs="Times New Roman"/>
          <w:szCs w:val="21"/>
          <w:lang w:val="en-US" w:eastAsia="zh-CN"/>
        </w:rPr>
        <w:t>，</w:t>
      </w:r>
      <w:r>
        <w:rPr>
          <w:rFonts w:hint="default" w:cs="Times New Roman"/>
          <w:szCs w:val="21"/>
          <w:lang w:val="en-US" w:eastAsia="zh-CN"/>
        </w:rPr>
        <w:t>品质指标主要包括内在生理生化指标和外观指标</w:t>
      </w:r>
      <w:r>
        <w:rPr>
          <w:rFonts w:hint="eastAsia" w:cs="Times New Roman"/>
          <w:szCs w:val="21"/>
          <w:lang w:val="en-US" w:eastAsia="zh-CN"/>
        </w:rPr>
        <w:t>；</w:t>
      </w:r>
      <w:r>
        <w:rPr>
          <w:rFonts w:hint="default" w:cs="Times New Roman"/>
          <w:szCs w:val="21"/>
          <w:lang w:val="en-US" w:eastAsia="zh-CN"/>
        </w:rPr>
        <w:t>生产基地信息包括基地名称</w:t>
      </w:r>
      <w:r>
        <w:rPr>
          <w:rFonts w:hint="eastAsia" w:cs="Times New Roman"/>
          <w:szCs w:val="21"/>
          <w:lang w:val="en-US" w:eastAsia="zh-CN"/>
        </w:rPr>
        <w:t>、</w:t>
      </w:r>
      <w:r>
        <w:rPr>
          <w:rFonts w:hint="default" w:cs="Times New Roman"/>
          <w:szCs w:val="21"/>
          <w:lang w:val="en-US" w:eastAsia="zh-CN"/>
        </w:rPr>
        <w:t>地址</w:t>
      </w:r>
      <w:r>
        <w:rPr>
          <w:rFonts w:hint="eastAsia" w:cs="Times New Roman"/>
          <w:szCs w:val="21"/>
          <w:lang w:val="en-US" w:eastAsia="zh-CN"/>
        </w:rPr>
        <w:t>、</w:t>
      </w:r>
      <w:r>
        <w:rPr>
          <w:rFonts w:hint="default" w:cs="Times New Roman"/>
          <w:szCs w:val="21"/>
          <w:lang w:val="en-US" w:eastAsia="zh-CN"/>
        </w:rPr>
        <w:t>生产规模</w:t>
      </w:r>
      <w:r>
        <w:rPr>
          <w:rFonts w:hint="eastAsia" w:cs="Times New Roman"/>
          <w:szCs w:val="21"/>
          <w:lang w:val="en-US" w:eastAsia="zh-CN"/>
        </w:rPr>
        <w:t>、</w:t>
      </w:r>
      <w:r>
        <w:rPr>
          <w:rFonts w:hint="default" w:cs="Times New Roman"/>
          <w:szCs w:val="21"/>
          <w:lang w:val="en-US" w:eastAsia="zh-CN"/>
        </w:rPr>
        <w:t>产地概况、环境条件等</w:t>
      </w:r>
      <w:r>
        <w:rPr>
          <w:rFonts w:hint="eastAsia" w:cs="Times New Roman"/>
          <w:szCs w:val="21"/>
          <w:lang w:val="en-US" w:eastAsia="zh-CN"/>
        </w:rPr>
        <w:t>。</w:t>
      </w:r>
    </w:p>
    <w:p w14:paraId="6FAF826E">
      <w:pPr>
        <w:autoSpaceDE w:val="0"/>
        <w:autoSpaceDN w:val="0"/>
        <w:adjustRightInd w:val="0"/>
        <w:spacing w:line="360" w:lineRule="auto"/>
        <w:ind w:firstLine="420" w:firstLineChars="200"/>
        <w:jc w:val="left"/>
        <w:rPr>
          <w:rFonts w:hint="eastAsia" w:cs="Times New Roman"/>
          <w:szCs w:val="21"/>
          <w:lang w:val="en-US" w:eastAsia="zh-CN"/>
        </w:rPr>
      </w:pPr>
      <w:bookmarkStart w:id="4" w:name="_Toc1211"/>
      <w:r>
        <w:rPr>
          <w:rFonts w:hint="eastAsia" w:cs="Times New Roman"/>
          <w:szCs w:val="21"/>
          <w:lang w:val="en-US" w:eastAsia="zh-CN"/>
        </w:rPr>
        <w:t>（3）气象资料</w:t>
      </w:r>
      <w:bookmarkEnd w:id="4"/>
    </w:p>
    <w:p w14:paraId="6C3312C8">
      <w:pPr>
        <w:autoSpaceDE w:val="0"/>
        <w:autoSpaceDN w:val="0"/>
        <w:adjustRightInd w:val="0"/>
        <w:spacing w:line="360" w:lineRule="auto"/>
        <w:ind w:firstLine="420" w:firstLineChars="200"/>
        <w:jc w:val="left"/>
        <w:rPr>
          <w:rFonts w:hint="eastAsia" w:cs="Times New Roman"/>
          <w:szCs w:val="21"/>
          <w:lang w:val="en-US" w:eastAsia="zh-CN"/>
        </w:rPr>
      </w:pPr>
      <w:r>
        <w:rPr>
          <w:rFonts w:hint="eastAsia" w:cs="Times New Roman"/>
          <w:szCs w:val="21"/>
          <w:lang w:val="en-US" w:eastAsia="zh-CN"/>
        </w:rPr>
        <w:t>气象资料应是代表该农产品生产区域和影响该农产品生产的时间范围内的资料。</w:t>
      </w:r>
    </w:p>
    <w:p w14:paraId="2EC177BE">
      <w:pPr>
        <w:autoSpaceDE w:val="0"/>
        <w:autoSpaceDN w:val="0"/>
        <w:adjustRightInd w:val="0"/>
        <w:spacing w:line="360" w:lineRule="auto"/>
        <w:ind w:firstLine="420" w:firstLineChars="200"/>
        <w:jc w:val="left"/>
        <w:rPr>
          <w:rFonts w:hint="eastAsia" w:cs="Times New Roman"/>
          <w:szCs w:val="21"/>
          <w:lang w:val="en-US" w:eastAsia="zh-CN"/>
        </w:rPr>
      </w:pPr>
      <w:r>
        <w:rPr>
          <w:rFonts w:hint="eastAsia" w:cs="Times New Roman"/>
          <w:szCs w:val="21"/>
          <w:lang w:val="en-US" w:eastAsia="zh-CN"/>
        </w:rPr>
        <w:t>气象资料来源于气象观测站,以最能代表认证区域内气象条件的气象观测站为准,如认证区域内或周边区域的农田小气候观测站、区域自动气象站或基本气象站。</w:t>
      </w:r>
    </w:p>
    <w:p w14:paraId="336E8FEC">
      <w:pPr>
        <w:autoSpaceDE w:val="0"/>
        <w:autoSpaceDN w:val="0"/>
        <w:adjustRightInd w:val="0"/>
        <w:spacing w:line="360" w:lineRule="auto"/>
        <w:ind w:firstLine="420" w:firstLineChars="200"/>
        <w:jc w:val="left"/>
        <w:rPr>
          <w:rFonts w:hint="eastAsia" w:cs="Times New Roman"/>
          <w:szCs w:val="21"/>
          <w:lang w:val="en-US" w:eastAsia="zh-CN"/>
        </w:rPr>
      </w:pPr>
      <w:r>
        <w:rPr>
          <w:rFonts w:hint="eastAsia" w:cs="Times New Roman"/>
          <w:szCs w:val="21"/>
          <w:lang w:val="en-US" w:eastAsia="zh-CN"/>
        </w:rPr>
        <w:t>气象要素主要包括气温、降水量、空气相对湿度、日时数、土壤温度、土壤相对湿度、太阳辐射等与认证农产品品质密切相关的气象因子。</w:t>
      </w:r>
    </w:p>
    <w:p w14:paraId="6A02FCAB">
      <w:pPr>
        <w:autoSpaceDE w:val="0"/>
        <w:autoSpaceDN w:val="0"/>
        <w:adjustRightInd w:val="0"/>
        <w:spacing w:line="360" w:lineRule="auto"/>
        <w:jc w:val="left"/>
        <w:rPr>
          <w:rFonts w:hint="eastAsia" w:cs="Times New Roman"/>
          <w:b/>
          <w:bCs/>
          <w:szCs w:val="21"/>
          <w:lang w:val="en-US" w:eastAsia="zh-CN"/>
        </w:rPr>
      </w:pPr>
      <w:r>
        <w:rPr>
          <w:rFonts w:hint="eastAsia" w:cs="Times New Roman"/>
          <w:b/>
          <w:bCs/>
          <w:szCs w:val="21"/>
          <w:lang w:val="en-US" w:eastAsia="zh-CN"/>
        </w:rPr>
        <w:t>（三）农产品气候品质评价流程</w:t>
      </w:r>
    </w:p>
    <w:p w14:paraId="624A92CE">
      <w:pPr>
        <w:autoSpaceDE w:val="0"/>
        <w:autoSpaceDN w:val="0"/>
        <w:adjustRightInd w:val="0"/>
        <w:spacing w:line="360" w:lineRule="auto"/>
        <w:ind w:firstLine="420" w:firstLineChars="200"/>
        <w:jc w:val="left"/>
        <w:rPr>
          <w:rFonts w:hint="eastAsia" w:cs="Times New Roman"/>
          <w:szCs w:val="21"/>
          <w:lang w:val="en-US" w:eastAsia="zh-CN"/>
        </w:rPr>
      </w:pPr>
      <w:r>
        <w:rPr>
          <w:rFonts w:hint="eastAsia" w:cs="Times New Roman"/>
          <w:szCs w:val="21"/>
          <w:lang w:val="en-US" w:eastAsia="zh-CN"/>
        </w:rPr>
        <w:t xml:space="preserve"> 规定了农产品气候品质评价流程分为申请、受理和勘验、审核、认证四个主要环节，这是实际开展气候品质评价工作中，可依照指导工作的必备条件。具体气候品质评价流程见下图：</w:t>
      </w:r>
    </w:p>
    <w:p w14:paraId="5AE9D50F">
      <w:pPr>
        <w:numPr>
          <w:ilvl w:val="0"/>
          <w:numId w:val="0"/>
        </w:numPr>
        <w:autoSpaceDE w:val="0"/>
        <w:autoSpaceDN w:val="0"/>
        <w:adjustRightInd w:val="0"/>
        <w:spacing w:line="360" w:lineRule="auto"/>
        <w:jc w:val="left"/>
        <w:rPr>
          <w:rFonts w:hint="eastAsia" w:cs="Times New Roman"/>
          <w:b/>
          <w:bCs/>
          <w:szCs w:val="21"/>
          <w:lang w:val="en-US" w:eastAsia="zh-CN"/>
        </w:rPr>
      </w:pPr>
      <w:r>
        <w:rPr>
          <w:rFonts w:hint="eastAsia" w:cs="Times New Roman"/>
          <w:b/>
          <w:bCs/>
          <w:szCs w:val="21"/>
          <w:lang w:val="en-US" w:eastAsia="zh-CN"/>
        </w:rPr>
        <w:drawing>
          <wp:inline distT="0" distB="0" distL="114300" distR="114300">
            <wp:extent cx="5256530" cy="4617720"/>
            <wp:effectExtent l="0" t="0" r="1270" b="11430"/>
            <wp:docPr id="1" name="图片 1" descr="评价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评价流程图"/>
                    <pic:cNvPicPr>
                      <a:picLocks noChangeAspect="1"/>
                    </pic:cNvPicPr>
                  </pic:nvPicPr>
                  <pic:blipFill>
                    <a:blip r:embed="rId5"/>
                    <a:stretch>
                      <a:fillRect/>
                    </a:stretch>
                  </pic:blipFill>
                  <pic:spPr>
                    <a:xfrm>
                      <a:off x="0" y="0"/>
                      <a:ext cx="5256530" cy="4617720"/>
                    </a:xfrm>
                    <a:prstGeom prst="rect">
                      <a:avLst/>
                    </a:prstGeom>
                  </pic:spPr>
                </pic:pic>
              </a:graphicData>
            </a:graphic>
          </wp:inline>
        </w:drawing>
      </w:r>
      <w:r>
        <w:rPr>
          <w:rFonts w:hint="eastAsia" w:cs="Times New Roman"/>
          <w:b/>
          <w:bCs/>
          <w:szCs w:val="21"/>
          <w:lang w:val="en-US" w:eastAsia="zh-CN"/>
        </w:rPr>
        <w:t>（四）农产品气候品质评价方法</w:t>
      </w:r>
    </w:p>
    <w:p w14:paraId="3EAFBFAD">
      <w:pPr>
        <w:numPr>
          <w:ilvl w:val="0"/>
          <w:numId w:val="0"/>
        </w:numPr>
        <w:autoSpaceDE w:val="0"/>
        <w:autoSpaceDN w:val="0"/>
        <w:adjustRightInd w:val="0"/>
        <w:spacing w:line="360" w:lineRule="auto"/>
        <w:ind w:firstLine="420" w:firstLineChars="200"/>
        <w:jc w:val="left"/>
        <w:rPr>
          <w:rFonts w:hint="eastAsia" w:cs="Times New Roman"/>
          <w:szCs w:val="21"/>
          <w:highlight w:val="yellow"/>
          <w:lang w:val="en-US" w:eastAsia="zh-CN"/>
        </w:rPr>
      </w:pPr>
      <w:r>
        <w:rPr>
          <w:rFonts w:hint="eastAsia" w:cs="Times New Roman"/>
          <w:szCs w:val="21"/>
          <w:highlight w:val="none"/>
          <w:lang w:val="en-US" w:eastAsia="zh-CN"/>
        </w:rPr>
        <w:t>规定了开展农产品气候品质评价的方法，是开展气候品质评价的关键技术环节。选取影响农产品品质的若干个气候品质指标，应用主成分分析、熵权法、专家决策法等方法，确定气候品质指标的权重系数。采用加权求和法，建立气候品质评价模型</w:t>
      </w:r>
    </w:p>
    <w:p w14:paraId="61453EC0">
      <w:pPr>
        <w:numPr>
          <w:ilvl w:val="0"/>
          <w:numId w:val="0"/>
        </w:numPr>
        <w:autoSpaceDE w:val="0"/>
        <w:autoSpaceDN w:val="0"/>
        <w:adjustRightInd w:val="0"/>
        <w:spacing w:line="360" w:lineRule="auto"/>
        <w:ind w:firstLine="420" w:firstLineChars="200"/>
        <w:jc w:val="center"/>
        <w:rPr>
          <w:rFonts w:hint="eastAsia" w:cs="Times New Roman"/>
          <w:szCs w:val="21"/>
          <w:lang w:val="en-US" w:eastAsia="zh-CN"/>
        </w:rPr>
      </w:pPr>
      <w:r>
        <w:rPr>
          <w:rFonts w:hint="eastAsia" w:cs="Times New Roman"/>
          <w:szCs w:val="21"/>
          <w:lang w:val="en-US" w:eastAsia="zh-CN"/>
        </w:rPr>
        <w:t>W= 0.5X1 + 0.3X2 + 0.2X3 …… （1）</w:t>
      </w:r>
    </w:p>
    <w:p w14:paraId="34C6EF1D">
      <w:pPr>
        <w:numPr>
          <w:ilvl w:val="0"/>
          <w:numId w:val="0"/>
        </w:numPr>
        <w:autoSpaceDE w:val="0"/>
        <w:autoSpaceDN w:val="0"/>
        <w:adjustRightInd w:val="0"/>
        <w:spacing w:line="360" w:lineRule="auto"/>
        <w:ind w:firstLine="420" w:firstLineChars="200"/>
        <w:jc w:val="left"/>
        <w:rPr>
          <w:rFonts w:hint="eastAsia" w:cs="Times New Roman"/>
          <w:szCs w:val="21"/>
          <w:lang w:val="en-US" w:eastAsia="zh-CN"/>
        </w:rPr>
      </w:pPr>
      <w:r>
        <w:rPr>
          <w:rFonts w:hint="eastAsia" w:cs="Times New Roman"/>
          <w:szCs w:val="21"/>
          <w:lang w:val="en-US" w:eastAsia="zh-CN"/>
        </w:rPr>
        <w:t>式中：W：农产品的气候品质评价综合得分。X1、 X2、 X3最大值均为100分。</w:t>
      </w:r>
    </w:p>
    <w:p w14:paraId="30AA0648">
      <w:pPr>
        <w:numPr>
          <w:ilvl w:val="0"/>
          <w:numId w:val="0"/>
        </w:numPr>
        <w:autoSpaceDE w:val="0"/>
        <w:autoSpaceDN w:val="0"/>
        <w:adjustRightInd w:val="0"/>
        <w:spacing w:line="360" w:lineRule="auto"/>
        <w:ind w:firstLine="420" w:firstLineChars="200"/>
        <w:jc w:val="left"/>
        <w:rPr>
          <w:rFonts w:hint="eastAsia" w:cs="Times New Roman"/>
          <w:szCs w:val="21"/>
          <w:lang w:val="en-US" w:eastAsia="zh-CN"/>
        </w:rPr>
      </w:pPr>
      <w:r>
        <w:rPr>
          <w:rFonts w:hint="eastAsia" w:cs="Times New Roman"/>
          <w:szCs w:val="21"/>
          <w:lang w:val="en-US" w:eastAsia="zh-CN"/>
        </w:rPr>
        <w:t>X1表示该区气候适宜性得分。X2表示该区当年气象条件适宜性得分。包括α和β两部分：X2=α-β综合考虑农产品生长期内气候要素对其生长发育是否适宜，认证得分为α，同时考虑农产品生长期内气象灾害对其品质影响认证得分为β。X3为农产品生产基地生态环境因素得分。选取产地森林覆盖率、品质抽检、标准化生产技术、质量安全技术规范作为农产品生产环境认证因子。</w:t>
      </w:r>
    </w:p>
    <w:p w14:paraId="3959C2DA">
      <w:pPr>
        <w:numPr>
          <w:ilvl w:val="0"/>
          <w:numId w:val="0"/>
        </w:numPr>
        <w:autoSpaceDE w:val="0"/>
        <w:autoSpaceDN w:val="0"/>
        <w:adjustRightInd w:val="0"/>
        <w:spacing w:line="360" w:lineRule="auto"/>
        <w:ind w:firstLine="420" w:firstLineChars="200"/>
        <w:jc w:val="left"/>
        <w:rPr>
          <w:rFonts w:hint="eastAsia" w:cs="Times New Roman"/>
          <w:szCs w:val="21"/>
          <w:lang w:val="en-US" w:eastAsia="zh-CN"/>
        </w:rPr>
      </w:pPr>
      <w:r>
        <w:rPr>
          <w:rFonts w:hint="eastAsia" w:cs="Times New Roman"/>
          <w:szCs w:val="21"/>
          <w:lang w:val="en-US" w:eastAsia="zh-CN"/>
        </w:rPr>
        <w:t>根据气候品质评价模型计算农产品气候品质评分情况，并将农产品气候品质等级根据得分划分为四级，按优劣顺序为：特优、优、良、一般。根据气候品质评价模型计算出的得分等级划分方法见下表，农产品气候品质等级原则上划分为四级，实际应用中其分级也可参照农产品品质等级进行修改并确定相应的气候品质评价指标和阈值。</w:t>
      </w:r>
    </w:p>
    <w:p w14:paraId="71E43561">
      <w:pPr>
        <w:adjustRightInd w:val="0"/>
        <w:snapToGrid w:val="0"/>
        <w:spacing w:beforeLines="50" w:line="360" w:lineRule="auto"/>
        <w:jc w:val="center"/>
        <w:rPr>
          <w:rFonts w:hint="eastAsia" w:ascii="宋体" w:hAnsi="宋体" w:eastAsia="宋体" w:cs="宋体"/>
          <w:b/>
          <w:bCs w:val="0"/>
          <w:sz w:val="21"/>
          <w:szCs w:val="21"/>
        </w:rPr>
      </w:pPr>
      <w:r>
        <w:rPr>
          <w:rFonts w:hint="eastAsia" w:ascii="宋体" w:hAnsi="宋体" w:eastAsia="宋体" w:cs="宋体"/>
          <w:b/>
          <w:bCs w:val="0"/>
          <w:sz w:val="21"/>
          <w:szCs w:val="21"/>
        </w:rPr>
        <w:t>表</w:t>
      </w:r>
      <w:r>
        <w:rPr>
          <w:rFonts w:hint="eastAsia" w:ascii="宋体" w:hAnsi="宋体" w:cs="宋体"/>
          <w:b/>
          <w:bCs w:val="0"/>
          <w:sz w:val="21"/>
          <w:szCs w:val="21"/>
          <w:lang w:val="en-US" w:eastAsia="zh-CN"/>
        </w:rPr>
        <w:t>1</w:t>
      </w:r>
      <w:r>
        <w:rPr>
          <w:rFonts w:hint="eastAsia" w:ascii="宋体" w:hAnsi="宋体" w:eastAsia="宋体" w:cs="宋体"/>
          <w:b/>
          <w:bCs w:val="0"/>
          <w:sz w:val="21"/>
          <w:szCs w:val="21"/>
        </w:rPr>
        <w:t xml:space="preserve"> 农产品气候品质认证标准</w:t>
      </w:r>
    </w:p>
    <w:tbl>
      <w:tblPr>
        <w:tblStyle w:val="8"/>
        <w:tblW w:w="4998"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89"/>
        <w:gridCol w:w="1851"/>
        <w:gridCol w:w="1802"/>
        <w:gridCol w:w="1966"/>
        <w:gridCol w:w="1311"/>
      </w:tblGrid>
      <w:tr w14:paraId="0593CAC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32" w:type="pct"/>
            <w:tcBorders>
              <w:top w:val="single" w:color="auto" w:sz="4" w:space="0"/>
              <w:bottom w:val="single" w:color="auto" w:sz="4" w:space="0"/>
            </w:tcBorders>
            <w:vAlign w:val="center"/>
          </w:tcPr>
          <w:p w14:paraId="34F8E529">
            <w:pPr>
              <w:spacing w:line="520" w:lineRule="exact"/>
              <w:jc w:val="center"/>
              <w:rPr>
                <w:rFonts w:hint="eastAsia" w:ascii="宋体" w:hAnsi="宋体" w:eastAsia="宋体" w:cs="宋体"/>
                <w:bCs/>
                <w:sz w:val="21"/>
                <w:szCs w:val="21"/>
              </w:rPr>
            </w:pPr>
            <w:r>
              <w:rPr>
                <w:rFonts w:hint="eastAsia" w:ascii="宋体" w:hAnsi="宋体" w:eastAsia="宋体" w:cs="宋体"/>
                <w:bCs/>
                <w:sz w:val="21"/>
                <w:szCs w:val="21"/>
              </w:rPr>
              <w:t>级别</w:t>
            </w:r>
          </w:p>
        </w:tc>
        <w:tc>
          <w:tcPr>
            <w:tcW w:w="1086" w:type="pct"/>
            <w:tcBorders>
              <w:top w:val="single" w:color="auto" w:sz="4" w:space="0"/>
              <w:bottom w:val="single" w:color="auto" w:sz="4" w:space="0"/>
            </w:tcBorders>
            <w:vAlign w:val="center"/>
          </w:tcPr>
          <w:p w14:paraId="77200BAA">
            <w:pPr>
              <w:spacing w:line="520" w:lineRule="exact"/>
              <w:jc w:val="center"/>
              <w:rPr>
                <w:rFonts w:hint="eastAsia" w:ascii="宋体" w:hAnsi="宋体" w:eastAsia="宋体" w:cs="宋体"/>
                <w:bCs/>
                <w:sz w:val="21"/>
                <w:szCs w:val="21"/>
              </w:rPr>
            </w:pPr>
            <w:r>
              <w:rPr>
                <w:rFonts w:hint="eastAsia" w:ascii="宋体" w:hAnsi="宋体" w:eastAsia="宋体" w:cs="宋体"/>
                <w:bCs/>
                <w:sz w:val="21"/>
                <w:szCs w:val="21"/>
              </w:rPr>
              <w:t>特优</w:t>
            </w:r>
          </w:p>
        </w:tc>
        <w:tc>
          <w:tcPr>
            <w:tcW w:w="1057" w:type="pct"/>
            <w:tcBorders>
              <w:top w:val="single" w:color="auto" w:sz="4" w:space="0"/>
              <w:bottom w:val="single" w:color="auto" w:sz="4" w:space="0"/>
            </w:tcBorders>
            <w:vAlign w:val="center"/>
          </w:tcPr>
          <w:p w14:paraId="64BB110B">
            <w:pPr>
              <w:spacing w:line="520" w:lineRule="exact"/>
              <w:jc w:val="center"/>
              <w:rPr>
                <w:rFonts w:hint="eastAsia" w:ascii="宋体" w:hAnsi="宋体" w:eastAsia="宋体" w:cs="宋体"/>
                <w:bCs/>
                <w:sz w:val="21"/>
                <w:szCs w:val="21"/>
              </w:rPr>
            </w:pPr>
            <w:r>
              <w:rPr>
                <w:rFonts w:hint="eastAsia" w:ascii="宋体" w:hAnsi="宋体" w:eastAsia="宋体" w:cs="宋体"/>
                <w:bCs/>
                <w:sz w:val="21"/>
                <w:szCs w:val="21"/>
              </w:rPr>
              <w:t>优</w:t>
            </w:r>
          </w:p>
        </w:tc>
        <w:tc>
          <w:tcPr>
            <w:tcW w:w="1153" w:type="pct"/>
            <w:tcBorders>
              <w:top w:val="single" w:color="auto" w:sz="4" w:space="0"/>
              <w:bottom w:val="single" w:color="auto" w:sz="4" w:space="0"/>
            </w:tcBorders>
            <w:vAlign w:val="center"/>
          </w:tcPr>
          <w:p w14:paraId="55995C6C">
            <w:pPr>
              <w:spacing w:line="520" w:lineRule="exact"/>
              <w:jc w:val="center"/>
              <w:rPr>
                <w:rFonts w:hint="eastAsia" w:ascii="宋体" w:hAnsi="宋体" w:eastAsia="宋体" w:cs="宋体"/>
                <w:bCs/>
                <w:sz w:val="21"/>
                <w:szCs w:val="21"/>
              </w:rPr>
            </w:pPr>
            <w:r>
              <w:rPr>
                <w:rFonts w:hint="eastAsia" w:ascii="宋体" w:hAnsi="宋体" w:eastAsia="宋体" w:cs="宋体"/>
                <w:bCs/>
                <w:sz w:val="21"/>
                <w:szCs w:val="21"/>
              </w:rPr>
              <w:t>良好</w:t>
            </w:r>
          </w:p>
        </w:tc>
        <w:tc>
          <w:tcPr>
            <w:tcW w:w="769" w:type="pct"/>
            <w:tcBorders>
              <w:top w:val="single" w:color="auto" w:sz="4" w:space="0"/>
              <w:bottom w:val="single" w:color="auto" w:sz="4" w:space="0"/>
            </w:tcBorders>
            <w:vAlign w:val="center"/>
          </w:tcPr>
          <w:p w14:paraId="38492C9C">
            <w:pPr>
              <w:spacing w:line="520" w:lineRule="exact"/>
              <w:jc w:val="center"/>
              <w:rPr>
                <w:rFonts w:hint="eastAsia" w:ascii="宋体" w:hAnsi="宋体" w:eastAsia="宋体" w:cs="宋体"/>
                <w:bCs/>
                <w:sz w:val="21"/>
                <w:szCs w:val="21"/>
              </w:rPr>
            </w:pPr>
            <w:r>
              <w:rPr>
                <w:rFonts w:hint="eastAsia" w:ascii="宋体" w:hAnsi="宋体" w:eastAsia="宋体" w:cs="宋体"/>
                <w:bCs/>
                <w:sz w:val="21"/>
                <w:szCs w:val="21"/>
              </w:rPr>
              <w:t>一般</w:t>
            </w:r>
          </w:p>
        </w:tc>
      </w:tr>
      <w:tr w14:paraId="70D94A7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32" w:type="pct"/>
            <w:vAlign w:val="center"/>
          </w:tcPr>
          <w:p w14:paraId="733244E9">
            <w:pPr>
              <w:spacing w:line="520" w:lineRule="exact"/>
              <w:jc w:val="center"/>
              <w:rPr>
                <w:rFonts w:hint="eastAsia" w:ascii="宋体" w:hAnsi="宋体" w:eastAsia="宋体" w:cs="宋体"/>
                <w:bCs/>
                <w:sz w:val="21"/>
                <w:szCs w:val="21"/>
              </w:rPr>
            </w:pPr>
            <w:r>
              <w:rPr>
                <w:rFonts w:hint="eastAsia" w:ascii="宋体" w:hAnsi="宋体" w:eastAsia="宋体" w:cs="宋体"/>
                <w:bCs/>
                <w:sz w:val="21"/>
                <w:szCs w:val="21"/>
              </w:rPr>
              <w:t>评分</w:t>
            </w:r>
          </w:p>
        </w:tc>
        <w:tc>
          <w:tcPr>
            <w:tcW w:w="1086" w:type="pct"/>
            <w:vAlign w:val="center"/>
          </w:tcPr>
          <w:p w14:paraId="41FEBFD0">
            <w:pPr>
              <w:spacing w:line="520" w:lineRule="exact"/>
              <w:jc w:val="center"/>
              <w:rPr>
                <w:rFonts w:hint="eastAsia" w:ascii="宋体" w:hAnsi="宋体" w:eastAsia="宋体" w:cs="宋体"/>
                <w:bCs/>
                <w:sz w:val="21"/>
                <w:szCs w:val="21"/>
              </w:rPr>
            </w:pPr>
            <w:r>
              <w:rPr>
                <w:rFonts w:hint="eastAsia" w:ascii="宋体" w:hAnsi="宋体" w:eastAsia="宋体" w:cs="宋体"/>
                <w:bCs/>
                <w:sz w:val="21"/>
                <w:szCs w:val="21"/>
              </w:rPr>
              <w:t>95≤w≤100</w:t>
            </w:r>
          </w:p>
        </w:tc>
        <w:tc>
          <w:tcPr>
            <w:tcW w:w="1057" w:type="pct"/>
            <w:vAlign w:val="center"/>
          </w:tcPr>
          <w:p w14:paraId="71A274C6">
            <w:pPr>
              <w:spacing w:line="520" w:lineRule="exact"/>
              <w:jc w:val="center"/>
              <w:rPr>
                <w:rFonts w:hint="eastAsia" w:ascii="宋体" w:hAnsi="宋体" w:eastAsia="宋体" w:cs="宋体"/>
                <w:bCs/>
                <w:sz w:val="21"/>
                <w:szCs w:val="21"/>
              </w:rPr>
            </w:pPr>
            <w:r>
              <w:rPr>
                <w:rFonts w:hint="eastAsia" w:ascii="宋体" w:hAnsi="宋体" w:eastAsia="宋体" w:cs="宋体"/>
                <w:bCs/>
                <w:sz w:val="21"/>
                <w:szCs w:val="21"/>
              </w:rPr>
              <w:t>90≤w＜95</w:t>
            </w:r>
          </w:p>
        </w:tc>
        <w:tc>
          <w:tcPr>
            <w:tcW w:w="1153" w:type="pct"/>
            <w:vAlign w:val="center"/>
          </w:tcPr>
          <w:p w14:paraId="3F9385F8">
            <w:pPr>
              <w:spacing w:line="520" w:lineRule="exact"/>
              <w:jc w:val="center"/>
              <w:rPr>
                <w:rFonts w:hint="eastAsia" w:ascii="宋体" w:hAnsi="宋体" w:eastAsia="宋体" w:cs="宋体"/>
                <w:bCs/>
                <w:sz w:val="21"/>
                <w:szCs w:val="21"/>
              </w:rPr>
            </w:pPr>
            <w:r>
              <w:rPr>
                <w:rFonts w:hint="eastAsia" w:ascii="宋体" w:hAnsi="宋体" w:eastAsia="宋体" w:cs="宋体"/>
                <w:bCs/>
                <w:sz w:val="21"/>
                <w:szCs w:val="21"/>
              </w:rPr>
              <w:t>85≤w＜90</w:t>
            </w:r>
          </w:p>
        </w:tc>
        <w:tc>
          <w:tcPr>
            <w:tcW w:w="769" w:type="pct"/>
            <w:vAlign w:val="center"/>
          </w:tcPr>
          <w:p w14:paraId="4FA7DEB1">
            <w:pPr>
              <w:spacing w:line="520" w:lineRule="exact"/>
              <w:jc w:val="center"/>
              <w:rPr>
                <w:rFonts w:hint="eastAsia" w:ascii="宋体" w:hAnsi="宋体" w:eastAsia="宋体" w:cs="宋体"/>
                <w:bCs/>
                <w:sz w:val="21"/>
                <w:szCs w:val="21"/>
              </w:rPr>
            </w:pPr>
            <w:r>
              <w:rPr>
                <w:rFonts w:hint="eastAsia" w:ascii="宋体" w:hAnsi="宋体" w:eastAsia="宋体" w:cs="宋体"/>
                <w:bCs/>
                <w:sz w:val="21"/>
                <w:szCs w:val="21"/>
              </w:rPr>
              <w:t>w＜85</w:t>
            </w:r>
          </w:p>
        </w:tc>
      </w:tr>
    </w:tbl>
    <w:p w14:paraId="630457F6">
      <w:pPr>
        <w:numPr>
          <w:ilvl w:val="0"/>
          <w:numId w:val="0"/>
        </w:numPr>
        <w:autoSpaceDE w:val="0"/>
        <w:autoSpaceDN w:val="0"/>
        <w:adjustRightInd w:val="0"/>
        <w:spacing w:line="360" w:lineRule="auto"/>
        <w:jc w:val="left"/>
        <w:rPr>
          <w:rFonts w:hint="eastAsia" w:cs="Times New Roman"/>
          <w:b/>
          <w:bCs/>
          <w:szCs w:val="21"/>
          <w:lang w:val="en-US" w:eastAsia="zh-CN"/>
        </w:rPr>
      </w:pPr>
      <w:r>
        <w:rPr>
          <w:rFonts w:hint="eastAsia" w:cs="Times New Roman"/>
          <w:b/>
          <w:bCs/>
          <w:szCs w:val="21"/>
          <w:lang w:val="en-US" w:eastAsia="zh-CN"/>
        </w:rPr>
        <w:t>（五）农产品气候品质评价报告</w:t>
      </w:r>
    </w:p>
    <w:p w14:paraId="30CC2D59">
      <w:pPr>
        <w:numPr>
          <w:ilvl w:val="0"/>
          <w:numId w:val="0"/>
        </w:numPr>
        <w:autoSpaceDE w:val="0"/>
        <w:autoSpaceDN w:val="0"/>
        <w:adjustRightInd w:val="0"/>
        <w:spacing w:line="360" w:lineRule="auto"/>
        <w:ind w:firstLine="420" w:firstLineChars="200"/>
        <w:jc w:val="left"/>
        <w:rPr>
          <w:rFonts w:hint="eastAsia" w:cs="Times New Roman"/>
          <w:szCs w:val="21"/>
          <w:lang w:val="en-US" w:eastAsia="zh-CN"/>
        </w:rPr>
      </w:pPr>
      <w:r>
        <w:rPr>
          <w:rFonts w:hint="eastAsia" w:cs="Times New Roman"/>
          <w:szCs w:val="21"/>
          <w:lang w:val="en-US" w:eastAsia="zh-CN"/>
        </w:rPr>
        <w:t>规定了开展农产品气候品质评价所需出具的报告的格式及必须涵盖的内容。评价报告主要包括农产品的名称 、委托单位 、气候品质评价标识 、农产品生产区域和生产单位的概况 、农产品生长期主要(关键)天气气候条件分析 、评价等级 、报告适用范围及评价单位等。</w:t>
      </w:r>
    </w:p>
    <w:p w14:paraId="0DBDA40C">
      <w:pPr>
        <w:pStyle w:val="12"/>
        <w:spacing w:line="360" w:lineRule="auto"/>
        <w:ind w:left="0" w:leftChars="0" w:firstLine="0" w:firstLineChars="0"/>
        <w:rPr>
          <w:rFonts w:hint="eastAsia" w:hAnsi="Times New Roman" w:cs="Times New Roman"/>
          <w:b/>
          <w:bCs/>
          <w:szCs w:val="21"/>
          <w:lang w:val="en-US" w:eastAsia="zh-CN"/>
        </w:rPr>
      </w:pPr>
      <w:bookmarkStart w:id="5" w:name="_Toc19503"/>
      <w:r>
        <w:rPr>
          <w:rFonts w:hint="eastAsia" w:hAnsi="Times New Roman" w:cs="Times New Roman"/>
          <w:b/>
          <w:bCs/>
          <w:szCs w:val="21"/>
          <w:lang w:val="en-US" w:eastAsia="zh-CN"/>
        </w:rPr>
        <w:t>（六）农产品气候品质等级标志</w:t>
      </w:r>
      <w:bookmarkEnd w:id="5"/>
    </w:p>
    <w:p w14:paraId="36F1BA17">
      <w:pPr>
        <w:numPr>
          <w:ilvl w:val="0"/>
          <w:numId w:val="0"/>
        </w:numPr>
        <w:autoSpaceDE w:val="0"/>
        <w:autoSpaceDN w:val="0"/>
        <w:adjustRightInd w:val="0"/>
        <w:spacing w:line="360" w:lineRule="auto"/>
        <w:jc w:val="left"/>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 xml:space="preserve">   规定了所开展的农产品气候品质评价所发放的标志，及批号代码规范，确保农产品气候品质评价标志的统一性以及代码的唯一性，确保</w:t>
      </w:r>
      <w:r>
        <w:rPr>
          <w:rFonts w:hint="eastAsia" w:cs="Times New Roman"/>
          <w:szCs w:val="21"/>
          <w:lang w:val="en-US" w:eastAsia="zh-CN"/>
        </w:rPr>
        <w:t>“</w:t>
      </w:r>
      <w:r>
        <w:rPr>
          <w:rFonts w:hint="eastAsia" w:ascii="Times New Roman" w:hAnsi="Times New Roman" w:cs="Times New Roman"/>
          <w:szCs w:val="21"/>
          <w:lang w:val="en-US" w:eastAsia="zh-CN"/>
        </w:rPr>
        <w:t>一品一号</w:t>
      </w:r>
      <w:r>
        <w:rPr>
          <w:rFonts w:hint="eastAsia" w:cs="Times New Roman"/>
          <w:szCs w:val="21"/>
          <w:lang w:val="en-US" w:eastAsia="zh-CN"/>
        </w:rPr>
        <w:t>”</w:t>
      </w:r>
      <w:r>
        <w:rPr>
          <w:rFonts w:hint="eastAsia" w:ascii="Times New Roman" w:hAnsi="Times New Roman" w:cs="Times New Roman"/>
          <w:szCs w:val="21"/>
          <w:lang w:val="en-US" w:eastAsia="zh-CN"/>
        </w:rPr>
        <w:t>，是助力农产品增值的关键条件。</w:t>
      </w:r>
      <w:bookmarkStart w:id="6" w:name="_Toc23341"/>
    </w:p>
    <w:p w14:paraId="01C64D61">
      <w:pPr>
        <w:numPr>
          <w:ilvl w:val="0"/>
          <w:numId w:val="2"/>
        </w:numPr>
        <w:autoSpaceDE w:val="0"/>
        <w:autoSpaceDN w:val="0"/>
        <w:adjustRightInd w:val="0"/>
        <w:spacing w:line="360" w:lineRule="auto"/>
        <w:jc w:val="left"/>
        <w:rPr>
          <w:rFonts w:ascii="宋体" w:hAnsi="宋体" w:eastAsia="宋体" w:cs="宋体"/>
          <w:spacing w:val="-1"/>
          <w:sz w:val="21"/>
          <w:szCs w:val="21"/>
        </w:rPr>
      </w:pPr>
      <w:r>
        <w:rPr>
          <w:rFonts w:ascii="宋体" w:hAnsi="宋体" w:eastAsia="宋体" w:cs="宋体"/>
          <w:spacing w:val="-1"/>
          <w:sz w:val="21"/>
          <w:szCs w:val="21"/>
        </w:rPr>
        <w:t>农产品气候</w:t>
      </w:r>
      <w:r>
        <w:rPr>
          <w:rFonts w:hint="eastAsia" w:ascii="宋体" w:hAnsi="宋体" w:eastAsia="宋体" w:cs="宋体"/>
          <w:spacing w:val="-1"/>
          <w:sz w:val="21"/>
          <w:szCs w:val="21"/>
          <w:lang w:eastAsia="zh-CN"/>
        </w:rPr>
        <w:t>品质评价</w:t>
      </w:r>
      <w:r>
        <w:rPr>
          <w:rFonts w:ascii="宋体" w:hAnsi="宋体" w:eastAsia="宋体" w:cs="宋体"/>
          <w:spacing w:val="-1"/>
          <w:sz w:val="21"/>
          <w:szCs w:val="21"/>
        </w:rPr>
        <w:t>等级使用全</w:t>
      </w:r>
      <w:r>
        <w:rPr>
          <w:rFonts w:hint="eastAsia" w:ascii="宋体" w:hAnsi="宋体" w:cs="宋体"/>
          <w:spacing w:val="-1"/>
          <w:sz w:val="21"/>
          <w:szCs w:val="21"/>
          <w:lang w:val="en-US" w:eastAsia="zh-CN"/>
        </w:rPr>
        <w:t>省</w:t>
      </w:r>
      <w:r>
        <w:rPr>
          <w:rFonts w:ascii="宋体" w:hAnsi="宋体" w:eastAsia="宋体" w:cs="宋体"/>
          <w:spacing w:val="-1"/>
          <w:sz w:val="21"/>
          <w:szCs w:val="21"/>
        </w:rPr>
        <w:t>统一的标志。</w:t>
      </w:r>
      <w:bookmarkEnd w:id="6"/>
      <w:bookmarkStart w:id="7" w:name="_Toc5122"/>
    </w:p>
    <w:p w14:paraId="4F24E807">
      <w:pPr>
        <w:numPr>
          <w:ilvl w:val="0"/>
          <w:numId w:val="2"/>
        </w:numPr>
        <w:autoSpaceDE w:val="0"/>
        <w:autoSpaceDN w:val="0"/>
        <w:adjustRightInd w:val="0"/>
        <w:spacing w:line="360" w:lineRule="auto"/>
        <w:jc w:val="left"/>
        <w:rPr>
          <w:rFonts w:hint="eastAsia"/>
        </w:rPr>
      </w:pPr>
      <w:r>
        <w:rPr>
          <w:rFonts w:ascii="宋体" w:hAnsi="宋体" w:eastAsia="宋体" w:cs="宋体"/>
          <w:spacing w:val="-1"/>
          <w:sz w:val="21"/>
          <w:szCs w:val="21"/>
        </w:rPr>
        <w:t>农产品气候品质标志由标识图和批号代码两部分组</w:t>
      </w:r>
      <w:r>
        <w:rPr>
          <w:rFonts w:ascii="宋体" w:hAnsi="宋体" w:eastAsia="宋体" w:cs="宋体"/>
          <w:spacing w:val="-2"/>
          <w:sz w:val="21"/>
          <w:szCs w:val="21"/>
        </w:rPr>
        <w:t>成，标识图以中国气象图标为主题图形，包含</w:t>
      </w:r>
      <w:r>
        <w:rPr>
          <w:rFonts w:ascii="宋体" w:hAnsi="宋体" w:eastAsia="宋体" w:cs="宋体"/>
          <w:spacing w:val="-1"/>
          <w:sz w:val="21"/>
          <w:szCs w:val="21"/>
        </w:rPr>
        <w:t>标志名称、气候品质等级等信息，图标分为四类，</w:t>
      </w:r>
      <w:r>
        <w:rPr>
          <w:rFonts w:hint="eastAsia" w:ascii="宋体" w:hAnsi="宋体" w:eastAsia="宋体" w:cs="宋体"/>
          <w:spacing w:val="-1"/>
          <w:sz w:val="21"/>
          <w:szCs w:val="21"/>
          <w:lang w:val="en-US" w:eastAsia="zh-CN"/>
        </w:rPr>
        <w:t>分别为特优、优、良好、一般</w:t>
      </w:r>
      <w:bookmarkEnd w:id="7"/>
      <w:bookmarkStart w:id="8" w:name="_Toc1175"/>
    </w:p>
    <w:p w14:paraId="7E3C9B48">
      <w:pPr>
        <w:numPr>
          <w:ilvl w:val="0"/>
          <w:numId w:val="2"/>
        </w:numPr>
        <w:autoSpaceDE w:val="0"/>
        <w:autoSpaceDN w:val="0"/>
        <w:adjustRightInd w:val="0"/>
        <w:spacing w:line="360" w:lineRule="auto"/>
        <w:jc w:val="left"/>
        <w:rPr>
          <w:rFonts w:hint="eastAsia"/>
        </w:rPr>
      </w:pPr>
      <w:r>
        <w:rPr>
          <w:rFonts w:hint="eastAsia"/>
          <w:lang w:val="en-US" w:eastAsia="zh-CN"/>
        </w:rPr>
        <w:t>批号代码</w:t>
      </w:r>
      <w:bookmarkEnd w:id="8"/>
    </w:p>
    <w:p w14:paraId="64D74A26">
      <w:pPr>
        <w:spacing w:before="58" w:line="212" w:lineRule="auto"/>
        <w:ind w:left="419"/>
        <w:rPr>
          <w:rFonts w:hint="eastAsia" w:ascii="宋体" w:hAnsi="宋体" w:eastAsia="宋体" w:cs="宋体"/>
          <w:spacing w:val="-1"/>
          <w:kern w:val="0"/>
          <w:sz w:val="21"/>
          <w:szCs w:val="21"/>
          <w:lang w:val="en-US" w:eastAsia="zh-CN" w:bidi="ar-SA"/>
        </w:rPr>
      </w:pPr>
      <w:r>
        <w:rPr>
          <w:rFonts w:hint="eastAsia" w:ascii="宋体" w:hAnsi="宋体" w:eastAsia="宋体" w:cs="宋体"/>
          <w:spacing w:val="-1"/>
          <w:kern w:val="0"/>
          <w:sz w:val="21"/>
          <w:szCs w:val="21"/>
          <w:lang w:val="en-US" w:eastAsia="zh-CN" w:bidi="ar-SA"/>
        </w:rPr>
        <w:t>批号代码为：QHyyyyqqqqhhhx。</w:t>
      </w:r>
    </w:p>
    <w:p w14:paraId="13B2F4E1">
      <w:pPr>
        <w:spacing w:before="133" w:line="219" w:lineRule="auto"/>
        <w:ind w:left="419"/>
        <w:rPr>
          <w:rFonts w:hint="eastAsia" w:ascii="宋体" w:hAnsi="宋体" w:eastAsia="宋体" w:cs="宋体"/>
          <w:spacing w:val="-1"/>
          <w:kern w:val="0"/>
          <w:sz w:val="21"/>
          <w:szCs w:val="21"/>
          <w:lang w:val="en-US" w:eastAsia="zh-CN" w:bidi="ar-SA"/>
        </w:rPr>
      </w:pPr>
      <w:r>
        <w:rPr>
          <w:rFonts w:hint="eastAsia" w:ascii="宋体" w:hAnsi="宋体" w:eastAsia="宋体" w:cs="宋体"/>
          <w:spacing w:val="-1"/>
          <w:kern w:val="0"/>
          <w:sz w:val="21"/>
          <w:szCs w:val="21"/>
          <w:lang w:val="en-US" w:eastAsia="zh-CN" w:bidi="ar-SA"/>
        </w:rPr>
        <w:t>批号代码编制原则和含义：</w:t>
      </w:r>
    </w:p>
    <w:p w14:paraId="2408DB9B">
      <w:pPr>
        <w:spacing w:before="119" w:line="218" w:lineRule="auto"/>
        <w:ind w:left="419"/>
        <w:rPr>
          <w:rFonts w:hint="eastAsia" w:ascii="宋体" w:hAnsi="宋体" w:eastAsia="宋体" w:cs="宋体"/>
          <w:spacing w:val="-1"/>
          <w:kern w:val="0"/>
          <w:sz w:val="21"/>
          <w:szCs w:val="21"/>
          <w:lang w:val="en-US" w:eastAsia="zh-CN" w:bidi="ar-SA"/>
        </w:rPr>
      </w:pPr>
      <w:r>
        <w:rPr>
          <w:rFonts w:hint="eastAsia" w:ascii="宋体" w:hAnsi="宋体" w:eastAsia="宋体" w:cs="宋体"/>
          <w:spacing w:val="-1"/>
          <w:kern w:val="0"/>
          <w:sz w:val="21"/>
          <w:szCs w:val="21"/>
          <w:lang w:val="en-US" w:eastAsia="zh-CN" w:bidi="ar-SA"/>
        </w:rPr>
        <w:t>QH: 代表农产品气候品质评价；</w:t>
      </w:r>
    </w:p>
    <w:p w14:paraId="5198BDA8">
      <w:pPr>
        <w:spacing w:before="90" w:line="212" w:lineRule="auto"/>
        <w:ind w:left="419"/>
        <w:rPr>
          <w:rFonts w:hint="eastAsia" w:ascii="宋体" w:hAnsi="宋体" w:eastAsia="宋体" w:cs="宋体"/>
          <w:spacing w:val="-1"/>
          <w:kern w:val="0"/>
          <w:sz w:val="21"/>
          <w:szCs w:val="21"/>
          <w:lang w:val="en-US" w:eastAsia="zh-CN" w:bidi="ar-SA"/>
        </w:rPr>
      </w:pPr>
      <w:r>
        <w:rPr>
          <w:rFonts w:hint="eastAsia" w:ascii="宋体" w:hAnsi="宋体" w:eastAsia="宋体" w:cs="宋体"/>
          <w:spacing w:val="-1"/>
          <w:kern w:val="0"/>
          <w:sz w:val="21"/>
          <w:szCs w:val="21"/>
          <w:lang w:val="en-US" w:eastAsia="zh-CN" w:bidi="ar-SA"/>
        </w:rPr>
        <w:t>yyyy: 代表年份，以4位数字表示具体年份；</w:t>
      </w:r>
    </w:p>
    <w:p w14:paraId="57A05613">
      <w:pPr>
        <w:spacing w:before="147" w:line="214" w:lineRule="auto"/>
        <w:ind w:left="419"/>
        <w:rPr>
          <w:rFonts w:hint="eastAsia" w:ascii="宋体" w:hAnsi="宋体" w:eastAsia="宋体" w:cs="宋体"/>
          <w:spacing w:val="-1"/>
          <w:kern w:val="0"/>
          <w:sz w:val="21"/>
          <w:szCs w:val="21"/>
          <w:lang w:val="en-US" w:eastAsia="zh-CN" w:bidi="ar-SA"/>
        </w:rPr>
      </w:pPr>
      <w:r>
        <w:rPr>
          <w:rFonts w:hint="eastAsia" w:ascii="宋体" w:hAnsi="宋体" w:eastAsia="宋体" w:cs="宋体"/>
          <w:spacing w:val="-1"/>
          <w:kern w:val="0"/>
          <w:sz w:val="21"/>
          <w:szCs w:val="21"/>
          <w:lang w:val="en-US" w:eastAsia="zh-CN" w:bidi="ar-SA"/>
        </w:rPr>
        <w:t>qqqq: 代表申请</w:t>
      </w:r>
      <w:r>
        <w:rPr>
          <w:rFonts w:hint="eastAsia" w:ascii="宋体" w:hAnsi="宋体" w:cs="宋体"/>
          <w:spacing w:val="-1"/>
          <w:kern w:val="0"/>
          <w:sz w:val="21"/>
          <w:szCs w:val="21"/>
          <w:lang w:val="en-US" w:eastAsia="zh-CN" w:bidi="ar-SA"/>
        </w:rPr>
        <w:t>评价农产品生产</w:t>
      </w:r>
      <w:r>
        <w:rPr>
          <w:rFonts w:hint="eastAsia" w:ascii="宋体" w:hAnsi="宋体" w:eastAsia="宋体" w:cs="宋体"/>
          <w:spacing w:val="-1"/>
          <w:kern w:val="0"/>
          <w:sz w:val="21"/>
          <w:szCs w:val="21"/>
          <w:lang w:val="en-US" w:eastAsia="zh-CN" w:bidi="ar-SA"/>
        </w:rPr>
        <w:t>区域所在地的县市区</w:t>
      </w:r>
      <w:r>
        <w:rPr>
          <w:rFonts w:hint="eastAsia"/>
          <w:lang w:val="en-US" w:eastAsia="zh-CN"/>
        </w:rPr>
        <w:t>行政区划代码</w:t>
      </w:r>
      <w:r>
        <w:rPr>
          <w:rFonts w:hint="eastAsia" w:ascii="宋体" w:hAnsi="宋体" w:eastAsia="宋体" w:cs="宋体"/>
          <w:spacing w:val="-1"/>
          <w:kern w:val="0"/>
          <w:sz w:val="21"/>
          <w:szCs w:val="21"/>
          <w:lang w:val="en-US" w:eastAsia="zh-CN" w:bidi="ar-SA"/>
        </w:rPr>
        <w:t>，</w:t>
      </w:r>
      <w:r>
        <w:rPr>
          <w:rFonts w:hint="eastAsia" w:ascii="宋体" w:hAnsi="宋体" w:cs="宋体"/>
          <w:spacing w:val="-1"/>
          <w:kern w:val="0"/>
          <w:sz w:val="21"/>
          <w:szCs w:val="21"/>
          <w:lang w:val="en-US" w:eastAsia="zh-CN" w:bidi="ar-SA"/>
        </w:rPr>
        <w:t>代</w:t>
      </w:r>
      <w:r>
        <w:rPr>
          <w:rFonts w:hint="eastAsia" w:ascii="宋体" w:hAnsi="宋体" w:eastAsia="宋体" w:cs="宋体"/>
          <w:spacing w:val="-1"/>
          <w:kern w:val="0"/>
          <w:sz w:val="21"/>
          <w:szCs w:val="21"/>
          <w:lang w:val="en-US" w:eastAsia="zh-CN" w:bidi="ar-SA"/>
        </w:rPr>
        <w:t>码表见附录D；</w:t>
      </w:r>
    </w:p>
    <w:p w14:paraId="1BC81621">
      <w:pPr>
        <w:spacing w:before="112" w:line="219" w:lineRule="auto"/>
        <w:ind w:left="419"/>
        <w:rPr>
          <w:rFonts w:hint="eastAsia" w:ascii="宋体" w:hAnsi="宋体" w:eastAsia="宋体" w:cs="宋体"/>
          <w:spacing w:val="-1"/>
          <w:kern w:val="0"/>
          <w:sz w:val="21"/>
          <w:szCs w:val="21"/>
          <w:lang w:val="en-US" w:eastAsia="zh-CN" w:bidi="ar-SA"/>
        </w:rPr>
      </w:pPr>
      <w:r>
        <w:rPr>
          <w:rFonts w:hint="eastAsia" w:ascii="宋体" w:hAnsi="宋体" w:eastAsia="宋体" w:cs="宋体"/>
          <w:spacing w:val="-1"/>
          <w:kern w:val="0"/>
          <w:sz w:val="21"/>
          <w:szCs w:val="21"/>
          <w:lang w:val="en-US" w:eastAsia="zh-CN" w:bidi="ar-SA"/>
        </w:rPr>
        <w:t>hhh: 代表评价批次；</w:t>
      </w:r>
    </w:p>
    <w:p w14:paraId="5E7B86BA">
      <w:pPr>
        <w:numPr>
          <w:ilvl w:val="0"/>
          <w:numId w:val="0"/>
        </w:numPr>
        <w:autoSpaceDE w:val="0"/>
        <w:autoSpaceDN w:val="0"/>
        <w:adjustRightInd w:val="0"/>
        <w:spacing w:line="360" w:lineRule="auto"/>
        <w:ind w:firstLine="416" w:firstLineChars="200"/>
        <w:jc w:val="left"/>
        <w:rPr>
          <w:rFonts w:hint="default" w:cs="Times New Roman"/>
          <w:szCs w:val="21"/>
          <w:lang w:val="en-US" w:eastAsia="zh-CN"/>
        </w:rPr>
      </w:pPr>
      <w:r>
        <w:rPr>
          <w:rFonts w:hint="eastAsia" w:ascii="宋体" w:hAnsi="宋体" w:eastAsia="宋体" w:cs="宋体"/>
          <w:spacing w:val="-1"/>
          <w:kern w:val="0"/>
          <w:sz w:val="21"/>
          <w:szCs w:val="21"/>
          <w:lang w:val="en-US" w:eastAsia="zh-CN" w:bidi="ar-SA"/>
        </w:rPr>
        <w:t>x:代表气候品质的指标等级。T 为</w:t>
      </w:r>
      <w:r>
        <w:rPr>
          <w:rFonts w:hint="eastAsia" w:ascii="宋体" w:hAnsi="宋体" w:cs="宋体"/>
          <w:spacing w:val="-1"/>
          <w:kern w:val="0"/>
          <w:sz w:val="21"/>
          <w:szCs w:val="21"/>
          <w:lang w:val="en-US" w:eastAsia="zh-CN" w:bidi="ar-SA"/>
        </w:rPr>
        <w:t>“</w:t>
      </w:r>
      <w:r>
        <w:rPr>
          <w:rFonts w:hint="eastAsia" w:ascii="宋体" w:hAnsi="宋体" w:eastAsia="宋体" w:cs="宋体"/>
          <w:spacing w:val="-1"/>
          <w:kern w:val="0"/>
          <w:sz w:val="21"/>
          <w:szCs w:val="21"/>
          <w:lang w:val="en-US" w:eastAsia="zh-CN" w:bidi="ar-SA"/>
        </w:rPr>
        <w:t>特优</w:t>
      </w:r>
      <w:r>
        <w:rPr>
          <w:rFonts w:hint="eastAsia" w:ascii="宋体" w:hAnsi="宋体" w:cs="宋体"/>
          <w:spacing w:val="-1"/>
          <w:kern w:val="0"/>
          <w:sz w:val="21"/>
          <w:szCs w:val="21"/>
          <w:lang w:val="en-US" w:eastAsia="zh-CN" w:bidi="ar-SA"/>
        </w:rPr>
        <w:t>”</w:t>
      </w:r>
      <w:r>
        <w:rPr>
          <w:rFonts w:hint="eastAsia" w:ascii="宋体" w:hAnsi="宋体" w:eastAsia="宋体" w:cs="宋体"/>
          <w:spacing w:val="-1"/>
          <w:kern w:val="0"/>
          <w:sz w:val="21"/>
          <w:szCs w:val="21"/>
          <w:lang w:val="en-US" w:eastAsia="zh-CN" w:bidi="ar-SA"/>
        </w:rPr>
        <w:t>,Y 为</w:t>
      </w:r>
      <w:r>
        <w:rPr>
          <w:rFonts w:hint="eastAsia" w:ascii="宋体" w:hAnsi="宋体" w:cs="宋体"/>
          <w:spacing w:val="-1"/>
          <w:kern w:val="0"/>
          <w:sz w:val="21"/>
          <w:szCs w:val="21"/>
          <w:lang w:val="en-US" w:eastAsia="zh-CN" w:bidi="ar-SA"/>
        </w:rPr>
        <w:t>“</w:t>
      </w:r>
      <w:r>
        <w:rPr>
          <w:rFonts w:hint="eastAsia" w:ascii="宋体" w:hAnsi="宋体" w:eastAsia="宋体" w:cs="宋体"/>
          <w:spacing w:val="-1"/>
          <w:kern w:val="0"/>
          <w:sz w:val="21"/>
          <w:szCs w:val="21"/>
          <w:lang w:val="en-US" w:eastAsia="zh-CN" w:bidi="ar-SA"/>
        </w:rPr>
        <w:t>优</w:t>
      </w:r>
      <w:r>
        <w:rPr>
          <w:rFonts w:hint="eastAsia" w:ascii="宋体" w:hAnsi="宋体" w:cs="宋体"/>
          <w:spacing w:val="-1"/>
          <w:kern w:val="0"/>
          <w:sz w:val="21"/>
          <w:szCs w:val="21"/>
          <w:lang w:val="en-US" w:eastAsia="zh-CN" w:bidi="ar-SA"/>
        </w:rPr>
        <w:t>”</w:t>
      </w:r>
      <w:r>
        <w:rPr>
          <w:rFonts w:hint="eastAsia" w:ascii="宋体" w:hAnsi="宋体" w:eastAsia="宋体" w:cs="宋体"/>
          <w:spacing w:val="-1"/>
          <w:kern w:val="0"/>
          <w:sz w:val="21"/>
          <w:szCs w:val="21"/>
          <w:lang w:val="en-US" w:eastAsia="zh-CN" w:bidi="ar-SA"/>
        </w:rPr>
        <w:t>,</w:t>
      </w:r>
      <w:r>
        <w:rPr>
          <w:rFonts w:hint="eastAsia" w:ascii="宋体" w:hAnsi="宋体" w:cs="宋体"/>
          <w:spacing w:val="-1"/>
          <w:kern w:val="0"/>
          <w:sz w:val="21"/>
          <w:szCs w:val="21"/>
          <w:lang w:val="en-US" w:eastAsia="zh-CN" w:bidi="ar-SA"/>
        </w:rPr>
        <w:t>H</w:t>
      </w:r>
      <w:r>
        <w:rPr>
          <w:rFonts w:hint="eastAsia" w:ascii="宋体" w:hAnsi="宋体" w:eastAsia="宋体" w:cs="宋体"/>
          <w:spacing w:val="-1"/>
          <w:kern w:val="0"/>
          <w:sz w:val="21"/>
          <w:szCs w:val="21"/>
          <w:lang w:val="en-US" w:eastAsia="zh-CN" w:bidi="ar-SA"/>
        </w:rPr>
        <w:t>为</w:t>
      </w:r>
      <w:r>
        <w:rPr>
          <w:rFonts w:hint="eastAsia" w:ascii="宋体" w:hAnsi="宋体" w:cs="宋体"/>
          <w:spacing w:val="-1"/>
          <w:kern w:val="0"/>
          <w:sz w:val="21"/>
          <w:szCs w:val="21"/>
          <w:lang w:val="en-US" w:eastAsia="zh-CN" w:bidi="ar-SA"/>
        </w:rPr>
        <w:t>“</w:t>
      </w:r>
      <w:r>
        <w:rPr>
          <w:rFonts w:hint="eastAsia" w:ascii="宋体" w:hAnsi="宋体" w:eastAsia="宋体" w:cs="宋体"/>
          <w:spacing w:val="-1"/>
          <w:kern w:val="0"/>
          <w:sz w:val="21"/>
          <w:szCs w:val="21"/>
          <w:lang w:val="en-US" w:eastAsia="zh-CN" w:bidi="ar-SA"/>
        </w:rPr>
        <w:t>良</w:t>
      </w:r>
      <w:r>
        <w:rPr>
          <w:rFonts w:hint="eastAsia" w:ascii="宋体" w:hAnsi="宋体" w:cs="宋体"/>
          <w:spacing w:val="-1"/>
          <w:kern w:val="0"/>
          <w:sz w:val="21"/>
          <w:szCs w:val="21"/>
          <w:lang w:val="en-US" w:eastAsia="zh-CN" w:bidi="ar-SA"/>
        </w:rPr>
        <w:t>”</w:t>
      </w:r>
      <w:r>
        <w:rPr>
          <w:rFonts w:hint="eastAsia" w:ascii="宋体" w:hAnsi="宋体" w:eastAsia="宋体" w:cs="宋体"/>
          <w:spacing w:val="-1"/>
          <w:kern w:val="0"/>
          <w:sz w:val="21"/>
          <w:szCs w:val="21"/>
          <w:lang w:val="en-US" w:eastAsia="zh-CN" w:bidi="ar-SA"/>
        </w:rPr>
        <w:t xml:space="preserve"> ,B 为</w:t>
      </w:r>
      <w:r>
        <w:rPr>
          <w:rFonts w:hint="eastAsia" w:ascii="宋体" w:hAnsi="宋体" w:cs="宋体"/>
          <w:spacing w:val="-1"/>
          <w:kern w:val="0"/>
          <w:sz w:val="21"/>
          <w:szCs w:val="21"/>
          <w:lang w:val="en-US" w:eastAsia="zh-CN" w:bidi="ar-SA"/>
        </w:rPr>
        <w:t>“</w:t>
      </w:r>
      <w:r>
        <w:rPr>
          <w:rFonts w:hint="eastAsia" w:ascii="宋体" w:hAnsi="宋体" w:eastAsia="宋体" w:cs="宋体"/>
          <w:spacing w:val="-1"/>
          <w:kern w:val="0"/>
          <w:sz w:val="21"/>
          <w:szCs w:val="21"/>
          <w:lang w:val="en-US" w:eastAsia="zh-CN" w:bidi="ar-SA"/>
        </w:rPr>
        <w:t>一般</w:t>
      </w:r>
      <w:r>
        <w:rPr>
          <w:rFonts w:hint="eastAsia" w:ascii="宋体" w:hAnsi="宋体" w:cs="宋体"/>
          <w:spacing w:val="-1"/>
          <w:kern w:val="0"/>
          <w:sz w:val="21"/>
          <w:szCs w:val="21"/>
          <w:lang w:val="en-US" w:eastAsia="zh-CN" w:bidi="ar-SA"/>
        </w:rPr>
        <w:t>”</w:t>
      </w:r>
      <w:r>
        <w:rPr>
          <w:rFonts w:hint="eastAsia" w:ascii="宋体" w:hAnsi="宋体" w:eastAsia="宋体" w:cs="宋体"/>
          <w:spacing w:val="-1"/>
          <w:kern w:val="0"/>
          <w:sz w:val="21"/>
          <w:szCs w:val="21"/>
          <w:lang w:val="en-US" w:eastAsia="zh-CN" w:bidi="ar-SA"/>
        </w:rPr>
        <w:t>。</w:t>
      </w:r>
    </w:p>
    <w:p w14:paraId="014A40CA">
      <w:pPr>
        <w:spacing w:line="360" w:lineRule="auto"/>
        <w:jc w:val="left"/>
        <w:rPr>
          <w:rFonts w:hint="eastAsia"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五、主要试验（或验证）的测试报告、相关技术和经济影响论证</w:t>
      </w:r>
    </w:p>
    <w:p w14:paraId="22DB8434">
      <w:pPr>
        <w:autoSpaceDE w:val="0"/>
        <w:autoSpaceDN w:val="0"/>
        <w:adjustRightInd w:val="0"/>
        <w:spacing w:line="360" w:lineRule="auto"/>
        <w:ind w:firstLine="420" w:firstLineChars="200"/>
        <w:jc w:val="left"/>
        <w:rPr>
          <w:rFonts w:hint="eastAsia" w:cs="Times New Roman"/>
          <w:sz w:val="21"/>
          <w:szCs w:val="21"/>
          <w:lang w:val="en-US" w:eastAsia="zh-CN"/>
        </w:rPr>
      </w:pPr>
      <w:r>
        <w:rPr>
          <w:rFonts w:hint="eastAsia" w:ascii="Times New Roman" w:hAnsi="Times New Roman" w:eastAsia="宋体" w:cs="Times New Roman"/>
          <w:szCs w:val="21"/>
          <w:lang w:val="en-US" w:eastAsia="zh-CN"/>
        </w:rPr>
        <w:t>本规范的制定填补了贵州省农产品气候品质评价标准体系的空白。通过整合气象数据、农产品生化指标与区域生态特征，可为</w:t>
      </w:r>
      <w:r>
        <w:rPr>
          <w:rFonts w:hint="eastAsia" w:cs="Times New Roman"/>
          <w:szCs w:val="21"/>
          <w:lang w:val="en-US" w:eastAsia="zh-CN"/>
        </w:rPr>
        <w:t>“</w:t>
      </w:r>
      <w:r>
        <w:rPr>
          <w:rFonts w:hint="eastAsia" w:ascii="Times New Roman" w:hAnsi="Times New Roman" w:eastAsia="宋体" w:cs="Times New Roman"/>
          <w:szCs w:val="21"/>
          <w:lang w:val="en-US" w:eastAsia="zh-CN"/>
        </w:rPr>
        <w:t>黔货出山</w:t>
      </w:r>
      <w:r>
        <w:rPr>
          <w:rFonts w:hint="eastAsia" w:cs="Times New Roman"/>
          <w:szCs w:val="21"/>
          <w:lang w:val="en-US" w:eastAsia="zh-CN"/>
        </w:rPr>
        <w:t>”</w:t>
      </w:r>
      <w:r>
        <w:rPr>
          <w:rFonts w:hint="eastAsia" w:ascii="Times New Roman" w:hAnsi="Times New Roman" w:eastAsia="宋体" w:cs="Times New Roman"/>
          <w:szCs w:val="21"/>
          <w:lang w:val="en-US" w:eastAsia="zh-CN"/>
        </w:rPr>
        <w:t>品牌建设提供技术支撑，助力乡村振兴。</w:t>
      </w:r>
      <w:r>
        <w:rPr>
          <w:rFonts w:hint="eastAsia" w:cs="Times New Roman"/>
          <w:szCs w:val="21"/>
          <w:highlight w:val="none"/>
          <w:lang w:val="en-US" w:eastAsia="zh-CN"/>
        </w:rPr>
        <w:t>以</w:t>
      </w:r>
      <w:r>
        <w:rPr>
          <w:rFonts w:hint="eastAsia" w:cs="Times New Roman"/>
          <w:sz w:val="21"/>
          <w:szCs w:val="21"/>
          <w:highlight w:val="none"/>
          <w:lang w:val="en-US" w:eastAsia="zh-CN"/>
        </w:rPr>
        <w:t>贵州省都匀毛尖气候品质评</w:t>
      </w:r>
      <w:r>
        <w:rPr>
          <w:rFonts w:hint="eastAsia" w:ascii="Times New Roman" w:hAnsi="Times New Roman" w:eastAsia="宋体" w:cs="Times New Roman"/>
          <w:sz w:val="21"/>
          <w:szCs w:val="21"/>
          <w:highlight w:val="none"/>
          <w:lang w:val="en-US" w:eastAsia="zh-CN"/>
        </w:rPr>
        <w:t>价为</w:t>
      </w:r>
      <w:r>
        <w:rPr>
          <w:rFonts w:hint="eastAsia" w:cs="Times New Roman"/>
          <w:sz w:val="21"/>
          <w:szCs w:val="21"/>
          <w:highlight w:val="none"/>
          <w:lang w:val="en-US" w:eastAsia="zh-CN"/>
        </w:rPr>
        <w:t>例，</w:t>
      </w:r>
      <w:r>
        <w:rPr>
          <w:rFonts w:hint="eastAsia" w:cs="Times New Roman"/>
          <w:b/>
          <w:bCs/>
          <w:sz w:val="21"/>
          <w:szCs w:val="21"/>
          <w:highlight w:val="none"/>
          <w:lang w:val="en-US" w:eastAsia="zh-CN"/>
        </w:rPr>
        <w:t>气候品质评价</w:t>
      </w:r>
      <w:r>
        <w:rPr>
          <w:rFonts w:hint="eastAsia" w:cs="Times New Roman"/>
          <w:b/>
          <w:bCs/>
          <w:sz w:val="21"/>
          <w:szCs w:val="21"/>
          <w:lang w:val="en-US" w:eastAsia="zh-CN"/>
        </w:rPr>
        <w:t>认定等级与品质报告对比一致</w:t>
      </w:r>
      <w:r>
        <w:rPr>
          <w:rFonts w:hint="eastAsia" w:cs="Times New Roman"/>
          <w:sz w:val="21"/>
          <w:szCs w:val="21"/>
          <w:lang w:val="en-US" w:eastAsia="zh-CN"/>
        </w:rPr>
        <w:t>。</w:t>
      </w:r>
    </w:p>
    <w:p w14:paraId="60F2406E">
      <w:pPr>
        <w:autoSpaceDE w:val="0"/>
        <w:autoSpaceDN w:val="0"/>
        <w:adjustRightInd w:val="0"/>
        <w:spacing w:line="360" w:lineRule="auto"/>
        <w:jc w:val="left"/>
        <w:rPr>
          <w:rFonts w:hint="default"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（一）都匀毛尖气候品质评价资料收集和处理</w:t>
      </w:r>
    </w:p>
    <w:p w14:paraId="67BEDC86">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气象资料：本报告使用都匀市国家气象观测站近10年（2015-2024年）气象观测资料评价都匀茶叶近10年气候品质，使用都匀市2024年国家站+区域站气象观测资料评价2024年全域茶叶气候品质。按照茶叶气候品质评价行标，气象要素取都匀茶叶采摘期逐日前15天的逐日平均气温、空气相对湿度、日照时数等。</w:t>
      </w:r>
    </w:p>
    <w:p w14:paraId="560FF8B7">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茶资料：主要包括茶叶产量、茶园面积、茶叶产值等生产数据，以及水浸出物、茶多酚、氨基酸等品质数据，来自于贵州省茶办、茶叶相关研究项目及都匀市茶产业发展中心近年采收的部分茶叶的化验检测报告。</w:t>
      </w:r>
    </w:p>
    <w:p w14:paraId="75A154CD">
      <w:pPr>
        <w:autoSpaceDE w:val="0"/>
        <w:autoSpaceDN w:val="0"/>
        <w:adjustRightInd w:val="0"/>
        <w:spacing w:line="360" w:lineRule="auto"/>
        <w:jc w:val="left"/>
        <w:rPr>
          <w:rFonts w:hint="eastAsia" w:ascii="Times New Roman" w:hAnsi="Times New Roman" w:eastAsia="宋体" w:cs="Times New Roman"/>
          <w:b/>
          <w:bCs/>
          <w:szCs w:val="21"/>
          <w:lang w:val="en-US" w:eastAsia="zh-CN"/>
        </w:rPr>
      </w:pPr>
      <w:bookmarkStart w:id="9" w:name="_Toc8313"/>
      <w:bookmarkStart w:id="10" w:name="_Toc21388"/>
      <w:bookmarkStart w:id="11" w:name="_Toc3045"/>
      <w:r>
        <w:rPr>
          <w:rFonts w:hint="eastAsia" w:ascii="Times New Roman" w:hAnsi="Times New Roman" w:eastAsia="宋体" w:cs="Times New Roman"/>
          <w:b/>
          <w:bCs/>
          <w:szCs w:val="21"/>
          <w:lang w:val="en-US" w:eastAsia="zh-CN"/>
        </w:rPr>
        <w:t>（二）评价技术方法</w:t>
      </w:r>
      <w:bookmarkEnd w:id="9"/>
      <w:bookmarkEnd w:id="10"/>
      <w:bookmarkEnd w:id="11"/>
    </w:p>
    <w:p w14:paraId="46C4E6C4">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根据中华人民共和国气象行业茶叶气候品质评价标准(QX/T 411-2017)及《全国茶叶气候品质评价技术规范（试行）》，对都匀市近10年（2015-2024年）和2024年全域的茶叶进行气候品质评价。                 </w:t>
      </w:r>
    </w:p>
    <w:p w14:paraId="7EE5A3A2">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bookmarkStart w:id="12" w:name="_Toc29642"/>
      <w:bookmarkStart w:id="13" w:name="_Toc28511"/>
      <w:bookmarkStart w:id="14" w:name="_Toc4304"/>
      <w:r>
        <w:rPr>
          <w:rFonts w:hint="eastAsia" w:ascii="Times New Roman" w:hAnsi="Times New Roman" w:eastAsia="宋体" w:cs="Times New Roman"/>
          <w:szCs w:val="21"/>
          <w:lang w:val="en-US" w:eastAsia="zh-CN"/>
        </w:rPr>
        <w:t>（1） 茶叶品质代表性气候指标</w:t>
      </w:r>
      <w:bookmarkEnd w:id="12"/>
      <w:bookmarkEnd w:id="13"/>
      <w:bookmarkEnd w:id="14"/>
    </w:p>
    <w:p w14:paraId="12CBACC7">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茶叶属亚热带耐阴性的多年生植物，喜温喜湿，要求年平均气温、生产期间月平均气温均在15℃以上。3月上旬连续≥3天日平均气温≥10℃时，茶芽萌动生长、鱼叶迅速展开；气温稳定在10℃以上时，茶芽、叶片生长加快，并抽出新梢；15～20℃时生长较快；20～30℃时生长最旺盛，但易老化，因而有</w:t>
      </w:r>
      <w:r>
        <w:rPr>
          <w:rFonts w:hint="eastAsia" w:cs="Times New Roman"/>
          <w:szCs w:val="21"/>
          <w:lang w:val="en-US" w:eastAsia="zh-CN"/>
        </w:rPr>
        <w:t>“</w:t>
      </w:r>
      <w:r>
        <w:rPr>
          <w:rFonts w:hint="eastAsia" w:ascii="Times New Roman" w:hAnsi="Times New Roman" w:eastAsia="宋体" w:cs="Times New Roman"/>
          <w:szCs w:val="21"/>
          <w:lang w:val="en-US" w:eastAsia="zh-CN"/>
        </w:rPr>
        <w:t>茶到立夏一夜粗</w:t>
      </w:r>
      <w:r>
        <w:rPr>
          <w:rFonts w:hint="eastAsia" w:cs="Times New Roman"/>
          <w:szCs w:val="21"/>
          <w:lang w:val="en-US" w:eastAsia="zh-CN"/>
        </w:rPr>
        <w:t>”</w:t>
      </w:r>
      <w:r>
        <w:rPr>
          <w:rFonts w:hint="eastAsia" w:ascii="Times New Roman" w:hAnsi="Times New Roman" w:eastAsia="宋体" w:cs="Times New Roman"/>
          <w:szCs w:val="21"/>
          <w:lang w:val="en-US" w:eastAsia="zh-CN"/>
        </w:rPr>
        <w:t>的说法；最高气温在35℃以上时，生长停止；秋冬季气温下降到10℃以下时停止生长，进入休眠；茶叶生存的最低下限温度因品种差异而不同，为-12～-8℃。</w:t>
      </w:r>
    </w:p>
    <w:p w14:paraId="1D949ECE">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b w:val="0"/>
          <w:kern w:val="2"/>
          <w:sz w:val="21"/>
          <w:szCs w:val="21"/>
          <w:lang w:val="en-US" w:eastAsia="zh-CN" w:bidi="ar-SA"/>
        </w:rPr>
        <w:t>茶树有机体中90％～95％的干物质是靠光合作用合成的。光对茶树生长、茶叶质量有较大的影响，红光、黄光易被茶树吸收利用。在海拔500～800米的中山区，随着高度的增加，云雾、降雨日也相应增加，因而多漫射光，且所含红、黄光多有利于氨基酸、维生素形成</w:t>
      </w:r>
      <w:r>
        <w:rPr>
          <w:rFonts w:hint="eastAsia" w:ascii="Times New Roman" w:hAnsi="Times New Roman" w:eastAsia="宋体" w:cs="Times New Roman"/>
          <w:szCs w:val="21"/>
          <w:lang w:val="en-US" w:eastAsia="zh-CN"/>
        </w:rPr>
        <w:t>，茶叶芽嫩、叶肥、香味浓，这正是</w:t>
      </w:r>
      <w:r>
        <w:rPr>
          <w:rFonts w:hint="eastAsia" w:cs="Times New Roman"/>
          <w:szCs w:val="21"/>
          <w:lang w:val="en-US" w:eastAsia="zh-CN"/>
        </w:rPr>
        <w:t>“</w:t>
      </w:r>
      <w:r>
        <w:rPr>
          <w:rFonts w:hint="eastAsia" w:ascii="Times New Roman" w:hAnsi="Times New Roman" w:eastAsia="宋体" w:cs="Times New Roman"/>
          <w:szCs w:val="21"/>
          <w:lang w:val="en-US" w:eastAsia="zh-CN"/>
        </w:rPr>
        <w:t>高山云雾出好茶</w:t>
      </w:r>
      <w:r>
        <w:rPr>
          <w:rFonts w:hint="eastAsia" w:cs="Times New Roman"/>
          <w:szCs w:val="21"/>
          <w:lang w:val="en-US" w:eastAsia="zh-CN"/>
        </w:rPr>
        <w:t>”</w:t>
      </w:r>
      <w:r>
        <w:rPr>
          <w:rFonts w:hint="eastAsia" w:ascii="Times New Roman" w:hAnsi="Times New Roman" w:eastAsia="宋体" w:cs="Times New Roman"/>
          <w:szCs w:val="21"/>
          <w:lang w:val="en-US" w:eastAsia="zh-CN"/>
        </w:rPr>
        <w:t>的气候原因。</w:t>
      </w:r>
    </w:p>
    <w:p w14:paraId="724E5CAB">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茶树适宜的降水量在年平均1000~2000毫米，生长季节的月降水量在100毫米以上，相对湿度一般以80%~90%为佳。土壤相对含水量以70%~80%为宜。这样的雨量和湿度最适宜茶树生长。茶叶生长最适宜的土壤PH值4.5~6.5（4.5~5.5为最适宜）。春季低温阴雨、盛夏高温少雨、干旱都会影响茶叶的产量和品质。</w:t>
      </w:r>
    </w:p>
    <w:p w14:paraId="798B7B21">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bookmarkStart w:id="15" w:name="_Toc28827"/>
      <w:bookmarkStart w:id="16" w:name="_Toc3611"/>
      <w:bookmarkStart w:id="17" w:name="_Toc6252"/>
      <w:r>
        <w:rPr>
          <w:rFonts w:hint="eastAsia" w:ascii="Times New Roman" w:hAnsi="Times New Roman" w:eastAsia="宋体" w:cs="Times New Roman"/>
          <w:szCs w:val="21"/>
          <w:lang w:val="en-US" w:eastAsia="zh-CN"/>
        </w:rPr>
        <w:t>（2）茶叶气候品质评价模型</w:t>
      </w:r>
      <w:bookmarkEnd w:id="15"/>
      <w:bookmarkEnd w:id="16"/>
      <w:bookmarkEnd w:id="17"/>
    </w:p>
    <w:p w14:paraId="525EFFCB">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依据茶叶气候品质评价行业标准，评价方法如公式</w:t>
      </w:r>
      <w:r>
        <w:rPr>
          <w:rFonts w:hint="eastAsia" w:cs="Times New Roman"/>
          <w:szCs w:val="21"/>
          <w:lang w:val="en-US" w:eastAsia="zh-CN"/>
        </w:rPr>
        <w:t>5.</w:t>
      </w:r>
      <w:r>
        <w:rPr>
          <w:rFonts w:hint="eastAsia" w:ascii="Times New Roman" w:hAnsi="Times New Roman" w:eastAsia="宋体" w:cs="Times New Roman"/>
          <w:szCs w:val="21"/>
          <w:lang w:val="en-US" w:eastAsia="zh-CN"/>
        </w:rPr>
        <w:t>1所示，</w:t>
      </w:r>
    </w:p>
    <w:p w14:paraId="46565EFF">
      <w:pPr>
        <w:spacing w:line="360" w:lineRule="auto"/>
        <w:ind w:firstLine="420" w:firstLineChars="200"/>
        <w:rPr>
          <w:rFonts w:hint="eastAsia" w:ascii="宋体" w:hAnsi="宋体"/>
          <w:sz w:val="21"/>
          <w:szCs w:val="21"/>
        </w:rPr>
      </w:pP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w:t>
      </w:r>
      <w:r>
        <w:rPr>
          <w:rFonts w:ascii="Times New Roman" w:hAnsi="Times New Roman"/>
          <w:position w:val="-28"/>
          <w:sz w:val="21"/>
          <w:szCs w:val="21"/>
        </w:rPr>
        <w:object>
          <v:shape id="_x0000_i1025" o:spt="75" type="#_x0000_t75" style="height:34pt;width:68pt;" o:ole="t" filled="f" coordsize="21600,21600">
            <v:path/>
            <v:fill on="f" focussize="0,0"/>
            <v:stroke/>
            <v:imagedata r:id="rId7" o:title=""/>
            <o:lock v:ext="edit" aspectratio="t"/>
            <w10:wrap type="none"/>
            <w10:anchorlock/>
          </v:shape>
          <o:OLEObject Type="Embed" ProgID="Equation.DSMT4" ShapeID="_x0000_i1025" DrawAspect="Content" ObjectID="_1468075725" r:id="rId6">
            <o:LockedField>false</o:LockedField>
          </o:OLEObject>
        </w:objec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lang w:val="en-US" w:eastAsia="zh-CN"/>
        </w:rPr>
        <w:t>5.</w:t>
      </w:r>
      <w:r>
        <w:rPr>
          <w:rFonts w:hint="eastAsia" w:ascii="宋体" w:hAnsi="宋体"/>
          <w:sz w:val="21"/>
          <w:szCs w:val="21"/>
        </w:rPr>
        <w:t>1）</w:t>
      </w:r>
    </w:p>
    <w:p w14:paraId="25123A0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式中</w:t>
      </w:r>
      <w:r>
        <w:rPr>
          <w:rFonts w:hint="eastAsia" w:ascii="Times New Roman" w:hAnsi="Times New Roman" w:eastAsia="宋体" w:cs="Times New Roman"/>
          <w:b w:val="0"/>
          <w:kern w:val="2"/>
          <w:sz w:val="21"/>
          <w:szCs w:val="21"/>
          <w:lang w:val="en-US" w:eastAsia="zh-CN" w:bidi="ar-SA"/>
        </w:rPr>
        <w:object>
          <v:shape id="_x0000_i1026" o:spt="75" type="#_x0000_t75" style="height:19pt;width:18pt;" o:ole="t" filled="f" stroked="f" coordsize="21600,21600">
            <v:path/>
            <v:fill on="f" focussize="0,0"/>
            <v:stroke on="f"/>
            <v:imagedata r:id="rId9" o:title=""/>
            <o:lock v:ext="edit" aspectratio="t"/>
            <w10:wrap type="none"/>
            <w10:anchorlock/>
          </v:shape>
          <o:OLEObject Type="Embed" ProgID="Equation.DSMT4" ShapeID="_x0000_i1026" DrawAspect="Content" ObjectID="_1468075726" r:id="rId8">
            <o:LockedField>false</o:LockedField>
          </o:OLEObject>
        </w:object>
      </w:r>
      <w:r>
        <w:rPr>
          <w:rFonts w:hint="eastAsia" w:ascii="Times New Roman" w:hAnsi="Times New Roman" w:eastAsia="宋体" w:cs="Times New Roman"/>
          <w:b w:val="0"/>
          <w:kern w:val="2"/>
          <w:sz w:val="21"/>
          <w:szCs w:val="21"/>
          <w:lang w:val="en-US" w:eastAsia="zh-CN" w:bidi="ar-SA"/>
        </w:rPr>
        <w:t>为茶叶气候品质指数；</w:t>
      </w:r>
      <w:r>
        <w:rPr>
          <w:rFonts w:hint="eastAsia" w:ascii="Times New Roman" w:hAnsi="Times New Roman" w:eastAsia="宋体" w:cs="Times New Roman"/>
          <w:b w:val="0"/>
          <w:kern w:val="2"/>
          <w:sz w:val="21"/>
          <w:szCs w:val="21"/>
          <w:lang w:val="en-US" w:eastAsia="zh-CN" w:bidi="ar-SA"/>
        </w:rPr>
        <w:object>
          <v:shape id="_x0000_i1027" o:spt="75" type="#_x0000_t75" style="height:18pt;width:12pt;" o:ole="t" filled="f" stroked="f" coordsize="21600,21600">
            <v:path/>
            <v:fill on="f" focussize="0,0"/>
            <v:stroke on="f"/>
            <v:imagedata r:id="rId11" o:title=""/>
            <o:lock v:ext="edit" aspectratio="t"/>
            <w10:wrap type="none"/>
            <w10:anchorlock/>
          </v:shape>
          <o:OLEObject Type="Embed" ProgID="Equation.DSMT4" ShapeID="_x0000_i1027" DrawAspect="Content" ObjectID="_1468075727" r:id="rId10">
            <o:LockedField>false</o:LockedField>
          </o:OLEObject>
        </w:object>
      </w:r>
      <w:r>
        <w:rPr>
          <w:rFonts w:hint="eastAsia" w:ascii="Times New Roman" w:hAnsi="Times New Roman" w:eastAsia="宋体" w:cs="Times New Roman"/>
          <w:b w:val="0"/>
          <w:kern w:val="2"/>
          <w:sz w:val="21"/>
          <w:szCs w:val="21"/>
          <w:lang w:val="en-US" w:eastAsia="zh-CN" w:bidi="ar-SA"/>
        </w:rPr>
        <w:t>为平均气温、平均相对湿度和平均日照时数的权重，分别为0.6、0.2和0.2；</w:t>
      </w:r>
      <w:r>
        <w:rPr>
          <w:rFonts w:hint="eastAsia" w:ascii="Times New Roman" w:hAnsi="Times New Roman" w:eastAsia="宋体" w:cs="Times New Roman"/>
          <w:b w:val="0"/>
          <w:kern w:val="2"/>
          <w:sz w:val="21"/>
          <w:szCs w:val="21"/>
          <w:lang w:val="en-US" w:eastAsia="zh-CN" w:bidi="ar-SA"/>
        </w:rPr>
        <w:object>
          <v:shape id="_x0000_i1028" o:spt="75" type="#_x0000_t75" style="height:18pt;width:17pt;" o:ole="t" filled="f" stroked="f" coordsize="21600,21600">
            <v:path/>
            <v:fill on="f" focussize="0,0"/>
            <v:stroke on="f"/>
            <v:imagedata r:id="rId13" o:title=""/>
            <o:lock v:ext="edit" aspectratio="t"/>
            <w10:wrap type="none"/>
            <w10:anchorlock/>
          </v:shape>
          <o:OLEObject Type="Embed" ProgID="Equation.DSMT4" ShapeID="_x0000_i1028" DrawAspect="Content" ObjectID="_1468075728" r:id="rId12">
            <o:LockedField>false</o:LockedField>
          </o:OLEObject>
        </w:object>
      </w:r>
      <w:r>
        <w:rPr>
          <w:rFonts w:hint="eastAsia" w:ascii="Times New Roman" w:hAnsi="Times New Roman" w:eastAsia="宋体" w:cs="Times New Roman"/>
          <w:b w:val="0"/>
          <w:kern w:val="2"/>
          <w:sz w:val="21"/>
          <w:szCs w:val="21"/>
          <w:lang w:val="en-US" w:eastAsia="zh-CN" w:bidi="ar-SA"/>
        </w:rPr>
        <w:t>为采收前15天无农业气象灾害影响条件下的平均气温、平均相对湿度和平均日照时数的分级值。见下表。</w:t>
      </w:r>
    </w:p>
    <w:p w14:paraId="4C06AA56">
      <w:pPr>
        <w:spacing w:line="360" w:lineRule="auto"/>
        <w:ind w:firstLine="0" w:firstLineChars="0"/>
        <w:jc w:val="center"/>
        <w:rPr>
          <w:rFonts w:ascii="Times New Roman" w:hAnsi="Times New Roman"/>
          <w:sz w:val="21"/>
          <w:szCs w:val="21"/>
        </w:rPr>
      </w:pPr>
      <w:r>
        <w:rPr>
          <w:rFonts w:hint="eastAsia" w:ascii="Times New Roman" w:hAnsi="Times New Roman"/>
          <w:sz w:val="21"/>
          <w:szCs w:val="21"/>
        </w:rPr>
        <w:t>表</w:t>
      </w:r>
      <w:bookmarkStart w:id="18" w:name="OLE_LINK7"/>
      <w:r>
        <w:rPr>
          <w:rFonts w:hint="eastAsia" w:ascii="Times New Roman" w:hAnsi="Times New Roman"/>
          <w:sz w:val="21"/>
          <w:szCs w:val="21"/>
          <w:lang w:val="en-US" w:eastAsia="zh-CN"/>
        </w:rPr>
        <w:t>1.</w:t>
      </w:r>
      <w:r>
        <w:rPr>
          <w:rFonts w:hint="eastAsia" w:ascii="Times New Roman" w:hAnsi="Times New Roman"/>
          <w:sz w:val="21"/>
          <w:szCs w:val="21"/>
        </w:rPr>
        <w:t xml:space="preserve"> 茶叶</w:t>
      </w:r>
      <w:bookmarkStart w:id="19" w:name="OLE_LINK5"/>
      <w:r>
        <w:rPr>
          <w:rFonts w:hint="eastAsia" w:ascii="Times New Roman" w:hAnsi="Times New Roman"/>
          <w:sz w:val="21"/>
          <w:szCs w:val="21"/>
        </w:rPr>
        <w:t>气候品质评价模型</w:t>
      </w:r>
      <w:bookmarkEnd w:id="18"/>
      <w:bookmarkEnd w:id="19"/>
    </w:p>
    <w:tbl>
      <w:tblPr>
        <w:tblStyle w:val="8"/>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3447"/>
        <w:gridCol w:w="1942"/>
        <w:gridCol w:w="2560"/>
      </w:tblGrid>
      <w:tr w14:paraId="1211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06" w:type="dxa"/>
            <w:shd w:val="clear" w:color="auto" w:fill="auto"/>
          </w:tcPr>
          <w:p w14:paraId="6A7F0988">
            <w:pPr>
              <w:spacing w:line="360" w:lineRule="auto"/>
              <w:ind w:firstLine="0" w:firstLineChars="0"/>
              <w:jc w:val="center"/>
              <w:rPr>
                <w:rFonts w:ascii="Times New Roman" w:hAnsi="Times New Roman"/>
                <w:sz w:val="21"/>
                <w:szCs w:val="21"/>
              </w:rPr>
            </w:pPr>
            <w:r>
              <w:rPr>
                <w:rFonts w:ascii="Times New Roman" w:hAnsi="Times New Roman"/>
                <w:position w:val="-12"/>
                <w:sz w:val="21"/>
                <w:szCs w:val="21"/>
              </w:rPr>
              <w:object>
                <v:shape id="_x0000_i1029" o:spt="75" type="#_x0000_t75" style="height:18.1pt;width:16.8pt;" o:ole="t" filled="f" coordsize="21600,21600">
                  <v:path/>
                  <v:fill on="f" focussize="0,0"/>
                  <v:stroke/>
                  <v:imagedata r:id="rId15" o:title=""/>
                  <o:lock v:ext="edit" aspectratio="t"/>
                  <w10:wrap type="none"/>
                  <w10:anchorlock/>
                </v:shape>
                <o:OLEObject Type="Embed" ProgID="Equation.DSMT4" ShapeID="_x0000_i1029" DrawAspect="Content" ObjectID="_1468075729" r:id="rId14">
                  <o:LockedField>false</o:LockedField>
                </o:OLEObject>
              </w:object>
            </w:r>
          </w:p>
        </w:tc>
        <w:tc>
          <w:tcPr>
            <w:tcW w:w="3447" w:type="dxa"/>
            <w:shd w:val="clear" w:color="auto" w:fill="auto"/>
            <w:vAlign w:val="top"/>
          </w:tcPr>
          <w:p w14:paraId="013D5314">
            <w:pPr>
              <w:spacing w:line="360" w:lineRule="auto"/>
              <w:ind w:firstLine="0" w:firstLineChars="0"/>
              <w:jc w:val="center"/>
              <w:rPr>
                <w:rFonts w:ascii="Times New Roman" w:hAnsi="Times New Roman"/>
                <w:sz w:val="21"/>
                <w:szCs w:val="21"/>
              </w:rPr>
            </w:pPr>
            <w:r>
              <w:rPr>
                <w:rFonts w:ascii="Times New Roman" w:hAnsi="Times New Roman"/>
                <w:sz w:val="21"/>
                <w:szCs w:val="21"/>
              </w:rPr>
              <w:t>平均气温(</w:t>
            </w:r>
            <w:r>
              <w:rPr>
                <w:position w:val="-14"/>
                <w:sz w:val="21"/>
                <w:szCs w:val="21"/>
              </w:rPr>
              <w:object>
                <v:shape id="_x0000_i1030" o:spt="75" type="#_x0000_t75" style="height:19pt;width:19pt;" o:ole="t" filled="f" o:preferrelative="t" stroked="f" coordsize="21600,21600">
                  <v:path/>
                  <v:fill on="f" alignshape="1" focussize="0,0"/>
                  <v:stroke on="f"/>
                  <v:imagedata r:id="rId17" o:title=""/>
                  <o:lock v:ext="edit" aspectratio="t"/>
                  <w10:wrap type="none"/>
                  <w10:anchorlock/>
                </v:shape>
                <o:OLEObject Type="Embed" ProgID="Equation.DSMT4" ShapeID="_x0000_i1030" DrawAspect="Content" ObjectID="_1468075730" r:id="rId16">
                  <o:LockedField>false</o:LockedField>
                </o:OLEObject>
              </w:object>
            </w:r>
            <w:r>
              <w:rPr>
                <w:rFonts w:ascii="Times New Roman" w:hAnsi="Times New Roman"/>
                <w:sz w:val="21"/>
                <w:szCs w:val="21"/>
              </w:rPr>
              <w:t>)</w:t>
            </w:r>
          </w:p>
        </w:tc>
        <w:tc>
          <w:tcPr>
            <w:tcW w:w="1942" w:type="dxa"/>
            <w:shd w:val="clear" w:color="auto" w:fill="auto"/>
          </w:tcPr>
          <w:p w14:paraId="014DBDC9">
            <w:pPr>
              <w:spacing w:line="360" w:lineRule="auto"/>
              <w:ind w:firstLine="0" w:firstLineChars="0"/>
              <w:jc w:val="center"/>
              <w:rPr>
                <w:rFonts w:ascii="Times New Roman" w:hAnsi="Times New Roman"/>
                <w:sz w:val="21"/>
                <w:szCs w:val="21"/>
              </w:rPr>
            </w:pPr>
            <w:r>
              <w:rPr>
                <w:rFonts w:ascii="Times New Roman" w:hAnsi="Times New Roman"/>
                <w:sz w:val="21"/>
                <w:szCs w:val="21"/>
              </w:rPr>
              <w:t>平均相对湿度(U)</w:t>
            </w:r>
          </w:p>
        </w:tc>
        <w:tc>
          <w:tcPr>
            <w:tcW w:w="2560" w:type="dxa"/>
            <w:shd w:val="clear" w:color="auto" w:fill="auto"/>
          </w:tcPr>
          <w:p w14:paraId="6FCA95AE">
            <w:pPr>
              <w:spacing w:line="360" w:lineRule="auto"/>
              <w:ind w:firstLine="0" w:firstLineChars="0"/>
              <w:jc w:val="center"/>
              <w:rPr>
                <w:rFonts w:ascii="Times New Roman" w:hAnsi="Times New Roman"/>
                <w:sz w:val="21"/>
                <w:szCs w:val="21"/>
              </w:rPr>
            </w:pPr>
            <w:r>
              <w:rPr>
                <w:rFonts w:hint="eastAsia" w:ascii="Times New Roman" w:hAnsi="Times New Roman"/>
                <w:sz w:val="21"/>
                <w:szCs w:val="21"/>
              </w:rPr>
              <w:t>平均日照时数</w:t>
            </w:r>
            <w:r>
              <w:rPr>
                <w:rFonts w:ascii="Times New Roman" w:hAnsi="Times New Roman"/>
                <w:sz w:val="21"/>
                <w:szCs w:val="21"/>
              </w:rPr>
              <w:t>(S)</w:t>
            </w:r>
          </w:p>
        </w:tc>
      </w:tr>
      <w:tr w14:paraId="45F5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shd w:val="clear" w:color="auto" w:fill="auto"/>
          </w:tcPr>
          <w:p w14:paraId="64CC8402">
            <w:pPr>
              <w:spacing w:line="360" w:lineRule="auto"/>
              <w:ind w:firstLine="0" w:firstLineChars="0"/>
              <w:jc w:val="center"/>
              <w:rPr>
                <w:rFonts w:ascii="Times New Roman" w:hAnsi="Times New Roman"/>
                <w:sz w:val="21"/>
                <w:szCs w:val="21"/>
              </w:rPr>
            </w:pPr>
            <w:r>
              <w:rPr>
                <w:rFonts w:ascii="Times New Roman" w:hAnsi="Times New Roman"/>
                <w:sz w:val="21"/>
                <w:szCs w:val="21"/>
              </w:rPr>
              <w:t>3</w:t>
            </w:r>
          </w:p>
        </w:tc>
        <w:tc>
          <w:tcPr>
            <w:tcW w:w="3447" w:type="dxa"/>
            <w:shd w:val="clear" w:color="auto" w:fill="auto"/>
            <w:vAlign w:val="top"/>
          </w:tcPr>
          <w:p w14:paraId="397BD4CB">
            <w:pPr>
              <w:adjustRightInd w:val="0"/>
              <w:snapToGrid w:val="0"/>
              <w:spacing w:before="156" w:beforeLines="50" w:line="360" w:lineRule="auto"/>
              <w:jc w:val="center"/>
              <w:rPr>
                <w:rFonts w:ascii="Times New Roman" w:hAnsi="Times New Roman"/>
                <w:sz w:val="21"/>
                <w:szCs w:val="21"/>
              </w:rPr>
            </w:pPr>
            <w:r>
              <w:rPr>
                <w:rFonts w:hint="eastAsia"/>
                <w:sz w:val="21"/>
                <w:szCs w:val="21"/>
              </w:rPr>
              <w:t>1</w:t>
            </w:r>
            <w:r>
              <w:rPr>
                <w:sz w:val="21"/>
                <w:szCs w:val="21"/>
              </w:rPr>
              <w:t>2.0</w:t>
            </w:r>
            <w:r>
              <w:rPr>
                <w:rFonts w:hint="eastAsia"/>
                <w:sz w:val="21"/>
                <w:szCs w:val="21"/>
              </w:rPr>
              <w:t>≤</w:t>
            </w:r>
            <w:r>
              <w:rPr>
                <w:position w:val="-14"/>
                <w:sz w:val="21"/>
                <w:szCs w:val="21"/>
              </w:rPr>
              <w:object>
                <v:shape id="_x0000_i1031" o:spt="75" type="#_x0000_t75" style="height:19pt;width:19pt;" o:ole="t" filled="f" o:preferrelative="t" stroked="f" coordsize="21600,21600">
                  <v:path/>
                  <v:fill on="f" alignshape="1" focussize="0,0"/>
                  <v:stroke on="f"/>
                  <v:imagedata r:id="rId17" o:title=""/>
                  <o:lock v:ext="edit" aspectratio="t"/>
                  <w10:wrap type="none"/>
                  <w10:anchorlock/>
                </v:shape>
                <o:OLEObject Type="Embed" ProgID="Equation.DSMT4" ShapeID="_x0000_i1031" DrawAspect="Content" ObjectID="_1468075731" r:id="rId18">
                  <o:LockedField>false</o:LockedField>
                </o:OLEObject>
              </w:object>
            </w:r>
            <w:r>
              <w:rPr>
                <w:rFonts w:hint="eastAsia"/>
                <w:sz w:val="21"/>
                <w:szCs w:val="21"/>
              </w:rPr>
              <w:t>≤1</w:t>
            </w:r>
            <w:r>
              <w:rPr>
                <w:sz w:val="21"/>
                <w:szCs w:val="21"/>
              </w:rPr>
              <w:t>8.0</w:t>
            </w:r>
          </w:p>
        </w:tc>
        <w:tc>
          <w:tcPr>
            <w:tcW w:w="1942" w:type="dxa"/>
            <w:shd w:val="clear" w:color="auto" w:fill="auto"/>
          </w:tcPr>
          <w:p w14:paraId="6DF340ED">
            <w:pPr>
              <w:spacing w:line="360" w:lineRule="auto"/>
              <w:ind w:firstLine="0" w:firstLineChars="0"/>
              <w:jc w:val="center"/>
              <w:rPr>
                <w:rFonts w:ascii="Times New Roman" w:hAnsi="Times New Roman"/>
                <w:sz w:val="21"/>
                <w:szCs w:val="21"/>
              </w:rPr>
            </w:pPr>
            <w:r>
              <w:rPr>
                <w:rFonts w:ascii="Times New Roman" w:hAnsi="Times New Roman"/>
                <w:sz w:val="21"/>
                <w:szCs w:val="21"/>
              </w:rPr>
              <w:t>U</w:t>
            </w:r>
            <w:r>
              <w:rPr>
                <w:rFonts w:hint="eastAsia" w:ascii="Times New Roman" w:hAnsi="Times New Roman"/>
                <w:sz w:val="21"/>
                <w:szCs w:val="21"/>
              </w:rPr>
              <w:t>≥</w:t>
            </w:r>
            <w:r>
              <w:rPr>
                <w:rFonts w:ascii="Times New Roman" w:hAnsi="Times New Roman"/>
                <w:sz w:val="21"/>
                <w:szCs w:val="21"/>
              </w:rPr>
              <w:t>80.0</w:t>
            </w:r>
          </w:p>
        </w:tc>
        <w:tc>
          <w:tcPr>
            <w:tcW w:w="2560" w:type="dxa"/>
            <w:shd w:val="clear" w:color="auto" w:fill="auto"/>
          </w:tcPr>
          <w:p w14:paraId="01D6A20A">
            <w:pPr>
              <w:spacing w:line="360" w:lineRule="auto"/>
              <w:ind w:firstLine="0" w:firstLineChars="0"/>
              <w:jc w:val="center"/>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w:t>
            </w:r>
            <w:r>
              <w:rPr>
                <w:rFonts w:ascii="Times New Roman" w:hAnsi="Times New Roman"/>
                <w:sz w:val="21"/>
                <w:szCs w:val="21"/>
              </w:rPr>
              <w:t>S</w:t>
            </w:r>
            <w:r>
              <w:rPr>
                <w:rFonts w:hint="eastAsia" w:ascii="Times New Roman" w:hAnsi="Times New Roman"/>
                <w:sz w:val="21"/>
                <w:szCs w:val="21"/>
              </w:rPr>
              <w:t>≤</w:t>
            </w:r>
            <w:r>
              <w:rPr>
                <w:rFonts w:ascii="Times New Roman" w:hAnsi="Times New Roman"/>
                <w:sz w:val="21"/>
                <w:szCs w:val="21"/>
              </w:rPr>
              <w:t>6.0</w:t>
            </w:r>
          </w:p>
        </w:tc>
      </w:tr>
      <w:tr w14:paraId="49DF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shd w:val="clear" w:color="auto" w:fill="auto"/>
          </w:tcPr>
          <w:p w14:paraId="3969550F">
            <w:pPr>
              <w:spacing w:line="360" w:lineRule="auto"/>
              <w:ind w:firstLine="0" w:firstLineChars="0"/>
              <w:jc w:val="center"/>
              <w:rPr>
                <w:rFonts w:ascii="Times New Roman" w:hAnsi="Times New Roman"/>
                <w:sz w:val="21"/>
                <w:szCs w:val="21"/>
              </w:rPr>
            </w:pPr>
            <w:r>
              <w:rPr>
                <w:rFonts w:ascii="Times New Roman" w:hAnsi="Times New Roman"/>
                <w:sz w:val="21"/>
                <w:szCs w:val="21"/>
              </w:rPr>
              <w:t>2</w:t>
            </w:r>
          </w:p>
        </w:tc>
        <w:tc>
          <w:tcPr>
            <w:tcW w:w="3447" w:type="dxa"/>
            <w:shd w:val="clear" w:color="auto" w:fill="auto"/>
            <w:vAlign w:val="top"/>
          </w:tcPr>
          <w:p w14:paraId="5C7CDAC0">
            <w:pPr>
              <w:adjustRightInd w:val="0"/>
              <w:snapToGrid w:val="0"/>
              <w:spacing w:before="156" w:beforeLines="50" w:line="360" w:lineRule="auto"/>
              <w:jc w:val="center"/>
              <w:rPr>
                <w:rFonts w:ascii="Times New Roman" w:hAnsi="Times New Roman"/>
                <w:sz w:val="21"/>
                <w:szCs w:val="21"/>
              </w:rPr>
            </w:pPr>
            <w:r>
              <w:rPr>
                <w:rFonts w:hint="eastAsia"/>
                <w:sz w:val="21"/>
                <w:szCs w:val="21"/>
              </w:rPr>
              <w:t>1</w:t>
            </w:r>
            <w:r>
              <w:rPr>
                <w:sz w:val="21"/>
                <w:szCs w:val="21"/>
              </w:rPr>
              <w:t>1.0</w:t>
            </w:r>
            <w:r>
              <w:rPr>
                <w:rFonts w:hint="eastAsia"/>
                <w:sz w:val="21"/>
                <w:szCs w:val="21"/>
              </w:rPr>
              <w:t>≤</w:t>
            </w:r>
            <w:r>
              <w:rPr>
                <w:position w:val="-14"/>
                <w:sz w:val="21"/>
                <w:szCs w:val="21"/>
              </w:rPr>
              <w:object>
                <v:shape id="_x0000_i1032" o:spt="75" type="#_x0000_t75" style="height:19pt;width:19pt;" o:ole="t" filled="f" o:preferrelative="t" stroked="f" coordsize="21600,21600">
                  <v:path/>
                  <v:fill on="f" alignshape="1" focussize="0,0"/>
                  <v:stroke on="f"/>
                  <v:imagedata r:id="rId17" o:title=""/>
                  <o:lock v:ext="edit" aspectratio="t"/>
                  <w10:wrap type="none"/>
                  <w10:anchorlock/>
                </v:shape>
                <o:OLEObject Type="Embed" ProgID="Equation.DSMT4" ShapeID="_x0000_i1032" DrawAspect="Content" ObjectID="_1468075732" r:id="rId19">
                  <o:LockedField>false</o:LockedField>
                </o:OLEObject>
              </w:object>
            </w:r>
            <w:r>
              <w:rPr>
                <w:rFonts w:hint="eastAsia"/>
                <w:sz w:val="21"/>
                <w:szCs w:val="21"/>
              </w:rPr>
              <w:t>＜1</w:t>
            </w:r>
            <w:r>
              <w:rPr>
                <w:sz w:val="21"/>
                <w:szCs w:val="21"/>
              </w:rPr>
              <w:t>2.0</w:t>
            </w:r>
            <w:r>
              <w:rPr>
                <w:rFonts w:hint="eastAsia"/>
                <w:sz w:val="21"/>
                <w:szCs w:val="21"/>
              </w:rPr>
              <w:t>或1</w:t>
            </w:r>
            <w:r>
              <w:rPr>
                <w:sz w:val="21"/>
                <w:szCs w:val="21"/>
              </w:rPr>
              <w:t>8.0</w:t>
            </w:r>
            <w:r>
              <w:rPr>
                <w:rFonts w:hint="eastAsia"/>
                <w:sz w:val="21"/>
                <w:szCs w:val="21"/>
              </w:rPr>
              <w:t>＜</w:t>
            </w:r>
            <w:r>
              <w:rPr>
                <w:position w:val="-14"/>
                <w:sz w:val="21"/>
                <w:szCs w:val="21"/>
              </w:rPr>
              <w:object>
                <v:shape id="_x0000_i1033" o:spt="75" type="#_x0000_t75" style="height:19pt;width:19pt;" o:ole="t" filled="f" o:preferrelative="t" stroked="f" coordsize="21600,21600">
                  <v:path/>
                  <v:fill on="f" alignshape="1" focussize="0,0"/>
                  <v:stroke on="f"/>
                  <v:imagedata r:id="rId17" o:title=""/>
                  <o:lock v:ext="edit" aspectratio="t"/>
                  <w10:wrap type="none"/>
                  <w10:anchorlock/>
                </v:shape>
                <o:OLEObject Type="Embed" ProgID="Equation.DSMT4" ShapeID="_x0000_i1033" DrawAspect="Content" ObjectID="_1468075733" r:id="rId20">
                  <o:LockedField>false</o:LockedField>
                </o:OLEObject>
              </w:object>
            </w:r>
            <w:r>
              <w:rPr>
                <w:rFonts w:hint="eastAsia"/>
                <w:sz w:val="21"/>
                <w:szCs w:val="21"/>
              </w:rPr>
              <w:t>≤</w:t>
            </w:r>
            <w:r>
              <w:rPr>
                <w:sz w:val="21"/>
                <w:szCs w:val="21"/>
              </w:rPr>
              <w:t>20.0</w:t>
            </w:r>
          </w:p>
        </w:tc>
        <w:tc>
          <w:tcPr>
            <w:tcW w:w="1942" w:type="dxa"/>
            <w:shd w:val="clear" w:color="auto" w:fill="auto"/>
          </w:tcPr>
          <w:p w14:paraId="36A40981">
            <w:pPr>
              <w:spacing w:line="360" w:lineRule="auto"/>
              <w:ind w:firstLine="0" w:firstLineChars="0"/>
              <w:jc w:val="center"/>
              <w:rPr>
                <w:rFonts w:ascii="Times New Roman" w:hAnsi="Times New Roman"/>
                <w:sz w:val="21"/>
                <w:szCs w:val="21"/>
              </w:rPr>
            </w:pPr>
            <w:r>
              <w:rPr>
                <w:rFonts w:ascii="Times New Roman" w:hAnsi="Times New Roman"/>
                <w:sz w:val="21"/>
                <w:szCs w:val="21"/>
              </w:rPr>
              <w:t>70.0</w:t>
            </w:r>
            <w:r>
              <w:rPr>
                <w:rFonts w:hint="eastAsia" w:ascii="Times New Roman" w:hAnsi="Times New Roman"/>
                <w:sz w:val="21"/>
                <w:szCs w:val="21"/>
              </w:rPr>
              <w:t>≤</w:t>
            </w:r>
            <w:r>
              <w:rPr>
                <w:rFonts w:ascii="Times New Roman" w:hAnsi="Times New Roman"/>
                <w:sz w:val="21"/>
                <w:szCs w:val="21"/>
              </w:rPr>
              <w:t>U＜80.0</w:t>
            </w:r>
          </w:p>
        </w:tc>
        <w:tc>
          <w:tcPr>
            <w:tcW w:w="2560" w:type="dxa"/>
            <w:shd w:val="clear" w:color="auto" w:fill="auto"/>
          </w:tcPr>
          <w:p w14:paraId="2093AFD0">
            <w:pPr>
              <w:spacing w:line="360" w:lineRule="auto"/>
              <w:ind w:firstLine="0" w:firstLineChars="0"/>
              <w:jc w:val="center"/>
              <w:rPr>
                <w:rFonts w:ascii="Times New Roman" w:hAnsi="Times New Roman"/>
                <w:sz w:val="21"/>
                <w:szCs w:val="21"/>
              </w:rPr>
            </w:pPr>
            <w:r>
              <w:rPr>
                <w:rFonts w:ascii="Times New Roman" w:hAnsi="Times New Roman"/>
                <w:sz w:val="21"/>
                <w:szCs w:val="21"/>
              </w:rPr>
              <w:t>1.5</w:t>
            </w:r>
            <w:r>
              <w:rPr>
                <w:rFonts w:hint="eastAsia" w:ascii="Times New Roman" w:hAnsi="Times New Roman"/>
                <w:sz w:val="21"/>
                <w:szCs w:val="21"/>
              </w:rPr>
              <w:t>≤</w:t>
            </w:r>
            <w:r>
              <w:rPr>
                <w:rFonts w:ascii="Times New Roman" w:hAnsi="Times New Roman"/>
                <w:sz w:val="21"/>
                <w:szCs w:val="21"/>
              </w:rPr>
              <w:t>S＜3.0或6.0＜S</w:t>
            </w:r>
            <w:r>
              <w:rPr>
                <w:rFonts w:hint="eastAsia" w:ascii="Times New Roman" w:hAnsi="Times New Roman"/>
                <w:sz w:val="21"/>
                <w:szCs w:val="21"/>
              </w:rPr>
              <w:t>≤</w:t>
            </w:r>
            <w:r>
              <w:rPr>
                <w:rFonts w:ascii="Times New Roman" w:hAnsi="Times New Roman"/>
                <w:sz w:val="21"/>
                <w:szCs w:val="21"/>
              </w:rPr>
              <w:t>8.0</w:t>
            </w:r>
          </w:p>
        </w:tc>
      </w:tr>
      <w:tr w14:paraId="1F71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shd w:val="clear" w:color="auto" w:fill="auto"/>
          </w:tcPr>
          <w:p w14:paraId="6B0AE47E">
            <w:pPr>
              <w:spacing w:line="360" w:lineRule="auto"/>
              <w:ind w:firstLine="0" w:firstLineChars="0"/>
              <w:jc w:val="center"/>
              <w:rPr>
                <w:rFonts w:ascii="Times New Roman" w:hAnsi="Times New Roman"/>
                <w:sz w:val="21"/>
                <w:szCs w:val="21"/>
              </w:rPr>
            </w:pPr>
            <w:r>
              <w:rPr>
                <w:rFonts w:ascii="Times New Roman" w:hAnsi="Times New Roman"/>
                <w:sz w:val="21"/>
                <w:szCs w:val="21"/>
              </w:rPr>
              <w:t>1</w:t>
            </w:r>
          </w:p>
        </w:tc>
        <w:tc>
          <w:tcPr>
            <w:tcW w:w="3447" w:type="dxa"/>
            <w:shd w:val="clear" w:color="auto" w:fill="auto"/>
            <w:vAlign w:val="top"/>
          </w:tcPr>
          <w:p w14:paraId="602E3591">
            <w:pPr>
              <w:adjustRightInd w:val="0"/>
              <w:snapToGrid w:val="0"/>
              <w:spacing w:before="156" w:beforeLines="50" w:line="360" w:lineRule="auto"/>
              <w:jc w:val="center"/>
              <w:rPr>
                <w:rFonts w:ascii="Times New Roman" w:hAnsi="Times New Roman"/>
                <w:sz w:val="21"/>
                <w:szCs w:val="21"/>
              </w:rPr>
            </w:pPr>
            <w:r>
              <w:rPr>
                <w:rFonts w:hint="eastAsia"/>
                <w:sz w:val="21"/>
                <w:szCs w:val="21"/>
              </w:rPr>
              <w:t>1</w:t>
            </w:r>
            <w:r>
              <w:rPr>
                <w:sz w:val="21"/>
                <w:szCs w:val="21"/>
              </w:rPr>
              <w:t>0.0</w:t>
            </w:r>
            <w:r>
              <w:rPr>
                <w:rFonts w:hint="eastAsia"/>
                <w:sz w:val="21"/>
                <w:szCs w:val="21"/>
              </w:rPr>
              <w:t>≤</w:t>
            </w:r>
            <w:r>
              <w:rPr>
                <w:position w:val="-14"/>
                <w:sz w:val="21"/>
                <w:szCs w:val="21"/>
              </w:rPr>
              <w:object>
                <v:shape id="_x0000_i1034" o:spt="75" type="#_x0000_t75" style="height:19pt;width:19pt;" o:ole="t" filled="f" o:preferrelative="t" stroked="f" coordsize="21600,21600">
                  <v:path/>
                  <v:fill on="f" alignshape="1" focussize="0,0"/>
                  <v:stroke on="f"/>
                  <v:imagedata r:id="rId17" o:title=""/>
                  <o:lock v:ext="edit" aspectratio="t"/>
                  <w10:wrap type="none"/>
                  <w10:anchorlock/>
                </v:shape>
                <o:OLEObject Type="Embed" ProgID="Equation.DSMT4" ShapeID="_x0000_i1034" DrawAspect="Content" ObjectID="_1468075734" r:id="rId21">
                  <o:LockedField>false</o:LockedField>
                </o:OLEObject>
              </w:object>
            </w:r>
            <w:r>
              <w:rPr>
                <w:rFonts w:hint="eastAsia"/>
                <w:sz w:val="21"/>
                <w:szCs w:val="21"/>
              </w:rPr>
              <w:t>＜1</w:t>
            </w:r>
            <w:r>
              <w:rPr>
                <w:sz w:val="21"/>
                <w:szCs w:val="21"/>
              </w:rPr>
              <w:t>1.0</w:t>
            </w:r>
            <w:r>
              <w:rPr>
                <w:rFonts w:hint="eastAsia"/>
                <w:sz w:val="21"/>
                <w:szCs w:val="21"/>
              </w:rPr>
              <w:t>或</w:t>
            </w:r>
            <w:r>
              <w:rPr>
                <w:sz w:val="21"/>
                <w:szCs w:val="21"/>
              </w:rPr>
              <w:t>20.0</w:t>
            </w:r>
            <w:r>
              <w:rPr>
                <w:rFonts w:hint="eastAsia"/>
                <w:sz w:val="21"/>
                <w:szCs w:val="21"/>
              </w:rPr>
              <w:t>＜</w:t>
            </w:r>
            <w:r>
              <w:rPr>
                <w:position w:val="-14"/>
                <w:sz w:val="21"/>
                <w:szCs w:val="21"/>
              </w:rPr>
              <w:object>
                <v:shape id="_x0000_i1035" o:spt="75" type="#_x0000_t75" style="height:19pt;width:19pt;" o:ole="t" filled="f" o:preferrelative="t" stroked="f" coordsize="21600,21600">
                  <v:path/>
                  <v:fill on="f" alignshape="1" focussize="0,0"/>
                  <v:stroke on="f"/>
                  <v:imagedata r:id="rId17" o:title=""/>
                  <o:lock v:ext="edit" aspectratio="t"/>
                  <w10:wrap type="none"/>
                  <w10:anchorlock/>
                </v:shape>
                <o:OLEObject Type="Embed" ProgID="Equation.DSMT4" ShapeID="_x0000_i1035" DrawAspect="Content" ObjectID="_1468075735" r:id="rId22">
                  <o:LockedField>false</o:LockedField>
                </o:OLEObject>
              </w:object>
            </w:r>
            <w:r>
              <w:rPr>
                <w:rFonts w:hint="eastAsia"/>
                <w:sz w:val="21"/>
                <w:szCs w:val="21"/>
              </w:rPr>
              <w:t>≤</w:t>
            </w:r>
            <w:r>
              <w:rPr>
                <w:sz w:val="21"/>
                <w:szCs w:val="21"/>
              </w:rPr>
              <w:t>25.0</w:t>
            </w:r>
          </w:p>
        </w:tc>
        <w:tc>
          <w:tcPr>
            <w:tcW w:w="1942" w:type="dxa"/>
            <w:shd w:val="clear" w:color="auto" w:fill="auto"/>
          </w:tcPr>
          <w:p w14:paraId="77932CF1">
            <w:pPr>
              <w:spacing w:line="360" w:lineRule="auto"/>
              <w:ind w:firstLine="0" w:firstLineChars="0"/>
              <w:jc w:val="center"/>
              <w:rPr>
                <w:rFonts w:ascii="Times New Roman" w:hAnsi="Times New Roman"/>
                <w:sz w:val="21"/>
                <w:szCs w:val="21"/>
              </w:rPr>
            </w:pPr>
            <w:r>
              <w:rPr>
                <w:rFonts w:ascii="Times New Roman" w:hAnsi="Times New Roman"/>
                <w:sz w:val="21"/>
                <w:szCs w:val="21"/>
              </w:rPr>
              <w:t>60.0</w:t>
            </w:r>
            <w:r>
              <w:rPr>
                <w:rFonts w:hint="eastAsia" w:ascii="Times New Roman" w:hAnsi="Times New Roman"/>
                <w:sz w:val="21"/>
                <w:szCs w:val="21"/>
              </w:rPr>
              <w:t>≤</w:t>
            </w:r>
            <w:r>
              <w:rPr>
                <w:rFonts w:ascii="Times New Roman" w:hAnsi="Times New Roman"/>
                <w:sz w:val="21"/>
                <w:szCs w:val="21"/>
              </w:rPr>
              <w:t>U＜70.0</w:t>
            </w:r>
          </w:p>
        </w:tc>
        <w:tc>
          <w:tcPr>
            <w:tcW w:w="2560" w:type="dxa"/>
            <w:shd w:val="clear" w:color="auto" w:fill="auto"/>
          </w:tcPr>
          <w:p w14:paraId="276295DE">
            <w:pPr>
              <w:spacing w:line="360" w:lineRule="auto"/>
              <w:ind w:firstLine="0" w:firstLineChars="0"/>
              <w:jc w:val="center"/>
              <w:rPr>
                <w:rFonts w:ascii="Times New Roman" w:hAnsi="Times New Roman"/>
                <w:sz w:val="21"/>
                <w:szCs w:val="21"/>
              </w:rPr>
            </w:pPr>
            <w:r>
              <w:rPr>
                <w:rFonts w:ascii="Times New Roman" w:hAnsi="Times New Roman"/>
                <w:sz w:val="21"/>
                <w:szCs w:val="21"/>
              </w:rPr>
              <w:t>0＜S＜1.5或8.0＜S</w:t>
            </w:r>
            <w:r>
              <w:rPr>
                <w:rFonts w:hint="eastAsia" w:ascii="Times New Roman" w:hAnsi="Times New Roman"/>
                <w:sz w:val="21"/>
                <w:szCs w:val="21"/>
              </w:rPr>
              <w:t>≤</w:t>
            </w:r>
            <w:r>
              <w:rPr>
                <w:rFonts w:ascii="Times New Roman" w:hAnsi="Times New Roman"/>
                <w:sz w:val="21"/>
                <w:szCs w:val="21"/>
              </w:rPr>
              <w:t>10.0</w:t>
            </w:r>
          </w:p>
        </w:tc>
      </w:tr>
      <w:tr w14:paraId="26D8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shd w:val="clear" w:color="auto" w:fill="auto"/>
          </w:tcPr>
          <w:p w14:paraId="0523B828">
            <w:pPr>
              <w:spacing w:line="360" w:lineRule="auto"/>
              <w:ind w:firstLine="0" w:firstLineChars="0"/>
              <w:jc w:val="center"/>
              <w:rPr>
                <w:rFonts w:ascii="Times New Roman" w:hAnsi="Times New Roman"/>
                <w:sz w:val="21"/>
                <w:szCs w:val="21"/>
              </w:rPr>
            </w:pPr>
            <w:r>
              <w:rPr>
                <w:rFonts w:ascii="Times New Roman" w:hAnsi="Times New Roman"/>
                <w:sz w:val="21"/>
                <w:szCs w:val="21"/>
              </w:rPr>
              <w:t>0</w:t>
            </w:r>
          </w:p>
        </w:tc>
        <w:tc>
          <w:tcPr>
            <w:tcW w:w="3447" w:type="dxa"/>
            <w:shd w:val="clear" w:color="auto" w:fill="auto"/>
            <w:vAlign w:val="top"/>
          </w:tcPr>
          <w:p w14:paraId="134FE4F5">
            <w:pPr>
              <w:adjustRightInd w:val="0"/>
              <w:snapToGrid w:val="0"/>
              <w:spacing w:before="156" w:beforeLines="50" w:line="360" w:lineRule="auto"/>
              <w:jc w:val="center"/>
              <w:rPr>
                <w:rFonts w:ascii="Times New Roman" w:hAnsi="Times New Roman"/>
                <w:sz w:val="21"/>
                <w:szCs w:val="21"/>
              </w:rPr>
            </w:pPr>
            <w:r>
              <w:rPr>
                <w:position w:val="-14"/>
                <w:sz w:val="21"/>
                <w:szCs w:val="21"/>
              </w:rPr>
              <w:object>
                <v:shape id="_x0000_i1036" o:spt="75" type="#_x0000_t75" style="height:19pt;width:19pt;" o:ole="t" filled="f" o:preferrelative="t" stroked="f" coordsize="21600,21600">
                  <v:path/>
                  <v:fill on="f" alignshape="1" focussize="0,0"/>
                  <v:stroke on="f"/>
                  <v:imagedata r:id="rId17" o:title=""/>
                  <o:lock v:ext="edit" aspectratio="t"/>
                  <w10:wrap type="none"/>
                  <w10:anchorlock/>
                </v:shape>
                <o:OLEObject Type="Embed" ProgID="Equation.DSMT4" ShapeID="_x0000_i1036" DrawAspect="Content" ObjectID="_1468075736" r:id="rId23">
                  <o:LockedField>false</o:LockedField>
                </o:OLEObject>
              </w:object>
            </w:r>
            <w:r>
              <w:rPr>
                <w:rFonts w:hint="eastAsia"/>
                <w:sz w:val="21"/>
                <w:szCs w:val="21"/>
              </w:rPr>
              <w:t>＜1</w:t>
            </w:r>
            <w:r>
              <w:rPr>
                <w:sz w:val="21"/>
                <w:szCs w:val="21"/>
              </w:rPr>
              <w:t>0.0</w:t>
            </w:r>
            <w:r>
              <w:rPr>
                <w:rFonts w:hint="eastAsia"/>
                <w:sz w:val="21"/>
                <w:szCs w:val="21"/>
              </w:rPr>
              <w:t>或</w:t>
            </w:r>
            <w:r>
              <w:rPr>
                <w:position w:val="-14"/>
                <w:sz w:val="21"/>
                <w:szCs w:val="21"/>
              </w:rPr>
              <w:object>
                <v:shape id="_x0000_i1037" o:spt="75" type="#_x0000_t75" style="height:19pt;width:19pt;" o:ole="t" filled="f" o:preferrelative="t" stroked="f" coordsize="21600,21600">
                  <v:path/>
                  <v:fill on="f" alignshape="1" focussize="0,0"/>
                  <v:stroke on="f"/>
                  <v:imagedata r:id="rId17" o:title=""/>
                  <o:lock v:ext="edit" aspectratio="t"/>
                  <w10:wrap type="none"/>
                  <w10:anchorlock/>
                </v:shape>
                <o:OLEObject Type="Embed" ProgID="Equation.DSMT4" ShapeID="_x0000_i1037" DrawAspect="Content" ObjectID="_1468075737" r:id="rId24">
                  <o:LockedField>false</o:LockedField>
                </o:OLEObject>
              </w:object>
            </w:r>
            <w:r>
              <w:rPr>
                <w:rFonts w:hint="eastAsia"/>
                <w:sz w:val="21"/>
                <w:szCs w:val="21"/>
              </w:rPr>
              <w:t>＞2</w:t>
            </w:r>
            <w:r>
              <w:rPr>
                <w:sz w:val="21"/>
                <w:szCs w:val="21"/>
              </w:rPr>
              <w:t>5.0</w:t>
            </w:r>
          </w:p>
        </w:tc>
        <w:tc>
          <w:tcPr>
            <w:tcW w:w="1942" w:type="dxa"/>
            <w:shd w:val="clear" w:color="auto" w:fill="auto"/>
          </w:tcPr>
          <w:p w14:paraId="0CA44D9E">
            <w:pPr>
              <w:spacing w:line="360" w:lineRule="auto"/>
              <w:ind w:firstLine="0" w:firstLineChars="0"/>
              <w:jc w:val="center"/>
              <w:rPr>
                <w:rFonts w:ascii="Times New Roman" w:hAnsi="Times New Roman"/>
                <w:sz w:val="21"/>
                <w:szCs w:val="21"/>
              </w:rPr>
            </w:pPr>
            <w:r>
              <w:rPr>
                <w:rFonts w:ascii="Times New Roman" w:hAnsi="Times New Roman"/>
                <w:sz w:val="21"/>
                <w:szCs w:val="21"/>
              </w:rPr>
              <w:t>U＜60.0</w:t>
            </w:r>
          </w:p>
        </w:tc>
        <w:tc>
          <w:tcPr>
            <w:tcW w:w="2560" w:type="dxa"/>
            <w:shd w:val="clear" w:color="auto" w:fill="auto"/>
          </w:tcPr>
          <w:p w14:paraId="429628B4">
            <w:pPr>
              <w:spacing w:line="360" w:lineRule="auto"/>
              <w:ind w:firstLine="0" w:firstLineChars="0"/>
              <w:jc w:val="center"/>
              <w:rPr>
                <w:rFonts w:ascii="Times New Roman" w:hAnsi="Times New Roman"/>
                <w:sz w:val="21"/>
                <w:szCs w:val="21"/>
              </w:rPr>
            </w:pPr>
            <w:r>
              <w:rPr>
                <w:rFonts w:ascii="Times New Roman" w:hAnsi="Times New Roman"/>
                <w:sz w:val="21"/>
                <w:szCs w:val="21"/>
              </w:rPr>
              <w:t>S=0.0或S＞10.0</w:t>
            </w:r>
          </w:p>
        </w:tc>
      </w:tr>
    </w:tbl>
    <w:p w14:paraId="5428B343">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bookmarkStart w:id="20" w:name="_Toc24889"/>
      <w:bookmarkStart w:id="21" w:name="_Toc27079"/>
      <w:bookmarkStart w:id="22" w:name="_Toc24243"/>
      <w:r>
        <w:rPr>
          <w:rFonts w:hint="eastAsia" w:ascii="Times New Roman" w:hAnsi="Times New Roman" w:eastAsia="宋体" w:cs="Times New Roman"/>
          <w:szCs w:val="21"/>
          <w:lang w:val="en-US" w:eastAsia="zh-CN"/>
        </w:rPr>
        <w:t>（3）茶叶气候品质等级划分</w:t>
      </w:r>
      <w:bookmarkEnd w:id="20"/>
      <w:bookmarkEnd w:id="21"/>
      <w:bookmarkEnd w:id="22"/>
    </w:p>
    <w:p w14:paraId="19D44EA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根据茶叶气候品质指数数据，将茶叶气候品质划分为4个等级，见表2。</w:t>
      </w:r>
    </w:p>
    <w:p w14:paraId="5DEE89B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center"/>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表2  茶叶气候品质评价等级划分</w:t>
      </w:r>
    </w:p>
    <w:tbl>
      <w:tblPr>
        <w:tblStyle w:val="8"/>
        <w:tblW w:w="7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gridCol w:w="5097"/>
      </w:tblGrid>
      <w:tr w14:paraId="6F99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0" w:type="dxa"/>
            <w:shd w:val="clear" w:color="auto" w:fill="auto"/>
          </w:tcPr>
          <w:p w14:paraId="711108CC">
            <w:pPr>
              <w:spacing w:line="360" w:lineRule="auto"/>
              <w:ind w:firstLine="420" w:firstLineChars="200"/>
              <w:jc w:val="center"/>
              <w:rPr>
                <w:rFonts w:ascii="Times New Roman" w:hAnsi="Times New Roman"/>
                <w:sz w:val="21"/>
                <w:szCs w:val="21"/>
              </w:rPr>
            </w:pPr>
            <w:r>
              <w:rPr>
                <w:rFonts w:ascii="Times New Roman" w:hAnsi="Times New Roman"/>
                <w:sz w:val="21"/>
                <w:szCs w:val="21"/>
              </w:rPr>
              <w:t>等级</w:t>
            </w:r>
          </w:p>
        </w:tc>
        <w:tc>
          <w:tcPr>
            <w:tcW w:w="5097" w:type="dxa"/>
            <w:shd w:val="clear" w:color="auto" w:fill="auto"/>
          </w:tcPr>
          <w:p w14:paraId="47CCC437">
            <w:pPr>
              <w:spacing w:line="360" w:lineRule="auto"/>
              <w:ind w:firstLine="420" w:firstLineChars="200"/>
              <w:jc w:val="center"/>
              <w:rPr>
                <w:rFonts w:ascii="Times New Roman" w:hAnsi="Times New Roman"/>
                <w:sz w:val="21"/>
                <w:szCs w:val="21"/>
              </w:rPr>
            </w:pPr>
            <w:r>
              <w:rPr>
                <w:rFonts w:ascii="Times New Roman" w:hAnsi="Times New Roman"/>
                <w:sz w:val="21"/>
                <w:szCs w:val="21"/>
              </w:rPr>
              <w:t>茶叶气候品质指数(I</w:t>
            </w:r>
            <w:r>
              <w:rPr>
                <w:rFonts w:ascii="Times New Roman" w:hAnsi="Times New Roman"/>
                <w:sz w:val="21"/>
                <w:szCs w:val="21"/>
                <w:vertAlign w:val="subscript"/>
              </w:rPr>
              <w:t>tcp</w:t>
            </w:r>
            <w:r>
              <w:rPr>
                <w:rFonts w:ascii="Times New Roman" w:hAnsi="Times New Roman"/>
                <w:sz w:val="21"/>
                <w:szCs w:val="21"/>
              </w:rPr>
              <w:t>)</w:t>
            </w:r>
          </w:p>
        </w:tc>
      </w:tr>
      <w:tr w14:paraId="68F1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0" w:type="dxa"/>
            <w:shd w:val="clear" w:color="auto" w:fill="auto"/>
          </w:tcPr>
          <w:p w14:paraId="0BDDBC32">
            <w:pPr>
              <w:spacing w:line="360" w:lineRule="auto"/>
              <w:ind w:firstLine="420" w:firstLineChars="200"/>
              <w:jc w:val="center"/>
              <w:rPr>
                <w:rFonts w:ascii="Times New Roman" w:hAnsi="Times New Roman"/>
                <w:sz w:val="21"/>
                <w:szCs w:val="21"/>
              </w:rPr>
            </w:pPr>
            <w:r>
              <w:rPr>
                <w:rFonts w:ascii="Times New Roman" w:hAnsi="Times New Roman"/>
                <w:sz w:val="21"/>
                <w:szCs w:val="21"/>
              </w:rPr>
              <w:t>特优</w:t>
            </w:r>
          </w:p>
        </w:tc>
        <w:tc>
          <w:tcPr>
            <w:tcW w:w="5097" w:type="dxa"/>
            <w:shd w:val="clear" w:color="auto" w:fill="auto"/>
          </w:tcPr>
          <w:p w14:paraId="6B917D70">
            <w:pPr>
              <w:spacing w:line="360" w:lineRule="auto"/>
              <w:ind w:firstLine="420" w:firstLineChars="200"/>
              <w:jc w:val="center"/>
              <w:rPr>
                <w:rFonts w:ascii="Times New Roman" w:hAnsi="Times New Roman"/>
                <w:sz w:val="21"/>
                <w:szCs w:val="21"/>
              </w:rPr>
            </w:pPr>
            <w:r>
              <w:rPr>
                <w:rFonts w:ascii="Times New Roman" w:hAnsi="Times New Roman"/>
                <w:sz w:val="21"/>
                <w:szCs w:val="21"/>
              </w:rPr>
              <w:t>I</w:t>
            </w:r>
            <w:r>
              <w:rPr>
                <w:rFonts w:ascii="Times New Roman" w:hAnsi="Times New Roman"/>
                <w:sz w:val="21"/>
                <w:szCs w:val="21"/>
                <w:vertAlign w:val="subscript"/>
              </w:rPr>
              <w:t>tcp</w:t>
            </w:r>
            <w:r>
              <w:rPr>
                <w:rFonts w:hint="eastAsia" w:ascii="Times New Roman" w:hAnsi="Times New Roman"/>
                <w:sz w:val="21"/>
                <w:szCs w:val="21"/>
              </w:rPr>
              <w:t>≥</w:t>
            </w:r>
            <w:r>
              <w:rPr>
                <w:rFonts w:ascii="Times New Roman" w:hAnsi="Times New Roman"/>
                <w:sz w:val="21"/>
                <w:szCs w:val="21"/>
              </w:rPr>
              <w:t>2.5</w:t>
            </w:r>
          </w:p>
        </w:tc>
      </w:tr>
      <w:tr w14:paraId="6E8E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0" w:type="dxa"/>
            <w:shd w:val="clear" w:color="auto" w:fill="auto"/>
          </w:tcPr>
          <w:p w14:paraId="6E37C7BD">
            <w:pPr>
              <w:spacing w:line="360" w:lineRule="auto"/>
              <w:ind w:firstLine="420" w:firstLineChars="200"/>
              <w:jc w:val="center"/>
              <w:rPr>
                <w:rFonts w:ascii="Times New Roman" w:hAnsi="Times New Roman"/>
                <w:sz w:val="21"/>
                <w:szCs w:val="21"/>
              </w:rPr>
            </w:pPr>
            <w:r>
              <w:rPr>
                <w:rFonts w:ascii="Times New Roman" w:hAnsi="Times New Roman"/>
                <w:sz w:val="21"/>
                <w:szCs w:val="21"/>
              </w:rPr>
              <w:t>优</w:t>
            </w:r>
          </w:p>
        </w:tc>
        <w:tc>
          <w:tcPr>
            <w:tcW w:w="5097" w:type="dxa"/>
            <w:shd w:val="clear" w:color="auto" w:fill="auto"/>
          </w:tcPr>
          <w:p w14:paraId="0C69DF29">
            <w:pPr>
              <w:spacing w:line="360" w:lineRule="auto"/>
              <w:ind w:firstLine="420" w:firstLineChars="200"/>
              <w:jc w:val="center"/>
              <w:rPr>
                <w:rFonts w:ascii="Times New Roman" w:hAnsi="Times New Roman"/>
                <w:sz w:val="21"/>
                <w:szCs w:val="21"/>
              </w:rPr>
            </w:pPr>
            <w:r>
              <w:rPr>
                <w:rFonts w:ascii="Times New Roman" w:hAnsi="Times New Roman"/>
                <w:sz w:val="21"/>
                <w:szCs w:val="21"/>
              </w:rPr>
              <w:t>1.5</w:t>
            </w:r>
            <w:r>
              <w:rPr>
                <w:rFonts w:hint="eastAsia" w:ascii="Times New Roman" w:hAnsi="Times New Roman"/>
                <w:sz w:val="21"/>
                <w:szCs w:val="21"/>
              </w:rPr>
              <w:t>≤</w:t>
            </w:r>
            <w:r>
              <w:rPr>
                <w:rFonts w:ascii="Times New Roman" w:hAnsi="Times New Roman"/>
                <w:sz w:val="21"/>
                <w:szCs w:val="21"/>
              </w:rPr>
              <w:t>I</w:t>
            </w:r>
            <w:r>
              <w:rPr>
                <w:rFonts w:ascii="Times New Roman" w:hAnsi="Times New Roman"/>
                <w:sz w:val="21"/>
                <w:szCs w:val="21"/>
                <w:vertAlign w:val="subscript"/>
              </w:rPr>
              <w:t>tcp</w:t>
            </w:r>
            <w:r>
              <w:rPr>
                <w:rFonts w:ascii="Times New Roman" w:hAnsi="Times New Roman"/>
                <w:sz w:val="21"/>
                <w:szCs w:val="21"/>
              </w:rPr>
              <w:t>＜2.5</w:t>
            </w:r>
          </w:p>
        </w:tc>
      </w:tr>
      <w:tr w14:paraId="03F0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0" w:type="dxa"/>
            <w:shd w:val="clear" w:color="auto" w:fill="auto"/>
          </w:tcPr>
          <w:p w14:paraId="7D9FAC11">
            <w:pPr>
              <w:spacing w:line="360" w:lineRule="auto"/>
              <w:ind w:firstLine="420" w:firstLineChars="200"/>
              <w:jc w:val="center"/>
              <w:rPr>
                <w:rFonts w:ascii="Times New Roman" w:hAnsi="Times New Roman"/>
                <w:sz w:val="21"/>
                <w:szCs w:val="21"/>
              </w:rPr>
            </w:pPr>
            <w:r>
              <w:rPr>
                <w:rFonts w:ascii="Times New Roman" w:hAnsi="Times New Roman"/>
                <w:sz w:val="21"/>
                <w:szCs w:val="21"/>
              </w:rPr>
              <w:t>良</w:t>
            </w:r>
          </w:p>
        </w:tc>
        <w:tc>
          <w:tcPr>
            <w:tcW w:w="5097" w:type="dxa"/>
            <w:shd w:val="clear" w:color="auto" w:fill="auto"/>
          </w:tcPr>
          <w:p w14:paraId="29F4D323">
            <w:pPr>
              <w:spacing w:line="360" w:lineRule="auto"/>
              <w:ind w:firstLine="420" w:firstLineChars="200"/>
              <w:jc w:val="center"/>
              <w:rPr>
                <w:rFonts w:ascii="Times New Roman" w:hAnsi="Times New Roman"/>
                <w:sz w:val="21"/>
                <w:szCs w:val="21"/>
              </w:rPr>
            </w:pPr>
            <w:r>
              <w:rPr>
                <w:rFonts w:ascii="Times New Roman" w:hAnsi="Times New Roman"/>
                <w:sz w:val="21"/>
                <w:szCs w:val="21"/>
              </w:rPr>
              <w:t>0.5</w:t>
            </w:r>
            <w:r>
              <w:rPr>
                <w:rFonts w:hint="eastAsia" w:ascii="Times New Roman" w:hAnsi="Times New Roman"/>
                <w:sz w:val="21"/>
                <w:szCs w:val="21"/>
              </w:rPr>
              <w:t>≤</w:t>
            </w:r>
            <w:r>
              <w:rPr>
                <w:rFonts w:ascii="Times New Roman" w:hAnsi="Times New Roman"/>
                <w:sz w:val="21"/>
                <w:szCs w:val="21"/>
              </w:rPr>
              <w:t>I</w:t>
            </w:r>
            <w:r>
              <w:rPr>
                <w:rFonts w:ascii="Times New Roman" w:hAnsi="Times New Roman"/>
                <w:sz w:val="21"/>
                <w:szCs w:val="21"/>
                <w:vertAlign w:val="subscript"/>
              </w:rPr>
              <w:t>tcp</w:t>
            </w:r>
            <w:r>
              <w:rPr>
                <w:rFonts w:ascii="Times New Roman" w:hAnsi="Times New Roman"/>
                <w:sz w:val="21"/>
                <w:szCs w:val="21"/>
              </w:rPr>
              <w:t>＜1.5</w:t>
            </w:r>
          </w:p>
        </w:tc>
      </w:tr>
      <w:tr w14:paraId="4E35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0" w:type="dxa"/>
            <w:shd w:val="clear" w:color="auto" w:fill="auto"/>
          </w:tcPr>
          <w:p w14:paraId="2ADA28EB">
            <w:pPr>
              <w:spacing w:line="360" w:lineRule="auto"/>
              <w:ind w:firstLine="420" w:firstLineChars="200"/>
              <w:jc w:val="center"/>
              <w:rPr>
                <w:rFonts w:ascii="Times New Roman" w:hAnsi="Times New Roman"/>
                <w:sz w:val="21"/>
                <w:szCs w:val="21"/>
              </w:rPr>
            </w:pPr>
            <w:r>
              <w:rPr>
                <w:rFonts w:ascii="Times New Roman" w:hAnsi="Times New Roman"/>
                <w:sz w:val="21"/>
                <w:szCs w:val="21"/>
              </w:rPr>
              <w:t>一般</w:t>
            </w:r>
          </w:p>
        </w:tc>
        <w:tc>
          <w:tcPr>
            <w:tcW w:w="5097" w:type="dxa"/>
            <w:shd w:val="clear" w:color="auto" w:fill="auto"/>
          </w:tcPr>
          <w:p w14:paraId="37E84267">
            <w:pPr>
              <w:spacing w:line="360" w:lineRule="auto"/>
              <w:ind w:firstLine="420" w:firstLineChars="200"/>
              <w:jc w:val="center"/>
              <w:rPr>
                <w:rFonts w:ascii="Times New Roman" w:hAnsi="Times New Roman"/>
                <w:sz w:val="21"/>
                <w:szCs w:val="21"/>
              </w:rPr>
            </w:pPr>
            <w:r>
              <w:rPr>
                <w:rFonts w:ascii="Times New Roman" w:hAnsi="Times New Roman"/>
                <w:sz w:val="21"/>
                <w:szCs w:val="21"/>
              </w:rPr>
              <w:t>I</w:t>
            </w:r>
            <w:r>
              <w:rPr>
                <w:rFonts w:ascii="Times New Roman" w:hAnsi="Times New Roman"/>
                <w:sz w:val="21"/>
                <w:szCs w:val="21"/>
                <w:vertAlign w:val="subscript"/>
              </w:rPr>
              <w:t>tcp</w:t>
            </w:r>
            <w:r>
              <w:rPr>
                <w:rFonts w:ascii="Times New Roman" w:hAnsi="Times New Roman"/>
                <w:sz w:val="21"/>
                <w:szCs w:val="21"/>
              </w:rPr>
              <w:t>＜0.5</w:t>
            </w:r>
          </w:p>
        </w:tc>
      </w:tr>
    </w:tbl>
    <w:p w14:paraId="0B8CA29B">
      <w:pPr>
        <w:autoSpaceDE w:val="0"/>
        <w:autoSpaceDN w:val="0"/>
        <w:adjustRightInd w:val="0"/>
        <w:spacing w:line="360" w:lineRule="auto"/>
        <w:ind w:firstLine="420" w:firstLineChars="200"/>
        <w:jc w:val="left"/>
        <w:rPr>
          <w:rFonts w:hint="eastAsia" w:ascii="Times New Roman" w:hAnsi="Times New Roman" w:eastAsia="宋体" w:cs="Times New Roman"/>
          <w:b w:val="0"/>
          <w:kern w:val="2"/>
          <w:sz w:val="21"/>
          <w:szCs w:val="21"/>
          <w:lang w:val="en-US" w:eastAsia="zh-CN" w:bidi="ar-SA"/>
        </w:rPr>
      </w:pPr>
      <w:bookmarkStart w:id="23" w:name="_Toc2081"/>
      <w:bookmarkStart w:id="24" w:name="_Toc18440"/>
      <w:bookmarkStart w:id="25" w:name="_Toc199"/>
      <w:bookmarkStart w:id="26" w:name="_Toc32646"/>
      <w:bookmarkStart w:id="27" w:name="_Toc7955"/>
      <w:r>
        <w:rPr>
          <w:rFonts w:hint="eastAsia" w:ascii="Times New Roman" w:hAnsi="Times New Roman" w:eastAsia="宋体" w:cs="Times New Roman"/>
          <w:b w:val="0"/>
          <w:kern w:val="2"/>
          <w:sz w:val="21"/>
          <w:szCs w:val="21"/>
          <w:lang w:val="en-US" w:eastAsia="zh-CN" w:bidi="ar-SA"/>
        </w:rPr>
        <w:t>（4） 区域茶叶气候品质评价</w:t>
      </w:r>
      <w:bookmarkEnd w:id="23"/>
      <w:bookmarkEnd w:id="24"/>
      <w:bookmarkEnd w:id="25"/>
      <w:bookmarkEnd w:id="26"/>
      <w:bookmarkEnd w:id="27"/>
    </w:p>
    <w:p w14:paraId="6D647BCE">
      <w:pPr>
        <w:autoSpaceDE w:val="0"/>
        <w:autoSpaceDN w:val="0"/>
        <w:adjustRightInd w:val="0"/>
        <w:spacing w:line="360" w:lineRule="auto"/>
        <w:ind w:firstLine="420" w:firstLineChars="200"/>
        <w:jc w:val="left"/>
        <w:rPr>
          <w:rFonts w:hint="eastAsia" w:ascii="Times New Roman" w:hAnsi="Times New Roman" w:eastAsia="宋体" w:cs="Times New Roman"/>
          <w:b/>
          <w:bCs/>
          <w:szCs w:val="21"/>
          <w:lang w:val="en-US" w:eastAsia="zh-CN"/>
        </w:rPr>
      </w:pPr>
      <w:bookmarkStart w:id="28" w:name="_Toc24399"/>
      <w:bookmarkStart w:id="29" w:name="_Toc21926"/>
      <w:r>
        <w:rPr>
          <w:rFonts w:hint="eastAsia" w:ascii="Times New Roman" w:hAnsi="Times New Roman" w:eastAsia="宋体" w:cs="Times New Roman"/>
          <w:b w:val="0"/>
          <w:kern w:val="2"/>
          <w:sz w:val="21"/>
          <w:szCs w:val="21"/>
          <w:lang w:val="en-US" w:eastAsia="zh-CN" w:bidi="ar-SA"/>
        </w:rPr>
        <w:t>区域茶叶气候品质评价方法见《全国茶叶气候品质评价技术规范（试行）》中的5.7节。</w:t>
      </w:r>
      <w:bookmarkStart w:id="30" w:name="_Toc23110"/>
      <w:r>
        <w:rPr>
          <w:rFonts w:hint="eastAsia" w:ascii="Times New Roman" w:hAnsi="Times New Roman" w:eastAsia="宋体" w:cs="Times New Roman"/>
          <w:b/>
          <w:bCs/>
          <w:szCs w:val="21"/>
          <w:lang w:val="en-US" w:eastAsia="zh-CN"/>
        </w:rPr>
        <w:t>（三）基于气象观测资料的评价</w:t>
      </w:r>
      <w:bookmarkEnd w:id="28"/>
      <w:bookmarkEnd w:id="29"/>
      <w:bookmarkEnd w:id="30"/>
    </w:p>
    <w:p w14:paraId="6C806281">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bookmarkStart w:id="31" w:name="_Toc12292"/>
      <w:bookmarkStart w:id="32" w:name="_Toc2512"/>
      <w:bookmarkStart w:id="33" w:name="_Toc870"/>
      <w:bookmarkStart w:id="34" w:name="_Toc25246"/>
      <w:r>
        <w:rPr>
          <w:rFonts w:hint="eastAsia" w:ascii="Times New Roman" w:hAnsi="Times New Roman" w:eastAsia="宋体" w:cs="Times New Roman"/>
          <w:szCs w:val="21"/>
          <w:lang w:val="en-US" w:eastAsia="zh-CN"/>
        </w:rPr>
        <w:t>（1）近10年都匀茶叶气候品质评价指数</w:t>
      </w:r>
      <w:bookmarkEnd w:id="31"/>
      <w:bookmarkEnd w:id="32"/>
      <w:bookmarkEnd w:id="33"/>
      <w:bookmarkEnd w:id="34"/>
    </w:p>
    <w:p w14:paraId="79C0FC55">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利用气象要素数据，将近10年（2015-2024年）都匀市各气象要素值进行整理统计，计算出每年春茶采摘期间（表3）逐日前15天的平均气温、平均相对湿度和平均日照时数的平均值，见表4。</w:t>
      </w:r>
    </w:p>
    <w:p w14:paraId="13EAC796">
      <w:pPr>
        <w:spacing w:line="360" w:lineRule="auto"/>
        <w:ind w:firstLine="0" w:firstLineChars="0"/>
        <w:jc w:val="center"/>
        <w:rPr>
          <w:rFonts w:hint="eastAsia" w:ascii="Times New Roman" w:hAnsi="Times New Roman"/>
          <w:sz w:val="21"/>
          <w:szCs w:val="21"/>
        </w:rPr>
      </w:pPr>
      <w:r>
        <w:rPr>
          <w:rFonts w:hint="eastAsia" w:ascii="Times New Roman" w:hAnsi="Times New Roman"/>
          <w:sz w:val="21"/>
          <w:szCs w:val="21"/>
          <w:lang w:val="en-US" w:eastAsia="zh-CN"/>
        </w:rPr>
        <w:t>表3 都匀毛尖茶近10年春茶采摘日期</w:t>
      </w:r>
    </w:p>
    <w:tbl>
      <w:tblPr>
        <w:tblStyle w:val="9"/>
        <w:tblW w:w="6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1026"/>
        <w:gridCol w:w="1080"/>
        <w:gridCol w:w="2642"/>
      </w:tblGrid>
      <w:tr w14:paraId="7CD8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0CED6E35">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eastAsia="宋体"/>
                <w:b/>
                <w:bCs/>
                <w:sz w:val="21"/>
                <w:szCs w:val="21"/>
                <w:vertAlign w:val="baseline"/>
                <w:lang w:eastAsia="zh-CN"/>
              </w:rPr>
            </w:pPr>
            <w:r>
              <w:rPr>
                <w:rFonts w:hint="eastAsia"/>
                <w:b/>
                <w:bCs/>
                <w:sz w:val="21"/>
                <w:szCs w:val="21"/>
                <w:vertAlign w:val="baseline"/>
                <w:lang w:eastAsia="zh-CN"/>
              </w:rPr>
              <w:t>年份</w:t>
            </w:r>
          </w:p>
        </w:tc>
        <w:tc>
          <w:tcPr>
            <w:tcW w:w="1026" w:type="dxa"/>
            <w:noWrap w:val="0"/>
            <w:vAlign w:val="top"/>
          </w:tcPr>
          <w:p w14:paraId="04FAB24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eastAsia="宋体"/>
                <w:b/>
                <w:bCs/>
                <w:sz w:val="21"/>
                <w:szCs w:val="21"/>
                <w:vertAlign w:val="baseline"/>
                <w:lang w:eastAsia="zh-CN"/>
              </w:rPr>
            </w:pPr>
            <w:r>
              <w:rPr>
                <w:rFonts w:hint="eastAsia"/>
                <w:b/>
                <w:bCs/>
                <w:sz w:val="21"/>
                <w:szCs w:val="21"/>
                <w:vertAlign w:val="baseline"/>
                <w:lang w:eastAsia="zh-CN"/>
              </w:rPr>
              <w:t>开采日</w:t>
            </w:r>
          </w:p>
        </w:tc>
        <w:tc>
          <w:tcPr>
            <w:tcW w:w="1080" w:type="dxa"/>
            <w:noWrap w:val="0"/>
            <w:vAlign w:val="top"/>
          </w:tcPr>
          <w:p w14:paraId="1227F61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eastAsia="宋体"/>
                <w:b/>
                <w:bCs/>
                <w:sz w:val="21"/>
                <w:szCs w:val="21"/>
                <w:vertAlign w:val="baseline"/>
                <w:lang w:eastAsia="zh-CN"/>
              </w:rPr>
            </w:pPr>
            <w:r>
              <w:rPr>
                <w:rFonts w:hint="eastAsia"/>
                <w:b/>
                <w:bCs/>
                <w:sz w:val="21"/>
                <w:szCs w:val="21"/>
                <w:vertAlign w:val="baseline"/>
                <w:lang w:eastAsia="zh-CN"/>
              </w:rPr>
              <w:t>结束时间</w:t>
            </w:r>
          </w:p>
        </w:tc>
        <w:tc>
          <w:tcPr>
            <w:tcW w:w="2642" w:type="dxa"/>
            <w:noWrap w:val="0"/>
            <w:vAlign w:val="top"/>
          </w:tcPr>
          <w:p w14:paraId="31C6EFCF">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eastAsia="宋体"/>
                <w:b/>
                <w:bCs/>
                <w:sz w:val="21"/>
                <w:szCs w:val="21"/>
                <w:vertAlign w:val="baseline"/>
                <w:lang w:eastAsia="zh-CN"/>
              </w:rPr>
            </w:pPr>
            <w:r>
              <w:rPr>
                <w:rFonts w:hint="eastAsia"/>
                <w:b/>
                <w:bCs/>
                <w:sz w:val="21"/>
                <w:szCs w:val="21"/>
                <w:vertAlign w:val="baseline"/>
                <w:lang w:eastAsia="zh-CN"/>
              </w:rPr>
              <w:t>备注</w:t>
            </w:r>
          </w:p>
        </w:tc>
      </w:tr>
      <w:tr w14:paraId="2E92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969" w:type="dxa"/>
            <w:noWrap w:val="0"/>
            <w:vAlign w:val="top"/>
          </w:tcPr>
          <w:p w14:paraId="05B31330">
            <w:pPr>
              <w:spacing w:line="520" w:lineRule="exact"/>
              <w:jc w:val="left"/>
              <w:rPr>
                <w:rFonts w:hint="eastAsia"/>
                <w:sz w:val="21"/>
                <w:szCs w:val="21"/>
                <w:vertAlign w:val="baseline"/>
                <w:lang w:val="en-US" w:eastAsia="zh-CN"/>
              </w:rPr>
            </w:pPr>
            <w:r>
              <w:rPr>
                <w:rFonts w:hint="eastAsia"/>
                <w:sz w:val="21"/>
                <w:szCs w:val="21"/>
                <w:vertAlign w:val="baseline"/>
                <w:lang w:val="en-US" w:eastAsia="zh-CN"/>
              </w:rPr>
              <w:t>2015</w:t>
            </w:r>
          </w:p>
        </w:tc>
        <w:tc>
          <w:tcPr>
            <w:tcW w:w="1026" w:type="dxa"/>
            <w:noWrap w:val="0"/>
            <w:vAlign w:val="top"/>
          </w:tcPr>
          <w:p w14:paraId="7C977BED">
            <w:pPr>
              <w:spacing w:line="520" w:lineRule="exact"/>
              <w:jc w:val="left"/>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1080" w:type="dxa"/>
            <w:noWrap w:val="0"/>
            <w:vAlign w:val="top"/>
          </w:tcPr>
          <w:p w14:paraId="07153BF4">
            <w:pPr>
              <w:spacing w:line="520" w:lineRule="exact"/>
              <w:jc w:val="left"/>
              <w:rPr>
                <w:rFonts w:hint="eastAsia"/>
                <w:kern w:val="2"/>
                <w:sz w:val="21"/>
                <w:szCs w:val="21"/>
                <w:vertAlign w:val="baseline"/>
                <w:lang w:val="en-US" w:eastAsia="zh-CN" w:bidi="ar-SA"/>
              </w:rPr>
            </w:pPr>
            <w:r>
              <w:rPr>
                <w:rFonts w:hint="eastAsia" w:eastAsia="宋体"/>
                <w:sz w:val="21"/>
                <w:szCs w:val="21"/>
                <w:vertAlign w:val="baseline"/>
                <w:lang w:val="en-US" w:eastAsia="zh-CN"/>
              </w:rPr>
              <w:t>-</w:t>
            </w:r>
          </w:p>
        </w:tc>
        <w:tc>
          <w:tcPr>
            <w:tcW w:w="2642" w:type="dxa"/>
            <w:noWrap w:val="0"/>
            <w:vAlign w:val="bottom"/>
          </w:tcPr>
          <w:p w14:paraId="76B1FEA9">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sz w:val="21"/>
                <w:szCs w:val="21"/>
                <w:vertAlign w:val="baseline"/>
                <w:lang w:val="en-US" w:eastAsia="zh-CN"/>
              </w:rPr>
            </w:pPr>
            <w:r>
              <w:rPr>
                <w:rFonts w:hint="eastAsia"/>
                <w:sz w:val="21"/>
                <w:szCs w:val="21"/>
                <w:vertAlign w:val="baseline"/>
                <w:lang w:val="en-US" w:eastAsia="zh-CN"/>
              </w:rPr>
              <w:t>采用平均日期</w:t>
            </w:r>
          </w:p>
        </w:tc>
      </w:tr>
      <w:tr w14:paraId="0256F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3A9AAE22">
            <w:pPr>
              <w:spacing w:line="520" w:lineRule="exact"/>
              <w:jc w:val="left"/>
              <w:rPr>
                <w:rFonts w:hint="eastAsia"/>
                <w:sz w:val="21"/>
                <w:szCs w:val="21"/>
                <w:vertAlign w:val="baseline"/>
                <w:lang w:val="en-US" w:eastAsia="zh-CN"/>
              </w:rPr>
            </w:pPr>
            <w:r>
              <w:rPr>
                <w:rFonts w:hint="eastAsia"/>
                <w:sz w:val="21"/>
                <w:szCs w:val="21"/>
                <w:vertAlign w:val="baseline"/>
                <w:lang w:val="en-US" w:eastAsia="zh-CN"/>
              </w:rPr>
              <w:t>2016</w:t>
            </w:r>
          </w:p>
        </w:tc>
        <w:tc>
          <w:tcPr>
            <w:tcW w:w="1026" w:type="dxa"/>
            <w:noWrap w:val="0"/>
            <w:vAlign w:val="top"/>
          </w:tcPr>
          <w:p w14:paraId="16CD16F3">
            <w:pPr>
              <w:spacing w:line="520" w:lineRule="exact"/>
              <w:jc w:val="left"/>
              <w:rPr>
                <w:rFonts w:hint="eastAsia"/>
                <w:kern w:val="2"/>
                <w:sz w:val="21"/>
                <w:szCs w:val="21"/>
                <w:vertAlign w:val="baseline"/>
                <w:lang w:val="en-US" w:eastAsia="zh-CN" w:bidi="ar-SA"/>
              </w:rPr>
            </w:pPr>
            <w:r>
              <w:rPr>
                <w:rFonts w:hint="eastAsia"/>
                <w:kern w:val="2"/>
                <w:sz w:val="21"/>
                <w:szCs w:val="21"/>
                <w:vertAlign w:val="baseline"/>
                <w:lang w:val="en-US" w:eastAsia="zh-CN" w:bidi="ar-SA"/>
              </w:rPr>
              <w:t>3.24</w:t>
            </w:r>
          </w:p>
        </w:tc>
        <w:tc>
          <w:tcPr>
            <w:tcW w:w="1080" w:type="dxa"/>
            <w:noWrap w:val="0"/>
            <w:vAlign w:val="top"/>
          </w:tcPr>
          <w:p w14:paraId="70820C57">
            <w:pPr>
              <w:spacing w:line="520" w:lineRule="exact"/>
              <w:jc w:val="left"/>
              <w:rPr>
                <w:rFonts w:hint="eastAsia"/>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30EFDD13">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eastAsia" w:ascii="Calibri" w:hAnsi="Calibri" w:eastAsia="宋体" w:cs="Times New Roman"/>
                <w:kern w:val="2"/>
                <w:sz w:val="21"/>
                <w:szCs w:val="21"/>
                <w:vertAlign w:val="baseline"/>
                <w:lang w:val="en-US" w:eastAsia="zh-CN" w:bidi="ar-SA"/>
              </w:rPr>
            </w:pPr>
            <w:r>
              <w:rPr>
                <w:rFonts w:hint="eastAsia"/>
                <w:sz w:val="21"/>
                <w:szCs w:val="21"/>
                <w:lang w:val="en-US" w:eastAsia="zh-CN"/>
              </w:rPr>
              <w:t>采用具体观测日期</w:t>
            </w:r>
          </w:p>
        </w:tc>
      </w:tr>
      <w:tr w14:paraId="31D2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64DE55B4">
            <w:pPr>
              <w:spacing w:line="520" w:lineRule="exact"/>
              <w:jc w:val="left"/>
              <w:rPr>
                <w:rFonts w:hint="eastAsia"/>
                <w:sz w:val="21"/>
                <w:szCs w:val="21"/>
                <w:vertAlign w:val="baseline"/>
                <w:lang w:val="en-US" w:eastAsia="zh-CN"/>
              </w:rPr>
            </w:pPr>
            <w:r>
              <w:rPr>
                <w:rFonts w:hint="eastAsia"/>
                <w:sz w:val="21"/>
                <w:szCs w:val="21"/>
                <w:vertAlign w:val="baseline"/>
                <w:lang w:val="en-US" w:eastAsia="zh-CN"/>
              </w:rPr>
              <w:t>2017</w:t>
            </w:r>
          </w:p>
        </w:tc>
        <w:tc>
          <w:tcPr>
            <w:tcW w:w="1026" w:type="dxa"/>
            <w:noWrap w:val="0"/>
            <w:vAlign w:val="top"/>
          </w:tcPr>
          <w:p w14:paraId="49BDE61D">
            <w:pPr>
              <w:spacing w:line="520" w:lineRule="exact"/>
              <w:jc w:val="left"/>
              <w:rPr>
                <w:rFonts w:hint="eastAsia"/>
                <w:kern w:val="2"/>
                <w:sz w:val="21"/>
                <w:szCs w:val="21"/>
                <w:vertAlign w:val="baseline"/>
                <w:lang w:val="en-US" w:eastAsia="zh-CN" w:bidi="ar-SA"/>
              </w:rPr>
            </w:pPr>
            <w:r>
              <w:rPr>
                <w:rFonts w:hint="eastAsia"/>
                <w:kern w:val="2"/>
                <w:sz w:val="21"/>
                <w:szCs w:val="21"/>
                <w:vertAlign w:val="baseline"/>
                <w:lang w:val="en-US" w:eastAsia="zh-CN" w:bidi="ar-SA"/>
              </w:rPr>
              <w:t>3.20</w:t>
            </w:r>
          </w:p>
        </w:tc>
        <w:tc>
          <w:tcPr>
            <w:tcW w:w="1080" w:type="dxa"/>
            <w:noWrap w:val="0"/>
            <w:vAlign w:val="top"/>
          </w:tcPr>
          <w:p w14:paraId="086EFE93">
            <w:pPr>
              <w:spacing w:line="520" w:lineRule="exact"/>
              <w:jc w:val="left"/>
              <w:rPr>
                <w:rFonts w:hint="eastAsia"/>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4CA3CCA1">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eastAsia" w:ascii="Calibri" w:hAnsi="Calibri" w:eastAsia="宋体" w:cs="Times New Roman"/>
                <w:kern w:val="2"/>
                <w:sz w:val="21"/>
                <w:szCs w:val="21"/>
                <w:vertAlign w:val="baseline"/>
                <w:lang w:val="en-US" w:eastAsia="zh-CN" w:bidi="ar-SA"/>
              </w:rPr>
            </w:pPr>
            <w:r>
              <w:rPr>
                <w:rFonts w:hint="eastAsia"/>
                <w:sz w:val="21"/>
                <w:szCs w:val="21"/>
                <w:lang w:val="en-US" w:eastAsia="zh-CN"/>
              </w:rPr>
              <w:t>采用具体观测日期</w:t>
            </w:r>
          </w:p>
        </w:tc>
      </w:tr>
      <w:tr w14:paraId="1767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3ABEA223">
            <w:pPr>
              <w:spacing w:line="520" w:lineRule="exact"/>
              <w:jc w:val="left"/>
              <w:rPr>
                <w:rFonts w:hint="eastAsia"/>
                <w:sz w:val="21"/>
                <w:szCs w:val="21"/>
                <w:vertAlign w:val="baseline"/>
                <w:lang w:val="en-US" w:eastAsia="zh-CN"/>
              </w:rPr>
            </w:pPr>
            <w:r>
              <w:rPr>
                <w:rFonts w:hint="eastAsia"/>
                <w:sz w:val="21"/>
                <w:szCs w:val="21"/>
                <w:vertAlign w:val="baseline"/>
                <w:lang w:val="en-US" w:eastAsia="zh-CN"/>
              </w:rPr>
              <w:t>2018</w:t>
            </w:r>
          </w:p>
        </w:tc>
        <w:tc>
          <w:tcPr>
            <w:tcW w:w="1026" w:type="dxa"/>
            <w:noWrap w:val="0"/>
            <w:vAlign w:val="top"/>
          </w:tcPr>
          <w:p w14:paraId="0B263A92">
            <w:pPr>
              <w:spacing w:line="520" w:lineRule="exact"/>
              <w:jc w:val="left"/>
              <w:rPr>
                <w:rFonts w:hint="eastAsia"/>
                <w:kern w:val="2"/>
                <w:sz w:val="21"/>
                <w:szCs w:val="21"/>
                <w:vertAlign w:val="baseline"/>
                <w:lang w:val="en-US" w:eastAsia="zh-CN" w:bidi="ar-SA"/>
              </w:rPr>
            </w:pPr>
            <w:r>
              <w:rPr>
                <w:rFonts w:hint="eastAsia"/>
                <w:kern w:val="2"/>
                <w:sz w:val="21"/>
                <w:szCs w:val="21"/>
                <w:vertAlign w:val="baseline"/>
                <w:lang w:val="en-US" w:eastAsia="zh-CN" w:bidi="ar-SA"/>
              </w:rPr>
              <w:t>3.13</w:t>
            </w:r>
          </w:p>
        </w:tc>
        <w:tc>
          <w:tcPr>
            <w:tcW w:w="1080" w:type="dxa"/>
            <w:noWrap w:val="0"/>
            <w:vAlign w:val="top"/>
          </w:tcPr>
          <w:p w14:paraId="70B5BDD6">
            <w:pPr>
              <w:spacing w:line="520" w:lineRule="exact"/>
              <w:jc w:val="left"/>
              <w:rPr>
                <w:rFonts w:hint="eastAsia"/>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28356FF1">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eastAsia" w:ascii="Calibri" w:hAnsi="Calibri" w:eastAsia="宋体" w:cs="Times New Roman"/>
                <w:kern w:val="2"/>
                <w:sz w:val="21"/>
                <w:szCs w:val="21"/>
                <w:vertAlign w:val="baseline"/>
                <w:lang w:val="en-US" w:eastAsia="zh-CN" w:bidi="ar-SA"/>
              </w:rPr>
            </w:pPr>
            <w:r>
              <w:rPr>
                <w:rFonts w:hint="eastAsia"/>
                <w:sz w:val="21"/>
                <w:szCs w:val="21"/>
                <w:lang w:val="en-US" w:eastAsia="zh-CN"/>
              </w:rPr>
              <w:t>采用具体观测日期</w:t>
            </w:r>
          </w:p>
        </w:tc>
      </w:tr>
      <w:tr w14:paraId="65860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47B7E519">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2019</w:t>
            </w:r>
          </w:p>
        </w:tc>
        <w:tc>
          <w:tcPr>
            <w:tcW w:w="1026" w:type="dxa"/>
            <w:noWrap w:val="0"/>
            <w:vAlign w:val="top"/>
          </w:tcPr>
          <w:p w14:paraId="47653D67">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3.15</w:t>
            </w:r>
          </w:p>
        </w:tc>
        <w:tc>
          <w:tcPr>
            <w:tcW w:w="1080" w:type="dxa"/>
            <w:noWrap w:val="0"/>
            <w:vAlign w:val="top"/>
          </w:tcPr>
          <w:p w14:paraId="071A2CEA">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0267B083">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ascii="Calibri" w:hAnsi="Calibri" w:eastAsia="宋体" w:cs="Times New Roman"/>
                <w:kern w:val="2"/>
                <w:sz w:val="21"/>
                <w:szCs w:val="21"/>
                <w:vertAlign w:val="baseline"/>
                <w:lang w:val="en-US" w:eastAsia="zh-CN" w:bidi="ar-SA"/>
              </w:rPr>
            </w:pPr>
            <w:r>
              <w:rPr>
                <w:rFonts w:hint="eastAsia"/>
                <w:sz w:val="21"/>
                <w:szCs w:val="21"/>
                <w:lang w:val="en-US" w:eastAsia="zh-CN"/>
              </w:rPr>
              <w:t>采用具体观测日期</w:t>
            </w:r>
          </w:p>
        </w:tc>
      </w:tr>
      <w:tr w14:paraId="4EDE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24FC9EF5">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2020</w:t>
            </w:r>
          </w:p>
        </w:tc>
        <w:tc>
          <w:tcPr>
            <w:tcW w:w="1026" w:type="dxa"/>
            <w:noWrap w:val="0"/>
            <w:vAlign w:val="top"/>
          </w:tcPr>
          <w:p w14:paraId="17C53149">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3.20</w:t>
            </w:r>
          </w:p>
        </w:tc>
        <w:tc>
          <w:tcPr>
            <w:tcW w:w="1080" w:type="dxa"/>
            <w:noWrap w:val="0"/>
            <w:vAlign w:val="top"/>
          </w:tcPr>
          <w:p w14:paraId="6B40A1E7">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22E2E5EA">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ascii="Calibri" w:hAnsi="Calibri" w:eastAsia="宋体" w:cs="Times New Roman"/>
                <w:kern w:val="2"/>
                <w:sz w:val="21"/>
                <w:szCs w:val="21"/>
                <w:vertAlign w:val="baseline"/>
                <w:lang w:val="en-US" w:eastAsia="zh-CN" w:bidi="ar-SA"/>
              </w:rPr>
            </w:pPr>
            <w:r>
              <w:rPr>
                <w:rFonts w:hint="eastAsia"/>
                <w:sz w:val="21"/>
                <w:szCs w:val="21"/>
                <w:lang w:val="en-US" w:eastAsia="zh-CN"/>
              </w:rPr>
              <w:t>采用具体观测日期</w:t>
            </w:r>
          </w:p>
        </w:tc>
      </w:tr>
      <w:tr w14:paraId="5656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66F710CC">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2021</w:t>
            </w:r>
          </w:p>
        </w:tc>
        <w:tc>
          <w:tcPr>
            <w:tcW w:w="1026" w:type="dxa"/>
            <w:noWrap w:val="0"/>
            <w:vAlign w:val="top"/>
          </w:tcPr>
          <w:p w14:paraId="370FDBFC">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3.15</w:t>
            </w:r>
          </w:p>
        </w:tc>
        <w:tc>
          <w:tcPr>
            <w:tcW w:w="1080" w:type="dxa"/>
            <w:noWrap w:val="0"/>
            <w:vAlign w:val="top"/>
          </w:tcPr>
          <w:p w14:paraId="4052D45D">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1B47DBF8">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eastAsia="宋体"/>
                <w:sz w:val="21"/>
                <w:szCs w:val="21"/>
                <w:lang w:val="en-US" w:eastAsia="zh-CN"/>
              </w:rPr>
            </w:pPr>
            <w:r>
              <w:rPr>
                <w:rFonts w:hint="eastAsia"/>
                <w:sz w:val="21"/>
                <w:szCs w:val="21"/>
                <w:lang w:val="en-US" w:eastAsia="zh-CN"/>
              </w:rPr>
              <w:t>采用具体观测日期</w:t>
            </w:r>
          </w:p>
        </w:tc>
      </w:tr>
      <w:tr w14:paraId="261A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4B602008">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2022</w:t>
            </w:r>
          </w:p>
        </w:tc>
        <w:tc>
          <w:tcPr>
            <w:tcW w:w="1026" w:type="dxa"/>
            <w:noWrap w:val="0"/>
            <w:vAlign w:val="top"/>
          </w:tcPr>
          <w:p w14:paraId="43F0E4C4">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3.20</w:t>
            </w:r>
          </w:p>
        </w:tc>
        <w:tc>
          <w:tcPr>
            <w:tcW w:w="1080" w:type="dxa"/>
            <w:noWrap w:val="0"/>
            <w:vAlign w:val="top"/>
          </w:tcPr>
          <w:p w14:paraId="5CEEB98F">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46178300">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ascii="Calibri" w:hAnsi="Calibri" w:eastAsia="宋体" w:cs="Times New Roman"/>
                <w:kern w:val="2"/>
                <w:sz w:val="21"/>
                <w:szCs w:val="21"/>
                <w:lang w:val="en-US" w:eastAsia="zh-CN" w:bidi="ar-SA"/>
              </w:rPr>
            </w:pPr>
            <w:r>
              <w:rPr>
                <w:rFonts w:hint="eastAsia"/>
                <w:sz w:val="21"/>
                <w:szCs w:val="21"/>
                <w:lang w:val="en-US" w:eastAsia="zh-CN"/>
              </w:rPr>
              <w:t>采用具体观测日期</w:t>
            </w:r>
          </w:p>
        </w:tc>
      </w:tr>
      <w:tr w14:paraId="162E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6B59E0F2">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2023</w:t>
            </w:r>
          </w:p>
        </w:tc>
        <w:tc>
          <w:tcPr>
            <w:tcW w:w="1026" w:type="dxa"/>
            <w:noWrap w:val="0"/>
            <w:vAlign w:val="top"/>
          </w:tcPr>
          <w:p w14:paraId="2A672437">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3.20</w:t>
            </w:r>
          </w:p>
        </w:tc>
        <w:tc>
          <w:tcPr>
            <w:tcW w:w="1080" w:type="dxa"/>
            <w:noWrap w:val="0"/>
            <w:vAlign w:val="top"/>
          </w:tcPr>
          <w:p w14:paraId="2384A6BC">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3DA68DA6">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ascii="Calibri" w:hAnsi="Calibri" w:eastAsia="宋体" w:cs="Times New Roman"/>
                <w:kern w:val="2"/>
                <w:sz w:val="21"/>
                <w:szCs w:val="21"/>
                <w:lang w:val="en-US" w:eastAsia="zh-CN" w:bidi="ar-SA"/>
              </w:rPr>
            </w:pPr>
            <w:r>
              <w:rPr>
                <w:rFonts w:hint="eastAsia"/>
                <w:sz w:val="21"/>
                <w:szCs w:val="21"/>
                <w:lang w:val="en-US" w:eastAsia="zh-CN"/>
              </w:rPr>
              <w:t>采用具体观测日期</w:t>
            </w:r>
          </w:p>
        </w:tc>
      </w:tr>
      <w:tr w14:paraId="78DA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1F6E33FA">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2024</w:t>
            </w:r>
          </w:p>
        </w:tc>
        <w:tc>
          <w:tcPr>
            <w:tcW w:w="1026" w:type="dxa"/>
            <w:noWrap w:val="0"/>
            <w:vAlign w:val="top"/>
          </w:tcPr>
          <w:p w14:paraId="24C4A425">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3.24</w:t>
            </w:r>
          </w:p>
        </w:tc>
        <w:tc>
          <w:tcPr>
            <w:tcW w:w="1080" w:type="dxa"/>
            <w:noWrap w:val="0"/>
            <w:vAlign w:val="top"/>
          </w:tcPr>
          <w:p w14:paraId="32E6C055">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7022BC8C">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ascii="Calibri" w:hAnsi="Calibri" w:eastAsia="宋体" w:cs="Times New Roman"/>
                <w:kern w:val="2"/>
                <w:sz w:val="21"/>
                <w:szCs w:val="21"/>
                <w:lang w:val="en-US" w:eastAsia="zh-CN" w:bidi="ar-SA"/>
              </w:rPr>
            </w:pPr>
            <w:r>
              <w:rPr>
                <w:rFonts w:hint="eastAsia"/>
                <w:sz w:val="21"/>
                <w:szCs w:val="21"/>
                <w:lang w:val="en-US" w:eastAsia="zh-CN"/>
              </w:rPr>
              <w:t>采用具体观测日期</w:t>
            </w:r>
          </w:p>
        </w:tc>
      </w:tr>
      <w:tr w14:paraId="6C8B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dxa"/>
            <w:noWrap w:val="0"/>
            <w:vAlign w:val="top"/>
          </w:tcPr>
          <w:p w14:paraId="430D0E4A">
            <w:pPr>
              <w:spacing w:line="520" w:lineRule="exact"/>
              <w:jc w:val="left"/>
              <w:rPr>
                <w:rFonts w:hint="default"/>
                <w:sz w:val="21"/>
                <w:szCs w:val="21"/>
                <w:vertAlign w:val="baseline"/>
                <w:lang w:val="en-US" w:eastAsia="zh-CN"/>
              </w:rPr>
            </w:pPr>
            <w:r>
              <w:rPr>
                <w:rFonts w:hint="eastAsia"/>
                <w:sz w:val="21"/>
                <w:szCs w:val="21"/>
                <w:vertAlign w:val="baseline"/>
                <w:lang w:val="en-US" w:eastAsia="zh-CN"/>
              </w:rPr>
              <w:t>2015-2024年平均</w:t>
            </w:r>
          </w:p>
        </w:tc>
        <w:tc>
          <w:tcPr>
            <w:tcW w:w="1026" w:type="dxa"/>
            <w:noWrap w:val="0"/>
            <w:vAlign w:val="top"/>
          </w:tcPr>
          <w:p w14:paraId="02DE4545">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3.19</w:t>
            </w:r>
          </w:p>
        </w:tc>
        <w:tc>
          <w:tcPr>
            <w:tcW w:w="1080" w:type="dxa"/>
            <w:noWrap w:val="0"/>
            <w:vAlign w:val="top"/>
          </w:tcPr>
          <w:p w14:paraId="254AC60A">
            <w:pPr>
              <w:spacing w:line="520" w:lineRule="exact"/>
              <w:jc w:val="left"/>
              <w:rPr>
                <w:rFonts w:hint="default"/>
                <w:kern w:val="2"/>
                <w:sz w:val="21"/>
                <w:szCs w:val="21"/>
                <w:vertAlign w:val="baseline"/>
                <w:lang w:val="en-US" w:eastAsia="zh-CN" w:bidi="ar-SA"/>
              </w:rPr>
            </w:pPr>
            <w:r>
              <w:rPr>
                <w:rFonts w:hint="eastAsia"/>
                <w:kern w:val="2"/>
                <w:sz w:val="21"/>
                <w:szCs w:val="21"/>
                <w:vertAlign w:val="baseline"/>
                <w:lang w:val="en-US" w:eastAsia="zh-CN" w:bidi="ar-SA"/>
              </w:rPr>
              <w:t>4.30</w:t>
            </w:r>
          </w:p>
        </w:tc>
        <w:tc>
          <w:tcPr>
            <w:tcW w:w="2642" w:type="dxa"/>
            <w:noWrap w:val="0"/>
            <w:vAlign w:val="bottom"/>
          </w:tcPr>
          <w:p w14:paraId="6448FA05">
            <w:pPr>
              <w:keepNext w:val="0"/>
              <w:keepLines w:val="0"/>
              <w:pageBreakBefore w:val="0"/>
              <w:widowControl w:val="0"/>
              <w:kinsoku/>
              <w:wordWrap/>
              <w:overflowPunct/>
              <w:topLinePunct w:val="0"/>
              <w:autoSpaceDE/>
              <w:autoSpaceDN/>
              <w:bidi w:val="0"/>
              <w:adjustRightInd w:val="0"/>
              <w:snapToGrid w:val="0"/>
              <w:spacing w:line="20" w:lineRule="atLeast"/>
              <w:jc w:val="left"/>
              <w:textAlignment w:val="auto"/>
              <w:rPr>
                <w:rFonts w:hint="default"/>
                <w:sz w:val="21"/>
                <w:szCs w:val="21"/>
                <w:lang w:val="en-US" w:eastAsia="zh-CN"/>
              </w:rPr>
            </w:pPr>
            <w:r>
              <w:rPr>
                <w:rFonts w:hint="eastAsia"/>
                <w:sz w:val="21"/>
                <w:szCs w:val="21"/>
                <w:lang w:val="en-US" w:eastAsia="zh-CN"/>
              </w:rPr>
              <w:t>-</w:t>
            </w:r>
          </w:p>
        </w:tc>
      </w:tr>
    </w:tbl>
    <w:p w14:paraId="0C34959E">
      <w:pPr>
        <w:adjustRightInd w:val="0"/>
        <w:snapToGrid w:val="0"/>
        <w:spacing w:before="156" w:beforeLines="50" w:line="360" w:lineRule="auto"/>
        <w:ind w:firstLine="0" w:firstLineChars="0"/>
        <w:jc w:val="center"/>
        <w:rPr>
          <w:rFonts w:ascii="Times New Roman" w:hAnsi="Times New Roman"/>
          <w:sz w:val="21"/>
          <w:szCs w:val="21"/>
        </w:rPr>
      </w:pPr>
      <w:r>
        <w:rPr>
          <w:rFonts w:hint="eastAsia" w:ascii="Times New Roman" w:hAnsi="Times New Roman"/>
          <w:sz w:val="21"/>
          <w:szCs w:val="21"/>
        </w:rPr>
        <w:t>表</w:t>
      </w:r>
      <w:r>
        <w:rPr>
          <w:rFonts w:hint="eastAsia" w:ascii="Times New Roman" w:hAnsi="Times New Roman"/>
          <w:sz w:val="21"/>
          <w:szCs w:val="21"/>
          <w:lang w:val="en-US" w:eastAsia="zh-CN"/>
        </w:rPr>
        <w:t>4</w:t>
      </w:r>
      <w:r>
        <w:rPr>
          <w:rFonts w:hint="eastAsia" w:ascii="Times New Roman" w:hAnsi="Times New Roman"/>
          <w:sz w:val="21"/>
          <w:szCs w:val="21"/>
        </w:rPr>
        <w:t xml:space="preserve"> </w:t>
      </w:r>
      <w:r>
        <w:rPr>
          <w:rFonts w:hint="eastAsia" w:ascii="Times New Roman" w:hAnsi="Times New Roman"/>
          <w:sz w:val="21"/>
          <w:szCs w:val="21"/>
          <w:lang w:eastAsia="zh-CN"/>
        </w:rPr>
        <w:t>都匀</w:t>
      </w:r>
      <w:r>
        <w:rPr>
          <w:rFonts w:hint="eastAsia" w:ascii="Times New Roman" w:hAnsi="Times New Roman"/>
          <w:sz w:val="21"/>
          <w:szCs w:val="21"/>
          <w:lang w:val="en-US" w:eastAsia="zh-CN"/>
        </w:rPr>
        <w:t>毛尖茶</w:t>
      </w:r>
      <w:r>
        <w:rPr>
          <w:rFonts w:hint="eastAsia" w:ascii="Times New Roman" w:hAnsi="Times New Roman"/>
          <w:sz w:val="21"/>
          <w:szCs w:val="21"/>
          <w:lang w:eastAsia="zh-CN"/>
        </w:rPr>
        <w:t>近10年</w:t>
      </w:r>
      <w:r>
        <w:rPr>
          <w:rFonts w:hint="eastAsia" w:ascii="Times New Roman" w:hAnsi="Times New Roman"/>
          <w:sz w:val="21"/>
          <w:szCs w:val="21"/>
          <w:lang w:val="en-US" w:eastAsia="zh-CN"/>
        </w:rPr>
        <w:t>春茶采摘期间</w:t>
      </w:r>
      <w:r>
        <w:rPr>
          <w:rFonts w:hint="eastAsia" w:ascii="Times New Roman" w:hAnsi="Times New Roman"/>
          <w:sz w:val="21"/>
          <w:szCs w:val="21"/>
        </w:rPr>
        <w:t>采摘前15天各气象要素平均值</w:t>
      </w:r>
    </w:p>
    <w:tbl>
      <w:tblPr>
        <w:tblStyle w:val="9"/>
        <w:tblW w:w="6728" w:type="dxa"/>
        <w:tblInd w:w="8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999"/>
        <w:gridCol w:w="1895"/>
        <w:gridCol w:w="1928"/>
      </w:tblGrid>
      <w:tr w14:paraId="4445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 w:type="dxa"/>
          </w:tcPr>
          <w:p w14:paraId="611F463E">
            <w:pPr>
              <w:adjustRightInd w:val="0"/>
              <w:snapToGrid w:val="0"/>
              <w:spacing w:before="156" w:beforeLines="50"/>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年份</w:t>
            </w:r>
          </w:p>
        </w:tc>
        <w:tc>
          <w:tcPr>
            <w:tcW w:w="1999" w:type="dxa"/>
          </w:tcPr>
          <w:p w14:paraId="238756A3">
            <w:pPr>
              <w:adjustRightInd w:val="0"/>
              <w:snapToGrid w:val="0"/>
              <w:spacing w:before="156" w:beforeLines="50"/>
              <w:ind w:firstLine="0" w:firstLineChars="0"/>
              <w:jc w:val="center"/>
              <w:rPr>
                <w:rFonts w:ascii="Times New Roman" w:hAnsi="Times New Roman"/>
                <w:b/>
                <w:bCs/>
                <w:kern w:val="0"/>
                <w:sz w:val="21"/>
                <w:szCs w:val="21"/>
              </w:rPr>
            </w:pPr>
            <w:r>
              <w:rPr>
                <w:rFonts w:ascii="Times New Roman" w:hAnsi="Times New Roman"/>
                <w:b/>
                <w:bCs/>
                <w:kern w:val="0"/>
                <w:sz w:val="21"/>
                <w:szCs w:val="21"/>
              </w:rPr>
              <w:t>平均气温(</w:t>
            </w:r>
            <w:r>
              <w:rPr>
                <w:rFonts w:hint="eastAsia" w:ascii="宋体" w:hAnsi="宋体" w:cs="宋体"/>
                <w:b/>
                <w:bCs/>
                <w:kern w:val="0"/>
                <w:sz w:val="21"/>
                <w:szCs w:val="21"/>
              </w:rPr>
              <w:t>℃</w:t>
            </w:r>
            <w:r>
              <w:rPr>
                <w:rFonts w:ascii="Times New Roman" w:hAnsi="Times New Roman"/>
                <w:b/>
                <w:bCs/>
                <w:kern w:val="0"/>
                <w:sz w:val="21"/>
                <w:szCs w:val="21"/>
              </w:rPr>
              <w:t>)</w:t>
            </w:r>
          </w:p>
        </w:tc>
        <w:tc>
          <w:tcPr>
            <w:tcW w:w="1895" w:type="dxa"/>
          </w:tcPr>
          <w:p w14:paraId="418959EF">
            <w:pPr>
              <w:adjustRightInd w:val="0"/>
              <w:snapToGrid w:val="0"/>
              <w:spacing w:before="156" w:beforeLines="50"/>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平均</w:t>
            </w:r>
            <w:r>
              <w:rPr>
                <w:rFonts w:ascii="Times New Roman" w:hAnsi="Times New Roman"/>
                <w:b/>
                <w:bCs/>
                <w:kern w:val="0"/>
                <w:sz w:val="21"/>
                <w:szCs w:val="21"/>
              </w:rPr>
              <w:t>相对湿度(%)</w:t>
            </w:r>
          </w:p>
        </w:tc>
        <w:tc>
          <w:tcPr>
            <w:tcW w:w="1928" w:type="dxa"/>
          </w:tcPr>
          <w:p w14:paraId="43E056E8">
            <w:pPr>
              <w:adjustRightInd w:val="0"/>
              <w:snapToGrid w:val="0"/>
              <w:spacing w:before="156" w:beforeLines="50"/>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平均</w:t>
            </w:r>
            <w:r>
              <w:rPr>
                <w:rFonts w:ascii="Times New Roman" w:hAnsi="Times New Roman"/>
                <w:b/>
                <w:bCs/>
                <w:kern w:val="0"/>
                <w:sz w:val="21"/>
                <w:szCs w:val="21"/>
              </w:rPr>
              <w:t>日照时数(h)</w:t>
            </w:r>
          </w:p>
        </w:tc>
      </w:tr>
      <w:tr w14:paraId="0C99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09188657">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b/>
                <w:bCs/>
                <w:kern w:val="0"/>
                <w:sz w:val="21"/>
                <w:szCs w:val="21"/>
                <w:lang w:val="en-US" w:eastAsia="zh-CN"/>
              </w:rPr>
              <w:t>2015</w:t>
            </w:r>
          </w:p>
        </w:tc>
        <w:tc>
          <w:tcPr>
            <w:tcW w:w="1999" w:type="dxa"/>
            <w:vAlign w:val="center"/>
          </w:tcPr>
          <w:p w14:paraId="6BFF8A2C">
            <w:pPr>
              <w:keepNext w:val="0"/>
              <w:keepLines w:val="0"/>
              <w:widowControl/>
              <w:suppressLineNumbers w:val="0"/>
              <w:jc w:val="center"/>
              <w:textAlignment w:val="center"/>
              <w:rPr>
                <w:rFonts w:hint="eastAsia" w:ascii="宋体" w:hAnsi="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15.1</w:t>
            </w:r>
          </w:p>
        </w:tc>
        <w:tc>
          <w:tcPr>
            <w:tcW w:w="1895" w:type="dxa"/>
            <w:vAlign w:val="center"/>
          </w:tcPr>
          <w:p w14:paraId="651F234A">
            <w:pPr>
              <w:keepNext w:val="0"/>
              <w:keepLines w:val="0"/>
              <w:widowControl/>
              <w:suppressLineNumbers w:val="0"/>
              <w:jc w:val="center"/>
              <w:textAlignment w:val="center"/>
              <w:rPr>
                <w:rFonts w:hint="eastAsia" w:ascii="宋体" w:hAnsi="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82.6</w:t>
            </w:r>
          </w:p>
        </w:tc>
        <w:tc>
          <w:tcPr>
            <w:tcW w:w="1928" w:type="dxa"/>
            <w:vAlign w:val="center"/>
          </w:tcPr>
          <w:p w14:paraId="09DF50B1">
            <w:pPr>
              <w:keepNext w:val="0"/>
              <w:keepLines w:val="0"/>
              <w:widowControl/>
              <w:suppressLineNumbers w:val="0"/>
              <w:jc w:val="center"/>
              <w:textAlignment w:val="center"/>
              <w:rPr>
                <w:rFonts w:hint="eastAsia" w:ascii="宋体" w:hAnsi="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2.5</w:t>
            </w:r>
          </w:p>
        </w:tc>
      </w:tr>
      <w:tr w14:paraId="6C1C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5B03DDF2">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b/>
                <w:bCs/>
                <w:kern w:val="0"/>
                <w:sz w:val="21"/>
                <w:szCs w:val="21"/>
                <w:lang w:val="en-US" w:eastAsia="zh-CN"/>
              </w:rPr>
              <w:t>2016</w:t>
            </w:r>
          </w:p>
        </w:tc>
        <w:tc>
          <w:tcPr>
            <w:tcW w:w="1999" w:type="dxa"/>
            <w:vAlign w:val="center"/>
          </w:tcPr>
          <w:p w14:paraId="5746A18F">
            <w:pPr>
              <w:keepNext w:val="0"/>
              <w:keepLines w:val="0"/>
              <w:widowControl/>
              <w:suppressLineNumbers w:val="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14.4</w:t>
            </w:r>
          </w:p>
        </w:tc>
        <w:tc>
          <w:tcPr>
            <w:tcW w:w="1895" w:type="dxa"/>
            <w:vAlign w:val="center"/>
          </w:tcPr>
          <w:p w14:paraId="51406F01">
            <w:pPr>
              <w:keepNext w:val="0"/>
              <w:keepLines w:val="0"/>
              <w:widowControl/>
              <w:suppressLineNumbers w:val="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88.5</w:t>
            </w:r>
          </w:p>
        </w:tc>
        <w:tc>
          <w:tcPr>
            <w:tcW w:w="1928" w:type="dxa"/>
            <w:vAlign w:val="center"/>
          </w:tcPr>
          <w:p w14:paraId="46D63498">
            <w:pPr>
              <w:keepNext w:val="0"/>
              <w:keepLines w:val="0"/>
              <w:widowControl/>
              <w:suppressLineNumbers w:val="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1.5</w:t>
            </w:r>
          </w:p>
        </w:tc>
      </w:tr>
      <w:tr w14:paraId="5A9C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37D38BE7">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b/>
                <w:bCs/>
                <w:kern w:val="0"/>
                <w:sz w:val="21"/>
                <w:szCs w:val="21"/>
                <w:lang w:val="en-US" w:eastAsia="zh-CN"/>
              </w:rPr>
              <w:t>2017</w:t>
            </w:r>
          </w:p>
        </w:tc>
        <w:tc>
          <w:tcPr>
            <w:tcW w:w="1999" w:type="dxa"/>
            <w:vAlign w:val="center"/>
          </w:tcPr>
          <w:p w14:paraId="3E35E7D2">
            <w:pPr>
              <w:keepNext w:val="0"/>
              <w:keepLines w:val="0"/>
              <w:widowControl/>
              <w:suppressLineNumbers w:val="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13.6</w:t>
            </w:r>
          </w:p>
        </w:tc>
        <w:tc>
          <w:tcPr>
            <w:tcW w:w="1895" w:type="dxa"/>
            <w:vAlign w:val="center"/>
          </w:tcPr>
          <w:p w14:paraId="6C2EFEF2">
            <w:pPr>
              <w:keepNext w:val="0"/>
              <w:keepLines w:val="0"/>
              <w:widowControl/>
              <w:suppressLineNumbers w:val="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84.3</w:t>
            </w:r>
          </w:p>
        </w:tc>
        <w:tc>
          <w:tcPr>
            <w:tcW w:w="1928" w:type="dxa"/>
            <w:vAlign w:val="center"/>
          </w:tcPr>
          <w:p w14:paraId="3B42111B">
            <w:pPr>
              <w:keepNext w:val="0"/>
              <w:keepLines w:val="0"/>
              <w:widowControl/>
              <w:suppressLineNumbers w:val="0"/>
              <w:jc w:val="center"/>
              <w:textAlignment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2.4</w:t>
            </w:r>
          </w:p>
        </w:tc>
      </w:tr>
      <w:tr w14:paraId="4DF5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4B9FA1FE">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2018</w:t>
            </w:r>
          </w:p>
        </w:tc>
        <w:tc>
          <w:tcPr>
            <w:tcW w:w="1999" w:type="dxa"/>
            <w:vAlign w:val="center"/>
          </w:tcPr>
          <w:p w14:paraId="17C5DF09">
            <w:pPr>
              <w:keepNext w:val="0"/>
              <w:keepLines w:val="0"/>
              <w:widowControl/>
              <w:suppressLineNumbers w:val="0"/>
              <w:jc w:val="center"/>
              <w:textAlignment w:val="center"/>
              <w:rPr>
                <w:rFonts w:hint="eastAsia"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15.0</w:t>
            </w:r>
          </w:p>
        </w:tc>
        <w:tc>
          <w:tcPr>
            <w:tcW w:w="1895" w:type="dxa"/>
            <w:vAlign w:val="center"/>
          </w:tcPr>
          <w:p w14:paraId="2534B4AE">
            <w:pPr>
              <w:keepNext w:val="0"/>
              <w:keepLines w:val="0"/>
              <w:widowControl/>
              <w:suppressLineNumbers w:val="0"/>
              <w:jc w:val="center"/>
              <w:textAlignment w:val="center"/>
              <w:rPr>
                <w:rFonts w:hint="eastAsia"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79.7</w:t>
            </w:r>
          </w:p>
        </w:tc>
        <w:tc>
          <w:tcPr>
            <w:tcW w:w="1928" w:type="dxa"/>
            <w:vAlign w:val="center"/>
          </w:tcPr>
          <w:p w14:paraId="6D74DDE8">
            <w:pPr>
              <w:keepNext w:val="0"/>
              <w:keepLines w:val="0"/>
              <w:widowControl/>
              <w:suppressLineNumbers w:val="0"/>
              <w:jc w:val="center"/>
              <w:textAlignment w:val="center"/>
              <w:rPr>
                <w:rFonts w:hint="eastAsia"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3.2</w:t>
            </w:r>
          </w:p>
        </w:tc>
      </w:tr>
      <w:tr w14:paraId="5538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53D00300">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2019</w:t>
            </w:r>
          </w:p>
        </w:tc>
        <w:tc>
          <w:tcPr>
            <w:tcW w:w="1999" w:type="dxa"/>
            <w:vAlign w:val="center"/>
          </w:tcPr>
          <w:p w14:paraId="507493BE">
            <w:pPr>
              <w:keepNext w:val="0"/>
              <w:keepLines w:val="0"/>
              <w:widowControl/>
              <w:suppressLineNumbers w:val="0"/>
              <w:jc w:val="center"/>
              <w:textAlignment w:val="center"/>
              <w:rPr>
                <w:rFonts w:hint="eastAsia"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14.2</w:t>
            </w:r>
          </w:p>
        </w:tc>
        <w:tc>
          <w:tcPr>
            <w:tcW w:w="1895" w:type="dxa"/>
            <w:vAlign w:val="center"/>
          </w:tcPr>
          <w:p w14:paraId="7B742128">
            <w:pPr>
              <w:keepNext w:val="0"/>
              <w:keepLines w:val="0"/>
              <w:widowControl/>
              <w:suppressLineNumbers w:val="0"/>
              <w:jc w:val="center"/>
              <w:textAlignment w:val="center"/>
              <w:rPr>
                <w:rFonts w:hint="eastAsia"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85.0</w:t>
            </w:r>
          </w:p>
        </w:tc>
        <w:tc>
          <w:tcPr>
            <w:tcW w:w="1928" w:type="dxa"/>
            <w:vAlign w:val="center"/>
          </w:tcPr>
          <w:p w14:paraId="28C6C426">
            <w:pPr>
              <w:keepNext w:val="0"/>
              <w:keepLines w:val="0"/>
              <w:widowControl/>
              <w:suppressLineNumbers w:val="0"/>
              <w:jc w:val="center"/>
              <w:textAlignment w:val="center"/>
              <w:rPr>
                <w:rFonts w:hint="eastAsia"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2.4</w:t>
            </w:r>
          </w:p>
        </w:tc>
      </w:tr>
      <w:tr w14:paraId="22DE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26DA6E3F">
            <w:pPr>
              <w:adjustRightInd w:val="0"/>
              <w:snapToGrid w:val="0"/>
              <w:spacing w:before="156" w:beforeLines="50"/>
              <w:ind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2020</w:t>
            </w:r>
          </w:p>
        </w:tc>
        <w:tc>
          <w:tcPr>
            <w:tcW w:w="1999" w:type="dxa"/>
            <w:vAlign w:val="center"/>
          </w:tcPr>
          <w:p w14:paraId="15E4197A">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13.6</w:t>
            </w:r>
          </w:p>
        </w:tc>
        <w:tc>
          <w:tcPr>
            <w:tcW w:w="1895" w:type="dxa"/>
            <w:vAlign w:val="center"/>
          </w:tcPr>
          <w:p w14:paraId="15D6B80D">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80.2</w:t>
            </w:r>
          </w:p>
        </w:tc>
        <w:tc>
          <w:tcPr>
            <w:tcW w:w="1928" w:type="dxa"/>
            <w:vAlign w:val="center"/>
          </w:tcPr>
          <w:p w14:paraId="4D4E74C7">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2.6</w:t>
            </w:r>
          </w:p>
        </w:tc>
      </w:tr>
      <w:tr w14:paraId="5BAB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012E5747">
            <w:pPr>
              <w:adjustRightInd w:val="0"/>
              <w:snapToGrid w:val="0"/>
              <w:spacing w:before="156" w:beforeLines="50"/>
              <w:ind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2021</w:t>
            </w:r>
          </w:p>
        </w:tc>
        <w:tc>
          <w:tcPr>
            <w:tcW w:w="1999" w:type="dxa"/>
            <w:vAlign w:val="center"/>
          </w:tcPr>
          <w:p w14:paraId="24BE4FD4">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13.5</w:t>
            </w:r>
          </w:p>
        </w:tc>
        <w:tc>
          <w:tcPr>
            <w:tcW w:w="1895" w:type="dxa"/>
            <w:vAlign w:val="center"/>
          </w:tcPr>
          <w:p w14:paraId="376517EC">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88.0</w:t>
            </w:r>
          </w:p>
        </w:tc>
        <w:tc>
          <w:tcPr>
            <w:tcW w:w="1928" w:type="dxa"/>
            <w:vAlign w:val="center"/>
          </w:tcPr>
          <w:p w14:paraId="56D13369">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1.6</w:t>
            </w:r>
          </w:p>
        </w:tc>
      </w:tr>
      <w:tr w14:paraId="78B9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15F56E0D">
            <w:pPr>
              <w:adjustRightInd w:val="0"/>
              <w:snapToGrid w:val="0"/>
              <w:spacing w:before="156" w:beforeLines="50"/>
              <w:ind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2022</w:t>
            </w:r>
          </w:p>
        </w:tc>
        <w:tc>
          <w:tcPr>
            <w:tcW w:w="1999" w:type="dxa"/>
            <w:vAlign w:val="center"/>
          </w:tcPr>
          <w:p w14:paraId="34CE2AA3">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14.6</w:t>
            </w:r>
          </w:p>
        </w:tc>
        <w:tc>
          <w:tcPr>
            <w:tcW w:w="1895" w:type="dxa"/>
            <w:vAlign w:val="center"/>
          </w:tcPr>
          <w:p w14:paraId="321CFAA7">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79.3</w:t>
            </w:r>
          </w:p>
        </w:tc>
        <w:tc>
          <w:tcPr>
            <w:tcW w:w="1928" w:type="dxa"/>
            <w:vAlign w:val="center"/>
          </w:tcPr>
          <w:p w14:paraId="2AAF33D5">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3.0</w:t>
            </w:r>
          </w:p>
        </w:tc>
      </w:tr>
      <w:tr w14:paraId="5A03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3D5E21AC">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w:t>
            </w:r>
            <w:r>
              <w:rPr>
                <w:rFonts w:hint="eastAsia" w:ascii="Times New Roman" w:hAnsi="Times New Roman"/>
                <w:b/>
                <w:bCs/>
                <w:kern w:val="0"/>
                <w:sz w:val="21"/>
                <w:szCs w:val="21"/>
                <w:lang w:val="en-US" w:eastAsia="zh-CN"/>
              </w:rPr>
              <w:t>3</w:t>
            </w:r>
          </w:p>
        </w:tc>
        <w:tc>
          <w:tcPr>
            <w:tcW w:w="1999" w:type="dxa"/>
            <w:vAlign w:val="center"/>
          </w:tcPr>
          <w:p w14:paraId="574FD809">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14.8</w:t>
            </w:r>
          </w:p>
        </w:tc>
        <w:tc>
          <w:tcPr>
            <w:tcW w:w="1895" w:type="dxa"/>
            <w:vAlign w:val="center"/>
          </w:tcPr>
          <w:p w14:paraId="106C9B10">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80.7</w:t>
            </w:r>
          </w:p>
        </w:tc>
        <w:tc>
          <w:tcPr>
            <w:tcW w:w="1928" w:type="dxa"/>
            <w:vAlign w:val="center"/>
          </w:tcPr>
          <w:p w14:paraId="0FF207E1">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2.2</w:t>
            </w:r>
          </w:p>
        </w:tc>
      </w:tr>
      <w:tr w14:paraId="6022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bottom"/>
          </w:tcPr>
          <w:p w14:paraId="1F6BAC99">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w:t>
            </w:r>
            <w:r>
              <w:rPr>
                <w:rFonts w:hint="eastAsia" w:ascii="Times New Roman" w:hAnsi="Times New Roman"/>
                <w:b/>
                <w:bCs/>
                <w:kern w:val="0"/>
                <w:sz w:val="21"/>
                <w:szCs w:val="21"/>
                <w:lang w:val="en-US" w:eastAsia="zh-CN"/>
              </w:rPr>
              <w:t>4</w:t>
            </w:r>
          </w:p>
        </w:tc>
        <w:tc>
          <w:tcPr>
            <w:tcW w:w="1999" w:type="dxa"/>
            <w:vAlign w:val="center"/>
          </w:tcPr>
          <w:p w14:paraId="1CF4FE47">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17.7</w:t>
            </w:r>
          </w:p>
        </w:tc>
        <w:tc>
          <w:tcPr>
            <w:tcW w:w="1895" w:type="dxa"/>
            <w:vAlign w:val="center"/>
          </w:tcPr>
          <w:p w14:paraId="68C621D1">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79.0</w:t>
            </w:r>
          </w:p>
        </w:tc>
        <w:tc>
          <w:tcPr>
            <w:tcW w:w="1928" w:type="dxa"/>
            <w:vAlign w:val="center"/>
          </w:tcPr>
          <w:p w14:paraId="2491287A">
            <w:pPr>
              <w:keepNext w:val="0"/>
              <w:keepLines w:val="0"/>
              <w:widowControl/>
              <w:suppressLineNumbers w:val="0"/>
              <w:jc w:val="center"/>
              <w:textAlignment w:val="center"/>
              <w:rPr>
                <w:rFonts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3.3</w:t>
            </w:r>
          </w:p>
        </w:tc>
      </w:tr>
    </w:tbl>
    <w:p w14:paraId="3B30EA4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利用公式（1），并根据评价模型（表1）和划分等级（表2），计算得出都匀市近10年种植的茶叶气候品质指数及等级，见表5。</w:t>
      </w:r>
    </w:p>
    <w:p w14:paraId="1AB74047">
      <w:pPr>
        <w:adjustRightInd w:val="0"/>
        <w:snapToGrid w:val="0"/>
        <w:spacing w:before="156" w:beforeLines="50" w:line="360" w:lineRule="auto"/>
        <w:ind w:firstLine="0" w:firstLineChars="0"/>
        <w:jc w:val="center"/>
        <w:rPr>
          <w:rFonts w:ascii="Times New Roman" w:hAnsi="Times New Roman"/>
          <w:kern w:val="0"/>
          <w:sz w:val="21"/>
          <w:szCs w:val="21"/>
        </w:rPr>
      </w:pPr>
      <w:r>
        <w:rPr>
          <w:rFonts w:hint="eastAsia" w:ascii="Times New Roman" w:hAnsi="Times New Roman"/>
          <w:sz w:val="21"/>
          <w:szCs w:val="21"/>
        </w:rPr>
        <w:t>表</w:t>
      </w:r>
      <w:r>
        <w:rPr>
          <w:rFonts w:hint="eastAsia" w:ascii="Times New Roman" w:hAnsi="Times New Roman"/>
          <w:sz w:val="21"/>
          <w:szCs w:val="21"/>
          <w:lang w:val="en-US" w:eastAsia="zh-CN"/>
        </w:rPr>
        <w:t>5</w:t>
      </w:r>
      <w:r>
        <w:rPr>
          <w:rFonts w:hint="eastAsia" w:ascii="Times New Roman" w:hAnsi="Times New Roman"/>
          <w:sz w:val="21"/>
          <w:szCs w:val="21"/>
        </w:rPr>
        <w:t xml:space="preserve"> </w:t>
      </w:r>
      <w:r>
        <w:rPr>
          <w:rFonts w:hint="eastAsia" w:ascii="Times New Roman" w:hAnsi="Times New Roman"/>
          <w:sz w:val="21"/>
          <w:szCs w:val="21"/>
          <w:lang w:eastAsia="zh-CN"/>
        </w:rPr>
        <w:t>都匀</w:t>
      </w:r>
      <w:r>
        <w:rPr>
          <w:rFonts w:hint="eastAsia" w:ascii="Times New Roman" w:hAnsi="Times New Roman"/>
          <w:sz w:val="21"/>
          <w:szCs w:val="21"/>
          <w:lang w:val="en-US" w:eastAsia="zh-CN"/>
        </w:rPr>
        <w:t>毛尖茶</w:t>
      </w:r>
      <w:r>
        <w:rPr>
          <w:rFonts w:hint="eastAsia" w:ascii="Times New Roman" w:hAnsi="Times New Roman"/>
          <w:sz w:val="21"/>
          <w:szCs w:val="21"/>
          <w:lang w:eastAsia="zh-CN"/>
        </w:rPr>
        <w:t>近10年</w:t>
      </w:r>
      <w:r>
        <w:rPr>
          <w:rFonts w:hint="eastAsia" w:ascii="Times New Roman" w:hAnsi="Times New Roman"/>
          <w:sz w:val="21"/>
          <w:szCs w:val="21"/>
        </w:rPr>
        <w:t>气候品质评价结果</w:t>
      </w:r>
    </w:p>
    <w:tbl>
      <w:tblPr>
        <w:tblStyle w:val="9"/>
        <w:tblW w:w="7872"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337"/>
        <w:gridCol w:w="1388"/>
        <w:gridCol w:w="1320"/>
        <w:gridCol w:w="978"/>
        <w:gridCol w:w="1062"/>
        <w:gridCol w:w="984"/>
      </w:tblGrid>
      <w:tr w14:paraId="7B62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6B5690BD">
            <w:pPr>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年份</w:t>
            </w:r>
          </w:p>
        </w:tc>
        <w:tc>
          <w:tcPr>
            <w:tcW w:w="1337" w:type="dxa"/>
            <w:vAlign w:val="center"/>
          </w:tcPr>
          <w:p w14:paraId="39B5D251">
            <w:pPr>
              <w:ind w:firstLine="0" w:firstLineChars="0"/>
              <w:jc w:val="center"/>
              <w:rPr>
                <w:rFonts w:ascii="Times New Roman" w:hAnsi="Times New Roman"/>
                <w:b/>
                <w:bCs/>
                <w:kern w:val="0"/>
                <w:sz w:val="21"/>
                <w:szCs w:val="21"/>
              </w:rPr>
            </w:pPr>
            <w:r>
              <w:rPr>
                <w:rFonts w:ascii="Times New Roman" w:hAnsi="Times New Roman"/>
                <w:b/>
                <w:bCs/>
                <w:kern w:val="0"/>
                <w:sz w:val="21"/>
                <w:szCs w:val="21"/>
              </w:rPr>
              <w:t>平均气温分级</w:t>
            </w:r>
          </w:p>
        </w:tc>
        <w:tc>
          <w:tcPr>
            <w:tcW w:w="1388" w:type="dxa"/>
            <w:vAlign w:val="center"/>
          </w:tcPr>
          <w:p w14:paraId="5CCABCAA">
            <w:pPr>
              <w:ind w:firstLine="0" w:firstLineChars="0"/>
              <w:jc w:val="center"/>
              <w:rPr>
                <w:rFonts w:ascii="Times New Roman" w:hAnsi="Times New Roman"/>
                <w:b/>
                <w:bCs/>
                <w:kern w:val="0"/>
                <w:sz w:val="21"/>
                <w:szCs w:val="21"/>
              </w:rPr>
            </w:pPr>
            <w:r>
              <w:rPr>
                <w:rFonts w:ascii="Times New Roman" w:hAnsi="Times New Roman"/>
                <w:b/>
                <w:bCs/>
                <w:kern w:val="0"/>
                <w:sz w:val="21"/>
                <w:szCs w:val="21"/>
              </w:rPr>
              <w:t>相对湿度分级</w:t>
            </w:r>
          </w:p>
        </w:tc>
        <w:tc>
          <w:tcPr>
            <w:tcW w:w="1320" w:type="dxa"/>
            <w:vAlign w:val="center"/>
          </w:tcPr>
          <w:p w14:paraId="50901C84">
            <w:pPr>
              <w:ind w:firstLine="0" w:firstLineChars="0"/>
              <w:jc w:val="center"/>
              <w:rPr>
                <w:rFonts w:ascii="Times New Roman" w:hAnsi="Times New Roman"/>
                <w:b/>
                <w:bCs/>
                <w:kern w:val="0"/>
                <w:sz w:val="21"/>
                <w:szCs w:val="21"/>
              </w:rPr>
            </w:pPr>
            <w:r>
              <w:rPr>
                <w:rFonts w:ascii="Times New Roman" w:hAnsi="Times New Roman"/>
                <w:b/>
                <w:bCs/>
                <w:kern w:val="0"/>
                <w:sz w:val="21"/>
                <w:szCs w:val="21"/>
              </w:rPr>
              <w:t>日照时数分级</w:t>
            </w:r>
          </w:p>
        </w:tc>
        <w:tc>
          <w:tcPr>
            <w:tcW w:w="978" w:type="dxa"/>
            <w:vAlign w:val="center"/>
          </w:tcPr>
          <w:p w14:paraId="74F3B853">
            <w:pPr>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气候品质</w:t>
            </w:r>
          </w:p>
          <w:p w14:paraId="35C960D7">
            <w:pPr>
              <w:ind w:firstLine="0" w:firstLineChars="0"/>
              <w:jc w:val="center"/>
              <w:rPr>
                <w:rFonts w:ascii="Times New Roman" w:hAnsi="Times New Roman"/>
                <w:b/>
                <w:bCs/>
                <w:kern w:val="0"/>
                <w:sz w:val="21"/>
                <w:szCs w:val="21"/>
              </w:rPr>
            </w:pPr>
            <w:r>
              <w:rPr>
                <w:rFonts w:ascii="Times New Roman" w:hAnsi="Times New Roman"/>
                <w:b/>
                <w:bCs/>
                <w:kern w:val="0"/>
                <w:sz w:val="21"/>
                <w:szCs w:val="21"/>
              </w:rPr>
              <w:t>评价指数</w:t>
            </w:r>
          </w:p>
        </w:tc>
        <w:tc>
          <w:tcPr>
            <w:tcW w:w="1062" w:type="dxa"/>
            <w:vAlign w:val="center"/>
          </w:tcPr>
          <w:p w14:paraId="0C4CBFA4">
            <w:pPr>
              <w:ind w:firstLine="0" w:firstLineChars="0"/>
              <w:jc w:val="center"/>
              <w:rPr>
                <w:rFonts w:ascii="Times New Roman" w:hAnsi="Times New Roman"/>
                <w:b/>
                <w:bCs/>
                <w:kern w:val="0"/>
                <w:sz w:val="21"/>
                <w:szCs w:val="21"/>
              </w:rPr>
            </w:pPr>
            <w:r>
              <w:rPr>
                <w:rFonts w:hint="eastAsia" w:ascii="Times New Roman" w:hAnsi="Times New Roman"/>
                <w:b/>
                <w:bCs/>
                <w:kern w:val="0"/>
                <w:sz w:val="21"/>
                <w:szCs w:val="21"/>
              </w:rPr>
              <w:t>气候品质</w:t>
            </w:r>
          </w:p>
          <w:p w14:paraId="53CA207C">
            <w:pPr>
              <w:ind w:firstLine="0" w:firstLineChars="0"/>
              <w:jc w:val="center"/>
              <w:rPr>
                <w:rFonts w:ascii="Times New Roman" w:hAnsi="Times New Roman"/>
                <w:b/>
                <w:bCs/>
                <w:kern w:val="0"/>
                <w:sz w:val="21"/>
                <w:szCs w:val="21"/>
              </w:rPr>
            </w:pPr>
            <w:r>
              <w:rPr>
                <w:rFonts w:ascii="Times New Roman" w:hAnsi="Times New Roman"/>
                <w:b/>
                <w:bCs/>
                <w:kern w:val="0"/>
                <w:sz w:val="21"/>
                <w:szCs w:val="21"/>
              </w:rPr>
              <w:t>评价</w:t>
            </w:r>
            <w:r>
              <w:rPr>
                <w:rFonts w:hint="eastAsia" w:ascii="Times New Roman" w:hAnsi="Times New Roman"/>
                <w:b/>
                <w:bCs/>
                <w:kern w:val="0"/>
                <w:sz w:val="21"/>
                <w:szCs w:val="21"/>
              </w:rPr>
              <w:t>等级</w:t>
            </w:r>
          </w:p>
        </w:tc>
        <w:tc>
          <w:tcPr>
            <w:tcW w:w="984" w:type="dxa"/>
            <w:vAlign w:val="center"/>
          </w:tcPr>
          <w:p w14:paraId="3455E786">
            <w:pPr>
              <w:ind w:firstLine="0" w:firstLineChars="0"/>
              <w:jc w:val="center"/>
              <w:rPr>
                <w:rFonts w:hint="default" w:ascii="Times New Roman" w:hAnsi="Times New Roman" w:eastAsia="宋体"/>
                <w:b/>
                <w:bCs/>
                <w:kern w:val="0"/>
                <w:sz w:val="21"/>
                <w:szCs w:val="21"/>
                <w:lang w:val="en-US" w:eastAsia="zh-CN"/>
              </w:rPr>
            </w:pPr>
            <w:r>
              <w:rPr>
                <w:rFonts w:hint="eastAsia" w:ascii="Times New Roman" w:hAnsi="Times New Roman"/>
                <w:b/>
                <w:bCs/>
                <w:kern w:val="0"/>
                <w:sz w:val="21"/>
                <w:szCs w:val="21"/>
                <w:lang w:val="en-US" w:eastAsia="zh-CN"/>
              </w:rPr>
              <w:t>气候品质有效性</w:t>
            </w:r>
          </w:p>
        </w:tc>
      </w:tr>
      <w:tr w14:paraId="25C5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bottom"/>
          </w:tcPr>
          <w:p w14:paraId="1EEBE871">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b/>
                <w:bCs/>
                <w:kern w:val="0"/>
                <w:sz w:val="21"/>
                <w:szCs w:val="21"/>
                <w:lang w:val="en-US" w:eastAsia="zh-CN"/>
              </w:rPr>
              <w:t>2015</w:t>
            </w:r>
          </w:p>
        </w:tc>
        <w:tc>
          <w:tcPr>
            <w:tcW w:w="1337" w:type="dxa"/>
            <w:vAlign w:val="top"/>
          </w:tcPr>
          <w:p w14:paraId="65D26BC1">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258F5166">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320" w:type="dxa"/>
            <w:vAlign w:val="top"/>
          </w:tcPr>
          <w:p w14:paraId="695FA4B2">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8" w:type="dxa"/>
            <w:vAlign w:val="top"/>
          </w:tcPr>
          <w:p w14:paraId="405D8398">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307CE16B">
            <w:pPr>
              <w:widowControl/>
              <w:ind w:firstLine="0" w:firstLineChars="0"/>
              <w:jc w:val="center"/>
              <w:textAlignment w:val="top"/>
              <w:rPr>
                <w:rFonts w:hint="eastAsia" w:ascii="Times New Roman" w:hAnsi="Times New Roman" w:eastAsia="宋体" w:cs="Times New Roman"/>
                <w:b/>
                <w:bCs/>
                <w:color w:val="000000"/>
                <w:kern w:val="0"/>
                <w:sz w:val="21"/>
                <w:szCs w:val="21"/>
                <w:lang w:val="en-US" w:eastAsia="zh-CN" w:bidi="ar"/>
              </w:rPr>
            </w:pPr>
            <w:r>
              <w:rPr>
                <w:rFonts w:hint="eastAsia" w:ascii="Times New Roman" w:hAnsi="Times New Roman"/>
                <w:b/>
                <w:bCs/>
                <w:color w:val="000000"/>
                <w:kern w:val="0"/>
                <w:sz w:val="21"/>
                <w:szCs w:val="21"/>
                <w:lang w:bidi="ar"/>
              </w:rPr>
              <w:t>特优</w:t>
            </w:r>
          </w:p>
        </w:tc>
        <w:tc>
          <w:tcPr>
            <w:tcW w:w="984" w:type="dxa"/>
            <w:vAlign w:val="center"/>
          </w:tcPr>
          <w:p w14:paraId="5A24D92E">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701E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bottom"/>
          </w:tcPr>
          <w:p w14:paraId="3AB30F63">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b/>
                <w:bCs/>
                <w:kern w:val="0"/>
                <w:sz w:val="21"/>
                <w:szCs w:val="21"/>
                <w:lang w:val="en-US" w:eastAsia="zh-CN"/>
              </w:rPr>
              <w:t>2016</w:t>
            </w:r>
          </w:p>
        </w:tc>
        <w:tc>
          <w:tcPr>
            <w:tcW w:w="1337" w:type="dxa"/>
            <w:vAlign w:val="top"/>
          </w:tcPr>
          <w:p w14:paraId="5CAC3850">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5B640BE9">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320" w:type="dxa"/>
            <w:vAlign w:val="top"/>
          </w:tcPr>
          <w:p w14:paraId="6FA2D459">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8" w:type="dxa"/>
            <w:vAlign w:val="top"/>
          </w:tcPr>
          <w:p w14:paraId="03E6C998">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1826DC58">
            <w:pPr>
              <w:widowControl/>
              <w:ind w:firstLine="0" w:firstLineChars="0"/>
              <w:jc w:val="center"/>
              <w:textAlignment w:val="top"/>
              <w:rPr>
                <w:rFonts w:hint="eastAsia" w:ascii="Times New Roman" w:hAnsi="Times New Roman" w:eastAsia="宋体" w:cs="Times New Roman"/>
                <w:b/>
                <w:bCs/>
                <w:color w:val="000000"/>
                <w:kern w:val="0"/>
                <w:sz w:val="21"/>
                <w:szCs w:val="21"/>
                <w:lang w:val="en-US" w:eastAsia="zh-CN" w:bidi="ar"/>
              </w:rPr>
            </w:pPr>
            <w:r>
              <w:rPr>
                <w:rFonts w:hint="eastAsia" w:ascii="Times New Roman" w:hAnsi="Times New Roman"/>
                <w:b/>
                <w:bCs/>
                <w:color w:val="000000"/>
                <w:kern w:val="0"/>
                <w:sz w:val="21"/>
                <w:szCs w:val="21"/>
                <w:lang w:bidi="ar"/>
              </w:rPr>
              <w:t>特优</w:t>
            </w:r>
          </w:p>
        </w:tc>
        <w:tc>
          <w:tcPr>
            <w:tcW w:w="984" w:type="dxa"/>
            <w:vAlign w:val="center"/>
          </w:tcPr>
          <w:p w14:paraId="4464D50F">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7377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bottom"/>
          </w:tcPr>
          <w:p w14:paraId="34C89CA5">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default" w:ascii="Times New Roman" w:hAnsi="Times New Roman"/>
                <w:b/>
                <w:bCs/>
                <w:kern w:val="0"/>
                <w:sz w:val="21"/>
                <w:szCs w:val="21"/>
                <w:lang w:val="en-US" w:eastAsia="zh-CN"/>
              </w:rPr>
              <w:t>2017</w:t>
            </w:r>
          </w:p>
        </w:tc>
        <w:tc>
          <w:tcPr>
            <w:tcW w:w="1337" w:type="dxa"/>
            <w:vAlign w:val="top"/>
          </w:tcPr>
          <w:p w14:paraId="644A1D55">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2BC87D58">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320" w:type="dxa"/>
            <w:vAlign w:val="top"/>
          </w:tcPr>
          <w:p w14:paraId="467DB2BF">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8" w:type="dxa"/>
            <w:vAlign w:val="top"/>
          </w:tcPr>
          <w:p w14:paraId="6325A426">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20A9193C">
            <w:pPr>
              <w:widowControl/>
              <w:ind w:firstLine="0" w:firstLineChars="0"/>
              <w:jc w:val="center"/>
              <w:textAlignment w:val="top"/>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b/>
                <w:bCs/>
                <w:color w:val="000000"/>
                <w:kern w:val="0"/>
                <w:sz w:val="21"/>
                <w:szCs w:val="21"/>
                <w:lang w:bidi="ar"/>
              </w:rPr>
              <w:t>特优</w:t>
            </w:r>
          </w:p>
        </w:tc>
        <w:tc>
          <w:tcPr>
            <w:tcW w:w="984" w:type="dxa"/>
            <w:vAlign w:val="center"/>
          </w:tcPr>
          <w:p w14:paraId="75FBDF14">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16E9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67085B5E">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2018</w:t>
            </w:r>
          </w:p>
        </w:tc>
        <w:tc>
          <w:tcPr>
            <w:tcW w:w="1337" w:type="dxa"/>
            <w:vAlign w:val="top"/>
          </w:tcPr>
          <w:p w14:paraId="60224CEB">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220364FD">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1320" w:type="dxa"/>
            <w:vAlign w:val="top"/>
          </w:tcPr>
          <w:p w14:paraId="0B91E9AB">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78" w:type="dxa"/>
            <w:vAlign w:val="top"/>
          </w:tcPr>
          <w:p w14:paraId="026E79D4">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442ADADD">
            <w:pPr>
              <w:widowControl/>
              <w:ind w:firstLine="0" w:firstLineChars="0"/>
              <w:jc w:val="center"/>
              <w:textAlignment w:val="top"/>
              <w:rPr>
                <w:rFonts w:hint="eastAsia" w:ascii="Times New Roman" w:hAnsi="Times New Roman" w:eastAsia="宋体" w:cs="Times New Roman"/>
                <w:b/>
                <w:bCs/>
                <w:color w:val="000000"/>
                <w:kern w:val="0"/>
                <w:sz w:val="21"/>
                <w:szCs w:val="21"/>
                <w:lang w:val="en-US" w:eastAsia="zh-CN" w:bidi="ar"/>
              </w:rPr>
            </w:pPr>
            <w:r>
              <w:rPr>
                <w:rFonts w:hint="eastAsia" w:ascii="Times New Roman" w:hAnsi="Times New Roman"/>
                <w:b/>
                <w:bCs/>
                <w:color w:val="000000"/>
                <w:kern w:val="0"/>
                <w:sz w:val="21"/>
                <w:szCs w:val="21"/>
                <w:lang w:bidi="ar"/>
              </w:rPr>
              <w:t>特优</w:t>
            </w:r>
          </w:p>
        </w:tc>
        <w:tc>
          <w:tcPr>
            <w:tcW w:w="984" w:type="dxa"/>
            <w:vAlign w:val="center"/>
          </w:tcPr>
          <w:p w14:paraId="6A29D935">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596F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22B3103D">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2019</w:t>
            </w:r>
          </w:p>
        </w:tc>
        <w:tc>
          <w:tcPr>
            <w:tcW w:w="1337" w:type="dxa"/>
            <w:vAlign w:val="top"/>
          </w:tcPr>
          <w:p w14:paraId="41232736">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267C0C9E">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320" w:type="dxa"/>
            <w:vAlign w:val="top"/>
          </w:tcPr>
          <w:p w14:paraId="1F97ACD8">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8" w:type="dxa"/>
            <w:vAlign w:val="top"/>
          </w:tcPr>
          <w:p w14:paraId="61B08D82">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48A3C200">
            <w:pPr>
              <w:widowControl/>
              <w:ind w:firstLine="0" w:firstLineChars="0"/>
              <w:jc w:val="center"/>
              <w:textAlignment w:val="top"/>
              <w:rPr>
                <w:rFonts w:hint="eastAsia" w:ascii="Times New Roman" w:hAnsi="Times New Roman" w:eastAsia="宋体" w:cs="Times New Roman"/>
                <w:b/>
                <w:bCs/>
                <w:color w:val="000000"/>
                <w:kern w:val="0"/>
                <w:sz w:val="21"/>
                <w:szCs w:val="21"/>
                <w:lang w:val="en-US" w:eastAsia="zh-CN" w:bidi="ar"/>
              </w:rPr>
            </w:pPr>
            <w:r>
              <w:rPr>
                <w:rFonts w:hint="eastAsia" w:ascii="Times New Roman" w:hAnsi="Times New Roman"/>
                <w:b/>
                <w:bCs/>
                <w:color w:val="000000"/>
                <w:kern w:val="0"/>
                <w:sz w:val="21"/>
                <w:szCs w:val="21"/>
                <w:lang w:bidi="ar"/>
              </w:rPr>
              <w:t>特优</w:t>
            </w:r>
          </w:p>
        </w:tc>
        <w:tc>
          <w:tcPr>
            <w:tcW w:w="984" w:type="dxa"/>
            <w:vAlign w:val="center"/>
          </w:tcPr>
          <w:p w14:paraId="292B5956">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7EF1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0721BE11">
            <w:pPr>
              <w:adjustRightInd w:val="0"/>
              <w:snapToGrid w:val="0"/>
              <w:spacing w:before="156" w:beforeLines="50"/>
              <w:ind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2020</w:t>
            </w:r>
          </w:p>
        </w:tc>
        <w:tc>
          <w:tcPr>
            <w:tcW w:w="1337" w:type="dxa"/>
            <w:vAlign w:val="top"/>
          </w:tcPr>
          <w:p w14:paraId="79F92070">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64A21CB4">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w:t>
            </w:r>
          </w:p>
        </w:tc>
        <w:tc>
          <w:tcPr>
            <w:tcW w:w="1320" w:type="dxa"/>
            <w:vAlign w:val="top"/>
          </w:tcPr>
          <w:p w14:paraId="0A31A49A">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978" w:type="dxa"/>
            <w:vAlign w:val="top"/>
          </w:tcPr>
          <w:p w14:paraId="229B4273">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4EC081E3">
            <w:pPr>
              <w:widowControl/>
              <w:ind w:firstLine="0" w:firstLineChars="0"/>
              <w:jc w:val="center"/>
              <w:textAlignment w:val="top"/>
              <w:rPr>
                <w:rFonts w:ascii="Times New Roman" w:hAnsi="Times New Roman"/>
                <w:b/>
                <w:bCs/>
                <w:color w:val="000000"/>
                <w:kern w:val="0"/>
                <w:sz w:val="21"/>
                <w:szCs w:val="21"/>
                <w:lang w:bidi="ar"/>
              </w:rPr>
            </w:pPr>
            <w:r>
              <w:rPr>
                <w:rFonts w:hint="eastAsia" w:ascii="Times New Roman" w:hAnsi="Times New Roman"/>
                <w:b/>
                <w:bCs/>
                <w:color w:val="000000"/>
                <w:kern w:val="0"/>
                <w:sz w:val="21"/>
                <w:szCs w:val="21"/>
                <w:lang w:bidi="ar"/>
              </w:rPr>
              <w:t>特优</w:t>
            </w:r>
          </w:p>
        </w:tc>
        <w:tc>
          <w:tcPr>
            <w:tcW w:w="984" w:type="dxa"/>
            <w:vAlign w:val="center"/>
          </w:tcPr>
          <w:p w14:paraId="7D440CD0">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589D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77625A08">
            <w:pPr>
              <w:adjustRightInd w:val="0"/>
              <w:snapToGrid w:val="0"/>
              <w:spacing w:before="156" w:beforeLines="50"/>
              <w:ind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2021</w:t>
            </w:r>
          </w:p>
        </w:tc>
        <w:tc>
          <w:tcPr>
            <w:tcW w:w="1337" w:type="dxa"/>
            <w:vAlign w:val="top"/>
          </w:tcPr>
          <w:p w14:paraId="6BE411F1">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3221CE0F">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w:t>
            </w:r>
          </w:p>
        </w:tc>
        <w:tc>
          <w:tcPr>
            <w:tcW w:w="1320" w:type="dxa"/>
            <w:vAlign w:val="top"/>
          </w:tcPr>
          <w:p w14:paraId="0F8D1A42">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978" w:type="dxa"/>
            <w:vAlign w:val="top"/>
          </w:tcPr>
          <w:p w14:paraId="200C93BA">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4174F3F2">
            <w:pPr>
              <w:widowControl/>
              <w:ind w:firstLine="0" w:firstLineChars="0"/>
              <w:jc w:val="center"/>
              <w:textAlignment w:val="top"/>
              <w:rPr>
                <w:rFonts w:ascii="Times New Roman" w:hAnsi="Times New Roman"/>
                <w:b/>
                <w:bCs/>
                <w:color w:val="000000"/>
                <w:kern w:val="0"/>
                <w:sz w:val="21"/>
                <w:szCs w:val="21"/>
                <w:lang w:bidi="ar"/>
              </w:rPr>
            </w:pPr>
            <w:r>
              <w:rPr>
                <w:rFonts w:hint="eastAsia" w:ascii="Times New Roman" w:hAnsi="Times New Roman"/>
                <w:b/>
                <w:bCs/>
                <w:color w:val="000000"/>
                <w:kern w:val="0"/>
                <w:sz w:val="21"/>
                <w:szCs w:val="21"/>
                <w:lang w:bidi="ar"/>
              </w:rPr>
              <w:t>特优</w:t>
            </w:r>
          </w:p>
        </w:tc>
        <w:tc>
          <w:tcPr>
            <w:tcW w:w="984" w:type="dxa"/>
            <w:vAlign w:val="center"/>
          </w:tcPr>
          <w:p w14:paraId="774B8AE5">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2473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299C7736">
            <w:pPr>
              <w:adjustRightInd w:val="0"/>
              <w:snapToGrid w:val="0"/>
              <w:spacing w:before="156" w:beforeLines="50"/>
              <w:ind w:firstLine="0" w:firstLineChars="0"/>
              <w:jc w:val="center"/>
              <w:rPr>
                <w:rFonts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2022</w:t>
            </w:r>
          </w:p>
        </w:tc>
        <w:tc>
          <w:tcPr>
            <w:tcW w:w="1337" w:type="dxa"/>
            <w:vAlign w:val="top"/>
          </w:tcPr>
          <w:p w14:paraId="4177AE4E">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07705179">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1320" w:type="dxa"/>
            <w:vAlign w:val="top"/>
          </w:tcPr>
          <w:p w14:paraId="075AC1FC">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w:t>
            </w:r>
          </w:p>
        </w:tc>
        <w:tc>
          <w:tcPr>
            <w:tcW w:w="978" w:type="dxa"/>
            <w:vAlign w:val="top"/>
          </w:tcPr>
          <w:p w14:paraId="4C91EA39">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246C843C">
            <w:pPr>
              <w:widowControl/>
              <w:ind w:firstLine="0" w:firstLineChars="0"/>
              <w:jc w:val="center"/>
              <w:textAlignment w:val="top"/>
              <w:rPr>
                <w:rFonts w:ascii="Times New Roman" w:hAnsi="Times New Roman"/>
                <w:color w:val="000000"/>
                <w:kern w:val="0"/>
                <w:sz w:val="21"/>
                <w:szCs w:val="21"/>
                <w:lang w:bidi="ar"/>
              </w:rPr>
            </w:pPr>
            <w:r>
              <w:rPr>
                <w:rFonts w:hint="eastAsia" w:ascii="Times New Roman" w:hAnsi="Times New Roman"/>
                <w:b/>
                <w:bCs/>
                <w:color w:val="000000"/>
                <w:kern w:val="0"/>
                <w:sz w:val="21"/>
                <w:szCs w:val="21"/>
                <w:lang w:bidi="ar"/>
              </w:rPr>
              <w:t>特优</w:t>
            </w:r>
          </w:p>
        </w:tc>
        <w:tc>
          <w:tcPr>
            <w:tcW w:w="984" w:type="dxa"/>
            <w:vAlign w:val="center"/>
          </w:tcPr>
          <w:p w14:paraId="2F4A5B97">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59D0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2DF7606F">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w:t>
            </w:r>
            <w:r>
              <w:rPr>
                <w:rFonts w:hint="eastAsia" w:ascii="Times New Roman" w:hAnsi="Times New Roman"/>
                <w:b/>
                <w:bCs/>
                <w:kern w:val="0"/>
                <w:sz w:val="21"/>
                <w:szCs w:val="21"/>
                <w:lang w:val="en-US" w:eastAsia="zh-CN"/>
              </w:rPr>
              <w:t>3</w:t>
            </w:r>
          </w:p>
        </w:tc>
        <w:tc>
          <w:tcPr>
            <w:tcW w:w="1337" w:type="dxa"/>
            <w:vAlign w:val="top"/>
          </w:tcPr>
          <w:p w14:paraId="7B4129FD">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06D54CF8">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w:t>
            </w:r>
          </w:p>
        </w:tc>
        <w:tc>
          <w:tcPr>
            <w:tcW w:w="1320" w:type="dxa"/>
            <w:vAlign w:val="top"/>
          </w:tcPr>
          <w:p w14:paraId="37B3A920">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978" w:type="dxa"/>
            <w:vAlign w:val="top"/>
          </w:tcPr>
          <w:p w14:paraId="665D52B3">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33C18848">
            <w:pPr>
              <w:widowControl/>
              <w:ind w:firstLine="0" w:firstLineChars="0"/>
              <w:jc w:val="center"/>
              <w:textAlignment w:val="top"/>
              <w:rPr>
                <w:rFonts w:ascii="Times New Roman" w:hAnsi="Times New Roman"/>
                <w:b/>
                <w:bCs/>
                <w:color w:val="000000"/>
                <w:kern w:val="0"/>
                <w:sz w:val="21"/>
                <w:szCs w:val="21"/>
                <w:lang w:bidi="ar"/>
              </w:rPr>
            </w:pPr>
            <w:r>
              <w:rPr>
                <w:rFonts w:hint="eastAsia" w:ascii="Times New Roman" w:hAnsi="Times New Roman"/>
                <w:b/>
                <w:bCs/>
                <w:color w:val="000000"/>
                <w:kern w:val="0"/>
                <w:sz w:val="21"/>
                <w:szCs w:val="21"/>
                <w:lang w:bidi="ar"/>
              </w:rPr>
              <w:t>特优</w:t>
            </w:r>
          </w:p>
        </w:tc>
        <w:tc>
          <w:tcPr>
            <w:tcW w:w="984" w:type="dxa"/>
            <w:vAlign w:val="center"/>
          </w:tcPr>
          <w:p w14:paraId="10FD36D8">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r w14:paraId="08BE1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 w:type="dxa"/>
            <w:vAlign w:val="center"/>
          </w:tcPr>
          <w:p w14:paraId="3185599B">
            <w:pPr>
              <w:adjustRightInd w:val="0"/>
              <w:snapToGrid w:val="0"/>
              <w:spacing w:before="156" w:beforeLines="50"/>
              <w:ind w:firstLine="0" w:firstLineChars="0"/>
              <w:jc w:val="center"/>
              <w:rPr>
                <w:rFonts w:hint="eastAsia" w:ascii="Times New Roman" w:hAnsi="Times New Roman" w:eastAsia="宋体" w:cs="Times New Roman"/>
                <w:b/>
                <w:bCs/>
                <w:kern w:val="0"/>
                <w:sz w:val="21"/>
                <w:szCs w:val="21"/>
                <w:lang w:val="en-US" w:eastAsia="zh-CN" w:bidi="ar-SA"/>
              </w:rPr>
            </w:pPr>
            <w:r>
              <w:rPr>
                <w:rFonts w:hint="eastAsia" w:ascii="Times New Roman" w:hAnsi="Times New Roman"/>
                <w:b/>
                <w:bCs/>
                <w:kern w:val="0"/>
                <w:sz w:val="21"/>
                <w:szCs w:val="21"/>
              </w:rPr>
              <w:t>202</w:t>
            </w:r>
            <w:r>
              <w:rPr>
                <w:rFonts w:hint="eastAsia" w:ascii="Times New Roman" w:hAnsi="Times New Roman"/>
                <w:b/>
                <w:bCs/>
                <w:kern w:val="0"/>
                <w:sz w:val="21"/>
                <w:szCs w:val="21"/>
                <w:lang w:val="en-US" w:eastAsia="zh-CN"/>
              </w:rPr>
              <w:t>4</w:t>
            </w:r>
          </w:p>
        </w:tc>
        <w:tc>
          <w:tcPr>
            <w:tcW w:w="1337" w:type="dxa"/>
            <w:vAlign w:val="top"/>
          </w:tcPr>
          <w:p w14:paraId="2207A6F6">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388" w:type="dxa"/>
            <w:vAlign w:val="top"/>
          </w:tcPr>
          <w:p w14:paraId="12A7C465">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2</w:t>
            </w:r>
          </w:p>
        </w:tc>
        <w:tc>
          <w:tcPr>
            <w:tcW w:w="1320" w:type="dxa"/>
            <w:vAlign w:val="top"/>
          </w:tcPr>
          <w:p w14:paraId="3CE824A7">
            <w:pPr>
              <w:keepNext w:val="0"/>
              <w:keepLines w:val="0"/>
              <w:widowControl/>
              <w:suppressLineNumbers w:val="0"/>
              <w:ind w:left="0" w:leftChars="0" w:firstLine="0" w:firstLineChars="0"/>
              <w:jc w:val="center"/>
              <w:textAlignment w:val="top"/>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3</w:t>
            </w:r>
          </w:p>
        </w:tc>
        <w:tc>
          <w:tcPr>
            <w:tcW w:w="978" w:type="dxa"/>
            <w:vAlign w:val="top"/>
          </w:tcPr>
          <w:p w14:paraId="752DC82E">
            <w:pPr>
              <w:keepNext w:val="0"/>
              <w:keepLines w:val="0"/>
              <w:widowControl/>
              <w:suppressLineNumbers w:val="0"/>
              <w:ind w:left="0" w:leftChars="0" w:firstLine="0" w:firstLineChars="0"/>
              <w:jc w:val="center"/>
              <w:textAlignment w:val="top"/>
              <w:rPr>
                <w:rFonts w:ascii="Times New Roman" w:hAnsi="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062" w:type="dxa"/>
            <w:vAlign w:val="center"/>
          </w:tcPr>
          <w:p w14:paraId="7A1C2DE4">
            <w:pPr>
              <w:widowControl/>
              <w:ind w:firstLine="0" w:firstLineChars="0"/>
              <w:jc w:val="center"/>
              <w:textAlignment w:val="top"/>
              <w:rPr>
                <w:rFonts w:ascii="Times New Roman" w:hAnsi="Times New Roman"/>
                <w:b/>
                <w:bCs/>
                <w:color w:val="000000"/>
                <w:kern w:val="0"/>
                <w:sz w:val="21"/>
                <w:szCs w:val="21"/>
                <w:lang w:bidi="ar"/>
              </w:rPr>
            </w:pPr>
            <w:r>
              <w:rPr>
                <w:rFonts w:hint="eastAsia" w:ascii="Times New Roman" w:hAnsi="Times New Roman"/>
                <w:b/>
                <w:bCs/>
                <w:color w:val="000000"/>
                <w:kern w:val="0"/>
                <w:sz w:val="21"/>
                <w:szCs w:val="21"/>
                <w:lang w:bidi="ar"/>
              </w:rPr>
              <w:t>特优</w:t>
            </w:r>
          </w:p>
        </w:tc>
        <w:tc>
          <w:tcPr>
            <w:tcW w:w="984" w:type="dxa"/>
            <w:vAlign w:val="center"/>
          </w:tcPr>
          <w:p w14:paraId="6A7673CB">
            <w:pPr>
              <w:widowControl/>
              <w:ind w:firstLine="0" w:firstLineChars="0"/>
              <w:jc w:val="center"/>
              <w:textAlignment w:val="top"/>
              <w:rPr>
                <w:rFonts w:hint="eastAsia" w:ascii="Times New Roman" w:hAnsi="Times New Roman" w:eastAsia="宋体"/>
                <w:b/>
                <w:bCs/>
                <w:color w:val="000000"/>
                <w:kern w:val="0"/>
                <w:sz w:val="21"/>
                <w:szCs w:val="21"/>
                <w:lang w:val="en-US" w:eastAsia="zh-CN" w:bidi="ar"/>
              </w:rPr>
            </w:pPr>
            <w:r>
              <w:rPr>
                <w:rFonts w:hint="eastAsia" w:ascii="Times New Roman" w:hAnsi="Times New Roman"/>
                <w:b/>
                <w:bCs/>
                <w:color w:val="000000"/>
                <w:kern w:val="0"/>
                <w:sz w:val="21"/>
                <w:szCs w:val="21"/>
                <w:lang w:val="en-US" w:eastAsia="zh-CN" w:bidi="ar"/>
              </w:rPr>
              <w:t>1</w:t>
            </w:r>
          </w:p>
        </w:tc>
      </w:tr>
    </w:tbl>
    <w:p w14:paraId="55A461B6">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评价结果表明，近10年（2015-2024年）都匀茶叶气候品质均为</w:t>
      </w:r>
      <w:r>
        <w:rPr>
          <w:rFonts w:hint="eastAsia" w:cs="Times New Roman"/>
          <w:szCs w:val="21"/>
          <w:lang w:val="en-US" w:eastAsia="zh-CN"/>
        </w:rPr>
        <w:t>“</w:t>
      </w:r>
      <w:r>
        <w:rPr>
          <w:rFonts w:hint="eastAsia" w:ascii="Times New Roman" w:hAnsi="Times New Roman" w:eastAsia="宋体" w:cs="Times New Roman"/>
          <w:szCs w:val="21"/>
          <w:lang w:val="en-US" w:eastAsia="zh-CN"/>
        </w:rPr>
        <w:t>特优</w:t>
      </w:r>
      <w:r>
        <w:rPr>
          <w:rFonts w:hint="eastAsia" w:cs="Times New Roman"/>
          <w:szCs w:val="21"/>
          <w:lang w:val="en-US" w:eastAsia="zh-CN"/>
        </w:rPr>
        <w:t>”</w:t>
      </w:r>
      <w:r>
        <w:rPr>
          <w:rFonts w:hint="eastAsia" w:ascii="Times New Roman" w:hAnsi="Times New Roman" w:eastAsia="宋体" w:cs="Times New Roman"/>
          <w:szCs w:val="21"/>
          <w:lang w:val="en-US" w:eastAsia="zh-CN"/>
        </w:rPr>
        <w:t>，</w:t>
      </w:r>
      <w:r>
        <w:rPr>
          <w:rFonts w:hint="eastAsia" w:cs="Times New Roman"/>
          <w:szCs w:val="21"/>
          <w:lang w:val="en-US" w:eastAsia="zh-CN"/>
        </w:rPr>
        <w:t>“</w:t>
      </w:r>
      <w:r>
        <w:rPr>
          <w:rFonts w:hint="eastAsia" w:ascii="Times New Roman" w:hAnsi="Times New Roman" w:eastAsia="宋体" w:cs="Times New Roman"/>
          <w:szCs w:val="21"/>
          <w:lang w:val="en-US" w:eastAsia="zh-CN"/>
        </w:rPr>
        <w:t>优</w:t>
      </w:r>
      <w:r>
        <w:rPr>
          <w:rFonts w:hint="eastAsia" w:cs="Times New Roman"/>
          <w:szCs w:val="21"/>
          <w:lang w:val="en-US" w:eastAsia="zh-CN"/>
        </w:rPr>
        <w:t>”</w:t>
      </w:r>
      <w:r>
        <w:rPr>
          <w:rFonts w:hint="eastAsia" w:ascii="Times New Roman" w:hAnsi="Times New Roman" w:eastAsia="宋体" w:cs="Times New Roman"/>
          <w:szCs w:val="21"/>
          <w:lang w:val="en-US" w:eastAsia="zh-CN"/>
        </w:rPr>
        <w:t>以上气候品质指数有效性赋值的总和F为10，大于7（最低阈值），因此，都匀茶叶气候品质评价结果为</w:t>
      </w:r>
      <w:r>
        <w:rPr>
          <w:rFonts w:hint="eastAsia" w:cs="Times New Roman"/>
          <w:szCs w:val="21"/>
          <w:lang w:val="en-US" w:eastAsia="zh-CN"/>
        </w:rPr>
        <w:t>“</w:t>
      </w:r>
      <w:r>
        <w:rPr>
          <w:rFonts w:hint="eastAsia" w:ascii="Times New Roman" w:hAnsi="Times New Roman" w:eastAsia="宋体" w:cs="Times New Roman"/>
          <w:szCs w:val="21"/>
          <w:lang w:val="en-US" w:eastAsia="zh-CN"/>
        </w:rPr>
        <w:t>气候生态农产品</w:t>
      </w:r>
      <w:r>
        <w:rPr>
          <w:rFonts w:hint="eastAsia" w:cs="Times New Roman"/>
          <w:szCs w:val="21"/>
          <w:lang w:val="en-US" w:eastAsia="zh-CN"/>
        </w:rPr>
        <w:t>”</w:t>
      </w:r>
      <w:r>
        <w:rPr>
          <w:rFonts w:hint="eastAsia" w:ascii="Times New Roman" w:hAnsi="Times New Roman" w:eastAsia="宋体" w:cs="Times New Roman"/>
          <w:szCs w:val="21"/>
          <w:lang w:val="en-US" w:eastAsia="zh-CN"/>
        </w:rPr>
        <w:t>。</w:t>
      </w:r>
    </w:p>
    <w:p w14:paraId="4639D616">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bookmarkStart w:id="35" w:name="_Toc19801"/>
      <w:bookmarkStart w:id="36" w:name="_Toc19821"/>
      <w:bookmarkStart w:id="37" w:name="_Toc5506"/>
      <w:bookmarkStart w:id="38" w:name="_Toc8545"/>
      <w:bookmarkStart w:id="39" w:name="_Toc131506332"/>
      <w:bookmarkStart w:id="40" w:name="_Toc131747854"/>
      <w:r>
        <w:rPr>
          <w:rFonts w:hint="eastAsia" w:ascii="Times New Roman" w:hAnsi="Times New Roman" w:eastAsia="宋体" w:cs="Times New Roman"/>
          <w:szCs w:val="21"/>
          <w:lang w:val="en-US" w:eastAsia="zh-CN"/>
        </w:rPr>
        <w:t>（2）2024年都匀茶叶全域气候品质评价指数</w:t>
      </w:r>
      <w:bookmarkEnd w:id="35"/>
      <w:bookmarkEnd w:id="36"/>
      <w:bookmarkEnd w:id="37"/>
      <w:bookmarkEnd w:id="38"/>
      <w:bookmarkEnd w:id="39"/>
      <w:bookmarkEnd w:id="40"/>
    </w:p>
    <w:p w14:paraId="090E7984">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利用公式1，计算2024年都匀茶叶的气候品质指数。滚动统计2024年都匀茶叶采摘期内所有气象考核站（1个国家级气象站和20个区域气象考核站）的逐日前15天的各气象要素值（见附录2），平均气温为都匀市各自动站实测资料，各区域自动站平均相对湿度为本站实测资料（缺值用都匀市国家站同期值代替值），日照时数均采用都匀市国家站同期值，计算得出茶叶全采摘期采摘前15天的平均气温、平均相对湿度和平均日照时数，见表6。</w:t>
      </w:r>
    </w:p>
    <w:p w14:paraId="23A32A63">
      <w:pPr>
        <w:adjustRightInd w:val="0"/>
        <w:snapToGrid w:val="0"/>
        <w:spacing w:line="360" w:lineRule="auto"/>
        <w:ind w:firstLine="0" w:firstLineChars="0"/>
        <w:jc w:val="center"/>
        <w:rPr>
          <w:rFonts w:ascii="Times New Roman" w:hAnsi="Times New Roman"/>
          <w:sz w:val="21"/>
          <w:szCs w:val="21"/>
        </w:rPr>
      </w:pPr>
      <w:r>
        <w:rPr>
          <w:rFonts w:hint="eastAsia" w:ascii="Times New Roman" w:hAnsi="Times New Roman"/>
          <w:sz w:val="21"/>
          <w:szCs w:val="21"/>
        </w:rPr>
        <w:t>表</w:t>
      </w:r>
      <w:r>
        <w:rPr>
          <w:rFonts w:hint="eastAsia" w:ascii="Times New Roman" w:hAnsi="Times New Roman"/>
          <w:sz w:val="21"/>
          <w:szCs w:val="21"/>
          <w:lang w:val="en-US" w:eastAsia="zh-CN"/>
        </w:rPr>
        <w:t>6</w:t>
      </w:r>
      <w:r>
        <w:rPr>
          <w:rFonts w:hint="eastAsia" w:ascii="Times New Roman" w:hAnsi="Times New Roman"/>
          <w:sz w:val="21"/>
          <w:szCs w:val="21"/>
        </w:rPr>
        <w:t xml:space="preserve">  </w:t>
      </w:r>
      <w:r>
        <w:rPr>
          <w:rFonts w:hint="eastAsia" w:ascii="Times New Roman" w:hAnsi="Times New Roman"/>
          <w:sz w:val="21"/>
          <w:szCs w:val="21"/>
          <w:lang w:val="en-US" w:eastAsia="zh-CN"/>
        </w:rPr>
        <w:t>2024</w:t>
      </w:r>
      <w:r>
        <w:rPr>
          <w:rFonts w:hint="eastAsia" w:ascii="Times New Roman" w:hAnsi="Times New Roman"/>
          <w:sz w:val="21"/>
          <w:szCs w:val="21"/>
        </w:rPr>
        <w:t>年</w:t>
      </w:r>
      <w:r>
        <w:rPr>
          <w:rFonts w:hint="eastAsia" w:ascii="Times New Roman" w:hAnsi="Times New Roman"/>
          <w:sz w:val="21"/>
          <w:szCs w:val="21"/>
          <w:lang w:eastAsia="zh-CN"/>
        </w:rPr>
        <w:t>都匀</w:t>
      </w:r>
      <w:r>
        <w:rPr>
          <w:rFonts w:hint="eastAsia" w:ascii="Times New Roman" w:hAnsi="Times New Roman"/>
          <w:sz w:val="21"/>
          <w:szCs w:val="21"/>
          <w:lang w:val="en-US" w:eastAsia="zh-CN"/>
        </w:rPr>
        <w:t>毛尖茶</w:t>
      </w:r>
      <w:r>
        <w:rPr>
          <w:rFonts w:hint="eastAsia" w:ascii="Times New Roman" w:hAnsi="Times New Roman"/>
          <w:sz w:val="21"/>
          <w:szCs w:val="21"/>
        </w:rPr>
        <w:t>采摘前15天各气象要素平均值</w:t>
      </w:r>
    </w:p>
    <w:tbl>
      <w:tblPr>
        <w:tblStyle w:val="8"/>
        <w:tblW w:w="6600" w:type="dxa"/>
        <w:jc w:val="center"/>
        <w:tblLayout w:type="autofit"/>
        <w:tblCellMar>
          <w:top w:w="0" w:type="dxa"/>
          <w:left w:w="108" w:type="dxa"/>
          <w:bottom w:w="0" w:type="dxa"/>
          <w:right w:w="108" w:type="dxa"/>
        </w:tblCellMar>
      </w:tblPr>
      <w:tblGrid>
        <w:gridCol w:w="960"/>
        <w:gridCol w:w="1608"/>
        <w:gridCol w:w="1956"/>
        <w:gridCol w:w="2076"/>
      </w:tblGrid>
      <w:tr w14:paraId="34358ADF">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3B5692">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站名</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09D360">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平均气温</w:t>
            </w:r>
            <w:r>
              <w:rPr>
                <w:rFonts w:ascii="Times New Roman" w:hAnsi="Times New Roman"/>
                <w:b/>
                <w:bCs/>
                <w:color w:val="000000"/>
                <w:kern w:val="0"/>
                <w:sz w:val="21"/>
                <w:szCs w:val="21"/>
                <w:lang w:bidi="ar"/>
              </w:rPr>
              <w:t>(</w:t>
            </w:r>
            <w:r>
              <w:rPr>
                <w:rFonts w:hint="eastAsia" w:ascii="宋体" w:hAnsi="宋体" w:cs="宋体"/>
                <w:b/>
                <w:bCs/>
                <w:color w:val="000000"/>
                <w:kern w:val="0"/>
                <w:sz w:val="21"/>
                <w:szCs w:val="21"/>
                <w:lang w:bidi="ar"/>
              </w:rPr>
              <w:t>℃</w:t>
            </w:r>
            <w:r>
              <w:rPr>
                <w:rFonts w:ascii="Times New Roman" w:hAnsi="Times New Roman"/>
                <w:b/>
                <w:bCs/>
                <w:color w:val="000000"/>
                <w:kern w:val="0"/>
                <w:sz w:val="21"/>
                <w:szCs w:val="21"/>
                <w:lang w:bidi="ar"/>
              </w:rPr>
              <w:t>)</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E17404">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平均相对湿度（%）</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12F95C">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平均日照时数（h）</w:t>
            </w:r>
          </w:p>
        </w:tc>
      </w:tr>
      <w:tr w14:paraId="0966908D">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4FD948">
            <w:pPr>
              <w:keepNext w:val="0"/>
              <w:keepLines w:val="0"/>
              <w:widowControl/>
              <w:suppressLineNumbers w:val="0"/>
              <w:jc w:val="left"/>
              <w:textAlignment w:val="center"/>
              <w:rPr>
                <w:rFonts w:hint="eastAsia" w:ascii="宋体" w:hAnsi="宋体" w:eastAsia="宋体" w:cs="宋体"/>
                <w:b/>
                <w:bCs/>
                <w:color w:val="000000"/>
                <w:sz w:val="21"/>
                <w:szCs w:val="21"/>
                <w:lang w:eastAsia="zh-CN"/>
              </w:rPr>
            </w:pPr>
            <w:r>
              <w:rPr>
                <w:rFonts w:hint="eastAsia" w:ascii="宋体" w:hAnsi="宋体" w:eastAsia="宋体" w:cs="宋体"/>
                <w:b/>
                <w:bCs/>
                <w:i w:val="0"/>
                <w:iCs w:val="0"/>
                <w:color w:val="000000"/>
                <w:kern w:val="0"/>
                <w:sz w:val="21"/>
                <w:szCs w:val="21"/>
                <w:u w:val="none"/>
                <w:lang w:val="en-US" w:eastAsia="zh-CN" w:bidi="ar"/>
              </w:rPr>
              <w:t>都匀</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22D97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17.7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FBC718">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CD80A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68AB8392">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103A94">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斗篷山</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86346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16.5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6E7C6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79.3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370C3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7A5A4DC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D90422">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甘塘</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CA743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17.8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18968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666CB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0FFDB13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E981AD">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摆忙</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75A01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15.7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6329D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85.3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32848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50A1FA03">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74DEC4">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墨冲</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AAD0F6">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19.0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2816E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BD7833">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6B8C6E9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77CD35">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平浪</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202E38">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18.6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12577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45E06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2BDE707F">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82CD23">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凯口</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2BD298">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18.0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B0B68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77.9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0EA3EC">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2EBBBB3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7480F0">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洛邦</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B73D8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17.5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50041B">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81.3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31F938">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0C4B595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7CF78C">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大坪</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70111C">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18.4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C2862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3CBF7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778AB1D6">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F51668">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坝固</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A2AF8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18.9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A4E61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77.6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06B4B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7053216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EBCA57">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阳和</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DE531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19.0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3C32B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DCCA8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1C6F2713">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1F28CA">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王司</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DB28BB">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18.9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34660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77.1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413F2D">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41C11F47">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3CF27B">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奉合</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38CEA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18.3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9519CD">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D3DA2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3345F551">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BA3E34">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石龙</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552056">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18.1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2170D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8EEFC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21261F6E">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B2C8EC">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江洲</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0C755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17.4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2D914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81.6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AEC96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712402BB">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EC5E7C">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河阳</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E142C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18.0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FEFD66">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80.4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7C4082">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576691F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2AA733">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沙寨</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02AFA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18.9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00416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77.9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4C3B7D">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1F19EB7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4237A5">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良亩</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4FC654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19.0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D40E8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FAEFB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607EC999">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8D98E1">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新坪</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073F3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18.8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08DAF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80.4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405353">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3.3 </w:t>
            </w:r>
          </w:p>
        </w:tc>
      </w:tr>
      <w:tr w14:paraId="6D191B5F">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198854">
            <w:pPr>
              <w:keepNext w:val="0"/>
              <w:keepLines w:val="0"/>
              <w:widowControl/>
              <w:suppressLineNumbers w:val="0"/>
              <w:jc w:val="left"/>
              <w:textAlignment w:val="center"/>
              <w:rPr>
                <w:rFonts w:hint="eastAsia" w:ascii="宋体" w:hAnsi="宋体" w:cs="宋体"/>
                <w:b/>
                <w:bCs/>
                <w:color w:val="000000"/>
                <w:kern w:val="0"/>
                <w:sz w:val="21"/>
                <w:szCs w:val="21"/>
                <w:lang w:bidi="ar"/>
              </w:rPr>
            </w:pPr>
            <w:r>
              <w:rPr>
                <w:rFonts w:hint="eastAsia" w:ascii="宋体" w:hAnsi="宋体" w:eastAsia="宋体" w:cs="宋体"/>
                <w:b/>
                <w:bCs/>
                <w:i w:val="0"/>
                <w:iCs w:val="0"/>
                <w:color w:val="000000"/>
                <w:kern w:val="0"/>
                <w:sz w:val="21"/>
                <w:szCs w:val="21"/>
                <w:u w:val="none"/>
                <w:lang w:val="en-US" w:eastAsia="zh-CN" w:bidi="ar"/>
              </w:rPr>
              <w:t>茶农</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07D7A1">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 xml:space="preserve">17.4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9FE549">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 xml:space="preserve">79.0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69A32B">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 xml:space="preserve">3.3 </w:t>
            </w:r>
          </w:p>
        </w:tc>
      </w:tr>
      <w:tr w14:paraId="3283FA9F">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F85A18">
            <w:pPr>
              <w:keepNext w:val="0"/>
              <w:keepLines w:val="0"/>
              <w:widowControl/>
              <w:suppressLineNumbers w:val="0"/>
              <w:jc w:val="left"/>
              <w:textAlignment w:val="center"/>
              <w:rPr>
                <w:rFonts w:hint="eastAsia" w:ascii="宋体" w:hAnsi="宋体" w:cs="宋体"/>
                <w:b/>
                <w:bCs/>
                <w:color w:val="000000"/>
                <w:kern w:val="0"/>
                <w:sz w:val="21"/>
                <w:szCs w:val="21"/>
                <w:lang w:bidi="ar"/>
              </w:rPr>
            </w:pPr>
            <w:r>
              <w:rPr>
                <w:rFonts w:hint="eastAsia" w:ascii="宋体" w:hAnsi="宋体" w:eastAsia="宋体" w:cs="宋体"/>
                <w:b/>
                <w:bCs/>
                <w:i w:val="0"/>
                <w:iCs w:val="0"/>
                <w:color w:val="000000"/>
                <w:kern w:val="0"/>
                <w:sz w:val="21"/>
                <w:szCs w:val="21"/>
                <w:u w:val="none"/>
                <w:lang w:val="en-US" w:eastAsia="zh-CN" w:bidi="ar"/>
              </w:rPr>
              <w:t>马尾</w:t>
            </w:r>
          </w:p>
        </w:tc>
        <w:tc>
          <w:tcPr>
            <w:tcW w:w="160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70AFE6">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 xml:space="preserve">19.0 </w:t>
            </w:r>
          </w:p>
        </w:tc>
        <w:tc>
          <w:tcPr>
            <w:tcW w:w="195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ABF87E">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 xml:space="preserve">78.9 </w:t>
            </w:r>
          </w:p>
        </w:tc>
        <w:tc>
          <w:tcPr>
            <w:tcW w:w="20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37FDF2">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 xml:space="preserve">3.3 </w:t>
            </w:r>
          </w:p>
        </w:tc>
      </w:tr>
    </w:tbl>
    <w:p w14:paraId="2509E4B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利用公式1，并根据评价标准（表4.1）和划分等级（表4.2），计算得出都匀市2024年的茶叶气候品质指数，如表7所示</w:t>
      </w:r>
    </w:p>
    <w:p w14:paraId="3282CE36">
      <w:pPr>
        <w:spacing w:line="360" w:lineRule="auto"/>
        <w:ind w:firstLine="0" w:firstLineChars="0"/>
        <w:jc w:val="center"/>
        <w:rPr>
          <w:rFonts w:ascii="Times New Roman" w:hAnsi="Times New Roman"/>
          <w:sz w:val="21"/>
          <w:szCs w:val="21"/>
        </w:rPr>
      </w:pPr>
      <w:r>
        <w:rPr>
          <w:rFonts w:hint="eastAsia" w:ascii="Times New Roman" w:hAnsi="Times New Roman"/>
          <w:sz w:val="21"/>
          <w:szCs w:val="21"/>
        </w:rPr>
        <w:t>表</w:t>
      </w:r>
      <w:r>
        <w:rPr>
          <w:rFonts w:hint="eastAsia" w:ascii="Times New Roman" w:hAnsi="Times New Roman"/>
          <w:sz w:val="21"/>
          <w:szCs w:val="21"/>
          <w:lang w:val="en-US" w:eastAsia="zh-CN"/>
        </w:rPr>
        <w:t>7</w:t>
      </w:r>
      <w:r>
        <w:rPr>
          <w:rFonts w:hint="eastAsia" w:ascii="Times New Roman" w:hAnsi="Times New Roman"/>
          <w:sz w:val="21"/>
          <w:szCs w:val="21"/>
        </w:rPr>
        <w:t xml:space="preserve">  202</w:t>
      </w:r>
      <w:r>
        <w:rPr>
          <w:rFonts w:hint="eastAsia" w:ascii="Times New Roman" w:hAnsi="Times New Roman"/>
          <w:sz w:val="21"/>
          <w:szCs w:val="21"/>
          <w:lang w:val="en-US" w:eastAsia="zh-CN"/>
        </w:rPr>
        <w:t>4</w:t>
      </w:r>
      <w:r>
        <w:rPr>
          <w:rFonts w:hint="eastAsia" w:ascii="Times New Roman" w:hAnsi="Times New Roman"/>
          <w:sz w:val="21"/>
          <w:szCs w:val="21"/>
        </w:rPr>
        <w:t>年</w:t>
      </w:r>
      <w:r>
        <w:rPr>
          <w:rFonts w:hint="eastAsia" w:ascii="Times New Roman" w:hAnsi="Times New Roman"/>
          <w:sz w:val="21"/>
          <w:szCs w:val="21"/>
          <w:lang w:eastAsia="zh-CN"/>
        </w:rPr>
        <w:t>都匀市</w:t>
      </w:r>
      <w:r>
        <w:rPr>
          <w:rFonts w:hint="eastAsia" w:ascii="Times New Roman" w:hAnsi="Times New Roman"/>
          <w:sz w:val="21"/>
          <w:szCs w:val="21"/>
        </w:rPr>
        <w:t>茶叶气候品质评价结果</w:t>
      </w:r>
    </w:p>
    <w:tbl>
      <w:tblPr>
        <w:tblStyle w:val="8"/>
        <w:tblW w:w="7497" w:type="dxa"/>
        <w:jc w:val="center"/>
        <w:tblLayout w:type="fixed"/>
        <w:tblCellMar>
          <w:top w:w="0" w:type="dxa"/>
          <w:left w:w="108" w:type="dxa"/>
          <w:bottom w:w="0" w:type="dxa"/>
          <w:right w:w="108" w:type="dxa"/>
        </w:tblCellMar>
      </w:tblPr>
      <w:tblGrid>
        <w:gridCol w:w="960"/>
        <w:gridCol w:w="1034"/>
        <w:gridCol w:w="900"/>
        <w:gridCol w:w="977"/>
        <w:gridCol w:w="1697"/>
        <w:gridCol w:w="1929"/>
      </w:tblGrid>
      <w:tr w14:paraId="52C918E0">
        <w:tblPrEx>
          <w:tblCellMar>
            <w:top w:w="0" w:type="dxa"/>
            <w:left w:w="108" w:type="dxa"/>
            <w:bottom w:w="0" w:type="dxa"/>
            <w:right w:w="108" w:type="dxa"/>
          </w:tblCellMar>
        </w:tblPrEx>
        <w:trPr>
          <w:trHeight w:val="639"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AE6DFCE">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站点</w:t>
            </w:r>
          </w:p>
        </w:tc>
        <w:tc>
          <w:tcPr>
            <w:tcW w:w="103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FBB23E">
            <w:pPr>
              <w:widowControl/>
              <w:adjustRightInd w:val="0"/>
              <w:snapToGrid w:val="0"/>
              <w:ind w:firstLine="0" w:firstLineChars="0"/>
              <w:jc w:val="center"/>
              <w:textAlignment w:val="center"/>
              <w:rPr>
                <w:rFonts w:hint="eastAsia" w:ascii="宋体" w:hAnsi="宋体" w:cs="宋体"/>
                <w:b/>
                <w:bCs/>
                <w:color w:val="000000"/>
                <w:kern w:val="0"/>
                <w:sz w:val="21"/>
                <w:szCs w:val="21"/>
                <w:lang w:bidi="ar"/>
              </w:rPr>
            </w:pPr>
            <w:r>
              <w:rPr>
                <w:rFonts w:hint="eastAsia" w:ascii="宋体" w:hAnsi="宋体" w:cs="宋体"/>
                <w:b/>
                <w:bCs/>
                <w:color w:val="000000"/>
                <w:kern w:val="0"/>
                <w:sz w:val="21"/>
                <w:szCs w:val="21"/>
                <w:lang w:bidi="ar"/>
              </w:rPr>
              <w:t>平均气温分级</w:t>
            </w:r>
          </w:p>
        </w:tc>
        <w:tc>
          <w:tcPr>
            <w:tcW w:w="9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E95FEE">
            <w:pPr>
              <w:widowControl/>
              <w:adjustRightInd w:val="0"/>
              <w:snapToGrid w:val="0"/>
              <w:ind w:firstLine="0" w:firstLineChars="0"/>
              <w:jc w:val="center"/>
              <w:textAlignment w:val="center"/>
              <w:rPr>
                <w:rFonts w:hint="eastAsia" w:ascii="宋体" w:hAnsi="宋体" w:cs="宋体"/>
                <w:b/>
                <w:bCs/>
                <w:color w:val="000000"/>
                <w:kern w:val="0"/>
                <w:sz w:val="21"/>
                <w:szCs w:val="21"/>
                <w:lang w:bidi="ar"/>
              </w:rPr>
            </w:pPr>
            <w:r>
              <w:rPr>
                <w:rFonts w:hint="eastAsia" w:ascii="宋体" w:hAnsi="宋体" w:cs="宋体"/>
                <w:b/>
                <w:bCs/>
                <w:color w:val="000000"/>
                <w:kern w:val="0"/>
                <w:sz w:val="21"/>
                <w:szCs w:val="21"/>
                <w:lang w:bidi="ar"/>
              </w:rPr>
              <w:t>相对湿度分级</w:t>
            </w:r>
          </w:p>
        </w:tc>
        <w:tc>
          <w:tcPr>
            <w:tcW w:w="9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A66221">
            <w:pPr>
              <w:widowControl/>
              <w:adjustRightInd w:val="0"/>
              <w:snapToGrid w:val="0"/>
              <w:ind w:firstLine="0" w:firstLineChars="0"/>
              <w:jc w:val="center"/>
              <w:textAlignment w:val="center"/>
              <w:rPr>
                <w:rFonts w:hint="eastAsia" w:ascii="宋体" w:hAnsi="宋体" w:cs="宋体"/>
                <w:b/>
                <w:bCs/>
                <w:color w:val="000000"/>
                <w:kern w:val="0"/>
                <w:sz w:val="21"/>
                <w:szCs w:val="21"/>
                <w:lang w:bidi="ar"/>
              </w:rPr>
            </w:pPr>
            <w:r>
              <w:rPr>
                <w:rFonts w:hint="eastAsia" w:ascii="宋体" w:hAnsi="宋体" w:cs="宋体"/>
                <w:b/>
                <w:bCs/>
                <w:color w:val="000000"/>
                <w:kern w:val="0"/>
                <w:sz w:val="21"/>
                <w:szCs w:val="21"/>
                <w:lang w:bidi="ar"/>
              </w:rPr>
              <w:t>日照时数分级</w:t>
            </w:r>
          </w:p>
        </w:tc>
        <w:tc>
          <w:tcPr>
            <w:tcW w:w="1697" w:type="dxa"/>
            <w:tcBorders>
              <w:top w:val="single" w:color="000000" w:sz="8" w:space="0"/>
              <w:left w:val="single" w:color="000000" w:sz="8" w:space="0"/>
              <w:bottom w:val="single" w:color="auto" w:sz="4" w:space="0"/>
              <w:right w:val="single" w:color="000000" w:sz="8" w:space="0"/>
            </w:tcBorders>
            <w:shd w:val="clear" w:color="auto" w:fill="auto"/>
            <w:noWrap/>
            <w:vAlign w:val="center"/>
          </w:tcPr>
          <w:p w14:paraId="33A372F7">
            <w:pPr>
              <w:widowControl/>
              <w:adjustRightInd w:val="0"/>
              <w:snapToGrid w:val="0"/>
              <w:ind w:firstLine="0" w:firstLineChars="0"/>
              <w:jc w:val="center"/>
              <w:textAlignment w:val="center"/>
              <w:rPr>
                <w:rFonts w:ascii="宋体" w:hAnsi="宋体" w:cs="宋体"/>
                <w:b/>
                <w:bCs/>
                <w:color w:val="000000"/>
                <w:kern w:val="0"/>
                <w:sz w:val="21"/>
                <w:szCs w:val="21"/>
                <w:lang w:bidi="ar"/>
              </w:rPr>
            </w:pPr>
            <w:r>
              <w:rPr>
                <w:rFonts w:hint="eastAsia" w:ascii="宋体" w:hAnsi="宋体" w:cs="宋体"/>
                <w:b/>
                <w:bCs/>
                <w:color w:val="000000"/>
                <w:kern w:val="0"/>
                <w:sz w:val="21"/>
                <w:szCs w:val="21"/>
                <w:lang w:bidi="ar"/>
              </w:rPr>
              <w:t>气候品质</w:t>
            </w:r>
          </w:p>
          <w:p w14:paraId="7DB1CE30">
            <w:pPr>
              <w:widowControl/>
              <w:adjustRightInd w:val="0"/>
              <w:snapToGrid w:val="0"/>
              <w:ind w:firstLine="0" w:firstLineChars="0"/>
              <w:jc w:val="center"/>
              <w:textAlignment w:val="center"/>
              <w:rPr>
                <w:rFonts w:ascii="宋体" w:hAnsi="宋体" w:cs="宋体"/>
                <w:b/>
                <w:bCs/>
                <w:color w:val="000000"/>
                <w:kern w:val="0"/>
                <w:sz w:val="21"/>
                <w:szCs w:val="21"/>
                <w:lang w:bidi="ar"/>
              </w:rPr>
            </w:pPr>
            <w:r>
              <w:rPr>
                <w:rFonts w:hint="eastAsia" w:ascii="宋体" w:hAnsi="宋体" w:cs="宋体"/>
                <w:b/>
                <w:bCs/>
                <w:color w:val="000000"/>
                <w:kern w:val="0"/>
                <w:sz w:val="21"/>
                <w:szCs w:val="21"/>
                <w:lang w:bidi="ar"/>
              </w:rPr>
              <w:t>评价指数</w:t>
            </w:r>
          </w:p>
        </w:tc>
        <w:tc>
          <w:tcPr>
            <w:tcW w:w="19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7D8BCE">
            <w:pPr>
              <w:widowControl/>
              <w:adjustRightInd w:val="0"/>
              <w:snapToGrid w:val="0"/>
              <w:ind w:firstLine="0" w:firstLineChars="0"/>
              <w:jc w:val="center"/>
              <w:textAlignment w:val="center"/>
              <w:rPr>
                <w:rFonts w:ascii="宋体" w:hAnsi="宋体" w:cs="宋体"/>
                <w:b/>
                <w:bCs/>
                <w:color w:val="000000"/>
                <w:kern w:val="0"/>
                <w:sz w:val="21"/>
                <w:szCs w:val="21"/>
                <w:lang w:bidi="ar"/>
              </w:rPr>
            </w:pPr>
            <w:r>
              <w:rPr>
                <w:rFonts w:hint="eastAsia" w:ascii="宋体" w:hAnsi="宋体" w:cs="宋体"/>
                <w:b/>
                <w:bCs/>
                <w:color w:val="000000"/>
                <w:kern w:val="0"/>
                <w:sz w:val="21"/>
                <w:szCs w:val="21"/>
                <w:lang w:bidi="ar"/>
              </w:rPr>
              <w:t>气候品质</w:t>
            </w:r>
          </w:p>
          <w:p w14:paraId="306FBE27">
            <w:pPr>
              <w:widowControl/>
              <w:adjustRightInd w:val="0"/>
              <w:snapToGrid w:val="0"/>
              <w:ind w:firstLine="0" w:firstLineChars="0"/>
              <w:jc w:val="center"/>
              <w:textAlignment w:val="center"/>
              <w:rPr>
                <w:rFonts w:ascii="宋体" w:hAnsi="宋体" w:cs="宋体"/>
                <w:b/>
                <w:bCs/>
                <w:color w:val="000000"/>
                <w:kern w:val="0"/>
                <w:sz w:val="21"/>
                <w:szCs w:val="21"/>
                <w:lang w:bidi="ar"/>
              </w:rPr>
            </w:pPr>
            <w:r>
              <w:rPr>
                <w:rFonts w:hint="eastAsia" w:ascii="宋体" w:hAnsi="宋体" w:cs="宋体"/>
                <w:b/>
                <w:bCs/>
                <w:color w:val="000000"/>
                <w:kern w:val="0"/>
                <w:sz w:val="21"/>
                <w:szCs w:val="21"/>
                <w:lang w:bidi="ar"/>
              </w:rPr>
              <w:t>评价等级</w:t>
            </w:r>
          </w:p>
        </w:tc>
      </w:tr>
      <w:tr w14:paraId="32AB0919">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CFDDC3">
            <w:pPr>
              <w:keepNext w:val="0"/>
              <w:keepLines w:val="0"/>
              <w:widowControl/>
              <w:suppressLineNumbers w:val="0"/>
              <w:jc w:val="left"/>
              <w:textAlignment w:val="center"/>
              <w:rPr>
                <w:rFonts w:hint="eastAsia" w:ascii="宋体" w:hAnsi="宋体" w:eastAsia="宋体" w:cs="宋体"/>
                <w:b/>
                <w:bCs/>
                <w:color w:val="000000"/>
                <w:sz w:val="21"/>
                <w:szCs w:val="21"/>
                <w:lang w:eastAsia="zh-CN"/>
              </w:rPr>
            </w:pPr>
            <w:r>
              <w:rPr>
                <w:rFonts w:hint="eastAsia" w:ascii="宋体" w:hAnsi="宋体" w:eastAsia="宋体" w:cs="宋体"/>
                <w:b/>
                <w:bCs/>
                <w:i w:val="0"/>
                <w:iCs w:val="0"/>
                <w:color w:val="000000"/>
                <w:kern w:val="0"/>
                <w:sz w:val="21"/>
                <w:szCs w:val="21"/>
                <w:u w:val="none"/>
                <w:lang w:val="en-US" w:eastAsia="zh-CN" w:bidi="ar"/>
              </w:rPr>
              <w:t>都匀</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26E86B7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20758D2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auto" w:sz="4" w:space="0"/>
            </w:tcBorders>
            <w:shd w:val="clear" w:color="auto" w:fill="auto"/>
            <w:noWrap/>
            <w:vAlign w:val="center"/>
          </w:tcPr>
          <w:p w14:paraId="7A7309B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single" w:color="auto" w:sz="4" w:space="0"/>
              <w:left w:val="single" w:color="auto" w:sz="4" w:space="0"/>
              <w:bottom w:val="single" w:color="000000" w:sz="8" w:space="0"/>
              <w:right w:val="single" w:color="000000" w:sz="8" w:space="0"/>
            </w:tcBorders>
            <w:shd w:val="clear" w:color="auto" w:fill="auto"/>
            <w:vAlign w:val="top"/>
          </w:tcPr>
          <w:p w14:paraId="17CF359D">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3593C55E">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044B195B">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F89C35">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斗篷山</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7162F4B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61E05EB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5A7CC2D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7C5D870C">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3D71D55E">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78E33680">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932635">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甘塘</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2BDE669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5F94328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15471098">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0F6138F3">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5747B7D6">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2DD2123F">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5CE110">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摆忙</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7716C0CB">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03BD69D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19C7609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039932F8">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4FECE988">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06865DC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BD223E">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墨冲</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7792C7F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5C86E34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2AFECE6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01F90676">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55283CA7">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3A7693F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58BD74">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平浪</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0E410DA6">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7C5BB94B">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6E881C4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4B68C1FB">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222A4C59">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0B9C7BB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BD28CE">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凯口</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55BA594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3F55675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7C93820D">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7A077140">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6829061D">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3EF9F440">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3C804A">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洛邦</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4DFBDFE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6A35128C">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7E0E35DB">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760DEB8E">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312EE5AD">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585CB6EA">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EBB0F15">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大坪</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346360F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2BF2214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5F7F84D3">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29F0D92F">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7451C4D0">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1A4BAC50">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26B542">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坝固</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65B5B79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3FAA0DA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3A95316B">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622AD7A7">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3C5D9A95">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0B49F551">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CE4B6F">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阳和</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5414834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3C21162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218C9A9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79403F0A">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11C0D2F6">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5F9B59C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7E25A1">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王司</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67D6F0AF">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55A6B84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03820B2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101B3C42">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3CBECD25">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6BE235F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39C0D7">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奉合</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0A5380EA">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77C9526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5C5B3C2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7619C056">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176AB82D">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6629EBB8">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095320">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石龙</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38C9DFF0">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1A688F56">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2DF01658">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6598F145">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1F485FCB">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4B0DB5C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64CA6E">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江洲</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7968684C">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738A232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73C52FD1">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098357E5">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2C899EFF">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01B2D897">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624D24">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河阳</w:t>
            </w:r>
          </w:p>
        </w:tc>
        <w:tc>
          <w:tcPr>
            <w:tcW w:w="1034" w:type="dxa"/>
            <w:tcBorders>
              <w:top w:val="nil"/>
              <w:left w:val="single" w:color="000000" w:sz="8" w:space="0"/>
              <w:bottom w:val="single" w:color="000000" w:sz="8" w:space="0"/>
              <w:right w:val="single" w:color="000000" w:sz="8" w:space="0"/>
            </w:tcBorders>
            <w:shd w:val="clear" w:color="auto" w:fill="auto"/>
            <w:noWrap/>
            <w:vAlign w:val="center"/>
          </w:tcPr>
          <w:p w14:paraId="4FE3B0EE">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nil"/>
              <w:left w:val="single" w:color="000000" w:sz="8" w:space="0"/>
              <w:bottom w:val="single" w:color="000000" w:sz="8" w:space="0"/>
              <w:right w:val="single" w:color="000000" w:sz="8" w:space="0"/>
            </w:tcBorders>
            <w:shd w:val="clear" w:color="auto" w:fill="auto"/>
            <w:noWrap/>
            <w:vAlign w:val="center"/>
          </w:tcPr>
          <w:p w14:paraId="798A37FD">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977" w:type="dxa"/>
            <w:tcBorders>
              <w:top w:val="nil"/>
              <w:left w:val="single" w:color="000000" w:sz="8" w:space="0"/>
              <w:bottom w:val="single" w:color="000000" w:sz="8" w:space="0"/>
              <w:right w:val="single" w:color="000000" w:sz="8" w:space="0"/>
            </w:tcBorders>
            <w:shd w:val="clear" w:color="auto" w:fill="auto"/>
            <w:noWrap/>
            <w:vAlign w:val="center"/>
          </w:tcPr>
          <w:p w14:paraId="58AC76C4">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30B11B3B">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3305FF09">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特优</w:t>
            </w:r>
          </w:p>
        </w:tc>
      </w:tr>
      <w:tr w14:paraId="43611083">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0EEF06">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沙寨</w:t>
            </w:r>
          </w:p>
        </w:tc>
        <w:tc>
          <w:tcPr>
            <w:tcW w:w="103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3312D9">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94DD1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489CFC">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4A7B8297">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1A327960">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66B398D5">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F2EABE">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良亩</w:t>
            </w:r>
          </w:p>
        </w:tc>
        <w:tc>
          <w:tcPr>
            <w:tcW w:w="103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7AEE17">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03FAFC">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5EDA35">
            <w:pPr>
              <w:keepNext w:val="0"/>
              <w:keepLines w:val="0"/>
              <w:widowControl/>
              <w:suppressLineNumbers w:val="0"/>
              <w:jc w:val="center"/>
              <w:textAlignment w:val="center"/>
              <w:rPr>
                <w:rFonts w:ascii="宋体" w:hAnsi="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nil"/>
              <w:left w:val="single" w:color="000000" w:sz="8" w:space="0"/>
              <w:bottom w:val="single" w:color="000000" w:sz="8" w:space="0"/>
              <w:right w:val="single" w:color="000000" w:sz="8" w:space="0"/>
            </w:tcBorders>
            <w:shd w:val="clear" w:color="auto" w:fill="auto"/>
            <w:vAlign w:val="top"/>
          </w:tcPr>
          <w:p w14:paraId="13A7D877">
            <w:pPr>
              <w:keepNext w:val="0"/>
              <w:keepLines w:val="0"/>
              <w:widowControl/>
              <w:suppressLineNumbers w:val="0"/>
              <w:ind w:firstLine="420" w:firstLineChars="200"/>
              <w:jc w:val="center"/>
              <w:textAlignment w:val="top"/>
              <w:rPr>
                <w:rFonts w:ascii="Times New Roman" w:hAnsi="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nil"/>
              <w:left w:val="single" w:color="000000" w:sz="8" w:space="0"/>
              <w:bottom w:val="single" w:color="000000" w:sz="8" w:space="0"/>
              <w:right w:val="single" w:color="000000" w:sz="8" w:space="0"/>
            </w:tcBorders>
            <w:shd w:val="clear" w:color="auto" w:fill="auto"/>
            <w:noWrap/>
            <w:vAlign w:val="center"/>
          </w:tcPr>
          <w:p w14:paraId="075C80B7">
            <w:pPr>
              <w:widowControl/>
              <w:ind w:firstLine="0" w:firstLineChars="0"/>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lang w:bidi="ar"/>
              </w:rPr>
              <w:t>优</w:t>
            </w:r>
          </w:p>
        </w:tc>
      </w:tr>
      <w:tr w14:paraId="3C8002DC">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B23039">
            <w:pPr>
              <w:keepNext w:val="0"/>
              <w:keepLines w:val="0"/>
              <w:widowControl/>
              <w:suppressLineNumbers w:val="0"/>
              <w:jc w:val="left"/>
              <w:textAlignment w:val="center"/>
              <w:rPr>
                <w:rFonts w:ascii="宋体" w:hAnsi="宋体" w:cs="宋体"/>
                <w:b/>
                <w:bCs/>
                <w:color w:val="000000"/>
                <w:sz w:val="21"/>
                <w:szCs w:val="21"/>
              </w:rPr>
            </w:pPr>
            <w:r>
              <w:rPr>
                <w:rFonts w:hint="eastAsia" w:ascii="宋体" w:hAnsi="宋体" w:eastAsia="宋体" w:cs="宋体"/>
                <w:b/>
                <w:bCs/>
                <w:i w:val="0"/>
                <w:iCs w:val="0"/>
                <w:color w:val="000000"/>
                <w:kern w:val="0"/>
                <w:sz w:val="21"/>
                <w:szCs w:val="21"/>
                <w:u w:val="none"/>
                <w:lang w:val="en-US" w:eastAsia="zh-CN" w:bidi="ar"/>
              </w:rPr>
              <w:t>新坪</w:t>
            </w:r>
          </w:p>
        </w:tc>
        <w:tc>
          <w:tcPr>
            <w:tcW w:w="103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F717D1">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527024">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w:t>
            </w:r>
          </w:p>
        </w:tc>
        <w:tc>
          <w:tcPr>
            <w:tcW w:w="9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ADF118">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single" w:color="000000" w:sz="8" w:space="0"/>
              <w:left w:val="single" w:color="000000" w:sz="8" w:space="0"/>
              <w:bottom w:val="single" w:color="000000" w:sz="8" w:space="0"/>
              <w:right w:val="single" w:color="000000" w:sz="8" w:space="0"/>
            </w:tcBorders>
            <w:shd w:val="clear" w:color="auto" w:fill="auto"/>
            <w:vAlign w:val="top"/>
          </w:tcPr>
          <w:p w14:paraId="3C5C9386">
            <w:pPr>
              <w:keepNext w:val="0"/>
              <w:keepLines w:val="0"/>
              <w:widowControl/>
              <w:suppressLineNumbers w:val="0"/>
              <w:ind w:firstLine="420" w:firstLineChars="200"/>
              <w:jc w:val="center"/>
              <w:textAlignment w:val="top"/>
              <w:rPr>
                <w:rFonts w:hint="eastAsia" w:ascii="宋体" w:hAnsi="宋体" w:cs="宋体"/>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19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731F64">
            <w:pPr>
              <w:widowControl/>
              <w:ind w:firstLine="0" w:firstLineChars="0"/>
              <w:jc w:val="center"/>
              <w:textAlignment w:val="center"/>
              <w:rPr>
                <w:rFonts w:hint="eastAsia" w:ascii="宋体" w:hAnsi="宋体" w:cs="宋体"/>
                <w:color w:val="000000"/>
                <w:kern w:val="0"/>
                <w:sz w:val="21"/>
                <w:szCs w:val="21"/>
                <w:lang w:bidi="ar"/>
              </w:rPr>
            </w:pPr>
            <w:r>
              <w:rPr>
                <w:rFonts w:hint="eastAsia" w:ascii="宋体" w:hAnsi="宋体" w:cs="宋体"/>
                <w:b/>
                <w:bCs/>
                <w:color w:val="000000"/>
                <w:kern w:val="0"/>
                <w:sz w:val="21"/>
                <w:szCs w:val="21"/>
                <w:lang w:bidi="ar"/>
              </w:rPr>
              <w:t>优</w:t>
            </w:r>
          </w:p>
        </w:tc>
      </w:tr>
      <w:tr w14:paraId="2C3AECA4">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6DA9E0">
            <w:pPr>
              <w:keepNext w:val="0"/>
              <w:keepLines w:val="0"/>
              <w:widowControl/>
              <w:suppressLineNumbers w:val="0"/>
              <w:jc w:val="left"/>
              <w:textAlignment w:val="center"/>
              <w:rPr>
                <w:rFonts w:hint="eastAsia" w:ascii="宋体" w:hAnsi="宋体" w:cs="宋体"/>
                <w:b/>
                <w:bCs/>
                <w:color w:val="000000"/>
                <w:kern w:val="0"/>
                <w:sz w:val="21"/>
                <w:szCs w:val="21"/>
                <w:lang w:bidi="ar"/>
              </w:rPr>
            </w:pPr>
            <w:r>
              <w:rPr>
                <w:rFonts w:hint="eastAsia" w:ascii="宋体" w:hAnsi="宋体" w:eastAsia="宋体" w:cs="宋体"/>
                <w:b/>
                <w:bCs/>
                <w:i w:val="0"/>
                <w:iCs w:val="0"/>
                <w:color w:val="000000"/>
                <w:kern w:val="0"/>
                <w:sz w:val="21"/>
                <w:szCs w:val="21"/>
                <w:u w:val="none"/>
                <w:lang w:val="en-US" w:eastAsia="zh-CN" w:bidi="ar"/>
              </w:rPr>
              <w:t>茶农</w:t>
            </w:r>
          </w:p>
        </w:tc>
        <w:tc>
          <w:tcPr>
            <w:tcW w:w="103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3E9733">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w:t>
            </w:r>
          </w:p>
        </w:tc>
        <w:tc>
          <w:tcPr>
            <w:tcW w:w="9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114CB6">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B562DE">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single" w:color="000000" w:sz="8" w:space="0"/>
              <w:left w:val="single" w:color="000000" w:sz="8" w:space="0"/>
              <w:bottom w:val="single" w:color="000000" w:sz="8" w:space="0"/>
              <w:right w:val="single" w:color="000000" w:sz="8" w:space="0"/>
            </w:tcBorders>
            <w:shd w:val="clear" w:color="auto" w:fill="auto"/>
            <w:vAlign w:val="top"/>
          </w:tcPr>
          <w:p w14:paraId="3B18C4F1">
            <w:pPr>
              <w:keepNext w:val="0"/>
              <w:keepLines w:val="0"/>
              <w:widowControl/>
              <w:suppressLineNumbers w:val="0"/>
              <w:ind w:firstLine="420" w:firstLineChars="200"/>
              <w:jc w:val="center"/>
              <w:textAlignment w:val="top"/>
              <w:rPr>
                <w:rFonts w:hint="eastAsia" w:ascii="宋体" w:hAnsi="宋体" w:cs="宋体"/>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9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002952">
            <w:pPr>
              <w:widowControl/>
              <w:ind w:firstLine="0" w:firstLineChars="0"/>
              <w:jc w:val="center"/>
              <w:textAlignment w:val="center"/>
              <w:rPr>
                <w:rFonts w:hint="eastAsia" w:ascii="宋体" w:hAnsi="宋体" w:cs="宋体"/>
                <w:color w:val="000000"/>
                <w:kern w:val="0"/>
                <w:sz w:val="21"/>
                <w:szCs w:val="21"/>
                <w:lang w:bidi="ar"/>
              </w:rPr>
            </w:pPr>
            <w:r>
              <w:rPr>
                <w:rFonts w:hint="eastAsia" w:ascii="宋体" w:hAnsi="宋体" w:cs="宋体"/>
                <w:b/>
                <w:bCs/>
                <w:color w:val="000000"/>
                <w:kern w:val="0"/>
                <w:sz w:val="21"/>
                <w:szCs w:val="21"/>
                <w:lang w:bidi="ar"/>
              </w:rPr>
              <w:t>特优</w:t>
            </w:r>
          </w:p>
        </w:tc>
      </w:tr>
      <w:tr w14:paraId="27692F47">
        <w:tblPrEx>
          <w:tblCellMar>
            <w:top w:w="0" w:type="dxa"/>
            <w:left w:w="108" w:type="dxa"/>
            <w:bottom w:w="0" w:type="dxa"/>
            <w:right w:w="108" w:type="dxa"/>
          </w:tblCellMar>
        </w:tblPrEx>
        <w:trPr>
          <w:trHeight w:val="303" w:hRule="atLeast"/>
          <w:jc w:val="center"/>
        </w:trPr>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7A9F17">
            <w:pPr>
              <w:keepNext w:val="0"/>
              <w:keepLines w:val="0"/>
              <w:widowControl/>
              <w:suppressLineNumbers w:val="0"/>
              <w:jc w:val="left"/>
              <w:textAlignment w:val="center"/>
              <w:rPr>
                <w:rFonts w:hint="eastAsia" w:ascii="宋体" w:hAnsi="宋体" w:cs="宋体"/>
                <w:b/>
                <w:bCs/>
                <w:color w:val="000000"/>
                <w:kern w:val="0"/>
                <w:sz w:val="21"/>
                <w:szCs w:val="21"/>
                <w:lang w:bidi="ar"/>
              </w:rPr>
            </w:pPr>
            <w:r>
              <w:rPr>
                <w:rFonts w:hint="eastAsia" w:ascii="宋体" w:hAnsi="宋体" w:eastAsia="宋体" w:cs="宋体"/>
                <w:b/>
                <w:bCs/>
                <w:i w:val="0"/>
                <w:iCs w:val="0"/>
                <w:color w:val="000000"/>
                <w:kern w:val="0"/>
                <w:sz w:val="21"/>
                <w:szCs w:val="21"/>
                <w:u w:val="none"/>
                <w:lang w:val="en-US" w:eastAsia="zh-CN" w:bidi="ar"/>
              </w:rPr>
              <w:t>马尾</w:t>
            </w:r>
          </w:p>
        </w:tc>
        <w:tc>
          <w:tcPr>
            <w:tcW w:w="103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9D0DF4">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w:t>
            </w:r>
          </w:p>
        </w:tc>
        <w:tc>
          <w:tcPr>
            <w:tcW w:w="90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DF6A38">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2</w:t>
            </w:r>
          </w:p>
        </w:tc>
        <w:tc>
          <w:tcPr>
            <w:tcW w:w="977"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F1C619">
            <w:pPr>
              <w:keepNext w:val="0"/>
              <w:keepLines w:val="0"/>
              <w:widowControl/>
              <w:suppressLineNumbers w:val="0"/>
              <w:jc w:val="center"/>
              <w:textAlignment w:val="center"/>
              <w:rPr>
                <w:rFonts w:hint="eastAsia" w:ascii="宋体" w:hAnsi="宋体" w:cs="宋体"/>
                <w:color w:val="000000"/>
                <w:kern w:val="0"/>
                <w:sz w:val="21"/>
                <w:szCs w:val="21"/>
                <w:lang w:bidi="ar"/>
              </w:rPr>
            </w:pPr>
            <w:r>
              <w:rPr>
                <w:rFonts w:hint="eastAsia" w:ascii="宋体" w:hAnsi="宋体" w:eastAsia="宋体" w:cs="宋体"/>
                <w:i w:val="0"/>
                <w:iCs w:val="0"/>
                <w:color w:val="000000"/>
                <w:kern w:val="0"/>
                <w:sz w:val="21"/>
                <w:szCs w:val="21"/>
                <w:u w:val="none"/>
                <w:lang w:val="en-US" w:eastAsia="zh-CN" w:bidi="ar"/>
              </w:rPr>
              <w:t>3</w:t>
            </w:r>
          </w:p>
        </w:tc>
        <w:tc>
          <w:tcPr>
            <w:tcW w:w="1697" w:type="dxa"/>
            <w:tcBorders>
              <w:top w:val="single" w:color="000000" w:sz="8" w:space="0"/>
              <w:left w:val="single" w:color="000000" w:sz="8" w:space="0"/>
              <w:bottom w:val="single" w:color="000000" w:sz="8" w:space="0"/>
              <w:right w:val="single" w:color="000000" w:sz="8" w:space="0"/>
            </w:tcBorders>
            <w:shd w:val="clear" w:color="auto" w:fill="auto"/>
            <w:vAlign w:val="top"/>
          </w:tcPr>
          <w:p w14:paraId="0C49F5C8">
            <w:pPr>
              <w:keepNext w:val="0"/>
              <w:keepLines w:val="0"/>
              <w:widowControl/>
              <w:suppressLineNumbers w:val="0"/>
              <w:ind w:firstLine="420" w:firstLineChars="200"/>
              <w:jc w:val="center"/>
              <w:textAlignment w:val="top"/>
              <w:rPr>
                <w:rFonts w:hint="eastAsia" w:ascii="宋体" w:hAnsi="宋体" w:cs="宋体"/>
                <w:color w:val="000000"/>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92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89D982">
            <w:pPr>
              <w:widowControl/>
              <w:ind w:firstLine="0" w:firstLineChars="0"/>
              <w:jc w:val="center"/>
              <w:textAlignment w:val="center"/>
              <w:rPr>
                <w:rFonts w:hint="eastAsia" w:ascii="宋体" w:hAnsi="宋体" w:cs="宋体"/>
                <w:color w:val="000000"/>
                <w:kern w:val="0"/>
                <w:sz w:val="21"/>
                <w:szCs w:val="21"/>
                <w:lang w:bidi="ar"/>
              </w:rPr>
            </w:pPr>
            <w:r>
              <w:rPr>
                <w:rFonts w:hint="eastAsia" w:ascii="宋体" w:hAnsi="宋体" w:cs="宋体"/>
                <w:b/>
                <w:bCs/>
                <w:color w:val="000000"/>
                <w:kern w:val="0"/>
                <w:sz w:val="21"/>
                <w:szCs w:val="21"/>
                <w:lang w:bidi="ar"/>
              </w:rPr>
              <w:t>优</w:t>
            </w:r>
          </w:p>
        </w:tc>
      </w:tr>
    </w:tbl>
    <w:p w14:paraId="44A910A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评价结果表明，2024年都匀茶叶气候品质12站点为</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优</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，9站点为</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特优</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，气候品质指数</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优</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以上有效站数达100%，大于占比阈值50%，表明2024年都匀市全域气候生态条件优异。</w:t>
      </w:r>
    </w:p>
    <w:p w14:paraId="00F9D3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（四）基于气象观测资料的评价</w:t>
      </w:r>
    </w:p>
    <w:p w14:paraId="57A25B2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通过以上分析得出，都匀市近10年（2015-2024年）和2024年茶叶各关键生长期的气候条件均较为优越，利于形成优级以上的茶叶，近10年茶叶气候品质指数均为2.8，10年气候品质评价均达</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特优</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，气候品质指数有效性赋值总和F为10&gt;最低阈值7，因此，都匀茶叶评价结果为</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气候生态农产品</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；2024年都匀茶叶生长期间的气候条件有利于其形成较好的气候品质，各气象观测点气候品质指数均在2.2以上，12站等级达到</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优</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，9站达到</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特优</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，整体评价为</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优</w:t>
      </w:r>
      <w:r>
        <w:rPr>
          <w:rFonts w:hint="eastAsia" w:cs="Times New Roman"/>
          <w:b w:val="0"/>
          <w:kern w:val="2"/>
          <w:sz w:val="21"/>
          <w:szCs w:val="21"/>
          <w:lang w:val="en-US" w:eastAsia="zh-CN" w:bidi="ar-SA"/>
        </w:rPr>
        <w:t>”</w:t>
      </w:r>
      <w:r>
        <w:rPr>
          <w:rFonts w:hint="eastAsia" w:ascii="Times New Roman" w:hAnsi="Times New Roman" w:eastAsia="宋体" w:cs="Times New Roman"/>
          <w:b w:val="0"/>
          <w:kern w:val="2"/>
          <w:sz w:val="21"/>
          <w:szCs w:val="21"/>
          <w:lang w:val="en-US" w:eastAsia="zh-CN" w:bidi="ar-SA"/>
        </w:rPr>
        <w:t>。表明贵州省都匀市为茶叶种植最适宜气候区，适宜产出气候生态茶叶，为本地茶叶种植企业创建都匀毛尖等优质茶叶品牌打下了得天独厚的良好基础。</w:t>
      </w:r>
    </w:p>
    <w:p w14:paraId="3507D84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2017年都匀毛尖品质检测结果：</w:t>
      </w:r>
    </w:p>
    <w:p w14:paraId="372C95D8">
      <w:pPr>
        <w:numPr>
          <w:ilvl w:val="0"/>
          <w:numId w:val="0"/>
        </w:numPr>
        <w:spacing w:line="360" w:lineRule="auto"/>
        <w:ind w:leftChars="0"/>
        <w:jc w:val="center"/>
        <w:rPr>
          <w:rFonts w:hint="default" w:ascii="宋体" w:hAnsi="宋体"/>
          <w:sz w:val="24"/>
          <w:lang w:val="en-US" w:eastAsia="zh-CN"/>
        </w:rPr>
      </w:pPr>
      <w:r>
        <w:rPr>
          <w:rFonts w:hint="default" w:ascii="宋体" w:hAnsi="宋体"/>
          <w:sz w:val="24"/>
          <w:lang w:val="en-US" w:eastAsia="zh-CN"/>
        </w:rPr>
        <w:drawing>
          <wp:inline distT="0" distB="0" distL="114300" distR="114300">
            <wp:extent cx="1887220" cy="2520315"/>
            <wp:effectExtent l="0" t="0" r="17780" b="13335"/>
            <wp:docPr id="2" name="图片 2" descr="174461846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44618460338"/>
                    <pic:cNvPicPr>
                      <a:picLocks noChangeAspect="1"/>
                    </pic:cNvPicPr>
                  </pic:nvPicPr>
                  <pic:blipFill>
                    <a:blip r:embed="rId25"/>
                    <a:stretch>
                      <a:fillRect/>
                    </a:stretch>
                  </pic:blipFill>
                  <pic:spPr>
                    <a:xfrm>
                      <a:off x="0" y="0"/>
                      <a:ext cx="1887220" cy="2520315"/>
                    </a:xfrm>
                    <a:prstGeom prst="rect">
                      <a:avLst/>
                    </a:prstGeom>
                  </pic:spPr>
                </pic:pic>
              </a:graphicData>
            </a:graphic>
          </wp:inline>
        </w:drawing>
      </w:r>
      <w:r>
        <w:rPr>
          <w:rFonts w:hint="default" w:ascii="宋体" w:hAnsi="宋体"/>
          <w:sz w:val="24"/>
          <w:lang w:val="en-US" w:eastAsia="zh-CN"/>
        </w:rPr>
        <w:drawing>
          <wp:inline distT="0" distB="0" distL="114300" distR="114300">
            <wp:extent cx="1898015" cy="2520315"/>
            <wp:effectExtent l="0" t="0" r="6985" b="13335"/>
            <wp:docPr id="3" name="图片 3" descr="174461847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4618476811"/>
                    <pic:cNvPicPr>
                      <a:picLocks noChangeAspect="1"/>
                    </pic:cNvPicPr>
                  </pic:nvPicPr>
                  <pic:blipFill>
                    <a:blip r:embed="rId26"/>
                    <a:stretch>
                      <a:fillRect/>
                    </a:stretch>
                  </pic:blipFill>
                  <pic:spPr>
                    <a:xfrm>
                      <a:off x="0" y="0"/>
                      <a:ext cx="1898015" cy="2520315"/>
                    </a:xfrm>
                    <a:prstGeom prst="rect">
                      <a:avLst/>
                    </a:prstGeom>
                  </pic:spPr>
                </pic:pic>
              </a:graphicData>
            </a:graphic>
          </wp:inline>
        </w:drawing>
      </w:r>
    </w:p>
    <w:p w14:paraId="64E3D80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2021年都匀毛尖品质检测结果：</w:t>
      </w:r>
    </w:p>
    <w:p w14:paraId="550086B9">
      <w:pPr>
        <w:numPr>
          <w:ilvl w:val="0"/>
          <w:numId w:val="0"/>
        </w:numPr>
        <w:spacing w:line="360" w:lineRule="auto"/>
        <w:ind w:leftChars="0"/>
        <w:jc w:val="center"/>
        <w:rPr>
          <w:rFonts w:hint="default" w:ascii="宋体" w:hAnsi="宋体"/>
          <w:sz w:val="24"/>
          <w:lang w:val="en-US" w:eastAsia="zh-CN"/>
        </w:rPr>
      </w:pPr>
      <w:r>
        <w:rPr>
          <w:rFonts w:hint="default" w:ascii="宋体" w:hAnsi="宋体"/>
          <w:sz w:val="24"/>
          <w:lang w:val="en-US" w:eastAsia="zh-CN"/>
        </w:rPr>
        <w:drawing>
          <wp:inline distT="0" distB="0" distL="114300" distR="114300">
            <wp:extent cx="1886585" cy="2362835"/>
            <wp:effectExtent l="0" t="0" r="18415" b="18415"/>
            <wp:docPr id="4" name="图片 4" descr="174461852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4618528338"/>
                    <pic:cNvPicPr>
                      <a:picLocks noChangeAspect="1"/>
                    </pic:cNvPicPr>
                  </pic:nvPicPr>
                  <pic:blipFill>
                    <a:blip r:embed="rId27"/>
                    <a:stretch>
                      <a:fillRect/>
                    </a:stretch>
                  </pic:blipFill>
                  <pic:spPr>
                    <a:xfrm>
                      <a:off x="0" y="0"/>
                      <a:ext cx="1886585" cy="2362835"/>
                    </a:xfrm>
                    <a:prstGeom prst="rect">
                      <a:avLst/>
                    </a:prstGeom>
                  </pic:spPr>
                </pic:pic>
              </a:graphicData>
            </a:graphic>
          </wp:inline>
        </w:drawing>
      </w:r>
      <w:r>
        <w:rPr>
          <w:rFonts w:hint="default" w:ascii="宋体" w:hAnsi="宋体"/>
          <w:sz w:val="24"/>
          <w:lang w:val="en-US" w:eastAsia="zh-CN"/>
        </w:rPr>
        <w:drawing>
          <wp:inline distT="0" distB="0" distL="114300" distR="114300">
            <wp:extent cx="2466340" cy="2905125"/>
            <wp:effectExtent l="0" t="0" r="10160" b="9525"/>
            <wp:docPr id="5" name="图片 5" descr="174461855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4618553667"/>
                    <pic:cNvPicPr>
                      <a:picLocks noChangeAspect="1"/>
                    </pic:cNvPicPr>
                  </pic:nvPicPr>
                  <pic:blipFill>
                    <a:blip r:embed="rId28"/>
                    <a:stretch>
                      <a:fillRect/>
                    </a:stretch>
                  </pic:blipFill>
                  <pic:spPr>
                    <a:xfrm>
                      <a:off x="0" y="0"/>
                      <a:ext cx="2466340" cy="2905125"/>
                    </a:xfrm>
                    <a:prstGeom prst="rect">
                      <a:avLst/>
                    </a:prstGeom>
                  </pic:spPr>
                </pic:pic>
              </a:graphicData>
            </a:graphic>
          </wp:inline>
        </w:drawing>
      </w:r>
    </w:p>
    <w:p w14:paraId="03E33C9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2023年都匀毛尖品质检测结果：</w:t>
      </w:r>
    </w:p>
    <w:p w14:paraId="33F9CC87">
      <w:pPr>
        <w:numPr>
          <w:ilvl w:val="0"/>
          <w:numId w:val="0"/>
        </w:numPr>
        <w:spacing w:line="360" w:lineRule="auto"/>
        <w:ind w:leftChars="0"/>
        <w:jc w:val="center"/>
        <w:rPr>
          <w:rFonts w:hint="default" w:ascii="宋体" w:hAnsi="宋体"/>
          <w:sz w:val="24"/>
          <w:lang w:val="en-US" w:eastAsia="zh-CN"/>
        </w:rPr>
      </w:pPr>
      <w:r>
        <w:rPr>
          <w:rFonts w:hint="default" w:ascii="宋体" w:hAnsi="宋体"/>
          <w:sz w:val="24"/>
          <w:lang w:val="en-US" w:eastAsia="zh-CN"/>
        </w:rPr>
        <w:drawing>
          <wp:inline distT="0" distB="0" distL="114300" distR="114300">
            <wp:extent cx="1952625" cy="2532380"/>
            <wp:effectExtent l="0" t="0" r="9525" b="1270"/>
            <wp:docPr id="6" name="图片 6" descr="174461868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4618682850"/>
                    <pic:cNvPicPr>
                      <a:picLocks noChangeAspect="1"/>
                    </pic:cNvPicPr>
                  </pic:nvPicPr>
                  <pic:blipFill>
                    <a:blip r:embed="rId29"/>
                    <a:stretch>
                      <a:fillRect/>
                    </a:stretch>
                  </pic:blipFill>
                  <pic:spPr>
                    <a:xfrm>
                      <a:off x="0" y="0"/>
                      <a:ext cx="1952625" cy="2532380"/>
                    </a:xfrm>
                    <a:prstGeom prst="rect">
                      <a:avLst/>
                    </a:prstGeom>
                  </pic:spPr>
                </pic:pic>
              </a:graphicData>
            </a:graphic>
          </wp:inline>
        </w:drawing>
      </w:r>
    </w:p>
    <w:p w14:paraId="1FD1880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p>
    <w:p w14:paraId="496942F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2024年都匀毛尖品质检测结果：</w:t>
      </w:r>
    </w:p>
    <w:p w14:paraId="5BC2BFA4">
      <w:pPr>
        <w:numPr>
          <w:ilvl w:val="0"/>
          <w:numId w:val="0"/>
        </w:numPr>
        <w:spacing w:line="360" w:lineRule="auto"/>
        <w:ind w:leftChars="0"/>
        <w:jc w:val="center"/>
        <w:rPr>
          <w:rFonts w:hint="default" w:ascii="宋体" w:hAnsi="宋体"/>
          <w:sz w:val="24"/>
          <w:lang w:val="en-US" w:eastAsia="zh-CN"/>
        </w:rPr>
      </w:pPr>
      <w:r>
        <w:rPr>
          <w:rFonts w:hint="default" w:ascii="宋体" w:hAnsi="宋体"/>
          <w:sz w:val="24"/>
          <w:lang w:val="en-US" w:eastAsia="zh-CN"/>
        </w:rPr>
        <w:drawing>
          <wp:inline distT="0" distB="0" distL="114300" distR="114300">
            <wp:extent cx="1771015" cy="2520315"/>
            <wp:effectExtent l="0" t="0" r="635" b="13335"/>
            <wp:docPr id="8" name="图片 8" descr="174461872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44618728117"/>
                    <pic:cNvPicPr>
                      <a:picLocks noChangeAspect="1"/>
                    </pic:cNvPicPr>
                  </pic:nvPicPr>
                  <pic:blipFill>
                    <a:blip r:embed="rId30"/>
                    <a:stretch>
                      <a:fillRect/>
                    </a:stretch>
                  </pic:blipFill>
                  <pic:spPr>
                    <a:xfrm>
                      <a:off x="0" y="0"/>
                      <a:ext cx="1771015" cy="2520315"/>
                    </a:xfrm>
                    <a:prstGeom prst="rect">
                      <a:avLst/>
                    </a:prstGeom>
                  </pic:spPr>
                </pic:pic>
              </a:graphicData>
            </a:graphic>
          </wp:inline>
        </w:drawing>
      </w:r>
    </w:p>
    <w:p w14:paraId="07798EC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p>
    <w:p w14:paraId="423B57C3">
      <w:pPr>
        <w:spacing w:line="360" w:lineRule="auto"/>
        <w:jc w:val="left"/>
        <w:rPr>
          <w:rFonts w:hint="eastAsia"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六、重大意见分歧的处理依据和结果；</w:t>
      </w:r>
    </w:p>
    <w:p w14:paraId="1BED764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left"/>
        <w:textAlignment w:val="auto"/>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cs="Times New Roman"/>
          <w:b w:val="0"/>
          <w:kern w:val="2"/>
          <w:sz w:val="21"/>
          <w:szCs w:val="21"/>
          <w:lang w:val="en-US" w:eastAsia="zh-CN" w:bidi="ar-SA"/>
        </w:rPr>
        <w:t>无。</w:t>
      </w:r>
    </w:p>
    <w:p w14:paraId="6AC86366">
      <w:pPr>
        <w:spacing w:line="360" w:lineRule="auto"/>
        <w:jc w:val="left"/>
        <w:rPr>
          <w:rFonts w:hint="eastAsia"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七、预期的社会经济效益及贯彻实施标准的要求、措施等建议；</w:t>
      </w:r>
    </w:p>
    <w:p w14:paraId="3C365DBE">
      <w:pPr>
        <w:autoSpaceDE w:val="0"/>
        <w:autoSpaceDN w:val="0"/>
        <w:adjustRightInd w:val="0"/>
        <w:spacing w:line="360" w:lineRule="auto"/>
        <w:ind w:firstLine="420" w:firstLineChars="200"/>
        <w:jc w:val="left"/>
        <w:rPr>
          <w:rFonts w:hint="default" w:cs="Times New Roman"/>
          <w:szCs w:val="21"/>
          <w:lang w:val="en-US" w:eastAsia="zh-CN"/>
        </w:rPr>
      </w:pPr>
      <w:r>
        <w:rPr>
          <w:rFonts w:hint="eastAsia" w:cs="Times New Roman"/>
          <w:szCs w:val="21"/>
          <w:lang w:val="en-US" w:eastAsia="zh-CN"/>
        </w:rPr>
        <w:t>（一）</w:t>
      </w:r>
      <w:r>
        <w:rPr>
          <w:rFonts w:hint="eastAsia" w:cs="Times New Roman" w:eastAsiaTheme="minorEastAsia"/>
          <w:b/>
          <w:color w:val="000000"/>
          <w:kern w:val="0"/>
          <w:szCs w:val="21"/>
          <w:lang w:val="en-US" w:eastAsia="zh-CN"/>
        </w:rPr>
        <w:t>预期的社会经济效益</w:t>
      </w:r>
    </w:p>
    <w:p w14:paraId="2FB11CC7">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cs="Times New Roman"/>
          <w:szCs w:val="21"/>
          <w:lang w:val="en-US" w:eastAsia="zh-CN"/>
        </w:rPr>
        <w:t>一是</w:t>
      </w:r>
      <w:r>
        <w:rPr>
          <w:rFonts w:hint="eastAsia" w:ascii="Times New Roman" w:hAnsi="Times New Roman" w:eastAsia="宋体" w:cs="Times New Roman"/>
          <w:szCs w:val="21"/>
          <w:lang w:val="en-US" w:eastAsia="zh-CN"/>
        </w:rPr>
        <w:t>提升产品附加值：通过气候品质</w:t>
      </w:r>
      <w:r>
        <w:rPr>
          <w:rFonts w:hint="eastAsia" w:cs="Times New Roman"/>
          <w:szCs w:val="21"/>
          <w:lang w:val="en-US" w:eastAsia="zh-CN"/>
        </w:rPr>
        <w:t>评价</w:t>
      </w:r>
      <w:r>
        <w:rPr>
          <w:rFonts w:hint="eastAsia" w:ascii="Times New Roman" w:hAnsi="Times New Roman" w:eastAsia="宋体" w:cs="Times New Roman"/>
          <w:szCs w:val="21"/>
          <w:lang w:val="en-US" w:eastAsia="zh-CN"/>
        </w:rPr>
        <w:t>，赋予农产品差异化竞争力（如</w:t>
      </w:r>
      <w:r>
        <w:rPr>
          <w:rFonts w:hint="eastAsia" w:cs="Times New Roman"/>
          <w:szCs w:val="21"/>
          <w:lang w:val="en-US" w:eastAsia="zh-CN"/>
        </w:rPr>
        <w:t>“</w:t>
      </w:r>
      <w:r>
        <w:rPr>
          <w:rFonts w:hint="eastAsia" w:ascii="Times New Roman" w:hAnsi="Times New Roman" w:eastAsia="宋体" w:cs="Times New Roman"/>
          <w:szCs w:val="21"/>
          <w:lang w:val="en-US" w:eastAsia="zh-CN"/>
        </w:rPr>
        <w:t>气候</w:t>
      </w:r>
      <w:r>
        <w:rPr>
          <w:rFonts w:hint="eastAsia" w:cs="Times New Roman"/>
          <w:szCs w:val="21"/>
          <w:lang w:val="en-US" w:eastAsia="zh-CN"/>
        </w:rPr>
        <w:t>好产品”</w:t>
      </w:r>
      <w:r>
        <w:rPr>
          <w:rFonts w:hint="eastAsia" w:ascii="Times New Roman" w:hAnsi="Times New Roman" w:eastAsia="宋体" w:cs="Times New Roman"/>
          <w:szCs w:val="21"/>
          <w:lang w:val="en-US" w:eastAsia="zh-CN"/>
        </w:rPr>
        <w:t>标签），预计可使茶叶、辣椒、猕猴桃等特色产品溢价10%-20%，助力</w:t>
      </w:r>
      <w:r>
        <w:rPr>
          <w:rFonts w:hint="eastAsia" w:cs="Times New Roman"/>
          <w:szCs w:val="21"/>
          <w:lang w:val="en-US" w:eastAsia="zh-CN"/>
        </w:rPr>
        <w:t>“</w:t>
      </w:r>
      <w:r>
        <w:rPr>
          <w:rFonts w:hint="eastAsia" w:ascii="Times New Roman" w:hAnsi="Times New Roman" w:eastAsia="宋体" w:cs="Times New Roman"/>
          <w:szCs w:val="21"/>
          <w:lang w:val="en-US" w:eastAsia="zh-CN"/>
        </w:rPr>
        <w:t>黔货出山</w:t>
      </w:r>
      <w:r>
        <w:rPr>
          <w:rFonts w:hint="eastAsia" w:cs="Times New Roman"/>
          <w:szCs w:val="21"/>
          <w:lang w:val="en-US" w:eastAsia="zh-CN"/>
        </w:rPr>
        <w:t>”</w:t>
      </w:r>
      <w:r>
        <w:rPr>
          <w:rFonts w:hint="eastAsia" w:ascii="Times New Roman" w:hAnsi="Times New Roman" w:eastAsia="宋体" w:cs="Times New Roman"/>
          <w:szCs w:val="21"/>
          <w:lang w:val="en-US" w:eastAsia="zh-CN"/>
        </w:rPr>
        <w:t>品牌战略。</w:t>
      </w:r>
      <w:r>
        <w:rPr>
          <w:rFonts w:hint="eastAsia" w:cs="Times New Roman"/>
          <w:szCs w:val="21"/>
          <w:lang w:val="en-US" w:eastAsia="zh-CN"/>
        </w:rPr>
        <w:t>二是</w:t>
      </w:r>
      <w:r>
        <w:rPr>
          <w:rFonts w:hint="eastAsia" w:ascii="Times New Roman" w:hAnsi="Times New Roman" w:eastAsia="宋体" w:cs="Times New Roman"/>
          <w:szCs w:val="21"/>
          <w:lang w:val="en-US" w:eastAsia="zh-CN"/>
        </w:rPr>
        <w:t>优化种植结构：基于气候评价结果引导农户调整作物品种与种植区域，减少因气候不匹配导致的减产风险，提高资源利用效率。</w:t>
      </w:r>
      <w:r>
        <w:rPr>
          <w:rFonts w:hint="eastAsia" w:cs="Times New Roman"/>
          <w:szCs w:val="21"/>
          <w:lang w:val="en-US" w:eastAsia="zh-CN"/>
        </w:rPr>
        <w:t>三是</w:t>
      </w:r>
      <w:r>
        <w:rPr>
          <w:rFonts w:hint="eastAsia" w:ascii="Times New Roman" w:hAnsi="Times New Roman" w:eastAsia="宋体" w:cs="Times New Roman"/>
          <w:szCs w:val="21"/>
          <w:lang w:val="en-US" w:eastAsia="zh-CN"/>
        </w:rPr>
        <w:t>助力农民增收：通过气候品质数据共享，帮助小农户对接高端市场，预计试点区域农户年均增收8%-12%（参考浙江杨梅气候认证案例）。</w:t>
      </w:r>
      <w:r>
        <w:rPr>
          <w:rFonts w:hint="eastAsia" w:cs="Times New Roman"/>
          <w:szCs w:val="21"/>
          <w:lang w:val="en-US" w:eastAsia="zh-CN"/>
        </w:rPr>
        <w:t>四是促进</w:t>
      </w:r>
      <w:r>
        <w:rPr>
          <w:rFonts w:hint="eastAsia" w:ascii="Times New Roman" w:hAnsi="Times New Roman" w:eastAsia="宋体" w:cs="Times New Roman"/>
          <w:szCs w:val="21"/>
          <w:lang w:val="en-US" w:eastAsia="zh-CN"/>
        </w:rPr>
        <w:t>产业链延伸：推动气候标签与电商平台、旅游商品结合，发展</w:t>
      </w:r>
      <w:r>
        <w:rPr>
          <w:rFonts w:hint="eastAsia" w:cs="Times New Roman"/>
          <w:szCs w:val="21"/>
          <w:lang w:val="en-US" w:eastAsia="zh-CN"/>
        </w:rPr>
        <w:t>“</w:t>
      </w:r>
      <w:r>
        <w:rPr>
          <w:rFonts w:hint="eastAsia" w:ascii="Times New Roman" w:hAnsi="Times New Roman" w:eastAsia="宋体" w:cs="Times New Roman"/>
          <w:szCs w:val="21"/>
          <w:lang w:val="en-US" w:eastAsia="zh-CN"/>
        </w:rPr>
        <w:t>气候+文旅</w:t>
      </w:r>
      <w:r>
        <w:rPr>
          <w:rFonts w:hint="eastAsia" w:cs="Times New Roman"/>
          <w:szCs w:val="21"/>
          <w:lang w:val="en-US" w:eastAsia="zh-CN"/>
        </w:rPr>
        <w:t>”</w:t>
      </w:r>
      <w:r>
        <w:rPr>
          <w:rFonts w:hint="eastAsia" w:ascii="Times New Roman" w:hAnsi="Times New Roman" w:eastAsia="宋体" w:cs="Times New Roman"/>
          <w:szCs w:val="21"/>
          <w:lang w:val="en-US" w:eastAsia="zh-CN"/>
        </w:rPr>
        <w:t xml:space="preserve">融合业态，拓展农产品价值链。  </w:t>
      </w:r>
    </w:p>
    <w:p w14:paraId="40BB89FA">
      <w:pPr>
        <w:autoSpaceDE w:val="0"/>
        <w:autoSpaceDN w:val="0"/>
        <w:adjustRightInd w:val="0"/>
        <w:spacing w:line="360" w:lineRule="auto"/>
        <w:ind w:firstLine="422" w:firstLineChars="200"/>
        <w:jc w:val="left"/>
        <w:rPr>
          <w:rFonts w:hint="eastAsia" w:cs="Times New Roman"/>
          <w:b/>
          <w:bCs/>
          <w:szCs w:val="21"/>
          <w:lang w:val="en-US" w:eastAsia="zh-CN"/>
        </w:rPr>
      </w:pPr>
      <w:r>
        <w:rPr>
          <w:rFonts w:hint="eastAsia" w:cs="Times New Roman"/>
          <w:b/>
          <w:bCs/>
          <w:szCs w:val="21"/>
          <w:lang w:val="en-US" w:eastAsia="zh-CN"/>
        </w:rPr>
        <w:t xml:space="preserve">（二）贯彻实施标准的要求与措施建议  </w:t>
      </w:r>
    </w:p>
    <w:p w14:paraId="53AC5624">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cs="Times New Roman"/>
          <w:szCs w:val="21"/>
          <w:lang w:val="en-US" w:eastAsia="zh-CN"/>
        </w:rPr>
        <w:t>（1）</w:t>
      </w:r>
      <w:r>
        <w:rPr>
          <w:rFonts w:hint="eastAsia" w:ascii="Times New Roman" w:hAnsi="Times New Roman" w:eastAsia="宋体" w:cs="Times New Roman"/>
          <w:szCs w:val="21"/>
          <w:lang w:val="en-US" w:eastAsia="zh-CN"/>
        </w:rPr>
        <w:t>政策协同与机制保障</w:t>
      </w:r>
      <w:r>
        <w:rPr>
          <w:rFonts w:hint="eastAsia" w:cs="Times New Roman"/>
          <w:szCs w:val="21"/>
          <w:lang w:val="en-US" w:eastAsia="zh-CN"/>
        </w:rPr>
        <w:t>。</w:t>
      </w:r>
      <w:r>
        <w:rPr>
          <w:rFonts w:hint="eastAsia" w:ascii="Times New Roman" w:hAnsi="Times New Roman" w:eastAsia="宋体" w:cs="Times New Roman"/>
          <w:szCs w:val="21"/>
          <w:lang w:val="en-US" w:eastAsia="zh-CN"/>
        </w:rPr>
        <w:t xml:space="preserve">政府引导：将气候品质认证纳入贵州省农产品区域公用品牌扶持政策，对通过认证的企业给予补贴或税收优惠。部门联动：建立农业农村、气象、市场监管三部门协同机制，统一数据采集、认证审核和市场监管流程。  </w:t>
      </w:r>
    </w:p>
    <w:p w14:paraId="5979EA2E">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cs="Times New Roman"/>
          <w:szCs w:val="21"/>
          <w:lang w:val="en-US" w:eastAsia="zh-CN"/>
        </w:rPr>
        <w:t>（2）</w:t>
      </w:r>
      <w:r>
        <w:rPr>
          <w:rFonts w:hint="eastAsia" w:ascii="Times New Roman" w:hAnsi="Times New Roman" w:eastAsia="宋体" w:cs="Times New Roman"/>
          <w:szCs w:val="21"/>
          <w:lang w:val="en-US" w:eastAsia="zh-CN"/>
        </w:rPr>
        <w:t xml:space="preserve">市场驱动与品牌塑造 </w:t>
      </w:r>
      <w:r>
        <w:rPr>
          <w:rFonts w:hint="eastAsia" w:cs="Times New Roman"/>
          <w:szCs w:val="21"/>
          <w:lang w:val="en-US" w:eastAsia="zh-CN"/>
        </w:rPr>
        <w:t>。</w:t>
      </w:r>
      <w:r>
        <w:rPr>
          <w:rFonts w:hint="eastAsia" w:ascii="Times New Roman" w:hAnsi="Times New Roman" w:eastAsia="宋体" w:cs="Times New Roman"/>
          <w:szCs w:val="21"/>
          <w:lang w:val="en-US" w:eastAsia="zh-CN"/>
        </w:rPr>
        <w:t>标签化管理：要求认证产品外包装标注</w:t>
      </w:r>
      <w:r>
        <w:rPr>
          <w:rFonts w:hint="eastAsia" w:cs="Times New Roman"/>
          <w:szCs w:val="21"/>
          <w:lang w:val="en-US" w:eastAsia="zh-CN"/>
        </w:rPr>
        <w:t>“</w:t>
      </w:r>
      <w:r>
        <w:rPr>
          <w:rFonts w:hint="eastAsia" w:ascii="Times New Roman" w:hAnsi="Times New Roman" w:eastAsia="宋体" w:cs="Times New Roman"/>
          <w:szCs w:val="21"/>
          <w:lang w:val="en-US" w:eastAsia="zh-CN"/>
        </w:rPr>
        <w:t>气候品质等级</w:t>
      </w:r>
      <w:r>
        <w:rPr>
          <w:rFonts w:hint="eastAsia" w:cs="Times New Roman"/>
          <w:szCs w:val="21"/>
          <w:lang w:val="en-US" w:eastAsia="zh-CN"/>
        </w:rPr>
        <w:t>”</w:t>
      </w:r>
      <w:r>
        <w:rPr>
          <w:rFonts w:hint="eastAsia" w:ascii="Times New Roman" w:hAnsi="Times New Roman" w:eastAsia="宋体" w:cs="Times New Roman"/>
          <w:szCs w:val="21"/>
          <w:lang w:val="en-US" w:eastAsia="zh-CN"/>
        </w:rPr>
        <w:t>（如特级、一级、二级），并通过二维码链接气候数据溯源页面。 消费端推广：联合电商平台（如</w:t>
      </w:r>
      <w:r>
        <w:rPr>
          <w:rFonts w:hint="eastAsia" w:cs="Times New Roman"/>
          <w:szCs w:val="21"/>
          <w:lang w:val="en-US" w:eastAsia="zh-CN"/>
        </w:rPr>
        <w:t>“</w:t>
      </w:r>
      <w:r>
        <w:rPr>
          <w:rFonts w:hint="eastAsia" w:ascii="Times New Roman" w:hAnsi="Times New Roman" w:eastAsia="宋体" w:cs="Times New Roman"/>
          <w:szCs w:val="21"/>
          <w:lang w:val="en-US" w:eastAsia="zh-CN"/>
        </w:rPr>
        <w:t>一码贵州</w:t>
      </w:r>
      <w:r>
        <w:rPr>
          <w:rFonts w:hint="eastAsia" w:cs="Times New Roman"/>
          <w:szCs w:val="21"/>
          <w:lang w:val="en-US" w:eastAsia="zh-CN"/>
        </w:rPr>
        <w:t>”</w:t>
      </w:r>
      <w:r>
        <w:rPr>
          <w:rFonts w:hint="eastAsia" w:ascii="Times New Roman" w:hAnsi="Times New Roman" w:eastAsia="宋体" w:cs="Times New Roman"/>
          <w:szCs w:val="21"/>
          <w:lang w:val="en-US" w:eastAsia="zh-CN"/>
        </w:rPr>
        <w:t>）开设</w:t>
      </w:r>
      <w:r>
        <w:rPr>
          <w:rFonts w:hint="eastAsia" w:cs="Times New Roman"/>
          <w:szCs w:val="21"/>
          <w:lang w:val="en-US" w:eastAsia="zh-CN"/>
        </w:rPr>
        <w:t>“</w:t>
      </w:r>
      <w:r>
        <w:rPr>
          <w:rFonts w:hint="eastAsia" w:ascii="Times New Roman" w:hAnsi="Times New Roman" w:eastAsia="宋体" w:cs="Times New Roman"/>
          <w:szCs w:val="21"/>
          <w:lang w:val="en-US" w:eastAsia="zh-CN"/>
        </w:rPr>
        <w:t>气候优品</w:t>
      </w:r>
      <w:r>
        <w:rPr>
          <w:rFonts w:hint="eastAsia" w:cs="Times New Roman"/>
          <w:szCs w:val="21"/>
          <w:lang w:val="en-US" w:eastAsia="zh-CN"/>
        </w:rPr>
        <w:t>”</w:t>
      </w:r>
      <w:r>
        <w:rPr>
          <w:rFonts w:hint="eastAsia" w:ascii="Times New Roman" w:hAnsi="Times New Roman" w:eastAsia="宋体" w:cs="Times New Roman"/>
          <w:szCs w:val="21"/>
          <w:lang w:val="en-US" w:eastAsia="zh-CN"/>
        </w:rPr>
        <w:t xml:space="preserve">专区，利用大数据精准推送至中高端消费群体。  </w:t>
      </w:r>
    </w:p>
    <w:p w14:paraId="0529D93D">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cs="Times New Roman"/>
          <w:szCs w:val="21"/>
          <w:lang w:val="en-US" w:eastAsia="zh-CN"/>
        </w:rPr>
        <w:t>（3）</w:t>
      </w:r>
      <w:r>
        <w:rPr>
          <w:rFonts w:hint="eastAsia" w:ascii="Times New Roman" w:hAnsi="Times New Roman" w:eastAsia="宋体" w:cs="Times New Roman"/>
          <w:szCs w:val="21"/>
          <w:lang w:val="en-US" w:eastAsia="zh-CN"/>
        </w:rPr>
        <w:t>动态评估与标准更新</w:t>
      </w:r>
      <w:r>
        <w:rPr>
          <w:rFonts w:hint="eastAsia" w:cs="Times New Roman"/>
          <w:szCs w:val="21"/>
          <w:lang w:val="en-US" w:eastAsia="zh-CN"/>
        </w:rPr>
        <w:t>。</w:t>
      </w:r>
      <w:r>
        <w:rPr>
          <w:rFonts w:hint="eastAsia" w:ascii="Times New Roman" w:hAnsi="Times New Roman" w:eastAsia="宋体" w:cs="Times New Roman"/>
          <w:szCs w:val="21"/>
          <w:lang w:val="en-US" w:eastAsia="zh-CN"/>
        </w:rPr>
        <w:t>监测机制：每3年对标准适用性进行评估，结合气候变化趋势调整指标权重（如升温显著区域增加高温热害系数）。反馈渠道：设立</w:t>
      </w:r>
      <w:r>
        <w:rPr>
          <w:rFonts w:hint="eastAsia" w:cs="Times New Roman"/>
          <w:szCs w:val="21"/>
          <w:lang w:val="en-US" w:eastAsia="zh-CN"/>
        </w:rPr>
        <w:t>“</w:t>
      </w:r>
      <w:r>
        <w:rPr>
          <w:rFonts w:hint="eastAsia" w:ascii="Times New Roman" w:hAnsi="Times New Roman" w:eastAsia="宋体" w:cs="Times New Roman"/>
          <w:szCs w:val="21"/>
          <w:lang w:val="en-US" w:eastAsia="zh-CN"/>
        </w:rPr>
        <w:t>标准应用问题反馈平台</w:t>
      </w:r>
      <w:r>
        <w:rPr>
          <w:rFonts w:hint="eastAsia" w:cs="Times New Roman"/>
          <w:szCs w:val="21"/>
          <w:lang w:val="en-US" w:eastAsia="zh-CN"/>
        </w:rPr>
        <w:t>”</w:t>
      </w:r>
      <w:r>
        <w:rPr>
          <w:rFonts w:hint="eastAsia" w:ascii="Times New Roman" w:hAnsi="Times New Roman" w:eastAsia="宋体" w:cs="Times New Roman"/>
          <w:szCs w:val="21"/>
          <w:lang w:val="en-US" w:eastAsia="zh-CN"/>
        </w:rPr>
        <w:t xml:space="preserve">，收集企业、农户意见并纳入修订参考。  </w:t>
      </w:r>
    </w:p>
    <w:p w14:paraId="2AA2A0B4">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本标准的实施将科学释放贵州省气候资源潜力，为农产品品质提升、农民增收和生态保护提供系统性解决方案。建议通过</w:t>
      </w:r>
      <w:r>
        <w:rPr>
          <w:rFonts w:hint="eastAsia" w:cs="Times New Roman"/>
          <w:szCs w:val="21"/>
          <w:lang w:val="en-US" w:eastAsia="zh-CN"/>
        </w:rPr>
        <w:t>“</w:t>
      </w:r>
      <w:r>
        <w:rPr>
          <w:rFonts w:hint="eastAsia" w:ascii="Times New Roman" w:hAnsi="Times New Roman" w:eastAsia="宋体" w:cs="Times New Roman"/>
          <w:szCs w:val="21"/>
          <w:lang w:val="en-US" w:eastAsia="zh-CN"/>
        </w:rPr>
        <w:t>政策激励+技术赋能+市场驱动</w:t>
      </w:r>
      <w:r>
        <w:rPr>
          <w:rFonts w:hint="eastAsia" w:cs="Times New Roman"/>
          <w:szCs w:val="21"/>
          <w:lang w:val="en-US" w:eastAsia="zh-CN"/>
        </w:rPr>
        <w:t>”</w:t>
      </w:r>
      <w:r>
        <w:rPr>
          <w:rFonts w:hint="eastAsia" w:ascii="Times New Roman" w:hAnsi="Times New Roman" w:eastAsia="宋体" w:cs="Times New Roman"/>
          <w:szCs w:val="21"/>
          <w:lang w:val="en-US" w:eastAsia="zh-CN"/>
        </w:rPr>
        <w:t>多路径协同，推动标准在全省范围内落地，并探索与周边省份（如云南、广西）的气候品质互认机制，助力西南山地农业高质量发展。</w:t>
      </w:r>
    </w:p>
    <w:p w14:paraId="55BD0B4A">
      <w:pPr>
        <w:spacing w:line="360" w:lineRule="auto"/>
        <w:jc w:val="left"/>
        <w:rPr>
          <w:rFonts w:hint="eastAsia"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八、标准修订项目，还应当列出和原标准主要差异情况；</w:t>
      </w:r>
    </w:p>
    <w:p w14:paraId="31308781">
      <w:pPr>
        <w:autoSpaceDE w:val="0"/>
        <w:autoSpaceDN w:val="0"/>
        <w:adjustRightInd w:val="0"/>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本标准未首次编写，不存在与原标准的差异。</w:t>
      </w:r>
    </w:p>
    <w:p w14:paraId="3F3BEDB7">
      <w:pPr>
        <w:spacing w:line="360" w:lineRule="auto"/>
        <w:jc w:val="left"/>
        <w:rPr>
          <w:rFonts w:hint="eastAsia" w:cs="Times New Roman" w:eastAsiaTheme="minorEastAsia"/>
          <w:b/>
          <w:color w:val="000000"/>
          <w:kern w:val="0"/>
          <w:szCs w:val="21"/>
          <w:lang w:val="en-US" w:eastAsia="zh-CN"/>
        </w:rPr>
      </w:pPr>
      <w:r>
        <w:rPr>
          <w:rFonts w:hint="eastAsia" w:cs="Times New Roman" w:eastAsiaTheme="minorEastAsia"/>
          <w:b/>
          <w:color w:val="000000"/>
          <w:kern w:val="0"/>
          <w:szCs w:val="21"/>
          <w:lang w:val="en-US" w:eastAsia="zh-CN"/>
        </w:rPr>
        <w:t>九、其他应说明的事项。</w:t>
      </w:r>
    </w:p>
    <w:p w14:paraId="4A842AB2">
      <w:pPr>
        <w:autoSpaceDE w:val="0"/>
        <w:autoSpaceDN w:val="0"/>
        <w:adjustRightInd w:val="0"/>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无。</w:t>
      </w:r>
    </w:p>
    <w:p w14:paraId="24B6E9A1"/>
    <w:p w14:paraId="54B89144"/>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5ED15">
    <w:pPr>
      <w:spacing w:line="169" w:lineRule="auto"/>
      <w:ind w:left="4216"/>
      <w:rPr>
        <w:rFonts w:ascii="Calibri" w:hAnsi="Calibri" w:eastAsia="Calibri" w:cs="Calibri"/>
        <w:sz w:val="18"/>
        <w:szCs w:val="18"/>
      </w:rPr>
    </w:pPr>
    <w:r>
      <w:rPr>
        <w:rFonts w:ascii="Calibri" w:hAnsi="Calibri" w:eastAsia="Calibri" w:cs="Calibri"/>
        <w:spacing w:val="-6"/>
        <w:sz w:val="18"/>
        <w:szCs w:val="18"/>
      </w:rPr>
      <w:t>-</w:t>
    </w:r>
    <w:r>
      <w:rPr>
        <w:rFonts w:ascii="Calibri" w:hAnsi="Calibri" w:eastAsia="Calibri" w:cs="Calibri"/>
        <w:spacing w:val="11"/>
        <w:sz w:val="18"/>
        <w:szCs w:val="18"/>
      </w:rPr>
      <w:t xml:space="preserve"> </w:t>
    </w:r>
    <w:r>
      <w:rPr>
        <w:rFonts w:ascii="Calibri" w:hAnsi="Calibri" w:eastAsia="Calibri" w:cs="Calibri"/>
        <w:spacing w:val="-6"/>
        <w:sz w:val="18"/>
        <w:szCs w:val="18"/>
      </w:rPr>
      <w:t>3</w:t>
    </w:r>
    <w:r>
      <w:rPr>
        <w:rFonts w:ascii="Calibri" w:hAnsi="Calibri" w:eastAsia="Calibri" w:cs="Calibri"/>
        <w:spacing w:val="6"/>
        <w:sz w:val="18"/>
        <w:szCs w:val="18"/>
      </w:rPr>
      <w:t xml:space="preserve"> </w:t>
    </w:r>
    <w:r>
      <w:rPr>
        <w:rFonts w:ascii="Calibri" w:hAnsi="Calibri" w:eastAsia="Calibri" w:cs="Calibri"/>
        <w:spacing w:val="-6"/>
        <w:sz w:val="18"/>
        <w:szCs w:val="18"/>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B0DD9B"/>
    <w:multiLevelType w:val="singleLevel"/>
    <w:tmpl w:val="EDB0DD9B"/>
    <w:lvl w:ilvl="0" w:tentative="0">
      <w:start w:val="1"/>
      <w:numFmt w:val="decimal"/>
      <w:suff w:val="nothing"/>
      <w:lvlText w:val="（%1）"/>
      <w:lvlJc w:val="left"/>
    </w:lvl>
  </w:abstractNum>
  <w:abstractNum w:abstractNumId="1">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4"/>
      <w:suff w:val="nothing"/>
      <w:lvlText w:val="%1%2　"/>
      <w:lvlJc w:val="left"/>
      <w:pPr>
        <w:ind w:left="0" w:firstLine="0"/>
      </w:pPr>
      <w:rPr>
        <w:rFonts w:hint="eastAsia" w:ascii="黑体" w:eastAsia="黑体"/>
        <w:b w:val="0"/>
        <w:i w:val="0"/>
        <w:sz w:val="21"/>
      </w:rPr>
    </w:lvl>
    <w:lvl w:ilvl="2" w:tentative="0">
      <w:start w:val="1"/>
      <w:numFmt w:val="decimal"/>
      <w:pStyle w:val="13"/>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3ZTdiZDE0NjYxYzQ1OTgwODJjOGVkNTExYmFlYjYifQ=="/>
  </w:docVars>
  <w:rsids>
    <w:rsidRoot w:val="00E148F5"/>
    <w:rsid w:val="004F6C6A"/>
    <w:rsid w:val="00557054"/>
    <w:rsid w:val="00866D90"/>
    <w:rsid w:val="00E148F5"/>
    <w:rsid w:val="03C2134C"/>
    <w:rsid w:val="05A44CA7"/>
    <w:rsid w:val="0AF604F3"/>
    <w:rsid w:val="144C4103"/>
    <w:rsid w:val="1ABA5A9E"/>
    <w:rsid w:val="1C384569"/>
    <w:rsid w:val="1D903E12"/>
    <w:rsid w:val="23AB3753"/>
    <w:rsid w:val="24075669"/>
    <w:rsid w:val="24BB5C77"/>
    <w:rsid w:val="25626301"/>
    <w:rsid w:val="2D061055"/>
    <w:rsid w:val="2FDA38BA"/>
    <w:rsid w:val="306C441D"/>
    <w:rsid w:val="357716E7"/>
    <w:rsid w:val="379A16BD"/>
    <w:rsid w:val="3D192343"/>
    <w:rsid w:val="3D9F1B19"/>
    <w:rsid w:val="3FEB2BD1"/>
    <w:rsid w:val="42606F4D"/>
    <w:rsid w:val="46C67DD9"/>
    <w:rsid w:val="49785A5A"/>
    <w:rsid w:val="4CCB3718"/>
    <w:rsid w:val="4CEC4311"/>
    <w:rsid w:val="4F4421E2"/>
    <w:rsid w:val="55986DE4"/>
    <w:rsid w:val="56EC2CAA"/>
    <w:rsid w:val="57566F57"/>
    <w:rsid w:val="5C8B0BFD"/>
    <w:rsid w:val="619009F4"/>
    <w:rsid w:val="783F728E"/>
    <w:rsid w:val="7B8958C6"/>
    <w:rsid w:val="7CD348C4"/>
    <w:rsid w:val="7E124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next w:val="1"/>
    <w:qFormat/>
    <w:uiPriority w:val="0"/>
    <w:pPr>
      <w:keepNext/>
      <w:keepLines/>
      <w:widowControl w:val="0"/>
      <w:spacing w:before="240"/>
      <w:ind w:firstLine="200" w:firstLineChars="200"/>
      <w:jc w:val="both"/>
      <w:outlineLvl w:val="2"/>
    </w:pPr>
    <w:rPr>
      <w:rFonts w:ascii="Calibri" w:hAnsi="Calibri" w:eastAsia="宋体" w:cs="Times New Roman"/>
      <w:b/>
      <w:kern w:val="2"/>
      <w:sz w:val="28"/>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footer"/>
    <w:basedOn w:val="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Normal (Web)"/>
    <w:basedOn w:val="1"/>
    <w:unhideWhenUsed/>
    <w:uiPriority w:val="99"/>
    <w:pPr>
      <w:widowControl/>
      <w:spacing w:before="100" w:beforeAutospacing="1" w:after="100" w:afterAutospacing="1"/>
      <w:jc w:val="left"/>
    </w:pPr>
    <w:rPr>
      <w:rFonts w:ascii="宋体" w:hAnsi="宋体" w:cs="宋体"/>
      <w:kern w:val="0"/>
      <w:sz w:val="24"/>
    </w:rPr>
  </w:style>
  <w:style w:type="table" w:styleId="9">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semiHidden/>
    <w:unhideWhenUsed/>
    <w:qFormat/>
    <w:uiPriority w:val="99"/>
    <w:rPr>
      <w:color w:val="0000FF"/>
      <w:u w:val="single"/>
    </w:rPr>
  </w:style>
  <w:style w:type="paragraph" w:customStyle="1" w:styleId="1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paragraph" w:customStyle="1" w:styleId="13">
    <w:name w:val="标准文件_一级条标题"/>
    <w:basedOn w:val="14"/>
    <w:next w:val="15"/>
    <w:qFormat/>
    <w:uiPriority w:val="0"/>
    <w:pPr>
      <w:numPr>
        <w:ilvl w:val="2"/>
      </w:numPr>
      <w:spacing w:before="50" w:beforeLines="50" w:after="50" w:afterLines="50"/>
      <w:outlineLvl w:val="1"/>
    </w:pPr>
  </w:style>
  <w:style w:type="paragraph" w:customStyle="1" w:styleId="14">
    <w:name w:val="标准文件_章标题"/>
    <w:next w:val="15"/>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5">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table" w:customStyle="1" w:styleId="1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2.bin"/><Relationship Id="rId7" Type="http://schemas.openxmlformats.org/officeDocument/2006/relationships/image" Target="media/image2.w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13.png"/><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oleObject" Target="embeddings/oleObject13.bin"/><Relationship Id="rId23" Type="http://schemas.openxmlformats.org/officeDocument/2006/relationships/oleObject" Target="embeddings/oleObject12.bin"/><Relationship Id="rId22" Type="http://schemas.openxmlformats.org/officeDocument/2006/relationships/oleObject" Target="embeddings/oleObject11.bin"/><Relationship Id="rId21" Type="http://schemas.openxmlformats.org/officeDocument/2006/relationships/oleObject" Target="embeddings/oleObject10.bin"/><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oleObject" Target="embeddings/oleObject7.bin"/><Relationship Id="rId17" Type="http://schemas.openxmlformats.org/officeDocument/2006/relationships/image" Target="media/image7.wmf"/><Relationship Id="rId16" Type="http://schemas.openxmlformats.org/officeDocument/2006/relationships/oleObject" Target="embeddings/oleObject6.bin"/><Relationship Id="rId15" Type="http://schemas.openxmlformats.org/officeDocument/2006/relationships/image" Target="media/image6.wmf"/><Relationship Id="rId14" Type="http://schemas.openxmlformats.org/officeDocument/2006/relationships/oleObject" Target="embeddings/oleObject5.bin"/><Relationship Id="rId13" Type="http://schemas.openxmlformats.org/officeDocument/2006/relationships/image" Target="media/image5.wmf"/><Relationship Id="rId12" Type="http://schemas.openxmlformats.org/officeDocument/2006/relationships/oleObject" Target="embeddings/oleObject4.bin"/><Relationship Id="rId11" Type="http://schemas.openxmlformats.org/officeDocument/2006/relationships/image" Target="media/image4.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16</Pages>
  <Words>9417</Words>
  <Characters>10498</Characters>
  <Lines>29</Lines>
  <Paragraphs>26</Paragraphs>
  <TotalTime>22</TotalTime>
  <ScaleCrop>false</ScaleCrop>
  <LinksUpToDate>false</LinksUpToDate>
  <CharactersWithSpaces>10704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2020-04-09T02:43:00Z</dcterms:created>
  <dc:creator>常娟</dc:creator>
  <cp:lastModifiedBy>付芳婧</cp:lastModifiedBy>
  <dcterms:modified xsi:type="dcterms:W3CDTF">2025-04-15T08:13:38Z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eyJoZGlkIjoiMjc4YjRjZGM1Zjg4ZGQwMmVlZjYyZGQ2NmZiY2YzZTEiLCJ1c2VySWQiOiI2NzU3NjI2NDcifQ==</vt:lpwstr>
  </property>
  <property fmtid="{D5CDD505-2E9C-101B-9397-08002B2CF9AE}" pid="3" name="KSOProductBuildVer">
    <vt:lpwstr>2052-12.1.0.18276</vt:lpwstr>
  </property>
  <property fmtid="{D5CDD505-2E9C-101B-9397-08002B2CF9AE}" pid="4" name="ICV">
    <vt:lpwstr>6DB40896F01A4DF3BD1B3149C5A98E67_12</vt:lpwstr>
  </property>
</Properties>
</file>