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48"/>
          <w:szCs w:val="48"/>
          <w:highlight w:val="none"/>
          <w:lang w:val="en-US" w:eastAsia="zh-CN"/>
        </w:rPr>
      </w:pPr>
      <w:r>
        <w:rPr>
          <w:rFonts w:hint="default" w:ascii="Times New Roman" w:hAnsi="Times New Roman" w:eastAsia="黑体" w:cs="Times New Roman"/>
          <w:b/>
          <w:sz w:val="48"/>
          <w:szCs w:val="48"/>
          <w:highlight w:val="none"/>
          <w:lang w:val="en-US" w:eastAsia="zh-CN"/>
        </w:rPr>
        <w:t>温室气体排放核算指南 不锈钢无缝钢管</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温室气体排放核算指南 不锈钢无缝钢管</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三</w:t>
      </w:r>
      <w:r>
        <w:rPr>
          <w:rFonts w:hint="default" w:ascii="Times New Roman" w:hAnsi="Times New Roman" w:eastAsia="楷体_GB2312" w:cs="Times New Roman"/>
          <w:b/>
          <w:sz w:val="36"/>
          <w:szCs w:val="36"/>
          <w:highlight w:val="none"/>
        </w:rPr>
        <w:t>月</w:t>
      </w: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24</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24</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24</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24</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24</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9"/>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24</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温室气体排放核算指南 不锈钢无缝钢管</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40AEF81F">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全球气候变化问题的日益严峻，温室气体排放管理已成为各国政府和企业的共同责任。不锈钢无缝钢管作为一种重要的工业产品，在生产过程中会产生大量的温室气体排放。在不锈钢无缝钢管项目的温室气体排放核算过程中，存在一些问题亟待解决。首先，由于生产工艺的复杂性和多样性，导致温室气体排放源众多且难以准确量化。其次，现有的核算方法可能存在不够精确或适用性不强的问题，难以满足企业对温室气体排放管理的精细化需求。此外，数据质量保证和文件存档制度的缺失也可能影响核算结果的准确性和可追溯性。</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制定一套适用于不锈钢无缝钢管项目的温室气体排放核算指南，明确核算边界、排放源和核算方法，并建立完善的数据质量保证体系，是解决这些问题的关键所在。制定不锈钢无缝钢管项目的温室气体排放核算指南具有重要意义。一方面，该指南有助于企业准确评估自身温室气体排放量，为制定科学合理的碳减排计划提供数据支持，从而推动企业的绿色低碳转型。另一方面，通过规范核算方法和数据质量保证体系，可以提高不锈钢无缝钢管行业温室气体排放数据的准确性和可比性，为政府制定相关政策、加强行业监管提供科学依据。此外，该指南的实施还有助于提升企业的环保意识和社会责任感，推动整个行业向更加环保、可持续的方向发展。</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温室气体排放</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温室气体排放</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温室气体排放相关情况进行了深入的调查研究，同时广泛搜集相关标准和国外技术资料，进行了大量的研究分析、资料查证工作，确定了温室气体排放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标准起草组进一步研究了温室气体排放需要具备的特殊条件，明确了技术要求和指标，为标准的具体起草指明了方向。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在理论研究基础上，起草组在标准编制过程中充分借鉴已有的理论研究和实践成果，基于我国市场行情，经过数次修订，形成了《温室气体排放核算指南 不锈钢无缝钢管》标准草案。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温室气体排放核算指南 不锈钢无缝钢管》（征求意见稿）。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青山钢管有限公司</w:t>
      </w:r>
      <w:r>
        <w:rPr>
          <w:rFonts w:hint="default" w:ascii="Times New Roman" w:hAnsi="Times New Roman" w:cs="Times New Roman"/>
          <w:kern w:val="0"/>
          <w:sz w:val="28"/>
          <w:szCs w:val="28"/>
          <w:highlight w:val="none"/>
        </w:rPr>
        <w:t>等多家单位的专家成立了规范起草小组，开展标准的编制工作。青山钢管有限公司是国内领先的不锈钢无缝钢管生产企业，成立于2003年，专注于不锈钢无缝钢管、焊管和管件的研发、生产和销售。公司拥有先进的生产设备和工艺，产品广泛应用于石油、化工、核电、LNG、新能源等领域。作为行业标准的制定者和引领者，青山钢管多次参与国家标准的制定，为行业规范化发展提供了重要支撑。公司还致力于绿色发展和智慧制造，通过数字化和智能化技术提升生产效率和产品质量，同时与高校和科研院所合作，研发可替代进口的特殊钢管，推动不锈钢深加工产业的可持续发展。</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7</w:t>
      </w:r>
      <w:r>
        <w:rPr>
          <w:rFonts w:hint="default" w:ascii="Times New Roman" w:hAnsi="Times New Roman" w:cs="Times New Roman"/>
          <w:sz w:val="28"/>
          <w:szCs w:val="28"/>
          <w:highlight w:val="none"/>
        </w:rPr>
        <w:t>个部分，主要内容如下：</w:t>
      </w:r>
    </w:p>
    <w:p w14:paraId="7D51CDB5">
      <w:pPr>
        <w:pStyle w:val="51"/>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194506832"/>
      <w:bookmarkStart w:id="3" w:name="_Toc175145886"/>
      <w:bookmarkStart w:id="4" w:name="_Toc26986771"/>
      <w:bookmarkStart w:id="5" w:name="_Toc26648465"/>
      <w:bookmarkStart w:id="6" w:name="_Toc24884211"/>
      <w:bookmarkStart w:id="7" w:name="_Toc26986530"/>
      <w:bookmarkStart w:id="8" w:name="_Toc26718930"/>
      <w:bookmarkStart w:id="9" w:name="_Toc194595017"/>
      <w:bookmarkStart w:id="10" w:name="_Toc24884218"/>
      <w:bookmarkStart w:id="11" w:name="_Toc17233333"/>
      <w:bookmarkStart w:id="12" w:name="_Toc17233325"/>
      <w:bookmarkStart w:id="13" w:name="_Toc97192964"/>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p>
    <w:p w14:paraId="32A7CDBC">
      <w:pPr>
        <w:pStyle w:val="52"/>
        <w:widowControl/>
        <w:spacing w:line="360" w:lineRule="auto"/>
        <w:ind w:left="0" w:firstLine="420"/>
        <w:rPr>
          <w:rFonts w:hint="default" w:ascii="Times New Roman" w:hAnsi="Times New Roman" w:cs="Times New Roman"/>
          <w:sz w:val="28"/>
          <w:szCs w:val="28"/>
          <w:highlight w:val="none"/>
          <w:lang w:val="en-US"/>
        </w:rPr>
      </w:pPr>
      <w:bookmarkStart w:id="14" w:name="_Toc24884212"/>
      <w:bookmarkStart w:id="15" w:name="_Toc17233334"/>
      <w:bookmarkStart w:id="16" w:name="_Toc17233326"/>
      <w:bookmarkStart w:id="17" w:name="_Toc26648466"/>
      <w:bookmarkStart w:id="18" w:name="_Toc24884219"/>
      <w:r>
        <w:rPr>
          <w:rFonts w:hint="default" w:ascii="Times New Roman" w:hAnsi="Times New Roman" w:cs="Times New Roman"/>
          <w:sz w:val="28"/>
          <w:szCs w:val="28"/>
          <w:highlight w:val="none"/>
          <w:lang w:eastAsia="zh-CN"/>
        </w:rPr>
        <w:t>本文件规定了不锈钢无缝钢管生产企业碳排放量的核算边界、核算步骤与核算方法、数据质量管理、报告</w:t>
      </w:r>
      <w:r>
        <w:rPr>
          <w:rFonts w:hint="eastAsia" w:ascii="Times New Roman" w:cs="Times New Roman"/>
          <w:sz w:val="28"/>
          <w:szCs w:val="28"/>
          <w:highlight w:val="none"/>
          <w:lang w:val="en-US" w:eastAsia="zh-CN"/>
        </w:rPr>
        <w:t>要求</w:t>
      </w:r>
      <w:r>
        <w:rPr>
          <w:rFonts w:hint="default" w:ascii="Times New Roman" w:hAnsi="Times New Roman" w:cs="Times New Roman"/>
          <w:sz w:val="28"/>
          <w:szCs w:val="28"/>
          <w:highlight w:val="none"/>
          <w:lang w:eastAsia="zh-CN"/>
        </w:rPr>
        <w:t>等内容。</w:t>
      </w:r>
    </w:p>
    <w:p w14:paraId="7072DB38">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本文件适用于不锈钢无缝钢管生产企业碳排放量的核算和报告。</w:t>
      </w:r>
    </w:p>
    <w:p w14:paraId="14961125">
      <w:pPr>
        <w:pStyle w:val="51"/>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9" w:name="_Toc175145887"/>
      <w:bookmarkStart w:id="20" w:name="_Toc26718931"/>
      <w:bookmarkStart w:id="21" w:name="_Toc194506833"/>
      <w:bookmarkStart w:id="22" w:name="_Toc26986531"/>
      <w:bookmarkStart w:id="23" w:name="_Toc194595018"/>
      <w:bookmarkStart w:id="24" w:name="_Toc97192965"/>
      <w:bookmarkStart w:id="25" w:name="_Toc26986772"/>
      <w:r>
        <w:rPr>
          <w:rFonts w:hint="default" w:ascii="Times New Roman" w:hAnsi="Times New Roman" w:cs="Times New Roman"/>
          <w:sz w:val="28"/>
          <w:szCs w:val="28"/>
          <w:highlight w:val="none"/>
          <w:lang w:eastAsia="zh-CN"/>
        </w:rPr>
        <w:t>规范性引用文件</w:t>
      </w:r>
      <w:bookmarkEnd w:id="14"/>
      <w:bookmarkEnd w:id="15"/>
      <w:bookmarkEnd w:id="16"/>
      <w:bookmarkEnd w:id="17"/>
      <w:bookmarkEnd w:id="18"/>
      <w:bookmarkEnd w:id="19"/>
      <w:bookmarkEnd w:id="20"/>
      <w:bookmarkEnd w:id="21"/>
      <w:bookmarkEnd w:id="22"/>
      <w:bookmarkEnd w:id="23"/>
      <w:bookmarkEnd w:id="24"/>
      <w:bookmarkEnd w:id="25"/>
    </w:p>
    <w:p w14:paraId="37D67E38">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8542970">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213 </w:t>
      </w:r>
      <w:r>
        <w:rPr>
          <w:rFonts w:hint="default" w:ascii="Times New Roman" w:hAnsi="Times New Roman" w:cs="Times New Roman"/>
          <w:sz w:val="28"/>
          <w:szCs w:val="28"/>
          <w:highlight w:val="none"/>
          <w:lang w:eastAsia="zh-CN"/>
        </w:rPr>
        <w:t>煤的发热量测定方法</w:t>
      </w:r>
    </w:p>
    <w:p w14:paraId="65E5C51F">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384 </w:t>
      </w:r>
      <w:r>
        <w:rPr>
          <w:rFonts w:hint="default" w:ascii="Times New Roman" w:hAnsi="Times New Roman" w:cs="Times New Roman"/>
          <w:sz w:val="28"/>
          <w:szCs w:val="28"/>
          <w:highlight w:val="none"/>
          <w:lang w:eastAsia="zh-CN"/>
        </w:rPr>
        <w:t>石油产品热值测定法</w:t>
      </w:r>
    </w:p>
    <w:p w14:paraId="62AE7C63">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22723 </w:t>
      </w:r>
      <w:r>
        <w:rPr>
          <w:rFonts w:hint="default" w:ascii="Times New Roman" w:hAnsi="Times New Roman" w:cs="Times New Roman"/>
          <w:sz w:val="28"/>
          <w:szCs w:val="28"/>
          <w:highlight w:val="none"/>
          <w:lang w:eastAsia="zh-CN"/>
        </w:rPr>
        <w:t>天然气能量的测定</w:t>
      </w:r>
    </w:p>
    <w:p w14:paraId="0FC6121F">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32150 </w:t>
      </w:r>
      <w:r>
        <w:rPr>
          <w:rFonts w:hint="default" w:ascii="Times New Roman" w:hAnsi="Times New Roman" w:cs="Times New Roman"/>
          <w:sz w:val="28"/>
          <w:szCs w:val="28"/>
          <w:highlight w:val="none"/>
          <w:lang w:eastAsia="zh-CN"/>
        </w:rPr>
        <w:t>工业企业温室气体排放核算和报告通则</w:t>
      </w:r>
    </w:p>
    <w:p w14:paraId="54BF455B">
      <w:pPr>
        <w:pStyle w:val="51"/>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6" w:name="_Toc194506834"/>
      <w:bookmarkStart w:id="27" w:name="_Toc97192966"/>
      <w:bookmarkStart w:id="28" w:name="_Toc194595019"/>
      <w:bookmarkStart w:id="29" w:name="_Toc175145888"/>
      <w:r>
        <w:rPr>
          <w:rFonts w:hint="default" w:ascii="Times New Roman" w:hAnsi="Times New Roman" w:cs="Times New Roman"/>
          <w:sz w:val="28"/>
          <w:szCs w:val="28"/>
          <w:highlight w:val="none"/>
          <w:lang w:eastAsia="zh-CN"/>
        </w:rPr>
        <w:t>术语和定义</w:t>
      </w:r>
      <w:bookmarkEnd w:id="26"/>
      <w:bookmarkEnd w:id="27"/>
      <w:bookmarkEnd w:id="28"/>
      <w:bookmarkEnd w:id="29"/>
    </w:p>
    <w:p w14:paraId="1B86C8B6">
      <w:pPr>
        <w:pStyle w:val="52"/>
        <w:widowControl/>
        <w:spacing w:line="360" w:lineRule="auto"/>
        <w:ind w:left="0" w:firstLine="420"/>
        <w:rPr>
          <w:rFonts w:hint="default" w:ascii="Times New Roman" w:hAnsi="Times New Roman" w:cs="Times New Roman"/>
          <w:sz w:val="28"/>
          <w:szCs w:val="28"/>
          <w:highlight w:val="none"/>
          <w:lang w:val="en-US"/>
        </w:rPr>
      </w:pPr>
      <w:bookmarkStart w:id="30" w:name="_Toc26986532"/>
      <w:bookmarkEnd w:id="30"/>
      <w:r>
        <w:rPr>
          <w:rFonts w:hint="default" w:ascii="Times New Roman" w:hAnsi="Times New Roman" w:cs="Times New Roman"/>
          <w:sz w:val="28"/>
          <w:szCs w:val="28"/>
          <w:highlight w:val="none"/>
          <w:lang w:val="en-US"/>
        </w:rPr>
        <w:t>GB/T 32150</w:t>
      </w:r>
      <w:r>
        <w:rPr>
          <w:rFonts w:hint="default" w:ascii="Times New Roman" w:hAnsi="Times New Roman" w:cs="Times New Roman"/>
          <w:sz w:val="28"/>
          <w:szCs w:val="28"/>
          <w:highlight w:val="none"/>
          <w:lang w:eastAsia="zh-CN"/>
        </w:rPr>
        <w:t>界定的以及下列术语和定义适用于本文件。</w:t>
      </w:r>
    </w:p>
    <w:p w14:paraId="53C63CE2">
      <w:pPr>
        <w:pStyle w:val="86"/>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不锈钢无缝钢管</w:t>
      </w:r>
      <w:r>
        <w:rPr>
          <w:rFonts w:hint="default" w:ascii="Times New Roman" w:hAnsi="Times New Roman" w:eastAsia="黑体" w:cs="Times New Roman"/>
          <w:sz w:val="28"/>
          <w:szCs w:val="28"/>
          <w:highlight w:val="none"/>
          <w:lang w:val="en-US"/>
        </w:rPr>
        <w:t xml:space="preserve"> stainless steel seamless steel pipe</w:t>
      </w:r>
    </w:p>
    <w:p w14:paraId="662734FA">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一种由不锈钢材料制成的、无焊缝连接的中空管状产品，具有高强度和良好的耐腐蚀性。其特点在于整个管体由单一材料制成，没有焊缝，因此具有更高的强度和更好的密封性能。</w:t>
      </w:r>
    </w:p>
    <w:p w14:paraId="02ADEA62">
      <w:pPr>
        <w:pStyle w:val="86"/>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温室气体</w:t>
      </w:r>
      <w:r>
        <w:rPr>
          <w:rFonts w:hint="default" w:ascii="Times New Roman" w:hAnsi="Times New Roman" w:eastAsia="黑体" w:cs="Times New Roman"/>
          <w:sz w:val="28"/>
          <w:szCs w:val="28"/>
          <w:highlight w:val="none"/>
          <w:lang w:val="en-US"/>
        </w:rPr>
        <w:t xml:space="preserve"> greenhouse gas</w:t>
      </w:r>
    </w:p>
    <w:p w14:paraId="2C0C33DA">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大气层中自然存在的和由于人类活动产生的能够吸收和散发由地球表面、大气层和云层所产生的、波长在红外光谱内的辐射的气态成分。</w:t>
      </w:r>
    </w:p>
    <w:p w14:paraId="14E348B8">
      <w:pPr>
        <w:pStyle w:val="86"/>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报告主体</w:t>
      </w:r>
      <w:r>
        <w:rPr>
          <w:rFonts w:hint="default" w:ascii="Times New Roman" w:hAnsi="Times New Roman" w:eastAsia="黑体" w:cs="Times New Roman"/>
          <w:sz w:val="28"/>
          <w:szCs w:val="28"/>
          <w:highlight w:val="none"/>
          <w:lang w:val="en-US"/>
        </w:rPr>
        <w:t xml:space="preserve"> reporting entity</w:t>
      </w:r>
    </w:p>
    <w:p w14:paraId="12936BC2">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具有温室气体排放行为的法人企业或视同法人的独立核算单位。</w:t>
      </w:r>
    </w:p>
    <w:p w14:paraId="369C6CBB">
      <w:pPr>
        <w:pStyle w:val="86"/>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核算边界</w:t>
      </w:r>
      <w:r>
        <w:rPr>
          <w:rFonts w:hint="default" w:ascii="Times New Roman" w:hAnsi="Times New Roman" w:eastAsia="黑体" w:cs="Times New Roman"/>
          <w:sz w:val="28"/>
          <w:szCs w:val="28"/>
          <w:highlight w:val="none"/>
          <w:lang w:val="en-US"/>
        </w:rPr>
        <w:t xml:space="preserve"> accounting boundary</w:t>
      </w:r>
    </w:p>
    <w:p w14:paraId="074D08FC">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与报告主体的生产经营活动相关的温室气体排放的范围</w:t>
      </w:r>
      <w:r>
        <w:rPr>
          <w:rFonts w:hint="default" w:ascii="Times New Roman" w:hAnsi="Times New Roman" w:cs="Times New Roman"/>
          <w:sz w:val="28"/>
          <w:szCs w:val="28"/>
          <w:highlight w:val="none"/>
          <w:lang w:val="en-US"/>
        </w:rPr>
        <w:t>.</w:t>
      </w:r>
    </w:p>
    <w:p w14:paraId="24B6B9E3">
      <w:pPr>
        <w:pStyle w:val="86"/>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过程排放</w:t>
      </w:r>
      <w:r>
        <w:rPr>
          <w:rFonts w:hint="default" w:ascii="Times New Roman" w:hAnsi="Times New Roman" w:eastAsia="黑体" w:cs="Times New Roman"/>
          <w:sz w:val="28"/>
          <w:szCs w:val="28"/>
          <w:highlight w:val="none"/>
          <w:lang w:val="en-US"/>
        </w:rPr>
        <w:t xml:space="preserve"> process emission</w:t>
      </w:r>
    </w:p>
    <w:p w14:paraId="71259973">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在生产、废弃物处理处置等过程中除燃料燃烧之外的物理或化学变化造成的温室气体排放。</w:t>
      </w:r>
    </w:p>
    <w:p w14:paraId="240B64A5">
      <w:pPr>
        <w:pStyle w:val="86"/>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活动数据</w:t>
      </w:r>
      <w:r>
        <w:rPr>
          <w:rFonts w:hint="default" w:ascii="Times New Roman" w:hAnsi="Times New Roman" w:eastAsia="黑体" w:cs="Times New Roman"/>
          <w:sz w:val="28"/>
          <w:szCs w:val="28"/>
          <w:highlight w:val="none"/>
          <w:lang w:val="en-US"/>
        </w:rPr>
        <w:t xml:space="preserve"> activity data</w:t>
      </w:r>
    </w:p>
    <w:p w14:paraId="0B0C5176">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导致温室气体排放的生产或消费活动量的表征值，如各种化石燃料的消耗量、原材料的使用量、购入的电量、购入的热量等。</w:t>
      </w:r>
    </w:p>
    <w:p w14:paraId="4F63DF49">
      <w:pPr>
        <w:pStyle w:val="51"/>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1" w:name="_Toc194595020"/>
      <w:bookmarkStart w:id="32" w:name="_Toc175145889"/>
      <w:bookmarkStart w:id="33" w:name="_Toc194506835"/>
      <w:r>
        <w:rPr>
          <w:rFonts w:hint="default" w:ascii="Times New Roman" w:hAnsi="Times New Roman" w:cs="Times New Roman"/>
          <w:sz w:val="28"/>
          <w:szCs w:val="28"/>
          <w:highlight w:val="none"/>
          <w:lang w:eastAsia="zh-CN"/>
        </w:rPr>
        <w:t>核算边界</w:t>
      </w:r>
      <w:bookmarkEnd w:id="31"/>
      <w:bookmarkEnd w:id="32"/>
      <w:bookmarkEnd w:id="33"/>
    </w:p>
    <w:p w14:paraId="5FA091F4">
      <w:pPr>
        <w:pStyle w:val="5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通则</w:t>
      </w:r>
    </w:p>
    <w:p w14:paraId="6960FD61">
      <w:pPr>
        <w:pStyle w:val="77"/>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以企业法人或视同法人的独立核算单位为边界，核算和报告其生产系统产生的温室气体排放。生产系统范围包括：主要生产系统、辅助生产系统、以及附属生产系统，其中辅助生产系统包括动力、供电、供水、化验、机修、库房、运输等，附属生产系统包括生产指挥系统（厂部）和厂区内为生产服务的部门和单位。</w:t>
      </w:r>
    </w:p>
    <w:p w14:paraId="54C165DE">
      <w:pPr>
        <w:pStyle w:val="77"/>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不锈钢无缝钢管生产企业温室气体排放包括：化石燃料燃烧排放，工业生产过程排放及净购入电力产生的排放。机械设备制造企业生产过程中涉及二氧化碳气体保护焊产生的排放。</w:t>
      </w:r>
    </w:p>
    <w:p w14:paraId="281A2FA9">
      <w:pPr>
        <w:pStyle w:val="5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核算和报告范围</w:t>
      </w:r>
    </w:p>
    <w:p w14:paraId="78BF310B">
      <w:pPr>
        <w:pStyle w:val="77"/>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核算和报告范围如下：</w:t>
      </w:r>
    </w:p>
    <w:p w14:paraId="024480E7">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化石燃料燃烧排放：核算边界内天然气、煤、柴油、重油、煤气、液化石油气等化石燃料在各种类型的固定源或移动源中发生氧化燃烧过程产生的碳排放；</w:t>
      </w:r>
    </w:p>
    <w:p w14:paraId="5A67A983">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工业生产过程排放：二氧化碳气体保护焊使用过程中由于气体使用或泄漏造成的温室气体排放；</w:t>
      </w:r>
    </w:p>
    <w:p w14:paraId="047196D2">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购入电力生产产生的温室气体排放：企业购入的电力所对应的生产环节产生的碳排放；</w:t>
      </w:r>
    </w:p>
    <w:p w14:paraId="0C450E9A">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购入热力生产产生的温室气体排放：企业购入的热力（蒸汽、热水等）所对应的生产环节产生的碳排放。</w:t>
      </w:r>
    </w:p>
    <w:p w14:paraId="6B09F990">
      <w:pPr>
        <w:pStyle w:val="77"/>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不锈钢无缝钢管企业的温室气体排放及核算边界见图</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24352B79">
      <w:pPr>
        <w:pStyle w:val="52"/>
        <w:widowControl/>
        <w:spacing w:line="360" w:lineRule="auto"/>
        <w:ind w:left="0" w:firstLine="420"/>
        <w:rPr>
          <w:rFonts w:hint="default" w:ascii="Times New Roman" w:hAnsi="Times New Roman" w:cs="Times New Roman"/>
          <w:sz w:val="28"/>
          <w:szCs w:val="28"/>
          <w:highlight w:val="none"/>
          <w:lang w:val="en-US"/>
        </w:rPr>
      </w:pPr>
    </w:p>
    <w:p w14:paraId="6144942E">
      <w:pPr>
        <w:pStyle w:val="52"/>
        <w:widowControl/>
        <w:spacing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drawing>
          <wp:inline distT="0" distB="0" distL="114300" distR="114300">
            <wp:extent cx="3990975" cy="37814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990975" cy="3781425"/>
                    </a:xfrm>
                    <a:prstGeom prst="rect">
                      <a:avLst/>
                    </a:prstGeom>
                    <a:noFill/>
                    <a:ln>
                      <a:noFill/>
                    </a:ln>
                  </pic:spPr>
                </pic:pic>
              </a:graphicData>
            </a:graphic>
          </wp:inline>
        </w:drawing>
      </w:r>
    </w:p>
    <w:p w14:paraId="4C8FC226">
      <w:pPr>
        <w:pStyle w:val="80"/>
        <w:widowControl/>
        <w:numPr>
          <w:ilvl w:val="0"/>
          <w:numId w:val="6"/>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不锈钢无缝钢管企业温室气体排放及核算边界</w:t>
      </w:r>
    </w:p>
    <w:p w14:paraId="715C5F1E">
      <w:pPr>
        <w:pStyle w:val="5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核算内容</w:t>
      </w:r>
    </w:p>
    <w:p w14:paraId="67D214F6">
      <w:pPr>
        <w:pStyle w:val="77"/>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产品温室气体排放核算边界内容包含原材料获取加工阶段、产品生产阶段、下游存储与分销阶段。</w:t>
      </w:r>
    </w:p>
    <w:p w14:paraId="62429732">
      <w:pPr>
        <w:pStyle w:val="77"/>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原材料获取加工阶段应包括以下内容：</w:t>
      </w:r>
    </w:p>
    <w:p w14:paraId="1DC77E15">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圆钢的生产与运输相关过程；</w:t>
      </w:r>
    </w:p>
    <w:p w14:paraId="6E26582E">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荒钢的生产与运输相关过程；</w:t>
      </w:r>
    </w:p>
    <w:p w14:paraId="053BCBBA">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矿石开采的生产与运输相关过程；</w:t>
      </w:r>
    </w:p>
    <w:p w14:paraId="4F14EB6C">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废金属回收的生产与运输相关过程；</w:t>
      </w:r>
    </w:p>
    <w:p w14:paraId="0EA6903D">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其他金属材料生产的获取与运输相关过程；</w:t>
      </w:r>
    </w:p>
    <w:p w14:paraId="5D273CEC">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包装材料的生产与运输相关过程；</w:t>
      </w:r>
    </w:p>
    <w:p w14:paraId="0A484285">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其他辅材的生产与运输相关过程；</w:t>
      </w:r>
    </w:p>
    <w:p w14:paraId="03FF324F">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能源的开采生产与输送过程；</w:t>
      </w:r>
    </w:p>
    <w:p w14:paraId="3695EC1D">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水的供应过程；</w:t>
      </w:r>
    </w:p>
    <w:p w14:paraId="7BD6893C">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原材料获取加工所产生的废水、废气和固体废弃物处理相关过程。</w:t>
      </w:r>
    </w:p>
    <w:p w14:paraId="7BE6DAC2">
      <w:pPr>
        <w:pStyle w:val="77"/>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产品生产阶段应包括以下内容：</w:t>
      </w:r>
    </w:p>
    <w:p w14:paraId="7C98ED68">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穿孔、荒管酸洗、修磨、润滑、冷拔</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冷轧、去油、热处理、矫直、酸洗、成品检验等生产的相关过程；</w:t>
      </w:r>
    </w:p>
    <w:p w14:paraId="62A707FB">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成品入库的相关过程；</w:t>
      </w:r>
    </w:p>
    <w:p w14:paraId="6CD15408">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包装相关过程； </w:t>
      </w:r>
    </w:p>
    <w:p w14:paraId="690187F2">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生产设备设施的运行、维护等相关过程；</w:t>
      </w:r>
    </w:p>
    <w:p w14:paraId="73ADE31E">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半成品在生产企业各车间之间的搬运过程；</w:t>
      </w:r>
    </w:p>
    <w:p w14:paraId="1F4E8FF3">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用水供应相关过程；</w:t>
      </w:r>
    </w:p>
    <w:p w14:paraId="401F3E1F">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以上过程所产生的废水、废气、固废三废处理相关过程。</w:t>
      </w:r>
    </w:p>
    <w:p w14:paraId="7C2FB096">
      <w:pPr>
        <w:pStyle w:val="77"/>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下游存储与分销阶段应包括以下内容：</w:t>
      </w:r>
    </w:p>
    <w:p w14:paraId="51C4ADDD">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仓库照明、通风、空调和供暖的能源消耗；</w:t>
      </w:r>
    </w:p>
    <w:p w14:paraId="22808A55">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工厂、仓库和转运站地点间的各类运输，包括陆运、水运及空运；</w:t>
      </w:r>
    </w:p>
    <w:p w14:paraId="0D93B79C">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装载；</w:t>
      </w:r>
    </w:p>
    <w:p w14:paraId="3B8D1B12">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收货及入库；</w:t>
      </w:r>
    </w:p>
    <w:p w14:paraId="6F2E440B">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运输的相关过程；</w:t>
      </w:r>
    </w:p>
    <w:p w14:paraId="6C57F6FB">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存储的相关过程；</w:t>
      </w:r>
    </w:p>
    <w:p w14:paraId="5E848139">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分销的相关过程。</w:t>
      </w:r>
    </w:p>
    <w:p w14:paraId="45CB87FD">
      <w:pPr>
        <w:pStyle w:val="51"/>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4" w:name="_Toc175145890"/>
      <w:bookmarkStart w:id="35" w:name="_Toc194595021"/>
      <w:bookmarkStart w:id="36" w:name="_Toc194506836"/>
      <w:r>
        <w:rPr>
          <w:rFonts w:hint="default" w:ascii="Times New Roman" w:hAnsi="Times New Roman" w:cs="Times New Roman"/>
          <w:sz w:val="28"/>
          <w:szCs w:val="28"/>
          <w:highlight w:val="none"/>
          <w:lang w:eastAsia="zh-CN"/>
        </w:rPr>
        <w:t>核算步骤与方法</w:t>
      </w:r>
      <w:bookmarkEnd w:id="34"/>
      <w:bookmarkEnd w:id="35"/>
      <w:bookmarkEnd w:id="36"/>
    </w:p>
    <w:p w14:paraId="2DDAD66E">
      <w:pPr>
        <w:pStyle w:val="5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核算步骤</w:t>
      </w:r>
    </w:p>
    <w:p w14:paraId="01871A4F">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碳排放核算和报告的工作流程包括以下步骤：</w:t>
      </w:r>
    </w:p>
    <w:p w14:paraId="4832FC81">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识别排放源；</w:t>
      </w:r>
    </w:p>
    <w:p w14:paraId="05673C44">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收集活动数据；</w:t>
      </w:r>
    </w:p>
    <w:p w14:paraId="30AAEEA3">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选择和获取排放因子数据；</w:t>
      </w:r>
    </w:p>
    <w:p w14:paraId="112722E1">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分别计算化石燃料燃烧排放量、购入和输出的电力及热力所对应的排放量；</w:t>
      </w:r>
    </w:p>
    <w:p w14:paraId="264E1D19">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汇总计算单位（企业）温室气体排放量。</w:t>
      </w:r>
    </w:p>
    <w:p w14:paraId="7F3BEA6E">
      <w:pPr>
        <w:pStyle w:val="5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核算方法</w:t>
      </w:r>
    </w:p>
    <w:p w14:paraId="5926E882">
      <w:pPr>
        <w:pStyle w:val="70"/>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碳排放总量</w:t>
      </w:r>
    </w:p>
    <w:p w14:paraId="7B629D04">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报告主体的碳排放总量按公式（</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）计算：</w:t>
      </w:r>
    </w:p>
    <w:p w14:paraId="701D58CE">
      <w:pPr>
        <w:pStyle w:val="6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宋体" w:cs="Times New Roman"/>
          <w:position w:val="-12"/>
          <w:sz w:val="28"/>
          <w:szCs w:val="28"/>
          <w:highlight w:val="none"/>
          <w:lang w:val="en-US" w:eastAsia="zh-CN" w:bidi="ar"/>
        </w:rPr>
        <w:drawing>
          <wp:inline distT="0" distB="0" distL="114300" distR="114300">
            <wp:extent cx="3552825" cy="200025"/>
            <wp:effectExtent l="0" t="0" r="952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355282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val="en-US"/>
        </w:rPr>
        <w:fldChar w:fldCharType="end"/>
      </w:r>
      <w:r>
        <w:rPr>
          <w:rFonts w:hint="default" w:ascii="Times New Roman" w:hAnsi="Times New Roman" w:cs="Times New Roman"/>
          <w:sz w:val="28"/>
          <w:szCs w:val="28"/>
          <w:highlight w:val="none"/>
          <w:lang w:eastAsia="zh-CN"/>
        </w:rPr>
        <w:t>）</w:t>
      </w:r>
    </w:p>
    <w:p w14:paraId="55F12A8F">
      <w:pPr>
        <w:pStyle w:val="6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2985CAB6">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i/>
          <w:iCs/>
          <w:sz w:val="28"/>
          <w:szCs w:val="28"/>
          <w:highlight w:val="none"/>
          <w:lang w:val="en-US"/>
        </w:rPr>
        <w:softHyphen/>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报告主体的碳排放总量，单位为吨二氧化碳（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4D269944">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燃烧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报告主体的化石燃料燃烧产生的碳排放量，单位为吨二氧化碳（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666D574E">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过程</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报告主体在生产过程中二氧化碳气体保护焊气体使用或泄漏产生的碳排放量，单位为吨二氧化碳（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5C78E7FC">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购入电</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报告主体购入的电力产生的碳排放量，单位为吨二氧化碳（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65690787">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E</w:t>
      </w:r>
      <w:r>
        <w:rPr>
          <w:rFonts w:hint="default" w:ascii="Times New Roman" w:hAnsi="Times New Roman" w:cs="Times New Roman"/>
          <w:color w:val="000000"/>
          <w:sz w:val="28"/>
          <w:szCs w:val="28"/>
          <w:highlight w:val="none"/>
          <w:lang w:eastAsia="zh-CN"/>
        </w:rPr>
        <w:t>购入热</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报告主体购入的热力产生的碳排放量，单位为吨二氧化碳（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26A3E1E5">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输出电</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报告主体输出的电力产生的碳排放量，单位为吨二氧化碳（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742401FC">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E</w:t>
      </w:r>
      <w:r>
        <w:rPr>
          <w:rFonts w:hint="default" w:ascii="Times New Roman" w:hAnsi="Times New Roman" w:cs="Times New Roman"/>
          <w:color w:val="000000"/>
          <w:sz w:val="28"/>
          <w:szCs w:val="28"/>
          <w:highlight w:val="none"/>
          <w:lang w:eastAsia="zh-CN"/>
        </w:rPr>
        <w:t>输出热</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报告主体输出的热力产生的碳排放量，单位为吨二氧化碳（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0032F004">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R</w:t>
      </w:r>
      <w:r>
        <w:rPr>
          <w:rFonts w:hint="default" w:ascii="Times New Roman" w:hAnsi="Times New Roman" w:cs="Times New Roman"/>
          <w:i/>
          <w:iCs/>
          <w:color w:val="000000"/>
          <w:sz w:val="28"/>
          <w:szCs w:val="28"/>
          <w:highlight w:val="none"/>
          <w:vertAlign w:val="subscript"/>
          <w:lang w:eastAsia="zh-CN"/>
        </w:rPr>
        <w:t>固碳</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报告主体固碳产品隐含的碳排放量，单位为吨二氧化碳（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50079F78">
      <w:pPr>
        <w:pStyle w:val="70"/>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化石燃料燃烧排放</w:t>
      </w:r>
    </w:p>
    <w:p w14:paraId="6C5728FA">
      <w:pPr>
        <w:pStyle w:val="75"/>
        <w:widowControl/>
        <w:numPr>
          <w:ilvl w:val="4"/>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计算公式</w:t>
      </w:r>
    </w:p>
    <w:p w14:paraId="1E4D2EE6">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化石燃料燃烧产生的碳排放量按公式（</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）计算，其中</w:t>
      </w:r>
      <w:r>
        <w:rPr>
          <w:rFonts w:hint="default" w:ascii="Times New Roman" w:hAnsi="Times New Roman" w:cs="Times New Roman"/>
          <w:i/>
          <w:iCs/>
          <w:sz w:val="28"/>
          <w:szCs w:val="28"/>
          <w:highlight w:val="none"/>
          <w:lang w:val="en-US"/>
        </w:rPr>
        <w:t>AD</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）计算；</w:t>
      </w:r>
      <w:r>
        <w:rPr>
          <w:rFonts w:hint="default" w:ascii="Times New Roman" w:hAnsi="Times New Roman" w:cs="Times New Roman"/>
          <w:i/>
          <w:iCs/>
          <w:sz w:val="28"/>
          <w:szCs w:val="28"/>
          <w:highlight w:val="none"/>
          <w:lang w:val="en-US"/>
        </w:rPr>
        <w:t>EF</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lang w:eastAsia="zh-CN"/>
        </w:rPr>
        <w:t>）计算：</w:t>
      </w:r>
    </w:p>
    <w:p w14:paraId="19B77A49">
      <w:pPr>
        <w:pStyle w:val="69"/>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宋体" w:cs="Times New Roman"/>
          <w:position w:val="-12"/>
          <w:sz w:val="28"/>
          <w:szCs w:val="28"/>
          <w:highlight w:val="none"/>
          <w:lang w:val="en-US" w:eastAsia="zh-CN" w:bidi="ar"/>
        </w:rPr>
        <w:drawing>
          <wp:inline distT="0" distB="0" distL="114300" distR="114300">
            <wp:extent cx="1428750" cy="200025"/>
            <wp:effectExtent l="0" t="0" r="0" b="889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428750"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val="en-US"/>
        </w:rPr>
        <w:fldChar w:fldCharType="end"/>
      </w:r>
      <w:r>
        <w:rPr>
          <w:rFonts w:hint="default" w:ascii="Times New Roman" w:hAnsi="Times New Roman" w:cs="Times New Roman"/>
          <w:sz w:val="28"/>
          <w:szCs w:val="28"/>
          <w:highlight w:val="none"/>
          <w:lang w:eastAsia="zh-CN"/>
        </w:rPr>
        <w:t>）</w:t>
      </w:r>
    </w:p>
    <w:p w14:paraId="03625A80">
      <w:pPr>
        <w:pStyle w:val="6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58AD23D9">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E</w:t>
      </w:r>
      <w:r>
        <w:rPr>
          <w:rFonts w:hint="default" w:ascii="Times New Roman" w:hAnsi="Times New Roman" w:cs="Times New Roman"/>
          <w:color w:val="000000"/>
          <w:sz w:val="28"/>
          <w:szCs w:val="28"/>
          <w:highlight w:val="none"/>
          <w:lang w:eastAsia="zh-CN"/>
        </w:rPr>
        <w:t xml:space="preserve">燃烧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化石燃料燃烧产生的碳排放量，单位为吨二氧化碳当量（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2e</w:t>
      </w:r>
      <w:r>
        <w:rPr>
          <w:rFonts w:hint="default" w:ascii="Times New Roman" w:hAnsi="Times New Roman" w:cs="Times New Roman"/>
          <w:sz w:val="28"/>
          <w:szCs w:val="28"/>
          <w:highlight w:val="none"/>
          <w:lang w:eastAsia="zh-CN"/>
        </w:rPr>
        <w:t>）；</w:t>
      </w:r>
    </w:p>
    <w:p w14:paraId="15E24763">
      <w:pPr>
        <w:pStyle w:val="52"/>
        <w:widowControl/>
        <w:spacing w:line="360" w:lineRule="auto"/>
        <w:ind w:left="0" w:firstLine="420"/>
        <w:rPr>
          <w:rFonts w:hint="default" w:ascii="Times New Roman" w:hAnsi="Times New Roman" w:cs="Times New Roman"/>
          <w:b/>
          <w:bCs/>
          <w:sz w:val="28"/>
          <w:szCs w:val="28"/>
          <w:highlight w:val="none"/>
          <w:lang w:val="en-US"/>
        </w:rPr>
      </w:pPr>
      <w:r>
        <w:rPr>
          <w:rFonts w:hint="default" w:ascii="Times New Roman" w:hAnsi="Times New Roman" w:cs="Times New Roman"/>
          <w:i/>
          <w:iCs/>
          <w:color w:val="000000"/>
          <w:sz w:val="28"/>
          <w:szCs w:val="28"/>
          <w:highlight w:val="none"/>
          <w:lang w:val="en-US"/>
        </w:rPr>
        <w:t>ADm</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核算和报告期内消耗的第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种化石燃料的活动数据，单位为吉焦（</w:t>
      </w:r>
      <w:r>
        <w:rPr>
          <w:rFonts w:hint="default" w:ascii="Times New Roman" w:hAnsi="Times New Roman" w:cs="Times New Roman"/>
          <w:sz w:val="28"/>
          <w:szCs w:val="28"/>
          <w:highlight w:val="none"/>
          <w:lang w:val="en-US"/>
        </w:rPr>
        <w:t>GJ</w:t>
      </w:r>
      <w:r>
        <w:rPr>
          <w:rFonts w:hint="default" w:ascii="Times New Roman" w:hAnsi="Times New Roman" w:cs="Times New Roman"/>
          <w:sz w:val="28"/>
          <w:szCs w:val="28"/>
          <w:highlight w:val="none"/>
          <w:lang w:eastAsia="zh-CN"/>
        </w:rPr>
        <w:t>）；</w:t>
      </w:r>
    </w:p>
    <w:p w14:paraId="6E5D1774">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 xml:space="preserve">EFm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种化石燃料的二氧化碳排放因子，单位为吨二氧化碳每吉焦（</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2e</w:t>
      </w:r>
      <w:r>
        <w:rPr>
          <w:rFonts w:hint="default" w:ascii="Times New Roman" w:hAnsi="Times New Roman" w:cs="Times New Roman"/>
          <w:sz w:val="28"/>
          <w:szCs w:val="28"/>
          <w:highlight w:val="none"/>
          <w:lang w:val="en-US"/>
        </w:rPr>
        <w:t>/GJ</w:t>
      </w:r>
      <w:r>
        <w:rPr>
          <w:rFonts w:hint="default" w:ascii="Times New Roman" w:hAnsi="Times New Roman" w:cs="Times New Roman"/>
          <w:sz w:val="28"/>
          <w:szCs w:val="28"/>
          <w:highlight w:val="none"/>
          <w:lang w:eastAsia="zh-CN"/>
        </w:rPr>
        <w:t>）；</w:t>
      </w:r>
    </w:p>
    <w:p w14:paraId="3301E6D2">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 xml:space="preserve">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化石燃料种类。</w:t>
      </w:r>
    </w:p>
    <w:p w14:paraId="2666F2A2">
      <w:pPr>
        <w:pStyle w:val="69"/>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宋体" w:cs="Times New Roman"/>
          <w:position w:val="-5"/>
          <w:sz w:val="28"/>
          <w:szCs w:val="28"/>
          <w:highlight w:val="none"/>
          <w:lang w:val="en-US" w:eastAsia="zh-CN" w:bidi="ar"/>
        </w:rPr>
        <w:drawing>
          <wp:inline distT="0" distB="0" distL="114300" distR="114300">
            <wp:extent cx="1171575" cy="152400"/>
            <wp:effectExtent l="0" t="0" r="9525"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171575" cy="1524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val="en-US"/>
        </w:rPr>
        <w:fldChar w:fldCharType="end"/>
      </w:r>
      <w:r>
        <w:rPr>
          <w:rFonts w:hint="default" w:ascii="Times New Roman" w:hAnsi="Times New Roman" w:cs="Times New Roman"/>
          <w:sz w:val="28"/>
          <w:szCs w:val="28"/>
          <w:highlight w:val="none"/>
          <w:lang w:eastAsia="zh-CN"/>
        </w:rPr>
        <w:t>）</w:t>
      </w:r>
    </w:p>
    <w:p w14:paraId="6631D403">
      <w:pPr>
        <w:pStyle w:val="6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072A3D0D">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NCV</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种化石燃料的平均低位发热量。对于固体和液体燃料，单位为吉焦每吨（</w:t>
      </w:r>
      <w:r>
        <w:rPr>
          <w:rFonts w:hint="default" w:ascii="Times New Roman" w:hAnsi="Times New Roman" w:cs="Times New Roman"/>
          <w:sz w:val="28"/>
          <w:szCs w:val="28"/>
          <w:highlight w:val="none"/>
          <w:lang w:val="en-US"/>
        </w:rPr>
        <w:t>GJ/t</w:t>
      </w:r>
      <w:r>
        <w:rPr>
          <w:rFonts w:hint="default" w:ascii="Times New Roman" w:hAnsi="Times New Roman" w:cs="Times New Roman"/>
          <w:sz w:val="28"/>
          <w:szCs w:val="28"/>
          <w:highlight w:val="none"/>
          <w:lang w:eastAsia="zh-CN"/>
        </w:rPr>
        <w:t>）；对于气体燃料，单位为吉焦每万标立方米（</w:t>
      </w:r>
      <w:r>
        <w:rPr>
          <w:rFonts w:hint="default" w:ascii="Times New Roman" w:hAnsi="Times New Roman" w:cs="Times New Roman"/>
          <w:sz w:val="28"/>
          <w:szCs w:val="28"/>
          <w:highlight w:val="none"/>
          <w:lang w:val="en-US"/>
        </w:rPr>
        <w:t>GJ/10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w:t>
      </w:r>
    </w:p>
    <w:p w14:paraId="4B3CF0DC">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FC</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种化石燃料的净消耗量。对于固体和液体燃料，单位为吨（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）；对于气体燃料，单位为万标立方米（</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w:t>
      </w:r>
    </w:p>
    <w:p w14:paraId="50928E76">
      <w:pPr>
        <w:pStyle w:val="69"/>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宋体" w:cs="Times New Roman"/>
          <w:position w:val="-11"/>
          <w:sz w:val="28"/>
          <w:szCs w:val="28"/>
          <w:highlight w:val="none"/>
          <w:lang w:val="en-US" w:eastAsia="zh-CN" w:bidi="ar"/>
        </w:rPr>
        <w:drawing>
          <wp:inline distT="0" distB="0" distL="114300" distR="114300">
            <wp:extent cx="1314450" cy="228600"/>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314450" cy="2286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val="en-US"/>
        </w:rPr>
        <w:fldChar w:fldCharType="end"/>
      </w:r>
      <w:r>
        <w:rPr>
          <w:rFonts w:hint="default" w:ascii="Times New Roman" w:hAnsi="Times New Roman" w:cs="Times New Roman"/>
          <w:sz w:val="28"/>
          <w:szCs w:val="28"/>
          <w:highlight w:val="none"/>
          <w:lang w:eastAsia="zh-CN"/>
        </w:rPr>
        <w:t>）</w:t>
      </w:r>
    </w:p>
    <w:p w14:paraId="6BD5ED4C">
      <w:pPr>
        <w:pStyle w:val="6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508A4D45">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CCm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种化石燃料的单位热值含碳量，单位为吨二氧化碳每吉焦（</w:t>
      </w:r>
      <w:r>
        <w:rPr>
          <w:rFonts w:hint="default" w:ascii="Times New Roman" w:hAnsi="Times New Roman" w:cs="Times New Roman"/>
          <w:sz w:val="28"/>
          <w:szCs w:val="28"/>
          <w:highlight w:val="none"/>
          <w:lang w:val="en-US"/>
        </w:rPr>
        <w:t>tCO2e/GJ</w:t>
      </w:r>
      <w:r>
        <w:rPr>
          <w:rFonts w:hint="default" w:ascii="Times New Roman" w:hAnsi="Times New Roman" w:cs="Times New Roman"/>
          <w:sz w:val="28"/>
          <w:szCs w:val="28"/>
          <w:highlight w:val="none"/>
          <w:lang w:eastAsia="zh-CN"/>
        </w:rPr>
        <w:t xml:space="preserve">）； </w:t>
      </w:r>
    </w:p>
    <w:p w14:paraId="24926AA9">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OFm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种化石燃料的碳氧化率，</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 xml:space="preserve">； </w:t>
      </w:r>
    </w:p>
    <w:p w14:paraId="04BD88AB">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position w:val="-11"/>
          <w:sz w:val="28"/>
          <w:szCs w:val="28"/>
          <w:highlight w:val="none"/>
          <w:lang w:val="en-US" w:eastAsia="zh-CN" w:bidi="ar"/>
        </w:rPr>
        <w:drawing>
          <wp:inline distT="0" distB="0" distL="114300" distR="114300">
            <wp:extent cx="114300" cy="2286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14300" cy="228600"/>
                    </a:xfrm>
                    <a:prstGeom prst="rect">
                      <a:avLst/>
                    </a:prstGeom>
                    <a:noFill/>
                    <a:ln>
                      <a:noFill/>
                    </a:ln>
                  </pic:spPr>
                </pic:pic>
              </a:graphicData>
            </a:graphic>
          </wp:inline>
        </w:drawing>
      </w:r>
      <w:r>
        <w:rPr>
          <w:rFonts w:hint="default" w:ascii="Times New Roman" w:hAnsi="Times New Roman" w:cs="Times New Roman"/>
          <w:kern w:val="2"/>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二氧化碳与碳的相对分子质量之比。</w:t>
      </w:r>
    </w:p>
    <w:p w14:paraId="4160F69E">
      <w:pPr>
        <w:pStyle w:val="75"/>
        <w:widowControl/>
        <w:numPr>
          <w:ilvl w:val="4"/>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活动数据获取 </w:t>
      </w:r>
    </w:p>
    <w:p w14:paraId="4B5B1DE9">
      <w:pPr>
        <w:pStyle w:val="73"/>
        <w:widowControl/>
        <w:numPr>
          <w:ilvl w:val="5"/>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各种化石燃料的消耗量应根据核算和报告期内生产所消耗的计量数据来确定。燃煤消耗量采用每批 次进厂煤计量数据。燃油、燃气消耗量应至少每月测量。对于报告主体自行开展煤制水煤气和</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或煤制水 煤浆的，应按对应购入的各类煤的消耗量统计并计算碳排放量。</w:t>
      </w:r>
    </w:p>
    <w:p w14:paraId="352BD630">
      <w:pPr>
        <w:pStyle w:val="73"/>
        <w:widowControl/>
        <w:numPr>
          <w:ilvl w:val="5"/>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企业应按</w:t>
      </w:r>
      <w:r>
        <w:rPr>
          <w:rFonts w:hint="default" w:ascii="Times New Roman" w:hAnsi="Times New Roman" w:cs="Times New Roman"/>
          <w:sz w:val="28"/>
          <w:szCs w:val="28"/>
          <w:highlight w:val="none"/>
          <w:lang w:val="en-US"/>
        </w:rPr>
        <w:t>GB/T 213</w:t>
      </w:r>
      <w:r>
        <w:rPr>
          <w:rFonts w:hint="default" w:ascii="Times New Roman" w:hAnsi="Times New Roman" w:cs="Times New Roman"/>
          <w:sz w:val="28"/>
          <w:szCs w:val="28"/>
          <w:highlight w:val="none"/>
          <w:lang w:eastAsia="zh-CN"/>
        </w:rPr>
        <w:t>对每批次进厂燃煤低位发热量进行检测，燃煤月度平均低位发热量数值采用每批 次检测数据加权计算得到，权重为每批次煤量，并与对应的消耗状态保持一致。当某批次燃煤低位发热量无实测或测定方法不符合要求时，该批次燃煤低位发热量宜采用附录</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lang w:eastAsia="zh-CN"/>
        </w:rPr>
        <w:t>表</w:t>
      </w:r>
      <w:r>
        <w:rPr>
          <w:rFonts w:hint="default" w:ascii="Times New Roman" w:hAnsi="Times New Roman" w:cs="Times New Roman"/>
          <w:sz w:val="28"/>
          <w:szCs w:val="28"/>
          <w:highlight w:val="none"/>
          <w:lang w:val="en-US"/>
        </w:rPr>
        <w:t>B.1</w:t>
      </w:r>
      <w:r>
        <w:rPr>
          <w:rFonts w:hint="default" w:ascii="Times New Roman" w:hAnsi="Times New Roman" w:cs="Times New Roman"/>
          <w:sz w:val="28"/>
          <w:szCs w:val="28"/>
          <w:highlight w:val="none"/>
          <w:lang w:eastAsia="zh-CN"/>
        </w:rPr>
        <w:t>提供的缺省值。</w:t>
      </w:r>
    </w:p>
    <w:p w14:paraId="2A953D02">
      <w:pPr>
        <w:pStyle w:val="73"/>
        <w:widowControl/>
        <w:numPr>
          <w:ilvl w:val="5"/>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燃油和燃气的低位发热量应按照</w:t>
      </w:r>
      <w:r>
        <w:rPr>
          <w:rFonts w:hint="default" w:ascii="Times New Roman" w:hAnsi="Times New Roman" w:cs="Times New Roman"/>
          <w:sz w:val="28"/>
          <w:szCs w:val="28"/>
          <w:highlight w:val="none"/>
          <w:lang w:val="en-US"/>
        </w:rPr>
        <w:t>GB/T 384</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22723</w:t>
      </w:r>
      <w:r>
        <w:rPr>
          <w:rFonts w:hint="default" w:ascii="Times New Roman" w:hAnsi="Times New Roman" w:cs="Times New Roman"/>
          <w:sz w:val="28"/>
          <w:szCs w:val="28"/>
          <w:highlight w:val="none"/>
          <w:lang w:eastAsia="zh-CN"/>
        </w:rPr>
        <w:t>检测，不具备实测条件的宜采用附录</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lang w:eastAsia="zh-CN"/>
        </w:rPr>
        <w:t>表</w:t>
      </w:r>
      <w:r>
        <w:rPr>
          <w:rFonts w:hint="default" w:ascii="Times New Roman" w:hAnsi="Times New Roman" w:cs="Times New Roman"/>
          <w:sz w:val="28"/>
          <w:szCs w:val="28"/>
          <w:highlight w:val="none"/>
          <w:lang w:val="en-US"/>
        </w:rPr>
        <w:t>B.1</w:t>
      </w:r>
      <w:r>
        <w:rPr>
          <w:rFonts w:hint="default" w:ascii="Times New Roman" w:hAnsi="Times New Roman" w:cs="Times New Roman"/>
          <w:sz w:val="28"/>
          <w:szCs w:val="28"/>
          <w:highlight w:val="none"/>
          <w:lang w:eastAsia="zh-CN"/>
        </w:rPr>
        <w:t>提供的缺省值。</w:t>
      </w:r>
    </w:p>
    <w:p w14:paraId="2D6416BB">
      <w:pPr>
        <w:pStyle w:val="75"/>
        <w:widowControl/>
        <w:numPr>
          <w:ilvl w:val="4"/>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排放因子数据获取 </w:t>
      </w:r>
    </w:p>
    <w:p w14:paraId="0B75493B">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企业可采用附录</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lang w:eastAsia="zh-CN"/>
        </w:rPr>
        <w:t>表</w:t>
      </w:r>
      <w:r>
        <w:rPr>
          <w:rFonts w:hint="default" w:ascii="Times New Roman" w:hAnsi="Times New Roman" w:cs="Times New Roman"/>
          <w:sz w:val="28"/>
          <w:szCs w:val="28"/>
          <w:highlight w:val="none"/>
          <w:lang w:val="en-US"/>
        </w:rPr>
        <w:t>B.1</w:t>
      </w:r>
      <w:r>
        <w:rPr>
          <w:rFonts w:hint="default" w:ascii="Times New Roman" w:hAnsi="Times New Roman" w:cs="Times New Roman"/>
          <w:sz w:val="28"/>
          <w:szCs w:val="28"/>
          <w:highlight w:val="none"/>
          <w:lang w:eastAsia="zh-CN"/>
        </w:rPr>
        <w:t>中的单位热值含碳量和碳氧化率缺省值。</w:t>
      </w:r>
    </w:p>
    <w:p w14:paraId="5B371B92">
      <w:pPr>
        <w:pStyle w:val="70"/>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过程排放</w:t>
      </w:r>
    </w:p>
    <w:p w14:paraId="1EF96DC3">
      <w:pPr>
        <w:pStyle w:val="75"/>
        <w:widowControl/>
        <w:numPr>
          <w:ilvl w:val="4"/>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计算公式</w:t>
      </w:r>
    </w:p>
    <w:p w14:paraId="3583430D">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生产过程中二氧化碳气体保护焊产生的碳排放量按公式（</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）计算；其中</w:t>
      </w:r>
      <w:r>
        <w:rPr>
          <w:rFonts w:hint="default" w:ascii="Times New Roman" w:hAnsi="Times New Roman" w:cs="Times New Roman"/>
          <w:i/>
          <w:iCs/>
          <w:sz w:val="28"/>
          <w:szCs w:val="28"/>
          <w:highlight w:val="none"/>
          <w:lang w:val="en-US"/>
        </w:rPr>
        <w:t>W</w:t>
      </w:r>
      <w:r>
        <w:rPr>
          <w:rFonts w:hint="default" w:ascii="Times New Roman" w:hAnsi="Times New Roman" w:cs="Times New Roman"/>
          <w:i/>
          <w:iCs/>
          <w:sz w:val="28"/>
          <w:szCs w:val="28"/>
          <w:highlight w:val="none"/>
          <w:vertAlign w:val="subscript"/>
          <w:lang w:val="en-US"/>
        </w:rPr>
        <w:t>i</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7</w:t>
      </w:r>
      <w:r>
        <w:rPr>
          <w:rFonts w:hint="default" w:ascii="Times New Roman" w:hAnsi="Times New Roman" w:cs="Times New Roman"/>
          <w:sz w:val="28"/>
          <w:szCs w:val="28"/>
          <w:highlight w:val="none"/>
          <w:lang w:eastAsia="zh-CN"/>
        </w:rPr>
        <w:t>）计算：</w:t>
      </w:r>
    </w:p>
    <w:p w14:paraId="1284F375">
      <w:pPr>
        <w:pStyle w:val="69"/>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宋体" w:cs="Times New Roman"/>
          <w:position w:val="-5"/>
          <w:sz w:val="28"/>
          <w:szCs w:val="28"/>
          <w:highlight w:val="none"/>
          <w:lang w:val="en-US" w:eastAsia="zh-CN" w:bidi="ar"/>
        </w:rPr>
        <w:drawing>
          <wp:inline distT="0" distB="0" distL="114300" distR="114300">
            <wp:extent cx="819150" cy="161925"/>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819150" cy="1619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val="en-US"/>
        </w:rPr>
        <w:fldChar w:fldCharType="end"/>
      </w:r>
      <w:r>
        <w:rPr>
          <w:rFonts w:hint="default" w:ascii="Times New Roman" w:hAnsi="Times New Roman" w:cs="Times New Roman"/>
          <w:sz w:val="28"/>
          <w:szCs w:val="28"/>
          <w:highlight w:val="none"/>
          <w:lang w:eastAsia="zh-CN"/>
        </w:rPr>
        <w:t>）</w:t>
      </w:r>
    </w:p>
    <w:p w14:paraId="7DC5B8B4">
      <w:pPr>
        <w:pStyle w:val="69"/>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宋体" w:cs="Times New Roman"/>
          <w:position w:val="-18"/>
          <w:sz w:val="28"/>
          <w:szCs w:val="28"/>
          <w:highlight w:val="none"/>
          <w:lang w:val="en-US" w:eastAsia="zh-CN" w:bidi="ar"/>
        </w:rPr>
        <w:drawing>
          <wp:inline distT="0" distB="0" distL="114300" distR="114300">
            <wp:extent cx="1123950" cy="2667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1123950" cy="2667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val="en-US"/>
        </w:rPr>
        <w:fldChar w:fldCharType="end"/>
      </w:r>
      <w:r>
        <w:rPr>
          <w:rFonts w:hint="default" w:ascii="Times New Roman" w:hAnsi="Times New Roman" w:cs="Times New Roman"/>
          <w:sz w:val="28"/>
          <w:szCs w:val="28"/>
          <w:highlight w:val="none"/>
          <w:lang w:eastAsia="zh-CN"/>
        </w:rPr>
        <w:t>）</w:t>
      </w:r>
    </w:p>
    <w:p w14:paraId="7C6F83A9">
      <w:pPr>
        <w:pStyle w:val="6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0FA3E6FD">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lang w:val="en-US"/>
        </w:rPr>
        <w:t>WD——</w:t>
      </w:r>
      <w:r>
        <w:rPr>
          <w:rFonts w:hint="default" w:ascii="Times New Roman" w:hAnsi="Times New Roman" w:cs="Times New Roman"/>
          <w:sz w:val="28"/>
          <w:szCs w:val="28"/>
          <w:highlight w:val="none"/>
          <w:lang w:eastAsia="zh-CN"/>
        </w:rPr>
        <w:t>二氧化碳气体保护焊产生的碳排放量，单位为吨二氧化碳当量（</w:t>
      </w:r>
      <w:r>
        <w:rPr>
          <w:rFonts w:hint="default" w:ascii="Times New Roman" w:hAnsi="Times New Roman" w:cs="Times New Roman"/>
          <w:sz w:val="28"/>
          <w:szCs w:val="28"/>
          <w:highlight w:val="none"/>
          <w:lang w:val="en-US"/>
        </w:rPr>
        <w:t>tCO2e</w:t>
      </w:r>
      <w:r>
        <w:rPr>
          <w:rFonts w:hint="default" w:ascii="Times New Roman" w:hAnsi="Times New Roman" w:cs="Times New Roman"/>
          <w:sz w:val="28"/>
          <w:szCs w:val="28"/>
          <w:highlight w:val="none"/>
          <w:lang w:eastAsia="zh-CN"/>
        </w:rPr>
        <w:t>）；</w:t>
      </w:r>
    </w:p>
    <w:p w14:paraId="644D6EB7">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Ei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w:t>
      </w:r>
      <w:r>
        <w:rPr>
          <w:rFonts w:hint="default" w:ascii="Times New Roman" w:hAnsi="Times New Roman" w:cs="Times New Roman"/>
          <w:sz w:val="28"/>
          <w:szCs w:val="28"/>
          <w:highlight w:val="none"/>
          <w:lang w:val="en-US"/>
        </w:rPr>
        <w:t>CO2</w:t>
      </w:r>
      <w:r>
        <w:rPr>
          <w:rFonts w:hint="default" w:ascii="Times New Roman" w:hAnsi="Times New Roman" w:cs="Times New Roman"/>
          <w:sz w:val="28"/>
          <w:szCs w:val="28"/>
          <w:highlight w:val="none"/>
          <w:lang w:eastAsia="zh-CN"/>
        </w:rPr>
        <w:t>排放量，单位为吨二氧化碳当量（</w:t>
      </w:r>
      <w:r>
        <w:rPr>
          <w:rFonts w:hint="default" w:ascii="Times New Roman" w:hAnsi="Times New Roman" w:cs="Times New Roman"/>
          <w:sz w:val="28"/>
          <w:szCs w:val="28"/>
          <w:highlight w:val="none"/>
          <w:lang w:val="en-US"/>
        </w:rPr>
        <w:t>tCO2e</w:t>
      </w:r>
      <w:r>
        <w:rPr>
          <w:rFonts w:hint="default" w:ascii="Times New Roman" w:hAnsi="Times New Roman" w:cs="Times New Roman"/>
          <w:sz w:val="28"/>
          <w:szCs w:val="28"/>
          <w:highlight w:val="none"/>
          <w:lang w:eastAsia="zh-CN"/>
        </w:rPr>
        <w:t>）；</w:t>
      </w:r>
    </w:p>
    <w:p w14:paraId="2F15176F">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Wi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报告期内第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种保护气的净使用量，单位为吨（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w:t>
      </w:r>
    </w:p>
    <w:p w14:paraId="3D70EAD3">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Pi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种保护气中</w:t>
      </w:r>
      <w:r>
        <w:rPr>
          <w:rFonts w:hint="default" w:ascii="Times New Roman" w:hAnsi="Times New Roman" w:cs="Times New Roman"/>
          <w:sz w:val="28"/>
          <w:szCs w:val="28"/>
          <w:highlight w:val="none"/>
          <w:lang w:val="en-US"/>
        </w:rPr>
        <w:t>CO2</w:t>
      </w:r>
      <w:r>
        <w:rPr>
          <w:rFonts w:hint="default" w:ascii="Times New Roman" w:hAnsi="Times New Roman" w:cs="Times New Roman"/>
          <w:sz w:val="28"/>
          <w:szCs w:val="28"/>
          <w:highlight w:val="none"/>
          <w:lang w:eastAsia="zh-CN"/>
        </w:rPr>
        <w:t>的体积百分比，</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p>
    <w:p w14:paraId="2EFC7B2D">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Pj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混合气体中第</w:t>
      </w:r>
      <w:r>
        <w:rPr>
          <w:rFonts w:hint="default" w:ascii="Times New Roman" w:hAnsi="Times New Roman" w:cs="Times New Roman"/>
          <w:i/>
          <w:iCs/>
          <w:sz w:val="28"/>
          <w:szCs w:val="28"/>
          <w:highlight w:val="none"/>
          <w:lang w:val="en-US"/>
        </w:rPr>
        <w:t>j</w:t>
      </w:r>
      <w:r>
        <w:rPr>
          <w:rFonts w:hint="default" w:ascii="Times New Roman" w:hAnsi="Times New Roman" w:cs="Times New Roman"/>
          <w:sz w:val="28"/>
          <w:szCs w:val="28"/>
          <w:highlight w:val="none"/>
          <w:lang w:eastAsia="zh-CN"/>
        </w:rPr>
        <w:t>种气体的体积百分比，</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p>
    <w:p w14:paraId="177EB10F">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Mj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混合气体中第</w:t>
      </w:r>
      <w:r>
        <w:rPr>
          <w:rFonts w:hint="default" w:ascii="Times New Roman" w:hAnsi="Times New Roman" w:cs="Times New Roman"/>
          <w:i/>
          <w:iCs/>
          <w:sz w:val="28"/>
          <w:szCs w:val="28"/>
          <w:highlight w:val="none"/>
          <w:lang w:val="en-US"/>
        </w:rPr>
        <w:t>j</w:t>
      </w:r>
      <w:r>
        <w:rPr>
          <w:rFonts w:hint="default" w:ascii="Times New Roman" w:hAnsi="Times New Roman" w:cs="Times New Roman"/>
          <w:sz w:val="28"/>
          <w:szCs w:val="28"/>
          <w:highlight w:val="none"/>
          <w:lang w:eastAsia="zh-CN"/>
        </w:rPr>
        <w:t>种气体的摩尔质量，单位为克每摩尔（</w:t>
      </w:r>
      <w:r>
        <w:rPr>
          <w:rFonts w:hint="default" w:ascii="Times New Roman" w:hAnsi="Times New Roman" w:cs="Times New Roman"/>
          <w:sz w:val="28"/>
          <w:szCs w:val="28"/>
          <w:highlight w:val="none"/>
          <w:lang w:val="en-US"/>
        </w:rPr>
        <w:t>g/mol</w:t>
      </w:r>
      <w:r>
        <w:rPr>
          <w:rFonts w:hint="default" w:ascii="Times New Roman" w:hAnsi="Times New Roman" w:cs="Times New Roman"/>
          <w:sz w:val="28"/>
          <w:szCs w:val="28"/>
          <w:highlight w:val="none"/>
          <w:lang w:eastAsia="zh-CN"/>
        </w:rPr>
        <w:t>）；</w:t>
      </w:r>
    </w:p>
    <w:p w14:paraId="685F8203">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保护气类型；</w:t>
      </w:r>
    </w:p>
    <w:p w14:paraId="4194A628">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j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混合保护气气体种类。</w:t>
      </w:r>
    </w:p>
    <w:p w14:paraId="6924AFD7">
      <w:pPr>
        <w:pStyle w:val="69"/>
        <w:widowControl/>
        <w:spacing w:before="240" w:beforeLines="100" w:beforeAutospacing="0"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宋体" w:cs="Times New Roman"/>
          <w:position w:val="-5"/>
          <w:sz w:val="28"/>
          <w:szCs w:val="28"/>
          <w:highlight w:val="none"/>
          <w:lang w:val="en-US" w:eastAsia="zh-CN" w:bidi="ar"/>
        </w:rPr>
        <w:drawing>
          <wp:inline distT="0" distB="0" distL="114300" distR="114300">
            <wp:extent cx="1524000" cy="1524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1524000" cy="1524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val="en-US"/>
        </w:rPr>
        <w:fldChar w:fldCharType="end"/>
      </w:r>
      <w:r>
        <w:rPr>
          <w:rFonts w:hint="default" w:ascii="Times New Roman" w:hAnsi="Times New Roman" w:cs="Times New Roman"/>
          <w:sz w:val="28"/>
          <w:szCs w:val="28"/>
          <w:highlight w:val="none"/>
          <w:lang w:eastAsia="zh-CN"/>
        </w:rPr>
        <w:t>）</w:t>
      </w:r>
    </w:p>
    <w:p w14:paraId="4A220515">
      <w:pPr>
        <w:pStyle w:val="6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576FDA6B">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Wi</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种保护气体的使用量，单位为吨（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6B8B063A">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IBi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种保护气的期初库存量，单位为吨（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4908D4BB">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IEi</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报告期内第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种保护气的购入量，单位为吨（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55F20481">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ACi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种保护气的期末库存量，单位为吨（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3C6B23D6">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DIi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报告期内第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种保护气的售出量，单位为吨（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3924CBB3">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含二氧化碳的电焊保护气体种类。</w:t>
      </w:r>
    </w:p>
    <w:p w14:paraId="6D040361">
      <w:pPr>
        <w:pStyle w:val="75"/>
        <w:widowControl/>
        <w:numPr>
          <w:ilvl w:val="4"/>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活动数据获取 </w:t>
      </w:r>
    </w:p>
    <w:p w14:paraId="064A480A">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保护气的期初库存量、期末库存量取自企业的台账记录，购入量、售出量采用结算凭证数据。其他参数可见保护气瓶标识，或由保护气供应商提供。 </w:t>
      </w:r>
    </w:p>
    <w:p w14:paraId="3E89940C">
      <w:pPr>
        <w:pStyle w:val="70"/>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购入电力和热力产生的排放 </w:t>
      </w:r>
    </w:p>
    <w:p w14:paraId="6ADA36D3">
      <w:pPr>
        <w:pStyle w:val="75"/>
        <w:widowControl/>
        <w:numPr>
          <w:ilvl w:val="4"/>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计算公式 </w:t>
      </w:r>
    </w:p>
    <w:p w14:paraId="5A4E9661">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报告主体购入电力生产产生的碳排放量按公式（</w:t>
      </w:r>
      <w:r>
        <w:rPr>
          <w:rFonts w:hint="default" w:ascii="Times New Roman" w:hAnsi="Times New Roman" w:cs="Times New Roman"/>
          <w:sz w:val="28"/>
          <w:szCs w:val="28"/>
          <w:highlight w:val="none"/>
          <w:lang w:val="en-US"/>
        </w:rPr>
        <w:t>8</w:t>
      </w:r>
      <w:r>
        <w:rPr>
          <w:rFonts w:hint="default" w:ascii="Times New Roman" w:hAnsi="Times New Roman" w:cs="Times New Roman"/>
          <w:sz w:val="28"/>
          <w:szCs w:val="28"/>
          <w:highlight w:val="none"/>
          <w:lang w:eastAsia="zh-CN"/>
        </w:rPr>
        <w:t>）计算：</w:t>
      </w:r>
    </w:p>
    <w:p w14:paraId="2A022BBE">
      <w:pPr>
        <w:pStyle w:val="6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宋体" w:cs="Times New Roman"/>
          <w:position w:val="-12"/>
          <w:sz w:val="28"/>
          <w:szCs w:val="28"/>
          <w:highlight w:val="none"/>
          <w:lang w:val="en-US" w:eastAsia="zh-CN" w:bidi="ar"/>
        </w:rPr>
        <w:drawing>
          <wp:inline distT="0" distB="0" distL="114300" distR="114300">
            <wp:extent cx="1438275" cy="200025"/>
            <wp:effectExtent l="0" t="0" r="9525"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43827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val="en-US"/>
        </w:rPr>
        <w:fldChar w:fldCharType="end"/>
      </w:r>
      <w:r>
        <w:rPr>
          <w:rFonts w:hint="default" w:ascii="Times New Roman" w:hAnsi="Times New Roman" w:cs="Times New Roman"/>
          <w:sz w:val="28"/>
          <w:szCs w:val="28"/>
          <w:highlight w:val="none"/>
          <w:lang w:eastAsia="zh-CN"/>
        </w:rPr>
        <w:t>）</w:t>
      </w:r>
    </w:p>
    <w:p w14:paraId="7A0ACD7D">
      <w:pPr>
        <w:pStyle w:val="6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77563B67">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lang w:eastAsia="zh-CN"/>
        </w:rPr>
        <w:t>购入电</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购入电力生产产生的碳排放量，单位为吨二氧化碳当量（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 xml:space="preserve">）； </w:t>
      </w:r>
    </w:p>
    <w:p w14:paraId="23F308D1">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AD</w:t>
      </w:r>
      <w:r>
        <w:rPr>
          <w:rFonts w:hint="default" w:ascii="Times New Roman" w:hAnsi="Times New Roman" w:cs="Times New Roman"/>
          <w:sz w:val="28"/>
          <w:szCs w:val="28"/>
          <w:highlight w:val="none"/>
          <w:lang w:eastAsia="zh-CN"/>
        </w:rPr>
        <w:t>购入电</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核算和报告期内购入电量，单位为兆瓦时（</w:t>
      </w:r>
      <w:r>
        <w:rPr>
          <w:rFonts w:hint="default" w:ascii="Times New Roman" w:hAnsi="Times New Roman" w:cs="Times New Roman"/>
          <w:sz w:val="28"/>
          <w:szCs w:val="28"/>
          <w:highlight w:val="none"/>
          <w:lang w:val="en-US"/>
        </w:rPr>
        <w:t>MW·h</w:t>
      </w:r>
      <w:r>
        <w:rPr>
          <w:rFonts w:hint="default" w:ascii="Times New Roman" w:hAnsi="Times New Roman" w:cs="Times New Roman"/>
          <w:sz w:val="28"/>
          <w:szCs w:val="28"/>
          <w:highlight w:val="none"/>
          <w:lang w:eastAsia="zh-CN"/>
        </w:rPr>
        <w:t xml:space="preserve">）； </w:t>
      </w:r>
    </w:p>
    <w:p w14:paraId="7FA2F68D">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EF</w:t>
      </w:r>
      <w:r>
        <w:rPr>
          <w:rFonts w:hint="default" w:ascii="Times New Roman" w:hAnsi="Times New Roman" w:cs="Times New Roman"/>
          <w:sz w:val="28"/>
          <w:szCs w:val="28"/>
          <w:highlight w:val="none"/>
          <w:lang w:eastAsia="zh-CN"/>
        </w:rPr>
        <w:t>电</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全国电网年平均供电排放因子</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单位为吨二氧化碳每兆瓦时</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MW·h</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p>
    <w:p w14:paraId="74A87E47">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报告主体购入热力生产产生的碳排放量按公式（</w:t>
      </w:r>
      <w:r>
        <w:rPr>
          <w:rFonts w:hint="default" w:ascii="Times New Roman" w:hAnsi="Times New Roman" w:cs="Times New Roman"/>
          <w:sz w:val="28"/>
          <w:szCs w:val="28"/>
          <w:highlight w:val="none"/>
          <w:lang w:val="en-US"/>
        </w:rPr>
        <w:t>9</w:t>
      </w:r>
      <w:r>
        <w:rPr>
          <w:rFonts w:hint="default" w:ascii="Times New Roman" w:hAnsi="Times New Roman" w:cs="Times New Roman"/>
          <w:sz w:val="28"/>
          <w:szCs w:val="28"/>
          <w:highlight w:val="none"/>
          <w:lang w:eastAsia="zh-CN"/>
        </w:rPr>
        <w:t>）计算：</w:t>
      </w:r>
    </w:p>
    <w:p w14:paraId="04D1E333">
      <w:pPr>
        <w:pStyle w:val="69"/>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宋体" w:cs="Times New Roman"/>
          <w:position w:val="-12"/>
          <w:sz w:val="28"/>
          <w:szCs w:val="28"/>
          <w:highlight w:val="none"/>
          <w:lang w:val="en-US" w:eastAsia="zh-CN" w:bidi="ar"/>
        </w:rPr>
        <w:drawing>
          <wp:inline distT="0" distB="0" distL="114300" distR="114300">
            <wp:extent cx="1438275" cy="200025"/>
            <wp:effectExtent l="0" t="0" r="9525"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143827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val="en-US"/>
        </w:rPr>
        <w:fldChar w:fldCharType="end"/>
      </w:r>
      <w:r>
        <w:rPr>
          <w:rFonts w:hint="default" w:ascii="Times New Roman" w:hAnsi="Times New Roman" w:cs="Times New Roman"/>
          <w:sz w:val="28"/>
          <w:szCs w:val="28"/>
          <w:highlight w:val="none"/>
          <w:lang w:eastAsia="zh-CN"/>
        </w:rPr>
        <w:t>）</w:t>
      </w:r>
    </w:p>
    <w:p w14:paraId="526F2E0C">
      <w:pPr>
        <w:pStyle w:val="6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58C2D022">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lang w:eastAsia="zh-CN"/>
        </w:rPr>
        <w:t>购入热</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购入热力生产产生的碳排放量，单位为吨二氧化碳当量（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 xml:space="preserve">）； </w:t>
      </w:r>
    </w:p>
    <w:p w14:paraId="6775C4A0">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AD</w:t>
      </w:r>
      <w:r>
        <w:rPr>
          <w:rFonts w:hint="default" w:ascii="Times New Roman" w:hAnsi="Times New Roman" w:cs="Times New Roman"/>
          <w:sz w:val="28"/>
          <w:szCs w:val="28"/>
          <w:highlight w:val="none"/>
          <w:lang w:eastAsia="zh-CN"/>
        </w:rPr>
        <w:t>购入热</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核算和报告期内购入热量，单位为吉焦（</w:t>
      </w:r>
      <w:r>
        <w:rPr>
          <w:rFonts w:hint="default" w:ascii="Times New Roman" w:hAnsi="Times New Roman" w:cs="Times New Roman"/>
          <w:sz w:val="28"/>
          <w:szCs w:val="28"/>
          <w:highlight w:val="none"/>
          <w:lang w:val="en-US"/>
        </w:rPr>
        <w:t>GJ</w:t>
      </w:r>
      <w:r>
        <w:rPr>
          <w:rFonts w:hint="default" w:ascii="Times New Roman" w:hAnsi="Times New Roman" w:cs="Times New Roman"/>
          <w:sz w:val="28"/>
          <w:szCs w:val="28"/>
          <w:highlight w:val="none"/>
          <w:lang w:eastAsia="zh-CN"/>
        </w:rPr>
        <w:t xml:space="preserve">）； </w:t>
      </w:r>
    </w:p>
    <w:p w14:paraId="698297C1">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EF</w:t>
      </w:r>
      <w:r>
        <w:rPr>
          <w:rFonts w:hint="default" w:ascii="Times New Roman" w:hAnsi="Times New Roman" w:cs="Times New Roman"/>
          <w:sz w:val="28"/>
          <w:szCs w:val="28"/>
          <w:highlight w:val="none"/>
          <w:lang w:eastAsia="zh-CN"/>
        </w:rPr>
        <w:t>热</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热力排放因子</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单位为吨二氧化碳每吉焦（</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e/GJ</w:t>
      </w:r>
      <w:r>
        <w:rPr>
          <w:rFonts w:hint="default" w:ascii="Times New Roman" w:hAnsi="Times New Roman" w:cs="Times New Roman"/>
          <w:sz w:val="28"/>
          <w:szCs w:val="28"/>
          <w:highlight w:val="none"/>
          <w:lang w:eastAsia="zh-CN"/>
        </w:rPr>
        <w:t>）。</w:t>
      </w:r>
    </w:p>
    <w:p w14:paraId="0CC62A51">
      <w:pPr>
        <w:pStyle w:val="75"/>
        <w:widowControl/>
        <w:numPr>
          <w:ilvl w:val="4"/>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活动数据获取</w:t>
      </w:r>
    </w:p>
    <w:p w14:paraId="65EAF479">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购入电力和热力数据优先采用企业电表、热力表记录的读数，数据不可得时可采用供应商提供的发票或结算单等结算凭证数据。</w:t>
      </w:r>
    </w:p>
    <w:p w14:paraId="362D62D6">
      <w:pPr>
        <w:pStyle w:val="75"/>
        <w:widowControl/>
        <w:numPr>
          <w:ilvl w:val="4"/>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排放因子获取</w:t>
      </w:r>
    </w:p>
    <w:p w14:paraId="755CC0DD">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全国电网年平均供电排放因子应选用国家主管部门最近年份公布的全国统一的电网平均</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排放因子，热力排放因子优先采用供热单位的实测值。</w:t>
      </w:r>
    </w:p>
    <w:p w14:paraId="25C36D6B">
      <w:pPr>
        <w:pStyle w:val="51"/>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7" w:name="_Toc194506837"/>
      <w:bookmarkStart w:id="38" w:name="_Toc175145891"/>
      <w:bookmarkStart w:id="39" w:name="_Toc194595022"/>
      <w:r>
        <w:rPr>
          <w:rFonts w:hint="default" w:ascii="Times New Roman" w:hAnsi="Times New Roman" w:cs="Times New Roman"/>
          <w:sz w:val="28"/>
          <w:szCs w:val="28"/>
          <w:highlight w:val="none"/>
          <w:lang w:eastAsia="zh-CN"/>
        </w:rPr>
        <w:t>数据质量管理</w:t>
      </w:r>
      <w:bookmarkEnd w:id="37"/>
      <w:bookmarkEnd w:id="38"/>
      <w:bookmarkEnd w:id="39"/>
    </w:p>
    <w:p w14:paraId="1B562175">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报告主体应加强碳排放数据质量管理工作，包括但不限于以下方面：</w:t>
      </w:r>
    </w:p>
    <w:p w14:paraId="0883A65F">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建立企业碳排放核算和报告规章制度，包括负责机构和人员、工作流程和内容、工作周期和时间节点等；指定专职人员负责企业碳排放核算和报告工作；</w:t>
      </w:r>
    </w:p>
    <w:p w14:paraId="0EC1219C">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根据各种类型碳排放源的重要程度对其进行等级划分，并建立企业碳排放源一览表，对于不同等级的排放源的活动数据和排放因子数据的获取提出相应的要求；</w:t>
      </w:r>
    </w:p>
    <w:p w14:paraId="489780C9">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对现有监测条件进行评估</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并制定相应的数据质量控制计划，包括对活动数据的监测和对燃料低位发热量等参数的监测及获取要求；定期对计量器具、检测设备和在线监测仪表进行维护管理，并记录存档；</w:t>
      </w:r>
    </w:p>
    <w:p w14:paraId="53CEB006">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建立健全碳数据记录管理体系，包括数据来源，数据获取时间以及相关责任人等信息的记录管理；</w:t>
      </w:r>
    </w:p>
    <w:p w14:paraId="640E9BA6">
      <w:pPr>
        <w:pStyle w:val="8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建立企业碳排放报告内部审核制度，定期对碳排放数据进行交叉校验，对可能产生的数据误差风险进行识别，并提出相应的解决方案。</w:t>
      </w:r>
    </w:p>
    <w:p w14:paraId="3B47A349">
      <w:pPr>
        <w:pStyle w:val="51"/>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0" w:name="_Toc194595023"/>
      <w:bookmarkStart w:id="41" w:name="_Toc194506838"/>
      <w:bookmarkStart w:id="42" w:name="_Toc175145892"/>
      <w:r>
        <w:rPr>
          <w:rFonts w:hint="default" w:ascii="Times New Roman" w:hAnsi="Times New Roman" w:cs="Times New Roman"/>
          <w:sz w:val="28"/>
          <w:szCs w:val="28"/>
          <w:highlight w:val="none"/>
          <w:lang w:eastAsia="zh-CN"/>
        </w:rPr>
        <w:t>报告</w:t>
      </w:r>
      <w:bookmarkEnd w:id="40"/>
      <w:bookmarkEnd w:id="41"/>
      <w:bookmarkEnd w:id="42"/>
      <w:r>
        <w:rPr>
          <w:rFonts w:hint="eastAsia" w:ascii="Times New Roman" w:cs="Times New Roman"/>
          <w:sz w:val="28"/>
          <w:szCs w:val="28"/>
          <w:highlight w:val="none"/>
          <w:lang w:val="en-US" w:eastAsia="zh-CN"/>
        </w:rPr>
        <w:t>要求</w:t>
      </w:r>
    </w:p>
    <w:p w14:paraId="73386163">
      <w:pPr>
        <w:pStyle w:val="5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通则</w:t>
      </w:r>
    </w:p>
    <w:p w14:paraId="3C9F98B8">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报告内容应包括报告主体基本信息、碳排放量，活动数据及其来源和排放因子及其来源，报告格式见附录</w:t>
      </w:r>
      <w:r>
        <w:rPr>
          <w:rFonts w:hint="default" w:ascii="Times New Roman" w:hAnsi="Times New Roman" w:cs="Times New Roman"/>
          <w:sz w:val="28"/>
          <w:szCs w:val="28"/>
          <w:highlight w:val="none"/>
          <w:lang w:val="en-US"/>
        </w:rPr>
        <w:t>A</w:t>
      </w:r>
      <w:r>
        <w:rPr>
          <w:rFonts w:hint="default" w:ascii="Times New Roman" w:hAnsi="Times New Roman" w:cs="Times New Roman"/>
          <w:sz w:val="28"/>
          <w:szCs w:val="28"/>
          <w:highlight w:val="none"/>
          <w:lang w:eastAsia="zh-CN"/>
        </w:rPr>
        <w:t>。</w:t>
      </w:r>
    </w:p>
    <w:p w14:paraId="768ECA44">
      <w:pPr>
        <w:pStyle w:val="5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报告主体基本信息</w:t>
      </w:r>
    </w:p>
    <w:p w14:paraId="000185F4">
      <w:pPr>
        <w:pStyle w:val="77"/>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报告主体基本信息应包括报告主体名称、单位性质、报告年度、所属行业、排污许可证编号、统一社会信用代码、法定代表人、填报负责人和联系人信息等。</w:t>
      </w:r>
    </w:p>
    <w:p w14:paraId="1CFEF7F2">
      <w:pPr>
        <w:pStyle w:val="77"/>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报告主体基本信息还应包括企业核算边界、主营产品及工艺流程以及排放源识别情况的详细说明（必要时应附表和附图）。</w:t>
      </w:r>
    </w:p>
    <w:p w14:paraId="1496CD32">
      <w:pPr>
        <w:pStyle w:val="5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碳排放量</w:t>
      </w:r>
    </w:p>
    <w:p w14:paraId="111FA69F">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报告主体应报告其在报告年度内碳排放总量，并分别报告化石燃料燃烧排放、过程排放、报告主体购入电力和热力产生的排放。</w:t>
      </w:r>
    </w:p>
    <w:p w14:paraId="45CECFE4">
      <w:pPr>
        <w:pStyle w:val="5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活动数据及其来源</w:t>
      </w:r>
    </w:p>
    <w:p w14:paraId="3D026E3D">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报告主体应报告其在报告年度内所使用的各种化石燃料的消耗量和相应的低位发热量、原料消耗量、原料利用率、购入和输出的电力和热力，并说明这些数据的来源。</w:t>
      </w:r>
    </w:p>
    <w:p w14:paraId="701F9636">
      <w:pPr>
        <w:pStyle w:val="5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排放因子及其来源</w:t>
      </w:r>
    </w:p>
    <w:p w14:paraId="7B4A0728">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报告主体应报告企业在报告年度内用于各种化石燃料的单位热值含碳量和碳氧化率数据、全国电网年平均供电排放因子和热力排放因子。</w:t>
      </w:r>
    </w:p>
    <w:p w14:paraId="71DB4055">
      <w:pPr>
        <w:pStyle w:val="50"/>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其他报告信息</w:t>
      </w:r>
    </w:p>
    <w:p w14:paraId="15F84851">
      <w:pPr>
        <w:pStyle w:val="52"/>
        <w:widowControl/>
        <w:spacing w:line="360" w:lineRule="auto"/>
        <w:ind w:left="0" w:firstLine="420"/>
        <w:rPr>
          <w:rFonts w:hint="default" w:ascii="Times New Roman" w:hAnsi="Times New Roman" w:eastAsia="宋体" w:cs="Times New Roman"/>
          <w:sz w:val="28"/>
          <w:szCs w:val="28"/>
          <w:highlight w:val="none"/>
          <w:lang w:val="en-US" w:eastAsia="zh-CN" w:bidi="ar"/>
        </w:rPr>
        <w:sectPr>
          <w:footerReference r:id="rId4" w:type="default"/>
          <w:pgSz w:w="11906" w:h="16838"/>
          <w:pgMar w:top="1928" w:right="1135" w:bottom="1135" w:left="1135" w:header="1418" w:footer="1135" w:gutter="284"/>
          <w:pgNumType w:fmt="decimal" w:start="1"/>
          <w:cols w:space="425" w:num="1"/>
          <w:formProt w:val="0"/>
          <w:docGrid w:linePitch="312" w:charSpace="0"/>
        </w:sectPr>
      </w:pPr>
      <w:r>
        <w:rPr>
          <w:rFonts w:hint="default" w:ascii="Times New Roman" w:hAnsi="Times New Roman" w:cs="Times New Roman"/>
          <w:sz w:val="28"/>
          <w:szCs w:val="28"/>
          <w:highlight w:val="none"/>
          <w:lang w:eastAsia="zh-CN"/>
        </w:rPr>
        <w:t>报告主体应报告外购绿色电力的使用情况，宜报告外包情况等其他碳减排量情况等。</w:t>
      </w:r>
    </w:p>
    <w:p w14:paraId="18F52649">
      <w:pPr>
        <w:pStyle w:val="74"/>
        <w:widowControl/>
        <w:numPr>
          <w:ilvl w:val="0"/>
          <w:numId w:val="0"/>
        </w:numPr>
        <w:spacing w:line="360" w:lineRule="auto"/>
        <w:ind w:right="0" w:rightChars="0"/>
        <w:jc w:val="both"/>
        <w:rPr>
          <w:rFonts w:hint="default" w:ascii="Times New Roman" w:hAnsi="Times New Roman" w:cs="Times New Roman"/>
          <w:vanish w:val="0"/>
          <w:sz w:val="28"/>
          <w:szCs w:val="28"/>
          <w:highlight w:val="none"/>
          <w:lang w:val="en-US"/>
        </w:rPr>
      </w:pPr>
      <w:bookmarkStart w:id="43" w:name="BookMark5"/>
    </w:p>
    <w:p w14:paraId="62316DEB">
      <w:pPr>
        <w:pStyle w:val="55"/>
        <w:widowControl/>
        <w:numPr>
          <w:ilvl w:val="0"/>
          <w:numId w:val="3"/>
        </w:numPr>
        <w:spacing w:before="56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color w:val="auto"/>
          <w:sz w:val="28"/>
          <w:szCs w:val="28"/>
          <w:highlight w:val="none"/>
          <w:lang w:val="en-US"/>
        </w:rPr>
        <w:br w:type="textWrapping"/>
      </w:r>
      <w:bookmarkStart w:id="44" w:name="_Toc194595024"/>
      <w:bookmarkStart w:id="45" w:name="_Toc175145893"/>
      <w:bookmarkStart w:id="46" w:name="_Toc194506839"/>
      <w:r>
        <w:rPr>
          <w:rFonts w:hint="default" w:ascii="Times New Roman" w:hAnsi="Times New Roman" w:cs="Times New Roman"/>
          <w:color w:val="auto"/>
          <w:sz w:val="28"/>
          <w:szCs w:val="28"/>
          <w:highlight w:val="none"/>
          <w:lang w:eastAsia="zh-CN"/>
        </w:rPr>
        <w:t>（资料性）</w:t>
      </w:r>
      <w:r>
        <w:rPr>
          <w:rFonts w:hint="default" w:ascii="Times New Roman" w:hAnsi="Times New Roman" w:cs="Times New Roman"/>
          <w:color w:val="auto"/>
          <w:sz w:val="28"/>
          <w:szCs w:val="28"/>
          <w:highlight w:val="none"/>
          <w:lang w:val="en-US"/>
        </w:rPr>
        <w:br w:type="textWrapping"/>
      </w:r>
      <w:r>
        <w:rPr>
          <w:rFonts w:hint="default" w:ascii="Times New Roman" w:hAnsi="Times New Roman" w:cs="Times New Roman"/>
          <w:color w:val="auto"/>
          <w:sz w:val="28"/>
          <w:szCs w:val="28"/>
          <w:highlight w:val="none"/>
          <w:lang w:eastAsia="zh-CN"/>
        </w:rPr>
        <w:t>报告格式模板</w:t>
      </w:r>
      <w:bookmarkEnd w:id="44"/>
      <w:bookmarkEnd w:id="45"/>
      <w:bookmarkEnd w:id="46"/>
    </w:p>
    <w:p w14:paraId="57F66909">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不锈钢无缝钢管生产企业碳排放报告格式模板如下：</w:t>
      </w:r>
    </w:p>
    <w:p w14:paraId="72EE1E38">
      <w:pPr>
        <w:pStyle w:val="52"/>
        <w:widowControl/>
        <w:spacing w:before="2040" w:beforeLines="850" w:beforeAutospacing="0" w:after="5760" w:afterLines="2400" w:afterAutospacing="0" w:line="360" w:lineRule="auto"/>
        <w:ind w:left="0" w:righ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lang w:eastAsia="zh-CN"/>
        </w:rPr>
        <w:t>不锈钢无缝钢管生产企业碳排放报告</w:t>
      </w:r>
    </w:p>
    <w:p w14:paraId="18E46DA4">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报告主体（盖章）： </w:t>
      </w:r>
    </w:p>
    <w:p w14:paraId="4E3FCB1E">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报告年度： </w:t>
      </w:r>
    </w:p>
    <w:p w14:paraId="1A9894F0">
      <w:pPr>
        <w:pStyle w:val="52"/>
        <w:widowControl/>
        <w:spacing w:line="360" w:lineRule="auto"/>
        <w:ind w:left="0" w:firstLine="420"/>
        <w:rPr>
          <w:rFonts w:hint="default" w:ascii="Times New Roman" w:hAnsi="Times New Roman" w:cs="Times New Roman"/>
          <w:color w:val="000000"/>
          <w:sz w:val="28"/>
          <w:szCs w:val="28"/>
          <w:highlight w:val="none"/>
          <w:lang w:val="en-US"/>
        </w:rPr>
      </w:pPr>
      <w:r>
        <w:rPr>
          <w:rFonts w:hint="default" w:ascii="Times New Roman" w:hAnsi="Times New Roman" w:cs="Times New Roman"/>
          <w:color w:val="000000"/>
          <w:sz w:val="28"/>
          <w:szCs w:val="28"/>
          <w:highlight w:val="none"/>
          <w:lang w:eastAsia="zh-CN"/>
        </w:rPr>
        <w:t>编制日期： 年 月 日</w:t>
      </w:r>
      <w:r>
        <w:rPr>
          <w:rFonts w:hint="default" w:ascii="Times New Roman" w:hAnsi="Times New Roman" w:cs="Times New Roman"/>
          <w:color w:val="000000"/>
          <w:sz w:val="28"/>
          <w:szCs w:val="28"/>
          <w:highlight w:val="none"/>
          <w:lang w:val="en-US"/>
        </w:rPr>
        <w:br w:type="page"/>
      </w:r>
    </w:p>
    <w:p w14:paraId="60370619">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本报告主体核算了年度碳排放量，并填写了相关数据表格。现将有关情况报告如下： </w:t>
      </w:r>
    </w:p>
    <w:p w14:paraId="25A506E7">
      <w:pPr>
        <w:pStyle w:val="52"/>
        <w:widowControl/>
        <w:spacing w:line="360" w:lineRule="auto"/>
        <w:ind w:left="0" w:firstLine="480"/>
        <w:rPr>
          <w:rFonts w:hint="default" w:ascii="Times New Roman" w:hAnsi="Times New Roman" w:cs="Times New Roman"/>
          <w:sz w:val="28"/>
          <w:szCs w:val="28"/>
          <w:highlight w:val="none"/>
          <w:lang w:val="en-US"/>
        </w:rPr>
      </w:pPr>
    </w:p>
    <w:p w14:paraId="28481C7D">
      <w:pPr>
        <w:pStyle w:val="52"/>
        <w:widowControl/>
        <w:spacing w:after="360" w:afterLines="150" w:afterAutospacing="0"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一、报告主体基本情况 </w:t>
      </w:r>
    </w:p>
    <w:p w14:paraId="68F92437">
      <w:pPr>
        <w:pStyle w:val="52"/>
        <w:widowControl/>
        <w:spacing w:after="360" w:afterLines="150" w:afterAutospacing="0"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二、碳排放量 </w:t>
      </w:r>
    </w:p>
    <w:p w14:paraId="69641954">
      <w:pPr>
        <w:pStyle w:val="52"/>
        <w:widowControl/>
        <w:spacing w:after="360" w:afterLines="150" w:afterAutospacing="0"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三、活动数据及其来源 </w:t>
      </w:r>
    </w:p>
    <w:p w14:paraId="36A6EB4A">
      <w:pPr>
        <w:pStyle w:val="52"/>
        <w:widowControl/>
        <w:spacing w:after="360" w:afterLines="150" w:afterAutospacing="0"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四、排放因子及其来源 </w:t>
      </w:r>
    </w:p>
    <w:p w14:paraId="594B8BF4">
      <w:pPr>
        <w:pStyle w:val="52"/>
        <w:widowControl/>
        <w:spacing w:after="360" w:afterLines="150" w:afterAutospacing="0"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五、其他报告信息 </w:t>
      </w:r>
    </w:p>
    <w:p w14:paraId="4DEDC337">
      <w:pPr>
        <w:pStyle w:val="52"/>
        <w:keepNext w:val="0"/>
        <w:keepLines w:val="0"/>
        <w:pageBreakBefore w:val="0"/>
        <w:widowControl/>
        <w:kinsoku/>
        <w:wordWrap/>
        <w:overflowPunct/>
        <w:topLinePunct w:val="0"/>
        <w:autoSpaceDE w:val="0"/>
        <w:autoSpaceDN w:val="0"/>
        <w:bidi w:val="0"/>
        <w:adjustRightInd/>
        <w:snapToGrid/>
        <w:spacing w:after="6241" w:afterLines="2000" w:afterAutospacing="0" w:line="360" w:lineRule="auto"/>
        <w:ind w:left="0" w:firstLine="420"/>
        <w:textAlignment w:val="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本企业承诺对本报告的真实性负责。</w:t>
      </w:r>
    </w:p>
    <w:p w14:paraId="098D3299">
      <w:pPr>
        <w:keepNext w:val="0"/>
        <w:keepLines w:val="0"/>
        <w:widowControl/>
        <w:suppressLineNumbers w:val="0"/>
        <w:adjustRightInd/>
        <w:spacing w:before="1440" w:beforeLines="600" w:beforeAutospacing="0" w:after="360" w:afterLines="150" w:afterAutospacing="0" w:line="360" w:lineRule="auto"/>
        <w:ind w:left="0" w:right="0"/>
        <w:jc w:val="right"/>
        <w:rPr>
          <w:rFonts w:hint="default" w:ascii="Times New Roman" w:hAnsi="Times New Roman" w:cs="Times New Roman"/>
          <w:kern w:val="0"/>
          <w:sz w:val="28"/>
          <w:szCs w:val="28"/>
          <w:highlight w:val="none"/>
          <w:lang w:val="en-US"/>
        </w:rPr>
      </w:pPr>
      <w:r>
        <w:rPr>
          <w:rFonts w:hint="default" w:ascii="Times New Roman" w:hAnsi="Times New Roman" w:eastAsia="宋体" w:cs="Times New Roman"/>
          <w:color w:val="000000"/>
          <w:kern w:val="0"/>
          <w:sz w:val="28"/>
          <w:szCs w:val="28"/>
          <w:highlight w:val="none"/>
          <w:lang w:val="en-US" w:eastAsia="zh-CN" w:bidi="ar"/>
        </w:rPr>
        <w:t xml:space="preserve">法定代表人或授权代表（签字）： </w:t>
      </w:r>
    </w:p>
    <w:p w14:paraId="10BA95E2">
      <w:pPr>
        <w:pStyle w:val="52"/>
        <w:widowControl/>
        <w:spacing w:after="360" w:afterLines="150" w:afterAutospacing="0" w:line="360" w:lineRule="auto"/>
        <w:ind w:left="0" w:firstLine="420"/>
        <w:jc w:val="right"/>
        <w:rPr>
          <w:rFonts w:hint="default" w:ascii="Times New Roman" w:hAnsi="Times New Roman" w:cs="Times New Roman"/>
          <w:color w:val="000000"/>
          <w:sz w:val="28"/>
          <w:szCs w:val="28"/>
          <w:highlight w:val="none"/>
          <w:lang w:val="en-US"/>
        </w:rPr>
      </w:pPr>
      <w:r>
        <w:rPr>
          <w:rFonts w:hint="default" w:ascii="Times New Roman" w:hAnsi="Times New Roman" w:cs="Times New Roman"/>
          <w:color w:val="000000"/>
          <w:sz w:val="28"/>
          <w:szCs w:val="28"/>
          <w:highlight w:val="none"/>
          <w:lang w:eastAsia="zh-CN"/>
        </w:rPr>
        <w:t>年 月 日</w:t>
      </w:r>
    </w:p>
    <w:p w14:paraId="63B21824">
      <w:pPr>
        <w:pStyle w:val="52"/>
        <w:widowControl/>
        <w:spacing w:after="360" w:afterLines="150" w:afterAutospacing="0" w:line="360" w:lineRule="auto"/>
        <w:ind w:left="0" w:firstLine="420"/>
        <w:jc w:val="right"/>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val="en-US" w:eastAsia="zh-CN" w:bidi="ar"/>
        </w:rPr>
        <w:br w:type="page"/>
      </w:r>
    </w:p>
    <w:p w14:paraId="795C3CBD">
      <w:pPr>
        <w:pStyle w:val="72"/>
        <w:widowControl/>
        <w:numPr>
          <w:ilvl w:val="1"/>
          <w:numId w:val="0"/>
        </w:numPr>
        <w:spacing w:before="120" w:beforeLines="50" w:beforeAutospacing="0" w:after="120" w:afterLines="50" w:afterAutospacing="0" w:line="360" w:lineRule="auto"/>
        <w:ind w:left="1843" w:leftChars="0" w:right="0" w:rightChars="0" w:firstLine="0" w:firstLineChars="0"/>
        <w:rPr>
          <w:rFonts w:hint="default" w:ascii="Times New Roman" w:hAnsi="Times New Roman" w:cs="Times New Roman"/>
          <w:sz w:val="28"/>
          <w:szCs w:val="28"/>
          <w:highlight w:val="none"/>
          <w:lang w:val="en-US"/>
        </w:rPr>
      </w:pPr>
      <w:r>
        <w:rPr>
          <w:rFonts w:hint="default" w:ascii="Times New Roman" w:hAnsi="Times New Roman" w:eastAsia="黑体" w:cs="Times New Roman"/>
          <w:kern w:val="21"/>
          <w:sz w:val="21"/>
          <w:szCs w:val="28"/>
          <w:highlight w:val="none"/>
          <w:lang w:val="en-US" w:eastAsia="zh-CN" w:bidi="ar"/>
        </w:rPr>
        <w:t>表A.1</w:t>
      </w:r>
      <w:r>
        <w:rPr>
          <w:rFonts w:hint="default" w:ascii="Times New Roman" w:hAnsi="Times New Roman" w:cs="Times New Roman"/>
          <w:sz w:val="28"/>
          <w:szCs w:val="28"/>
          <w:highlight w:val="none"/>
          <w:lang w:eastAsia="zh-CN"/>
        </w:rPr>
        <w:t>报告主体</w:t>
      </w:r>
      <w:r>
        <w:rPr>
          <w:rFonts w:hint="default" w:ascii="Times New Roman" w:hAnsi="Times New Roman" w:cs="Times New Roman"/>
          <w:sz w:val="28"/>
          <w:szCs w:val="28"/>
          <w:highlight w:val="none"/>
          <w:vertAlign w:val="subscript"/>
          <w:lang w:val="en-US"/>
        </w:rPr>
        <w:softHyphen/>
      </w:r>
      <w:r>
        <w:rPr>
          <w:rFonts w:hint="default" w:ascii="Times New Roman" w:hAnsi="Times New Roman" w:cs="Times New Roman"/>
          <w:sz w:val="28"/>
          <w:szCs w:val="28"/>
          <w:highlight w:val="none"/>
          <w:vertAlign w:val="subscript"/>
          <w:lang w:val="en-US"/>
        </w:rPr>
        <w:softHyphen/>
      </w:r>
      <w:r>
        <w:rPr>
          <w:rFonts w:hint="default" w:ascii="Times New Roman" w:hAnsi="Times New Roman" w:cs="Times New Roman"/>
          <w:sz w:val="28"/>
          <w:szCs w:val="28"/>
          <w:highlight w:val="none"/>
          <w:vertAlign w:val="subscript"/>
          <w:lang w:val="en-US"/>
        </w:rPr>
        <w:softHyphen/>
      </w:r>
      <w:r>
        <w:rPr>
          <w:rFonts w:hint="default" w:ascii="Times New Roman" w:hAnsi="Times New Roman" w:cs="Times New Roman"/>
          <w:sz w:val="28"/>
          <w:szCs w:val="28"/>
          <w:highlight w:val="none"/>
          <w:vertAlign w:val="subscript"/>
          <w:lang w:val="en-US"/>
        </w:rPr>
        <w:softHyphen/>
      </w:r>
      <w:r>
        <w:rPr>
          <w:rFonts w:hint="default" w:ascii="Times New Roman" w:hAnsi="Times New Roman" w:cs="Times New Roman"/>
          <w:sz w:val="28"/>
          <w:szCs w:val="28"/>
          <w:highlight w:val="none"/>
          <w:vertAlign w:val="subscript"/>
          <w:lang w:val="en-US"/>
        </w:rPr>
        <w:softHyphen/>
      </w:r>
      <w:r>
        <w:rPr>
          <w:rFonts w:hint="default" w:ascii="Times New Roman" w:hAnsi="Times New Roman" w:cs="Times New Roman"/>
          <w:sz w:val="28"/>
          <w:szCs w:val="28"/>
          <w:highlight w:val="none"/>
          <w:vertAlign w:val="subscript"/>
          <w:lang w:val="en-US"/>
        </w:rPr>
        <w:softHyphen/>
      </w:r>
      <w:r>
        <w:rPr>
          <w:rFonts w:hint="default" w:ascii="Times New Roman" w:hAnsi="Times New Roman" w:cs="Times New Roman"/>
          <w:sz w:val="28"/>
          <w:szCs w:val="28"/>
          <w:highlight w:val="none"/>
          <w:lang w:val="en-US"/>
        </w:rPr>
        <w:t>__________</w:t>
      </w:r>
      <w:r>
        <w:rPr>
          <w:rFonts w:hint="default" w:ascii="Times New Roman" w:hAnsi="Times New Roman" w:cs="Times New Roman"/>
          <w:sz w:val="28"/>
          <w:szCs w:val="28"/>
          <w:highlight w:val="none"/>
          <w:lang w:eastAsia="zh-CN"/>
        </w:rPr>
        <w:t>年度碳排放量汇总表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400"/>
        <w:gridCol w:w="3822"/>
        <w:gridCol w:w="3112"/>
      </w:tblGrid>
      <w:tr w14:paraId="56F01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blHeader/>
          <w:jc w:val="center"/>
        </w:trPr>
        <w:tc>
          <w:tcPr>
            <w:tcW w:w="622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6CE6E630">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排放源类别</w:t>
            </w:r>
          </w:p>
        </w:tc>
        <w:tc>
          <w:tcPr>
            <w:tcW w:w="3112" w:type="dxa"/>
            <w:tcBorders>
              <w:top w:val="single" w:color="auto" w:sz="8" w:space="0"/>
              <w:left w:val="single" w:color="auto" w:sz="4" w:space="0"/>
              <w:bottom w:val="single" w:color="auto" w:sz="8" w:space="0"/>
              <w:right w:val="single" w:color="auto" w:sz="8" w:space="0"/>
            </w:tcBorders>
            <w:shd w:val="clear" w:color="auto" w:fill="auto"/>
            <w:vAlign w:val="center"/>
          </w:tcPr>
          <w:p w14:paraId="3642F6DE">
            <w:pPr>
              <w:pStyle w:val="63"/>
              <w:widowControl/>
              <w:spacing w:line="360" w:lineRule="auto"/>
              <w:rPr>
                <w:rFonts w:hint="default" w:ascii="Times New Roman" w:hAnsi="Times New Roman" w:cs="Times New Roman"/>
                <w:sz w:val="28"/>
                <w:szCs w:val="28"/>
                <w:highlight w:val="none"/>
                <w:vertAlign w:val="subscript"/>
                <w:lang w:val="en-US"/>
              </w:rPr>
            </w:pPr>
            <w:r>
              <w:rPr>
                <w:rFonts w:hint="default" w:ascii="Times New Roman" w:hAnsi="Times New Roman" w:cs="Times New Roman"/>
                <w:sz w:val="28"/>
                <w:szCs w:val="28"/>
                <w:highlight w:val="none"/>
              </w:rPr>
              <w:t>排放量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p>
        </w:tc>
      </w:tr>
      <w:tr w14:paraId="5DA49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92217A8">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化石燃料燃烧排放量</w:t>
            </w:r>
          </w:p>
        </w:tc>
        <w:tc>
          <w:tcPr>
            <w:tcW w:w="3112" w:type="dxa"/>
            <w:tcBorders>
              <w:top w:val="single" w:color="auto" w:sz="8" w:space="0"/>
              <w:left w:val="single" w:color="auto" w:sz="4" w:space="0"/>
              <w:bottom w:val="single" w:color="auto" w:sz="4" w:space="0"/>
              <w:right w:val="single" w:color="auto" w:sz="8" w:space="0"/>
            </w:tcBorders>
            <w:shd w:val="clear" w:color="auto" w:fill="auto"/>
            <w:vAlign w:val="center"/>
          </w:tcPr>
          <w:p w14:paraId="3DF5A1A9">
            <w:pPr>
              <w:pStyle w:val="63"/>
              <w:widowControl/>
              <w:spacing w:line="360" w:lineRule="auto"/>
              <w:rPr>
                <w:rFonts w:hint="default" w:ascii="Times New Roman" w:hAnsi="Times New Roman" w:cs="Times New Roman"/>
                <w:sz w:val="28"/>
                <w:szCs w:val="28"/>
                <w:highlight w:val="none"/>
                <w:lang w:val="en-US"/>
              </w:rPr>
            </w:pPr>
          </w:p>
        </w:tc>
      </w:tr>
      <w:tr w14:paraId="1D313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B3101A5">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过程排放量</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45EA181B">
            <w:pPr>
              <w:pStyle w:val="63"/>
              <w:widowControl/>
              <w:spacing w:line="360" w:lineRule="auto"/>
              <w:rPr>
                <w:rFonts w:hint="default" w:ascii="Times New Roman" w:hAnsi="Times New Roman" w:cs="Times New Roman"/>
                <w:sz w:val="28"/>
                <w:szCs w:val="28"/>
                <w:highlight w:val="none"/>
                <w:lang w:val="en-US"/>
              </w:rPr>
            </w:pPr>
          </w:p>
        </w:tc>
      </w:tr>
      <w:tr w14:paraId="469EA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C9DBF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购入电力产生的排放量</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56A4D13C">
            <w:pPr>
              <w:pStyle w:val="63"/>
              <w:widowControl/>
              <w:spacing w:line="360" w:lineRule="auto"/>
              <w:rPr>
                <w:rFonts w:hint="default" w:ascii="Times New Roman" w:hAnsi="Times New Roman" w:cs="Times New Roman"/>
                <w:sz w:val="28"/>
                <w:szCs w:val="28"/>
                <w:highlight w:val="none"/>
                <w:lang w:val="en-US"/>
              </w:rPr>
            </w:pPr>
          </w:p>
        </w:tc>
      </w:tr>
      <w:tr w14:paraId="67B071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63E56C7">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购入热力产生的排放量</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70C24A2F">
            <w:pPr>
              <w:pStyle w:val="63"/>
              <w:widowControl/>
              <w:spacing w:line="360" w:lineRule="auto"/>
              <w:rPr>
                <w:rFonts w:hint="default" w:ascii="Times New Roman" w:hAnsi="Times New Roman" w:cs="Times New Roman"/>
                <w:sz w:val="28"/>
                <w:szCs w:val="28"/>
                <w:highlight w:val="none"/>
                <w:lang w:val="en-US"/>
              </w:rPr>
            </w:pPr>
          </w:p>
        </w:tc>
      </w:tr>
      <w:tr w14:paraId="21949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00"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28C656AD">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企业碳排放总量</w:t>
            </w:r>
          </w:p>
        </w:tc>
        <w:tc>
          <w:tcPr>
            <w:tcW w:w="3822" w:type="dxa"/>
            <w:tcBorders>
              <w:top w:val="single" w:color="auto" w:sz="4" w:space="0"/>
              <w:left w:val="single" w:color="auto" w:sz="4" w:space="0"/>
              <w:bottom w:val="single" w:color="auto" w:sz="4" w:space="0"/>
              <w:right w:val="single" w:color="auto" w:sz="4" w:space="0"/>
            </w:tcBorders>
            <w:shd w:val="clear" w:color="auto" w:fill="auto"/>
            <w:vAlign w:val="center"/>
          </w:tcPr>
          <w:p w14:paraId="2E400037">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不包括购入电力和热力产生的排放量</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114DDE00">
            <w:pPr>
              <w:pStyle w:val="63"/>
              <w:widowControl/>
              <w:spacing w:line="360" w:lineRule="auto"/>
              <w:rPr>
                <w:rFonts w:hint="default" w:ascii="Times New Roman" w:hAnsi="Times New Roman" w:cs="Times New Roman"/>
                <w:sz w:val="28"/>
                <w:szCs w:val="28"/>
                <w:highlight w:val="none"/>
                <w:lang w:val="en-US"/>
              </w:rPr>
            </w:pPr>
          </w:p>
        </w:tc>
      </w:tr>
      <w:tr w14:paraId="148C0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00"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01D8844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822" w:type="dxa"/>
            <w:tcBorders>
              <w:top w:val="single" w:color="auto" w:sz="4" w:space="0"/>
              <w:left w:val="single" w:color="auto" w:sz="4" w:space="0"/>
              <w:bottom w:val="single" w:color="auto" w:sz="8" w:space="0"/>
              <w:right w:val="single" w:color="auto" w:sz="4" w:space="0"/>
            </w:tcBorders>
            <w:shd w:val="clear" w:color="auto" w:fill="auto"/>
            <w:vAlign w:val="center"/>
          </w:tcPr>
          <w:p w14:paraId="780CBDA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color w:val="000000"/>
                <w:sz w:val="28"/>
                <w:szCs w:val="28"/>
                <w:highlight w:val="none"/>
              </w:rPr>
              <w:t>包括购人电力和热力产生的排放量</w:t>
            </w:r>
          </w:p>
        </w:tc>
        <w:tc>
          <w:tcPr>
            <w:tcW w:w="3112" w:type="dxa"/>
            <w:tcBorders>
              <w:top w:val="single" w:color="auto" w:sz="4" w:space="0"/>
              <w:left w:val="single" w:color="auto" w:sz="4" w:space="0"/>
              <w:bottom w:val="single" w:color="auto" w:sz="8" w:space="0"/>
              <w:right w:val="single" w:color="auto" w:sz="8" w:space="0"/>
            </w:tcBorders>
            <w:shd w:val="clear" w:color="auto" w:fill="auto"/>
            <w:vAlign w:val="center"/>
          </w:tcPr>
          <w:p w14:paraId="5EF8094A">
            <w:pPr>
              <w:pStyle w:val="63"/>
              <w:widowControl/>
              <w:spacing w:line="360" w:lineRule="auto"/>
              <w:rPr>
                <w:rFonts w:hint="default" w:ascii="Times New Roman" w:hAnsi="Times New Roman" w:cs="Times New Roman"/>
                <w:sz w:val="28"/>
                <w:szCs w:val="28"/>
                <w:highlight w:val="none"/>
                <w:lang w:val="en-US"/>
              </w:rPr>
            </w:pPr>
          </w:p>
        </w:tc>
      </w:tr>
    </w:tbl>
    <w:p w14:paraId="2D59D7B3">
      <w:pPr>
        <w:pStyle w:val="52"/>
        <w:widowControl/>
        <w:spacing w:line="360" w:lineRule="auto"/>
        <w:ind w:left="0" w:firstLine="420"/>
        <w:rPr>
          <w:rFonts w:hint="default" w:ascii="Times New Roman" w:hAnsi="Times New Roman" w:cs="Times New Roman"/>
          <w:sz w:val="28"/>
          <w:szCs w:val="28"/>
          <w:highlight w:val="none"/>
          <w:lang w:val="en-US"/>
        </w:rPr>
      </w:pPr>
    </w:p>
    <w:p w14:paraId="52335D1D">
      <w:pPr>
        <w:pStyle w:val="72"/>
        <w:widowControl/>
        <w:numPr>
          <w:ilvl w:val="1"/>
          <w:numId w:val="0"/>
        </w:numPr>
        <w:spacing w:before="120" w:beforeLines="50" w:beforeAutospacing="0" w:after="120" w:afterLines="50" w:afterAutospacing="0" w:line="360" w:lineRule="auto"/>
        <w:ind w:left="1843" w:leftChars="0" w:right="0" w:rightChars="0" w:firstLine="0" w:firstLineChars="0"/>
        <w:rPr>
          <w:rFonts w:hint="default" w:ascii="Times New Roman" w:hAnsi="Times New Roman" w:cs="Times New Roman"/>
          <w:sz w:val="28"/>
          <w:szCs w:val="28"/>
          <w:highlight w:val="none"/>
          <w:lang w:val="en-US"/>
        </w:rPr>
      </w:pPr>
      <w:r>
        <w:rPr>
          <w:rFonts w:hint="default" w:ascii="Times New Roman" w:hAnsi="Times New Roman" w:eastAsia="黑体" w:cs="Times New Roman"/>
          <w:kern w:val="21"/>
          <w:sz w:val="21"/>
          <w:szCs w:val="28"/>
          <w:highlight w:val="none"/>
          <w:lang w:val="en-US" w:eastAsia="zh-CN" w:bidi="ar"/>
        </w:rPr>
        <w:t>表A.2</w:t>
      </w:r>
      <w:r>
        <w:rPr>
          <w:rFonts w:hint="default" w:ascii="Times New Roman" w:hAnsi="Times New Roman" w:eastAsia="黑体" w:cs="Times New Roman"/>
          <w:kern w:val="21"/>
          <w:sz w:val="28"/>
          <w:szCs w:val="28"/>
          <w:highlight w:val="none"/>
          <w:lang w:val="en-US" w:eastAsia="zh-CN" w:bidi="ar"/>
        </w:rPr>
        <w:br w:type="page"/>
      </w:r>
      <w:r>
        <w:rPr>
          <w:rFonts w:hint="default" w:ascii="Times New Roman" w:hAnsi="Times New Roman" w:cs="Times New Roman"/>
          <w:sz w:val="28"/>
          <w:szCs w:val="28"/>
          <w:highlight w:val="none"/>
          <w:lang w:eastAsia="zh-CN"/>
        </w:rPr>
        <w:t>报告主体活动数据一览表</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865"/>
        <w:gridCol w:w="1867"/>
        <w:gridCol w:w="1867"/>
        <w:gridCol w:w="1867"/>
        <w:gridCol w:w="1868"/>
      </w:tblGrid>
      <w:tr w14:paraId="503F6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tcBorders>
              <w:top w:val="single" w:color="auto" w:sz="8" w:space="0"/>
              <w:left w:val="single" w:color="auto" w:sz="8" w:space="0"/>
              <w:bottom w:val="single" w:color="auto" w:sz="8" w:space="0"/>
              <w:right w:val="single" w:color="auto" w:sz="4" w:space="0"/>
            </w:tcBorders>
            <w:shd w:val="clear" w:color="auto" w:fill="auto"/>
            <w:vAlign w:val="center"/>
          </w:tcPr>
          <w:p w14:paraId="7437D61F">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Times New Roman" w:cs="Times New Roman"/>
                <w:kern w:val="0"/>
                <w:sz w:val="28"/>
                <w:szCs w:val="28"/>
                <w:highlight w:val="none"/>
                <w:lang w:val="en-US" w:eastAsia="zh-CN" w:bidi="ar"/>
              </w:rPr>
              <w:t>排放源类别</w:t>
            </w:r>
          </w:p>
        </w:tc>
        <w:tc>
          <w:tcPr>
            <w:tcW w:w="1867" w:type="dxa"/>
            <w:tcBorders>
              <w:top w:val="single" w:color="auto" w:sz="8" w:space="0"/>
              <w:left w:val="single" w:color="auto" w:sz="4" w:space="0"/>
              <w:bottom w:val="single" w:color="auto" w:sz="8" w:space="0"/>
              <w:right w:val="single" w:color="auto" w:sz="4" w:space="0"/>
            </w:tcBorders>
            <w:shd w:val="clear" w:color="auto" w:fill="auto"/>
            <w:vAlign w:val="center"/>
          </w:tcPr>
          <w:p w14:paraId="21C015F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燃料品种</w:t>
            </w:r>
          </w:p>
        </w:tc>
        <w:tc>
          <w:tcPr>
            <w:tcW w:w="1867" w:type="dxa"/>
            <w:tcBorders>
              <w:top w:val="single" w:color="auto" w:sz="8" w:space="0"/>
              <w:left w:val="single" w:color="auto" w:sz="4" w:space="0"/>
              <w:bottom w:val="single" w:color="auto" w:sz="8" w:space="0"/>
              <w:right w:val="single" w:color="auto" w:sz="4" w:space="0"/>
            </w:tcBorders>
            <w:shd w:val="clear" w:color="auto" w:fill="auto"/>
            <w:vAlign w:val="center"/>
          </w:tcPr>
          <w:p w14:paraId="761E039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计量单位</w:t>
            </w:r>
          </w:p>
        </w:tc>
        <w:tc>
          <w:tcPr>
            <w:tcW w:w="1867" w:type="dxa"/>
            <w:tcBorders>
              <w:top w:val="single" w:color="auto" w:sz="8" w:space="0"/>
              <w:left w:val="single" w:color="auto" w:sz="4" w:space="0"/>
              <w:bottom w:val="single" w:color="auto" w:sz="8" w:space="0"/>
              <w:right w:val="single" w:color="auto" w:sz="4" w:space="0"/>
            </w:tcBorders>
            <w:shd w:val="clear" w:color="auto" w:fill="auto"/>
            <w:vAlign w:val="center"/>
          </w:tcPr>
          <w:p w14:paraId="712B8FDF">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消耗量</w:t>
            </w:r>
          </w:p>
          <w:p w14:paraId="088FB3C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Times New Roman" w:cs="Times New Roman"/>
                <w:kern w:val="0"/>
                <w:sz w:val="28"/>
                <w:szCs w:val="28"/>
                <w:highlight w:val="none"/>
                <w:lang w:val="en-US" w:eastAsia="zh-CN" w:bidi="ar"/>
              </w:rPr>
              <w:t>t</w:t>
            </w:r>
            <w:r>
              <w:rPr>
                <w:rFonts w:hint="default" w:ascii="Times New Roman" w:hAnsi="Times New Roman" w:eastAsia="宋体" w:cs="Times New Roman"/>
                <w:kern w:val="0"/>
                <w:sz w:val="28"/>
                <w:szCs w:val="28"/>
                <w:highlight w:val="none"/>
                <w:lang w:val="en-US" w:eastAsia="zh-CN" w:bidi="ar"/>
              </w:rPr>
              <w:t>或</w:t>
            </w:r>
            <w:r>
              <w:rPr>
                <w:rFonts w:hint="default" w:ascii="Times New Roman" w:hAnsi="Times New Roman" w:eastAsia="Times New Roman" w:cs="Times New Roman"/>
                <w:kern w:val="0"/>
                <w:sz w:val="28"/>
                <w:szCs w:val="28"/>
                <w:highlight w:val="none"/>
                <w:lang w:val="en-US" w:eastAsia="zh-CN" w:bidi="ar"/>
              </w:rPr>
              <w:t>10</w:t>
            </w:r>
            <w:r>
              <w:rPr>
                <w:rFonts w:hint="default" w:ascii="Times New Roman" w:hAnsi="Times New Roman" w:eastAsia="Times New Roman" w:cs="Times New Roman"/>
                <w:kern w:val="0"/>
                <w:sz w:val="28"/>
                <w:szCs w:val="28"/>
                <w:highlight w:val="none"/>
                <w:vertAlign w:val="superscript"/>
                <w:lang w:val="en-US" w:eastAsia="zh-CN" w:bidi="ar"/>
              </w:rPr>
              <w:t>4</w:t>
            </w:r>
            <w:r>
              <w:rPr>
                <w:rFonts w:hint="default" w:ascii="Times New Roman" w:hAnsi="Times New Roman" w:eastAsia="Times New Roman" w:cs="Times New Roman"/>
                <w:kern w:val="0"/>
                <w:sz w:val="28"/>
                <w:szCs w:val="28"/>
                <w:highlight w:val="none"/>
                <w:lang w:val="en-US" w:eastAsia="zh-CN" w:bidi="ar"/>
              </w:rPr>
              <w:t>Nm</w:t>
            </w:r>
            <w:r>
              <w:rPr>
                <w:rFonts w:hint="default" w:ascii="Times New Roman" w:hAnsi="Times New Roman" w:eastAsia="Times New Roman" w:cs="Times New Roman"/>
                <w:kern w:val="0"/>
                <w:sz w:val="28"/>
                <w:szCs w:val="28"/>
                <w:highlight w:val="none"/>
                <w:vertAlign w:val="superscript"/>
                <w:lang w:val="en-US" w:eastAsia="zh-CN" w:bidi="ar"/>
              </w:rPr>
              <w:t>3</w:t>
            </w:r>
            <w:r>
              <w:rPr>
                <w:rFonts w:hint="default" w:ascii="Times New Roman" w:hAnsi="Times New Roman" w:eastAsia="Times New Roman" w:cs="Times New Roman"/>
                <w:kern w:val="0"/>
                <w:sz w:val="28"/>
                <w:szCs w:val="28"/>
                <w:highlight w:val="none"/>
                <w:lang w:val="en-US" w:eastAsia="zh-CN" w:bidi="ar"/>
              </w:rPr>
              <w:t xml:space="preserve"> </w:t>
            </w:r>
          </w:p>
        </w:tc>
        <w:tc>
          <w:tcPr>
            <w:tcW w:w="1868" w:type="dxa"/>
            <w:tcBorders>
              <w:top w:val="single" w:color="auto" w:sz="8" w:space="0"/>
              <w:left w:val="single" w:color="auto" w:sz="4" w:space="0"/>
              <w:bottom w:val="single" w:color="auto" w:sz="8" w:space="0"/>
              <w:right w:val="single" w:color="auto" w:sz="8" w:space="0"/>
            </w:tcBorders>
            <w:shd w:val="clear" w:color="auto" w:fill="auto"/>
            <w:vAlign w:val="center"/>
          </w:tcPr>
          <w:p w14:paraId="5F074D74">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低位发热量</w:t>
            </w:r>
          </w:p>
          <w:p w14:paraId="36DCF37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Times New Roman" w:cs="Times New Roman"/>
                <w:kern w:val="0"/>
                <w:sz w:val="28"/>
                <w:szCs w:val="28"/>
                <w:highlight w:val="none"/>
                <w:lang w:val="en-US" w:eastAsia="zh-CN" w:bidi="ar"/>
              </w:rPr>
              <w:t>GJ/t</w:t>
            </w:r>
            <w:r>
              <w:rPr>
                <w:rFonts w:hint="default" w:ascii="Times New Roman" w:hAnsi="Times New Roman" w:eastAsia="宋体" w:cs="Times New Roman"/>
                <w:kern w:val="0"/>
                <w:sz w:val="28"/>
                <w:szCs w:val="28"/>
                <w:highlight w:val="none"/>
                <w:lang w:val="en-US" w:eastAsia="zh-CN" w:bidi="ar"/>
              </w:rPr>
              <w:t>或</w:t>
            </w:r>
            <w:r>
              <w:rPr>
                <w:rFonts w:hint="default" w:ascii="Times New Roman" w:hAnsi="Times New Roman" w:eastAsia="Times New Roman" w:cs="Times New Roman"/>
                <w:kern w:val="0"/>
                <w:sz w:val="28"/>
                <w:szCs w:val="28"/>
                <w:highlight w:val="none"/>
                <w:lang w:val="en-US" w:eastAsia="zh-CN" w:bidi="ar"/>
              </w:rPr>
              <w:t>GJ/10</w:t>
            </w:r>
            <w:r>
              <w:rPr>
                <w:rFonts w:hint="default" w:ascii="Times New Roman" w:hAnsi="Times New Roman" w:eastAsia="Times New Roman" w:cs="Times New Roman"/>
                <w:kern w:val="0"/>
                <w:sz w:val="28"/>
                <w:szCs w:val="28"/>
                <w:highlight w:val="none"/>
                <w:vertAlign w:val="superscript"/>
                <w:lang w:val="en-US" w:eastAsia="zh-CN" w:bidi="ar"/>
              </w:rPr>
              <w:t>4</w:t>
            </w:r>
            <w:r>
              <w:rPr>
                <w:rFonts w:hint="default" w:ascii="Times New Roman" w:hAnsi="Times New Roman" w:eastAsia="Times New Roman" w:cs="Times New Roman"/>
                <w:kern w:val="0"/>
                <w:sz w:val="28"/>
                <w:szCs w:val="28"/>
                <w:highlight w:val="none"/>
                <w:lang w:val="en-US" w:eastAsia="zh-CN" w:bidi="ar"/>
              </w:rPr>
              <w:t>Nm</w:t>
            </w:r>
            <w:r>
              <w:rPr>
                <w:rFonts w:hint="default" w:ascii="Times New Roman" w:hAnsi="Times New Roman" w:eastAsia="Times New Roman" w:cs="Times New Roman"/>
                <w:kern w:val="0"/>
                <w:sz w:val="28"/>
                <w:szCs w:val="28"/>
                <w:highlight w:val="none"/>
                <w:vertAlign w:val="superscript"/>
                <w:lang w:val="en-US" w:eastAsia="zh-CN" w:bidi="ar"/>
              </w:rPr>
              <w:t>3</w:t>
            </w:r>
          </w:p>
        </w:tc>
      </w:tr>
      <w:tr w14:paraId="337C2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restart"/>
            <w:tcBorders>
              <w:top w:val="nil"/>
              <w:left w:val="single" w:color="auto" w:sz="8" w:space="0"/>
              <w:bottom w:val="single" w:color="auto" w:sz="4" w:space="0"/>
              <w:right w:val="single" w:color="auto" w:sz="4" w:space="0"/>
            </w:tcBorders>
            <w:shd w:val="clear" w:color="auto" w:fill="auto"/>
            <w:vAlign w:val="center"/>
          </w:tcPr>
          <w:p w14:paraId="77182A1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燃料燃烧</w:t>
            </w:r>
          </w:p>
        </w:tc>
        <w:tc>
          <w:tcPr>
            <w:tcW w:w="1867" w:type="dxa"/>
            <w:tcBorders>
              <w:top w:val="single" w:color="auto" w:sz="8" w:space="0"/>
              <w:left w:val="single" w:color="auto" w:sz="4" w:space="0"/>
              <w:bottom w:val="single" w:color="auto" w:sz="4" w:space="0"/>
              <w:right w:val="single" w:color="auto" w:sz="4" w:space="0"/>
            </w:tcBorders>
            <w:shd w:val="clear" w:color="auto" w:fill="auto"/>
            <w:vAlign w:val="center"/>
          </w:tcPr>
          <w:p w14:paraId="206FE1E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8" w:space="0"/>
              <w:left w:val="single" w:color="auto" w:sz="4" w:space="0"/>
              <w:bottom w:val="single" w:color="auto" w:sz="4" w:space="0"/>
              <w:right w:val="single" w:color="auto" w:sz="4" w:space="0"/>
            </w:tcBorders>
            <w:shd w:val="clear" w:color="auto" w:fill="auto"/>
            <w:vAlign w:val="center"/>
          </w:tcPr>
          <w:p w14:paraId="5C343CCC">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8" w:space="0"/>
              <w:left w:val="single" w:color="auto" w:sz="4" w:space="0"/>
              <w:bottom w:val="single" w:color="auto" w:sz="4" w:space="0"/>
              <w:right w:val="single" w:color="auto" w:sz="4" w:space="0"/>
            </w:tcBorders>
            <w:shd w:val="clear" w:color="auto" w:fill="auto"/>
            <w:vAlign w:val="center"/>
          </w:tcPr>
          <w:p w14:paraId="000E1D1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8" w:space="0"/>
              <w:left w:val="single" w:color="auto" w:sz="4" w:space="0"/>
              <w:bottom w:val="single" w:color="auto" w:sz="4" w:space="0"/>
              <w:right w:val="single" w:color="auto" w:sz="8" w:space="0"/>
            </w:tcBorders>
            <w:shd w:val="clear" w:color="auto" w:fill="auto"/>
            <w:vAlign w:val="center"/>
          </w:tcPr>
          <w:p w14:paraId="269FF5AF">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08BC5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nil"/>
              <w:left w:val="single" w:color="auto" w:sz="8" w:space="0"/>
              <w:bottom w:val="single" w:color="auto" w:sz="4" w:space="0"/>
              <w:right w:val="single" w:color="auto" w:sz="4" w:space="0"/>
            </w:tcBorders>
            <w:shd w:val="clear" w:color="auto" w:fill="auto"/>
            <w:vAlign w:val="center"/>
          </w:tcPr>
          <w:p w14:paraId="05F7F1C9">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BE3ABC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DC7AC3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973784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72959825">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1637F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nil"/>
              <w:left w:val="single" w:color="auto" w:sz="8" w:space="0"/>
              <w:bottom w:val="single" w:color="auto" w:sz="4" w:space="0"/>
              <w:right w:val="single" w:color="auto" w:sz="4" w:space="0"/>
            </w:tcBorders>
            <w:shd w:val="clear" w:color="auto" w:fill="auto"/>
            <w:vAlign w:val="center"/>
          </w:tcPr>
          <w:p w14:paraId="5B47B50D">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5CC898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CA5D76B">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9FA5D9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2442368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1F929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nil"/>
              <w:left w:val="single" w:color="auto" w:sz="8" w:space="0"/>
              <w:bottom w:val="single" w:color="auto" w:sz="4" w:space="0"/>
              <w:right w:val="single" w:color="auto" w:sz="4" w:space="0"/>
            </w:tcBorders>
            <w:shd w:val="clear" w:color="auto" w:fill="auto"/>
            <w:vAlign w:val="center"/>
          </w:tcPr>
          <w:p w14:paraId="289E692B">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B00A8C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59344C1">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950879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4DA88CC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6CF16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nil"/>
              <w:left w:val="single" w:color="auto" w:sz="8" w:space="0"/>
              <w:bottom w:val="single" w:color="auto" w:sz="4" w:space="0"/>
              <w:right w:val="single" w:color="auto" w:sz="4" w:space="0"/>
            </w:tcBorders>
            <w:shd w:val="clear" w:color="auto" w:fill="auto"/>
            <w:vAlign w:val="center"/>
          </w:tcPr>
          <w:p w14:paraId="062934A4">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3DCB5C4">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07418A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C9CC2A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3146755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17FA9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nil"/>
              <w:left w:val="single" w:color="auto" w:sz="8" w:space="0"/>
              <w:bottom w:val="single" w:color="auto" w:sz="4" w:space="0"/>
              <w:right w:val="single" w:color="auto" w:sz="4" w:space="0"/>
            </w:tcBorders>
            <w:shd w:val="clear" w:color="auto" w:fill="auto"/>
            <w:vAlign w:val="center"/>
          </w:tcPr>
          <w:p w14:paraId="6B1CA81A">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0295E6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D3F8F4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5DCCF4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3D2C817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17A80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nil"/>
              <w:left w:val="single" w:color="auto" w:sz="8" w:space="0"/>
              <w:bottom w:val="single" w:color="auto" w:sz="4" w:space="0"/>
              <w:right w:val="single" w:color="auto" w:sz="4" w:space="0"/>
            </w:tcBorders>
            <w:shd w:val="clear" w:color="auto" w:fill="auto"/>
            <w:vAlign w:val="center"/>
          </w:tcPr>
          <w:p w14:paraId="172CC6F8">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ED9076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F51128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EE0E335">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38E634D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702F7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nil"/>
              <w:left w:val="single" w:color="auto" w:sz="8" w:space="0"/>
              <w:bottom w:val="single" w:color="auto" w:sz="4" w:space="0"/>
              <w:right w:val="single" w:color="auto" w:sz="4" w:space="0"/>
            </w:tcBorders>
            <w:shd w:val="clear" w:color="auto" w:fill="auto"/>
            <w:vAlign w:val="center"/>
          </w:tcPr>
          <w:p w14:paraId="05F8E6DA">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2438C2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E069095">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29D357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0B94FC4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67C32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78CBA2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生产过程</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05C4B8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3EF611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3C9DB3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69BB3AE5">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62D63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925710A">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28D3D2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D77E3FF">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2849E9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4B9BFE3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63E4C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BBAFECC">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8B48385">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58C414B">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EDBEA6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5B48F0A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69061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40B4AA2">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F42EF8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AE6CCF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53612C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21716CE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6428C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430B64A">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7C0F29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320708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E54D35B">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5ED9EBE2">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32920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C6BE6AE">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6AD77A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AE43121">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7E26A3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0B0A551F">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55A65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8069EDE">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4D4C09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A7B2C6C">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A34E07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791F029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741EE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D34AA75">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1F35DC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EEC2C0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B6208F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1B918ADF">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6E5301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6E96FC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购入和输出的</w:t>
            </w:r>
          </w:p>
          <w:p w14:paraId="1A76BF1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电力、热力</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D9AF77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5B959A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A581865">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6CCEC2B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48AAE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0A2DF21">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908F37F">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2005F3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66B72E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60FC25AB">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4B04F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D70B135">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5EED1F1">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6E0F95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CD178E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7BB1372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6622A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2631FC5">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FE5E92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858737B">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91344B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3FDD452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512DC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EB99127">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0F296A4">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E218A9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A7D762B">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5CFDB55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3924F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DBD42D2">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08AA45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9B5C8B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E114CEF">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18E0F292">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14B00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58AAE6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固碳</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BC71A0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7ECB79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671D27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6A648A4B">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37F7D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DC25126">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909997F">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321BE3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B6ED95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181C87AC">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75FC2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CCB83D3">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CDBDECB">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11F96A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3B115B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0187F5B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2B050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09CE061">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300D2F5">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57404A1">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2AC630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7124BAE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2127F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F321F9A">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E44679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E69358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C2C6E3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2F842854">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67DD6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CF340C1">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1867" w:type="dxa"/>
            <w:tcBorders>
              <w:top w:val="single" w:color="auto" w:sz="4" w:space="0"/>
              <w:left w:val="single" w:color="auto" w:sz="4" w:space="0"/>
              <w:bottom w:val="single" w:color="auto" w:sz="8" w:space="0"/>
              <w:right w:val="single" w:color="auto" w:sz="4" w:space="0"/>
            </w:tcBorders>
            <w:shd w:val="clear" w:color="auto" w:fill="auto"/>
            <w:vAlign w:val="center"/>
          </w:tcPr>
          <w:p w14:paraId="5D8B406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8" w:space="0"/>
              <w:right w:val="single" w:color="auto" w:sz="4" w:space="0"/>
            </w:tcBorders>
            <w:shd w:val="clear" w:color="auto" w:fill="auto"/>
            <w:vAlign w:val="center"/>
          </w:tcPr>
          <w:p w14:paraId="4196844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7" w:type="dxa"/>
            <w:tcBorders>
              <w:top w:val="single" w:color="auto" w:sz="4" w:space="0"/>
              <w:left w:val="single" w:color="auto" w:sz="4" w:space="0"/>
              <w:bottom w:val="single" w:color="auto" w:sz="8" w:space="0"/>
              <w:right w:val="single" w:color="auto" w:sz="4" w:space="0"/>
            </w:tcBorders>
            <w:shd w:val="clear" w:color="auto" w:fill="auto"/>
            <w:vAlign w:val="center"/>
          </w:tcPr>
          <w:p w14:paraId="5A371AD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1868" w:type="dxa"/>
            <w:tcBorders>
              <w:top w:val="single" w:color="auto" w:sz="4" w:space="0"/>
              <w:left w:val="single" w:color="auto" w:sz="4" w:space="0"/>
              <w:bottom w:val="single" w:color="auto" w:sz="8" w:space="0"/>
              <w:right w:val="single" w:color="auto" w:sz="8" w:space="0"/>
            </w:tcBorders>
            <w:shd w:val="clear" w:color="auto" w:fill="auto"/>
            <w:vAlign w:val="center"/>
          </w:tcPr>
          <w:p w14:paraId="4B880ECC">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bl>
    <w:p w14:paraId="2E40282E">
      <w:pPr>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 xml:space="preserve"> </w:t>
      </w:r>
    </w:p>
    <w:p w14:paraId="1650600F">
      <w:pPr>
        <w:keepNext w:val="0"/>
        <w:keepLines w:val="0"/>
        <w:widowControl/>
        <w:suppressLineNumbers w:val="0"/>
        <w:adjustRightInd/>
        <w:spacing w:before="0" w:beforeAutospacing="0" w:after="0" w:afterAutospacing="0" w:line="360" w:lineRule="auto"/>
        <w:ind w:left="0" w:right="0"/>
        <w:jc w:val="left"/>
        <w:rPr>
          <w:rFonts w:hint="default" w:ascii="Times New Roman" w:hAnsi="Times New Roman" w:eastAsia="黑体" w:cs="Times New Roman"/>
          <w:kern w:val="21"/>
          <w:sz w:val="28"/>
          <w:szCs w:val="28"/>
          <w:highlight w:val="none"/>
          <w:lang w:val="en-US"/>
        </w:rPr>
      </w:pPr>
      <w:r>
        <w:rPr>
          <w:rFonts w:hint="default" w:ascii="Times New Roman" w:hAnsi="Times New Roman" w:eastAsia="宋体" w:cs="Times New Roman"/>
          <w:kern w:val="2"/>
          <w:sz w:val="28"/>
          <w:szCs w:val="28"/>
          <w:highlight w:val="none"/>
          <w:lang w:val="en-US" w:eastAsia="zh-CN" w:bidi="ar"/>
        </w:rPr>
        <w:br w:type="page"/>
      </w:r>
    </w:p>
    <w:p w14:paraId="16BD499F">
      <w:pPr>
        <w:pStyle w:val="72"/>
        <w:widowControl/>
        <w:numPr>
          <w:ilvl w:val="1"/>
          <w:numId w:val="0"/>
        </w:numPr>
        <w:spacing w:before="120" w:beforeLines="50" w:beforeAutospacing="0" w:after="120" w:afterLines="50" w:afterAutospacing="0" w:line="360" w:lineRule="auto"/>
        <w:ind w:left="1843" w:leftChars="0" w:right="0" w:rightChars="0" w:firstLine="0" w:firstLineChars="0"/>
        <w:rPr>
          <w:rFonts w:hint="default" w:ascii="Times New Roman" w:hAnsi="Times New Roman" w:cs="Times New Roman"/>
          <w:sz w:val="28"/>
          <w:szCs w:val="28"/>
          <w:highlight w:val="none"/>
          <w:lang w:val="en-US"/>
        </w:rPr>
      </w:pPr>
      <w:r>
        <w:rPr>
          <w:rFonts w:hint="default" w:ascii="Times New Roman" w:hAnsi="Times New Roman" w:eastAsia="黑体" w:cs="Times New Roman"/>
          <w:kern w:val="21"/>
          <w:sz w:val="21"/>
          <w:szCs w:val="28"/>
          <w:highlight w:val="none"/>
          <w:lang w:val="en-US" w:eastAsia="zh-CN" w:bidi="ar"/>
        </w:rPr>
        <w:t>表A.3</w:t>
      </w:r>
      <w:r>
        <w:rPr>
          <w:rFonts w:hint="default" w:ascii="Times New Roman" w:hAnsi="Times New Roman" w:cs="Times New Roman"/>
          <w:sz w:val="28"/>
          <w:szCs w:val="28"/>
          <w:highlight w:val="none"/>
          <w:lang w:eastAsia="zh-CN"/>
        </w:rPr>
        <w:t>报告主体排放因子相关数据一览表</w:t>
      </w:r>
    </w:p>
    <w:p w14:paraId="5D6D06F2">
      <w:pPr>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 xml:space="preserve"> </w:t>
      </w:r>
    </w:p>
    <w:tbl>
      <w:tblPr>
        <w:tblStyle w:val="8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334"/>
        <w:gridCol w:w="2333"/>
        <w:gridCol w:w="2334"/>
        <w:gridCol w:w="2333"/>
      </w:tblGrid>
      <w:tr w14:paraId="5A831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tcBorders>
              <w:top w:val="single" w:color="auto" w:sz="8" w:space="0"/>
              <w:left w:val="single" w:color="auto" w:sz="8" w:space="0"/>
              <w:bottom w:val="single" w:color="auto" w:sz="8" w:space="0"/>
              <w:right w:val="single" w:color="auto" w:sz="4" w:space="0"/>
            </w:tcBorders>
            <w:shd w:val="clear" w:color="auto" w:fill="auto"/>
            <w:vAlign w:val="center"/>
          </w:tcPr>
          <w:p w14:paraId="54DE9502">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Times New Roman" w:cs="Times New Roman"/>
                <w:kern w:val="0"/>
                <w:sz w:val="28"/>
                <w:szCs w:val="28"/>
                <w:highlight w:val="none"/>
                <w:lang w:val="en-US" w:eastAsia="zh-CN" w:bidi="ar"/>
              </w:rPr>
              <w:t>排放源类别</w:t>
            </w:r>
          </w:p>
        </w:tc>
        <w:tc>
          <w:tcPr>
            <w:tcW w:w="2333" w:type="dxa"/>
            <w:tcBorders>
              <w:top w:val="single" w:color="auto" w:sz="8" w:space="0"/>
              <w:left w:val="single" w:color="auto" w:sz="4" w:space="0"/>
              <w:bottom w:val="single" w:color="auto" w:sz="8" w:space="0"/>
              <w:right w:val="single" w:color="auto" w:sz="4" w:space="0"/>
            </w:tcBorders>
            <w:shd w:val="clear" w:color="auto" w:fill="auto"/>
            <w:vAlign w:val="center"/>
          </w:tcPr>
          <w:p w14:paraId="27CB2CD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燃料品种</w:t>
            </w:r>
          </w:p>
        </w:tc>
        <w:tc>
          <w:tcPr>
            <w:tcW w:w="2334" w:type="dxa"/>
            <w:tcBorders>
              <w:top w:val="single" w:color="auto" w:sz="8" w:space="0"/>
              <w:left w:val="single" w:color="auto" w:sz="4" w:space="0"/>
              <w:bottom w:val="single" w:color="auto" w:sz="8" w:space="0"/>
              <w:right w:val="single" w:color="auto" w:sz="4" w:space="0"/>
            </w:tcBorders>
            <w:shd w:val="clear" w:color="auto" w:fill="auto"/>
            <w:vAlign w:val="center"/>
          </w:tcPr>
          <w:p w14:paraId="18008F0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单位热值含碳量</w:t>
            </w:r>
          </w:p>
          <w:p w14:paraId="4B66644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Times New Roman" w:cs="Times New Roman"/>
                <w:kern w:val="0"/>
                <w:sz w:val="28"/>
                <w:szCs w:val="28"/>
                <w:highlight w:val="none"/>
                <w:lang w:val="en-US" w:eastAsia="zh-CN" w:bidi="ar"/>
              </w:rPr>
              <w:t>tC/GJ</w:t>
            </w:r>
          </w:p>
        </w:tc>
        <w:tc>
          <w:tcPr>
            <w:tcW w:w="2333" w:type="dxa"/>
            <w:tcBorders>
              <w:top w:val="single" w:color="auto" w:sz="8" w:space="0"/>
              <w:left w:val="single" w:color="auto" w:sz="4" w:space="0"/>
              <w:bottom w:val="single" w:color="auto" w:sz="8" w:space="0"/>
              <w:right w:val="single" w:color="auto" w:sz="8" w:space="0"/>
            </w:tcBorders>
            <w:shd w:val="clear" w:color="auto" w:fill="auto"/>
            <w:vAlign w:val="center"/>
          </w:tcPr>
          <w:p w14:paraId="6F78E43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碳氧化率</w:t>
            </w:r>
          </w:p>
          <w:p w14:paraId="587CAC12">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Times New Roman" w:cs="Times New Roman"/>
                <w:kern w:val="0"/>
                <w:sz w:val="28"/>
                <w:szCs w:val="28"/>
                <w:highlight w:val="none"/>
                <w:lang w:val="en-US" w:eastAsia="zh-CN" w:bidi="ar"/>
              </w:rPr>
              <w:t>%</w:t>
            </w:r>
          </w:p>
        </w:tc>
      </w:tr>
      <w:tr w14:paraId="7B6DB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nil"/>
              <w:left w:val="single" w:color="auto" w:sz="8" w:space="0"/>
              <w:bottom w:val="single" w:color="auto" w:sz="4" w:space="0"/>
              <w:right w:val="single" w:color="auto" w:sz="4" w:space="0"/>
            </w:tcBorders>
            <w:shd w:val="clear" w:color="auto" w:fill="auto"/>
            <w:vAlign w:val="center"/>
          </w:tcPr>
          <w:p w14:paraId="0366EECC">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燃料燃烧</w:t>
            </w:r>
          </w:p>
        </w:tc>
        <w:tc>
          <w:tcPr>
            <w:tcW w:w="2333" w:type="dxa"/>
            <w:tcBorders>
              <w:top w:val="single" w:color="auto" w:sz="8" w:space="0"/>
              <w:left w:val="single" w:color="auto" w:sz="4" w:space="0"/>
              <w:bottom w:val="single" w:color="auto" w:sz="4" w:space="0"/>
              <w:right w:val="single" w:color="auto" w:sz="4" w:space="0"/>
            </w:tcBorders>
            <w:shd w:val="clear" w:color="auto" w:fill="auto"/>
            <w:vAlign w:val="center"/>
          </w:tcPr>
          <w:p w14:paraId="4F03744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8" w:space="0"/>
              <w:left w:val="single" w:color="auto" w:sz="4" w:space="0"/>
              <w:bottom w:val="single" w:color="auto" w:sz="4" w:space="0"/>
              <w:right w:val="single" w:color="auto" w:sz="4" w:space="0"/>
            </w:tcBorders>
            <w:shd w:val="clear" w:color="auto" w:fill="auto"/>
            <w:vAlign w:val="center"/>
          </w:tcPr>
          <w:p w14:paraId="61BC7BD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8" w:space="0"/>
              <w:left w:val="single" w:color="auto" w:sz="4" w:space="0"/>
              <w:bottom w:val="single" w:color="auto" w:sz="4" w:space="0"/>
              <w:right w:val="single" w:color="auto" w:sz="8" w:space="0"/>
            </w:tcBorders>
            <w:shd w:val="clear" w:color="auto" w:fill="auto"/>
            <w:vAlign w:val="center"/>
          </w:tcPr>
          <w:p w14:paraId="35EA977F">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4AE34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nil"/>
              <w:left w:val="single" w:color="auto" w:sz="8" w:space="0"/>
              <w:bottom w:val="single" w:color="auto" w:sz="4" w:space="0"/>
              <w:right w:val="single" w:color="auto" w:sz="4" w:space="0"/>
            </w:tcBorders>
            <w:shd w:val="clear" w:color="auto" w:fill="auto"/>
            <w:vAlign w:val="center"/>
          </w:tcPr>
          <w:p w14:paraId="2E9A4744">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7D01E724">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1510F01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0495399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102A2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nil"/>
              <w:left w:val="single" w:color="auto" w:sz="8" w:space="0"/>
              <w:bottom w:val="single" w:color="auto" w:sz="4" w:space="0"/>
              <w:right w:val="single" w:color="auto" w:sz="4" w:space="0"/>
            </w:tcBorders>
            <w:shd w:val="clear" w:color="auto" w:fill="auto"/>
            <w:vAlign w:val="center"/>
          </w:tcPr>
          <w:p w14:paraId="6BA1117E">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5732A71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24652764">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331004F2">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5B859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nil"/>
              <w:left w:val="single" w:color="auto" w:sz="8" w:space="0"/>
              <w:bottom w:val="single" w:color="auto" w:sz="4" w:space="0"/>
              <w:right w:val="single" w:color="auto" w:sz="4" w:space="0"/>
            </w:tcBorders>
            <w:shd w:val="clear" w:color="auto" w:fill="auto"/>
            <w:vAlign w:val="center"/>
          </w:tcPr>
          <w:p w14:paraId="7F9BDD97">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9CEDA8C">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7A41E5B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34EB3D4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3F7B4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nil"/>
              <w:left w:val="single" w:color="auto" w:sz="8" w:space="0"/>
              <w:bottom w:val="single" w:color="auto" w:sz="4" w:space="0"/>
              <w:right w:val="single" w:color="auto" w:sz="4" w:space="0"/>
            </w:tcBorders>
            <w:shd w:val="clear" w:color="auto" w:fill="auto"/>
            <w:vAlign w:val="center"/>
          </w:tcPr>
          <w:p w14:paraId="5E4AF7B0">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1DBBA12">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3602167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45281E0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06F8C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nil"/>
              <w:left w:val="single" w:color="auto" w:sz="8" w:space="0"/>
              <w:bottom w:val="single" w:color="auto" w:sz="4" w:space="0"/>
              <w:right w:val="single" w:color="auto" w:sz="4" w:space="0"/>
            </w:tcBorders>
            <w:shd w:val="clear" w:color="auto" w:fill="auto"/>
            <w:vAlign w:val="center"/>
          </w:tcPr>
          <w:p w14:paraId="55017C87">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D212E45">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050BF911">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06C42C31">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39B75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nil"/>
              <w:left w:val="single" w:color="auto" w:sz="8" w:space="0"/>
              <w:bottom w:val="single" w:color="auto" w:sz="4" w:space="0"/>
              <w:right w:val="single" w:color="auto" w:sz="4" w:space="0"/>
            </w:tcBorders>
            <w:shd w:val="clear" w:color="auto" w:fill="auto"/>
            <w:vAlign w:val="center"/>
          </w:tcPr>
          <w:p w14:paraId="3F81C803">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603209C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46C9246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4482CB6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4A657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nil"/>
              <w:left w:val="single" w:color="auto" w:sz="8" w:space="0"/>
              <w:bottom w:val="single" w:color="auto" w:sz="4" w:space="0"/>
              <w:right w:val="single" w:color="auto" w:sz="4" w:space="0"/>
            </w:tcBorders>
            <w:shd w:val="clear" w:color="auto" w:fill="auto"/>
            <w:vAlign w:val="center"/>
          </w:tcPr>
          <w:p w14:paraId="61B03B9E">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95F846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7EF8713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0E87CE5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592F9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D22940B">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生产过程</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FFC49B1">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611E190F">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2442CA3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58AD6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A503083">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E11D4C5">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3944555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332F694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6C630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0BFD61B">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BE367D4">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6E53271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67239264">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4B66D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53EE35A">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711A1DB">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3AB5E1BC">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3E35BF3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590DF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CE528F9">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5D3BF105">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77C9E47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5431364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35F4B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DFA6EE7">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7CAC03C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54BB7CE4">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559F6E4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70CEC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94A20B9">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925ED3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09700F2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57080382">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3CB43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F9FC1E6">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6E1876C">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07E038B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4018BBF0">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22549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9283FC2">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电力、热力</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832CDFC">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60AA4FE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08625FD4">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20957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3736A04">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4BE11F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7F79B16C">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6B342A41">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013F9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188E0A0">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B721B1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6CC260D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4FE39411">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653A3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14EE7BE">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50BC952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670273E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0B284EE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6D4E3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7DC4765">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77DDA12">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1AA664A2">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7CD772BB">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38167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C136A41">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FC66B5F">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44256092">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38319B0E">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3751C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1E79BD6">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固碳</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D630C8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28B04A1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454E53A8">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3E75D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6FB452D">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5524D6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71EE501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36193CED">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5E1C0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2897B4C">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0C77049">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38A8FE3C">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43E5A753">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r w14:paraId="5EF5A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6275774">
            <w:pPr>
              <w:keepNext w:val="0"/>
              <w:keepLines w:val="0"/>
              <w:suppressLineNumbers w:val="0"/>
              <w:spacing w:before="0" w:beforeAutospacing="0" w:after="0" w:afterAutospacing="0" w:line="360" w:lineRule="auto"/>
              <w:ind w:left="0" w:right="0"/>
              <w:rPr>
                <w:rFonts w:hint="default" w:ascii="Times New Roman" w:hAnsi="Times New Roman" w:eastAsia="Times New Roman" w:cs="Times New Roman"/>
                <w:sz w:val="28"/>
                <w:szCs w:val="28"/>
                <w:highlight w:val="none"/>
              </w:rPr>
            </w:pPr>
          </w:p>
        </w:tc>
        <w:tc>
          <w:tcPr>
            <w:tcW w:w="2333" w:type="dxa"/>
            <w:tcBorders>
              <w:top w:val="single" w:color="auto" w:sz="4" w:space="0"/>
              <w:left w:val="single" w:color="auto" w:sz="4" w:space="0"/>
              <w:bottom w:val="single" w:color="auto" w:sz="8" w:space="0"/>
              <w:right w:val="single" w:color="auto" w:sz="4" w:space="0"/>
            </w:tcBorders>
            <w:shd w:val="clear" w:color="auto" w:fill="auto"/>
            <w:vAlign w:val="center"/>
          </w:tcPr>
          <w:p w14:paraId="3889CC5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4" w:type="dxa"/>
            <w:tcBorders>
              <w:top w:val="single" w:color="auto" w:sz="4" w:space="0"/>
              <w:left w:val="single" w:color="auto" w:sz="4" w:space="0"/>
              <w:bottom w:val="single" w:color="auto" w:sz="8" w:space="0"/>
              <w:right w:val="single" w:color="auto" w:sz="4" w:space="0"/>
            </w:tcBorders>
            <w:shd w:val="clear" w:color="auto" w:fill="auto"/>
            <w:vAlign w:val="center"/>
          </w:tcPr>
          <w:p w14:paraId="1479F0E7">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c>
          <w:tcPr>
            <w:tcW w:w="2333" w:type="dxa"/>
            <w:tcBorders>
              <w:top w:val="single" w:color="auto" w:sz="4" w:space="0"/>
              <w:left w:val="single" w:color="auto" w:sz="4" w:space="0"/>
              <w:bottom w:val="single" w:color="auto" w:sz="8" w:space="0"/>
              <w:right w:val="single" w:color="auto" w:sz="8" w:space="0"/>
            </w:tcBorders>
            <w:shd w:val="clear" w:color="auto" w:fill="auto"/>
            <w:vAlign w:val="center"/>
          </w:tcPr>
          <w:p w14:paraId="4189FA24">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eastAsia="Times New Roman" w:cs="Times New Roman"/>
                <w:kern w:val="0"/>
                <w:sz w:val="28"/>
                <w:szCs w:val="28"/>
                <w:highlight w:val="none"/>
                <w:lang w:val="en-US"/>
              </w:rPr>
            </w:pPr>
          </w:p>
        </w:tc>
      </w:tr>
    </w:tbl>
    <w:p w14:paraId="2CE8B61A">
      <w:pPr>
        <w:keepNext w:val="0"/>
        <w:keepLines w:val="0"/>
        <w:widowControl/>
        <w:suppressLineNumbers w:val="0"/>
        <w:autoSpaceDE w:val="0"/>
        <w:autoSpaceDN w:val="0"/>
        <w:adjustRightInd/>
        <w:spacing w:before="0" w:beforeAutospacing="0" w:after="0" w:afterAutospacing="0" w:line="360" w:lineRule="auto"/>
        <w:ind w:left="0" w:right="0"/>
        <w:jc w:val="center"/>
        <w:rPr>
          <w:rFonts w:hint="default" w:ascii="Times New Roman" w:hAnsi="Times New Roman" w:cs="Times New Roman"/>
          <w:kern w:val="0"/>
          <w:sz w:val="28"/>
          <w:szCs w:val="28"/>
          <w:highlight w:val="none"/>
          <w:lang w:val="en-US"/>
        </w:rPr>
      </w:pPr>
      <w:r>
        <w:rPr>
          <w:rFonts w:hint="default" w:ascii="Times New Roman" w:hAnsi="Times New Roman" w:eastAsia="宋体" w:cs="Times New Roman"/>
          <w:kern w:val="0"/>
          <w:sz w:val="28"/>
          <w:szCs w:val="28"/>
          <w:highlight w:val="none"/>
          <w:lang w:val="en-US" w:eastAsia="zh-CN" w:bidi="ar"/>
        </w:rPr>
        <w:t xml:space="preserve"> </w:t>
      </w:r>
    </w:p>
    <w:p w14:paraId="749838CD">
      <w:pPr>
        <w:spacing w:line="360" w:lineRule="auto"/>
        <w:rPr>
          <w:rFonts w:hint="default" w:ascii="Times New Roman" w:hAnsi="Times New Roman" w:eastAsia="宋体" w:cs="Times New Roman"/>
          <w:sz w:val="28"/>
          <w:szCs w:val="28"/>
          <w:highlight w:val="none"/>
          <w:lang w:val="en-US" w:eastAsia="zh-CN" w:bidi="ar"/>
        </w:rPr>
        <w:sectPr>
          <w:pgSz w:w="11906" w:h="16838"/>
          <w:pgMar w:top="1928" w:right="1135" w:bottom="1135" w:left="1135" w:header="1418" w:footer="1135" w:gutter="284"/>
          <w:pgNumType w:fmt="decimal"/>
          <w:cols w:space="425" w:num="1"/>
          <w:formProt w:val="0"/>
          <w:docGrid w:linePitch="312" w:charSpace="0"/>
        </w:sectPr>
      </w:pPr>
    </w:p>
    <w:p w14:paraId="7187F716">
      <w:pPr>
        <w:pStyle w:val="74"/>
        <w:widowControl/>
        <w:numPr>
          <w:ilvl w:val="0"/>
          <w:numId w:val="0"/>
        </w:numPr>
        <w:spacing w:line="360" w:lineRule="auto"/>
        <w:ind w:right="0" w:rightChars="0"/>
        <w:jc w:val="both"/>
        <w:rPr>
          <w:rFonts w:hint="default" w:ascii="Times New Roman" w:hAnsi="Times New Roman" w:cs="Times New Roman"/>
          <w:vanish w:val="0"/>
          <w:sz w:val="28"/>
          <w:szCs w:val="28"/>
          <w:highlight w:val="none"/>
          <w:lang w:val="en-US"/>
        </w:rPr>
      </w:pPr>
    </w:p>
    <w:p w14:paraId="0F7B3554">
      <w:pPr>
        <w:pStyle w:val="55"/>
        <w:widowControl/>
        <w:numPr>
          <w:ilvl w:val="0"/>
          <w:numId w:val="3"/>
        </w:numPr>
        <w:spacing w:before="56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color w:val="auto"/>
          <w:sz w:val="28"/>
          <w:szCs w:val="28"/>
          <w:highlight w:val="none"/>
          <w:lang w:val="en-US"/>
        </w:rPr>
        <w:br w:type="textWrapping"/>
      </w:r>
      <w:bookmarkStart w:id="47" w:name="_Toc175145894"/>
      <w:bookmarkStart w:id="48" w:name="_Toc194506840"/>
      <w:bookmarkStart w:id="49" w:name="_Toc194595025"/>
      <w:r>
        <w:rPr>
          <w:rFonts w:hint="default" w:ascii="Times New Roman" w:hAnsi="Times New Roman" w:cs="Times New Roman"/>
          <w:color w:val="auto"/>
          <w:sz w:val="28"/>
          <w:szCs w:val="28"/>
          <w:highlight w:val="none"/>
          <w:lang w:eastAsia="zh-CN"/>
        </w:rPr>
        <w:t>（资料性）</w:t>
      </w:r>
      <w:r>
        <w:rPr>
          <w:rFonts w:hint="default" w:ascii="Times New Roman" w:hAnsi="Times New Roman" w:cs="Times New Roman"/>
          <w:color w:val="auto"/>
          <w:sz w:val="28"/>
          <w:szCs w:val="28"/>
          <w:highlight w:val="none"/>
          <w:lang w:val="en-US"/>
        </w:rPr>
        <w:br w:type="textWrapping"/>
      </w:r>
      <w:r>
        <w:rPr>
          <w:rFonts w:hint="default" w:ascii="Times New Roman" w:hAnsi="Times New Roman" w:cs="Times New Roman"/>
          <w:color w:val="auto"/>
          <w:sz w:val="28"/>
          <w:szCs w:val="28"/>
          <w:highlight w:val="none"/>
          <w:lang w:eastAsia="zh-CN"/>
        </w:rPr>
        <w:t>常用参数参考值</w:t>
      </w:r>
      <w:bookmarkEnd w:id="47"/>
      <w:bookmarkEnd w:id="48"/>
      <w:bookmarkEnd w:id="49"/>
    </w:p>
    <w:p w14:paraId="6B56422B">
      <w:pPr>
        <w:pStyle w:val="5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碳足迹量化常用参数参考值见表</w:t>
      </w:r>
      <w:r>
        <w:rPr>
          <w:rFonts w:hint="default" w:ascii="Times New Roman" w:hAnsi="Times New Roman" w:cs="Times New Roman"/>
          <w:sz w:val="28"/>
          <w:szCs w:val="28"/>
          <w:highlight w:val="none"/>
          <w:lang w:val="en-US"/>
        </w:rPr>
        <w:t>B.1</w:t>
      </w:r>
      <w:r>
        <w:rPr>
          <w:rFonts w:hint="default" w:ascii="Times New Roman" w:hAnsi="Times New Roman" w:cs="Times New Roman"/>
          <w:sz w:val="28"/>
          <w:szCs w:val="28"/>
          <w:highlight w:val="none"/>
          <w:lang w:eastAsia="zh-CN"/>
        </w:rPr>
        <w:t>。</w:t>
      </w:r>
    </w:p>
    <w:p w14:paraId="6E486630">
      <w:pPr>
        <w:pStyle w:val="72"/>
        <w:widowControl/>
        <w:numPr>
          <w:ilvl w:val="1"/>
          <w:numId w:val="0"/>
        </w:numPr>
        <w:spacing w:before="120" w:beforeLines="50" w:beforeAutospacing="0" w:after="120" w:afterLines="50" w:afterAutospacing="0" w:line="360" w:lineRule="auto"/>
        <w:ind w:left="1843" w:leftChars="0" w:right="0" w:rightChars="0" w:firstLine="0" w:firstLineChars="0"/>
        <w:rPr>
          <w:rFonts w:hint="default" w:ascii="Times New Roman" w:hAnsi="Times New Roman" w:cs="Times New Roman"/>
          <w:sz w:val="28"/>
          <w:szCs w:val="28"/>
          <w:highlight w:val="none"/>
          <w:lang w:val="en-US"/>
        </w:rPr>
      </w:pPr>
      <w:r>
        <w:rPr>
          <w:rFonts w:hint="default" w:ascii="Times New Roman" w:hAnsi="Times New Roman" w:eastAsia="黑体" w:cs="Times New Roman"/>
          <w:kern w:val="21"/>
          <w:sz w:val="21"/>
          <w:szCs w:val="28"/>
          <w:highlight w:val="none"/>
          <w:lang w:val="en-US" w:eastAsia="zh-CN" w:bidi="ar"/>
        </w:rPr>
        <w:t>表</w:t>
      </w:r>
      <w:r>
        <w:rPr>
          <w:rFonts w:hint="default" w:ascii="Times New Roman" w:hAnsi="Times New Roman" w:cs="Times New Roman"/>
          <w:kern w:val="21"/>
          <w:sz w:val="21"/>
          <w:szCs w:val="28"/>
          <w:highlight w:val="none"/>
          <w:lang w:val="en-US" w:eastAsia="zh-CN" w:bidi="ar"/>
        </w:rPr>
        <w:t>B</w:t>
      </w:r>
      <w:r>
        <w:rPr>
          <w:rFonts w:hint="default" w:ascii="Times New Roman" w:hAnsi="Times New Roman" w:eastAsia="黑体" w:cs="Times New Roman"/>
          <w:kern w:val="21"/>
          <w:sz w:val="21"/>
          <w:szCs w:val="28"/>
          <w:highlight w:val="none"/>
          <w:lang w:val="en-US" w:eastAsia="zh-CN" w:bidi="ar"/>
        </w:rPr>
        <w:t>.1</w:t>
      </w:r>
      <w:r>
        <w:rPr>
          <w:rFonts w:hint="default" w:ascii="Times New Roman" w:hAnsi="Times New Roman" w:cs="Times New Roman"/>
          <w:sz w:val="28"/>
          <w:szCs w:val="28"/>
          <w:highlight w:val="none"/>
          <w:lang w:eastAsia="zh-CN"/>
        </w:rPr>
        <w:t>常用化石燃料参数参考值</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19"/>
        <w:gridCol w:w="1744"/>
        <w:gridCol w:w="1587"/>
        <w:gridCol w:w="2068"/>
        <w:gridCol w:w="1383"/>
        <w:gridCol w:w="1410"/>
      </w:tblGrid>
      <w:tr w14:paraId="7FA35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blHeader/>
          <w:jc w:val="center"/>
        </w:trPr>
        <w:tc>
          <w:tcPr>
            <w:tcW w:w="254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0611AE16">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燃料品种</w:t>
            </w:r>
          </w:p>
        </w:tc>
        <w:tc>
          <w:tcPr>
            <w:tcW w:w="1702" w:type="dxa"/>
            <w:tcBorders>
              <w:top w:val="single" w:color="auto" w:sz="8" w:space="0"/>
              <w:left w:val="single" w:color="auto" w:sz="4" w:space="0"/>
              <w:bottom w:val="single" w:color="auto" w:sz="8" w:space="0"/>
              <w:right w:val="single" w:color="auto" w:sz="4" w:space="0"/>
            </w:tcBorders>
            <w:shd w:val="clear" w:color="auto" w:fill="auto"/>
            <w:vAlign w:val="center"/>
          </w:tcPr>
          <w:p w14:paraId="6CF21E7D">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计量单位</w:t>
            </w:r>
          </w:p>
        </w:tc>
        <w:tc>
          <w:tcPr>
            <w:tcW w:w="2126" w:type="dxa"/>
            <w:tcBorders>
              <w:top w:val="single" w:color="auto" w:sz="8" w:space="0"/>
              <w:left w:val="single" w:color="auto" w:sz="4" w:space="0"/>
              <w:bottom w:val="single" w:color="auto" w:sz="8" w:space="0"/>
              <w:right w:val="single" w:color="auto" w:sz="4" w:space="0"/>
            </w:tcBorders>
            <w:shd w:val="clear" w:color="auto" w:fill="auto"/>
            <w:vAlign w:val="center"/>
          </w:tcPr>
          <w:p w14:paraId="2D8895FD">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低位发热量</w:t>
            </w:r>
          </w:p>
          <w:p w14:paraId="133F1CC4">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GJ/t</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GJ/×10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rPr>
              <w:t>）</w:t>
            </w:r>
          </w:p>
        </w:tc>
        <w:tc>
          <w:tcPr>
            <w:tcW w:w="1409" w:type="dxa"/>
            <w:tcBorders>
              <w:top w:val="single" w:color="auto" w:sz="8" w:space="0"/>
              <w:left w:val="single" w:color="auto" w:sz="4" w:space="0"/>
              <w:bottom w:val="single" w:color="auto" w:sz="8" w:space="0"/>
              <w:right w:val="single" w:color="auto" w:sz="4" w:space="0"/>
            </w:tcBorders>
            <w:shd w:val="clear" w:color="auto" w:fill="auto"/>
            <w:vAlign w:val="center"/>
          </w:tcPr>
          <w:p w14:paraId="0D23D800">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单位热值含碳量</w:t>
            </w:r>
          </w:p>
          <w:p w14:paraId="63F4DD13">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tC/GJ</w:t>
            </w:r>
            <w:r>
              <w:rPr>
                <w:rFonts w:hint="default" w:ascii="Times New Roman" w:hAnsi="Times New Roman" w:cs="Times New Roman"/>
                <w:sz w:val="28"/>
                <w:szCs w:val="28"/>
                <w:highlight w:val="none"/>
              </w:rPr>
              <w:t>）</w:t>
            </w:r>
          </w:p>
        </w:tc>
        <w:tc>
          <w:tcPr>
            <w:tcW w:w="1556" w:type="dxa"/>
            <w:tcBorders>
              <w:top w:val="single" w:color="auto" w:sz="8" w:space="0"/>
              <w:left w:val="single" w:color="auto" w:sz="4" w:space="0"/>
              <w:bottom w:val="single" w:color="auto" w:sz="8" w:space="0"/>
              <w:right w:val="single" w:color="auto" w:sz="8" w:space="0"/>
            </w:tcBorders>
            <w:shd w:val="clear" w:color="auto" w:fill="auto"/>
            <w:vAlign w:val="center"/>
          </w:tcPr>
          <w:p w14:paraId="0BF4DCFE">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燃料碳氧化率</w:t>
            </w:r>
          </w:p>
        </w:tc>
      </w:tr>
      <w:tr w14:paraId="59BA6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64C50E2E">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固</w:t>
            </w:r>
          </w:p>
          <w:p w14:paraId="05A26786">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体</w:t>
            </w:r>
          </w:p>
          <w:p w14:paraId="2F1230B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w:t>
            </w:r>
          </w:p>
          <w:p w14:paraId="7F3E99DD">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料</w:t>
            </w:r>
          </w:p>
        </w:tc>
        <w:tc>
          <w:tcPr>
            <w:tcW w:w="1985" w:type="dxa"/>
            <w:tcBorders>
              <w:top w:val="single" w:color="auto" w:sz="8" w:space="0"/>
              <w:left w:val="single" w:color="auto" w:sz="4" w:space="0"/>
              <w:bottom w:val="single" w:color="auto" w:sz="4" w:space="0"/>
              <w:right w:val="single" w:color="auto" w:sz="4" w:space="0"/>
            </w:tcBorders>
            <w:shd w:val="clear" w:color="auto" w:fill="auto"/>
            <w:vAlign w:val="center"/>
          </w:tcPr>
          <w:p w14:paraId="1C23755E">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无烟煤</w:t>
            </w:r>
          </w:p>
        </w:tc>
        <w:tc>
          <w:tcPr>
            <w:tcW w:w="1702" w:type="dxa"/>
            <w:tcBorders>
              <w:top w:val="single" w:color="auto" w:sz="8" w:space="0"/>
              <w:left w:val="single" w:color="auto" w:sz="4" w:space="0"/>
              <w:bottom w:val="single" w:color="auto" w:sz="4" w:space="0"/>
              <w:right w:val="single" w:color="auto" w:sz="4" w:space="0"/>
            </w:tcBorders>
            <w:shd w:val="clear" w:color="auto" w:fill="auto"/>
            <w:vAlign w:val="center"/>
          </w:tcPr>
          <w:p w14:paraId="5E424B3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8" w:space="0"/>
              <w:left w:val="single" w:color="auto" w:sz="4" w:space="0"/>
              <w:bottom w:val="single" w:color="auto" w:sz="4" w:space="0"/>
              <w:right w:val="single" w:color="auto" w:sz="4" w:space="0"/>
            </w:tcBorders>
            <w:shd w:val="clear" w:color="auto" w:fill="auto"/>
            <w:vAlign w:val="center"/>
          </w:tcPr>
          <w:p w14:paraId="19672E70">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26.7</w:t>
            </w:r>
          </w:p>
        </w:tc>
        <w:tc>
          <w:tcPr>
            <w:tcW w:w="1409" w:type="dxa"/>
            <w:tcBorders>
              <w:top w:val="single" w:color="auto" w:sz="8" w:space="0"/>
              <w:left w:val="single" w:color="auto" w:sz="4" w:space="0"/>
              <w:bottom w:val="single" w:color="auto" w:sz="4" w:space="0"/>
              <w:right w:val="single" w:color="auto" w:sz="4" w:space="0"/>
            </w:tcBorders>
            <w:shd w:val="clear" w:color="auto" w:fill="auto"/>
            <w:vAlign w:val="center"/>
          </w:tcPr>
          <w:p w14:paraId="31F4770C">
            <w:pPr>
              <w:pStyle w:val="63"/>
              <w:widowControl/>
              <w:spacing w:line="360" w:lineRule="auto"/>
              <w:rPr>
                <w:rFonts w:hint="default" w:ascii="Times New Roman" w:hAnsi="Times New Roman" w:cs="Times New Roman"/>
                <w:sz w:val="28"/>
                <w:szCs w:val="28"/>
                <w:highlight w:val="none"/>
                <w:vertAlign w:val="superscript"/>
                <w:lang w:val="en-US"/>
              </w:rPr>
            </w:pPr>
            <w:r>
              <w:rPr>
                <w:rFonts w:hint="default" w:ascii="Times New Roman" w:hAnsi="Times New Roman" w:cs="Times New Roman"/>
                <w:sz w:val="28"/>
                <w:szCs w:val="28"/>
                <w:highlight w:val="none"/>
                <w:lang w:val="en-US"/>
              </w:rPr>
              <w:t>27.4×10</w:t>
            </w:r>
            <w:r>
              <w:rPr>
                <w:rFonts w:hint="default" w:ascii="Times New Roman" w:hAnsi="Times New Roman" w:cs="Times New Roman"/>
                <w:sz w:val="28"/>
                <w:szCs w:val="28"/>
                <w:highlight w:val="none"/>
                <w:vertAlign w:val="superscript"/>
                <w:lang w:val="en-US"/>
              </w:rPr>
              <w:t>-3</w:t>
            </w:r>
          </w:p>
        </w:tc>
        <w:tc>
          <w:tcPr>
            <w:tcW w:w="1556" w:type="dxa"/>
            <w:tcBorders>
              <w:top w:val="single" w:color="auto" w:sz="8" w:space="0"/>
              <w:left w:val="single" w:color="auto" w:sz="4" w:space="0"/>
              <w:bottom w:val="single" w:color="auto" w:sz="4" w:space="0"/>
              <w:right w:val="single" w:color="auto" w:sz="8" w:space="0"/>
            </w:tcBorders>
            <w:shd w:val="clear" w:color="auto" w:fill="auto"/>
            <w:vAlign w:val="center"/>
          </w:tcPr>
          <w:p w14:paraId="241343C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94%</w:t>
            </w:r>
          </w:p>
        </w:tc>
      </w:tr>
      <w:tr w14:paraId="50A3A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93EF9C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056A0CB">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烟煤</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EB3F109">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7C4464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19.570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4F72386">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26.1×10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230C3477">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93%</w:t>
            </w:r>
          </w:p>
        </w:tc>
      </w:tr>
      <w:tr w14:paraId="63E29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25AEFD3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39DFD2C2">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褐煤</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738A7B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78085A0">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11.9</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20BAFB7B">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28×10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615B62A2">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96%</w:t>
            </w:r>
          </w:p>
        </w:tc>
      </w:tr>
      <w:tr w14:paraId="6601E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E13F93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370D43C4">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洗精煤</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69B29C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0DA5A7D">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26.334</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5E05CF7E">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25.41×10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566E8A52">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90%</w:t>
            </w:r>
          </w:p>
        </w:tc>
      </w:tr>
      <w:tr w14:paraId="0A48E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4F0F816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02FCB8D">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其它洗煤</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53EA1FA">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1920080">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12.545</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538E6AE3">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25.41×10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602BCB18">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90%</w:t>
            </w:r>
          </w:p>
        </w:tc>
      </w:tr>
      <w:tr w14:paraId="4F484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4A01344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8FFB95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型煤</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AD25C07">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8A0FE0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17.460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4A92BDE2">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33.6×10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5F9B40D1">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90%</w:t>
            </w:r>
          </w:p>
        </w:tc>
      </w:tr>
      <w:tr w14:paraId="78BE5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2C7F764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0076A43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石油焦</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6E9C362">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7C81C96">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32.5</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5E3DBA3E">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27.5×10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4617C909">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71846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03EF46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0E0FB082">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其他煤制品</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640BBB0">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BF446B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17.460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575AA812">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33.6×10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0306DF1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90%</w:t>
            </w:r>
          </w:p>
        </w:tc>
      </w:tr>
      <w:tr w14:paraId="73170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9F4098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89C3792">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焦炭</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2DFAAB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41BEDC1">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28.435</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08342BB">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29.5×10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3BCD4787">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93%</w:t>
            </w:r>
          </w:p>
        </w:tc>
      </w:tr>
      <w:tr w14:paraId="47819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46C9B48">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液</w:t>
            </w:r>
          </w:p>
          <w:p w14:paraId="07F30515">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体</w:t>
            </w:r>
          </w:p>
          <w:p w14:paraId="571BCB7B">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w:t>
            </w:r>
          </w:p>
          <w:p w14:paraId="58B3B741">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料</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D68C339">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原油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451962E">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DC2CF54">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41.816</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8EADA77">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20.1×10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77C7F24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2F5B6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3626DC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C7815E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燃料油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796929D">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2B88E18">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41.816</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4A98CBB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21.1×10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19B5B2E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309FE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B727F1F">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31FB0E4D">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汽油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74C8FEB">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55E6D81">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43.070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68AC60B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18.9×10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7F39D446">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306AF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95914D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AF54C85">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柴油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C9FE0F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69BC725">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42.652</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5DE72FE8">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20.2×10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27B43FC9">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09F86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FA1D5FB">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2A29A46">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一般煤油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F72AE9B">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7880F64">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43.070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64FD1AD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19.6×10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67702AAD">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3C844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F71F57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E9F6820">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炼厂干气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553B1D9">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2B0F80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45.998</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223C0780">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18.2×10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36920133">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99%</w:t>
            </w:r>
          </w:p>
        </w:tc>
      </w:tr>
      <w:tr w14:paraId="6C9FF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814D36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91105FA">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液化天然气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8118CC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F096E22">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44.2</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7DE4846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17.2×10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01B4CBA6">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606AA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7C8558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22D95C3">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液化石油气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4206273">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DEBD23A">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50.179</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51538B60">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17.2×10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288AF07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68B5B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208E64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12F559A">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石脑油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0E45969">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F779E72">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44.5</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7E25E422">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20.0×10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78E85E06">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59437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96842E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38D1E0B5">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其它石油制品</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4D06551">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F0A86FB">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40.2</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2406F7D8">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20.0×10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2BB40F4E">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98%</w:t>
            </w:r>
          </w:p>
        </w:tc>
      </w:tr>
      <w:tr w14:paraId="37BF4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7CC6738">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气</w:t>
            </w:r>
          </w:p>
          <w:p w14:paraId="4216EF69">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体</w:t>
            </w:r>
          </w:p>
          <w:p w14:paraId="4D992E73">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燃</w:t>
            </w:r>
          </w:p>
          <w:p w14:paraId="45CFC211">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料</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156CA74">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天然气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144EA33">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D51C095">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389.31</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F8076D4">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15.3×10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484465E7">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99%</w:t>
            </w:r>
          </w:p>
        </w:tc>
      </w:tr>
      <w:tr w14:paraId="1AE6D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015F8E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56960F8">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焦炉煤气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84CCE40">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FBB4707">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179.81</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179DC813">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13.58×10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5014886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99%</w:t>
            </w:r>
          </w:p>
        </w:tc>
      </w:tr>
      <w:tr w14:paraId="10346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E612ED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FE1248C">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高炉煤气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68CAEC5">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EFA91B7">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33.000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FA2C598">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70.8×10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61D02C5B">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99%</w:t>
            </w:r>
          </w:p>
        </w:tc>
      </w:tr>
      <w:tr w14:paraId="0FD39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AAFDF1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AC6938B">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转炉煤气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3F4E396">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3964323">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84.000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1543FF00">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49.60×10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40D27B6F">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99%</w:t>
            </w:r>
          </w:p>
        </w:tc>
      </w:tr>
      <w:tr w14:paraId="50271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32A18C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6241C51">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其它煤气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8509B21">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C70C040">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52.270</w:t>
            </w: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1423EC42">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12.2×10</w:t>
            </w:r>
            <w:r>
              <w:rPr>
                <w:rFonts w:hint="default" w:ascii="Times New Roman" w:hAnsi="Times New Roman" w:cs="Times New Roman"/>
                <w:sz w:val="28"/>
                <w:szCs w:val="28"/>
                <w:highlight w:val="none"/>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24FB6BFA">
            <w:pPr>
              <w:pStyle w:val="6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99%</w:t>
            </w:r>
          </w:p>
        </w:tc>
      </w:tr>
      <w:tr w14:paraId="19B50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34" w:type="dxa"/>
            <w:gridSpan w:val="6"/>
            <w:tcBorders>
              <w:top w:val="single" w:color="auto" w:sz="4" w:space="0"/>
              <w:left w:val="single" w:color="auto" w:sz="8" w:space="0"/>
              <w:bottom w:val="single" w:color="auto" w:sz="8" w:space="0"/>
              <w:right w:val="single" w:color="auto" w:sz="8" w:space="0"/>
            </w:tcBorders>
            <w:shd w:val="clear" w:color="auto" w:fill="auto"/>
            <w:vAlign w:val="center"/>
          </w:tcPr>
          <w:p w14:paraId="44211CB1">
            <w:pPr>
              <w:pStyle w:val="83"/>
              <w:widowControl/>
              <w:numPr>
                <w:ilvl w:val="0"/>
                <w:numId w:val="8"/>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数据来源于《机械设备制造企业温室气体排放核算方法与报告指南（试行）》，仅供参考，如采用更新数据或其他数据，在报告中注明数据来源。</w:t>
            </w:r>
            <w:bookmarkEnd w:id="43"/>
          </w:p>
        </w:tc>
      </w:tr>
    </w:tbl>
    <w:p w14:paraId="14F4D438">
      <w:pPr>
        <w:bidi w:val="0"/>
        <w:spacing w:line="360" w:lineRule="auto"/>
        <w:rPr>
          <w:rFonts w:hint="default" w:ascii="Times New Roman" w:hAnsi="Times New Roman" w:cs="Times New Roman"/>
          <w:sz w:val="28"/>
          <w:szCs w:val="28"/>
          <w:highlight w:val="none"/>
        </w:rPr>
      </w:pPr>
    </w:p>
    <w:p w14:paraId="615E11A1">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0"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50"/>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68283DFA">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在编制标准过程中，为确保标准的科学性、实用性和可靠性，编制组对不锈钢无缝钢管生产企业温室气体排放的关键环节进行了深入的试验和情况分析。通过对化</w:t>
      </w:r>
      <w:bookmarkStart w:id="59" w:name="_GoBack"/>
      <w:bookmarkEnd w:id="59"/>
      <w:r>
        <w:rPr>
          <w:rFonts w:hint="default" w:ascii="Times New Roman" w:hAnsi="Times New Roman" w:cs="Times New Roman"/>
          <w:sz w:val="28"/>
          <w:szCs w:val="28"/>
          <w:highlight w:val="none"/>
        </w:rPr>
        <w:t>石燃料燃烧排放、工业生产过程排放及购入电力和热力产生的排放进行了系统性核算和验证，明确了各阶段的排放源识别、活动数据收集及排放因子选择的技术要求。特别是针对生产过程中的二氧化碳气体保护焊排放、能源消耗及运输环节的排放，通过多场景模拟和实际案例验证，优化了核算方法的适用性和准确性。此外，还对数据质量管理提出了具体要求，包括数据来源的可靠性、监测设备的校准及数据记录的完整性，确保核算结果的可信度。通过这些试验和分析，标准在技术要求、数据处理和报告格式等方面得到了充分验证，为不锈钢无缝钢管企业的温室气体排放核算提供了可靠的技术支撑。</w:t>
      </w:r>
    </w:p>
    <w:p w14:paraId="0DD8E88F">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1"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51"/>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2"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52"/>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温室气体排放</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53"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53"/>
    </w:p>
    <w:p w14:paraId="54ED1537">
      <w:pPr>
        <w:pStyle w:val="32"/>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4"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54"/>
    </w:p>
    <w:p w14:paraId="6E233F21">
      <w:pPr>
        <w:pStyle w:val="32"/>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5"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55"/>
    </w:p>
    <w:p w14:paraId="693333F0">
      <w:pPr>
        <w:pStyle w:val="32"/>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6"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56"/>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7"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57"/>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8"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58"/>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pgSz w:w="11906" w:h="16838"/>
      <w:pgMar w:top="1418" w:right="1418" w:bottom="1985"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17"/>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1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DB344"/>
    <w:multiLevelType w:val="multilevel"/>
    <w:tmpl w:val="A98DB344"/>
    <w:lvl w:ilvl="0" w:tentative="0">
      <w:start w:val="1"/>
      <w:numFmt w:val="none"/>
      <w:pStyle w:val="81"/>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1">
    <w:nsid w:val="AFAE2398"/>
    <w:multiLevelType w:val="multilevel"/>
    <w:tmpl w:val="AFAE2398"/>
    <w:lvl w:ilvl="0" w:tentative="0">
      <w:start w:val="1"/>
      <w:numFmt w:val="upperLetter"/>
      <w:pStyle w:val="55"/>
      <w:suff w:val="nothing"/>
      <w:lvlText w:val="附录%1"/>
      <w:lvlJc w:val="left"/>
      <w:pPr>
        <w:ind w:left="0" w:firstLine="0"/>
      </w:pPr>
      <w:rPr>
        <w:spacing w:val="100"/>
      </w:r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B3996FDD"/>
    <w:multiLevelType w:val="multilevel"/>
    <w:tmpl w:val="B3996FDD"/>
    <w:lvl w:ilvl="0" w:tentative="0">
      <w:start w:val="1"/>
      <w:numFmt w:val="none"/>
      <w:pStyle w:val="83"/>
      <w:lvlText w:val="%1注："/>
      <w:lvlJc w:val="left"/>
      <w:pPr>
        <w:ind w:left="737" w:hanging="374"/>
      </w:pPr>
      <w:rPr>
        <w:rFonts w:hint="eastAsia" w:ascii="黑体" w:hAnsi="Times New Roman" w:eastAsia="黑体" w:cs="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abstractNum w:abstractNumId="3">
    <w:nsid w:val="019430B3"/>
    <w:multiLevelType w:val="multilevel"/>
    <w:tmpl w:val="019430B3"/>
    <w:lvl w:ilvl="0" w:tentative="0">
      <w:start w:val="1"/>
      <w:numFmt w:val="decimal"/>
      <w:pStyle w:val="44"/>
      <w:lvlText w:val="%1"/>
      <w:lvlJc w:val="left"/>
      <w:pPr>
        <w:ind w:left="425" w:hanging="425"/>
      </w:pPr>
    </w:lvl>
    <w:lvl w:ilvl="1" w:tentative="0">
      <w:start w:val="1"/>
      <w:numFmt w:val="decimal"/>
      <w:pStyle w:val="45"/>
      <w:lvlText w:val="%1.%2"/>
      <w:lvlJc w:val="left"/>
      <w:pPr>
        <w:ind w:left="992" w:hanging="567"/>
      </w:pPr>
    </w:lvl>
    <w:lvl w:ilvl="2" w:tentative="0">
      <w:start w:val="1"/>
      <w:numFmt w:val="decimal"/>
      <w:pStyle w:val="42"/>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2A9C0B44"/>
    <w:multiLevelType w:val="multilevel"/>
    <w:tmpl w:val="2A9C0B44"/>
    <w:lvl w:ilvl="0" w:tentative="0">
      <w:start w:val="1"/>
      <w:numFmt w:val="none"/>
      <w:suff w:val="nothing"/>
      <w:lvlText w:val="%1"/>
      <w:lvlJc w:val="left"/>
      <w:pPr>
        <w:ind w:left="0" w:firstLine="0"/>
      </w:pPr>
    </w:lvl>
    <w:lvl w:ilvl="1" w:tentative="0">
      <w:start w:val="1"/>
      <w:numFmt w:val="decimal"/>
      <w:pStyle w:val="51"/>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86"/>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77"/>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cs="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5">
    <w:nsid w:val="3835549F"/>
    <w:multiLevelType w:val="multilevel"/>
    <w:tmpl w:val="3835549F"/>
    <w:lvl w:ilvl="0" w:tentative="0">
      <w:start w:val="1"/>
      <w:numFmt w:val="upperLetter"/>
      <w:pStyle w:val="71"/>
      <w:lvlText w:val="%1"/>
      <w:lvlJc w:val="left"/>
      <w:pPr>
        <w:ind w:left="420" w:hanging="420"/>
      </w:pPr>
    </w:lvl>
    <w:lvl w:ilvl="1" w:tentative="0">
      <w:start w:val="1"/>
      <w:numFmt w:val="decimal"/>
      <w:suff w:val="space"/>
      <w:lvlText w:val="图%1.%2"/>
      <w:lvlJc w:val="center"/>
      <w:pPr>
        <w:ind w:left="0" w:firstLine="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33AAC8"/>
    <w:multiLevelType w:val="multilevel"/>
    <w:tmpl w:val="5F33AAC8"/>
    <w:lvl w:ilvl="0" w:tentative="0">
      <w:start w:val="1"/>
      <w:numFmt w:val="decimal"/>
      <w:pStyle w:val="8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72" w:hanging="1418"/>
      </w:pPr>
    </w:lvl>
    <w:lvl w:ilvl="8" w:tentative="0">
      <w:start w:val="1"/>
      <w:numFmt w:val="decimal"/>
      <w:lvlText w:val="%1.%2.%3.%4.%5.%6.%7.%8.%9"/>
      <w:lvlJc w:val="left"/>
      <w:pPr>
        <w:tabs>
          <w:tab w:val="left" w:pos="4774"/>
        </w:tabs>
        <w:ind w:left="4677" w:hanging="1702"/>
      </w:pPr>
    </w:lvl>
  </w:abstractNum>
  <w:abstractNum w:abstractNumId="7">
    <w:nsid w:val="65F075DE"/>
    <w:multiLevelType w:val="multilevel"/>
    <w:tmpl w:val="65F075DE"/>
    <w:lvl w:ilvl="0" w:tentative="0">
      <w:start w:val="1"/>
      <w:numFmt w:val="upperLetter"/>
      <w:pStyle w:val="74"/>
      <w:suff w:val="space"/>
      <w:lvlText w:val="%1"/>
      <w:lvlJc w:val="left"/>
      <w:pPr>
        <w:ind w:left="425" w:hanging="425"/>
      </w:pPr>
    </w:lvl>
    <w:lvl w:ilvl="1" w:tentative="0">
      <w:start w:val="1"/>
      <w:numFmt w:val="decimal"/>
      <w:pStyle w:val="72"/>
      <w:suff w:val="space"/>
      <w:lvlText w:val="表%1.%2"/>
      <w:lvlJc w:val="center"/>
      <w:pPr>
        <w:ind w:left="1843" w:firstLine="0"/>
      </w:pPr>
      <w:rPr>
        <w:rFonts w:hint="eastAsia" w:ascii="黑体" w:hAnsi="Times New Roman" w:eastAsia="黑体" w:cs="黑体"/>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3"/>
  </w:num>
  <w:num w:numId="2">
    <w:abstractNumId w:val="4"/>
  </w:num>
  <w:num w:numId="3">
    <w:abstractNumId w:val="1"/>
  </w:num>
  <w:num w:numId="4">
    <w:abstractNumId w:val="5"/>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F15287C"/>
    <w:rsid w:val="255B6B18"/>
    <w:rsid w:val="2C2D1EE2"/>
    <w:rsid w:val="2D467F37"/>
    <w:rsid w:val="2DAD6C8F"/>
    <w:rsid w:val="38A85435"/>
    <w:rsid w:val="3AFC0F1D"/>
    <w:rsid w:val="40E14CE3"/>
    <w:rsid w:val="542D0422"/>
    <w:rsid w:val="57BF1D4F"/>
    <w:rsid w:val="663F4E49"/>
    <w:rsid w:val="67A80C44"/>
    <w:rsid w:val="689F0425"/>
    <w:rsid w:val="6B9E6287"/>
    <w:rsid w:val="6D8B303B"/>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8"/>
    <w:qFormat/>
    <w:uiPriority w:val="9"/>
    <w:pPr>
      <w:keepNext/>
      <w:keepLines/>
      <w:spacing w:before="340" w:beforeLines="0" w:beforeAutospacing="0" w:after="330" w:afterLines="0" w:afterAutospacing="0" w:line="360" w:lineRule="auto"/>
      <w:outlineLvl w:val="0"/>
    </w:pPr>
    <w:rPr>
      <w:rFonts w:eastAsia="黑体" w:asciiTheme="minorAscii" w:hAnsiTheme="minorAscii"/>
      <w:b/>
      <w:kern w:val="44"/>
      <w:sz w:val="36"/>
    </w:rPr>
  </w:style>
  <w:style w:type="paragraph" w:styleId="3">
    <w:name w:val="heading 2"/>
    <w:basedOn w:val="1"/>
    <w:next w:val="1"/>
    <w:link w:val="54"/>
    <w:semiHidden/>
    <w:unhideWhenUsed/>
    <w:qFormat/>
    <w:uiPriority w:val="9"/>
    <w:pPr>
      <w:keepNext/>
      <w:keepLines/>
      <w:spacing w:before="260" w:beforeLines="0" w:beforeAutospacing="0" w:after="260" w:afterLines="0" w:afterAutospacing="0" w:line="360" w:lineRule="auto"/>
      <w:outlineLvl w:val="1"/>
    </w:pPr>
    <w:rPr>
      <w:rFonts w:ascii="Arial" w:hAnsi="Arial" w:eastAsia="黑体"/>
      <w:sz w:val="32"/>
    </w:rPr>
  </w:style>
  <w:style w:type="paragraph" w:styleId="4">
    <w:name w:val="heading 3"/>
    <w:basedOn w:val="1"/>
    <w:next w:val="1"/>
    <w:link w:val="30"/>
    <w:unhideWhenUsed/>
    <w:qFormat/>
    <w:uiPriority w:val="9"/>
    <w:pPr>
      <w:keepNext/>
      <w:keepLines/>
      <w:adjustRightInd w:val="0"/>
      <w:snapToGrid w:val="0"/>
      <w:spacing w:line="360" w:lineRule="auto"/>
      <w:outlineLvl w:val="2"/>
    </w:pPr>
    <w:rPr>
      <w:rFonts w:ascii="Times New Roman" w:hAnsi="Times New Roman"/>
      <w:b/>
      <w:bCs/>
      <w:szCs w:val="32"/>
    </w:rPr>
  </w:style>
  <w:style w:type="paragraph" w:styleId="5">
    <w:name w:val="heading 4"/>
    <w:basedOn w:val="1"/>
    <w:next w:val="1"/>
    <w:link w:val="49"/>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53"/>
    <w:semiHidden/>
    <w:unhideWhenUsed/>
    <w:qFormat/>
    <w:uiPriority w:val="9"/>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58"/>
    <w:semiHidden/>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59"/>
    <w:semiHidden/>
    <w:unhideWhenUsed/>
    <w:qFormat/>
    <w:uiPriority w:val="9"/>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60"/>
    <w:semiHidden/>
    <w:unhideWhenUsed/>
    <w:qFormat/>
    <w:uiPriority w:val="9"/>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61"/>
    <w:semiHidden/>
    <w:unhideWhenUsed/>
    <w:qFormat/>
    <w:uiPriority w:val="9"/>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5">
    <w:name w:val="Default Paragraph Font"/>
    <w:semiHidden/>
    <w:unhideWhenUsed/>
    <w:qFormat/>
    <w:uiPriority w:val="1"/>
  </w:style>
  <w:style w:type="table" w:default="1" w:styleId="2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caption"/>
    <w:basedOn w:val="1"/>
    <w:next w:val="1"/>
    <w:unhideWhenUsed/>
    <w:qFormat/>
    <w:uiPriority w:val="35"/>
    <w:pPr>
      <w:jc w:val="center"/>
    </w:pPr>
    <w:rPr>
      <w:rFonts w:eastAsia="黑体" w:asciiTheme="majorHAnsi" w:hAnsiTheme="majorHAnsi" w:cstheme="majorBidi"/>
      <w:szCs w:val="20"/>
    </w:rPr>
  </w:style>
  <w:style w:type="paragraph" w:styleId="12">
    <w:name w:val="Body Text"/>
    <w:basedOn w:val="1"/>
    <w:link w:val="62"/>
    <w:semiHidden/>
    <w:unhideWhenUsed/>
    <w:qFormat/>
    <w:uiPriority w:val="99"/>
    <w:pPr>
      <w:spacing w:after="120" w:afterLines="0" w:afterAutospacing="0"/>
    </w:pPr>
  </w:style>
  <w:style w:type="paragraph" w:styleId="13">
    <w:name w:val="Body Text Indent"/>
    <w:basedOn w:val="1"/>
    <w:link w:val="41"/>
    <w:autoRedefine/>
    <w:qFormat/>
    <w:uiPriority w:val="0"/>
    <w:pPr>
      <w:spacing w:line="300" w:lineRule="auto"/>
      <w:ind w:firstLine="420" w:firstLineChars="200"/>
    </w:pPr>
    <w:rPr>
      <w:rFonts w:ascii="Times New Roman" w:hAnsi="宋体" w:eastAsia="宋体" w:cs="Times New Roman"/>
      <w:szCs w:val="20"/>
    </w:rPr>
  </w:style>
  <w:style w:type="paragraph" w:styleId="14">
    <w:name w:val="Date"/>
    <w:basedOn w:val="1"/>
    <w:next w:val="1"/>
    <w:link w:val="40"/>
    <w:autoRedefine/>
    <w:semiHidden/>
    <w:unhideWhenUsed/>
    <w:qFormat/>
    <w:uiPriority w:val="99"/>
    <w:pPr>
      <w:ind w:left="100" w:leftChars="2500"/>
    </w:pPr>
  </w:style>
  <w:style w:type="paragraph" w:styleId="15">
    <w:name w:val="endnote text"/>
    <w:basedOn w:val="1"/>
    <w:link w:val="38"/>
    <w:autoRedefine/>
    <w:qFormat/>
    <w:uiPriority w:val="99"/>
    <w:pPr>
      <w:snapToGrid w:val="0"/>
      <w:jc w:val="left"/>
    </w:pPr>
    <w:rPr>
      <w:rFonts w:ascii="Calibri" w:hAnsi="Calibri" w:eastAsia="宋体" w:cs="Times New Roman"/>
      <w:szCs w:val="24"/>
    </w:rPr>
  </w:style>
  <w:style w:type="paragraph" w:styleId="16">
    <w:name w:val="Balloon Text"/>
    <w:basedOn w:val="1"/>
    <w:link w:val="37"/>
    <w:autoRedefine/>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unhideWhenUsed/>
    <w:qFormat/>
    <w:uiPriority w:val="39"/>
  </w:style>
  <w:style w:type="paragraph" w:styleId="20">
    <w:name w:val="footnote text"/>
    <w:basedOn w:val="1"/>
    <w:link w:val="64"/>
    <w:semiHidden/>
    <w:unhideWhenUsed/>
    <w:qFormat/>
    <w:uiPriority w:val="99"/>
    <w:pPr>
      <w:snapToGrid w:val="0"/>
      <w:jc w:val="left"/>
    </w:pPr>
    <w:rPr>
      <w:sz w:val="18"/>
    </w:rPr>
  </w:style>
  <w:style w:type="paragraph" w:styleId="2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link w:val="65"/>
    <w:qFormat/>
    <w:uiPriority w:val="10"/>
    <w:pPr>
      <w:spacing w:before="240" w:beforeLines="0" w:beforeAutospacing="0" w:after="60" w:afterLines="0" w:afterAutospacing="0"/>
      <w:jc w:val="center"/>
      <w:outlineLvl w:val="0"/>
    </w:pPr>
    <w:rPr>
      <w:rFonts w:ascii="Arial" w:hAnsi="Arial"/>
      <w:b/>
      <w:sz w:val="32"/>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rPr>
      <w:rFonts w:hint="eastAsia" w:ascii="宋体" w:hAnsi="Times New Roman" w:eastAsia="宋体" w:cs="宋体"/>
      <w:sz w:val="18"/>
    </w:rPr>
  </w:style>
  <w:style w:type="character" w:styleId="27">
    <w:name w:val="FollowedHyperlink"/>
    <w:basedOn w:val="25"/>
    <w:semiHidden/>
    <w:unhideWhenUsed/>
    <w:qFormat/>
    <w:uiPriority w:val="99"/>
    <w:rPr>
      <w:color w:val="954F72"/>
      <w:u w:val="single"/>
    </w:rPr>
  </w:style>
  <w:style w:type="character" w:styleId="28">
    <w:name w:val="Hyperlink"/>
    <w:basedOn w:val="25"/>
    <w:semiHidden/>
    <w:unhideWhenUsed/>
    <w:qFormat/>
    <w:uiPriority w:val="99"/>
    <w:rPr>
      <w:rFonts w:hint="eastAsia" w:ascii="宋体" w:hAnsi="Times New Roman" w:eastAsia="宋体" w:cs="宋体"/>
      <w:color w:val="auto"/>
      <w:spacing w:val="0"/>
      <w:w w:val="100"/>
      <w:position w:val="0"/>
      <w:sz w:val="21"/>
      <w:u w:val="none"/>
      <w:vertAlign w:val="baseline"/>
    </w:rPr>
  </w:style>
  <w:style w:type="character" w:styleId="29">
    <w:name w:val="footnote reference"/>
    <w:basedOn w:val="25"/>
    <w:semiHidden/>
    <w:unhideWhenUsed/>
    <w:qFormat/>
    <w:uiPriority w:val="99"/>
    <w:rPr>
      <w:rFonts w:hint="eastAsia" w:ascii="宋体" w:hAnsi="宋体" w:eastAsia="宋体" w:cs="Times New Roman"/>
      <w:spacing w:val="0"/>
      <w:sz w:val="18"/>
      <w:vertAlign w:val="superscript"/>
    </w:rPr>
  </w:style>
  <w:style w:type="character" w:customStyle="1" w:styleId="30">
    <w:name w:val="标题 3 字符"/>
    <w:basedOn w:val="25"/>
    <w:link w:val="4"/>
    <w:autoRedefine/>
    <w:qFormat/>
    <w:uiPriority w:val="9"/>
    <w:rPr>
      <w:rFonts w:ascii="Times New Roman" w:hAnsi="Times New Roman"/>
      <w:b/>
      <w:bCs/>
      <w:szCs w:val="32"/>
    </w:rPr>
  </w:style>
  <w:style w:type="character" w:customStyle="1" w:styleId="31">
    <w:name w:val="页脚 字符"/>
    <w:basedOn w:val="25"/>
    <w:link w:val="17"/>
    <w:qFormat/>
    <w:uiPriority w:val="99"/>
    <w:rPr>
      <w:sz w:val="18"/>
      <w:szCs w:val="18"/>
    </w:rPr>
  </w:style>
  <w:style w:type="paragraph" w:styleId="32">
    <w:name w:val="List Paragraph"/>
    <w:basedOn w:val="1"/>
    <w:autoRedefine/>
    <w:qFormat/>
    <w:uiPriority w:val="34"/>
    <w:pPr>
      <w:ind w:firstLine="420" w:firstLineChars="200"/>
    </w:pPr>
  </w:style>
  <w:style w:type="paragraph" w:customStyle="1" w:styleId="33">
    <w:name w:val="段"/>
    <w:link w:val="3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34">
    <w:name w:val="段 Char"/>
    <w:link w:val="33"/>
    <w:autoRedefine/>
    <w:qFormat/>
    <w:uiPriority w:val="0"/>
    <w:rPr>
      <w:rFonts w:ascii="宋体" w:hAnsi="Times New Roman" w:eastAsia="宋体" w:cs="Times New Roman"/>
      <w:kern w:val="0"/>
      <w:szCs w:val="20"/>
    </w:rPr>
  </w:style>
  <w:style w:type="table" w:customStyle="1" w:styleId="35">
    <w:name w:val="浅色底纹1"/>
    <w:basedOn w:val="23"/>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36">
    <w:name w:val="页眉 字符"/>
    <w:basedOn w:val="25"/>
    <w:link w:val="18"/>
    <w:autoRedefine/>
    <w:qFormat/>
    <w:uiPriority w:val="99"/>
    <w:rPr>
      <w:sz w:val="18"/>
      <w:szCs w:val="18"/>
    </w:rPr>
  </w:style>
  <w:style w:type="character" w:customStyle="1" w:styleId="37">
    <w:name w:val="批注框文本 字符"/>
    <w:basedOn w:val="25"/>
    <w:link w:val="16"/>
    <w:autoRedefine/>
    <w:semiHidden/>
    <w:qFormat/>
    <w:uiPriority w:val="99"/>
    <w:rPr>
      <w:sz w:val="18"/>
      <w:szCs w:val="18"/>
    </w:rPr>
  </w:style>
  <w:style w:type="character" w:customStyle="1" w:styleId="38">
    <w:name w:val="尾注文本 字符"/>
    <w:basedOn w:val="25"/>
    <w:link w:val="15"/>
    <w:autoRedefine/>
    <w:qFormat/>
    <w:uiPriority w:val="99"/>
    <w:rPr>
      <w:rFonts w:ascii="Calibri" w:hAnsi="Calibri" w:eastAsia="宋体" w:cs="Times New Roman"/>
      <w:szCs w:val="24"/>
    </w:rPr>
  </w:style>
  <w:style w:type="table" w:customStyle="1" w:styleId="39">
    <w:name w:val="网格型1"/>
    <w:basedOn w:val="23"/>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0">
    <w:name w:val="日期 字符"/>
    <w:basedOn w:val="25"/>
    <w:link w:val="14"/>
    <w:autoRedefine/>
    <w:semiHidden/>
    <w:qFormat/>
    <w:uiPriority w:val="99"/>
  </w:style>
  <w:style w:type="character" w:customStyle="1" w:styleId="41">
    <w:name w:val="正文文本缩进 字符"/>
    <w:basedOn w:val="25"/>
    <w:link w:val="13"/>
    <w:autoRedefine/>
    <w:qFormat/>
    <w:uiPriority w:val="0"/>
    <w:rPr>
      <w:rFonts w:ascii="Times New Roman" w:hAnsi="宋体" w:eastAsia="宋体" w:cs="Times New Roman"/>
      <w:szCs w:val="20"/>
    </w:rPr>
  </w:style>
  <w:style w:type="paragraph" w:customStyle="1" w:styleId="42">
    <w:name w:val="二级条标题"/>
    <w:basedOn w:val="1"/>
    <w:next w:val="33"/>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43">
    <w:name w:val="headline-content2"/>
    <w:basedOn w:val="25"/>
    <w:autoRedefine/>
    <w:qFormat/>
    <w:uiPriority w:val="0"/>
  </w:style>
  <w:style w:type="paragraph" w:customStyle="1" w:styleId="44">
    <w:name w:val="章标题"/>
    <w:next w:val="33"/>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45">
    <w:name w:val="一级条标题"/>
    <w:next w:val="33"/>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46">
    <w:name w:val="二级无"/>
    <w:basedOn w:val="42"/>
    <w:autoRedefine/>
    <w:qFormat/>
    <w:uiPriority w:val="0"/>
    <w:pPr>
      <w:spacing w:beforeLines="0" w:afterLines="0"/>
      <w:ind w:left="0" w:firstLine="0"/>
    </w:pPr>
    <w:rPr>
      <w:rFonts w:ascii="宋体" w:eastAsia="宋体"/>
    </w:rPr>
  </w:style>
  <w:style w:type="paragraph" w:customStyle="1" w:styleId="47">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48">
    <w:name w:val="标题 1 字符"/>
    <w:basedOn w:val="25"/>
    <w:link w:val="2"/>
    <w:qFormat/>
    <w:uiPriority w:val="0"/>
    <w:rPr>
      <w:b/>
      <w:bCs/>
      <w:kern w:val="44"/>
      <w:sz w:val="44"/>
      <w:szCs w:val="44"/>
    </w:rPr>
  </w:style>
  <w:style w:type="character" w:customStyle="1" w:styleId="49">
    <w:name w:val="标题 4 字符"/>
    <w:basedOn w:val="25"/>
    <w:link w:val="5"/>
    <w:uiPriority w:val="0"/>
    <w:rPr>
      <w:rFonts w:ascii="Arial" w:hAnsi="Arial" w:eastAsia="黑体" w:cs="Arial"/>
      <w:b/>
      <w:bCs/>
      <w:kern w:val="2"/>
      <w:sz w:val="28"/>
      <w:szCs w:val="28"/>
    </w:rPr>
  </w:style>
  <w:style w:type="paragraph" w:customStyle="1" w:styleId="50">
    <w:name w:val="标准文件_一级条标题"/>
    <w:basedOn w:val="51"/>
    <w:next w:val="52"/>
    <w:qFormat/>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51">
    <w:name w:val="标准文件_章标题"/>
    <w:basedOn w:val="1"/>
    <w:next w:val="52"/>
    <w:qFormat/>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52">
    <w:name w:val="标准文件_段"/>
    <w:basedOn w:val="1"/>
    <w:link w:val="79"/>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53">
    <w:name w:val="标题 5 字符"/>
    <w:basedOn w:val="25"/>
    <w:link w:val="6"/>
    <w:uiPriority w:val="0"/>
    <w:rPr>
      <w:b/>
      <w:bCs/>
      <w:kern w:val="2"/>
      <w:sz w:val="28"/>
      <w:szCs w:val="28"/>
    </w:rPr>
  </w:style>
  <w:style w:type="character" w:customStyle="1" w:styleId="54">
    <w:name w:val="标题 2 字符"/>
    <w:basedOn w:val="25"/>
    <w:link w:val="3"/>
    <w:qFormat/>
    <w:uiPriority w:val="0"/>
    <w:rPr>
      <w:rFonts w:hint="default" w:ascii="Arial" w:hAnsi="Arial" w:eastAsia="黑体" w:cs="Arial"/>
      <w:b/>
      <w:bCs/>
      <w:kern w:val="2"/>
      <w:sz w:val="32"/>
      <w:szCs w:val="32"/>
    </w:rPr>
  </w:style>
  <w:style w:type="paragraph" w:customStyle="1" w:styleId="55">
    <w:name w:val="标准文件_附录标识"/>
    <w:basedOn w:val="1"/>
    <w:next w:val="52"/>
    <w:uiPriority w:val="0"/>
    <w:pPr>
      <w:keepNext w:val="0"/>
      <w:keepLines w:val="0"/>
      <w:widowControl/>
      <w:numPr>
        <w:ilvl w:val="0"/>
        <w:numId w:val="3"/>
      </w:numPr>
      <w:suppressLineNumbers w:val="0"/>
      <w:shd w:val="clear" w:fill="FFFFFF"/>
      <w:tabs>
        <w:tab w:val="left" w:pos="6406"/>
      </w:tabs>
      <w:adjustRightInd/>
      <w:spacing w:before="560" w:beforeAutospacing="0" w:after="50" w:afterLines="50" w:afterAutospacing="0" w:line="240" w:lineRule="auto"/>
      <w:ind w:left="0" w:right="0" w:firstLine="0"/>
      <w:jc w:val="center"/>
      <w:outlineLvl w:val="0"/>
    </w:pPr>
    <w:rPr>
      <w:rFonts w:hint="eastAsia" w:ascii="黑体" w:hAnsi="Times New Roman" w:eastAsia="黑体" w:cs="Times New Roman"/>
      <w:kern w:val="0"/>
      <w:sz w:val="21"/>
      <w:szCs w:val="20"/>
      <w:lang w:val="en-US" w:eastAsia="zh-CN" w:bidi="ar"/>
    </w:rPr>
  </w:style>
  <w:style w:type="character" w:customStyle="1" w:styleId="56">
    <w:name w:val="个人答复风格"/>
    <w:basedOn w:val="25"/>
    <w:uiPriority w:val="0"/>
    <w:rPr>
      <w:rFonts w:hint="default" w:ascii="Arial" w:hAnsi="Arial" w:eastAsia="宋体" w:cs="Arial"/>
      <w:color w:val="auto"/>
      <w:spacing w:val="0"/>
      <w:sz w:val="20"/>
    </w:rPr>
  </w:style>
  <w:style w:type="character" w:customStyle="1" w:styleId="57">
    <w:name w:val="msoplaceholdertext"/>
    <w:basedOn w:val="25"/>
    <w:uiPriority w:val="0"/>
    <w:rPr>
      <w:color w:val="808080"/>
    </w:rPr>
  </w:style>
  <w:style w:type="character" w:customStyle="1" w:styleId="58">
    <w:name w:val="标题 6 字符"/>
    <w:basedOn w:val="25"/>
    <w:link w:val="7"/>
    <w:uiPriority w:val="0"/>
    <w:rPr>
      <w:rFonts w:hint="default" w:ascii="Arial" w:hAnsi="Arial" w:eastAsia="黑体" w:cs="Arial"/>
      <w:b/>
      <w:bCs/>
      <w:kern w:val="2"/>
      <w:sz w:val="24"/>
      <w:szCs w:val="24"/>
    </w:rPr>
  </w:style>
  <w:style w:type="character" w:customStyle="1" w:styleId="59">
    <w:name w:val="标题 7 字符"/>
    <w:basedOn w:val="25"/>
    <w:link w:val="8"/>
    <w:uiPriority w:val="0"/>
    <w:rPr>
      <w:b/>
      <w:bCs/>
      <w:kern w:val="2"/>
      <w:sz w:val="24"/>
      <w:szCs w:val="24"/>
    </w:rPr>
  </w:style>
  <w:style w:type="character" w:customStyle="1" w:styleId="60">
    <w:name w:val="标题 8 字符"/>
    <w:basedOn w:val="25"/>
    <w:link w:val="9"/>
    <w:uiPriority w:val="0"/>
    <w:rPr>
      <w:rFonts w:hint="default" w:ascii="Arial" w:hAnsi="Arial" w:eastAsia="黑体" w:cs="Arial"/>
      <w:kern w:val="2"/>
      <w:sz w:val="24"/>
      <w:szCs w:val="24"/>
    </w:rPr>
  </w:style>
  <w:style w:type="character" w:customStyle="1" w:styleId="61">
    <w:name w:val="标题 9 字符"/>
    <w:basedOn w:val="25"/>
    <w:link w:val="10"/>
    <w:qFormat/>
    <w:uiPriority w:val="0"/>
    <w:rPr>
      <w:rFonts w:hint="default" w:ascii="Arial" w:hAnsi="Arial" w:eastAsia="黑体" w:cs="Arial"/>
      <w:kern w:val="2"/>
      <w:sz w:val="21"/>
      <w:szCs w:val="21"/>
    </w:rPr>
  </w:style>
  <w:style w:type="character" w:customStyle="1" w:styleId="62">
    <w:name w:val="正文文本 字符"/>
    <w:basedOn w:val="25"/>
    <w:link w:val="12"/>
    <w:qFormat/>
    <w:uiPriority w:val="0"/>
    <w:rPr>
      <w:kern w:val="2"/>
      <w:sz w:val="21"/>
      <w:szCs w:val="21"/>
    </w:rPr>
  </w:style>
  <w:style w:type="paragraph" w:customStyle="1" w:styleId="63">
    <w:name w:val="标准文件_表格"/>
    <w:basedOn w:val="52"/>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character" w:customStyle="1" w:styleId="64">
    <w:name w:val="脚注文本 字符"/>
    <w:basedOn w:val="25"/>
    <w:link w:val="20"/>
    <w:uiPriority w:val="0"/>
    <w:rPr>
      <w:rFonts w:hint="eastAsia" w:ascii="宋体" w:hAnsi="宋体" w:eastAsia="宋体" w:cs="宋体"/>
      <w:kern w:val="2"/>
      <w:sz w:val="18"/>
      <w:szCs w:val="18"/>
    </w:rPr>
  </w:style>
  <w:style w:type="character" w:customStyle="1" w:styleId="65">
    <w:name w:val="标题 字符"/>
    <w:basedOn w:val="25"/>
    <w:link w:val="22"/>
    <w:qFormat/>
    <w:uiPriority w:val="0"/>
    <w:rPr>
      <w:rFonts w:hint="default" w:ascii="Arial" w:hAnsi="Arial" w:cs="Arial"/>
      <w:b/>
      <w:bCs/>
      <w:kern w:val="2"/>
      <w:sz w:val="32"/>
      <w:szCs w:val="32"/>
    </w:rPr>
  </w:style>
  <w:style w:type="character" w:customStyle="1" w:styleId="66">
    <w:name w:val="引用 字符"/>
    <w:basedOn w:val="25"/>
    <w:qFormat/>
    <w:uiPriority w:val="0"/>
    <w:rPr>
      <w:i/>
      <w:iCs/>
      <w:color w:val="000000"/>
      <w:kern w:val="2"/>
      <w:sz w:val="21"/>
      <w:szCs w:val="21"/>
    </w:rPr>
  </w:style>
  <w:style w:type="character" w:customStyle="1" w:styleId="67">
    <w:name w:val="标准文件_发布"/>
    <w:basedOn w:val="25"/>
    <w:qFormat/>
    <w:uiPriority w:val="0"/>
    <w:rPr>
      <w:rFonts w:hint="eastAsia" w:ascii="黑体" w:hAnsi="宋体" w:eastAsia="黑体" w:cs="黑体"/>
      <w:spacing w:val="0"/>
      <w:w w:val="100"/>
      <w:position w:val="3"/>
      <w:sz w:val="28"/>
    </w:rPr>
  </w:style>
  <w:style w:type="paragraph" w:customStyle="1" w:styleId="68">
    <w:name w:val="标准文件_标准正文"/>
    <w:basedOn w:val="1"/>
    <w:next w:val="52"/>
    <w:uiPriority w:val="0"/>
    <w:pPr>
      <w:keepNext w:val="0"/>
      <w:keepLines w:val="0"/>
      <w:widowControl w:val="0"/>
      <w:suppressLineNumbers w:val="0"/>
      <w:adjustRightInd w:val="0"/>
      <w:snapToGrid w:val="0"/>
      <w:spacing w:before="0" w:beforeAutospacing="0" w:after="0" w:afterAutospacing="0" w:line="400" w:lineRule="exact"/>
      <w:ind w:left="0" w:right="0" w:firstLine="200" w:firstLineChars="200"/>
      <w:jc w:val="both"/>
    </w:pPr>
    <w:rPr>
      <w:rFonts w:hint="default" w:ascii="Calibri" w:hAnsi="Calibri" w:eastAsia="宋体" w:cs="Times New Roman"/>
      <w:kern w:val="0"/>
      <w:sz w:val="21"/>
      <w:szCs w:val="21"/>
      <w:lang w:val="en-US" w:eastAsia="zh-CN" w:bidi="ar"/>
    </w:rPr>
  </w:style>
  <w:style w:type="paragraph" w:customStyle="1" w:styleId="69">
    <w:name w:val="标准文件_正文公式"/>
    <w:basedOn w:val="1"/>
    <w:next w:val="68"/>
    <w:uiPriority w:val="0"/>
    <w:pPr>
      <w:keepNext w:val="0"/>
      <w:keepLines w:val="0"/>
      <w:widowControl w:val="0"/>
      <w:suppressLineNumbers w:val="0"/>
      <w:tabs>
        <w:tab w:val="center" w:pos="4678"/>
        <w:tab w:val="right" w:leader="middleDot" w:pos="9356"/>
      </w:tabs>
      <w:adjustRightInd w:val="0"/>
      <w:spacing w:before="0" w:beforeAutospacing="0" w:after="0" w:afterAutospacing="0" w:line="240" w:lineRule="auto"/>
      <w:ind w:left="0" w:right="0"/>
      <w:jc w:val="both"/>
    </w:pPr>
    <w:rPr>
      <w:rFonts w:hint="eastAsia" w:ascii="宋体" w:hAnsi="宋体" w:eastAsia="宋体" w:cs="Times New Roman"/>
      <w:kern w:val="2"/>
      <w:sz w:val="21"/>
      <w:szCs w:val="21"/>
      <w:lang w:val="en-US" w:eastAsia="zh-CN" w:bidi="ar"/>
    </w:rPr>
  </w:style>
  <w:style w:type="paragraph" w:customStyle="1" w:styleId="70">
    <w:name w:val="标准文件_二级条标题"/>
    <w:basedOn w:val="1"/>
    <w:next w:val="52"/>
    <w:uiPriority w:val="0"/>
    <w:pPr>
      <w:keepNext w:val="0"/>
      <w:keepLines w:val="0"/>
      <w:widowControl w:val="0"/>
      <w:numPr>
        <w:ilvl w:val="3"/>
        <w:numId w:val="2"/>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71">
    <w:name w:val="标准文件_附录图标号"/>
    <w:basedOn w:val="52"/>
    <w:next w:val="52"/>
    <w:uiPriority w:val="0"/>
    <w:pPr>
      <w:keepNext w:val="0"/>
      <w:keepLines w:val="0"/>
      <w:widowControl/>
      <w:numPr>
        <w:ilvl w:val="0"/>
        <w:numId w:val="4"/>
      </w:numPr>
      <w:suppressLineNumbers w:val="0"/>
      <w:autoSpaceDE w:val="0"/>
      <w:autoSpaceDN w:val="0"/>
      <w:spacing w:before="0" w:beforeAutospacing="0" w:after="0" w:afterAutospacing="0" w:line="14" w:lineRule="exact"/>
      <w:ind w:left="420" w:right="0" w:firstLine="0" w:firstLineChars="0"/>
      <w:jc w:val="center"/>
    </w:pPr>
    <w:rPr>
      <w:rFonts w:hint="eastAsia" w:ascii="黑体" w:hAnsi="宋体" w:eastAsia="黑体" w:cs="Times New Roman"/>
      <w:vanish/>
      <w:kern w:val="0"/>
      <w:sz w:val="2"/>
      <w:szCs w:val="21"/>
      <w:lang w:val="en-US" w:eastAsia="zh-CN" w:bidi="ar"/>
    </w:rPr>
  </w:style>
  <w:style w:type="paragraph" w:customStyle="1" w:styleId="72">
    <w:name w:val="标准文件_附录表标题"/>
    <w:basedOn w:val="1"/>
    <w:next w:val="52"/>
    <w:uiPriority w:val="0"/>
    <w:pPr>
      <w:keepNext w:val="0"/>
      <w:keepLines w:val="0"/>
      <w:widowControl/>
      <w:numPr>
        <w:ilvl w:val="1"/>
        <w:numId w:val="5"/>
      </w:numPr>
      <w:suppressLineNumbers w:val="0"/>
      <w:adjustRightInd w:val="0"/>
      <w:snapToGrid w:val="0"/>
      <w:spacing w:before="50" w:beforeLines="50" w:beforeAutospacing="0" w:after="50" w:afterLines="50" w:afterAutospacing="0" w:line="240" w:lineRule="auto"/>
      <w:ind w:left="1843" w:right="0" w:firstLine="0"/>
      <w:jc w:val="center"/>
    </w:pPr>
    <w:rPr>
      <w:rFonts w:hint="eastAsia" w:ascii="黑体" w:hAnsi="Times New Roman" w:eastAsia="黑体" w:cs="Times New Roman"/>
      <w:kern w:val="21"/>
      <w:sz w:val="21"/>
      <w:szCs w:val="20"/>
      <w:lang w:val="en-US" w:eastAsia="zh-CN" w:bidi="ar"/>
    </w:rPr>
  </w:style>
  <w:style w:type="paragraph" w:customStyle="1" w:styleId="73">
    <w:name w:val="标准文件_四级无标题"/>
    <w:uiPriority w:val="0"/>
    <w:pPr>
      <w:keepNext w:val="0"/>
      <w:keepLines w:val="0"/>
      <w:widowControl w:val="0"/>
      <w:numPr>
        <w:ilvl w:val="5"/>
        <w:numId w:val="2"/>
      </w:numPr>
      <w:suppressLineNumbers w:val="0"/>
      <w:spacing w:before="0" w:beforeLines="-2147483648" w:beforeAutospacing="0" w:after="0" w:afterLines="-2147483648" w:afterAutospacing="0"/>
      <w:ind w:left="0" w:right="0" w:firstLine="0"/>
      <w:jc w:val="both"/>
      <w:outlineLvl w:val="9"/>
    </w:pPr>
    <w:rPr>
      <w:rFonts w:hint="eastAsia" w:ascii="宋体" w:hAnsi="宋体" w:eastAsia="宋体" w:cs="Times New Roman"/>
      <w:kern w:val="0"/>
      <w:sz w:val="21"/>
      <w:szCs w:val="52"/>
      <w:lang w:val="en-US" w:eastAsia="zh-CN" w:bidi="ar"/>
    </w:rPr>
  </w:style>
  <w:style w:type="paragraph" w:customStyle="1" w:styleId="74">
    <w:name w:val="标准文件_附录表标号"/>
    <w:basedOn w:val="52"/>
    <w:next w:val="52"/>
    <w:uiPriority w:val="0"/>
    <w:pPr>
      <w:keepNext w:val="0"/>
      <w:keepLines w:val="0"/>
      <w:widowControl/>
      <w:numPr>
        <w:ilvl w:val="0"/>
        <w:numId w:val="5"/>
      </w:numPr>
      <w:suppressLineNumbers w:val="0"/>
      <w:autoSpaceDE w:val="0"/>
      <w:autoSpaceDN w:val="0"/>
      <w:spacing w:before="0" w:beforeAutospacing="0" w:after="0" w:afterAutospacing="0" w:line="14" w:lineRule="exact"/>
      <w:ind w:left="425" w:right="0" w:firstLine="0" w:firstLineChars="0"/>
      <w:jc w:val="center"/>
    </w:pPr>
    <w:rPr>
      <w:rFonts w:hint="eastAsia" w:ascii="宋体" w:hAnsi="Times New Roman" w:eastAsia="黑体" w:cs="Times New Roman"/>
      <w:vanish/>
      <w:kern w:val="0"/>
      <w:sz w:val="2"/>
      <w:szCs w:val="20"/>
      <w:lang w:val="en-US" w:eastAsia="zh-CN" w:bidi="ar"/>
    </w:rPr>
  </w:style>
  <w:style w:type="paragraph" w:customStyle="1" w:styleId="75">
    <w:name w:val="标准文件_三级条标题"/>
    <w:basedOn w:val="70"/>
    <w:next w:val="52"/>
    <w:uiPriority w:val="0"/>
    <w:pPr>
      <w:keepNext w:val="0"/>
      <w:keepLines w:val="0"/>
      <w:widowControl/>
      <w:numPr>
        <w:ilvl w:val="4"/>
        <w:numId w:val="2"/>
      </w:numPr>
      <w:suppressLineNumbers w:val="0"/>
      <w:spacing w:before="50" w:beforeLines="50" w:beforeAutospacing="0" w:after="50" w:afterLines="50" w:afterAutospacing="0"/>
      <w:ind w:left="0" w:right="0" w:firstLine="0"/>
      <w:jc w:val="both"/>
      <w:outlineLvl w:val="3"/>
    </w:pPr>
    <w:rPr>
      <w:rFonts w:hint="eastAsia" w:ascii="黑体" w:hAnsi="Times New Roman" w:eastAsia="黑体" w:cs="Times New Roman"/>
      <w:kern w:val="0"/>
      <w:sz w:val="21"/>
      <w:szCs w:val="20"/>
      <w:lang w:val="en-US" w:eastAsia="zh-CN" w:bidi="ar"/>
    </w:rPr>
  </w:style>
  <w:style w:type="character" w:customStyle="1" w:styleId="76">
    <w:name w:val="不明显参考1"/>
    <w:basedOn w:val="25"/>
    <w:uiPriority w:val="0"/>
    <w:rPr>
      <w:smallCaps/>
      <w:color w:val="C0504D"/>
      <w:u w:val="single"/>
    </w:rPr>
  </w:style>
  <w:style w:type="paragraph" w:customStyle="1" w:styleId="77">
    <w:name w:val="标准文件_二级无标题"/>
    <w:basedOn w:val="70"/>
    <w:qFormat/>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character" w:customStyle="1" w:styleId="78">
    <w:name w:val="标准文件_图表脚注内容"/>
    <w:basedOn w:val="25"/>
    <w:uiPriority w:val="0"/>
    <w:rPr>
      <w:rFonts w:hint="eastAsia" w:ascii="宋体" w:hAnsi="宋体" w:eastAsia="宋体" w:cs="Times New Roman"/>
      <w:spacing w:val="0"/>
      <w:sz w:val="18"/>
      <w:vertAlign w:val="superscript"/>
    </w:rPr>
  </w:style>
  <w:style w:type="character" w:customStyle="1" w:styleId="79">
    <w:name w:val="标准文件_段 Char"/>
    <w:basedOn w:val="25"/>
    <w:link w:val="52"/>
    <w:uiPriority w:val="0"/>
    <w:rPr>
      <w:rFonts w:hint="eastAsia" w:ascii="宋体" w:hAnsi="Times New Roman" w:eastAsia="宋体" w:cs="宋体"/>
      <w:sz w:val="21"/>
    </w:rPr>
  </w:style>
  <w:style w:type="paragraph" w:customStyle="1" w:styleId="80">
    <w:name w:val="标准文件_正文图标题"/>
    <w:basedOn w:val="1"/>
    <w:next w:val="52"/>
    <w:qFormat/>
    <w:uiPriority w:val="0"/>
    <w:pPr>
      <w:keepNext w:val="0"/>
      <w:keepLines w:val="0"/>
      <w:widowControl/>
      <w:numPr>
        <w:ilvl w:val="0"/>
        <w:numId w:val="6"/>
      </w:numPr>
      <w:suppressLineNumbers w:val="0"/>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81">
    <w:name w:val="标准文件_一级项"/>
    <w:basedOn w:val="1"/>
    <w:qFormat/>
    <w:uiPriority w:val="0"/>
    <w:pPr>
      <w:keepNext w:val="0"/>
      <w:keepLines w:val="0"/>
      <w:widowControl/>
      <w:numPr>
        <w:ilvl w:val="0"/>
        <w:numId w:val="7"/>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character" w:customStyle="1" w:styleId="82">
    <w:name w:val="个人撰写风格"/>
    <w:basedOn w:val="25"/>
    <w:uiPriority w:val="0"/>
    <w:rPr>
      <w:rFonts w:hint="default" w:ascii="Arial" w:hAnsi="Arial" w:eastAsia="宋体" w:cs="Arial"/>
      <w:color w:val="auto"/>
      <w:spacing w:val="0"/>
      <w:sz w:val="20"/>
    </w:rPr>
  </w:style>
  <w:style w:type="paragraph" w:customStyle="1" w:styleId="83">
    <w:name w:val="标准文件_注："/>
    <w:basedOn w:val="1"/>
    <w:next w:val="52"/>
    <w:qFormat/>
    <w:uiPriority w:val="0"/>
    <w:pPr>
      <w:keepNext w:val="0"/>
      <w:keepLines w:val="0"/>
      <w:widowControl w:val="0"/>
      <w:numPr>
        <w:ilvl w:val="0"/>
        <w:numId w:val="8"/>
      </w:numPr>
      <w:suppressLineNumbers w:val="0"/>
      <w:autoSpaceDE w:val="0"/>
      <w:autoSpaceDN w:val="0"/>
      <w:adjustRightInd/>
      <w:spacing w:before="0" w:beforeAutospacing="0" w:after="0" w:afterAutospacing="0" w:line="240" w:lineRule="auto"/>
      <w:ind w:left="737" w:right="0" w:hanging="374"/>
      <w:jc w:val="both"/>
    </w:pPr>
    <w:rPr>
      <w:rFonts w:hint="eastAsia" w:ascii="宋体" w:hAnsi="Times New Roman" w:eastAsia="宋体" w:cs="Times New Roman"/>
      <w:kern w:val="0"/>
      <w:sz w:val="18"/>
      <w:szCs w:val="18"/>
      <w:lang w:val="en-US" w:eastAsia="zh-CN" w:bidi="ar"/>
    </w:rPr>
  </w:style>
  <w:style w:type="character" w:customStyle="1" w:styleId="84">
    <w:name w:val="标准文件_来源"/>
    <w:basedOn w:val="25"/>
    <w:qFormat/>
    <w:uiPriority w:val="0"/>
    <w:rPr>
      <w:rFonts w:hint="eastAsia" w:ascii="宋体" w:hAnsi="宋体" w:eastAsia="宋体" w:cs="宋体"/>
      <w:sz w:val="21"/>
    </w:rPr>
  </w:style>
  <w:style w:type="character" w:customStyle="1" w:styleId="85">
    <w:name w:val="标准文件_示例X后 字符"/>
    <w:basedOn w:val="79"/>
    <w:qFormat/>
    <w:uiPriority w:val="0"/>
    <w:rPr>
      <w:rFonts w:hint="eastAsia" w:ascii="宋体" w:hAnsi="Times New Roman" w:eastAsia="宋体" w:cs="宋体"/>
      <w:sz w:val="18"/>
    </w:rPr>
  </w:style>
  <w:style w:type="paragraph" w:customStyle="1" w:styleId="86">
    <w:name w:val="标准文件_术语条一"/>
    <w:next w:val="52"/>
    <w:qFormat/>
    <w:uiPriority w:val="0"/>
    <w:pPr>
      <w:keepNext w:val="0"/>
      <w:keepLines w:val="0"/>
      <w:widowControl/>
      <w:numPr>
        <w:ilvl w:val="2"/>
        <w:numId w:val="2"/>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 w:type="character" w:customStyle="1" w:styleId="87">
    <w:name w:val="发布"/>
    <w:basedOn w:val="25"/>
    <w:qFormat/>
    <w:uiPriority w:val="0"/>
    <w:rPr>
      <w:rFonts w:hint="eastAsia" w:ascii="黑体" w:hAnsi="宋体" w:eastAsia="黑体" w:cs="黑体"/>
      <w:spacing w:val="85"/>
      <w:w w:val="100"/>
      <w:position w:val="3"/>
      <w:sz w:val="28"/>
      <w:szCs w:val="28"/>
    </w:rPr>
  </w:style>
  <w:style w:type="table" w:customStyle="1" w:styleId="88">
    <w:name w:val="网格型2"/>
    <w:basedOn w:val="23"/>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7008</Words>
  <Characters>7789</Characters>
  <Lines>62</Lines>
  <Paragraphs>17</Paragraphs>
  <TotalTime>4</TotalTime>
  <ScaleCrop>false</ScaleCrop>
  <LinksUpToDate>false</LinksUpToDate>
  <CharactersWithSpaces>7968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2025-04-17T09:24:17Z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