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D28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72845A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F063B91">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91.010.01</w:t>
            </w:r>
            <w:r>
              <w:rPr>
                <w:rFonts w:ascii="黑体" w:hAnsi="黑体" w:eastAsia="黑体"/>
                <w:sz w:val="21"/>
                <w:szCs w:val="21"/>
              </w:rPr>
              <w:fldChar w:fldCharType="end"/>
            </w:r>
            <w:bookmarkEnd w:id="0"/>
          </w:p>
        </w:tc>
      </w:tr>
      <w:tr w14:paraId="6420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29D365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F62A44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439905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6644453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02</w:t>
            </w:r>
            <w:r>
              <w:rPr>
                <w:rFonts w:ascii="黑体" w:hAnsi="黑体" w:eastAsia="黑体"/>
                <w:sz w:val="21"/>
                <w:szCs w:val="21"/>
              </w:rPr>
              <w:fldChar w:fldCharType="end"/>
            </w:r>
            <w:bookmarkEnd w:id="2"/>
          </w:p>
        </w:tc>
      </w:tr>
    </w:tbl>
    <w:p w14:paraId="53999957">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69C7A9E">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CASMES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7C18DB55">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0A3473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2EFBBDB">
      <w:pPr>
        <w:pStyle w:val="50"/>
        <w:framePr w:w="9639" w:h="6976" w:hRule="exact" w:hSpace="0" w:vSpace="0" w:wrap="around" w:hAnchor="page" w:y="6408"/>
        <w:jc w:val="center"/>
        <w:rPr>
          <w:rFonts w:hint="eastAsia" w:ascii="黑体" w:hAnsi="黑体" w:eastAsia="黑体"/>
          <w:b w:val="0"/>
          <w:bCs w:val="0"/>
          <w:w w:val="100"/>
        </w:rPr>
      </w:pPr>
    </w:p>
    <w:p w14:paraId="7206A735">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建设工程造价管理系统动态分析技术规范</w:t>
      </w:r>
      <w:r>
        <w:fldChar w:fldCharType="end"/>
      </w:r>
      <w:bookmarkEnd w:id="9"/>
    </w:p>
    <w:p w14:paraId="044996C4">
      <w:pPr>
        <w:framePr w:w="9639" w:h="6974" w:hRule="exact" w:wrap="around" w:vAnchor="page" w:hAnchor="page" w:x="1419" w:y="6408" w:anchorLock="1"/>
        <w:ind w:left="-1418"/>
      </w:pPr>
    </w:p>
    <w:p w14:paraId="1629901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dynamic analysis of construction project cost management system</w:t>
      </w:r>
      <w:r>
        <w:rPr>
          <w:rFonts w:eastAsia="黑体"/>
          <w:szCs w:val="28"/>
        </w:rPr>
        <w:fldChar w:fldCharType="end"/>
      </w:r>
      <w:bookmarkEnd w:id="10"/>
    </w:p>
    <w:p w14:paraId="538935EB">
      <w:pPr>
        <w:framePr w:w="9639" w:h="6974" w:hRule="exact" w:wrap="around" w:vAnchor="page" w:hAnchor="page" w:x="1419" w:y="6408" w:anchorLock="1"/>
        <w:spacing w:line="760" w:lineRule="exact"/>
        <w:ind w:left="-1418"/>
      </w:pPr>
    </w:p>
    <w:p w14:paraId="51E64C5D">
      <w:pPr>
        <w:pStyle w:val="125"/>
        <w:framePr w:w="9639" w:h="6974" w:hRule="exact" w:wrap="around" w:vAnchor="page" w:hAnchor="page" w:x="1419" w:y="6408" w:anchorLock="1"/>
        <w:textAlignment w:val="bottom"/>
        <w:rPr>
          <w:rFonts w:eastAsia="黑体"/>
          <w:szCs w:val="28"/>
        </w:rPr>
      </w:pPr>
    </w:p>
    <w:p w14:paraId="0B0C7D61">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932B3C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92896D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52F8828">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B87160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8653740">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E05863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FE52E77">
      <w:pPr>
        <w:pStyle w:val="91"/>
        <w:spacing w:after="360"/>
        <w:rPr>
          <w:rFonts w:hint="eastAsia"/>
        </w:rPr>
      </w:pPr>
      <w:bookmarkStart w:id="21" w:name="BookMark1"/>
      <w:bookmarkStart w:id="22" w:name="_Toc194565709"/>
      <w:r>
        <w:rPr>
          <w:rFonts w:hint="eastAsia"/>
          <w:spacing w:val="320"/>
        </w:rPr>
        <w:t>目</w:t>
      </w:r>
      <w:r>
        <w:rPr>
          <w:rFonts w:hint="eastAsia"/>
        </w:rPr>
        <w:t>次</w:t>
      </w:r>
    </w:p>
    <w:p w14:paraId="6FAE0764">
      <w:pPr>
        <w:pStyle w:val="19"/>
        <w:rPr>
          <w:rFonts w:eastAsiaTheme="minorEastAsia"/>
          <w:sz w:val="22"/>
          <w:szCs w:val="24"/>
          <w14:ligatures w14:val="standardContextual"/>
        </w:rPr>
      </w:pPr>
      <w:r>
        <w:fldChar w:fldCharType="begin"/>
      </w:r>
      <w:r>
        <w:instrText xml:space="preserve"> TOC \o "1-1" \h </w:instrText>
      </w:r>
      <w:r>
        <w:fldChar w:fldCharType="separate"/>
      </w:r>
      <w:r>
        <w:fldChar w:fldCharType="begin"/>
      </w:r>
      <w:r>
        <w:instrText xml:space="preserve"> HYPERLINK \l "_Toc194568169" </w:instrText>
      </w:r>
      <w:r>
        <w:fldChar w:fldCharType="separate"/>
      </w:r>
      <w:r>
        <w:rPr>
          <w:rStyle w:val="32"/>
          <w:rFonts w:ascii="Times New Roman"/>
        </w:rPr>
        <w:t>前言</w:t>
      </w:r>
      <w:r>
        <w:tab/>
      </w:r>
      <w:r>
        <w:fldChar w:fldCharType="begin"/>
      </w:r>
      <w:r>
        <w:instrText xml:space="preserve"> PAGEREF _Toc194568169 \h </w:instrText>
      </w:r>
      <w:r>
        <w:fldChar w:fldCharType="separate"/>
      </w:r>
      <w:r>
        <w:t>II</w:t>
      </w:r>
      <w:r>
        <w:fldChar w:fldCharType="end"/>
      </w:r>
      <w:r>
        <w:fldChar w:fldCharType="end"/>
      </w:r>
    </w:p>
    <w:p w14:paraId="025E8151">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"_Toc194568170"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_Toc194568170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7E93A8CF">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"_Toc194568171"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_Toc194568171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01C009BD">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"_Toc194568172"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_Toc194568172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3F423781">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"_Toc194568173" </w:instrText>
      </w:r>
      <w:r>
        <w:fldChar w:fldCharType="separate"/>
      </w:r>
      <w:r>
        <w:rPr>
          <w:rStyle w:val="32"/>
          <w:rFonts w:hint="eastAsia"/>
        </w:rPr>
        <w:t>4</w:t>
      </w:r>
      <w:r>
        <w:rPr>
          <w:rStyle w:val="32"/>
        </w:rPr>
        <w:t xml:space="preserve"> </w:t>
      </w:r>
      <w:r>
        <w:rPr>
          <w:rStyle w:val="32"/>
          <w:rFonts w:hint="eastAsia"/>
        </w:rPr>
        <w:t xml:space="preserve"> 分析原则</w:t>
      </w:r>
      <w:r>
        <w:rPr>
          <w:rFonts w:hint="eastAsia"/>
        </w:rPr>
        <w:tab/>
      </w:r>
      <w:r>
        <w:rPr>
          <w:rFonts w:hint="eastAsia"/>
        </w:rPr>
        <w:fldChar w:fldCharType="begin"/>
      </w:r>
      <w:r>
        <w:rPr>
          <w:rFonts w:hint="eastAsia"/>
        </w:rPr>
        <w:instrText xml:space="preserve"> </w:instrText>
      </w:r>
      <w:r>
        <w:instrText xml:space="preserve">PAGEREF _Toc194568173 \h</w:instrText>
      </w:r>
      <w:r>
        <w:rPr>
          <w:rFonts w:hint="eastAsia"/>
        </w:rPr>
        <w:instrText xml:space="preserve"> </w:instrText>
      </w:r>
      <w:r>
        <w:fldChar w:fldCharType="separate"/>
      </w:r>
      <w:r>
        <w:t>1</w:t>
      </w:r>
      <w:r>
        <w:rPr>
          <w:rFonts w:hint="eastAsia"/>
        </w:rPr>
        <w:fldChar w:fldCharType="end"/>
      </w:r>
      <w:r>
        <w:rPr>
          <w:rFonts w:hint="eastAsia"/>
        </w:rPr>
        <w:fldChar w:fldCharType="end"/>
      </w:r>
    </w:p>
    <w:p w14:paraId="6A583145">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"_Toc194568174" </w:instrText>
      </w:r>
      <w:r>
        <w:fldChar w:fldCharType="separate"/>
      </w:r>
      <w:r>
        <w:rPr>
          <w:rStyle w:val="32"/>
          <w:rFonts w:hint="eastAsia"/>
        </w:rPr>
        <w:t>5</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_Toc194568174 \h</w:instrText>
      </w:r>
      <w:r>
        <w:rPr>
          <w:rFonts w:hint="eastAsia"/>
        </w:rPr>
        <w:instrText xml:space="preserve"> </w:instrText>
      </w:r>
      <w:r>
        <w:fldChar w:fldCharType="separate"/>
      </w:r>
      <w:r>
        <w:t>2</w:t>
      </w:r>
      <w:r>
        <w:rPr>
          <w:rFonts w:hint="eastAsia"/>
        </w:rPr>
        <w:fldChar w:fldCharType="end"/>
      </w:r>
      <w:r>
        <w:rPr>
          <w:rFonts w:hint="eastAsia"/>
        </w:rPr>
        <w:fldChar w:fldCharType="end"/>
      </w:r>
    </w:p>
    <w:p w14:paraId="54671A01">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"_Toc194568175" </w:instrText>
      </w:r>
      <w:r>
        <w:fldChar w:fldCharType="separate"/>
      </w:r>
      <w:r>
        <w:rPr>
          <w:rStyle w:val="32"/>
          <w:rFonts w:hint="eastAsia"/>
        </w:rPr>
        <w:t>6</w:t>
      </w:r>
      <w:r>
        <w:rPr>
          <w:rStyle w:val="32"/>
        </w:rPr>
        <w:t xml:space="preserve"> </w:t>
      </w:r>
      <w:r>
        <w:rPr>
          <w:rStyle w:val="32"/>
          <w:rFonts w:hint="eastAsia"/>
        </w:rPr>
        <w:t xml:space="preserve"> 造价控制分析</w:t>
      </w:r>
      <w:r>
        <w:rPr>
          <w:rFonts w:hint="eastAsia"/>
        </w:rPr>
        <w:tab/>
      </w:r>
      <w:r>
        <w:rPr>
          <w:rFonts w:hint="eastAsia"/>
        </w:rPr>
        <w:fldChar w:fldCharType="begin"/>
      </w:r>
      <w:r>
        <w:rPr>
          <w:rFonts w:hint="eastAsia"/>
        </w:rPr>
        <w:instrText xml:space="preserve"> </w:instrText>
      </w:r>
      <w:r>
        <w:instrText xml:space="preserve">PAGEREF _Toc194568175 \h</w:instrText>
      </w:r>
      <w:r>
        <w:rPr>
          <w:rFonts w:hint="eastAsia"/>
        </w:rPr>
        <w:instrText xml:space="preserve"> </w:instrText>
      </w:r>
      <w:r>
        <w:fldChar w:fldCharType="separate"/>
      </w:r>
      <w:r>
        <w:t>3</w:t>
      </w:r>
      <w:r>
        <w:rPr>
          <w:rFonts w:hint="eastAsia"/>
        </w:rPr>
        <w:fldChar w:fldCharType="end"/>
      </w:r>
      <w:r>
        <w:rPr>
          <w:rFonts w:hint="eastAsia"/>
        </w:rPr>
        <w:fldChar w:fldCharType="end"/>
      </w:r>
    </w:p>
    <w:p w14:paraId="125D6E76">
      <w:pPr>
        <w:pStyle w:val="19"/>
        <w:rPr>
          <w:rFonts w:hint="eastAsia" w:asciiTheme="minorHAnsi" w:hAnsiTheme="minorHAnsi" w:eastAsiaTheme="minorEastAsia" w:cstheme="minorBidi"/>
          <w:sz w:val="22"/>
          <w:szCs w:val="24"/>
          <w14:ligatures w14:val="standardContextual"/>
        </w:rPr>
      </w:pPr>
      <w:r>
        <w:fldChar w:fldCharType="begin"/>
      </w:r>
      <w:r>
        <w:instrText xml:space="preserve"> HYPERLINK \l "_Toc194568176" </w:instrText>
      </w:r>
      <w:r>
        <w:fldChar w:fldCharType="separate"/>
      </w:r>
      <w:r>
        <w:rPr>
          <w:rStyle w:val="32"/>
          <w:rFonts w:hint="eastAsia"/>
        </w:rPr>
        <w:t>7</w:t>
      </w:r>
      <w:r>
        <w:rPr>
          <w:rStyle w:val="32"/>
        </w:rPr>
        <w:t xml:space="preserve"> </w:t>
      </w:r>
      <w:r>
        <w:rPr>
          <w:rStyle w:val="32"/>
          <w:rFonts w:hint="eastAsia"/>
        </w:rPr>
        <w:t xml:space="preserve"> 风险评估</w:t>
      </w:r>
      <w:r>
        <w:rPr>
          <w:rFonts w:hint="eastAsia"/>
        </w:rPr>
        <w:tab/>
      </w:r>
      <w:r>
        <w:rPr>
          <w:rFonts w:hint="eastAsia"/>
        </w:rPr>
        <w:fldChar w:fldCharType="begin"/>
      </w:r>
      <w:r>
        <w:rPr>
          <w:rFonts w:hint="eastAsia"/>
        </w:rPr>
        <w:instrText xml:space="preserve"> </w:instrText>
      </w:r>
      <w:r>
        <w:instrText xml:space="preserve">PAGEREF _Toc194568176 \h</w:instrText>
      </w:r>
      <w:r>
        <w:rPr>
          <w:rFonts w:hint="eastAsia"/>
        </w:rPr>
        <w:instrText xml:space="preserve"> </w:instrText>
      </w:r>
      <w:r>
        <w:fldChar w:fldCharType="separate"/>
      </w:r>
      <w:r>
        <w:t>7</w:t>
      </w:r>
      <w:r>
        <w:rPr>
          <w:rFonts w:hint="eastAsia"/>
        </w:rPr>
        <w:fldChar w:fldCharType="end"/>
      </w:r>
      <w:r>
        <w:rPr>
          <w:rFonts w:hint="eastAsia"/>
        </w:rPr>
        <w:fldChar w:fldCharType="end"/>
      </w:r>
    </w:p>
    <w:p w14:paraId="6B7CC89C">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67D0938">
      <w:pPr>
        <w:pStyle w:val="89"/>
        <w:spacing w:before="900" w:after="360"/>
      </w:pPr>
      <w:bookmarkStart w:id="23" w:name="_Toc194568169"/>
      <w:bookmarkStart w:id="24" w:name="BookMark2"/>
      <w:r>
        <w:rPr>
          <w:rFonts w:hint="eastAsia"/>
          <w:spacing w:val="320"/>
        </w:rPr>
        <w:t>前</w:t>
      </w:r>
      <w:r>
        <w:rPr>
          <w:rFonts w:hint="eastAsia"/>
        </w:rPr>
        <w:t>言</w:t>
      </w:r>
      <w:bookmarkEnd w:id="22"/>
      <w:bookmarkEnd w:id="23"/>
    </w:p>
    <w:p w14:paraId="0BEBEF98">
      <w:pPr>
        <w:pStyle w:val="56"/>
        <w:ind w:firstLine="420"/>
      </w:pPr>
      <w:r>
        <w:rPr>
          <w:rFonts w:hint="eastAsia"/>
        </w:rPr>
        <w:t>本文件按照GB/T 1.1—2020《标准化工作导则  第1部分：标准化文件的结构和起草规则》的规定起草。</w:t>
      </w:r>
    </w:p>
    <w:p w14:paraId="4EF67149">
      <w:pPr>
        <w:pStyle w:val="56"/>
        <w:ind w:firstLine="420"/>
      </w:pPr>
      <w:r>
        <w:rPr>
          <w:rFonts w:hint="eastAsia"/>
        </w:rPr>
        <w:t>请注意本文件的某些内容可能涉及专利。本文件的发布机构不承担识别专利的责任。</w:t>
      </w:r>
    </w:p>
    <w:p w14:paraId="3DC01266">
      <w:pPr>
        <w:pStyle w:val="56"/>
        <w:ind w:firstLine="420"/>
      </w:pPr>
      <w:r>
        <w:rPr>
          <w:rFonts w:hint="eastAsia"/>
        </w:rPr>
        <w:t>本文件由浙江江南工程管理股份有限公司提出。</w:t>
      </w:r>
    </w:p>
    <w:p w14:paraId="5A7FC85C">
      <w:pPr>
        <w:pStyle w:val="56"/>
        <w:ind w:firstLine="420"/>
      </w:pPr>
      <w:r>
        <w:rPr>
          <w:rFonts w:hint="eastAsia"/>
        </w:rPr>
        <w:t>本文件由</w:t>
      </w:r>
      <w:r>
        <w:rPr>
          <w:rFonts w:hint="eastAsia"/>
          <w:lang w:eastAsia="zh-CN"/>
        </w:rPr>
        <w:t>中国中小企业协会</w:t>
      </w:r>
      <w:r>
        <w:rPr>
          <w:rFonts w:hint="eastAsia"/>
        </w:rPr>
        <w:t>归口。</w:t>
      </w:r>
    </w:p>
    <w:p w14:paraId="06A7075C">
      <w:pPr>
        <w:pStyle w:val="56"/>
        <w:ind w:firstLine="420"/>
        <w:rPr>
          <w:rFonts w:hint="eastAsia" w:eastAsia="宋体"/>
          <w:lang w:eastAsia="zh-CN"/>
        </w:rPr>
      </w:pPr>
      <w:r>
        <w:rPr>
          <w:rFonts w:hint="eastAsia"/>
        </w:rPr>
        <w:t>本文件起草单位：浙江江南工程管理股份有限公司</w:t>
      </w:r>
      <w:r>
        <w:rPr>
          <w:rFonts w:hint="eastAsia"/>
          <w:lang w:eastAsia="zh-CN"/>
        </w:rPr>
        <w:t>。</w:t>
      </w:r>
      <w:bookmarkStart w:id="62" w:name="_GoBack"/>
      <w:bookmarkEnd w:id="62"/>
    </w:p>
    <w:p w14:paraId="674D9323">
      <w:pPr>
        <w:pStyle w:val="56"/>
        <w:ind w:firstLine="420"/>
      </w:pPr>
      <w:r>
        <w:rPr>
          <w:rFonts w:hint="eastAsia"/>
        </w:rPr>
        <w:t>本文件主要起草人：</w:t>
      </w:r>
    </w:p>
    <w:p w14:paraId="3BC46E4C">
      <w:pPr>
        <w:pStyle w:val="56"/>
        <w:ind w:firstLine="420"/>
      </w:pPr>
    </w:p>
    <w:p w14:paraId="4016CF54">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04FBB2E6">
      <w:pPr>
        <w:spacing w:line="20" w:lineRule="exact"/>
        <w:jc w:val="center"/>
        <w:rPr>
          <w:rFonts w:hint="eastAsia" w:ascii="黑体" w:hAnsi="黑体" w:eastAsia="黑体"/>
          <w:sz w:val="32"/>
          <w:szCs w:val="32"/>
        </w:rPr>
      </w:pPr>
      <w:bookmarkStart w:id="25" w:name="BookMark4"/>
    </w:p>
    <w:p w14:paraId="470AC1C6">
      <w:pPr>
        <w:spacing w:line="20" w:lineRule="exact"/>
        <w:jc w:val="center"/>
        <w:rPr>
          <w:rFonts w:hint="eastAsia" w:ascii="黑体" w:hAnsi="黑体" w:eastAsia="黑体"/>
          <w:sz w:val="32"/>
          <w:szCs w:val="32"/>
        </w:rPr>
      </w:pPr>
    </w:p>
    <w:sdt>
      <w:sdtPr>
        <w:tag w:val="NEW_STAND_NAME"/>
        <w:id w:val="595910757"/>
        <w:lock w:val="sdtLocked"/>
        <w:placeholder>
          <w:docPart w:val="1A48B48FF9924CD682F4BDCAE0033CF4"/>
        </w:placeholder>
      </w:sdtPr>
      <w:sdtContent>
        <w:p w14:paraId="02B8A6D2">
          <w:pPr>
            <w:pStyle w:val="177"/>
            <w:spacing w:before="240" w:beforeLines="100" w:after="528" w:afterLines="220"/>
            <w:rPr>
              <w:rFonts w:hint="eastAsia"/>
            </w:rPr>
          </w:pPr>
          <w:bookmarkStart w:id="26" w:name="NEW_STAND_NAME"/>
          <w:r>
            <w:rPr>
              <w:rFonts w:hint="eastAsia"/>
            </w:rPr>
            <w:t>建设工程造价管理系统动态分析技术规范</w:t>
          </w:r>
        </w:p>
      </w:sdtContent>
    </w:sdt>
    <w:bookmarkEnd w:id="26"/>
    <w:p w14:paraId="00E46A42">
      <w:pPr>
        <w:pStyle w:val="104"/>
        <w:spacing w:before="240" w:after="240"/>
      </w:pPr>
      <w:bookmarkStart w:id="27" w:name="_Toc24884218"/>
      <w:bookmarkStart w:id="28" w:name="_Toc17233325"/>
      <w:bookmarkStart w:id="29" w:name="_Toc26648465"/>
      <w:bookmarkStart w:id="30" w:name="_Toc17233333"/>
      <w:bookmarkStart w:id="31" w:name="_Toc24884211"/>
      <w:bookmarkStart w:id="32" w:name="_Toc26718930"/>
      <w:bookmarkStart w:id="33" w:name="_Toc194565710"/>
      <w:bookmarkStart w:id="34" w:name="_Toc26986771"/>
      <w:bookmarkStart w:id="35" w:name="_Toc97192964"/>
      <w:bookmarkStart w:id="36" w:name="_Toc26986530"/>
      <w:bookmarkStart w:id="37" w:name="_Toc194568170"/>
      <w:r>
        <w:rPr>
          <w:rFonts w:hint="eastAsia"/>
        </w:rPr>
        <w:t>范围</w:t>
      </w:r>
      <w:bookmarkEnd w:id="27"/>
      <w:bookmarkEnd w:id="28"/>
      <w:bookmarkEnd w:id="29"/>
      <w:bookmarkEnd w:id="30"/>
      <w:bookmarkEnd w:id="31"/>
      <w:bookmarkEnd w:id="32"/>
      <w:bookmarkEnd w:id="33"/>
      <w:bookmarkEnd w:id="34"/>
      <w:bookmarkEnd w:id="35"/>
      <w:bookmarkEnd w:id="36"/>
      <w:bookmarkEnd w:id="37"/>
    </w:p>
    <w:p w14:paraId="3222B07B">
      <w:pPr>
        <w:pStyle w:val="56"/>
        <w:ind w:firstLine="420"/>
      </w:pPr>
      <w:bookmarkStart w:id="38" w:name="_Toc24884212"/>
      <w:bookmarkStart w:id="39" w:name="_Toc24884219"/>
      <w:bookmarkStart w:id="40" w:name="_Toc17233326"/>
      <w:bookmarkStart w:id="41" w:name="_Toc26648466"/>
      <w:bookmarkStart w:id="42" w:name="_Toc17233334"/>
      <w:r>
        <w:rPr>
          <w:rFonts w:hint="eastAsia"/>
        </w:rPr>
        <w:t>本文件规定了建设工程造价管理系统动态分析的术语和定义、分析原则、基本要求、造价控制分析、风险评估。</w:t>
      </w:r>
    </w:p>
    <w:p w14:paraId="00BD6F78">
      <w:pPr>
        <w:pStyle w:val="56"/>
        <w:ind w:firstLine="420"/>
      </w:pPr>
      <w:r>
        <w:rPr>
          <w:rFonts w:hint="eastAsia"/>
        </w:rPr>
        <w:t>本文件适用于建设工程造价管理系统动态分析管理。</w:t>
      </w:r>
    </w:p>
    <w:p w14:paraId="396A5365">
      <w:pPr>
        <w:pStyle w:val="104"/>
        <w:spacing w:before="240" w:after="240"/>
      </w:pPr>
      <w:bookmarkStart w:id="43" w:name="_Toc194565711"/>
      <w:bookmarkStart w:id="44" w:name="_Toc26718931"/>
      <w:bookmarkStart w:id="45" w:name="_Toc97192965"/>
      <w:bookmarkStart w:id="46" w:name="_Toc26986531"/>
      <w:bookmarkStart w:id="47" w:name="_Toc194568171"/>
      <w:bookmarkStart w:id="48" w:name="_Toc26986772"/>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C582673C89894EC68CB960C9AA5920F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F0E214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C1FADF6">
      <w:pPr>
        <w:pStyle w:val="56"/>
        <w:ind w:firstLine="420"/>
      </w:pPr>
      <w:r>
        <w:rPr>
          <w:rFonts w:hint="eastAsia"/>
        </w:rPr>
        <w:t>GB/T 50875 工程造价术语标准</w:t>
      </w:r>
    </w:p>
    <w:p w14:paraId="066171F0">
      <w:pPr>
        <w:pStyle w:val="104"/>
        <w:spacing w:before="240" w:after="240"/>
      </w:pPr>
      <w:bookmarkStart w:id="49" w:name="_Toc97192966"/>
      <w:bookmarkStart w:id="50" w:name="_Toc194568172"/>
      <w:bookmarkStart w:id="51" w:name="_Toc194565712"/>
      <w:r>
        <w:rPr>
          <w:rFonts w:hint="eastAsia"/>
          <w:szCs w:val="21"/>
        </w:rPr>
        <w:t>术语和定义</w:t>
      </w:r>
      <w:bookmarkEnd w:id="49"/>
      <w:bookmarkEnd w:id="50"/>
      <w:bookmarkEnd w:id="51"/>
    </w:p>
    <w:sdt>
      <w:sdtPr>
        <w:id w:val="-1909835108"/>
        <w:placeholder>
          <w:docPart w:val="88A4CEACADB148078595940551D11959"/>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35CC72C">
          <w:pPr>
            <w:pStyle w:val="56"/>
            <w:ind w:firstLine="420"/>
          </w:pPr>
          <w:bookmarkStart w:id="52" w:name="_Toc26986532"/>
          <w:bookmarkEnd w:id="52"/>
          <w:r>
            <w:rPr>
              <w:rFonts w:hint="eastAsia"/>
            </w:rPr>
            <w:t>GB/T 50875</w:t>
          </w:r>
          <w:r>
            <w:t>界定的术语和定义适用于本文件。</w:t>
          </w:r>
        </w:p>
      </w:sdtContent>
    </w:sdt>
    <w:p w14:paraId="4F9002BF">
      <w:pPr>
        <w:pStyle w:val="104"/>
        <w:spacing w:before="240" w:after="240"/>
      </w:pPr>
      <w:bookmarkStart w:id="53" w:name="_Toc194565713"/>
      <w:bookmarkStart w:id="54" w:name="_Toc194568173"/>
      <w:r>
        <w:rPr>
          <w:rFonts w:hint="eastAsia"/>
        </w:rPr>
        <w:t>分析原则</w:t>
      </w:r>
      <w:bookmarkEnd w:id="53"/>
      <w:bookmarkEnd w:id="54"/>
    </w:p>
    <w:p w14:paraId="403761C0">
      <w:pPr>
        <w:pStyle w:val="105"/>
        <w:spacing w:before="120" w:after="120"/>
      </w:pPr>
      <w:r>
        <w:rPr>
          <w:rFonts w:hint="eastAsia"/>
        </w:rPr>
        <w:t>系统性原则</w:t>
      </w:r>
    </w:p>
    <w:p w14:paraId="524531ED">
      <w:pPr>
        <w:pStyle w:val="56"/>
        <w:ind w:firstLine="420"/>
      </w:pPr>
      <w:r>
        <w:rPr>
          <w:rFonts w:hint="eastAsia"/>
        </w:rPr>
        <w:t>将工程造价管理视为一个整体系统，确保所有阶段和环节的成本控制相互关联、协调一致。</w:t>
      </w:r>
    </w:p>
    <w:p w14:paraId="43992ED5">
      <w:pPr>
        <w:pStyle w:val="105"/>
        <w:spacing w:before="120" w:after="120"/>
      </w:pPr>
      <w:r>
        <w:rPr>
          <w:rFonts w:hint="eastAsia"/>
        </w:rPr>
        <w:t>动态性原则</w:t>
      </w:r>
    </w:p>
    <w:p w14:paraId="1D27F5A1">
      <w:pPr>
        <w:pStyle w:val="56"/>
        <w:ind w:firstLine="420"/>
      </w:pPr>
      <w:r>
        <w:rPr>
          <w:rFonts w:hint="eastAsia"/>
        </w:rPr>
        <w:t>认识到成本控制是一个动态过程，需要随着项目进展和外部环境的变化不断调整和更新。</w:t>
      </w:r>
    </w:p>
    <w:p w14:paraId="2106DCD5">
      <w:pPr>
        <w:pStyle w:val="105"/>
        <w:spacing w:before="120" w:after="120"/>
      </w:pPr>
      <w:r>
        <w:rPr>
          <w:rFonts w:hint="eastAsia"/>
        </w:rPr>
        <w:t>实时性原则</w:t>
      </w:r>
    </w:p>
    <w:p w14:paraId="1F52ABD3">
      <w:pPr>
        <w:pStyle w:val="56"/>
        <w:ind w:firstLine="420"/>
      </w:pPr>
      <w:r>
        <w:rPr>
          <w:rFonts w:hint="eastAsia"/>
        </w:rPr>
        <w:t>实施实时监控，确保对成本数据的及时收集和分析，以便快速响应成本变化。</w:t>
      </w:r>
    </w:p>
    <w:p w14:paraId="41968C54">
      <w:pPr>
        <w:pStyle w:val="105"/>
        <w:spacing w:before="120" w:after="120"/>
      </w:pPr>
      <w:r>
        <w:rPr>
          <w:rFonts w:hint="eastAsia"/>
        </w:rPr>
        <w:t>预测性原则</w:t>
      </w:r>
    </w:p>
    <w:p w14:paraId="479241B7">
      <w:pPr>
        <w:pStyle w:val="56"/>
        <w:ind w:firstLine="420"/>
      </w:pPr>
      <w:r>
        <w:rPr>
          <w:rFonts w:hint="eastAsia"/>
        </w:rPr>
        <w:t>利用历史数据和市场趋势进行成本预测，为项目决策提供科学依据。</w:t>
      </w:r>
    </w:p>
    <w:p w14:paraId="4937ABFD">
      <w:pPr>
        <w:pStyle w:val="105"/>
        <w:spacing w:before="120" w:after="120"/>
      </w:pPr>
      <w:r>
        <w:rPr>
          <w:rFonts w:hint="eastAsia"/>
        </w:rPr>
        <w:t>全面性原则</w:t>
      </w:r>
    </w:p>
    <w:p w14:paraId="33E4A064">
      <w:pPr>
        <w:pStyle w:val="56"/>
        <w:ind w:firstLine="420"/>
      </w:pPr>
      <w:r>
        <w:rPr>
          <w:rFonts w:hint="eastAsia"/>
        </w:rPr>
        <w:t>全面考虑所有可能影响成本的因素，包括直接成本和间接成本，确保没有遗漏。</w:t>
      </w:r>
    </w:p>
    <w:p w14:paraId="64E9F0FF">
      <w:pPr>
        <w:pStyle w:val="105"/>
        <w:spacing w:before="120" w:after="120"/>
      </w:pPr>
      <w:r>
        <w:rPr>
          <w:rFonts w:hint="eastAsia"/>
        </w:rPr>
        <w:t>成本效益原则</w:t>
      </w:r>
    </w:p>
    <w:p w14:paraId="7DCF4A37">
      <w:pPr>
        <w:pStyle w:val="56"/>
        <w:ind w:firstLine="420"/>
      </w:pPr>
      <w:r>
        <w:rPr>
          <w:rFonts w:hint="eastAsia"/>
        </w:rPr>
        <w:t>在追求成本控制的同时，确保项目质量和效益，避免因过度削减成本而影响项目价值。</w:t>
      </w:r>
    </w:p>
    <w:p w14:paraId="145F092F">
      <w:pPr>
        <w:pStyle w:val="105"/>
        <w:spacing w:before="120" w:after="120"/>
      </w:pPr>
      <w:r>
        <w:rPr>
          <w:rFonts w:hint="eastAsia"/>
        </w:rPr>
        <w:t>风险管理原则</w:t>
      </w:r>
    </w:p>
    <w:p w14:paraId="1CF00474">
      <w:pPr>
        <w:pStyle w:val="56"/>
        <w:ind w:firstLine="420"/>
      </w:pPr>
      <w:r>
        <w:rPr>
          <w:rFonts w:hint="eastAsia"/>
        </w:rPr>
        <w:t>识别、评估和控制成本相关的风险，制定风险应对措施，减少不确定性对成本的影响。</w:t>
      </w:r>
    </w:p>
    <w:p w14:paraId="53666645">
      <w:pPr>
        <w:pStyle w:val="105"/>
        <w:spacing w:before="120" w:after="120"/>
      </w:pPr>
      <w:r>
        <w:rPr>
          <w:rFonts w:hint="eastAsia"/>
        </w:rPr>
        <w:t>透明性原则</w:t>
      </w:r>
    </w:p>
    <w:p w14:paraId="1A6E37CA">
      <w:pPr>
        <w:pStyle w:val="56"/>
        <w:ind w:firstLine="420"/>
      </w:pPr>
      <w:r>
        <w:rPr>
          <w:rFonts w:hint="eastAsia"/>
        </w:rPr>
        <w:t>保持成本信息的透明度，确保所有项目参与方都能够访问和理解成本数据。</w:t>
      </w:r>
    </w:p>
    <w:p w14:paraId="7B5FF2DE">
      <w:pPr>
        <w:pStyle w:val="105"/>
        <w:spacing w:before="120" w:after="120"/>
      </w:pPr>
      <w:r>
        <w:rPr>
          <w:rFonts w:hint="eastAsia"/>
        </w:rPr>
        <w:t>参与性原则</w:t>
      </w:r>
    </w:p>
    <w:p w14:paraId="2AF5160D">
      <w:pPr>
        <w:pStyle w:val="56"/>
        <w:ind w:firstLine="420"/>
      </w:pPr>
      <w:r>
        <w:rPr>
          <w:rFonts w:hint="eastAsia"/>
        </w:rPr>
        <w:t>鼓励所有项目团队成员参与成本控制，形成全员成本意识。</w:t>
      </w:r>
    </w:p>
    <w:p w14:paraId="35885E3B">
      <w:pPr>
        <w:pStyle w:val="105"/>
        <w:spacing w:before="120" w:after="120"/>
      </w:pPr>
      <w:r>
        <w:rPr>
          <w:rFonts w:hint="eastAsia"/>
        </w:rPr>
        <w:t>灵活性原则</w:t>
      </w:r>
    </w:p>
    <w:p w14:paraId="4B93C2BE">
      <w:pPr>
        <w:pStyle w:val="56"/>
        <w:ind w:firstLine="420"/>
      </w:pPr>
      <w:r>
        <w:rPr>
          <w:rFonts w:hint="eastAsia"/>
        </w:rPr>
        <w:t>在成本控制中保持灵活性，以适应项目需求和市场条件的变化。</w:t>
      </w:r>
    </w:p>
    <w:p w14:paraId="7EA2CD89">
      <w:pPr>
        <w:pStyle w:val="105"/>
        <w:spacing w:before="120" w:after="120"/>
      </w:pPr>
      <w:r>
        <w:rPr>
          <w:rFonts w:hint="eastAsia"/>
        </w:rPr>
        <w:t>标准化原则</w:t>
      </w:r>
    </w:p>
    <w:p w14:paraId="46B3EACB">
      <w:pPr>
        <w:pStyle w:val="56"/>
        <w:ind w:firstLine="420"/>
      </w:pPr>
      <w:r>
        <w:rPr>
          <w:rFonts w:hint="eastAsia"/>
        </w:rPr>
        <w:t>制定统一的成本管理流程和标准，提高成本控制的效率和一致性。</w:t>
      </w:r>
    </w:p>
    <w:p w14:paraId="7F43487B">
      <w:pPr>
        <w:pStyle w:val="105"/>
        <w:spacing w:before="120" w:after="120"/>
      </w:pPr>
      <w:r>
        <w:rPr>
          <w:rFonts w:hint="eastAsia"/>
        </w:rPr>
        <w:t>持续改进原则</w:t>
      </w:r>
    </w:p>
    <w:p w14:paraId="5340959C">
      <w:pPr>
        <w:pStyle w:val="56"/>
        <w:ind w:firstLine="420"/>
      </w:pPr>
      <w:r>
        <w:rPr>
          <w:rFonts w:hint="eastAsia"/>
        </w:rPr>
        <w:t>基于项目经验和反馈，不断优化成本管理流程和方法。</w:t>
      </w:r>
    </w:p>
    <w:p w14:paraId="6FB8767C">
      <w:pPr>
        <w:pStyle w:val="105"/>
        <w:spacing w:before="120" w:after="120"/>
      </w:pPr>
      <w:r>
        <w:rPr>
          <w:rFonts w:hint="eastAsia"/>
        </w:rPr>
        <w:t>责任明确原则</w:t>
      </w:r>
    </w:p>
    <w:p w14:paraId="11E60685">
      <w:pPr>
        <w:pStyle w:val="56"/>
        <w:ind w:firstLine="420"/>
      </w:pPr>
      <w:r>
        <w:rPr>
          <w:rFonts w:hint="eastAsia"/>
        </w:rPr>
        <w:t>明确项目团队中各个成员在成本控制中的责任和角色，确保责任到人。</w:t>
      </w:r>
    </w:p>
    <w:p w14:paraId="2B446A45">
      <w:pPr>
        <w:pStyle w:val="105"/>
        <w:spacing w:before="120" w:after="120"/>
      </w:pPr>
      <w:r>
        <w:rPr>
          <w:rFonts w:hint="eastAsia"/>
        </w:rPr>
        <w:t>沟通协调原则</w:t>
      </w:r>
    </w:p>
    <w:p w14:paraId="7AAD9801">
      <w:pPr>
        <w:pStyle w:val="56"/>
        <w:ind w:firstLine="420"/>
      </w:pPr>
      <w:r>
        <w:rPr>
          <w:rFonts w:hint="eastAsia"/>
        </w:rPr>
        <w:t>确保项目团队内部以及与外部合作伙伴之间的有效沟通和协调，以支持成本控制活动。</w:t>
      </w:r>
    </w:p>
    <w:p w14:paraId="70AD4E61">
      <w:pPr>
        <w:pStyle w:val="105"/>
        <w:spacing w:before="120" w:after="120"/>
      </w:pPr>
      <w:r>
        <w:rPr>
          <w:rFonts w:hint="eastAsia"/>
        </w:rPr>
        <w:t>技术应用原则</w:t>
      </w:r>
    </w:p>
    <w:p w14:paraId="0961D745">
      <w:pPr>
        <w:pStyle w:val="56"/>
        <w:ind w:firstLine="420"/>
      </w:pPr>
      <w:r>
        <w:rPr>
          <w:rFonts w:hint="eastAsia"/>
        </w:rPr>
        <w:t>利用现代信息技术，如成本管理软件和数据分析工具，提高成本管理的精确度和效率。</w:t>
      </w:r>
    </w:p>
    <w:p w14:paraId="62C62EA7">
      <w:pPr>
        <w:pStyle w:val="104"/>
        <w:spacing w:before="240" w:after="240"/>
      </w:pPr>
      <w:bookmarkStart w:id="55" w:name="_Toc194565714"/>
      <w:bookmarkStart w:id="56" w:name="_Toc194568174"/>
      <w:r>
        <w:rPr>
          <w:rFonts w:hint="eastAsia"/>
        </w:rPr>
        <w:t>基本要求</w:t>
      </w:r>
      <w:bookmarkEnd w:id="55"/>
      <w:bookmarkEnd w:id="56"/>
    </w:p>
    <w:p w14:paraId="2EB31E51">
      <w:pPr>
        <w:pStyle w:val="105"/>
        <w:spacing w:before="120" w:after="120"/>
      </w:pPr>
      <w:r>
        <w:rPr>
          <w:rFonts w:hint="eastAsia"/>
        </w:rPr>
        <w:t>目标与计划</w:t>
      </w:r>
    </w:p>
    <w:p w14:paraId="289EDDF2">
      <w:pPr>
        <w:pStyle w:val="165"/>
      </w:pPr>
      <w:r>
        <w:rPr>
          <w:rFonts w:hint="eastAsia"/>
        </w:rPr>
        <w:t>应基于项目特点确立清晰的成本控制目标，包括预算限额、成本效益及资源优化目标，并宜与项目总体目标协同。</w:t>
      </w:r>
    </w:p>
    <w:p w14:paraId="71B5628E">
      <w:pPr>
        <w:pStyle w:val="165"/>
      </w:pPr>
      <w:r>
        <w:rPr>
          <w:rFonts w:hint="eastAsia"/>
        </w:rPr>
        <w:t>应制定全生命周期成本管理计划，涵盖前期预测、过程控制及后期评估，计划宜细化至分项工程或专业类别。</w:t>
      </w:r>
    </w:p>
    <w:p w14:paraId="59B68DAE">
      <w:pPr>
        <w:pStyle w:val="105"/>
        <w:spacing w:before="120" w:after="120"/>
      </w:pPr>
      <w:r>
        <w:rPr>
          <w:rFonts w:hint="eastAsia"/>
        </w:rPr>
        <w:t>系统与数据</w:t>
      </w:r>
    </w:p>
    <w:p w14:paraId="4B6639C1">
      <w:pPr>
        <w:pStyle w:val="165"/>
      </w:pPr>
      <w:r>
        <w:rPr>
          <w:rFonts w:hint="eastAsia"/>
        </w:rPr>
        <w:t>应建立动态成本监控系统，实时采集、记录及更新成本数据，确保数据的完整性、准确性和可追溯性。</w:t>
      </w:r>
    </w:p>
    <w:p w14:paraId="2BC29062">
      <w:pPr>
        <w:pStyle w:val="165"/>
      </w:pPr>
      <w:r>
        <w:rPr>
          <w:rFonts w:hint="eastAsia"/>
        </w:rPr>
        <w:t>成本管理系统宜支持多源数据集成，包括设计变更、市场价格、人工费用等，并可通过接口与BIM、ERP等平台交互。</w:t>
      </w:r>
    </w:p>
    <w:p w14:paraId="6229CF53">
      <w:pPr>
        <w:pStyle w:val="165"/>
      </w:pPr>
      <w:r>
        <w:rPr>
          <w:rFonts w:hint="eastAsia"/>
        </w:rPr>
        <w:t>应对成本数据分类管理，明确成本构成、波动趋势及关联风险，并宜通过可视化工具辅助决策分析。</w:t>
      </w:r>
    </w:p>
    <w:p w14:paraId="1765DC5C">
      <w:pPr>
        <w:pStyle w:val="105"/>
        <w:spacing w:before="120" w:after="120"/>
      </w:pPr>
      <w:r>
        <w:rPr>
          <w:rFonts w:hint="eastAsia"/>
        </w:rPr>
        <w:t>风险与变更控制</w:t>
      </w:r>
    </w:p>
    <w:p w14:paraId="39C37796">
      <w:pPr>
        <w:pStyle w:val="165"/>
      </w:pPr>
      <w:r>
        <w:rPr>
          <w:rFonts w:hint="eastAsia"/>
        </w:rPr>
        <w:t>应识别可能影响成本的风险因素（如市场波动、设计变更、施工延误等），并制定分级管控措施。</w:t>
      </w:r>
    </w:p>
    <w:p w14:paraId="1ACF77E2">
      <w:pPr>
        <w:pStyle w:val="165"/>
      </w:pPr>
      <w:r>
        <w:rPr>
          <w:rFonts w:hint="eastAsia"/>
        </w:rPr>
        <w:t>应对设计变更、施工变更等实施严格审批流程，评估其对成本的影响，并宜通过变更台账记录全过程。</w:t>
      </w:r>
    </w:p>
    <w:p w14:paraId="2436CA08">
      <w:pPr>
        <w:pStyle w:val="165"/>
      </w:pPr>
      <w:r>
        <w:rPr>
          <w:rFonts w:hint="eastAsia"/>
        </w:rPr>
        <w:t>合同管理应贯穿成本控制全流程，重点关注价格调整、索赔条款及支付条件，确保合同执行与成本目标一致。</w:t>
      </w:r>
    </w:p>
    <w:p w14:paraId="1AF660CC">
      <w:pPr>
        <w:pStyle w:val="105"/>
        <w:spacing w:before="120" w:after="120"/>
      </w:pPr>
      <w:r>
        <w:rPr>
          <w:rFonts w:hint="eastAsia"/>
        </w:rPr>
        <w:t>协同与透明度</w:t>
      </w:r>
    </w:p>
    <w:p w14:paraId="78EC3398">
      <w:pPr>
        <w:pStyle w:val="165"/>
      </w:pPr>
      <w:r>
        <w:rPr>
          <w:rFonts w:hint="eastAsia"/>
        </w:rPr>
        <w:t>应建立跨部门协作机制，确保项目团队与承包商、供应商等外部方的高效沟通，可定期召开成本协调会议。</w:t>
      </w:r>
    </w:p>
    <w:p w14:paraId="188444FC">
      <w:pPr>
        <w:pStyle w:val="165"/>
      </w:pPr>
      <w:r>
        <w:rPr>
          <w:rFonts w:hint="eastAsia"/>
        </w:rPr>
        <w:t>成本信息应对相关方透明共享，宜通过统一平台提供实时查询权限，避免信息孤岛。</w:t>
      </w:r>
    </w:p>
    <w:p w14:paraId="1B8A9D52">
      <w:pPr>
        <w:pStyle w:val="105"/>
        <w:spacing w:before="120" w:after="120"/>
      </w:pPr>
      <w:r>
        <w:rPr>
          <w:rFonts w:hint="eastAsia"/>
        </w:rPr>
        <w:t>技术与能力保障</w:t>
      </w:r>
    </w:p>
    <w:p w14:paraId="2FC2140E">
      <w:pPr>
        <w:pStyle w:val="165"/>
      </w:pPr>
      <w:r>
        <w:rPr>
          <w:rFonts w:hint="eastAsia"/>
        </w:rPr>
        <w:t>应配置专业成本管理团队，包括造价工程师、数据分析师等，并宜定期组织技能培训以提升专业能力。</w:t>
      </w:r>
    </w:p>
    <w:p w14:paraId="43881894">
      <w:pPr>
        <w:pStyle w:val="165"/>
      </w:pPr>
      <w:r>
        <w:rPr>
          <w:rFonts w:hint="eastAsia"/>
        </w:rPr>
        <w:t>宜采用人工智能、大数据分析等先进技术优化成本预测模型，提升动态分析的精度与效率。</w:t>
      </w:r>
    </w:p>
    <w:p w14:paraId="12C2203E">
      <w:pPr>
        <w:pStyle w:val="105"/>
        <w:spacing w:before="120" w:after="120"/>
      </w:pPr>
      <w:r>
        <w:rPr>
          <w:rFonts w:hint="eastAsia"/>
        </w:rPr>
        <w:t>监督与改进</w:t>
      </w:r>
    </w:p>
    <w:p w14:paraId="3C5B941C">
      <w:pPr>
        <w:pStyle w:val="165"/>
      </w:pPr>
      <w:r>
        <w:rPr>
          <w:rFonts w:hint="eastAsia"/>
        </w:rPr>
        <w:t>应定期开展成本审计，验证数据与实际支出的吻合度，审计结果宜作为管理改进依据。</w:t>
      </w:r>
    </w:p>
    <w:p w14:paraId="204DC8BF">
      <w:pPr>
        <w:pStyle w:val="165"/>
      </w:pPr>
      <w:r>
        <w:rPr>
          <w:rFonts w:hint="eastAsia"/>
        </w:rPr>
        <w:t>应建立成本绩效评价机制，评估预算执行率、成本节约率等关键指标，并宜结合行业标杆优化管理策略。</w:t>
      </w:r>
    </w:p>
    <w:p w14:paraId="631B014E">
      <w:pPr>
        <w:pStyle w:val="165"/>
      </w:pPr>
      <w:r>
        <w:rPr>
          <w:rFonts w:hint="eastAsia"/>
        </w:rPr>
        <w:t>应持续改进成本管理流程，基于项目反馈完善分析方法与工具，可建立经验案例库供后续项目参考。</w:t>
      </w:r>
    </w:p>
    <w:p w14:paraId="18C33FFE">
      <w:pPr>
        <w:pStyle w:val="105"/>
        <w:spacing w:before="120" w:after="120"/>
      </w:pPr>
      <w:r>
        <w:rPr>
          <w:rFonts w:hint="eastAsia"/>
        </w:rPr>
        <w:t>记录与追溯</w:t>
      </w:r>
    </w:p>
    <w:p w14:paraId="157ABB5B">
      <w:pPr>
        <w:pStyle w:val="165"/>
      </w:pPr>
      <w:r>
        <w:rPr>
          <w:rFonts w:hint="eastAsia"/>
        </w:rPr>
        <w:t>应完整记录成本管理活动，包括决策依据、变更记录、审计报告等，并宜采用电子化存档实现快速检索。</w:t>
      </w:r>
    </w:p>
    <w:p w14:paraId="6104EE1C">
      <w:pPr>
        <w:pStyle w:val="165"/>
      </w:pPr>
      <w:r>
        <w:rPr>
          <w:rFonts w:hint="eastAsia"/>
        </w:rPr>
        <w:t>成本数据及文档的保存期限应覆盖项目全生命周期，并符合档案管理规范。</w:t>
      </w:r>
    </w:p>
    <w:p w14:paraId="67F8B1A1">
      <w:pPr>
        <w:pStyle w:val="104"/>
        <w:spacing w:before="240" w:after="240"/>
      </w:pPr>
      <w:bookmarkStart w:id="57" w:name="_Toc194565715"/>
      <w:bookmarkStart w:id="58" w:name="_Toc194568175"/>
      <w:r>
        <w:rPr>
          <w:rFonts w:hint="eastAsia"/>
        </w:rPr>
        <w:t>造价控制分析</w:t>
      </w:r>
      <w:bookmarkEnd w:id="57"/>
      <w:bookmarkEnd w:id="58"/>
    </w:p>
    <w:p w14:paraId="130E29BB">
      <w:pPr>
        <w:pStyle w:val="105"/>
        <w:spacing w:before="120" w:after="120"/>
      </w:pPr>
      <w:r>
        <w:rPr>
          <w:rFonts w:hint="eastAsia"/>
        </w:rPr>
        <w:t>设计阶段</w:t>
      </w:r>
    </w:p>
    <w:p w14:paraId="592D73E8">
      <w:pPr>
        <w:pStyle w:val="65"/>
        <w:spacing w:before="120" w:after="120"/>
      </w:pPr>
      <w:r>
        <w:rPr>
          <w:rFonts w:hint="eastAsia"/>
        </w:rPr>
        <w:t>一般要求</w:t>
      </w:r>
    </w:p>
    <w:p w14:paraId="6C3FE9BE">
      <w:pPr>
        <w:pStyle w:val="164"/>
      </w:pPr>
      <w:r>
        <w:rPr>
          <w:rFonts w:hint="eastAsia"/>
        </w:rPr>
        <w:t>协助建设单位和设计单位进行方案优选，通过应用价值工程对设计方案进行竞选比较、技术经济分析，从中选出技术上先进、经济上合理、既能满足功能和工艺要求，又能降低工程造价的技术方案。</w:t>
      </w:r>
    </w:p>
    <w:p w14:paraId="22640A72">
      <w:pPr>
        <w:pStyle w:val="164"/>
      </w:pPr>
      <w:r>
        <w:rPr>
          <w:rFonts w:hint="eastAsia"/>
        </w:rPr>
        <w:t>严把设计投资审核关，在设计会审时对合理的质量目标下超出投资的设计问题提出造价审核意见。</w:t>
      </w:r>
    </w:p>
    <w:p w14:paraId="25D87C57">
      <w:pPr>
        <w:pStyle w:val="164"/>
      </w:pPr>
      <w:r>
        <w:rPr>
          <w:rFonts w:hint="eastAsia"/>
        </w:rPr>
        <w:t>充分调查分析市场上主要材料、设备的用途、功能及价格，了解建设单位的实际需求，使主要材料、设备的选用及采购更趋经济实惠。</w:t>
      </w:r>
    </w:p>
    <w:p w14:paraId="57B7515D">
      <w:pPr>
        <w:pStyle w:val="65"/>
        <w:spacing w:before="120" w:after="120"/>
      </w:pPr>
      <w:r>
        <w:rPr>
          <w:rFonts w:hint="eastAsia"/>
        </w:rPr>
        <w:t>目标与意义</w:t>
      </w:r>
    </w:p>
    <w:p w14:paraId="2EB94337">
      <w:pPr>
        <w:pStyle w:val="94"/>
        <w:spacing w:before="120" w:after="120"/>
      </w:pPr>
      <w:r>
        <w:rPr>
          <w:rFonts w:hint="eastAsia"/>
        </w:rPr>
        <w:t>目标</w:t>
      </w:r>
    </w:p>
    <w:p w14:paraId="14545413">
      <w:pPr>
        <w:pStyle w:val="56"/>
        <w:ind w:firstLine="420"/>
      </w:pPr>
      <w:r>
        <w:rPr>
          <w:rFonts w:hint="eastAsia"/>
        </w:rPr>
        <w:t>在设计阶段实现工程造价的有效控制，确保工程投资在合理范围内，实现经济效益最大化。</w:t>
      </w:r>
    </w:p>
    <w:p w14:paraId="022A0E22">
      <w:pPr>
        <w:pStyle w:val="94"/>
        <w:spacing w:before="120" w:after="120"/>
      </w:pPr>
      <w:r>
        <w:rPr>
          <w:rFonts w:hint="eastAsia"/>
        </w:rPr>
        <w:t>意义</w:t>
      </w:r>
    </w:p>
    <w:p w14:paraId="48119D51">
      <w:pPr>
        <w:pStyle w:val="56"/>
        <w:ind w:firstLine="420"/>
      </w:pPr>
      <w:r>
        <w:rPr>
          <w:rFonts w:hint="eastAsia"/>
        </w:rPr>
        <w:t>通过合理控制设计阶段造价，减少浪费，提高工程质量，降低投资风险，为项目的顺利实施提供有力保障。</w:t>
      </w:r>
    </w:p>
    <w:p w14:paraId="66CD066A">
      <w:pPr>
        <w:pStyle w:val="65"/>
        <w:spacing w:before="120" w:after="120"/>
      </w:pPr>
      <w:r>
        <w:rPr>
          <w:rFonts w:hint="eastAsia"/>
        </w:rPr>
        <w:t>成本预估与目标设定</w:t>
      </w:r>
    </w:p>
    <w:p w14:paraId="15314327">
      <w:pPr>
        <w:pStyle w:val="94"/>
        <w:spacing w:before="120" w:after="120"/>
      </w:pPr>
      <w:r>
        <w:rPr>
          <w:rFonts w:hint="eastAsia"/>
        </w:rPr>
        <w:t>成本预估</w:t>
      </w:r>
    </w:p>
    <w:p w14:paraId="1A2696F7">
      <w:pPr>
        <w:pStyle w:val="56"/>
        <w:ind w:firstLine="420"/>
      </w:pPr>
      <w:r>
        <w:rPr>
          <w:rFonts w:hint="eastAsia"/>
        </w:rPr>
        <w:t>根据工程项目的规模、技术要求、市场环境等因素，进行初步的成本预估，为后续的造价控制提供基础数据。</w:t>
      </w:r>
    </w:p>
    <w:p w14:paraId="557A537A">
      <w:pPr>
        <w:pStyle w:val="94"/>
        <w:spacing w:before="120" w:after="120"/>
      </w:pPr>
      <w:r>
        <w:rPr>
          <w:rFonts w:hint="eastAsia"/>
        </w:rPr>
        <w:t>目标设定</w:t>
      </w:r>
    </w:p>
    <w:p w14:paraId="50E14FAD">
      <w:pPr>
        <w:pStyle w:val="56"/>
        <w:ind w:firstLine="420"/>
      </w:pPr>
      <w:r>
        <w:rPr>
          <w:rFonts w:hint="eastAsia"/>
        </w:rPr>
        <w:t>根据成本预估结果，结合项目实际情况，设定合理的造价控制目标，确保工程造价在可控范围内。</w:t>
      </w:r>
    </w:p>
    <w:p w14:paraId="6EBA9050">
      <w:pPr>
        <w:pStyle w:val="65"/>
        <w:spacing w:before="120" w:after="120"/>
      </w:pPr>
      <w:r>
        <w:rPr>
          <w:rFonts w:hint="eastAsia"/>
        </w:rPr>
        <w:t>设计方案成本评估及优化</w:t>
      </w:r>
    </w:p>
    <w:p w14:paraId="4375F30B">
      <w:pPr>
        <w:pStyle w:val="94"/>
        <w:spacing w:before="120" w:after="120"/>
      </w:pPr>
      <w:r>
        <w:rPr>
          <w:rFonts w:hint="eastAsia"/>
        </w:rPr>
        <w:t>成本评估</w:t>
      </w:r>
    </w:p>
    <w:p w14:paraId="6D4588D2">
      <w:pPr>
        <w:pStyle w:val="56"/>
        <w:ind w:firstLine="420"/>
      </w:pPr>
      <w:r>
        <w:rPr>
          <w:rFonts w:hint="eastAsia"/>
        </w:rPr>
        <w:t>对设计方案进行成本评估，包括直接成本和间接成本，为设计方案的优化提供依据。</w:t>
      </w:r>
    </w:p>
    <w:p w14:paraId="29D29915">
      <w:pPr>
        <w:pStyle w:val="94"/>
        <w:spacing w:before="120" w:after="120"/>
      </w:pPr>
      <w:r>
        <w:rPr>
          <w:rFonts w:hint="eastAsia"/>
        </w:rPr>
        <w:t>优化设计</w:t>
      </w:r>
    </w:p>
    <w:p w14:paraId="0F4777A0">
      <w:pPr>
        <w:pStyle w:val="56"/>
        <w:ind w:firstLine="420"/>
      </w:pPr>
      <w:r>
        <w:rPr>
          <w:rFonts w:hint="eastAsia"/>
        </w:rPr>
        <w:t>根据成本评估结果，对设计方案进行优化，减少浪费，提高设计方案的经济性。</w:t>
      </w:r>
    </w:p>
    <w:p w14:paraId="7347772F">
      <w:pPr>
        <w:pStyle w:val="65"/>
        <w:spacing w:before="120" w:after="120"/>
      </w:pPr>
      <w:r>
        <w:rPr>
          <w:rFonts w:hint="eastAsia"/>
        </w:rPr>
        <w:t>材料选型与成本分析</w:t>
      </w:r>
    </w:p>
    <w:p w14:paraId="17B443E2">
      <w:pPr>
        <w:pStyle w:val="94"/>
        <w:spacing w:before="120" w:after="120"/>
      </w:pPr>
      <w:r>
        <w:rPr>
          <w:rFonts w:hint="eastAsia"/>
        </w:rPr>
        <w:t>材料选型</w:t>
      </w:r>
    </w:p>
    <w:p w14:paraId="799CE7AD">
      <w:pPr>
        <w:pStyle w:val="56"/>
        <w:ind w:firstLine="420"/>
      </w:pPr>
      <w:r>
        <w:rPr>
          <w:rFonts w:hint="eastAsia"/>
        </w:rPr>
        <w:t>根据设计方案和工程要求，选择合适的材料，确保材料的质量和性能满足要求。</w:t>
      </w:r>
    </w:p>
    <w:p w14:paraId="1370C8FE">
      <w:pPr>
        <w:pStyle w:val="94"/>
        <w:spacing w:before="120" w:after="120"/>
      </w:pPr>
      <w:r>
        <w:rPr>
          <w:rFonts w:hint="eastAsia"/>
        </w:rPr>
        <w:t>成本分析</w:t>
      </w:r>
    </w:p>
    <w:p w14:paraId="68DB7689">
      <w:pPr>
        <w:pStyle w:val="56"/>
        <w:ind w:firstLine="420"/>
      </w:pPr>
      <w:r>
        <w:rPr>
          <w:rFonts w:hint="eastAsia"/>
        </w:rPr>
        <w:t>对所选材料进行成本分析，比较不同材料的价格、性能和使用寿命等因素,选择性价比最高的材料。</w:t>
      </w:r>
    </w:p>
    <w:p w14:paraId="548476E1">
      <w:pPr>
        <w:pStyle w:val="65"/>
        <w:spacing w:before="120" w:after="120"/>
      </w:pPr>
      <w:r>
        <w:rPr>
          <w:rFonts w:hint="eastAsia"/>
        </w:rPr>
        <w:t>造价计算与监控</w:t>
      </w:r>
    </w:p>
    <w:p w14:paraId="78D1738C">
      <w:pPr>
        <w:pStyle w:val="94"/>
        <w:spacing w:before="120" w:after="120"/>
      </w:pPr>
      <w:r>
        <w:rPr>
          <w:rFonts w:hint="eastAsia"/>
        </w:rPr>
        <w:t>造价计算</w:t>
      </w:r>
    </w:p>
    <w:p w14:paraId="49A5585B">
      <w:pPr>
        <w:pStyle w:val="56"/>
        <w:ind w:firstLine="420"/>
      </w:pPr>
      <w:r>
        <w:rPr>
          <w:rFonts w:hint="eastAsia"/>
        </w:rPr>
        <w:t>根据设计方案和材料选型结果，进行详细的工程造价计算，确保工程造价的准确性。</w:t>
      </w:r>
    </w:p>
    <w:p w14:paraId="7147F2F8">
      <w:pPr>
        <w:pStyle w:val="94"/>
        <w:spacing w:before="120" w:after="120"/>
      </w:pPr>
      <w:r>
        <w:rPr>
          <w:rFonts w:hint="eastAsia"/>
        </w:rPr>
        <w:t>造价监控</w:t>
      </w:r>
    </w:p>
    <w:p w14:paraId="70411B43">
      <w:pPr>
        <w:pStyle w:val="56"/>
        <w:ind w:firstLine="420"/>
      </w:pPr>
      <w:r>
        <w:rPr>
          <w:rFonts w:hint="eastAsia"/>
        </w:rPr>
        <w:t>在项目实施过程中，对工程造价进行实时监控，确保实际造价不超出预算范围。</w:t>
      </w:r>
    </w:p>
    <w:p w14:paraId="35321074">
      <w:pPr>
        <w:pStyle w:val="65"/>
        <w:spacing w:before="120" w:after="120"/>
      </w:pPr>
      <w:r>
        <w:rPr>
          <w:rFonts w:hint="eastAsia"/>
        </w:rPr>
        <w:t>设计变更影响</w:t>
      </w:r>
    </w:p>
    <w:p w14:paraId="5CAE03D0">
      <w:pPr>
        <w:pStyle w:val="94"/>
        <w:spacing w:before="120" w:after="120"/>
      </w:pPr>
      <w:r>
        <w:rPr>
          <w:rFonts w:hint="eastAsia"/>
        </w:rPr>
        <w:t>影响分析</w:t>
      </w:r>
    </w:p>
    <w:p w14:paraId="1AD51BF4">
      <w:pPr>
        <w:pStyle w:val="56"/>
        <w:ind w:firstLine="420"/>
      </w:pPr>
      <w:r>
        <w:rPr>
          <w:rFonts w:hint="eastAsia"/>
        </w:rPr>
        <w:t>对设计变更进行成本影响分析，评估设计变更对工程造价的影响程度。</w:t>
      </w:r>
    </w:p>
    <w:p w14:paraId="7C9E2DDD">
      <w:pPr>
        <w:pStyle w:val="94"/>
        <w:spacing w:before="120" w:after="120"/>
      </w:pPr>
      <w:r>
        <w:rPr>
          <w:rFonts w:hint="eastAsia"/>
        </w:rPr>
        <w:t>处理措施</w:t>
      </w:r>
    </w:p>
    <w:p w14:paraId="563F3317">
      <w:pPr>
        <w:pStyle w:val="56"/>
        <w:ind w:firstLine="420"/>
      </w:pPr>
      <w:r>
        <w:rPr>
          <w:rFonts w:hint="eastAsia"/>
        </w:rPr>
        <w:t>根据影响分析结果，采取相应的处理措施，如优化设计方案、调整材料选型等，以减小设计变更对工程造价的影响。</w:t>
      </w:r>
    </w:p>
    <w:p w14:paraId="15F18D3B">
      <w:pPr>
        <w:pStyle w:val="105"/>
        <w:spacing w:before="120" w:after="120"/>
      </w:pPr>
      <w:r>
        <w:rPr>
          <w:rFonts w:hint="eastAsia"/>
        </w:rPr>
        <w:t>招投标阶段</w:t>
      </w:r>
    </w:p>
    <w:p w14:paraId="2FF5974A">
      <w:pPr>
        <w:pStyle w:val="65"/>
        <w:spacing w:before="120" w:after="120"/>
      </w:pPr>
      <w:r>
        <w:rPr>
          <w:rFonts w:hint="eastAsia"/>
        </w:rPr>
        <w:t>项目成本预算与分析</w:t>
      </w:r>
    </w:p>
    <w:p w14:paraId="7BB9C4E6">
      <w:pPr>
        <w:pStyle w:val="164"/>
      </w:pPr>
      <w:r>
        <w:rPr>
          <w:rFonts w:hint="eastAsia"/>
        </w:rPr>
        <w:t>在招投标前，对项目进行全面的成本预算，确保预算的准确性、完整性和合理性。</w:t>
      </w:r>
    </w:p>
    <w:p w14:paraId="20C3B5A6">
      <w:pPr>
        <w:pStyle w:val="164"/>
      </w:pPr>
      <w:r>
        <w:rPr>
          <w:rFonts w:hint="eastAsia"/>
        </w:rPr>
        <w:t>分析项目成本构成，识别成本控制的关键点和难点，为后续的招投标工作提供基础数据支持。</w:t>
      </w:r>
    </w:p>
    <w:p w14:paraId="0F1C7228">
      <w:pPr>
        <w:pStyle w:val="65"/>
        <w:spacing w:before="120" w:after="120"/>
      </w:pPr>
      <w:r>
        <w:rPr>
          <w:rFonts w:hint="eastAsia"/>
        </w:rPr>
        <w:t>招标文件编制与审批</w:t>
      </w:r>
    </w:p>
    <w:p w14:paraId="51541BA2">
      <w:pPr>
        <w:pStyle w:val="164"/>
      </w:pPr>
      <w:r>
        <w:rPr>
          <w:rFonts w:hint="eastAsia"/>
        </w:rPr>
        <w:t>招标文件是招投标活动的基础文件，应明确以下内容：</w:t>
      </w:r>
    </w:p>
    <w:p w14:paraId="11A9F2FE">
      <w:pPr>
        <w:pStyle w:val="132"/>
      </w:pPr>
      <w:r>
        <w:rPr>
          <w:rFonts w:hint="eastAsia"/>
        </w:rPr>
        <w:t>工程范围；</w:t>
      </w:r>
    </w:p>
    <w:p w14:paraId="3FDBC6A0">
      <w:pPr>
        <w:pStyle w:val="132"/>
      </w:pPr>
      <w:r>
        <w:rPr>
          <w:rFonts w:hint="eastAsia"/>
        </w:rPr>
        <w:t>技术标准；</w:t>
      </w:r>
    </w:p>
    <w:p w14:paraId="6D5FC57C">
      <w:pPr>
        <w:pStyle w:val="132"/>
      </w:pPr>
      <w:r>
        <w:rPr>
          <w:rFonts w:hint="eastAsia"/>
        </w:rPr>
        <w:t>质量要求；</w:t>
      </w:r>
    </w:p>
    <w:p w14:paraId="316DA3BF">
      <w:pPr>
        <w:pStyle w:val="132"/>
      </w:pPr>
      <w:r>
        <w:rPr>
          <w:rFonts w:hint="eastAsia"/>
        </w:rPr>
        <w:t>工期要求；</w:t>
      </w:r>
    </w:p>
    <w:p w14:paraId="562F96D3">
      <w:pPr>
        <w:pStyle w:val="132"/>
      </w:pPr>
      <w:r>
        <w:rPr>
          <w:rFonts w:hint="eastAsia"/>
        </w:rPr>
        <w:t>投标报价要求等。</w:t>
      </w:r>
    </w:p>
    <w:p w14:paraId="7AB9FE95">
      <w:pPr>
        <w:pStyle w:val="164"/>
      </w:pPr>
      <w:r>
        <w:rPr>
          <w:rFonts w:hint="eastAsia"/>
        </w:rPr>
        <w:t>招标文件应经过多轮讨论、审查和修改，确保其内容准确、清晰、完整，避免出现歧义或漏洞。</w:t>
      </w:r>
    </w:p>
    <w:p w14:paraId="4C68837A">
      <w:pPr>
        <w:pStyle w:val="164"/>
      </w:pPr>
      <w:r>
        <w:rPr>
          <w:rFonts w:hint="eastAsia"/>
        </w:rPr>
        <w:t>招标文件应经相关部门审批后，方可发布给潜在的投标单位,</w:t>
      </w:r>
    </w:p>
    <w:p w14:paraId="7A7311B3">
      <w:pPr>
        <w:pStyle w:val="65"/>
        <w:spacing w:before="120" w:after="120"/>
      </w:pPr>
      <w:r>
        <w:rPr>
          <w:rFonts w:hint="eastAsia"/>
        </w:rPr>
        <w:t>投标单位资格审查</w:t>
      </w:r>
    </w:p>
    <w:p w14:paraId="2B7AED33">
      <w:pPr>
        <w:pStyle w:val="164"/>
      </w:pPr>
      <w:r>
        <w:rPr>
          <w:rFonts w:hint="eastAsia"/>
        </w:rPr>
        <w:t>对投标单位进行严格的资格审查，确保其具备相应的资质、能力和信誉。</w:t>
      </w:r>
    </w:p>
    <w:p w14:paraId="25EA8A08">
      <w:pPr>
        <w:pStyle w:val="164"/>
      </w:pPr>
      <w:r>
        <w:rPr>
          <w:rFonts w:hint="eastAsia"/>
        </w:rPr>
        <w:t>审查投标单位的财务状况、技术实力、施工经验等方面，确保其能够满足项目的实际需求。</w:t>
      </w:r>
    </w:p>
    <w:p w14:paraId="31BE19D7">
      <w:pPr>
        <w:pStyle w:val="65"/>
        <w:spacing w:before="120" w:after="120"/>
      </w:pPr>
      <w:r>
        <w:rPr>
          <w:rFonts w:hint="eastAsia"/>
        </w:rPr>
        <w:t>投标报价评估与分析</w:t>
      </w:r>
    </w:p>
    <w:p w14:paraId="64F22B23">
      <w:pPr>
        <w:pStyle w:val="164"/>
      </w:pPr>
      <w:r>
        <w:rPr>
          <w:rFonts w:hint="eastAsia"/>
        </w:rPr>
        <w:t>对投标单位的报价进行详细的评估和分析，确保其报价的合理性、公正性和竞争性。</w:t>
      </w:r>
    </w:p>
    <w:p w14:paraId="396DDC58">
      <w:pPr>
        <w:pStyle w:val="164"/>
      </w:pPr>
      <w:r>
        <w:rPr>
          <w:rFonts w:hint="eastAsia"/>
        </w:rPr>
        <w:t>对比不同投标单位的报价，分析其差异的原因，为后续的合同读判提供依据。</w:t>
      </w:r>
    </w:p>
    <w:p w14:paraId="46AAF4C2">
      <w:pPr>
        <w:pStyle w:val="65"/>
        <w:spacing w:before="120" w:after="120"/>
      </w:pPr>
      <w:r>
        <w:rPr>
          <w:rFonts w:hint="eastAsia"/>
        </w:rPr>
        <w:t>合同谈判与签订</w:t>
      </w:r>
    </w:p>
    <w:p w14:paraId="722094EE">
      <w:pPr>
        <w:pStyle w:val="164"/>
      </w:pPr>
      <w:r>
        <w:rPr>
          <w:rFonts w:hint="eastAsia"/>
        </w:rPr>
        <w:t>在合同谈判中，应明确双方的权利和义务，确保合同的公正性和合理性。</w:t>
      </w:r>
    </w:p>
    <w:p w14:paraId="66FE5DCD">
      <w:pPr>
        <w:pStyle w:val="164"/>
      </w:pPr>
      <w:r>
        <w:rPr>
          <w:rFonts w:hint="eastAsia"/>
        </w:rPr>
        <w:t>对于工程造价的条款，应进行充分的讨论和协商，确保双方对造价的理解和预期一致。</w:t>
      </w:r>
    </w:p>
    <w:p w14:paraId="47617EAD">
      <w:pPr>
        <w:pStyle w:val="164"/>
      </w:pPr>
      <w:r>
        <w:rPr>
          <w:rFonts w:hint="eastAsia"/>
        </w:rPr>
        <w:t>合同签订后，应及时办理相关手续，确保合同的合法性和有效性。</w:t>
      </w:r>
    </w:p>
    <w:p w14:paraId="44328B14">
      <w:pPr>
        <w:pStyle w:val="65"/>
        <w:spacing w:before="120" w:after="120"/>
      </w:pPr>
      <w:r>
        <w:rPr>
          <w:rFonts w:hint="eastAsia"/>
        </w:rPr>
        <w:t>中标选定及公示</w:t>
      </w:r>
    </w:p>
    <w:p w14:paraId="620E63DE">
      <w:pPr>
        <w:pStyle w:val="164"/>
      </w:pPr>
      <w:r>
        <w:rPr>
          <w:rFonts w:hint="eastAsia"/>
        </w:rPr>
        <w:t>根据投标报价、技术方案、施工经验等方面的综合评估，选定中标单位。</w:t>
      </w:r>
    </w:p>
    <w:p w14:paraId="5D1A382E">
      <w:pPr>
        <w:pStyle w:val="164"/>
      </w:pPr>
      <w:r>
        <w:rPr>
          <w:rFonts w:hint="eastAsia"/>
        </w:rPr>
        <w:t>对中标结果进行公示，接受社会监督，确保招投标活动的公正性和透明度。</w:t>
      </w:r>
    </w:p>
    <w:p w14:paraId="51EA1234">
      <w:pPr>
        <w:pStyle w:val="65"/>
        <w:spacing w:before="120" w:after="120"/>
      </w:pPr>
      <w:r>
        <w:rPr>
          <w:rFonts w:hint="eastAsia"/>
        </w:rPr>
        <w:t>风险识别与应对措施</w:t>
      </w:r>
    </w:p>
    <w:p w14:paraId="1BC93866">
      <w:pPr>
        <w:pStyle w:val="164"/>
      </w:pPr>
      <w:r>
        <w:rPr>
          <w:rFonts w:hint="eastAsia"/>
        </w:rPr>
        <w:t>识别招投标过程中可能出现的风险因素，如信息泄露、不正当竞争、资质不符等。</w:t>
      </w:r>
    </w:p>
    <w:p w14:paraId="444AA898">
      <w:pPr>
        <w:pStyle w:val="164"/>
      </w:pPr>
      <w:r>
        <w:rPr>
          <w:rFonts w:hint="eastAsia"/>
        </w:rPr>
        <w:t>制定相应的应对措施，如加强保密工作、建立投诉举报机制、严格审查投标单位资质等，确保招投标活动的顺利进行。</w:t>
      </w:r>
    </w:p>
    <w:p w14:paraId="5572C556">
      <w:pPr>
        <w:pStyle w:val="65"/>
        <w:spacing w:before="120" w:after="120"/>
      </w:pPr>
      <w:r>
        <w:rPr>
          <w:rFonts w:hint="eastAsia"/>
        </w:rPr>
        <w:t>评标办法</w:t>
      </w:r>
    </w:p>
    <w:p w14:paraId="07363983">
      <w:pPr>
        <w:pStyle w:val="56"/>
        <w:ind w:firstLine="420"/>
      </w:pPr>
      <w:r>
        <w:rPr>
          <w:rFonts w:hint="eastAsia"/>
        </w:rPr>
        <w:t>根据每个项目的不同特点，选择最适合本项目的评标办法。</w:t>
      </w:r>
    </w:p>
    <w:p w14:paraId="46491DC6">
      <w:pPr>
        <w:pStyle w:val="65"/>
        <w:spacing w:before="120" w:after="120"/>
      </w:pPr>
      <w:r>
        <w:rPr>
          <w:rFonts w:hint="eastAsia"/>
        </w:rPr>
        <w:t>设计图审核及招标文件编制</w:t>
      </w:r>
    </w:p>
    <w:p w14:paraId="40E11B43">
      <w:pPr>
        <w:pStyle w:val="164"/>
      </w:pPr>
      <w:r>
        <w:rPr>
          <w:rFonts w:hint="eastAsia"/>
        </w:rPr>
        <w:t>设计图纸作为拟建工程的技术条件和工程量清单的编制依据，是工程技术质量的保证，是工程量清单准确率的保证。勘察与设计的深度和正确度，会直接影响工程造价正确性，影响建设项目工程造价的全过程控制。</w:t>
      </w:r>
    </w:p>
    <w:p w14:paraId="1A493C88">
      <w:pPr>
        <w:pStyle w:val="164"/>
      </w:pPr>
      <w:r>
        <w:rPr>
          <w:rFonts w:hint="eastAsia"/>
        </w:rPr>
        <w:t>招标文件编制需要十分细政全面，它是后续签订合网的依据，也是保证项目顺利实施的必要条件。</w:t>
      </w:r>
    </w:p>
    <w:p w14:paraId="58D185F2">
      <w:pPr>
        <w:pStyle w:val="105"/>
        <w:spacing w:before="120" w:after="120"/>
      </w:pPr>
      <w:r>
        <w:rPr>
          <w:rFonts w:hint="eastAsia"/>
        </w:rPr>
        <w:t>施工阶段</w:t>
      </w:r>
    </w:p>
    <w:p w14:paraId="790C6802">
      <w:pPr>
        <w:pStyle w:val="65"/>
        <w:spacing w:before="120" w:after="120"/>
      </w:pPr>
      <w:r>
        <w:rPr>
          <w:rFonts w:hint="eastAsia"/>
        </w:rPr>
        <w:t>控制措施</w:t>
      </w:r>
    </w:p>
    <w:p w14:paraId="6BFEFF6C">
      <w:pPr>
        <w:pStyle w:val="94"/>
        <w:spacing w:before="120" w:after="120"/>
      </w:pPr>
      <w:r>
        <w:rPr>
          <w:rFonts w:hint="eastAsia"/>
        </w:rPr>
        <w:t>组织措施</w:t>
      </w:r>
    </w:p>
    <w:p w14:paraId="1630FB33">
      <w:pPr>
        <w:pStyle w:val="56"/>
        <w:ind w:firstLine="420"/>
      </w:pPr>
      <w:r>
        <w:rPr>
          <w:rFonts w:hint="eastAsia"/>
        </w:rPr>
        <w:t>从投资控制的组织管理方面采取的措施。例如，落实投资控制的组织机构和人员，明确各级投资控制人员的任务、职能分工、权利和责任，改善投资控制工作流程。</w:t>
      </w:r>
    </w:p>
    <w:p w14:paraId="702189EC">
      <w:pPr>
        <w:pStyle w:val="94"/>
        <w:spacing w:before="120" w:after="120"/>
      </w:pPr>
      <w:r>
        <w:rPr>
          <w:rFonts w:hint="eastAsia"/>
        </w:rPr>
        <w:t>经济措施</w:t>
      </w:r>
    </w:p>
    <w:p w14:paraId="2C4C6B79">
      <w:pPr>
        <w:pStyle w:val="56"/>
        <w:ind w:firstLine="420"/>
      </w:pPr>
      <w:r>
        <w:rPr>
          <w:rFonts w:hint="eastAsia"/>
        </w:rPr>
        <w:t>从全局考虑，如检查投资目标分解的合理性，资金使用计划的保障性，施工进度计划的协调性。另外，通过偏差分析和未完工程的预测发现潜在问题，及时采取预防措施，从而取得造价控制的主动权。</w:t>
      </w:r>
    </w:p>
    <w:p w14:paraId="0AC3BE67">
      <w:pPr>
        <w:pStyle w:val="94"/>
        <w:spacing w:before="120" w:after="120"/>
      </w:pPr>
      <w:r>
        <w:rPr>
          <w:rFonts w:hint="eastAsia"/>
        </w:rPr>
        <w:t>技术措施</w:t>
      </w:r>
    </w:p>
    <w:p w14:paraId="131924BD">
      <w:pPr>
        <w:pStyle w:val="56"/>
        <w:ind w:firstLine="420"/>
      </w:pPr>
      <w:r>
        <w:rPr>
          <w:rFonts w:hint="eastAsia"/>
        </w:rPr>
        <w:t>不同的技术措施往往会有不同的经济效果，因此，运用技术措施纠偏时，应对不同的技术方案进行技术经济分析综合评价后加以选择。</w:t>
      </w:r>
    </w:p>
    <w:p w14:paraId="46A32A65">
      <w:pPr>
        <w:pStyle w:val="94"/>
        <w:spacing w:before="120" w:after="120"/>
      </w:pPr>
      <w:r>
        <w:rPr>
          <w:rFonts w:hint="eastAsia"/>
        </w:rPr>
        <w:t>合同措施</w:t>
      </w:r>
    </w:p>
    <w:p w14:paraId="1E511270">
      <w:pPr>
        <w:pStyle w:val="56"/>
        <w:ind w:firstLine="420"/>
      </w:pPr>
      <w:r>
        <w:rPr>
          <w:rFonts w:hint="eastAsia"/>
        </w:rPr>
        <w:t>合同措施在纠偏方面主要指索赔管理。在施工过程中，造价工程师在发生索赔事件后，应认真审查有关索赔依据是否符合合同规定,索赔计算是否合理等,从主动控制的角度出发,加强日常的合同管理，落实合同规定的责任。</w:t>
      </w:r>
    </w:p>
    <w:p w14:paraId="6B9265E2">
      <w:pPr>
        <w:pStyle w:val="65"/>
        <w:spacing w:before="120" w:after="120"/>
      </w:pPr>
      <w:r>
        <w:rPr>
          <w:rFonts w:hint="eastAsia"/>
        </w:rPr>
        <w:t>施工图预算编制与审核</w:t>
      </w:r>
    </w:p>
    <w:p w14:paraId="6A5B8796">
      <w:pPr>
        <w:pStyle w:val="94"/>
        <w:spacing w:before="120" w:after="120"/>
      </w:pPr>
      <w:r>
        <w:rPr>
          <w:rFonts w:hint="eastAsia"/>
        </w:rPr>
        <w:t>预算编制</w:t>
      </w:r>
    </w:p>
    <w:p w14:paraId="546D6254">
      <w:pPr>
        <w:pStyle w:val="56"/>
        <w:ind w:firstLine="420"/>
      </w:pPr>
      <w:r>
        <w:rPr>
          <w:rFonts w:hint="eastAsia"/>
        </w:rPr>
        <w:t>根据施工图纸和工程量清单，结合市场价格和施工条件，编制详细的施工图预算。</w:t>
      </w:r>
    </w:p>
    <w:p w14:paraId="03620C62">
      <w:pPr>
        <w:pStyle w:val="94"/>
        <w:spacing w:before="120" w:after="120"/>
      </w:pPr>
      <w:r>
        <w:rPr>
          <w:rFonts w:hint="eastAsia"/>
        </w:rPr>
        <w:t>预算审核</w:t>
      </w:r>
    </w:p>
    <w:p w14:paraId="46876A76">
      <w:pPr>
        <w:pStyle w:val="56"/>
        <w:ind w:firstLine="420"/>
      </w:pPr>
      <w:r>
        <w:rPr>
          <w:rFonts w:hint="eastAsia"/>
        </w:rPr>
        <w:t>对施工图预算进行严格的审核，确保预算的准确性和合理性，避免预算超支。</w:t>
      </w:r>
    </w:p>
    <w:p w14:paraId="23707B81">
      <w:pPr>
        <w:pStyle w:val="65"/>
        <w:spacing w:before="120" w:after="120"/>
      </w:pPr>
      <w:r>
        <w:rPr>
          <w:rFonts w:hint="eastAsia"/>
        </w:rPr>
        <w:t>合同管理与付款</w:t>
      </w:r>
    </w:p>
    <w:p w14:paraId="2D3ED96F">
      <w:pPr>
        <w:pStyle w:val="94"/>
        <w:spacing w:before="120" w:after="120"/>
      </w:pPr>
      <w:r>
        <w:rPr>
          <w:rFonts w:hint="eastAsia"/>
        </w:rPr>
        <w:t>合同管理</w:t>
      </w:r>
    </w:p>
    <w:p w14:paraId="5F283B6F">
      <w:pPr>
        <w:pStyle w:val="56"/>
        <w:ind w:firstLine="420"/>
      </w:pPr>
      <w:r>
        <w:rPr>
          <w:rFonts w:hint="eastAsia"/>
        </w:rPr>
        <w:t>建立健全合同管理制度，明确合同双方的权利和义务，确保合同的顺利执行。</w:t>
      </w:r>
    </w:p>
    <w:p w14:paraId="257CEF70">
      <w:pPr>
        <w:pStyle w:val="94"/>
        <w:spacing w:before="120" w:after="120"/>
      </w:pPr>
      <w:r>
        <w:rPr>
          <w:rFonts w:hint="eastAsia"/>
        </w:rPr>
        <w:t>付款方式安排</w:t>
      </w:r>
    </w:p>
    <w:p w14:paraId="44FA548F">
      <w:pPr>
        <w:pStyle w:val="56"/>
        <w:ind w:firstLine="420"/>
      </w:pPr>
      <w:r>
        <w:rPr>
          <w:rFonts w:hint="eastAsia"/>
        </w:rPr>
        <w:t>根据施工进度和合同约定，合理安排付款方式和付款比例，确保资金使用的合理性和有效性。</w:t>
      </w:r>
    </w:p>
    <w:p w14:paraId="30F27EFB">
      <w:pPr>
        <w:pStyle w:val="65"/>
        <w:spacing w:before="120" w:after="120"/>
      </w:pPr>
      <w:r>
        <w:rPr>
          <w:rFonts w:hint="eastAsia"/>
        </w:rPr>
        <w:t>工程量变更管理与审批流程</w:t>
      </w:r>
    </w:p>
    <w:p w14:paraId="6E05688D">
      <w:pPr>
        <w:pStyle w:val="94"/>
        <w:spacing w:before="120" w:after="120"/>
      </w:pPr>
      <w:r>
        <w:rPr>
          <w:rFonts w:hint="eastAsia"/>
        </w:rPr>
        <w:t>工程量变更管理</w:t>
      </w:r>
    </w:p>
    <w:p w14:paraId="6088E826">
      <w:pPr>
        <w:pStyle w:val="56"/>
        <w:ind w:firstLine="420"/>
      </w:pPr>
      <w:r>
        <w:rPr>
          <w:rFonts w:hint="eastAsia"/>
        </w:rPr>
        <w:t>对施工过程中出现的工程量变更进行及时记录和管理，确保变更的合理性。</w:t>
      </w:r>
    </w:p>
    <w:p w14:paraId="2C55040F">
      <w:pPr>
        <w:pStyle w:val="94"/>
        <w:spacing w:before="120" w:after="120"/>
      </w:pPr>
      <w:r>
        <w:rPr>
          <w:rFonts w:hint="eastAsia"/>
        </w:rPr>
        <w:t>审批流程</w:t>
      </w:r>
    </w:p>
    <w:p w14:paraId="54897336">
      <w:pPr>
        <w:pStyle w:val="56"/>
        <w:ind w:firstLine="420"/>
      </w:pPr>
      <w:r>
        <w:rPr>
          <w:rFonts w:hint="eastAsia"/>
        </w:rPr>
        <w:t>建立完善的工程量变更审批流程，明确变更申请、审批、执行等各个环节的责任和权限。</w:t>
      </w:r>
    </w:p>
    <w:p w14:paraId="3815CE90">
      <w:pPr>
        <w:pStyle w:val="65"/>
        <w:spacing w:before="120" w:after="120"/>
      </w:pPr>
      <w:r>
        <w:rPr>
          <w:rFonts w:hint="eastAsia"/>
        </w:rPr>
        <w:t>施工成本监测与调整策略</w:t>
      </w:r>
    </w:p>
    <w:p w14:paraId="37A22C07">
      <w:pPr>
        <w:pStyle w:val="94"/>
        <w:spacing w:before="120" w:after="120"/>
      </w:pPr>
      <w:r>
        <w:rPr>
          <w:rFonts w:hint="eastAsia"/>
        </w:rPr>
        <w:t>施工成本监测</w:t>
      </w:r>
    </w:p>
    <w:p w14:paraId="637FC77B">
      <w:pPr>
        <w:pStyle w:val="56"/>
        <w:ind w:firstLine="420"/>
      </w:pPr>
      <w:r>
        <w:rPr>
          <w:rFonts w:hint="eastAsia"/>
        </w:rPr>
        <w:t>对施工过程中的成本进行实时监测，及时发现成本偏差。</w:t>
      </w:r>
    </w:p>
    <w:p w14:paraId="3814A9B4">
      <w:pPr>
        <w:pStyle w:val="94"/>
        <w:spacing w:before="120" w:after="120"/>
      </w:pPr>
      <w:r>
        <w:rPr>
          <w:rFonts w:hint="eastAsia"/>
        </w:rPr>
        <w:t>调整策略</w:t>
      </w:r>
    </w:p>
    <w:p w14:paraId="3183893D">
      <w:pPr>
        <w:pStyle w:val="56"/>
        <w:ind w:firstLine="420"/>
      </w:pPr>
      <w:r>
        <w:rPr>
          <w:rFonts w:hint="eastAsia"/>
        </w:rPr>
        <w:t>根据成本监测结果，制定相应的调整策略，如优化施工方案、控制材料消耗等，确保施工成本控制在预算范围内。</w:t>
      </w:r>
    </w:p>
    <w:p w14:paraId="66104C5D">
      <w:pPr>
        <w:pStyle w:val="65"/>
        <w:spacing w:before="120" w:after="120"/>
      </w:pPr>
      <w:r>
        <w:rPr>
          <w:rFonts w:hint="eastAsia"/>
        </w:rPr>
        <w:t>材料及设备采购成本控制</w:t>
      </w:r>
    </w:p>
    <w:p w14:paraId="1A4E7E0E">
      <w:pPr>
        <w:pStyle w:val="94"/>
        <w:spacing w:before="120" w:after="120"/>
      </w:pPr>
      <w:r>
        <w:rPr>
          <w:rFonts w:hint="eastAsia"/>
        </w:rPr>
        <w:t>采购计划</w:t>
      </w:r>
    </w:p>
    <w:p w14:paraId="504692A3">
      <w:pPr>
        <w:pStyle w:val="56"/>
        <w:ind w:firstLine="420"/>
      </w:pPr>
      <w:r>
        <w:rPr>
          <w:rFonts w:hint="eastAsia"/>
        </w:rPr>
        <w:t>制定详细的材料和设备采购计划，明确采购数量、质量和时间要求。</w:t>
      </w:r>
    </w:p>
    <w:p w14:paraId="0F2859D5">
      <w:pPr>
        <w:pStyle w:val="94"/>
        <w:spacing w:before="120" w:after="120"/>
      </w:pPr>
      <w:r>
        <w:rPr>
          <w:rFonts w:hint="eastAsia"/>
        </w:rPr>
        <w:t>供应商选择</w:t>
      </w:r>
    </w:p>
    <w:p w14:paraId="1A0AE89E">
      <w:pPr>
        <w:pStyle w:val="56"/>
        <w:ind w:firstLine="420"/>
      </w:pPr>
      <w:r>
        <w:rPr>
          <w:rFonts w:hint="eastAsia"/>
        </w:rPr>
        <w:t>选择信誉良好、价格合理的供应商进行合作，确保采购成本和质量的可控性。</w:t>
      </w:r>
    </w:p>
    <w:p w14:paraId="2F8ABDA1">
      <w:pPr>
        <w:pStyle w:val="94"/>
        <w:spacing w:before="120" w:after="120"/>
      </w:pPr>
      <w:r>
        <w:rPr>
          <w:rFonts w:hint="eastAsia"/>
        </w:rPr>
        <w:t>采购过程管理</w:t>
      </w:r>
    </w:p>
    <w:p w14:paraId="7899A738">
      <w:pPr>
        <w:pStyle w:val="56"/>
        <w:ind w:firstLine="420"/>
      </w:pPr>
      <w:r>
        <w:rPr>
          <w:rFonts w:hint="eastAsia"/>
        </w:rPr>
        <w:t>对采购过程进行严格的管理和监督，确保采购的公平性和透明度。</w:t>
      </w:r>
    </w:p>
    <w:p w14:paraId="39B11877">
      <w:pPr>
        <w:pStyle w:val="65"/>
        <w:spacing w:before="120" w:after="120"/>
      </w:pPr>
      <w:r>
        <w:rPr>
          <w:rFonts w:hint="eastAsia"/>
        </w:rPr>
        <w:t>分包和劳务管理成本控制</w:t>
      </w:r>
    </w:p>
    <w:p w14:paraId="5A04504A">
      <w:pPr>
        <w:pStyle w:val="94"/>
        <w:spacing w:before="120" w:after="120"/>
      </w:pPr>
      <w:r>
        <w:rPr>
          <w:rFonts w:hint="eastAsia"/>
        </w:rPr>
        <w:t>分包管理</w:t>
      </w:r>
    </w:p>
    <w:p w14:paraId="67D88E85">
      <w:pPr>
        <w:pStyle w:val="56"/>
        <w:ind w:firstLine="420"/>
      </w:pPr>
      <w:r>
        <w:rPr>
          <w:rFonts w:hint="eastAsia"/>
        </w:rPr>
        <w:t>对分包商进行严格的筛选和管理，确保分包工程的质量和进度符合要求。</w:t>
      </w:r>
    </w:p>
    <w:p w14:paraId="61DA7E8E">
      <w:pPr>
        <w:pStyle w:val="94"/>
        <w:spacing w:before="120" w:after="120"/>
      </w:pPr>
      <w:r>
        <w:rPr>
          <w:rFonts w:hint="eastAsia"/>
        </w:rPr>
        <w:t>劳务管理</w:t>
      </w:r>
    </w:p>
    <w:p w14:paraId="1635F4C4">
      <w:pPr>
        <w:pStyle w:val="56"/>
        <w:ind w:firstLine="420"/>
      </w:pPr>
      <w:r>
        <w:rPr>
          <w:rFonts w:hint="eastAsia"/>
        </w:rPr>
        <w:t>合理安排劳务人员的数量和工作时间，提高劳务效率，降低劳务成本。</w:t>
      </w:r>
    </w:p>
    <w:p w14:paraId="2EFBBB40">
      <w:pPr>
        <w:pStyle w:val="65"/>
        <w:spacing w:before="120" w:after="120"/>
      </w:pPr>
      <w:r>
        <w:rPr>
          <w:rFonts w:hint="eastAsia"/>
        </w:rPr>
        <w:t>人员与设备资源优化配置</w:t>
      </w:r>
    </w:p>
    <w:p w14:paraId="0A4B5AFF">
      <w:pPr>
        <w:pStyle w:val="94"/>
        <w:spacing w:before="120" w:after="120"/>
      </w:pPr>
      <w:r>
        <w:rPr>
          <w:rFonts w:hint="eastAsia"/>
        </w:rPr>
        <w:t>人员配置</w:t>
      </w:r>
    </w:p>
    <w:p w14:paraId="07EEACD3">
      <w:pPr>
        <w:pStyle w:val="56"/>
        <w:ind w:firstLine="420"/>
      </w:pPr>
      <w:r>
        <w:rPr>
          <w:rFonts w:hint="eastAsia"/>
        </w:rPr>
        <w:t>根据施工进度和工程需要，合理配置施工人员，避免人员闲置或过剩。</w:t>
      </w:r>
    </w:p>
    <w:p w14:paraId="6A68D95D">
      <w:pPr>
        <w:pStyle w:val="94"/>
        <w:spacing w:before="120" w:after="120"/>
      </w:pPr>
      <w:r>
        <w:rPr>
          <w:rFonts w:hint="eastAsia"/>
        </w:rPr>
        <w:t>设备资源配置</w:t>
      </w:r>
    </w:p>
    <w:p w14:paraId="5367C643">
      <w:pPr>
        <w:pStyle w:val="56"/>
        <w:ind w:firstLine="420"/>
      </w:pPr>
      <w:r>
        <w:rPr>
          <w:rFonts w:hint="eastAsia"/>
        </w:rPr>
        <w:t>合理配置施工设备和机械，提高设备利用率，降低设备成本。</w:t>
      </w:r>
    </w:p>
    <w:p w14:paraId="79B20FFC">
      <w:pPr>
        <w:pStyle w:val="105"/>
        <w:spacing w:before="120" w:after="120"/>
      </w:pPr>
      <w:r>
        <w:rPr>
          <w:rFonts w:hint="eastAsia"/>
        </w:rPr>
        <w:t>结算阶段</w:t>
      </w:r>
    </w:p>
    <w:p w14:paraId="4E6676F2">
      <w:pPr>
        <w:pStyle w:val="165"/>
      </w:pPr>
      <w:r>
        <w:rPr>
          <w:rFonts w:hint="eastAsia"/>
        </w:rPr>
        <w:t>控制方法包括但不限于以下方面：</w:t>
      </w:r>
    </w:p>
    <w:p w14:paraId="40D49794">
      <w:pPr>
        <w:pStyle w:val="132"/>
      </w:pPr>
      <w:r>
        <w:rPr>
          <w:rFonts w:hint="eastAsia"/>
        </w:rPr>
        <w:t>审查承包人是否按照招标文件、施工图纸及招标人要求的承包范围完成工程建设，承包人完成的项目是否竣工验收合格，是否存在甩项工作。</w:t>
      </w:r>
    </w:p>
    <w:p w14:paraId="2DA3621A">
      <w:pPr>
        <w:pStyle w:val="132"/>
      </w:pPr>
      <w:r>
        <w:rPr>
          <w:rFonts w:hint="eastAsia"/>
        </w:rPr>
        <w:t>核定施工工程量,核定施工工程量是工程竣工结算审查的关键.由于工程量的计算多并且繁琐，容易造成高估冒算。应重点审核投资比例较大的分项工程;重点审核容易混淆或有漏洞的项目。</w:t>
      </w:r>
    </w:p>
    <w:p w14:paraId="3569E976">
      <w:pPr>
        <w:pStyle w:val="132"/>
      </w:pPr>
      <w:r>
        <w:rPr>
          <w:rFonts w:hint="eastAsia"/>
        </w:rPr>
        <w:t>审查设计变更签证。设计变更应由原设计单位出具设计变更通知单和修改图纸，设计、校审人员字并加盖公章，并经建设单位、监理工程师审查同意。在审查设计变更时，除了有完整的变更手续外，还应注意工程量的计算，对计算有误的工程量讲行调整，对不符合变更手续要求的不能列入结算。</w:t>
      </w:r>
    </w:p>
    <w:p w14:paraId="0146FCDC">
      <w:pPr>
        <w:pStyle w:val="132"/>
      </w:pPr>
      <w:r>
        <w:rPr>
          <w:rFonts w:hint="eastAsia"/>
        </w:rPr>
        <w:t>审查项目单价套用。主要审查工程所套用单价是否与工程应执行的合同及定额标准相符，工程结算所列各分项工程清单与设计文件是否相符，计算单位是否一致。正确把握定额套用，避免高套、错套等问题。</w:t>
      </w:r>
    </w:p>
    <w:p w14:paraId="7EDFB7B3">
      <w:pPr>
        <w:pStyle w:val="165"/>
      </w:pPr>
      <w:r>
        <w:rPr>
          <w:rFonts w:hint="eastAsia"/>
        </w:rPr>
        <w:t>在结算阶段，首先对工程项目合同及招投标文件进行详细审核。包括合同条款的合理性、工程量清单的准确性、单价及总价的合理性等。通过审核，确保结算工作符合合同规定。为后续的结算工作提供有力支持。</w:t>
      </w:r>
    </w:p>
    <w:p w14:paraId="4F9FE99C">
      <w:pPr>
        <w:pStyle w:val="165"/>
      </w:pPr>
      <w:r>
        <w:rPr>
          <w:rFonts w:hint="eastAsia"/>
        </w:rPr>
        <w:t>审查施工过程中的变更和索赔情况是结算阶段的重要工作。应对施工单位提出的变更和索赔进行核实，判断其合理性及必要性。对于合理的变更和索赔，应按照合同约定进行处理:对于不合理的变更和索赔，应予以驳回。</w:t>
      </w:r>
    </w:p>
    <w:p w14:paraId="0CA93A06">
      <w:pPr>
        <w:pStyle w:val="165"/>
      </w:pPr>
      <w:r>
        <w:rPr>
          <w:rFonts w:hint="eastAsia"/>
        </w:rPr>
        <w:t>施工材料和设备价格是影响工程成本的重要因素。在结算阶段，应对施工材料和设备价格进行核实与调整。对于价格变动较大的材料和设备，与施工单位进行协商，按照市场价格进行调整。同时，应关注材料和设备的质量问题，确保工程质量和安全。</w:t>
      </w:r>
    </w:p>
    <w:p w14:paraId="4FA28756">
      <w:pPr>
        <w:pStyle w:val="165"/>
      </w:pPr>
      <w:r>
        <w:rPr>
          <w:rFonts w:hint="eastAsia"/>
        </w:rPr>
        <w:t>工程量表及定额预算是结算工作的基础。在结算阶段，应对工程量表及定额预算进行详细计算和核对。对于工程量表的准确性、完整性进行核查；对于定额预算的合理性、适用性进行评估。通过计算和核对，确俣结算工作的准确性和公正性，</w:t>
      </w:r>
    </w:p>
    <w:p w14:paraId="286F2524">
      <w:pPr>
        <w:pStyle w:val="165"/>
      </w:pPr>
      <w:r>
        <w:rPr>
          <w:rFonts w:hint="eastAsia"/>
        </w:rPr>
        <w:t>在结算阶段，应对实际成本支出专计划成本进行比较分析。找出两者之间的差异及原因，为后续的成本控制提供参考。对于成本超支的原因进行深入剖析，找出问题所在并采取措施加以改进。</w:t>
      </w:r>
    </w:p>
    <w:p w14:paraId="1757B027">
      <w:pPr>
        <w:pStyle w:val="165"/>
      </w:pPr>
      <w:r>
        <w:rPr>
          <w:rFonts w:hint="eastAsia"/>
        </w:rPr>
        <w:t>监督施工单位自查自纠实际成本问题是结算阶段的重要工作之一,要求施工单位对实际成本进行自查自纠，发现问题及时整改。同时，要对施工单位的自查自纠情况进行监督和检查，确保其真实有效。</w:t>
      </w:r>
    </w:p>
    <w:p w14:paraId="49AFBDAE">
      <w:pPr>
        <w:pStyle w:val="165"/>
      </w:pPr>
      <w:r>
        <w:rPr>
          <w:rFonts w:hint="eastAsia"/>
        </w:rPr>
        <w:t>在结算阶段结束后，应对项目的盈利能力和投资回报情况进行评估。通过计算项目的利润率、投资回收期等指标，评估项目的经济效益和投资价值。为企业的投资决策提供有力支持。</w:t>
      </w:r>
    </w:p>
    <w:p w14:paraId="3A4C7BE5">
      <w:pPr>
        <w:pStyle w:val="104"/>
        <w:spacing w:before="240" w:after="240"/>
      </w:pPr>
      <w:bookmarkStart w:id="59" w:name="_Toc194565716"/>
      <w:bookmarkStart w:id="60" w:name="_Toc194568176"/>
      <w:r>
        <w:rPr>
          <w:rFonts w:hint="eastAsia"/>
        </w:rPr>
        <w:t>风险评估</w:t>
      </w:r>
      <w:bookmarkEnd w:id="59"/>
      <w:bookmarkEnd w:id="60"/>
    </w:p>
    <w:p w14:paraId="49FEAD50">
      <w:pPr>
        <w:pStyle w:val="105"/>
        <w:spacing w:before="120" w:after="120"/>
      </w:pPr>
      <w:r>
        <w:rPr>
          <w:rFonts w:hint="eastAsia"/>
        </w:rPr>
        <w:t>风险评估</w:t>
      </w:r>
    </w:p>
    <w:p w14:paraId="55BED60B">
      <w:pPr>
        <w:pStyle w:val="165"/>
      </w:pPr>
      <w:r>
        <w:rPr>
          <w:rFonts w:hint="eastAsia"/>
        </w:rPr>
        <w:t>识别项目可能面临的所有潜在风险，包括市场风险、技术风险、合同风险、法律和政策风险、环境风险等。</w:t>
      </w:r>
    </w:p>
    <w:p w14:paraId="152653A4">
      <w:pPr>
        <w:pStyle w:val="165"/>
      </w:pPr>
      <w:r>
        <w:rPr>
          <w:rFonts w:hint="eastAsia"/>
        </w:rPr>
        <w:t>对识别的风险进行深入分析，评估它们发生的可能性和对项目成本的潜在影响。</w:t>
      </w:r>
    </w:p>
    <w:p w14:paraId="7A6386C7">
      <w:pPr>
        <w:pStyle w:val="165"/>
      </w:pPr>
      <w:r>
        <w:rPr>
          <w:rFonts w:hint="eastAsia"/>
        </w:rPr>
        <w:t>使用定量和定性的方法评估风险的严重性，如风险矩阵、概率影响分析等。</w:t>
      </w:r>
    </w:p>
    <w:p w14:paraId="57367614">
      <w:pPr>
        <w:pStyle w:val="165"/>
      </w:pPr>
      <w:r>
        <w:rPr>
          <w:rFonts w:hint="eastAsia"/>
        </w:rPr>
        <w:t>根据风险评估的结果，对风险进行优先级排序，以确定哪些风险需要首先关注和应对。</w:t>
      </w:r>
    </w:p>
    <w:p w14:paraId="0602B4CA">
      <w:pPr>
        <w:pStyle w:val="105"/>
        <w:spacing w:before="120" w:after="120"/>
      </w:pPr>
      <w:r>
        <w:rPr>
          <w:rFonts w:hint="eastAsia"/>
        </w:rPr>
        <w:t>风险应对</w:t>
      </w:r>
    </w:p>
    <w:p w14:paraId="30DE69E6">
      <w:pPr>
        <w:pStyle w:val="165"/>
      </w:pPr>
      <w:r>
        <w:rPr>
          <w:rFonts w:hint="eastAsia"/>
        </w:rPr>
        <w:t>应为不同等级的风险制定差异化应对策略，包括风险规避、转移（如保险）、减轻（如技术优化）或接受等，并宜在项目计划中预留风险准备金。</w:t>
      </w:r>
    </w:p>
    <w:p w14:paraId="5F915F17">
      <w:pPr>
        <w:pStyle w:val="165"/>
      </w:pPr>
      <w:r>
        <w:t>应编制风险控制计划，涵盖预防措施（如合同条款设计）、缓解措施（如应急预案）、动态监控机制及责任分工，并宜与项目进度计划协同实施</w:t>
      </w:r>
      <w:r>
        <w:rPr>
          <w:rFonts w:hint="eastAsia"/>
        </w:rPr>
        <w:t>。</w:t>
      </w:r>
    </w:p>
    <w:p w14:paraId="66F9DA95">
      <w:pPr>
        <w:pStyle w:val="165"/>
      </w:pPr>
      <w:r>
        <w:t>合同中应明确风险分担条款，包括价格调整机制、变更管理程序、索赔流程及保险要求，可引入第三方担保以降低履约风险</w:t>
      </w:r>
      <w:r>
        <w:rPr>
          <w:rFonts w:hint="eastAsia"/>
        </w:rPr>
        <w:t>。</w:t>
      </w:r>
    </w:p>
    <w:p w14:paraId="1A436F2E">
      <w:pPr>
        <w:pStyle w:val="165"/>
      </w:pPr>
      <w:r>
        <w:t>应建立风险信息共享机制，确保项目团队、承包商、供应商等各方及时获取风险动态，并宜通过定期风险报告会更新风险状态</w:t>
      </w:r>
      <w:r>
        <w:rPr>
          <w:rFonts w:hint="eastAsia"/>
        </w:rPr>
        <w:t>。</w:t>
      </w:r>
    </w:p>
    <w:p w14:paraId="79A2654D">
      <w:pPr>
        <w:pStyle w:val="165"/>
      </w:pPr>
      <w:r>
        <w:t>应对项目团队进行风险管理培训，重点提升风险识别、评估及应急处置能力，可结合案例教学强化实战技能</w:t>
      </w:r>
      <w:r>
        <w:rPr>
          <w:rFonts w:hint="eastAsia"/>
        </w:rPr>
        <w:t>。</w:t>
      </w:r>
    </w:p>
    <w:p w14:paraId="1672F666">
      <w:pPr>
        <w:pStyle w:val="165"/>
      </w:pPr>
      <w:r>
        <w:t>应实施风险动态监控系统，跟踪风险演变及应对措施效果，并宜通过信息化工具生成风险预警提示</w:t>
      </w:r>
      <w:r>
        <w:rPr>
          <w:rFonts w:hint="eastAsia"/>
        </w:rPr>
        <w:t>。</w:t>
      </w:r>
    </w:p>
    <w:p w14:paraId="5363749B">
      <w:pPr>
        <w:pStyle w:val="165"/>
      </w:pPr>
      <w:r>
        <w:t>应定期开展风险审计，评估风险管理流程的有效性，识别改进方向，并宜形成审计报告纳入项目档案</w:t>
      </w:r>
      <w:r>
        <w:rPr>
          <w:rFonts w:hint="eastAsia"/>
        </w:rPr>
        <w:t>。</w:t>
      </w:r>
    </w:p>
    <w:p w14:paraId="2DF6653E">
      <w:pPr>
        <w:pStyle w:val="165"/>
      </w:pPr>
      <w:r>
        <w:t>项目结束后应进行风险管理后评估，总结成功经验与不足，并宜将案例纳入知识库供后续项目参考</w:t>
      </w:r>
      <w:r>
        <w:rPr>
          <w:rFonts w:hint="eastAsia"/>
        </w:rPr>
        <w:t>。</w:t>
      </w:r>
    </w:p>
    <w:bookmarkEnd w:id="25"/>
    <w:p w14:paraId="7B4EEF04">
      <w:pPr>
        <w:pStyle w:val="56"/>
        <w:ind w:firstLine="0" w:firstLineChars="0"/>
        <w:jc w:val="center"/>
      </w:pPr>
      <w:bookmarkStart w:id="61" w:name="BookMark8"/>
      <w:r>
        <w:drawing>
          <wp:inline distT="0" distB="0" distL="0" distR="0">
            <wp:extent cx="1485900" cy="317500"/>
            <wp:effectExtent l="0" t="0" r="0" b="6350"/>
            <wp:docPr id="1193717521" name="图片 3"/>
            <wp:cNvGraphicFramePr/>
            <a:graphic xmlns:a="http://schemas.openxmlformats.org/drawingml/2006/main">
              <a:graphicData uri="http://schemas.openxmlformats.org/drawingml/2006/picture">
                <pic:pic xmlns:pic="http://schemas.openxmlformats.org/drawingml/2006/picture">
                  <pic:nvPicPr>
                    <pic:cNvPr id="1193717521"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1"/>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3CD8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3D47F">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051A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DFE5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6850">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B8D2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8E6D">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3A163">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3DAC5">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buwt/hvnMXfn3hEO+8l3dVysU5aYEkI0Er4DqZaV95gnKztjO/mdz2nGSfEhZvSP+sWW8WpH77F429Kg6KXOwA==" w:salt="wWZiIyudQGSUEO96QtjP8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33F"/>
    <w:rsid w:val="0000040A"/>
    <w:rsid w:val="00000A94"/>
    <w:rsid w:val="00001972"/>
    <w:rsid w:val="00001D9A"/>
    <w:rsid w:val="00005DBB"/>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0EB3"/>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626"/>
    <w:rsid w:val="000B6A0B"/>
    <w:rsid w:val="000C0F6C"/>
    <w:rsid w:val="000C11DB"/>
    <w:rsid w:val="000C1492"/>
    <w:rsid w:val="000C2FBD"/>
    <w:rsid w:val="000C4B41"/>
    <w:rsid w:val="000C57D6"/>
    <w:rsid w:val="000C6362"/>
    <w:rsid w:val="000C7666"/>
    <w:rsid w:val="000D0A9C"/>
    <w:rsid w:val="000D1795"/>
    <w:rsid w:val="000D329A"/>
    <w:rsid w:val="000D44A1"/>
    <w:rsid w:val="000D4B9C"/>
    <w:rsid w:val="000D4EB6"/>
    <w:rsid w:val="000D753B"/>
    <w:rsid w:val="000E4C9E"/>
    <w:rsid w:val="000E6FD7"/>
    <w:rsid w:val="000E7144"/>
    <w:rsid w:val="000F06E1"/>
    <w:rsid w:val="000F0E3C"/>
    <w:rsid w:val="000F19D5"/>
    <w:rsid w:val="000F4050"/>
    <w:rsid w:val="000F4AEA"/>
    <w:rsid w:val="000F67E9"/>
    <w:rsid w:val="00104926"/>
    <w:rsid w:val="001060A2"/>
    <w:rsid w:val="0011080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986"/>
    <w:rsid w:val="00156B25"/>
    <w:rsid w:val="00156E1A"/>
    <w:rsid w:val="00157894"/>
    <w:rsid w:val="00157B55"/>
    <w:rsid w:val="001642FA"/>
    <w:rsid w:val="001649EB"/>
    <w:rsid w:val="00164BAF"/>
    <w:rsid w:val="00164FA8"/>
    <w:rsid w:val="00165065"/>
    <w:rsid w:val="00165434"/>
    <w:rsid w:val="0016580B"/>
    <w:rsid w:val="00165F49"/>
    <w:rsid w:val="00166B88"/>
    <w:rsid w:val="00166FE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B7F69"/>
    <w:rsid w:val="001C04A8"/>
    <w:rsid w:val="001C2C03"/>
    <w:rsid w:val="001C42F7"/>
    <w:rsid w:val="001C49E5"/>
    <w:rsid w:val="001C680C"/>
    <w:rsid w:val="001C7FEA"/>
    <w:rsid w:val="001D00F7"/>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5C44"/>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6D7"/>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45D"/>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17CAB"/>
    <w:rsid w:val="00432DAA"/>
    <w:rsid w:val="00434305"/>
    <w:rsid w:val="00435DF7"/>
    <w:rsid w:val="00437288"/>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06D3"/>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42CF"/>
    <w:rsid w:val="005479DA"/>
    <w:rsid w:val="00547BCC"/>
    <w:rsid w:val="0055013B"/>
    <w:rsid w:val="00551F6F"/>
    <w:rsid w:val="00555044"/>
    <w:rsid w:val="0055533F"/>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39C"/>
    <w:rsid w:val="005A7830"/>
    <w:rsid w:val="005A7FCE"/>
    <w:rsid w:val="005B0F3F"/>
    <w:rsid w:val="005B191C"/>
    <w:rsid w:val="005B4903"/>
    <w:rsid w:val="005B51CE"/>
    <w:rsid w:val="005B5885"/>
    <w:rsid w:val="005B5CD7"/>
    <w:rsid w:val="005B6CF6"/>
    <w:rsid w:val="005B7422"/>
    <w:rsid w:val="005B7D6D"/>
    <w:rsid w:val="005C29B8"/>
    <w:rsid w:val="005C5F21"/>
    <w:rsid w:val="005C7156"/>
    <w:rsid w:val="005D0C75"/>
    <w:rsid w:val="005D39D1"/>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4AFF"/>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0981"/>
    <w:rsid w:val="0083348C"/>
    <w:rsid w:val="00833FFF"/>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1970"/>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3F6"/>
    <w:rsid w:val="00902722"/>
    <w:rsid w:val="009027BC"/>
    <w:rsid w:val="009062E6"/>
    <w:rsid w:val="00910DF4"/>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A37"/>
    <w:rsid w:val="009B6029"/>
    <w:rsid w:val="009B6971"/>
    <w:rsid w:val="009C02D5"/>
    <w:rsid w:val="009C27F1"/>
    <w:rsid w:val="009C3152"/>
    <w:rsid w:val="009C3257"/>
    <w:rsid w:val="009C4CFA"/>
    <w:rsid w:val="009C5070"/>
    <w:rsid w:val="009D112C"/>
    <w:rsid w:val="009D1385"/>
    <w:rsid w:val="009D47FA"/>
    <w:rsid w:val="009D4C5B"/>
    <w:rsid w:val="009D50D2"/>
    <w:rsid w:val="009D6BCA"/>
    <w:rsid w:val="009E0F62"/>
    <w:rsid w:val="009E2E9C"/>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2E9"/>
    <w:rsid w:val="00A32D73"/>
    <w:rsid w:val="00A3367B"/>
    <w:rsid w:val="00A33C67"/>
    <w:rsid w:val="00A33E9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13"/>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C8B"/>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9DF"/>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1B6E"/>
    <w:rsid w:val="00BB5F8F"/>
    <w:rsid w:val="00BB657A"/>
    <w:rsid w:val="00BB705F"/>
    <w:rsid w:val="00BC1551"/>
    <w:rsid w:val="00BC1A4E"/>
    <w:rsid w:val="00BC53D3"/>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18CA"/>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64D"/>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8EC"/>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17BD"/>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570"/>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20B"/>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055C"/>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4C15"/>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2CA7"/>
    <w:rsid w:val="00F56511"/>
    <w:rsid w:val="00F6194E"/>
    <w:rsid w:val="00F623AC"/>
    <w:rsid w:val="00F6412A"/>
    <w:rsid w:val="00F65893"/>
    <w:rsid w:val="00F66A4A"/>
    <w:rsid w:val="00F6787C"/>
    <w:rsid w:val="00F71E22"/>
    <w:rsid w:val="00F72142"/>
    <w:rsid w:val="00F72AE7"/>
    <w:rsid w:val="00F833BA"/>
    <w:rsid w:val="00F84FD0"/>
    <w:rsid w:val="00F859A8"/>
    <w:rsid w:val="00F86D87"/>
    <w:rsid w:val="00F90CE2"/>
    <w:rsid w:val="00F9108B"/>
    <w:rsid w:val="00F9129A"/>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CEE4FE6"/>
    <w:rsid w:val="3E1F1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pPr>
      <w:tabs>
        <w:tab w:val="right" w:leader="dot" w:pos="9344"/>
      </w:tabs>
    </w:pPr>
    <w:rPr>
      <w:rFonts w:ascii="Times New Roman"/>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A48B48FF9924CD682F4BDCAE0033CF4"/>
        <w:style w:val=""/>
        <w:category>
          <w:name w:val="常规"/>
          <w:gallery w:val="placeholder"/>
        </w:category>
        <w:types>
          <w:type w:val="bbPlcHdr"/>
        </w:types>
        <w:behaviors>
          <w:behavior w:val="content"/>
        </w:behaviors>
        <w:description w:val=""/>
        <w:guid w:val="{D7CEA209-8C12-4A57-AC54-0EC82D477E71}"/>
      </w:docPartPr>
      <w:docPartBody>
        <w:p w14:paraId="3441A13A">
          <w:pPr>
            <w:pStyle w:val="5"/>
            <w:rPr>
              <w:rFonts w:hint="eastAsia"/>
            </w:rPr>
          </w:pPr>
          <w:r>
            <w:rPr>
              <w:rStyle w:val="4"/>
              <w:rFonts w:hint="eastAsia"/>
            </w:rPr>
            <w:t>单击或点击此处输入文字。</w:t>
          </w:r>
        </w:p>
      </w:docPartBody>
    </w:docPart>
    <w:docPart>
      <w:docPartPr>
        <w:name w:val="C582673C89894EC68CB960C9AA5920FD"/>
        <w:style w:val=""/>
        <w:category>
          <w:name w:val="常规"/>
          <w:gallery w:val="placeholder"/>
        </w:category>
        <w:types>
          <w:type w:val="bbPlcHdr"/>
        </w:types>
        <w:behaviors>
          <w:behavior w:val="content"/>
        </w:behaviors>
        <w:description w:val=""/>
        <w:guid w:val="{D5817EE3-A2BC-47D4-B1D1-38A556F6FC31}"/>
      </w:docPartPr>
      <w:docPartBody>
        <w:p w14:paraId="783D9D46">
          <w:pPr>
            <w:pStyle w:val="6"/>
            <w:rPr>
              <w:rFonts w:hint="eastAsia"/>
            </w:rPr>
          </w:pPr>
          <w:r>
            <w:rPr>
              <w:rStyle w:val="4"/>
              <w:rFonts w:hint="eastAsia"/>
            </w:rPr>
            <w:t>选择一项。</w:t>
          </w:r>
        </w:p>
      </w:docPartBody>
    </w:docPart>
    <w:docPart>
      <w:docPartPr>
        <w:name w:val="88A4CEACADB148078595940551D11959"/>
        <w:style w:val=""/>
        <w:category>
          <w:name w:val="常规"/>
          <w:gallery w:val="placeholder"/>
        </w:category>
        <w:types>
          <w:type w:val="bbPlcHdr"/>
        </w:types>
        <w:behaviors>
          <w:behavior w:val="content"/>
        </w:behaviors>
        <w:description w:val=""/>
        <w:guid w:val="{6E8600EA-0533-4B0C-9A75-3BF97C4476EB}"/>
      </w:docPartPr>
      <w:docPartBody>
        <w:p w14:paraId="2A6B1FA5">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2D"/>
    <w:rsid w:val="0016142D"/>
    <w:rsid w:val="00261AF3"/>
    <w:rsid w:val="002B06D7"/>
    <w:rsid w:val="004C6D47"/>
    <w:rsid w:val="00BC1551"/>
    <w:rsid w:val="00C66E96"/>
    <w:rsid w:val="00DF049F"/>
    <w:rsid w:val="00EC055C"/>
    <w:rsid w:val="00F6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A48B48FF9924CD682F4BDCAE0033CF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C582673C89894EC68CB960C9AA5920F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88A4CEACADB148078595940551D1195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214</Words>
  <Characters>347</Characters>
  <Lines>52</Lines>
  <Paragraphs>14</Paragraphs>
  <TotalTime>156</TotalTime>
  <ScaleCrop>false</ScaleCrop>
  <LinksUpToDate>false</LinksUpToDate>
  <CharactersWithSpaces>397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2025-04-02T07:33:00Z</dcterms:created>
  <dc:creator>Administrator</dc:creator>
  <dc:description>&lt;config cover="true" show_menu="true" version="1.0.0" doctype="SDKXY"&gt;_x000d_
&lt;/config&gt;</dc:description>
  <cp:lastModifiedBy>Shimmer</cp:lastModifiedBy>
  <cp:lastPrinted>2021-02-02T08:22:00Z</cp:lastPrinted>
  <dcterms:modified xsi:type="dcterms:W3CDTF">2025-04-07T08:25:01Z</dcterms:modified>
  <dc:title>团体标准</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eyJoZGlkIjoiNWM1ZWJkMDNjYTg1YjI2NDAwOWJhMDU5YTVlYzY4MGYiLCJ1c2VySWQiOiIxNjEyNTI2NzM3In0=</vt:lpwstr>
  </property>
  <property fmtid="{D5CDD505-2E9C-101B-9397-08002B2CF9AE}" pid="15" name="KSOProductBuildVer">
    <vt:lpwstr>2052-12.1.0.20784</vt:lpwstr>
  </property>
  <property fmtid="{D5CDD505-2E9C-101B-9397-08002B2CF9AE}" pid="16" name="ICV">
    <vt:lpwstr>7E6E54B3625F405C9A5153A87DEF633F_12</vt:lpwstr>
  </property>
</Properties>
</file>