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建筑装饰工程室内施工质量验收技术规程</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hint="eastAsia"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建筑装饰工程室内施工质量验收技术规程</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bookmarkStart w:id="0" w:name="_Hlk195190979"/>
      <w:r>
        <w:rPr>
          <w:rFonts w:hint="eastAsia" w:ascii="Times New Roman" w:hAnsi="Times New Roman" w:eastAsia="黑体" w:cs="Times New Roman"/>
          <w:b/>
          <w:sz w:val="36"/>
          <w:szCs w:val="36"/>
        </w:rPr>
        <w:t>建筑装饰工程室内施工质量验收</w:t>
      </w:r>
      <w:bookmarkEnd w:id="0"/>
      <w:r>
        <w:rPr>
          <w:rFonts w:hint="eastAsia" w:ascii="Times New Roman" w:hAnsi="Times New Roman" w:eastAsia="黑体" w:cs="Times New Roman"/>
          <w:b/>
          <w:sz w:val="36"/>
          <w:szCs w:val="36"/>
        </w:rPr>
        <w:t>技术规程</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59BFF15B">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我国建筑装饰行业快速发展，室内装修工程规模持续扩大，新材料、新工艺、智能化技术广泛应用，消费者对室内环境的品质、安全、环保等要求显著提升。然而，现行国家标准及地方性规范在细节覆盖、技术适应性等方面存在滞后性，导致行业发展面临诸多痛点：一是施工质量验收标准不统一，不同地区、企业执行差异较大，隐蔽工程验收流于形式，墙面空鼓、防水失效、环保超标等问题频发；二是传统验收方法依赖经验判断，缺乏量化指标，对装配式装修、智能家居集成等新兴技术缺乏针对性验收依据；三是监管体系不健全，部分企业为压缩成本降低工艺标准，材料以次充好，造成安全隐患与消费纠纷；四是绿色低碳、健康人居理念普及下，现有规范对室内空气质量、材料环保性能等指标的控制力度不足，难以满足消费者对高品质居住环境的需求。</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建筑装饰工程室内施工质量验收技术规程》团体标准的制定，旨在填补行业技术规范空白，推动产业高质量发展。其核心价值体现在：一是通过明确施工工艺、材料性能、验收方法等全链条技术要求，规范市场主体行为，减少质量争议，保障消费者权益；二是引入数字化检测工具与量化评价体系，提升验收科学性与效率，推动新技术、新材料规范化应用；三是强化环保健康指标，细化甲醛、TVOC等污染物限值及检测流程，助力“双碳”目标下绿色建筑发展；四是建立行业协同机制，为监管部门、施工企业、第三方机构提供统一技术依据，促进产业链标准化、专业化升级，增强我国建筑装饰行业的国际竞争力。</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建筑装饰工程室内施工质量验收技术规程</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建筑装饰工程室内施工质量验收技术规程</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、杭州懿安建筑工程有限责任公司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杭州懿安建筑工程有限责任公司是一家专注于建筑装饰工程的公司。公司业务涵盖房屋建筑、建筑智能化工程、地基基础工程、建筑幕墙工程、建筑防水工程、防腐工程、保温工程、园林建筑工程、建筑装饰工程、防雷工程、土石方工程、房屋拆除工程的施工，以及建筑幕墙工程、建筑装饰工程、消防设施工程、建筑智能化工程的设计。作为《建筑装饰工程室内施工质量验收技术规程》的牵头单位，公司凭借其丰富的施工经验和专业的技术团队，为标准的制定提供了重要的实践支持和技术保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04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本标准报批稿包括8个部分，主要内容如下：</w:t>
      </w:r>
    </w:p>
    <w:p w14:paraId="2F321F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30F02D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本文件规定了建筑装饰工程室内施工质量验收的术语和定义、材料环保验收、室内环境健康验收、精细化分项验收、智能系统验收、耐久性验收。</w:t>
      </w:r>
    </w:p>
    <w:p w14:paraId="091033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本文件适用于建筑装饰工程室内施工的质量验收。</w:t>
      </w:r>
    </w:p>
    <w:p w14:paraId="4DA1B3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4F6080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42CA8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5749 生活饮用水卫生标准</w:t>
      </w:r>
    </w:p>
    <w:p w14:paraId="00519F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18102 浸渍纸层压木质地板</w:t>
      </w:r>
    </w:p>
    <w:p w14:paraId="565126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18883 室内空气质量标准</w:t>
      </w:r>
    </w:p>
    <w:p w14:paraId="022D7B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35273 信息安全技术 个人信息安全规范</w:t>
      </w:r>
    </w:p>
    <w:p w14:paraId="25E39C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50034 建筑照明设计标准</w:t>
      </w:r>
    </w:p>
    <w:p w14:paraId="27EB0C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50118 民用建筑隔声设计规范</w:t>
      </w:r>
    </w:p>
    <w:p w14:paraId="7F4EEE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50314 智能建筑设计标准</w:t>
      </w:r>
    </w:p>
    <w:p w14:paraId="121013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50325 民用建筑工程室内环境污染控制标准</w:t>
      </w:r>
    </w:p>
    <w:p w14:paraId="0DDB96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3C2FFC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17E682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01399B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装饰工程 decoration engineering</w:t>
      </w:r>
    </w:p>
    <w:p w14:paraId="19FC7E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是指通过对建筑室内外空间进行表面处理、材料应用与工艺构造，实现功能优化、美学提升及环境质量改善的专业化施工过程。</w:t>
      </w:r>
    </w:p>
    <w:p w14:paraId="068FFD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材料环保验收</w:t>
      </w:r>
    </w:p>
    <w:p w14:paraId="5D0997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一般规定</w:t>
      </w:r>
    </w:p>
    <w:p w14:paraId="53F6A3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室内装饰工程所用材料应符合国家现行环保标准，并优先选用通过绿色建材认证或取得中国环境标志的产品。</w:t>
      </w:r>
    </w:p>
    <w:p w14:paraId="37FB13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材料环保验收应贯穿材料进场、施工过程及竣工阶段，确保全周期环保可控。</w:t>
      </w:r>
    </w:p>
    <w:p w14:paraId="36294C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施工单位应建立材料环保档案，内容包括出厂合格证、环保检测报告及可追溯信息。</w:t>
      </w:r>
    </w:p>
    <w:p w14:paraId="695D54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材料进场验收</w:t>
      </w:r>
    </w:p>
    <w:p w14:paraId="3C7196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材料分类与标识</w:t>
      </w:r>
    </w:p>
    <w:p w14:paraId="6C9890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4.2.1.1　材料进场时，应按用途（如饰面、基层、胶粘剂等）分类堆放，并设置环保标识，注明材料名称、环保等级及检测状态。</w:t>
      </w:r>
    </w:p>
    <w:p w14:paraId="33E7BB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4.2.1.2　对于易释放有害物质的材料（如人造板材、涂料、胶粘剂），应单独存放并设置警示标识。</w:t>
      </w:r>
    </w:p>
    <w:p w14:paraId="5C1B49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文件核查</w:t>
      </w:r>
    </w:p>
    <w:p w14:paraId="1DCCC6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4.2.2.1　施工单位应核查材料的环保检测报告，检测项目应包含甲醛、苯系物、TVOC、重金属等指标，检测结果应符合GB 50325的限值要求。</w:t>
      </w:r>
    </w:p>
    <w:p w14:paraId="53F21C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4.2.2.2　进口材料应提供中文版环保认证文件，且其环保性能不得低于国内同类标准。</w:t>
      </w:r>
    </w:p>
    <w:p w14:paraId="0A3875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抽样复验</w:t>
      </w:r>
    </w:p>
    <w:p w14:paraId="32EE97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4.2.3.1　下列材料进场时，宜按批次进行抽样复验：</w:t>
      </w:r>
    </w:p>
    <w:p w14:paraId="06251A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人造板材；</w:t>
      </w:r>
    </w:p>
    <w:p w14:paraId="586425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水性涂料、溶剂型涂料；</w:t>
      </w:r>
    </w:p>
    <w:p w14:paraId="14F711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胶粘剂、防水材料。</w:t>
      </w:r>
    </w:p>
    <w:p w14:paraId="656632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4.2.3.2　复验抽样比例不宜少于进场数量的3%，且单批次不足100件时至少抽检1件。</w:t>
      </w:r>
    </w:p>
    <w:p w14:paraId="1CA7DB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环保性能检测</w:t>
      </w:r>
    </w:p>
    <w:p w14:paraId="6E9223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有害物质限值</w:t>
      </w:r>
    </w:p>
    <w:p w14:paraId="775781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4.3.1.1　室内装饰材料的有害物质释放量应符合表1的规定。</w:t>
      </w:r>
    </w:p>
    <w:p w14:paraId="73116079">
      <w:pPr>
        <w:spacing w:line="360" w:lineRule="auto"/>
        <w:jc w:val="center"/>
        <w:rPr>
          <w:rFonts w:ascii="Times New Roman" w:hAnsi="Times New Roman" w:cs="Times New Roman"/>
          <w:sz w:val="28"/>
          <w:szCs w:val="28"/>
        </w:rPr>
      </w:pPr>
      <w:r>
        <w:rPr>
          <w:rFonts w:hint="eastAsia" w:ascii="Times New Roman" w:hAnsi="Times New Roman" w:cs="Times New Roman"/>
          <w:sz w:val="28"/>
          <w:szCs w:val="28"/>
        </w:rPr>
        <w:t>表1　有害物质限值</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74"/>
        <w:gridCol w:w="2917"/>
        <w:gridCol w:w="2920"/>
      </w:tblGrid>
      <w:tr w14:paraId="0D161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110" w:type="dxa"/>
            <w:tcBorders>
              <w:top w:val="single" w:color="auto" w:sz="8" w:space="0"/>
              <w:bottom w:val="single" w:color="auto" w:sz="8" w:space="0"/>
            </w:tcBorders>
            <w:shd w:val="clear" w:color="auto" w:fill="auto"/>
            <w:vAlign w:val="center"/>
          </w:tcPr>
          <w:p w14:paraId="2494BF39">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材料类别</w:t>
            </w:r>
          </w:p>
        </w:tc>
        <w:tc>
          <w:tcPr>
            <w:tcW w:w="3112" w:type="dxa"/>
            <w:tcBorders>
              <w:top w:val="single" w:color="auto" w:sz="8" w:space="0"/>
              <w:bottom w:val="single" w:color="auto" w:sz="8" w:space="0"/>
            </w:tcBorders>
            <w:shd w:val="clear" w:color="auto" w:fill="auto"/>
            <w:vAlign w:val="center"/>
          </w:tcPr>
          <w:p w14:paraId="7978A4DA">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检测项目</w:t>
            </w:r>
          </w:p>
        </w:tc>
        <w:tc>
          <w:tcPr>
            <w:tcW w:w="3112" w:type="dxa"/>
            <w:tcBorders>
              <w:top w:val="single" w:color="auto" w:sz="8" w:space="0"/>
              <w:bottom w:val="single" w:color="auto" w:sz="8" w:space="0"/>
            </w:tcBorders>
            <w:shd w:val="clear" w:color="auto" w:fill="auto"/>
            <w:vAlign w:val="center"/>
          </w:tcPr>
          <w:p w14:paraId="24593369">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限值要求</w:t>
            </w:r>
          </w:p>
        </w:tc>
      </w:tr>
      <w:tr w14:paraId="52959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tcBorders>
              <w:top w:val="single" w:color="auto" w:sz="8" w:space="0"/>
            </w:tcBorders>
            <w:shd w:val="clear" w:color="auto" w:fill="auto"/>
            <w:vAlign w:val="center"/>
          </w:tcPr>
          <w:p w14:paraId="22D05354">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人造板材</w:t>
            </w:r>
          </w:p>
        </w:tc>
        <w:tc>
          <w:tcPr>
            <w:tcW w:w="3112" w:type="dxa"/>
            <w:tcBorders>
              <w:top w:val="single" w:color="auto" w:sz="8" w:space="0"/>
            </w:tcBorders>
            <w:shd w:val="clear" w:color="auto" w:fill="auto"/>
            <w:vAlign w:val="center"/>
          </w:tcPr>
          <w:p w14:paraId="2D19720B">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甲醛释放量</w:t>
            </w:r>
          </w:p>
        </w:tc>
        <w:tc>
          <w:tcPr>
            <w:tcW w:w="3112" w:type="dxa"/>
            <w:tcBorders>
              <w:top w:val="single" w:color="auto" w:sz="8" w:space="0"/>
            </w:tcBorders>
            <w:shd w:val="clear" w:color="auto" w:fill="auto"/>
            <w:vAlign w:val="center"/>
          </w:tcPr>
          <w:p w14:paraId="4438D023">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≤0.124 mg/m³</w:t>
            </w:r>
          </w:p>
        </w:tc>
      </w:tr>
      <w:tr w14:paraId="1635F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4F794366">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水性涂料</w:t>
            </w:r>
          </w:p>
        </w:tc>
        <w:tc>
          <w:tcPr>
            <w:tcW w:w="3112" w:type="dxa"/>
            <w:shd w:val="clear" w:color="auto" w:fill="auto"/>
            <w:vAlign w:val="center"/>
          </w:tcPr>
          <w:p w14:paraId="7A1B873A">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TVOC</w:t>
            </w:r>
          </w:p>
        </w:tc>
        <w:tc>
          <w:tcPr>
            <w:tcW w:w="3112" w:type="dxa"/>
            <w:shd w:val="clear" w:color="auto" w:fill="auto"/>
            <w:vAlign w:val="center"/>
          </w:tcPr>
          <w:p w14:paraId="0D1FC0D9">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≤80 g/L</w:t>
            </w:r>
          </w:p>
        </w:tc>
      </w:tr>
      <w:tr w14:paraId="4FF29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2EC0492B">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胶粘剂</w:t>
            </w:r>
          </w:p>
        </w:tc>
        <w:tc>
          <w:tcPr>
            <w:tcW w:w="3112" w:type="dxa"/>
            <w:shd w:val="clear" w:color="auto" w:fill="auto"/>
            <w:vAlign w:val="center"/>
          </w:tcPr>
          <w:p w14:paraId="21C3B557">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苯系物总和</w:t>
            </w:r>
          </w:p>
        </w:tc>
        <w:tc>
          <w:tcPr>
            <w:tcW w:w="3112" w:type="dxa"/>
            <w:shd w:val="clear" w:color="auto" w:fill="auto"/>
            <w:vAlign w:val="center"/>
          </w:tcPr>
          <w:p w14:paraId="6C107F5A">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≤50 mg/kg</w:t>
            </w:r>
          </w:p>
        </w:tc>
      </w:tr>
      <w:tr w14:paraId="5E94D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29351494">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石材</w:t>
            </w:r>
          </w:p>
        </w:tc>
        <w:tc>
          <w:tcPr>
            <w:tcW w:w="3112" w:type="dxa"/>
            <w:shd w:val="clear" w:color="auto" w:fill="auto"/>
            <w:vAlign w:val="center"/>
          </w:tcPr>
          <w:p w14:paraId="74634D53">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放射性核素（内照射指数）</w:t>
            </w:r>
          </w:p>
        </w:tc>
        <w:tc>
          <w:tcPr>
            <w:tcW w:w="3112" w:type="dxa"/>
            <w:shd w:val="clear" w:color="auto" w:fill="auto"/>
            <w:vAlign w:val="center"/>
          </w:tcPr>
          <w:p w14:paraId="209A6802">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≤1.0</w:t>
            </w:r>
          </w:p>
        </w:tc>
      </w:tr>
    </w:tbl>
    <w:p w14:paraId="38759F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4.3.1.2　对儿童房、医疗空间等敏感区域，宜采用严于表1的限值标准。</w:t>
      </w:r>
    </w:p>
    <w:p w14:paraId="138331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环保性能验证</w:t>
      </w:r>
    </w:p>
    <w:p w14:paraId="2B00E0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4.3.2.1　施工单位可委托具备CMA资质的第三方检测机构对材料环保性能进行验证。</w:t>
      </w:r>
    </w:p>
    <w:p w14:paraId="5BB592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4.3.2.2　检测不合格材料应立即退场，并留存退场记录备查。</w:t>
      </w:r>
    </w:p>
    <w:p w14:paraId="5FCD52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材料储存与施工环保要求</w:t>
      </w:r>
    </w:p>
    <w:p w14:paraId="62E5F9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储存管理</w:t>
      </w:r>
    </w:p>
    <w:p w14:paraId="2BB453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4.4.1.1　易燃、易挥发材料应存放于阴凉通风场所，并远离火源及人员密集区。</w:t>
      </w:r>
    </w:p>
    <w:p w14:paraId="3FEB81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4.4.1.2　涂料、胶粘剂等开封后未用完的材料应密封保存，并标注开封时间及有效期。</w:t>
      </w:r>
    </w:p>
    <w:p w14:paraId="48D948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施工过程控制</w:t>
      </w:r>
    </w:p>
    <w:p w14:paraId="52CF3F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4.4.2.1　施工中宜采用低污染工艺，减少现场切割、喷涂等作业产生的粉尘及有害气体。</w:t>
      </w:r>
    </w:p>
    <w:p w14:paraId="73B5B4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4.4.2.2　使用溶剂型材料时，应确保作业区域通风良好，且施工人员应佩戴防护装备。</w:t>
      </w:r>
    </w:p>
    <w:p w14:paraId="1CCA03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废弃物处理</w:t>
      </w:r>
    </w:p>
    <w:p w14:paraId="0CFA49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废弃材料应分类存放，可回收材料（如金属、玻璃）与有害废弃物（如废油漆、胶桶）应分开处理。</w:t>
      </w:r>
    </w:p>
    <w:p w14:paraId="78E933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有害废弃物的运输与处置应符合地方环保部门规定，不应随意倾倒或混入生活垃圾。</w:t>
      </w:r>
    </w:p>
    <w:p w14:paraId="257A39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环保验收记录</w:t>
      </w:r>
    </w:p>
    <w:p w14:paraId="5D00CA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施工单位应填写《材料环保验收记录表》，内容包括材料名称、供应商、检测结果、验收结论等。</w:t>
      </w:r>
    </w:p>
    <w:p w14:paraId="0270C5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验收记录应作为工程竣工文件的一部分，存档期限不得少于工程保修期。</w:t>
      </w:r>
    </w:p>
    <w:p w14:paraId="3B5AA3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室内环境健康验收</w:t>
      </w:r>
    </w:p>
    <w:p w14:paraId="1F37BD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一般规定</w:t>
      </w:r>
    </w:p>
    <w:p w14:paraId="387969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室内环境健康验收应涵盖空气质量、声学环境、光环境及热湿环境等指标，确保工程交付后满足健康居住与使用需求。</w:t>
      </w:r>
    </w:p>
    <w:p w14:paraId="24DE4D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验收工作应在装饰工程竣工后、家具软装进场前进行，避免外部因素干扰检测结果。</w:t>
      </w:r>
    </w:p>
    <w:p w14:paraId="7F4D0C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检测方法应符合GB 50325、GB/T 18883、GB 50118的规定。</w:t>
      </w:r>
    </w:p>
    <w:p w14:paraId="49F072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空气质量验收</w:t>
      </w:r>
    </w:p>
    <w:p w14:paraId="28555B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检测项目与限值</w:t>
      </w:r>
    </w:p>
    <w:p w14:paraId="6D99CA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5.2.1.1　空气中甲醛、苯、甲苯、二甲苯、TVOC（总挥发性有机物）及可吸入颗粒物（PM10）的浓度应符合表2的规定。</w:t>
      </w:r>
    </w:p>
    <w:p w14:paraId="40075CDE">
      <w:pPr>
        <w:spacing w:line="360" w:lineRule="auto"/>
        <w:jc w:val="center"/>
        <w:rPr>
          <w:rFonts w:hint="eastAsia" w:ascii="Times New Roman" w:hAnsi="Times New Roman" w:cs="Times New Roman"/>
          <w:sz w:val="28"/>
          <w:szCs w:val="28"/>
        </w:rPr>
      </w:pPr>
      <w:r>
        <w:rPr>
          <w:rFonts w:hint="eastAsia" w:ascii="Times New Roman" w:hAnsi="Times New Roman" w:cs="Times New Roman"/>
          <w:sz w:val="28"/>
          <w:szCs w:val="28"/>
        </w:rPr>
        <w:t>表2　检测项目与限值</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15"/>
        <w:gridCol w:w="2919"/>
        <w:gridCol w:w="2877"/>
      </w:tblGrid>
      <w:tr w14:paraId="0DFC7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110" w:type="dxa"/>
            <w:tcBorders>
              <w:top w:val="single" w:color="auto" w:sz="8" w:space="0"/>
              <w:bottom w:val="single" w:color="auto" w:sz="8" w:space="0"/>
            </w:tcBorders>
            <w:shd w:val="clear" w:color="auto" w:fill="auto"/>
            <w:vAlign w:val="center"/>
          </w:tcPr>
          <w:p w14:paraId="539EE7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污染物</w:t>
            </w:r>
          </w:p>
        </w:tc>
        <w:tc>
          <w:tcPr>
            <w:tcW w:w="3112" w:type="dxa"/>
            <w:tcBorders>
              <w:top w:val="single" w:color="auto" w:sz="8" w:space="0"/>
              <w:bottom w:val="single" w:color="auto" w:sz="8" w:space="0"/>
            </w:tcBorders>
            <w:shd w:val="clear" w:color="auto" w:fill="auto"/>
            <w:vAlign w:val="center"/>
          </w:tcPr>
          <w:p w14:paraId="122F0D39">
            <w:pPr>
              <w:spacing w:line="360" w:lineRule="auto"/>
              <w:rPr>
                <w:rFonts w:ascii="Times New Roman" w:hAnsi="Times New Roman" w:cs="Times New Roman"/>
                <w:sz w:val="28"/>
                <w:szCs w:val="28"/>
              </w:rPr>
            </w:pPr>
            <w:r>
              <w:rPr>
                <w:rFonts w:hint="eastAsia" w:ascii="Times New Roman" w:hAnsi="Times New Roman" w:cs="Times New Roman"/>
                <w:sz w:val="28"/>
                <w:szCs w:val="28"/>
              </w:rPr>
              <w:t>限值</w:t>
            </w:r>
          </w:p>
          <w:p w14:paraId="321AF9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mg/m³</w:t>
            </w:r>
          </w:p>
        </w:tc>
        <w:tc>
          <w:tcPr>
            <w:tcW w:w="3112" w:type="dxa"/>
            <w:tcBorders>
              <w:top w:val="single" w:color="auto" w:sz="8" w:space="0"/>
              <w:bottom w:val="single" w:color="auto" w:sz="8" w:space="0"/>
            </w:tcBorders>
            <w:shd w:val="clear" w:color="auto" w:fill="auto"/>
            <w:vAlign w:val="center"/>
          </w:tcPr>
          <w:p w14:paraId="4FD734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检测条件</w:t>
            </w:r>
          </w:p>
        </w:tc>
      </w:tr>
      <w:tr w14:paraId="53E6A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tcBorders>
              <w:top w:val="single" w:color="auto" w:sz="8" w:space="0"/>
            </w:tcBorders>
            <w:shd w:val="clear" w:color="auto" w:fill="auto"/>
            <w:vAlign w:val="center"/>
          </w:tcPr>
          <w:p w14:paraId="2A9A3C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甲醛</w:t>
            </w:r>
          </w:p>
        </w:tc>
        <w:tc>
          <w:tcPr>
            <w:tcW w:w="3112" w:type="dxa"/>
            <w:tcBorders>
              <w:top w:val="single" w:color="auto" w:sz="8" w:space="0"/>
            </w:tcBorders>
            <w:shd w:val="clear" w:color="auto" w:fill="auto"/>
            <w:vAlign w:val="center"/>
          </w:tcPr>
          <w:p w14:paraId="7A22BC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≤0.07</w:t>
            </w:r>
          </w:p>
        </w:tc>
        <w:tc>
          <w:tcPr>
            <w:tcW w:w="3112" w:type="dxa"/>
            <w:tcBorders>
              <w:top w:val="single" w:color="auto" w:sz="8" w:space="0"/>
            </w:tcBorders>
            <w:shd w:val="clear" w:color="auto" w:fill="auto"/>
            <w:vAlign w:val="center"/>
          </w:tcPr>
          <w:p w14:paraId="21945D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密闭12 h后检测</w:t>
            </w:r>
          </w:p>
        </w:tc>
      </w:tr>
      <w:tr w14:paraId="08478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5198120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TVOC</w:t>
            </w:r>
          </w:p>
        </w:tc>
        <w:tc>
          <w:tcPr>
            <w:tcW w:w="3112" w:type="dxa"/>
            <w:shd w:val="clear" w:color="auto" w:fill="auto"/>
            <w:vAlign w:val="center"/>
          </w:tcPr>
          <w:p w14:paraId="51F987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≤0.45</w:t>
            </w:r>
          </w:p>
        </w:tc>
        <w:tc>
          <w:tcPr>
            <w:tcW w:w="3112" w:type="dxa"/>
            <w:shd w:val="clear" w:color="auto" w:fill="auto"/>
            <w:vAlign w:val="center"/>
          </w:tcPr>
          <w:p w14:paraId="6CCCCF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密闭12 h后检测</w:t>
            </w:r>
          </w:p>
        </w:tc>
      </w:tr>
      <w:tr w14:paraId="78773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3AB8B0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苯</w:t>
            </w:r>
          </w:p>
        </w:tc>
        <w:tc>
          <w:tcPr>
            <w:tcW w:w="3112" w:type="dxa"/>
            <w:shd w:val="clear" w:color="auto" w:fill="auto"/>
            <w:vAlign w:val="center"/>
          </w:tcPr>
          <w:p w14:paraId="5A5F4E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≤0.06</w:t>
            </w:r>
          </w:p>
        </w:tc>
        <w:tc>
          <w:tcPr>
            <w:tcW w:w="3112" w:type="dxa"/>
            <w:shd w:val="clear" w:color="auto" w:fill="auto"/>
            <w:vAlign w:val="center"/>
          </w:tcPr>
          <w:p w14:paraId="155BA9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正常通风条件下检测</w:t>
            </w:r>
          </w:p>
        </w:tc>
      </w:tr>
      <w:tr w14:paraId="0EAF4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0FA7F8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PM10</w:t>
            </w:r>
          </w:p>
        </w:tc>
        <w:tc>
          <w:tcPr>
            <w:tcW w:w="3112" w:type="dxa"/>
            <w:shd w:val="clear" w:color="auto" w:fill="auto"/>
            <w:vAlign w:val="center"/>
          </w:tcPr>
          <w:p w14:paraId="39F33C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≤0.15</w:t>
            </w:r>
          </w:p>
        </w:tc>
        <w:tc>
          <w:tcPr>
            <w:tcW w:w="3112" w:type="dxa"/>
            <w:shd w:val="clear" w:color="auto" w:fill="auto"/>
            <w:vAlign w:val="center"/>
          </w:tcPr>
          <w:p w14:paraId="43577E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动态活动状态下检测</w:t>
            </w:r>
          </w:p>
        </w:tc>
      </w:tr>
    </w:tbl>
    <w:p w14:paraId="25C898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5.2.1.2　对医院、幼儿园等敏感场所，甲醛限值宜从严控制，甲醛≤0.05 mg/m³。</w:t>
      </w:r>
    </w:p>
    <w:p w14:paraId="1B9405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检测方法</w:t>
      </w:r>
    </w:p>
    <w:p w14:paraId="18A49F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5.2.2.1　甲醛、TVOC等气态污染物检测应采用分光光度法或气相色谱法，PM10检测可采用激光散射法。</w:t>
      </w:r>
    </w:p>
    <w:p w14:paraId="7E88BA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5.2.2.2　检测点布置应符合下列要求：</w:t>
      </w:r>
    </w:p>
    <w:p w14:paraId="5E5C7D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房间面积≤50 m²时，至少设1个检测点；</w:t>
      </w:r>
    </w:p>
    <w:p w14:paraId="1D5A1A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房间面积＞50 m²时，每增加50 m²增设1个检测点；</w:t>
      </w:r>
    </w:p>
    <w:p w14:paraId="24C1B2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检测点高度宜距地面0.8 m～1.5 m，避开通风口和门窗。</w:t>
      </w:r>
    </w:p>
    <w:p w14:paraId="35E829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声学环境验收</w:t>
      </w:r>
    </w:p>
    <w:p w14:paraId="269AEA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隔声性能</w:t>
      </w:r>
    </w:p>
    <w:p w14:paraId="202A2E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5.3.1.1　分户墙、楼板的空气声隔声量应≥45 dB，室内背景噪声级宜≤35 dB（A）。</w:t>
      </w:r>
    </w:p>
    <w:p w14:paraId="0D55A9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5.3.1.2　对会议室、影音室等有特殊声学要求的空间，可增设混响时间验收指标。</w:t>
      </w:r>
    </w:p>
    <w:p w14:paraId="2A4941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检测方法</w:t>
      </w:r>
    </w:p>
    <w:p w14:paraId="5772FB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5.3.2.1　隔声量检测宜采用声压级差法，背景噪声检测应使用积分式声级计。</w:t>
      </w:r>
    </w:p>
    <w:p w14:paraId="712B79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5.3.2.2　检测时应关闭门窗及空调设备，室外噪声源超过限值时，可暂停检测。</w:t>
      </w:r>
    </w:p>
    <w:p w14:paraId="2BE87C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光环境验收</w:t>
      </w:r>
    </w:p>
    <w:p w14:paraId="10F674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照度与均匀度</w:t>
      </w:r>
    </w:p>
    <w:p w14:paraId="59D70E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5.4.1.1　主要功能区域照度应符合GB/T 50034要求，如：</w:t>
      </w:r>
    </w:p>
    <w:p w14:paraId="2A5BB3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起居室一般照明≥100 lx；</w:t>
      </w:r>
    </w:p>
    <w:p w14:paraId="1AF3EB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书房书写台面≥300 lx；</w:t>
      </w:r>
    </w:p>
    <w:p w14:paraId="1A9D96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卫生间镜前区域≥200 lx。</w:t>
      </w:r>
    </w:p>
    <w:p w14:paraId="2A95AF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5.4.1.2　照度均匀度应≥0.7，避免局部眩光或阴影。</w:t>
      </w:r>
    </w:p>
    <w:p w14:paraId="4B750C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眩光控制</w:t>
      </w:r>
    </w:p>
    <w:p w14:paraId="646B82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5.4.2.1　直接型灯具的眩光指数（UGR）宜≤19，阅读区、办公区可从严要求，UGR≤16。</w:t>
      </w:r>
    </w:p>
    <w:p w14:paraId="0B6DCF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5.4.2.2　镜面、玻璃等反光材料表面应避免直射光源，必要时应采用防眩光措施。</w:t>
      </w:r>
    </w:p>
    <w:p w14:paraId="0EBDD1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热湿环境验收</w:t>
      </w:r>
    </w:p>
    <w:p w14:paraId="232520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温湿度范围</w:t>
      </w:r>
    </w:p>
    <w:p w14:paraId="625C8F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5.5.1.1　冬季室内温度宜≥18 ℃，相对湿度宜≤60%；</w:t>
      </w:r>
    </w:p>
    <w:p w14:paraId="13EFEE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5.5.1.2　夏季室内温度宜≤26 ℃，相对湿度宜≤65%。</w:t>
      </w:r>
    </w:p>
    <w:p w14:paraId="76A162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检测条件</w:t>
      </w:r>
    </w:p>
    <w:p w14:paraId="285889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5.5.2.1　检测应在空调系统连续运行24 h后进行，测点应避开热源及阳光直射区域。</w:t>
      </w:r>
    </w:p>
    <w:p w14:paraId="679AEA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5.5.2.2　对有地暖、新风系统的空间，应分别测试系统启停状态下的温湿度波动。</w:t>
      </w:r>
    </w:p>
    <w:p w14:paraId="3D1703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水质验收</w:t>
      </w:r>
    </w:p>
    <w:p w14:paraId="36F81E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直接饮用水、生活热水水质应符合GB 5749的要求，检测项目包括余氯、重金属、微生物等。</w:t>
      </w:r>
    </w:p>
    <w:p w14:paraId="67C5DC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龙头出水水质抽样比例不宜少于总数的10%，且每个用水区域至少检测1个点。</w:t>
      </w:r>
    </w:p>
    <w:p w14:paraId="2CA92C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验收程序与方法</w:t>
      </w:r>
    </w:p>
    <w:p w14:paraId="7112DE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验收流程</w:t>
      </w:r>
    </w:p>
    <w:p w14:paraId="7BFA32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验收流程应符合下列要求：</w:t>
      </w:r>
    </w:p>
    <w:p w14:paraId="4874B0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a)</w:t>
      </w:r>
      <w:r>
        <w:rPr>
          <w:rFonts w:hint="eastAsia" w:ascii="Times New Roman" w:hAnsi="Times New Roman" w:cs="Times New Roman"/>
          <w:sz w:val="28"/>
          <w:szCs w:val="28"/>
        </w:rPr>
        <w:tab/>
      </w:r>
      <w:r>
        <w:rPr>
          <w:rFonts w:hint="eastAsia" w:ascii="Times New Roman" w:hAnsi="Times New Roman" w:cs="Times New Roman"/>
          <w:sz w:val="28"/>
          <w:szCs w:val="28"/>
        </w:rPr>
        <w:t>施工单位自检合格后提交验收申请；</w:t>
      </w:r>
    </w:p>
    <w:p w14:paraId="3FA943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b)</w:t>
      </w:r>
      <w:r>
        <w:rPr>
          <w:rFonts w:hint="eastAsia" w:ascii="Times New Roman" w:hAnsi="Times New Roman" w:cs="Times New Roman"/>
          <w:sz w:val="28"/>
          <w:szCs w:val="28"/>
        </w:rPr>
        <w:tab/>
      </w:r>
      <w:r>
        <w:rPr>
          <w:rFonts w:hint="eastAsia" w:ascii="Times New Roman" w:hAnsi="Times New Roman" w:cs="Times New Roman"/>
          <w:sz w:val="28"/>
          <w:szCs w:val="28"/>
        </w:rPr>
        <w:t>监理单位组织第三方检测机构进行现场抽检；</w:t>
      </w:r>
    </w:p>
    <w:p w14:paraId="5BA04F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c)</w:t>
      </w:r>
      <w:r>
        <w:rPr>
          <w:rFonts w:hint="eastAsia" w:ascii="Times New Roman" w:hAnsi="Times New Roman" w:cs="Times New Roman"/>
          <w:sz w:val="28"/>
          <w:szCs w:val="28"/>
        </w:rPr>
        <w:tab/>
      </w:r>
      <w:r>
        <w:rPr>
          <w:rFonts w:hint="eastAsia" w:ascii="Times New Roman" w:hAnsi="Times New Roman" w:cs="Times New Roman"/>
          <w:sz w:val="28"/>
          <w:szCs w:val="28"/>
        </w:rPr>
        <w:t>检测数据超标时，应整改后复验，复验抽检比例加倍。</w:t>
      </w:r>
    </w:p>
    <w:p w14:paraId="301742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结果判定</w:t>
      </w:r>
    </w:p>
    <w:p w14:paraId="074E21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5.7.2.1　所有检测点中，90%及以上数据合格且超标点经整改后达标，可判定验收通过。</w:t>
      </w:r>
    </w:p>
    <w:p w14:paraId="5B7196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5.7.2.2　敏感区域（如儿童房）或关键指标（如甲醛）超标，应直接判定为不合格。</w:t>
      </w:r>
    </w:p>
    <w:p w14:paraId="2FAB28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验收记录与报告</w:t>
      </w:r>
    </w:p>
    <w:p w14:paraId="544BE3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检测单位应出具《室内环境健康检测报告》，内容包括检测方法、仪器型号、数据表格及结论。</w:t>
      </w:r>
    </w:p>
    <w:p w14:paraId="7E5732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验收记录应保存原始数据，电子档案宜留存至少10年。</w:t>
      </w:r>
    </w:p>
    <w:p w14:paraId="723299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精细化分项验收</w:t>
      </w:r>
    </w:p>
    <w:p w14:paraId="1A35E8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一般规定</w:t>
      </w:r>
    </w:p>
    <w:p w14:paraId="211FD6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精细化分项验收应针对室内装饰工程中易出现质量通病的细节部位，强化工艺精度与观感质量要求。</w:t>
      </w:r>
    </w:p>
    <w:p w14:paraId="5D77DE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验收应分层进行，包括基层处理、饰面安装、收口工艺等环节，每道工序完成后需经隐蔽验收方可进入下一工序。</w:t>
      </w:r>
    </w:p>
    <w:p w14:paraId="5AA791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施工单位宜采用数字化检测工具（如激光水平仪、三维扫描仪）辅助人工检查，提升验收精度。</w:t>
      </w:r>
    </w:p>
    <w:p w14:paraId="698BB3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基层处理验收</w:t>
      </w:r>
    </w:p>
    <w:p w14:paraId="2F8323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墙面基层</w:t>
      </w:r>
    </w:p>
    <w:p w14:paraId="54F7D3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　墙面平整度偏差应≤2 mm/2 m，阴阳角垂直度偏差应≤3 mm/2 m。</w:t>
      </w:r>
    </w:p>
    <w:p w14:paraId="428747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　砂浆基层应无空鼓、开裂，空鼓面积单处宜≤100 cm²且总占比应＜5%。</w:t>
      </w:r>
    </w:p>
    <w:p w14:paraId="5AC1B8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6.2.1.3　防潮处理区域（如卫生间墙面）应涂刷均匀，无漏刷、堆积现象。</w:t>
      </w:r>
    </w:p>
    <w:p w14:paraId="54C181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地面基层</w:t>
      </w:r>
    </w:p>
    <w:p w14:paraId="1E8C89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　地面平整度偏差应≤3 mm/2 m，地漏周边坡度宜≥1%。</w:t>
      </w:r>
    </w:p>
    <w:p w14:paraId="10776C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　自流平基层表面应无气泡、色差，硬度检测宜达到莫氏硬度≥3。</w:t>
      </w:r>
    </w:p>
    <w:p w14:paraId="508EF1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顶面基层</w:t>
      </w:r>
    </w:p>
    <w:p w14:paraId="16D25D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6.2.3.1　顶面龙骨安装间距应符合设计要求，主龙骨间距偏差应≤50 mm。</w:t>
      </w:r>
    </w:p>
    <w:p w14:paraId="1F4817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6.2.3.2　基层板接缝处应预留3 mm～5 mm伸缩缝，并填充弹性嵌缝材料。</w:t>
      </w:r>
    </w:p>
    <w:p w14:paraId="2BB300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饰面工程验收</w:t>
      </w:r>
    </w:p>
    <w:p w14:paraId="0D3651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墙地砖铺贴</w:t>
      </w:r>
    </w:p>
    <w:p w14:paraId="77D4C1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6.3.1.1　单片砖空鼓率应≤5%，且空鼓区域不得位于边角或受力集中部位。</w:t>
      </w:r>
    </w:p>
    <w:p w14:paraId="3819C8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6.3.1.2　砖缝宽度偏差宜≤0.5 mm，填缝应饱满密实，无遗漏或污染。</w:t>
      </w:r>
    </w:p>
    <w:p w14:paraId="502DCA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6.3.1.3　阳角处宜采用45°倒角拼接或专用护角条，接缝高低差应≤1 mm。</w:t>
      </w:r>
    </w:p>
    <w:p w14:paraId="07AF9E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石材安装</w:t>
      </w:r>
    </w:p>
    <w:p w14:paraId="776B86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6.3.2.1　石材色差应目视无明显差异，纹理走向宜按设计排版图施工。</w:t>
      </w:r>
    </w:p>
    <w:p w14:paraId="73166B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6.3.2.2　干挂石材的挂件安装应牢固，挂件间距宜≤600 mm，并进行拉拔力抽检。</w:t>
      </w:r>
    </w:p>
    <w:p w14:paraId="3E15AD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6.3.2.3　石材防护层应覆盖均匀，泼水试验时水珠应呈荷叶效应。</w:t>
      </w:r>
    </w:p>
    <w:p w14:paraId="60B401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木饰面与墙布</w:t>
      </w:r>
    </w:p>
    <w:p w14:paraId="74A805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6.3.3.1　木饰面接缝应严密平直，接缝高低差应≤0.5 mm，无明显色差或划痕。</w:t>
      </w:r>
    </w:p>
    <w:p w14:paraId="6CF144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6.3.3.2　墙布铺贴应无气泡、皱褶，对花误差宜≤1 mm，边缘收口应平顺无毛边。</w:t>
      </w:r>
    </w:p>
    <w:p w14:paraId="7EF02D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吊顶工程验收</w:t>
      </w:r>
    </w:p>
    <w:p w14:paraId="5F1C92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龙骨系统</w:t>
      </w:r>
    </w:p>
    <w:p w14:paraId="661A5A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6.4.1.1　主龙骨吊杆间距应≤1200 mm，副龙骨间距应符合饰面板规格要求。</w:t>
      </w:r>
    </w:p>
    <w:p w14:paraId="1C09F4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6.4.1.2　重型灯具、设备吊挂点应单独加固，并完成承重测试。</w:t>
      </w:r>
    </w:p>
    <w:p w14:paraId="44E98A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饰面板安装</w:t>
      </w:r>
    </w:p>
    <w:p w14:paraId="4E7B47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6.4.2.1　石膏板接缝应预留5 mm～8 mm缝隙，采用专用嵌缝石膏填平并贴防裂带。</w:t>
      </w:r>
    </w:p>
    <w:p w14:paraId="6A75BB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6.4.2.2　金属扣板安装应平整无翘曲，板缝宽度偏差宜≤0.3 mm，按压无松动异响。</w:t>
      </w:r>
    </w:p>
    <w:p w14:paraId="41B93D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开孔与检修口</w:t>
      </w:r>
    </w:p>
    <w:p w14:paraId="7A676C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6.4.3.1　灯具、风口开孔位置偏差应≤5 mm，切口应整齐无毛刺，并加装加固框。</w:t>
      </w:r>
    </w:p>
    <w:p w14:paraId="6CBDD3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6.4.3.2　检修口应开启灵活，关闭后与周边饰面平齐，缝隙均匀且≤1 mm。</w:t>
      </w:r>
    </w:p>
    <w:p w14:paraId="49638A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收口工艺验收</w:t>
      </w:r>
    </w:p>
    <w:p w14:paraId="0AD694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墙地交接收口</w:t>
      </w:r>
    </w:p>
    <w:p w14:paraId="650E8E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6.5.1.1　踢脚线与墙面、地面应无缝隙，打胶应饱满顺直，胶线宽度宜≤3 mm。</w:t>
      </w:r>
    </w:p>
    <w:p w14:paraId="7A7954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6.5.1.2　石材与木地板交接处宜采用T型金属条收口，高差过渡应平缓（坡度≤5%）。</w:t>
      </w:r>
    </w:p>
    <w:p w14:paraId="1BB0E7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阴阳角处理</w:t>
      </w:r>
    </w:p>
    <w:p w14:paraId="6CBD57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6.5.2.1　阳角保护条安装应牢固，与饰面接缝高低差应≤0.5 mm，无崩边现象。</w:t>
      </w:r>
    </w:p>
    <w:p w14:paraId="36E490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6.5.2.2　阴角处涂料或壁纸应无明显接痕，灯光侧照时无阴影断裂。</w:t>
      </w:r>
    </w:p>
    <w:p w14:paraId="7992C1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管线穿墙收口</w:t>
      </w:r>
    </w:p>
    <w:p w14:paraId="0E065B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6.5.3.1　管线穿越墙面处应加装套管，套管端部与饰面平齐，打胶密封无开裂。</w:t>
      </w:r>
    </w:p>
    <w:p w14:paraId="2501AB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6.5.3.2　装饰盖板安装应居中对称，按压无松动，盖板与墙面缝隙宜≤1 mm。</w:t>
      </w:r>
    </w:p>
    <w:p w14:paraId="4C2B98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细部节点验收</w:t>
      </w:r>
    </w:p>
    <w:p w14:paraId="3F7BB9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门窗套安装</w:t>
      </w:r>
    </w:p>
    <w:p w14:paraId="088706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6.6.1.1　门窗套与墙体间隙应填充发泡胶，外表面打胶应连续光滑，无断胶或起泡。</w:t>
      </w:r>
    </w:p>
    <w:p w14:paraId="3F157C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6.6.1.2　门套线与地面间隙宜≤2 mm，并采用弹性密封胶填充。</w:t>
      </w:r>
    </w:p>
    <w:p w14:paraId="365998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装饰线条与造型</w:t>
      </w:r>
    </w:p>
    <w:p w14:paraId="26402D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6.6.2.1　木质线条接缝应45°拼接，接缝处无错位或色差，手感平滑无毛刺。</w:t>
      </w:r>
    </w:p>
    <w:p w14:paraId="071B94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6.6.2.2　曲面造型弧度应流畅，三维扫描比对设计模型偏差宜≤3 mm。</w:t>
      </w:r>
    </w:p>
    <w:p w14:paraId="481CCD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检测方法与工具</w:t>
      </w:r>
    </w:p>
    <w:p w14:paraId="1405F5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传统工具检测</w:t>
      </w:r>
    </w:p>
    <w:p w14:paraId="439CD6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6.7.1.1　平整度：2 m靠尺配合塞尺。</w:t>
      </w:r>
    </w:p>
    <w:p w14:paraId="72DB34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6.7.1.2　空鼓：空鼓锤轻敲，单点空鼓面积超限时应标记整改。</w:t>
      </w:r>
    </w:p>
    <w:p w14:paraId="5E7B98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数字化检测</w:t>
      </w:r>
    </w:p>
    <w:p w14:paraId="469B34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6.7.2.1　激光水平仪：校验阴阳角垂直度、吊顶水平度。</w:t>
      </w:r>
    </w:p>
    <w:p w14:paraId="4B2B8F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6.7.2.2　三维扫描仪：生成饰面平整度云图，标注超标区域。</w:t>
      </w:r>
    </w:p>
    <w:p w14:paraId="611D02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6.7.2.3　红外热像仪：辅助检测隐蔽工程渗漏或空鼓。</w:t>
      </w:r>
    </w:p>
    <w:p w14:paraId="30EA5C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　验收程序</w:t>
      </w:r>
    </w:p>
    <w:p w14:paraId="29DC62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6.8.1　分项工程应按施工段划分检验批，每检验批抽检比例宜≥10%。</w:t>
      </w:r>
    </w:p>
    <w:p w14:paraId="06AD82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6.8.2　主控项目应全数检查，一般项目（可按比例抽检。</w:t>
      </w:r>
    </w:p>
    <w:p w14:paraId="497536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6.8.3　不合格项整改后应扩大抽检范围，复验抽检比例宜≥20%。</w:t>
      </w:r>
    </w:p>
    <w:p w14:paraId="30AB70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　验收记录</w:t>
      </w:r>
    </w:p>
    <w:p w14:paraId="3C05D6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6.9.1　施工单位应填写《精细化分项验收记录表》，记录包括检测点位、工具类型、偏差值及整改措施。</w:t>
      </w:r>
    </w:p>
    <w:p w14:paraId="46FEF3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6.9.2　数字化检测数据应存档为电子文件，支持后期质量追溯。</w:t>
      </w:r>
    </w:p>
    <w:p w14:paraId="3DC103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智能系统验收</w:t>
      </w:r>
    </w:p>
    <w:p w14:paraId="30ADB5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一般规定</w:t>
      </w:r>
    </w:p>
    <w:p w14:paraId="1309A9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智能系统验收应覆盖室内装饰工程中集成的智能家居、安防、照明、暖通等子系统，确保功能完整性、兼容性及安全性。</w:t>
      </w:r>
    </w:p>
    <w:p w14:paraId="74B27B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智能系统设备及线缆选型、安装应符合设计文件及GB 50314要求，且满足用户实际使用需求。</w:t>
      </w:r>
    </w:p>
    <w:p w14:paraId="7E31D7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验收分为单机调试、系统联动调试及用户培训三个阶段，各阶段需留存测试记录。</w:t>
      </w:r>
    </w:p>
    <w:p w14:paraId="591C74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网络及布线验收</w:t>
      </w:r>
    </w:p>
    <w:p w14:paraId="33A34F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综合布线</w:t>
      </w:r>
    </w:p>
    <w:p w14:paraId="1B2BD7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7.2.1.1　网络线缆（如光纤、六类网线）应预留冗余长度，线缆标识应清晰，标注用途及目标设备。</w:t>
      </w:r>
    </w:p>
    <w:p w14:paraId="7BE6EE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7.2.1.2　强弱电线路交叉处宜采用金属屏蔽管隔离，间距应≥300 mm，避免信号干扰。</w:t>
      </w:r>
    </w:p>
    <w:p w14:paraId="65498B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无线网络覆盖</w:t>
      </w:r>
    </w:p>
    <w:p w14:paraId="51860D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7.2.2.1　无线AP点位布置应确保全屋信号强度≥-65 dBm，漫游切换延迟宜≤50 ms。</w:t>
      </w:r>
    </w:p>
    <w:p w14:paraId="1ED2C7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7.2.2.2　对智能家居密集区域（如客厅、卧室），可增设AP或采用Mesh组网提升稳定性。</w:t>
      </w:r>
    </w:p>
    <w:p w14:paraId="1741FC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隐蔽工程验收</w:t>
      </w:r>
    </w:p>
    <w:p w14:paraId="596D7D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7.2.3.1　预埋线管应无死弯、破损，穿线后应进行通断测试，线损率应≤2%。</w:t>
      </w:r>
    </w:p>
    <w:p w14:paraId="588371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7.2.3.2　弱电箱内线缆应绑扎整齐，预留端口对应标签，电源插座接地应可靠。</w:t>
      </w:r>
    </w:p>
    <w:p w14:paraId="459D04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智能设备安装验收</w:t>
      </w:r>
    </w:p>
    <w:p w14:paraId="33C5C1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终端设备安装</w:t>
      </w:r>
    </w:p>
    <w:p w14:paraId="44AC01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7.3.1.1　智能开关、传感器安装高度偏差应≤5 mm，与墙面贴合无缝隙，按压无松动。</w:t>
      </w:r>
    </w:p>
    <w:p w14:paraId="15C906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7.3.1.2　摄像头、语音助手等设备视角/拾音范围应覆盖设计区域，避免盲区或干扰。</w:t>
      </w:r>
    </w:p>
    <w:p w14:paraId="5BF89B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控制器与网关</w:t>
      </w:r>
    </w:p>
    <w:p w14:paraId="6B7EB5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7.3.2.1　控制主机应固定牢靠，散热空间≥100 mm，接入电源需配置独立回路及浪涌保护。</w:t>
      </w:r>
    </w:p>
    <w:p w14:paraId="77005D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7.3.2.2　多协议网关宜部署于空间中心位置，与终端设备距离应≤15 m。</w:t>
      </w:r>
    </w:p>
    <w:p w14:paraId="64191B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供电与接地</w:t>
      </w:r>
    </w:p>
    <w:p w14:paraId="3237C0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7.3.3.1　智能设备独立供电时，电压波动范围应≤±5%，接地电阻应≤4 Ω。</w:t>
      </w:r>
    </w:p>
    <w:p w14:paraId="1FD027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7.3.3.2　电池供电设备（如无线传感器）应检查剩余电量，并标注更换周期。</w:t>
      </w:r>
    </w:p>
    <w:p w14:paraId="0F7A57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系统功能验收</w:t>
      </w:r>
    </w:p>
    <w:p w14:paraId="636F8E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基础功能测试</w:t>
      </w:r>
    </w:p>
    <w:p w14:paraId="49B5CC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7.4.1.1　单设备功能应正常，如灯光调光、窗帘启停、温控调节等，响应延迟宜≤1 s。</w:t>
      </w:r>
    </w:p>
    <w:p w14:paraId="5E7B92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7.4.1.2　场景模式（如“离家模式”“会客模式”）触发成功率应≥95%，动作执行无遗漏。</w:t>
      </w:r>
    </w:p>
    <w:p w14:paraId="45B002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联动与兼容性</w:t>
      </w:r>
    </w:p>
    <w:p w14:paraId="0C5540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7.4.2.1　跨品牌设备互联互通性应通过开放协议验证，指令冲突率应≤1%。</w:t>
      </w:r>
    </w:p>
    <w:p w14:paraId="3DA9A9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7.4.2.2　安防系统与门窗传感器、摄像头联动时，报警信息推送延迟应≤5 s。</w:t>
      </w:r>
    </w:p>
    <w:p w14:paraId="30DB83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远程控制与OTA</w:t>
      </w:r>
    </w:p>
    <w:p w14:paraId="70603F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7.4.3.1　通过移动端APP远程控制设备成功率应≥98%，断网后本地控制功能应正常。</w:t>
      </w:r>
    </w:p>
    <w:p w14:paraId="377AE5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7.4.3.2　固件升级过程应完整无误，升级后系统需重新验证基础功能。</w:t>
      </w:r>
    </w:p>
    <w:p w14:paraId="00C5E1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安全与数据管理验收</w:t>
      </w:r>
    </w:p>
    <w:p w14:paraId="426FFA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网络安全</w:t>
      </w:r>
    </w:p>
    <w:p w14:paraId="5CD69C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7.5.1.1　智能设备接入网络应启用WPA3加密，默认密码应强制修改，并关闭非必要端口。</w:t>
      </w:r>
    </w:p>
    <w:p w14:paraId="303B0E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7.5.1.2　用户隐私数据（如人脸、语音）本地存储时，应加密处理，云端传输应符合GB/T 35273的要求。</w:t>
      </w:r>
    </w:p>
    <w:p w14:paraId="64B6CA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故障容错</w:t>
      </w:r>
    </w:p>
    <w:p w14:paraId="53804E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7.5.2.1　系统主控设备故障时，子系统应可独立运行，关键功能（如安防报警）不得中断。</w:t>
      </w:r>
    </w:p>
    <w:p w14:paraId="7C48BB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7.5.2.2　断电恢复后，系统应自动重连并恢复断点前状态，数据丢失率应≤0.1%。</w:t>
      </w:r>
    </w:p>
    <w:p w14:paraId="0D43CF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验收程序与记录</w:t>
      </w:r>
    </w:p>
    <w:p w14:paraId="7D86DD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分阶段验收</w:t>
      </w:r>
    </w:p>
    <w:p w14:paraId="39E030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7.6.1.1　单机调试：逐台验证设备通电、联网及基础功能。</w:t>
      </w:r>
    </w:p>
    <w:p w14:paraId="68AD17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7.6.1.2　联动调试：模拟用户场景测试系统协同性。</w:t>
      </w:r>
    </w:p>
    <w:p w14:paraId="536801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7.6.1.3　用户培训：交付前完成操作演示及应急处理教学。</w:t>
      </w:r>
    </w:p>
    <w:p w14:paraId="582147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检测工具与方法</w:t>
      </w:r>
    </w:p>
    <w:p w14:paraId="0FCEB3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7.6.2.1　网络分析仪：检测信号强度、丢包率；</w:t>
      </w:r>
    </w:p>
    <w:p w14:paraId="07D8EE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7.6.2.2　协议分析软件：验证设备间通信兼容性；</w:t>
      </w:r>
    </w:p>
    <w:p w14:paraId="284469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7.6.2.3　压力测试工具：模拟高并发指令检验系统稳定性。</w:t>
      </w:r>
    </w:p>
    <w:p w14:paraId="638472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验收文件</w:t>
      </w:r>
    </w:p>
    <w:p w14:paraId="6B18B3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7.6.3.1　智能系统拓扑图、设备清单及IP地址分配表。</w:t>
      </w:r>
    </w:p>
    <w:p w14:paraId="2DBB0B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7.6.3.2　功能测试报告、安全评估报告。</w:t>
      </w:r>
    </w:p>
    <w:p w14:paraId="7BB9B7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7.6.3.3　用户操作手册及售后服务协议。</w:t>
      </w:r>
    </w:p>
    <w:p w14:paraId="1EB1CF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耐久性验收</w:t>
      </w:r>
    </w:p>
    <w:p w14:paraId="2672AC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材料耐久性验收</w:t>
      </w:r>
    </w:p>
    <w:p w14:paraId="185586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抗污性检测</w:t>
      </w:r>
    </w:p>
    <w:p w14:paraId="241EC9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8.1.1.1　石材、瓷砖等硬质饰面材料应进行抗污性测试，采用墨水、酱油等污染物滴落24 h后观察渗透情况，表面应无渗透性污染。</w:t>
      </w:r>
    </w:p>
    <w:p w14:paraId="4C330E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8.1.1.2　涂料、墙布等软质饰面宜进行耐擦洗性试验，擦洗次数≥5000次后表面应无起皮、褪色现象。</w:t>
      </w:r>
    </w:p>
    <w:p w14:paraId="5DCEC7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耐磨性检测</w:t>
      </w:r>
    </w:p>
    <w:p w14:paraId="60CDF3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8.1.2.1　木地板、地毯的耐磨等级应符合设计文件要求，检测方法可参照GB/T 18102，公共区域耐磨转数宜≥6000转。</w:t>
      </w:r>
    </w:p>
    <w:p w14:paraId="57F36D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8.1.2.2　涂料地面（如环氧地坪）耐磨性可用落砂法测试，磨损量应≤0.03 g/1000转。</w:t>
      </w:r>
    </w:p>
    <w:p w14:paraId="30B438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防潮防霉性检测</w:t>
      </w:r>
    </w:p>
    <w:p w14:paraId="0CDFBC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8.1.3.1　卫生间、厨房墙面材料应进行湿度循环试验（湿度90%±5%，温度40 ℃±2 ℃，循环10次），表面应无鼓包、霉斑。</w:t>
      </w:r>
    </w:p>
    <w:p w14:paraId="7E4DA4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8.1.3.2　木质材料含水率应≤12%，并涂刷防霉涂层，28 d培养试验后霉变面积应＜5%。</w:t>
      </w:r>
    </w:p>
    <w:p w14:paraId="03BEE7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施工工艺耐久性验收</w:t>
      </w:r>
    </w:p>
    <w:p w14:paraId="4DCFB3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接缝与收口耐久性</w:t>
      </w:r>
    </w:p>
    <w:p w14:paraId="342E19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8.2.1.1　墙地砖接缝填缝材料应无开裂、脱落，经-10 ℃～50 ℃温度循环试验10次后，收缩率应≤1%。</w:t>
      </w:r>
    </w:p>
    <w:p w14:paraId="67A24D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8.2.1.2　吊顶接缝防裂带粘结强度应≥0.5 MPa，经振动试验（频率10 Hz，时长2 h）后无开裂。</w:t>
      </w:r>
    </w:p>
    <w:p w14:paraId="587CA1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固定件与连接耐久性</w:t>
      </w:r>
    </w:p>
    <w:p w14:paraId="404792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8.2.2.1　干挂石材挂件、金属装饰构件应进行拉拔力测试，设计荷载下位移应≤2 mm，且无塑性变形。</w:t>
      </w:r>
    </w:p>
    <w:p w14:paraId="14DB76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8.2.2.2　窗帘轨道、吊柜安装螺栓应进行疲劳试验，连接部位应无松动、异响。</w:t>
      </w:r>
    </w:p>
    <w:p w14:paraId="425035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环境适应性测试</w:t>
      </w:r>
    </w:p>
    <w:p w14:paraId="1A158B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温湿度循环试验</w:t>
      </w:r>
    </w:p>
    <w:p w14:paraId="4787C4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8.3.1.1　模拟室内温湿度变化（温度20 ℃～35 ℃、湿度30%～80%，循环30 d），饰面材料应无翘曲、变色。</w:t>
      </w:r>
    </w:p>
    <w:p w14:paraId="3E9BE5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8.3.1.2　地暖区域地面材料应进行热稳定性试验（28 ℃～45 ℃温差循环20次），接缝处膨胀变形应≤0.5 mm。</w:t>
      </w:r>
    </w:p>
    <w:p w14:paraId="7DCF0B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紫外线老化试验</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窗帘、软包等易褪色材料经UV照射1000 h后，色差值ΔE应≤3.0。</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 w:name="_Toc12675"/>
      <w:r>
        <w:rPr>
          <w:rFonts w:ascii="Times New Roman" w:hAnsi="Times New Roman" w:eastAsia="黑体" w:cs="Times New Roman"/>
          <w:b/>
          <w:kern w:val="0"/>
          <w:sz w:val="30"/>
          <w:szCs w:val="30"/>
        </w:rPr>
        <w:t>三、主要试验和情况分析</w:t>
      </w:r>
      <w:bookmarkEnd w:id="3"/>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8A8190D">
      <w:pPr>
        <w:widowControl/>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在本团体标准的编制过程中，针对建筑装饰工程室内施工质量的关键技术指标和验收要求，开展了多项试验研究和情况分析。主要试验包括装饰材料的有害物质释放量检测（如甲醛、TVOC）、材料抗污性与耐磨性测试、室内空气质量检测、声学与光环境性能验证等。通过这些试验，验证了标准中相关技术指标的科学性和合理性，确保了标准的实施能够</w:t>
      </w:r>
      <w:bookmarkStart w:id="12" w:name="_GoBack"/>
      <w:bookmarkEnd w:id="12"/>
      <w:r>
        <w:rPr>
          <w:rFonts w:hint="eastAsia" w:ascii="Times New Roman" w:hAnsi="Times New Roman" w:cs="Times New Roman"/>
          <w:sz w:val="28"/>
          <w:szCs w:val="28"/>
        </w:rPr>
        <w:t>有效指导施工质量验收。</w:t>
      </w:r>
    </w:p>
    <w:p w14:paraId="6731733C">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结合实际工程案例，对室内装饰工程的施工工艺、材料性能及验收方法进行了深入分析。特别是针对敏感区域（如儿童房、医疗空间）的环保要求、精细化施工工艺（如墙地砖空鼓率、接缝高低差）及智能系统的功能完整性，通过现场检测和数据分析，进一步优化了验收要求。这些工作确保了标准能够满足当前建筑装饰行业对环保、健康和精细化施工的需求，为工程质量验收提供了可靠依据。</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 w:name="_Toc20840"/>
      <w:r>
        <w:rPr>
          <w:rFonts w:ascii="Times New Roman" w:hAnsi="Times New Roman" w:eastAsia="黑体" w:cs="Times New Roman"/>
          <w:b/>
          <w:kern w:val="0"/>
          <w:sz w:val="30"/>
          <w:szCs w:val="30"/>
        </w:rPr>
        <w:t>四、标准中涉及专利的情况</w:t>
      </w:r>
      <w:bookmarkEnd w:id="4"/>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5" w:name="_Toc29243"/>
      <w:r>
        <w:rPr>
          <w:rFonts w:ascii="Times New Roman" w:hAnsi="Times New Roman" w:eastAsia="黑体" w:cs="Times New Roman"/>
          <w:b/>
          <w:kern w:val="0"/>
          <w:sz w:val="30"/>
          <w:szCs w:val="30"/>
        </w:rPr>
        <w:t>五、预期达到的效益（经济、效益、生态等），对产业发展的作用的情况</w:t>
      </w:r>
      <w:bookmarkEnd w:id="5"/>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建筑装饰工程室内施工质量验收</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6" w:name="_Toc4979"/>
      <w:r>
        <w:rPr>
          <w:rFonts w:ascii="Times New Roman" w:hAnsi="Times New Roman" w:eastAsia="黑体" w:cs="Times New Roman"/>
          <w:b/>
          <w:kern w:val="0"/>
          <w:sz w:val="30"/>
          <w:szCs w:val="30"/>
        </w:rPr>
        <w:t>六、与有关的现行法律、法规和强制性国家标准的关系</w:t>
      </w:r>
      <w:bookmarkEnd w:id="6"/>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7" w:name="_Toc21799"/>
      <w:r>
        <w:rPr>
          <w:rFonts w:ascii="Times New Roman" w:hAnsi="Times New Roman" w:eastAsia="黑体" w:cs="Times New Roman"/>
          <w:b/>
          <w:kern w:val="0"/>
          <w:sz w:val="30"/>
          <w:szCs w:val="30"/>
        </w:rPr>
        <w:t>七、重大意见分歧的处理依据和结果</w:t>
      </w:r>
      <w:bookmarkEnd w:id="7"/>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8" w:name="_Toc20135"/>
      <w:r>
        <w:rPr>
          <w:rFonts w:ascii="Times New Roman" w:hAnsi="Times New Roman" w:eastAsia="黑体" w:cs="Times New Roman"/>
          <w:b/>
          <w:kern w:val="0"/>
          <w:sz w:val="30"/>
          <w:szCs w:val="30"/>
        </w:rPr>
        <w:t>八、标准性质的建议说明</w:t>
      </w:r>
      <w:bookmarkEnd w:id="8"/>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9" w:name="_Toc23106"/>
      <w:r>
        <w:rPr>
          <w:rFonts w:ascii="Times New Roman" w:hAnsi="Times New Roman" w:eastAsia="黑体" w:cs="Times New Roman"/>
          <w:b/>
          <w:kern w:val="0"/>
          <w:sz w:val="30"/>
          <w:szCs w:val="30"/>
        </w:rPr>
        <w:t>九、贯彻标准的要求和措施建议</w:t>
      </w:r>
      <w:bookmarkEnd w:id="9"/>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10" w:name="_Toc29517"/>
      <w:r>
        <w:rPr>
          <w:rFonts w:ascii="Times New Roman" w:hAnsi="Times New Roman" w:eastAsia="黑体" w:cs="Times New Roman"/>
          <w:b/>
          <w:kern w:val="0"/>
          <w:sz w:val="30"/>
          <w:szCs w:val="30"/>
        </w:rPr>
        <w:t>十、废止现行相关标准的建议</w:t>
      </w:r>
      <w:bookmarkEnd w:id="10"/>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1" w:name="_Toc18435"/>
      <w:r>
        <w:rPr>
          <w:rFonts w:ascii="Times New Roman" w:hAnsi="Times New Roman" w:eastAsia="黑体" w:cs="Times New Roman"/>
          <w:b/>
          <w:kern w:val="0"/>
          <w:sz w:val="30"/>
          <w:szCs w:val="30"/>
        </w:rPr>
        <w:t>十一、其他应予说明的事项</w:t>
      </w:r>
      <w:bookmarkEnd w:id="11"/>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2038097937"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LDe7nRAAAAAwEAAA8AAAAAAAAAAQAgAAAAIgAAAGRycy9kb3du&#10;cmV2LnhtbFBLAQIUABQAAAAIAIdO4kCfUiQSBgIAAA0EAAAOAAAAAAAAAAEAIAAAACABAABkcnMv&#10;ZTJvRG9jLnhtbFBLBQYAAAAABgAGAFkBAACYBQ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331B"/>
    <w:rsid w:val="00186B0A"/>
    <w:rsid w:val="001916AE"/>
    <w:rsid w:val="00194FB0"/>
    <w:rsid w:val="001A069A"/>
    <w:rsid w:val="001A095D"/>
    <w:rsid w:val="001A2436"/>
    <w:rsid w:val="001C225F"/>
    <w:rsid w:val="001C4546"/>
    <w:rsid w:val="001D062E"/>
    <w:rsid w:val="001E59EA"/>
    <w:rsid w:val="00203343"/>
    <w:rsid w:val="00210B1B"/>
    <w:rsid w:val="0021262D"/>
    <w:rsid w:val="00231E76"/>
    <w:rsid w:val="002506EB"/>
    <w:rsid w:val="0025166A"/>
    <w:rsid w:val="00264429"/>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5A41"/>
    <w:rsid w:val="004172C0"/>
    <w:rsid w:val="004252F2"/>
    <w:rsid w:val="004276CF"/>
    <w:rsid w:val="00435663"/>
    <w:rsid w:val="00436EE9"/>
    <w:rsid w:val="00463563"/>
    <w:rsid w:val="004803B5"/>
    <w:rsid w:val="004B1B5D"/>
    <w:rsid w:val="004B2F65"/>
    <w:rsid w:val="004B6E6F"/>
    <w:rsid w:val="004F4747"/>
    <w:rsid w:val="004F6F77"/>
    <w:rsid w:val="0050411A"/>
    <w:rsid w:val="00505FBC"/>
    <w:rsid w:val="00510C92"/>
    <w:rsid w:val="005129BC"/>
    <w:rsid w:val="00520FFB"/>
    <w:rsid w:val="005251AE"/>
    <w:rsid w:val="005305A4"/>
    <w:rsid w:val="00534D5E"/>
    <w:rsid w:val="00534FAE"/>
    <w:rsid w:val="00545EB7"/>
    <w:rsid w:val="005528FD"/>
    <w:rsid w:val="00596690"/>
    <w:rsid w:val="005A2ECD"/>
    <w:rsid w:val="005A4896"/>
    <w:rsid w:val="005B3651"/>
    <w:rsid w:val="005B5EAD"/>
    <w:rsid w:val="005B7647"/>
    <w:rsid w:val="005B7872"/>
    <w:rsid w:val="005C1019"/>
    <w:rsid w:val="00601423"/>
    <w:rsid w:val="00606BF2"/>
    <w:rsid w:val="006252E3"/>
    <w:rsid w:val="00650FED"/>
    <w:rsid w:val="006878C7"/>
    <w:rsid w:val="006965B4"/>
    <w:rsid w:val="006A01A1"/>
    <w:rsid w:val="006B0B1B"/>
    <w:rsid w:val="006B6D21"/>
    <w:rsid w:val="006B75F5"/>
    <w:rsid w:val="006D0913"/>
    <w:rsid w:val="006E5B41"/>
    <w:rsid w:val="00705D75"/>
    <w:rsid w:val="0071163C"/>
    <w:rsid w:val="007417C1"/>
    <w:rsid w:val="00747D95"/>
    <w:rsid w:val="00752097"/>
    <w:rsid w:val="00756D5D"/>
    <w:rsid w:val="00761E21"/>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03DB"/>
    <w:rsid w:val="00A6194C"/>
    <w:rsid w:val="00A64776"/>
    <w:rsid w:val="00A72428"/>
    <w:rsid w:val="00A80365"/>
    <w:rsid w:val="00A83680"/>
    <w:rsid w:val="00AA54FC"/>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97873"/>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E4E19"/>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5455AE"/>
    <w:rsid w:val="169901DF"/>
    <w:rsid w:val="170D2EB2"/>
    <w:rsid w:val="1F15287C"/>
    <w:rsid w:val="255B6B18"/>
    <w:rsid w:val="2C2D1EE2"/>
    <w:rsid w:val="2D467F37"/>
    <w:rsid w:val="2DAD6C8F"/>
    <w:rsid w:val="3AFC0F1D"/>
    <w:rsid w:val="40E14CE3"/>
    <w:rsid w:val="542D0422"/>
    <w:rsid w:val="57BF1D4F"/>
    <w:rsid w:val="663F4E49"/>
    <w:rsid w:val="66850C67"/>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3367</Words>
  <Characters>3704</Characters>
  <Lines>75</Lines>
  <Paragraphs>21</Paragraphs>
  <TotalTime>2</TotalTime>
  <ScaleCrop>false</ScaleCrop>
  <LinksUpToDate>false</LinksUpToDate>
  <CharactersWithSpaces>3827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2025-04-10T07:26:00Z</dcterms:created>
  <dc:creator>yao jiang</dc:creator>
  <cp:lastModifiedBy>Shimmer</cp:lastModifiedBy>
  <dcterms:modified xsi:type="dcterms:W3CDTF">2025-04-17T09:33:30Z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