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5C6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05BBA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7FD919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93.080.01</w:t>
            </w:r>
            <w:r>
              <w:rPr>
                <w:rFonts w:ascii="黑体" w:hAnsi="黑体" w:eastAsia="黑体"/>
                <w:sz w:val="21"/>
                <w:szCs w:val="21"/>
              </w:rPr>
              <w:fldChar w:fldCharType="end"/>
            </w:r>
            <w:bookmarkEnd w:id="0"/>
          </w:p>
        </w:tc>
      </w:tr>
      <w:tr w14:paraId="3E96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E7C4C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DB9F3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E74464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1C0700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66</w:t>
            </w:r>
            <w:r>
              <w:rPr>
                <w:rFonts w:ascii="黑体" w:hAnsi="黑体" w:eastAsia="黑体"/>
                <w:sz w:val="21"/>
                <w:szCs w:val="21"/>
              </w:rPr>
              <w:fldChar w:fldCharType="end"/>
            </w:r>
            <w:bookmarkEnd w:id="2"/>
          </w:p>
        </w:tc>
      </w:tr>
    </w:tbl>
    <w:p w14:paraId="414DCFE8">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12DDD8F">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7998E7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8FB4B1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B7B8ADD">
      <w:pPr>
        <w:pStyle w:val="50"/>
        <w:framePr w:w="9639" w:h="6976" w:hRule="exact" w:hSpace="0" w:vSpace="0" w:wrap="around" w:hAnchor="page" w:y="6408"/>
        <w:jc w:val="center"/>
        <w:rPr>
          <w:rFonts w:hint="eastAsia" w:ascii="黑体" w:hAnsi="黑体" w:eastAsia="黑体"/>
          <w:b w:val="0"/>
          <w:bCs w:val="0"/>
          <w:w w:val="100"/>
        </w:rPr>
      </w:pPr>
    </w:p>
    <w:p w14:paraId="4D8B294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市政道路工程施工技术规范 第3部分：土石方工程</w:t>
      </w:r>
      <w:r>
        <w:fldChar w:fldCharType="end"/>
      </w:r>
      <w:bookmarkEnd w:id="9"/>
    </w:p>
    <w:p w14:paraId="6EBAB53F">
      <w:pPr>
        <w:framePr w:w="9639" w:h="6974" w:hRule="exact" w:wrap="around" w:vAnchor="page" w:hAnchor="page" w:x="1419" w:y="6408" w:anchorLock="1"/>
        <w:ind w:left="-1418"/>
      </w:pPr>
    </w:p>
    <w:p w14:paraId="0BC81DC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the construction of municipal road works - Part 3: Earthwork</w:t>
      </w:r>
      <w:r>
        <w:rPr>
          <w:rFonts w:eastAsia="黑体"/>
          <w:szCs w:val="28"/>
        </w:rPr>
        <w:fldChar w:fldCharType="end"/>
      </w:r>
      <w:bookmarkEnd w:id="10"/>
    </w:p>
    <w:p w14:paraId="172B7114">
      <w:pPr>
        <w:framePr w:w="9639" w:h="6974" w:hRule="exact" w:wrap="around" w:vAnchor="page" w:hAnchor="page" w:x="1419" w:y="6408" w:anchorLock="1"/>
        <w:spacing w:line="760" w:lineRule="exact"/>
        <w:ind w:left="-1418"/>
      </w:pPr>
    </w:p>
    <w:p w14:paraId="789DC38F">
      <w:pPr>
        <w:pStyle w:val="125"/>
        <w:framePr w:w="9639" w:h="6974" w:hRule="exact" w:wrap="around" w:vAnchor="page" w:hAnchor="page" w:x="1419" w:y="6408" w:anchorLock="1"/>
        <w:textAlignment w:val="bottom"/>
        <w:rPr>
          <w:rFonts w:eastAsia="黑体"/>
          <w:szCs w:val="28"/>
        </w:rPr>
      </w:pPr>
    </w:p>
    <w:p w14:paraId="5764471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D08778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8DF448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8549C8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105A45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07E4133">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97FFB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57473A">
      <w:pPr>
        <w:pStyle w:val="91"/>
        <w:spacing w:after="360"/>
      </w:pPr>
      <w:bookmarkStart w:id="21" w:name="BookMark1"/>
      <w:r>
        <w:rPr>
          <w:rFonts w:hint="eastAsia"/>
          <w:spacing w:val="320"/>
        </w:rPr>
        <w:t>目</w:t>
      </w:r>
      <w:r>
        <w:rPr>
          <w:rFonts w:hint="eastAsia"/>
        </w:rPr>
        <w:t>次</w:t>
      </w:r>
    </w:p>
    <w:p w14:paraId="2BFCE53C">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"_Toc195110970"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_Toc195110970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1FF2EA5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"_Toc195110971"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515DB2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"_Toc195110972"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284900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"_Toc195110973"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2962CD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"_Toc195110974" </w:instrText>
      </w:r>
      <w:r>
        <w:fldChar w:fldCharType="separate"/>
      </w:r>
      <w:r>
        <w:rPr>
          <w:rStyle w:val="32"/>
          <w:rFonts w:ascii="Times New Roman"/>
        </w:rPr>
        <w:t>4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6440FB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"_Toc195110975" </w:instrText>
      </w:r>
      <w:r>
        <w:fldChar w:fldCharType="separate"/>
      </w:r>
      <w:r>
        <w:rPr>
          <w:rStyle w:val="32"/>
          <w:rFonts w:ascii="Times New Roman"/>
        </w:rPr>
        <w:t>5  施工准备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C1B11B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"_Toc195110976" </w:instrText>
      </w:r>
      <w:r>
        <w:fldChar w:fldCharType="separate"/>
      </w:r>
      <w:r>
        <w:rPr>
          <w:rStyle w:val="32"/>
          <w:rFonts w:ascii="Times New Roman"/>
        </w:rPr>
        <w:t>6  土方开挖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58311C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"_Toc195110977" </w:instrText>
      </w:r>
      <w:r>
        <w:fldChar w:fldCharType="separate"/>
      </w:r>
      <w:r>
        <w:rPr>
          <w:rStyle w:val="32"/>
          <w:rFonts w:ascii="Times New Roman"/>
        </w:rPr>
        <w:t>7  土方填筑与压实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04D4AE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"_Toc195110978" </w:instrText>
      </w:r>
      <w:r>
        <w:fldChar w:fldCharType="separate"/>
      </w:r>
      <w:r>
        <w:rPr>
          <w:rStyle w:val="32"/>
          <w:rFonts w:ascii="Times New Roman"/>
        </w:rPr>
        <w:t>8  排水与降水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_Toc195110978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03FF47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"_Toc195110979" </w:instrText>
      </w:r>
      <w:r>
        <w:fldChar w:fldCharType="separate"/>
      </w:r>
      <w:r>
        <w:rPr>
          <w:rStyle w:val="32"/>
          <w:rFonts w:ascii="Times New Roman"/>
        </w:rPr>
        <w:t>9  边坡与支护工程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_Toc195110979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243BFE79">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0F792254">
      <w:pPr>
        <w:pStyle w:val="89"/>
        <w:spacing w:before="900" w:after="360"/>
        <w:rPr>
          <w:rFonts w:ascii="Times New Roman"/>
        </w:rPr>
      </w:pPr>
      <w:bookmarkStart w:id="22" w:name="_Toc195110970"/>
      <w:bookmarkStart w:id="23" w:name="BookMark2"/>
      <w:r>
        <w:rPr>
          <w:rFonts w:ascii="Times New Roman"/>
          <w:spacing w:val="320"/>
        </w:rPr>
        <w:t>前</w:t>
      </w:r>
      <w:r>
        <w:rPr>
          <w:rFonts w:ascii="Times New Roman"/>
        </w:rPr>
        <w:t>言</w:t>
      </w:r>
      <w:bookmarkEnd w:id="22"/>
    </w:p>
    <w:p w14:paraId="4707FB2E">
      <w:pPr>
        <w:pStyle w:val="56"/>
        <w:ind w:firstLine="420"/>
        <w:rPr>
          <w:rFonts w:ascii="Times New Roman"/>
        </w:rPr>
      </w:pPr>
      <w:r>
        <w:rPr>
          <w:rFonts w:ascii="Times New Roman"/>
        </w:rPr>
        <w:t>本文件按照GB/T 1.1—2020《标准化工作导则  第1部分：标准化文件的结构和起草规则》的规定起草。</w:t>
      </w:r>
    </w:p>
    <w:p w14:paraId="4B632AEF">
      <w:pPr>
        <w:pStyle w:val="56"/>
        <w:ind w:firstLine="420"/>
        <w:rPr>
          <w:rFonts w:ascii="Times New Roman"/>
        </w:rPr>
      </w:pPr>
      <w:r>
        <w:rPr>
          <w:rFonts w:ascii="Times New Roman"/>
        </w:rPr>
        <w:t>请注意本文件的某些内容可能涉及专利。本文件的发布机构不承担识别专利的责任。</w:t>
      </w:r>
    </w:p>
    <w:p w14:paraId="40405930">
      <w:pPr>
        <w:pStyle w:val="56"/>
        <w:ind w:firstLine="420"/>
        <w:rPr>
          <w:rFonts w:ascii="Times New Roman"/>
        </w:rPr>
      </w:pPr>
      <w:r>
        <w:rPr>
          <w:rFonts w:ascii="Times New Roman"/>
        </w:rPr>
        <w:t>本文件由</w:t>
      </w:r>
      <w:r>
        <w:rPr>
          <w:rFonts w:hint="eastAsia" w:ascii="Times New Roman"/>
        </w:rPr>
        <w:t>龙泉市城启建设发展有限公司</w:t>
      </w:r>
      <w:r>
        <w:rPr>
          <w:rFonts w:ascii="Times New Roman"/>
        </w:rPr>
        <w:t>提出。</w:t>
      </w:r>
    </w:p>
    <w:p w14:paraId="48197FFF">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41B996A5">
      <w:pPr>
        <w:pStyle w:val="56"/>
        <w:ind w:firstLine="420"/>
        <w:rPr>
          <w:rFonts w:hint="eastAsia" w:ascii="Times New Roman" w:eastAsia="宋体"/>
          <w:lang w:eastAsia="zh-CN"/>
        </w:rPr>
      </w:pPr>
      <w:r>
        <w:rPr>
          <w:rFonts w:ascii="Times New Roman"/>
        </w:rPr>
        <w:t>本文件起草单位：</w:t>
      </w:r>
      <w:r>
        <w:rPr>
          <w:rFonts w:hint="eastAsia" w:ascii="Times New Roman"/>
        </w:rPr>
        <w:t>龙泉市城启建设发展有限公司</w:t>
      </w:r>
      <w:r>
        <w:rPr>
          <w:rFonts w:hint="eastAsia" w:ascii="Times New Roman"/>
          <w:lang w:eastAsia="zh-CN"/>
        </w:rPr>
        <w:t>。</w:t>
      </w:r>
      <w:bookmarkStart w:id="58" w:name="_GoBack"/>
      <w:bookmarkEnd w:id="58"/>
    </w:p>
    <w:p w14:paraId="25E8B7C3">
      <w:pPr>
        <w:pStyle w:val="56"/>
        <w:ind w:firstLine="420"/>
        <w:rPr>
          <w:rFonts w:ascii="Times New Roman"/>
        </w:rPr>
      </w:pPr>
      <w:r>
        <w:rPr>
          <w:rFonts w:ascii="Times New Roman"/>
        </w:rPr>
        <w:t>本文件主要起草人：</w:t>
      </w:r>
    </w:p>
    <w:p w14:paraId="66092573">
      <w:pPr>
        <w:pStyle w:val="56"/>
        <w:ind w:firstLine="420"/>
        <w:rPr>
          <w:rFonts w:ascii="Times New Roman"/>
        </w:rPr>
      </w:pPr>
    </w:p>
    <w:p w14:paraId="0C76B093">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403A068B">
      <w:pPr>
        <w:spacing w:line="20" w:lineRule="exact"/>
        <w:jc w:val="center"/>
        <w:rPr>
          <w:rFonts w:ascii="Times New Roman" w:hAnsi="Times New Roman" w:eastAsia="黑体"/>
          <w:sz w:val="32"/>
          <w:szCs w:val="32"/>
        </w:rPr>
      </w:pPr>
      <w:bookmarkStart w:id="24" w:name="BookMark4"/>
    </w:p>
    <w:p w14:paraId="0D19CE1A">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D53E6B4CF7744BE19DB230CA7EB90F26"/>
        </w:placeholder>
      </w:sdtPr>
      <w:sdtEndPr>
        <w:rPr>
          <w:rFonts w:ascii="Times New Roman" w:hAnsi="Times New Roman"/>
        </w:rPr>
      </w:sdtEndPr>
      <w:sdtContent>
        <w:p w14:paraId="3204797D">
          <w:pPr>
            <w:pStyle w:val="177"/>
            <w:spacing w:before="2" w:beforeLines="1" w:after="528" w:afterLines="220"/>
            <w:rPr>
              <w:rFonts w:ascii="Times New Roman" w:hAnsi="Times New Roman"/>
            </w:rPr>
          </w:pPr>
          <w:bookmarkStart w:id="25" w:name="_Hlk195111126"/>
          <w:bookmarkStart w:id="26" w:name="NEW_STAND_NAME"/>
          <w:r>
            <w:rPr>
              <w:rFonts w:ascii="Times New Roman" w:hAnsi="Times New Roman"/>
            </w:rPr>
            <w:t>市政道路工程施工技术规范 第3部分：土石方工程</w:t>
          </w:r>
        </w:p>
      </w:sdtContent>
    </w:sdt>
    <w:bookmarkEnd w:id="25"/>
    <w:bookmarkEnd w:id="26"/>
    <w:p w14:paraId="70B5732B">
      <w:pPr>
        <w:pStyle w:val="104"/>
        <w:spacing w:before="240" w:after="240"/>
        <w:rPr>
          <w:rFonts w:ascii="Times New Roman"/>
        </w:rPr>
      </w:pPr>
      <w:bookmarkStart w:id="27" w:name="_Toc24884218"/>
      <w:bookmarkStart w:id="28" w:name="_Toc17233333"/>
      <w:bookmarkStart w:id="29" w:name="_Toc26986530"/>
      <w:bookmarkStart w:id="30" w:name="_Toc26648465"/>
      <w:bookmarkStart w:id="31" w:name="_Toc17233325"/>
      <w:bookmarkStart w:id="32" w:name="_Toc24884211"/>
      <w:bookmarkStart w:id="33" w:name="_Toc195110971"/>
      <w:bookmarkStart w:id="34" w:name="_Toc97192964"/>
      <w:bookmarkStart w:id="35" w:name="_Toc26718930"/>
      <w:bookmarkStart w:id="36" w:name="_Toc26986771"/>
      <w:bookmarkStart w:id="37" w:name="_Hlk195111202"/>
      <w:r>
        <w:rPr>
          <w:rFonts w:ascii="Times New Roman"/>
        </w:rPr>
        <w:t>范围</w:t>
      </w:r>
      <w:bookmarkEnd w:id="27"/>
      <w:bookmarkEnd w:id="28"/>
      <w:bookmarkEnd w:id="29"/>
      <w:bookmarkEnd w:id="30"/>
      <w:bookmarkEnd w:id="31"/>
      <w:bookmarkEnd w:id="32"/>
      <w:bookmarkEnd w:id="33"/>
      <w:bookmarkEnd w:id="34"/>
      <w:bookmarkEnd w:id="35"/>
      <w:bookmarkEnd w:id="36"/>
    </w:p>
    <w:p w14:paraId="460A041A">
      <w:pPr>
        <w:pStyle w:val="56"/>
        <w:ind w:firstLine="420"/>
        <w:rPr>
          <w:rFonts w:ascii="Times New Roman"/>
        </w:rPr>
      </w:pPr>
      <w:bookmarkStart w:id="38" w:name="_Toc24884212"/>
      <w:bookmarkStart w:id="39" w:name="_Toc24884219"/>
      <w:bookmarkStart w:id="40" w:name="_Toc17233326"/>
      <w:bookmarkStart w:id="41" w:name="_Toc17233334"/>
      <w:bookmarkStart w:id="42" w:name="_Toc26648466"/>
      <w:r>
        <w:rPr>
          <w:rFonts w:ascii="Times New Roman"/>
        </w:rPr>
        <w:t>本文件规定了市政道路工程土石方施工的术语和定义、基本规定、施工准备、土方开挖、土方填筑与压实、排水与降水、边坡与支护工程。</w:t>
      </w:r>
    </w:p>
    <w:p w14:paraId="7C1032C0">
      <w:pPr>
        <w:pStyle w:val="56"/>
        <w:ind w:firstLine="420"/>
        <w:rPr>
          <w:rFonts w:ascii="Times New Roman"/>
        </w:rPr>
      </w:pPr>
      <w:r>
        <w:rPr>
          <w:rFonts w:ascii="Times New Roman"/>
        </w:rPr>
        <w:t>本文件适用于市政道路工程土石方施工。</w:t>
      </w:r>
    </w:p>
    <w:p w14:paraId="1477F2F4">
      <w:pPr>
        <w:pStyle w:val="104"/>
        <w:spacing w:before="240" w:after="240"/>
        <w:rPr>
          <w:rFonts w:ascii="Times New Roman"/>
        </w:rPr>
      </w:pPr>
      <w:bookmarkStart w:id="43" w:name="_Toc26718931"/>
      <w:bookmarkStart w:id="44" w:name="_Toc26986531"/>
      <w:bookmarkStart w:id="45" w:name="_Toc97192965"/>
      <w:bookmarkStart w:id="46" w:name="_Toc195110972"/>
      <w:bookmarkStart w:id="47" w:name="_Toc26986772"/>
      <w:r>
        <w:rPr>
          <w:rFonts w:ascii="Times New Roman"/>
        </w:rPr>
        <w:t>规范性引用文件</w:t>
      </w:r>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ECE98E85A4D04155BD23D40E49AED4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58B0303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170D1C">
      <w:pPr>
        <w:pStyle w:val="56"/>
        <w:ind w:firstLine="420"/>
        <w:rPr>
          <w:rFonts w:ascii="Times New Roman"/>
        </w:rPr>
      </w:pPr>
      <w:r>
        <w:rPr>
          <w:rFonts w:ascii="Times New Roman"/>
        </w:rPr>
        <w:t>GB 5768.2 道路交通标志和标线 第2部分：道路交通标志</w:t>
      </w:r>
    </w:p>
    <w:p w14:paraId="725EB1FA">
      <w:pPr>
        <w:pStyle w:val="56"/>
        <w:ind w:firstLine="420"/>
        <w:rPr>
          <w:rFonts w:ascii="Times New Roman"/>
        </w:rPr>
      </w:pPr>
      <w:r>
        <w:rPr>
          <w:rFonts w:ascii="Times New Roman"/>
        </w:rPr>
        <w:t>GB 6722 爆破安全规程</w:t>
      </w:r>
    </w:p>
    <w:p w14:paraId="5CE4C308">
      <w:pPr>
        <w:pStyle w:val="56"/>
        <w:ind w:firstLine="420"/>
        <w:rPr>
          <w:rFonts w:ascii="Times New Roman"/>
        </w:rPr>
      </w:pPr>
      <w:r>
        <w:rPr>
          <w:rFonts w:ascii="Times New Roman"/>
        </w:rPr>
        <w:t>GB 50203 砌体结构工程施工质量验收规范</w:t>
      </w:r>
    </w:p>
    <w:p w14:paraId="5FB517B6">
      <w:pPr>
        <w:pStyle w:val="56"/>
        <w:ind w:firstLine="420"/>
        <w:rPr>
          <w:rFonts w:ascii="Times New Roman"/>
        </w:rPr>
      </w:pPr>
      <w:r>
        <w:rPr>
          <w:rFonts w:ascii="Times New Roman"/>
        </w:rPr>
        <w:t>JGJ 46 建筑与市政工程施工现场临时用电安全技术标准</w:t>
      </w:r>
    </w:p>
    <w:p w14:paraId="184A7D5F">
      <w:pPr>
        <w:pStyle w:val="104"/>
        <w:spacing w:before="240" w:after="240"/>
        <w:rPr>
          <w:rFonts w:ascii="Times New Roman"/>
        </w:rPr>
      </w:pPr>
      <w:bookmarkStart w:id="48" w:name="_Toc195110973"/>
      <w:bookmarkStart w:id="49" w:name="_Toc97192966"/>
      <w:r>
        <w:rPr>
          <w:rFonts w:ascii="Times New Roman"/>
          <w:szCs w:val="21"/>
        </w:rPr>
        <w:t>术语和定义</w:t>
      </w:r>
      <w:bookmarkEnd w:id="48"/>
      <w:bookmarkEnd w:id="49"/>
    </w:p>
    <w:sdt>
      <w:sdtPr>
        <w:rPr>
          <w:rFonts w:ascii="Times New Roman"/>
        </w:rPr>
        <w:id w:val="-1909835108"/>
        <w:placeholder>
          <w:docPart w:val="7875625D57984C1FAA4E569F9A25F47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CB857EF">
          <w:pPr>
            <w:pStyle w:val="56"/>
            <w:ind w:firstLine="420"/>
            <w:rPr>
              <w:rFonts w:ascii="Times New Roman"/>
            </w:rPr>
          </w:pPr>
          <w:bookmarkStart w:id="50" w:name="_Toc26986532"/>
          <w:bookmarkEnd w:id="50"/>
          <w:r>
            <w:rPr>
              <w:rFonts w:ascii="Times New Roman"/>
            </w:rPr>
            <w:t>下列术语和定义适用于本文件。</w:t>
          </w:r>
        </w:p>
      </w:sdtContent>
    </w:sdt>
    <w:p w14:paraId="47127564">
      <w:pPr>
        <w:pStyle w:val="223"/>
        <w:ind w:left="420" w:hanging="420" w:hangingChars="200"/>
        <w:rPr>
          <w:rFonts w:ascii="Times New Roman" w:eastAsia="黑体"/>
        </w:rPr>
      </w:pPr>
      <w:r>
        <w:rPr>
          <w:rFonts w:ascii="Times New Roman" w:eastAsia="黑体"/>
        </w:rPr>
        <w:br w:type="textWrapping"/>
      </w:r>
      <w:r>
        <w:rPr>
          <w:rFonts w:ascii="Times New Roman" w:eastAsia="黑体"/>
        </w:rPr>
        <w:t>土石方工程 ground works</w:t>
      </w:r>
    </w:p>
    <w:p w14:paraId="2A2E6A0D">
      <w:pPr>
        <w:pStyle w:val="56"/>
        <w:ind w:firstLine="420"/>
        <w:rPr>
          <w:rFonts w:ascii="Times New Roman"/>
        </w:rPr>
      </w:pPr>
      <w:r>
        <w:rPr>
          <w:rFonts w:ascii="Times New Roman"/>
        </w:rPr>
        <w:t>是建筑工程施工中主要工程之一，包括一切土（石）方的挖梆、填筑、运输以及排水、降水等方面。</w:t>
      </w:r>
    </w:p>
    <w:p w14:paraId="51A73DB4">
      <w:pPr>
        <w:pStyle w:val="104"/>
        <w:spacing w:before="240" w:after="240"/>
        <w:rPr>
          <w:rFonts w:ascii="Times New Roman"/>
        </w:rPr>
      </w:pPr>
      <w:bookmarkStart w:id="51" w:name="_Toc195110974"/>
      <w:r>
        <w:rPr>
          <w:rFonts w:ascii="Times New Roman"/>
        </w:rPr>
        <w:t>基本规定</w:t>
      </w:r>
      <w:bookmarkEnd w:id="51"/>
    </w:p>
    <w:p w14:paraId="0F012D95">
      <w:pPr>
        <w:pStyle w:val="105"/>
        <w:spacing w:before="120" w:after="120"/>
        <w:rPr>
          <w:rFonts w:ascii="Times New Roman"/>
        </w:rPr>
      </w:pPr>
      <w:r>
        <w:rPr>
          <w:rFonts w:ascii="Times New Roman"/>
        </w:rPr>
        <w:t>总体要求</w:t>
      </w:r>
    </w:p>
    <w:p w14:paraId="3B3E560A">
      <w:pPr>
        <w:pStyle w:val="165"/>
        <w:rPr>
          <w:rFonts w:ascii="Times New Roman"/>
        </w:rPr>
      </w:pPr>
      <w:r>
        <w:rPr>
          <w:rFonts w:ascii="Times New Roman"/>
        </w:rPr>
        <w:t>土石方工程施工应符合国家现行有关法律、法规及技术标准的规定，并应结合工程地质条件、周边环境及设计要求合理选择施工工艺。</w:t>
      </w:r>
    </w:p>
    <w:p w14:paraId="61779E37">
      <w:pPr>
        <w:pStyle w:val="165"/>
        <w:rPr>
          <w:rFonts w:ascii="Times New Roman"/>
        </w:rPr>
      </w:pPr>
      <w:r>
        <w:rPr>
          <w:rFonts w:ascii="Times New Roman"/>
        </w:rPr>
        <w:t>施工中应遵循“安全优先、质量为本、绿色施工”的原则，确保工程实施的科学性与规范性。</w:t>
      </w:r>
    </w:p>
    <w:p w14:paraId="44FD82FD">
      <w:pPr>
        <w:pStyle w:val="165"/>
        <w:rPr>
          <w:rFonts w:ascii="Times New Roman"/>
        </w:rPr>
      </w:pPr>
      <w:r>
        <w:rPr>
          <w:rFonts w:ascii="Times New Roman"/>
        </w:rPr>
        <w:t>土石方工程应与市政道路工程其他分部施工协调进行，衔接界面应清晰明确，避免交叉作业干扰。</w:t>
      </w:r>
    </w:p>
    <w:p w14:paraId="5968EB36">
      <w:pPr>
        <w:pStyle w:val="105"/>
        <w:spacing w:before="120" w:after="120"/>
        <w:rPr>
          <w:rFonts w:ascii="Times New Roman"/>
        </w:rPr>
      </w:pPr>
      <w:r>
        <w:rPr>
          <w:rFonts w:ascii="Times New Roman"/>
        </w:rPr>
        <w:t>施工前准备</w:t>
      </w:r>
    </w:p>
    <w:p w14:paraId="29145EB2">
      <w:pPr>
        <w:pStyle w:val="165"/>
        <w:rPr>
          <w:rFonts w:ascii="Times New Roman"/>
        </w:rPr>
      </w:pPr>
      <w:r>
        <w:rPr>
          <w:rFonts w:ascii="Times New Roman"/>
        </w:rPr>
        <w:t>施工单位应依据设计文件、地勘报告及现场实际条件编制专项施工方案，方案应经审批后实施。对重大或复杂土石方工程，宜组织专家论证。</w:t>
      </w:r>
    </w:p>
    <w:p w14:paraId="0D81919B">
      <w:pPr>
        <w:pStyle w:val="165"/>
        <w:rPr>
          <w:rFonts w:ascii="Times New Roman"/>
        </w:rPr>
      </w:pPr>
      <w:r>
        <w:rPr>
          <w:rFonts w:ascii="Times New Roman"/>
        </w:rPr>
        <w:t>施工前应完成现场踏勘，重点核查地下管线、既有构筑物、水文地质条件及周边建筑物现状，并应根据踏勘结果制定保护或迁移措施。</w:t>
      </w:r>
    </w:p>
    <w:p w14:paraId="3EBBB0F7">
      <w:pPr>
        <w:pStyle w:val="165"/>
        <w:rPr>
          <w:rFonts w:ascii="Times New Roman"/>
        </w:rPr>
      </w:pPr>
      <w:r>
        <w:rPr>
          <w:rFonts w:ascii="Times New Roman"/>
        </w:rPr>
        <w:t>设计文件、图纸应经会审确认，施工单位应对设计高程、边坡坡度、填挖方量等关键参数进行复核，发现问题应及时反馈。</w:t>
      </w:r>
    </w:p>
    <w:p w14:paraId="4180BC69">
      <w:pPr>
        <w:pStyle w:val="165"/>
        <w:rPr>
          <w:rFonts w:ascii="Times New Roman"/>
        </w:rPr>
      </w:pPr>
      <w:r>
        <w:rPr>
          <w:rFonts w:ascii="Times New Roman"/>
        </w:rPr>
        <w:t>施工前应对作业人员进行安全技术交底，交底内容应涵盖施工工艺、质量控制要求、危险源及应急措施等，并应留存书面记录。</w:t>
      </w:r>
    </w:p>
    <w:p w14:paraId="70AC058B">
      <w:pPr>
        <w:pStyle w:val="105"/>
        <w:spacing w:before="120" w:after="120"/>
        <w:rPr>
          <w:rFonts w:ascii="Times New Roman"/>
        </w:rPr>
      </w:pPr>
      <w:r>
        <w:rPr>
          <w:rFonts w:ascii="Times New Roman"/>
        </w:rPr>
        <w:t>材料与设备管理</w:t>
      </w:r>
    </w:p>
    <w:p w14:paraId="125D9106">
      <w:pPr>
        <w:pStyle w:val="165"/>
        <w:rPr>
          <w:rFonts w:ascii="Times New Roman"/>
        </w:rPr>
      </w:pPr>
      <w:r>
        <w:rPr>
          <w:rFonts w:ascii="Times New Roman"/>
        </w:rPr>
        <w:t>填筑材料应满足设计要求，进场前应进行质量检验，检验项目宜包括颗粒级配、液塑限、有机质含量等指标，不合格材料不应使用。</w:t>
      </w:r>
    </w:p>
    <w:p w14:paraId="2A915066">
      <w:pPr>
        <w:pStyle w:val="165"/>
        <w:rPr>
          <w:rFonts w:ascii="Times New Roman"/>
        </w:rPr>
      </w:pPr>
      <w:r>
        <w:rPr>
          <w:rFonts w:ascii="Times New Roman"/>
        </w:rPr>
        <w:t>施工机械选型应根据工程规模、地质条件及工期要求合理确定，设备性能应满足压实、开挖等工艺需求。特种设备操作人员应持证上岗。</w:t>
      </w:r>
    </w:p>
    <w:p w14:paraId="23C61BE5">
      <w:pPr>
        <w:pStyle w:val="165"/>
        <w:rPr>
          <w:rFonts w:ascii="Times New Roman"/>
        </w:rPr>
      </w:pPr>
      <w:r>
        <w:rPr>
          <w:rFonts w:ascii="Times New Roman"/>
        </w:rPr>
        <w:t>施工中应定期对机械设备进行维护保养，设备不应带病作业，设备停放及作业区域应设置安全警示标识。</w:t>
      </w:r>
    </w:p>
    <w:p w14:paraId="736F973D">
      <w:pPr>
        <w:pStyle w:val="105"/>
        <w:spacing w:before="120" w:after="120"/>
        <w:rPr>
          <w:rFonts w:ascii="Times New Roman"/>
        </w:rPr>
      </w:pPr>
      <w:r>
        <w:rPr>
          <w:rFonts w:ascii="Times New Roman"/>
        </w:rPr>
        <w:t>施工过程管理</w:t>
      </w:r>
    </w:p>
    <w:p w14:paraId="1B09F3D4">
      <w:pPr>
        <w:pStyle w:val="165"/>
        <w:rPr>
          <w:rFonts w:ascii="Times New Roman"/>
        </w:rPr>
      </w:pPr>
      <w:r>
        <w:rPr>
          <w:rFonts w:ascii="Times New Roman"/>
        </w:rPr>
        <w:t>土方开挖与填筑应分层、分段进行，作业面坡度、台阶高度应符合设计要求，不应超挖或掏挖。</w:t>
      </w:r>
    </w:p>
    <w:p w14:paraId="67DBCF60">
      <w:pPr>
        <w:pStyle w:val="165"/>
        <w:rPr>
          <w:rFonts w:ascii="Times New Roman"/>
        </w:rPr>
      </w:pPr>
      <w:r>
        <w:rPr>
          <w:rFonts w:ascii="Times New Roman"/>
        </w:rPr>
        <w:t>施工中应采取有效排水措施，防止地表水及地下水对边坡稳定性和基底承载力造成不利影响。临时排水系统宜与永久排水设施统筹设计。</w:t>
      </w:r>
    </w:p>
    <w:p w14:paraId="76AF7B06">
      <w:pPr>
        <w:pStyle w:val="165"/>
        <w:rPr>
          <w:rFonts w:ascii="Times New Roman"/>
        </w:rPr>
      </w:pPr>
      <w:r>
        <w:rPr>
          <w:rFonts w:ascii="Times New Roman"/>
        </w:rPr>
        <w:t>边坡开挖后应及时支护，对暴露时间较长的临时边坡，应采取覆盖、喷浆等防护措施。高边坡施工期间应实施变形监测，发现异常应立即停工处理。</w:t>
      </w:r>
    </w:p>
    <w:p w14:paraId="450F9DA0">
      <w:pPr>
        <w:pStyle w:val="165"/>
        <w:rPr>
          <w:rFonts w:ascii="Times New Roman"/>
        </w:rPr>
      </w:pPr>
      <w:r>
        <w:rPr>
          <w:rFonts w:ascii="Times New Roman"/>
        </w:rPr>
        <w:t>填筑作业应遵循“分层填筑、逐层压实”原则，填料含水率宜接近最优含水率，碾压工艺参数应通过试验段确定，并应避免漏压或过压。</w:t>
      </w:r>
    </w:p>
    <w:p w14:paraId="54EC5248">
      <w:pPr>
        <w:pStyle w:val="105"/>
        <w:spacing w:before="120" w:after="120"/>
        <w:rPr>
          <w:rFonts w:ascii="Times New Roman"/>
        </w:rPr>
      </w:pPr>
      <w:r>
        <w:rPr>
          <w:rFonts w:ascii="Times New Roman"/>
        </w:rPr>
        <w:t>安全与环境保护</w:t>
      </w:r>
    </w:p>
    <w:p w14:paraId="091D683B">
      <w:pPr>
        <w:pStyle w:val="165"/>
        <w:rPr>
          <w:rFonts w:ascii="Times New Roman"/>
        </w:rPr>
      </w:pPr>
      <w:r>
        <w:rPr>
          <w:rFonts w:ascii="Times New Roman"/>
        </w:rPr>
        <w:t>施工现场应设置围挡、警示标志及照明设施，危险区域应实行封闭管理，非作业人员不得进入。</w:t>
      </w:r>
    </w:p>
    <w:p w14:paraId="48344B44">
      <w:pPr>
        <w:pStyle w:val="165"/>
        <w:rPr>
          <w:rFonts w:ascii="Times New Roman"/>
        </w:rPr>
      </w:pPr>
      <w:r>
        <w:rPr>
          <w:rFonts w:ascii="Times New Roman"/>
        </w:rPr>
        <w:t>土方运输车辆应采取密闭或覆盖措施，出场前应冲洗轮胎及车身，不应带泥上路。</w:t>
      </w:r>
    </w:p>
    <w:p w14:paraId="19385383">
      <w:pPr>
        <w:pStyle w:val="165"/>
        <w:rPr>
          <w:rFonts w:ascii="Times New Roman"/>
        </w:rPr>
      </w:pPr>
      <w:r>
        <w:rPr>
          <w:rFonts w:ascii="Times New Roman"/>
        </w:rPr>
        <w:t>施工中产生的扬尘、噪声及振动应控制在国家及地方环保标准限值内，必要时可采取喷雾降尘、隔音屏障等措施。</w:t>
      </w:r>
    </w:p>
    <w:p w14:paraId="20E879F8">
      <w:pPr>
        <w:pStyle w:val="165"/>
        <w:rPr>
          <w:rFonts w:ascii="Times New Roman"/>
        </w:rPr>
      </w:pPr>
      <w:r>
        <w:rPr>
          <w:rFonts w:ascii="Times New Roman"/>
        </w:rPr>
        <w:t>弃土场选址应避开生态敏感区，弃土堆放应分层压实并采取绿化或防尘措施，不应随意倾倒。</w:t>
      </w:r>
    </w:p>
    <w:p w14:paraId="25F1EE49">
      <w:pPr>
        <w:pStyle w:val="105"/>
        <w:spacing w:before="120" w:after="120"/>
        <w:rPr>
          <w:rFonts w:ascii="Times New Roman"/>
        </w:rPr>
      </w:pPr>
      <w:r>
        <w:rPr>
          <w:rFonts w:ascii="Times New Roman"/>
        </w:rPr>
        <w:t>特殊条件施工</w:t>
      </w:r>
    </w:p>
    <w:p w14:paraId="4D4F2A41">
      <w:pPr>
        <w:pStyle w:val="165"/>
        <w:rPr>
          <w:rFonts w:ascii="Times New Roman"/>
        </w:rPr>
      </w:pPr>
      <w:r>
        <w:rPr>
          <w:rFonts w:ascii="Times New Roman"/>
        </w:rPr>
        <w:t>雨季施工应加强排水系统检查，作业面宜分段突击完成，开挖后基底应及时封闭。暴雨期间应停止露天作业，并应对边坡采取临时遮盖。</w:t>
      </w:r>
    </w:p>
    <w:p w14:paraId="7114E13E">
      <w:pPr>
        <w:pStyle w:val="165"/>
        <w:rPr>
          <w:rFonts w:ascii="Times New Roman"/>
        </w:rPr>
      </w:pPr>
      <w:r>
        <w:rPr>
          <w:rFonts w:ascii="Times New Roman"/>
        </w:rPr>
        <w:t>冬季施工时，冻土块粒径不得大于填料层厚度的2/3，且不得集中填筑。当日作业面宜及时覆盖保温材料，防止冻结。</w:t>
      </w:r>
    </w:p>
    <w:p w14:paraId="4911FB5D">
      <w:pPr>
        <w:pStyle w:val="165"/>
        <w:rPr>
          <w:rFonts w:ascii="Times New Roman"/>
        </w:rPr>
      </w:pPr>
      <w:r>
        <w:rPr>
          <w:rFonts w:ascii="Times New Roman"/>
        </w:rPr>
        <w:t>不良地质区域（如软土、膨胀土等）施工前应制定专项技术方案，并应通过现场试验验证工艺可行性。</w:t>
      </w:r>
    </w:p>
    <w:p w14:paraId="571A6FB2">
      <w:pPr>
        <w:pStyle w:val="105"/>
        <w:spacing w:before="120" w:after="120"/>
        <w:rPr>
          <w:rFonts w:ascii="Times New Roman"/>
        </w:rPr>
      </w:pPr>
      <w:r>
        <w:rPr>
          <w:rFonts w:ascii="Times New Roman"/>
        </w:rPr>
        <w:t>资料管理</w:t>
      </w:r>
    </w:p>
    <w:p w14:paraId="2C3BD48F">
      <w:pPr>
        <w:pStyle w:val="165"/>
        <w:rPr>
          <w:rFonts w:ascii="Times New Roman"/>
        </w:rPr>
      </w:pPr>
      <w:r>
        <w:rPr>
          <w:rFonts w:ascii="Times New Roman"/>
        </w:rPr>
        <w:t>施工过程中应完整记录每日作业内容、机械配置、检测数据及突发问题处理情况，记录表式应统一规范。</w:t>
      </w:r>
    </w:p>
    <w:p w14:paraId="17F6F916">
      <w:pPr>
        <w:pStyle w:val="165"/>
        <w:rPr>
          <w:rFonts w:ascii="Times New Roman"/>
        </w:rPr>
      </w:pPr>
      <w:r>
        <w:rPr>
          <w:rFonts w:ascii="Times New Roman"/>
        </w:rPr>
        <w:t>所有技术资料应分类归档，保存期限应符合工程档案管理规定，电子档案宜采用防篡改格式存储。</w:t>
      </w:r>
    </w:p>
    <w:p w14:paraId="478E9A6C">
      <w:pPr>
        <w:pStyle w:val="104"/>
        <w:spacing w:before="240" w:after="240"/>
        <w:rPr>
          <w:rFonts w:ascii="Times New Roman"/>
        </w:rPr>
      </w:pPr>
      <w:bookmarkStart w:id="52" w:name="_Toc195110975"/>
      <w:r>
        <w:rPr>
          <w:rFonts w:ascii="Times New Roman"/>
        </w:rPr>
        <w:t>施工准备</w:t>
      </w:r>
      <w:bookmarkEnd w:id="52"/>
    </w:p>
    <w:p w14:paraId="44C708BF">
      <w:pPr>
        <w:pStyle w:val="105"/>
        <w:spacing w:before="120" w:after="120"/>
        <w:rPr>
          <w:rFonts w:ascii="Times New Roman"/>
        </w:rPr>
      </w:pPr>
      <w:r>
        <w:rPr>
          <w:rFonts w:ascii="Times New Roman"/>
        </w:rPr>
        <w:t>现场勘查</w:t>
      </w:r>
    </w:p>
    <w:p w14:paraId="22A771F0">
      <w:pPr>
        <w:pStyle w:val="165"/>
        <w:rPr>
          <w:rFonts w:ascii="Times New Roman"/>
        </w:rPr>
      </w:pPr>
      <w:r>
        <w:rPr>
          <w:rFonts w:ascii="Times New Roman"/>
        </w:rPr>
        <w:t>施工单位应依据设计文件及地勘报告对施工区域进行详细勘查，重点查明地质条件、地下水位、既有管线及构筑物分布情况。</w:t>
      </w:r>
    </w:p>
    <w:p w14:paraId="0CCAC2E8">
      <w:pPr>
        <w:pStyle w:val="165"/>
        <w:rPr>
          <w:rFonts w:ascii="Times New Roman"/>
        </w:rPr>
      </w:pPr>
      <w:r>
        <w:rPr>
          <w:rFonts w:ascii="Times New Roman"/>
        </w:rPr>
        <w:t>勘查范围宜覆盖施工区域边界外延20 m，对邻近建筑物、桥梁、隧道等敏感构筑物应进行专项评估，并应记录其现状数据作为施工保护依据。</w:t>
      </w:r>
    </w:p>
    <w:p w14:paraId="59A3F308">
      <w:pPr>
        <w:pStyle w:val="165"/>
        <w:rPr>
          <w:rFonts w:ascii="Times New Roman"/>
        </w:rPr>
      </w:pPr>
      <w:r>
        <w:rPr>
          <w:rFonts w:ascii="Times New Roman"/>
        </w:rPr>
        <w:t>发现地质条件与设计不符或存在未探明障碍物时，应立即通知建设、设计及监理单位，并应通过补充勘查或设计变更完善技术方案。</w:t>
      </w:r>
    </w:p>
    <w:p w14:paraId="3D74A056">
      <w:pPr>
        <w:pStyle w:val="105"/>
        <w:spacing w:before="120" w:after="120"/>
        <w:rPr>
          <w:rFonts w:ascii="Times New Roman"/>
        </w:rPr>
      </w:pPr>
      <w:r>
        <w:rPr>
          <w:rFonts w:ascii="Times New Roman"/>
        </w:rPr>
        <w:t>测量放样</w:t>
      </w:r>
    </w:p>
    <w:p w14:paraId="3E37D7D7">
      <w:pPr>
        <w:pStyle w:val="165"/>
        <w:rPr>
          <w:rFonts w:ascii="Times New Roman"/>
        </w:rPr>
      </w:pPr>
      <w:r>
        <w:rPr>
          <w:rFonts w:ascii="Times New Roman"/>
        </w:rPr>
        <w:t>测量控制网应按照市政工程测量规范布设，平面控制点间距宜不大于100 m，高程控制点间距宜不大于50 m，并应设置永久性标识。</w:t>
      </w:r>
    </w:p>
    <w:p w14:paraId="7F60205A">
      <w:pPr>
        <w:pStyle w:val="165"/>
        <w:rPr>
          <w:rFonts w:ascii="Times New Roman"/>
        </w:rPr>
      </w:pPr>
      <w:r>
        <w:rPr>
          <w:rFonts w:ascii="Times New Roman"/>
        </w:rPr>
        <w:t>施工前应对设计提供的测量基准点进行复核，平面位置偏差应小于10 mm，高程偏差应小于5 mm，复核结果应经监理确认。</w:t>
      </w:r>
    </w:p>
    <w:p w14:paraId="25C62751">
      <w:pPr>
        <w:pStyle w:val="165"/>
        <w:rPr>
          <w:rFonts w:ascii="Times New Roman"/>
        </w:rPr>
      </w:pPr>
      <w:r>
        <w:rPr>
          <w:rFonts w:ascii="Times New Roman"/>
        </w:rPr>
        <w:t>土石方开挖及填筑边线放样宜采用全站仪或GPS定位，放样精度应满足横断面坡率误差±0.5%、高程误差±20 mm的要求。</w:t>
      </w:r>
    </w:p>
    <w:p w14:paraId="3DDF0367">
      <w:pPr>
        <w:pStyle w:val="165"/>
        <w:rPr>
          <w:rFonts w:ascii="Times New Roman"/>
        </w:rPr>
      </w:pPr>
      <w:r>
        <w:rPr>
          <w:rFonts w:ascii="Times New Roman"/>
        </w:rPr>
        <w:t>开挖深度超过3 m或填筑高度超过2 m的区段，应增设临时监测点，施工过程中宜每3天复测一次边坡位移及沉降数据。</w:t>
      </w:r>
    </w:p>
    <w:p w14:paraId="1A2DDC10">
      <w:pPr>
        <w:pStyle w:val="105"/>
        <w:spacing w:before="120" w:after="120"/>
        <w:rPr>
          <w:rFonts w:ascii="Times New Roman"/>
        </w:rPr>
      </w:pPr>
      <w:r>
        <w:rPr>
          <w:rFonts w:ascii="Times New Roman"/>
        </w:rPr>
        <w:t>场地清理</w:t>
      </w:r>
    </w:p>
    <w:p w14:paraId="6C60012A">
      <w:pPr>
        <w:pStyle w:val="165"/>
        <w:rPr>
          <w:rFonts w:ascii="Times New Roman"/>
        </w:rPr>
      </w:pPr>
      <w:r>
        <w:rPr>
          <w:rFonts w:ascii="Times New Roman"/>
        </w:rPr>
        <w:t>施工前应清除地表植被、杂物及废弃构筑物，清理深度应达到设计基底标高以上30 cm，清除物应集中堆放并按规定外运处置。</w:t>
      </w:r>
    </w:p>
    <w:p w14:paraId="3A19A0AB">
      <w:pPr>
        <w:pStyle w:val="165"/>
        <w:rPr>
          <w:rFonts w:ascii="Times New Roman"/>
        </w:rPr>
      </w:pPr>
      <w:r>
        <w:rPr>
          <w:rFonts w:ascii="Times New Roman"/>
        </w:rPr>
        <w:t>场地内原有管线应进行保护或迁移，管线保护措施应征得产权单位书面同意，迁移施工宜由专业单位实施，并应留存影像记录。</w:t>
      </w:r>
    </w:p>
    <w:p w14:paraId="04359611">
      <w:pPr>
        <w:pStyle w:val="165"/>
        <w:rPr>
          <w:rFonts w:ascii="Times New Roman"/>
        </w:rPr>
      </w:pPr>
      <w:r>
        <w:rPr>
          <w:rFonts w:ascii="Times New Roman"/>
        </w:rPr>
        <w:t>软土、淤泥等不良地质区域，应结合设计要求进行基底换填或加固处理，处理范围应超出路基坡脚线外1 m。</w:t>
      </w:r>
    </w:p>
    <w:p w14:paraId="7CD18AB4">
      <w:pPr>
        <w:pStyle w:val="105"/>
        <w:spacing w:before="120" w:after="120"/>
        <w:rPr>
          <w:rFonts w:ascii="Times New Roman"/>
        </w:rPr>
      </w:pPr>
      <w:r>
        <w:rPr>
          <w:rFonts w:ascii="Times New Roman"/>
        </w:rPr>
        <w:t>临时设施</w:t>
      </w:r>
    </w:p>
    <w:p w14:paraId="0DC322DD">
      <w:pPr>
        <w:pStyle w:val="165"/>
        <w:rPr>
          <w:rFonts w:ascii="Times New Roman"/>
        </w:rPr>
      </w:pPr>
      <w:r>
        <w:rPr>
          <w:rFonts w:ascii="Times New Roman"/>
        </w:rPr>
        <w:t>施工现场应设置连续封闭围挡，高度不应低于2.5 m，围挡外侧宜设置警示灯及反光标识，临近交通干道区段应增设防撞设施。</w:t>
      </w:r>
    </w:p>
    <w:p w14:paraId="121D3B59">
      <w:pPr>
        <w:pStyle w:val="165"/>
        <w:rPr>
          <w:rFonts w:ascii="Times New Roman"/>
        </w:rPr>
      </w:pPr>
      <w:r>
        <w:rPr>
          <w:rFonts w:ascii="Times New Roman"/>
        </w:rPr>
        <w:t>临时施工道路应满足机械通行及材料运输需求，路面宽度宜不小于6 m，弯道半径宜不小于15 m，并应定期洒水降尘。</w:t>
      </w:r>
    </w:p>
    <w:p w14:paraId="067A8E9E">
      <w:pPr>
        <w:pStyle w:val="165"/>
        <w:rPr>
          <w:rFonts w:ascii="Times New Roman"/>
        </w:rPr>
      </w:pPr>
      <w:r>
        <w:rPr>
          <w:rFonts w:ascii="Times New Roman"/>
        </w:rPr>
        <w:t>临时排水系统应结合场地地形布设，截水沟、排水沟断面尺寸应通过计算确定，坡度宜不小于0.3%，出水口应接入市政管网或自然水体。</w:t>
      </w:r>
    </w:p>
    <w:p w14:paraId="26BDE93D">
      <w:pPr>
        <w:pStyle w:val="165"/>
        <w:rPr>
          <w:rFonts w:ascii="Times New Roman"/>
        </w:rPr>
      </w:pPr>
      <w:r>
        <w:rPr>
          <w:rFonts w:ascii="Times New Roman"/>
        </w:rPr>
        <w:t>临时用电设施应符合JGJ 46的规定，配电箱应设防雨措施，电缆敷设宜采用埋地或架空方式。</w:t>
      </w:r>
    </w:p>
    <w:p w14:paraId="2B4F7AA6">
      <w:pPr>
        <w:pStyle w:val="105"/>
        <w:spacing w:before="120" w:after="120"/>
        <w:rPr>
          <w:rFonts w:ascii="Times New Roman"/>
        </w:rPr>
      </w:pPr>
      <w:r>
        <w:rPr>
          <w:rFonts w:ascii="Times New Roman"/>
        </w:rPr>
        <w:t>材料与设备准备</w:t>
      </w:r>
    </w:p>
    <w:p w14:paraId="23210913">
      <w:pPr>
        <w:pStyle w:val="165"/>
        <w:rPr>
          <w:rFonts w:ascii="Times New Roman"/>
        </w:rPr>
      </w:pPr>
      <w:r>
        <w:rPr>
          <w:rFonts w:ascii="Times New Roman"/>
        </w:rPr>
        <w:t>填筑材料应提前进行试验检测，检测项目应包括颗粒分析、击实试验、CBR值等指标，检测报告应经监理审核后存档。</w:t>
      </w:r>
    </w:p>
    <w:p w14:paraId="4565DE6A">
      <w:pPr>
        <w:pStyle w:val="165"/>
        <w:rPr>
          <w:rFonts w:ascii="Times New Roman"/>
        </w:rPr>
      </w:pPr>
      <w:r>
        <w:rPr>
          <w:rFonts w:ascii="Times New Roman"/>
        </w:rPr>
        <w:t>外购材料进场时应查验质量证明文件，每5000 m³填料应至少抽检1组，不合格批次应退场处理并记录台账。</w:t>
      </w:r>
    </w:p>
    <w:p w14:paraId="70127168">
      <w:pPr>
        <w:pStyle w:val="165"/>
        <w:rPr>
          <w:rFonts w:ascii="Times New Roman"/>
        </w:rPr>
      </w:pPr>
      <w:r>
        <w:rPr>
          <w:rFonts w:ascii="Times New Roman"/>
        </w:rPr>
        <w:t>施工机械配置应满足工艺要求，挖掘机、压路机等主要设备宜配备GPS或传感器监控系统，实时记录作业轨迹及碾压参数。</w:t>
      </w:r>
    </w:p>
    <w:p w14:paraId="0E958803">
      <w:pPr>
        <w:pStyle w:val="165"/>
        <w:rPr>
          <w:rFonts w:ascii="Times New Roman"/>
        </w:rPr>
      </w:pPr>
      <w:r>
        <w:rPr>
          <w:rFonts w:ascii="Times New Roman"/>
        </w:rPr>
        <w:t>特种设备（如强夯机、旋挖钻机等）应提供有效期内的检验合格证，操作人员应持证上岗，每日作业前应进行安全检查。</w:t>
      </w:r>
    </w:p>
    <w:p w14:paraId="35A787F7">
      <w:pPr>
        <w:pStyle w:val="105"/>
        <w:spacing w:before="120" w:after="120"/>
        <w:rPr>
          <w:rFonts w:ascii="Times New Roman"/>
        </w:rPr>
      </w:pPr>
      <w:r>
        <w:rPr>
          <w:rFonts w:ascii="Times New Roman"/>
        </w:rPr>
        <w:t>技术准备</w:t>
      </w:r>
    </w:p>
    <w:p w14:paraId="7717EB6A">
      <w:pPr>
        <w:pStyle w:val="165"/>
        <w:rPr>
          <w:rFonts w:ascii="Times New Roman"/>
        </w:rPr>
      </w:pPr>
      <w:r>
        <w:rPr>
          <w:rFonts w:ascii="Times New Roman"/>
        </w:rPr>
        <w:t>施工组织设计应明确土石方调配方案、施工顺序及关键节点控制措施，对高边坡、深基坑等危险作业应编制专项施工方案。</w:t>
      </w:r>
    </w:p>
    <w:p w14:paraId="6BAF35CB">
      <w:pPr>
        <w:pStyle w:val="165"/>
        <w:rPr>
          <w:rFonts w:ascii="Times New Roman"/>
        </w:rPr>
      </w:pPr>
      <w:r>
        <w:rPr>
          <w:rFonts w:ascii="Times New Roman"/>
        </w:rPr>
        <w:t>施工前应进行技术交底，交底内容宜采用三维模型或BIM技术直观展示开挖断面、填筑层厚及机械行进路线，交底记录应全员签字确认。</w:t>
      </w:r>
    </w:p>
    <w:p w14:paraId="3BAFA95A">
      <w:pPr>
        <w:pStyle w:val="165"/>
        <w:rPr>
          <w:rFonts w:ascii="Times New Roman"/>
        </w:rPr>
      </w:pPr>
      <w:r>
        <w:rPr>
          <w:rFonts w:ascii="Times New Roman"/>
        </w:rPr>
        <w:t>试验段施工长度宜为100 m~200 m，试验段应验证压实机械组合、碾压遍数及含水率控制标准，试验结果应作为全路段施工依据。</w:t>
      </w:r>
    </w:p>
    <w:p w14:paraId="008EC3CA">
      <w:pPr>
        <w:pStyle w:val="105"/>
        <w:spacing w:before="120" w:after="120"/>
        <w:rPr>
          <w:rFonts w:ascii="Times New Roman"/>
        </w:rPr>
      </w:pPr>
      <w:r>
        <w:rPr>
          <w:rFonts w:ascii="Times New Roman"/>
        </w:rPr>
        <w:t>应急预案</w:t>
      </w:r>
    </w:p>
    <w:p w14:paraId="7FF9D480">
      <w:pPr>
        <w:pStyle w:val="165"/>
        <w:rPr>
          <w:rFonts w:ascii="Times New Roman"/>
        </w:rPr>
      </w:pPr>
      <w:r>
        <w:rPr>
          <w:rFonts w:ascii="Times New Roman"/>
        </w:rPr>
        <w:t>施工单位应制定暴雨、滑坡、管线破损等突发事件的应急预案，预案应明确应急组织、物资储备及处置流程，并应定期组织演练。</w:t>
      </w:r>
    </w:p>
    <w:p w14:paraId="2E5A3494">
      <w:pPr>
        <w:pStyle w:val="165"/>
        <w:rPr>
          <w:rFonts w:ascii="Times New Roman"/>
        </w:rPr>
      </w:pPr>
      <w:r>
        <w:rPr>
          <w:rFonts w:ascii="Times New Roman"/>
        </w:rPr>
        <w:t>应急物资（如沙袋、抽水泵、防渗膜等）应现场足量储备，存放位置应标识清晰，且不得占用消防通道。</w:t>
      </w:r>
    </w:p>
    <w:p w14:paraId="559FDD5E">
      <w:pPr>
        <w:pStyle w:val="165"/>
        <w:rPr>
          <w:rFonts w:ascii="Times New Roman"/>
        </w:rPr>
      </w:pPr>
      <w:r>
        <w:rPr>
          <w:rFonts w:ascii="Times New Roman"/>
        </w:rPr>
        <w:t>施工期间应建立24 h值班制度，值班人员应熟悉应急预案内容，并应与气象、市政等部门保持信息联动。</w:t>
      </w:r>
    </w:p>
    <w:p w14:paraId="18B8615A">
      <w:pPr>
        <w:pStyle w:val="105"/>
        <w:spacing w:before="120" w:after="120"/>
        <w:rPr>
          <w:rFonts w:ascii="Times New Roman"/>
        </w:rPr>
      </w:pPr>
      <w:r>
        <w:rPr>
          <w:rFonts w:ascii="Times New Roman"/>
        </w:rPr>
        <w:t>其他准备</w:t>
      </w:r>
    </w:p>
    <w:p w14:paraId="747B672D">
      <w:pPr>
        <w:pStyle w:val="165"/>
        <w:rPr>
          <w:rFonts w:ascii="Times New Roman"/>
        </w:rPr>
      </w:pPr>
      <w:r>
        <w:rPr>
          <w:rFonts w:ascii="Times New Roman"/>
        </w:rPr>
        <w:t>施工影响范围内应设置公告牌，公示工程信息、施工周期及投诉电话，对邻近居民区、学校等敏感区域宜采取降噪措施。</w:t>
      </w:r>
    </w:p>
    <w:p w14:paraId="3D320D01">
      <w:pPr>
        <w:pStyle w:val="165"/>
        <w:rPr>
          <w:rFonts w:ascii="Times New Roman"/>
        </w:rPr>
      </w:pPr>
      <w:r>
        <w:rPr>
          <w:rFonts w:ascii="Times New Roman"/>
        </w:rPr>
        <w:t>施工前应与公安、交通部门协调制定交通疏导方案，临时交通标志标线应符合GB 5768.2要求。</w:t>
      </w:r>
    </w:p>
    <w:p w14:paraId="78BE7A89">
      <w:pPr>
        <w:pStyle w:val="165"/>
        <w:rPr>
          <w:rFonts w:ascii="Times New Roman"/>
        </w:rPr>
      </w:pPr>
      <w:r>
        <w:rPr>
          <w:rFonts w:ascii="Times New Roman"/>
        </w:rPr>
        <w:t>对可能引发争议的施工行为，应提前办理行政许可手续，并应公示相关批复文件。</w:t>
      </w:r>
    </w:p>
    <w:p w14:paraId="2E520757">
      <w:pPr>
        <w:pStyle w:val="104"/>
        <w:spacing w:before="240" w:after="240"/>
        <w:rPr>
          <w:rFonts w:ascii="Times New Roman"/>
        </w:rPr>
      </w:pPr>
      <w:bookmarkStart w:id="53" w:name="_Toc195110976"/>
      <w:r>
        <w:rPr>
          <w:rFonts w:ascii="Times New Roman"/>
        </w:rPr>
        <w:t>土方开挖</w:t>
      </w:r>
      <w:bookmarkEnd w:id="53"/>
    </w:p>
    <w:p w14:paraId="1BF04FE0">
      <w:pPr>
        <w:pStyle w:val="105"/>
        <w:spacing w:before="120" w:after="120"/>
        <w:rPr>
          <w:rFonts w:ascii="Times New Roman"/>
        </w:rPr>
      </w:pPr>
      <w:r>
        <w:rPr>
          <w:rFonts w:ascii="Times New Roman"/>
        </w:rPr>
        <w:t>开挖方式</w:t>
      </w:r>
    </w:p>
    <w:p w14:paraId="6D3511D9">
      <w:pPr>
        <w:pStyle w:val="165"/>
        <w:rPr>
          <w:rFonts w:ascii="Times New Roman"/>
        </w:rPr>
      </w:pPr>
      <w:r>
        <w:rPr>
          <w:rFonts w:ascii="Times New Roman"/>
        </w:rPr>
        <w:t>土方开挖宜采用“分层分段、自上而下”的施工方法，分层厚度应根据土质条件及机械性能确定，每层厚度宜不大于3 m。</w:t>
      </w:r>
    </w:p>
    <w:p w14:paraId="27FAAAFE">
      <w:pPr>
        <w:pStyle w:val="165"/>
        <w:rPr>
          <w:rFonts w:ascii="Times New Roman"/>
        </w:rPr>
      </w:pPr>
      <w:r>
        <w:rPr>
          <w:rFonts w:ascii="Times New Roman"/>
        </w:rPr>
        <w:t>机械开挖时，挖掘机应与运输车辆配合作业，作业半径内人员不应进入，且应预留人工清槽厚度20 cm~30 cm。</w:t>
      </w:r>
    </w:p>
    <w:p w14:paraId="567EA12C">
      <w:pPr>
        <w:pStyle w:val="165"/>
        <w:rPr>
          <w:rFonts w:ascii="Times New Roman"/>
        </w:rPr>
      </w:pPr>
      <w:r>
        <w:rPr>
          <w:rFonts w:ascii="Times New Roman"/>
        </w:rPr>
        <w:t>人工开挖适用于机械无法作业的狭窄区域或管线密集区，开挖时应避免扰动基底原状土，超挖部分应采用同级填料回填压实。</w:t>
      </w:r>
    </w:p>
    <w:p w14:paraId="52F9F916">
      <w:pPr>
        <w:pStyle w:val="165"/>
        <w:rPr>
          <w:rFonts w:ascii="Times New Roman"/>
        </w:rPr>
      </w:pPr>
      <w:r>
        <w:rPr>
          <w:rFonts w:ascii="Times New Roman"/>
        </w:rPr>
        <w:t>爆破开挖应符合GB 6722要求，爆破方案应经专家论证并报公安部门批准后实施，爆破后应检查边坡稳定性。</w:t>
      </w:r>
    </w:p>
    <w:p w14:paraId="537E8290">
      <w:pPr>
        <w:pStyle w:val="105"/>
        <w:spacing w:before="120" w:after="120"/>
        <w:rPr>
          <w:rFonts w:ascii="Times New Roman"/>
        </w:rPr>
      </w:pPr>
      <w:r>
        <w:rPr>
          <w:rFonts w:ascii="Times New Roman"/>
        </w:rPr>
        <w:t>边坡控制</w:t>
      </w:r>
    </w:p>
    <w:p w14:paraId="3763A980">
      <w:pPr>
        <w:pStyle w:val="165"/>
        <w:rPr>
          <w:rFonts w:ascii="Times New Roman"/>
        </w:rPr>
      </w:pPr>
      <w:r>
        <w:rPr>
          <w:rFonts w:ascii="Times New Roman"/>
        </w:rPr>
        <w:t>临时边坡坡度应根据土质、开挖深度及暴露时间确定，黏性土边坡坡度宜不陡于1:1.5，砂性土宜不陡于1:2.0，岩质边坡按设计执行。</w:t>
      </w:r>
    </w:p>
    <w:p w14:paraId="056A6F84">
      <w:pPr>
        <w:pStyle w:val="165"/>
        <w:rPr>
          <w:rFonts w:ascii="Times New Roman"/>
        </w:rPr>
      </w:pPr>
      <w:r>
        <w:rPr>
          <w:rFonts w:ascii="Times New Roman"/>
        </w:rPr>
        <w:t>开挖过程中应实时监测边坡稳定性，发现裂缝、滑移等异常现象时，应立即停工并采取加固或卸载措施。</w:t>
      </w:r>
    </w:p>
    <w:p w14:paraId="5F44D086">
      <w:pPr>
        <w:pStyle w:val="165"/>
        <w:rPr>
          <w:rFonts w:ascii="Times New Roman"/>
        </w:rPr>
      </w:pPr>
      <w:r>
        <w:rPr>
          <w:rFonts w:ascii="Times New Roman"/>
        </w:rPr>
        <w:t>高边坡（高度≥8 m）应每挖深2 m~3 m设置一级平台，平台宽度宜不小于2 m，并应结合设计设置截水沟或排水孔。</w:t>
      </w:r>
    </w:p>
    <w:p w14:paraId="6E00A002">
      <w:pPr>
        <w:pStyle w:val="165"/>
        <w:rPr>
          <w:rFonts w:ascii="Times New Roman"/>
        </w:rPr>
      </w:pPr>
      <w:r>
        <w:rPr>
          <w:rFonts w:ascii="Times New Roman"/>
        </w:rPr>
        <w:t>永久性边坡修整后应平顺密实，坡面凹凸差宜不大于50 mm，并应及时进行防护工程施工。</w:t>
      </w:r>
    </w:p>
    <w:p w14:paraId="1CCDF981">
      <w:pPr>
        <w:pStyle w:val="105"/>
        <w:spacing w:before="120" w:after="120"/>
        <w:rPr>
          <w:rFonts w:ascii="Times New Roman"/>
        </w:rPr>
      </w:pPr>
      <w:r>
        <w:rPr>
          <w:rFonts w:ascii="Times New Roman"/>
        </w:rPr>
        <w:t>基底处理</w:t>
      </w:r>
    </w:p>
    <w:p w14:paraId="24E986B5">
      <w:pPr>
        <w:pStyle w:val="165"/>
        <w:rPr>
          <w:rFonts w:ascii="Times New Roman"/>
        </w:rPr>
      </w:pPr>
      <w:r>
        <w:rPr>
          <w:rFonts w:ascii="Times New Roman"/>
        </w:rPr>
        <w:t>基底开挖至设计标高后，应进行承载力检测。天然地基承载力不满足设计要求时，应进行换填、压实或注浆加固处理。</w:t>
      </w:r>
    </w:p>
    <w:p w14:paraId="2DE1941D">
      <w:pPr>
        <w:pStyle w:val="165"/>
        <w:rPr>
          <w:rFonts w:ascii="Times New Roman"/>
        </w:rPr>
      </w:pPr>
      <w:r>
        <w:rPr>
          <w:rFonts w:ascii="Times New Roman"/>
        </w:rPr>
        <w:t>基底表面应平整，局部超挖深度超过15 cm时，宜采用灰土或级配砂石分层回填压实，压实度应不低于相邻区域要求。</w:t>
      </w:r>
    </w:p>
    <w:p w14:paraId="41FBE584">
      <w:pPr>
        <w:pStyle w:val="165"/>
        <w:rPr>
          <w:rFonts w:ascii="Times New Roman"/>
        </w:rPr>
      </w:pPr>
      <w:r>
        <w:rPr>
          <w:rFonts w:ascii="Times New Roman"/>
        </w:rPr>
        <w:t>基底遇软弱夹层或积水时，应清除软弱土层至硬底，并应设置排水盲沟或集水井，基底不应长时间浸泡。</w:t>
      </w:r>
    </w:p>
    <w:p w14:paraId="6F4ACCD9">
      <w:pPr>
        <w:pStyle w:val="105"/>
        <w:spacing w:before="120" w:after="120"/>
        <w:rPr>
          <w:rFonts w:ascii="Times New Roman"/>
        </w:rPr>
      </w:pPr>
      <w:r>
        <w:rPr>
          <w:rFonts w:ascii="Times New Roman"/>
        </w:rPr>
        <w:t>排水措施</w:t>
      </w:r>
    </w:p>
    <w:p w14:paraId="23A18DDB">
      <w:pPr>
        <w:pStyle w:val="165"/>
        <w:rPr>
          <w:rFonts w:ascii="Times New Roman"/>
        </w:rPr>
      </w:pPr>
      <w:r>
        <w:rPr>
          <w:rFonts w:ascii="Times New Roman"/>
        </w:rPr>
        <w:t>开挖前应完善地表排水系统，施工区域周边宜设置截水沟，截水沟断面尺寸应通过水文计算确定。</w:t>
      </w:r>
    </w:p>
    <w:p w14:paraId="07CBC921">
      <w:pPr>
        <w:pStyle w:val="165"/>
        <w:rPr>
          <w:rFonts w:ascii="Times New Roman"/>
        </w:rPr>
      </w:pPr>
      <w:r>
        <w:rPr>
          <w:rFonts w:ascii="Times New Roman"/>
        </w:rPr>
        <w:t>基坑内应设置明沟或集水坑排水，排水能力应满足最大降雨量要求，抽排设备宜配备备用电源。</w:t>
      </w:r>
    </w:p>
    <w:p w14:paraId="2FEF9DCD">
      <w:pPr>
        <w:pStyle w:val="165"/>
        <w:rPr>
          <w:rFonts w:ascii="Times New Roman"/>
        </w:rPr>
      </w:pPr>
      <w:r>
        <w:rPr>
          <w:rFonts w:ascii="Times New Roman"/>
        </w:rPr>
        <w:t>地下水位较高时，可采用管井降水或轻型井点降水，降水深度应低于基底标高0.5 m以上，并应监测周边水位变化。</w:t>
      </w:r>
    </w:p>
    <w:p w14:paraId="1F2857CA">
      <w:pPr>
        <w:pStyle w:val="105"/>
        <w:spacing w:before="120" w:after="120"/>
        <w:rPr>
          <w:rFonts w:ascii="Times New Roman"/>
        </w:rPr>
      </w:pPr>
      <w:r>
        <w:rPr>
          <w:rFonts w:ascii="Times New Roman"/>
        </w:rPr>
        <w:t>安全要求</w:t>
      </w:r>
    </w:p>
    <w:p w14:paraId="69BC95A8">
      <w:pPr>
        <w:pStyle w:val="165"/>
        <w:rPr>
          <w:rFonts w:ascii="Times New Roman"/>
        </w:rPr>
      </w:pPr>
      <w:r>
        <w:rPr>
          <w:rFonts w:ascii="Times New Roman"/>
        </w:rPr>
        <w:t>开挖深度超过2 m时，应设置安全防护栏杆及警示标识，夜间作业应配备充足照明。</w:t>
      </w:r>
    </w:p>
    <w:p w14:paraId="02C62D7E">
      <w:pPr>
        <w:pStyle w:val="165"/>
        <w:rPr>
          <w:rFonts w:ascii="Times New Roman"/>
        </w:rPr>
      </w:pPr>
      <w:r>
        <w:rPr>
          <w:rFonts w:ascii="Times New Roman"/>
        </w:rPr>
        <w:t>机械作业时，操作人员应持证上岗，并应定期检查设备制动、液压系统及安全装置，设备不应带故障运行。</w:t>
      </w:r>
    </w:p>
    <w:p w14:paraId="07CBFDFD">
      <w:pPr>
        <w:pStyle w:val="165"/>
        <w:rPr>
          <w:rFonts w:ascii="Times New Roman"/>
        </w:rPr>
      </w:pPr>
      <w:r>
        <w:rPr>
          <w:rFonts w:ascii="Times New Roman"/>
        </w:rPr>
        <w:t>堆土距开挖边线距离应不小于1.5倍开挖深度，堆土高度宜不大于3 m，且不得掩埋测量标志或消防设施。</w:t>
      </w:r>
    </w:p>
    <w:p w14:paraId="7B5AD127">
      <w:pPr>
        <w:pStyle w:val="105"/>
        <w:spacing w:before="120" w:after="120"/>
        <w:rPr>
          <w:rFonts w:ascii="Times New Roman"/>
        </w:rPr>
      </w:pPr>
      <w:r>
        <w:rPr>
          <w:rFonts w:ascii="Times New Roman"/>
        </w:rPr>
        <w:t>特殊条件开挖</w:t>
      </w:r>
    </w:p>
    <w:p w14:paraId="6616C9B7">
      <w:pPr>
        <w:pStyle w:val="65"/>
        <w:spacing w:before="120" w:after="120"/>
        <w:rPr>
          <w:rFonts w:ascii="Times New Roman"/>
        </w:rPr>
      </w:pPr>
      <w:r>
        <w:rPr>
          <w:rFonts w:ascii="Times New Roman"/>
        </w:rPr>
        <w:t>雨季施工</w:t>
      </w:r>
    </w:p>
    <w:p w14:paraId="664484FE">
      <w:pPr>
        <w:pStyle w:val="164"/>
        <w:rPr>
          <w:rFonts w:ascii="Times New Roman"/>
        </w:rPr>
      </w:pPr>
      <w:r>
        <w:rPr>
          <w:rFonts w:ascii="Times New Roman"/>
        </w:rPr>
        <w:t>开挖前应检查排水设施，作业面宜分段快速完成，基底应及时封闭或覆盖。</w:t>
      </w:r>
    </w:p>
    <w:p w14:paraId="6DAEE41B">
      <w:pPr>
        <w:pStyle w:val="164"/>
        <w:rPr>
          <w:rFonts w:ascii="Times New Roman"/>
        </w:rPr>
      </w:pPr>
      <w:r>
        <w:rPr>
          <w:rFonts w:ascii="Times New Roman"/>
        </w:rPr>
        <w:t>降雨期间应停止开挖作业，已开挖区域应采取防冲刷措施，并应加强边坡监测。</w:t>
      </w:r>
    </w:p>
    <w:p w14:paraId="6971C5DC">
      <w:pPr>
        <w:pStyle w:val="65"/>
        <w:spacing w:before="120" w:after="120"/>
        <w:rPr>
          <w:rFonts w:ascii="Times New Roman"/>
        </w:rPr>
      </w:pPr>
      <w:r>
        <w:rPr>
          <w:rFonts w:ascii="Times New Roman"/>
        </w:rPr>
        <w:t>冻土开挖</w:t>
      </w:r>
    </w:p>
    <w:p w14:paraId="0DE40A22">
      <w:pPr>
        <w:pStyle w:val="164"/>
        <w:rPr>
          <w:rFonts w:ascii="Times New Roman"/>
        </w:rPr>
      </w:pPr>
      <w:r>
        <w:rPr>
          <w:rFonts w:ascii="Times New Roman"/>
        </w:rPr>
        <w:t>冻土开挖宜采用机械破碎法，人工开挖时应采取防滑措施。</w:t>
      </w:r>
    </w:p>
    <w:p w14:paraId="006570AE">
      <w:pPr>
        <w:pStyle w:val="164"/>
        <w:rPr>
          <w:rFonts w:ascii="Times New Roman"/>
        </w:rPr>
      </w:pPr>
      <w:r>
        <w:rPr>
          <w:rFonts w:ascii="Times New Roman"/>
        </w:rPr>
        <w:t>冻土层清除后，基底应覆盖保温材料，防止二次冻结。</w:t>
      </w:r>
    </w:p>
    <w:p w14:paraId="4EA06AC6">
      <w:pPr>
        <w:pStyle w:val="65"/>
        <w:spacing w:before="120" w:after="120"/>
        <w:rPr>
          <w:rFonts w:ascii="Times New Roman"/>
        </w:rPr>
      </w:pPr>
      <w:r>
        <w:rPr>
          <w:rFonts w:ascii="Times New Roman"/>
        </w:rPr>
        <w:t>岩溶地区开挖</w:t>
      </w:r>
    </w:p>
    <w:p w14:paraId="0905F6D6">
      <w:pPr>
        <w:pStyle w:val="164"/>
        <w:rPr>
          <w:rFonts w:ascii="Times New Roman"/>
        </w:rPr>
      </w:pPr>
      <w:r>
        <w:rPr>
          <w:rFonts w:ascii="Times New Roman"/>
        </w:rPr>
        <w:t>溶洞、裂隙发育区域应探明空洞分布，空洞处理宜采用混凝土回填或注浆加固。</w:t>
      </w:r>
    </w:p>
    <w:p w14:paraId="44DB241E">
      <w:pPr>
        <w:pStyle w:val="164"/>
        <w:rPr>
          <w:rFonts w:ascii="Times New Roman"/>
        </w:rPr>
      </w:pPr>
      <w:r>
        <w:rPr>
          <w:rFonts w:ascii="Times New Roman"/>
        </w:rPr>
        <w:t>开挖后应及时进行地质雷达检测，确保基底无隐蔽缺陷。</w:t>
      </w:r>
    </w:p>
    <w:p w14:paraId="26056B77">
      <w:pPr>
        <w:pStyle w:val="105"/>
        <w:spacing w:before="120" w:after="120"/>
        <w:rPr>
          <w:rFonts w:ascii="Times New Roman"/>
        </w:rPr>
      </w:pPr>
      <w:r>
        <w:rPr>
          <w:rFonts w:ascii="Times New Roman"/>
        </w:rPr>
        <w:t>质量检验与记录</w:t>
      </w:r>
    </w:p>
    <w:p w14:paraId="38F88288">
      <w:pPr>
        <w:pStyle w:val="165"/>
        <w:rPr>
          <w:rFonts w:ascii="Times New Roman"/>
        </w:rPr>
      </w:pPr>
      <w:r>
        <w:rPr>
          <w:rFonts w:ascii="Times New Roman"/>
        </w:rPr>
        <w:t>开挖过程中应对基底标高、边坡坡度及平整度进行抽检，抽检频率宜每100 m²不少于3点，允许偏差应符合设计要求。</w:t>
      </w:r>
    </w:p>
    <w:p w14:paraId="30B46E21">
      <w:pPr>
        <w:pStyle w:val="165"/>
        <w:rPr>
          <w:rFonts w:ascii="Times New Roman"/>
        </w:rPr>
      </w:pPr>
      <w:r>
        <w:rPr>
          <w:rFonts w:ascii="Times New Roman"/>
        </w:rPr>
        <w:t>基底承载力检测可采用静力触探、荷载板试验等方法，检测点间距宜不大于50 m，不良地质地段应加密检测。</w:t>
      </w:r>
    </w:p>
    <w:p w14:paraId="14F1AFD9">
      <w:pPr>
        <w:pStyle w:val="165"/>
        <w:rPr>
          <w:rFonts w:ascii="Times New Roman"/>
        </w:rPr>
      </w:pPr>
      <w:r>
        <w:rPr>
          <w:rFonts w:ascii="Times New Roman"/>
        </w:rPr>
        <w:t>施工记录应完整反映每日开挖进度、地质变化、问题处理及检测结果，记录表格应由监理签字确认后归档。</w:t>
      </w:r>
    </w:p>
    <w:p w14:paraId="088DD255">
      <w:pPr>
        <w:pStyle w:val="104"/>
        <w:spacing w:before="240" w:after="240"/>
        <w:rPr>
          <w:rFonts w:ascii="Times New Roman"/>
        </w:rPr>
      </w:pPr>
      <w:bookmarkStart w:id="54" w:name="_Toc195110977"/>
      <w:r>
        <w:rPr>
          <w:rFonts w:ascii="Times New Roman"/>
        </w:rPr>
        <w:t>土方填筑与压实</w:t>
      </w:r>
      <w:bookmarkEnd w:id="54"/>
    </w:p>
    <w:p w14:paraId="369CAC4A">
      <w:pPr>
        <w:pStyle w:val="105"/>
        <w:spacing w:before="120" w:after="120"/>
        <w:rPr>
          <w:rFonts w:ascii="Times New Roman"/>
        </w:rPr>
      </w:pPr>
      <w:r>
        <w:rPr>
          <w:rFonts w:ascii="Times New Roman"/>
        </w:rPr>
        <w:t>填料要求</w:t>
      </w:r>
    </w:p>
    <w:p w14:paraId="338A72DE">
      <w:pPr>
        <w:pStyle w:val="165"/>
        <w:rPr>
          <w:rFonts w:ascii="Times New Roman"/>
        </w:rPr>
      </w:pPr>
      <w:r>
        <w:rPr>
          <w:rFonts w:ascii="Times New Roman"/>
        </w:rPr>
        <w:t>填料类型及粒径应符合设计要求，不应使用淤泥、腐殖土、冻土块及有机质含量超标的材料。</w:t>
      </w:r>
    </w:p>
    <w:p w14:paraId="61657C46">
      <w:pPr>
        <w:pStyle w:val="165"/>
        <w:rPr>
          <w:rFonts w:ascii="Times New Roman"/>
        </w:rPr>
      </w:pPr>
      <w:r>
        <w:rPr>
          <w:rFonts w:ascii="Times New Roman"/>
        </w:rPr>
        <w:t>石质填料最大粒径宜小于填筑层厚度的2/3，且应级配良好，含泥量应小于5%。</w:t>
      </w:r>
    </w:p>
    <w:p w14:paraId="0D5D6A2A">
      <w:pPr>
        <w:pStyle w:val="165"/>
        <w:rPr>
          <w:rFonts w:ascii="Times New Roman"/>
        </w:rPr>
      </w:pPr>
      <w:r>
        <w:rPr>
          <w:rFonts w:ascii="Times New Roman"/>
        </w:rPr>
        <w:t>填料进场前应进行含水率、击实试验等检测，检测频率宜每5000 m³不少于1组，检测结果应满足设计要求。</w:t>
      </w:r>
    </w:p>
    <w:p w14:paraId="513A7CFD">
      <w:pPr>
        <w:pStyle w:val="105"/>
        <w:spacing w:before="120" w:after="120"/>
        <w:rPr>
          <w:rFonts w:ascii="Times New Roman"/>
        </w:rPr>
      </w:pPr>
      <w:r>
        <w:rPr>
          <w:rFonts w:ascii="Times New Roman"/>
        </w:rPr>
        <w:t>分层填筑</w:t>
      </w:r>
    </w:p>
    <w:p w14:paraId="4BD9E69A">
      <w:pPr>
        <w:pStyle w:val="165"/>
        <w:rPr>
          <w:rFonts w:ascii="Times New Roman"/>
        </w:rPr>
      </w:pPr>
      <w:r>
        <w:rPr>
          <w:rFonts w:ascii="Times New Roman"/>
        </w:rPr>
        <w:t>填筑层厚度应根据压实机械性能确定，机械压实虚铺厚度宜为20 cm~30 cm，人工夯实虚铺厚度宜为15 cm~20 cm。</w:t>
      </w:r>
    </w:p>
    <w:p w14:paraId="017082FB">
      <w:pPr>
        <w:pStyle w:val="165"/>
        <w:rPr>
          <w:rFonts w:ascii="Times New Roman"/>
        </w:rPr>
      </w:pPr>
      <w:r>
        <w:rPr>
          <w:rFonts w:ascii="Times New Roman"/>
        </w:rPr>
        <w:t>同一填筑层应采用同类填料，不同填料交界处应设置过渡段，过渡段长度宜不小于2 m。</w:t>
      </w:r>
    </w:p>
    <w:p w14:paraId="545D9346">
      <w:pPr>
        <w:pStyle w:val="165"/>
        <w:rPr>
          <w:rFonts w:ascii="Times New Roman"/>
        </w:rPr>
      </w:pPr>
      <w:r>
        <w:rPr>
          <w:rFonts w:ascii="Times New Roman"/>
        </w:rPr>
        <w:t>填筑作业应从低处向高处进行，横坡坡度大于1:5时，应挖台阶处理，台阶宽度宜不小于1 m，高度宜不大于0.3 m。</w:t>
      </w:r>
    </w:p>
    <w:p w14:paraId="6D5DCD74">
      <w:pPr>
        <w:pStyle w:val="105"/>
        <w:spacing w:before="120" w:after="120"/>
        <w:rPr>
          <w:rFonts w:ascii="Times New Roman"/>
        </w:rPr>
      </w:pPr>
      <w:r>
        <w:rPr>
          <w:rFonts w:ascii="Times New Roman"/>
        </w:rPr>
        <w:t>含水率控制</w:t>
      </w:r>
    </w:p>
    <w:p w14:paraId="429FCC6F">
      <w:pPr>
        <w:pStyle w:val="165"/>
        <w:rPr>
          <w:rFonts w:ascii="Times New Roman"/>
        </w:rPr>
      </w:pPr>
      <w:r>
        <w:rPr>
          <w:rFonts w:ascii="Times New Roman"/>
        </w:rPr>
        <w:t>填料含水率宜接近最优含水率，允许偏差范围为±2%。含水率过高时，宜采用翻晒或掺石灰处理；含水率过低时，可洒水增湿。</w:t>
      </w:r>
    </w:p>
    <w:p w14:paraId="07728A61">
      <w:pPr>
        <w:pStyle w:val="165"/>
        <w:rPr>
          <w:rFonts w:ascii="Times New Roman"/>
        </w:rPr>
      </w:pPr>
      <w:r>
        <w:rPr>
          <w:rFonts w:ascii="Times New Roman"/>
        </w:rPr>
        <w:t>雨季施工应缩短作业面，填筑后应及时压实覆盖，未压实层遭雨水浸泡后应翻挖晾晒或清除重填。</w:t>
      </w:r>
    </w:p>
    <w:p w14:paraId="5FDEEBF7">
      <w:pPr>
        <w:pStyle w:val="105"/>
        <w:spacing w:before="120" w:after="120"/>
        <w:rPr>
          <w:rFonts w:ascii="Times New Roman"/>
        </w:rPr>
      </w:pPr>
      <w:r>
        <w:rPr>
          <w:rFonts w:ascii="Times New Roman"/>
        </w:rPr>
        <w:t>压实工艺</w:t>
      </w:r>
    </w:p>
    <w:p w14:paraId="060F5F1E">
      <w:pPr>
        <w:pStyle w:val="165"/>
        <w:rPr>
          <w:rFonts w:ascii="Times New Roman"/>
        </w:rPr>
      </w:pPr>
      <w:r>
        <w:rPr>
          <w:rFonts w:ascii="Times New Roman"/>
        </w:rPr>
        <w:t>压实机械选型应根据填料类型、层厚及场地条件确定，黏性土宜采用振动压路机，砂性土宜选用静力压路机或冲击夯。</w:t>
      </w:r>
    </w:p>
    <w:p w14:paraId="16C0A318">
      <w:pPr>
        <w:pStyle w:val="165"/>
        <w:rPr>
          <w:rFonts w:ascii="Times New Roman"/>
        </w:rPr>
      </w:pPr>
      <w:r>
        <w:rPr>
          <w:rFonts w:ascii="Times New Roman"/>
        </w:rPr>
        <w:t>碾压时应遵循“先轻后重、先静后振、先慢后快”的原则，轮迹重叠宽度宜为1/3轮宽，相邻作业段搭接长度应不小于1 m。</w:t>
      </w:r>
    </w:p>
    <w:p w14:paraId="773D9519">
      <w:pPr>
        <w:pStyle w:val="165"/>
        <w:rPr>
          <w:rFonts w:ascii="Times New Roman"/>
        </w:rPr>
      </w:pPr>
      <w:r>
        <w:rPr>
          <w:rFonts w:ascii="Times New Roman"/>
        </w:rPr>
        <w:t>边角、桥台背等机械无法作业区域，应采用小型压实机具或人工夯实，压实度应满足设计要求。</w:t>
      </w:r>
    </w:p>
    <w:p w14:paraId="2F075514">
      <w:pPr>
        <w:pStyle w:val="105"/>
        <w:spacing w:before="120" w:after="120"/>
        <w:rPr>
          <w:rFonts w:ascii="Times New Roman"/>
        </w:rPr>
      </w:pPr>
      <w:r>
        <w:rPr>
          <w:rFonts w:ascii="Times New Roman"/>
        </w:rPr>
        <w:t>接缝处理</w:t>
      </w:r>
    </w:p>
    <w:p w14:paraId="47579BE9">
      <w:pPr>
        <w:pStyle w:val="165"/>
        <w:rPr>
          <w:rFonts w:ascii="Times New Roman"/>
        </w:rPr>
      </w:pPr>
      <w:r>
        <w:rPr>
          <w:rFonts w:ascii="Times New Roman"/>
        </w:rPr>
        <w:t>分段填筑时，接缝应做成斜坡，坡度宜为1:1~1:2，接缝处应挖台阶并加强压实。</w:t>
      </w:r>
    </w:p>
    <w:p w14:paraId="0705039A">
      <w:pPr>
        <w:pStyle w:val="165"/>
        <w:rPr>
          <w:rFonts w:ascii="Times New Roman"/>
        </w:rPr>
      </w:pPr>
      <w:r>
        <w:rPr>
          <w:rFonts w:ascii="Times New Roman"/>
        </w:rPr>
        <w:t>纵向接缝应避免设置在地势突变或结构物衔接处，必要时应采用土工格栅加筋处理。</w:t>
      </w:r>
    </w:p>
    <w:p w14:paraId="3B67B46A">
      <w:pPr>
        <w:pStyle w:val="105"/>
        <w:spacing w:before="120" w:after="120"/>
        <w:rPr>
          <w:rFonts w:ascii="Times New Roman"/>
        </w:rPr>
      </w:pPr>
      <w:r>
        <w:rPr>
          <w:rFonts w:ascii="Times New Roman"/>
        </w:rPr>
        <w:t>压实度检测</w:t>
      </w:r>
    </w:p>
    <w:p w14:paraId="1481120A">
      <w:pPr>
        <w:pStyle w:val="165"/>
        <w:rPr>
          <w:rFonts w:ascii="Times New Roman"/>
        </w:rPr>
      </w:pPr>
      <w:r>
        <w:rPr>
          <w:rFonts w:ascii="Times New Roman"/>
        </w:rPr>
        <w:t>压实度检测宜采用灌砂法、环刀法或核子密度仪，检测频率应每层每1000 m²不少于3点，路基顶层应全断面检测。</w:t>
      </w:r>
    </w:p>
    <w:p w14:paraId="369DC0B5">
      <w:pPr>
        <w:pStyle w:val="165"/>
        <w:rPr>
          <w:rFonts w:ascii="Times New Roman"/>
        </w:rPr>
      </w:pPr>
      <w:r>
        <w:rPr>
          <w:rFonts w:ascii="Times New Roman"/>
        </w:rPr>
        <w:t>压实度合格标准应根据道路等级确定，主干路、快速路压实度应≥95%，次干路及支路应≥93%。</w:t>
      </w:r>
    </w:p>
    <w:p w14:paraId="5CF6A6A2">
      <w:pPr>
        <w:pStyle w:val="165"/>
        <w:rPr>
          <w:rFonts w:ascii="Times New Roman"/>
        </w:rPr>
      </w:pPr>
      <w:r>
        <w:rPr>
          <w:rFonts w:ascii="Times New Roman"/>
        </w:rPr>
        <w:t>检测不合格区域应补压或换填，补压后应重新检测至合格。</w:t>
      </w:r>
    </w:p>
    <w:p w14:paraId="6F62D6E1">
      <w:pPr>
        <w:pStyle w:val="105"/>
        <w:spacing w:before="120" w:after="120"/>
        <w:rPr>
          <w:rFonts w:ascii="Times New Roman"/>
        </w:rPr>
      </w:pPr>
      <w:r>
        <w:rPr>
          <w:rFonts w:ascii="Times New Roman"/>
        </w:rPr>
        <w:t>特殊条件施工</w:t>
      </w:r>
    </w:p>
    <w:p w14:paraId="3DDA5845">
      <w:pPr>
        <w:pStyle w:val="65"/>
        <w:spacing w:before="120" w:after="120"/>
        <w:rPr>
          <w:rFonts w:ascii="Times New Roman"/>
        </w:rPr>
      </w:pPr>
      <w:r>
        <w:rPr>
          <w:rFonts w:ascii="Times New Roman"/>
        </w:rPr>
        <w:t>软土地基填筑</w:t>
      </w:r>
    </w:p>
    <w:p w14:paraId="4E542744">
      <w:pPr>
        <w:pStyle w:val="164"/>
        <w:rPr>
          <w:rFonts w:ascii="Times New Roman"/>
        </w:rPr>
      </w:pPr>
      <w:r>
        <w:rPr>
          <w:rFonts w:ascii="Times New Roman"/>
        </w:rPr>
        <w:t>填筑前应进行地基处理，填筑速率应控制沉降量每天不超过10 mm。</w:t>
      </w:r>
    </w:p>
    <w:p w14:paraId="0D732B0E">
      <w:pPr>
        <w:pStyle w:val="164"/>
        <w:rPr>
          <w:rFonts w:ascii="Times New Roman"/>
        </w:rPr>
      </w:pPr>
      <w:r>
        <w:rPr>
          <w:rFonts w:ascii="Times New Roman"/>
        </w:rPr>
        <w:t>宜优先选用透水性填料，分层厚度可适当减小，并应加强位移及孔隙水压力监测。</w:t>
      </w:r>
    </w:p>
    <w:p w14:paraId="16477947">
      <w:pPr>
        <w:pStyle w:val="65"/>
        <w:spacing w:before="120" w:after="120"/>
        <w:rPr>
          <w:rFonts w:ascii="Times New Roman"/>
        </w:rPr>
      </w:pPr>
      <w:r>
        <w:rPr>
          <w:rFonts w:ascii="Times New Roman"/>
        </w:rPr>
        <w:t>冬季施工</w:t>
      </w:r>
    </w:p>
    <w:p w14:paraId="731702ED">
      <w:pPr>
        <w:pStyle w:val="164"/>
        <w:rPr>
          <w:rFonts w:ascii="Times New Roman"/>
        </w:rPr>
      </w:pPr>
      <w:r>
        <w:rPr>
          <w:rFonts w:ascii="Times New Roman"/>
        </w:rPr>
        <w:t>填筑作业应避开冻土期，已冻结填料应破碎后使用，冻土块含量应小于15%，且应均匀分布。</w:t>
      </w:r>
    </w:p>
    <w:p w14:paraId="54D82A85">
      <w:pPr>
        <w:pStyle w:val="164"/>
        <w:rPr>
          <w:rFonts w:ascii="Times New Roman"/>
        </w:rPr>
      </w:pPr>
      <w:r>
        <w:rPr>
          <w:rFonts w:ascii="Times New Roman"/>
        </w:rPr>
        <w:t>当日填筑层应及时压实覆盖保温材料，防止填料冻结。</w:t>
      </w:r>
    </w:p>
    <w:p w14:paraId="03E403DE">
      <w:pPr>
        <w:pStyle w:val="105"/>
        <w:spacing w:before="120" w:after="120"/>
        <w:rPr>
          <w:rFonts w:ascii="Times New Roman"/>
        </w:rPr>
      </w:pPr>
      <w:r>
        <w:rPr>
          <w:rFonts w:ascii="Times New Roman"/>
        </w:rPr>
        <w:t>安全与环保</w:t>
      </w:r>
    </w:p>
    <w:p w14:paraId="5D74FD11">
      <w:pPr>
        <w:pStyle w:val="165"/>
        <w:rPr>
          <w:rFonts w:ascii="Times New Roman"/>
        </w:rPr>
      </w:pPr>
      <w:r>
        <w:rPr>
          <w:rFonts w:ascii="Times New Roman"/>
        </w:rPr>
        <w:t>压实机械作业时，操作人员应与周边人员保持安全距离，夜间施工应设置警示灯及反光标识。</w:t>
      </w:r>
    </w:p>
    <w:p w14:paraId="6C1D4F76">
      <w:pPr>
        <w:pStyle w:val="165"/>
        <w:rPr>
          <w:rFonts w:ascii="Times New Roman"/>
        </w:rPr>
      </w:pPr>
      <w:r>
        <w:rPr>
          <w:rFonts w:ascii="Times New Roman"/>
        </w:rPr>
        <w:t>运输车辆应封闭覆盖，进出场地应冲洗轮胎，不应抛洒物料。</w:t>
      </w:r>
    </w:p>
    <w:p w14:paraId="3B7E5D5A">
      <w:pPr>
        <w:pStyle w:val="165"/>
        <w:rPr>
          <w:rFonts w:ascii="Times New Roman"/>
        </w:rPr>
      </w:pPr>
      <w:r>
        <w:rPr>
          <w:rFonts w:ascii="Times New Roman"/>
        </w:rPr>
        <w:t>施工现场扬尘控制宜采用洒水或覆盖防尘网，噪声排放应符合环保规定。</w:t>
      </w:r>
    </w:p>
    <w:p w14:paraId="3C90C7E5">
      <w:pPr>
        <w:pStyle w:val="105"/>
        <w:spacing w:before="120" w:after="120"/>
        <w:rPr>
          <w:rFonts w:ascii="Times New Roman"/>
        </w:rPr>
      </w:pPr>
      <w:r>
        <w:rPr>
          <w:rFonts w:ascii="Times New Roman"/>
        </w:rPr>
        <w:t>质量记录与验收</w:t>
      </w:r>
    </w:p>
    <w:p w14:paraId="19517954">
      <w:pPr>
        <w:pStyle w:val="165"/>
        <w:rPr>
          <w:rFonts w:ascii="Times New Roman"/>
        </w:rPr>
      </w:pPr>
      <w:r>
        <w:rPr>
          <w:rFonts w:ascii="Times New Roman"/>
        </w:rPr>
        <w:t>施工过程中应记录填筑层厚、压实遍数、检测数据及问题处理措施，记录表式应统一规范。</w:t>
      </w:r>
    </w:p>
    <w:p w14:paraId="0C0928BA">
      <w:pPr>
        <w:pStyle w:val="165"/>
        <w:rPr>
          <w:rFonts w:ascii="Times New Roman"/>
        </w:rPr>
      </w:pPr>
      <w:r>
        <w:rPr>
          <w:rFonts w:ascii="Times New Roman"/>
        </w:rPr>
        <w:t>分层验收合格后，方可进行上一层填筑，验收资料应包含压实度检测报告及影像记录。</w:t>
      </w:r>
    </w:p>
    <w:p w14:paraId="3067077D">
      <w:pPr>
        <w:pStyle w:val="104"/>
        <w:spacing w:before="240" w:after="240"/>
        <w:rPr>
          <w:rFonts w:ascii="Times New Roman"/>
        </w:rPr>
      </w:pPr>
      <w:bookmarkStart w:id="55" w:name="_Toc195110978"/>
      <w:r>
        <w:rPr>
          <w:rFonts w:ascii="Times New Roman"/>
        </w:rPr>
        <w:t>排水与降水</w:t>
      </w:r>
      <w:bookmarkEnd w:id="55"/>
    </w:p>
    <w:p w14:paraId="1AE8F2E3">
      <w:pPr>
        <w:pStyle w:val="105"/>
        <w:spacing w:before="120" w:after="120"/>
        <w:rPr>
          <w:rFonts w:ascii="Times New Roman"/>
        </w:rPr>
      </w:pPr>
      <w:r>
        <w:rPr>
          <w:rFonts w:ascii="Times New Roman"/>
        </w:rPr>
        <w:t>地表排水</w:t>
      </w:r>
    </w:p>
    <w:p w14:paraId="75BAB81E">
      <w:pPr>
        <w:pStyle w:val="165"/>
        <w:rPr>
          <w:rFonts w:ascii="Times New Roman"/>
        </w:rPr>
      </w:pPr>
      <w:r>
        <w:rPr>
          <w:rFonts w:ascii="Times New Roman"/>
        </w:rPr>
        <w:t>施工区域周边应设置截水沟，截水沟断面尺寸及坡度应通过汇水面积计算确定，沟底纵坡宜不小于0.3%。</w:t>
      </w:r>
    </w:p>
    <w:p w14:paraId="173645F2">
      <w:pPr>
        <w:pStyle w:val="165"/>
        <w:rPr>
          <w:rFonts w:ascii="Times New Roman"/>
        </w:rPr>
      </w:pPr>
      <w:r>
        <w:rPr>
          <w:rFonts w:ascii="Times New Roman"/>
        </w:rPr>
        <w:t>排水沟宜采用混凝土预制或现浇结构，临时排水沟可采用土质沟槽，但应进行防渗处理，沟内流速应控制在不冲刷允许范围内。</w:t>
      </w:r>
    </w:p>
    <w:p w14:paraId="18260FE3">
      <w:pPr>
        <w:pStyle w:val="165"/>
        <w:rPr>
          <w:rFonts w:ascii="Times New Roman"/>
        </w:rPr>
      </w:pPr>
      <w:r>
        <w:rPr>
          <w:rFonts w:ascii="Times New Roman"/>
        </w:rPr>
        <w:t>排水出口应接入市政管网或自然水体，出口处应设置消能设施，防止水流冲刷引发水土流失。</w:t>
      </w:r>
    </w:p>
    <w:p w14:paraId="2A005475">
      <w:pPr>
        <w:pStyle w:val="105"/>
        <w:spacing w:before="120" w:after="120"/>
        <w:rPr>
          <w:rFonts w:ascii="Times New Roman"/>
        </w:rPr>
      </w:pPr>
      <w:r>
        <w:rPr>
          <w:rFonts w:ascii="Times New Roman"/>
        </w:rPr>
        <w:t>地下排水</w:t>
      </w:r>
    </w:p>
    <w:p w14:paraId="69B4D9D4">
      <w:pPr>
        <w:pStyle w:val="165"/>
        <w:rPr>
          <w:rFonts w:ascii="Times New Roman"/>
        </w:rPr>
      </w:pPr>
      <w:r>
        <w:rPr>
          <w:rFonts w:ascii="Times New Roman"/>
        </w:rPr>
        <w:t>地下水位高于基底标高时，应实施降水措施。降水方式可根据渗透系数选择明排、井点降水或管井降水。</w:t>
      </w:r>
    </w:p>
    <w:p w14:paraId="5A15853D">
      <w:pPr>
        <w:pStyle w:val="165"/>
        <w:rPr>
          <w:rFonts w:ascii="Times New Roman"/>
        </w:rPr>
      </w:pPr>
      <w:r>
        <w:rPr>
          <w:rFonts w:ascii="Times New Roman"/>
        </w:rPr>
        <w:t>盲沟排水适用于浅层地下水疏排，盲沟填充材料宜采用级配碎石或透水土工合成材料，外包滤水土工布。</w:t>
      </w:r>
    </w:p>
    <w:p w14:paraId="19C545EC">
      <w:pPr>
        <w:pStyle w:val="165"/>
        <w:rPr>
          <w:rFonts w:ascii="Times New Roman"/>
        </w:rPr>
      </w:pPr>
      <w:r>
        <w:rPr>
          <w:rFonts w:ascii="Times New Roman"/>
        </w:rPr>
        <w:t>渗井布置间距宜为10 m~20 m，井深应穿透含水层至不透水层，井内应填充滤料并设置监测管。</w:t>
      </w:r>
    </w:p>
    <w:p w14:paraId="63669E42">
      <w:pPr>
        <w:pStyle w:val="105"/>
        <w:spacing w:before="120" w:after="120"/>
        <w:rPr>
          <w:rFonts w:ascii="Times New Roman"/>
        </w:rPr>
      </w:pPr>
      <w:r>
        <w:rPr>
          <w:rFonts w:ascii="Times New Roman"/>
        </w:rPr>
        <w:t>临时排水系统</w:t>
      </w:r>
    </w:p>
    <w:p w14:paraId="72D24681">
      <w:pPr>
        <w:pStyle w:val="165"/>
        <w:rPr>
          <w:rFonts w:ascii="Times New Roman"/>
        </w:rPr>
      </w:pPr>
      <w:r>
        <w:rPr>
          <w:rFonts w:ascii="Times New Roman"/>
        </w:rPr>
        <w:t>施工期间应结合开挖进度动态调整排水设施，临时排水沟宜沿作业面边缘布设，沟底标高应随开挖深度逐步降低。</w:t>
      </w:r>
    </w:p>
    <w:p w14:paraId="07E7BEB9">
      <w:pPr>
        <w:pStyle w:val="165"/>
        <w:rPr>
          <w:rFonts w:ascii="Times New Roman"/>
        </w:rPr>
      </w:pPr>
      <w:r>
        <w:rPr>
          <w:rFonts w:ascii="Times New Roman"/>
        </w:rPr>
        <w:t>基坑内排水应避免直接抽排至边坡坡脚，抽水管路宜采用硬质管道，水泵应固定牢固并定期检查。</w:t>
      </w:r>
    </w:p>
    <w:p w14:paraId="608C7C6C">
      <w:pPr>
        <w:pStyle w:val="165"/>
        <w:rPr>
          <w:rFonts w:ascii="Times New Roman"/>
        </w:rPr>
      </w:pPr>
      <w:r>
        <w:rPr>
          <w:rFonts w:ascii="Times New Roman"/>
        </w:rPr>
        <w:t>临时排水设施拆除前，应确保永久排水系统具备使用条件，衔接处应进行防渗处理。</w:t>
      </w:r>
    </w:p>
    <w:p w14:paraId="50189110">
      <w:pPr>
        <w:pStyle w:val="105"/>
        <w:spacing w:before="120" w:after="120"/>
        <w:rPr>
          <w:rFonts w:ascii="Times New Roman"/>
        </w:rPr>
      </w:pPr>
      <w:r>
        <w:rPr>
          <w:rFonts w:ascii="Times New Roman"/>
        </w:rPr>
        <w:t>特殊条件处理</w:t>
      </w:r>
    </w:p>
    <w:p w14:paraId="5981EB60">
      <w:pPr>
        <w:pStyle w:val="65"/>
        <w:spacing w:before="120" w:after="120"/>
        <w:rPr>
          <w:rFonts w:ascii="Times New Roman"/>
        </w:rPr>
      </w:pPr>
      <w:r>
        <w:rPr>
          <w:rFonts w:ascii="Times New Roman"/>
        </w:rPr>
        <w:t>雨季施工</w:t>
      </w:r>
    </w:p>
    <w:p w14:paraId="097A9EDB">
      <w:pPr>
        <w:pStyle w:val="164"/>
        <w:rPr>
          <w:rFonts w:ascii="Times New Roman"/>
        </w:rPr>
      </w:pPr>
      <w:r>
        <w:rPr>
          <w:rFonts w:ascii="Times New Roman"/>
        </w:rPr>
        <w:t>应增加排水沟数量和过水能力，暴雨期间宜采用“分段拦截、集中抽排”方式，作业面可覆盖防雨布。</w:t>
      </w:r>
    </w:p>
    <w:p w14:paraId="402CFF6A">
      <w:pPr>
        <w:pStyle w:val="164"/>
        <w:rPr>
          <w:rFonts w:ascii="Times New Roman"/>
        </w:rPr>
      </w:pPr>
      <w:r>
        <w:rPr>
          <w:rFonts w:ascii="Times New Roman"/>
        </w:rPr>
        <w:t>边坡坡顶应设置挡水埂，坡面宜铺设防冲刷土工膜或临时植草。</w:t>
      </w:r>
    </w:p>
    <w:p w14:paraId="194F66C4">
      <w:pPr>
        <w:pStyle w:val="65"/>
        <w:spacing w:before="120" w:after="120"/>
        <w:rPr>
          <w:rFonts w:ascii="Times New Roman"/>
        </w:rPr>
      </w:pPr>
      <w:r>
        <w:rPr>
          <w:rFonts w:ascii="Times New Roman"/>
        </w:rPr>
        <w:t>软土地基排水</w:t>
      </w:r>
    </w:p>
    <w:p w14:paraId="542D11ED">
      <w:pPr>
        <w:pStyle w:val="164"/>
        <w:rPr>
          <w:rFonts w:ascii="Times New Roman"/>
        </w:rPr>
      </w:pPr>
      <w:r>
        <w:rPr>
          <w:rFonts w:ascii="Times New Roman"/>
        </w:rPr>
        <w:t>宜采用塑料排水板或砂井加速固结排水，排水板间距宜为1 m~2 m，深度应穿透软土层。</w:t>
      </w:r>
    </w:p>
    <w:p w14:paraId="6015A469">
      <w:pPr>
        <w:pStyle w:val="164"/>
        <w:rPr>
          <w:rFonts w:ascii="Times New Roman"/>
        </w:rPr>
      </w:pPr>
      <w:r>
        <w:rPr>
          <w:rFonts w:ascii="Times New Roman"/>
        </w:rPr>
        <w:t>排水施工应与填筑加载配合，加载速率应控制孔隙水压力消散率≥80%。</w:t>
      </w:r>
    </w:p>
    <w:p w14:paraId="39513EE4">
      <w:pPr>
        <w:pStyle w:val="65"/>
        <w:spacing w:before="120" w:after="120"/>
        <w:rPr>
          <w:rFonts w:ascii="Times New Roman"/>
        </w:rPr>
      </w:pPr>
      <w:r>
        <w:rPr>
          <w:rFonts w:ascii="Times New Roman"/>
        </w:rPr>
        <w:t>岩溶地区排水</w:t>
      </w:r>
    </w:p>
    <w:p w14:paraId="304EF73B">
      <w:pPr>
        <w:pStyle w:val="164"/>
        <w:rPr>
          <w:rFonts w:ascii="Times New Roman"/>
        </w:rPr>
      </w:pPr>
      <w:r>
        <w:rPr>
          <w:rFonts w:ascii="Times New Roman"/>
        </w:rPr>
        <w:t>应探明岩溶管道走向，排水路径应避开溶洞发育区，必要时可设置导流隧洞或截水帷幕。</w:t>
      </w:r>
    </w:p>
    <w:p w14:paraId="606F5618">
      <w:pPr>
        <w:pStyle w:val="164"/>
        <w:rPr>
          <w:rFonts w:ascii="Times New Roman"/>
        </w:rPr>
      </w:pPr>
      <w:r>
        <w:rPr>
          <w:rFonts w:ascii="Times New Roman"/>
        </w:rPr>
        <w:t>抽排水应避免引发地面塌陷，排水量宜根据岩溶连通性试验确定。</w:t>
      </w:r>
    </w:p>
    <w:p w14:paraId="2A46B162">
      <w:pPr>
        <w:pStyle w:val="105"/>
        <w:spacing w:before="120" w:after="120"/>
        <w:rPr>
          <w:rFonts w:ascii="Times New Roman"/>
        </w:rPr>
      </w:pPr>
      <w:r>
        <w:rPr>
          <w:rFonts w:ascii="Times New Roman"/>
        </w:rPr>
        <w:t>质量检验与验收</w:t>
      </w:r>
    </w:p>
    <w:p w14:paraId="750FCE32">
      <w:pPr>
        <w:pStyle w:val="165"/>
        <w:rPr>
          <w:rFonts w:ascii="Times New Roman"/>
        </w:rPr>
      </w:pPr>
      <w:r>
        <w:rPr>
          <w:rFonts w:ascii="Times New Roman"/>
        </w:rPr>
        <w:t>排水沟断面尺寸、坡度及防渗效果应每50 m抽检1处，允许偏差应为设计值的±5%。</w:t>
      </w:r>
    </w:p>
    <w:p w14:paraId="7A664CF2">
      <w:pPr>
        <w:pStyle w:val="165"/>
        <w:rPr>
          <w:rFonts w:ascii="Times New Roman"/>
        </w:rPr>
      </w:pPr>
      <w:r>
        <w:rPr>
          <w:rFonts w:ascii="Times New Roman"/>
        </w:rPr>
        <w:t>降水工程验收应提交水位监测记录、含砂量检测报告及周边沉降观测数据，降水效果应满足基底干燥要求。</w:t>
      </w:r>
    </w:p>
    <w:p w14:paraId="41A2D8A0">
      <w:pPr>
        <w:pStyle w:val="165"/>
        <w:rPr>
          <w:rFonts w:ascii="Times New Roman"/>
        </w:rPr>
      </w:pPr>
      <w:r>
        <w:rPr>
          <w:rFonts w:ascii="Times New Roman"/>
        </w:rPr>
        <w:t>隐蔽排水设施（如盲沟、渗井）覆盖前应进行验收，验收内容应包括材料规格、铺设质量及透水性检测。</w:t>
      </w:r>
    </w:p>
    <w:p w14:paraId="0EEC8799">
      <w:pPr>
        <w:pStyle w:val="104"/>
        <w:spacing w:before="240" w:after="240"/>
        <w:rPr>
          <w:rFonts w:ascii="Times New Roman"/>
        </w:rPr>
      </w:pPr>
      <w:bookmarkStart w:id="56" w:name="_Toc195110979"/>
      <w:r>
        <w:rPr>
          <w:rFonts w:ascii="Times New Roman"/>
        </w:rPr>
        <w:t>边坡与支护工程</w:t>
      </w:r>
      <w:bookmarkEnd w:id="56"/>
    </w:p>
    <w:p w14:paraId="24157F67">
      <w:pPr>
        <w:pStyle w:val="105"/>
        <w:spacing w:before="120" w:after="120"/>
        <w:rPr>
          <w:rFonts w:ascii="Times New Roman"/>
        </w:rPr>
      </w:pPr>
      <w:r>
        <w:rPr>
          <w:rFonts w:ascii="Times New Roman"/>
        </w:rPr>
        <w:t>边坡类型与支护形式</w:t>
      </w:r>
    </w:p>
    <w:p w14:paraId="67C56789">
      <w:pPr>
        <w:pStyle w:val="65"/>
        <w:spacing w:before="120" w:after="120"/>
        <w:rPr>
          <w:rFonts w:ascii="Times New Roman"/>
        </w:rPr>
      </w:pPr>
      <w:r>
        <w:rPr>
          <w:rFonts w:ascii="Times New Roman"/>
        </w:rPr>
        <w:t>自然边坡</w:t>
      </w:r>
    </w:p>
    <w:p w14:paraId="7CAD3794">
      <w:pPr>
        <w:pStyle w:val="164"/>
        <w:rPr>
          <w:rFonts w:ascii="Times New Roman"/>
        </w:rPr>
      </w:pPr>
      <w:r>
        <w:rPr>
          <w:rFonts w:ascii="Times New Roman"/>
        </w:rPr>
        <w:t>岩质边坡坡度应按岩体结构面产状确定，完整性较好的岩层坡度可适当增大，但应进行稳定性验算。</w:t>
      </w:r>
    </w:p>
    <w:p w14:paraId="1C3A2C1E">
      <w:pPr>
        <w:pStyle w:val="164"/>
        <w:rPr>
          <w:rFonts w:ascii="Times New Roman"/>
        </w:rPr>
      </w:pPr>
      <w:r>
        <w:rPr>
          <w:rFonts w:ascii="Times New Roman"/>
        </w:rPr>
        <w:t>土质边坡坡度应根据土体抗剪强度确定，黏性土边坡高度≤6 m时，坡度宜不陡于1:1.5；砂性土宜不陡于1:2.0。</w:t>
      </w:r>
    </w:p>
    <w:p w14:paraId="7EBB3E68">
      <w:pPr>
        <w:pStyle w:val="65"/>
        <w:spacing w:before="120" w:after="120"/>
        <w:rPr>
          <w:rFonts w:ascii="Times New Roman"/>
        </w:rPr>
      </w:pPr>
      <w:r>
        <w:rPr>
          <w:rFonts w:ascii="Times New Roman"/>
        </w:rPr>
        <w:t>临时支护</w:t>
      </w:r>
    </w:p>
    <w:p w14:paraId="30855ADA">
      <w:pPr>
        <w:pStyle w:val="164"/>
        <w:rPr>
          <w:rFonts w:ascii="Times New Roman"/>
        </w:rPr>
      </w:pPr>
      <w:r>
        <w:rPr>
          <w:rFonts w:ascii="Times New Roman"/>
        </w:rPr>
        <w:t>高度小于等于5 m的临时土质边坡可采用土钉墙或喷射混凝土支护，土钉长度宜为坡高的0.6~1.0倍，间距宜为12 m。</w:t>
      </w:r>
    </w:p>
    <w:p w14:paraId="06FB2EF2">
      <w:pPr>
        <w:pStyle w:val="164"/>
        <w:rPr>
          <w:rFonts w:ascii="Times New Roman"/>
        </w:rPr>
      </w:pPr>
      <w:r>
        <w:rPr>
          <w:rFonts w:ascii="Times New Roman"/>
        </w:rPr>
        <w:t>临时岩质边坡宜采用锚杆挂网喷护，锚杆孔径应大于杆体直径20 mm，注浆强度等级不应低于M20。</w:t>
      </w:r>
    </w:p>
    <w:p w14:paraId="6D44B3E8">
      <w:pPr>
        <w:pStyle w:val="65"/>
        <w:spacing w:before="120" w:after="120"/>
        <w:rPr>
          <w:rFonts w:ascii="Times New Roman"/>
        </w:rPr>
      </w:pPr>
      <w:r>
        <w:rPr>
          <w:rFonts w:ascii="Times New Roman"/>
        </w:rPr>
        <w:t>永久支护</w:t>
      </w:r>
    </w:p>
    <w:p w14:paraId="204D80F4">
      <w:pPr>
        <w:pStyle w:val="164"/>
        <w:rPr>
          <w:rFonts w:ascii="Times New Roman"/>
        </w:rPr>
      </w:pPr>
      <w:r>
        <w:rPr>
          <w:rFonts w:ascii="Times New Roman"/>
        </w:rPr>
        <w:t>重力式挡土墙适用于填方区段，墙背应设置滤水层及泄水孔，基础埋深应满足抗滑移及抗倾覆要求。</w:t>
      </w:r>
    </w:p>
    <w:p w14:paraId="5858E023">
      <w:pPr>
        <w:pStyle w:val="164"/>
        <w:rPr>
          <w:rFonts w:ascii="Times New Roman"/>
        </w:rPr>
      </w:pPr>
      <w:r>
        <w:rPr>
          <w:rFonts w:ascii="Times New Roman"/>
        </w:rPr>
        <w:t>桩板式挡墙适用于高陡边坡，桩间距宜为桩径的2~3倍，桩顶应设置冠梁连接。</w:t>
      </w:r>
    </w:p>
    <w:p w14:paraId="649B9433">
      <w:pPr>
        <w:pStyle w:val="105"/>
        <w:spacing w:before="120" w:after="120"/>
        <w:rPr>
          <w:rFonts w:ascii="Times New Roman"/>
        </w:rPr>
      </w:pPr>
      <w:r>
        <w:rPr>
          <w:rFonts w:ascii="Times New Roman"/>
        </w:rPr>
        <w:t>支护结构施工</w:t>
      </w:r>
    </w:p>
    <w:p w14:paraId="3F916189">
      <w:pPr>
        <w:pStyle w:val="65"/>
        <w:spacing w:before="120" w:after="120"/>
        <w:rPr>
          <w:rFonts w:ascii="Times New Roman"/>
        </w:rPr>
      </w:pPr>
      <w:r>
        <w:rPr>
          <w:rFonts w:ascii="Times New Roman"/>
        </w:rPr>
        <w:t>锚杆（索）施工</w:t>
      </w:r>
    </w:p>
    <w:p w14:paraId="096F2133">
      <w:pPr>
        <w:pStyle w:val="164"/>
        <w:rPr>
          <w:rFonts w:ascii="Times New Roman"/>
        </w:rPr>
      </w:pPr>
      <w:r>
        <w:rPr>
          <w:rFonts w:ascii="Times New Roman"/>
        </w:rPr>
        <w:t>钻孔前应准确定位，孔位偏差应小于50 mm，钻孔倾角偏差应小于2°。岩层锚杆注浆应采用二次高压注浆工艺。</w:t>
      </w:r>
    </w:p>
    <w:p w14:paraId="07594BCA">
      <w:pPr>
        <w:pStyle w:val="164"/>
        <w:rPr>
          <w:rFonts w:ascii="Times New Roman"/>
        </w:rPr>
      </w:pPr>
      <w:r>
        <w:rPr>
          <w:rFonts w:ascii="Times New Roman"/>
        </w:rPr>
        <w:t>锚杆张拉应在注浆体强度达到设计值的80%后进行，锁定荷载宜为设计值的1.1倍，张拉后应进行防腐处理。</w:t>
      </w:r>
    </w:p>
    <w:p w14:paraId="07BD48F2">
      <w:pPr>
        <w:pStyle w:val="65"/>
        <w:spacing w:before="120" w:after="120"/>
        <w:rPr>
          <w:rFonts w:ascii="Times New Roman"/>
        </w:rPr>
      </w:pPr>
      <w:r>
        <w:rPr>
          <w:rFonts w:ascii="Times New Roman"/>
        </w:rPr>
        <w:t>土钉墙施工</w:t>
      </w:r>
    </w:p>
    <w:p w14:paraId="4B7D23AE">
      <w:pPr>
        <w:pStyle w:val="164"/>
        <w:rPr>
          <w:rFonts w:ascii="Times New Roman"/>
        </w:rPr>
      </w:pPr>
      <w:r>
        <w:rPr>
          <w:rFonts w:ascii="Times New Roman"/>
        </w:rPr>
        <w:t>土钉成孔可采用螺旋钻或冲击钻，孔内注浆应饱满，注浆压力宜为0.4 MPa ~0.6 MPa，注浆体强度应不低于15 MPa。</w:t>
      </w:r>
    </w:p>
    <w:p w14:paraId="1ACEA121">
      <w:pPr>
        <w:pStyle w:val="164"/>
        <w:rPr>
          <w:rFonts w:ascii="Times New Roman"/>
        </w:rPr>
      </w:pPr>
      <w:r>
        <w:rPr>
          <w:rFonts w:ascii="Times New Roman"/>
        </w:rPr>
        <w:t>墙面喷射混凝土厚度应≥80 mm，分两次喷射完成，钢筋网搭接长度应≥300 mm，并应固定牢固。</w:t>
      </w:r>
    </w:p>
    <w:p w14:paraId="04083D71">
      <w:pPr>
        <w:pStyle w:val="65"/>
        <w:spacing w:before="120" w:after="120"/>
        <w:rPr>
          <w:rFonts w:ascii="Times New Roman"/>
        </w:rPr>
      </w:pPr>
      <w:r>
        <w:rPr>
          <w:rFonts w:ascii="Times New Roman"/>
        </w:rPr>
        <w:t>挡土墙施工</w:t>
      </w:r>
    </w:p>
    <w:p w14:paraId="1E775FF3">
      <w:pPr>
        <w:pStyle w:val="164"/>
        <w:rPr>
          <w:rFonts w:ascii="Times New Roman"/>
        </w:rPr>
      </w:pPr>
      <w:r>
        <w:rPr>
          <w:rFonts w:ascii="Times New Roman"/>
        </w:rPr>
        <w:t>砌筑或浇筑应分段进行，分段长度宜为10 m~15 m，沉降缝间距宜为20 m~30 m，缝内应填充沥青麻丝。</w:t>
      </w:r>
    </w:p>
    <w:p w14:paraId="64A8A8EB">
      <w:pPr>
        <w:pStyle w:val="164"/>
        <w:rPr>
          <w:rFonts w:ascii="Times New Roman"/>
        </w:rPr>
      </w:pPr>
      <w:r>
        <w:rPr>
          <w:rFonts w:ascii="Times New Roman"/>
        </w:rPr>
        <w:t>墙背回填应在墙体强度达到设计值的75%后进行，回填料宜采用透水性材料，压实度应≥93%。</w:t>
      </w:r>
    </w:p>
    <w:p w14:paraId="35652FB1">
      <w:pPr>
        <w:pStyle w:val="105"/>
        <w:spacing w:before="120" w:after="120"/>
        <w:rPr>
          <w:rFonts w:ascii="Times New Roman"/>
        </w:rPr>
      </w:pPr>
      <w:r>
        <w:rPr>
          <w:rFonts w:ascii="Times New Roman"/>
        </w:rPr>
        <w:t>边坡监测</w:t>
      </w:r>
    </w:p>
    <w:p w14:paraId="05E3577F">
      <w:pPr>
        <w:pStyle w:val="165"/>
        <w:rPr>
          <w:rFonts w:ascii="Times New Roman"/>
        </w:rPr>
      </w:pPr>
      <w:r>
        <w:rPr>
          <w:rFonts w:ascii="Times New Roman"/>
        </w:rPr>
        <w:t>高度大于等于8 m的边坡或邻近重要构筑物的边坡应进行变形监测，监测项目应包括水平位移、垂直沉降及深层土体位移。</w:t>
      </w:r>
    </w:p>
    <w:p w14:paraId="7DA04D78">
      <w:pPr>
        <w:pStyle w:val="165"/>
        <w:rPr>
          <w:rFonts w:ascii="Times New Roman"/>
        </w:rPr>
      </w:pPr>
      <w:r>
        <w:rPr>
          <w:rFonts w:ascii="Times New Roman"/>
        </w:rPr>
        <w:t>监测点布设间距宜为20 m~30 m，监测频率施工期间宜每天1次，竣工后1个月内每周1次，后续可每月1次。</w:t>
      </w:r>
    </w:p>
    <w:p w14:paraId="09C8E67D">
      <w:pPr>
        <w:pStyle w:val="165"/>
        <w:rPr>
          <w:rFonts w:ascii="Times New Roman"/>
        </w:rPr>
      </w:pPr>
      <w:r>
        <w:rPr>
          <w:rFonts w:ascii="Times New Roman"/>
        </w:rPr>
        <w:t>位移速率连续3天超过5 mm/d或累计位移超过设计允许值时，应立即停工并启动应急预案。</w:t>
      </w:r>
    </w:p>
    <w:p w14:paraId="69C688D8">
      <w:pPr>
        <w:pStyle w:val="105"/>
        <w:spacing w:before="120" w:after="120"/>
        <w:rPr>
          <w:rFonts w:ascii="Times New Roman"/>
        </w:rPr>
      </w:pPr>
      <w:r>
        <w:rPr>
          <w:rFonts w:ascii="Times New Roman"/>
        </w:rPr>
        <w:t>质量检验与验收</w:t>
      </w:r>
    </w:p>
    <w:p w14:paraId="007CB6B7">
      <w:pPr>
        <w:pStyle w:val="165"/>
        <w:rPr>
          <w:rFonts w:ascii="Times New Roman"/>
        </w:rPr>
      </w:pPr>
      <w:r>
        <w:rPr>
          <w:rFonts w:ascii="Times New Roman"/>
        </w:rPr>
        <w:t>锚杆抗拔力检测应按总数的5%且不少于3根抽样，检测值应大于等于设计值的1.2倍，不合格应加倍抽检。</w:t>
      </w:r>
    </w:p>
    <w:p w14:paraId="4B7A41B4">
      <w:pPr>
        <w:pStyle w:val="165"/>
        <w:rPr>
          <w:rFonts w:ascii="Times New Roman"/>
        </w:rPr>
      </w:pPr>
      <w:r>
        <w:rPr>
          <w:rFonts w:ascii="Times New Roman"/>
        </w:rPr>
        <w:t>喷射混凝土强度应钻芯取样检测，每500 m</w:t>
      </w:r>
      <w:r>
        <w:rPr>
          <w:rFonts w:ascii="Times New Roman"/>
          <w:vertAlign w:val="superscript"/>
        </w:rPr>
        <w:t>2</w:t>
      </w:r>
      <w:r>
        <w:rPr>
          <w:rFonts w:ascii="Times New Roman"/>
        </w:rPr>
        <w:t>应取1组，强度应大于等于设计值的95%。</w:t>
      </w:r>
    </w:p>
    <w:p w14:paraId="2C376B36">
      <w:pPr>
        <w:pStyle w:val="165"/>
        <w:rPr>
          <w:rFonts w:ascii="Times New Roman"/>
        </w:rPr>
      </w:pPr>
      <w:r>
        <w:rPr>
          <w:rFonts w:ascii="Times New Roman"/>
        </w:rPr>
        <w:t>挡土墙验收应检查断面尺寸、泄水孔通畅性及回填质量，允许偏差应符合GB 50203要求。</w:t>
      </w:r>
    </w:p>
    <w:bookmarkEnd w:id="24"/>
    <w:bookmarkEnd w:id="37"/>
    <w:p w14:paraId="0A4202E2">
      <w:pPr>
        <w:pStyle w:val="56"/>
        <w:ind w:firstLine="0" w:firstLineChars="0"/>
        <w:jc w:val="center"/>
      </w:pPr>
      <w:bookmarkStart w:id="57" w:name="BookMark8"/>
      <w:r>
        <w:rPr>
          <w:rFonts w:hint="eastAsia"/>
        </w:rPr>
        <w:drawing>
          <wp:inline distT="0" distB="0" distL="0" distR="0">
            <wp:extent cx="1485900" cy="317500"/>
            <wp:effectExtent l="0" t="0" r="0" b="6350"/>
            <wp:docPr id="1963087116" name="图片 1"/>
            <wp:cNvGraphicFramePr/>
            <a:graphic xmlns:a="http://schemas.openxmlformats.org/drawingml/2006/main">
              <a:graphicData uri="http://schemas.openxmlformats.org/drawingml/2006/picture">
                <pic:pic xmlns:pic="http://schemas.openxmlformats.org/drawingml/2006/picture">
                  <pic:nvPicPr>
                    <pic:cNvPr id="196308711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296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89C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4CB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884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B57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86D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E55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AFAA">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F0AA">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ijC+ZsQ0YL3rOLwB8xw8qdGU7KJhEeXM9JgvP2RqT2FslDAgn1zhTt9EHA5jBBDZiuuTBSTmx2b1lF2Rv7ohdg==" w:salt="ECluPuXX/QdLtNbrSnuaK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A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AB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F34"/>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C05"/>
    <w:rsid w:val="00173FB1"/>
    <w:rsid w:val="00176236"/>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1F7"/>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421"/>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586"/>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357"/>
    <w:rsid w:val="002C7EBB"/>
    <w:rsid w:val="002D06C1"/>
    <w:rsid w:val="002D42B5"/>
    <w:rsid w:val="002D4F1A"/>
    <w:rsid w:val="002D6EC6"/>
    <w:rsid w:val="002D79AC"/>
    <w:rsid w:val="002E039D"/>
    <w:rsid w:val="002E2641"/>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189"/>
    <w:rsid w:val="00324D13"/>
    <w:rsid w:val="00324EDD"/>
    <w:rsid w:val="003331E4"/>
    <w:rsid w:val="00334A29"/>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0B99"/>
    <w:rsid w:val="003C14F8"/>
    <w:rsid w:val="003C5A43"/>
    <w:rsid w:val="003D0519"/>
    <w:rsid w:val="003D0FF6"/>
    <w:rsid w:val="003D262C"/>
    <w:rsid w:val="003D45BB"/>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F73"/>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8CB"/>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2DEA"/>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AAB"/>
    <w:rsid w:val="005C5F21"/>
    <w:rsid w:val="005C7156"/>
    <w:rsid w:val="005D0C75"/>
    <w:rsid w:val="005D4171"/>
    <w:rsid w:val="005D5EE0"/>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037"/>
    <w:rsid w:val="00651ACB"/>
    <w:rsid w:val="00651C47"/>
    <w:rsid w:val="00652AB2"/>
    <w:rsid w:val="00653FED"/>
    <w:rsid w:val="00654DBB"/>
    <w:rsid w:val="00654EC0"/>
    <w:rsid w:val="0065525B"/>
    <w:rsid w:val="00655D4F"/>
    <w:rsid w:val="00656D29"/>
    <w:rsid w:val="006635E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FD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7A1"/>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ECD"/>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E7B"/>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E30"/>
    <w:rsid w:val="009378DD"/>
    <w:rsid w:val="009429D5"/>
    <w:rsid w:val="00942BF1"/>
    <w:rsid w:val="00945180"/>
    <w:rsid w:val="00945428"/>
    <w:rsid w:val="0094607B"/>
    <w:rsid w:val="009472D6"/>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4DC"/>
    <w:rsid w:val="009908A3"/>
    <w:rsid w:val="009911AF"/>
    <w:rsid w:val="00991875"/>
    <w:rsid w:val="00991F92"/>
    <w:rsid w:val="00992985"/>
    <w:rsid w:val="00993889"/>
    <w:rsid w:val="0099551B"/>
    <w:rsid w:val="00996BD2"/>
    <w:rsid w:val="00997BF1"/>
    <w:rsid w:val="009A089C"/>
    <w:rsid w:val="009A118E"/>
    <w:rsid w:val="009A1CD8"/>
    <w:rsid w:val="009A21CD"/>
    <w:rsid w:val="009A278C"/>
    <w:rsid w:val="009A2BC2"/>
    <w:rsid w:val="009A42C1"/>
    <w:rsid w:val="009A5429"/>
    <w:rsid w:val="009A72AD"/>
    <w:rsid w:val="009B09E0"/>
    <w:rsid w:val="009B0BC5"/>
    <w:rsid w:val="009B1247"/>
    <w:rsid w:val="009B300A"/>
    <w:rsid w:val="009B6029"/>
    <w:rsid w:val="009B6971"/>
    <w:rsid w:val="009C1EEF"/>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B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25D"/>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9FF"/>
    <w:rsid w:val="00A57142"/>
    <w:rsid w:val="00A641A3"/>
    <w:rsid w:val="00A648CD"/>
    <w:rsid w:val="00A6537A"/>
    <w:rsid w:val="00A67866"/>
    <w:rsid w:val="00A70B07"/>
    <w:rsid w:val="00A723F8"/>
    <w:rsid w:val="00A7259B"/>
    <w:rsid w:val="00A73B76"/>
    <w:rsid w:val="00A77CCB"/>
    <w:rsid w:val="00A83D8D"/>
    <w:rsid w:val="00A8446B"/>
    <w:rsid w:val="00A8473F"/>
    <w:rsid w:val="00A862D6"/>
    <w:rsid w:val="00A8715E"/>
    <w:rsid w:val="00A911A6"/>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58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5FC"/>
    <w:rsid w:val="00C819F8"/>
    <w:rsid w:val="00C8248C"/>
    <w:rsid w:val="00C84E33"/>
    <w:rsid w:val="00C86D6F"/>
    <w:rsid w:val="00C905FC"/>
    <w:rsid w:val="00C92801"/>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6D6"/>
    <w:rsid w:val="00EC5359"/>
    <w:rsid w:val="00EC562A"/>
    <w:rsid w:val="00ED067A"/>
    <w:rsid w:val="00ED2B50"/>
    <w:rsid w:val="00EE0350"/>
    <w:rsid w:val="00EE0719"/>
    <w:rsid w:val="00EE0E80"/>
    <w:rsid w:val="00EE613F"/>
    <w:rsid w:val="00EE6B8E"/>
    <w:rsid w:val="00EE7295"/>
    <w:rsid w:val="00EE7869"/>
    <w:rsid w:val="00EF054A"/>
    <w:rsid w:val="00EF3235"/>
    <w:rsid w:val="00EF7E72"/>
    <w:rsid w:val="00F01B04"/>
    <w:rsid w:val="00F062AB"/>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00F"/>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FA4494"/>
    <w:rsid w:val="3D55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3E6B4CF7744BE19DB230CA7EB90F26"/>
        <w:style w:val=""/>
        <w:category>
          <w:name w:val="常规"/>
          <w:gallery w:val="placeholder"/>
        </w:category>
        <w:types>
          <w:type w:val="bbPlcHdr"/>
        </w:types>
        <w:behaviors>
          <w:behavior w:val="content"/>
        </w:behaviors>
        <w:description w:val=""/>
        <w:guid w:val="{3B991677-746C-48C8-A710-9244C6B887A6}"/>
      </w:docPartPr>
      <w:docPartBody>
        <w:p w14:paraId="309397F2">
          <w:pPr>
            <w:pStyle w:val="5"/>
            <w:rPr>
              <w:rFonts w:hint="eastAsia"/>
            </w:rPr>
          </w:pPr>
          <w:r>
            <w:rPr>
              <w:rStyle w:val="4"/>
              <w:rFonts w:hint="eastAsia"/>
            </w:rPr>
            <w:t>单击或点击此处输入文字。</w:t>
          </w:r>
        </w:p>
      </w:docPartBody>
    </w:docPart>
    <w:docPart>
      <w:docPartPr>
        <w:name w:val="ECE98E85A4D04155BD23D40E49AED488"/>
        <w:style w:val=""/>
        <w:category>
          <w:name w:val="常规"/>
          <w:gallery w:val="placeholder"/>
        </w:category>
        <w:types>
          <w:type w:val="bbPlcHdr"/>
        </w:types>
        <w:behaviors>
          <w:behavior w:val="content"/>
        </w:behaviors>
        <w:description w:val=""/>
        <w:guid w:val="{E7AA4E15-E5B6-43E3-B74C-51E301A909AD}"/>
      </w:docPartPr>
      <w:docPartBody>
        <w:p w14:paraId="1ABD9C6A">
          <w:pPr>
            <w:pStyle w:val="6"/>
            <w:rPr>
              <w:rFonts w:hint="eastAsia"/>
            </w:rPr>
          </w:pPr>
          <w:r>
            <w:rPr>
              <w:rStyle w:val="4"/>
              <w:rFonts w:hint="eastAsia"/>
            </w:rPr>
            <w:t>选择一项。</w:t>
          </w:r>
        </w:p>
      </w:docPartBody>
    </w:docPart>
    <w:docPart>
      <w:docPartPr>
        <w:name w:val="7875625D57984C1FAA4E569F9A25F47C"/>
        <w:style w:val=""/>
        <w:category>
          <w:name w:val="常规"/>
          <w:gallery w:val="placeholder"/>
        </w:category>
        <w:types>
          <w:type w:val="bbPlcHdr"/>
        </w:types>
        <w:behaviors>
          <w:behavior w:val="content"/>
        </w:behaviors>
        <w:description w:val=""/>
        <w:guid w:val="{56F77339-5016-4387-9826-BD19AE8F0CB8}"/>
      </w:docPartPr>
      <w:docPartBody>
        <w:p w14:paraId="7DEA329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ED"/>
    <w:rsid w:val="00542470"/>
    <w:rsid w:val="00760E8D"/>
    <w:rsid w:val="009F41ED"/>
    <w:rsid w:val="00A73B76"/>
    <w:rsid w:val="00AC0589"/>
    <w:rsid w:val="00C03345"/>
    <w:rsid w:val="00C8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53E6B4CF7744BE19DB230CA7EB90F2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CE98E85A4D04155BD23D40E49AED48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875625D57984C1FAA4E569F9A25F47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7041</Words>
  <Characters>7421</Characters>
  <Lines>62</Lines>
  <Paragraphs>17</Paragraphs>
  <TotalTime>139</TotalTime>
  <ScaleCrop>false</ScaleCrop>
  <LinksUpToDate>false</LinksUpToDate>
  <CharactersWithSpaces>7561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2025-04-09T06:38:00Z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2025-04-15T06:39:08Z</dcterms:modified>
  <dc:title>团体标准</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48D7BCC2600844D987D54C95ECA33BB9_12</vt:lpwstr>
  </property>
</Properties>
</file>