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19B6E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6528420">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16A381CA">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93.080.01</w:t>
            </w:r>
            <w:r>
              <w:rPr>
                <w:rFonts w:ascii="黑体" w:hAnsi="黑体" w:eastAsia="黑体"/>
                <w:sz w:val="21"/>
                <w:szCs w:val="21"/>
              </w:rPr>
              <w:fldChar w:fldCharType="end"/>
            </w:r>
            <w:bookmarkEnd w:id="0"/>
          </w:p>
        </w:tc>
      </w:tr>
      <w:tr w14:paraId="6FB38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87330DC">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5279A13F">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162632DA">
                  <w:pPr>
                    <w:pStyle w:val="49"/>
                    <w:framePr w:wrap="notBeside" w:vAnchor="page" w:hAnchor="page" w:x="1372" w:y="568"/>
                    <w:ind w:left="420" w:right="624"/>
                    <w:rPr>
                      <w:rFonts w:hint="eastAsia"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rPr>
                      <w:rFonts w:hint="eastAsia"/>
                    </w:rPr>
                    <w:t>CASMES</w:t>
                  </w:r>
                  <w:r>
                    <w:fldChar w:fldCharType="end"/>
                  </w:r>
                  <w:bookmarkEnd w:id="1"/>
                </w:p>
              </w:tc>
            </w:tr>
          </w:tbl>
          <w:p w14:paraId="1F2BD5BD">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P 66</w:t>
            </w:r>
            <w:r>
              <w:rPr>
                <w:rFonts w:ascii="黑体" w:hAnsi="黑体" w:eastAsia="黑体"/>
                <w:sz w:val="21"/>
                <w:szCs w:val="21"/>
              </w:rPr>
              <w:fldChar w:fldCharType="end"/>
            </w:r>
            <w:bookmarkEnd w:id="2"/>
          </w:p>
        </w:tc>
      </w:tr>
    </w:tbl>
    <w:p w14:paraId="54DE0977">
      <w:pPr>
        <w:pStyle w:val="50"/>
        <w:framePr w:w="9639" w:h="624" w:hRule="exact" w:hSpace="181" w:vSpace="181" w:wrap="around" w:hAnchor="page" w:x="1305" w:y="2269"/>
        <w:rPr>
          <w:rFonts w:hint="eastAsia"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ascii="黑体" w:eastAsia="黑体"/>
          <w:b w:val="0"/>
          <w:w w:val="100"/>
          <w:sz w:val="48"/>
        </w:rPr>
        <w:t>     </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651E0826">
      <w:pPr>
        <w:pStyle w:val="195"/>
        <w:framePr/>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rPr>
          <w:rFonts w:hint="eastAsia"/>
        </w:rPr>
        <w:t>CASMES</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rPr>
          <w:rFonts w:hint="eastAsia"/>
        </w:rPr>
        <w:t>2025</w:t>
      </w:r>
      <w:r>
        <w:fldChar w:fldCharType="end"/>
      </w:r>
      <w:bookmarkEnd w:id="7"/>
    </w:p>
    <w:p w14:paraId="4C2B858D">
      <w:pPr>
        <w:pStyle w:val="196"/>
        <w:framePr/>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3CAF53B4">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2D2B064B">
      <w:pPr>
        <w:pStyle w:val="50"/>
        <w:framePr w:w="9639" w:h="6976" w:hRule="exact" w:hSpace="0" w:vSpace="0" w:wrap="around" w:hAnchor="page" w:y="6408"/>
        <w:jc w:val="center"/>
        <w:rPr>
          <w:rFonts w:hint="eastAsia" w:ascii="黑体" w:hAnsi="黑体" w:eastAsia="黑体"/>
          <w:b w:val="0"/>
          <w:bCs w:val="0"/>
          <w:w w:val="100"/>
        </w:rPr>
      </w:pPr>
    </w:p>
    <w:p w14:paraId="669D4648">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市政道路工程施工技术规范 第1部分：路基工程</w:t>
      </w:r>
      <w:r>
        <w:fldChar w:fldCharType="end"/>
      </w:r>
      <w:bookmarkEnd w:id="9"/>
    </w:p>
    <w:p w14:paraId="3A9E2C98">
      <w:pPr>
        <w:framePr w:w="9639" w:h="6974" w:hRule="exact" w:wrap="around" w:vAnchor="page" w:hAnchor="page" w:x="1419" w:y="6408" w:anchorLock="1"/>
        <w:ind w:left="-1418"/>
      </w:pPr>
    </w:p>
    <w:p w14:paraId="6121A765">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Technical specification for the construction of municipal road engineering - Part 1: Roadbed engineering</w:t>
      </w:r>
      <w:r>
        <w:rPr>
          <w:rFonts w:eastAsia="黑体"/>
          <w:szCs w:val="28"/>
        </w:rPr>
        <w:fldChar w:fldCharType="end"/>
      </w:r>
      <w:bookmarkEnd w:id="10"/>
    </w:p>
    <w:p w14:paraId="631FC846">
      <w:pPr>
        <w:framePr w:w="9639" w:h="6974" w:hRule="exact" w:wrap="around" w:vAnchor="page" w:hAnchor="page" w:x="1419" w:y="6408" w:anchorLock="1"/>
        <w:spacing w:line="760" w:lineRule="exact"/>
        <w:ind w:left="-1418"/>
      </w:pPr>
    </w:p>
    <w:p w14:paraId="55530590">
      <w:pPr>
        <w:pStyle w:val="125"/>
        <w:framePr w:w="9639" w:h="6974" w:hRule="exact" w:wrap="around" w:vAnchor="page" w:hAnchor="page" w:x="1419" w:y="6408" w:anchorLock="1"/>
        <w:textAlignment w:val="bottom"/>
        <w:rPr>
          <w:rFonts w:eastAsia="黑体"/>
          <w:szCs w:val="28"/>
        </w:rPr>
      </w:pPr>
    </w:p>
    <w:p w14:paraId="6D0940DF">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170AA9DE">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0F23710F">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5DB503E5">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hint="eastAsia" w:ascii="黑体"/>
        </w:rPr>
        <w:t>2025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046351EB">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hint="eastAsia" w:ascii="黑体"/>
        </w:rPr>
        <w:t>2025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714A6329">
      <w:pPr>
        <w:pStyle w:val="151"/>
        <w:framePr w:h="584" w:hRule="exact" w:hSpace="181" w:vSpace="181" w:wrap="around" w:y="14800"/>
        <w:rPr>
          <w:rFonts w:hint="eastAsia"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中国中小企业协会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4DCAFDFA">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2D4E5259">
      <w:pPr>
        <w:pStyle w:val="91"/>
        <w:spacing w:after="360"/>
      </w:pPr>
      <w:bookmarkStart w:id="21" w:name="BookMark1"/>
      <w:bookmarkStart w:id="22" w:name="_Toc194568125"/>
      <w:r>
        <w:rPr>
          <w:rFonts w:hint="eastAsia"/>
          <w:spacing w:val="320"/>
        </w:rPr>
        <w:t>目</w:t>
      </w:r>
      <w:r>
        <w:rPr>
          <w:rFonts w:hint="eastAsia"/>
        </w:rPr>
        <w:t>次</w:t>
      </w:r>
    </w:p>
    <w:p w14:paraId="18B89541">
      <w:pPr>
        <w:pStyle w:val="19"/>
        <w:tabs>
          <w:tab w:val="right" w:leader="dot" w:pos="9344"/>
        </w:tabs>
        <w:rPr>
          <w:rFonts w:ascii="Times New Roman" w:hAnsi="Times New Roman" w:eastAsiaTheme="minorEastAsia"/>
          <w:sz w:val="22"/>
          <w:szCs w:val="24"/>
          <w14:ligatures w14:val="standardContextual"/>
        </w:rPr>
      </w:pPr>
      <w:r>
        <w:rPr>
          <w:rFonts w:ascii="Times New Roman" w:hAnsi="Times New Roman"/>
        </w:rPr>
        <w:fldChar w:fldCharType="begin"/>
      </w:r>
      <w:r>
        <w:rPr>
          <w:rFonts w:ascii="Times New Roman" w:hAnsi="Times New Roman"/>
        </w:rPr>
        <w:instrText xml:space="preserve"> TOC \o "1-1" \h </w:instrText>
      </w:r>
      <w:r>
        <w:rPr>
          <w:rFonts w:ascii="Times New Roman" w:hAnsi="Times New Roman"/>
        </w:rPr>
        <w:fldChar w:fldCharType="separate"/>
      </w:r>
      <w:r>
        <w:fldChar w:fldCharType="begin"/>
      </w:r>
      <w:r>
        <w:instrText xml:space="preserve"> HYPERLINK \l "_Toc194568189" </w:instrText>
      </w:r>
      <w:r>
        <w:fldChar w:fldCharType="separate"/>
      </w:r>
      <w:r>
        <w:rPr>
          <w:rStyle w:val="32"/>
          <w:rFonts w:ascii="Times New Roman"/>
        </w:rPr>
        <w:t>前言</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_Toc194568189 \h </w:instrText>
      </w:r>
      <w:r>
        <w:rPr>
          <w:rFonts w:ascii="Times New Roman" w:hAnsi="Times New Roman"/>
        </w:rPr>
        <w:fldChar w:fldCharType="separate"/>
      </w:r>
      <w:r>
        <w:rPr>
          <w:rFonts w:ascii="Times New Roman" w:hAnsi="Times New Roman"/>
        </w:rPr>
        <w:t>II</w:t>
      </w:r>
      <w:r>
        <w:rPr>
          <w:rFonts w:ascii="Times New Roman" w:hAnsi="Times New Roman"/>
        </w:rPr>
        <w:fldChar w:fldCharType="end"/>
      </w:r>
      <w:r>
        <w:rPr>
          <w:rFonts w:ascii="Times New Roman" w:hAnsi="Times New Roman"/>
        </w:rPr>
        <w:fldChar w:fldCharType="end"/>
      </w:r>
    </w:p>
    <w:p w14:paraId="7C4297B5">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"_Toc194568190" </w:instrText>
      </w:r>
      <w:r>
        <w:fldChar w:fldCharType="separate"/>
      </w:r>
      <w:r>
        <w:rPr>
          <w:rStyle w:val="32"/>
          <w:rFonts w:ascii="Times New Roman"/>
        </w:rPr>
        <w:t>1  范围</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_Toc194568190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21C2E454">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"_Toc194568191" </w:instrText>
      </w:r>
      <w:r>
        <w:fldChar w:fldCharType="separate"/>
      </w:r>
      <w:r>
        <w:rPr>
          <w:rStyle w:val="32"/>
          <w:rFonts w:ascii="Times New Roman"/>
        </w:rPr>
        <w:t>2  规范性引用文件</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_Toc194568191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4CBE41CE">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"_Toc194568192" </w:instrText>
      </w:r>
      <w:r>
        <w:fldChar w:fldCharType="separate"/>
      </w:r>
      <w:r>
        <w:rPr>
          <w:rStyle w:val="32"/>
          <w:rFonts w:ascii="Times New Roman"/>
        </w:rPr>
        <w:t>3  术语和定义</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_Toc194568192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39EF6D21">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"_Toc194568193" </w:instrText>
      </w:r>
      <w:r>
        <w:fldChar w:fldCharType="separate"/>
      </w:r>
      <w:r>
        <w:rPr>
          <w:rStyle w:val="32"/>
          <w:rFonts w:ascii="Times New Roman"/>
        </w:rPr>
        <w:t>4  施工准备</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_Toc194568193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313A570B">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"_Toc194568194" </w:instrText>
      </w:r>
      <w:r>
        <w:fldChar w:fldCharType="separate"/>
      </w:r>
      <w:r>
        <w:rPr>
          <w:rStyle w:val="32"/>
          <w:rFonts w:ascii="Times New Roman"/>
        </w:rPr>
        <w:t>5  路基施工工艺</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_Toc194568194 \h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r>
        <w:rPr>
          <w:rFonts w:ascii="Times New Roman" w:hAnsi="Times New Roman"/>
        </w:rPr>
        <w:fldChar w:fldCharType="end"/>
      </w:r>
    </w:p>
    <w:p w14:paraId="262A027C">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"_Toc194568195" </w:instrText>
      </w:r>
      <w:r>
        <w:fldChar w:fldCharType="separate"/>
      </w:r>
      <w:r>
        <w:rPr>
          <w:rStyle w:val="32"/>
          <w:rFonts w:ascii="Times New Roman"/>
        </w:rPr>
        <w:t>6  排水与防护</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_Toc194568195 \h </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r>
        <w:rPr>
          <w:rFonts w:ascii="Times New Roman" w:hAnsi="Times New Roman"/>
        </w:rPr>
        <w:fldChar w:fldCharType="end"/>
      </w:r>
    </w:p>
    <w:p w14:paraId="34AE1F72">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"_Toc194568196" </w:instrText>
      </w:r>
      <w:r>
        <w:fldChar w:fldCharType="separate"/>
      </w:r>
      <w:r>
        <w:rPr>
          <w:rStyle w:val="32"/>
          <w:rFonts w:ascii="Times New Roman"/>
        </w:rPr>
        <w:t>7  质量控制与验收</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_Toc194568196 \h </w:instrText>
      </w:r>
      <w:r>
        <w:rPr>
          <w:rFonts w:ascii="Times New Roman" w:hAnsi="Times New Roman"/>
        </w:rPr>
        <w:fldChar w:fldCharType="separate"/>
      </w:r>
      <w:r>
        <w:rPr>
          <w:rFonts w:ascii="Times New Roman" w:hAnsi="Times New Roman"/>
        </w:rPr>
        <w:t>6</w:t>
      </w:r>
      <w:r>
        <w:rPr>
          <w:rFonts w:ascii="Times New Roman" w:hAnsi="Times New Roman"/>
        </w:rPr>
        <w:fldChar w:fldCharType="end"/>
      </w:r>
      <w:r>
        <w:rPr>
          <w:rFonts w:ascii="Times New Roman" w:hAnsi="Times New Roman"/>
        </w:rPr>
        <w:fldChar w:fldCharType="end"/>
      </w:r>
    </w:p>
    <w:p w14:paraId="33299798">
      <w:pPr>
        <w:pStyle w:val="91"/>
        <w:spacing w:after="360"/>
        <w:rPr>
          <w:rFonts w:ascii="Times New Roman" w:hAnsi="Times New Roman"/>
        </w:rPr>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r>
        <w:rPr>
          <w:rFonts w:ascii="Times New Roman" w:hAnsi="Times New Roman"/>
        </w:rPr>
        <w:fldChar w:fldCharType="end"/>
      </w:r>
    </w:p>
    <w:bookmarkEnd w:id="21"/>
    <w:p w14:paraId="3F4F4E10">
      <w:pPr>
        <w:pStyle w:val="89"/>
        <w:spacing w:before="900" w:after="360"/>
        <w:rPr>
          <w:rFonts w:ascii="Times New Roman"/>
        </w:rPr>
      </w:pPr>
      <w:bookmarkStart w:id="23" w:name="_Toc194568189"/>
      <w:bookmarkStart w:id="24" w:name="BookMark2"/>
      <w:r>
        <w:rPr>
          <w:rFonts w:ascii="Times New Roman"/>
          <w:spacing w:val="320"/>
        </w:rPr>
        <w:t>前</w:t>
      </w:r>
      <w:r>
        <w:rPr>
          <w:rFonts w:ascii="Times New Roman"/>
        </w:rPr>
        <w:t>言</w:t>
      </w:r>
      <w:bookmarkEnd w:id="22"/>
      <w:bookmarkEnd w:id="23"/>
    </w:p>
    <w:p w14:paraId="5DC35975">
      <w:pPr>
        <w:pStyle w:val="56"/>
        <w:ind w:firstLine="420"/>
        <w:rPr>
          <w:rFonts w:ascii="Times New Roman"/>
        </w:rPr>
      </w:pPr>
      <w:r>
        <w:rPr>
          <w:rFonts w:ascii="Times New Roman"/>
        </w:rPr>
        <w:t>本文件按照GB/T 1.1—2020《标准化工作导则  第1部分：标准化文件的结构和起草规则》的规定起草。</w:t>
      </w:r>
    </w:p>
    <w:p w14:paraId="39F88C46">
      <w:pPr>
        <w:pStyle w:val="56"/>
        <w:ind w:firstLine="420"/>
        <w:rPr>
          <w:rFonts w:ascii="Times New Roman"/>
        </w:rPr>
      </w:pPr>
      <w:r>
        <w:rPr>
          <w:rFonts w:ascii="Times New Roman"/>
        </w:rPr>
        <w:t>请注意本文件的某些内容可能涉及专利。本文件的发布机构不承担识别专利的责任。</w:t>
      </w:r>
    </w:p>
    <w:p w14:paraId="1CA100DE">
      <w:pPr>
        <w:pStyle w:val="56"/>
        <w:ind w:firstLine="420"/>
        <w:rPr>
          <w:rFonts w:ascii="Times New Roman"/>
        </w:rPr>
      </w:pPr>
      <w:r>
        <w:rPr>
          <w:rFonts w:ascii="Times New Roman"/>
        </w:rPr>
        <w:t>本文件由</w:t>
      </w:r>
      <w:r>
        <w:rPr>
          <w:rFonts w:hint="eastAsia" w:ascii="Times New Roman"/>
        </w:rPr>
        <w:t>龙泉市城启建设发展有限公司</w:t>
      </w:r>
      <w:r>
        <w:rPr>
          <w:rFonts w:ascii="Times New Roman"/>
        </w:rPr>
        <w:t>提出。</w:t>
      </w:r>
    </w:p>
    <w:p w14:paraId="27D7EB74">
      <w:pPr>
        <w:pStyle w:val="56"/>
        <w:ind w:firstLine="420"/>
        <w:rPr>
          <w:rFonts w:ascii="Times New Roman"/>
        </w:rPr>
      </w:pPr>
      <w:r>
        <w:rPr>
          <w:rFonts w:ascii="Times New Roman"/>
        </w:rPr>
        <w:t>本文件由</w:t>
      </w:r>
      <w:r>
        <w:rPr>
          <w:rFonts w:hint="eastAsia" w:ascii="Times New Roman"/>
        </w:rPr>
        <w:t>中国中小企业协会</w:t>
      </w:r>
      <w:r>
        <w:rPr>
          <w:rFonts w:ascii="Times New Roman"/>
        </w:rPr>
        <w:t>归口。</w:t>
      </w:r>
    </w:p>
    <w:p w14:paraId="74E5A429">
      <w:pPr>
        <w:pStyle w:val="56"/>
        <w:ind w:firstLine="420"/>
        <w:rPr>
          <w:rFonts w:hint="eastAsia" w:ascii="Times New Roman" w:eastAsia="宋体"/>
          <w:lang w:eastAsia="zh-CN"/>
        </w:rPr>
      </w:pPr>
      <w:r>
        <w:rPr>
          <w:rFonts w:ascii="Times New Roman"/>
        </w:rPr>
        <w:t>本文件起草单位：</w:t>
      </w:r>
      <w:r>
        <w:rPr>
          <w:rFonts w:hint="eastAsia" w:ascii="Times New Roman"/>
        </w:rPr>
        <w:t>龙泉市城启建设发展有限公司</w:t>
      </w:r>
      <w:r>
        <w:rPr>
          <w:rFonts w:hint="eastAsia" w:ascii="Times New Roman"/>
          <w:lang w:eastAsia="zh-CN"/>
        </w:rPr>
        <w:t>。</w:t>
      </w:r>
      <w:bookmarkStart w:id="65" w:name="_GoBack"/>
      <w:bookmarkEnd w:id="65"/>
    </w:p>
    <w:p w14:paraId="4A6A95E1">
      <w:pPr>
        <w:pStyle w:val="56"/>
        <w:ind w:firstLine="420"/>
        <w:rPr>
          <w:rFonts w:ascii="Times New Roman"/>
        </w:rPr>
      </w:pPr>
      <w:r>
        <w:rPr>
          <w:rFonts w:ascii="Times New Roman"/>
        </w:rPr>
        <w:t>本文件主要起草人：</w:t>
      </w:r>
    </w:p>
    <w:p w14:paraId="666278EB">
      <w:pPr>
        <w:pStyle w:val="56"/>
        <w:ind w:firstLine="420"/>
        <w:rPr>
          <w:rFonts w:ascii="Times New Roman"/>
        </w:rPr>
      </w:pPr>
    </w:p>
    <w:p w14:paraId="12F9E2B9">
      <w:pPr>
        <w:pStyle w:val="56"/>
        <w:ind w:firstLine="420"/>
        <w:rPr>
          <w:rFonts w:ascii="Times New Roman"/>
        </w:rPr>
        <w:sectPr>
          <w:pgSz w:w="11906" w:h="16838"/>
          <w:pgMar w:top="1928" w:right="1134" w:bottom="1134" w:left="1134" w:header="1418" w:footer="1134" w:gutter="284"/>
          <w:pgNumType w:fmt="upperRoman"/>
          <w:cols w:space="425" w:num="1"/>
          <w:formProt w:val="0"/>
          <w:docGrid w:linePitch="312" w:charSpace="0"/>
        </w:sectPr>
      </w:pPr>
    </w:p>
    <w:bookmarkEnd w:id="24"/>
    <w:p w14:paraId="7F7E30D0">
      <w:pPr>
        <w:spacing w:line="20" w:lineRule="exact"/>
        <w:jc w:val="center"/>
        <w:rPr>
          <w:rFonts w:ascii="Times New Roman" w:hAnsi="Times New Roman" w:eastAsia="黑体"/>
          <w:sz w:val="32"/>
          <w:szCs w:val="32"/>
        </w:rPr>
      </w:pPr>
      <w:bookmarkStart w:id="25" w:name="BookMark4"/>
    </w:p>
    <w:p w14:paraId="2723A954">
      <w:pPr>
        <w:spacing w:line="20" w:lineRule="exact"/>
        <w:jc w:val="center"/>
        <w:rPr>
          <w:rFonts w:ascii="Times New Roman" w:hAnsi="Times New Roman" w:eastAsia="黑体"/>
          <w:sz w:val="32"/>
          <w:szCs w:val="32"/>
        </w:rPr>
      </w:pPr>
    </w:p>
    <w:sdt>
      <w:sdtPr>
        <w:rPr>
          <w:rFonts w:ascii="Times New Roman" w:hAnsi="Times New Roman"/>
        </w:rPr>
        <w:tag w:val="NEW_STAND_NAME"/>
        <w:id w:val="595910757"/>
        <w:lock w:val="sdtLocked"/>
        <w:placeholder>
          <w:docPart w:val="58D10DEFF6C74D3EAD59F9A687F5ED5B"/>
        </w:placeholder>
      </w:sdtPr>
      <w:sdtEndPr>
        <w:rPr>
          <w:rFonts w:ascii="Times New Roman" w:hAnsi="Times New Roman"/>
        </w:rPr>
      </w:sdtEndPr>
      <w:sdtContent>
        <w:p w14:paraId="1E23C878">
          <w:pPr>
            <w:pStyle w:val="177"/>
            <w:spacing w:before="2" w:beforeLines="1" w:after="528" w:afterLines="220"/>
            <w:rPr>
              <w:rFonts w:ascii="Times New Roman" w:hAnsi="Times New Roman"/>
            </w:rPr>
          </w:pPr>
          <w:bookmarkStart w:id="26" w:name="_Hlk194568232"/>
          <w:bookmarkStart w:id="27" w:name="NEW_STAND_NAME"/>
          <w:r>
            <w:rPr>
              <w:rFonts w:ascii="Times New Roman" w:hAnsi="Times New Roman"/>
            </w:rPr>
            <w:t>市政道路工程施工技术规范 第1部分：路基工程</w:t>
          </w:r>
        </w:p>
      </w:sdtContent>
    </w:sdt>
    <w:bookmarkEnd w:id="26"/>
    <w:bookmarkEnd w:id="27"/>
    <w:p w14:paraId="5DCE6BF9">
      <w:pPr>
        <w:pStyle w:val="104"/>
        <w:spacing w:before="240" w:after="240"/>
        <w:rPr>
          <w:rFonts w:ascii="Times New Roman"/>
        </w:rPr>
      </w:pPr>
      <w:bookmarkStart w:id="28" w:name="_Toc194568190"/>
      <w:bookmarkStart w:id="29" w:name="_Toc17233325"/>
      <w:bookmarkStart w:id="30" w:name="_Toc17233333"/>
      <w:bookmarkStart w:id="31" w:name="_Toc24884218"/>
      <w:bookmarkStart w:id="32" w:name="_Toc26986771"/>
      <w:bookmarkStart w:id="33" w:name="_Toc194568126"/>
      <w:bookmarkStart w:id="34" w:name="_Toc24884211"/>
      <w:bookmarkStart w:id="35" w:name="_Toc97192964"/>
      <w:bookmarkStart w:id="36" w:name="_Toc26648465"/>
      <w:bookmarkStart w:id="37" w:name="_Toc26986530"/>
      <w:bookmarkStart w:id="38" w:name="_Toc26718930"/>
      <w:r>
        <w:rPr>
          <w:rFonts w:ascii="Times New Roman"/>
        </w:rPr>
        <w:t>范围</w:t>
      </w:r>
      <w:bookmarkEnd w:id="28"/>
      <w:bookmarkEnd w:id="29"/>
      <w:bookmarkEnd w:id="30"/>
      <w:bookmarkEnd w:id="31"/>
      <w:bookmarkEnd w:id="32"/>
      <w:bookmarkEnd w:id="33"/>
      <w:bookmarkEnd w:id="34"/>
      <w:bookmarkEnd w:id="35"/>
      <w:bookmarkEnd w:id="36"/>
      <w:bookmarkEnd w:id="37"/>
      <w:bookmarkEnd w:id="38"/>
    </w:p>
    <w:p w14:paraId="514DECAB">
      <w:pPr>
        <w:pStyle w:val="56"/>
        <w:ind w:firstLine="420"/>
        <w:rPr>
          <w:rFonts w:ascii="Times New Roman"/>
        </w:rPr>
      </w:pPr>
      <w:bookmarkStart w:id="39" w:name="_Toc26648466"/>
      <w:bookmarkStart w:id="40" w:name="_Toc24884212"/>
      <w:bookmarkStart w:id="41" w:name="_Toc17233334"/>
      <w:bookmarkStart w:id="42" w:name="_Toc24884219"/>
      <w:bookmarkStart w:id="43" w:name="_Toc17233326"/>
      <w:r>
        <w:rPr>
          <w:rFonts w:ascii="Times New Roman"/>
        </w:rPr>
        <w:t>本文件规定了</w:t>
      </w:r>
      <w:bookmarkStart w:id="44" w:name="_Hlk194568111"/>
      <w:r>
        <w:rPr>
          <w:rFonts w:ascii="Times New Roman"/>
        </w:rPr>
        <w:t>市政道路工程路基施工</w:t>
      </w:r>
      <w:bookmarkEnd w:id="44"/>
      <w:r>
        <w:rPr>
          <w:rFonts w:ascii="Times New Roman"/>
        </w:rPr>
        <w:t>的术语和定义、施工准备、路基施工工艺、排水与防护、质量控制与验收。</w:t>
      </w:r>
    </w:p>
    <w:p w14:paraId="53111B21">
      <w:pPr>
        <w:pStyle w:val="56"/>
        <w:ind w:firstLine="420"/>
        <w:rPr>
          <w:rFonts w:ascii="Times New Roman"/>
        </w:rPr>
      </w:pPr>
      <w:r>
        <w:rPr>
          <w:rFonts w:ascii="Times New Roman"/>
        </w:rPr>
        <w:t>本文件适用于市政道路工程路基施工。</w:t>
      </w:r>
    </w:p>
    <w:p w14:paraId="524A9B80">
      <w:pPr>
        <w:pStyle w:val="104"/>
        <w:spacing w:before="240" w:after="240"/>
        <w:rPr>
          <w:rFonts w:ascii="Times New Roman"/>
        </w:rPr>
      </w:pPr>
      <w:bookmarkStart w:id="45" w:name="_Toc97192965"/>
      <w:bookmarkStart w:id="46" w:name="_Toc194568191"/>
      <w:bookmarkStart w:id="47" w:name="_Toc194568127"/>
      <w:bookmarkStart w:id="48" w:name="_Toc26718931"/>
      <w:bookmarkStart w:id="49" w:name="_Toc26986531"/>
      <w:bookmarkStart w:id="50" w:name="_Toc26986772"/>
      <w:r>
        <w:rPr>
          <w:rFonts w:ascii="Times New Roman"/>
        </w:rPr>
        <w:t>规范性引用文件</w:t>
      </w:r>
      <w:bookmarkEnd w:id="39"/>
      <w:bookmarkEnd w:id="40"/>
      <w:bookmarkEnd w:id="41"/>
      <w:bookmarkEnd w:id="42"/>
      <w:bookmarkEnd w:id="43"/>
      <w:bookmarkEnd w:id="45"/>
      <w:bookmarkEnd w:id="46"/>
      <w:bookmarkEnd w:id="47"/>
      <w:bookmarkEnd w:id="48"/>
      <w:bookmarkEnd w:id="49"/>
      <w:bookmarkEnd w:id="50"/>
    </w:p>
    <w:sdt>
      <w:sdtPr>
        <w:rPr>
          <w:rFonts w:ascii="Times New Roman"/>
        </w:rPr>
        <w:id w:val="715848253"/>
        <w:placeholder>
          <w:docPart w:val="0DFFF99ABE8B46B8939D1B7F45986ADE"/>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ascii="Times New Roman"/>
        </w:rPr>
      </w:sdtEndPr>
      <w:sdtContent>
        <w:p w14:paraId="133C6787">
          <w:pPr>
            <w:pStyle w:val="56"/>
            <w:ind w:firstLine="420"/>
            <w:rPr>
              <w:rFonts w:ascii="Times New Roman"/>
            </w:rPr>
          </w:pPr>
          <w:r>
            <w:rPr>
              <w:rFonts w:asci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0F5C5A59">
      <w:pPr>
        <w:pStyle w:val="56"/>
        <w:ind w:firstLine="420"/>
        <w:rPr>
          <w:rFonts w:ascii="Times New Roman"/>
        </w:rPr>
      </w:pPr>
      <w:r>
        <w:rPr>
          <w:rFonts w:ascii="Times New Roman"/>
        </w:rPr>
        <w:t>GB 50026 工程测量标准</w:t>
      </w:r>
    </w:p>
    <w:p w14:paraId="5AC7B3F5">
      <w:pPr>
        <w:pStyle w:val="56"/>
        <w:ind w:firstLine="420"/>
        <w:rPr>
          <w:rFonts w:ascii="Times New Roman"/>
        </w:rPr>
      </w:pPr>
      <w:r>
        <w:rPr>
          <w:rFonts w:ascii="Times New Roman"/>
        </w:rPr>
        <w:t>CJJ 1 城镇道路工程施工与质量验收规范</w:t>
      </w:r>
    </w:p>
    <w:p w14:paraId="6502B390">
      <w:pPr>
        <w:pStyle w:val="104"/>
        <w:spacing w:before="240" w:after="240"/>
        <w:rPr>
          <w:rFonts w:ascii="Times New Roman"/>
        </w:rPr>
      </w:pPr>
      <w:bookmarkStart w:id="51" w:name="_Toc194568128"/>
      <w:bookmarkStart w:id="52" w:name="_Toc97192966"/>
      <w:bookmarkStart w:id="53" w:name="_Toc194568192"/>
      <w:r>
        <w:rPr>
          <w:rFonts w:ascii="Times New Roman"/>
          <w:szCs w:val="21"/>
        </w:rPr>
        <w:t>术语和定义</w:t>
      </w:r>
      <w:bookmarkEnd w:id="51"/>
      <w:bookmarkEnd w:id="52"/>
      <w:bookmarkEnd w:id="53"/>
    </w:p>
    <w:sdt>
      <w:sdtPr>
        <w:rPr>
          <w:rFonts w:ascii="Times New Roman"/>
        </w:rPr>
        <w:id w:val="-1909835108"/>
        <w:placeholder>
          <w:docPart w:val="59C8C9C786B34825B45DF8CA6B30335F"/>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ascii="Times New Roman"/>
        </w:rPr>
      </w:sdtEndPr>
      <w:sdtContent>
        <w:p w14:paraId="33AF9419">
          <w:pPr>
            <w:pStyle w:val="56"/>
            <w:ind w:firstLine="420"/>
            <w:rPr>
              <w:rFonts w:ascii="Times New Roman"/>
            </w:rPr>
          </w:pPr>
          <w:bookmarkStart w:id="54" w:name="_Toc26986532"/>
          <w:bookmarkEnd w:id="54"/>
          <w:r>
            <w:rPr>
              <w:rFonts w:ascii="Times New Roman"/>
            </w:rPr>
            <w:t>下列术语和定义适用于本文件。</w:t>
          </w:r>
        </w:p>
      </w:sdtContent>
    </w:sdt>
    <w:p w14:paraId="71D1556D">
      <w:pPr>
        <w:pStyle w:val="223"/>
        <w:ind w:left="420" w:hanging="420" w:hangingChars="200"/>
        <w:rPr>
          <w:rFonts w:ascii="Times New Roman" w:eastAsia="黑体"/>
        </w:rPr>
      </w:pPr>
      <w:r>
        <w:rPr>
          <w:rFonts w:ascii="Times New Roman" w:eastAsia="黑体"/>
        </w:rPr>
        <w:br w:type="textWrapping"/>
      </w:r>
      <w:r>
        <w:rPr>
          <w:rFonts w:ascii="Times New Roman" w:eastAsia="黑体"/>
        </w:rPr>
        <w:t>路基 subgrade</w:t>
      </w:r>
    </w:p>
    <w:p w14:paraId="499CA2D8">
      <w:pPr>
        <w:pStyle w:val="56"/>
        <w:ind w:firstLine="420"/>
        <w:rPr>
          <w:rFonts w:ascii="Times New Roman"/>
        </w:rPr>
      </w:pPr>
      <w:r>
        <w:rPr>
          <w:rFonts w:ascii="Times New Roman"/>
        </w:rPr>
        <w:t>是轨道或者路面的基础，是经过开挖或填筑而形成的土工构筑物。</w:t>
      </w:r>
    </w:p>
    <w:p w14:paraId="06C72858">
      <w:pPr>
        <w:pStyle w:val="104"/>
        <w:spacing w:before="240" w:after="240"/>
        <w:rPr>
          <w:rFonts w:ascii="Times New Roman"/>
        </w:rPr>
      </w:pPr>
      <w:bookmarkStart w:id="55" w:name="_Toc194568193"/>
      <w:bookmarkStart w:id="56" w:name="_Toc194568129"/>
      <w:r>
        <w:rPr>
          <w:rFonts w:ascii="Times New Roman"/>
        </w:rPr>
        <w:t>施工准备</w:t>
      </w:r>
      <w:bookmarkEnd w:id="55"/>
      <w:bookmarkEnd w:id="56"/>
    </w:p>
    <w:p w14:paraId="59363175">
      <w:pPr>
        <w:pStyle w:val="105"/>
        <w:spacing w:before="120" w:after="120"/>
        <w:rPr>
          <w:rFonts w:ascii="Times New Roman"/>
        </w:rPr>
      </w:pPr>
      <w:r>
        <w:rPr>
          <w:rFonts w:ascii="Times New Roman"/>
        </w:rPr>
        <w:t>技术准备</w:t>
      </w:r>
    </w:p>
    <w:p w14:paraId="0F144B25">
      <w:pPr>
        <w:pStyle w:val="65"/>
        <w:spacing w:before="120" w:after="120"/>
        <w:rPr>
          <w:rFonts w:ascii="Times New Roman"/>
        </w:rPr>
      </w:pPr>
      <w:r>
        <w:rPr>
          <w:rFonts w:ascii="Times New Roman"/>
        </w:rPr>
        <w:t>施工图纸会审与交底</w:t>
      </w:r>
    </w:p>
    <w:p w14:paraId="189384AA">
      <w:pPr>
        <w:pStyle w:val="164"/>
        <w:rPr>
          <w:rFonts w:ascii="Times New Roman"/>
        </w:rPr>
      </w:pPr>
      <w:r>
        <w:rPr>
          <w:rFonts w:ascii="Times New Roman"/>
        </w:rPr>
        <w:t>施工单位应组织设计、监理及相关参建单位进行施工图纸会审，重点核对路基断面形式、高程控制点、地质条件等关键参数。图纸存在的疑问或冲突应以书面形式提出并形成会审记录。</w:t>
      </w:r>
    </w:p>
    <w:p w14:paraId="6E552667">
      <w:pPr>
        <w:pStyle w:val="164"/>
        <w:rPr>
          <w:rFonts w:ascii="Times New Roman"/>
        </w:rPr>
      </w:pPr>
      <w:r>
        <w:rPr>
          <w:rFonts w:ascii="Times New Roman"/>
        </w:rPr>
        <w:t>技术交底宜采用分级形式实施。项目总工程师应对施工管理人员进行总体交底，明确技术路线及质量目标；现场技术负责人应向作业班组进行分项交底，涵盖工艺要求、验收标准及安全措施。</w:t>
      </w:r>
    </w:p>
    <w:p w14:paraId="00F37B85">
      <w:pPr>
        <w:pStyle w:val="65"/>
        <w:spacing w:before="120" w:after="120"/>
        <w:rPr>
          <w:rFonts w:ascii="Times New Roman"/>
        </w:rPr>
      </w:pPr>
      <w:r>
        <w:rPr>
          <w:rFonts w:ascii="Times New Roman"/>
        </w:rPr>
        <w:t>施工组织设计与专项方案</w:t>
      </w:r>
    </w:p>
    <w:p w14:paraId="17D63FA3">
      <w:pPr>
        <w:pStyle w:val="164"/>
        <w:rPr>
          <w:rFonts w:ascii="Times New Roman"/>
        </w:rPr>
      </w:pPr>
      <w:r>
        <w:rPr>
          <w:rFonts w:ascii="Times New Roman"/>
        </w:rPr>
        <w:t>施工组织设计应基于工程规模、地质条件编制，明确填筑、开挖、排水等工序流程及资源配置计划，并报监理单位审批后实施。</w:t>
      </w:r>
    </w:p>
    <w:p w14:paraId="11540B0A">
      <w:pPr>
        <w:pStyle w:val="164"/>
        <w:rPr>
          <w:rFonts w:ascii="Times New Roman"/>
        </w:rPr>
      </w:pPr>
      <w:r>
        <w:rPr>
          <w:rFonts w:ascii="Times New Roman"/>
        </w:rPr>
        <w:t>涉及软基处理、高填方路基等特殊工程时，应编制专项施工方案。需专家论证的专项方案应通过评审后方可实施。</w:t>
      </w:r>
    </w:p>
    <w:p w14:paraId="6641E547">
      <w:pPr>
        <w:pStyle w:val="65"/>
        <w:spacing w:before="120" w:after="120"/>
        <w:rPr>
          <w:rFonts w:ascii="Times New Roman"/>
        </w:rPr>
      </w:pPr>
      <w:r>
        <w:rPr>
          <w:rFonts w:ascii="Times New Roman"/>
        </w:rPr>
        <w:t>测量与试验准备</w:t>
      </w:r>
    </w:p>
    <w:p w14:paraId="0905C830">
      <w:pPr>
        <w:pStyle w:val="164"/>
        <w:rPr>
          <w:rFonts w:ascii="Times New Roman"/>
        </w:rPr>
      </w:pPr>
      <w:r>
        <w:rPr>
          <w:rFonts w:ascii="Times New Roman"/>
        </w:rPr>
        <w:t>测量人员应复核设计控制点坐标及高程，建立施工测量控制网，现场设置的永久性或半永久性控制桩应标识保护范围。</w:t>
      </w:r>
    </w:p>
    <w:p w14:paraId="3DDD826C">
      <w:pPr>
        <w:pStyle w:val="164"/>
        <w:rPr>
          <w:rFonts w:ascii="Times New Roman"/>
        </w:rPr>
      </w:pPr>
      <w:r>
        <w:rPr>
          <w:rFonts w:ascii="Times New Roman"/>
        </w:rPr>
        <w:t>试验室应完成填筑材料的击实试验、CBR值测定等土工试验，确定最大干密度、最佳含水率等参数，形成试验报告作为施工依据。</w:t>
      </w:r>
    </w:p>
    <w:p w14:paraId="5FE509E8">
      <w:pPr>
        <w:pStyle w:val="105"/>
        <w:spacing w:before="120" w:after="120"/>
        <w:rPr>
          <w:rFonts w:ascii="Times New Roman"/>
        </w:rPr>
      </w:pPr>
      <w:r>
        <w:rPr>
          <w:rFonts w:ascii="Times New Roman"/>
        </w:rPr>
        <w:t>现场准备</w:t>
      </w:r>
    </w:p>
    <w:p w14:paraId="70B9EFDB">
      <w:pPr>
        <w:pStyle w:val="65"/>
        <w:spacing w:before="120" w:after="120"/>
        <w:rPr>
          <w:rFonts w:ascii="Times New Roman"/>
        </w:rPr>
      </w:pPr>
      <w:r>
        <w:rPr>
          <w:rFonts w:ascii="Times New Roman"/>
        </w:rPr>
        <w:t>场地清理</w:t>
      </w:r>
    </w:p>
    <w:p w14:paraId="283397F3">
      <w:pPr>
        <w:pStyle w:val="164"/>
        <w:rPr>
          <w:rFonts w:ascii="Times New Roman"/>
        </w:rPr>
      </w:pPr>
      <w:r>
        <w:rPr>
          <w:rFonts w:ascii="Times New Roman"/>
        </w:rPr>
        <w:t>施工前应对路基范围内的地表附着物进行全面清理，清理深度应符合设计要求。既有管线、电缆等地下设施应由产权单位迁移或保护，并留存影像记录。</w:t>
      </w:r>
    </w:p>
    <w:p w14:paraId="5E5914A0">
      <w:pPr>
        <w:pStyle w:val="164"/>
        <w:rPr>
          <w:rFonts w:ascii="Times New Roman"/>
        </w:rPr>
      </w:pPr>
      <w:r>
        <w:rPr>
          <w:rFonts w:ascii="Times New Roman"/>
        </w:rPr>
        <w:t>场地内积水、淤泥等不良区域应优先排水疏干，必要时可采取换填或晾晒措施。</w:t>
      </w:r>
    </w:p>
    <w:p w14:paraId="34A738BD">
      <w:pPr>
        <w:pStyle w:val="65"/>
        <w:spacing w:before="120" w:after="120"/>
        <w:rPr>
          <w:rFonts w:ascii="Times New Roman"/>
        </w:rPr>
      </w:pPr>
      <w:r>
        <w:rPr>
          <w:rFonts w:ascii="Times New Roman"/>
        </w:rPr>
        <w:t>施工测量放线</w:t>
      </w:r>
    </w:p>
    <w:p w14:paraId="0E386ACD">
      <w:pPr>
        <w:pStyle w:val="164"/>
        <w:rPr>
          <w:rFonts w:ascii="Times New Roman"/>
        </w:rPr>
      </w:pPr>
      <w:r>
        <w:rPr>
          <w:rFonts w:ascii="Times New Roman"/>
        </w:rPr>
        <w:t>测量放线应以中线、边线及高程控制为核心，每20 m～30 m布设一组边桩，弯道及变坡点应加密控制点。</w:t>
      </w:r>
    </w:p>
    <w:p w14:paraId="25660088">
      <w:pPr>
        <w:pStyle w:val="164"/>
        <w:rPr>
          <w:rFonts w:ascii="Times New Roman"/>
        </w:rPr>
      </w:pPr>
      <w:r>
        <w:rPr>
          <w:rFonts w:ascii="Times New Roman"/>
        </w:rPr>
        <w:t>放线误差应符合规范要求，中线偏差不宜超过±50 mm，高程允许偏差为±10 mm。坡脚线、排水沟等关键界线应撒灰线或插设标志杆。</w:t>
      </w:r>
    </w:p>
    <w:p w14:paraId="6D8023AE">
      <w:pPr>
        <w:pStyle w:val="164"/>
        <w:rPr>
          <w:rFonts w:ascii="Times New Roman"/>
        </w:rPr>
      </w:pPr>
      <w:r>
        <w:rPr>
          <w:rFonts w:ascii="Times New Roman"/>
        </w:rPr>
        <w:t>应根据设计文件和现场控制点进行施工测量放线，测量精度应符合</w:t>
      </w:r>
      <w:bookmarkStart w:id="57" w:name="_Hlk194567876"/>
      <w:r>
        <w:rPr>
          <w:rFonts w:ascii="Times New Roman"/>
        </w:rPr>
        <w:t>GB 50026</w:t>
      </w:r>
      <w:bookmarkEnd w:id="57"/>
      <w:r>
        <w:rPr>
          <w:rFonts w:ascii="Times New Roman"/>
        </w:rPr>
        <w:t>的规定。</w:t>
      </w:r>
    </w:p>
    <w:p w14:paraId="0F0C5C8E">
      <w:pPr>
        <w:pStyle w:val="65"/>
        <w:spacing w:before="120" w:after="120"/>
        <w:rPr>
          <w:rFonts w:ascii="Times New Roman"/>
        </w:rPr>
      </w:pPr>
      <w:r>
        <w:rPr>
          <w:rFonts w:ascii="Times New Roman"/>
        </w:rPr>
        <w:t>临时设施布置</w:t>
      </w:r>
    </w:p>
    <w:p w14:paraId="68476BA1">
      <w:pPr>
        <w:pStyle w:val="164"/>
        <w:rPr>
          <w:rFonts w:ascii="Times New Roman"/>
        </w:rPr>
      </w:pPr>
      <w:r>
        <w:rPr>
          <w:rFonts w:ascii="Times New Roman"/>
        </w:rPr>
        <w:t>施工便道宜沿路基外侧布设，宽度不宜小于4 m，并采用碎石或渣土硬化，确保雨季通行能力。</w:t>
      </w:r>
    </w:p>
    <w:p w14:paraId="16F8FA99">
      <w:pPr>
        <w:pStyle w:val="164"/>
        <w:rPr>
          <w:rFonts w:ascii="Times New Roman"/>
        </w:rPr>
      </w:pPr>
      <w:r>
        <w:rPr>
          <w:rFonts w:ascii="Times New Roman"/>
        </w:rPr>
        <w:t>临时排水系统应与永久排水设施衔接，两侧临时排水沟断面尺寸应依据汇水面积计算确定。</w:t>
      </w:r>
    </w:p>
    <w:p w14:paraId="68B283C4">
      <w:pPr>
        <w:pStyle w:val="164"/>
        <w:rPr>
          <w:rFonts w:ascii="Times New Roman"/>
        </w:rPr>
      </w:pPr>
      <w:r>
        <w:rPr>
          <w:rFonts w:ascii="Times New Roman"/>
        </w:rPr>
        <w:t>材料堆放区、机械停放区应远离边坡及敏感区域，并采取防尘、防雨覆盖措施。</w:t>
      </w:r>
    </w:p>
    <w:p w14:paraId="7B6A3444">
      <w:pPr>
        <w:pStyle w:val="105"/>
        <w:spacing w:before="120" w:after="120"/>
        <w:rPr>
          <w:rFonts w:ascii="Times New Roman"/>
        </w:rPr>
      </w:pPr>
      <w:r>
        <w:rPr>
          <w:rFonts w:ascii="Times New Roman"/>
        </w:rPr>
        <w:t>材料与设备准备</w:t>
      </w:r>
    </w:p>
    <w:p w14:paraId="3464101C">
      <w:pPr>
        <w:pStyle w:val="65"/>
        <w:spacing w:before="120" w:after="120"/>
        <w:rPr>
          <w:rFonts w:ascii="Times New Roman"/>
        </w:rPr>
      </w:pPr>
      <w:r>
        <w:rPr>
          <w:rFonts w:ascii="Times New Roman"/>
        </w:rPr>
        <w:t>填筑材料管理</w:t>
      </w:r>
    </w:p>
    <w:p w14:paraId="7DCAE24D">
      <w:pPr>
        <w:pStyle w:val="164"/>
        <w:rPr>
          <w:rFonts w:ascii="Times New Roman"/>
        </w:rPr>
      </w:pPr>
      <w:r>
        <w:rPr>
          <w:rFonts w:ascii="Times New Roman"/>
        </w:rPr>
        <w:t>路基填料应符合设计规定的土质类别、颗粒级配及有机质含量要求，不应使用淤泥、冻土、膨胀土等不合格材料。</w:t>
      </w:r>
    </w:p>
    <w:p w14:paraId="6B58A5E5">
      <w:pPr>
        <w:pStyle w:val="164"/>
        <w:rPr>
          <w:rFonts w:ascii="Times New Roman"/>
        </w:rPr>
      </w:pPr>
      <w:r>
        <w:rPr>
          <w:rFonts w:ascii="Times New Roman"/>
        </w:rPr>
        <w:t>填料进场前应抽样检测含水率，宜控制在最佳含水率±2%范围内。含水率过高时应翻晒，过低时可洒水闷料。</w:t>
      </w:r>
    </w:p>
    <w:p w14:paraId="42E14132">
      <w:pPr>
        <w:pStyle w:val="164"/>
        <w:rPr>
          <w:rFonts w:ascii="Times New Roman"/>
        </w:rPr>
      </w:pPr>
      <w:r>
        <w:rPr>
          <w:rFonts w:ascii="Times New Roman"/>
        </w:rPr>
        <w:t>材料应分区分类堆放，并设置标识牌标明名称、来源及检测状态。</w:t>
      </w:r>
    </w:p>
    <w:p w14:paraId="44AD80CB">
      <w:pPr>
        <w:pStyle w:val="65"/>
        <w:spacing w:before="120" w:after="120"/>
        <w:rPr>
          <w:rFonts w:ascii="Times New Roman"/>
        </w:rPr>
      </w:pPr>
      <w:r>
        <w:rPr>
          <w:rFonts w:ascii="Times New Roman"/>
        </w:rPr>
        <w:t>施工机械配置</w:t>
      </w:r>
    </w:p>
    <w:p w14:paraId="4F32D638">
      <w:pPr>
        <w:pStyle w:val="164"/>
        <w:rPr>
          <w:rFonts w:ascii="Times New Roman"/>
        </w:rPr>
      </w:pPr>
      <w:r>
        <w:rPr>
          <w:rFonts w:ascii="Times New Roman"/>
        </w:rPr>
        <w:t>主要机械设备应包括挖掘机、推土机、压路机（静压、振动）、平地机、自卸车等，其规格及数量应满足分层填筑、连续作业需求。</w:t>
      </w:r>
    </w:p>
    <w:p w14:paraId="6C510074">
      <w:pPr>
        <w:pStyle w:val="164"/>
        <w:rPr>
          <w:rFonts w:ascii="Times New Roman"/>
        </w:rPr>
      </w:pPr>
      <w:r>
        <w:rPr>
          <w:rFonts w:ascii="Times New Roman"/>
        </w:rPr>
        <w:t>压路机选型应与填料类型匹配，黏性土宜采用凸块式振动压路机，砂性土可采用轮胎压路机。</w:t>
      </w:r>
    </w:p>
    <w:p w14:paraId="7A8B415F">
      <w:pPr>
        <w:pStyle w:val="164"/>
        <w:rPr>
          <w:rFonts w:ascii="Times New Roman"/>
        </w:rPr>
      </w:pPr>
      <w:r>
        <w:rPr>
          <w:rFonts w:ascii="Times New Roman"/>
        </w:rPr>
        <w:t>设备进场前应检查性能状况，特种设备应提供检验合格证明，操作人员应持证上岗。</w:t>
      </w:r>
    </w:p>
    <w:p w14:paraId="03849C07">
      <w:pPr>
        <w:pStyle w:val="65"/>
        <w:spacing w:before="120" w:after="120"/>
        <w:rPr>
          <w:rFonts w:ascii="Times New Roman"/>
        </w:rPr>
      </w:pPr>
      <w:r>
        <w:rPr>
          <w:rFonts w:ascii="Times New Roman"/>
        </w:rPr>
        <w:t>检测仪器配备</w:t>
      </w:r>
    </w:p>
    <w:p w14:paraId="116257DE">
      <w:pPr>
        <w:pStyle w:val="164"/>
        <w:rPr>
          <w:rFonts w:ascii="Times New Roman"/>
        </w:rPr>
      </w:pPr>
      <w:r>
        <w:rPr>
          <w:rFonts w:ascii="Times New Roman"/>
        </w:rPr>
        <w:t>现场应配备环刀、灌砂筒、核子密度仪等压实度检测设备，以及全站仪、水准仪等测量仪器，设备应经计量检定合格。</w:t>
      </w:r>
    </w:p>
    <w:p w14:paraId="04D19048">
      <w:pPr>
        <w:pStyle w:val="164"/>
        <w:rPr>
          <w:rFonts w:ascii="Times New Roman"/>
        </w:rPr>
      </w:pPr>
      <w:r>
        <w:rPr>
          <w:rFonts w:ascii="Times New Roman"/>
        </w:rPr>
        <w:t>试验室宜建立检测台账，记录检测时间、部位及结果，确保数据可追溯。</w:t>
      </w:r>
    </w:p>
    <w:p w14:paraId="5E6BF927">
      <w:pPr>
        <w:pStyle w:val="105"/>
        <w:spacing w:before="120" w:after="120"/>
        <w:rPr>
          <w:rFonts w:ascii="Times New Roman"/>
        </w:rPr>
      </w:pPr>
      <w:r>
        <w:rPr>
          <w:rFonts w:ascii="Times New Roman"/>
        </w:rPr>
        <w:t>其他准备工作</w:t>
      </w:r>
    </w:p>
    <w:p w14:paraId="6F423398">
      <w:pPr>
        <w:pStyle w:val="65"/>
        <w:spacing w:before="120" w:after="120"/>
        <w:rPr>
          <w:rFonts w:ascii="Times New Roman"/>
        </w:rPr>
      </w:pPr>
      <w:r>
        <w:rPr>
          <w:rFonts w:ascii="Times New Roman"/>
        </w:rPr>
        <w:t>交安与环保措施</w:t>
      </w:r>
    </w:p>
    <w:p w14:paraId="59C233AC">
      <w:pPr>
        <w:pStyle w:val="164"/>
        <w:rPr>
          <w:rFonts w:ascii="Times New Roman"/>
        </w:rPr>
      </w:pPr>
      <w:r>
        <w:rPr>
          <w:rFonts w:ascii="Times New Roman"/>
        </w:rPr>
        <w:t>施工区域周边应设置围挡及警示标志，夜间作业应配备警示灯。临近居民区时宜采取降噪措施。</w:t>
      </w:r>
    </w:p>
    <w:p w14:paraId="0A45253B">
      <w:pPr>
        <w:pStyle w:val="164"/>
        <w:rPr>
          <w:rFonts w:ascii="Times New Roman"/>
        </w:rPr>
      </w:pPr>
      <w:r>
        <w:rPr>
          <w:rFonts w:ascii="Times New Roman"/>
        </w:rPr>
        <w:t>土方运输车辆应密闭或覆盖，出场前应冲洗轮胎，防止污染市政道路。</w:t>
      </w:r>
    </w:p>
    <w:p w14:paraId="5A621F1A">
      <w:pPr>
        <w:pStyle w:val="65"/>
        <w:spacing w:before="120" w:after="120"/>
        <w:rPr>
          <w:rFonts w:ascii="Times New Roman"/>
        </w:rPr>
      </w:pPr>
      <w:r>
        <w:rPr>
          <w:rFonts w:ascii="Times New Roman"/>
        </w:rPr>
        <w:t>应急预案编制</w:t>
      </w:r>
    </w:p>
    <w:p w14:paraId="0150128C">
      <w:pPr>
        <w:pStyle w:val="164"/>
        <w:rPr>
          <w:rFonts w:ascii="Times New Roman"/>
        </w:rPr>
      </w:pPr>
      <w:r>
        <w:rPr>
          <w:rFonts w:ascii="Times New Roman"/>
        </w:rPr>
        <w:t>应针对雨季滑坡、机械伤害等风险编制应急预案，并储备砂袋、抽水泵等应急物资。</w:t>
      </w:r>
    </w:p>
    <w:p w14:paraId="21636142">
      <w:pPr>
        <w:pStyle w:val="164"/>
        <w:rPr>
          <w:rFonts w:ascii="Times New Roman"/>
        </w:rPr>
      </w:pPr>
      <w:r>
        <w:rPr>
          <w:rFonts w:ascii="Times New Roman"/>
        </w:rPr>
        <w:t>施工前应组织应急演练，明确人员分工及处置流程。</w:t>
      </w:r>
    </w:p>
    <w:p w14:paraId="72F242AF">
      <w:pPr>
        <w:pStyle w:val="104"/>
        <w:spacing w:before="240" w:after="240"/>
        <w:rPr>
          <w:rFonts w:ascii="Times New Roman"/>
        </w:rPr>
      </w:pPr>
      <w:bookmarkStart w:id="58" w:name="_Toc194568130"/>
      <w:bookmarkStart w:id="59" w:name="_Toc194568194"/>
      <w:r>
        <w:rPr>
          <w:rFonts w:ascii="Times New Roman"/>
        </w:rPr>
        <w:t>路基施工工艺</w:t>
      </w:r>
      <w:bookmarkEnd w:id="58"/>
      <w:bookmarkEnd w:id="59"/>
    </w:p>
    <w:p w14:paraId="52F51D5F">
      <w:pPr>
        <w:pStyle w:val="105"/>
        <w:spacing w:before="120" w:after="120"/>
        <w:rPr>
          <w:rFonts w:ascii="Times New Roman"/>
        </w:rPr>
      </w:pPr>
      <w:r>
        <w:rPr>
          <w:rFonts w:ascii="Times New Roman"/>
        </w:rPr>
        <w:t>一般规定</w:t>
      </w:r>
    </w:p>
    <w:p w14:paraId="37CF71D0">
      <w:pPr>
        <w:pStyle w:val="165"/>
        <w:rPr>
          <w:rFonts w:ascii="Times New Roman"/>
        </w:rPr>
      </w:pPr>
      <w:r>
        <w:rPr>
          <w:rFonts w:ascii="Times New Roman"/>
        </w:rPr>
        <w:t>路基施工应遵循“先地下、后地上”原则，优先完成排水系统及隐蔽工程施工。</w:t>
      </w:r>
    </w:p>
    <w:p w14:paraId="2C4E09DC">
      <w:pPr>
        <w:pStyle w:val="165"/>
        <w:rPr>
          <w:rFonts w:ascii="Times New Roman"/>
        </w:rPr>
      </w:pPr>
      <w:r>
        <w:rPr>
          <w:rFonts w:ascii="Times New Roman"/>
        </w:rPr>
        <w:t>施工过程中应保护测量控制桩及临时排水设施，避免机械碾压或人为破坏。</w:t>
      </w:r>
    </w:p>
    <w:p w14:paraId="38FD587F">
      <w:pPr>
        <w:pStyle w:val="165"/>
        <w:rPr>
          <w:rFonts w:ascii="Times New Roman"/>
        </w:rPr>
      </w:pPr>
      <w:r>
        <w:rPr>
          <w:rFonts w:ascii="Times New Roman"/>
        </w:rPr>
        <w:t>路基宜按纵向分段、水平分层方式组织施工，每段长度宜为100 m～200 m。</w:t>
      </w:r>
    </w:p>
    <w:p w14:paraId="6A38DDB8">
      <w:pPr>
        <w:pStyle w:val="165"/>
        <w:rPr>
          <w:rFonts w:ascii="Times New Roman"/>
        </w:rPr>
      </w:pPr>
      <w:r>
        <w:rPr>
          <w:rFonts w:ascii="Times New Roman"/>
        </w:rPr>
        <w:t>填方与挖方交界处应开挖台阶，台阶宽度不宜小于1.0 m，并设置向内2%～4%的横坡。</w:t>
      </w:r>
    </w:p>
    <w:p w14:paraId="42ABF2B2">
      <w:pPr>
        <w:pStyle w:val="105"/>
        <w:spacing w:before="120" w:after="120"/>
        <w:rPr>
          <w:rFonts w:ascii="Times New Roman"/>
        </w:rPr>
      </w:pPr>
      <w:r>
        <w:rPr>
          <w:rFonts w:ascii="Times New Roman"/>
        </w:rPr>
        <w:t>路基开挖</w:t>
      </w:r>
    </w:p>
    <w:p w14:paraId="598A779F">
      <w:pPr>
        <w:pStyle w:val="65"/>
        <w:spacing w:before="120" w:after="120"/>
        <w:rPr>
          <w:rFonts w:ascii="Times New Roman"/>
        </w:rPr>
      </w:pPr>
      <w:r>
        <w:rPr>
          <w:rFonts w:ascii="Times New Roman"/>
        </w:rPr>
        <w:t>土方开挖</w:t>
      </w:r>
    </w:p>
    <w:p w14:paraId="301BEA40">
      <w:pPr>
        <w:pStyle w:val="164"/>
        <w:rPr>
          <w:rFonts w:ascii="Times New Roman"/>
        </w:rPr>
      </w:pPr>
      <w:r>
        <w:rPr>
          <w:rFonts w:ascii="Times New Roman"/>
        </w:rPr>
        <w:t>开挖前应清除表层耕植土或腐殖土，清理深度应根据设计要求确定，宜为0.3 m～0.5 m。</w:t>
      </w:r>
    </w:p>
    <w:p w14:paraId="39F66AC6">
      <w:pPr>
        <w:pStyle w:val="164"/>
        <w:rPr>
          <w:rFonts w:ascii="Times New Roman"/>
        </w:rPr>
      </w:pPr>
      <w:r>
        <w:rPr>
          <w:rFonts w:ascii="Times New Roman"/>
        </w:rPr>
        <w:t>挖方边坡应按设计坡比放坡，开挖过程中应随挖随测，防止超挖或欠挖。</w:t>
      </w:r>
    </w:p>
    <w:p w14:paraId="3D6AF962">
      <w:pPr>
        <w:pStyle w:val="164"/>
        <w:rPr>
          <w:rFonts w:ascii="Times New Roman"/>
        </w:rPr>
      </w:pPr>
      <w:r>
        <w:rPr>
          <w:rFonts w:ascii="Times New Roman"/>
        </w:rPr>
        <w:t>土方开挖宜采用横向全宽掘进法，弃土应及时外运或用于填方区域，不得堆积于坡顶。</w:t>
      </w:r>
    </w:p>
    <w:p w14:paraId="03C5AC8C">
      <w:pPr>
        <w:pStyle w:val="65"/>
        <w:spacing w:before="120" w:after="120"/>
        <w:rPr>
          <w:rFonts w:ascii="Times New Roman"/>
        </w:rPr>
      </w:pPr>
      <w:r>
        <w:rPr>
          <w:rFonts w:ascii="Times New Roman"/>
        </w:rPr>
        <w:t>石方开挖</w:t>
      </w:r>
    </w:p>
    <w:p w14:paraId="51792384">
      <w:pPr>
        <w:pStyle w:val="164"/>
        <w:rPr>
          <w:rFonts w:ascii="Times New Roman"/>
        </w:rPr>
      </w:pPr>
      <w:r>
        <w:rPr>
          <w:rFonts w:ascii="Times New Roman"/>
        </w:rPr>
        <w:t>硬质岩层可采用爆破法施工，爆破方案应经审批后实施，并采取减震、防飞石措施。</w:t>
      </w:r>
    </w:p>
    <w:p w14:paraId="2F5462AF">
      <w:pPr>
        <w:pStyle w:val="164"/>
        <w:rPr>
          <w:rFonts w:ascii="Times New Roman"/>
        </w:rPr>
      </w:pPr>
      <w:r>
        <w:rPr>
          <w:rFonts w:ascii="Times New Roman"/>
        </w:rPr>
        <w:t>爆破后应清理松动岩块，边坡修整应采用机械与人工结合方式，确保坡面平整稳定。</w:t>
      </w:r>
    </w:p>
    <w:p w14:paraId="575FBCD4">
      <w:pPr>
        <w:pStyle w:val="65"/>
        <w:spacing w:before="120" w:after="120"/>
        <w:rPr>
          <w:rFonts w:ascii="Times New Roman"/>
        </w:rPr>
      </w:pPr>
      <w:r>
        <w:rPr>
          <w:rFonts w:ascii="Times New Roman"/>
        </w:rPr>
        <w:t>基底处理</w:t>
      </w:r>
    </w:p>
    <w:p w14:paraId="0EDBEA55">
      <w:pPr>
        <w:pStyle w:val="164"/>
        <w:rPr>
          <w:rFonts w:ascii="Times New Roman"/>
        </w:rPr>
      </w:pPr>
      <w:r>
        <w:rPr>
          <w:rFonts w:ascii="Times New Roman"/>
        </w:rPr>
        <w:t>开挖至设计标高后，应检测基底压实度及承载力。若遇软弱土层，应按设计要求换填或加固。</w:t>
      </w:r>
    </w:p>
    <w:p w14:paraId="25B98623">
      <w:pPr>
        <w:pStyle w:val="164"/>
        <w:rPr>
          <w:rFonts w:ascii="Times New Roman"/>
        </w:rPr>
      </w:pPr>
      <w:r>
        <w:rPr>
          <w:rFonts w:ascii="Times New Roman"/>
        </w:rPr>
        <w:t>基底横坡陡于1:5时，应开挖台阶，台阶高度宜为0.3 m～0.5 m，宽度不宜小于1.0 m。</w:t>
      </w:r>
    </w:p>
    <w:p w14:paraId="2F5EB876">
      <w:pPr>
        <w:pStyle w:val="105"/>
        <w:spacing w:before="120" w:after="120"/>
        <w:rPr>
          <w:rFonts w:ascii="Times New Roman"/>
        </w:rPr>
      </w:pPr>
      <w:r>
        <w:rPr>
          <w:rFonts w:ascii="Times New Roman"/>
        </w:rPr>
        <w:t>路基填筑</w:t>
      </w:r>
    </w:p>
    <w:p w14:paraId="5FD744E8">
      <w:pPr>
        <w:pStyle w:val="65"/>
        <w:spacing w:before="120" w:after="120"/>
        <w:rPr>
          <w:rFonts w:ascii="Times New Roman"/>
        </w:rPr>
      </w:pPr>
      <w:r>
        <w:rPr>
          <w:rFonts w:ascii="Times New Roman"/>
        </w:rPr>
        <w:t>分层填筑</w:t>
      </w:r>
    </w:p>
    <w:p w14:paraId="607B6167">
      <w:pPr>
        <w:pStyle w:val="164"/>
        <w:rPr>
          <w:rFonts w:ascii="Times New Roman"/>
        </w:rPr>
      </w:pPr>
      <w:r>
        <w:rPr>
          <w:rFonts w:ascii="Times New Roman"/>
        </w:rPr>
        <w:t>填筑应分层进行，每层松铺厚度应根据压实机械类型确定：振动压路机宜为30 cm～40 cm，静压压路机宜为20 cm～30 cm。</w:t>
      </w:r>
    </w:p>
    <w:p w14:paraId="7854A68C">
      <w:pPr>
        <w:pStyle w:val="164"/>
        <w:rPr>
          <w:rFonts w:ascii="Times New Roman"/>
        </w:rPr>
      </w:pPr>
      <w:r>
        <w:rPr>
          <w:rFonts w:ascii="Times New Roman"/>
        </w:rPr>
        <w:t>不同土质填料应分段填筑，同一层内不得混填。透水性差的土宜填筑于路堤下层。</w:t>
      </w:r>
    </w:p>
    <w:p w14:paraId="551AF7A5">
      <w:pPr>
        <w:pStyle w:val="65"/>
        <w:spacing w:before="120" w:after="120"/>
        <w:rPr>
          <w:rFonts w:ascii="Times New Roman"/>
        </w:rPr>
      </w:pPr>
      <w:r>
        <w:rPr>
          <w:rFonts w:ascii="Times New Roman"/>
        </w:rPr>
        <w:t>摊铺与整平</w:t>
      </w:r>
    </w:p>
    <w:p w14:paraId="069B5228">
      <w:pPr>
        <w:pStyle w:val="164"/>
        <w:rPr>
          <w:rFonts w:ascii="Times New Roman"/>
        </w:rPr>
      </w:pPr>
      <w:r>
        <w:rPr>
          <w:rFonts w:ascii="Times New Roman"/>
        </w:rPr>
        <w:t>填料摊铺宜采用推土机粗平、平地机精平，松铺表面应形成2%～4%的横坡以利排水。</w:t>
      </w:r>
    </w:p>
    <w:p w14:paraId="0FAB7A83">
      <w:pPr>
        <w:pStyle w:val="164"/>
        <w:rPr>
          <w:rFonts w:ascii="Times New Roman"/>
        </w:rPr>
      </w:pPr>
      <w:r>
        <w:rPr>
          <w:rFonts w:ascii="Times New Roman"/>
        </w:rPr>
        <w:t>填石路基应分层码砌，最大粒径不宜超过层厚的2/3，空隙率应小于20%。</w:t>
      </w:r>
    </w:p>
    <w:p w14:paraId="30041EA2">
      <w:pPr>
        <w:pStyle w:val="65"/>
        <w:spacing w:before="120" w:after="120"/>
        <w:rPr>
          <w:rFonts w:ascii="Times New Roman"/>
        </w:rPr>
      </w:pPr>
      <w:r>
        <w:rPr>
          <w:rFonts w:ascii="Times New Roman"/>
        </w:rPr>
        <w:t>碾压工艺</w:t>
      </w:r>
    </w:p>
    <w:p w14:paraId="2917F396">
      <w:pPr>
        <w:pStyle w:val="164"/>
        <w:rPr>
          <w:rFonts w:ascii="Times New Roman"/>
        </w:rPr>
      </w:pPr>
      <w:r>
        <w:rPr>
          <w:rFonts w:ascii="Times New Roman"/>
        </w:rPr>
        <w:t>碾压应遵循“先轻后重、先慢后快、先静压后振动”原则，轮迹重叠宽度宜为1/3轮宽。</w:t>
      </w:r>
    </w:p>
    <w:p w14:paraId="16E886F4">
      <w:pPr>
        <w:pStyle w:val="164"/>
        <w:rPr>
          <w:rFonts w:ascii="Times New Roman"/>
        </w:rPr>
      </w:pPr>
      <w:r>
        <w:rPr>
          <w:rFonts w:ascii="Times New Roman"/>
        </w:rPr>
        <w:t>压路机无法碾压的边角区域应采用小型夯机补压，压实度不得低于相邻区域。</w:t>
      </w:r>
    </w:p>
    <w:p w14:paraId="6FBEC159">
      <w:pPr>
        <w:pStyle w:val="65"/>
        <w:spacing w:before="120" w:after="120"/>
        <w:rPr>
          <w:rFonts w:ascii="Times New Roman"/>
        </w:rPr>
      </w:pPr>
      <w:r>
        <w:rPr>
          <w:rFonts w:ascii="Times New Roman"/>
        </w:rPr>
        <w:t>接缝处理</w:t>
      </w:r>
    </w:p>
    <w:p w14:paraId="040C7530">
      <w:pPr>
        <w:pStyle w:val="164"/>
        <w:rPr>
          <w:rFonts w:ascii="Times New Roman"/>
        </w:rPr>
      </w:pPr>
      <w:r>
        <w:rPr>
          <w:rFonts w:ascii="Times New Roman"/>
        </w:rPr>
        <w:t>分段填筑交接处应预留台阶，台阶宽度宜为1.0 m～1.5 m，高度与分层厚度一致。</w:t>
      </w:r>
    </w:p>
    <w:p w14:paraId="6CF85DAB">
      <w:pPr>
        <w:pStyle w:val="164"/>
        <w:rPr>
          <w:rFonts w:ascii="Times New Roman"/>
        </w:rPr>
      </w:pPr>
      <w:r>
        <w:rPr>
          <w:rFonts w:ascii="Times New Roman"/>
        </w:rPr>
        <w:t>纵向接缝应避免设置于行车道范围内，接缝处应加强碾压并检测压实度。</w:t>
      </w:r>
    </w:p>
    <w:p w14:paraId="016ED3A2">
      <w:pPr>
        <w:pStyle w:val="105"/>
        <w:spacing w:before="120" w:after="120"/>
        <w:rPr>
          <w:rFonts w:ascii="Times New Roman"/>
        </w:rPr>
      </w:pPr>
      <w:r>
        <w:rPr>
          <w:rFonts w:ascii="Times New Roman"/>
        </w:rPr>
        <w:t>特殊地基处理</w:t>
      </w:r>
    </w:p>
    <w:p w14:paraId="13B992DF">
      <w:pPr>
        <w:pStyle w:val="65"/>
        <w:spacing w:before="120" w:after="120"/>
        <w:rPr>
          <w:rFonts w:ascii="Times New Roman"/>
        </w:rPr>
      </w:pPr>
      <w:r>
        <w:rPr>
          <w:rFonts w:ascii="Times New Roman"/>
        </w:rPr>
        <w:t>换填法</w:t>
      </w:r>
    </w:p>
    <w:p w14:paraId="51441E26">
      <w:pPr>
        <w:pStyle w:val="164"/>
        <w:rPr>
          <w:rFonts w:ascii="Times New Roman"/>
        </w:rPr>
      </w:pPr>
      <w:r>
        <w:rPr>
          <w:rFonts w:ascii="Times New Roman"/>
        </w:rPr>
        <w:t>适用于浅层软基（深度≤3 m），换填材料宜选用砂砾、碎石等透水性材料。</w:t>
      </w:r>
    </w:p>
    <w:p w14:paraId="3D45726E">
      <w:pPr>
        <w:pStyle w:val="164"/>
        <w:rPr>
          <w:rFonts w:ascii="Times New Roman"/>
        </w:rPr>
      </w:pPr>
      <w:r>
        <w:rPr>
          <w:rFonts w:ascii="Times New Roman"/>
        </w:rPr>
        <w:t>换填应分层压实，每层厚度宜为30 cm～40 cm，压实度不低于相邻路基区域。</w:t>
      </w:r>
    </w:p>
    <w:p w14:paraId="3F3E8057">
      <w:pPr>
        <w:pStyle w:val="65"/>
        <w:spacing w:before="120" w:after="120"/>
        <w:rPr>
          <w:rFonts w:ascii="Times New Roman"/>
        </w:rPr>
      </w:pPr>
      <w:r>
        <w:rPr>
          <w:rFonts w:ascii="Times New Roman"/>
        </w:rPr>
        <w:t>强夯法</w:t>
      </w:r>
    </w:p>
    <w:p w14:paraId="5BCE7101">
      <w:pPr>
        <w:pStyle w:val="164"/>
        <w:rPr>
          <w:rFonts w:ascii="Times New Roman"/>
        </w:rPr>
      </w:pPr>
      <w:r>
        <w:rPr>
          <w:rFonts w:ascii="Times New Roman"/>
        </w:rPr>
        <w:t>夯击能应根据地基土质及处理深度确定，单点夯击次数宜为6～10击，最后两击沉降差应小于5 cm。</w:t>
      </w:r>
    </w:p>
    <w:p w14:paraId="19D226AE">
      <w:pPr>
        <w:pStyle w:val="164"/>
        <w:rPr>
          <w:rFonts w:ascii="Times New Roman"/>
        </w:rPr>
      </w:pPr>
      <w:r>
        <w:rPr>
          <w:rFonts w:ascii="Times New Roman"/>
        </w:rPr>
        <w:t>强夯后应进行静载试验检测承载力，检测合格后方可进行上层填筑。</w:t>
      </w:r>
    </w:p>
    <w:p w14:paraId="02D0F188">
      <w:pPr>
        <w:pStyle w:val="65"/>
        <w:spacing w:before="120" w:after="120"/>
        <w:rPr>
          <w:rFonts w:ascii="Times New Roman"/>
        </w:rPr>
      </w:pPr>
      <w:r>
        <w:rPr>
          <w:rFonts w:ascii="Times New Roman"/>
        </w:rPr>
        <w:t>桩基处理</w:t>
      </w:r>
    </w:p>
    <w:p w14:paraId="24CEA28F">
      <w:pPr>
        <w:pStyle w:val="164"/>
        <w:rPr>
          <w:rFonts w:ascii="Times New Roman"/>
        </w:rPr>
      </w:pPr>
      <w:r>
        <w:rPr>
          <w:rFonts w:ascii="Times New Roman"/>
        </w:rPr>
        <w:t>水泥搅拌桩、CFG桩等应按设计桩长、桩径施工，垂直度偏差不宜超过1%。</w:t>
      </w:r>
    </w:p>
    <w:p w14:paraId="263F0B9D">
      <w:pPr>
        <w:pStyle w:val="164"/>
        <w:rPr>
          <w:rFonts w:ascii="Times New Roman"/>
        </w:rPr>
      </w:pPr>
      <w:r>
        <w:rPr>
          <w:rFonts w:ascii="Times New Roman"/>
        </w:rPr>
        <w:t>桩顶宜设置褥垫层，厚度宜为30 cm～50 cm，材料可采用级配碎石或砂砾。</w:t>
      </w:r>
    </w:p>
    <w:p w14:paraId="23163F23">
      <w:pPr>
        <w:pStyle w:val="105"/>
        <w:spacing w:before="120" w:after="120"/>
        <w:rPr>
          <w:rFonts w:ascii="Times New Roman"/>
        </w:rPr>
      </w:pPr>
      <w:r>
        <w:rPr>
          <w:rFonts w:ascii="Times New Roman"/>
        </w:rPr>
        <w:t>碾压与压实度检测</w:t>
      </w:r>
    </w:p>
    <w:p w14:paraId="2780F4F6">
      <w:pPr>
        <w:pStyle w:val="65"/>
        <w:spacing w:before="120" w:after="120"/>
        <w:rPr>
          <w:rFonts w:ascii="Times New Roman"/>
        </w:rPr>
      </w:pPr>
      <w:r>
        <w:rPr>
          <w:rFonts w:ascii="Times New Roman"/>
        </w:rPr>
        <w:t>压实要求</w:t>
      </w:r>
    </w:p>
    <w:p w14:paraId="194253A4">
      <w:pPr>
        <w:pStyle w:val="164"/>
        <w:rPr>
          <w:rFonts w:ascii="Times New Roman"/>
        </w:rPr>
      </w:pPr>
      <w:r>
        <w:rPr>
          <w:rFonts w:ascii="Times New Roman"/>
        </w:rPr>
        <w:t>路基压实度应符合设计及规范要求，路床顶面以下0～80 cm范围内压实度应≥96%。</w:t>
      </w:r>
    </w:p>
    <w:p w14:paraId="208F7EFD">
      <w:pPr>
        <w:pStyle w:val="164"/>
        <w:rPr>
          <w:rFonts w:ascii="Times New Roman"/>
        </w:rPr>
      </w:pPr>
      <w:r>
        <w:rPr>
          <w:rFonts w:ascii="Times New Roman"/>
        </w:rPr>
        <w:t>填石路基宜采用沉降差法控制压实质量，沉降差应小于3 mm。</w:t>
      </w:r>
    </w:p>
    <w:p w14:paraId="074DC729">
      <w:pPr>
        <w:pStyle w:val="65"/>
        <w:spacing w:before="120" w:after="120"/>
        <w:rPr>
          <w:rFonts w:ascii="Times New Roman"/>
        </w:rPr>
      </w:pPr>
      <w:r>
        <w:rPr>
          <w:rFonts w:ascii="Times New Roman"/>
        </w:rPr>
        <w:t>检测方法</w:t>
      </w:r>
    </w:p>
    <w:p w14:paraId="4DDE1FB3">
      <w:pPr>
        <w:pStyle w:val="164"/>
        <w:rPr>
          <w:rFonts w:ascii="Times New Roman"/>
        </w:rPr>
      </w:pPr>
      <w:r>
        <w:rPr>
          <w:rFonts w:ascii="Times New Roman"/>
        </w:rPr>
        <w:t>黏性土压实度检测宜采用环刀法或灌砂法，砂性土可采用核子密度仪检测。</w:t>
      </w:r>
    </w:p>
    <w:p w14:paraId="5D72EB85">
      <w:pPr>
        <w:pStyle w:val="164"/>
        <w:rPr>
          <w:rFonts w:ascii="Times New Roman"/>
        </w:rPr>
      </w:pPr>
      <w:r>
        <w:rPr>
          <w:rFonts w:ascii="Times New Roman"/>
        </w:rPr>
        <w:t>每层压实后应按2000 m</w:t>
      </w:r>
      <w:r>
        <w:rPr>
          <w:rFonts w:ascii="Times New Roman"/>
          <w:vertAlign w:val="superscript"/>
        </w:rPr>
        <w:t>2</w:t>
      </w:r>
      <w:r>
        <w:rPr>
          <w:rFonts w:ascii="Times New Roman"/>
        </w:rPr>
        <w:t>至少检测3点的频率抽检，检测点应随机分布。</w:t>
      </w:r>
    </w:p>
    <w:p w14:paraId="60D7CA85">
      <w:pPr>
        <w:pStyle w:val="65"/>
        <w:spacing w:before="120" w:after="120"/>
        <w:rPr>
          <w:rFonts w:ascii="Times New Roman"/>
        </w:rPr>
      </w:pPr>
      <w:r>
        <w:rPr>
          <w:rFonts w:ascii="Times New Roman"/>
        </w:rPr>
        <w:t>弯沉值检测</w:t>
      </w:r>
    </w:p>
    <w:p w14:paraId="51812F2D">
      <w:pPr>
        <w:pStyle w:val="56"/>
        <w:ind w:firstLine="420"/>
        <w:rPr>
          <w:rFonts w:ascii="Times New Roman"/>
        </w:rPr>
      </w:pPr>
      <w:r>
        <w:rPr>
          <w:rFonts w:ascii="Times New Roman"/>
        </w:rPr>
        <w:t>路基交工前应进行弯沉值检测，检测值应小于设计允许值，不合格区域应返工处理。</w:t>
      </w:r>
    </w:p>
    <w:p w14:paraId="6A9D4060">
      <w:pPr>
        <w:pStyle w:val="105"/>
        <w:spacing w:before="120" w:after="120"/>
        <w:rPr>
          <w:rFonts w:ascii="Times New Roman"/>
        </w:rPr>
      </w:pPr>
      <w:r>
        <w:rPr>
          <w:rFonts w:ascii="Times New Roman"/>
        </w:rPr>
        <w:t>季节性施工要求</w:t>
      </w:r>
    </w:p>
    <w:p w14:paraId="2DBB81A9">
      <w:pPr>
        <w:pStyle w:val="65"/>
        <w:spacing w:before="120" w:after="120"/>
        <w:rPr>
          <w:rFonts w:ascii="Times New Roman"/>
        </w:rPr>
      </w:pPr>
      <w:r>
        <w:rPr>
          <w:rFonts w:ascii="Times New Roman"/>
        </w:rPr>
        <w:t>雨季施工</w:t>
      </w:r>
    </w:p>
    <w:p w14:paraId="0D6A019F">
      <w:pPr>
        <w:pStyle w:val="164"/>
        <w:rPr>
          <w:rFonts w:ascii="Times New Roman"/>
        </w:rPr>
      </w:pPr>
      <w:r>
        <w:rPr>
          <w:rFonts w:ascii="Times New Roman"/>
        </w:rPr>
        <w:t>填筑面应形成2%～4%横坡，雨前应采用防雨布覆盖，雨后应复压检测含水率。</w:t>
      </w:r>
    </w:p>
    <w:p w14:paraId="36CCE058">
      <w:pPr>
        <w:pStyle w:val="164"/>
        <w:rPr>
          <w:rFonts w:ascii="Times New Roman"/>
        </w:rPr>
      </w:pPr>
      <w:r>
        <w:rPr>
          <w:rFonts w:ascii="Times New Roman"/>
        </w:rPr>
        <w:t>开挖边坡应采取临时排水措施，防止雨水冲刷造成滑坡。</w:t>
      </w:r>
    </w:p>
    <w:p w14:paraId="356A4774">
      <w:pPr>
        <w:pStyle w:val="65"/>
        <w:spacing w:before="120" w:after="120"/>
        <w:rPr>
          <w:rFonts w:ascii="Times New Roman"/>
        </w:rPr>
      </w:pPr>
      <w:r>
        <w:rPr>
          <w:rFonts w:ascii="Times New Roman"/>
        </w:rPr>
        <w:t>冬季施工</w:t>
      </w:r>
    </w:p>
    <w:p w14:paraId="49440E53">
      <w:pPr>
        <w:pStyle w:val="164"/>
        <w:rPr>
          <w:rFonts w:ascii="Times New Roman"/>
        </w:rPr>
      </w:pPr>
      <w:r>
        <w:rPr>
          <w:rFonts w:ascii="Times New Roman"/>
        </w:rPr>
        <w:t>填筑材料不应含有冻块，填料温度宜高于5 ℃，碾压完成后应覆盖保温材料。</w:t>
      </w:r>
    </w:p>
    <w:p w14:paraId="52E6502E">
      <w:pPr>
        <w:pStyle w:val="164"/>
        <w:rPr>
          <w:rFonts w:ascii="Times New Roman"/>
        </w:rPr>
      </w:pPr>
      <w:r>
        <w:rPr>
          <w:rFonts w:ascii="Times New Roman"/>
        </w:rPr>
        <w:t>日平均气温低于0 ℃时，应停止路基土方施工。</w:t>
      </w:r>
    </w:p>
    <w:p w14:paraId="320D2A60">
      <w:pPr>
        <w:pStyle w:val="105"/>
        <w:spacing w:before="120" w:after="120"/>
        <w:rPr>
          <w:rFonts w:ascii="Times New Roman"/>
        </w:rPr>
      </w:pPr>
      <w:r>
        <w:rPr>
          <w:rFonts w:ascii="Times New Roman"/>
        </w:rPr>
        <w:t>过程控制与记录</w:t>
      </w:r>
    </w:p>
    <w:p w14:paraId="3E1F70C7">
      <w:pPr>
        <w:pStyle w:val="65"/>
        <w:spacing w:before="120" w:after="120"/>
        <w:rPr>
          <w:rFonts w:ascii="Times New Roman"/>
        </w:rPr>
      </w:pPr>
      <w:r>
        <w:rPr>
          <w:rFonts w:ascii="Times New Roman"/>
        </w:rPr>
        <w:t>质量控制</w:t>
      </w:r>
    </w:p>
    <w:p w14:paraId="57365C35">
      <w:pPr>
        <w:pStyle w:val="164"/>
        <w:rPr>
          <w:rFonts w:ascii="Times New Roman"/>
        </w:rPr>
      </w:pPr>
      <w:r>
        <w:rPr>
          <w:rFonts w:ascii="Times New Roman"/>
        </w:rPr>
        <w:t>每道工序完成后应进行自检，合格后报监理验收，验收记录应存档备查。</w:t>
      </w:r>
    </w:p>
    <w:p w14:paraId="5B7C35E5">
      <w:pPr>
        <w:pStyle w:val="164"/>
        <w:rPr>
          <w:rFonts w:ascii="Times New Roman"/>
        </w:rPr>
      </w:pPr>
      <w:r>
        <w:rPr>
          <w:rFonts w:ascii="Times New Roman"/>
        </w:rPr>
        <w:t>施工中发现地质条件与设计不符时，应立即停工并报告建设单位。</w:t>
      </w:r>
    </w:p>
    <w:p w14:paraId="0D89E878">
      <w:pPr>
        <w:pStyle w:val="65"/>
        <w:spacing w:before="120" w:after="120"/>
        <w:rPr>
          <w:rFonts w:ascii="Times New Roman"/>
        </w:rPr>
      </w:pPr>
      <w:r>
        <w:rPr>
          <w:rFonts w:ascii="Times New Roman"/>
        </w:rPr>
        <w:t>施工记录</w:t>
      </w:r>
    </w:p>
    <w:p w14:paraId="7EA80BD2">
      <w:pPr>
        <w:pStyle w:val="164"/>
        <w:rPr>
          <w:rFonts w:ascii="Times New Roman"/>
        </w:rPr>
      </w:pPr>
      <w:r>
        <w:rPr>
          <w:rFonts w:ascii="Times New Roman"/>
        </w:rPr>
        <w:t>应详细记录每日施工范围、填料来源、压实参数及检测数据。</w:t>
      </w:r>
    </w:p>
    <w:p w14:paraId="7C96D7AC">
      <w:pPr>
        <w:pStyle w:val="164"/>
        <w:rPr>
          <w:rFonts w:ascii="Times New Roman"/>
        </w:rPr>
      </w:pPr>
      <w:r>
        <w:rPr>
          <w:rFonts w:ascii="Times New Roman"/>
        </w:rPr>
        <w:t>影像资料应覆盖关键节点（如基底处理、特殊地基施工等），并按工程进度归档。</w:t>
      </w:r>
    </w:p>
    <w:p w14:paraId="5982CF17">
      <w:pPr>
        <w:pStyle w:val="104"/>
        <w:spacing w:before="240" w:after="240"/>
        <w:rPr>
          <w:rFonts w:ascii="Times New Roman"/>
        </w:rPr>
      </w:pPr>
      <w:bookmarkStart w:id="60" w:name="_Toc194568131"/>
      <w:bookmarkStart w:id="61" w:name="_Toc194568195"/>
      <w:r>
        <w:rPr>
          <w:rFonts w:ascii="Times New Roman"/>
        </w:rPr>
        <w:t>排水与防护</w:t>
      </w:r>
      <w:bookmarkEnd w:id="60"/>
      <w:bookmarkEnd w:id="61"/>
    </w:p>
    <w:p w14:paraId="0A4F8C89">
      <w:pPr>
        <w:pStyle w:val="105"/>
        <w:spacing w:before="120" w:after="120"/>
        <w:rPr>
          <w:rFonts w:ascii="Times New Roman"/>
        </w:rPr>
      </w:pPr>
      <w:r>
        <w:rPr>
          <w:rFonts w:ascii="Times New Roman"/>
        </w:rPr>
        <w:t>排水系统施工</w:t>
      </w:r>
    </w:p>
    <w:p w14:paraId="28CF1BD1">
      <w:pPr>
        <w:pStyle w:val="65"/>
        <w:spacing w:before="120" w:after="120"/>
        <w:rPr>
          <w:rFonts w:ascii="Times New Roman"/>
        </w:rPr>
      </w:pPr>
      <w:r>
        <w:rPr>
          <w:rFonts w:ascii="Times New Roman"/>
        </w:rPr>
        <w:t>地表排水设施</w:t>
      </w:r>
    </w:p>
    <w:p w14:paraId="2C6AF5AC">
      <w:pPr>
        <w:pStyle w:val="94"/>
        <w:spacing w:before="120" w:after="120"/>
        <w:rPr>
          <w:rFonts w:ascii="Times New Roman"/>
        </w:rPr>
      </w:pPr>
      <w:r>
        <w:rPr>
          <w:rFonts w:ascii="Times New Roman"/>
        </w:rPr>
        <w:t>边沟</w:t>
      </w:r>
    </w:p>
    <w:p w14:paraId="1E5F8BAC">
      <w:pPr>
        <w:pStyle w:val="167"/>
        <w:rPr>
          <w:rFonts w:ascii="Times New Roman" w:hAnsi="Times New Roman"/>
        </w:rPr>
      </w:pPr>
      <w:r>
        <w:rPr>
          <w:rFonts w:ascii="Times New Roman" w:hAnsi="Times New Roman"/>
        </w:rPr>
        <w:t>边沟应沿路基两侧布设，线形应顺直流畅，纵坡不宜小于0.3%，断面尺寸应符合设计要求。</w:t>
      </w:r>
    </w:p>
    <w:p w14:paraId="527E0433">
      <w:pPr>
        <w:pStyle w:val="167"/>
        <w:rPr>
          <w:rFonts w:ascii="Times New Roman" w:hAnsi="Times New Roman"/>
        </w:rPr>
      </w:pPr>
      <w:r>
        <w:rPr>
          <w:rFonts w:ascii="Times New Roman" w:hAnsi="Times New Roman"/>
        </w:rPr>
        <w:t>边沟宜采用预制混凝土或浆砌片石结构，砌筑应坐浆饱满，勾缝密实，沟底应平整无积水。</w:t>
      </w:r>
    </w:p>
    <w:p w14:paraId="4773F3A4">
      <w:pPr>
        <w:pStyle w:val="167"/>
        <w:rPr>
          <w:rFonts w:ascii="Times New Roman" w:hAnsi="Times New Roman"/>
        </w:rPr>
      </w:pPr>
      <w:r>
        <w:rPr>
          <w:rFonts w:ascii="Times New Roman" w:hAnsi="Times New Roman"/>
        </w:rPr>
        <w:t>边沟与涵洞、急流槽衔接处应设置跌水或消力坎，防止水流冲刷基底。</w:t>
      </w:r>
    </w:p>
    <w:p w14:paraId="069C46D3">
      <w:pPr>
        <w:pStyle w:val="94"/>
        <w:spacing w:before="120" w:after="120"/>
        <w:rPr>
          <w:rFonts w:ascii="Times New Roman"/>
        </w:rPr>
      </w:pPr>
      <w:r>
        <w:rPr>
          <w:rFonts w:ascii="Times New Roman"/>
        </w:rPr>
        <w:t>截水沟</w:t>
      </w:r>
    </w:p>
    <w:p w14:paraId="3455BAE2">
      <w:pPr>
        <w:pStyle w:val="167"/>
        <w:rPr>
          <w:rFonts w:ascii="Times New Roman" w:hAnsi="Times New Roman"/>
        </w:rPr>
      </w:pPr>
      <w:r>
        <w:rPr>
          <w:rFonts w:ascii="Times New Roman" w:hAnsi="Times New Roman"/>
        </w:rPr>
        <w:t>截水沟应设置在挖方边坡坡顶外5 m～10 m处，沟底纵坡宜与地形匹配，截面积应根据汇水面积计算确定。</w:t>
      </w:r>
    </w:p>
    <w:p w14:paraId="57EF4CB6">
      <w:pPr>
        <w:pStyle w:val="167"/>
        <w:rPr>
          <w:rFonts w:ascii="Times New Roman" w:hAnsi="Times New Roman"/>
        </w:rPr>
      </w:pPr>
      <w:r>
        <w:rPr>
          <w:rFonts w:ascii="Times New Roman" w:hAnsi="Times New Roman"/>
        </w:rPr>
        <w:t>截水沟出水口应引入自然水系或排水管网，不应直接排入农田或居民区。</w:t>
      </w:r>
    </w:p>
    <w:p w14:paraId="5A48D60D">
      <w:pPr>
        <w:pStyle w:val="94"/>
        <w:spacing w:before="120" w:after="120"/>
        <w:rPr>
          <w:rFonts w:ascii="Times New Roman"/>
        </w:rPr>
      </w:pPr>
      <w:r>
        <w:rPr>
          <w:rFonts w:ascii="Times New Roman"/>
        </w:rPr>
        <w:t>排水沟</w:t>
      </w:r>
    </w:p>
    <w:p w14:paraId="37488CCF">
      <w:pPr>
        <w:pStyle w:val="167"/>
        <w:rPr>
          <w:rFonts w:ascii="Times New Roman" w:hAnsi="Times New Roman"/>
        </w:rPr>
      </w:pPr>
      <w:r>
        <w:rPr>
          <w:rFonts w:ascii="Times New Roman" w:hAnsi="Times New Roman"/>
        </w:rPr>
        <w:t>排水沟断面形式可采用梯形或矩形，沟底宽度不宜小于0.3 m，深度不宜小于0.4 m。</w:t>
      </w:r>
    </w:p>
    <w:p w14:paraId="754EC41A">
      <w:pPr>
        <w:pStyle w:val="167"/>
        <w:rPr>
          <w:rFonts w:ascii="Times New Roman" w:hAnsi="Times New Roman"/>
        </w:rPr>
      </w:pPr>
      <w:r>
        <w:rPr>
          <w:rFonts w:ascii="Times New Roman" w:hAnsi="Times New Roman"/>
        </w:rPr>
        <w:t>土质排水沟边坡坡比宜为1:1～1:1.5，必要时可采用植草或铺砌防护。</w:t>
      </w:r>
    </w:p>
    <w:p w14:paraId="6E79D691">
      <w:pPr>
        <w:pStyle w:val="65"/>
        <w:spacing w:before="120" w:after="120"/>
        <w:rPr>
          <w:rFonts w:ascii="Times New Roman"/>
        </w:rPr>
      </w:pPr>
      <w:r>
        <w:rPr>
          <w:rFonts w:ascii="Times New Roman"/>
        </w:rPr>
        <w:t>地下排水设施</w:t>
      </w:r>
    </w:p>
    <w:p w14:paraId="53297B33">
      <w:pPr>
        <w:pStyle w:val="94"/>
        <w:spacing w:before="120" w:after="120"/>
        <w:rPr>
          <w:rFonts w:ascii="Times New Roman"/>
        </w:rPr>
      </w:pPr>
      <w:r>
        <w:rPr>
          <w:rFonts w:ascii="Times New Roman"/>
        </w:rPr>
        <w:t>盲沟</w:t>
      </w:r>
    </w:p>
    <w:p w14:paraId="79683D8C">
      <w:pPr>
        <w:pStyle w:val="167"/>
        <w:rPr>
          <w:rFonts w:ascii="Times New Roman" w:hAnsi="Times New Roman"/>
        </w:rPr>
      </w:pPr>
      <w:r>
        <w:rPr>
          <w:rFonts w:ascii="Times New Roman" w:hAnsi="Times New Roman"/>
        </w:rPr>
        <w:t>盲沟应布设在路基底部或边坡渗水区域，反滤层材料宜采用级配砂砾，粒径宜为5 mm～40 mm。</w:t>
      </w:r>
    </w:p>
    <w:p w14:paraId="2F0E24E3">
      <w:pPr>
        <w:pStyle w:val="167"/>
        <w:rPr>
          <w:rFonts w:ascii="Times New Roman" w:hAnsi="Times New Roman"/>
        </w:rPr>
      </w:pPr>
      <w:r>
        <w:rPr>
          <w:rFonts w:ascii="Times New Roman" w:hAnsi="Times New Roman"/>
        </w:rPr>
        <w:t>渗水管应平直铺设于盲沟底部，管周应包裹透水土工布，管体坡度不宜小于0.5%。</w:t>
      </w:r>
    </w:p>
    <w:p w14:paraId="2D8AF9FA">
      <w:pPr>
        <w:pStyle w:val="94"/>
        <w:spacing w:before="120" w:after="120"/>
        <w:rPr>
          <w:rFonts w:ascii="Times New Roman"/>
        </w:rPr>
      </w:pPr>
      <w:r>
        <w:rPr>
          <w:rFonts w:ascii="Times New Roman"/>
        </w:rPr>
        <w:t>渗井</w:t>
      </w:r>
    </w:p>
    <w:p w14:paraId="47A4B5ED">
      <w:pPr>
        <w:pStyle w:val="167"/>
        <w:rPr>
          <w:rFonts w:ascii="Times New Roman" w:hAnsi="Times New Roman"/>
        </w:rPr>
      </w:pPr>
      <w:r>
        <w:rPr>
          <w:rFonts w:ascii="Times New Roman" w:hAnsi="Times New Roman"/>
        </w:rPr>
        <w:t>渗井深度应穿透软弱土层或含水层，井径宜为0.6～1.0m，井内填料应采用碎石或卵石。</w:t>
      </w:r>
    </w:p>
    <w:p w14:paraId="14E4113A">
      <w:pPr>
        <w:pStyle w:val="167"/>
        <w:rPr>
          <w:rFonts w:ascii="Times New Roman" w:hAnsi="Times New Roman"/>
        </w:rPr>
      </w:pPr>
      <w:r>
        <w:rPr>
          <w:rFonts w:ascii="Times New Roman" w:hAnsi="Times New Roman"/>
        </w:rPr>
        <w:t>井口应设置混凝土盖板或透水土工布覆盖，防止泥沙淤塞。</w:t>
      </w:r>
    </w:p>
    <w:p w14:paraId="18825553">
      <w:pPr>
        <w:pStyle w:val="94"/>
        <w:spacing w:before="120" w:after="120"/>
        <w:rPr>
          <w:rFonts w:ascii="Times New Roman"/>
        </w:rPr>
      </w:pPr>
      <w:r>
        <w:rPr>
          <w:rFonts w:ascii="Times New Roman"/>
        </w:rPr>
        <w:t>排水管道</w:t>
      </w:r>
    </w:p>
    <w:p w14:paraId="5B10012E">
      <w:pPr>
        <w:pStyle w:val="167"/>
        <w:rPr>
          <w:rFonts w:ascii="Times New Roman" w:hAnsi="Times New Roman"/>
        </w:rPr>
      </w:pPr>
      <w:r>
        <w:rPr>
          <w:rFonts w:ascii="Times New Roman" w:hAnsi="Times New Roman"/>
        </w:rPr>
        <w:t>地下排水管（如HDPE管、混凝土管）安装应保证接口严密，管底应铺设10 cm～20 cm厚砂垫层。</w:t>
      </w:r>
    </w:p>
    <w:p w14:paraId="100A2C1D">
      <w:pPr>
        <w:pStyle w:val="167"/>
        <w:rPr>
          <w:rFonts w:ascii="Times New Roman" w:hAnsi="Times New Roman"/>
        </w:rPr>
      </w:pPr>
      <w:r>
        <w:rPr>
          <w:rFonts w:ascii="Times New Roman" w:hAnsi="Times New Roman"/>
        </w:rPr>
        <w:t>检查井间距宜为30 m～50 m，井壁应预留泄水孔并与排水管衔接顺畅。</w:t>
      </w:r>
    </w:p>
    <w:p w14:paraId="6617B16A">
      <w:pPr>
        <w:pStyle w:val="105"/>
        <w:spacing w:before="120" w:after="120"/>
        <w:rPr>
          <w:rFonts w:ascii="Times New Roman"/>
        </w:rPr>
      </w:pPr>
      <w:r>
        <w:rPr>
          <w:rFonts w:ascii="Times New Roman"/>
        </w:rPr>
        <w:t>边坡防护工程</w:t>
      </w:r>
    </w:p>
    <w:p w14:paraId="35FE2A51">
      <w:pPr>
        <w:pStyle w:val="65"/>
        <w:spacing w:before="120" w:after="120"/>
        <w:rPr>
          <w:rFonts w:ascii="Times New Roman"/>
        </w:rPr>
      </w:pPr>
      <w:r>
        <w:rPr>
          <w:rFonts w:ascii="Times New Roman"/>
        </w:rPr>
        <w:t>植物防护</w:t>
      </w:r>
    </w:p>
    <w:p w14:paraId="72AA3419">
      <w:pPr>
        <w:pStyle w:val="94"/>
        <w:spacing w:before="120" w:after="120"/>
        <w:rPr>
          <w:rFonts w:ascii="Times New Roman"/>
        </w:rPr>
      </w:pPr>
      <w:r>
        <w:rPr>
          <w:rFonts w:ascii="Times New Roman"/>
        </w:rPr>
        <w:t>草皮护坡</w:t>
      </w:r>
    </w:p>
    <w:p w14:paraId="069D98A6">
      <w:pPr>
        <w:pStyle w:val="167"/>
        <w:rPr>
          <w:rFonts w:ascii="Times New Roman" w:hAnsi="Times New Roman"/>
        </w:rPr>
      </w:pPr>
      <w:r>
        <w:rPr>
          <w:rFonts w:ascii="Times New Roman" w:hAnsi="Times New Roman"/>
        </w:rPr>
        <w:t>草皮铺设宜在春季或秋季进行，铺植前应整平坡面并施底肥，草皮块间隙不宜大于20 mm。</w:t>
      </w:r>
    </w:p>
    <w:p w14:paraId="66F5CBA1">
      <w:pPr>
        <w:pStyle w:val="167"/>
        <w:rPr>
          <w:rFonts w:ascii="Times New Roman" w:hAnsi="Times New Roman"/>
        </w:rPr>
      </w:pPr>
      <w:r>
        <w:rPr>
          <w:rFonts w:ascii="Times New Roman" w:hAnsi="Times New Roman"/>
        </w:rPr>
        <w:t>坡面陡于1:1.5时，应采用三维网或土工格室固定草皮，锚固钉间距宜为0.5 m～1.0 m。</w:t>
      </w:r>
    </w:p>
    <w:p w14:paraId="39EF6120">
      <w:pPr>
        <w:pStyle w:val="94"/>
        <w:spacing w:before="120" w:after="120"/>
        <w:rPr>
          <w:rFonts w:ascii="Times New Roman"/>
        </w:rPr>
      </w:pPr>
      <w:r>
        <w:rPr>
          <w:rFonts w:ascii="Times New Roman"/>
        </w:rPr>
        <w:t>植生袋防护</w:t>
      </w:r>
    </w:p>
    <w:p w14:paraId="2F6DD62D">
      <w:pPr>
        <w:pStyle w:val="167"/>
        <w:rPr>
          <w:rFonts w:ascii="Times New Roman" w:hAnsi="Times New Roman"/>
        </w:rPr>
      </w:pPr>
      <w:r>
        <w:rPr>
          <w:rFonts w:ascii="Times New Roman" w:hAnsi="Times New Roman"/>
        </w:rPr>
        <w:t>植生袋应紧贴坡面码放，袋内宜填充种植土与草籽混合物，袋体间应错缝搭接。</w:t>
      </w:r>
    </w:p>
    <w:p w14:paraId="23BE561D">
      <w:pPr>
        <w:pStyle w:val="167"/>
        <w:rPr>
          <w:rFonts w:ascii="Times New Roman" w:hAnsi="Times New Roman"/>
        </w:rPr>
      </w:pPr>
      <w:r>
        <w:rPr>
          <w:rFonts w:ascii="Times New Roman" w:hAnsi="Times New Roman"/>
        </w:rPr>
        <w:t>施工后应定期洒水养护，直至植被覆盖度达到90%以上。</w:t>
      </w:r>
    </w:p>
    <w:p w14:paraId="3B713EAC">
      <w:pPr>
        <w:pStyle w:val="65"/>
        <w:spacing w:before="120" w:after="120"/>
        <w:rPr>
          <w:rFonts w:ascii="Times New Roman"/>
        </w:rPr>
      </w:pPr>
      <w:r>
        <w:rPr>
          <w:rFonts w:ascii="Times New Roman"/>
        </w:rPr>
        <w:t>工程防护</w:t>
      </w:r>
    </w:p>
    <w:p w14:paraId="027E1A57">
      <w:pPr>
        <w:pStyle w:val="94"/>
        <w:spacing w:before="120" w:after="120"/>
        <w:rPr>
          <w:rFonts w:ascii="Times New Roman"/>
        </w:rPr>
      </w:pPr>
      <w:r>
        <w:rPr>
          <w:rFonts w:ascii="Times New Roman"/>
        </w:rPr>
        <w:t>浆砌片石护坡</w:t>
      </w:r>
    </w:p>
    <w:p w14:paraId="3AC52484">
      <w:pPr>
        <w:pStyle w:val="167"/>
        <w:rPr>
          <w:rFonts w:ascii="Times New Roman" w:hAnsi="Times New Roman"/>
        </w:rPr>
      </w:pPr>
      <w:r>
        <w:rPr>
          <w:rFonts w:ascii="Times New Roman" w:hAnsi="Times New Roman"/>
        </w:rPr>
        <w:t>砌筑前应清除坡面浮土，基底应夯实平整，片石强度等级不宜低于MU30。</w:t>
      </w:r>
    </w:p>
    <w:p w14:paraId="3816BC8A">
      <w:pPr>
        <w:pStyle w:val="167"/>
        <w:rPr>
          <w:rFonts w:ascii="Times New Roman" w:hAnsi="Times New Roman"/>
        </w:rPr>
      </w:pPr>
      <w:r>
        <w:rPr>
          <w:rFonts w:ascii="Times New Roman" w:hAnsi="Times New Roman"/>
        </w:rPr>
        <w:t>砌筑应分层错缝，灰缝宽度宜为20 mm～30 mm，砂浆饱满度不得低于85%。</w:t>
      </w:r>
    </w:p>
    <w:p w14:paraId="0588DAB9">
      <w:pPr>
        <w:pStyle w:val="94"/>
        <w:spacing w:before="120" w:after="120"/>
        <w:rPr>
          <w:rFonts w:ascii="Times New Roman"/>
        </w:rPr>
      </w:pPr>
      <w:r>
        <w:rPr>
          <w:rFonts w:ascii="Times New Roman"/>
        </w:rPr>
        <w:t>格宾网防护</w:t>
      </w:r>
    </w:p>
    <w:p w14:paraId="6E3B8F3F">
      <w:pPr>
        <w:pStyle w:val="167"/>
        <w:rPr>
          <w:rFonts w:ascii="Times New Roman" w:hAnsi="Times New Roman"/>
        </w:rPr>
      </w:pPr>
      <w:r>
        <w:rPr>
          <w:rFonts w:ascii="Times New Roman" w:hAnsi="Times New Roman"/>
        </w:rPr>
        <w:t>格宾网箱应逐层安装，网片连接处应采用双绞合钢丝绑扎，绑扎间距不宜大于200 mm。</w:t>
      </w:r>
    </w:p>
    <w:p w14:paraId="7DF34BE2">
      <w:pPr>
        <w:pStyle w:val="167"/>
        <w:rPr>
          <w:rFonts w:ascii="Times New Roman" w:hAnsi="Times New Roman"/>
        </w:rPr>
      </w:pPr>
      <w:r>
        <w:rPr>
          <w:rFonts w:ascii="Times New Roman" w:hAnsi="Times New Roman"/>
        </w:rPr>
        <w:t>网箱内填石粒径宜为100 mm～300 mm，空隙率应小于25%，表面应平整无尖锐凸起。</w:t>
      </w:r>
    </w:p>
    <w:p w14:paraId="68248352">
      <w:pPr>
        <w:pStyle w:val="94"/>
        <w:spacing w:before="120" w:after="120"/>
        <w:rPr>
          <w:rFonts w:ascii="Times New Roman"/>
        </w:rPr>
      </w:pPr>
      <w:r>
        <w:rPr>
          <w:rFonts w:ascii="Times New Roman"/>
        </w:rPr>
        <w:t>挡土墙防护</w:t>
      </w:r>
    </w:p>
    <w:p w14:paraId="5BCED680">
      <w:pPr>
        <w:pStyle w:val="167"/>
        <w:rPr>
          <w:rFonts w:ascii="Times New Roman" w:hAnsi="Times New Roman"/>
        </w:rPr>
      </w:pPr>
      <w:r>
        <w:rPr>
          <w:rFonts w:ascii="Times New Roman" w:hAnsi="Times New Roman"/>
        </w:rPr>
        <w:t>挡土墙基础应埋置于冻结线以下，基底承载力应符合设计要求，不足时应进行地基处理。</w:t>
      </w:r>
    </w:p>
    <w:p w14:paraId="2907D40D">
      <w:pPr>
        <w:pStyle w:val="167"/>
        <w:rPr>
          <w:rFonts w:ascii="Times New Roman" w:hAnsi="Times New Roman"/>
        </w:rPr>
      </w:pPr>
      <w:r>
        <w:rPr>
          <w:rFonts w:ascii="Times New Roman" w:hAnsi="Times New Roman"/>
        </w:rPr>
        <w:t>墙身应设置泄水孔，孔径宜为50 mm～100 mm，纵向间距2 m～3 m，墙后应铺设反滤层。</w:t>
      </w:r>
    </w:p>
    <w:p w14:paraId="4C9C342C">
      <w:pPr>
        <w:pStyle w:val="105"/>
        <w:spacing w:before="120" w:after="120"/>
        <w:rPr>
          <w:rFonts w:ascii="Times New Roman"/>
        </w:rPr>
      </w:pPr>
      <w:r>
        <w:rPr>
          <w:rFonts w:ascii="Times New Roman"/>
        </w:rPr>
        <w:t>冲刷防护</w:t>
      </w:r>
    </w:p>
    <w:p w14:paraId="1F8A6868">
      <w:pPr>
        <w:pStyle w:val="65"/>
        <w:spacing w:before="120" w:after="120"/>
        <w:rPr>
          <w:rFonts w:ascii="Times New Roman"/>
        </w:rPr>
      </w:pPr>
      <w:r>
        <w:rPr>
          <w:rFonts w:ascii="Times New Roman"/>
        </w:rPr>
        <w:t>护面墙</w:t>
      </w:r>
    </w:p>
    <w:p w14:paraId="1BD43141">
      <w:pPr>
        <w:pStyle w:val="164"/>
        <w:rPr>
          <w:rFonts w:ascii="Times New Roman"/>
        </w:rPr>
      </w:pPr>
      <w:r>
        <w:rPr>
          <w:rFonts w:ascii="Times New Roman"/>
        </w:rPr>
        <w:t>护面墙宜采用混凝土或浆砌块石结构，顶部应高出设计水位0.5 m以上。</w:t>
      </w:r>
    </w:p>
    <w:p w14:paraId="36724B6D">
      <w:pPr>
        <w:pStyle w:val="164"/>
        <w:rPr>
          <w:rFonts w:ascii="Times New Roman"/>
        </w:rPr>
      </w:pPr>
      <w:r>
        <w:rPr>
          <w:rFonts w:ascii="Times New Roman"/>
        </w:rPr>
        <w:t>墙身应设置伸缩缝，间距宜为10 m～15 m，缝内应填充沥青麻筋或橡胶止水带。</w:t>
      </w:r>
    </w:p>
    <w:p w14:paraId="607CE878">
      <w:pPr>
        <w:pStyle w:val="65"/>
        <w:spacing w:before="120" w:after="120"/>
        <w:rPr>
          <w:rFonts w:ascii="Times New Roman"/>
        </w:rPr>
      </w:pPr>
      <w:r>
        <w:rPr>
          <w:rFonts w:ascii="Times New Roman"/>
        </w:rPr>
        <w:t>抛石防护</w:t>
      </w:r>
    </w:p>
    <w:p w14:paraId="32EF2E25">
      <w:pPr>
        <w:pStyle w:val="164"/>
        <w:rPr>
          <w:rFonts w:ascii="Times New Roman"/>
        </w:rPr>
      </w:pPr>
      <w:r>
        <w:rPr>
          <w:rFonts w:ascii="Times New Roman"/>
        </w:rPr>
        <w:t>抛石粒径宜为300 mm～500 mm，抛投前应铺设土工布或碎石垫层，防止水流淘刷基底。</w:t>
      </w:r>
    </w:p>
    <w:p w14:paraId="1CCA0029">
      <w:pPr>
        <w:pStyle w:val="164"/>
        <w:rPr>
          <w:rFonts w:ascii="Times New Roman"/>
        </w:rPr>
      </w:pPr>
      <w:r>
        <w:rPr>
          <w:rFonts w:ascii="Times New Roman"/>
        </w:rPr>
        <w:t>抛石厚度不宜小于0.6 m，坡度宜缓于1:1.5，表面可采用大块石嵌缝稳固。</w:t>
      </w:r>
    </w:p>
    <w:p w14:paraId="79CE63FB">
      <w:pPr>
        <w:pStyle w:val="65"/>
        <w:spacing w:before="120" w:after="120"/>
        <w:rPr>
          <w:rFonts w:ascii="Times New Roman"/>
        </w:rPr>
      </w:pPr>
      <w:r>
        <w:rPr>
          <w:rFonts w:ascii="Times New Roman"/>
        </w:rPr>
        <w:t>石笼防护</w:t>
      </w:r>
    </w:p>
    <w:p w14:paraId="7DDE9A9A">
      <w:pPr>
        <w:pStyle w:val="164"/>
        <w:rPr>
          <w:rFonts w:ascii="Times New Roman"/>
        </w:rPr>
      </w:pPr>
      <w:r>
        <w:rPr>
          <w:rFonts w:ascii="Times New Roman"/>
        </w:rPr>
        <w:t>石笼应沿水流方向铺设，笼体尺寸宜为2.0 m×1.0 m×1.0 m，填充石料应密实无空隙。</w:t>
      </w:r>
    </w:p>
    <w:p w14:paraId="5FDE010D">
      <w:pPr>
        <w:pStyle w:val="164"/>
        <w:rPr>
          <w:rFonts w:ascii="Times New Roman"/>
        </w:rPr>
      </w:pPr>
      <w:r>
        <w:rPr>
          <w:rFonts w:ascii="Times New Roman"/>
        </w:rPr>
        <w:t>石笼间应采用钢丝连接，并与坡面锚固，防止水流冲击移位。</w:t>
      </w:r>
    </w:p>
    <w:p w14:paraId="0F5A2E05">
      <w:pPr>
        <w:pStyle w:val="105"/>
        <w:spacing w:before="120" w:after="120"/>
        <w:rPr>
          <w:rFonts w:ascii="Times New Roman"/>
        </w:rPr>
      </w:pPr>
      <w:r>
        <w:rPr>
          <w:rFonts w:ascii="Times New Roman"/>
        </w:rPr>
        <w:t>生态防护与环保</w:t>
      </w:r>
    </w:p>
    <w:p w14:paraId="11A42673">
      <w:pPr>
        <w:pStyle w:val="65"/>
        <w:spacing w:before="120" w:after="120"/>
        <w:rPr>
          <w:rFonts w:ascii="Times New Roman"/>
        </w:rPr>
      </w:pPr>
      <w:r>
        <w:rPr>
          <w:rFonts w:ascii="Times New Roman"/>
        </w:rPr>
        <w:t>生态排水沟</w:t>
      </w:r>
    </w:p>
    <w:p w14:paraId="6163B8D5">
      <w:pPr>
        <w:pStyle w:val="164"/>
        <w:rPr>
          <w:rFonts w:ascii="Times New Roman"/>
        </w:rPr>
      </w:pPr>
      <w:r>
        <w:rPr>
          <w:rFonts w:ascii="Times New Roman"/>
        </w:rPr>
        <w:t>生态排水沟宜采用植草沟或透水混凝土结构，沟内可种植耐湿植物，增强滞渗能力。</w:t>
      </w:r>
    </w:p>
    <w:p w14:paraId="49B69FEA">
      <w:pPr>
        <w:pStyle w:val="164"/>
        <w:rPr>
          <w:rFonts w:ascii="Times New Roman"/>
        </w:rPr>
      </w:pPr>
      <w:r>
        <w:rPr>
          <w:rFonts w:ascii="Times New Roman"/>
        </w:rPr>
        <w:t>沟底纵坡宜缓于1%，必要时设置阶梯式跌水，降低流速并促进泥沙沉淀。</w:t>
      </w:r>
    </w:p>
    <w:p w14:paraId="6EF739E7">
      <w:pPr>
        <w:pStyle w:val="65"/>
        <w:spacing w:before="120" w:after="120"/>
        <w:rPr>
          <w:rFonts w:ascii="Times New Roman"/>
        </w:rPr>
      </w:pPr>
      <w:r>
        <w:rPr>
          <w:rFonts w:ascii="Times New Roman"/>
        </w:rPr>
        <w:t>透水路面材料</w:t>
      </w:r>
    </w:p>
    <w:p w14:paraId="1D755512">
      <w:pPr>
        <w:pStyle w:val="164"/>
        <w:rPr>
          <w:rFonts w:ascii="Times New Roman"/>
        </w:rPr>
      </w:pPr>
      <w:r>
        <w:rPr>
          <w:rFonts w:ascii="Times New Roman"/>
        </w:rPr>
        <w:t>人行道或低荷载区域可采用透水沥青或透水砖铺装，基层宜设置级配碎石排水层。</w:t>
      </w:r>
    </w:p>
    <w:p w14:paraId="394D5AA6">
      <w:pPr>
        <w:pStyle w:val="164"/>
        <w:rPr>
          <w:rFonts w:ascii="Times New Roman"/>
        </w:rPr>
      </w:pPr>
      <w:r>
        <w:rPr>
          <w:rFonts w:ascii="Times New Roman"/>
        </w:rPr>
        <w:t>透水铺装孔隙率应大于15%，施工后应定期清淤维护，确保透水性能。</w:t>
      </w:r>
    </w:p>
    <w:p w14:paraId="4CFBA25E">
      <w:pPr>
        <w:pStyle w:val="65"/>
        <w:spacing w:before="120" w:after="120"/>
        <w:rPr>
          <w:rFonts w:ascii="Times New Roman"/>
        </w:rPr>
      </w:pPr>
      <w:r>
        <w:rPr>
          <w:rFonts w:ascii="Times New Roman"/>
        </w:rPr>
        <w:t>环保施工要求</w:t>
      </w:r>
    </w:p>
    <w:p w14:paraId="6C90D3CD">
      <w:pPr>
        <w:pStyle w:val="164"/>
        <w:rPr>
          <w:rFonts w:ascii="Times New Roman"/>
        </w:rPr>
      </w:pPr>
      <w:r>
        <w:rPr>
          <w:rFonts w:ascii="Times New Roman"/>
        </w:rPr>
        <w:t>施工期间应设置临时沉淀池，泥浆水经沉淀处理后排放，不应直接排入水体。</w:t>
      </w:r>
    </w:p>
    <w:p w14:paraId="0B1A4FA5">
      <w:pPr>
        <w:pStyle w:val="164"/>
        <w:rPr>
          <w:rFonts w:ascii="Times New Roman"/>
        </w:rPr>
      </w:pPr>
      <w:r>
        <w:rPr>
          <w:rFonts w:ascii="Times New Roman"/>
        </w:rPr>
        <w:t>弃土、弃渣应运至指定场地堆放，坡面开挖后应及时防护，减少水土流失。</w:t>
      </w:r>
    </w:p>
    <w:p w14:paraId="1A65BFFA">
      <w:pPr>
        <w:pStyle w:val="105"/>
        <w:spacing w:before="120" w:after="120"/>
        <w:rPr>
          <w:rFonts w:ascii="Times New Roman"/>
        </w:rPr>
      </w:pPr>
      <w:r>
        <w:rPr>
          <w:rFonts w:ascii="Times New Roman"/>
        </w:rPr>
        <w:t>质量验收</w:t>
      </w:r>
    </w:p>
    <w:p w14:paraId="4C82A07A">
      <w:pPr>
        <w:pStyle w:val="65"/>
        <w:spacing w:before="120" w:after="120"/>
        <w:rPr>
          <w:rFonts w:ascii="Times New Roman"/>
        </w:rPr>
      </w:pPr>
      <w:r>
        <w:rPr>
          <w:rFonts w:ascii="Times New Roman"/>
        </w:rPr>
        <w:t>排水系统验收</w:t>
      </w:r>
    </w:p>
    <w:p w14:paraId="4A534D2C">
      <w:pPr>
        <w:pStyle w:val="164"/>
        <w:rPr>
          <w:rFonts w:ascii="Times New Roman"/>
        </w:rPr>
      </w:pPr>
      <w:r>
        <w:rPr>
          <w:rFonts w:ascii="Times New Roman"/>
        </w:rPr>
        <w:t>排水设施应进行通水试验，检查沟槽无渗漏、堵塞现象，水流畅通无积水。</w:t>
      </w:r>
    </w:p>
    <w:p w14:paraId="78C47D8D">
      <w:pPr>
        <w:pStyle w:val="164"/>
        <w:rPr>
          <w:rFonts w:ascii="Times New Roman"/>
        </w:rPr>
      </w:pPr>
      <w:r>
        <w:rPr>
          <w:rFonts w:ascii="Times New Roman"/>
        </w:rPr>
        <w:t>排水管安装坡度允许偏差为±0.1%，检查井位置偏差不宜超过±50 mm。</w:t>
      </w:r>
    </w:p>
    <w:p w14:paraId="2E1A9C36">
      <w:pPr>
        <w:pStyle w:val="65"/>
        <w:spacing w:before="120" w:after="120"/>
        <w:rPr>
          <w:rFonts w:ascii="Times New Roman"/>
        </w:rPr>
      </w:pPr>
      <w:r>
        <w:rPr>
          <w:rFonts w:ascii="Times New Roman"/>
        </w:rPr>
        <w:t>防护工程验收</w:t>
      </w:r>
    </w:p>
    <w:p w14:paraId="4DE77C6A">
      <w:pPr>
        <w:pStyle w:val="164"/>
        <w:rPr>
          <w:rFonts w:ascii="Times New Roman"/>
        </w:rPr>
      </w:pPr>
      <w:r>
        <w:rPr>
          <w:rFonts w:ascii="Times New Roman"/>
        </w:rPr>
        <w:t>浆砌护坡应检测砂浆强度及表面平整度，平整度允许偏差为±20 mm/2 m。</w:t>
      </w:r>
    </w:p>
    <w:p w14:paraId="41DCD240">
      <w:pPr>
        <w:pStyle w:val="164"/>
        <w:rPr>
          <w:rFonts w:ascii="Times New Roman"/>
        </w:rPr>
      </w:pPr>
      <w:r>
        <w:rPr>
          <w:rFonts w:ascii="Times New Roman"/>
        </w:rPr>
        <w:t>格宾网防护应抽查网箱绑扎牢固度及填石密实度，抽检频率不宜少于10%。</w:t>
      </w:r>
    </w:p>
    <w:p w14:paraId="38AE8893">
      <w:pPr>
        <w:pStyle w:val="104"/>
        <w:spacing w:before="240" w:after="240"/>
        <w:rPr>
          <w:rFonts w:ascii="Times New Roman"/>
        </w:rPr>
      </w:pPr>
      <w:bookmarkStart w:id="62" w:name="_Toc194568132"/>
      <w:bookmarkStart w:id="63" w:name="_Toc194568196"/>
      <w:r>
        <w:rPr>
          <w:rFonts w:ascii="Times New Roman"/>
        </w:rPr>
        <w:t>质量控制与验收</w:t>
      </w:r>
      <w:bookmarkEnd w:id="62"/>
      <w:bookmarkEnd w:id="63"/>
    </w:p>
    <w:p w14:paraId="1ABA3FCE">
      <w:pPr>
        <w:pStyle w:val="105"/>
        <w:spacing w:before="120" w:after="120"/>
        <w:rPr>
          <w:rFonts w:ascii="Times New Roman"/>
        </w:rPr>
      </w:pPr>
      <w:r>
        <w:rPr>
          <w:rFonts w:ascii="Times New Roman"/>
        </w:rPr>
        <w:t>一般规定</w:t>
      </w:r>
    </w:p>
    <w:p w14:paraId="6EC4B654">
      <w:pPr>
        <w:pStyle w:val="165"/>
        <w:rPr>
          <w:rFonts w:ascii="Times New Roman"/>
        </w:rPr>
      </w:pPr>
      <w:r>
        <w:rPr>
          <w:rFonts w:ascii="Times New Roman"/>
        </w:rPr>
        <w:t>路基工程应实行全过程质量控制，涵盖材料进场、施工工艺、检测验收等环节。</w:t>
      </w:r>
    </w:p>
    <w:p w14:paraId="0B93A057">
      <w:pPr>
        <w:pStyle w:val="165"/>
        <w:rPr>
          <w:rFonts w:ascii="Times New Roman"/>
        </w:rPr>
      </w:pPr>
      <w:r>
        <w:rPr>
          <w:rFonts w:ascii="Times New Roman"/>
        </w:rPr>
        <w:t>质量责任应明确至施工、监理、检测单位，关键工序宜实施旁站监督。</w:t>
      </w:r>
    </w:p>
    <w:p w14:paraId="7618B5EE">
      <w:pPr>
        <w:pStyle w:val="165"/>
        <w:rPr>
          <w:rFonts w:ascii="Times New Roman"/>
        </w:rPr>
      </w:pPr>
      <w:r>
        <w:rPr>
          <w:rFonts w:ascii="Times New Roman"/>
        </w:rPr>
        <w:t>质量验收应依据设计文件、现行技术规范及合同约定条款执行。</w:t>
      </w:r>
    </w:p>
    <w:p w14:paraId="2D085CC1">
      <w:pPr>
        <w:pStyle w:val="165"/>
        <w:rPr>
          <w:rFonts w:ascii="Times New Roman"/>
        </w:rPr>
      </w:pPr>
      <w:r>
        <w:rPr>
          <w:rFonts w:ascii="Times New Roman"/>
        </w:rPr>
        <w:t>验收资料应包括施工记录、检测报告、影像资料及变更文件。</w:t>
      </w:r>
    </w:p>
    <w:p w14:paraId="5607471B">
      <w:pPr>
        <w:pStyle w:val="105"/>
        <w:spacing w:before="120" w:after="120"/>
        <w:rPr>
          <w:rFonts w:ascii="Times New Roman"/>
        </w:rPr>
      </w:pPr>
      <w:r>
        <w:rPr>
          <w:rFonts w:ascii="Times New Roman"/>
        </w:rPr>
        <w:t>过程质量控制</w:t>
      </w:r>
    </w:p>
    <w:p w14:paraId="703FCD91">
      <w:pPr>
        <w:pStyle w:val="65"/>
        <w:spacing w:before="120" w:after="120"/>
        <w:rPr>
          <w:rFonts w:ascii="Times New Roman"/>
        </w:rPr>
      </w:pPr>
      <w:r>
        <w:rPr>
          <w:rFonts w:ascii="Times New Roman"/>
        </w:rPr>
        <w:t>材料与设备控制</w:t>
      </w:r>
    </w:p>
    <w:p w14:paraId="5ABE300E">
      <w:pPr>
        <w:pStyle w:val="164"/>
        <w:rPr>
          <w:rFonts w:ascii="Times New Roman"/>
        </w:rPr>
      </w:pPr>
      <w:r>
        <w:rPr>
          <w:rFonts w:ascii="Times New Roman"/>
        </w:rPr>
        <w:t>填料、水泥、土工材料等进场前应核查质量证明文件，并抽样复验，不合格材料不应使用。</w:t>
      </w:r>
    </w:p>
    <w:p w14:paraId="4D467701">
      <w:pPr>
        <w:pStyle w:val="164"/>
        <w:rPr>
          <w:rFonts w:ascii="Times New Roman"/>
        </w:rPr>
      </w:pPr>
      <w:r>
        <w:rPr>
          <w:rFonts w:ascii="Times New Roman"/>
        </w:rPr>
        <w:t>施工机械应定期校验性能，特种设备操作人员应持证上岗。</w:t>
      </w:r>
    </w:p>
    <w:p w14:paraId="5AAB0CA7">
      <w:pPr>
        <w:pStyle w:val="65"/>
        <w:spacing w:before="120" w:after="120"/>
        <w:rPr>
          <w:rFonts w:ascii="Times New Roman"/>
        </w:rPr>
      </w:pPr>
      <w:r>
        <w:rPr>
          <w:rFonts w:ascii="Times New Roman"/>
        </w:rPr>
        <w:t>施工参数监测</w:t>
      </w:r>
    </w:p>
    <w:p w14:paraId="6F114891">
      <w:pPr>
        <w:pStyle w:val="164"/>
        <w:rPr>
          <w:rFonts w:ascii="Times New Roman"/>
        </w:rPr>
      </w:pPr>
      <w:r>
        <w:rPr>
          <w:rFonts w:ascii="Times New Roman"/>
        </w:rPr>
        <w:t>分层填筑厚度、碾压遍数、含水率等关键参数应实时记录，偏差超出允许范围时应调整工艺。</w:t>
      </w:r>
    </w:p>
    <w:p w14:paraId="0519E415">
      <w:pPr>
        <w:pStyle w:val="164"/>
        <w:rPr>
          <w:rFonts w:ascii="Times New Roman"/>
        </w:rPr>
      </w:pPr>
      <w:r>
        <w:rPr>
          <w:rFonts w:ascii="Times New Roman"/>
        </w:rPr>
        <w:t>软基处理、边坡开挖等高风险作业，应监测变形数据，频率宜为每日1～2次。</w:t>
      </w:r>
    </w:p>
    <w:p w14:paraId="02F04AA9">
      <w:pPr>
        <w:pStyle w:val="65"/>
        <w:spacing w:before="120" w:after="120"/>
        <w:rPr>
          <w:rFonts w:ascii="Times New Roman"/>
        </w:rPr>
      </w:pPr>
      <w:r>
        <w:rPr>
          <w:rFonts w:ascii="Times New Roman"/>
        </w:rPr>
        <w:t>隐蔽工程验收</w:t>
      </w:r>
    </w:p>
    <w:p w14:paraId="576CDF21">
      <w:pPr>
        <w:pStyle w:val="164"/>
        <w:rPr>
          <w:rFonts w:ascii="Times New Roman"/>
        </w:rPr>
      </w:pPr>
      <w:r>
        <w:rPr>
          <w:rFonts w:ascii="Times New Roman"/>
        </w:rPr>
        <w:t>基底处理、排水盲沟、挡土墙基础等隐蔽工程，应经监理验收合格后方可覆盖。</w:t>
      </w:r>
    </w:p>
    <w:p w14:paraId="06B8D581">
      <w:pPr>
        <w:pStyle w:val="164"/>
        <w:rPr>
          <w:rFonts w:ascii="Times New Roman"/>
        </w:rPr>
      </w:pPr>
      <w:r>
        <w:rPr>
          <w:rFonts w:ascii="Times New Roman"/>
        </w:rPr>
        <w:t>验收记录应包含断面尺寸、材料规格及检测数据，并附影像资料。</w:t>
      </w:r>
    </w:p>
    <w:p w14:paraId="5BBABDE4">
      <w:pPr>
        <w:pStyle w:val="105"/>
        <w:spacing w:before="120" w:after="120"/>
        <w:rPr>
          <w:rFonts w:ascii="Times New Roman"/>
        </w:rPr>
      </w:pPr>
      <w:r>
        <w:rPr>
          <w:rFonts w:ascii="Times New Roman"/>
        </w:rPr>
        <w:t>质量检验要求</w:t>
      </w:r>
    </w:p>
    <w:p w14:paraId="2613C44C">
      <w:pPr>
        <w:pStyle w:val="65"/>
        <w:spacing w:before="120" w:after="120"/>
        <w:rPr>
          <w:rFonts w:ascii="Times New Roman"/>
        </w:rPr>
      </w:pPr>
      <w:r>
        <w:rPr>
          <w:rFonts w:ascii="Times New Roman"/>
        </w:rPr>
        <w:t>压实度</w:t>
      </w:r>
    </w:p>
    <w:p w14:paraId="5F5E63BC">
      <w:pPr>
        <w:pStyle w:val="164"/>
        <w:rPr>
          <w:rFonts w:ascii="Times New Roman"/>
        </w:rPr>
      </w:pPr>
      <w:r>
        <w:rPr>
          <w:rFonts w:ascii="Times New Roman"/>
        </w:rPr>
        <w:t>路床顶面以下0～80 cm范围内压实度应≥96%，80 cm以下应≥94%。</w:t>
      </w:r>
    </w:p>
    <w:p w14:paraId="4325121E">
      <w:pPr>
        <w:pStyle w:val="164"/>
        <w:rPr>
          <w:rFonts w:ascii="Times New Roman"/>
        </w:rPr>
      </w:pPr>
      <w:r>
        <w:rPr>
          <w:rFonts w:ascii="Times New Roman"/>
        </w:rPr>
        <w:t>填石路基宜采用沉降差法控制，单点沉降差应≤3 mm。</w:t>
      </w:r>
    </w:p>
    <w:p w14:paraId="05E2F5BE">
      <w:pPr>
        <w:pStyle w:val="65"/>
        <w:spacing w:before="120" w:after="120"/>
        <w:rPr>
          <w:rFonts w:ascii="Times New Roman"/>
        </w:rPr>
      </w:pPr>
      <w:r>
        <w:rPr>
          <w:rFonts w:ascii="Times New Roman"/>
        </w:rPr>
        <w:t>弯沉值</w:t>
      </w:r>
    </w:p>
    <w:p w14:paraId="6EFA3E0F">
      <w:pPr>
        <w:pStyle w:val="164"/>
        <w:rPr>
          <w:rFonts w:ascii="Times New Roman"/>
        </w:rPr>
      </w:pPr>
      <w:r>
        <w:rPr>
          <w:rFonts w:ascii="Times New Roman"/>
        </w:rPr>
        <w:t>交工验收时路基顶面设计弯沉值应符合设计要求，检测值超出允许范围时应返工处理。</w:t>
      </w:r>
    </w:p>
    <w:p w14:paraId="112BAAF7">
      <w:pPr>
        <w:pStyle w:val="164"/>
        <w:rPr>
          <w:rFonts w:ascii="Times New Roman"/>
        </w:rPr>
      </w:pPr>
      <w:r>
        <w:rPr>
          <w:rFonts w:ascii="Times New Roman"/>
        </w:rPr>
        <w:t>弯沉检测宜采用贝克曼梁法或落锤式弯沉仪，检测点间距宜为20 m～50 m。</w:t>
      </w:r>
    </w:p>
    <w:p w14:paraId="6E20D501">
      <w:pPr>
        <w:pStyle w:val="65"/>
        <w:spacing w:before="120" w:after="120"/>
        <w:rPr>
          <w:rFonts w:ascii="Times New Roman"/>
        </w:rPr>
      </w:pPr>
      <w:r>
        <w:rPr>
          <w:rFonts w:ascii="Times New Roman"/>
        </w:rPr>
        <w:t>几何尺寸</w:t>
      </w:r>
    </w:p>
    <w:p w14:paraId="7C9886F6">
      <w:pPr>
        <w:pStyle w:val="164"/>
        <w:rPr>
          <w:rFonts w:ascii="Times New Roman"/>
        </w:rPr>
      </w:pPr>
      <w:r>
        <w:rPr>
          <w:rFonts w:ascii="Times New Roman"/>
        </w:rPr>
        <w:t>路基中线偏位允许偏差为±50 mm，宽度不应小于设计值，横坡允许偏差为±0.3%。</w:t>
      </w:r>
    </w:p>
    <w:p w14:paraId="027E9876">
      <w:pPr>
        <w:pStyle w:val="164"/>
        <w:rPr>
          <w:rFonts w:ascii="Times New Roman"/>
        </w:rPr>
      </w:pPr>
      <w:r>
        <w:rPr>
          <w:rFonts w:ascii="Times New Roman"/>
        </w:rPr>
        <w:t>边坡坡率允许偏差为设计值的±3%，平整度应≤15 mm/3 m。</w:t>
      </w:r>
    </w:p>
    <w:p w14:paraId="4B7AF193">
      <w:pPr>
        <w:pStyle w:val="65"/>
        <w:spacing w:before="120" w:after="120"/>
        <w:rPr>
          <w:rFonts w:ascii="Times New Roman"/>
        </w:rPr>
      </w:pPr>
      <w:r>
        <w:rPr>
          <w:rFonts w:ascii="Times New Roman"/>
        </w:rPr>
        <w:t>排水与防护</w:t>
      </w:r>
    </w:p>
    <w:p w14:paraId="46926939">
      <w:pPr>
        <w:pStyle w:val="164"/>
        <w:rPr>
          <w:rFonts w:ascii="Times New Roman"/>
        </w:rPr>
      </w:pPr>
      <w:r>
        <w:rPr>
          <w:rFonts w:ascii="Times New Roman"/>
        </w:rPr>
        <w:t>排水沟断面尺寸允许偏差为±5%，纵坡偏差应≤0.1%。</w:t>
      </w:r>
    </w:p>
    <w:p w14:paraId="79DB7ADB">
      <w:pPr>
        <w:pStyle w:val="164"/>
        <w:rPr>
          <w:rFonts w:ascii="Times New Roman"/>
        </w:rPr>
      </w:pPr>
      <w:r>
        <w:rPr>
          <w:rFonts w:ascii="Times New Roman"/>
        </w:rPr>
        <w:t>防护工程砌体砂浆强度应大于等于设计值的85%，勾缝脱落面积不得超过5%。</w:t>
      </w:r>
    </w:p>
    <w:p w14:paraId="054AD561">
      <w:pPr>
        <w:pStyle w:val="105"/>
        <w:spacing w:before="120" w:after="120"/>
        <w:rPr>
          <w:rFonts w:ascii="Times New Roman"/>
        </w:rPr>
      </w:pPr>
      <w:r>
        <w:rPr>
          <w:rFonts w:ascii="Times New Roman"/>
        </w:rPr>
        <w:t>分项工程验收</w:t>
      </w:r>
    </w:p>
    <w:p w14:paraId="22E8A369">
      <w:pPr>
        <w:pStyle w:val="65"/>
        <w:spacing w:before="120" w:after="120"/>
        <w:rPr>
          <w:rFonts w:ascii="Times New Roman"/>
        </w:rPr>
      </w:pPr>
      <w:r>
        <w:rPr>
          <w:rFonts w:ascii="Times New Roman"/>
        </w:rPr>
        <w:t>验收程序</w:t>
      </w:r>
    </w:p>
    <w:p w14:paraId="51D1BD53">
      <w:pPr>
        <w:pStyle w:val="164"/>
        <w:rPr>
          <w:rFonts w:ascii="Times New Roman"/>
        </w:rPr>
      </w:pPr>
      <w:r>
        <w:rPr>
          <w:rFonts w:ascii="Times New Roman"/>
        </w:rPr>
        <w:t>分项工程完成后，施工单位应组织自检，合格后报监理单位复验。</w:t>
      </w:r>
    </w:p>
    <w:p w14:paraId="7658EC3F">
      <w:pPr>
        <w:pStyle w:val="164"/>
        <w:rPr>
          <w:rFonts w:ascii="Times New Roman"/>
        </w:rPr>
      </w:pPr>
      <w:r>
        <w:rPr>
          <w:rFonts w:ascii="Times New Roman"/>
        </w:rPr>
        <w:t>验收内容应包括外观质量、实测实量数据及资料完整性，缺陷整改后应重新报验。</w:t>
      </w:r>
    </w:p>
    <w:p w14:paraId="69D1A224">
      <w:pPr>
        <w:pStyle w:val="65"/>
        <w:spacing w:before="120" w:after="120"/>
        <w:rPr>
          <w:rFonts w:ascii="Times New Roman"/>
        </w:rPr>
      </w:pPr>
      <w:r>
        <w:rPr>
          <w:rFonts w:ascii="Times New Roman"/>
        </w:rPr>
        <w:t>验收内容</w:t>
      </w:r>
    </w:p>
    <w:p w14:paraId="00048835">
      <w:pPr>
        <w:pStyle w:val="164"/>
        <w:rPr>
          <w:rFonts w:ascii="Times New Roman"/>
        </w:rPr>
      </w:pPr>
      <w:r>
        <w:rPr>
          <w:rFonts w:ascii="Times New Roman"/>
        </w:rPr>
        <w:t>验收内容应符合CJJ 1有关规定。</w:t>
      </w:r>
    </w:p>
    <w:p w14:paraId="2A463850">
      <w:pPr>
        <w:pStyle w:val="164"/>
        <w:rPr>
          <w:rFonts w:ascii="Times New Roman"/>
        </w:rPr>
      </w:pPr>
      <w:r>
        <w:rPr>
          <w:rFonts w:ascii="Times New Roman"/>
        </w:rPr>
        <w:t>路基工程按填方、挖方、特殊地基处理等划分分项工程，每个分项宜分段验收。</w:t>
      </w:r>
    </w:p>
    <w:p w14:paraId="62EB2ADB">
      <w:pPr>
        <w:pStyle w:val="164"/>
        <w:rPr>
          <w:rFonts w:ascii="Times New Roman"/>
        </w:rPr>
      </w:pPr>
      <w:r>
        <w:rPr>
          <w:rFonts w:ascii="Times New Roman"/>
        </w:rPr>
        <w:t>防护与排水工程可按结构类型（如浆砌护坡、盲沟）单独验收。</w:t>
      </w:r>
    </w:p>
    <w:p w14:paraId="609B9526">
      <w:pPr>
        <w:pStyle w:val="65"/>
        <w:spacing w:before="120" w:after="120"/>
        <w:rPr>
          <w:rFonts w:ascii="Times New Roman"/>
        </w:rPr>
      </w:pPr>
      <w:r>
        <w:rPr>
          <w:rFonts w:ascii="Times New Roman"/>
        </w:rPr>
        <w:t>验收记录</w:t>
      </w:r>
    </w:p>
    <w:p w14:paraId="4BB5B33D">
      <w:pPr>
        <w:pStyle w:val="164"/>
        <w:rPr>
          <w:rFonts w:ascii="Times New Roman"/>
        </w:rPr>
      </w:pPr>
      <w:r>
        <w:rPr>
          <w:rFonts w:ascii="Times New Roman"/>
        </w:rPr>
        <w:t>验收记录表应注明验收部位、日期、参与单位及结论，各方代表签字确认。</w:t>
      </w:r>
    </w:p>
    <w:p w14:paraId="14A9FC3C">
      <w:pPr>
        <w:pStyle w:val="164"/>
        <w:rPr>
          <w:rFonts w:ascii="Times New Roman"/>
        </w:rPr>
      </w:pPr>
      <w:r>
        <w:rPr>
          <w:rFonts w:ascii="Times New Roman"/>
        </w:rPr>
        <w:t>重大分项工程宜保留验收会议纪要及影像记录。</w:t>
      </w:r>
    </w:p>
    <w:p w14:paraId="69D514AA">
      <w:pPr>
        <w:pStyle w:val="105"/>
        <w:spacing w:before="120" w:after="120"/>
        <w:rPr>
          <w:rFonts w:ascii="Times New Roman"/>
        </w:rPr>
      </w:pPr>
      <w:r>
        <w:rPr>
          <w:rFonts w:ascii="Times New Roman"/>
        </w:rPr>
        <w:t>竣工验收</w:t>
      </w:r>
    </w:p>
    <w:p w14:paraId="2E86ACE1">
      <w:pPr>
        <w:pStyle w:val="65"/>
        <w:spacing w:before="120" w:after="120"/>
        <w:rPr>
          <w:rFonts w:ascii="Times New Roman"/>
        </w:rPr>
      </w:pPr>
      <w:r>
        <w:rPr>
          <w:rFonts w:ascii="Times New Roman"/>
        </w:rPr>
        <w:t>验收条件</w:t>
      </w:r>
    </w:p>
    <w:p w14:paraId="7FA2F586">
      <w:pPr>
        <w:pStyle w:val="164"/>
        <w:rPr>
          <w:rFonts w:ascii="Times New Roman"/>
        </w:rPr>
      </w:pPr>
      <w:r>
        <w:rPr>
          <w:rFonts w:ascii="Times New Roman"/>
        </w:rPr>
        <w:t>竣工验收应在所有分项工程验收合格、质量问题整改完毕、资料归档完成后进行。</w:t>
      </w:r>
    </w:p>
    <w:p w14:paraId="29B201F4">
      <w:pPr>
        <w:pStyle w:val="164"/>
        <w:rPr>
          <w:rFonts w:ascii="Times New Roman"/>
        </w:rPr>
      </w:pPr>
      <w:r>
        <w:rPr>
          <w:rFonts w:ascii="Times New Roman"/>
        </w:rPr>
        <w:t>交工前应完成路基弯沉、压实度等全线检测，检测覆盖率应达100%。</w:t>
      </w:r>
    </w:p>
    <w:p w14:paraId="35466E46">
      <w:pPr>
        <w:pStyle w:val="65"/>
        <w:spacing w:before="120" w:after="120"/>
        <w:rPr>
          <w:rFonts w:ascii="Times New Roman"/>
        </w:rPr>
      </w:pPr>
      <w:r>
        <w:rPr>
          <w:rFonts w:ascii="Times New Roman"/>
        </w:rPr>
        <w:t>验收组织</w:t>
      </w:r>
    </w:p>
    <w:p w14:paraId="6A014CF7">
      <w:pPr>
        <w:pStyle w:val="164"/>
        <w:rPr>
          <w:rFonts w:ascii="Times New Roman"/>
        </w:rPr>
      </w:pPr>
      <w:r>
        <w:rPr>
          <w:rFonts w:ascii="Times New Roman"/>
        </w:rPr>
        <w:t>竣工验收应由建设单位组织，设计、施工、监理、质监等单位参与，形成统一结论。</w:t>
      </w:r>
    </w:p>
    <w:p w14:paraId="4EF2A241">
      <w:pPr>
        <w:pStyle w:val="164"/>
        <w:rPr>
          <w:rFonts w:ascii="Times New Roman"/>
        </w:rPr>
      </w:pPr>
      <w:r>
        <w:rPr>
          <w:rFonts w:ascii="Times New Roman"/>
        </w:rPr>
        <w:t>验收组应现场抽查10%～20%的工程实体，重点核查高风险区域及隐蔽工程。</w:t>
      </w:r>
    </w:p>
    <w:p w14:paraId="4B3F6523">
      <w:pPr>
        <w:pStyle w:val="65"/>
        <w:spacing w:before="120" w:after="120"/>
        <w:rPr>
          <w:rFonts w:ascii="Times New Roman"/>
        </w:rPr>
      </w:pPr>
      <w:r>
        <w:rPr>
          <w:rFonts w:ascii="Times New Roman"/>
        </w:rPr>
        <w:t>移交要求</w:t>
      </w:r>
    </w:p>
    <w:p w14:paraId="5A17C98D">
      <w:pPr>
        <w:pStyle w:val="164"/>
        <w:rPr>
          <w:rFonts w:ascii="Times New Roman"/>
        </w:rPr>
      </w:pPr>
      <w:r>
        <w:rPr>
          <w:rFonts w:ascii="Times New Roman"/>
        </w:rPr>
        <w:t>竣工资料应包括施工图纸、变更文件、检测报告、验收记录及质量保修书。</w:t>
      </w:r>
    </w:p>
    <w:p w14:paraId="5D9C1E42">
      <w:pPr>
        <w:pStyle w:val="164"/>
        <w:rPr>
          <w:rFonts w:ascii="Times New Roman"/>
        </w:rPr>
      </w:pPr>
      <w:r>
        <w:rPr>
          <w:rFonts w:ascii="Times New Roman"/>
        </w:rPr>
        <w:t>工程实体应设置永久性标识牌，注明施工单位、完工日期及质量责任期限。</w:t>
      </w:r>
    </w:p>
    <w:p w14:paraId="76251B5F">
      <w:pPr>
        <w:pStyle w:val="105"/>
        <w:spacing w:before="120" w:after="120"/>
        <w:rPr>
          <w:rFonts w:ascii="Times New Roman"/>
        </w:rPr>
      </w:pPr>
      <w:r>
        <w:rPr>
          <w:rFonts w:ascii="Times New Roman"/>
        </w:rPr>
        <w:t>质量问题处理</w:t>
      </w:r>
    </w:p>
    <w:p w14:paraId="0897FDA2">
      <w:pPr>
        <w:pStyle w:val="65"/>
        <w:spacing w:before="120" w:after="120"/>
        <w:rPr>
          <w:rFonts w:ascii="Times New Roman"/>
        </w:rPr>
      </w:pPr>
      <w:r>
        <w:rPr>
          <w:rFonts w:ascii="Times New Roman"/>
        </w:rPr>
        <w:t>缺陷分类</w:t>
      </w:r>
    </w:p>
    <w:p w14:paraId="49E9D58A">
      <w:pPr>
        <w:pStyle w:val="164"/>
        <w:rPr>
          <w:rFonts w:ascii="Times New Roman"/>
        </w:rPr>
      </w:pPr>
      <w:r>
        <w:rPr>
          <w:rFonts w:ascii="Times New Roman"/>
        </w:rPr>
        <w:t>质量缺陷可分为轻微缺陷（如局部平整度不足）、一般缺陷（如压实度不达标）、严重缺陷（如边坡滑坡）。</w:t>
      </w:r>
    </w:p>
    <w:p w14:paraId="2AB1F6FC">
      <w:pPr>
        <w:pStyle w:val="164"/>
        <w:rPr>
          <w:rFonts w:ascii="Times New Roman"/>
        </w:rPr>
      </w:pPr>
      <w:r>
        <w:rPr>
          <w:rFonts w:ascii="Times New Roman"/>
        </w:rPr>
        <w:t>缺陷责任期内发现的质量问题，应由施工单位无偿修复。</w:t>
      </w:r>
    </w:p>
    <w:p w14:paraId="70BAA6EE">
      <w:pPr>
        <w:pStyle w:val="65"/>
        <w:spacing w:before="120" w:after="120"/>
        <w:rPr>
          <w:rFonts w:ascii="Times New Roman"/>
        </w:rPr>
      </w:pPr>
      <w:r>
        <w:rPr>
          <w:rFonts w:ascii="Times New Roman"/>
        </w:rPr>
        <w:t>处理措施</w:t>
      </w:r>
    </w:p>
    <w:p w14:paraId="43A2E661">
      <w:pPr>
        <w:pStyle w:val="164"/>
        <w:rPr>
          <w:rFonts w:ascii="Times New Roman"/>
        </w:rPr>
      </w:pPr>
      <w:r>
        <w:rPr>
          <w:rFonts w:ascii="Times New Roman"/>
        </w:rPr>
        <w:t>局部压实度不足可采取补压或换填处理，补压后应重新检测至合格。</w:t>
      </w:r>
    </w:p>
    <w:p w14:paraId="5B6D030F">
      <w:pPr>
        <w:pStyle w:val="164"/>
        <w:rPr>
          <w:rFonts w:ascii="Times New Roman"/>
        </w:rPr>
      </w:pPr>
      <w:r>
        <w:rPr>
          <w:rFonts w:ascii="Times New Roman"/>
        </w:rPr>
        <w:t>边坡塌方应清除松散土体，重新分层回填并加强防护，必要时增设支挡结构。</w:t>
      </w:r>
    </w:p>
    <w:p w14:paraId="3048DF56">
      <w:pPr>
        <w:pStyle w:val="65"/>
        <w:spacing w:before="120" w:after="120"/>
        <w:rPr>
          <w:rFonts w:ascii="Times New Roman"/>
        </w:rPr>
      </w:pPr>
      <w:r>
        <w:rPr>
          <w:rFonts w:ascii="Times New Roman"/>
        </w:rPr>
        <w:t>记录与追溯</w:t>
      </w:r>
    </w:p>
    <w:p w14:paraId="76ACC1A7">
      <w:pPr>
        <w:pStyle w:val="164"/>
        <w:rPr>
          <w:rFonts w:ascii="Times New Roman"/>
        </w:rPr>
      </w:pPr>
      <w:r>
        <w:rPr>
          <w:rFonts w:ascii="Times New Roman"/>
        </w:rPr>
        <w:t>质量问题处理过程应形成专项报告，包含原因分析、处理方案及复验结果。</w:t>
      </w:r>
    </w:p>
    <w:p w14:paraId="5C8E22F8">
      <w:pPr>
        <w:pStyle w:val="164"/>
        <w:rPr>
          <w:rFonts w:ascii="Times New Roman"/>
        </w:rPr>
      </w:pPr>
      <w:r>
        <w:rPr>
          <w:rFonts w:ascii="Times New Roman"/>
        </w:rPr>
        <w:t>重大质量事故应报建设主管部门备案，并组织专家论证整改方案。</w:t>
      </w:r>
    </w:p>
    <w:p w14:paraId="65014325">
      <w:pPr>
        <w:pStyle w:val="105"/>
        <w:spacing w:before="120" w:after="120"/>
        <w:rPr>
          <w:rFonts w:ascii="Times New Roman"/>
        </w:rPr>
      </w:pPr>
      <w:r>
        <w:rPr>
          <w:rFonts w:ascii="Times New Roman"/>
        </w:rPr>
        <w:t>资料管理</w:t>
      </w:r>
    </w:p>
    <w:p w14:paraId="7C79CE69">
      <w:pPr>
        <w:pStyle w:val="65"/>
        <w:spacing w:before="120" w:after="120"/>
        <w:rPr>
          <w:rFonts w:ascii="Times New Roman"/>
        </w:rPr>
      </w:pPr>
      <w:r>
        <w:rPr>
          <w:rFonts w:ascii="Times New Roman"/>
        </w:rPr>
        <w:t>归档内容</w:t>
      </w:r>
    </w:p>
    <w:p w14:paraId="67F08887">
      <w:pPr>
        <w:pStyle w:val="164"/>
        <w:rPr>
          <w:rFonts w:ascii="Times New Roman"/>
        </w:rPr>
      </w:pPr>
      <w:r>
        <w:rPr>
          <w:rFonts w:ascii="Times New Roman"/>
        </w:rPr>
        <w:t>施工资料应包括材料合格证、压实度检测表、弯沉检测报告、影像记录等。</w:t>
      </w:r>
    </w:p>
    <w:p w14:paraId="11B2A2F3">
      <w:pPr>
        <w:pStyle w:val="164"/>
        <w:rPr>
          <w:rFonts w:ascii="Times New Roman"/>
        </w:rPr>
      </w:pPr>
      <w:r>
        <w:rPr>
          <w:rFonts w:ascii="Times New Roman"/>
        </w:rPr>
        <w:t>监理资料应涵盖旁站记录、验收单、整改通知单及质量评估报告。</w:t>
      </w:r>
    </w:p>
    <w:p w14:paraId="6B8394C6">
      <w:pPr>
        <w:pStyle w:val="65"/>
        <w:spacing w:before="120" w:after="120"/>
        <w:rPr>
          <w:rFonts w:ascii="Times New Roman"/>
        </w:rPr>
      </w:pPr>
      <w:r>
        <w:rPr>
          <w:rFonts w:ascii="Times New Roman"/>
        </w:rPr>
        <w:t>存档要求</w:t>
      </w:r>
    </w:p>
    <w:p w14:paraId="31EF6305">
      <w:pPr>
        <w:pStyle w:val="164"/>
        <w:rPr>
          <w:rFonts w:ascii="Times New Roman"/>
        </w:rPr>
      </w:pPr>
      <w:r>
        <w:rPr>
          <w:rFonts w:ascii="Times New Roman"/>
        </w:rPr>
        <w:t>纸质资料应分类装订成册，电子档案应备份至独立存储设备，保存期限宜不少于工程寿命周期。</w:t>
      </w:r>
    </w:p>
    <w:p w14:paraId="562254E6">
      <w:pPr>
        <w:pStyle w:val="164"/>
        <w:rPr>
          <w:rFonts w:ascii="Times New Roman"/>
        </w:rPr>
      </w:pPr>
      <w:r>
        <w:rPr>
          <w:rFonts w:ascii="Times New Roman"/>
        </w:rPr>
        <w:t>资料移交时应编制目录清单，双方签字确认，确保可追溯性。</w:t>
      </w:r>
    </w:p>
    <w:bookmarkEnd w:id="25"/>
    <w:p w14:paraId="5F3EA662">
      <w:pPr>
        <w:pStyle w:val="164"/>
        <w:numPr>
          <w:ilvl w:val="0"/>
          <w:numId w:val="0"/>
        </w:numPr>
        <w:jc w:val="center"/>
      </w:pPr>
      <w:bookmarkStart w:id="64" w:name="BookMark8"/>
      <w:r>
        <w:rPr>
          <w:rFonts w:hint="eastAsia"/>
        </w:rPr>
        <w:drawing>
          <wp:inline distT="0" distB="0" distL="0" distR="0">
            <wp:extent cx="1485900" cy="317500"/>
            <wp:effectExtent l="0" t="0" r="0" b="6350"/>
            <wp:docPr id="1376061330" name="图片 3"/>
            <wp:cNvGraphicFramePr/>
            <a:graphic xmlns:a="http://schemas.openxmlformats.org/drawingml/2006/main">
              <a:graphicData uri="http://schemas.openxmlformats.org/drawingml/2006/picture">
                <pic:pic xmlns:pic="http://schemas.openxmlformats.org/drawingml/2006/picture">
                  <pic:nvPicPr>
                    <pic:cNvPr id="1376061330" name="图片 3"/>
                    <pic:cNvPicPr/>
                  </pic:nvPicPr>
                  <pic:blipFill>
                    <a:blip r:embed="rId17">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64"/>
    </w:p>
    <w:sectPr>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等线">
    <w:altName w:val="Arial Unicode MS"/>
    <w:panose1 w:val="02010600030101010101"/>
    <w:charset w:val="86"/>
    <w:family w:val="auto"/>
    <w:pitch w:val="default"/>
    <w:sig w:usb0="00000000" w:usb1="00000000" w:usb2="00000016" w:usb3="00000000" w:csb0="0004000F" w:csb1="00000000"/>
  </w:font>
  <w:font w:name="DengXian">
    <w:altName w:val="朗太書体"/>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朗太書体">
    <w:panose1 w:val="02000009000000000000"/>
    <w:charset w:val="80"/>
    <w:family w:val="auto"/>
    <w:pitch w:val="default"/>
    <w:sig w:usb0="800002A3" w:usb1="38C7ECF8" w:usb2="00000016" w:usb3="00000000" w:csb0="00020000" w:csb1="0000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2D82A">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C63A1">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B0CEC">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5E519">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D5E30">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37A60">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A5D95">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4FBF6">
    <w:pPr>
      <w:pStyle w:val="61"/>
      <w:rPr>
        <w:rFonts w:hint="eastAsia"/>
      </w:rPr>
    </w:pPr>
    <w:r>
      <w:fldChar w:fldCharType="begin"/>
    </w:r>
    <w:r>
      <w:instrText xml:space="preserve"> STYLEREF  标准文件_文件编号  \* MERGEFORMAT </w:instrText>
    </w:r>
    <w:r>
      <w:fldChar w:fldCharType="separate"/>
    </w:r>
    <w:r>
      <w:t>T/CASMES XXXX—2025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53BF0">
    <w:pPr>
      <w:pStyle w:val="18"/>
      <w:jc w:val="right"/>
    </w:pPr>
    <w:r>
      <w:fldChar w:fldCharType="begin"/>
    </w:r>
    <w:r>
      <w:instrText xml:space="preserve"> STYLEREF  标准文件_文件编号  \* MERGEFORMAT </w:instrText>
    </w:r>
    <w:r>
      <w:fldChar w:fldCharType="separate"/>
    </w:r>
    <w:r>
      <w:t>T/CASMES XXXX—2025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1" w:cryptProviderType="rsaAES" w:cryptAlgorithmClass="hash" w:cryptAlgorithmType="typeAny" w:cryptAlgorithmSid="14" w:cryptSpinCount="100000" w:hash="fwjw6K9kuxrVl2Rw+5S6+TJYv2NI+owwGcqBrCET6Ki7ea/IMEQ4QnhfkQi5un/XdEa18WCBvi8GOW46gAj7Iw==" w:salt="8amW2+k/4vYz0xUPUpKBiQ=="/>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206"/>
    <w:rsid w:val="0000040A"/>
    <w:rsid w:val="000008DE"/>
    <w:rsid w:val="00000A94"/>
    <w:rsid w:val="00001972"/>
    <w:rsid w:val="00001D9A"/>
    <w:rsid w:val="00007B3A"/>
    <w:rsid w:val="00010766"/>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D7C"/>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17B8C"/>
    <w:rsid w:val="00124E4F"/>
    <w:rsid w:val="001260B7"/>
    <w:rsid w:val="001265CB"/>
    <w:rsid w:val="001321C6"/>
    <w:rsid w:val="001325C4"/>
    <w:rsid w:val="00133010"/>
    <w:rsid w:val="001338EE"/>
    <w:rsid w:val="00133AAE"/>
    <w:rsid w:val="00135323"/>
    <w:rsid w:val="001356C4"/>
    <w:rsid w:val="00137565"/>
    <w:rsid w:val="00141114"/>
    <w:rsid w:val="00141967"/>
    <w:rsid w:val="00142969"/>
    <w:rsid w:val="001446C2"/>
    <w:rsid w:val="001457E7"/>
    <w:rsid w:val="00145D9D"/>
    <w:rsid w:val="00146388"/>
    <w:rsid w:val="001529E5"/>
    <w:rsid w:val="00152FB3"/>
    <w:rsid w:val="00153C7E"/>
    <w:rsid w:val="00156B25"/>
    <w:rsid w:val="00156E1A"/>
    <w:rsid w:val="00157812"/>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19"/>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B7BEA"/>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60A3"/>
    <w:rsid w:val="00407D39"/>
    <w:rsid w:val="0041477A"/>
    <w:rsid w:val="004167A3"/>
    <w:rsid w:val="00432DAA"/>
    <w:rsid w:val="00434305"/>
    <w:rsid w:val="00435DF7"/>
    <w:rsid w:val="0044083F"/>
    <w:rsid w:val="00441AE7"/>
    <w:rsid w:val="00442AF7"/>
    <w:rsid w:val="00445574"/>
    <w:rsid w:val="004467FB"/>
    <w:rsid w:val="00452D6B"/>
    <w:rsid w:val="00454484"/>
    <w:rsid w:val="0045517B"/>
    <w:rsid w:val="004551B0"/>
    <w:rsid w:val="0046276F"/>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24ED"/>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87F"/>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3A6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115C"/>
    <w:rsid w:val="006640E5"/>
    <w:rsid w:val="006646F1"/>
    <w:rsid w:val="00664929"/>
    <w:rsid w:val="00664F62"/>
    <w:rsid w:val="006655E1"/>
    <w:rsid w:val="00672060"/>
    <w:rsid w:val="00672BFD"/>
    <w:rsid w:val="006770F4"/>
    <w:rsid w:val="00677A84"/>
    <w:rsid w:val="0068026D"/>
    <w:rsid w:val="00680A27"/>
    <w:rsid w:val="006816A4"/>
    <w:rsid w:val="006819B8"/>
    <w:rsid w:val="00682657"/>
    <w:rsid w:val="006840A6"/>
    <w:rsid w:val="006850CD"/>
    <w:rsid w:val="00685AAB"/>
    <w:rsid w:val="006A07AA"/>
    <w:rsid w:val="006A25E5"/>
    <w:rsid w:val="006A2B46"/>
    <w:rsid w:val="006A336D"/>
    <w:rsid w:val="006A37B9"/>
    <w:rsid w:val="006A524F"/>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AFD"/>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17AE"/>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2E8B"/>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0B73"/>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0156"/>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5627"/>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1BF9"/>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5E04"/>
    <w:rsid w:val="00A4661E"/>
    <w:rsid w:val="00A55BD6"/>
    <w:rsid w:val="00A55D50"/>
    <w:rsid w:val="00A57142"/>
    <w:rsid w:val="00A63DCA"/>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38A1"/>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2C05"/>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B6599"/>
    <w:rsid w:val="00BC1A4E"/>
    <w:rsid w:val="00BC5DC7"/>
    <w:rsid w:val="00BC6B8B"/>
    <w:rsid w:val="00BC73D8"/>
    <w:rsid w:val="00BD52D7"/>
    <w:rsid w:val="00BD5AD2"/>
    <w:rsid w:val="00BE22F3"/>
    <w:rsid w:val="00BE5B52"/>
    <w:rsid w:val="00BE6CC4"/>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C1F"/>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673D2"/>
    <w:rsid w:val="00C71372"/>
    <w:rsid w:val="00C72410"/>
    <w:rsid w:val="00C7287F"/>
    <w:rsid w:val="00C80CB8"/>
    <w:rsid w:val="00C815FC"/>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0206"/>
    <w:rsid w:val="00D51BF3"/>
    <w:rsid w:val="00D66846"/>
    <w:rsid w:val="00D675FB"/>
    <w:rsid w:val="00D71C86"/>
    <w:rsid w:val="00D71F25"/>
    <w:rsid w:val="00D728FE"/>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CE"/>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9777F"/>
    <w:rsid w:val="00EA58D1"/>
    <w:rsid w:val="00EA61BC"/>
    <w:rsid w:val="00EA681A"/>
    <w:rsid w:val="00EA735B"/>
    <w:rsid w:val="00EB1E69"/>
    <w:rsid w:val="00EB2086"/>
    <w:rsid w:val="00EB31ED"/>
    <w:rsid w:val="00EB5EDF"/>
    <w:rsid w:val="00EB60FE"/>
    <w:rsid w:val="00EB74DB"/>
    <w:rsid w:val="00EC4015"/>
    <w:rsid w:val="00EC5359"/>
    <w:rsid w:val="00EC553D"/>
    <w:rsid w:val="00EC562A"/>
    <w:rsid w:val="00ED067A"/>
    <w:rsid w:val="00ED2B50"/>
    <w:rsid w:val="00EE0350"/>
    <w:rsid w:val="00EE0719"/>
    <w:rsid w:val="00EE0E80"/>
    <w:rsid w:val="00EE613F"/>
    <w:rsid w:val="00EE7295"/>
    <w:rsid w:val="00EE7869"/>
    <w:rsid w:val="00EF054A"/>
    <w:rsid w:val="00EF3235"/>
    <w:rsid w:val="00EF7E72"/>
    <w:rsid w:val="00F00AF9"/>
    <w:rsid w:val="00F06D37"/>
    <w:rsid w:val="00F07B9D"/>
    <w:rsid w:val="00F11586"/>
    <w:rsid w:val="00F1183B"/>
    <w:rsid w:val="00F11C9F"/>
    <w:rsid w:val="00F12263"/>
    <w:rsid w:val="00F1409D"/>
    <w:rsid w:val="00F14214"/>
    <w:rsid w:val="00F157A9"/>
    <w:rsid w:val="00F16F00"/>
    <w:rsid w:val="00F25BB6"/>
    <w:rsid w:val="00F26B7E"/>
    <w:rsid w:val="00F27A3B"/>
    <w:rsid w:val="00F31170"/>
    <w:rsid w:val="00F32780"/>
    <w:rsid w:val="00F33817"/>
    <w:rsid w:val="00F35A77"/>
    <w:rsid w:val="00F420D5"/>
    <w:rsid w:val="00F442D0"/>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784"/>
    <w:rsid w:val="00FB0CB9"/>
    <w:rsid w:val="00FB231D"/>
    <w:rsid w:val="00FB45F1"/>
    <w:rsid w:val="00FB4A72"/>
    <w:rsid w:val="00FB54E8"/>
    <w:rsid w:val="00FB7054"/>
    <w:rsid w:val="00FC17B7"/>
    <w:rsid w:val="00FC2CB7"/>
    <w:rsid w:val="00FC4090"/>
    <w:rsid w:val="00FC55B4"/>
    <w:rsid w:val="00FC6CF2"/>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E6001B3"/>
    <w:rsid w:val="66644C16"/>
    <w:rsid w:val="7DF00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uiPriority w:val="0"/>
    <w:pPr>
      <w:ind w:left="198"/>
    </w:pPr>
    <w:rPr>
      <w:rFonts w:ascii="宋体" w:hAnsi="Times New Roman" w:eastAsia="宋体" w:cs="Times New Roman"/>
      <w:sz w:val="18"/>
      <w:lang w:val="en-US" w:eastAsia="zh-CN" w:bidi="ar-SA"/>
    </w:rPr>
  </w:style>
  <w:style w:type="paragraph" w:customStyle="1" w:styleId="52">
    <w:name w:val="标准文件_页脚奇数页"/>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uiPriority w:val="0"/>
    <w:pPr>
      <w:ind w:left="488" w:leftChars="200" w:hanging="289" w:hangingChars="290"/>
    </w:pPr>
  </w:style>
  <w:style w:type="paragraph" w:customStyle="1" w:styleId="89">
    <w:name w:val="标准文件_前言、引言标题"/>
    <w:next w:val="1"/>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glossaryDocument" Target="glossary/document.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3.jpe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58D10DEFF6C74D3EAD59F9A687F5ED5B"/>
        <w:style w:val=""/>
        <w:category>
          <w:name w:val="常规"/>
          <w:gallery w:val="placeholder"/>
        </w:category>
        <w:types>
          <w:type w:val="bbPlcHdr"/>
        </w:types>
        <w:behaviors>
          <w:behavior w:val="content"/>
        </w:behaviors>
        <w:description w:val=""/>
        <w:guid w:val="{30B13FF4-81A5-4957-A12B-4348189DB4BC}"/>
      </w:docPartPr>
      <w:docPartBody>
        <w:p w14:paraId="16F090F7">
          <w:pPr>
            <w:pStyle w:val="5"/>
            <w:rPr>
              <w:rFonts w:hint="eastAsia"/>
            </w:rPr>
          </w:pPr>
          <w:r>
            <w:rPr>
              <w:rStyle w:val="4"/>
              <w:rFonts w:hint="eastAsia"/>
            </w:rPr>
            <w:t>单击或点击此处输入文字。</w:t>
          </w:r>
        </w:p>
      </w:docPartBody>
    </w:docPart>
    <w:docPart>
      <w:docPartPr>
        <w:name w:val="0DFFF99ABE8B46B8939D1B7F45986ADE"/>
        <w:style w:val=""/>
        <w:category>
          <w:name w:val="常规"/>
          <w:gallery w:val="placeholder"/>
        </w:category>
        <w:types>
          <w:type w:val="bbPlcHdr"/>
        </w:types>
        <w:behaviors>
          <w:behavior w:val="content"/>
        </w:behaviors>
        <w:description w:val=""/>
        <w:guid w:val="{935EE3D0-F675-470E-9E17-C2256A5FD53F}"/>
      </w:docPartPr>
      <w:docPartBody>
        <w:p w14:paraId="0E1CD4A1">
          <w:pPr>
            <w:pStyle w:val="6"/>
            <w:rPr>
              <w:rFonts w:hint="eastAsia"/>
            </w:rPr>
          </w:pPr>
          <w:r>
            <w:rPr>
              <w:rStyle w:val="4"/>
              <w:rFonts w:hint="eastAsia"/>
            </w:rPr>
            <w:t>选择一项。</w:t>
          </w:r>
        </w:p>
      </w:docPartBody>
    </w:docPart>
    <w:docPart>
      <w:docPartPr>
        <w:name w:val="59C8C9C786B34825B45DF8CA6B30335F"/>
        <w:style w:val=""/>
        <w:category>
          <w:name w:val="常规"/>
          <w:gallery w:val="placeholder"/>
        </w:category>
        <w:types>
          <w:type w:val="bbPlcHdr"/>
        </w:types>
        <w:behaviors>
          <w:behavior w:val="content"/>
        </w:behaviors>
        <w:description w:val=""/>
        <w:guid w:val="{08AD0AD3-EC3C-4221-8E84-15F235F50868}"/>
      </w:docPartPr>
      <w:docPartBody>
        <w:p w14:paraId="254B0308">
          <w:pPr>
            <w:pStyle w:val="7"/>
            <w:rPr>
              <w:rFonts w:hint="eastAsia"/>
            </w:rPr>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DengXian">
    <w:altName w:val="朗太書体"/>
    <w:panose1 w:val="00000000000000000000"/>
    <w:charset w:val="00"/>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朗太書体">
    <w:panose1 w:val="02000009000000000000"/>
    <w:charset w:val="80"/>
    <w:family w:val="auto"/>
    <w:pitch w:val="default"/>
    <w:sig w:usb0="800002A3" w:usb1="38C7ECF8" w:usb2="00000016" w:usb3="00000000" w:csb0="00020000"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ADA"/>
    <w:rsid w:val="00141184"/>
    <w:rsid w:val="00141967"/>
    <w:rsid w:val="00173F19"/>
    <w:rsid w:val="00350DF0"/>
    <w:rsid w:val="00A161B5"/>
    <w:rsid w:val="00A35ADA"/>
    <w:rsid w:val="00A70EF8"/>
    <w:rsid w:val="00C815FC"/>
    <w:rsid w:val="00E97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58D10DEFF6C74D3EAD59F9A687F5ED5B"/>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0DFFF99ABE8B46B8939D1B7F45986ADE"/>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59C8C9C786B34825B45DF8CA6B30335F"/>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11</Pages>
  <Words>3819</Words>
  <Characters>4109</Characters>
  <Lines>54</Lines>
  <Paragraphs>15</Paragraphs>
  <TotalTime>458</TotalTime>
  <ScaleCrop>false</ScaleCrop>
  <LinksUpToDate>false</LinksUpToDate>
  <CharactersWithSpaces>4213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2025-04-02T03:31:00Z</dcterms:created>
  <dc:creator>Administrator</dc:creator>
  <dc:description>&lt;config cover="true" show_menu="true" version="1.0.0" doctype="SDKXY"&gt;_x000d_
&lt;/config&gt;</dc:description>
  <cp:lastModifiedBy>Shimmer</cp:lastModifiedBy>
  <cp:lastPrinted>2021-02-02T08:22:00Z</cp:lastPrinted>
  <dcterms:modified xsi:type="dcterms:W3CDTF">2025-04-15T06:38:43Z</dcterms:modified>
  <dc:title>团体标准</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eyJoZGlkIjoiNWM1ZWJkMDNjYTg1YjI2NDAwOWJhMDU5YTVlYzY4MGYiLCJ1c2VySWQiOiIxNjEyNTI2NzM3In0=</vt:lpwstr>
  </property>
  <property fmtid="{D5CDD505-2E9C-101B-9397-08002B2CF9AE}" pid="15" name="KSOProductBuildVer">
    <vt:lpwstr>2052-12.1.0.20784</vt:lpwstr>
  </property>
  <property fmtid="{D5CDD505-2E9C-101B-9397-08002B2CF9AE}" pid="16" name="ICV">
    <vt:lpwstr>B5A52608BBDB4C3FA1B134F5E4814EA7_12</vt:lpwstr>
  </property>
</Properties>
</file>