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333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7F3DFC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1DD55D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13.020.10</w:t>
            </w:r>
            <w:r>
              <w:rPr>
                <w:rFonts w:ascii="黑体" w:hAnsi="黑体" w:eastAsia="黑体"/>
                <w:sz w:val="21"/>
                <w:szCs w:val="21"/>
              </w:rPr>
              <w:fldChar w:fldCharType="end"/>
            </w:r>
            <w:bookmarkEnd w:id="0"/>
          </w:p>
        </w:tc>
      </w:tr>
      <w:tr w14:paraId="7134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FC27F4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984BC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9A616C">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519F8EB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04</w:t>
            </w:r>
            <w:r>
              <w:rPr>
                <w:rFonts w:ascii="黑体" w:hAnsi="黑体" w:eastAsia="黑体"/>
                <w:sz w:val="21"/>
                <w:szCs w:val="21"/>
              </w:rPr>
              <w:fldChar w:fldCharType="end"/>
            </w:r>
            <w:bookmarkEnd w:id="2"/>
          </w:p>
        </w:tc>
      </w:tr>
    </w:tbl>
    <w:p w14:paraId="74364161">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0771940">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5410A58F">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DAC3BB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37B8A02">
      <w:pPr>
        <w:pStyle w:val="50"/>
        <w:framePr w:w="9639" w:h="6976" w:hRule="exact" w:hSpace="0" w:vSpace="0" w:wrap="around" w:hAnchor="page" w:y="6408"/>
        <w:jc w:val="center"/>
        <w:rPr>
          <w:rFonts w:hint="eastAsia" w:ascii="黑体" w:hAnsi="黑体" w:eastAsia="黑体"/>
          <w:b w:val="0"/>
          <w:bCs w:val="0"/>
          <w:w w:val="100"/>
        </w:rPr>
      </w:pPr>
    </w:p>
    <w:p w14:paraId="656A673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产品碳足迹评价规范 不锈钢无缝钢管</w:t>
      </w:r>
      <w:r>
        <w:fldChar w:fldCharType="end"/>
      </w:r>
      <w:bookmarkEnd w:id="9"/>
    </w:p>
    <w:p w14:paraId="3E065F74">
      <w:pPr>
        <w:framePr w:w="9639" w:h="6974" w:hRule="exact" w:wrap="around" w:vAnchor="page" w:hAnchor="page" w:x="1419" w:y="6408" w:anchorLock="1"/>
        <w:ind w:left="-1418"/>
      </w:pPr>
    </w:p>
    <w:p w14:paraId="1588C10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Specification of product carbon footprint evaluation - </w:t>
      </w:r>
      <w:r>
        <w:rPr>
          <w:rFonts w:hint="eastAsia" w:eastAsia="黑体"/>
          <w:szCs w:val="28"/>
        </w:rPr>
        <w:t>Stainless steel seamless steel pipe</w:t>
      </w:r>
      <w:r>
        <w:rPr>
          <w:rFonts w:eastAsia="黑体"/>
          <w:szCs w:val="28"/>
        </w:rPr>
        <w:fldChar w:fldCharType="end"/>
      </w:r>
      <w:bookmarkEnd w:id="10"/>
    </w:p>
    <w:p w14:paraId="3A61115D">
      <w:pPr>
        <w:framePr w:w="9639" w:h="6974" w:hRule="exact" w:wrap="around" w:vAnchor="page" w:hAnchor="page" w:x="1419" w:y="6408" w:anchorLock="1"/>
        <w:spacing w:line="760" w:lineRule="exact"/>
        <w:ind w:left="-1418"/>
      </w:pPr>
    </w:p>
    <w:p w14:paraId="38E3F9FF">
      <w:pPr>
        <w:pStyle w:val="125"/>
        <w:framePr w:w="9639" w:h="6974" w:hRule="exact" w:wrap="around" w:vAnchor="page" w:hAnchor="page" w:x="1419" w:y="6408" w:anchorLock="1"/>
        <w:textAlignment w:val="bottom"/>
        <w:rPr>
          <w:rFonts w:eastAsia="黑体"/>
          <w:szCs w:val="28"/>
        </w:rPr>
      </w:pPr>
    </w:p>
    <w:p w14:paraId="1CFA83F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1A5ED9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59825D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8F0E2EE">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C3E89EB">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63DE4D2">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F802E3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37A03B1">
      <w:pPr>
        <w:pStyle w:val="91"/>
        <w:spacing w:after="360"/>
        <w:rPr>
          <w:rFonts w:ascii="Times New Roman" w:hAnsi="Times New Roman"/>
        </w:rPr>
      </w:pPr>
      <w:bookmarkStart w:id="21" w:name="BookMark1"/>
      <w:bookmarkStart w:id="22" w:name="_Toc167375528"/>
      <w:bookmarkStart w:id="23" w:name="_Toc170748223"/>
      <w:bookmarkStart w:id="24" w:name="_Toc175837997"/>
      <w:r>
        <w:rPr>
          <w:rFonts w:ascii="Times New Roman" w:hAnsi="Times New Roman"/>
          <w:spacing w:val="320"/>
        </w:rPr>
        <w:t>目</w:t>
      </w:r>
      <w:r>
        <w:rPr>
          <w:rFonts w:ascii="Times New Roman" w:hAnsi="Times New Roman"/>
        </w:rPr>
        <w:t>次</w:t>
      </w:r>
    </w:p>
    <w:p w14:paraId="2AEC8621">
      <w:pPr>
        <w:pStyle w:val="19"/>
        <w:tabs>
          <w:tab w:val="right" w:leader="dot" w:pos="9344"/>
        </w:tabs>
        <w:rPr>
          <w:rFonts w:ascii="Times New Roman" w:hAnsi="Times New Roman" w:eastAsiaTheme="minorEastAsia"/>
          <w:szCs w:val="22"/>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"_Toc177981124"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_Toc177981124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4EE257F6">
      <w:pPr>
        <w:pStyle w:val="19"/>
        <w:tabs>
          <w:tab w:val="right" w:leader="dot" w:pos="9344"/>
        </w:tabs>
        <w:rPr>
          <w:rFonts w:ascii="Times New Roman" w:hAnsi="Times New Roman" w:eastAsiaTheme="minorEastAsia"/>
          <w:szCs w:val="22"/>
          <w14:ligatures w14:val="standardContextual"/>
        </w:rPr>
      </w:pPr>
      <w:r>
        <w:fldChar w:fldCharType="begin"/>
      </w:r>
      <w:r>
        <w:instrText xml:space="preserve"> HYPERLINK \l "_Toc177981125"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_Toc177981125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C554624">
      <w:pPr>
        <w:pStyle w:val="19"/>
        <w:tabs>
          <w:tab w:val="right" w:leader="dot" w:pos="9344"/>
        </w:tabs>
        <w:rPr>
          <w:rFonts w:ascii="Times New Roman" w:hAnsi="Times New Roman" w:eastAsiaTheme="minorEastAsia"/>
          <w:szCs w:val="22"/>
          <w14:ligatures w14:val="standardContextual"/>
        </w:rPr>
      </w:pPr>
      <w:r>
        <w:fldChar w:fldCharType="begin"/>
      </w:r>
      <w:r>
        <w:instrText xml:space="preserve"> HYPERLINK \l "_Toc177981126"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_Toc177981126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E70C1BF">
      <w:pPr>
        <w:pStyle w:val="19"/>
        <w:tabs>
          <w:tab w:val="right" w:leader="dot" w:pos="9344"/>
        </w:tabs>
        <w:rPr>
          <w:rFonts w:ascii="Times New Roman" w:hAnsi="Times New Roman" w:eastAsiaTheme="minorEastAsia"/>
          <w:szCs w:val="22"/>
          <w14:ligatures w14:val="standardContextual"/>
        </w:rPr>
      </w:pPr>
      <w:r>
        <w:fldChar w:fldCharType="begin"/>
      </w:r>
      <w:r>
        <w:instrText xml:space="preserve"> HYPERLINK \l "_Toc177981127"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_Toc177981127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6C5A117">
      <w:pPr>
        <w:pStyle w:val="19"/>
        <w:tabs>
          <w:tab w:val="right" w:leader="dot" w:pos="9344"/>
        </w:tabs>
        <w:rPr>
          <w:rFonts w:ascii="Times New Roman" w:hAnsi="Times New Roman" w:eastAsiaTheme="minorEastAsia"/>
          <w:szCs w:val="22"/>
          <w14:ligatures w14:val="standardContextual"/>
        </w:rPr>
      </w:pPr>
      <w:r>
        <w:fldChar w:fldCharType="begin"/>
      </w:r>
      <w:r>
        <w:instrText xml:space="preserve"> HYPERLINK \l "_Toc177981128" </w:instrText>
      </w:r>
      <w:r>
        <w:fldChar w:fldCharType="separate"/>
      </w:r>
      <w:r>
        <w:rPr>
          <w:rStyle w:val="32"/>
          <w:rFonts w:ascii="Times New Roman"/>
        </w:rPr>
        <w:t>4  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_Toc177981128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6C1CDFD">
      <w:pPr>
        <w:pStyle w:val="19"/>
        <w:tabs>
          <w:tab w:val="right" w:leader="dot" w:pos="9344"/>
        </w:tabs>
        <w:rPr>
          <w:rFonts w:ascii="Times New Roman" w:hAnsi="Times New Roman" w:eastAsiaTheme="minorEastAsia"/>
          <w:szCs w:val="22"/>
          <w14:ligatures w14:val="standardContextual"/>
        </w:rPr>
      </w:pPr>
      <w:r>
        <w:fldChar w:fldCharType="begin"/>
      </w:r>
      <w:r>
        <w:instrText xml:space="preserve"> HYPERLINK \l "_Toc177981129" </w:instrText>
      </w:r>
      <w:r>
        <w:fldChar w:fldCharType="separate"/>
      </w:r>
      <w:r>
        <w:rPr>
          <w:rStyle w:val="32"/>
          <w:rFonts w:ascii="Times New Roman"/>
        </w:rPr>
        <w:t>5  范围界定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_Toc177981129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4084C90">
      <w:pPr>
        <w:pStyle w:val="19"/>
        <w:tabs>
          <w:tab w:val="right" w:leader="dot" w:pos="9344"/>
        </w:tabs>
        <w:rPr>
          <w:rFonts w:ascii="Times New Roman" w:hAnsi="Times New Roman" w:eastAsiaTheme="minorEastAsia"/>
          <w:szCs w:val="22"/>
          <w14:ligatures w14:val="standardContextual"/>
        </w:rPr>
      </w:pPr>
      <w:r>
        <w:fldChar w:fldCharType="begin"/>
      </w:r>
      <w:r>
        <w:instrText xml:space="preserve"> HYPERLINK \l "_Toc177981130" </w:instrText>
      </w:r>
      <w:r>
        <w:fldChar w:fldCharType="separate"/>
      </w:r>
      <w:r>
        <w:rPr>
          <w:rStyle w:val="32"/>
          <w:rFonts w:ascii="Times New Roman"/>
        </w:rPr>
        <w:t>6  数据收集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_Toc177981130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4D6DE849">
      <w:pPr>
        <w:pStyle w:val="19"/>
        <w:tabs>
          <w:tab w:val="right" w:leader="dot" w:pos="9344"/>
        </w:tabs>
        <w:rPr>
          <w:rFonts w:ascii="Times New Roman" w:hAnsi="Times New Roman" w:eastAsiaTheme="minorEastAsia"/>
          <w:szCs w:val="22"/>
          <w14:ligatures w14:val="standardContextual"/>
        </w:rPr>
      </w:pPr>
      <w:r>
        <w:fldChar w:fldCharType="begin"/>
      </w:r>
      <w:r>
        <w:instrText xml:space="preserve"> HYPERLINK \l "_Toc177981131" </w:instrText>
      </w:r>
      <w:r>
        <w:fldChar w:fldCharType="separate"/>
      </w:r>
      <w:r>
        <w:rPr>
          <w:rStyle w:val="32"/>
          <w:rFonts w:ascii="Times New Roman"/>
        </w:rPr>
        <w:t>7  分配与计算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_Toc177981131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0C75064C">
      <w:pPr>
        <w:pStyle w:val="19"/>
        <w:tabs>
          <w:tab w:val="right" w:leader="dot" w:pos="9344"/>
        </w:tabs>
        <w:rPr>
          <w:rFonts w:ascii="Times New Roman" w:hAnsi="Times New Roman" w:eastAsiaTheme="minorEastAsia"/>
          <w:szCs w:val="22"/>
          <w14:ligatures w14:val="standardContextual"/>
        </w:rPr>
      </w:pPr>
      <w:r>
        <w:fldChar w:fldCharType="begin"/>
      </w:r>
      <w:r>
        <w:instrText xml:space="preserve"> HYPERLINK \l "_Toc177981132" </w:instrText>
      </w:r>
      <w:r>
        <w:fldChar w:fldCharType="separate"/>
      </w:r>
      <w:r>
        <w:rPr>
          <w:rStyle w:val="32"/>
          <w:rFonts w:ascii="Times New Roman"/>
        </w:rPr>
        <w:t>8  评价报告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_Toc177981132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007F59EB">
      <w:pPr>
        <w:pStyle w:val="19"/>
        <w:tabs>
          <w:tab w:val="right" w:leader="dot" w:pos="9344"/>
        </w:tabs>
        <w:rPr>
          <w:rFonts w:ascii="Times New Roman" w:hAnsi="Times New Roman" w:eastAsiaTheme="minorEastAsia"/>
          <w:szCs w:val="22"/>
          <w14:ligatures w14:val="standardContextual"/>
        </w:rPr>
      </w:pPr>
      <w:r>
        <w:fldChar w:fldCharType="begin"/>
      </w:r>
      <w:r>
        <w:instrText xml:space="preserve"> HYPERLINK \l "_Toc177981133" </w:instrText>
      </w:r>
      <w:r>
        <w:fldChar w:fldCharType="separate"/>
      </w:r>
      <w:r>
        <w:rPr>
          <w:rStyle w:val="32"/>
          <w:rFonts w:ascii="Times New Roman"/>
        </w:rPr>
        <w:t>附录A（资料性）  产品碳足迹评价报告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_Toc177981133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30A94AB6">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69A406C0">
      <w:pPr>
        <w:pStyle w:val="89"/>
        <w:spacing w:before="900" w:after="360"/>
        <w:rPr>
          <w:rFonts w:ascii="Times New Roman"/>
        </w:rPr>
      </w:pPr>
      <w:bookmarkStart w:id="25" w:name="_Toc177981124"/>
      <w:bookmarkStart w:id="26" w:name="BookMark2"/>
      <w:r>
        <w:rPr>
          <w:rFonts w:ascii="Times New Roman"/>
          <w:spacing w:val="320"/>
        </w:rPr>
        <w:t>前</w:t>
      </w:r>
      <w:r>
        <w:rPr>
          <w:rFonts w:ascii="Times New Roman"/>
        </w:rPr>
        <w:t>言</w:t>
      </w:r>
      <w:bookmarkEnd w:id="22"/>
      <w:bookmarkEnd w:id="23"/>
      <w:bookmarkEnd w:id="24"/>
      <w:bookmarkEnd w:id="25"/>
    </w:p>
    <w:p w14:paraId="54A3E8E6">
      <w:pPr>
        <w:pStyle w:val="56"/>
        <w:ind w:firstLine="420"/>
        <w:rPr>
          <w:rFonts w:ascii="Times New Roman"/>
        </w:rPr>
      </w:pPr>
      <w:r>
        <w:rPr>
          <w:rFonts w:ascii="Times New Roman"/>
        </w:rPr>
        <w:t>本文件按照GB/T 1.1—2020《标准化工作导则  第1部分：标准化文件的结构和起草规则》的规定起草。</w:t>
      </w:r>
    </w:p>
    <w:p w14:paraId="2F2AAC5A">
      <w:pPr>
        <w:pStyle w:val="56"/>
        <w:ind w:firstLine="420"/>
        <w:rPr>
          <w:rFonts w:ascii="Times New Roman"/>
        </w:rPr>
      </w:pPr>
      <w:r>
        <w:rPr>
          <w:rFonts w:ascii="Times New Roman"/>
        </w:rPr>
        <w:t>请注意本文件的某些内容可能涉及专利。本文件的发布机构不承担识别专利的责任。</w:t>
      </w:r>
    </w:p>
    <w:p w14:paraId="1322C8A6">
      <w:pPr>
        <w:pStyle w:val="56"/>
        <w:ind w:firstLine="420"/>
        <w:rPr>
          <w:rFonts w:ascii="Times New Roman"/>
        </w:rPr>
      </w:pPr>
      <w:r>
        <w:rPr>
          <w:rFonts w:ascii="Times New Roman"/>
        </w:rPr>
        <w:t>本文件由</w:t>
      </w:r>
      <w:r>
        <w:rPr>
          <w:rFonts w:hint="eastAsia" w:ascii="Times New Roman"/>
        </w:rPr>
        <w:t>青山钢管有限公司</w:t>
      </w:r>
      <w:r>
        <w:rPr>
          <w:rFonts w:ascii="Times New Roman"/>
        </w:rPr>
        <w:t>提出。</w:t>
      </w:r>
    </w:p>
    <w:p w14:paraId="38783483">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768365DF">
      <w:pPr>
        <w:pStyle w:val="56"/>
        <w:ind w:firstLine="420"/>
        <w:rPr>
          <w:rFonts w:hint="eastAsia" w:ascii="Times New Roman" w:eastAsia="宋体"/>
          <w:lang w:eastAsia="zh-CN"/>
        </w:rPr>
      </w:pPr>
      <w:r>
        <w:rPr>
          <w:rFonts w:ascii="Times New Roman"/>
        </w:rPr>
        <w:t>本文件起草单位：</w:t>
      </w:r>
      <w:r>
        <w:rPr>
          <w:rFonts w:hint="eastAsia" w:ascii="Times New Roman"/>
        </w:rPr>
        <w:t>青山钢管有限公司</w:t>
      </w:r>
      <w:r>
        <w:rPr>
          <w:rFonts w:hint="eastAsia" w:ascii="Times New Roman"/>
          <w:lang w:eastAsia="zh-CN"/>
        </w:rPr>
        <w:t>。</w:t>
      </w:r>
    </w:p>
    <w:p w14:paraId="29E80583">
      <w:pPr>
        <w:pStyle w:val="56"/>
        <w:ind w:firstLine="420"/>
        <w:rPr>
          <w:rFonts w:ascii="Times New Roman"/>
        </w:rPr>
      </w:pPr>
      <w:r>
        <w:rPr>
          <w:rFonts w:ascii="Times New Roman"/>
        </w:rPr>
        <w:t>本文件主要起草人：</w:t>
      </w:r>
    </w:p>
    <w:p w14:paraId="452842D7">
      <w:pPr>
        <w:pStyle w:val="56"/>
        <w:ind w:firstLine="420"/>
        <w:rPr>
          <w:rFonts w:ascii="Times New Roman"/>
        </w:rPr>
      </w:pPr>
    </w:p>
    <w:p w14:paraId="3498FA30">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bookmarkStart w:id="105" w:name="_GoBack"/>
      <w:bookmarkEnd w:id="105"/>
    </w:p>
    <w:bookmarkEnd w:id="26"/>
    <w:p w14:paraId="6BC2D33C">
      <w:pPr>
        <w:spacing w:line="20" w:lineRule="exact"/>
        <w:jc w:val="center"/>
        <w:rPr>
          <w:rFonts w:ascii="Times New Roman" w:hAnsi="Times New Roman" w:eastAsia="黑体"/>
          <w:sz w:val="32"/>
          <w:szCs w:val="32"/>
        </w:rPr>
      </w:pPr>
      <w:bookmarkStart w:id="27" w:name="BookMark4"/>
    </w:p>
    <w:p w14:paraId="2C2E8FCC">
      <w:pPr>
        <w:spacing w:line="20" w:lineRule="exact"/>
        <w:jc w:val="center"/>
        <w:rPr>
          <w:rFonts w:ascii="Times New Roman" w:hAnsi="Times New Roman" w:eastAsia="黑体"/>
          <w:sz w:val="32"/>
          <w:szCs w:val="32"/>
        </w:rPr>
      </w:pPr>
    </w:p>
    <w:sdt>
      <w:sdtPr>
        <w:tag w:val="NEW_STAND_NAME"/>
        <w:id w:val="595910757"/>
        <w:lock w:val="sdtLocked"/>
        <w:placeholder>
          <w:docPart w:val="E95533F758184B06BFE86C295B4ACB0B"/>
        </w:placeholder>
      </w:sdtPr>
      <w:sdtContent>
        <w:p w14:paraId="114F4746">
          <w:pPr>
            <w:pStyle w:val="177"/>
            <w:spacing w:before="240" w:beforeLines="100" w:after="528" w:afterLines="220"/>
            <w:rPr>
              <w:rFonts w:hint="eastAsia"/>
            </w:rPr>
          </w:pPr>
          <w:bookmarkStart w:id="28" w:name="NEW_STAND_NAME"/>
          <w:r>
            <w:rPr>
              <w:rFonts w:hint="eastAsia"/>
            </w:rPr>
            <w:t>产品碳足迹评价规范 不锈钢无缝钢管</w:t>
          </w:r>
        </w:p>
      </w:sdtContent>
    </w:sdt>
    <w:bookmarkEnd w:id="28"/>
    <w:p w14:paraId="296E0AD1">
      <w:pPr>
        <w:pStyle w:val="104"/>
        <w:spacing w:before="240" w:after="240"/>
        <w:rPr>
          <w:rFonts w:ascii="Times New Roman"/>
        </w:rPr>
      </w:pPr>
      <w:bookmarkStart w:id="29" w:name="_Toc177981125"/>
      <w:bookmarkStart w:id="30" w:name="_Toc97192964"/>
      <w:bookmarkStart w:id="31" w:name="_Toc17233325"/>
      <w:bookmarkStart w:id="32" w:name="_Toc175837998"/>
      <w:bookmarkStart w:id="33" w:name="_Toc26648465"/>
      <w:bookmarkStart w:id="34" w:name="_Toc26718930"/>
      <w:bookmarkStart w:id="35" w:name="_Toc24884211"/>
      <w:bookmarkStart w:id="36" w:name="_Toc26986530"/>
      <w:bookmarkStart w:id="37" w:name="_Toc167375529"/>
      <w:bookmarkStart w:id="38" w:name="_Toc170748224"/>
      <w:bookmarkStart w:id="39" w:name="_Toc26986771"/>
      <w:bookmarkStart w:id="40" w:name="_Toc17233333"/>
      <w:bookmarkStart w:id="41" w:name="_Toc166860765"/>
      <w:bookmarkStart w:id="42" w:name="_Toc24884218"/>
      <w:bookmarkStart w:id="43" w:name="OLE_LINK2"/>
      <w:r>
        <w:rPr>
          <w:rFonts w:ascii="Times New Roman"/>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DA1CB37">
      <w:pPr>
        <w:pStyle w:val="56"/>
        <w:ind w:firstLine="420"/>
        <w:rPr>
          <w:rFonts w:ascii="Times New Roman"/>
        </w:rPr>
      </w:pPr>
      <w:bookmarkStart w:id="44" w:name="_Toc24884212"/>
      <w:bookmarkStart w:id="45" w:name="_Toc17233326"/>
      <w:bookmarkStart w:id="46" w:name="_Toc24884219"/>
      <w:bookmarkStart w:id="47" w:name="_Toc17233334"/>
      <w:bookmarkStart w:id="48" w:name="_Toc26648466"/>
      <w:r>
        <w:rPr>
          <w:rFonts w:ascii="Times New Roman"/>
        </w:rPr>
        <w:t>本文件规定了不锈钢无缝钢管产品碳足迹评价的术语和定义、原则、范围界定、数据收集、分配与计算、评价报告相关内容。</w:t>
      </w:r>
    </w:p>
    <w:p w14:paraId="42FDEE46">
      <w:pPr>
        <w:pStyle w:val="56"/>
        <w:ind w:firstLine="420"/>
        <w:rPr>
          <w:rFonts w:ascii="Times New Roman"/>
        </w:rPr>
      </w:pPr>
      <w:r>
        <w:rPr>
          <w:rFonts w:ascii="Times New Roman"/>
        </w:rPr>
        <w:t>本文件适用于不锈钢无缝钢管产品碳足迹评价。</w:t>
      </w:r>
    </w:p>
    <w:p w14:paraId="22AABF7C">
      <w:pPr>
        <w:pStyle w:val="104"/>
        <w:spacing w:before="240" w:after="240"/>
        <w:rPr>
          <w:rFonts w:ascii="Times New Roman"/>
        </w:rPr>
      </w:pPr>
      <w:bookmarkStart w:id="49" w:name="_Toc166860766"/>
      <w:bookmarkStart w:id="50" w:name="_Toc177981126"/>
      <w:bookmarkStart w:id="51" w:name="_Toc26986772"/>
      <w:bookmarkStart w:id="52" w:name="_Toc26986531"/>
      <w:bookmarkStart w:id="53" w:name="_Toc97192965"/>
      <w:bookmarkStart w:id="54" w:name="_Toc167375530"/>
      <w:bookmarkStart w:id="55" w:name="_Toc26718931"/>
      <w:bookmarkStart w:id="56" w:name="_Toc175837999"/>
      <w:bookmarkStart w:id="57" w:name="_Toc170748225"/>
      <w:r>
        <w:rPr>
          <w:rFonts w:ascii="Times New Roman"/>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ascii="Times New Roman"/>
        </w:rPr>
        <w:id w:val="715848253"/>
        <w:placeholder>
          <w:docPart w:val="50C266A5AAA34E269598D42F52AB59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0B80B98A">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45A8D2A">
      <w:pPr>
        <w:pStyle w:val="56"/>
        <w:ind w:firstLine="420"/>
        <w:jc w:val="left"/>
        <w:rPr>
          <w:rFonts w:ascii="Times New Roman"/>
        </w:rPr>
      </w:pPr>
      <w:r>
        <w:rPr>
          <w:rFonts w:ascii="Times New Roman"/>
        </w:rPr>
        <w:t>GB/T 24040 环境管理 生命周期评价 原则与框架</w:t>
      </w:r>
    </w:p>
    <w:p w14:paraId="00E680A5">
      <w:pPr>
        <w:pStyle w:val="56"/>
        <w:ind w:firstLine="420"/>
        <w:jc w:val="left"/>
        <w:rPr>
          <w:rFonts w:ascii="Times New Roman"/>
        </w:rPr>
      </w:pPr>
      <w:r>
        <w:rPr>
          <w:rFonts w:ascii="Times New Roman"/>
        </w:rPr>
        <w:t>GB/T 24044 环境管理 生命周期评价 要求与指南</w:t>
      </w:r>
    </w:p>
    <w:p w14:paraId="25E1DB23">
      <w:pPr>
        <w:pStyle w:val="56"/>
        <w:ind w:firstLine="420"/>
        <w:jc w:val="left"/>
        <w:rPr>
          <w:rFonts w:ascii="Times New Roman"/>
        </w:rPr>
      </w:pPr>
      <w:r>
        <w:rPr>
          <w:rFonts w:ascii="Times New Roman"/>
        </w:rPr>
        <w:t>GB T 24062 环境管理 将环境因素引入产品的设计和开发</w:t>
      </w:r>
    </w:p>
    <w:p w14:paraId="64A09319">
      <w:pPr>
        <w:pStyle w:val="56"/>
        <w:ind w:firstLine="420"/>
        <w:jc w:val="left"/>
        <w:rPr>
          <w:rFonts w:ascii="Times New Roman"/>
        </w:rPr>
      </w:pPr>
      <w:r>
        <w:rPr>
          <w:rFonts w:ascii="Times New Roman"/>
        </w:rPr>
        <w:t>GB/T 32150 工业企业温室气体排放核算和报告通则</w:t>
      </w:r>
    </w:p>
    <w:p w14:paraId="7F381310">
      <w:pPr>
        <w:pStyle w:val="56"/>
        <w:ind w:firstLine="420"/>
        <w:jc w:val="left"/>
        <w:rPr>
          <w:rFonts w:ascii="Times New Roman"/>
        </w:rPr>
      </w:pPr>
      <w:r>
        <w:rPr>
          <w:rFonts w:ascii="Times New Roman"/>
        </w:rPr>
        <w:t>ISO 14067:2018 温室气体 产品碳足迹 量化要求和指南（Greenhouse gases  Carbon footprint of products  Requirements and guidelines for quantification）</w:t>
      </w:r>
    </w:p>
    <w:p w14:paraId="25404167">
      <w:pPr>
        <w:pStyle w:val="104"/>
        <w:spacing w:before="240" w:after="240"/>
        <w:rPr>
          <w:rFonts w:ascii="Times New Roman"/>
        </w:rPr>
      </w:pPr>
      <w:bookmarkStart w:id="58" w:name="_Toc97192966"/>
      <w:bookmarkStart w:id="59" w:name="_Toc170748226"/>
      <w:bookmarkStart w:id="60" w:name="_Toc166860767"/>
      <w:bookmarkStart w:id="61" w:name="_Toc177981127"/>
      <w:bookmarkStart w:id="62" w:name="_Toc167375531"/>
      <w:bookmarkStart w:id="63" w:name="_Toc175838000"/>
      <w:r>
        <w:rPr>
          <w:rFonts w:ascii="Times New Roman"/>
          <w:szCs w:val="21"/>
        </w:rPr>
        <w:t>术语和定义</w:t>
      </w:r>
      <w:bookmarkEnd w:id="58"/>
      <w:bookmarkEnd w:id="59"/>
      <w:bookmarkEnd w:id="60"/>
      <w:bookmarkEnd w:id="61"/>
      <w:bookmarkEnd w:id="62"/>
      <w:bookmarkEnd w:id="63"/>
    </w:p>
    <w:sdt>
      <w:sdtPr>
        <w:rPr>
          <w:rFonts w:ascii="Times New Roman"/>
        </w:rPr>
        <w:id w:val="-1909835108"/>
        <w:placeholder>
          <w:docPart w:val="C59E14DA520747398FE01507E0CE00F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2D19D82C">
          <w:pPr>
            <w:pStyle w:val="56"/>
            <w:ind w:firstLine="420"/>
            <w:rPr>
              <w:rFonts w:ascii="Times New Roman"/>
            </w:rPr>
          </w:pPr>
          <w:bookmarkStart w:id="64" w:name="_Toc26986532"/>
          <w:bookmarkEnd w:id="64"/>
          <w:r>
            <w:rPr>
              <w:rFonts w:ascii="Times New Roman"/>
            </w:rPr>
            <w:t>GB/T 24040界定的以及下列术语和定义适用于本文件。</w:t>
          </w:r>
        </w:p>
      </w:sdtContent>
    </w:sdt>
    <w:p w14:paraId="5386DBF6">
      <w:pPr>
        <w:pStyle w:val="223"/>
        <w:ind w:left="420" w:hanging="420" w:hangingChars="200"/>
        <w:rPr>
          <w:rFonts w:ascii="Times New Roman" w:eastAsia="黑体"/>
        </w:rPr>
      </w:pPr>
      <w:r>
        <w:rPr>
          <w:rFonts w:ascii="Times New Roman" w:eastAsia="黑体"/>
        </w:rPr>
        <w:br w:type="textWrapping"/>
      </w:r>
      <w:r>
        <w:rPr>
          <w:rFonts w:ascii="Times New Roman" w:eastAsia="黑体"/>
        </w:rPr>
        <w:t>不锈钢无缝钢管 stainless steel seamless steel pipe</w:t>
      </w:r>
    </w:p>
    <w:p w14:paraId="77B14D3F">
      <w:pPr>
        <w:pStyle w:val="56"/>
        <w:ind w:firstLine="420"/>
        <w:rPr>
          <w:rFonts w:ascii="Times New Roman"/>
        </w:rPr>
      </w:pPr>
      <w:r>
        <w:rPr>
          <w:rFonts w:ascii="Times New Roman"/>
        </w:rPr>
        <w:t>一种由不锈钢材料制成的、无焊缝连接的中空管状产品，具有高强度和良好的耐腐蚀性。其特点在于整个管体由单一材料制成，没有焊缝，因此具有更高的强度和更好的密封性能。</w:t>
      </w:r>
    </w:p>
    <w:p w14:paraId="67ED64C4">
      <w:pPr>
        <w:pStyle w:val="223"/>
        <w:ind w:left="420" w:hanging="420" w:hangingChars="200"/>
        <w:rPr>
          <w:rFonts w:ascii="Times New Roman" w:eastAsia="黑体"/>
        </w:rPr>
      </w:pPr>
      <w:r>
        <w:rPr>
          <w:rFonts w:ascii="Times New Roman" w:eastAsia="黑体"/>
        </w:rPr>
        <w:br w:type="textWrapping"/>
      </w:r>
      <w:r>
        <w:rPr>
          <w:rFonts w:ascii="Times New Roman" w:eastAsia="黑体"/>
        </w:rPr>
        <w:t>产品碳足迹 carbon footprint of a product</w:t>
      </w:r>
    </w:p>
    <w:p w14:paraId="193FAF36">
      <w:pPr>
        <w:pStyle w:val="56"/>
        <w:ind w:firstLine="420"/>
        <w:rPr>
          <w:rFonts w:ascii="Times New Roman"/>
        </w:rPr>
      </w:pPr>
      <w:r>
        <w:rPr>
          <w:rFonts w:ascii="Times New Roman"/>
        </w:rPr>
        <w:t>产品系统中温室气体排放和温室气体清除的总和，表示为CO</w:t>
      </w:r>
      <w:r>
        <w:rPr>
          <w:rFonts w:ascii="Times New Roman"/>
          <w:vertAlign w:val="subscript"/>
        </w:rPr>
        <w:t>2</w:t>
      </w:r>
      <w:r>
        <w:rPr>
          <w:rFonts w:ascii="Times New Roman"/>
        </w:rPr>
        <w:t>当量（CO</w:t>
      </w:r>
      <w:r>
        <w:rPr>
          <w:rFonts w:ascii="Times New Roman"/>
          <w:vertAlign w:val="subscript"/>
        </w:rPr>
        <w:t>2</w:t>
      </w:r>
      <w:r>
        <w:rPr>
          <w:rFonts w:ascii="Times New Roman"/>
        </w:rPr>
        <w:t>e），并基于使用气候变化单一影响类别的生命周期评估。</w:t>
      </w:r>
    </w:p>
    <w:p w14:paraId="3B3175B2">
      <w:pPr>
        <w:pStyle w:val="223"/>
        <w:ind w:left="420" w:hanging="420" w:hangingChars="200"/>
        <w:rPr>
          <w:rFonts w:ascii="Times New Roman" w:eastAsia="黑体"/>
        </w:rPr>
      </w:pPr>
      <w:r>
        <w:rPr>
          <w:rFonts w:ascii="Times New Roman" w:eastAsia="黑体"/>
        </w:rPr>
        <w:br w:type="textWrapping"/>
      </w:r>
      <w:r>
        <w:rPr>
          <w:rFonts w:ascii="Times New Roman" w:eastAsia="黑体"/>
        </w:rPr>
        <w:t>温室气体排放 greenhouse gas emission,GHG emission</w:t>
      </w:r>
    </w:p>
    <w:p w14:paraId="737D07A6">
      <w:pPr>
        <w:pStyle w:val="56"/>
        <w:ind w:firstLine="420"/>
        <w:rPr>
          <w:rFonts w:ascii="Times New Roman"/>
        </w:rPr>
      </w:pPr>
      <w:r>
        <w:rPr>
          <w:rFonts w:ascii="Times New Roman"/>
        </w:rPr>
        <w:t>在特定时间段内释放到大气层中的温室气体总质量（以质量单位计算）。</w:t>
      </w:r>
    </w:p>
    <w:p w14:paraId="1E9B7147">
      <w:pPr>
        <w:pStyle w:val="223"/>
        <w:ind w:left="420" w:hanging="420" w:hangingChars="200"/>
        <w:rPr>
          <w:rFonts w:ascii="Times New Roman" w:eastAsia="黑体"/>
        </w:rPr>
      </w:pPr>
      <w:r>
        <w:rPr>
          <w:rFonts w:ascii="Times New Roman" w:eastAsia="黑体"/>
        </w:rPr>
        <w:br w:type="textWrapping"/>
      </w:r>
      <w:r>
        <w:rPr>
          <w:rFonts w:ascii="Times New Roman" w:eastAsia="黑体"/>
        </w:rPr>
        <w:t>单元过程 unit process</w:t>
      </w:r>
    </w:p>
    <w:p w14:paraId="4C5581F1">
      <w:pPr>
        <w:pStyle w:val="56"/>
        <w:ind w:firstLine="420"/>
        <w:rPr>
          <w:rFonts w:ascii="Times New Roman"/>
        </w:rPr>
      </w:pPr>
      <w:r>
        <w:rPr>
          <w:rFonts w:ascii="Times New Roman"/>
        </w:rPr>
        <w:t>进行生命周期清单分析时为量化输入和输出数据而确定的最基本部分。</w:t>
      </w:r>
    </w:p>
    <w:p w14:paraId="0766C987">
      <w:pPr>
        <w:pStyle w:val="223"/>
        <w:ind w:left="420" w:hanging="420" w:hangingChars="200"/>
        <w:rPr>
          <w:rFonts w:ascii="Times New Roman" w:eastAsia="黑体"/>
        </w:rPr>
      </w:pPr>
      <w:r>
        <w:rPr>
          <w:rFonts w:ascii="Times New Roman" w:eastAsia="黑体"/>
        </w:rPr>
        <w:br w:type="textWrapping"/>
      </w:r>
      <w:r>
        <w:rPr>
          <w:rFonts w:ascii="Times New Roman" w:eastAsia="黑体"/>
        </w:rPr>
        <w:t>初级数据 primary data</w:t>
      </w:r>
    </w:p>
    <w:p w14:paraId="0D4E04C1">
      <w:pPr>
        <w:pStyle w:val="56"/>
        <w:ind w:firstLine="420"/>
        <w:rPr>
          <w:rFonts w:ascii="Times New Roman"/>
        </w:rPr>
      </w:pPr>
      <w:r>
        <w:rPr>
          <w:rFonts w:ascii="Times New Roman"/>
        </w:rPr>
        <w:t>通过直接测量或基于直接测量的计算而得到的过程或活动的量化值。</w:t>
      </w:r>
    </w:p>
    <w:p w14:paraId="0519293F">
      <w:pPr>
        <w:pStyle w:val="223"/>
        <w:ind w:left="420" w:hanging="420" w:hangingChars="200"/>
        <w:rPr>
          <w:rFonts w:ascii="Times New Roman" w:eastAsia="黑体"/>
        </w:rPr>
      </w:pPr>
      <w:r>
        <w:rPr>
          <w:rFonts w:ascii="Times New Roman" w:eastAsia="黑体"/>
        </w:rPr>
        <w:br w:type="textWrapping"/>
      </w:r>
      <w:r>
        <w:rPr>
          <w:rFonts w:ascii="Times New Roman" w:eastAsia="黑体"/>
        </w:rPr>
        <w:t>次级数据 secondary data</w:t>
      </w:r>
    </w:p>
    <w:p w14:paraId="31501427">
      <w:pPr>
        <w:pStyle w:val="56"/>
        <w:ind w:firstLine="420"/>
        <w:rPr>
          <w:rFonts w:ascii="Times New Roman"/>
        </w:rPr>
      </w:pPr>
      <w:r>
        <w:rPr>
          <w:rFonts w:ascii="Times New Roman"/>
        </w:rPr>
        <w:t>不符合初级数据要求的数据，可包括数据库和公开文献中的数据、国家清单中的缺省排放因子、 计算数据、估计值或其他经主管部门验证的代表性数据，也可包括从代替过程或估计获得的数据。</w:t>
      </w:r>
    </w:p>
    <w:p w14:paraId="6821F3D5">
      <w:pPr>
        <w:pStyle w:val="104"/>
        <w:spacing w:before="240" w:after="240"/>
        <w:rPr>
          <w:rFonts w:ascii="Times New Roman"/>
          <w:szCs w:val="21"/>
        </w:rPr>
      </w:pPr>
      <w:bookmarkStart w:id="65" w:name="_Toc177981128"/>
      <w:bookmarkStart w:id="66" w:name="_Toc170748227"/>
      <w:bookmarkStart w:id="67" w:name="_Toc166860768"/>
      <w:bookmarkStart w:id="68" w:name="_Toc166588516"/>
      <w:bookmarkStart w:id="69" w:name="_Toc167375532"/>
      <w:bookmarkStart w:id="70" w:name="_Toc175838001"/>
      <w:bookmarkStart w:id="71" w:name="_Toc166588526"/>
      <w:r>
        <w:rPr>
          <w:rFonts w:ascii="Times New Roman"/>
        </w:rPr>
        <w:t>原则</w:t>
      </w:r>
      <w:bookmarkEnd w:id="65"/>
    </w:p>
    <w:p w14:paraId="79942025">
      <w:pPr>
        <w:pStyle w:val="105"/>
        <w:spacing w:before="120" w:after="120"/>
        <w:rPr>
          <w:rFonts w:ascii="Times New Roman"/>
        </w:rPr>
      </w:pPr>
      <w:r>
        <w:rPr>
          <w:rFonts w:ascii="Times New Roman"/>
        </w:rPr>
        <w:t>生命周期理念</w:t>
      </w:r>
    </w:p>
    <w:p w14:paraId="42A22F9D">
      <w:pPr>
        <w:pStyle w:val="56"/>
        <w:ind w:firstLine="420"/>
        <w:rPr>
          <w:rFonts w:ascii="Times New Roman"/>
        </w:rPr>
      </w:pPr>
      <w:r>
        <w:rPr>
          <w:rFonts w:ascii="Times New Roman"/>
        </w:rPr>
        <w:t>产品碳足迹的评价和通报应考虑产品生命周期的所原材料获取加工阶段、生产阶段、下游存储与分销阶段。</w:t>
      </w:r>
    </w:p>
    <w:p w14:paraId="630983C2">
      <w:pPr>
        <w:pStyle w:val="105"/>
        <w:spacing w:before="120" w:after="120"/>
        <w:rPr>
          <w:rFonts w:ascii="Times New Roman"/>
        </w:rPr>
      </w:pPr>
      <w:r>
        <w:rPr>
          <w:rFonts w:ascii="Times New Roman"/>
        </w:rPr>
        <w:t>相关性</w:t>
      </w:r>
    </w:p>
    <w:p w14:paraId="7F108EA0">
      <w:pPr>
        <w:pStyle w:val="56"/>
        <w:ind w:firstLine="420"/>
        <w:rPr>
          <w:rFonts w:ascii="Times New Roman"/>
        </w:rPr>
      </w:pPr>
      <w:r>
        <w:rPr>
          <w:rFonts w:ascii="Times New Roman"/>
        </w:rPr>
        <w:t>应选取适用于所评价产品系统温室气体排放与清除评价的数据与方法。</w:t>
      </w:r>
    </w:p>
    <w:p w14:paraId="393C9892">
      <w:pPr>
        <w:pStyle w:val="105"/>
        <w:spacing w:before="120" w:after="120"/>
        <w:rPr>
          <w:rFonts w:ascii="Times New Roman"/>
        </w:rPr>
      </w:pPr>
      <w:r>
        <w:rPr>
          <w:rFonts w:ascii="Times New Roman"/>
        </w:rPr>
        <w:t>完整性</w:t>
      </w:r>
    </w:p>
    <w:p w14:paraId="64B5EA09">
      <w:pPr>
        <w:pStyle w:val="56"/>
        <w:ind w:firstLine="420"/>
        <w:rPr>
          <w:rFonts w:ascii="Times New Roman"/>
        </w:rPr>
      </w:pPr>
      <w:r>
        <w:rPr>
          <w:rFonts w:ascii="Times New Roman"/>
        </w:rPr>
        <w:t>产品碳足迹评价应包括对产品碳足迹有实质性的所有温室气体的排放与清除。</w:t>
      </w:r>
    </w:p>
    <w:p w14:paraId="31E042AC">
      <w:pPr>
        <w:pStyle w:val="105"/>
        <w:spacing w:before="120" w:after="120"/>
        <w:rPr>
          <w:rFonts w:ascii="Times New Roman"/>
        </w:rPr>
      </w:pPr>
      <w:r>
        <w:rPr>
          <w:rFonts w:ascii="Times New Roman"/>
        </w:rPr>
        <w:t>一致性</w:t>
      </w:r>
    </w:p>
    <w:p w14:paraId="036A8D71">
      <w:pPr>
        <w:pStyle w:val="56"/>
        <w:ind w:firstLine="420"/>
        <w:rPr>
          <w:rFonts w:ascii="Times New Roman"/>
        </w:rPr>
      </w:pPr>
      <w:r>
        <w:rPr>
          <w:rFonts w:ascii="Times New Roman"/>
        </w:rPr>
        <w:t>在产品碳足迹评价的整个过程中应采用相同的假设、方法和数据。</w:t>
      </w:r>
    </w:p>
    <w:p w14:paraId="29C0CA12">
      <w:pPr>
        <w:pStyle w:val="105"/>
        <w:spacing w:before="120" w:after="120"/>
        <w:rPr>
          <w:rFonts w:ascii="Times New Roman"/>
        </w:rPr>
      </w:pPr>
      <w:r>
        <w:rPr>
          <w:rFonts w:ascii="Times New Roman"/>
        </w:rPr>
        <w:t>统一性</w:t>
      </w:r>
    </w:p>
    <w:p w14:paraId="6414D9D9">
      <w:pPr>
        <w:pStyle w:val="56"/>
        <w:ind w:firstLine="420"/>
        <w:rPr>
          <w:rFonts w:ascii="Times New Roman"/>
        </w:rPr>
      </w:pPr>
      <w:r>
        <w:rPr>
          <w:rFonts w:ascii="Times New Roman"/>
        </w:rPr>
        <w:t>应选取的产品种类中已被认可和采用的方法学、标准和指导性文件。</w:t>
      </w:r>
    </w:p>
    <w:p w14:paraId="0EF63459">
      <w:pPr>
        <w:pStyle w:val="105"/>
        <w:spacing w:before="120" w:after="120"/>
        <w:rPr>
          <w:rFonts w:ascii="Times New Roman"/>
        </w:rPr>
      </w:pPr>
      <w:r>
        <w:rPr>
          <w:rFonts w:ascii="Times New Roman"/>
        </w:rPr>
        <w:t>准确性</w:t>
      </w:r>
    </w:p>
    <w:p w14:paraId="1642FDFF">
      <w:pPr>
        <w:pStyle w:val="56"/>
        <w:ind w:firstLine="420"/>
        <w:rPr>
          <w:rFonts w:ascii="Times New Roman"/>
        </w:rPr>
      </w:pPr>
      <w:r>
        <w:rPr>
          <w:rFonts w:ascii="Times New Roman"/>
        </w:rPr>
        <w:t>应确保产品碳足迹量化和通报是准确的、可核证的、相关的、无误导的，并尽可能减少偏差和不确定性。</w:t>
      </w:r>
    </w:p>
    <w:p w14:paraId="2316D3F0">
      <w:pPr>
        <w:pStyle w:val="105"/>
        <w:spacing w:before="120" w:after="120"/>
        <w:rPr>
          <w:rFonts w:ascii="Times New Roman"/>
        </w:rPr>
      </w:pPr>
      <w:r>
        <w:rPr>
          <w:rFonts w:ascii="Times New Roman"/>
        </w:rPr>
        <w:t>透明性</w:t>
      </w:r>
    </w:p>
    <w:p w14:paraId="3DCD6FC9">
      <w:pPr>
        <w:pStyle w:val="165"/>
        <w:rPr>
          <w:rFonts w:ascii="Times New Roman"/>
        </w:rPr>
      </w:pPr>
      <w:r>
        <w:rPr>
          <w:rFonts w:ascii="Times New Roman"/>
        </w:rPr>
        <w:t>所用相关问题的记录应以公开的方式来呈现。</w:t>
      </w:r>
    </w:p>
    <w:p w14:paraId="0D464472">
      <w:pPr>
        <w:pStyle w:val="165"/>
        <w:rPr>
          <w:rFonts w:ascii="Times New Roman"/>
        </w:rPr>
      </w:pPr>
      <w:r>
        <w:rPr>
          <w:rFonts w:ascii="Times New Roman"/>
        </w:rPr>
        <w:t>应在评价报告中阐述所有的相关假设、所使用的方法学和数据来源。应清楚地解释所有估计值并避免偏差，以使产品碳足迹评价报告如实地阐明其内容。</w:t>
      </w:r>
    </w:p>
    <w:p w14:paraId="5BBC7565">
      <w:pPr>
        <w:pStyle w:val="105"/>
        <w:spacing w:before="120" w:after="120"/>
        <w:rPr>
          <w:rFonts w:ascii="Times New Roman"/>
        </w:rPr>
      </w:pPr>
      <w:r>
        <w:rPr>
          <w:rFonts w:ascii="Times New Roman"/>
        </w:rPr>
        <w:t>避免计算重复</w:t>
      </w:r>
    </w:p>
    <w:p w14:paraId="67F0956E">
      <w:pPr>
        <w:pStyle w:val="56"/>
        <w:ind w:firstLine="420"/>
        <w:rPr>
          <w:rFonts w:ascii="Times New Roman"/>
        </w:rPr>
      </w:pPr>
      <w:r>
        <w:rPr>
          <w:rFonts w:ascii="Times New Roman"/>
        </w:rPr>
        <w:t>不应对所评价产品系统温室气体排放量与清除量进行重复计算，以及避免对其他产品系统已考虑的温室气体排放与清除进行分配。</w:t>
      </w:r>
    </w:p>
    <w:p w14:paraId="13A192D3">
      <w:pPr>
        <w:pStyle w:val="105"/>
        <w:spacing w:before="120" w:after="120"/>
        <w:rPr>
          <w:rFonts w:ascii="Times New Roman"/>
        </w:rPr>
      </w:pPr>
      <w:r>
        <w:rPr>
          <w:rFonts w:ascii="Times New Roman"/>
        </w:rPr>
        <w:t>公正性</w:t>
      </w:r>
    </w:p>
    <w:p w14:paraId="388A77C7">
      <w:pPr>
        <w:pStyle w:val="56"/>
        <w:ind w:firstLine="420"/>
        <w:rPr>
          <w:rFonts w:ascii="Times New Roman"/>
        </w:rPr>
      </w:pPr>
      <w:r>
        <w:rPr>
          <w:rFonts w:ascii="Times New Roman"/>
        </w:rPr>
        <w:t>应明确产品碳足迹通报是基于仅考虑气候变化这个单一影响类型的产品碳足迹评价，不涉及综合环境优势更为广泛的环境影响。</w:t>
      </w:r>
    </w:p>
    <w:p w14:paraId="3321DFF1">
      <w:pPr>
        <w:pStyle w:val="104"/>
        <w:spacing w:before="240" w:after="240"/>
        <w:rPr>
          <w:rFonts w:ascii="Times New Roman"/>
        </w:rPr>
      </w:pPr>
      <w:bookmarkStart w:id="72" w:name="_Toc177981129"/>
      <w:r>
        <w:rPr>
          <w:rFonts w:ascii="Times New Roman"/>
        </w:rPr>
        <w:t>范围界定</w:t>
      </w:r>
      <w:bookmarkEnd w:id="66"/>
      <w:bookmarkEnd w:id="67"/>
      <w:bookmarkEnd w:id="68"/>
      <w:bookmarkEnd w:id="69"/>
      <w:bookmarkEnd w:id="70"/>
      <w:bookmarkEnd w:id="71"/>
      <w:bookmarkEnd w:id="72"/>
    </w:p>
    <w:p w14:paraId="3598E171">
      <w:pPr>
        <w:pStyle w:val="105"/>
        <w:spacing w:before="120" w:after="120"/>
        <w:rPr>
          <w:rFonts w:ascii="Times New Roman"/>
        </w:rPr>
      </w:pPr>
      <w:r>
        <w:rPr>
          <w:rFonts w:ascii="Times New Roman"/>
        </w:rPr>
        <w:t>功能单位</w:t>
      </w:r>
    </w:p>
    <w:p w14:paraId="450D6B11">
      <w:pPr>
        <w:pStyle w:val="56"/>
        <w:ind w:firstLine="420"/>
        <w:rPr>
          <w:rFonts w:ascii="Times New Roman"/>
        </w:rPr>
      </w:pPr>
      <w:r>
        <w:rPr>
          <w:rFonts w:ascii="Times New Roman"/>
        </w:rPr>
        <w:t>不锈钢无缝钢管产品的功能单位为个。对功能单位的描述应包括能显示产品特性的技术规格，包括但不限于直径、长度、精度等。</w:t>
      </w:r>
    </w:p>
    <w:p w14:paraId="2ED13BCD">
      <w:pPr>
        <w:pStyle w:val="105"/>
        <w:spacing w:before="120" w:after="120"/>
        <w:rPr>
          <w:rFonts w:ascii="Times New Roman"/>
        </w:rPr>
      </w:pPr>
      <w:r>
        <w:rPr>
          <w:rFonts w:ascii="Times New Roman"/>
        </w:rPr>
        <w:t>系统边界界定</w:t>
      </w:r>
    </w:p>
    <w:p w14:paraId="2BEFEC09">
      <w:pPr>
        <w:pStyle w:val="165"/>
        <w:rPr>
          <w:rFonts w:ascii="Times New Roman"/>
        </w:rPr>
      </w:pPr>
      <w:r>
        <w:rPr>
          <w:rFonts w:ascii="Times New Roman"/>
        </w:rPr>
        <w:t>系统边界的设定可根据产品的数据获取难易情况和排放情况设定，包括下列五种形式：</w:t>
      </w:r>
    </w:p>
    <w:p w14:paraId="2E3ED077">
      <w:pPr>
        <w:pStyle w:val="132"/>
        <w:rPr>
          <w:rFonts w:ascii="Times New Roman"/>
        </w:rPr>
      </w:pPr>
      <w:r>
        <w:rPr>
          <w:rFonts w:ascii="Times New Roman"/>
        </w:rPr>
        <w:t>涵盖整个生命周期阶段的产品碳足迹评价；</w:t>
      </w:r>
    </w:p>
    <w:p w14:paraId="3AD02BBD">
      <w:pPr>
        <w:pStyle w:val="132"/>
        <w:rPr>
          <w:rFonts w:ascii="Times New Roman"/>
        </w:rPr>
      </w:pPr>
      <w:r>
        <w:rPr>
          <w:rFonts w:ascii="Times New Roman"/>
        </w:rPr>
        <w:t>从原材料获取到产品离开生产组织的产品碳足迹评价；</w:t>
      </w:r>
    </w:p>
    <w:p w14:paraId="5F2AC893">
      <w:pPr>
        <w:pStyle w:val="132"/>
        <w:rPr>
          <w:rFonts w:ascii="Times New Roman"/>
        </w:rPr>
      </w:pPr>
      <w:r>
        <w:rPr>
          <w:rFonts w:ascii="Times New Roman"/>
        </w:rPr>
        <w:t>从生产阶段到使用阶段的产品碳足迹评价；</w:t>
      </w:r>
    </w:p>
    <w:p w14:paraId="075DA438">
      <w:pPr>
        <w:pStyle w:val="132"/>
        <w:rPr>
          <w:rFonts w:ascii="Times New Roman"/>
        </w:rPr>
      </w:pPr>
      <w:r>
        <w:rPr>
          <w:rFonts w:ascii="Times New Roman"/>
        </w:rPr>
        <w:t>生产阶段的产品碳足迹评价；</w:t>
      </w:r>
    </w:p>
    <w:p w14:paraId="2E71B2A4">
      <w:pPr>
        <w:pStyle w:val="132"/>
        <w:rPr>
          <w:rFonts w:ascii="Times New Roman"/>
        </w:rPr>
      </w:pPr>
      <w:r>
        <w:rPr>
          <w:rFonts w:ascii="Times New Roman"/>
        </w:rPr>
        <w:t>使用阶段的产品碳足迹评价。</w:t>
      </w:r>
    </w:p>
    <w:p w14:paraId="5ADEFD31">
      <w:pPr>
        <w:pStyle w:val="165"/>
        <w:rPr>
          <w:rFonts w:ascii="Times New Roman"/>
        </w:rPr>
      </w:pPr>
      <w:r>
        <w:rPr>
          <w:rFonts w:ascii="Times New Roman"/>
        </w:rPr>
        <w:t>不锈钢无缝钢管产品的系统边界原则上宜包括产品全生命周期的每个阶段，包括原材料获取与加工、生产、下游存储与分销阶段，具体系统边界内容见图1。</w:t>
      </w:r>
    </w:p>
    <w:p w14:paraId="37A422CF">
      <w:pPr>
        <w:pStyle w:val="164"/>
        <w:numPr>
          <w:ilvl w:val="0"/>
          <w:numId w:val="0"/>
        </w:numPr>
        <w:jc w:val="center"/>
        <w:rPr>
          <w:rFonts w:ascii="Times New Roman"/>
        </w:rPr>
      </w:pPr>
    </w:p>
    <w:p w14:paraId="2ED82928">
      <w:pPr>
        <w:pStyle w:val="164"/>
        <w:numPr>
          <w:ilvl w:val="0"/>
          <w:numId w:val="0"/>
        </w:numPr>
        <w:jc w:val="center"/>
        <w:rPr>
          <w:rFonts w:ascii="Times New Roman"/>
        </w:rPr>
      </w:pPr>
      <w:r>
        <w:rPr>
          <w:rFonts w:ascii="Times New Roman"/>
        </w:rPr>
        <w:drawing>
          <wp:inline distT="0" distB="0" distL="0" distR="0">
            <wp:extent cx="5939790" cy="3406775"/>
            <wp:effectExtent l="0" t="0" r="3810" b="3175"/>
            <wp:docPr id="14450817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81758" name="图片 1"/>
                    <pic:cNvPicPr>
                      <a:picLocks noChangeAspect="1"/>
                    </pic:cNvPicPr>
                  </pic:nvPicPr>
                  <pic:blipFill>
                    <a:blip r:embed="rId17"/>
                    <a:stretch>
                      <a:fillRect/>
                    </a:stretch>
                  </pic:blipFill>
                  <pic:spPr>
                    <a:xfrm>
                      <a:off x="0" y="0"/>
                      <a:ext cx="5939790" cy="3406775"/>
                    </a:xfrm>
                    <a:prstGeom prst="rect">
                      <a:avLst/>
                    </a:prstGeom>
                  </pic:spPr>
                </pic:pic>
              </a:graphicData>
            </a:graphic>
          </wp:inline>
        </w:drawing>
      </w:r>
    </w:p>
    <w:p w14:paraId="35AFA1B9">
      <w:pPr>
        <w:pStyle w:val="114"/>
        <w:spacing w:before="120" w:after="120"/>
        <w:rPr>
          <w:rFonts w:ascii="Times New Roman"/>
        </w:rPr>
      </w:pPr>
      <w:r>
        <w:rPr>
          <w:rFonts w:ascii="Times New Roman"/>
        </w:rPr>
        <w:t>产品生命周期边界</w:t>
      </w:r>
    </w:p>
    <w:p w14:paraId="2DDC06E8">
      <w:pPr>
        <w:pStyle w:val="105"/>
        <w:spacing w:before="120" w:after="120"/>
        <w:rPr>
          <w:rFonts w:ascii="Times New Roman"/>
        </w:rPr>
      </w:pPr>
      <w:r>
        <w:rPr>
          <w:rFonts w:ascii="Times New Roman"/>
        </w:rPr>
        <w:t>生命周期阶段</w:t>
      </w:r>
    </w:p>
    <w:p w14:paraId="6D01BDCE">
      <w:pPr>
        <w:pStyle w:val="65"/>
        <w:spacing w:before="120" w:after="120"/>
        <w:rPr>
          <w:rFonts w:ascii="Times New Roman"/>
        </w:rPr>
      </w:pPr>
      <w:bookmarkStart w:id="73" w:name="_Hlk166509856"/>
      <w:r>
        <w:rPr>
          <w:rFonts w:ascii="Times New Roman"/>
        </w:rPr>
        <w:t>原材料获取与加工阶段</w:t>
      </w:r>
    </w:p>
    <w:p w14:paraId="76DB8BA2">
      <w:pPr>
        <w:pStyle w:val="56"/>
        <w:ind w:firstLine="420"/>
        <w:rPr>
          <w:rFonts w:ascii="Times New Roman"/>
        </w:rPr>
      </w:pPr>
      <w:r>
        <w:rPr>
          <w:rFonts w:ascii="Times New Roman"/>
        </w:rPr>
        <w:t>原材料获取与加工阶段包括进入生产阶段的所有原材料的获取和加工。在产品碳足迹评价中应纳入下列过程：</w:t>
      </w:r>
    </w:p>
    <w:p w14:paraId="5F88B32C">
      <w:pPr>
        <w:pStyle w:val="132"/>
        <w:rPr>
          <w:rFonts w:ascii="Times New Roman"/>
        </w:rPr>
      </w:pPr>
      <w:bookmarkStart w:id="74" w:name="_Hlk166852306"/>
      <w:r>
        <w:rPr>
          <w:rFonts w:ascii="Times New Roman"/>
        </w:rPr>
        <w:t>圆钢的生产与运输相关过程；</w:t>
      </w:r>
    </w:p>
    <w:p w14:paraId="67001D02">
      <w:pPr>
        <w:pStyle w:val="132"/>
        <w:rPr>
          <w:rFonts w:ascii="Times New Roman"/>
        </w:rPr>
      </w:pPr>
      <w:r>
        <w:rPr>
          <w:rFonts w:ascii="Times New Roman"/>
        </w:rPr>
        <w:t>荒钢的生产与运输相关过程；</w:t>
      </w:r>
    </w:p>
    <w:p w14:paraId="6B535512">
      <w:pPr>
        <w:pStyle w:val="132"/>
        <w:rPr>
          <w:rFonts w:ascii="Times New Roman"/>
        </w:rPr>
      </w:pPr>
      <w:r>
        <w:rPr>
          <w:rFonts w:ascii="Times New Roman"/>
        </w:rPr>
        <w:t>矿石开采的生产与运输相关过程；</w:t>
      </w:r>
    </w:p>
    <w:p w14:paraId="1A4E796D">
      <w:pPr>
        <w:pStyle w:val="132"/>
        <w:rPr>
          <w:rFonts w:ascii="Times New Roman"/>
        </w:rPr>
      </w:pPr>
      <w:r>
        <w:rPr>
          <w:rFonts w:ascii="Times New Roman"/>
        </w:rPr>
        <w:t>废金属回收的生产与运输相关过程；</w:t>
      </w:r>
    </w:p>
    <w:p w14:paraId="4F95074A">
      <w:pPr>
        <w:pStyle w:val="132"/>
        <w:rPr>
          <w:rFonts w:ascii="Times New Roman"/>
        </w:rPr>
      </w:pPr>
      <w:r>
        <w:rPr>
          <w:rFonts w:ascii="Times New Roman"/>
        </w:rPr>
        <w:t>金属材料的生产与运输相关过程；</w:t>
      </w:r>
    </w:p>
    <w:p w14:paraId="234580AB">
      <w:pPr>
        <w:pStyle w:val="132"/>
        <w:rPr>
          <w:rFonts w:ascii="Times New Roman"/>
        </w:rPr>
      </w:pPr>
      <w:r>
        <w:rPr>
          <w:rFonts w:ascii="Times New Roman"/>
        </w:rPr>
        <w:t>标签及包装材料的生产与运输相关过程；</w:t>
      </w:r>
    </w:p>
    <w:p w14:paraId="3C65F158">
      <w:pPr>
        <w:pStyle w:val="132"/>
        <w:rPr>
          <w:rFonts w:ascii="Times New Roman"/>
        </w:rPr>
      </w:pPr>
      <w:r>
        <w:rPr>
          <w:rFonts w:ascii="Times New Roman"/>
        </w:rPr>
        <w:t>其他辅材</w:t>
      </w:r>
      <w:bookmarkEnd w:id="74"/>
      <w:r>
        <w:rPr>
          <w:rFonts w:ascii="Times New Roman"/>
        </w:rPr>
        <w:t>辅料的生产与运输相关过程；</w:t>
      </w:r>
    </w:p>
    <w:p w14:paraId="2DE892EA">
      <w:pPr>
        <w:pStyle w:val="132"/>
        <w:rPr>
          <w:rFonts w:ascii="Times New Roman"/>
        </w:rPr>
      </w:pPr>
      <w:r>
        <w:rPr>
          <w:rFonts w:ascii="Times New Roman"/>
        </w:rPr>
        <w:t>能源的开采生产与输送过程；</w:t>
      </w:r>
    </w:p>
    <w:p w14:paraId="4E58DB98">
      <w:pPr>
        <w:pStyle w:val="132"/>
        <w:rPr>
          <w:rFonts w:ascii="Times New Roman"/>
        </w:rPr>
      </w:pPr>
      <w:r>
        <w:rPr>
          <w:rFonts w:ascii="Times New Roman"/>
        </w:rPr>
        <w:t>水的供应过程；</w:t>
      </w:r>
    </w:p>
    <w:p w14:paraId="41ED4616">
      <w:pPr>
        <w:pStyle w:val="132"/>
        <w:rPr>
          <w:rFonts w:ascii="Times New Roman"/>
        </w:rPr>
      </w:pPr>
      <w:r>
        <w:rPr>
          <w:rFonts w:ascii="Times New Roman"/>
        </w:rPr>
        <w:t>原材料获取加工所产生的废水、 废气和固体废弃物处理相关过程。</w:t>
      </w:r>
    </w:p>
    <w:p w14:paraId="46A69B19">
      <w:pPr>
        <w:pStyle w:val="65"/>
        <w:spacing w:before="120" w:after="120"/>
        <w:rPr>
          <w:rFonts w:ascii="Times New Roman"/>
        </w:rPr>
      </w:pPr>
      <w:r>
        <w:rPr>
          <w:rFonts w:ascii="Times New Roman"/>
        </w:rPr>
        <w:t>生产阶段</w:t>
      </w:r>
    </w:p>
    <w:p w14:paraId="0098F783">
      <w:pPr>
        <w:pStyle w:val="56"/>
        <w:ind w:firstLine="420"/>
        <w:rPr>
          <w:rFonts w:ascii="Times New Roman"/>
        </w:rPr>
      </w:pPr>
      <w:r>
        <w:rPr>
          <w:rFonts w:ascii="Times New Roman"/>
        </w:rPr>
        <w:t>生产阶段应包括穿孔、荒管酸洗、修磨、润滑、冷拔/冷轧、去油、热处理、矫直、酸洗、成品检验等生产的全部工艺。在产品碳足迹评价中应纳入下列过程：</w:t>
      </w:r>
    </w:p>
    <w:p w14:paraId="075BFF83">
      <w:pPr>
        <w:pStyle w:val="132"/>
        <w:rPr>
          <w:rFonts w:ascii="Times New Roman"/>
        </w:rPr>
      </w:pPr>
      <w:bookmarkStart w:id="75" w:name="_Hlk167192918"/>
      <w:r>
        <w:rPr>
          <w:rFonts w:ascii="Times New Roman"/>
        </w:rPr>
        <w:t>穿孔、荒管酸洗、修磨、润滑、冷拔/冷轧、去油、热处理、矫直、酸洗、成品检验等生产直接相关过程；</w:t>
      </w:r>
    </w:p>
    <w:bookmarkEnd w:id="75"/>
    <w:p w14:paraId="6F65EA6D">
      <w:pPr>
        <w:pStyle w:val="132"/>
        <w:rPr>
          <w:rFonts w:ascii="Times New Roman"/>
        </w:rPr>
      </w:pPr>
      <w:r>
        <w:rPr>
          <w:rFonts w:ascii="Times New Roman"/>
        </w:rPr>
        <w:t xml:space="preserve">包装相关过程； </w:t>
      </w:r>
    </w:p>
    <w:p w14:paraId="33DF58E3">
      <w:pPr>
        <w:pStyle w:val="132"/>
        <w:rPr>
          <w:rFonts w:ascii="Times New Roman"/>
        </w:rPr>
      </w:pPr>
      <w:r>
        <w:rPr>
          <w:rFonts w:ascii="Times New Roman"/>
        </w:rPr>
        <w:t>生产设备设施的运行、维护等相关过程；</w:t>
      </w:r>
    </w:p>
    <w:p w14:paraId="1A61D34F">
      <w:pPr>
        <w:pStyle w:val="132"/>
        <w:rPr>
          <w:rFonts w:ascii="Times New Roman"/>
        </w:rPr>
      </w:pPr>
      <w:r>
        <w:rPr>
          <w:rFonts w:ascii="Times New Roman"/>
        </w:rPr>
        <w:t>半成品在生产企业各车间之间的搬运过程；</w:t>
      </w:r>
    </w:p>
    <w:p w14:paraId="35F4452F">
      <w:pPr>
        <w:pStyle w:val="132"/>
        <w:rPr>
          <w:rFonts w:ascii="Times New Roman"/>
        </w:rPr>
      </w:pPr>
      <w:r>
        <w:rPr>
          <w:rFonts w:ascii="Times New Roman"/>
        </w:rPr>
        <w:t>原材料和产品的存储过程；</w:t>
      </w:r>
    </w:p>
    <w:p w14:paraId="770EDA7D">
      <w:pPr>
        <w:pStyle w:val="132"/>
        <w:rPr>
          <w:rFonts w:ascii="Times New Roman"/>
        </w:rPr>
      </w:pPr>
      <w:r>
        <w:rPr>
          <w:rFonts w:ascii="Times New Roman"/>
        </w:rPr>
        <w:t>用水供应相关过程；</w:t>
      </w:r>
    </w:p>
    <w:p w14:paraId="0FE0D304">
      <w:pPr>
        <w:pStyle w:val="132"/>
        <w:rPr>
          <w:rFonts w:ascii="Times New Roman"/>
        </w:rPr>
      </w:pPr>
      <w:r>
        <w:rPr>
          <w:rFonts w:ascii="Times New Roman"/>
        </w:rPr>
        <w:t>以上过程所产生的三废处理相关过程。</w:t>
      </w:r>
    </w:p>
    <w:p w14:paraId="3F0BFF9E">
      <w:pPr>
        <w:pStyle w:val="65"/>
        <w:spacing w:before="120" w:after="120"/>
        <w:rPr>
          <w:rFonts w:ascii="Times New Roman"/>
        </w:rPr>
      </w:pPr>
      <w:r>
        <w:rPr>
          <w:rFonts w:ascii="Times New Roman"/>
        </w:rPr>
        <w:t>下游存储与分销阶段</w:t>
      </w:r>
    </w:p>
    <w:p w14:paraId="4A5A2EF5">
      <w:pPr>
        <w:pStyle w:val="56"/>
        <w:ind w:firstLine="420"/>
        <w:rPr>
          <w:rFonts w:ascii="Times New Roman"/>
        </w:rPr>
      </w:pPr>
      <w:r>
        <w:rPr>
          <w:rFonts w:ascii="Times New Roman"/>
        </w:rPr>
        <w:t>在产品碳足迹评价中应纳入产品从出厂到下游加工地点或销售点之间的运输和存储的相关过程，具体包括从出厂到中转仓库的运输，中转仓库的存储，以及从中转仓库到下游加工地点或销售点的运输。当该阶段纳入产品碳足迹核算评价系统边界时，应包括下列适用过程：</w:t>
      </w:r>
    </w:p>
    <w:p w14:paraId="00C84FB0">
      <w:pPr>
        <w:pStyle w:val="132"/>
        <w:rPr>
          <w:rFonts w:ascii="Times New Roman"/>
        </w:rPr>
      </w:pPr>
      <w:r>
        <w:rPr>
          <w:rFonts w:ascii="Times New Roman"/>
        </w:rPr>
        <w:t>仓库照明、通风、空调和供暖的能源消耗；</w:t>
      </w:r>
    </w:p>
    <w:p w14:paraId="1FA5CEE2">
      <w:pPr>
        <w:pStyle w:val="132"/>
        <w:rPr>
          <w:rFonts w:ascii="Times New Roman"/>
        </w:rPr>
      </w:pPr>
      <w:r>
        <w:rPr>
          <w:rFonts w:ascii="Times New Roman"/>
        </w:rPr>
        <w:t>工厂、仓库和转运站地点间的各类运输，包括陆运、水运及空运；</w:t>
      </w:r>
    </w:p>
    <w:p w14:paraId="36FE7391">
      <w:pPr>
        <w:pStyle w:val="132"/>
        <w:rPr>
          <w:rFonts w:ascii="Times New Roman"/>
        </w:rPr>
      </w:pPr>
      <w:r>
        <w:rPr>
          <w:rFonts w:ascii="Times New Roman"/>
        </w:rPr>
        <w:t>装载；</w:t>
      </w:r>
    </w:p>
    <w:p w14:paraId="5AA4613F">
      <w:pPr>
        <w:pStyle w:val="132"/>
        <w:rPr>
          <w:rFonts w:ascii="Times New Roman"/>
        </w:rPr>
      </w:pPr>
      <w:r>
        <w:rPr>
          <w:rFonts w:ascii="Times New Roman"/>
        </w:rPr>
        <w:t>收货及入库；</w:t>
      </w:r>
    </w:p>
    <w:p w14:paraId="6F338EB1">
      <w:pPr>
        <w:pStyle w:val="132"/>
        <w:rPr>
          <w:rFonts w:ascii="Times New Roman"/>
        </w:rPr>
      </w:pPr>
      <w:r>
        <w:rPr>
          <w:rFonts w:ascii="Times New Roman"/>
        </w:rPr>
        <w:t>储存。</w:t>
      </w:r>
    </w:p>
    <w:p w14:paraId="27F61037">
      <w:pPr>
        <w:pStyle w:val="105"/>
        <w:spacing w:before="120" w:after="120"/>
        <w:rPr>
          <w:rFonts w:ascii="Times New Roman"/>
        </w:rPr>
      </w:pPr>
      <w:r>
        <w:rPr>
          <w:rFonts w:ascii="Times New Roman"/>
        </w:rPr>
        <w:t>取舍准则</w:t>
      </w:r>
    </w:p>
    <w:p w14:paraId="25D8E7D2">
      <w:pPr>
        <w:pStyle w:val="165"/>
        <w:rPr>
          <w:rFonts w:ascii="Times New Roman"/>
        </w:rPr>
      </w:pPr>
      <w:r>
        <w:rPr>
          <w:rFonts w:ascii="Times New Roman"/>
        </w:rPr>
        <w:t>不应将对产品碳足迹有实质性贡献的温室气体排放与清除排除在外。应量化至少95%与功能单位相关的生命周期内预计会产生的温室气体排放与清除，即温室气体排放或清除量小于所评价产品温室气体总排放或清除估测值1%的可予以舍去，但累计不应超过5%。取舍准则不适用于有毒有害物质，产品碳足迹评价应包含所有有毒有害的材料和物质。</w:t>
      </w:r>
    </w:p>
    <w:p w14:paraId="0D4234F7">
      <w:pPr>
        <w:pStyle w:val="165"/>
        <w:rPr>
          <w:rFonts w:ascii="Times New Roman"/>
        </w:rPr>
      </w:pPr>
      <w:r>
        <w:rPr>
          <w:rFonts w:ascii="Times New Roman"/>
        </w:rPr>
        <w:t>舍去的温室气体排放与清除应有书面记录。所选择的取舍准则对评价结果产生的影响应在评价报告中做出解释。</w:t>
      </w:r>
    </w:p>
    <w:p w14:paraId="3FF69AC2">
      <w:pPr>
        <w:pStyle w:val="104"/>
        <w:spacing w:before="240" w:after="240"/>
        <w:rPr>
          <w:rFonts w:ascii="Times New Roman"/>
        </w:rPr>
      </w:pPr>
      <w:bookmarkStart w:id="76" w:name="_Toc170748228"/>
      <w:bookmarkStart w:id="77" w:name="_Toc166860769"/>
      <w:bookmarkStart w:id="78" w:name="_Toc177981130"/>
      <w:bookmarkStart w:id="79" w:name="_Toc175838002"/>
      <w:bookmarkStart w:id="80" w:name="_Toc167375533"/>
      <w:r>
        <w:rPr>
          <w:rFonts w:ascii="Times New Roman"/>
        </w:rPr>
        <w:t>数据收集</w:t>
      </w:r>
      <w:bookmarkEnd w:id="76"/>
      <w:bookmarkEnd w:id="77"/>
      <w:bookmarkEnd w:id="78"/>
      <w:bookmarkEnd w:id="79"/>
      <w:bookmarkEnd w:id="80"/>
    </w:p>
    <w:p w14:paraId="729BD2B3">
      <w:pPr>
        <w:pStyle w:val="105"/>
        <w:spacing w:before="120" w:after="120"/>
        <w:rPr>
          <w:rFonts w:ascii="Times New Roman"/>
        </w:rPr>
      </w:pPr>
      <w:r>
        <w:rPr>
          <w:rFonts w:ascii="Times New Roman"/>
        </w:rPr>
        <w:t>数据质量要求</w:t>
      </w:r>
    </w:p>
    <w:p w14:paraId="5EEF0F24">
      <w:pPr>
        <w:pStyle w:val="56"/>
        <w:ind w:firstLine="420"/>
        <w:rPr>
          <w:rFonts w:ascii="Times New Roman"/>
        </w:rPr>
      </w:pPr>
      <w:r>
        <w:rPr>
          <w:rFonts w:ascii="Times New Roman"/>
        </w:rPr>
        <w:t>产品碳足迹评价过程中使用的数据应满足以下要求：</w:t>
      </w:r>
    </w:p>
    <w:p w14:paraId="1424CA7F">
      <w:pPr>
        <w:pStyle w:val="132"/>
        <w:rPr>
          <w:rFonts w:ascii="Times New Roman"/>
        </w:rPr>
      </w:pPr>
      <w:r>
        <w:rPr>
          <w:rFonts w:ascii="Times New Roman"/>
        </w:rPr>
        <w:t>完整性：涵盖对评价的产品系统有实质性贡献的所有温室气体的排放与清除；</w:t>
      </w:r>
    </w:p>
    <w:p w14:paraId="62792B9F">
      <w:pPr>
        <w:pStyle w:val="132"/>
        <w:rPr>
          <w:rFonts w:ascii="Times New Roman"/>
        </w:rPr>
      </w:pPr>
      <w:r>
        <w:rPr>
          <w:rFonts w:ascii="Times New Roman"/>
        </w:rPr>
        <w:t>代表性：使用对评价产品而言具有时间、地理及技术针对性的数据；</w:t>
      </w:r>
    </w:p>
    <w:p w14:paraId="5D8B6986">
      <w:pPr>
        <w:pStyle w:val="132"/>
        <w:rPr>
          <w:rFonts w:ascii="Times New Roman"/>
        </w:rPr>
      </w:pPr>
      <w:r>
        <w:rPr>
          <w:rFonts w:ascii="Times New Roman"/>
        </w:rPr>
        <w:t>准确性：避免非必要偏差和不确定度；</w:t>
      </w:r>
    </w:p>
    <w:p w14:paraId="485C0FB2">
      <w:pPr>
        <w:pStyle w:val="132"/>
        <w:rPr>
          <w:rFonts w:ascii="Times New Roman"/>
        </w:rPr>
      </w:pPr>
      <w:r>
        <w:rPr>
          <w:rFonts w:ascii="Times New Roman"/>
        </w:rPr>
        <w:t>使用最近至少一年的数据，若产品生产不足一年，使用从生产初始至评价前的累计数据；</w:t>
      </w:r>
    </w:p>
    <w:p w14:paraId="0ED30D96">
      <w:pPr>
        <w:pStyle w:val="132"/>
        <w:rPr>
          <w:rFonts w:ascii="Times New Roman"/>
        </w:rPr>
      </w:pPr>
      <w:r>
        <w:rPr>
          <w:rFonts w:ascii="Times New Roman"/>
        </w:rPr>
        <w:t>优先使用初级数据，若无法获取初级数据，可使用次级数据，并进行书面记录，解释数据来源和使用理由。</w:t>
      </w:r>
    </w:p>
    <w:p w14:paraId="51BCF8E0">
      <w:pPr>
        <w:pStyle w:val="105"/>
        <w:spacing w:before="120" w:after="120"/>
        <w:rPr>
          <w:rFonts w:ascii="Times New Roman"/>
        </w:rPr>
      </w:pPr>
      <w:r>
        <w:rPr>
          <w:rFonts w:ascii="Times New Roman"/>
        </w:rPr>
        <w:t>数据抽样</w:t>
      </w:r>
    </w:p>
    <w:p w14:paraId="59A48ADB">
      <w:pPr>
        <w:pStyle w:val="165"/>
        <w:rPr>
          <w:rFonts w:ascii="Times New Roman"/>
        </w:rPr>
      </w:pPr>
      <w:r>
        <w:rPr>
          <w:rFonts w:ascii="Times New Roman"/>
        </w:rPr>
        <w:t>若单元过程的输入数据来自多个源头，宜选择具有代表性的数据样本进行温室气体排放与清除数据的收集。</w:t>
      </w:r>
    </w:p>
    <w:p w14:paraId="186FD977">
      <w:pPr>
        <w:pStyle w:val="165"/>
        <w:rPr>
          <w:rFonts w:ascii="Times New Roman"/>
        </w:rPr>
      </w:pPr>
      <w:r>
        <w:rPr>
          <w:rFonts w:ascii="Times New Roman"/>
        </w:rPr>
        <w:t>若单一原材料来自多个供应商时，宜收集所有供应商的初级数据。若收集所有初级数据存在困难，宜收集供应原材料数量50%以上的或具有代表性的供应商的初级数据，其加权平均值可作为无法取得数据的供应商的次级数据。</w:t>
      </w:r>
    </w:p>
    <w:p w14:paraId="15F65EE8">
      <w:pPr>
        <w:pStyle w:val="165"/>
        <w:rPr>
          <w:rFonts w:ascii="Times New Roman"/>
        </w:rPr>
      </w:pPr>
      <w:r>
        <w:rPr>
          <w:rFonts w:ascii="Times New Roman"/>
        </w:rPr>
        <w:t>若产品运输路线不止一条，宜收集所有路线的初级数据。若收集所有初级数据存在困难，宜收集销售量占总销售量50%以上的或具有代表性的主要销售点的运输路线，其加权平均值可作为无法取得数据的路线的次级数据。</w:t>
      </w:r>
    </w:p>
    <w:p w14:paraId="27A3B85C">
      <w:pPr>
        <w:pStyle w:val="105"/>
        <w:spacing w:before="120" w:after="120"/>
        <w:rPr>
          <w:rFonts w:ascii="Times New Roman"/>
        </w:rPr>
      </w:pPr>
      <w:r>
        <w:rPr>
          <w:rFonts w:ascii="Times New Roman"/>
        </w:rPr>
        <w:t>数据收集要求</w:t>
      </w:r>
    </w:p>
    <w:p w14:paraId="4EE45F3D">
      <w:pPr>
        <w:pStyle w:val="65"/>
        <w:spacing w:before="120" w:after="120"/>
        <w:rPr>
          <w:rFonts w:ascii="Times New Roman"/>
        </w:rPr>
      </w:pPr>
      <w:r>
        <w:rPr>
          <w:rFonts w:ascii="Times New Roman"/>
        </w:rPr>
        <w:t>原材料获取与加工阶段</w:t>
      </w:r>
    </w:p>
    <w:p w14:paraId="2A267B62">
      <w:pPr>
        <w:pStyle w:val="164"/>
        <w:rPr>
          <w:rFonts w:ascii="Times New Roman"/>
        </w:rPr>
      </w:pPr>
      <w:r>
        <w:rPr>
          <w:rFonts w:ascii="Times New Roman"/>
        </w:rPr>
        <w:t>以下项目应收集初级数据：</w:t>
      </w:r>
    </w:p>
    <w:p w14:paraId="21581860">
      <w:pPr>
        <w:pStyle w:val="132"/>
        <w:rPr>
          <w:rFonts w:ascii="Times New Roman"/>
        </w:rPr>
      </w:pPr>
      <w:r>
        <w:rPr>
          <w:rFonts w:ascii="Times New Roman"/>
        </w:rPr>
        <w:t>生产相关项目，包括：</w:t>
      </w:r>
    </w:p>
    <w:p w14:paraId="1A0B8DFA">
      <w:pPr>
        <w:pStyle w:val="187"/>
        <w:rPr>
          <w:rFonts w:ascii="Times New Roman"/>
        </w:rPr>
      </w:pPr>
      <w:r>
        <w:rPr>
          <w:rFonts w:ascii="Times New Roman"/>
        </w:rPr>
        <w:t>圆钢材料的投入量；</w:t>
      </w:r>
    </w:p>
    <w:p w14:paraId="0D17E480">
      <w:pPr>
        <w:pStyle w:val="187"/>
        <w:rPr>
          <w:rFonts w:ascii="Times New Roman"/>
        </w:rPr>
      </w:pPr>
      <w:r>
        <w:rPr>
          <w:rFonts w:ascii="Times New Roman"/>
        </w:rPr>
        <w:t>荒钢材料的投入量；</w:t>
      </w:r>
    </w:p>
    <w:p w14:paraId="4BABD013">
      <w:pPr>
        <w:pStyle w:val="187"/>
        <w:rPr>
          <w:rFonts w:ascii="Times New Roman"/>
        </w:rPr>
      </w:pPr>
      <w:r>
        <w:rPr>
          <w:rFonts w:ascii="Times New Roman"/>
        </w:rPr>
        <w:t>矿石开采的投入量；</w:t>
      </w:r>
    </w:p>
    <w:p w14:paraId="195A4165">
      <w:pPr>
        <w:pStyle w:val="187"/>
        <w:rPr>
          <w:rFonts w:ascii="Times New Roman"/>
        </w:rPr>
      </w:pPr>
      <w:r>
        <w:rPr>
          <w:rFonts w:ascii="Times New Roman"/>
        </w:rPr>
        <w:t>废金属回收</w:t>
      </w:r>
      <w:bookmarkStart w:id="81" w:name="OLE_LINK1"/>
      <w:r>
        <w:rPr>
          <w:rFonts w:ascii="Times New Roman"/>
        </w:rPr>
        <w:t>的投入量</w:t>
      </w:r>
      <w:bookmarkEnd w:id="81"/>
      <w:r>
        <w:rPr>
          <w:rFonts w:ascii="Times New Roman"/>
        </w:rPr>
        <w:t>；</w:t>
      </w:r>
    </w:p>
    <w:p w14:paraId="368B8706">
      <w:pPr>
        <w:pStyle w:val="187"/>
        <w:rPr>
          <w:rFonts w:ascii="Times New Roman"/>
        </w:rPr>
      </w:pPr>
      <w:r>
        <w:rPr>
          <w:rFonts w:ascii="Times New Roman"/>
        </w:rPr>
        <w:t>金属材料的投入量；</w:t>
      </w:r>
    </w:p>
    <w:p w14:paraId="21C7C806">
      <w:pPr>
        <w:pStyle w:val="187"/>
        <w:rPr>
          <w:rFonts w:ascii="Times New Roman"/>
        </w:rPr>
      </w:pPr>
      <w:r>
        <w:rPr>
          <w:rFonts w:ascii="Times New Roman"/>
        </w:rPr>
        <w:t>包装材料的投入量；</w:t>
      </w:r>
    </w:p>
    <w:p w14:paraId="085155AA">
      <w:pPr>
        <w:pStyle w:val="187"/>
        <w:rPr>
          <w:rFonts w:ascii="Times New Roman"/>
        </w:rPr>
      </w:pPr>
      <w:r>
        <w:rPr>
          <w:rFonts w:ascii="Times New Roman"/>
        </w:rPr>
        <w:t>其他辅材辅料的投入量；</w:t>
      </w:r>
    </w:p>
    <w:p w14:paraId="3350192D">
      <w:pPr>
        <w:pStyle w:val="187"/>
        <w:rPr>
          <w:rFonts w:ascii="Times New Roman"/>
        </w:rPr>
      </w:pPr>
      <w:r>
        <w:rPr>
          <w:rFonts w:ascii="Times New Roman"/>
        </w:rPr>
        <w:t>电力、蒸汽、燃料等能源投入量；</w:t>
      </w:r>
    </w:p>
    <w:p w14:paraId="22E29297">
      <w:pPr>
        <w:pStyle w:val="187"/>
        <w:rPr>
          <w:rFonts w:ascii="Times New Roman"/>
        </w:rPr>
      </w:pPr>
      <w:r>
        <w:rPr>
          <w:rFonts w:ascii="Times New Roman"/>
        </w:rPr>
        <w:t>水消耗量；</w:t>
      </w:r>
    </w:p>
    <w:p w14:paraId="691E6A05">
      <w:pPr>
        <w:pStyle w:val="187"/>
        <w:rPr>
          <w:rFonts w:ascii="Times New Roman"/>
        </w:rPr>
      </w:pPr>
      <w:r>
        <w:rPr>
          <w:rFonts w:ascii="Times New Roman"/>
        </w:rPr>
        <w:t>废弃物的产生量。</w:t>
      </w:r>
    </w:p>
    <w:p w14:paraId="4ED62060">
      <w:pPr>
        <w:pStyle w:val="132"/>
        <w:rPr>
          <w:rFonts w:ascii="Times New Roman"/>
        </w:rPr>
      </w:pPr>
      <w:r>
        <w:rPr>
          <w:rFonts w:ascii="Times New Roman"/>
        </w:rPr>
        <w:t>石油开采及石化化工产品、基布、树脂、化学试剂、辅料、包装材料的运输相关项目，包括：</w:t>
      </w:r>
    </w:p>
    <w:p w14:paraId="07A4E58F">
      <w:pPr>
        <w:pStyle w:val="187"/>
        <w:rPr>
          <w:rFonts w:ascii="Times New Roman"/>
        </w:rPr>
      </w:pPr>
      <w:r>
        <w:rPr>
          <w:rFonts w:ascii="Times New Roman"/>
        </w:rPr>
        <w:t>每种运输方式的运输的数量和重量；</w:t>
      </w:r>
    </w:p>
    <w:p w14:paraId="5C075AE4">
      <w:pPr>
        <w:pStyle w:val="187"/>
        <w:rPr>
          <w:rFonts w:ascii="Times New Roman"/>
        </w:rPr>
      </w:pPr>
      <w:r>
        <w:rPr>
          <w:rFonts w:ascii="Times New Roman"/>
        </w:rPr>
        <w:t>每种运输方式的能源消耗量，或其它可计算获得能源消耗量的数据；</w:t>
      </w:r>
    </w:p>
    <w:p w14:paraId="2136C2A8">
      <w:pPr>
        <w:pStyle w:val="187"/>
        <w:rPr>
          <w:rFonts w:ascii="Times New Roman"/>
        </w:rPr>
      </w:pPr>
      <w:r>
        <w:rPr>
          <w:rFonts w:ascii="Times New Roman"/>
        </w:rPr>
        <w:t>每种运输方式的吨公里数。</w:t>
      </w:r>
    </w:p>
    <w:p w14:paraId="4CD67B1A">
      <w:pPr>
        <w:pStyle w:val="164"/>
        <w:rPr>
          <w:rFonts w:ascii="Times New Roman"/>
        </w:rPr>
      </w:pPr>
      <w:r>
        <w:rPr>
          <w:rFonts w:ascii="Times New Roman"/>
        </w:rPr>
        <w:t>以下项目据可收集次级数据：</w:t>
      </w:r>
    </w:p>
    <w:p w14:paraId="5B3D66A4">
      <w:pPr>
        <w:pStyle w:val="132"/>
        <w:rPr>
          <w:rFonts w:ascii="Times New Roman"/>
        </w:rPr>
      </w:pPr>
      <w:r>
        <w:rPr>
          <w:rFonts w:ascii="Times New Roman"/>
        </w:rPr>
        <w:t>原料生产与运输相关的温室气体排放与清除因子；</w:t>
      </w:r>
    </w:p>
    <w:p w14:paraId="5D978562">
      <w:pPr>
        <w:pStyle w:val="132"/>
        <w:rPr>
          <w:rFonts w:ascii="Times New Roman"/>
        </w:rPr>
      </w:pPr>
      <w:r>
        <w:rPr>
          <w:rFonts w:ascii="Times New Roman"/>
        </w:rPr>
        <w:t>辅料、包装材料的生产相关的温室气体排放与清除因子；</w:t>
      </w:r>
    </w:p>
    <w:p w14:paraId="18E4D858">
      <w:pPr>
        <w:pStyle w:val="132"/>
        <w:rPr>
          <w:rFonts w:ascii="Times New Roman"/>
        </w:rPr>
      </w:pPr>
      <w:r>
        <w:rPr>
          <w:rFonts w:ascii="Times New Roman"/>
        </w:rPr>
        <w:t>助剂的生产与运输相关的温室气体排放与清除因子；</w:t>
      </w:r>
    </w:p>
    <w:p w14:paraId="1E4C7659">
      <w:pPr>
        <w:pStyle w:val="132"/>
        <w:rPr>
          <w:rFonts w:ascii="Times New Roman"/>
        </w:rPr>
      </w:pPr>
      <w:r>
        <w:rPr>
          <w:rFonts w:ascii="Times New Roman"/>
        </w:rPr>
        <w:t>能源、水的开采生产、消耗与输送相关的温室气体排放与清除因子；</w:t>
      </w:r>
    </w:p>
    <w:p w14:paraId="7664E7A8">
      <w:pPr>
        <w:pStyle w:val="132"/>
        <w:rPr>
          <w:rFonts w:ascii="Times New Roman"/>
        </w:rPr>
      </w:pPr>
      <w:r>
        <w:rPr>
          <w:rFonts w:ascii="Times New Roman"/>
        </w:rPr>
        <w:t>废弃物处理相关的温室气体排放与清除因子。</w:t>
      </w:r>
    </w:p>
    <w:p w14:paraId="18180222">
      <w:pPr>
        <w:pStyle w:val="65"/>
        <w:spacing w:before="120" w:after="120"/>
        <w:rPr>
          <w:rFonts w:ascii="Times New Roman"/>
        </w:rPr>
      </w:pPr>
      <w:r>
        <w:rPr>
          <w:rFonts w:ascii="Times New Roman"/>
        </w:rPr>
        <w:t>生产阶段</w:t>
      </w:r>
    </w:p>
    <w:p w14:paraId="6C168D9E">
      <w:pPr>
        <w:pStyle w:val="164"/>
        <w:rPr>
          <w:rFonts w:ascii="Times New Roman"/>
        </w:rPr>
      </w:pPr>
      <w:r>
        <w:rPr>
          <w:rFonts w:ascii="Times New Roman"/>
        </w:rPr>
        <w:t>以下项目应收集初级数据：</w:t>
      </w:r>
    </w:p>
    <w:p w14:paraId="3843DA3D">
      <w:pPr>
        <w:pStyle w:val="132"/>
        <w:rPr>
          <w:rFonts w:ascii="Times New Roman"/>
        </w:rPr>
      </w:pPr>
      <w:r>
        <w:rPr>
          <w:rFonts w:ascii="Times New Roman"/>
        </w:rPr>
        <w:t>穿孔、荒管酸洗、修磨、润滑、冷拔/冷轧、去油、热处理、矫直、酸洗、成品检验等的投入量；</w:t>
      </w:r>
    </w:p>
    <w:p w14:paraId="1E18291C">
      <w:pPr>
        <w:pStyle w:val="132"/>
        <w:rPr>
          <w:rFonts w:ascii="Times New Roman"/>
        </w:rPr>
      </w:pPr>
      <w:r>
        <w:rPr>
          <w:rFonts w:ascii="Times New Roman"/>
        </w:rPr>
        <w:t>电力、蒸汽、燃料等能源投入量；</w:t>
      </w:r>
    </w:p>
    <w:p w14:paraId="1FEDCD92">
      <w:pPr>
        <w:pStyle w:val="132"/>
        <w:rPr>
          <w:rFonts w:ascii="Times New Roman"/>
        </w:rPr>
      </w:pPr>
      <w:r>
        <w:rPr>
          <w:rFonts w:ascii="Times New Roman"/>
        </w:rPr>
        <w:t>水消耗量；</w:t>
      </w:r>
    </w:p>
    <w:p w14:paraId="00F42EF0">
      <w:pPr>
        <w:pStyle w:val="132"/>
        <w:rPr>
          <w:rFonts w:ascii="Times New Roman"/>
        </w:rPr>
      </w:pPr>
      <w:r>
        <w:rPr>
          <w:rFonts w:ascii="Times New Roman"/>
        </w:rPr>
        <w:t>废弃物产生量。</w:t>
      </w:r>
    </w:p>
    <w:p w14:paraId="32B958F2">
      <w:pPr>
        <w:pStyle w:val="164"/>
        <w:rPr>
          <w:rFonts w:ascii="Times New Roman"/>
        </w:rPr>
      </w:pPr>
      <w:r>
        <w:rPr>
          <w:rFonts w:ascii="Times New Roman"/>
        </w:rPr>
        <w:t>以下项目可收集次级数据：</w:t>
      </w:r>
    </w:p>
    <w:p w14:paraId="0B9618C1">
      <w:pPr>
        <w:pStyle w:val="132"/>
        <w:rPr>
          <w:rFonts w:ascii="Times New Roman"/>
        </w:rPr>
      </w:pPr>
      <w:r>
        <w:rPr>
          <w:rFonts w:ascii="Times New Roman"/>
        </w:rPr>
        <w:t>能源、水消耗相关的温室气体排放与清除因子；</w:t>
      </w:r>
    </w:p>
    <w:p w14:paraId="1840651E">
      <w:pPr>
        <w:pStyle w:val="132"/>
        <w:rPr>
          <w:rFonts w:ascii="Times New Roman"/>
        </w:rPr>
      </w:pPr>
      <w:r>
        <w:rPr>
          <w:rFonts w:ascii="Times New Roman"/>
        </w:rPr>
        <w:t>废弃物处理相关的温室气体排放与清除因子。</w:t>
      </w:r>
    </w:p>
    <w:p w14:paraId="7973E62E">
      <w:pPr>
        <w:pStyle w:val="65"/>
        <w:spacing w:before="120" w:after="120"/>
        <w:rPr>
          <w:rFonts w:ascii="Times New Roman"/>
        </w:rPr>
      </w:pPr>
      <w:r>
        <w:rPr>
          <w:rFonts w:ascii="Times New Roman"/>
        </w:rPr>
        <w:t>下游存储与分销阶段</w:t>
      </w:r>
    </w:p>
    <w:p w14:paraId="6E5276B2">
      <w:pPr>
        <w:pStyle w:val="164"/>
        <w:rPr>
          <w:rFonts w:ascii="Times New Roman"/>
        </w:rPr>
      </w:pPr>
      <w:r>
        <w:rPr>
          <w:rFonts w:ascii="Times New Roman"/>
        </w:rPr>
        <w:t>以下项目应收集初级数据：</w:t>
      </w:r>
    </w:p>
    <w:p w14:paraId="6CA0762F">
      <w:pPr>
        <w:pStyle w:val="132"/>
        <w:rPr>
          <w:rFonts w:ascii="Times New Roman"/>
        </w:rPr>
      </w:pPr>
      <w:r>
        <w:rPr>
          <w:rFonts w:ascii="Times New Roman"/>
        </w:rPr>
        <w:t>每种运输方式的产品运输的数量和重量：</w:t>
      </w:r>
    </w:p>
    <w:p w14:paraId="62E2DC16">
      <w:pPr>
        <w:pStyle w:val="132"/>
        <w:rPr>
          <w:rFonts w:ascii="Times New Roman"/>
        </w:rPr>
      </w:pPr>
      <w:r>
        <w:rPr>
          <w:rFonts w:ascii="Times New Roman"/>
        </w:rPr>
        <w:t>每种运输方式的能源消耗量，或其它可计算获得能源消耗量的数据；</w:t>
      </w:r>
    </w:p>
    <w:p w14:paraId="3422314D">
      <w:pPr>
        <w:pStyle w:val="132"/>
        <w:rPr>
          <w:rFonts w:ascii="Times New Roman"/>
        </w:rPr>
      </w:pPr>
      <w:r>
        <w:rPr>
          <w:rFonts w:ascii="Times New Roman"/>
        </w:rPr>
        <w:t>每种运输方式的吨公里数。其它可计算获得能源消耗量的数据包括单位距离能源消耗量和运输距离、运输费用和能源单价等。</w:t>
      </w:r>
    </w:p>
    <w:p w14:paraId="1ECA33BC">
      <w:pPr>
        <w:pStyle w:val="164"/>
        <w:rPr>
          <w:rFonts w:ascii="Times New Roman"/>
        </w:rPr>
      </w:pPr>
      <w:r>
        <w:rPr>
          <w:rFonts w:ascii="Times New Roman"/>
        </w:rPr>
        <w:t>运输相关的温室气体排放与清除因子可收集次级数据。</w:t>
      </w:r>
    </w:p>
    <w:p w14:paraId="4E2F8831">
      <w:pPr>
        <w:pStyle w:val="104"/>
        <w:spacing w:before="240" w:after="240"/>
        <w:rPr>
          <w:rFonts w:ascii="Times New Roman"/>
        </w:rPr>
      </w:pPr>
      <w:bookmarkStart w:id="82" w:name="_Toc177981131"/>
      <w:bookmarkStart w:id="83" w:name="_Toc170748229"/>
      <w:bookmarkStart w:id="84" w:name="_Toc167375534"/>
      <w:bookmarkStart w:id="85" w:name="_Toc175838003"/>
      <w:bookmarkStart w:id="86" w:name="_Toc166860770"/>
      <w:r>
        <w:rPr>
          <w:rFonts w:ascii="Times New Roman"/>
        </w:rPr>
        <w:t>分配与计算</w:t>
      </w:r>
      <w:bookmarkEnd w:id="82"/>
      <w:bookmarkEnd w:id="83"/>
      <w:bookmarkEnd w:id="84"/>
      <w:bookmarkEnd w:id="85"/>
      <w:bookmarkEnd w:id="86"/>
    </w:p>
    <w:p w14:paraId="108891ED">
      <w:pPr>
        <w:pStyle w:val="105"/>
        <w:spacing w:before="120" w:after="120"/>
        <w:rPr>
          <w:rFonts w:ascii="Times New Roman"/>
        </w:rPr>
      </w:pPr>
      <w:r>
        <w:rPr>
          <w:rFonts w:ascii="Times New Roman"/>
        </w:rPr>
        <w:t>分配</w:t>
      </w:r>
    </w:p>
    <w:p w14:paraId="6252E792">
      <w:pPr>
        <w:pStyle w:val="165"/>
        <w:rPr>
          <w:rFonts w:ascii="Times New Roman"/>
        </w:rPr>
      </w:pPr>
      <w:r>
        <w:rPr>
          <w:rFonts w:ascii="Times New Roman"/>
        </w:rPr>
        <w:t>分配应符合GB/T 24040、GB/T 24044、GB/T 24062、GB/T 32150、ISO14067:2018的要求。</w:t>
      </w:r>
    </w:p>
    <w:p w14:paraId="218AA7E7">
      <w:pPr>
        <w:pStyle w:val="165"/>
        <w:rPr>
          <w:rFonts w:ascii="Times New Roman"/>
        </w:rPr>
      </w:pPr>
      <w:r>
        <w:rPr>
          <w:rFonts w:ascii="Times New Roman"/>
        </w:rPr>
        <w:t>对包含多个产品或循环体系的系统，宜避免分配。若分配无法避免，考虑以下方面：</w:t>
      </w:r>
    </w:p>
    <w:p w14:paraId="5F5816EB">
      <w:pPr>
        <w:pStyle w:val="132"/>
        <w:rPr>
          <w:rFonts w:ascii="Times New Roman"/>
        </w:rPr>
      </w:pPr>
      <w:r>
        <w:rPr>
          <w:rFonts w:ascii="Times New Roman"/>
        </w:rPr>
        <w:t>优先使用物理关系进行分配；</w:t>
      </w:r>
    </w:p>
    <w:p w14:paraId="51741295">
      <w:pPr>
        <w:pStyle w:val="132"/>
        <w:rPr>
          <w:rFonts w:ascii="Times New Roman"/>
        </w:rPr>
      </w:pPr>
      <w:r>
        <w:rPr>
          <w:rFonts w:ascii="Times New Roman"/>
        </w:rPr>
        <w:t>若无法建立物理关系，宜根据经济价值或其它关系进行分配，且应提供所使用分配关系的依据及计算说明。物理关系包括数量、质量、工时等。</w:t>
      </w:r>
    </w:p>
    <w:p w14:paraId="6CF9B678">
      <w:pPr>
        <w:pStyle w:val="105"/>
        <w:spacing w:before="120" w:after="120"/>
        <w:rPr>
          <w:rFonts w:ascii="Times New Roman"/>
        </w:rPr>
      </w:pPr>
      <w:r>
        <w:rPr>
          <w:rFonts w:ascii="Times New Roman"/>
        </w:rPr>
        <w:t>计算</w:t>
      </w:r>
    </w:p>
    <w:p w14:paraId="42D9F95A">
      <w:pPr>
        <w:pStyle w:val="165"/>
        <w:rPr>
          <w:rFonts w:ascii="Times New Roman"/>
        </w:rPr>
      </w:pPr>
      <w:r>
        <w:rPr>
          <w:rFonts w:ascii="Times New Roman"/>
        </w:rPr>
        <w:t>产品碳足迹的核算应包括原材料获取阶段、生产阶段、分销阶段涉及的所有单元过程，计算见公式（1）：</w:t>
      </w:r>
    </w:p>
    <w:p w14:paraId="3F3FD0EE">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w:bookmarkStart w:id="87" w:name="_Hlk166853593"/>
            <m:r>
              <m:rPr/>
              <w:rPr>
                <w:rFonts w:ascii="Cambria Math" w:hAnsi="Cambria Math"/>
              </w:rPr>
              <m:t>CFP</m:t>
            </m:r>
            <m:ctrlPr>
              <w:rPr>
                <w:rFonts w:ascii="Cambria Math" w:hAnsi="Cambria Math"/>
                <w:i/>
              </w:rPr>
            </m:ctrlPr>
          </m:e>
          <m:sub>
            <m:r>
              <m:rPr/>
              <w:rPr>
                <w:rFonts w:ascii="Cambria Math" w:hAnsi="Cambria Math"/>
              </w:rPr>
              <m:t>产品</m:t>
            </m:r>
            <w:bookmarkEnd w:id="87"/>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运输</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生产</m:t>
                </m:r>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r>
          <m:rPr/>
          <w:rPr>
            <w:rFonts w:ascii="Cambria Math" w:hAnsi="Cambria Math"/>
          </w:rPr>
          <m:t>+</m:t>
        </m:r>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原材料</m:t>
                </m:r>
                <m:ctrlPr>
                  <w:rPr>
                    <w:rFonts w:ascii="Cambria Math" w:hAnsi="Cambria Math"/>
                    <w:i/>
                  </w:rPr>
                </m:ctrlPr>
              </m:sub>
            </m:sSub>
            <m:ctrlPr>
              <w:rPr>
                <w:rFonts w:ascii="Cambria Math" w:hAnsi="Cambria Math"/>
                <w:i/>
              </w:rPr>
            </m:ctrlPr>
          </m:e>
        </m:nary>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0E3F0F22">
      <w:pPr>
        <w:pStyle w:val="55"/>
        <w:ind w:firstLine="420"/>
        <w:rPr>
          <w:rFonts w:ascii="Times New Roman" w:hAnsi="Times New Roman"/>
        </w:rPr>
      </w:pPr>
      <w:r>
        <w:rPr>
          <w:rFonts w:ascii="Times New Roman" w:hAnsi="Times New Roman"/>
        </w:rPr>
        <w:t>式中：</w:t>
      </w:r>
    </w:p>
    <w:p w14:paraId="24344892">
      <w:pPr>
        <w:pStyle w:val="56"/>
        <w:ind w:firstLine="420"/>
        <w:rPr>
          <w:rFonts w:ascii="Times New Roman"/>
        </w:rPr>
      </w:pPr>
      <w:r>
        <w:rPr>
          <w:rFonts w:ascii="Times New Roman"/>
        </w:rPr>
        <w:t>CFP</w:t>
      </w:r>
      <w:r>
        <w:rPr>
          <w:rFonts w:ascii="Times New Roman"/>
          <w:vertAlign w:val="subscript"/>
        </w:rPr>
        <w:t>产品</w:t>
      </w:r>
      <w:r>
        <w:rPr>
          <w:rFonts w:ascii="Times New Roman"/>
        </w:rPr>
        <w:t>——不锈钢无缝钢管产品碳足迹，即声明单位不锈钢无缝钢管从摇篮到大门温室气体排放量（kgCO</w:t>
      </w:r>
      <w:r>
        <w:rPr>
          <w:rFonts w:ascii="Times New Roman"/>
          <w:vertAlign w:val="subscript"/>
        </w:rPr>
        <w:t>2</w:t>
      </w:r>
      <w:r>
        <w:rPr>
          <w:rFonts w:ascii="Times New Roman"/>
        </w:rPr>
        <w:t>e/kg）；</w:t>
      </w:r>
    </w:p>
    <w:p w14:paraId="04D0CBE1">
      <w:pPr>
        <w:pStyle w:val="56"/>
        <w:ind w:firstLine="420"/>
        <w:rPr>
          <w:rFonts w:ascii="Times New Roman"/>
        </w:rPr>
      </w:pPr>
      <w:r>
        <w:rPr>
          <w:rFonts w:ascii="Times New Roman"/>
        </w:rPr>
        <w:t>CFP</w:t>
      </w:r>
      <w:r>
        <w:rPr>
          <w:rFonts w:ascii="Times New Roman"/>
          <w:vertAlign w:val="subscript"/>
        </w:rPr>
        <w:t>原材料</w:t>
      </w:r>
      <w:r>
        <w:rPr>
          <w:rFonts w:ascii="Times New Roman"/>
        </w:rPr>
        <w:t>——原材料在获取加工阶段产生的对应单位不锈钢无缝钢管产品的温室气体排放量（kgCO</w:t>
      </w:r>
      <w:r>
        <w:rPr>
          <w:rFonts w:ascii="Times New Roman"/>
          <w:vertAlign w:val="subscript"/>
        </w:rPr>
        <w:t>2</w:t>
      </w:r>
      <w:r>
        <w:rPr>
          <w:rFonts w:ascii="Times New Roman"/>
        </w:rPr>
        <w:t>e/kg）；</w:t>
      </w:r>
    </w:p>
    <w:p w14:paraId="592A2B1D">
      <w:pPr>
        <w:pStyle w:val="56"/>
        <w:ind w:firstLine="420"/>
        <w:rPr>
          <w:rFonts w:ascii="Times New Roman"/>
        </w:rPr>
      </w:pPr>
      <w:r>
        <w:rPr>
          <w:rFonts w:ascii="Times New Roman"/>
        </w:rPr>
        <w:t>E</w:t>
      </w:r>
      <w:r>
        <w:rPr>
          <w:rFonts w:ascii="Times New Roman"/>
          <w:vertAlign w:val="subscript"/>
        </w:rPr>
        <w:t>运输</w:t>
      </w:r>
      <w:r>
        <w:rPr>
          <w:rFonts w:ascii="Times New Roman"/>
        </w:rPr>
        <w:t>——原材料等运输产生的温室气体排放量（kgCO</w:t>
      </w:r>
      <w:r>
        <w:rPr>
          <w:rFonts w:ascii="Times New Roman"/>
          <w:vertAlign w:val="subscript"/>
        </w:rPr>
        <w:t>2</w:t>
      </w:r>
      <w:r>
        <w:rPr>
          <w:rFonts w:ascii="Times New Roman"/>
        </w:rPr>
        <w:t>e）；</w:t>
      </w:r>
    </w:p>
    <w:p w14:paraId="41C4D01A">
      <w:pPr>
        <w:pStyle w:val="56"/>
        <w:ind w:firstLine="420"/>
        <w:rPr>
          <w:rFonts w:ascii="Times New Roman"/>
        </w:rPr>
      </w:pPr>
      <w:r>
        <w:rPr>
          <w:rFonts w:ascii="Times New Roman"/>
        </w:rPr>
        <w:t>E</w:t>
      </w:r>
      <w:r>
        <w:rPr>
          <w:rFonts w:ascii="Times New Roman"/>
          <w:vertAlign w:val="subscript"/>
        </w:rPr>
        <w:t>生产</w:t>
      </w:r>
      <w:r>
        <w:rPr>
          <w:rFonts w:ascii="Times New Roman"/>
        </w:rPr>
        <w:t>——不锈钢无缝钢管产品生产阶段的温室气体排放量（kgCO</w:t>
      </w:r>
      <w:r>
        <w:rPr>
          <w:rFonts w:ascii="Times New Roman"/>
          <w:vertAlign w:val="subscript"/>
        </w:rPr>
        <w:t>2</w:t>
      </w:r>
      <w:r>
        <w:rPr>
          <w:rFonts w:ascii="Times New Roman"/>
        </w:rPr>
        <w:t>e）；</w:t>
      </w:r>
    </w:p>
    <w:p w14:paraId="367043BF">
      <w:pPr>
        <w:pStyle w:val="56"/>
        <w:ind w:firstLine="420"/>
        <w:rPr>
          <w:rFonts w:ascii="Times New Roman"/>
        </w:rPr>
      </w:pPr>
      <w:r>
        <w:rPr>
          <w:rFonts w:ascii="Times New Roman"/>
        </w:rPr>
        <w:t>Q ——不锈钢无缝钢管产品的产量（kg）。</w:t>
      </w:r>
    </w:p>
    <w:p w14:paraId="0BE3C91C">
      <w:pPr>
        <w:pStyle w:val="165"/>
        <w:rPr>
          <w:rFonts w:ascii="Times New Roman"/>
        </w:rPr>
      </w:pPr>
      <w:r>
        <w:rPr>
          <w:rFonts w:ascii="Times New Roman"/>
        </w:rPr>
        <w:t>原材料获取阶段的碳足迹计算见公式（2）：</w:t>
      </w:r>
    </w:p>
    <w:p w14:paraId="3CA6FF07">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原材料</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sSub>
                  <w:bookmarkStart w:id="88" w:name="_Hlk166853946"/>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圆钢材料生产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荒钢材料生产</m:t>
                    </m:r>
                    <m:ctrlPr>
                      <w:rPr>
                        <w:rFonts w:ascii="Cambria Math" w:hAnsi="Cambria Math"/>
                        <w:i/>
                      </w:rPr>
                    </m:ctrlPr>
                  </m:sub>
                </m:sSub>
                <m:r>
                  <m:rPr/>
                  <w:rPr>
                    <w:rFonts w:ascii="Cambria Math" w:hAnsi="Cambria Math"/>
                  </w:rPr>
                  <m:t>+E</m:t>
                </m:r>
                <m:ctrlPr>
                  <w:rPr>
                    <w:rFonts w:ascii="Cambria Math" w:hAnsi="Cambria Math"/>
                    <w:i/>
                  </w:rPr>
                </m:ctrlPr>
              </m:e>
              <m:sub>
                <m:r>
                  <m:rPr/>
                  <w:rPr>
                    <w:rFonts w:ascii="Cambria Math" w:hAnsi="Cambria Math"/>
                  </w:rPr>
                  <m:t>矿石开采生产</m:t>
                </m:r>
                <w:bookmarkEnd w:id="88"/>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废金属回收生产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包装材料生产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其他辅料生产</m:t>
                </m:r>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6D9290CC">
      <w:pPr>
        <w:pStyle w:val="55"/>
        <w:ind w:firstLine="420"/>
        <w:rPr>
          <w:rFonts w:ascii="Times New Roman" w:hAnsi="Times New Roman"/>
        </w:rPr>
      </w:pPr>
      <w:r>
        <w:rPr>
          <w:rFonts w:ascii="Times New Roman" w:hAnsi="Times New Roman"/>
        </w:rPr>
        <w:t>式中：</w:t>
      </w:r>
    </w:p>
    <w:p w14:paraId="2AC9D979">
      <w:pPr>
        <w:pStyle w:val="56"/>
        <w:ind w:firstLine="420"/>
        <w:rPr>
          <w:rFonts w:ascii="Times New Roman"/>
        </w:rPr>
      </w:pPr>
      <w:r>
        <w:rPr>
          <w:rFonts w:ascii="Times New Roman"/>
        </w:rPr>
        <w:t>CFP</w:t>
      </w:r>
      <w:r>
        <w:rPr>
          <w:rFonts w:ascii="Times New Roman"/>
          <w:vertAlign w:val="subscript"/>
        </w:rPr>
        <w:t>原材料</w:t>
      </w:r>
      <w:r>
        <w:rPr>
          <w:rFonts w:ascii="Times New Roman"/>
        </w:rPr>
        <w:t>——原材料在获取加工阶段产生的对应单位不锈钢无缝钢管产品的温室气体排放量（kgCO</w:t>
      </w:r>
      <w:r>
        <w:rPr>
          <w:rFonts w:ascii="Times New Roman"/>
          <w:vertAlign w:val="subscript"/>
        </w:rPr>
        <w:t>2</w:t>
      </w:r>
      <w:r>
        <w:rPr>
          <w:rFonts w:ascii="Times New Roman"/>
        </w:rPr>
        <w:t>e/kg）；</w:t>
      </w:r>
    </w:p>
    <w:p w14:paraId="2D3AA82C">
      <w:pPr>
        <w:pStyle w:val="56"/>
        <w:ind w:firstLine="420"/>
        <w:rPr>
          <w:rFonts w:ascii="Times New Roman"/>
        </w:rPr>
      </w:pPr>
      <w:r>
        <w:rPr>
          <w:rFonts w:ascii="Times New Roman"/>
        </w:rPr>
        <w:t>E</w:t>
      </w:r>
      <w:r>
        <w:rPr>
          <w:rFonts w:ascii="Times New Roman"/>
          <w:vertAlign w:val="subscript"/>
        </w:rPr>
        <w:t>圆钢材料生产</w:t>
      </w:r>
      <w:r>
        <w:rPr>
          <w:rFonts w:ascii="Times New Roman"/>
        </w:rPr>
        <w:t>——圆钢材料生产阶段的温室气体排放量（kgCO</w:t>
      </w:r>
      <w:r>
        <w:rPr>
          <w:rFonts w:ascii="Times New Roman"/>
          <w:vertAlign w:val="subscript"/>
        </w:rPr>
        <w:t>2</w:t>
      </w:r>
      <w:r>
        <w:rPr>
          <w:rFonts w:ascii="Times New Roman"/>
        </w:rPr>
        <w:t>e）；</w:t>
      </w:r>
    </w:p>
    <w:p w14:paraId="3E5266A4">
      <w:pPr>
        <w:pStyle w:val="56"/>
        <w:ind w:firstLine="420"/>
        <w:rPr>
          <w:rFonts w:ascii="Times New Roman"/>
        </w:rPr>
      </w:pPr>
      <w:r>
        <w:rPr>
          <w:rFonts w:ascii="Times New Roman"/>
        </w:rPr>
        <w:t>E</w:t>
      </w:r>
      <w:r>
        <w:rPr>
          <w:rFonts w:ascii="Times New Roman"/>
          <w:vertAlign w:val="subscript"/>
        </w:rPr>
        <w:t>荒钢材料生产</w:t>
      </w:r>
      <w:r>
        <w:rPr>
          <w:rFonts w:ascii="Times New Roman"/>
        </w:rPr>
        <w:t>——荒钢材料生产阶段的温室气体排放量（kgCO</w:t>
      </w:r>
      <w:r>
        <w:rPr>
          <w:rFonts w:ascii="Times New Roman"/>
          <w:vertAlign w:val="subscript"/>
        </w:rPr>
        <w:t>2</w:t>
      </w:r>
      <w:r>
        <w:rPr>
          <w:rFonts w:ascii="Times New Roman"/>
        </w:rPr>
        <w:t>e）；</w:t>
      </w:r>
    </w:p>
    <w:p w14:paraId="1CA8B812">
      <w:pPr>
        <w:pStyle w:val="56"/>
        <w:ind w:firstLine="420"/>
        <w:rPr>
          <w:rFonts w:ascii="Times New Roman"/>
        </w:rPr>
      </w:pPr>
      <w:r>
        <w:rPr>
          <w:rFonts w:ascii="Times New Roman"/>
        </w:rPr>
        <w:t>E</w:t>
      </w:r>
      <w:r>
        <w:rPr>
          <w:rFonts w:ascii="Times New Roman"/>
          <w:vertAlign w:val="subscript"/>
        </w:rPr>
        <w:t>矿石开采生产</w:t>
      </w:r>
      <w:r>
        <w:rPr>
          <w:rFonts w:ascii="Times New Roman"/>
        </w:rPr>
        <w:t>——矿石开采生产产生的温室气体排放量（kgCO</w:t>
      </w:r>
      <w:r>
        <w:rPr>
          <w:rFonts w:ascii="Times New Roman"/>
          <w:vertAlign w:val="subscript"/>
        </w:rPr>
        <w:t>2</w:t>
      </w:r>
      <w:r>
        <w:rPr>
          <w:rFonts w:ascii="Times New Roman"/>
        </w:rPr>
        <w:t>e）；</w:t>
      </w:r>
    </w:p>
    <w:p w14:paraId="0FAA5E76">
      <w:pPr>
        <w:pStyle w:val="56"/>
        <w:ind w:firstLine="420"/>
        <w:rPr>
          <w:rFonts w:ascii="Times New Roman"/>
        </w:rPr>
      </w:pPr>
      <w:r>
        <w:rPr>
          <w:rFonts w:ascii="Times New Roman"/>
        </w:rPr>
        <w:t>E</w:t>
      </w:r>
      <w:r>
        <w:rPr>
          <w:rFonts w:ascii="Times New Roman"/>
          <w:vertAlign w:val="subscript"/>
        </w:rPr>
        <w:t>废金属回收生产</w:t>
      </w:r>
      <w:r>
        <w:rPr>
          <w:rFonts w:ascii="Times New Roman"/>
        </w:rPr>
        <w:t>——废金属回收生产阶段的温室气体排放量（kgCO</w:t>
      </w:r>
      <w:r>
        <w:rPr>
          <w:rFonts w:ascii="Times New Roman"/>
          <w:vertAlign w:val="subscript"/>
        </w:rPr>
        <w:t>2</w:t>
      </w:r>
      <w:r>
        <w:rPr>
          <w:rFonts w:ascii="Times New Roman"/>
        </w:rPr>
        <w:t>e）；</w:t>
      </w:r>
    </w:p>
    <w:p w14:paraId="0653397B">
      <w:pPr>
        <w:pStyle w:val="56"/>
        <w:ind w:firstLine="420"/>
        <w:rPr>
          <w:rFonts w:ascii="Times New Roman"/>
        </w:rPr>
      </w:pPr>
      <w:r>
        <w:rPr>
          <w:rFonts w:ascii="Times New Roman"/>
        </w:rPr>
        <w:t>E</w:t>
      </w:r>
      <w:r>
        <w:rPr>
          <w:rFonts w:ascii="Times New Roman"/>
          <w:vertAlign w:val="subscript"/>
        </w:rPr>
        <w:t>包装材料生产</w:t>
      </w:r>
      <w:r>
        <w:rPr>
          <w:rFonts w:ascii="Times New Roman"/>
        </w:rPr>
        <w:t>——包装材料生产阶段的温室气体排放量（kgCO</w:t>
      </w:r>
      <w:r>
        <w:rPr>
          <w:rFonts w:ascii="Times New Roman"/>
          <w:vertAlign w:val="subscript"/>
        </w:rPr>
        <w:t>2</w:t>
      </w:r>
      <w:r>
        <w:rPr>
          <w:rFonts w:ascii="Times New Roman"/>
        </w:rPr>
        <w:t>e）；</w:t>
      </w:r>
    </w:p>
    <w:p w14:paraId="41D0D2BD">
      <w:pPr>
        <w:pStyle w:val="56"/>
        <w:ind w:firstLine="420"/>
        <w:rPr>
          <w:rFonts w:ascii="Times New Roman"/>
        </w:rPr>
      </w:pPr>
      <w:r>
        <w:rPr>
          <w:rFonts w:ascii="Times New Roman"/>
        </w:rPr>
        <w:t>E</w:t>
      </w:r>
      <w:r>
        <w:rPr>
          <w:rFonts w:ascii="Times New Roman"/>
          <w:vertAlign w:val="subscript"/>
        </w:rPr>
        <w:t>其他辅料生产</w:t>
      </w:r>
      <w:r>
        <w:rPr>
          <w:rFonts w:ascii="Times New Roman"/>
        </w:rPr>
        <w:t>——其他辅料生产阶段的温室气体排放量（kgCO</w:t>
      </w:r>
      <w:r>
        <w:rPr>
          <w:rFonts w:ascii="Times New Roman"/>
          <w:vertAlign w:val="subscript"/>
        </w:rPr>
        <w:t>2</w:t>
      </w:r>
      <w:r>
        <w:rPr>
          <w:rFonts w:ascii="Times New Roman"/>
        </w:rPr>
        <w:t>e）；</w:t>
      </w:r>
    </w:p>
    <w:p w14:paraId="03317933">
      <w:pPr>
        <w:pStyle w:val="56"/>
        <w:ind w:firstLine="420"/>
        <w:rPr>
          <w:rFonts w:ascii="Times New Roman"/>
        </w:rPr>
      </w:pPr>
      <w:r>
        <w:rPr>
          <w:rFonts w:ascii="Times New Roman"/>
        </w:rPr>
        <w:t>Q ——不锈钢无缝钢管产品的产量（kg）。</w:t>
      </w:r>
    </w:p>
    <w:p w14:paraId="1C035985">
      <w:pPr>
        <w:pStyle w:val="165"/>
        <w:rPr>
          <w:rFonts w:ascii="Times New Roman"/>
        </w:rPr>
      </w:pPr>
      <w:r>
        <w:rPr>
          <w:rFonts w:ascii="Times New Roman"/>
        </w:rPr>
        <w:t>每个单元过程的碳足迹核算涉及化石燃料燃烧直接排放、输入电力和热力的间接排放和过程排放，计算见公式（3）：</w:t>
      </w:r>
    </w:p>
    <w:p w14:paraId="478DFB71">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w:bookmarkStart w:id="89" w:name="_Hlk166854164"/>
            <m:r>
              <m:rPr/>
              <w:rPr>
                <w:rFonts w:ascii="Cambria Math" w:hAnsi="Cambria Math"/>
              </w:rPr>
              <m:t>E</m:t>
            </m:r>
            <m:ctrlPr>
              <w:rPr>
                <w:rFonts w:ascii="Cambria Math" w:hAnsi="Cambria Math"/>
                <w:i/>
              </w:rPr>
            </m:ctrlPr>
          </m:e>
          <m:sub>
            <m:r>
              <m:rPr/>
              <w:rPr>
                <w:rFonts w:ascii="Cambria Math" w:hAnsi="Cambria Math"/>
              </w:rPr>
              <m:t>直接燃烧,i</m:t>
            </m:r>
            <w:bookmarkEnd w:id="89"/>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输入能源,i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过程,i</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 xml:space="preserve">)    </w:t>
      </w:r>
    </w:p>
    <w:p w14:paraId="2CF3EA67">
      <w:pPr>
        <w:pStyle w:val="55"/>
        <w:ind w:firstLine="420"/>
        <w:rPr>
          <w:rFonts w:ascii="Times New Roman" w:hAnsi="Times New Roman"/>
        </w:rPr>
      </w:pPr>
      <w:r>
        <w:rPr>
          <w:rFonts w:ascii="Times New Roman" w:hAnsi="Times New Roman"/>
        </w:rPr>
        <w:t>式中：</w:t>
      </w:r>
    </w:p>
    <w:p w14:paraId="24744EC8">
      <w:pPr>
        <w:pStyle w:val="56"/>
        <w:ind w:firstLine="420"/>
        <w:rPr>
          <w:rFonts w:ascii="Times New Roman"/>
        </w:rPr>
      </w:pPr>
      <w:r>
        <w:rPr>
          <w:rFonts w:ascii="Times New Roman"/>
        </w:rPr>
        <w:t>E</w:t>
      </w:r>
      <w:r>
        <w:rPr>
          <w:rFonts w:ascii="Times New Roman"/>
          <w:vertAlign w:val="subscript"/>
        </w:rPr>
        <w:t>i</w:t>
      </w:r>
      <w:r>
        <w:rPr>
          <w:rFonts w:ascii="Times New Roman"/>
        </w:rPr>
        <w:t>——单元过程i中总温室气体排放量（kgCO</w:t>
      </w:r>
      <w:r>
        <w:rPr>
          <w:rFonts w:ascii="Times New Roman"/>
          <w:vertAlign w:val="subscript"/>
        </w:rPr>
        <w:t>2</w:t>
      </w:r>
      <w:r>
        <w:rPr>
          <w:rFonts w:ascii="Times New Roman"/>
        </w:rPr>
        <w:t xml:space="preserve">e）； </w:t>
      </w:r>
    </w:p>
    <w:p w14:paraId="1CFF0E93">
      <w:pPr>
        <w:pStyle w:val="56"/>
        <w:ind w:firstLine="420"/>
        <w:rPr>
          <w:rFonts w:ascii="Times New Roman"/>
        </w:rPr>
      </w:pPr>
      <w:r>
        <w:rPr>
          <w:rFonts w:ascii="Times New Roman"/>
        </w:rPr>
        <w:t>E</w:t>
      </w:r>
      <w:r>
        <w:rPr>
          <w:rFonts w:ascii="Times New Roman"/>
          <w:vertAlign w:val="subscript"/>
        </w:rPr>
        <w:t>直接燃烧，i</w:t>
      </w:r>
      <w:r>
        <w:rPr>
          <w:rFonts w:ascii="Times New Roman"/>
        </w:rPr>
        <w:t>——单元过程i中化石燃料燃烧直接产生的温室气体排放量（kgCO</w:t>
      </w:r>
      <w:r>
        <w:rPr>
          <w:rFonts w:ascii="Times New Roman"/>
          <w:vertAlign w:val="subscript"/>
        </w:rPr>
        <w:t>2</w:t>
      </w:r>
      <w:r>
        <w:rPr>
          <w:rFonts w:ascii="Times New Roman"/>
        </w:rPr>
        <w:t>e）；</w:t>
      </w:r>
    </w:p>
    <w:p w14:paraId="7FDECE8D">
      <w:pPr>
        <w:pStyle w:val="56"/>
        <w:ind w:firstLine="420"/>
        <w:rPr>
          <w:rFonts w:ascii="Times New Roman"/>
        </w:rPr>
      </w:pPr>
      <w:r>
        <w:rPr>
          <w:rFonts w:ascii="Times New Roman"/>
        </w:rPr>
        <w:t>E</w:t>
      </w:r>
      <w:r>
        <w:rPr>
          <w:rFonts w:ascii="Times New Roman"/>
          <w:vertAlign w:val="subscript"/>
        </w:rPr>
        <w:t>输入能源，i</w:t>
      </w:r>
      <w:r>
        <w:rPr>
          <w:rFonts w:ascii="Times New Roman"/>
        </w:rPr>
        <w:t>——单元过程i中输入电力和热力间接产生的温室气体排放量（kgCO</w:t>
      </w:r>
      <w:r>
        <w:rPr>
          <w:rFonts w:ascii="Times New Roman"/>
          <w:vertAlign w:val="subscript"/>
        </w:rPr>
        <w:t>2</w:t>
      </w:r>
      <w:r>
        <w:rPr>
          <w:rFonts w:ascii="Times New Roman"/>
        </w:rPr>
        <w:t>e）；</w:t>
      </w:r>
    </w:p>
    <w:p w14:paraId="21A6FD6C">
      <w:pPr>
        <w:pStyle w:val="56"/>
        <w:ind w:firstLine="420"/>
        <w:rPr>
          <w:rFonts w:ascii="Times New Roman"/>
        </w:rPr>
      </w:pPr>
      <w:r>
        <w:rPr>
          <w:rFonts w:ascii="Times New Roman"/>
        </w:rPr>
        <w:t>E</w:t>
      </w:r>
      <w:r>
        <w:rPr>
          <w:rFonts w:ascii="Times New Roman"/>
          <w:vertAlign w:val="subscript"/>
        </w:rPr>
        <w:t>过程，i</w:t>
      </w:r>
      <w:r>
        <w:rPr>
          <w:rFonts w:ascii="Times New Roman"/>
        </w:rPr>
        <w:t>——单元过程i中产生的工艺过程排放，如废气处理过程中石灰石反应产生的二氧化碳排放、废水厌氧处理过程中的甲烷排放等（kgCO</w:t>
      </w:r>
      <w:r>
        <w:rPr>
          <w:rFonts w:ascii="Times New Roman"/>
          <w:vertAlign w:val="subscript"/>
        </w:rPr>
        <w:t>2</w:t>
      </w:r>
      <w:r>
        <w:rPr>
          <w:rFonts w:ascii="Times New Roman"/>
        </w:rPr>
        <w:t>e）；</w:t>
      </w:r>
    </w:p>
    <w:p w14:paraId="1E54D800">
      <w:pPr>
        <w:pStyle w:val="56"/>
        <w:ind w:firstLine="420"/>
        <w:rPr>
          <w:rFonts w:ascii="Times New Roman"/>
        </w:rPr>
      </w:pPr>
      <w:r>
        <w:rPr>
          <w:rFonts w:ascii="Times New Roman"/>
        </w:rPr>
        <w:t>i——单元过程。</w:t>
      </w:r>
    </w:p>
    <w:p w14:paraId="37EF4195">
      <w:pPr>
        <w:pStyle w:val="165"/>
        <w:rPr>
          <w:rFonts w:ascii="Times New Roman"/>
        </w:rPr>
      </w:pPr>
      <w:r>
        <w:rPr>
          <w:rFonts w:ascii="Times New Roman"/>
        </w:rPr>
        <w:t>每个单元过程燃料燃烧排放、输入能源间接排放和过程排放的碳足迹核算方法见公式（4）：</w:t>
      </w:r>
    </w:p>
    <w:p w14:paraId="70B3B2D7">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i,j</m:t>
            </m:r>
            <m:ctrlPr>
              <w:rPr>
                <w:rFonts w:ascii="Cambria Math" w:hAnsi="Cambria Math"/>
                <w:i/>
              </w:rPr>
            </m:ctrlPr>
          </m:sub>
        </m:sSub>
        <m:r>
          <m:rPr/>
          <w:rPr>
            <w:rFonts w:ascii="Cambria Math" w:hAnsi="Cambria Math"/>
          </w:rPr>
          <m:t>=</m:t>
        </m:r>
        <m:nary>
          <m:naryPr>
            <m:chr m:val="∑"/>
            <m:limLoc m:val="subSup"/>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3</m:t>
            </m:r>
            <m:ctrlPr>
              <w:rPr>
                <w:rFonts w:ascii="Cambria Math" w:hAnsi="Cambria Math"/>
                <w:i/>
              </w:rPr>
            </m:ctrlPr>
          </m:sup>
          <m:e>
            <m:nary>
              <m:naryPr>
                <m:chr m:val="∑"/>
                <m:limLoc m:val="undOvr"/>
                <m:ctrlPr>
                  <w:rPr>
                    <w:rFonts w:ascii="Cambria Math" w:hAnsi="Cambria Math"/>
                    <w:i/>
                  </w:rPr>
                </m:ctrlPr>
              </m:naryPr>
              <m:sub>
                <m:r>
                  <m:rPr/>
                  <w:rPr>
                    <w:rFonts w:ascii="Cambria Math" w:hAnsi="Cambria Math"/>
                  </w:rPr>
                  <m:t>p=1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w:bookmarkStart w:id="90" w:name="_Hlk166854503"/>
                    <m:r>
                      <m:rPr/>
                      <w:rPr>
                        <w:rFonts w:ascii="Cambria Math" w:hAnsi="Cambria Math"/>
                      </w:rPr>
                      <m:t>AD</m:t>
                    </m:r>
                    <m:ctrlPr>
                      <w:rPr>
                        <w:rFonts w:ascii="Cambria Math" w:hAnsi="Cambria Math"/>
                        <w:i/>
                      </w:rPr>
                    </m:ctrlPr>
                  </m:e>
                  <m:sub>
                    <m:r>
                      <m:rPr/>
                      <w:rPr>
                        <w:rFonts w:ascii="Cambria Math" w:hAnsi="Cambria Math"/>
                      </w:rPr>
                      <m:t>i,j,p</m:t>
                    </m:r>
                    <w:bookmarkEnd w:id="90"/>
                    <m:ctrlPr>
                      <w:rPr>
                        <w:rFonts w:ascii="Cambria Math" w:hAnsi="Cambria Math"/>
                        <w:i/>
                      </w:rPr>
                    </m:ctrlPr>
                  </m:sub>
                </m:sSub>
                <m:ctrlPr>
                  <w:rPr>
                    <w:rFonts w:ascii="Cambria Math" w:hAnsi="Cambria Math"/>
                    <w:i/>
                  </w:rPr>
                </m:ctrlPr>
              </m:e>
            </m:nary>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i,j,p</m:t>
            </m:r>
            <m:ctrlPr>
              <w:rPr>
                <w:rFonts w:ascii="Cambria Math" w:hAnsi="Cambria Math"/>
                <w:i/>
              </w:rPr>
            </m:ctrlPr>
          </m:sub>
        </m:sSub>
        <m:sSub>
          <m:sSubPr>
            <m:ctrlPr>
              <w:rPr>
                <w:rFonts w:ascii="Cambria Math" w:hAnsi="Cambria Math"/>
                <w:i/>
              </w:rPr>
            </m:ctrlPr>
          </m:sSubPr>
          <m:e>
            <m:r>
              <m:rPr/>
              <w:rPr>
                <w:rFonts w:ascii="Cambria Math" w:hAnsi="Cambria Math"/>
              </w:rPr>
              <m:t>×GWP</m:t>
            </m:r>
            <m:ctrlPr>
              <w:rPr>
                <w:rFonts w:ascii="Cambria Math" w:hAnsi="Cambria Math"/>
                <w:i/>
              </w:rPr>
            </m:ctrlPr>
          </m:e>
          <m:sub>
            <m:r>
              <m:rPr/>
              <w:rPr>
                <w:rFonts w:ascii="Cambria Math" w:hAnsi="Cambria Math"/>
              </w:rPr>
              <m:t>p</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8E0C769">
      <w:pPr>
        <w:pStyle w:val="55"/>
        <w:ind w:firstLine="420"/>
        <w:rPr>
          <w:rFonts w:ascii="Times New Roman" w:hAnsi="Times New Roman"/>
        </w:rPr>
      </w:pPr>
      <w:r>
        <w:rPr>
          <w:rFonts w:ascii="Times New Roman" w:hAnsi="Times New Roman"/>
        </w:rPr>
        <w:t>式中：</w:t>
      </w:r>
    </w:p>
    <w:p w14:paraId="224ED0CD">
      <w:pPr>
        <w:pStyle w:val="56"/>
        <w:ind w:firstLine="420"/>
        <w:rPr>
          <w:rFonts w:ascii="Times New Roman"/>
        </w:rPr>
      </w:pPr>
      <w:r>
        <w:rPr>
          <w:rFonts w:ascii="Times New Roman"/>
        </w:rPr>
        <w:t>E</w:t>
      </w:r>
      <w:r>
        <w:rPr>
          <w:rFonts w:ascii="Times New Roman"/>
          <w:vertAlign w:val="subscript"/>
        </w:rPr>
        <w:t>i,j</w:t>
      </w:r>
      <w:r>
        <w:rPr>
          <w:rFonts w:ascii="Times New Roman"/>
        </w:rPr>
        <w:t>——单元过程i中，j类排放源的温室气体排放量（kgCO</w:t>
      </w:r>
      <w:r>
        <w:rPr>
          <w:rFonts w:ascii="Times New Roman"/>
          <w:vertAlign w:val="subscript"/>
        </w:rPr>
        <w:t>2</w:t>
      </w:r>
      <w:r>
        <w:rPr>
          <w:rFonts w:ascii="Times New Roman"/>
        </w:rPr>
        <w:t>e）；</w:t>
      </w:r>
    </w:p>
    <w:p w14:paraId="44AD1127">
      <w:pPr>
        <w:pStyle w:val="56"/>
        <w:ind w:firstLine="420"/>
        <w:rPr>
          <w:rFonts w:ascii="Times New Roman"/>
        </w:rPr>
      </w:pPr>
      <w:r>
        <w:rPr>
          <w:rFonts w:ascii="Times New Roman"/>
        </w:rPr>
        <w:t>j——代表化石燃料燃烧、输入能源和生产过程三种的排放源；</w:t>
      </w:r>
    </w:p>
    <w:p w14:paraId="3E77E65A">
      <w:pPr>
        <w:pStyle w:val="56"/>
        <w:ind w:firstLine="420"/>
        <w:rPr>
          <w:rFonts w:ascii="Times New Roman"/>
        </w:rPr>
      </w:pPr>
      <w:r>
        <w:rPr>
          <w:rFonts w:ascii="Times New Roman"/>
        </w:rPr>
        <w:t xml:space="preserve">p——代表温室气体的种类； </w:t>
      </w:r>
    </w:p>
    <w:p w14:paraId="18CCD4BA">
      <w:pPr>
        <w:pStyle w:val="56"/>
        <w:ind w:firstLine="420"/>
        <w:rPr>
          <w:rFonts w:ascii="Times New Roman"/>
        </w:rPr>
      </w:pPr>
      <w:r>
        <w:rPr>
          <w:rFonts w:ascii="Times New Roman"/>
        </w:rPr>
        <w:t>AD</w:t>
      </w:r>
      <w:r>
        <w:rPr>
          <w:rFonts w:ascii="Times New Roman"/>
          <w:vertAlign w:val="subscript"/>
        </w:rPr>
        <w:t>i,j,p</w:t>
      </w:r>
      <w:r>
        <w:rPr>
          <w:rFonts w:ascii="Times New Roman"/>
        </w:rPr>
        <w:t>——单元过程i中，j类排放源种温室气体的活动水平数据；</w:t>
      </w:r>
    </w:p>
    <w:p w14:paraId="0509A8BC">
      <w:pPr>
        <w:pStyle w:val="56"/>
        <w:ind w:firstLine="420"/>
        <w:rPr>
          <w:rFonts w:ascii="Times New Roman"/>
          <w:vertAlign w:val="subscript"/>
        </w:rPr>
      </w:pPr>
      <w:r>
        <w:rPr>
          <w:rFonts w:ascii="Times New Roman"/>
        </w:rPr>
        <w:t>EF</w:t>
      </w:r>
      <w:r>
        <w:rPr>
          <w:rFonts w:ascii="Times New Roman"/>
          <w:vertAlign w:val="subscript"/>
        </w:rPr>
        <w:t>i,j,P</w:t>
      </w:r>
      <w:r>
        <w:rPr>
          <w:rFonts w:ascii="Times New Roman"/>
        </w:rPr>
        <w:t>——单元过程i中，j类排放源种温室气体的排放因子，其中使用的电力排放因子应为电力生命周期碳足迹因子；</w:t>
      </w:r>
    </w:p>
    <w:p w14:paraId="5E9ADA82">
      <w:pPr>
        <w:pStyle w:val="56"/>
        <w:ind w:firstLine="420"/>
        <w:rPr>
          <w:rFonts w:ascii="Times New Roman"/>
        </w:rPr>
      </w:pPr>
      <w:r>
        <w:rPr>
          <w:rFonts w:ascii="Times New Roman"/>
        </w:rPr>
        <w:t>GWPp——第p种温室气体活动对应的全球变暖潜势值，需使用IPCC最新发布的气候评估报告（Assessment Report，AR）中的GWP值。</w:t>
      </w:r>
    </w:p>
    <w:bookmarkEnd w:id="73"/>
    <w:p w14:paraId="75BD9F7D">
      <w:pPr>
        <w:pStyle w:val="104"/>
        <w:spacing w:before="240" w:after="240"/>
        <w:rPr>
          <w:rFonts w:ascii="Times New Roman"/>
        </w:rPr>
      </w:pPr>
      <w:bookmarkStart w:id="91" w:name="_Toc167375535"/>
      <w:bookmarkStart w:id="92" w:name="_Toc177981132"/>
      <w:bookmarkStart w:id="93" w:name="_Toc166588520"/>
      <w:bookmarkStart w:id="94" w:name="_Toc166860771"/>
      <w:bookmarkStart w:id="95" w:name="_Toc175838004"/>
      <w:bookmarkStart w:id="96" w:name="_Toc170748230"/>
      <w:bookmarkStart w:id="97" w:name="_Toc166588530"/>
      <w:r>
        <w:rPr>
          <w:rFonts w:ascii="Times New Roman"/>
        </w:rPr>
        <w:t>评价报告</w:t>
      </w:r>
      <w:bookmarkEnd w:id="91"/>
      <w:bookmarkEnd w:id="92"/>
      <w:bookmarkEnd w:id="93"/>
      <w:bookmarkEnd w:id="94"/>
      <w:bookmarkEnd w:id="95"/>
      <w:bookmarkEnd w:id="96"/>
      <w:bookmarkEnd w:id="97"/>
    </w:p>
    <w:p w14:paraId="069C7EB1">
      <w:pPr>
        <w:pStyle w:val="56"/>
        <w:ind w:firstLine="420"/>
        <w:rPr>
          <w:rFonts w:ascii="Times New Roman"/>
        </w:rPr>
      </w:pPr>
      <w:r>
        <w:rPr>
          <w:rFonts w:ascii="Times New Roman"/>
        </w:rPr>
        <w:t>评价报告应包括但不限于以下内容：</w:t>
      </w:r>
    </w:p>
    <w:p w14:paraId="3CB4FE94">
      <w:pPr>
        <w:pStyle w:val="132"/>
        <w:rPr>
          <w:rFonts w:ascii="Times New Roman"/>
        </w:rPr>
      </w:pPr>
      <w:r>
        <w:rPr>
          <w:rFonts w:ascii="Times New Roman"/>
        </w:rPr>
        <w:t>基本情况：</w:t>
      </w:r>
    </w:p>
    <w:p w14:paraId="0697490A">
      <w:pPr>
        <w:pStyle w:val="187"/>
        <w:rPr>
          <w:rFonts w:ascii="Times New Roman"/>
        </w:rPr>
      </w:pPr>
      <w:r>
        <w:rPr>
          <w:rFonts w:ascii="Times New Roman"/>
        </w:rPr>
        <w:t>产品名称；</w:t>
      </w:r>
    </w:p>
    <w:p w14:paraId="74D9ACDE">
      <w:pPr>
        <w:pStyle w:val="187"/>
        <w:rPr>
          <w:rFonts w:ascii="Times New Roman"/>
        </w:rPr>
      </w:pPr>
      <w:r>
        <w:rPr>
          <w:rFonts w:ascii="Times New Roman"/>
        </w:rPr>
        <w:t>产品介绍；</w:t>
      </w:r>
    </w:p>
    <w:p w14:paraId="5DC9AF3E">
      <w:pPr>
        <w:pStyle w:val="187"/>
        <w:rPr>
          <w:rFonts w:ascii="Times New Roman"/>
        </w:rPr>
      </w:pPr>
      <w:r>
        <w:rPr>
          <w:rFonts w:ascii="Times New Roman"/>
        </w:rPr>
        <w:t>功能单位。</w:t>
      </w:r>
    </w:p>
    <w:p w14:paraId="1D54BB43">
      <w:pPr>
        <w:pStyle w:val="132"/>
        <w:rPr>
          <w:rFonts w:ascii="Times New Roman"/>
        </w:rPr>
      </w:pPr>
      <w:r>
        <w:rPr>
          <w:rFonts w:ascii="Times New Roman"/>
        </w:rPr>
        <w:t>系统边界：</w:t>
      </w:r>
    </w:p>
    <w:p w14:paraId="56A0B5BB">
      <w:pPr>
        <w:pStyle w:val="187"/>
        <w:rPr>
          <w:rFonts w:ascii="Times New Roman"/>
        </w:rPr>
      </w:pPr>
      <w:r>
        <w:rPr>
          <w:rFonts w:ascii="Times New Roman"/>
        </w:rPr>
        <w:t>阶段定义；</w:t>
      </w:r>
    </w:p>
    <w:p w14:paraId="6E68B035">
      <w:pPr>
        <w:pStyle w:val="187"/>
        <w:rPr>
          <w:rFonts w:ascii="Times New Roman"/>
        </w:rPr>
      </w:pPr>
      <w:r>
        <w:rPr>
          <w:rFonts w:ascii="Times New Roman"/>
        </w:rPr>
        <w:t>时间周期；</w:t>
      </w:r>
    </w:p>
    <w:p w14:paraId="413CC2F6">
      <w:pPr>
        <w:pStyle w:val="187"/>
        <w:rPr>
          <w:rFonts w:ascii="Times New Roman"/>
        </w:rPr>
      </w:pPr>
      <w:r>
        <w:rPr>
          <w:rFonts w:ascii="Times New Roman"/>
        </w:rPr>
        <w:t>地理范围；</w:t>
      </w:r>
    </w:p>
    <w:p w14:paraId="53102BCF">
      <w:pPr>
        <w:pStyle w:val="187"/>
        <w:rPr>
          <w:rFonts w:ascii="Times New Roman"/>
        </w:rPr>
      </w:pPr>
      <w:r>
        <w:rPr>
          <w:rFonts w:ascii="Times New Roman"/>
        </w:rPr>
        <w:t>排放源类型；</w:t>
      </w:r>
    </w:p>
    <w:p w14:paraId="2E6D993D">
      <w:pPr>
        <w:pStyle w:val="187"/>
        <w:rPr>
          <w:rFonts w:ascii="Times New Roman"/>
        </w:rPr>
      </w:pPr>
      <w:r>
        <w:rPr>
          <w:rFonts w:ascii="Times New Roman"/>
        </w:rPr>
        <w:t>排放源排除。</w:t>
      </w:r>
    </w:p>
    <w:p w14:paraId="3D9C885C">
      <w:pPr>
        <w:pStyle w:val="132"/>
        <w:rPr>
          <w:rFonts w:ascii="Times New Roman"/>
        </w:rPr>
      </w:pPr>
      <w:r>
        <w:rPr>
          <w:rFonts w:ascii="Times New Roman"/>
        </w:rPr>
        <w:t>计算方法公式：</w:t>
      </w:r>
    </w:p>
    <w:p w14:paraId="39280B09">
      <w:pPr>
        <w:pStyle w:val="187"/>
        <w:rPr>
          <w:rFonts w:ascii="Times New Roman"/>
        </w:rPr>
      </w:pPr>
      <w:r>
        <w:rPr>
          <w:rFonts w:ascii="Times New Roman"/>
        </w:rPr>
        <w:t>化石燃料燃烧；</w:t>
      </w:r>
    </w:p>
    <w:p w14:paraId="503C3B66">
      <w:pPr>
        <w:pStyle w:val="187"/>
        <w:rPr>
          <w:rFonts w:ascii="Times New Roman"/>
        </w:rPr>
      </w:pPr>
      <w:r>
        <w:rPr>
          <w:rFonts w:ascii="Times New Roman"/>
        </w:rPr>
        <w:t>电力得排放计。</w:t>
      </w:r>
    </w:p>
    <w:p w14:paraId="31BF9DCF">
      <w:pPr>
        <w:pStyle w:val="132"/>
        <w:rPr>
          <w:rFonts w:ascii="Times New Roman"/>
        </w:rPr>
      </w:pPr>
      <w:r>
        <w:rPr>
          <w:rFonts w:ascii="Times New Roman"/>
        </w:rPr>
        <w:t>产品碳足迹核算：</w:t>
      </w:r>
    </w:p>
    <w:p w14:paraId="1F15DB4E">
      <w:pPr>
        <w:pStyle w:val="187"/>
        <w:rPr>
          <w:rFonts w:ascii="Times New Roman"/>
        </w:rPr>
      </w:pPr>
      <w:r>
        <w:rPr>
          <w:rFonts w:ascii="Times New Roman"/>
        </w:rPr>
        <w:t>各阶段排放源计算程序；</w:t>
      </w:r>
    </w:p>
    <w:p w14:paraId="248AEF4B">
      <w:pPr>
        <w:pStyle w:val="187"/>
        <w:rPr>
          <w:rFonts w:ascii="Times New Roman"/>
        </w:rPr>
      </w:pPr>
      <w:r>
        <w:rPr>
          <w:rFonts w:ascii="Times New Roman"/>
        </w:rPr>
        <w:t>活动数据收集及排放系数来源说明；</w:t>
      </w:r>
    </w:p>
    <w:p w14:paraId="010ACD51">
      <w:pPr>
        <w:pStyle w:val="187"/>
        <w:rPr>
          <w:rFonts w:ascii="Times New Roman"/>
        </w:rPr>
      </w:pPr>
      <w:r>
        <w:rPr>
          <w:rFonts w:ascii="Times New Roman"/>
        </w:rPr>
        <w:t>产品生命周期碳足迹结果及说明。</w:t>
      </w:r>
    </w:p>
    <w:p w14:paraId="16735154">
      <w:pPr>
        <w:pStyle w:val="132"/>
        <w:rPr>
          <w:rFonts w:ascii="Times New Roman"/>
        </w:rPr>
      </w:pPr>
      <w:r>
        <w:rPr>
          <w:rFonts w:ascii="Times New Roman"/>
        </w:rPr>
        <w:t>报告管理和保存：</w:t>
      </w:r>
    </w:p>
    <w:p w14:paraId="6103C022">
      <w:pPr>
        <w:pStyle w:val="187"/>
        <w:rPr>
          <w:rFonts w:ascii="Times New Roman"/>
        </w:rPr>
      </w:pPr>
      <w:r>
        <w:rPr>
          <w:rFonts w:ascii="Times New Roman"/>
        </w:rPr>
        <w:t>使用；</w:t>
      </w:r>
    </w:p>
    <w:p w14:paraId="67EEBBAB">
      <w:pPr>
        <w:pStyle w:val="187"/>
        <w:rPr>
          <w:rFonts w:ascii="Times New Roman"/>
        </w:rPr>
      </w:pPr>
      <w:r>
        <w:rPr>
          <w:rFonts w:ascii="Times New Roman"/>
        </w:rPr>
        <w:t>管理保存方法；</w:t>
      </w:r>
    </w:p>
    <w:p w14:paraId="4CA27313">
      <w:pPr>
        <w:pStyle w:val="187"/>
        <w:rPr>
          <w:rFonts w:ascii="Times New Roman"/>
        </w:rPr>
      </w:pPr>
      <w:r>
        <w:rPr>
          <w:rFonts w:ascii="Times New Roman"/>
        </w:rPr>
        <w:t>有效期；</w:t>
      </w:r>
    </w:p>
    <w:p w14:paraId="0F258595">
      <w:pPr>
        <w:pStyle w:val="187"/>
        <w:rPr>
          <w:rFonts w:ascii="Times New Roman"/>
        </w:rPr>
      </w:pPr>
      <w:r>
        <w:rPr>
          <w:rFonts w:ascii="Times New Roman"/>
        </w:rPr>
        <w:t>保密性。</w:t>
      </w:r>
    </w:p>
    <w:p w14:paraId="2D826B43">
      <w:pPr>
        <w:pStyle w:val="132"/>
        <w:rPr>
          <w:rFonts w:ascii="Times New Roman"/>
        </w:rPr>
      </w:pPr>
      <w:r>
        <w:rPr>
          <w:rFonts w:ascii="Times New Roman"/>
        </w:rPr>
        <w:t>参考文献；</w:t>
      </w:r>
    </w:p>
    <w:p w14:paraId="7F59C3C6">
      <w:pPr>
        <w:pStyle w:val="132"/>
        <w:rPr>
          <w:rFonts w:ascii="Times New Roman"/>
        </w:rPr>
      </w:pPr>
      <w:r>
        <w:rPr>
          <w:rFonts w:ascii="Times New Roman"/>
        </w:rPr>
        <w:t>支持性文献。</w:t>
      </w:r>
    </w:p>
    <w:p w14:paraId="31B88C59">
      <w:pPr>
        <w:pStyle w:val="132"/>
        <w:numPr>
          <w:ilvl w:val="0"/>
          <w:numId w:val="0"/>
        </w:numPr>
        <w:ind w:left="851" w:hanging="426"/>
        <w:rPr>
          <w:rFonts w:ascii="Times New Roman"/>
        </w:rPr>
      </w:pPr>
    </w:p>
    <w:p w14:paraId="0FED1145">
      <w:pPr>
        <w:pStyle w:val="56"/>
        <w:ind w:firstLine="420"/>
        <w:rPr>
          <w:rFonts w:ascii="Times New Roman"/>
        </w:rPr>
      </w:pPr>
    </w:p>
    <w:p w14:paraId="14BC3CDD">
      <w:pPr>
        <w:pStyle w:val="56"/>
        <w:ind w:firstLine="420"/>
        <w:rPr>
          <w:rFonts w:ascii="Times New Roman"/>
        </w:rPr>
      </w:pPr>
    </w:p>
    <w:p w14:paraId="1477B7FD">
      <w:pPr>
        <w:pStyle w:val="56"/>
        <w:ind w:firstLine="420"/>
        <w:rPr>
          <w:rFonts w:ascii="Times New Roman"/>
        </w:rPr>
      </w:pPr>
    </w:p>
    <w:p w14:paraId="4FDA263F">
      <w:pPr>
        <w:pStyle w:val="56"/>
        <w:ind w:firstLine="420"/>
        <w:rPr>
          <w:rFonts w:ascii="Times New Roman"/>
        </w:rPr>
      </w:pPr>
    </w:p>
    <w:p w14:paraId="7EFA27B5">
      <w:pPr>
        <w:pStyle w:val="56"/>
        <w:ind w:firstLine="420"/>
        <w:rPr>
          <w:rFonts w:ascii="Times New Roman"/>
        </w:rPr>
        <w:sectPr>
          <w:pgSz w:w="11906" w:h="16838"/>
          <w:pgMar w:top="1928" w:right="1134" w:bottom="1134" w:left="1134" w:header="1418" w:footer="1134" w:gutter="284"/>
          <w:pgNumType w:start="1"/>
          <w:cols w:space="425" w:num="1"/>
          <w:formProt w:val="0"/>
          <w:docGrid w:linePitch="312" w:charSpace="0"/>
        </w:sectPr>
      </w:pPr>
    </w:p>
    <w:bookmarkEnd w:id="27"/>
    <w:p w14:paraId="5DD24F60">
      <w:pPr>
        <w:pStyle w:val="198"/>
        <w:rPr>
          <w:rFonts w:ascii="Times New Roman" w:hAnsi="Times New Roman"/>
          <w:vanish w:val="0"/>
        </w:rPr>
      </w:pPr>
      <w:bookmarkStart w:id="98" w:name="BookMark5"/>
    </w:p>
    <w:p w14:paraId="683C0331">
      <w:pPr>
        <w:pStyle w:val="199"/>
        <w:rPr>
          <w:rFonts w:ascii="Times New Roman"/>
          <w:vanish w:val="0"/>
        </w:rPr>
      </w:pPr>
    </w:p>
    <w:p w14:paraId="61536F87">
      <w:pPr>
        <w:pStyle w:val="76"/>
        <w:spacing w:after="120"/>
        <w:rPr>
          <w:rFonts w:ascii="Times New Roman"/>
        </w:rPr>
      </w:pPr>
      <w:r>
        <w:rPr>
          <w:rFonts w:ascii="Times New Roman"/>
        </w:rPr>
        <w:br w:type="textWrapping"/>
      </w:r>
      <w:bookmarkStart w:id="99" w:name="_Toc177981133"/>
      <w:bookmarkStart w:id="100" w:name="_Toc166860772"/>
      <w:bookmarkStart w:id="101" w:name="_Toc170748231"/>
      <w:bookmarkStart w:id="102" w:name="_Toc175838005"/>
      <w:bookmarkStart w:id="103" w:name="_Toc167375536"/>
      <w:r>
        <w:rPr>
          <w:rFonts w:ascii="Times New Roman"/>
        </w:rPr>
        <w:t>（资料性）</w:t>
      </w:r>
      <w:r>
        <w:rPr>
          <w:rFonts w:ascii="Times New Roman"/>
        </w:rPr>
        <w:br w:type="textWrapping"/>
      </w:r>
      <w:r>
        <w:rPr>
          <w:rFonts w:ascii="Times New Roman"/>
        </w:rPr>
        <w:t>产品碳足迹评价报告</w:t>
      </w:r>
      <w:bookmarkEnd w:id="99"/>
      <w:bookmarkEnd w:id="100"/>
      <w:bookmarkEnd w:id="101"/>
      <w:bookmarkEnd w:id="102"/>
      <w:bookmarkEnd w:id="103"/>
    </w:p>
    <w:p w14:paraId="58EA6A21">
      <w:pPr>
        <w:pStyle w:val="56"/>
        <w:ind w:firstLine="420"/>
        <w:rPr>
          <w:rFonts w:ascii="Times New Roman"/>
        </w:rPr>
      </w:pPr>
      <w:r>
        <w:rPr>
          <w:rFonts w:ascii="Times New Roman"/>
        </w:rPr>
        <w:t>产品碳足迹评价报告见表A.1。</w:t>
      </w:r>
    </w:p>
    <w:p w14:paraId="33F656E5">
      <w:pPr>
        <w:pStyle w:val="77"/>
        <w:spacing w:before="120" w:after="120"/>
        <w:rPr>
          <w:rFonts w:ascii="Times New Roman"/>
        </w:rPr>
      </w:pPr>
      <w:r>
        <w:rPr>
          <w:rFonts w:ascii="Times New Roman"/>
        </w:rPr>
        <w:t>产品碳足迹评价报告</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49"/>
        <w:gridCol w:w="1349"/>
        <w:gridCol w:w="1321"/>
        <w:gridCol w:w="1348"/>
        <w:gridCol w:w="1322"/>
        <w:gridCol w:w="1322"/>
        <w:gridCol w:w="1323"/>
      </w:tblGrid>
      <w:tr w14:paraId="4E213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8" w:space="0"/>
              <w:bottom w:val="single" w:color="auto" w:sz="8" w:space="0"/>
            </w:tcBorders>
          </w:tcPr>
          <w:p w14:paraId="0C70600B">
            <w:pPr>
              <w:pStyle w:val="178"/>
              <w:rPr>
                <w:rFonts w:ascii="Times New Roman"/>
              </w:rPr>
            </w:pPr>
            <w:r>
              <w:rPr>
                <w:rFonts w:ascii="Times New Roman"/>
              </w:rPr>
              <w:t>产品碳足迹评价报告</w:t>
            </w:r>
          </w:p>
        </w:tc>
      </w:tr>
      <w:tr w14:paraId="6A0FB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tcBorders>
              <w:top w:val="single" w:color="auto" w:sz="8" w:space="0"/>
            </w:tcBorders>
            <w:shd w:val="clear" w:color="auto" w:fill="auto"/>
            <w:vAlign w:val="center"/>
          </w:tcPr>
          <w:p w14:paraId="6B984946">
            <w:pPr>
              <w:pStyle w:val="178"/>
              <w:rPr>
                <w:rFonts w:ascii="Times New Roman"/>
              </w:rPr>
            </w:pPr>
            <w:r>
              <w:rPr>
                <w:rFonts w:ascii="Times New Roman"/>
              </w:rPr>
              <w:t>申请方</w:t>
            </w:r>
          </w:p>
        </w:tc>
        <w:tc>
          <w:tcPr>
            <w:tcW w:w="1349" w:type="dxa"/>
            <w:tcBorders>
              <w:top w:val="single" w:color="auto" w:sz="8" w:space="0"/>
            </w:tcBorders>
            <w:shd w:val="clear" w:color="auto" w:fill="auto"/>
            <w:vAlign w:val="center"/>
          </w:tcPr>
          <w:p w14:paraId="4C3FF06D">
            <w:pPr>
              <w:pStyle w:val="178"/>
              <w:rPr>
                <w:rFonts w:ascii="Times New Roman"/>
              </w:rPr>
            </w:pPr>
            <w:r>
              <w:rPr>
                <w:rFonts w:ascii="Times New Roman"/>
              </w:rPr>
              <w:t>名称</w:t>
            </w:r>
          </w:p>
        </w:tc>
        <w:tc>
          <w:tcPr>
            <w:tcW w:w="6636" w:type="dxa"/>
            <w:gridSpan w:val="5"/>
            <w:tcBorders>
              <w:top w:val="single" w:color="auto" w:sz="8" w:space="0"/>
            </w:tcBorders>
            <w:shd w:val="clear" w:color="auto" w:fill="auto"/>
            <w:vAlign w:val="center"/>
          </w:tcPr>
          <w:p w14:paraId="4BF751F3">
            <w:pPr>
              <w:pStyle w:val="178"/>
              <w:rPr>
                <w:rFonts w:ascii="Times New Roman"/>
              </w:rPr>
            </w:pPr>
          </w:p>
        </w:tc>
      </w:tr>
      <w:tr w14:paraId="41AE8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7791B77D">
            <w:pPr>
              <w:pStyle w:val="178"/>
              <w:rPr>
                <w:rFonts w:ascii="Times New Roman"/>
              </w:rPr>
            </w:pPr>
          </w:p>
        </w:tc>
        <w:tc>
          <w:tcPr>
            <w:tcW w:w="1349" w:type="dxa"/>
            <w:shd w:val="clear" w:color="auto" w:fill="auto"/>
            <w:vAlign w:val="center"/>
          </w:tcPr>
          <w:p w14:paraId="2C39344B">
            <w:pPr>
              <w:pStyle w:val="178"/>
              <w:rPr>
                <w:rFonts w:ascii="Times New Roman"/>
              </w:rPr>
            </w:pPr>
            <w:r>
              <w:rPr>
                <w:rFonts w:ascii="Times New Roman"/>
              </w:rPr>
              <w:t>地址</w:t>
            </w:r>
          </w:p>
        </w:tc>
        <w:tc>
          <w:tcPr>
            <w:tcW w:w="6636" w:type="dxa"/>
            <w:gridSpan w:val="5"/>
            <w:shd w:val="clear" w:color="auto" w:fill="auto"/>
            <w:vAlign w:val="center"/>
          </w:tcPr>
          <w:p w14:paraId="2997DAB8">
            <w:pPr>
              <w:pStyle w:val="178"/>
              <w:rPr>
                <w:rFonts w:ascii="Times New Roman"/>
              </w:rPr>
            </w:pPr>
          </w:p>
        </w:tc>
      </w:tr>
      <w:tr w14:paraId="37F1F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5F1F3E61">
            <w:pPr>
              <w:pStyle w:val="178"/>
              <w:rPr>
                <w:rFonts w:ascii="Times New Roman"/>
              </w:rPr>
            </w:pPr>
          </w:p>
        </w:tc>
        <w:tc>
          <w:tcPr>
            <w:tcW w:w="1349" w:type="dxa"/>
            <w:shd w:val="clear" w:color="auto" w:fill="auto"/>
            <w:vAlign w:val="center"/>
          </w:tcPr>
          <w:p w14:paraId="4CA8FB6F">
            <w:pPr>
              <w:pStyle w:val="178"/>
              <w:rPr>
                <w:rFonts w:ascii="Times New Roman"/>
              </w:rPr>
            </w:pPr>
            <w:r>
              <w:rPr>
                <w:rFonts w:ascii="Times New Roman"/>
              </w:rPr>
              <w:t>负责人</w:t>
            </w:r>
          </w:p>
        </w:tc>
        <w:tc>
          <w:tcPr>
            <w:tcW w:w="1321" w:type="dxa"/>
            <w:shd w:val="clear" w:color="auto" w:fill="auto"/>
            <w:vAlign w:val="center"/>
          </w:tcPr>
          <w:p w14:paraId="09C2B642">
            <w:pPr>
              <w:pStyle w:val="178"/>
              <w:rPr>
                <w:rFonts w:ascii="Times New Roman"/>
              </w:rPr>
            </w:pPr>
          </w:p>
        </w:tc>
        <w:tc>
          <w:tcPr>
            <w:tcW w:w="1348" w:type="dxa"/>
            <w:shd w:val="clear" w:color="auto" w:fill="auto"/>
            <w:vAlign w:val="center"/>
          </w:tcPr>
          <w:p w14:paraId="0DD6A8CB">
            <w:pPr>
              <w:pStyle w:val="178"/>
              <w:rPr>
                <w:rFonts w:ascii="Times New Roman"/>
              </w:rPr>
            </w:pPr>
            <w:r>
              <w:rPr>
                <w:rFonts w:ascii="Times New Roman"/>
              </w:rPr>
              <w:t>电话</w:t>
            </w:r>
          </w:p>
        </w:tc>
        <w:tc>
          <w:tcPr>
            <w:tcW w:w="1322" w:type="dxa"/>
          </w:tcPr>
          <w:p w14:paraId="7F162AAA">
            <w:pPr>
              <w:pStyle w:val="178"/>
              <w:rPr>
                <w:rFonts w:ascii="Times New Roman"/>
              </w:rPr>
            </w:pPr>
          </w:p>
        </w:tc>
        <w:tc>
          <w:tcPr>
            <w:tcW w:w="1322" w:type="dxa"/>
            <w:shd w:val="clear" w:color="auto" w:fill="auto"/>
            <w:vAlign w:val="center"/>
          </w:tcPr>
          <w:p w14:paraId="106FC16F">
            <w:pPr>
              <w:pStyle w:val="178"/>
              <w:rPr>
                <w:rFonts w:ascii="Times New Roman"/>
              </w:rPr>
            </w:pPr>
            <w:r>
              <w:rPr>
                <w:rFonts w:ascii="Times New Roman"/>
              </w:rPr>
              <w:t>传真</w:t>
            </w:r>
          </w:p>
        </w:tc>
        <w:tc>
          <w:tcPr>
            <w:tcW w:w="1323" w:type="dxa"/>
            <w:shd w:val="clear" w:color="auto" w:fill="auto"/>
            <w:vAlign w:val="center"/>
          </w:tcPr>
          <w:p w14:paraId="2A5C749A">
            <w:pPr>
              <w:pStyle w:val="178"/>
              <w:rPr>
                <w:rFonts w:ascii="Times New Roman"/>
              </w:rPr>
            </w:pPr>
          </w:p>
        </w:tc>
      </w:tr>
      <w:tr w14:paraId="55892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57B8F635">
            <w:pPr>
              <w:pStyle w:val="178"/>
              <w:rPr>
                <w:rFonts w:ascii="Times New Roman"/>
              </w:rPr>
            </w:pPr>
          </w:p>
        </w:tc>
        <w:tc>
          <w:tcPr>
            <w:tcW w:w="1349" w:type="dxa"/>
            <w:shd w:val="clear" w:color="auto" w:fill="auto"/>
            <w:vAlign w:val="center"/>
          </w:tcPr>
          <w:p w14:paraId="6DCA2678">
            <w:pPr>
              <w:pStyle w:val="178"/>
              <w:rPr>
                <w:rFonts w:ascii="Times New Roman"/>
              </w:rPr>
            </w:pPr>
            <w:r>
              <w:rPr>
                <w:rFonts w:ascii="Times New Roman"/>
              </w:rPr>
              <w:t>联系人</w:t>
            </w:r>
          </w:p>
        </w:tc>
        <w:tc>
          <w:tcPr>
            <w:tcW w:w="1321" w:type="dxa"/>
            <w:shd w:val="clear" w:color="auto" w:fill="auto"/>
            <w:vAlign w:val="center"/>
          </w:tcPr>
          <w:p w14:paraId="7F32B3EA">
            <w:pPr>
              <w:pStyle w:val="178"/>
              <w:rPr>
                <w:rFonts w:ascii="Times New Roman"/>
              </w:rPr>
            </w:pPr>
          </w:p>
        </w:tc>
        <w:tc>
          <w:tcPr>
            <w:tcW w:w="1348" w:type="dxa"/>
            <w:shd w:val="clear" w:color="auto" w:fill="auto"/>
            <w:vAlign w:val="center"/>
          </w:tcPr>
          <w:p w14:paraId="572D0E9E">
            <w:pPr>
              <w:pStyle w:val="178"/>
              <w:rPr>
                <w:rFonts w:ascii="Times New Roman"/>
              </w:rPr>
            </w:pPr>
            <w:r>
              <w:rPr>
                <w:rFonts w:ascii="Times New Roman"/>
              </w:rPr>
              <w:t>电话</w:t>
            </w:r>
          </w:p>
        </w:tc>
        <w:tc>
          <w:tcPr>
            <w:tcW w:w="1322" w:type="dxa"/>
          </w:tcPr>
          <w:p w14:paraId="7696B1EA">
            <w:pPr>
              <w:pStyle w:val="178"/>
              <w:rPr>
                <w:rFonts w:ascii="Times New Roman"/>
              </w:rPr>
            </w:pPr>
          </w:p>
        </w:tc>
        <w:tc>
          <w:tcPr>
            <w:tcW w:w="1322" w:type="dxa"/>
            <w:shd w:val="clear" w:color="auto" w:fill="auto"/>
            <w:vAlign w:val="center"/>
          </w:tcPr>
          <w:p w14:paraId="0E345B24">
            <w:pPr>
              <w:pStyle w:val="178"/>
              <w:rPr>
                <w:rFonts w:ascii="Times New Roman"/>
              </w:rPr>
            </w:pPr>
            <w:r>
              <w:rPr>
                <w:rFonts w:ascii="Times New Roman"/>
              </w:rPr>
              <w:t>邮政编码</w:t>
            </w:r>
          </w:p>
        </w:tc>
        <w:tc>
          <w:tcPr>
            <w:tcW w:w="1323" w:type="dxa"/>
            <w:shd w:val="clear" w:color="auto" w:fill="auto"/>
            <w:vAlign w:val="center"/>
          </w:tcPr>
          <w:p w14:paraId="099934BF">
            <w:pPr>
              <w:pStyle w:val="178"/>
              <w:rPr>
                <w:rFonts w:ascii="Times New Roman"/>
              </w:rPr>
            </w:pPr>
          </w:p>
        </w:tc>
      </w:tr>
      <w:tr w14:paraId="7003D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0AA33E20">
            <w:pPr>
              <w:pStyle w:val="178"/>
              <w:rPr>
                <w:rFonts w:ascii="Times New Roman"/>
              </w:rPr>
            </w:pPr>
          </w:p>
        </w:tc>
        <w:tc>
          <w:tcPr>
            <w:tcW w:w="1349" w:type="dxa"/>
            <w:shd w:val="clear" w:color="auto" w:fill="auto"/>
            <w:vAlign w:val="center"/>
          </w:tcPr>
          <w:p w14:paraId="33931510">
            <w:pPr>
              <w:pStyle w:val="178"/>
              <w:rPr>
                <w:rFonts w:ascii="Times New Roman"/>
              </w:rPr>
            </w:pPr>
            <w:r>
              <w:rPr>
                <w:rFonts w:ascii="Times New Roman"/>
              </w:rPr>
              <w:t>电子邮箱</w:t>
            </w:r>
          </w:p>
        </w:tc>
        <w:tc>
          <w:tcPr>
            <w:tcW w:w="6636" w:type="dxa"/>
            <w:gridSpan w:val="5"/>
            <w:shd w:val="clear" w:color="auto" w:fill="auto"/>
            <w:vAlign w:val="center"/>
          </w:tcPr>
          <w:p w14:paraId="2C9BCC92">
            <w:pPr>
              <w:pStyle w:val="178"/>
              <w:rPr>
                <w:rFonts w:ascii="Times New Roman"/>
              </w:rPr>
            </w:pPr>
          </w:p>
        </w:tc>
      </w:tr>
      <w:tr w14:paraId="5E5FF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shd w:val="clear" w:color="auto" w:fill="auto"/>
            <w:vAlign w:val="center"/>
          </w:tcPr>
          <w:p w14:paraId="5EF5604C">
            <w:pPr>
              <w:pStyle w:val="178"/>
              <w:rPr>
                <w:rFonts w:ascii="Times New Roman"/>
              </w:rPr>
            </w:pPr>
            <w:r>
              <w:rPr>
                <w:rFonts w:ascii="Times New Roman"/>
              </w:rPr>
              <w:t>评价结构</w:t>
            </w:r>
          </w:p>
        </w:tc>
        <w:tc>
          <w:tcPr>
            <w:tcW w:w="1349" w:type="dxa"/>
            <w:shd w:val="clear" w:color="auto" w:fill="auto"/>
            <w:vAlign w:val="center"/>
          </w:tcPr>
          <w:p w14:paraId="067C2099">
            <w:pPr>
              <w:pStyle w:val="178"/>
              <w:rPr>
                <w:rFonts w:ascii="Times New Roman"/>
              </w:rPr>
            </w:pPr>
            <w:r>
              <w:rPr>
                <w:rFonts w:ascii="Times New Roman"/>
              </w:rPr>
              <w:t>机构名称</w:t>
            </w:r>
          </w:p>
        </w:tc>
        <w:tc>
          <w:tcPr>
            <w:tcW w:w="6636" w:type="dxa"/>
            <w:gridSpan w:val="5"/>
            <w:shd w:val="clear" w:color="auto" w:fill="auto"/>
            <w:vAlign w:val="center"/>
          </w:tcPr>
          <w:p w14:paraId="62FB5104">
            <w:pPr>
              <w:pStyle w:val="178"/>
              <w:rPr>
                <w:rFonts w:ascii="Times New Roman"/>
              </w:rPr>
            </w:pPr>
          </w:p>
        </w:tc>
      </w:tr>
      <w:tr w14:paraId="4805D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21E9CF5D">
            <w:pPr>
              <w:pStyle w:val="178"/>
              <w:rPr>
                <w:rFonts w:ascii="Times New Roman"/>
              </w:rPr>
            </w:pPr>
          </w:p>
        </w:tc>
        <w:tc>
          <w:tcPr>
            <w:tcW w:w="1349" w:type="dxa"/>
            <w:shd w:val="clear" w:color="auto" w:fill="auto"/>
            <w:vAlign w:val="center"/>
          </w:tcPr>
          <w:p w14:paraId="21C4F416">
            <w:pPr>
              <w:pStyle w:val="178"/>
              <w:rPr>
                <w:rFonts w:ascii="Times New Roman"/>
              </w:rPr>
            </w:pPr>
            <w:r>
              <w:rPr>
                <w:rFonts w:ascii="Times New Roman"/>
              </w:rPr>
              <w:t>地址</w:t>
            </w:r>
          </w:p>
        </w:tc>
        <w:tc>
          <w:tcPr>
            <w:tcW w:w="6636" w:type="dxa"/>
            <w:gridSpan w:val="5"/>
            <w:shd w:val="clear" w:color="auto" w:fill="auto"/>
            <w:vAlign w:val="center"/>
          </w:tcPr>
          <w:p w14:paraId="1BD4A68B">
            <w:pPr>
              <w:pStyle w:val="178"/>
              <w:rPr>
                <w:rFonts w:ascii="Times New Roman"/>
              </w:rPr>
            </w:pPr>
          </w:p>
        </w:tc>
      </w:tr>
      <w:tr w14:paraId="78ECD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2447739D">
            <w:pPr>
              <w:pStyle w:val="178"/>
              <w:rPr>
                <w:rFonts w:ascii="Times New Roman"/>
              </w:rPr>
            </w:pPr>
          </w:p>
        </w:tc>
        <w:tc>
          <w:tcPr>
            <w:tcW w:w="1349" w:type="dxa"/>
            <w:shd w:val="clear" w:color="auto" w:fill="auto"/>
            <w:vAlign w:val="center"/>
          </w:tcPr>
          <w:p w14:paraId="642B0541">
            <w:pPr>
              <w:pStyle w:val="178"/>
              <w:rPr>
                <w:rFonts w:ascii="Times New Roman"/>
              </w:rPr>
            </w:pPr>
            <w:r>
              <w:rPr>
                <w:rFonts w:ascii="Times New Roman"/>
              </w:rPr>
              <w:t>负责人</w:t>
            </w:r>
          </w:p>
        </w:tc>
        <w:tc>
          <w:tcPr>
            <w:tcW w:w="1321" w:type="dxa"/>
            <w:shd w:val="clear" w:color="auto" w:fill="auto"/>
            <w:vAlign w:val="center"/>
          </w:tcPr>
          <w:p w14:paraId="617589CB">
            <w:pPr>
              <w:pStyle w:val="178"/>
              <w:rPr>
                <w:rFonts w:ascii="Times New Roman"/>
              </w:rPr>
            </w:pPr>
          </w:p>
        </w:tc>
        <w:tc>
          <w:tcPr>
            <w:tcW w:w="1348" w:type="dxa"/>
            <w:shd w:val="clear" w:color="auto" w:fill="auto"/>
            <w:vAlign w:val="center"/>
          </w:tcPr>
          <w:p w14:paraId="75342242">
            <w:pPr>
              <w:pStyle w:val="178"/>
              <w:rPr>
                <w:rFonts w:ascii="Times New Roman"/>
              </w:rPr>
            </w:pPr>
            <w:r>
              <w:rPr>
                <w:rFonts w:ascii="Times New Roman"/>
              </w:rPr>
              <w:t>电话</w:t>
            </w:r>
          </w:p>
        </w:tc>
        <w:tc>
          <w:tcPr>
            <w:tcW w:w="1322" w:type="dxa"/>
          </w:tcPr>
          <w:p w14:paraId="6C13454B">
            <w:pPr>
              <w:pStyle w:val="178"/>
              <w:rPr>
                <w:rFonts w:ascii="Times New Roman"/>
              </w:rPr>
            </w:pPr>
          </w:p>
        </w:tc>
        <w:tc>
          <w:tcPr>
            <w:tcW w:w="1322" w:type="dxa"/>
            <w:shd w:val="clear" w:color="auto" w:fill="auto"/>
            <w:vAlign w:val="center"/>
          </w:tcPr>
          <w:p w14:paraId="3A56503F">
            <w:pPr>
              <w:pStyle w:val="178"/>
              <w:rPr>
                <w:rFonts w:ascii="Times New Roman"/>
              </w:rPr>
            </w:pPr>
            <w:r>
              <w:rPr>
                <w:rFonts w:ascii="Times New Roman"/>
              </w:rPr>
              <w:t>传真</w:t>
            </w:r>
          </w:p>
        </w:tc>
        <w:tc>
          <w:tcPr>
            <w:tcW w:w="1323" w:type="dxa"/>
            <w:shd w:val="clear" w:color="auto" w:fill="auto"/>
            <w:vAlign w:val="center"/>
          </w:tcPr>
          <w:p w14:paraId="1C51606C">
            <w:pPr>
              <w:pStyle w:val="178"/>
              <w:rPr>
                <w:rFonts w:ascii="Times New Roman"/>
              </w:rPr>
            </w:pPr>
          </w:p>
        </w:tc>
      </w:tr>
      <w:tr w14:paraId="4B8C6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315D8A9B">
            <w:pPr>
              <w:pStyle w:val="178"/>
              <w:rPr>
                <w:rFonts w:ascii="Times New Roman"/>
              </w:rPr>
            </w:pPr>
          </w:p>
        </w:tc>
        <w:tc>
          <w:tcPr>
            <w:tcW w:w="1349" w:type="dxa"/>
            <w:shd w:val="clear" w:color="auto" w:fill="auto"/>
            <w:vAlign w:val="center"/>
          </w:tcPr>
          <w:p w14:paraId="6C9B20B7">
            <w:pPr>
              <w:pStyle w:val="178"/>
              <w:rPr>
                <w:rFonts w:ascii="Times New Roman"/>
              </w:rPr>
            </w:pPr>
            <w:r>
              <w:rPr>
                <w:rFonts w:ascii="Times New Roman"/>
              </w:rPr>
              <w:t>联系人</w:t>
            </w:r>
          </w:p>
        </w:tc>
        <w:tc>
          <w:tcPr>
            <w:tcW w:w="1321" w:type="dxa"/>
            <w:shd w:val="clear" w:color="auto" w:fill="auto"/>
            <w:vAlign w:val="center"/>
          </w:tcPr>
          <w:p w14:paraId="16430677">
            <w:pPr>
              <w:pStyle w:val="178"/>
              <w:rPr>
                <w:rFonts w:ascii="Times New Roman"/>
              </w:rPr>
            </w:pPr>
          </w:p>
        </w:tc>
        <w:tc>
          <w:tcPr>
            <w:tcW w:w="1348" w:type="dxa"/>
            <w:shd w:val="clear" w:color="auto" w:fill="auto"/>
            <w:vAlign w:val="center"/>
          </w:tcPr>
          <w:p w14:paraId="245BD1FB">
            <w:pPr>
              <w:pStyle w:val="178"/>
              <w:rPr>
                <w:rFonts w:ascii="Times New Roman"/>
              </w:rPr>
            </w:pPr>
            <w:r>
              <w:rPr>
                <w:rFonts w:ascii="Times New Roman"/>
              </w:rPr>
              <w:t>电话</w:t>
            </w:r>
          </w:p>
        </w:tc>
        <w:tc>
          <w:tcPr>
            <w:tcW w:w="1322" w:type="dxa"/>
          </w:tcPr>
          <w:p w14:paraId="71936059">
            <w:pPr>
              <w:pStyle w:val="178"/>
              <w:rPr>
                <w:rFonts w:ascii="Times New Roman"/>
              </w:rPr>
            </w:pPr>
          </w:p>
        </w:tc>
        <w:tc>
          <w:tcPr>
            <w:tcW w:w="1322" w:type="dxa"/>
            <w:shd w:val="clear" w:color="auto" w:fill="auto"/>
            <w:vAlign w:val="center"/>
          </w:tcPr>
          <w:p w14:paraId="3DE43230">
            <w:pPr>
              <w:pStyle w:val="178"/>
              <w:rPr>
                <w:rFonts w:ascii="Times New Roman"/>
              </w:rPr>
            </w:pPr>
            <w:r>
              <w:rPr>
                <w:rFonts w:ascii="Times New Roman"/>
              </w:rPr>
              <w:t>邮政编码</w:t>
            </w:r>
          </w:p>
        </w:tc>
        <w:tc>
          <w:tcPr>
            <w:tcW w:w="1323" w:type="dxa"/>
            <w:shd w:val="clear" w:color="auto" w:fill="auto"/>
            <w:vAlign w:val="center"/>
          </w:tcPr>
          <w:p w14:paraId="76663F04">
            <w:pPr>
              <w:pStyle w:val="178"/>
              <w:rPr>
                <w:rFonts w:ascii="Times New Roman"/>
              </w:rPr>
            </w:pPr>
          </w:p>
        </w:tc>
      </w:tr>
      <w:tr w14:paraId="0A4B6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64249267">
            <w:pPr>
              <w:pStyle w:val="178"/>
              <w:rPr>
                <w:rFonts w:ascii="Times New Roman"/>
              </w:rPr>
            </w:pPr>
          </w:p>
        </w:tc>
        <w:tc>
          <w:tcPr>
            <w:tcW w:w="1349" w:type="dxa"/>
            <w:shd w:val="clear" w:color="auto" w:fill="auto"/>
            <w:vAlign w:val="center"/>
          </w:tcPr>
          <w:p w14:paraId="6A117858">
            <w:pPr>
              <w:pStyle w:val="178"/>
              <w:rPr>
                <w:rFonts w:ascii="Times New Roman"/>
              </w:rPr>
            </w:pPr>
            <w:r>
              <w:rPr>
                <w:rFonts w:ascii="Times New Roman"/>
              </w:rPr>
              <w:t>电子邮箱</w:t>
            </w:r>
          </w:p>
        </w:tc>
        <w:tc>
          <w:tcPr>
            <w:tcW w:w="6636" w:type="dxa"/>
            <w:gridSpan w:val="5"/>
            <w:shd w:val="clear" w:color="auto" w:fill="auto"/>
            <w:vAlign w:val="center"/>
          </w:tcPr>
          <w:p w14:paraId="3B42BCA2">
            <w:pPr>
              <w:pStyle w:val="178"/>
              <w:rPr>
                <w:rFonts w:ascii="Times New Roman"/>
              </w:rPr>
            </w:pPr>
          </w:p>
        </w:tc>
      </w:tr>
      <w:tr w14:paraId="3B394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09848043">
            <w:pPr>
              <w:pStyle w:val="178"/>
              <w:rPr>
                <w:rFonts w:ascii="Times New Roman"/>
              </w:rPr>
            </w:pPr>
            <w:r>
              <w:rPr>
                <w:rFonts w:ascii="Times New Roman"/>
              </w:rPr>
              <w:t>产品信息</w:t>
            </w:r>
          </w:p>
        </w:tc>
      </w:tr>
      <w:tr w14:paraId="71935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31" w:hRule="atLeast"/>
          <w:jc w:val="center"/>
        </w:trPr>
        <w:tc>
          <w:tcPr>
            <w:tcW w:w="9334" w:type="dxa"/>
            <w:gridSpan w:val="7"/>
            <w:shd w:val="clear" w:color="auto" w:fill="auto"/>
            <w:vAlign w:val="center"/>
          </w:tcPr>
          <w:p w14:paraId="1F21DFCC">
            <w:pPr>
              <w:pStyle w:val="178"/>
              <w:jc w:val="left"/>
              <w:rPr>
                <w:rFonts w:ascii="Times New Roman"/>
              </w:rPr>
            </w:pPr>
            <w:r>
              <w:rPr>
                <w:rFonts w:ascii="Times New Roman"/>
              </w:rPr>
              <w:t>（包括但不限于产品名称、产品介绍等内容）</w:t>
            </w:r>
          </w:p>
        </w:tc>
      </w:tr>
      <w:tr w14:paraId="4CC22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3C5CBCC2">
            <w:pPr>
              <w:pStyle w:val="178"/>
              <w:rPr>
                <w:rFonts w:ascii="Times New Roman"/>
              </w:rPr>
            </w:pPr>
            <w:r>
              <w:rPr>
                <w:rFonts w:ascii="Times New Roman"/>
              </w:rPr>
              <w:t>系统边界</w:t>
            </w:r>
          </w:p>
        </w:tc>
      </w:tr>
      <w:tr w14:paraId="27859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47" w:hRule="atLeast"/>
          <w:jc w:val="center"/>
        </w:trPr>
        <w:tc>
          <w:tcPr>
            <w:tcW w:w="9334" w:type="dxa"/>
            <w:gridSpan w:val="7"/>
            <w:shd w:val="clear" w:color="auto" w:fill="auto"/>
            <w:vAlign w:val="center"/>
          </w:tcPr>
          <w:p w14:paraId="4F5C6B1A">
            <w:pPr>
              <w:pStyle w:val="178"/>
              <w:jc w:val="left"/>
              <w:rPr>
                <w:rFonts w:ascii="Times New Roman"/>
              </w:rPr>
            </w:pPr>
            <w:r>
              <w:rPr>
                <w:rFonts w:ascii="Times New Roman"/>
              </w:rPr>
              <w:t>（包括但不限于产品生命周期阶段定义、时间周期、地理范围、排放源类型等内容）</w:t>
            </w:r>
          </w:p>
        </w:tc>
      </w:tr>
      <w:tr w14:paraId="3869B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4B91EE24">
            <w:pPr>
              <w:pStyle w:val="178"/>
              <w:rPr>
                <w:rFonts w:ascii="Times New Roman"/>
              </w:rPr>
            </w:pPr>
            <w:r>
              <w:rPr>
                <w:rFonts w:ascii="Times New Roman"/>
              </w:rPr>
              <w:t>碳足迹计算方法</w:t>
            </w:r>
          </w:p>
        </w:tc>
      </w:tr>
      <w:tr w14:paraId="3BD33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77" w:hRule="atLeast"/>
          <w:jc w:val="center"/>
        </w:trPr>
        <w:tc>
          <w:tcPr>
            <w:tcW w:w="9334" w:type="dxa"/>
            <w:gridSpan w:val="7"/>
            <w:shd w:val="clear" w:color="auto" w:fill="auto"/>
            <w:vAlign w:val="center"/>
          </w:tcPr>
          <w:p w14:paraId="49E6F1B3">
            <w:pPr>
              <w:pStyle w:val="178"/>
              <w:jc w:val="left"/>
              <w:rPr>
                <w:rFonts w:ascii="Times New Roman"/>
              </w:rPr>
            </w:pPr>
            <w:r>
              <w:rPr>
                <w:rFonts w:ascii="Times New Roman"/>
              </w:rPr>
              <w:t>（包括但不限于各种排放源的计算公式，如电力排放计算公式等内容）</w:t>
            </w:r>
          </w:p>
        </w:tc>
      </w:tr>
      <w:tr w14:paraId="62AD4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308B14E4">
            <w:pPr>
              <w:pStyle w:val="178"/>
              <w:rPr>
                <w:rFonts w:ascii="Times New Roman"/>
              </w:rPr>
            </w:pPr>
            <w:r>
              <w:rPr>
                <w:rFonts w:ascii="Times New Roman"/>
              </w:rPr>
              <w:t>碳足迹核算</w:t>
            </w:r>
          </w:p>
        </w:tc>
      </w:tr>
      <w:tr w14:paraId="04509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65" w:hRule="atLeast"/>
          <w:jc w:val="center"/>
        </w:trPr>
        <w:tc>
          <w:tcPr>
            <w:tcW w:w="9334" w:type="dxa"/>
            <w:gridSpan w:val="7"/>
            <w:shd w:val="clear" w:color="auto" w:fill="auto"/>
            <w:vAlign w:val="center"/>
          </w:tcPr>
          <w:p w14:paraId="2C6D9DEF">
            <w:pPr>
              <w:pStyle w:val="178"/>
              <w:jc w:val="left"/>
              <w:rPr>
                <w:rFonts w:ascii="Times New Roman"/>
              </w:rPr>
            </w:pPr>
            <w:r>
              <w:rPr>
                <w:rFonts w:ascii="Times New Roman"/>
              </w:rPr>
              <w:t>（包括但不限于各阶段排放源计算程序、活动数据收集及排放系数来源说明、产品生命周期碳足迹结果及说明等内容）</w:t>
            </w:r>
          </w:p>
        </w:tc>
      </w:tr>
      <w:tr w14:paraId="06CE8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23BC3874">
            <w:pPr>
              <w:pStyle w:val="178"/>
              <w:rPr>
                <w:rFonts w:ascii="Times New Roman"/>
              </w:rPr>
            </w:pPr>
            <w:r>
              <w:rPr>
                <w:rFonts w:ascii="Times New Roman"/>
              </w:rPr>
              <w:t>报告管理和保存</w:t>
            </w:r>
          </w:p>
        </w:tc>
      </w:tr>
      <w:tr w14:paraId="3C090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53" w:hRule="atLeast"/>
          <w:jc w:val="center"/>
        </w:trPr>
        <w:tc>
          <w:tcPr>
            <w:tcW w:w="9334" w:type="dxa"/>
            <w:gridSpan w:val="7"/>
            <w:shd w:val="clear" w:color="auto" w:fill="auto"/>
            <w:vAlign w:val="center"/>
          </w:tcPr>
          <w:p w14:paraId="3B97724F">
            <w:pPr>
              <w:pStyle w:val="178"/>
              <w:jc w:val="left"/>
              <w:rPr>
                <w:rFonts w:ascii="Times New Roman"/>
              </w:rPr>
            </w:pPr>
            <w:r>
              <w:rPr>
                <w:rFonts w:ascii="Times New Roman"/>
              </w:rPr>
              <w:t>（对报告的使用这、管理保存方法、有效期、保密性等内容）</w:t>
            </w:r>
          </w:p>
        </w:tc>
      </w:tr>
      <w:tr w14:paraId="1F2C0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421E4AE5">
            <w:pPr>
              <w:pStyle w:val="178"/>
              <w:rPr>
                <w:rFonts w:ascii="Times New Roman"/>
              </w:rPr>
            </w:pPr>
            <w:r>
              <w:rPr>
                <w:rFonts w:ascii="Times New Roman"/>
              </w:rPr>
              <w:t>参考文献</w:t>
            </w:r>
          </w:p>
        </w:tc>
      </w:tr>
      <w:tr w14:paraId="4DCD4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28" w:hRule="atLeast"/>
          <w:jc w:val="center"/>
        </w:trPr>
        <w:tc>
          <w:tcPr>
            <w:tcW w:w="9334" w:type="dxa"/>
            <w:gridSpan w:val="7"/>
            <w:shd w:val="clear" w:color="auto" w:fill="auto"/>
            <w:vAlign w:val="center"/>
          </w:tcPr>
          <w:p w14:paraId="76FFC8F5">
            <w:pPr>
              <w:pStyle w:val="178"/>
              <w:jc w:val="left"/>
              <w:rPr>
                <w:rFonts w:ascii="Times New Roman"/>
              </w:rPr>
            </w:pPr>
            <w:r>
              <w:rPr>
                <w:rFonts w:ascii="Times New Roman"/>
              </w:rPr>
              <w:t>（报告涉及到的所有参考文献说明等内容）</w:t>
            </w:r>
          </w:p>
        </w:tc>
      </w:tr>
      <w:tr w14:paraId="6A420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57942AFD">
            <w:pPr>
              <w:pStyle w:val="178"/>
              <w:rPr>
                <w:rFonts w:ascii="Times New Roman"/>
              </w:rPr>
            </w:pPr>
            <w:r>
              <w:rPr>
                <w:rFonts w:ascii="Times New Roman"/>
              </w:rPr>
              <w:t>支持性文献</w:t>
            </w:r>
          </w:p>
        </w:tc>
      </w:tr>
      <w:tr w14:paraId="5B091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5" w:hRule="atLeast"/>
          <w:jc w:val="center"/>
        </w:trPr>
        <w:tc>
          <w:tcPr>
            <w:tcW w:w="9334" w:type="dxa"/>
            <w:gridSpan w:val="7"/>
            <w:shd w:val="clear" w:color="auto" w:fill="auto"/>
            <w:vAlign w:val="center"/>
          </w:tcPr>
          <w:p w14:paraId="01454F8A">
            <w:pPr>
              <w:pStyle w:val="178"/>
              <w:jc w:val="left"/>
              <w:rPr>
                <w:rFonts w:ascii="Times New Roman"/>
              </w:rPr>
            </w:pPr>
            <w:r>
              <w:rPr>
                <w:rFonts w:ascii="Times New Roman"/>
              </w:rPr>
              <w:t>（报告涉及的相关支持材料清单及附件等内容）</w:t>
            </w:r>
          </w:p>
        </w:tc>
      </w:tr>
      <w:tr w14:paraId="1BFD0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05D01D34">
            <w:pPr>
              <w:pStyle w:val="178"/>
              <w:rPr>
                <w:rFonts w:ascii="Times New Roman"/>
              </w:rPr>
            </w:pPr>
            <w:r>
              <w:rPr>
                <w:rFonts w:ascii="Times New Roman"/>
              </w:rPr>
              <w:t>其他需要说明的事项</w:t>
            </w:r>
          </w:p>
        </w:tc>
      </w:tr>
      <w:tr w14:paraId="24519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57" w:hRule="atLeast"/>
          <w:jc w:val="center"/>
        </w:trPr>
        <w:tc>
          <w:tcPr>
            <w:tcW w:w="9334" w:type="dxa"/>
            <w:gridSpan w:val="7"/>
            <w:shd w:val="clear" w:color="auto" w:fill="auto"/>
            <w:vAlign w:val="center"/>
          </w:tcPr>
          <w:p w14:paraId="54F3B41D">
            <w:pPr>
              <w:pStyle w:val="178"/>
              <w:jc w:val="left"/>
              <w:rPr>
                <w:rFonts w:ascii="Times New Roman"/>
              </w:rPr>
            </w:pPr>
            <w:r>
              <w:rPr>
                <w:rFonts w:ascii="Times New Roman"/>
              </w:rPr>
              <w:t>（其他需要说明的事项）</w:t>
            </w:r>
          </w:p>
        </w:tc>
      </w:tr>
      <w:bookmarkEnd w:id="43"/>
      <w:bookmarkEnd w:id="98"/>
    </w:tbl>
    <w:p w14:paraId="695EAE68">
      <w:pPr>
        <w:pStyle w:val="56"/>
        <w:ind w:firstLine="0" w:firstLineChars="0"/>
        <w:jc w:val="center"/>
      </w:pPr>
      <w:bookmarkStart w:id="104" w:name="BookMark8"/>
      <w:r>
        <w:drawing>
          <wp:inline distT="0" distB="0" distL="0" distR="0">
            <wp:extent cx="1485900" cy="317500"/>
            <wp:effectExtent l="0" t="0" r="0" b="6350"/>
            <wp:docPr id="1659608850" name="图片 1"/>
            <wp:cNvGraphicFramePr/>
            <a:graphic xmlns:a="http://schemas.openxmlformats.org/drawingml/2006/main">
              <a:graphicData uri="http://schemas.openxmlformats.org/drawingml/2006/picture">
                <pic:pic xmlns:pic="http://schemas.openxmlformats.org/drawingml/2006/picture">
                  <pic:nvPicPr>
                    <pic:cNvPr id="1659608850"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4"/>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D8D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3A6B">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22C5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A61F3">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A50A">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6D6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67D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07A">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AF392">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KzDJpXLNYfsdvMbL95pUNDtuhpkgEa47ljbXrMusQQ9JqylShq1SAyBL7sSoaDqZC5+8A53c+IJsLO6xFU458w==" w:salt="NDE2uzWbaf1h+tY6J4QGw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5B44B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2F9"/>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95D"/>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69FD"/>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B7706"/>
    <w:rsid w:val="001C04A8"/>
    <w:rsid w:val="001C2C03"/>
    <w:rsid w:val="001C42F7"/>
    <w:rsid w:val="001C49E5"/>
    <w:rsid w:val="001C680C"/>
    <w:rsid w:val="001C6CD7"/>
    <w:rsid w:val="001C7FEA"/>
    <w:rsid w:val="001D0499"/>
    <w:rsid w:val="001D0BBE"/>
    <w:rsid w:val="001D0ED4"/>
    <w:rsid w:val="001D18DA"/>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705"/>
    <w:rsid w:val="00210B15"/>
    <w:rsid w:val="002142EA"/>
    <w:rsid w:val="00215ADD"/>
    <w:rsid w:val="00220047"/>
    <w:rsid w:val="002204BB"/>
    <w:rsid w:val="00221B79"/>
    <w:rsid w:val="00221C6B"/>
    <w:rsid w:val="002253A1"/>
    <w:rsid w:val="00225CF8"/>
    <w:rsid w:val="0022794E"/>
    <w:rsid w:val="00233D64"/>
    <w:rsid w:val="0023482A"/>
    <w:rsid w:val="002359CB"/>
    <w:rsid w:val="002410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307"/>
    <w:rsid w:val="00272B08"/>
    <w:rsid w:val="00281BB8"/>
    <w:rsid w:val="00281E9E"/>
    <w:rsid w:val="00282405"/>
    <w:rsid w:val="00282B02"/>
    <w:rsid w:val="00285170"/>
    <w:rsid w:val="00285361"/>
    <w:rsid w:val="00292D60"/>
    <w:rsid w:val="00293B30"/>
    <w:rsid w:val="00293C51"/>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B6F"/>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CF2"/>
    <w:rsid w:val="00344605"/>
    <w:rsid w:val="003474AA"/>
    <w:rsid w:val="00350D1D"/>
    <w:rsid w:val="00352C83"/>
    <w:rsid w:val="00352F1A"/>
    <w:rsid w:val="0036107C"/>
    <w:rsid w:val="003615D2"/>
    <w:rsid w:val="00362A7C"/>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C79"/>
    <w:rsid w:val="003D6D61"/>
    <w:rsid w:val="003E019F"/>
    <w:rsid w:val="003E091D"/>
    <w:rsid w:val="003E1C53"/>
    <w:rsid w:val="003E2A69"/>
    <w:rsid w:val="003E2D49"/>
    <w:rsid w:val="003E2FD4"/>
    <w:rsid w:val="003E49F6"/>
    <w:rsid w:val="003E660F"/>
    <w:rsid w:val="003F0841"/>
    <w:rsid w:val="003F23D3"/>
    <w:rsid w:val="003F3417"/>
    <w:rsid w:val="003F3F08"/>
    <w:rsid w:val="003F49F1"/>
    <w:rsid w:val="003F6272"/>
    <w:rsid w:val="00400E72"/>
    <w:rsid w:val="00401400"/>
    <w:rsid w:val="00404869"/>
    <w:rsid w:val="00405884"/>
    <w:rsid w:val="00407CBD"/>
    <w:rsid w:val="00407D39"/>
    <w:rsid w:val="00410539"/>
    <w:rsid w:val="0041477A"/>
    <w:rsid w:val="004167A3"/>
    <w:rsid w:val="004306FA"/>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B01"/>
    <w:rsid w:val="00470775"/>
    <w:rsid w:val="004746B1"/>
    <w:rsid w:val="004756CF"/>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7AF"/>
    <w:rsid w:val="004A6A3D"/>
    <w:rsid w:val="004B0272"/>
    <w:rsid w:val="004B2701"/>
    <w:rsid w:val="004B2E1B"/>
    <w:rsid w:val="004B3AA8"/>
    <w:rsid w:val="004B3E93"/>
    <w:rsid w:val="004C1FBC"/>
    <w:rsid w:val="004C25A2"/>
    <w:rsid w:val="004C3711"/>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0CC6"/>
    <w:rsid w:val="00512F6E"/>
    <w:rsid w:val="00513038"/>
    <w:rsid w:val="00514174"/>
    <w:rsid w:val="00516088"/>
    <w:rsid w:val="0051634D"/>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041"/>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4B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0EDA"/>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E5"/>
    <w:rsid w:val="00636995"/>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3E4"/>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123D"/>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5A91"/>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89C"/>
    <w:rsid w:val="007600E3"/>
    <w:rsid w:val="007658A4"/>
    <w:rsid w:val="00765C43"/>
    <w:rsid w:val="00765EFB"/>
    <w:rsid w:val="007671CA"/>
    <w:rsid w:val="00767C61"/>
    <w:rsid w:val="0077008A"/>
    <w:rsid w:val="00773C1F"/>
    <w:rsid w:val="00774DA4"/>
    <w:rsid w:val="00776599"/>
    <w:rsid w:val="007774A1"/>
    <w:rsid w:val="0078114B"/>
    <w:rsid w:val="00781DD2"/>
    <w:rsid w:val="00783ECF"/>
    <w:rsid w:val="0078413A"/>
    <w:rsid w:val="007904DD"/>
    <w:rsid w:val="00790BB6"/>
    <w:rsid w:val="007959E8"/>
    <w:rsid w:val="00795E9C"/>
    <w:rsid w:val="007A0521"/>
    <w:rsid w:val="007A2E12"/>
    <w:rsid w:val="007A3475"/>
    <w:rsid w:val="007A41C8"/>
    <w:rsid w:val="007A54CE"/>
    <w:rsid w:val="007A5D3A"/>
    <w:rsid w:val="007A6FD9"/>
    <w:rsid w:val="007A7E62"/>
    <w:rsid w:val="007A7FFA"/>
    <w:rsid w:val="007B04EB"/>
    <w:rsid w:val="007B0D4F"/>
    <w:rsid w:val="007B5A3D"/>
    <w:rsid w:val="007B5B95"/>
    <w:rsid w:val="007B6032"/>
    <w:rsid w:val="007B68EA"/>
    <w:rsid w:val="007B6CB2"/>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0E96"/>
    <w:rsid w:val="0083348C"/>
    <w:rsid w:val="008373D3"/>
    <w:rsid w:val="00840617"/>
    <w:rsid w:val="00840F84"/>
    <w:rsid w:val="00842A47"/>
    <w:rsid w:val="00843C13"/>
    <w:rsid w:val="00843DEF"/>
    <w:rsid w:val="008454F8"/>
    <w:rsid w:val="0085173A"/>
    <w:rsid w:val="008603CE"/>
    <w:rsid w:val="008620FC"/>
    <w:rsid w:val="00862203"/>
    <w:rsid w:val="008627A5"/>
    <w:rsid w:val="00863E05"/>
    <w:rsid w:val="008643E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82C"/>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73F"/>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58A"/>
    <w:rsid w:val="008F788F"/>
    <w:rsid w:val="008F7EA2"/>
    <w:rsid w:val="00902722"/>
    <w:rsid w:val="009027BC"/>
    <w:rsid w:val="009062E6"/>
    <w:rsid w:val="00911BE5"/>
    <w:rsid w:val="00913CA9"/>
    <w:rsid w:val="009145AE"/>
    <w:rsid w:val="009146CE"/>
    <w:rsid w:val="00914CA7"/>
    <w:rsid w:val="00915C3E"/>
    <w:rsid w:val="009161A8"/>
    <w:rsid w:val="009163B0"/>
    <w:rsid w:val="009245AE"/>
    <w:rsid w:val="009245F5"/>
    <w:rsid w:val="009249EC"/>
    <w:rsid w:val="009273B3"/>
    <w:rsid w:val="009305B5"/>
    <w:rsid w:val="009378DD"/>
    <w:rsid w:val="00941368"/>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25F"/>
    <w:rsid w:val="00977D02"/>
    <w:rsid w:val="00977FF9"/>
    <w:rsid w:val="009809BB"/>
    <w:rsid w:val="0098364B"/>
    <w:rsid w:val="009908A3"/>
    <w:rsid w:val="009911AF"/>
    <w:rsid w:val="00991875"/>
    <w:rsid w:val="00991F92"/>
    <w:rsid w:val="00992985"/>
    <w:rsid w:val="00993889"/>
    <w:rsid w:val="0099551B"/>
    <w:rsid w:val="00996BD2"/>
    <w:rsid w:val="009972A7"/>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458"/>
    <w:rsid w:val="009D112C"/>
    <w:rsid w:val="009D1385"/>
    <w:rsid w:val="009D47FA"/>
    <w:rsid w:val="009D4C5B"/>
    <w:rsid w:val="009D50D2"/>
    <w:rsid w:val="009D6BCA"/>
    <w:rsid w:val="009E0F62"/>
    <w:rsid w:val="009E0F8A"/>
    <w:rsid w:val="009E1C71"/>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C9E"/>
    <w:rsid w:val="00A77CCB"/>
    <w:rsid w:val="00A83D8D"/>
    <w:rsid w:val="00A8446B"/>
    <w:rsid w:val="00A8473F"/>
    <w:rsid w:val="00A862D6"/>
    <w:rsid w:val="00A8715E"/>
    <w:rsid w:val="00A92604"/>
    <w:rsid w:val="00A9295B"/>
    <w:rsid w:val="00A93B09"/>
    <w:rsid w:val="00A952D7"/>
    <w:rsid w:val="00A963F7"/>
    <w:rsid w:val="00A9655F"/>
    <w:rsid w:val="00A96AD8"/>
    <w:rsid w:val="00AA052C"/>
    <w:rsid w:val="00AA1E45"/>
    <w:rsid w:val="00AA4286"/>
    <w:rsid w:val="00AA456B"/>
    <w:rsid w:val="00AA57F5"/>
    <w:rsid w:val="00AA672E"/>
    <w:rsid w:val="00AA6EC9"/>
    <w:rsid w:val="00AB26CD"/>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5552"/>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87D"/>
    <w:rsid w:val="00B66F52"/>
    <w:rsid w:val="00B66FE5"/>
    <w:rsid w:val="00B72880"/>
    <w:rsid w:val="00B758BF"/>
    <w:rsid w:val="00B77EC8"/>
    <w:rsid w:val="00B827A6"/>
    <w:rsid w:val="00B831CE"/>
    <w:rsid w:val="00B86677"/>
    <w:rsid w:val="00B87131"/>
    <w:rsid w:val="00B939B1"/>
    <w:rsid w:val="00B96D40"/>
    <w:rsid w:val="00B97386"/>
    <w:rsid w:val="00BA2366"/>
    <w:rsid w:val="00BA263B"/>
    <w:rsid w:val="00BA42B2"/>
    <w:rsid w:val="00BA58D4"/>
    <w:rsid w:val="00BA5B9E"/>
    <w:rsid w:val="00BA7C9A"/>
    <w:rsid w:val="00BB5F8F"/>
    <w:rsid w:val="00BB657A"/>
    <w:rsid w:val="00BC07D3"/>
    <w:rsid w:val="00BC1A4E"/>
    <w:rsid w:val="00BC5DC7"/>
    <w:rsid w:val="00BC6B8B"/>
    <w:rsid w:val="00BC73D8"/>
    <w:rsid w:val="00BC7746"/>
    <w:rsid w:val="00BD52D7"/>
    <w:rsid w:val="00BD5AD2"/>
    <w:rsid w:val="00BE22F3"/>
    <w:rsid w:val="00BE346F"/>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22D9"/>
    <w:rsid w:val="00C33E50"/>
    <w:rsid w:val="00C34C20"/>
    <w:rsid w:val="00C35A3E"/>
    <w:rsid w:val="00C42130"/>
    <w:rsid w:val="00C423A4"/>
    <w:rsid w:val="00C423E3"/>
    <w:rsid w:val="00C44BF5"/>
    <w:rsid w:val="00C46BC7"/>
    <w:rsid w:val="00C521D6"/>
    <w:rsid w:val="00C527F2"/>
    <w:rsid w:val="00C55232"/>
    <w:rsid w:val="00C553A4"/>
    <w:rsid w:val="00C55A06"/>
    <w:rsid w:val="00C55D03"/>
    <w:rsid w:val="00C567A4"/>
    <w:rsid w:val="00C601BC"/>
    <w:rsid w:val="00C6329F"/>
    <w:rsid w:val="00C63340"/>
    <w:rsid w:val="00C643F9"/>
    <w:rsid w:val="00C64E95"/>
    <w:rsid w:val="00C709EF"/>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95F"/>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436B"/>
    <w:rsid w:val="00D25E37"/>
    <w:rsid w:val="00D2661A"/>
    <w:rsid w:val="00D27582"/>
    <w:rsid w:val="00D27EC4"/>
    <w:rsid w:val="00D32719"/>
    <w:rsid w:val="00D33333"/>
    <w:rsid w:val="00D34CCB"/>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157"/>
    <w:rsid w:val="00DD0619"/>
    <w:rsid w:val="00DD07FB"/>
    <w:rsid w:val="00DD25C6"/>
    <w:rsid w:val="00DD4FE5"/>
    <w:rsid w:val="00DD54B0"/>
    <w:rsid w:val="00DD57EE"/>
    <w:rsid w:val="00DD6BCC"/>
    <w:rsid w:val="00DE0A4B"/>
    <w:rsid w:val="00DE2410"/>
    <w:rsid w:val="00DE2939"/>
    <w:rsid w:val="00DE6367"/>
    <w:rsid w:val="00DE6E81"/>
    <w:rsid w:val="00DE703F"/>
    <w:rsid w:val="00DE7595"/>
    <w:rsid w:val="00DF1961"/>
    <w:rsid w:val="00DF44DE"/>
    <w:rsid w:val="00DF6D3A"/>
    <w:rsid w:val="00E01138"/>
    <w:rsid w:val="00E02DFB"/>
    <w:rsid w:val="00E030F9"/>
    <w:rsid w:val="00E0311A"/>
    <w:rsid w:val="00E03138"/>
    <w:rsid w:val="00E06404"/>
    <w:rsid w:val="00E06830"/>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65E"/>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D2C"/>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FCB"/>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6FE4"/>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A93"/>
    <w:rsid w:val="00FE4BCE"/>
    <w:rsid w:val="00FE54AE"/>
    <w:rsid w:val="00FE576A"/>
    <w:rsid w:val="00FE7E79"/>
    <w:rsid w:val="00FF3E7D"/>
    <w:rsid w:val="00FF5B99"/>
    <w:rsid w:val="00FF730C"/>
    <w:rsid w:val="00FF73F4"/>
    <w:rsid w:val="00FF7CE4"/>
    <w:rsid w:val="00FF7E39"/>
    <w:rsid w:val="0471373D"/>
    <w:rsid w:val="1E7C3C7A"/>
    <w:rsid w:val="28B57A90"/>
    <w:rsid w:val="430D082E"/>
    <w:rsid w:val="47CF1FE3"/>
    <w:rsid w:val="50C45D63"/>
    <w:rsid w:val="5ABC1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95533F758184B06BFE86C295B4ACB0B"/>
        <w:style w:val=""/>
        <w:category>
          <w:name w:val="常规"/>
          <w:gallery w:val="placeholder"/>
        </w:category>
        <w:types>
          <w:type w:val="bbPlcHdr"/>
        </w:types>
        <w:behaviors>
          <w:behavior w:val="content"/>
        </w:behaviors>
        <w:description w:val=""/>
        <w:guid w:val="{A4F941D1-0DFC-4114-84A2-855CDA132E18}"/>
      </w:docPartPr>
      <w:docPartBody>
        <w:p w14:paraId="1F11626F">
          <w:pPr>
            <w:pStyle w:val="5"/>
            <w:rPr>
              <w:rFonts w:hint="eastAsia"/>
            </w:rPr>
          </w:pPr>
          <w:r>
            <w:rPr>
              <w:rStyle w:val="4"/>
              <w:rFonts w:hint="eastAsia"/>
            </w:rPr>
            <w:t>单击或点击此处输入文字。</w:t>
          </w:r>
        </w:p>
      </w:docPartBody>
    </w:docPart>
    <w:docPart>
      <w:docPartPr>
        <w:name w:val="50C266A5AAA34E269598D42F52AB598C"/>
        <w:style w:val=""/>
        <w:category>
          <w:name w:val="常规"/>
          <w:gallery w:val="placeholder"/>
        </w:category>
        <w:types>
          <w:type w:val="bbPlcHdr"/>
        </w:types>
        <w:behaviors>
          <w:behavior w:val="content"/>
        </w:behaviors>
        <w:description w:val=""/>
        <w:guid w:val="{237B96A2-FCCD-4605-B0E7-916124EB29FA}"/>
      </w:docPartPr>
      <w:docPartBody>
        <w:p w14:paraId="5716B89C">
          <w:pPr>
            <w:pStyle w:val="6"/>
            <w:rPr>
              <w:rFonts w:hint="eastAsia"/>
            </w:rPr>
          </w:pPr>
          <w:r>
            <w:rPr>
              <w:rStyle w:val="4"/>
              <w:rFonts w:hint="eastAsia"/>
            </w:rPr>
            <w:t>选择一项。</w:t>
          </w:r>
        </w:p>
      </w:docPartBody>
    </w:docPart>
    <w:docPart>
      <w:docPartPr>
        <w:name w:val="C59E14DA520747398FE01507E0CE00FE"/>
        <w:style w:val=""/>
        <w:category>
          <w:name w:val="常规"/>
          <w:gallery w:val="placeholder"/>
        </w:category>
        <w:types>
          <w:type w:val="bbPlcHdr"/>
        </w:types>
        <w:behaviors>
          <w:behavior w:val="content"/>
        </w:behaviors>
        <w:description w:val=""/>
        <w:guid w:val="{A96750FC-592C-4052-B985-2E6D561C5957}"/>
      </w:docPartPr>
      <w:docPartBody>
        <w:p w14:paraId="60EE0D63">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4"/>
    <w:rsid w:val="00087913"/>
    <w:rsid w:val="0009595D"/>
    <w:rsid w:val="000A55D0"/>
    <w:rsid w:val="00162A68"/>
    <w:rsid w:val="0024105A"/>
    <w:rsid w:val="00282B02"/>
    <w:rsid w:val="00293C51"/>
    <w:rsid w:val="00336A59"/>
    <w:rsid w:val="003D3C79"/>
    <w:rsid w:val="003F525E"/>
    <w:rsid w:val="00407CBD"/>
    <w:rsid w:val="00415FC6"/>
    <w:rsid w:val="004306FA"/>
    <w:rsid w:val="00470B92"/>
    <w:rsid w:val="004756CF"/>
    <w:rsid w:val="00485E10"/>
    <w:rsid w:val="00596EBA"/>
    <w:rsid w:val="005C24BD"/>
    <w:rsid w:val="006833E4"/>
    <w:rsid w:val="006F2806"/>
    <w:rsid w:val="0075789C"/>
    <w:rsid w:val="007658A4"/>
    <w:rsid w:val="0097452E"/>
    <w:rsid w:val="0097725F"/>
    <w:rsid w:val="00A06F8B"/>
    <w:rsid w:val="00A109D9"/>
    <w:rsid w:val="00A63EDD"/>
    <w:rsid w:val="00AE4421"/>
    <w:rsid w:val="00AF5552"/>
    <w:rsid w:val="00B969E0"/>
    <w:rsid w:val="00C9188B"/>
    <w:rsid w:val="00CE0D11"/>
    <w:rsid w:val="00D0195F"/>
    <w:rsid w:val="00E06830"/>
    <w:rsid w:val="00E115C8"/>
    <w:rsid w:val="00E6327B"/>
    <w:rsid w:val="00F66FE4"/>
    <w:rsid w:val="00FC2094"/>
    <w:rsid w:val="00FF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95533F758184B06BFE86C295B4ACB0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0C266A5AAA34E269598D42F52AB59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C59E14DA520747398FE01507E0CE00F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3783</Words>
  <Characters>4195</Characters>
  <Lines>53</Lines>
  <Paragraphs>14</Paragraphs>
  <TotalTime>141</TotalTime>
  <ScaleCrop>false</ScaleCrop>
  <LinksUpToDate>false</LinksUpToDate>
  <CharactersWithSpaces>4314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2024-05-17T07:40:00Z</dcterms:created>
  <dc:creator>1</dc:creator>
  <dc:description>&lt;config cover="true" show_menu="true" version="1.0.0" doctype="SDKXY"&gt;_x000d_
&lt;/config&gt;</dc:description>
  <cp:lastModifiedBy>Shimmer</cp:lastModifiedBy>
  <cp:lastPrinted>2021-02-02T08:22:00Z</cp:lastPrinted>
  <dcterms:modified xsi:type="dcterms:W3CDTF">2025-04-15T06:35:45Z</dcterms:modified>
  <dc:title>团体标准</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94E816139F41492CB4FBF105CAF037D7_12</vt:lpwstr>
  </property>
  <property fmtid="{D5CDD505-2E9C-101B-9397-08002B2CF9AE}" pid="16" name="KSOTemplateDocerSaveRecord">
    <vt:lpwstr>eyJoZGlkIjoiNWM1ZWJkMDNjYTg1YjI2NDAwOWJhMDU5YTVlYzY4MGYiLCJ1c2VySWQiOiIxNjEyNTI2NzM3In0=</vt:lpwstr>
  </property>
</Properties>
</file>