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themeColor="background1"/>
  <w:body>
    <w:p w14:paraId="72EE9A32">
      <w:pPr>
        <w:pStyle w:val="74"/>
        <w:framePr w:w="0" w:hRule="auto" w:wrap="around"/>
        <w:ind w:right="-9"/>
        <w:rPr>
          <w:rFonts w:ascii="Times New Roman"/>
        </w:rPr>
      </w:pPr>
      <w:r>
        <w:rPr>
          <w:rFonts w:ascii="Times New Roman"/>
        </w:rPr>
        <w:t>团体标准</w:t>
      </w:r>
    </w:p>
    <w:p w14:paraId="469E5E02">
      <w:pPr>
        <w:pStyle w:val="85"/>
        <w:framePr w:wrap="around" w:x="1242" w:y="7102"/>
        <w:rPr>
          <w:rFonts w:ascii="Times New Roman"/>
        </w:rPr>
      </w:pPr>
      <w:r>
        <w:rPr>
          <w:rFonts w:ascii="Times New Roman"/>
        </w:rPr>
        <w:t>铁铬铝合金宽幅</w:t>
      </w:r>
      <w:r>
        <w:rPr>
          <w:rFonts w:hint="eastAsia" w:ascii="Times New Roman"/>
        </w:rPr>
        <w:t>板带材</w:t>
      </w:r>
    </w:p>
    <w:p w14:paraId="448957A8">
      <w:pPr>
        <w:pStyle w:val="86"/>
        <w:framePr w:wrap="around" w:x="1242" w:y="7102"/>
      </w:pPr>
      <w:r>
        <w:t>Iron chromium aluminum alloy wide plate and strip</w:t>
      </w:r>
    </w:p>
    <w:p w14:paraId="63F49535">
      <w:pPr>
        <w:pStyle w:val="87"/>
        <w:framePr w:wrap="around" w:x="1242" w:y="7102"/>
        <w:rPr>
          <w:rFonts w:ascii="Times New Roman"/>
        </w:rPr>
      </w:pPr>
      <w:r>
        <w:rPr>
          <w:rFonts w:ascii="Times New Roman"/>
        </w:rPr>
        <w:fldChar w:fldCharType="begin">
          <w:ffData>
            <w:name w:val="YZBS"/>
            <w:enabled/>
            <w:calcOnExit w:val="0"/>
            <w:textInput>
              <w:default w:val="点击此处添加与国际标准一致性程度的标识"/>
            </w:textInput>
          </w:ffData>
        </w:fldChar>
      </w:r>
      <w:bookmarkStart w:id="0" w:name="YZBS"/>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0"/>
    </w:p>
    <w:tbl>
      <w:tblPr>
        <w:tblStyle w:val="36"/>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404E6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5" w:hRule="atLeast"/>
        </w:trPr>
        <w:tc>
          <w:tcPr>
            <w:tcW w:w="9855" w:type="dxa"/>
            <w:tcBorders>
              <w:top w:val="nil"/>
              <w:left w:val="nil"/>
              <w:bottom w:val="nil"/>
              <w:right w:val="nil"/>
            </w:tcBorders>
            <w:shd w:val="clear" w:color="auto" w:fill="auto"/>
          </w:tcPr>
          <w:p w14:paraId="390CEF8A">
            <w:pPr>
              <w:pStyle w:val="88"/>
              <w:framePr w:wrap="around" w:x="1242" w:y="7102"/>
              <w:rPr>
                <w:rFonts w:ascii="Times New Roman"/>
              </w:rPr>
            </w:pPr>
            <w:r>
              <w:rPr>
                <w:rFonts w:ascii="Times New Roman"/>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10"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ia6S1QAAAAoBAAAPAAAAAAAAAAEAIAAAACIA&#10;AABkcnMvZG93bnJldi54bWxQSwECFAAUAAAACACHTuJADGDy4gwCAAAvBAAADgAAAAAAAAABACAA&#10;AAAkAQAAZHJzL2Uyb0RvYy54bWxQSwUGAAAAAAYABgBZAQAAogUAAAAA&#10;">
                      <v:fill on="t" focussize="0,0"/>
                      <v:stroke on="f"/>
                      <v:imagedata o:title=""/>
                      <o:lock v:ext="edit" aspectratio="f"/>
                      <w10:anchorlock/>
                    </v:rect>
                  </w:pict>
                </mc:Fallback>
              </mc:AlternateContent>
            </w:r>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GL5dYAAAAJAQAADwAAAAAAAAABACAAAAAi&#10;AAAAZHJzL2Rvd25yZXYueG1sUEsBAhQAFAAAAAgAh07iQAGUqWcMAgAALgQAAA4AAAAAAAAAAQAg&#10;AAAAJQEAAGRycy9lMm9Eb2MueG1sUEsFBgAAAAAGAAYAWQEAAKMFAAAAAA==&#10;">
                      <v:fill on="t" focussize="0,0"/>
                      <v:stroke on="f"/>
                      <v:imagedata o:title=""/>
                      <o:lock v:ext="edit" aspectratio="f"/>
                    </v:rect>
                  </w:pict>
                </mc:Fallback>
              </mc:AlternateContent>
            </w:r>
          </w:p>
        </w:tc>
      </w:tr>
      <w:tr w14:paraId="5B5F0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19D6AAB1">
            <w:pPr>
              <w:pStyle w:val="89"/>
              <w:framePr w:wrap="around" w:x="1242" w:y="7102"/>
              <w:rPr>
                <w:rFonts w:ascii="Times New Roman"/>
              </w:rPr>
            </w:pPr>
          </w:p>
        </w:tc>
      </w:tr>
    </w:tbl>
    <w:p w14:paraId="66C56943">
      <w:pPr>
        <w:pStyle w:val="137"/>
        <w:framePr w:wrap="around" w:hAnchor="page" w:x="1192" w:y="14041"/>
      </w:pPr>
      <w:r>
        <w:fldChar w:fldCharType="begin">
          <w:ffData>
            <w:name w:val="FY"/>
            <w:enabled/>
            <w:calcOnExit w:val="0"/>
            <w:textInput>
              <w:default w:val="XXXX"/>
              <w:maxLength w:val="4"/>
            </w:textInput>
          </w:ffData>
        </w:fldChar>
      </w:r>
      <w:bookmarkStart w:id="1" w:name="FY"/>
      <w:r>
        <w:instrText xml:space="preserve"> FORMTEXT </w:instrText>
      </w:r>
      <w:r>
        <w:fldChar w:fldCharType="separate"/>
      </w:r>
      <w:r>
        <w:t>XXXX</w:t>
      </w:r>
      <w:r>
        <w:fldChar w:fldCharType="end"/>
      </w:r>
      <w:bookmarkEnd w:id="1"/>
      <w:r>
        <w:t xml:space="preserve"> - </w:t>
      </w:r>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r>
        <w:t xml:space="preserve"> - </w:t>
      </w:r>
      <w:r>
        <w:fldChar w:fldCharType="begin">
          <w:ffData>
            <w:name w:val="FD"/>
            <w:enabled/>
            <w:calcOnExit w:val="0"/>
            <w:textInput>
              <w:default w:val="XX"/>
              <w:maxLength w:val="2"/>
            </w:textInput>
          </w:ffData>
        </w:fldChar>
      </w:r>
      <w:bookmarkStart w:id="2" w:name="FD"/>
      <w:r>
        <w:instrText xml:space="preserve"> FORMTEXT </w:instrText>
      </w:r>
      <w:r>
        <w:fldChar w:fldCharType="separate"/>
      </w:r>
      <w:r>
        <w:t>XX</w:t>
      </w:r>
      <w:r>
        <w:fldChar w:fldCharType="end"/>
      </w:r>
      <w:bookmarkEnd w:id="2"/>
      <w:r>
        <w:t>发布</w:t>
      </w:r>
    </w:p>
    <w:p w14:paraId="3E642CEC">
      <w:pPr>
        <w:pStyle w:val="138"/>
        <w:framePr w:wrap="around" w:hAnchor="page" w:x="6884" w:y="14042"/>
      </w:pPr>
      <w:r>
        <w:fldChar w:fldCharType="begin">
          <w:ffData>
            <w:name w:val="SY"/>
            <w:enabled/>
            <w:calcOnExit w:val="0"/>
            <w:textInput>
              <w:default w:val="XXXX"/>
              <w:maxLength w:val="4"/>
            </w:textInput>
          </w:ffData>
        </w:fldChar>
      </w:r>
      <w:bookmarkStart w:id="3" w:name="SY"/>
      <w:r>
        <w:instrText xml:space="preserve"> FORMTEXT </w:instrText>
      </w:r>
      <w:r>
        <w:fldChar w:fldCharType="separate"/>
      </w:r>
      <w:r>
        <w:t>XXXX</w:t>
      </w:r>
      <w:r>
        <w:fldChar w:fldCharType="end"/>
      </w:r>
      <w:bookmarkEnd w:id="3"/>
      <w:r>
        <w:t xml:space="preserve"> - </w:t>
      </w:r>
      <w:r>
        <w:fldChar w:fldCharType="begin">
          <w:ffData>
            <w:name w:val="SM"/>
            <w:enabled/>
            <w:calcOnExit w:val="0"/>
            <w:textInput>
              <w:default w:val="XX"/>
              <w:maxLength w:val="2"/>
            </w:textInput>
          </w:ffData>
        </w:fldChar>
      </w:r>
      <w:bookmarkStart w:id="4" w:name="SM"/>
      <w:r>
        <w:instrText xml:space="preserve"> FORMTEXT </w:instrText>
      </w:r>
      <w:r>
        <w:fldChar w:fldCharType="separate"/>
      </w:r>
      <w:r>
        <w:t>XX</w:t>
      </w:r>
      <w:r>
        <w:fldChar w:fldCharType="end"/>
      </w:r>
      <w:bookmarkEnd w:id="4"/>
      <w:r>
        <w:t xml:space="preserve"> - </w:t>
      </w:r>
      <w:r>
        <w:fldChar w:fldCharType="begin">
          <w:ffData>
            <w:name w:val="SD"/>
            <w:enabled/>
            <w:calcOnExit w:val="0"/>
            <w:textInput>
              <w:default w:val="XX"/>
              <w:maxLength w:val="2"/>
            </w:textInput>
          </w:ffData>
        </w:fldChar>
      </w:r>
      <w:bookmarkStart w:id="5" w:name="SD"/>
      <w:r>
        <w:instrText xml:space="preserve"> FORMTEXT </w:instrText>
      </w:r>
      <w:r>
        <w:fldChar w:fldCharType="separate"/>
      </w:r>
      <w:r>
        <w:t>XX</w:t>
      </w:r>
      <w:r>
        <w:fldChar w:fldCharType="end"/>
      </w:r>
      <w:bookmarkEnd w:id="5"/>
      <w:r>
        <w:t>实施</w:t>
      </w:r>
    </w:p>
    <w:p w14:paraId="241C1DB2">
      <w:pPr>
        <w:framePr w:hSpace="180" w:vSpace="180" w:wrap="around" w:vAnchor="page" w:hAnchor="margin" w:y="496" w:anchorLock="1"/>
        <w:jc w:val="left"/>
        <w:textAlignment w:val="center"/>
        <w:rPr>
          <w:rFonts w:eastAsia="黑体"/>
          <w:kern w:val="0"/>
          <w:szCs w:val="21"/>
        </w:rPr>
      </w:pPr>
      <w:r>
        <w:rPr>
          <w:rFonts w:eastAsia="黑体"/>
          <w:kern w:val="0"/>
          <w:szCs w:val="21"/>
        </w:rPr>
        <w:t>ICS 77.140.50</w:t>
      </w:r>
    </w:p>
    <w:p w14:paraId="65AC05D6">
      <w:pPr>
        <w:framePr w:hSpace="180" w:vSpace="180" w:wrap="around" w:vAnchor="page" w:hAnchor="margin" w:y="496" w:anchorLock="1"/>
        <w:jc w:val="left"/>
        <w:textAlignment w:val="center"/>
        <w:rPr>
          <w:rFonts w:eastAsia="黑体"/>
          <w:kern w:val="0"/>
          <w:szCs w:val="21"/>
        </w:rPr>
      </w:pPr>
      <w:r>
        <w:rPr>
          <w:rFonts w:eastAsia="黑体"/>
          <w:kern w:val="0"/>
          <w:szCs w:val="21"/>
        </w:rPr>
        <w:t>CCS H 46</w:t>
      </w:r>
    </w:p>
    <w:p w14:paraId="1368CA39">
      <w:pPr>
        <w:framePr w:wrap="around" w:vAnchor="page" w:hAnchor="page" w:x="1378" w:y="2936"/>
        <w:pBdr>
          <w:bottom w:val="single" w:color="auto" w:sz="4" w:space="1"/>
        </w:pBdr>
        <w:wordWrap w:val="0"/>
        <w:spacing w:before="357" w:line="280" w:lineRule="exact"/>
        <w:jc w:val="right"/>
        <w:rPr>
          <w:sz w:val="28"/>
          <w:szCs w:val="28"/>
        </w:rPr>
      </w:pPr>
      <w:bookmarkStart w:id="6" w:name="_Hlk130281064"/>
      <w:r>
        <w:rPr>
          <w:sz w:val="28"/>
          <w:szCs w:val="28"/>
        </w:rPr>
        <w:t>T/SSEA XXXX—XXXX</w:t>
      </w:r>
    </w:p>
    <w:p w14:paraId="36229A44">
      <w:pPr>
        <w:framePr w:wrap="around" w:vAnchor="page" w:hAnchor="page" w:x="1378" w:y="2936"/>
        <w:pBdr>
          <w:bottom w:val="single" w:color="auto" w:sz="4" w:space="1"/>
        </w:pBdr>
        <w:wordWrap w:val="0"/>
        <w:spacing w:before="120" w:line="280" w:lineRule="exact"/>
        <w:jc w:val="right"/>
        <w:rPr>
          <w:sz w:val="28"/>
          <w:szCs w:val="28"/>
        </w:rPr>
      </w:pPr>
      <w:r>
        <w:rPr>
          <w:sz w:val="28"/>
          <w:szCs w:val="28"/>
        </w:rPr>
        <w:t>T/CSTA XXXX—XXXX</w:t>
      </w:r>
    </w:p>
    <w:p w14:paraId="6884E6F6">
      <w:pPr>
        <w:framePr w:wrap="around" w:vAnchor="page" w:hAnchor="page" w:x="1378" w:y="2936"/>
        <w:spacing w:before="357" w:line="280" w:lineRule="exact"/>
        <w:jc w:val="right"/>
        <w:rPr>
          <w:sz w:val="28"/>
          <w:szCs w:val="28"/>
        </w:rPr>
      </w:pPr>
    </w:p>
    <w:p w14:paraId="4D9D576A">
      <w:pPr>
        <w:framePr w:wrap="around" w:vAnchor="page" w:hAnchor="page" w:x="1378" w:y="2936"/>
        <w:spacing w:before="357" w:line="280" w:lineRule="exact"/>
        <w:jc w:val="right"/>
        <w:rPr>
          <w:sz w:val="28"/>
          <w:szCs w:val="28"/>
        </w:rPr>
      </w:pPr>
    </w:p>
    <w:bookmarkEnd w:id="6"/>
    <w:p w14:paraId="282F5480">
      <w:pPr>
        <w:framePr w:w="10883" w:h="1876" w:hRule="exact" w:wrap="around" w:vAnchor="page" w:hAnchor="page" w:x="333" w:y="14963"/>
        <w:spacing w:line="100" w:lineRule="atLeast"/>
        <w:ind w:left="1480" w:hanging="641"/>
        <w:jc w:val="center"/>
        <w:rPr>
          <w:spacing w:val="20"/>
          <w:w w:val="135"/>
          <w:sz w:val="32"/>
          <w:szCs w:val="32"/>
        </w:rPr>
      </w:pPr>
      <w:r>
        <w:rPr>
          <w:spacing w:val="20"/>
          <w:w w:val="135"/>
          <w:sz w:val="32"/>
          <w:szCs w:val="32"/>
        </w:rPr>
        <w:t>中国特钢企业协会</w:t>
      </w:r>
    </w:p>
    <w:p w14:paraId="3AC987EB">
      <w:pPr>
        <w:framePr w:w="10883" w:h="1876" w:hRule="exact" w:wrap="around" w:vAnchor="page" w:hAnchor="page" w:x="333" w:y="14963"/>
        <w:spacing w:line="100" w:lineRule="atLeast"/>
        <w:ind w:left="1480" w:hanging="641"/>
        <w:jc w:val="center"/>
        <w:rPr>
          <w:spacing w:val="20"/>
          <w:w w:val="135"/>
          <w:sz w:val="32"/>
          <w:szCs w:val="32"/>
        </w:rPr>
      </w:pPr>
      <w:r>
        <w:rPr>
          <w:spacing w:val="20"/>
          <w:w w:val="135"/>
          <w:sz w:val="32"/>
          <w:szCs w:val="32"/>
        </w:rPr>
        <w:t xml:space="preserve">      中关村不锈及特种合金新材料   </w:t>
      </w:r>
      <w:r>
        <w:rPr>
          <w:spacing w:val="85"/>
          <w:position w:val="3"/>
          <w:sz w:val="28"/>
          <w:szCs w:val="28"/>
        </w:rPr>
        <w:t>发布</w:t>
      </w:r>
    </w:p>
    <w:p w14:paraId="60701EE8">
      <w:pPr>
        <w:framePr w:w="10883" w:h="1876" w:hRule="exact" w:wrap="around" w:vAnchor="page" w:hAnchor="page" w:x="333" w:y="14963"/>
        <w:spacing w:line="100" w:lineRule="atLeast"/>
        <w:ind w:left="1480" w:hanging="641"/>
        <w:jc w:val="center"/>
        <w:rPr>
          <w:spacing w:val="20"/>
          <w:w w:val="135"/>
          <w:sz w:val="28"/>
          <w:szCs w:val="28"/>
        </w:rPr>
      </w:pPr>
      <w:r>
        <w:rPr>
          <w:spacing w:val="20"/>
          <w:w w:val="135"/>
          <w:sz w:val="32"/>
          <w:szCs w:val="32"/>
        </w:rPr>
        <w:t>产业技术创新联盟</w:t>
      </w:r>
    </w:p>
    <w:p w14:paraId="1D6ED2A5">
      <w:pPr>
        <w:pStyle w:val="25"/>
        <w:rPr>
          <w:rFonts w:ascii="Times New Roman"/>
        </w:rPr>
        <w:sectPr>
          <w:headerReference r:id="rId5" w:type="default"/>
          <w:pgSz w:w="11906" w:h="16838"/>
          <w:pgMar w:top="567" w:right="850" w:bottom="1134" w:left="1418" w:header="0" w:footer="0" w:gutter="0"/>
          <w:pgNumType w:start="1"/>
          <w:cols w:space="425" w:num="1"/>
          <w:docGrid w:type="lines" w:linePitch="312" w:charSpace="0"/>
        </w:sectPr>
      </w:pPr>
      <w:r>
        <w:rPr>
          <w:rFonts w:ascii="Times New Roman"/>
        </w:rPr>
        <mc:AlternateContent>
          <mc:Choice Requires="wps">
            <w:drawing>
              <wp:anchor distT="0" distB="0" distL="114300" distR="114300" simplePos="0" relativeHeight="251661312" behindDoc="0" locked="0" layoutInCell="1" allowOverlap="1">
                <wp:simplePos x="0" y="0"/>
                <wp:positionH relativeFrom="column">
                  <wp:posOffset>-144145</wp:posOffset>
                </wp:positionH>
                <wp:positionV relativeFrom="paragraph">
                  <wp:posOffset>7980680</wp:posOffset>
                </wp:positionV>
                <wp:extent cx="6120130" cy="0"/>
                <wp:effectExtent l="0" t="0" r="0" b="0"/>
                <wp:wrapNone/>
                <wp:docPr id="3" name="Line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3" o:spid="_x0000_s1026" o:spt="20" style="position:absolute;left:0pt;margin-left:-11.35pt;margin-top:628.4pt;height:0pt;width:481.9pt;z-index:251661312;mso-width-relative:page;mso-height-relative:page;" filled="f" stroked="t" coordsize="21600,21600" o:gfxdata="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OcaaH2AAAAA0BAAAPAAAAAAAAAAEAIAAAACIAAABk&#10;cnMvZG93bnJldi54bWxQSwECFAAUAAAACACHTuJAGKyzN80BAACtAwAADgAAAAAAAAABACAAAAAn&#10;AQAAZHJzL2Uyb0RvYy54bWxQSwUGAAAAAAYABgBZAQAAZgUAAAAA&#10;">
                <v:fill on="f" focussize="0,0"/>
                <v:stroke color="#000000" joinstyle="round"/>
                <v:imagedata o:title=""/>
                <o:lock v:ext="edit" aspectratio="f"/>
              </v:line>
            </w:pict>
          </mc:Fallback>
        </mc:AlternateContent>
      </w:r>
    </w:p>
    <w:p w14:paraId="3F93CB93"/>
    <w:p w14:paraId="23F592C2"/>
    <w:p w14:paraId="1F0BD37A"/>
    <w:p w14:paraId="23BCAF3C"/>
    <w:p w14:paraId="189B6851"/>
    <w:p w14:paraId="1CFDA4E6"/>
    <w:p w14:paraId="49ABCB3E"/>
    <w:p w14:paraId="5EA0F27F"/>
    <w:p w14:paraId="5F83DE55"/>
    <w:p w14:paraId="60F547CE"/>
    <w:p w14:paraId="3CD09D60"/>
    <w:p w14:paraId="2A32492A"/>
    <w:p w14:paraId="662D8934"/>
    <w:p w14:paraId="7BF56B86"/>
    <w:p w14:paraId="112AF981"/>
    <w:p w14:paraId="38B28D39"/>
    <w:p w14:paraId="34E0A8DC"/>
    <w:p w14:paraId="29BAE201"/>
    <w:p w14:paraId="017D114A"/>
    <w:p w14:paraId="360CFDF4"/>
    <w:p w14:paraId="2B774AB7"/>
    <w:p w14:paraId="1A7A21F4"/>
    <w:p w14:paraId="5A754E74"/>
    <w:p w14:paraId="614F968C"/>
    <w:p w14:paraId="454F73F7"/>
    <w:p w14:paraId="1420B548"/>
    <w:p w14:paraId="45D749DF"/>
    <w:p w14:paraId="6F39CB1F">
      <w:r>
        <w:drawing>
          <wp:inline distT="0" distB="0" distL="0" distR="0">
            <wp:extent cx="812165" cy="768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12165" cy="768350"/>
                    </a:xfrm>
                    <a:prstGeom prst="rect">
                      <a:avLst/>
                    </a:prstGeom>
                    <a:noFill/>
                    <a:ln>
                      <a:noFill/>
                    </a:ln>
                  </pic:spPr>
                </pic:pic>
              </a:graphicData>
            </a:graphic>
          </wp:inline>
        </w:drawing>
      </w:r>
      <w:r>
        <w:t>版权保护文件</w:t>
      </w:r>
    </w:p>
    <w:p w14:paraId="17325FAC">
      <w:pPr>
        <w:spacing w:before="156" w:beforeLines="50" w:after="156" w:afterLines="50"/>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028D0342">
      <w:pPr>
        <w:pStyle w:val="21"/>
        <w:spacing w:before="78" w:after="78"/>
        <w:rPr>
          <w:rFonts w:ascii="Times New Roman"/>
          <w:szCs w:val="22"/>
        </w:rPr>
      </w:pPr>
    </w:p>
    <w:p w14:paraId="76C2B02C">
      <w:pPr>
        <w:pStyle w:val="25"/>
        <w:ind w:firstLine="0" w:firstLineChars="0"/>
        <w:rPr>
          <w:rFonts w:ascii="Times New Roman"/>
        </w:rPr>
      </w:pPr>
    </w:p>
    <w:p w14:paraId="25ED86D8">
      <w:pPr>
        <w:pStyle w:val="119"/>
        <w:shd w:val="clear" w:color="auto" w:fill="auto"/>
        <w:rPr>
          <w:rFonts w:ascii="Times New Roman"/>
        </w:rPr>
      </w:pPr>
      <w:bookmarkStart w:id="7" w:name="_Toc501728439"/>
      <w:r>
        <w:rPr>
          <w:rFonts w:ascii="Times New Roman"/>
        </w:rPr>
        <w:t>前</w:t>
      </w:r>
      <w:bookmarkStart w:id="8" w:name="BKQY"/>
      <w:r>
        <w:rPr>
          <w:rFonts w:ascii="Times New Roman"/>
        </w:rPr>
        <w:t>  言</w:t>
      </w:r>
      <w:bookmarkEnd w:id="7"/>
      <w:bookmarkEnd w:id="8"/>
    </w:p>
    <w:p w14:paraId="245AC471">
      <w:pPr>
        <w:ind w:firstLine="420" w:firstLineChars="200"/>
      </w:pPr>
      <w:r>
        <w:t>本文件按照GB/T 1.1—2020《标准化工作导则第1部分:标准化文件的结构和起草规则》给出的规则起草。</w:t>
      </w:r>
    </w:p>
    <w:p w14:paraId="492EF0D3">
      <w:pPr>
        <w:ind w:firstLine="420" w:firstLineChars="200"/>
      </w:pPr>
      <w:r>
        <w:t>请注意本文件的某些内容可能涉及专利。本文件的发布机构不承担识别专利的责任。</w:t>
      </w:r>
    </w:p>
    <w:p w14:paraId="28D9BD53">
      <w:pPr>
        <w:ind w:firstLine="420" w:firstLineChars="200"/>
      </w:pPr>
      <w:bookmarkStart w:id="25" w:name="_GoBack"/>
      <w:r>
        <w:t>本标准由中国特钢企业协会团体标准化工作委员会、中关村不锈及特种合金新材料产业技术创新联盟标准化工作委员会联合提出并归</w:t>
      </w:r>
      <w:bookmarkEnd w:id="25"/>
      <w:r>
        <w:t>口。</w:t>
      </w:r>
    </w:p>
    <w:p w14:paraId="4440D77E">
      <w:pPr>
        <w:pStyle w:val="25"/>
        <w:rPr>
          <w:rFonts w:ascii="Times New Roman"/>
        </w:rPr>
      </w:pPr>
      <w:r>
        <w:rPr>
          <w:rFonts w:ascii="Times New Roman"/>
        </w:rPr>
        <w:t>本文件起草单位：</w:t>
      </w:r>
    </w:p>
    <w:p w14:paraId="0697DB69">
      <w:pPr>
        <w:pStyle w:val="25"/>
        <w:rPr>
          <w:rFonts w:ascii="Times New Roman"/>
        </w:rPr>
      </w:pPr>
      <w:r>
        <w:rPr>
          <w:rFonts w:ascii="Times New Roman"/>
        </w:rPr>
        <w:t>本文件主要起草人：</w:t>
      </w:r>
    </w:p>
    <w:p w14:paraId="0AC90E6F">
      <w:pPr>
        <w:pStyle w:val="25"/>
        <w:rPr>
          <w:rFonts w:ascii="Times New Roman"/>
        </w:rPr>
      </w:pPr>
    </w:p>
    <w:p w14:paraId="0FC79777">
      <w:pPr>
        <w:pStyle w:val="25"/>
        <w:rPr>
          <w:rFonts w:ascii="Times New Roman"/>
        </w:rPr>
        <w:sectPr>
          <w:headerReference r:id="rId6" w:type="default"/>
          <w:footerReference r:id="rId7" w:type="default"/>
          <w:pgSz w:w="11906" w:h="16838"/>
          <w:pgMar w:top="567" w:right="1134" w:bottom="1134" w:left="1418" w:header="1418" w:footer="1134" w:gutter="0"/>
          <w:pgNumType w:fmt="upperRoman" w:start="1"/>
          <w:cols w:space="425" w:num="1"/>
          <w:formProt w:val="0"/>
          <w:docGrid w:type="lines" w:linePitch="312" w:charSpace="0"/>
        </w:sectPr>
      </w:pPr>
    </w:p>
    <w:p w14:paraId="770A765C">
      <w:pPr>
        <w:pStyle w:val="57"/>
        <w:shd w:val="clear" w:color="auto" w:fill="auto"/>
        <w:rPr>
          <w:rFonts w:ascii="Times New Roman"/>
        </w:rPr>
      </w:pPr>
      <w:r>
        <w:rPr>
          <w:rFonts w:ascii="Times New Roman"/>
        </w:rPr>
        <w:t>铁铬铝合金宽幅板带材</w:t>
      </w:r>
    </w:p>
    <w:p w14:paraId="676BA839">
      <w:pPr>
        <w:pStyle w:val="50"/>
        <w:spacing w:before="312" w:after="312"/>
        <w:rPr>
          <w:rFonts w:ascii="Times New Roman"/>
        </w:rPr>
      </w:pPr>
      <w:bookmarkStart w:id="9" w:name="_Toc501728441"/>
      <w:bookmarkStart w:id="10" w:name="_Toc501632056"/>
      <w:r>
        <w:rPr>
          <w:rFonts w:ascii="Times New Roman"/>
        </w:rPr>
        <w:t>范围</w:t>
      </w:r>
    </w:p>
    <w:p w14:paraId="282175D7">
      <w:pPr>
        <w:pStyle w:val="25"/>
        <w:rPr>
          <w:rFonts w:ascii="Times New Roman"/>
          <w:kern w:val="2"/>
        </w:rPr>
      </w:pPr>
      <w:r>
        <w:rPr>
          <w:rFonts w:ascii="Times New Roman"/>
          <w:kern w:val="2"/>
        </w:rPr>
        <w:t>本文件规定了铁铬铝合金宽幅板带材的分类和代号、订货内容、制造工艺、技术要求、试验方法、检验规则、包装、标志及质量证明书。</w:t>
      </w:r>
    </w:p>
    <w:p w14:paraId="26B2787F">
      <w:pPr>
        <w:pStyle w:val="25"/>
        <w:rPr>
          <w:rFonts w:ascii="Times New Roman"/>
          <w:kern w:val="2"/>
        </w:rPr>
      </w:pPr>
      <w:bookmarkStart w:id="11" w:name="_Hlk33366727"/>
      <w:r>
        <w:rPr>
          <w:rFonts w:ascii="Times New Roman"/>
          <w:kern w:val="2"/>
        </w:rPr>
        <w:t>本文件适用于900mm~1300mm宽度的铁铬铝合金宽幅热轧和冷轧</w:t>
      </w:r>
      <w:r>
        <w:rPr>
          <w:rFonts w:ascii="Times New Roman"/>
        </w:rPr>
        <w:t>板带材</w:t>
      </w:r>
      <w:r>
        <w:rPr>
          <w:rFonts w:ascii="Times New Roman"/>
          <w:kern w:val="2"/>
        </w:rPr>
        <w:t>（以下简称</w:t>
      </w:r>
      <w:r>
        <w:rPr>
          <w:rFonts w:ascii="Times New Roman"/>
        </w:rPr>
        <w:t>板带材</w:t>
      </w:r>
      <w:r>
        <w:rPr>
          <w:rFonts w:ascii="Times New Roman"/>
          <w:kern w:val="2"/>
        </w:rPr>
        <w:t>）。</w:t>
      </w:r>
    </w:p>
    <w:bookmarkEnd w:id="11"/>
    <w:p w14:paraId="27C56D3D">
      <w:pPr>
        <w:pStyle w:val="50"/>
        <w:spacing w:before="312" w:after="312"/>
        <w:rPr>
          <w:rFonts w:ascii="Times New Roman"/>
        </w:rPr>
      </w:pPr>
      <w:r>
        <w:rPr>
          <w:rFonts w:ascii="Times New Roman"/>
        </w:rPr>
        <w:t>规范性引用文件</w:t>
      </w:r>
      <w:bookmarkEnd w:id="9"/>
      <w:bookmarkEnd w:id="10"/>
    </w:p>
    <w:p w14:paraId="5BFC937A">
      <w:pPr>
        <w:pStyle w:val="25"/>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3B292C1">
      <w:pPr>
        <w:pStyle w:val="25"/>
        <w:spacing w:after="0" w:line="240" w:lineRule="auto"/>
        <w:rPr>
          <w:rFonts w:ascii="Times New Roman" w:eastAsiaTheme="minorEastAsia"/>
        </w:rPr>
      </w:pPr>
      <w:r>
        <w:rPr>
          <w:rFonts w:ascii="Times New Roman" w:eastAsiaTheme="minorEastAsia"/>
        </w:rPr>
        <w:t>GB/T 223.5</w:t>
      </w:r>
      <w:r>
        <w:rPr>
          <w:rFonts w:hint="eastAsia" w:ascii="Times New Roman" w:eastAsiaTheme="minorEastAsia"/>
        </w:rPr>
        <w:t xml:space="preserve">   钢铁  酸溶硅和全硅含量的测定  还原型硅钼酸盐分光光度法</w:t>
      </w:r>
    </w:p>
    <w:p w14:paraId="52117512">
      <w:pPr>
        <w:pStyle w:val="25"/>
        <w:spacing w:after="0" w:line="240" w:lineRule="auto"/>
        <w:rPr>
          <w:rFonts w:ascii="Times New Roman" w:eastAsiaTheme="minorEastAsia"/>
        </w:rPr>
      </w:pPr>
      <w:r>
        <w:rPr>
          <w:rFonts w:ascii="Times New Roman" w:eastAsiaTheme="minorEastAsia"/>
        </w:rPr>
        <w:t>GB/T 223.8   钢铁及合金化学分析方法 氟化钠分离-EDTA滴定法测定铝含量</w:t>
      </w:r>
    </w:p>
    <w:p w14:paraId="02C50B6F">
      <w:pPr>
        <w:pStyle w:val="25"/>
        <w:spacing w:after="0" w:line="240" w:lineRule="auto"/>
        <w:rPr>
          <w:rFonts w:ascii="Times New Roman" w:eastAsiaTheme="minorEastAsia"/>
        </w:rPr>
      </w:pPr>
      <w:r>
        <w:rPr>
          <w:rFonts w:ascii="Times New Roman" w:eastAsiaTheme="minorEastAsia"/>
        </w:rPr>
        <w:t>GB/T 223.11  钢铁及合金  铬含量的测定  可视滴定或电位滴定法</w:t>
      </w:r>
    </w:p>
    <w:p w14:paraId="5C545745">
      <w:pPr>
        <w:pStyle w:val="25"/>
        <w:spacing w:after="0" w:line="240" w:lineRule="auto"/>
        <w:rPr>
          <w:rFonts w:ascii="Times New Roman" w:eastAsiaTheme="minorEastAsia"/>
        </w:rPr>
      </w:pPr>
      <w:r>
        <w:rPr>
          <w:rFonts w:ascii="Times New Roman" w:eastAsiaTheme="minorEastAsia"/>
        </w:rPr>
        <w:t>GB/T 223.17  钢铁及合金化学分析方法  二安替比林甲烷光度法测定钛量</w:t>
      </w:r>
    </w:p>
    <w:p w14:paraId="2AA4E9E1">
      <w:pPr>
        <w:pStyle w:val="25"/>
        <w:spacing w:after="0" w:line="240" w:lineRule="auto"/>
        <w:rPr>
          <w:rFonts w:ascii="Times New Roman" w:eastAsiaTheme="minorEastAsia"/>
        </w:rPr>
      </w:pPr>
      <w:r>
        <w:rPr>
          <w:rFonts w:ascii="Times New Roman" w:eastAsiaTheme="minorEastAsia"/>
        </w:rPr>
        <w:t>GB/T 223.23  钢铁及合金  镍含量的测定  丁二酮肟分光光度法</w:t>
      </w:r>
    </w:p>
    <w:p w14:paraId="13AD383B">
      <w:pPr>
        <w:pStyle w:val="25"/>
        <w:spacing w:after="0" w:line="240" w:lineRule="auto"/>
        <w:rPr>
          <w:rFonts w:ascii="Times New Roman" w:eastAsiaTheme="minorEastAsia"/>
        </w:rPr>
      </w:pPr>
      <w:r>
        <w:rPr>
          <w:rFonts w:ascii="Times New Roman" w:eastAsiaTheme="minorEastAsia"/>
        </w:rPr>
        <w:t>GB/T 223.28  钢铁及合金化学分析方法  α-安息香肟重量法测定钼量</w:t>
      </w:r>
    </w:p>
    <w:p w14:paraId="7752DA97">
      <w:pPr>
        <w:pStyle w:val="25"/>
        <w:spacing w:after="0" w:line="240" w:lineRule="auto"/>
        <w:rPr>
          <w:rFonts w:ascii="Times New Roman" w:eastAsiaTheme="minorEastAsia"/>
        </w:rPr>
      </w:pPr>
      <w:r>
        <w:rPr>
          <w:rFonts w:ascii="Times New Roman" w:eastAsiaTheme="minorEastAsia"/>
        </w:rPr>
        <w:t>GB/T 223.30  钢铁及合金化学分析方法  对-溴苦杏仁酸沉淀分离-偶氮胂Ⅲ分光光度法测定锆量</w:t>
      </w:r>
    </w:p>
    <w:p w14:paraId="4098C4AC">
      <w:pPr>
        <w:pStyle w:val="25"/>
        <w:spacing w:after="0" w:line="240" w:lineRule="auto"/>
        <w:rPr>
          <w:rFonts w:ascii="Times New Roman" w:eastAsiaTheme="minorEastAsia"/>
        </w:rPr>
      </w:pPr>
      <w:r>
        <w:rPr>
          <w:rFonts w:ascii="Times New Roman" w:eastAsiaTheme="minorEastAsia"/>
        </w:rPr>
        <w:t>GB/T 223.40  钢铁及合金  铌含量的测定氯磺酚S分光光度法</w:t>
      </w:r>
    </w:p>
    <w:p w14:paraId="3FBDD107">
      <w:pPr>
        <w:pStyle w:val="25"/>
        <w:spacing w:after="0" w:line="240" w:lineRule="auto"/>
        <w:rPr>
          <w:rFonts w:ascii="Times New Roman" w:eastAsiaTheme="minorEastAsia"/>
        </w:rPr>
      </w:pPr>
      <w:r>
        <w:rPr>
          <w:rFonts w:ascii="Times New Roman" w:eastAsiaTheme="minorEastAsia"/>
        </w:rPr>
        <w:t>GB/T 223.49  钢铁及合金化学分析方法  萃取分离-偶氮氯膦mA分光光度法测定稀土总量</w:t>
      </w:r>
    </w:p>
    <w:p w14:paraId="7008CB83">
      <w:pPr>
        <w:pStyle w:val="25"/>
        <w:spacing w:after="0" w:line="240" w:lineRule="auto"/>
        <w:rPr>
          <w:rFonts w:ascii="Times New Roman" w:eastAsiaTheme="minorEastAsia"/>
        </w:rPr>
      </w:pPr>
      <w:r>
        <w:rPr>
          <w:rFonts w:ascii="Times New Roman" w:eastAsiaTheme="minorEastAsia"/>
        </w:rPr>
        <w:t>GB/T 223.59  钢铁及合金  磷含量的测定  铋磷钼蓝分光光度法和锑磷钼蓝分光光度法</w:t>
      </w:r>
    </w:p>
    <w:p w14:paraId="07D46B1F">
      <w:pPr>
        <w:pStyle w:val="25"/>
        <w:spacing w:after="0" w:line="240" w:lineRule="auto"/>
        <w:rPr>
          <w:rFonts w:ascii="Times New Roman" w:eastAsiaTheme="minorEastAsia"/>
        </w:rPr>
      </w:pPr>
      <w:r>
        <w:rPr>
          <w:rFonts w:ascii="Times New Roman" w:eastAsiaTheme="minorEastAsia"/>
        </w:rPr>
        <w:t xml:space="preserve">GB/T 223.60  钢铁及合金  硅含量的测定  重量法 </w:t>
      </w:r>
    </w:p>
    <w:p w14:paraId="62F9E718">
      <w:pPr>
        <w:pStyle w:val="25"/>
        <w:spacing w:after="0" w:line="240" w:lineRule="auto"/>
        <w:rPr>
          <w:rFonts w:ascii="Times New Roman" w:eastAsiaTheme="minorEastAsia"/>
        </w:rPr>
      </w:pPr>
      <w:r>
        <w:rPr>
          <w:rFonts w:ascii="Times New Roman" w:eastAsiaTheme="minorEastAsia"/>
        </w:rPr>
        <w:t>GB/T</w:t>
      </w:r>
      <w:r>
        <w:rPr>
          <w:rFonts w:hint="eastAsia" w:ascii="Times New Roman" w:eastAsiaTheme="minorEastAsia"/>
        </w:rPr>
        <w:t xml:space="preserve"> </w:t>
      </w:r>
      <w:r>
        <w:rPr>
          <w:rFonts w:ascii="Times New Roman" w:eastAsiaTheme="minorEastAsia"/>
        </w:rPr>
        <w:t>223.63  钢铁及合金  锰含量的测定  高碘酸钠（钾）分光光度法</w:t>
      </w:r>
    </w:p>
    <w:p w14:paraId="282363DB">
      <w:pPr>
        <w:pStyle w:val="25"/>
        <w:spacing w:after="0" w:line="240" w:lineRule="auto"/>
        <w:rPr>
          <w:rFonts w:ascii="Times New Roman" w:eastAsiaTheme="minorEastAsia"/>
        </w:rPr>
      </w:pPr>
      <w:r>
        <w:rPr>
          <w:rFonts w:ascii="Times New Roman" w:eastAsiaTheme="minorEastAsia"/>
        </w:rPr>
        <w:t>GB/T 223.65  钢铁及合金  钴含量的测定  火焰原子吸收光谱法</w:t>
      </w:r>
    </w:p>
    <w:p w14:paraId="70BA7DC1">
      <w:pPr>
        <w:pStyle w:val="25"/>
        <w:spacing w:after="0" w:line="240" w:lineRule="auto"/>
        <w:rPr>
          <w:rFonts w:ascii="Times New Roman" w:eastAsiaTheme="minorEastAsia"/>
        </w:rPr>
      </w:pPr>
      <w:r>
        <w:rPr>
          <w:rFonts w:ascii="Times New Roman" w:eastAsiaTheme="minorEastAsia"/>
        </w:rPr>
        <w:t>GB/T 223.68  钢铁及合金化学分析方法  管式炉内燃烧后碘酸钾滴定法测定硫含量</w:t>
      </w:r>
    </w:p>
    <w:p w14:paraId="3D7753F8">
      <w:pPr>
        <w:pStyle w:val="25"/>
        <w:spacing w:after="0" w:line="240" w:lineRule="auto"/>
        <w:rPr>
          <w:rFonts w:ascii="Times New Roman" w:eastAsiaTheme="minorEastAsia"/>
        </w:rPr>
      </w:pPr>
      <w:r>
        <w:rPr>
          <w:rFonts w:ascii="Times New Roman" w:eastAsiaTheme="minorEastAsia"/>
        </w:rPr>
        <w:t>GB/T 223.79  钢铁  多元素含量的测定  X-射线荧光光谱法（常规法）</w:t>
      </w:r>
    </w:p>
    <w:p w14:paraId="25DD1881">
      <w:pPr>
        <w:pStyle w:val="25"/>
        <w:spacing w:after="0" w:line="240" w:lineRule="auto"/>
        <w:rPr>
          <w:rFonts w:ascii="Times New Roman" w:eastAsiaTheme="minorEastAsia"/>
        </w:rPr>
      </w:pPr>
      <w:r>
        <w:rPr>
          <w:rFonts w:ascii="Times New Roman" w:eastAsiaTheme="minorEastAsia"/>
        </w:rPr>
        <w:t>GB/T 223.86  钢铁及合金  总碳含量的测定  感应炉燃烧后红外吸收法</w:t>
      </w:r>
    </w:p>
    <w:p w14:paraId="2E01C450">
      <w:pPr>
        <w:pStyle w:val="25"/>
        <w:spacing w:after="0" w:line="240" w:lineRule="auto"/>
        <w:rPr>
          <w:rFonts w:ascii="Times New Roman" w:eastAsiaTheme="minorEastAsia"/>
        </w:rPr>
      </w:pPr>
      <w:r>
        <w:rPr>
          <w:rFonts w:ascii="Times New Roman" w:eastAsiaTheme="minorEastAsia"/>
        </w:rPr>
        <w:t>GB/T 228.1</w:t>
      </w:r>
      <w:r>
        <w:rPr>
          <w:rFonts w:hint="eastAsia" w:ascii="Times New Roman" w:eastAsiaTheme="minorEastAsia"/>
        </w:rPr>
        <w:t>-2021</w:t>
      </w:r>
      <w:r>
        <w:rPr>
          <w:rFonts w:ascii="Times New Roman" w:eastAsiaTheme="minorEastAsia"/>
        </w:rPr>
        <w:t xml:space="preserve">  金属材料  拉伸试验  第1部分：室温试验方法</w:t>
      </w:r>
    </w:p>
    <w:p w14:paraId="14D4F46D">
      <w:pPr>
        <w:pStyle w:val="25"/>
        <w:spacing w:after="0" w:line="240" w:lineRule="auto"/>
        <w:rPr>
          <w:rFonts w:ascii="Times New Roman" w:eastAsiaTheme="minorEastAsia"/>
        </w:rPr>
      </w:pPr>
      <w:r>
        <w:rPr>
          <w:rFonts w:ascii="Times New Roman" w:eastAsiaTheme="minorEastAsia"/>
        </w:rPr>
        <w:t>GB/T 232  金属材料弯曲试验方法</w:t>
      </w:r>
    </w:p>
    <w:p w14:paraId="48B1B863">
      <w:pPr>
        <w:pStyle w:val="25"/>
        <w:spacing w:after="0" w:line="240" w:lineRule="auto"/>
        <w:rPr>
          <w:rFonts w:ascii="Times New Roman" w:eastAsiaTheme="minorEastAsia"/>
        </w:rPr>
      </w:pPr>
      <w:r>
        <w:rPr>
          <w:rFonts w:ascii="Times New Roman" w:eastAsiaTheme="minorEastAsia"/>
        </w:rPr>
        <w:t>GB/T 247  钢板和钢带包装、标志及质量证明书的一般规定</w:t>
      </w:r>
    </w:p>
    <w:p w14:paraId="64FB900B">
      <w:pPr>
        <w:pStyle w:val="25"/>
        <w:spacing w:after="0" w:line="240" w:lineRule="auto"/>
        <w:rPr>
          <w:rFonts w:ascii="Times New Roman" w:eastAsiaTheme="minorEastAsia"/>
        </w:rPr>
      </w:pPr>
      <w:r>
        <w:rPr>
          <w:rFonts w:ascii="Times New Roman" w:eastAsiaTheme="minorEastAsia"/>
        </w:rPr>
        <w:t>GB/T 1234  高电阻电热合金</w:t>
      </w:r>
    </w:p>
    <w:p w14:paraId="21D1ED49">
      <w:pPr>
        <w:pStyle w:val="25"/>
        <w:spacing w:after="0" w:line="240" w:lineRule="auto"/>
        <w:rPr>
          <w:rFonts w:ascii="Times New Roman" w:eastAsiaTheme="minorEastAsia"/>
        </w:rPr>
      </w:pPr>
      <w:r>
        <w:rPr>
          <w:rFonts w:ascii="Times New Roman" w:eastAsiaTheme="minorEastAsia"/>
        </w:rPr>
        <w:t>GB/T 2975  钢及钢产品  力学性能试验取样位置及试样制备</w:t>
      </w:r>
    </w:p>
    <w:p w14:paraId="0D88C398">
      <w:pPr>
        <w:pStyle w:val="25"/>
        <w:spacing w:after="0" w:line="240" w:lineRule="auto"/>
        <w:rPr>
          <w:rFonts w:ascii="Times New Roman" w:eastAsiaTheme="minorEastAsia"/>
        </w:rPr>
      </w:pPr>
      <w:r>
        <w:rPr>
          <w:rFonts w:ascii="Times New Roman" w:eastAsiaTheme="minorEastAsia"/>
        </w:rPr>
        <w:t>GB/T 3280  不锈钢冷轧钢板和钢带</w:t>
      </w:r>
    </w:p>
    <w:p w14:paraId="52C448ED">
      <w:pPr>
        <w:pStyle w:val="25"/>
        <w:spacing w:after="0" w:line="240" w:lineRule="auto"/>
        <w:rPr>
          <w:rFonts w:ascii="Times New Roman" w:eastAsiaTheme="minorEastAsia"/>
        </w:rPr>
      </w:pPr>
      <w:r>
        <w:rPr>
          <w:rFonts w:ascii="Times New Roman" w:eastAsiaTheme="minorEastAsia"/>
        </w:rPr>
        <w:t>GB/T 4237  不锈钢热轧钢板和钢带</w:t>
      </w:r>
    </w:p>
    <w:p w14:paraId="49E8B66C">
      <w:pPr>
        <w:pStyle w:val="25"/>
        <w:spacing w:after="0" w:line="240" w:lineRule="auto"/>
        <w:rPr>
          <w:rFonts w:ascii="Times New Roman" w:eastAsiaTheme="minorEastAsia"/>
        </w:rPr>
      </w:pPr>
      <w:r>
        <w:rPr>
          <w:rFonts w:ascii="Times New Roman" w:eastAsiaTheme="minorEastAsia"/>
        </w:rPr>
        <w:t>GB/T 8170  数值修约规则与极限数值的表示和判定</w:t>
      </w:r>
    </w:p>
    <w:p w14:paraId="7FAB3C59">
      <w:pPr>
        <w:pStyle w:val="25"/>
        <w:spacing w:after="0" w:line="240" w:lineRule="auto"/>
        <w:rPr>
          <w:rFonts w:ascii="Times New Roman" w:eastAsiaTheme="minorEastAsia"/>
        </w:rPr>
      </w:pPr>
      <w:r>
        <w:rPr>
          <w:rFonts w:ascii="Times New Roman" w:eastAsiaTheme="minorEastAsia"/>
        </w:rPr>
        <w:t>GB/T 11170  不锈钢 多元素含量的测定 火花放电原子发射光谱法（常规法）</w:t>
      </w:r>
    </w:p>
    <w:p w14:paraId="673730D8">
      <w:pPr>
        <w:pStyle w:val="25"/>
        <w:spacing w:after="0" w:line="240" w:lineRule="auto"/>
        <w:rPr>
          <w:rFonts w:ascii="Times New Roman" w:eastAsiaTheme="minorEastAsia"/>
        </w:rPr>
      </w:pPr>
      <w:r>
        <w:rPr>
          <w:rFonts w:ascii="Times New Roman" w:eastAsiaTheme="minorEastAsia"/>
        </w:rPr>
        <w:t>GB/T 13303  钢的抗氧化性能测定方法</w:t>
      </w:r>
    </w:p>
    <w:p w14:paraId="4B59BAE4">
      <w:pPr>
        <w:pStyle w:val="25"/>
        <w:spacing w:after="0" w:line="240" w:lineRule="auto"/>
        <w:rPr>
          <w:rFonts w:ascii="Times New Roman" w:eastAsiaTheme="minorEastAsia"/>
        </w:rPr>
      </w:pPr>
      <w:r>
        <w:rPr>
          <w:rFonts w:ascii="Times New Roman" w:eastAsiaTheme="minorEastAsia"/>
        </w:rPr>
        <w:t>GB/T 17505  钢及钢产品交货一般技术要求</w:t>
      </w:r>
    </w:p>
    <w:p w14:paraId="7975EF6D">
      <w:pPr>
        <w:pStyle w:val="50"/>
        <w:spacing w:before="312" w:after="312"/>
        <w:rPr>
          <w:rFonts w:ascii="Times New Roman" w:eastAsia="宋体"/>
        </w:rPr>
      </w:pPr>
      <w:r>
        <w:rPr>
          <w:rFonts w:ascii="Times New Roman" w:eastAsiaTheme="minorEastAsia"/>
        </w:rPr>
        <w:t>GB/T 20066  钢和铁化学成分测定用试样的取样和制样方法</w:t>
      </w:r>
      <w:r>
        <w:rPr>
          <w:rFonts w:ascii="Times New Roman"/>
        </w:rPr>
        <w:t>术语和定义</w:t>
      </w:r>
    </w:p>
    <w:p w14:paraId="3C6F23B5">
      <w:pPr>
        <w:ind w:firstLine="420" w:firstLineChars="200"/>
      </w:pPr>
      <w:bookmarkStart w:id="12" w:name="_Toc501632057"/>
      <w:bookmarkEnd w:id="12"/>
      <w:r>
        <w:t>本文件没有需要界定的术语和定义。</w:t>
      </w:r>
    </w:p>
    <w:p w14:paraId="0EB99B04">
      <w:pPr>
        <w:pStyle w:val="50"/>
        <w:spacing w:before="312" w:after="312"/>
        <w:rPr>
          <w:rFonts w:ascii="Times New Roman"/>
        </w:rPr>
      </w:pPr>
      <w:r>
        <w:rPr>
          <w:rFonts w:ascii="Times New Roman"/>
        </w:rPr>
        <w:t>分类和代号</w:t>
      </w:r>
    </w:p>
    <w:p w14:paraId="017CAE24">
      <w:pPr>
        <w:pStyle w:val="25"/>
        <w:ind w:firstLine="630" w:firstLineChars="300"/>
        <w:rPr>
          <w:rFonts w:ascii="Times New Roman"/>
          <w:szCs w:val="22"/>
        </w:rPr>
      </w:pPr>
      <w:r>
        <w:rPr>
          <w:rFonts w:ascii="Times New Roman"/>
          <w:szCs w:val="22"/>
        </w:rPr>
        <w:t>按边缘状态可分为：</w:t>
      </w:r>
    </w:p>
    <w:p w14:paraId="27314BB5">
      <w:pPr>
        <w:pStyle w:val="25"/>
        <w:ind w:firstLine="630" w:firstLineChars="300"/>
        <w:rPr>
          <w:rFonts w:ascii="Times New Roman"/>
        </w:rPr>
      </w:pPr>
      <w:r>
        <w:rPr>
          <w:rFonts w:ascii="Times New Roman"/>
        </w:rPr>
        <w:t>a）切边，EC；</w:t>
      </w:r>
    </w:p>
    <w:p w14:paraId="2932342D">
      <w:pPr>
        <w:pStyle w:val="25"/>
        <w:ind w:firstLine="630" w:firstLineChars="300"/>
        <w:rPr>
          <w:rFonts w:ascii="Times New Roman"/>
        </w:rPr>
      </w:pPr>
      <w:r>
        <w:rPr>
          <w:rFonts w:ascii="Times New Roman"/>
        </w:rPr>
        <w:t>b）不切边，EM。</w:t>
      </w:r>
    </w:p>
    <w:p w14:paraId="06086407">
      <w:pPr>
        <w:pStyle w:val="50"/>
        <w:spacing w:before="312" w:after="312"/>
        <w:rPr>
          <w:rFonts w:ascii="Times New Roman"/>
        </w:rPr>
      </w:pPr>
      <w:r>
        <w:rPr>
          <w:rFonts w:ascii="Times New Roman"/>
        </w:rPr>
        <w:t>订货内容</w:t>
      </w:r>
    </w:p>
    <w:p w14:paraId="0AF208D2">
      <w:pPr>
        <w:pStyle w:val="66"/>
        <w:numPr>
          <w:ilvl w:val="255"/>
          <w:numId w:val="0"/>
        </w:numPr>
        <w:spacing w:after="0" w:line="240" w:lineRule="auto"/>
        <w:ind w:left="780" w:hanging="360"/>
        <w:rPr>
          <w:rFonts w:ascii="Times New Roman" w:eastAsiaTheme="minorEastAsia"/>
        </w:rPr>
      </w:pPr>
      <w:r>
        <w:rPr>
          <w:rFonts w:ascii="Times New Roman" w:eastAsiaTheme="minorEastAsia"/>
        </w:rPr>
        <w:t>按本文件订货的合同或订单应包括下列内容：</w:t>
      </w:r>
    </w:p>
    <w:p w14:paraId="024918D4">
      <w:pPr>
        <w:pStyle w:val="66"/>
        <w:numPr>
          <w:ilvl w:val="0"/>
          <w:numId w:val="18"/>
        </w:numPr>
        <w:spacing w:after="0" w:line="240" w:lineRule="auto"/>
        <w:rPr>
          <w:rFonts w:ascii="Times New Roman" w:eastAsiaTheme="minorEastAsia"/>
        </w:rPr>
      </w:pPr>
      <w:r>
        <w:rPr>
          <w:rFonts w:ascii="Times New Roman" w:eastAsiaTheme="minorEastAsia"/>
        </w:rPr>
        <w:t>本文件编号；</w:t>
      </w:r>
    </w:p>
    <w:p w14:paraId="494A1F25">
      <w:pPr>
        <w:pStyle w:val="66"/>
        <w:numPr>
          <w:ilvl w:val="0"/>
          <w:numId w:val="18"/>
        </w:numPr>
        <w:spacing w:after="0" w:line="240" w:lineRule="auto"/>
        <w:rPr>
          <w:rFonts w:ascii="Times New Roman" w:eastAsiaTheme="minorEastAsia"/>
        </w:rPr>
      </w:pPr>
      <w:r>
        <w:rPr>
          <w:rFonts w:ascii="Times New Roman" w:eastAsiaTheme="minorEastAsia"/>
        </w:rPr>
        <w:t>产品名称；</w:t>
      </w:r>
    </w:p>
    <w:p w14:paraId="3B99B163">
      <w:pPr>
        <w:pStyle w:val="66"/>
        <w:numPr>
          <w:ilvl w:val="0"/>
          <w:numId w:val="18"/>
        </w:numPr>
        <w:spacing w:after="0" w:line="240" w:lineRule="auto"/>
        <w:rPr>
          <w:rFonts w:ascii="Times New Roman" w:eastAsiaTheme="minorEastAsia"/>
        </w:rPr>
      </w:pPr>
      <w:r>
        <w:rPr>
          <w:rFonts w:ascii="Times New Roman" w:eastAsiaTheme="minorEastAsia"/>
        </w:rPr>
        <w:t>牌号；</w:t>
      </w:r>
    </w:p>
    <w:p w14:paraId="1236FB15">
      <w:pPr>
        <w:pStyle w:val="66"/>
        <w:numPr>
          <w:ilvl w:val="0"/>
          <w:numId w:val="18"/>
        </w:numPr>
        <w:spacing w:after="0" w:line="240" w:lineRule="auto"/>
        <w:rPr>
          <w:rFonts w:ascii="Times New Roman" w:eastAsiaTheme="minorEastAsia"/>
        </w:rPr>
      </w:pPr>
      <w:r>
        <w:rPr>
          <w:rFonts w:ascii="Times New Roman" w:eastAsiaTheme="minorEastAsia"/>
        </w:rPr>
        <w:t>尺寸及精度；</w:t>
      </w:r>
    </w:p>
    <w:p w14:paraId="624B1F7B">
      <w:pPr>
        <w:pStyle w:val="66"/>
        <w:numPr>
          <w:ilvl w:val="0"/>
          <w:numId w:val="18"/>
        </w:numPr>
        <w:spacing w:after="0" w:line="240" w:lineRule="auto"/>
        <w:rPr>
          <w:rFonts w:ascii="Times New Roman" w:eastAsiaTheme="minorEastAsia"/>
        </w:rPr>
      </w:pPr>
      <w:r>
        <w:rPr>
          <w:rFonts w:ascii="Times New Roman" w:eastAsiaTheme="minorEastAsia"/>
        </w:rPr>
        <w:t>边缘状态；</w:t>
      </w:r>
    </w:p>
    <w:p w14:paraId="77039D21">
      <w:pPr>
        <w:pStyle w:val="66"/>
        <w:numPr>
          <w:ilvl w:val="0"/>
          <w:numId w:val="18"/>
        </w:numPr>
        <w:spacing w:after="0" w:line="240" w:lineRule="auto"/>
        <w:rPr>
          <w:rFonts w:ascii="Times New Roman" w:eastAsiaTheme="minorEastAsia"/>
        </w:rPr>
      </w:pPr>
      <w:r>
        <w:rPr>
          <w:rFonts w:ascii="Times New Roman" w:eastAsiaTheme="minorEastAsia"/>
        </w:rPr>
        <w:t>表面加工类型；</w:t>
      </w:r>
    </w:p>
    <w:p w14:paraId="60AFE6F5">
      <w:pPr>
        <w:pStyle w:val="66"/>
        <w:numPr>
          <w:ilvl w:val="0"/>
          <w:numId w:val="18"/>
        </w:numPr>
        <w:spacing w:after="0" w:line="240" w:lineRule="auto"/>
        <w:rPr>
          <w:rFonts w:ascii="Times New Roman" w:eastAsiaTheme="minorEastAsia"/>
        </w:rPr>
      </w:pPr>
      <w:r>
        <w:rPr>
          <w:rFonts w:ascii="Times New Roman" w:eastAsiaTheme="minorEastAsia"/>
        </w:rPr>
        <w:t>重量或数量；</w:t>
      </w:r>
    </w:p>
    <w:p w14:paraId="573C3B77">
      <w:pPr>
        <w:pStyle w:val="66"/>
        <w:numPr>
          <w:ilvl w:val="0"/>
          <w:numId w:val="18"/>
        </w:numPr>
        <w:spacing w:after="0" w:line="240" w:lineRule="auto"/>
        <w:rPr>
          <w:rFonts w:ascii="Times New Roman" w:eastAsiaTheme="minorEastAsia"/>
        </w:rPr>
      </w:pPr>
      <w:r>
        <w:rPr>
          <w:rFonts w:ascii="Times New Roman" w:eastAsiaTheme="minorEastAsia"/>
        </w:rPr>
        <w:t>交货状态；</w:t>
      </w:r>
    </w:p>
    <w:p w14:paraId="3CC224BD">
      <w:pPr>
        <w:pStyle w:val="66"/>
        <w:numPr>
          <w:ilvl w:val="0"/>
          <w:numId w:val="18"/>
        </w:numPr>
        <w:spacing w:after="0" w:line="240" w:lineRule="auto"/>
        <w:rPr>
          <w:rFonts w:ascii="Times New Roman" w:eastAsiaTheme="minorEastAsia"/>
        </w:rPr>
      </w:pPr>
      <w:r>
        <w:rPr>
          <w:rFonts w:ascii="Times New Roman" w:eastAsiaTheme="minorEastAsia"/>
        </w:rPr>
        <w:t>特殊要求。</w:t>
      </w:r>
    </w:p>
    <w:p w14:paraId="7F083EB3">
      <w:pPr>
        <w:pStyle w:val="50"/>
        <w:spacing w:before="312" w:after="312"/>
        <w:rPr>
          <w:rFonts w:ascii="Times New Roman"/>
        </w:rPr>
      </w:pPr>
      <w:r>
        <w:rPr>
          <w:rFonts w:ascii="Times New Roman"/>
        </w:rPr>
        <w:t>制造工艺</w:t>
      </w:r>
    </w:p>
    <w:p w14:paraId="7A5A4346">
      <w:pPr>
        <w:pStyle w:val="46"/>
        <w:spacing w:before="156" w:after="156"/>
        <w:rPr>
          <w:rFonts w:ascii="Times New Roman"/>
          <w:szCs w:val="20"/>
        </w:rPr>
      </w:pPr>
      <w:r>
        <w:rPr>
          <w:rFonts w:ascii="Times New Roman"/>
          <w:szCs w:val="20"/>
        </w:rPr>
        <w:t>冶炼方法</w:t>
      </w:r>
    </w:p>
    <w:p w14:paraId="73D3C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20" w:firstLineChars="200"/>
        <w:jc w:val="left"/>
        <w:rPr>
          <w:kern w:val="0"/>
          <w:szCs w:val="20"/>
        </w:rPr>
      </w:pPr>
      <w:r>
        <w:rPr>
          <w:kern w:val="0"/>
          <w:szCs w:val="20"/>
        </w:rPr>
        <w:t>合金由转炉或电炉冶炼，并采用炉外精炼工艺，经供需双方协商，并在合同中注明，也可采用其他冶炼方法。</w:t>
      </w:r>
    </w:p>
    <w:p w14:paraId="1E18B90D">
      <w:pPr>
        <w:pStyle w:val="46"/>
        <w:spacing w:before="156" w:after="156"/>
        <w:rPr>
          <w:rFonts w:ascii="Times New Roman"/>
        </w:rPr>
      </w:pPr>
      <w:r>
        <w:rPr>
          <w:rFonts w:ascii="Times New Roman"/>
          <w:szCs w:val="20"/>
        </w:rPr>
        <w:t>交货状态</w:t>
      </w:r>
    </w:p>
    <w:p w14:paraId="357FFA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20" w:firstLineChars="200"/>
        <w:jc w:val="left"/>
      </w:pPr>
      <w:bookmarkStart w:id="13" w:name="_Hlk187227518"/>
      <w:r>
        <w:t>板带材经热轧或冷轧后，可进行热处理及酸洗或类似处理后交货。当进行光亮热处理时，可省去酸洗等处理。必要时可进行矫直、平整或研磨。热处理制度参见附录</w:t>
      </w:r>
      <w:r>
        <w:rPr>
          <w:rFonts w:hint="eastAsia"/>
        </w:rPr>
        <w:t>A</w:t>
      </w:r>
      <w:r>
        <w:t>。</w:t>
      </w:r>
      <w:bookmarkEnd w:id="13"/>
    </w:p>
    <w:p w14:paraId="09A94FEC">
      <w:pPr>
        <w:pStyle w:val="50"/>
        <w:spacing w:before="312" w:after="312"/>
        <w:rPr>
          <w:rFonts w:ascii="Times New Roman"/>
        </w:rPr>
      </w:pPr>
      <w:r>
        <w:rPr>
          <w:rFonts w:ascii="Times New Roman"/>
        </w:rPr>
        <w:t>技术要求</w:t>
      </w:r>
    </w:p>
    <w:p w14:paraId="3F6BB9DF">
      <w:pPr>
        <w:pStyle w:val="46"/>
        <w:spacing w:before="156" w:after="156"/>
        <w:rPr>
          <w:rFonts w:ascii="Times New Roman"/>
          <w:szCs w:val="20"/>
        </w:rPr>
      </w:pPr>
      <w:r>
        <w:rPr>
          <w:rFonts w:ascii="Times New Roman"/>
          <w:szCs w:val="20"/>
        </w:rPr>
        <w:t>牌号及化学成分</w:t>
      </w:r>
    </w:p>
    <w:p w14:paraId="22C66F23">
      <w:pPr>
        <w:widowControl/>
        <w:numPr>
          <w:ilvl w:val="2"/>
          <w:numId w:val="2"/>
        </w:numPr>
        <w:spacing w:before="156" w:beforeLines="50" w:after="156" w:afterLines="50"/>
        <w:ind w:left="0"/>
        <w:jc w:val="left"/>
        <w:outlineLvl w:val="3"/>
        <w:rPr>
          <w:kern w:val="0"/>
          <w:szCs w:val="21"/>
        </w:rPr>
      </w:pPr>
      <w:r>
        <w:rPr>
          <w:kern w:val="0"/>
          <w:szCs w:val="21"/>
        </w:rPr>
        <w:t>合金牌号和化学成分（熔炼成分和成品成分）应符合表1的规定</w:t>
      </w:r>
      <w:bookmarkStart w:id="14" w:name="_Hlk69233999"/>
      <w:r>
        <w:rPr>
          <w:kern w:val="0"/>
          <w:szCs w:val="21"/>
        </w:rPr>
        <w:t>。如供方可保证成分要求，</w:t>
      </w:r>
      <w:r>
        <w:t>可不进行成品成分分析。</w:t>
      </w:r>
    </w:p>
    <w:bookmarkEnd w:id="14"/>
    <w:p w14:paraId="31A2645D">
      <w:pPr>
        <w:pStyle w:val="133"/>
        <w:spacing w:before="156" w:after="156"/>
        <w:ind w:left="709"/>
        <w:rPr>
          <w:rFonts w:ascii="Times New Roman"/>
        </w:rPr>
      </w:pPr>
      <w:r>
        <w:rPr>
          <w:rFonts w:ascii="Times New Roman"/>
        </w:rPr>
        <w:t>牌号和化学成分</w:t>
      </w:r>
    </w:p>
    <w:tbl>
      <w:tblPr>
        <w:tblStyle w:val="36"/>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680"/>
        <w:gridCol w:w="964"/>
        <w:gridCol w:w="680"/>
        <w:gridCol w:w="737"/>
        <w:gridCol w:w="737"/>
        <w:gridCol w:w="964"/>
        <w:gridCol w:w="794"/>
        <w:gridCol w:w="680"/>
        <w:gridCol w:w="2211"/>
      </w:tblGrid>
      <w:tr w14:paraId="43CC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4" w:type="dxa"/>
            <w:vMerge w:val="restart"/>
            <w:vAlign w:val="center"/>
          </w:tcPr>
          <w:p w14:paraId="3DF104AC">
            <w:pPr>
              <w:jc w:val="center"/>
              <w:rPr>
                <w:b/>
                <w:bCs/>
                <w:sz w:val="18"/>
                <w:szCs w:val="18"/>
              </w:rPr>
            </w:pPr>
            <w:r>
              <w:rPr>
                <w:rFonts w:hint="eastAsia"/>
                <w:b/>
                <w:bCs/>
                <w:sz w:val="18"/>
                <w:szCs w:val="18"/>
              </w:rPr>
              <w:t>牌号</w:t>
            </w:r>
          </w:p>
        </w:tc>
        <w:tc>
          <w:tcPr>
            <w:tcW w:w="8447" w:type="dxa"/>
            <w:gridSpan w:val="9"/>
            <w:vAlign w:val="center"/>
          </w:tcPr>
          <w:p w14:paraId="624D1FDC">
            <w:pPr>
              <w:jc w:val="center"/>
              <w:rPr>
                <w:b/>
                <w:bCs/>
                <w:sz w:val="18"/>
                <w:szCs w:val="18"/>
              </w:rPr>
            </w:pPr>
            <w:r>
              <w:rPr>
                <w:rFonts w:hint="eastAsia"/>
                <w:b/>
                <w:bCs/>
                <w:sz w:val="18"/>
                <w:szCs w:val="18"/>
              </w:rPr>
              <w:t>化学成分（熔炼成分和成品成分质量分数）/%</w:t>
            </w:r>
          </w:p>
        </w:tc>
      </w:tr>
      <w:tr w14:paraId="6E7B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4" w:type="dxa"/>
            <w:vMerge w:val="continue"/>
            <w:vAlign w:val="center"/>
          </w:tcPr>
          <w:p w14:paraId="0BA37C35">
            <w:pPr>
              <w:jc w:val="center"/>
              <w:rPr>
                <w:b/>
                <w:bCs/>
                <w:sz w:val="18"/>
                <w:szCs w:val="18"/>
              </w:rPr>
            </w:pPr>
          </w:p>
        </w:tc>
        <w:tc>
          <w:tcPr>
            <w:tcW w:w="680" w:type="dxa"/>
            <w:vAlign w:val="center"/>
          </w:tcPr>
          <w:p w14:paraId="19E0B873">
            <w:pPr>
              <w:jc w:val="center"/>
              <w:rPr>
                <w:b/>
                <w:bCs/>
                <w:sz w:val="18"/>
                <w:szCs w:val="18"/>
              </w:rPr>
            </w:pPr>
            <w:r>
              <w:rPr>
                <w:b/>
                <w:bCs/>
                <w:sz w:val="18"/>
                <w:szCs w:val="18"/>
              </w:rPr>
              <w:t>C</w:t>
            </w:r>
          </w:p>
        </w:tc>
        <w:tc>
          <w:tcPr>
            <w:tcW w:w="964" w:type="dxa"/>
            <w:vAlign w:val="center"/>
          </w:tcPr>
          <w:p w14:paraId="5D10DA49">
            <w:pPr>
              <w:jc w:val="center"/>
              <w:rPr>
                <w:b/>
                <w:bCs/>
                <w:sz w:val="18"/>
                <w:szCs w:val="18"/>
              </w:rPr>
            </w:pPr>
            <w:r>
              <w:rPr>
                <w:b/>
                <w:bCs/>
                <w:sz w:val="18"/>
                <w:szCs w:val="18"/>
              </w:rPr>
              <w:t>Si</w:t>
            </w:r>
          </w:p>
        </w:tc>
        <w:tc>
          <w:tcPr>
            <w:tcW w:w="680" w:type="dxa"/>
            <w:vAlign w:val="center"/>
          </w:tcPr>
          <w:p w14:paraId="6A92F96F">
            <w:pPr>
              <w:jc w:val="center"/>
              <w:rPr>
                <w:b/>
                <w:bCs/>
                <w:sz w:val="18"/>
                <w:szCs w:val="18"/>
              </w:rPr>
            </w:pPr>
            <w:r>
              <w:rPr>
                <w:b/>
                <w:bCs/>
                <w:sz w:val="18"/>
                <w:szCs w:val="18"/>
              </w:rPr>
              <w:t>Mn</w:t>
            </w:r>
          </w:p>
        </w:tc>
        <w:tc>
          <w:tcPr>
            <w:tcW w:w="737" w:type="dxa"/>
            <w:vAlign w:val="center"/>
          </w:tcPr>
          <w:p w14:paraId="23780C24">
            <w:pPr>
              <w:jc w:val="center"/>
              <w:rPr>
                <w:b/>
                <w:bCs/>
                <w:sz w:val="18"/>
                <w:szCs w:val="18"/>
              </w:rPr>
            </w:pPr>
            <w:r>
              <w:rPr>
                <w:b/>
                <w:bCs/>
                <w:sz w:val="18"/>
                <w:szCs w:val="18"/>
              </w:rPr>
              <w:t>P</w:t>
            </w:r>
          </w:p>
        </w:tc>
        <w:tc>
          <w:tcPr>
            <w:tcW w:w="737" w:type="dxa"/>
            <w:vAlign w:val="center"/>
          </w:tcPr>
          <w:p w14:paraId="4F767B5F">
            <w:pPr>
              <w:jc w:val="center"/>
              <w:rPr>
                <w:b/>
                <w:bCs/>
                <w:sz w:val="18"/>
                <w:szCs w:val="18"/>
              </w:rPr>
            </w:pPr>
            <w:r>
              <w:rPr>
                <w:b/>
                <w:bCs/>
                <w:sz w:val="18"/>
                <w:szCs w:val="18"/>
              </w:rPr>
              <w:t>S</w:t>
            </w:r>
          </w:p>
        </w:tc>
        <w:tc>
          <w:tcPr>
            <w:tcW w:w="964" w:type="dxa"/>
            <w:vAlign w:val="center"/>
          </w:tcPr>
          <w:p w14:paraId="0F67D17E">
            <w:pPr>
              <w:jc w:val="center"/>
              <w:rPr>
                <w:b/>
                <w:bCs/>
                <w:sz w:val="18"/>
                <w:szCs w:val="18"/>
              </w:rPr>
            </w:pPr>
            <w:r>
              <w:rPr>
                <w:b/>
                <w:bCs/>
                <w:sz w:val="18"/>
                <w:szCs w:val="18"/>
              </w:rPr>
              <w:t>Cr</w:t>
            </w:r>
          </w:p>
        </w:tc>
        <w:tc>
          <w:tcPr>
            <w:tcW w:w="794" w:type="dxa"/>
            <w:vAlign w:val="center"/>
          </w:tcPr>
          <w:p w14:paraId="1CDC8A6B">
            <w:pPr>
              <w:jc w:val="center"/>
              <w:rPr>
                <w:b/>
                <w:bCs/>
                <w:sz w:val="18"/>
                <w:szCs w:val="18"/>
              </w:rPr>
            </w:pPr>
            <w:r>
              <w:rPr>
                <w:b/>
                <w:bCs/>
                <w:sz w:val="18"/>
                <w:szCs w:val="18"/>
              </w:rPr>
              <w:t>Al</w:t>
            </w:r>
          </w:p>
        </w:tc>
        <w:tc>
          <w:tcPr>
            <w:tcW w:w="680" w:type="dxa"/>
            <w:vAlign w:val="center"/>
          </w:tcPr>
          <w:p w14:paraId="53B6F4D3">
            <w:pPr>
              <w:jc w:val="center"/>
              <w:rPr>
                <w:b/>
                <w:bCs/>
                <w:sz w:val="18"/>
                <w:szCs w:val="18"/>
              </w:rPr>
            </w:pPr>
            <w:r>
              <w:rPr>
                <w:b/>
                <w:bCs/>
                <w:sz w:val="18"/>
                <w:szCs w:val="18"/>
              </w:rPr>
              <w:t>Ni</w:t>
            </w:r>
          </w:p>
        </w:tc>
        <w:tc>
          <w:tcPr>
            <w:tcW w:w="2211" w:type="dxa"/>
            <w:tcMar>
              <w:top w:w="57" w:type="dxa"/>
              <w:left w:w="57" w:type="dxa"/>
              <w:bottom w:w="57" w:type="dxa"/>
              <w:right w:w="57" w:type="dxa"/>
            </w:tcMar>
            <w:vAlign w:val="center"/>
          </w:tcPr>
          <w:p w14:paraId="2CDB2735">
            <w:pPr>
              <w:jc w:val="center"/>
              <w:rPr>
                <w:b/>
                <w:bCs/>
                <w:sz w:val="18"/>
                <w:szCs w:val="18"/>
              </w:rPr>
            </w:pPr>
            <w:r>
              <w:rPr>
                <w:rFonts w:hint="eastAsia"/>
                <w:b/>
                <w:bCs/>
                <w:sz w:val="18"/>
                <w:szCs w:val="18"/>
              </w:rPr>
              <w:t>其他</w:t>
            </w:r>
          </w:p>
        </w:tc>
      </w:tr>
      <w:tr w14:paraId="3E75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4" w:type="dxa"/>
            <w:vAlign w:val="center"/>
          </w:tcPr>
          <w:p w14:paraId="233E182C">
            <w:pPr>
              <w:jc w:val="center"/>
              <w:rPr>
                <w:sz w:val="18"/>
                <w:szCs w:val="18"/>
              </w:rPr>
            </w:pPr>
            <w:r>
              <w:rPr>
                <w:sz w:val="18"/>
                <w:szCs w:val="18"/>
              </w:rPr>
              <w:t>1Cr13Al2</w:t>
            </w:r>
          </w:p>
        </w:tc>
        <w:tc>
          <w:tcPr>
            <w:tcW w:w="680" w:type="dxa"/>
            <w:vAlign w:val="center"/>
          </w:tcPr>
          <w:p w14:paraId="2032070F">
            <w:pPr>
              <w:jc w:val="center"/>
              <w:rPr>
                <w:sz w:val="18"/>
                <w:szCs w:val="18"/>
              </w:rPr>
            </w:pPr>
            <w:r>
              <w:rPr>
                <w:sz w:val="18"/>
                <w:szCs w:val="18"/>
              </w:rPr>
              <w:t>≤0.08</w:t>
            </w:r>
          </w:p>
        </w:tc>
        <w:tc>
          <w:tcPr>
            <w:tcW w:w="964" w:type="dxa"/>
            <w:vAlign w:val="center"/>
          </w:tcPr>
          <w:p w14:paraId="3A459155">
            <w:pPr>
              <w:jc w:val="center"/>
              <w:rPr>
                <w:sz w:val="18"/>
                <w:szCs w:val="18"/>
              </w:rPr>
            </w:pPr>
            <w:r>
              <w:rPr>
                <w:sz w:val="18"/>
                <w:szCs w:val="18"/>
              </w:rPr>
              <w:t>≤1.00</w:t>
            </w:r>
          </w:p>
        </w:tc>
        <w:tc>
          <w:tcPr>
            <w:tcW w:w="680" w:type="dxa"/>
            <w:vAlign w:val="center"/>
          </w:tcPr>
          <w:p w14:paraId="19E53D47">
            <w:pPr>
              <w:jc w:val="center"/>
              <w:rPr>
                <w:sz w:val="18"/>
                <w:szCs w:val="18"/>
              </w:rPr>
            </w:pPr>
            <w:r>
              <w:rPr>
                <w:sz w:val="18"/>
                <w:szCs w:val="18"/>
              </w:rPr>
              <w:t>≤0.50</w:t>
            </w:r>
          </w:p>
        </w:tc>
        <w:tc>
          <w:tcPr>
            <w:tcW w:w="737" w:type="dxa"/>
            <w:vAlign w:val="center"/>
          </w:tcPr>
          <w:p w14:paraId="0A6C86A4">
            <w:pPr>
              <w:jc w:val="center"/>
              <w:rPr>
                <w:sz w:val="18"/>
                <w:szCs w:val="18"/>
              </w:rPr>
            </w:pPr>
            <w:r>
              <w:rPr>
                <w:sz w:val="18"/>
                <w:szCs w:val="18"/>
              </w:rPr>
              <w:t>≤0.025</w:t>
            </w:r>
          </w:p>
        </w:tc>
        <w:tc>
          <w:tcPr>
            <w:tcW w:w="737" w:type="dxa"/>
            <w:vAlign w:val="center"/>
          </w:tcPr>
          <w:p w14:paraId="0075FDC0">
            <w:pPr>
              <w:jc w:val="center"/>
              <w:rPr>
                <w:sz w:val="18"/>
                <w:szCs w:val="18"/>
              </w:rPr>
            </w:pPr>
            <w:r>
              <w:rPr>
                <w:sz w:val="18"/>
                <w:szCs w:val="18"/>
              </w:rPr>
              <w:t>≤0.020</w:t>
            </w:r>
          </w:p>
        </w:tc>
        <w:tc>
          <w:tcPr>
            <w:tcW w:w="964" w:type="dxa"/>
            <w:vAlign w:val="center"/>
          </w:tcPr>
          <w:p w14:paraId="49945CC1">
            <w:pPr>
              <w:jc w:val="center"/>
              <w:rPr>
                <w:sz w:val="18"/>
                <w:szCs w:val="18"/>
              </w:rPr>
            </w:pPr>
            <w:r>
              <w:rPr>
                <w:sz w:val="18"/>
                <w:szCs w:val="18"/>
              </w:rPr>
              <w:t>11.5~14.5</w:t>
            </w:r>
          </w:p>
        </w:tc>
        <w:tc>
          <w:tcPr>
            <w:tcW w:w="794" w:type="dxa"/>
            <w:vAlign w:val="center"/>
          </w:tcPr>
          <w:p w14:paraId="5BB7462F">
            <w:pPr>
              <w:jc w:val="center"/>
              <w:rPr>
                <w:sz w:val="18"/>
                <w:szCs w:val="18"/>
              </w:rPr>
            </w:pPr>
            <w:r>
              <w:rPr>
                <w:sz w:val="18"/>
                <w:szCs w:val="18"/>
              </w:rPr>
              <w:t>1.0~3.0</w:t>
            </w:r>
          </w:p>
        </w:tc>
        <w:tc>
          <w:tcPr>
            <w:tcW w:w="680" w:type="dxa"/>
            <w:vAlign w:val="center"/>
          </w:tcPr>
          <w:p w14:paraId="210C57DC">
            <w:pPr>
              <w:jc w:val="center"/>
              <w:rPr>
                <w:sz w:val="18"/>
                <w:szCs w:val="18"/>
              </w:rPr>
            </w:pPr>
            <w:r>
              <w:rPr>
                <w:sz w:val="18"/>
                <w:szCs w:val="18"/>
              </w:rPr>
              <w:t>≤0.60</w:t>
            </w:r>
          </w:p>
        </w:tc>
        <w:tc>
          <w:tcPr>
            <w:tcW w:w="2211" w:type="dxa"/>
            <w:tcMar>
              <w:top w:w="57" w:type="dxa"/>
              <w:left w:w="57" w:type="dxa"/>
              <w:bottom w:w="57" w:type="dxa"/>
              <w:right w:w="57" w:type="dxa"/>
            </w:tcMar>
            <w:vAlign w:val="center"/>
          </w:tcPr>
          <w:p w14:paraId="71936424">
            <w:pPr>
              <w:jc w:val="center"/>
              <w:rPr>
                <w:sz w:val="18"/>
                <w:szCs w:val="18"/>
              </w:rPr>
            </w:pPr>
            <w:r>
              <w:rPr>
                <w:sz w:val="18"/>
                <w:szCs w:val="18"/>
              </w:rPr>
              <w:t>—</w:t>
            </w:r>
          </w:p>
        </w:tc>
      </w:tr>
      <w:tr w14:paraId="35EC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04" w:type="dxa"/>
            <w:vAlign w:val="center"/>
          </w:tcPr>
          <w:p w14:paraId="44BC57A1">
            <w:pPr>
              <w:jc w:val="center"/>
              <w:rPr>
                <w:sz w:val="18"/>
                <w:szCs w:val="18"/>
              </w:rPr>
            </w:pPr>
            <w:r>
              <w:rPr>
                <w:sz w:val="18"/>
                <w:szCs w:val="18"/>
              </w:rPr>
              <w:t>1Cr13Al2Si</w:t>
            </w:r>
          </w:p>
        </w:tc>
        <w:tc>
          <w:tcPr>
            <w:tcW w:w="680" w:type="dxa"/>
            <w:vAlign w:val="center"/>
          </w:tcPr>
          <w:p w14:paraId="087A8BF7">
            <w:pPr>
              <w:jc w:val="center"/>
              <w:rPr>
                <w:sz w:val="18"/>
                <w:szCs w:val="18"/>
              </w:rPr>
            </w:pPr>
            <w:r>
              <w:rPr>
                <w:sz w:val="18"/>
                <w:szCs w:val="18"/>
              </w:rPr>
              <w:t>≤0.08</w:t>
            </w:r>
          </w:p>
        </w:tc>
        <w:tc>
          <w:tcPr>
            <w:tcW w:w="964" w:type="dxa"/>
            <w:vAlign w:val="center"/>
          </w:tcPr>
          <w:p w14:paraId="6058395A">
            <w:pPr>
              <w:jc w:val="center"/>
              <w:rPr>
                <w:sz w:val="18"/>
                <w:szCs w:val="18"/>
              </w:rPr>
            </w:pPr>
            <w:r>
              <w:rPr>
                <w:sz w:val="18"/>
                <w:szCs w:val="18"/>
              </w:rPr>
              <w:t>1.00~2.00</w:t>
            </w:r>
          </w:p>
        </w:tc>
        <w:tc>
          <w:tcPr>
            <w:tcW w:w="680" w:type="dxa"/>
            <w:vAlign w:val="center"/>
          </w:tcPr>
          <w:p w14:paraId="339D1B7F">
            <w:pPr>
              <w:jc w:val="center"/>
              <w:rPr>
                <w:sz w:val="18"/>
                <w:szCs w:val="18"/>
              </w:rPr>
            </w:pPr>
            <w:r>
              <w:rPr>
                <w:sz w:val="18"/>
                <w:szCs w:val="18"/>
              </w:rPr>
              <w:t>≤1.00</w:t>
            </w:r>
          </w:p>
        </w:tc>
        <w:tc>
          <w:tcPr>
            <w:tcW w:w="737" w:type="dxa"/>
            <w:vAlign w:val="center"/>
          </w:tcPr>
          <w:p w14:paraId="2D349CE5">
            <w:pPr>
              <w:jc w:val="center"/>
              <w:rPr>
                <w:sz w:val="18"/>
                <w:szCs w:val="18"/>
              </w:rPr>
            </w:pPr>
            <w:r>
              <w:rPr>
                <w:sz w:val="18"/>
                <w:szCs w:val="18"/>
              </w:rPr>
              <w:t>≤0.025</w:t>
            </w:r>
          </w:p>
        </w:tc>
        <w:tc>
          <w:tcPr>
            <w:tcW w:w="737" w:type="dxa"/>
            <w:vAlign w:val="center"/>
          </w:tcPr>
          <w:p w14:paraId="5673DB27">
            <w:pPr>
              <w:jc w:val="center"/>
              <w:rPr>
                <w:sz w:val="18"/>
                <w:szCs w:val="18"/>
              </w:rPr>
            </w:pPr>
            <w:r>
              <w:rPr>
                <w:sz w:val="18"/>
                <w:szCs w:val="18"/>
              </w:rPr>
              <w:t>≤0.020</w:t>
            </w:r>
          </w:p>
        </w:tc>
        <w:tc>
          <w:tcPr>
            <w:tcW w:w="964" w:type="dxa"/>
            <w:vAlign w:val="center"/>
          </w:tcPr>
          <w:p w14:paraId="35AB3877">
            <w:pPr>
              <w:jc w:val="center"/>
              <w:rPr>
                <w:sz w:val="18"/>
                <w:szCs w:val="18"/>
              </w:rPr>
            </w:pPr>
            <w:r>
              <w:rPr>
                <w:sz w:val="18"/>
                <w:szCs w:val="18"/>
              </w:rPr>
              <w:t>11.5~14.5</w:t>
            </w:r>
          </w:p>
        </w:tc>
        <w:tc>
          <w:tcPr>
            <w:tcW w:w="794" w:type="dxa"/>
            <w:vAlign w:val="center"/>
          </w:tcPr>
          <w:p w14:paraId="04A20A25">
            <w:pPr>
              <w:jc w:val="center"/>
              <w:rPr>
                <w:sz w:val="18"/>
                <w:szCs w:val="18"/>
              </w:rPr>
            </w:pPr>
            <w:r>
              <w:rPr>
                <w:sz w:val="18"/>
                <w:szCs w:val="18"/>
              </w:rPr>
              <w:t>1.0~3.0</w:t>
            </w:r>
          </w:p>
        </w:tc>
        <w:tc>
          <w:tcPr>
            <w:tcW w:w="680" w:type="dxa"/>
            <w:vAlign w:val="center"/>
          </w:tcPr>
          <w:p w14:paraId="576BE9E8">
            <w:pPr>
              <w:jc w:val="center"/>
              <w:rPr>
                <w:sz w:val="18"/>
                <w:szCs w:val="18"/>
              </w:rPr>
            </w:pPr>
            <w:r>
              <w:rPr>
                <w:sz w:val="18"/>
                <w:szCs w:val="18"/>
              </w:rPr>
              <w:t>≤0.60</w:t>
            </w:r>
          </w:p>
        </w:tc>
        <w:tc>
          <w:tcPr>
            <w:tcW w:w="2211" w:type="dxa"/>
            <w:tcMar>
              <w:top w:w="57" w:type="dxa"/>
              <w:left w:w="57" w:type="dxa"/>
              <w:bottom w:w="57" w:type="dxa"/>
              <w:right w:w="57" w:type="dxa"/>
            </w:tcMar>
            <w:vAlign w:val="center"/>
          </w:tcPr>
          <w:p w14:paraId="61F95986">
            <w:pPr>
              <w:jc w:val="center"/>
              <w:rPr>
                <w:sz w:val="18"/>
                <w:szCs w:val="18"/>
              </w:rPr>
            </w:pPr>
            <w:r>
              <w:rPr>
                <w:sz w:val="18"/>
                <w:szCs w:val="18"/>
              </w:rPr>
              <w:t>—</w:t>
            </w:r>
          </w:p>
        </w:tc>
      </w:tr>
      <w:tr w14:paraId="03F7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04" w:type="dxa"/>
            <w:vAlign w:val="center"/>
          </w:tcPr>
          <w:p w14:paraId="4476D086">
            <w:pPr>
              <w:jc w:val="center"/>
              <w:rPr>
                <w:sz w:val="18"/>
                <w:szCs w:val="18"/>
              </w:rPr>
            </w:pPr>
            <w:r>
              <w:rPr>
                <w:sz w:val="18"/>
                <w:szCs w:val="18"/>
              </w:rPr>
              <w:t>0Cr13Al3Ti</w:t>
            </w:r>
          </w:p>
        </w:tc>
        <w:tc>
          <w:tcPr>
            <w:tcW w:w="680" w:type="dxa"/>
            <w:vAlign w:val="center"/>
          </w:tcPr>
          <w:p w14:paraId="1D2A6FD6">
            <w:pPr>
              <w:jc w:val="center"/>
              <w:rPr>
                <w:sz w:val="18"/>
                <w:szCs w:val="18"/>
              </w:rPr>
            </w:pPr>
            <w:r>
              <w:rPr>
                <w:sz w:val="18"/>
                <w:szCs w:val="18"/>
              </w:rPr>
              <w:t>≤0.03</w:t>
            </w:r>
          </w:p>
        </w:tc>
        <w:tc>
          <w:tcPr>
            <w:tcW w:w="964" w:type="dxa"/>
            <w:vAlign w:val="center"/>
          </w:tcPr>
          <w:p w14:paraId="00111F57">
            <w:pPr>
              <w:jc w:val="center"/>
              <w:rPr>
                <w:sz w:val="18"/>
                <w:szCs w:val="18"/>
              </w:rPr>
            </w:pPr>
            <w:r>
              <w:rPr>
                <w:sz w:val="18"/>
                <w:szCs w:val="18"/>
              </w:rPr>
              <w:t>≤0.70</w:t>
            </w:r>
          </w:p>
        </w:tc>
        <w:tc>
          <w:tcPr>
            <w:tcW w:w="680" w:type="dxa"/>
            <w:vAlign w:val="center"/>
          </w:tcPr>
          <w:p w14:paraId="2BEC01BB">
            <w:pPr>
              <w:jc w:val="center"/>
              <w:rPr>
                <w:sz w:val="18"/>
                <w:szCs w:val="18"/>
              </w:rPr>
            </w:pPr>
            <w:r>
              <w:rPr>
                <w:sz w:val="18"/>
                <w:szCs w:val="18"/>
              </w:rPr>
              <w:t>≤0.50</w:t>
            </w:r>
          </w:p>
        </w:tc>
        <w:tc>
          <w:tcPr>
            <w:tcW w:w="737" w:type="dxa"/>
            <w:vAlign w:val="center"/>
          </w:tcPr>
          <w:p w14:paraId="180B3476">
            <w:pPr>
              <w:jc w:val="center"/>
              <w:rPr>
                <w:sz w:val="18"/>
                <w:szCs w:val="18"/>
              </w:rPr>
            </w:pPr>
            <w:r>
              <w:rPr>
                <w:sz w:val="18"/>
                <w:szCs w:val="18"/>
              </w:rPr>
              <w:t>≤0.025</w:t>
            </w:r>
          </w:p>
        </w:tc>
        <w:tc>
          <w:tcPr>
            <w:tcW w:w="737" w:type="dxa"/>
            <w:vAlign w:val="center"/>
          </w:tcPr>
          <w:p w14:paraId="00E84599">
            <w:pPr>
              <w:jc w:val="center"/>
              <w:rPr>
                <w:sz w:val="18"/>
                <w:szCs w:val="18"/>
              </w:rPr>
            </w:pPr>
            <w:r>
              <w:rPr>
                <w:sz w:val="18"/>
                <w:szCs w:val="18"/>
              </w:rPr>
              <w:t>≤0.020</w:t>
            </w:r>
          </w:p>
        </w:tc>
        <w:tc>
          <w:tcPr>
            <w:tcW w:w="964" w:type="dxa"/>
            <w:vAlign w:val="center"/>
          </w:tcPr>
          <w:p w14:paraId="69C2B0EE">
            <w:pPr>
              <w:jc w:val="center"/>
              <w:rPr>
                <w:sz w:val="18"/>
                <w:szCs w:val="18"/>
              </w:rPr>
            </w:pPr>
            <w:r>
              <w:rPr>
                <w:sz w:val="18"/>
                <w:szCs w:val="18"/>
              </w:rPr>
              <w:t>11.5~14.5</w:t>
            </w:r>
          </w:p>
        </w:tc>
        <w:tc>
          <w:tcPr>
            <w:tcW w:w="794" w:type="dxa"/>
            <w:vAlign w:val="center"/>
          </w:tcPr>
          <w:p w14:paraId="6D0A9D0F">
            <w:pPr>
              <w:jc w:val="center"/>
              <w:rPr>
                <w:sz w:val="18"/>
                <w:szCs w:val="18"/>
              </w:rPr>
            </w:pPr>
            <w:r>
              <w:rPr>
                <w:sz w:val="18"/>
                <w:szCs w:val="18"/>
              </w:rPr>
              <w:t>2.0~4.0</w:t>
            </w:r>
          </w:p>
        </w:tc>
        <w:tc>
          <w:tcPr>
            <w:tcW w:w="680" w:type="dxa"/>
            <w:vAlign w:val="center"/>
          </w:tcPr>
          <w:p w14:paraId="4B3844C1">
            <w:pPr>
              <w:jc w:val="center"/>
              <w:rPr>
                <w:sz w:val="18"/>
                <w:szCs w:val="18"/>
              </w:rPr>
            </w:pPr>
            <w:r>
              <w:rPr>
                <w:sz w:val="18"/>
                <w:szCs w:val="18"/>
              </w:rPr>
              <w:t>≤0.60</w:t>
            </w:r>
          </w:p>
        </w:tc>
        <w:tc>
          <w:tcPr>
            <w:tcW w:w="2211" w:type="dxa"/>
            <w:tcMar>
              <w:top w:w="57" w:type="dxa"/>
              <w:left w:w="57" w:type="dxa"/>
              <w:bottom w:w="57" w:type="dxa"/>
              <w:right w:w="57" w:type="dxa"/>
            </w:tcMar>
            <w:vAlign w:val="center"/>
          </w:tcPr>
          <w:p w14:paraId="48B28724">
            <w:pPr>
              <w:jc w:val="center"/>
              <w:rPr>
                <w:sz w:val="18"/>
                <w:szCs w:val="18"/>
              </w:rPr>
            </w:pPr>
            <w:r>
              <w:rPr>
                <w:sz w:val="18"/>
                <w:szCs w:val="18"/>
              </w:rPr>
              <w:t>Ti: 0.30~0.60</w:t>
            </w:r>
          </w:p>
        </w:tc>
      </w:tr>
      <w:tr w14:paraId="1D75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04" w:type="dxa"/>
            <w:vAlign w:val="center"/>
          </w:tcPr>
          <w:p w14:paraId="3F743E36">
            <w:pPr>
              <w:jc w:val="center"/>
              <w:rPr>
                <w:sz w:val="18"/>
                <w:szCs w:val="18"/>
              </w:rPr>
            </w:pPr>
            <w:r>
              <w:rPr>
                <w:sz w:val="18"/>
                <w:szCs w:val="18"/>
              </w:rPr>
              <w:t>1Cr13Al4</w:t>
            </w:r>
          </w:p>
        </w:tc>
        <w:tc>
          <w:tcPr>
            <w:tcW w:w="680" w:type="dxa"/>
            <w:vAlign w:val="center"/>
          </w:tcPr>
          <w:p w14:paraId="6983610D">
            <w:pPr>
              <w:jc w:val="center"/>
              <w:rPr>
                <w:sz w:val="18"/>
                <w:szCs w:val="18"/>
              </w:rPr>
            </w:pPr>
            <w:r>
              <w:rPr>
                <w:sz w:val="18"/>
                <w:szCs w:val="18"/>
              </w:rPr>
              <w:t>≤0.12</w:t>
            </w:r>
          </w:p>
        </w:tc>
        <w:tc>
          <w:tcPr>
            <w:tcW w:w="964" w:type="dxa"/>
            <w:vAlign w:val="center"/>
          </w:tcPr>
          <w:p w14:paraId="702F1BD7">
            <w:pPr>
              <w:jc w:val="center"/>
              <w:rPr>
                <w:sz w:val="18"/>
                <w:szCs w:val="18"/>
              </w:rPr>
            </w:pPr>
            <w:r>
              <w:rPr>
                <w:sz w:val="18"/>
                <w:szCs w:val="18"/>
              </w:rPr>
              <w:t>≤0.70</w:t>
            </w:r>
          </w:p>
        </w:tc>
        <w:tc>
          <w:tcPr>
            <w:tcW w:w="680" w:type="dxa"/>
            <w:vAlign w:val="center"/>
          </w:tcPr>
          <w:p w14:paraId="5A4C0B6D">
            <w:pPr>
              <w:jc w:val="center"/>
              <w:rPr>
                <w:sz w:val="18"/>
                <w:szCs w:val="18"/>
              </w:rPr>
            </w:pPr>
            <w:r>
              <w:rPr>
                <w:sz w:val="18"/>
                <w:szCs w:val="18"/>
              </w:rPr>
              <w:t>≤0.50</w:t>
            </w:r>
          </w:p>
        </w:tc>
        <w:tc>
          <w:tcPr>
            <w:tcW w:w="737" w:type="dxa"/>
            <w:vAlign w:val="center"/>
          </w:tcPr>
          <w:p w14:paraId="325F4C69">
            <w:pPr>
              <w:jc w:val="center"/>
              <w:rPr>
                <w:sz w:val="18"/>
                <w:szCs w:val="18"/>
              </w:rPr>
            </w:pPr>
            <w:r>
              <w:rPr>
                <w:sz w:val="18"/>
                <w:szCs w:val="18"/>
              </w:rPr>
              <w:t>≤0.025</w:t>
            </w:r>
          </w:p>
        </w:tc>
        <w:tc>
          <w:tcPr>
            <w:tcW w:w="737" w:type="dxa"/>
            <w:vAlign w:val="center"/>
          </w:tcPr>
          <w:p w14:paraId="0D031CA2">
            <w:pPr>
              <w:jc w:val="center"/>
              <w:rPr>
                <w:sz w:val="18"/>
                <w:szCs w:val="18"/>
              </w:rPr>
            </w:pPr>
            <w:r>
              <w:rPr>
                <w:sz w:val="18"/>
                <w:szCs w:val="18"/>
              </w:rPr>
              <w:t>≤0.020</w:t>
            </w:r>
          </w:p>
        </w:tc>
        <w:tc>
          <w:tcPr>
            <w:tcW w:w="964" w:type="dxa"/>
            <w:vAlign w:val="center"/>
          </w:tcPr>
          <w:p w14:paraId="4B6E2714">
            <w:pPr>
              <w:jc w:val="center"/>
              <w:rPr>
                <w:sz w:val="18"/>
                <w:szCs w:val="18"/>
              </w:rPr>
            </w:pPr>
            <w:r>
              <w:rPr>
                <w:sz w:val="18"/>
                <w:szCs w:val="18"/>
              </w:rPr>
              <w:t>12.0~15.0</w:t>
            </w:r>
          </w:p>
        </w:tc>
        <w:tc>
          <w:tcPr>
            <w:tcW w:w="794" w:type="dxa"/>
            <w:vAlign w:val="center"/>
          </w:tcPr>
          <w:p w14:paraId="5BDDF4E5">
            <w:pPr>
              <w:jc w:val="center"/>
              <w:rPr>
                <w:sz w:val="18"/>
                <w:szCs w:val="18"/>
              </w:rPr>
            </w:pPr>
            <w:r>
              <w:rPr>
                <w:sz w:val="18"/>
                <w:szCs w:val="18"/>
              </w:rPr>
              <w:t>4.0~6.0</w:t>
            </w:r>
          </w:p>
        </w:tc>
        <w:tc>
          <w:tcPr>
            <w:tcW w:w="680" w:type="dxa"/>
            <w:vAlign w:val="center"/>
          </w:tcPr>
          <w:p w14:paraId="6D08CBBB">
            <w:pPr>
              <w:jc w:val="center"/>
              <w:rPr>
                <w:sz w:val="18"/>
                <w:szCs w:val="18"/>
              </w:rPr>
            </w:pPr>
            <w:r>
              <w:rPr>
                <w:sz w:val="18"/>
                <w:szCs w:val="18"/>
              </w:rPr>
              <w:t>≤0.60</w:t>
            </w:r>
          </w:p>
        </w:tc>
        <w:tc>
          <w:tcPr>
            <w:tcW w:w="2211" w:type="dxa"/>
            <w:tcMar>
              <w:top w:w="57" w:type="dxa"/>
              <w:left w:w="57" w:type="dxa"/>
              <w:bottom w:w="57" w:type="dxa"/>
              <w:right w:w="57" w:type="dxa"/>
            </w:tcMar>
            <w:vAlign w:val="center"/>
          </w:tcPr>
          <w:p w14:paraId="057CBD46">
            <w:pPr>
              <w:jc w:val="center"/>
              <w:rPr>
                <w:sz w:val="18"/>
                <w:szCs w:val="18"/>
              </w:rPr>
            </w:pPr>
            <w:r>
              <w:rPr>
                <w:sz w:val="18"/>
                <w:szCs w:val="18"/>
              </w:rPr>
              <w:t>—</w:t>
            </w:r>
          </w:p>
        </w:tc>
      </w:tr>
      <w:tr w14:paraId="6060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04" w:type="dxa"/>
            <w:vAlign w:val="center"/>
          </w:tcPr>
          <w:p w14:paraId="4B977D93">
            <w:pPr>
              <w:jc w:val="center"/>
              <w:rPr>
                <w:sz w:val="18"/>
                <w:szCs w:val="18"/>
              </w:rPr>
            </w:pPr>
            <w:r>
              <w:rPr>
                <w:sz w:val="18"/>
                <w:szCs w:val="18"/>
              </w:rPr>
              <w:t>0Cr15Al5</w:t>
            </w:r>
          </w:p>
        </w:tc>
        <w:tc>
          <w:tcPr>
            <w:tcW w:w="680" w:type="dxa"/>
            <w:vAlign w:val="center"/>
          </w:tcPr>
          <w:p w14:paraId="0DB95BC7">
            <w:pPr>
              <w:jc w:val="center"/>
              <w:rPr>
                <w:sz w:val="18"/>
                <w:szCs w:val="18"/>
              </w:rPr>
            </w:pPr>
            <w:r>
              <w:rPr>
                <w:sz w:val="18"/>
                <w:szCs w:val="18"/>
              </w:rPr>
              <w:t>≤0.03</w:t>
            </w:r>
          </w:p>
        </w:tc>
        <w:tc>
          <w:tcPr>
            <w:tcW w:w="964" w:type="dxa"/>
            <w:vAlign w:val="center"/>
          </w:tcPr>
          <w:p w14:paraId="1B029FF0">
            <w:pPr>
              <w:jc w:val="center"/>
              <w:rPr>
                <w:sz w:val="18"/>
                <w:szCs w:val="18"/>
              </w:rPr>
            </w:pPr>
            <w:r>
              <w:rPr>
                <w:sz w:val="18"/>
                <w:szCs w:val="18"/>
              </w:rPr>
              <w:t>≤0.70</w:t>
            </w:r>
          </w:p>
        </w:tc>
        <w:tc>
          <w:tcPr>
            <w:tcW w:w="680" w:type="dxa"/>
            <w:vAlign w:val="center"/>
          </w:tcPr>
          <w:p w14:paraId="4EBE67F8">
            <w:pPr>
              <w:jc w:val="center"/>
              <w:rPr>
                <w:sz w:val="18"/>
                <w:szCs w:val="18"/>
              </w:rPr>
            </w:pPr>
            <w:r>
              <w:rPr>
                <w:sz w:val="18"/>
                <w:szCs w:val="18"/>
              </w:rPr>
              <w:t>≤0.50</w:t>
            </w:r>
          </w:p>
        </w:tc>
        <w:tc>
          <w:tcPr>
            <w:tcW w:w="737" w:type="dxa"/>
            <w:vAlign w:val="center"/>
          </w:tcPr>
          <w:p w14:paraId="79A76E41">
            <w:pPr>
              <w:jc w:val="center"/>
              <w:rPr>
                <w:sz w:val="18"/>
                <w:szCs w:val="18"/>
              </w:rPr>
            </w:pPr>
            <w:r>
              <w:rPr>
                <w:sz w:val="18"/>
                <w:szCs w:val="18"/>
              </w:rPr>
              <w:t>≤0.025</w:t>
            </w:r>
          </w:p>
        </w:tc>
        <w:tc>
          <w:tcPr>
            <w:tcW w:w="737" w:type="dxa"/>
            <w:vAlign w:val="center"/>
          </w:tcPr>
          <w:p w14:paraId="273DB9A9">
            <w:pPr>
              <w:jc w:val="center"/>
              <w:rPr>
                <w:sz w:val="18"/>
                <w:szCs w:val="18"/>
              </w:rPr>
            </w:pPr>
            <w:r>
              <w:rPr>
                <w:sz w:val="18"/>
                <w:szCs w:val="18"/>
              </w:rPr>
              <w:t>≤0.020</w:t>
            </w:r>
          </w:p>
        </w:tc>
        <w:tc>
          <w:tcPr>
            <w:tcW w:w="964" w:type="dxa"/>
            <w:vAlign w:val="center"/>
          </w:tcPr>
          <w:p w14:paraId="06086097">
            <w:pPr>
              <w:jc w:val="center"/>
              <w:rPr>
                <w:sz w:val="18"/>
                <w:szCs w:val="18"/>
              </w:rPr>
            </w:pPr>
            <w:r>
              <w:rPr>
                <w:sz w:val="18"/>
                <w:szCs w:val="18"/>
              </w:rPr>
              <w:t>14.0~15.5</w:t>
            </w:r>
          </w:p>
        </w:tc>
        <w:tc>
          <w:tcPr>
            <w:tcW w:w="794" w:type="dxa"/>
            <w:vAlign w:val="center"/>
          </w:tcPr>
          <w:p w14:paraId="0A6E2C51">
            <w:pPr>
              <w:jc w:val="center"/>
              <w:rPr>
                <w:sz w:val="18"/>
                <w:szCs w:val="18"/>
              </w:rPr>
            </w:pPr>
            <w:r>
              <w:rPr>
                <w:sz w:val="18"/>
                <w:szCs w:val="18"/>
              </w:rPr>
              <w:t>4.5~5.5</w:t>
            </w:r>
          </w:p>
        </w:tc>
        <w:tc>
          <w:tcPr>
            <w:tcW w:w="680" w:type="dxa"/>
            <w:vAlign w:val="center"/>
          </w:tcPr>
          <w:p w14:paraId="3FA6E064">
            <w:pPr>
              <w:jc w:val="center"/>
              <w:rPr>
                <w:sz w:val="18"/>
                <w:szCs w:val="18"/>
              </w:rPr>
            </w:pPr>
            <w:r>
              <w:rPr>
                <w:sz w:val="18"/>
                <w:szCs w:val="18"/>
              </w:rPr>
              <w:t>≤0.60</w:t>
            </w:r>
          </w:p>
        </w:tc>
        <w:tc>
          <w:tcPr>
            <w:tcW w:w="2211" w:type="dxa"/>
            <w:tcMar>
              <w:top w:w="57" w:type="dxa"/>
              <w:left w:w="57" w:type="dxa"/>
              <w:bottom w:w="57" w:type="dxa"/>
              <w:right w:w="57" w:type="dxa"/>
            </w:tcMar>
            <w:vAlign w:val="center"/>
          </w:tcPr>
          <w:p w14:paraId="7FFB224F">
            <w:pPr>
              <w:jc w:val="center"/>
              <w:rPr>
                <w:sz w:val="18"/>
                <w:szCs w:val="18"/>
              </w:rPr>
            </w:pPr>
            <w:r>
              <w:rPr>
                <w:sz w:val="18"/>
                <w:szCs w:val="18"/>
              </w:rPr>
              <w:t>—</w:t>
            </w:r>
          </w:p>
        </w:tc>
      </w:tr>
      <w:tr w14:paraId="3103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04" w:type="dxa"/>
            <w:vAlign w:val="center"/>
          </w:tcPr>
          <w:p w14:paraId="634136AF">
            <w:pPr>
              <w:jc w:val="center"/>
              <w:rPr>
                <w:sz w:val="18"/>
                <w:szCs w:val="18"/>
              </w:rPr>
            </w:pPr>
            <w:r>
              <w:rPr>
                <w:sz w:val="18"/>
                <w:szCs w:val="18"/>
              </w:rPr>
              <w:t>0Cr18Al3</w:t>
            </w:r>
          </w:p>
        </w:tc>
        <w:tc>
          <w:tcPr>
            <w:tcW w:w="680" w:type="dxa"/>
            <w:vAlign w:val="center"/>
          </w:tcPr>
          <w:p w14:paraId="57DBBC94">
            <w:pPr>
              <w:jc w:val="center"/>
              <w:rPr>
                <w:sz w:val="18"/>
                <w:szCs w:val="18"/>
              </w:rPr>
            </w:pPr>
            <w:r>
              <w:rPr>
                <w:sz w:val="18"/>
                <w:szCs w:val="18"/>
              </w:rPr>
              <w:t>≤0.03</w:t>
            </w:r>
          </w:p>
        </w:tc>
        <w:tc>
          <w:tcPr>
            <w:tcW w:w="964" w:type="dxa"/>
            <w:vAlign w:val="center"/>
          </w:tcPr>
          <w:p w14:paraId="23DE4DEA">
            <w:pPr>
              <w:jc w:val="center"/>
              <w:rPr>
                <w:sz w:val="18"/>
                <w:szCs w:val="18"/>
              </w:rPr>
            </w:pPr>
            <w:r>
              <w:rPr>
                <w:sz w:val="18"/>
                <w:szCs w:val="18"/>
              </w:rPr>
              <w:t>≤0.50</w:t>
            </w:r>
          </w:p>
        </w:tc>
        <w:tc>
          <w:tcPr>
            <w:tcW w:w="680" w:type="dxa"/>
            <w:vAlign w:val="center"/>
          </w:tcPr>
          <w:p w14:paraId="225FBCD0">
            <w:pPr>
              <w:jc w:val="center"/>
              <w:rPr>
                <w:sz w:val="18"/>
                <w:szCs w:val="18"/>
              </w:rPr>
            </w:pPr>
            <w:r>
              <w:rPr>
                <w:sz w:val="18"/>
                <w:szCs w:val="18"/>
              </w:rPr>
              <w:t>≤0.70</w:t>
            </w:r>
          </w:p>
        </w:tc>
        <w:tc>
          <w:tcPr>
            <w:tcW w:w="737" w:type="dxa"/>
            <w:vAlign w:val="center"/>
          </w:tcPr>
          <w:p w14:paraId="4DDB30E2">
            <w:pPr>
              <w:jc w:val="center"/>
              <w:rPr>
                <w:sz w:val="18"/>
                <w:szCs w:val="18"/>
              </w:rPr>
            </w:pPr>
            <w:r>
              <w:rPr>
                <w:sz w:val="18"/>
                <w:szCs w:val="18"/>
              </w:rPr>
              <w:t>≤0.025</w:t>
            </w:r>
          </w:p>
        </w:tc>
        <w:tc>
          <w:tcPr>
            <w:tcW w:w="737" w:type="dxa"/>
            <w:vAlign w:val="center"/>
          </w:tcPr>
          <w:p w14:paraId="6CEF2637">
            <w:pPr>
              <w:jc w:val="center"/>
              <w:rPr>
                <w:sz w:val="18"/>
                <w:szCs w:val="18"/>
              </w:rPr>
            </w:pPr>
            <w:r>
              <w:rPr>
                <w:sz w:val="18"/>
                <w:szCs w:val="18"/>
              </w:rPr>
              <w:t>≤0.025</w:t>
            </w:r>
          </w:p>
        </w:tc>
        <w:tc>
          <w:tcPr>
            <w:tcW w:w="964" w:type="dxa"/>
            <w:vAlign w:val="center"/>
          </w:tcPr>
          <w:p w14:paraId="2D99FD33">
            <w:pPr>
              <w:jc w:val="center"/>
              <w:rPr>
                <w:sz w:val="18"/>
                <w:szCs w:val="18"/>
              </w:rPr>
            </w:pPr>
            <w:r>
              <w:rPr>
                <w:sz w:val="18"/>
                <w:szCs w:val="18"/>
              </w:rPr>
              <w:t>17.0~19.0</w:t>
            </w:r>
          </w:p>
        </w:tc>
        <w:tc>
          <w:tcPr>
            <w:tcW w:w="794" w:type="dxa"/>
            <w:vAlign w:val="center"/>
          </w:tcPr>
          <w:p w14:paraId="079352B1">
            <w:pPr>
              <w:jc w:val="center"/>
              <w:rPr>
                <w:sz w:val="18"/>
                <w:szCs w:val="18"/>
              </w:rPr>
            </w:pPr>
            <w:r>
              <w:rPr>
                <w:sz w:val="18"/>
                <w:szCs w:val="18"/>
              </w:rPr>
              <w:t>2.0~4.0</w:t>
            </w:r>
          </w:p>
        </w:tc>
        <w:tc>
          <w:tcPr>
            <w:tcW w:w="680" w:type="dxa"/>
            <w:vAlign w:val="center"/>
          </w:tcPr>
          <w:p w14:paraId="39D7F684">
            <w:pPr>
              <w:jc w:val="center"/>
              <w:rPr>
                <w:sz w:val="18"/>
                <w:szCs w:val="18"/>
              </w:rPr>
            </w:pPr>
            <w:r>
              <w:rPr>
                <w:sz w:val="18"/>
                <w:szCs w:val="18"/>
              </w:rPr>
              <w:t>≤0.60</w:t>
            </w:r>
          </w:p>
        </w:tc>
        <w:tc>
          <w:tcPr>
            <w:tcW w:w="2211" w:type="dxa"/>
            <w:tcMar>
              <w:top w:w="57" w:type="dxa"/>
              <w:left w:w="57" w:type="dxa"/>
              <w:bottom w:w="57" w:type="dxa"/>
              <w:right w:w="57" w:type="dxa"/>
            </w:tcMar>
            <w:vAlign w:val="center"/>
          </w:tcPr>
          <w:p w14:paraId="2D18F1DB">
            <w:pPr>
              <w:jc w:val="center"/>
              <w:rPr>
                <w:sz w:val="18"/>
                <w:szCs w:val="18"/>
              </w:rPr>
            </w:pPr>
          </w:p>
        </w:tc>
      </w:tr>
      <w:tr w14:paraId="5664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04" w:type="dxa"/>
            <w:vAlign w:val="center"/>
          </w:tcPr>
          <w:p w14:paraId="639A5298">
            <w:pPr>
              <w:jc w:val="center"/>
              <w:rPr>
                <w:sz w:val="18"/>
                <w:szCs w:val="18"/>
              </w:rPr>
            </w:pPr>
            <w:r>
              <w:rPr>
                <w:sz w:val="18"/>
                <w:szCs w:val="18"/>
              </w:rPr>
              <w:t>0Cr18Al4RE</w:t>
            </w:r>
          </w:p>
        </w:tc>
        <w:tc>
          <w:tcPr>
            <w:tcW w:w="680" w:type="dxa"/>
            <w:vAlign w:val="center"/>
          </w:tcPr>
          <w:p w14:paraId="325F8CDA">
            <w:pPr>
              <w:jc w:val="center"/>
              <w:rPr>
                <w:sz w:val="18"/>
                <w:szCs w:val="18"/>
              </w:rPr>
            </w:pPr>
            <w:r>
              <w:rPr>
                <w:sz w:val="18"/>
                <w:szCs w:val="18"/>
              </w:rPr>
              <w:t>≤0.03</w:t>
            </w:r>
          </w:p>
        </w:tc>
        <w:tc>
          <w:tcPr>
            <w:tcW w:w="964" w:type="dxa"/>
            <w:vAlign w:val="center"/>
          </w:tcPr>
          <w:p w14:paraId="16AB55CC">
            <w:pPr>
              <w:jc w:val="center"/>
              <w:rPr>
                <w:sz w:val="18"/>
                <w:szCs w:val="18"/>
              </w:rPr>
            </w:pPr>
            <w:r>
              <w:rPr>
                <w:sz w:val="18"/>
                <w:szCs w:val="18"/>
              </w:rPr>
              <w:t>≤0.50</w:t>
            </w:r>
          </w:p>
        </w:tc>
        <w:tc>
          <w:tcPr>
            <w:tcW w:w="680" w:type="dxa"/>
            <w:vAlign w:val="center"/>
          </w:tcPr>
          <w:p w14:paraId="46073B57">
            <w:pPr>
              <w:jc w:val="center"/>
              <w:rPr>
                <w:sz w:val="18"/>
                <w:szCs w:val="18"/>
              </w:rPr>
            </w:pPr>
            <w:r>
              <w:rPr>
                <w:sz w:val="18"/>
                <w:szCs w:val="18"/>
              </w:rPr>
              <w:t>≤0.70</w:t>
            </w:r>
          </w:p>
        </w:tc>
        <w:tc>
          <w:tcPr>
            <w:tcW w:w="737" w:type="dxa"/>
            <w:vAlign w:val="center"/>
          </w:tcPr>
          <w:p w14:paraId="1E7C5658">
            <w:pPr>
              <w:jc w:val="center"/>
              <w:rPr>
                <w:sz w:val="18"/>
                <w:szCs w:val="18"/>
              </w:rPr>
            </w:pPr>
            <w:r>
              <w:rPr>
                <w:sz w:val="18"/>
                <w:szCs w:val="18"/>
              </w:rPr>
              <w:t>≤0.025</w:t>
            </w:r>
          </w:p>
        </w:tc>
        <w:tc>
          <w:tcPr>
            <w:tcW w:w="737" w:type="dxa"/>
            <w:vAlign w:val="center"/>
          </w:tcPr>
          <w:p w14:paraId="23092A5D">
            <w:pPr>
              <w:jc w:val="center"/>
              <w:rPr>
                <w:sz w:val="18"/>
                <w:szCs w:val="18"/>
              </w:rPr>
            </w:pPr>
            <w:r>
              <w:rPr>
                <w:sz w:val="18"/>
                <w:szCs w:val="18"/>
              </w:rPr>
              <w:t>≤0.025</w:t>
            </w:r>
          </w:p>
        </w:tc>
        <w:tc>
          <w:tcPr>
            <w:tcW w:w="964" w:type="dxa"/>
            <w:vAlign w:val="center"/>
          </w:tcPr>
          <w:p w14:paraId="31AAF4B3">
            <w:pPr>
              <w:jc w:val="center"/>
              <w:rPr>
                <w:sz w:val="18"/>
                <w:szCs w:val="18"/>
              </w:rPr>
            </w:pPr>
            <w:r>
              <w:rPr>
                <w:sz w:val="18"/>
                <w:szCs w:val="18"/>
              </w:rPr>
              <w:t>16.0~18.0</w:t>
            </w:r>
          </w:p>
        </w:tc>
        <w:tc>
          <w:tcPr>
            <w:tcW w:w="794" w:type="dxa"/>
            <w:vAlign w:val="center"/>
          </w:tcPr>
          <w:p w14:paraId="067A3260">
            <w:pPr>
              <w:jc w:val="center"/>
              <w:rPr>
                <w:sz w:val="18"/>
                <w:szCs w:val="18"/>
              </w:rPr>
            </w:pPr>
            <w:r>
              <w:rPr>
                <w:sz w:val="18"/>
                <w:szCs w:val="18"/>
              </w:rPr>
              <w:t>3.5~4.7</w:t>
            </w:r>
          </w:p>
        </w:tc>
        <w:tc>
          <w:tcPr>
            <w:tcW w:w="680" w:type="dxa"/>
            <w:vAlign w:val="center"/>
          </w:tcPr>
          <w:p w14:paraId="18EB3AF5">
            <w:pPr>
              <w:jc w:val="center"/>
              <w:rPr>
                <w:sz w:val="18"/>
                <w:szCs w:val="18"/>
              </w:rPr>
            </w:pPr>
            <w:r>
              <w:rPr>
                <w:sz w:val="18"/>
                <w:szCs w:val="18"/>
              </w:rPr>
              <w:t>≤0.60</w:t>
            </w:r>
          </w:p>
        </w:tc>
        <w:tc>
          <w:tcPr>
            <w:tcW w:w="2211" w:type="dxa"/>
            <w:tcMar>
              <w:top w:w="57" w:type="dxa"/>
              <w:left w:w="57" w:type="dxa"/>
              <w:bottom w:w="57" w:type="dxa"/>
              <w:right w:w="57" w:type="dxa"/>
            </w:tcMar>
            <w:vAlign w:val="center"/>
          </w:tcPr>
          <w:p w14:paraId="134197AF">
            <w:pPr>
              <w:spacing w:line="240" w:lineRule="exact"/>
              <w:jc w:val="center"/>
              <w:rPr>
                <w:sz w:val="18"/>
                <w:szCs w:val="18"/>
              </w:rPr>
            </w:pPr>
            <w:r>
              <w:rPr>
                <w:sz w:val="18"/>
                <w:szCs w:val="18"/>
              </w:rPr>
              <w:t>La、Ce、Co、Ti、Nb、Zr或其组合：0.04~1.00</w:t>
            </w:r>
          </w:p>
        </w:tc>
      </w:tr>
      <w:tr w14:paraId="7D0D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04" w:type="dxa"/>
            <w:vAlign w:val="center"/>
          </w:tcPr>
          <w:p w14:paraId="71C33EC2">
            <w:pPr>
              <w:rPr>
                <w:sz w:val="18"/>
                <w:szCs w:val="18"/>
              </w:rPr>
            </w:pPr>
            <w:r>
              <w:rPr>
                <w:sz w:val="18"/>
                <w:szCs w:val="18"/>
              </w:rPr>
              <w:t>0Cr20Al3</w:t>
            </w:r>
          </w:p>
        </w:tc>
        <w:tc>
          <w:tcPr>
            <w:tcW w:w="680" w:type="dxa"/>
            <w:vAlign w:val="center"/>
          </w:tcPr>
          <w:p w14:paraId="6A4B7B9B">
            <w:pPr>
              <w:jc w:val="center"/>
              <w:rPr>
                <w:sz w:val="18"/>
                <w:szCs w:val="18"/>
              </w:rPr>
            </w:pPr>
            <w:r>
              <w:rPr>
                <w:sz w:val="18"/>
                <w:szCs w:val="18"/>
              </w:rPr>
              <w:t>≤0.08</w:t>
            </w:r>
          </w:p>
        </w:tc>
        <w:tc>
          <w:tcPr>
            <w:tcW w:w="964" w:type="dxa"/>
            <w:vAlign w:val="center"/>
          </w:tcPr>
          <w:p w14:paraId="6CD1CF22">
            <w:pPr>
              <w:jc w:val="center"/>
              <w:rPr>
                <w:sz w:val="18"/>
                <w:szCs w:val="18"/>
              </w:rPr>
            </w:pPr>
            <w:r>
              <w:rPr>
                <w:sz w:val="18"/>
                <w:szCs w:val="18"/>
              </w:rPr>
              <w:t>≤0.70</w:t>
            </w:r>
          </w:p>
        </w:tc>
        <w:tc>
          <w:tcPr>
            <w:tcW w:w="680" w:type="dxa"/>
            <w:vAlign w:val="center"/>
          </w:tcPr>
          <w:p w14:paraId="480445C9">
            <w:pPr>
              <w:jc w:val="center"/>
              <w:rPr>
                <w:sz w:val="18"/>
                <w:szCs w:val="18"/>
              </w:rPr>
            </w:pPr>
            <w:r>
              <w:rPr>
                <w:sz w:val="18"/>
                <w:szCs w:val="18"/>
              </w:rPr>
              <w:t>≤0.50</w:t>
            </w:r>
          </w:p>
        </w:tc>
        <w:tc>
          <w:tcPr>
            <w:tcW w:w="737" w:type="dxa"/>
            <w:vAlign w:val="center"/>
          </w:tcPr>
          <w:p w14:paraId="66F6025D">
            <w:pPr>
              <w:jc w:val="center"/>
              <w:rPr>
                <w:sz w:val="18"/>
                <w:szCs w:val="18"/>
              </w:rPr>
            </w:pPr>
            <w:r>
              <w:rPr>
                <w:sz w:val="18"/>
                <w:szCs w:val="18"/>
              </w:rPr>
              <w:t>≤0.025</w:t>
            </w:r>
          </w:p>
        </w:tc>
        <w:tc>
          <w:tcPr>
            <w:tcW w:w="737" w:type="dxa"/>
            <w:vAlign w:val="center"/>
          </w:tcPr>
          <w:p w14:paraId="06C59B88">
            <w:pPr>
              <w:jc w:val="center"/>
              <w:rPr>
                <w:sz w:val="18"/>
                <w:szCs w:val="18"/>
              </w:rPr>
            </w:pPr>
            <w:r>
              <w:rPr>
                <w:sz w:val="18"/>
                <w:szCs w:val="18"/>
              </w:rPr>
              <w:t>≤0.020</w:t>
            </w:r>
          </w:p>
        </w:tc>
        <w:tc>
          <w:tcPr>
            <w:tcW w:w="964" w:type="dxa"/>
            <w:vAlign w:val="center"/>
          </w:tcPr>
          <w:p w14:paraId="65EC598A">
            <w:pPr>
              <w:jc w:val="center"/>
              <w:rPr>
                <w:sz w:val="18"/>
                <w:szCs w:val="18"/>
              </w:rPr>
            </w:pPr>
            <w:r>
              <w:rPr>
                <w:sz w:val="18"/>
                <w:szCs w:val="18"/>
              </w:rPr>
              <w:t>18.0~21.0</w:t>
            </w:r>
          </w:p>
        </w:tc>
        <w:tc>
          <w:tcPr>
            <w:tcW w:w="794" w:type="dxa"/>
            <w:vAlign w:val="center"/>
          </w:tcPr>
          <w:p w14:paraId="3733F89F">
            <w:pPr>
              <w:jc w:val="center"/>
              <w:rPr>
                <w:sz w:val="18"/>
                <w:szCs w:val="18"/>
              </w:rPr>
            </w:pPr>
            <w:r>
              <w:rPr>
                <w:sz w:val="18"/>
                <w:szCs w:val="18"/>
              </w:rPr>
              <w:t>3.0~4.2</w:t>
            </w:r>
          </w:p>
        </w:tc>
        <w:tc>
          <w:tcPr>
            <w:tcW w:w="680" w:type="dxa"/>
            <w:vAlign w:val="center"/>
          </w:tcPr>
          <w:p w14:paraId="5FD5BE68">
            <w:pPr>
              <w:jc w:val="center"/>
              <w:rPr>
                <w:sz w:val="18"/>
                <w:szCs w:val="18"/>
              </w:rPr>
            </w:pPr>
            <w:r>
              <w:rPr>
                <w:sz w:val="18"/>
                <w:szCs w:val="18"/>
              </w:rPr>
              <w:t>≤0.60</w:t>
            </w:r>
          </w:p>
        </w:tc>
        <w:tc>
          <w:tcPr>
            <w:tcW w:w="2211" w:type="dxa"/>
            <w:tcMar>
              <w:top w:w="57" w:type="dxa"/>
              <w:left w:w="57" w:type="dxa"/>
              <w:bottom w:w="57" w:type="dxa"/>
              <w:right w:w="57" w:type="dxa"/>
            </w:tcMar>
            <w:vAlign w:val="center"/>
          </w:tcPr>
          <w:p w14:paraId="25F68309">
            <w:pPr>
              <w:jc w:val="center"/>
              <w:rPr>
                <w:sz w:val="18"/>
                <w:szCs w:val="18"/>
              </w:rPr>
            </w:pPr>
            <w:r>
              <w:rPr>
                <w:sz w:val="18"/>
                <w:szCs w:val="18"/>
              </w:rPr>
              <w:t>—</w:t>
            </w:r>
          </w:p>
        </w:tc>
      </w:tr>
      <w:tr w14:paraId="70A3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04" w:type="dxa"/>
            <w:vAlign w:val="center"/>
          </w:tcPr>
          <w:p w14:paraId="110A5425">
            <w:pPr>
              <w:jc w:val="center"/>
              <w:rPr>
                <w:sz w:val="18"/>
                <w:szCs w:val="18"/>
              </w:rPr>
            </w:pPr>
            <w:r>
              <w:rPr>
                <w:sz w:val="18"/>
                <w:szCs w:val="18"/>
              </w:rPr>
              <w:t>0Cr23Al5</w:t>
            </w:r>
          </w:p>
        </w:tc>
        <w:tc>
          <w:tcPr>
            <w:tcW w:w="680" w:type="dxa"/>
            <w:vAlign w:val="center"/>
          </w:tcPr>
          <w:p w14:paraId="544AD400">
            <w:pPr>
              <w:jc w:val="center"/>
              <w:rPr>
                <w:sz w:val="18"/>
                <w:szCs w:val="18"/>
              </w:rPr>
            </w:pPr>
            <w:r>
              <w:rPr>
                <w:sz w:val="18"/>
                <w:szCs w:val="18"/>
              </w:rPr>
              <w:t>≤0.06</w:t>
            </w:r>
          </w:p>
        </w:tc>
        <w:tc>
          <w:tcPr>
            <w:tcW w:w="964" w:type="dxa"/>
            <w:vAlign w:val="center"/>
          </w:tcPr>
          <w:p w14:paraId="55B3E58E">
            <w:pPr>
              <w:jc w:val="center"/>
              <w:rPr>
                <w:sz w:val="18"/>
                <w:szCs w:val="18"/>
              </w:rPr>
            </w:pPr>
            <w:r>
              <w:rPr>
                <w:sz w:val="18"/>
                <w:szCs w:val="18"/>
              </w:rPr>
              <w:t>≤0.60</w:t>
            </w:r>
          </w:p>
        </w:tc>
        <w:tc>
          <w:tcPr>
            <w:tcW w:w="680" w:type="dxa"/>
            <w:vAlign w:val="center"/>
          </w:tcPr>
          <w:p w14:paraId="717A6574">
            <w:pPr>
              <w:jc w:val="center"/>
              <w:rPr>
                <w:sz w:val="18"/>
                <w:szCs w:val="18"/>
              </w:rPr>
            </w:pPr>
            <w:r>
              <w:rPr>
                <w:sz w:val="18"/>
                <w:szCs w:val="18"/>
              </w:rPr>
              <w:t>≤0.50</w:t>
            </w:r>
          </w:p>
        </w:tc>
        <w:tc>
          <w:tcPr>
            <w:tcW w:w="737" w:type="dxa"/>
            <w:vAlign w:val="center"/>
          </w:tcPr>
          <w:p w14:paraId="7F93106B">
            <w:pPr>
              <w:jc w:val="center"/>
              <w:rPr>
                <w:sz w:val="18"/>
                <w:szCs w:val="18"/>
              </w:rPr>
            </w:pPr>
            <w:r>
              <w:rPr>
                <w:sz w:val="18"/>
                <w:szCs w:val="18"/>
              </w:rPr>
              <w:t>≤0.025</w:t>
            </w:r>
          </w:p>
        </w:tc>
        <w:tc>
          <w:tcPr>
            <w:tcW w:w="737" w:type="dxa"/>
            <w:vAlign w:val="center"/>
          </w:tcPr>
          <w:p w14:paraId="47E9CDAF">
            <w:pPr>
              <w:jc w:val="center"/>
              <w:rPr>
                <w:sz w:val="18"/>
                <w:szCs w:val="18"/>
              </w:rPr>
            </w:pPr>
            <w:r>
              <w:rPr>
                <w:sz w:val="18"/>
                <w:szCs w:val="18"/>
              </w:rPr>
              <w:t>≤0.020</w:t>
            </w:r>
          </w:p>
        </w:tc>
        <w:tc>
          <w:tcPr>
            <w:tcW w:w="964" w:type="dxa"/>
            <w:vAlign w:val="center"/>
          </w:tcPr>
          <w:p w14:paraId="6F84934E">
            <w:pPr>
              <w:jc w:val="center"/>
              <w:rPr>
                <w:sz w:val="18"/>
                <w:szCs w:val="18"/>
              </w:rPr>
            </w:pPr>
            <w:r>
              <w:rPr>
                <w:sz w:val="18"/>
                <w:szCs w:val="18"/>
              </w:rPr>
              <w:t>20.5~23.5</w:t>
            </w:r>
          </w:p>
        </w:tc>
        <w:tc>
          <w:tcPr>
            <w:tcW w:w="794" w:type="dxa"/>
            <w:vAlign w:val="center"/>
          </w:tcPr>
          <w:p w14:paraId="4C140448">
            <w:pPr>
              <w:jc w:val="center"/>
              <w:rPr>
                <w:sz w:val="18"/>
                <w:szCs w:val="18"/>
              </w:rPr>
            </w:pPr>
            <w:r>
              <w:rPr>
                <w:sz w:val="18"/>
                <w:szCs w:val="18"/>
              </w:rPr>
              <w:t>4.2~5.3</w:t>
            </w:r>
          </w:p>
        </w:tc>
        <w:tc>
          <w:tcPr>
            <w:tcW w:w="680" w:type="dxa"/>
            <w:vAlign w:val="center"/>
          </w:tcPr>
          <w:p w14:paraId="36F51C31">
            <w:pPr>
              <w:jc w:val="center"/>
              <w:rPr>
                <w:sz w:val="18"/>
                <w:szCs w:val="18"/>
              </w:rPr>
            </w:pPr>
            <w:r>
              <w:rPr>
                <w:sz w:val="18"/>
                <w:szCs w:val="18"/>
              </w:rPr>
              <w:t>≤0.60</w:t>
            </w:r>
          </w:p>
        </w:tc>
        <w:tc>
          <w:tcPr>
            <w:tcW w:w="2211" w:type="dxa"/>
            <w:tcMar>
              <w:top w:w="57" w:type="dxa"/>
              <w:left w:w="57" w:type="dxa"/>
              <w:bottom w:w="57" w:type="dxa"/>
              <w:right w:w="57" w:type="dxa"/>
            </w:tcMar>
            <w:vAlign w:val="center"/>
          </w:tcPr>
          <w:p w14:paraId="74475C10">
            <w:pPr>
              <w:jc w:val="center"/>
              <w:rPr>
                <w:sz w:val="18"/>
                <w:szCs w:val="18"/>
              </w:rPr>
            </w:pPr>
            <w:r>
              <w:rPr>
                <w:sz w:val="18"/>
                <w:szCs w:val="18"/>
              </w:rPr>
              <w:t>—</w:t>
            </w:r>
          </w:p>
        </w:tc>
      </w:tr>
      <w:tr w14:paraId="76A0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04" w:type="dxa"/>
            <w:vAlign w:val="center"/>
          </w:tcPr>
          <w:p w14:paraId="57947702">
            <w:pPr>
              <w:jc w:val="center"/>
              <w:rPr>
                <w:sz w:val="18"/>
                <w:szCs w:val="18"/>
              </w:rPr>
            </w:pPr>
            <w:r>
              <w:rPr>
                <w:sz w:val="18"/>
                <w:szCs w:val="18"/>
              </w:rPr>
              <w:t>0Cr21Al6</w:t>
            </w:r>
          </w:p>
        </w:tc>
        <w:tc>
          <w:tcPr>
            <w:tcW w:w="680" w:type="dxa"/>
            <w:vAlign w:val="center"/>
          </w:tcPr>
          <w:p w14:paraId="75A67B7D">
            <w:pPr>
              <w:jc w:val="center"/>
              <w:rPr>
                <w:sz w:val="18"/>
                <w:szCs w:val="18"/>
              </w:rPr>
            </w:pPr>
            <w:r>
              <w:rPr>
                <w:sz w:val="18"/>
                <w:szCs w:val="18"/>
              </w:rPr>
              <w:t>≤0.06</w:t>
            </w:r>
          </w:p>
        </w:tc>
        <w:tc>
          <w:tcPr>
            <w:tcW w:w="964" w:type="dxa"/>
            <w:vAlign w:val="center"/>
          </w:tcPr>
          <w:p w14:paraId="0EDC5C9B">
            <w:pPr>
              <w:jc w:val="center"/>
              <w:rPr>
                <w:sz w:val="18"/>
                <w:szCs w:val="18"/>
              </w:rPr>
            </w:pPr>
            <w:r>
              <w:rPr>
                <w:sz w:val="18"/>
                <w:szCs w:val="18"/>
              </w:rPr>
              <w:t>≤1.00</w:t>
            </w:r>
          </w:p>
        </w:tc>
        <w:tc>
          <w:tcPr>
            <w:tcW w:w="680" w:type="dxa"/>
            <w:vAlign w:val="center"/>
          </w:tcPr>
          <w:p w14:paraId="36D952E4">
            <w:pPr>
              <w:jc w:val="center"/>
              <w:rPr>
                <w:sz w:val="18"/>
                <w:szCs w:val="18"/>
              </w:rPr>
            </w:pPr>
            <w:r>
              <w:rPr>
                <w:sz w:val="18"/>
                <w:szCs w:val="18"/>
              </w:rPr>
              <w:t>≤0.70</w:t>
            </w:r>
          </w:p>
        </w:tc>
        <w:tc>
          <w:tcPr>
            <w:tcW w:w="737" w:type="dxa"/>
            <w:vAlign w:val="center"/>
          </w:tcPr>
          <w:p w14:paraId="4A4DD197">
            <w:pPr>
              <w:jc w:val="center"/>
              <w:rPr>
                <w:sz w:val="18"/>
                <w:szCs w:val="18"/>
              </w:rPr>
            </w:pPr>
            <w:r>
              <w:rPr>
                <w:sz w:val="18"/>
                <w:szCs w:val="18"/>
              </w:rPr>
              <w:t>≤0.025</w:t>
            </w:r>
          </w:p>
        </w:tc>
        <w:tc>
          <w:tcPr>
            <w:tcW w:w="737" w:type="dxa"/>
            <w:vAlign w:val="center"/>
          </w:tcPr>
          <w:p w14:paraId="266E62C0">
            <w:pPr>
              <w:jc w:val="center"/>
              <w:rPr>
                <w:sz w:val="18"/>
                <w:szCs w:val="18"/>
              </w:rPr>
            </w:pPr>
            <w:r>
              <w:rPr>
                <w:sz w:val="18"/>
                <w:szCs w:val="18"/>
              </w:rPr>
              <w:t>≤0.025</w:t>
            </w:r>
          </w:p>
        </w:tc>
        <w:tc>
          <w:tcPr>
            <w:tcW w:w="964" w:type="dxa"/>
            <w:vAlign w:val="center"/>
          </w:tcPr>
          <w:p w14:paraId="73CF31DE">
            <w:pPr>
              <w:jc w:val="center"/>
              <w:rPr>
                <w:sz w:val="18"/>
                <w:szCs w:val="18"/>
              </w:rPr>
            </w:pPr>
            <w:r>
              <w:rPr>
                <w:sz w:val="18"/>
                <w:szCs w:val="18"/>
              </w:rPr>
              <w:t>19.0~22.0</w:t>
            </w:r>
          </w:p>
        </w:tc>
        <w:tc>
          <w:tcPr>
            <w:tcW w:w="794" w:type="dxa"/>
            <w:vAlign w:val="center"/>
          </w:tcPr>
          <w:p w14:paraId="6EB914D8">
            <w:pPr>
              <w:jc w:val="center"/>
              <w:rPr>
                <w:sz w:val="18"/>
                <w:szCs w:val="18"/>
              </w:rPr>
            </w:pPr>
            <w:r>
              <w:rPr>
                <w:sz w:val="18"/>
                <w:szCs w:val="18"/>
              </w:rPr>
              <w:t>5.0~7.0</w:t>
            </w:r>
          </w:p>
        </w:tc>
        <w:tc>
          <w:tcPr>
            <w:tcW w:w="680" w:type="dxa"/>
            <w:vAlign w:val="center"/>
          </w:tcPr>
          <w:p w14:paraId="4D61A4C5">
            <w:pPr>
              <w:jc w:val="center"/>
              <w:rPr>
                <w:sz w:val="18"/>
                <w:szCs w:val="18"/>
              </w:rPr>
            </w:pPr>
            <w:r>
              <w:rPr>
                <w:sz w:val="18"/>
                <w:szCs w:val="18"/>
              </w:rPr>
              <w:t>≤0.60</w:t>
            </w:r>
          </w:p>
        </w:tc>
        <w:tc>
          <w:tcPr>
            <w:tcW w:w="2211" w:type="dxa"/>
            <w:tcMar>
              <w:top w:w="57" w:type="dxa"/>
              <w:left w:w="57" w:type="dxa"/>
              <w:bottom w:w="57" w:type="dxa"/>
              <w:right w:w="57" w:type="dxa"/>
            </w:tcMar>
            <w:vAlign w:val="center"/>
          </w:tcPr>
          <w:p w14:paraId="35FAEE9C">
            <w:pPr>
              <w:jc w:val="center"/>
              <w:rPr>
                <w:sz w:val="18"/>
                <w:szCs w:val="18"/>
              </w:rPr>
            </w:pPr>
            <w:r>
              <w:rPr>
                <w:sz w:val="18"/>
                <w:szCs w:val="18"/>
              </w:rPr>
              <w:t>—</w:t>
            </w:r>
          </w:p>
        </w:tc>
      </w:tr>
      <w:tr w14:paraId="338D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04" w:type="dxa"/>
            <w:vAlign w:val="center"/>
          </w:tcPr>
          <w:p w14:paraId="0E8EF888">
            <w:pPr>
              <w:jc w:val="center"/>
              <w:rPr>
                <w:sz w:val="18"/>
                <w:szCs w:val="18"/>
              </w:rPr>
            </w:pPr>
            <w:r>
              <w:rPr>
                <w:sz w:val="18"/>
                <w:szCs w:val="18"/>
              </w:rPr>
              <w:t>0Cr20Al6RE</w:t>
            </w:r>
          </w:p>
        </w:tc>
        <w:tc>
          <w:tcPr>
            <w:tcW w:w="680" w:type="dxa"/>
            <w:vAlign w:val="center"/>
          </w:tcPr>
          <w:p w14:paraId="1DE12FBB">
            <w:pPr>
              <w:jc w:val="center"/>
              <w:rPr>
                <w:sz w:val="18"/>
                <w:szCs w:val="18"/>
              </w:rPr>
            </w:pPr>
            <w:r>
              <w:rPr>
                <w:sz w:val="18"/>
                <w:szCs w:val="18"/>
              </w:rPr>
              <w:t>≤0.04</w:t>
            </w:r>
          </w:p>
        </w:tc>
        <w:tc>
          <w:tcPr>
            <w:tcW w:w="964" w:type="dxa"/>
            <w:vAlign w:val="center"/>
          </w:tcPr>
          <w:p w14:paraId="62F0E6DB">
            <w:pPr>
              <w:jc w:val="center"/>
              <w:rPr>
                <w:sz w:val="18"/>
                <w:szCs w:val="18"/>
              </w:rPr>
            </w:pPr>
            <w:r>
              <w:rPr>
                <w:sz w:val="18"/>
                <w:szCs w:val="18"/>
              </w:rPr>
              <w:t>≤0.40</w:t>
            </w:r>
          </w:p>
        </w:tc>
        <w:tc>
          <w:tcPr>
            <w:tcW w:w="680" w:type="dxa"/>
            <w:vAlign w:val="center"/>
          </w:tcPr>
          <w:p w14:paraId="4ED55C2A">
            <w:pPr>
              <w:jc w:val="center"/>
              <w:rPr>
                <w:sz w:val="18"/>
                <w:szCs w:val="18"/>
              </w:rPr>
            </w:pPr>
            <w:r>
              <w:rPr>
                <w:sz w:val="18"/>
                <w:szCs w:val="18"/>
              </w:rPr>
              <w:t>≤0.50</w:t>
            </w:r>
          </w:p>
        </w:tc>
        <w:tc>
          <w:tcPr>
            <w:tcW w:w="737" w:type="dxa"/>
            <w:vAlign w:val="center"/>
          </w:tcPr>
          <w:p w14:paraId="6A3D93B8">
            <w:pPr>
              <w:jc w:val="center"/>
              <w:rPr>
                <w:sz w:val="18"/>
                <w:szCs w:val="18"/>
              </w:rPr>
            </w:pPr>
            <w:r>
              <w:rPr>
                <w:sz w:val="18"/>
                <w:szCs w:val="18"/>
              </w:rPr>
              <w:t>≤0.025</w:t>
            </w:r>
          </w:p>
        </w:tc>
        <w:tc>
          <w:tcPr>
            <w:tcW w:w="737" w:type="dxa"/>
            <w:vAlign w:val="center"/>
          </w:tcPr>
          <w:p w14:paraId="5758D93A">
            <w:pPr>
              <w:jc w:val="center"/>
              <w:rPr>
                <w:sz w:val="18"/>
                <w:szCs w:val="18"/>
              </w:rPr>
            </w:pPr>
            <w:r>
              <w:rPr>
                <w:sz w:val="18"/>
                <w:szCs w:val="18"/>
              </w:rPr>
              <w:t>≤0.020</w:t>
            </w:r>
          </w:p>
        </w:tc>
        <w:tc>
          <w:tcPr>
            <w:tcW w:w="964" w:type="dxa"/>
            <w:vAlign w:val="center"/>
          </w:tcPr>
          <w:p w14:paraId="069268AE">
            <w:pPr>
              <w:jc w:val="center"/>
              <w:rPr>
                <w:sz w:val="18"/>
                <w:szCs w:val="18"/>
              </w:rPr>
            </w:pPr>
            <w:r>
              <w:rPr>
                <w:sz w:val="18"/>
                <w:szCs w:val="18"/>
              </w:rPr>
              <w:t>19.0~21.0</w:t>
            </w:r>
          </w:p>
        </w:tc>
        <w:tc>
          <w:tcPr>
            <w:tcW w:w="794" w:type="dxa"/>
            <w:vAlign w:val="center"/>
          </w:tcPr>
          <w:p w14:paraId="39C69030">
            <w:pPr>
              <w:jc w:val="center"/>
              <w:rPr>
                <w:sz w:val="18"/>
                <w:szCs w:val="18"/>
              </w:rPr>
            </w:pPr>
            <w:r>
              <w:rPr>
                <w:sz w:val="18"/>
                <w:szCs w:val="18"/>
              </w:rPr>
              <w:t>5.0~6.0</w:t>
            </w:r>
          </w:p>
        </w:tc>
        <w:tc>
          <w:tcPr>
            <w:tcW w:w="680" w:type="dxa"/>
            <w:vAlign w:val="center"/>
          </w:tcPr>
          <w:p w14:paraId="11964507">
            <w:pPr>
              <w:jc w:val="center"/>
              <w:rPr>
                <w:sz w:val="18"/>
                <w:szCs w:val="18"/>
              </w:rPr>
            </w:pPr>
            <w:r>
              <w:rPr>
                <w:sz w:val="18"/>
                <w:szCs w:val="18"/>
              </w:rPr>
              <w:t>≤0.60</w:t>
            </w:r>
          </w:p>
        </w:tc>
        <w:tc>
          <w:tcPr>
            <w:tcW w:w="2211" w:type="dxa"/>
            <w:tcMar>
              <w:top w:w="57" w:type="dxa"/>
              <w:left w:w="57" w:type="dxa"/>
              <w:bottom w:w="57" w:type="dxa"/>
              <w:right w:w="57" w:type="dxa"/>
            </w:tcMar>
            <w:vAlign w:val="center"/>
          </w:tcPr>
          <w:p w14:paraId="4CE2CAE0">
            <w:pPr>
              <w:spacing w:line="240" w:lineRule="exact"/>
              <w:jc w:val="center"/>
              <w:rPr>
                <w:sz w:val="18"/>
                <w:szCs w:val="18"/>
              </w:rPr>
            </w:pPr>
            <w:r>
              <w:rPr>
                <w:sz w:val="18"/>
                <w:szCs w:val="18"/>
              </w:rPr>
              <w:t>La、Ce、Co、Ti、Nb、Zr或其组合：0.04~1.00</w:t>
            </w:r>
          </w:p>
        </w:tc>
      </w:tr>
      <w:tr w14:paraId="0E14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04" w:type="dxa"/>
            <w:vAlign w:val="center"/>
          </w:tcPr>
          <w:p w14:paraId="61686FC3">
            <w:pPr>
              <w:jc w:val="center"/>
              <w:rPr>
                <w:sz w:val="18"/>
                <w:szCs w:val="18"/>
              </w:rPr>
            </w:pPr>
            <w:r>
              <w:rPr>
                <w:sz w:val="18"/>
                <w:szCs w:val="18"/>
              </w:rPr>
              <w:t>0Cr25Al5</w:t>
            </w:r>
          </w:p>
        </w:tc>
        <w:tc>
          <w:tcPr>
            <w:tcW w:w="680" w:type="dxa"/>
            <w:vAlign w:val="center"/>
          </w:tcPr>
          <w:p w14:paraId="7E948811">
            <w:pPr>
              <w:jc w:val="center"/>
              <w:rPr>
                <w:sz w:val="18"/>
                <w:szCs w:val="18"/>
              </w:rPr>
            </w:pPr>
            <w:r>
              <w:rPr>
                <w:sz w:val="18"/>
                <w:szCs w:val="18"/>
              </w:rPr>
              <w:t>≤0.06</w:t>
            </w:r>
          </w:p>
        </w:tc>
        <w:tc>
          <w:tcPr>
            <w:tcW w:w="964" w:type="dxa"/>
            <w:vAlign w:val="center"/>
          </w:tcPr>
          <w:p w14:paraId="2334FA86">
            <w:pPr>
              <w:jc w:val="center"/>
              <w:rPr>
                <w:sz w:val="18"/>
                <w:szCs w:val="18"/>
              </w:rPr>
            </w:pPr>
            <w:r>
              <w:rPr>
                <w:sz w:val="18"/>
                <w:szCs w:val="18"/>
              </w:rPr>
              <w:t>≤0.60</w:t>
            </w:r>
          </w:p>
        </w:tc>
        <w:tc>
          <w:tcPr>
            <w:tcW w:w="680" w:type="dxa"/>
            <w:vAlign w:val="center"/>
          </w:tcPr>
          <w:p w14:paraId="427BB461">
            <w:pPr>
              <w:jc w:val="center"/>
              <w:rPr>
                <w:sz w:val="18"/>
                <w:szCs w:val="18"/>
              </w:rPr>
            </w:pPr>
            <w:r>
              <w:rPr>
                <w:sz w:val="18"/>
                <w:szCs w:val="18"/>
              </w:rPr>
              <w:t>≤0.50</w:t>
            </w:r>
          </w:p>
        </w:tc>
        <w:tc>
          <w:tcPr>
            <w:tcW w:w="737" w:type="dxa"/>
            <w:vAlign w:val="center"/>
          </w:tcPr>
          <w:p w14:paraId="1EC3D4F1">
            <w:pPr>
              <w:jc w:val="center"/>
              <w:rPr>
                <w:sz w:val="18"/>
                <w:szCs w:val="18"/>
              </w:rPr>
            </w:pPr>
            <w:r>
              <w:rPr>
                <w:sz w:val="18"/>
                <w:szCs w:val="18"/>
              </w:rPr>
              <w:t>≤0.025</w:t>
            </w:r>
          </w:p>
        </w:tc>
        <w:tc>
          <w:tcPr>
            <w:tcW w:w="737" w:type="dxa"/>
            <w:vAlign w:val="center"/>
          </w:tcPr>
          <w:p w14:paraId="59CCE403">
            <w:pPr>
              <w:jc w:val="center"/>
              <w:rPr>
                <w:sz w:val="18"/>
                <w:szCs w:val="18"/>
              </w:rPr>
            </w:pPr>
            <w:r>
              <w:rPr>
                <w:sz w:val="18"/>
                <w:szCs w:val="18"/>
              </w:rPr>
              <w:t>≤0.020</w:t>
            </w:r>
          </w:p>
        </w:tc>
        <w:tc>
          <w:tcPr>
            <w:tcW w:w="964" w:type="dxa"/>
            <w:vAlign w:val="center"/>
          </w:tcPr>
          <w:p w14:paraId="2454255A">
            <w:pPr>
              <w:jc w:val="center"/>
              <w:rPr>
                <w:sz w:val="18"/>
                <w:szCs w:val="18"/>
              </w:rPr>
            </w:pPr>
            <w:r>
              <w:rPr>
                <w:sz w:val="18"/>
                <w:szCs w:val="18"/>
              </w:rPr>
              <w:t>23.0~26.0</w:t>
            </w:r>
          </w:p>
        </w:tc>
        <w:tc>
          <w:tcPr>
            <w:tcW w:w="794" w:type="dxa"/>
            <w:vAlign w:val="center"/>
          </w:tcPr>
          <w:p w14:paraId="4B29B481">
            <w:pPr>
              <w:jc w:val="center"/>
              <w:rPr>
                <w:sz w:val="18"/>
                <w:szCs w:val="18"/>
              </w:rPr>
            </w:pPr>
            <w:r>
              <w:rPr>
                <w:sz w:val="18"/>
                <w:szCs w:val="18"/>
              </w:rPr>
              <w:t>4.5~6.5</w:t>
            </w:r>
          </w:p>
        </w:tc>
        <w:tc>
          <w:tcPr>
            <w:tcW w:w="680" w:type="dxa"/>
            <w:vAlign w:val="center"/>
          </w:tcPr>
          <w:p w14:paraId="19FE854B">
            <w:pPr>
              <w:jc w:val="center"/>
              <w:rPr>
                <w:sz w:val="18"/>
                <w:szCs w:val="18"/>
              </w:rPr>
            </w:pPr>
            <w:r>
              <w:rPr>
                <w:sz w:val="18"/>
                <w:szCs w:val="18"/>
              </w:rPr>
              <w:t>≤0.60</w:t>
            </w:r>
          </w:p>
        </w:tc>
        <w:tc>
          <w:tcPr>
            <w:tcW w:w="2211" w:type="dxa"/>
            <w:tcMar>
              <w:top w:w="57" w:type="dxa"/>
              <w:left w:w="57" w:type="dxa"/>
              <w:bottom w:w="57" w:type="dxa"/>
              <w:right w:w="57" w:type="dxa"/>
            </w:tcMar>
            <w:vAlign w:val="center"/>
          </w:tcPr>
          <w:p w14:paraId="544C4C36">
            <w:pPr>
              <w:jc w:val="center"/>
              <w:rPr>
                <w:sz w:val="18"/>
                <w:szCs w:val="18"/>
              </w:rPr>
            </w:pPr>
            <w:r>
              <w:rPr>
                <w:sz w:val="18"/>
                <w:szCs w:val="18"/>
              </w:rPr>
              <w:t>—</w:t>
            </w:r>
          </w:p>
        </w:tc>
      </w:tr>
      <w:tr w14:paraId="0387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04" w:type="dxa"/>
            <w:vAlign w:val="center"/>
          </w:tcPr>
          <w:p w14:paraId="46C2A4D2">
            <w:pPr>
              <w:jc w:val="center"/>
              <w:rPr>
                <w:sz w:val="18"/>
                <w:szCs w:val="18"/>
              </w:rPr>
            </w:pPr>
            <w:r>
              <w:rPr>
                <w:sz w:val="18"/>
                <w:szCs w:val="18"/>
              </w:rPr>
              <w:t>0Cr21Al6Nb</w:t>
            </w:r>
          </w:p>
        </w:tc>
        <w:tc>
          <w:tcPr>
            <w:tcW w:w="680" w:type="dxa"/>
            <w:vAlign w:val="center"/>
          </w:tcPr>
          <w:p w14:paraId="3439E89A">
            <w:pPr>
              <w:jc w:val="center"/>
              <w:rPr>
                <w:sz w:val="18"/>
                <w:szCs w:val="18"/>
              </w:rPr>
            </w:pPr>
            <w:r>
              <w:rPr>
                <w:sz w:val="18"/>
                <w:szCs w:val="18"/>
              </w:rPr>
              <w:t>≤0.05</w:t>
            </w:r>
          </w:p>
        </w:tc>
        <w:tc>
          <w:tcPr>
            <w:tcW w:w="964" w:type="dxa"/>
            <w:vAlign w:val="center"/>
          </w:tcPr>
          <w:p w14:paraId="2C9D2D65">
            <w:pPr>
              <w:jc w:val="center"/>
              <w:rPr>
                <w:sz w:val="18"/>
                <w:szCs w:val="18"/>
              </w:rPr>
            </w:pPr>
            <w:r>
              <w:rPr>
                <w:sz w:val="18"/>
                <w:szCs w:val="18"/>
              </w:rPr>
              <w:t>≤0.60</w:t>
            </w:r>
          </w:p>
        </w:tc>
        <w:tc>
          <w:tcPr>
            <w:tcW w:w="680" w:type="dxa"/>
            <w:vAlign w:val="center"/>
          </w:tcPr>
          <w:p w14:paraId="24E3402E">
            <w:pPr>
              <w:jc w:val="center"/>
              <w:rPr>
                <w:sz w:val="18"/>
                <w:szCs w:val="18"/>
              </w:rPr>
            </w:pPr>
            <w:r>
              <w:rPr>
                <w:sz w:val="18"/>
                <w:szCs w:val="18"/>
              </w:rPr>
              <w:t>≤0.50</w:t>
            </w:r>
          </w:p>
        </w:tc>
        <w:tc>
          <w:tcPr>
            <w:tcW w:w="737" w:type="dxa"/>
            <w:vAlign w:val="center"/>
          </w:tcPr>
          <w:p w14:paraId="3D21D8F0">
            <w:pPr>
              <w:jc w:val="center"/>
              <w:rPr>
                <w:sz w:val="18"/>
                <w:szCs w:val="18"/>
              </w:rPr>
            </w:pPr>
            <w:r>
              <w:rPr>
                <w:sz w:val="18"/>
                <w:szCs w:val="18"/>
              </w:rPr>
              <w:t>≤0.025</w:t>
            </w:r>
          </w:p>
        </w:tc>
        <w:tc>
          <w:tcPr>
            <w:tcW w:w="737" w:type="dxa"/>
            <w:vAlign w:val="center"/>
          </w:tcPr>
          <w:p w14:paraId="568C39D1">
            <w:pPr>
              <w:jc w:val="center"/>
              <w:rPr>
                <w:sz w:val="18"/>
                <w:szCs w:val="18"/>
              </w:rPr>
            </w:pPr>
            <w:r>
              <w:rPr>
                <w:sz w:val="18"/>
                <w:szCs w:val="18"/>
              </w:rPr>
              <w:t>≤0.020</w:t>
            </w:r>
          </w:p>
        </w:tc>
        <w:tc>
          <w:tcPr>
            <w:tcW w:w="964" w:type="dxa"/>
            <w:vAlign w:val="center"/>
          </w:tcPr>
          <w:p w14:paraId="5C92DD77">
            <w:pPr>
              <w:jc w:val="center"/>
              <w:rPr>
                <w:sz w:val="18"/>
                <w:szCs w:val="18"/>
              </w:rPr>
            </w:pPr>
            <w:r>
              <w:rPr>
                <w:sz w:val="18"/>
                <w:szCs w:val="18"/>
              </w:rPr>
              <w:t>21.0~23.0</w:t>
            </w:r>
          </w:p>
        </w:tc>
        <w:tc>
          <w:tcPr>
            <w:tcW w:w="794" w:type="dxa"/>
            <w:vAlign w:val="center"/>
          </w:tcPr>
          <w:p w14:paraId="09471692">
            <w:pPr>
              <w:jc w:val="center"/>
              <w:rPr>
                <w:sz w:val="18"/>
                <w:szCs w:val="18"/>
              </w:rPr>
            </w:pPr>
            <w:r>
              <w:rPr>
                <w:sz w:val="18"/>
                <w:szCs w:val="18"/>
              </w:rPr>
              <w:t>5.0~7.0</w:t>
            </w:r>
          </w:p>
        </w:tc>
        <w:tc>
          <w:tcPr>
            <w:tcW w:w="680" w:type="dxa"/>
            <w:vAlign w:val="center"/>
          </w:tcPr>
          <w:p w14:paraId="07398794">
            <w:pPr>
              <w:jc w:val="center"/>
              <w:rPr>
                <w:sz w:val="18"/>
                <w:szCs w:val="18"/>
              </w:rPr>
            </w:pPr>
            <w:r>
              <w:rPr>
                <w:sz w:val="18"/>
                <w:szCs w:val="18"/>
              </w:rPr>
              <w:t>≤0.60</w:t>
            </w:r>
          </w:p>
        </w:tc>
        <w:tc>
          <w:tcPr>
            <w:tcW w:w="2211" w:type="dxa"/>
            <w:tcMar>
              <w:top w:w="57" w:type="dxa"/>
              <w:left w:w="57" w:type="dxa"/>
              <w:bottom w:w="57" w:type="dxa"/>
              <w:right w:w="57" w:type="dxa"/>
            </w:tcMar>
            <w:vAlign w:val="center"/>
          </w:tcPr>
          <w:p w14:paraId="4512F682">
            <w:pPr>
              <w:jc w:val="center"/>
              <w:rPr>
                <w:sz w:val="18"/>
                <w:szCs w:val="18"/>
              </w:rPr>
            </w:pPr>
            <w:r>
              <w:rPr>
                <w:sz w:val="18"/>
                <w:szCs w:val="18"/>
              </w:rPr>
              <w:t>Nb: 0.20~0.60</w:t>
            </w:r>
          </w:p>
        </w:tc>
      </w:tr>
      <w:tr w14:paraId="6FA1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04" w:type="dxa"/>
            <w:vAlign w:val="center"/>
          </w:tcPr>
          <w:p w14:paraId="060A7A94">
            <w:pPr>
              <w:jc w:val="center"/>
              <w:rPr>
                <w:sz w:val="18"/>
                <w:szCs w:val="18"/>
              </w:rPr>
            </w:pPr>
            <w:r>
              <w:rPr>
                <w:sz w:val="18"/>
                <w:szCs w:val="18"/>
              </w:rPr>
              <w:t>0Cr24Al6RE</w:t>
            </w:r>
          </w:p>
        </w:tc>
        <w:tc>
          <w:tcPr>
            <w:tcW w:w="680" w:type="dxa"/>
            <w:vAlign w:val="center"/>
          </w:tcPr>
          <w:p w14:paraId="5B0D3497">
            <w:pPr>
              <w:jc w:val="center"/>
              <w:rPr>
                <w:sz w:val="18"/>
                <w:szCs w:val="18"/>
              </w:rPr>
            </w:pPr>
            <w:r>
              <w:rPr>
                <w:sz w:val="18"/>
                <w:szCs w:val="18"/>
              </w:rPr>
              <w:t>≤0.04</w:t>
            </w:r>
          </w:p>
        </w:tc>
        <w:tc>
          <w:tcPr>
            <w:tcW w:w="964" w:type="dxa"/>
            <w:vAlign w:val="center"/>
          </w:tcPr>
          <w:p w14:paraId="24A760DF">
            <w:pPr>
              <w:jc w:val="center"/>
              <w:rPr>
                <w:sz w:val="18"/>
                <w:szCs w:val="18"/>
              </w:rPr>
            </w:pPr>
            <w:r>
              <w:rPr>
                <w:sz w:val="18"/>
                <w:szCs w:val="18"/>
              </w:rPr>
              <w:t>≤0.40</w:t>
            </w:r>
          </w:p>
        </w:tc>
        <w:tc>
          <w:tcPr>
            <w:tcW w:w="680" w:type="dxa"/>
            <w:vAlign w:val="center"/>
          </w:tcPr>
          <w:p w14:paraId="443C0096">
            <w:pPr>
              <w:jc w:val="center"/>
              <w:rPr>
                <w:sz w:val="18"/>
                <w:szCs w:val="18"/>
              </w:rPr>
            </w:pPr>
            <w:r>
              <w:rPr>
                <w:sz w:val="18"/>
                <w:szCs w:val="18"/>
              </w:rPr>
              <w:t>≤0.50</w:t>
            </w:r>
          </w:p>
        </w:tc>
        <w:tc>
          <w:tcPr>
            <w:tcW w:w="737" w:type="dxa"/>
            <w:vAlign w:val="center"/>
          </w:tcPr>
          <w:p w14:paraId="4CEF4F76">
            <w:pPr>
              <w:jc w:val="center"/>
              <w:rPr>
                <w:sz w:val="18"/>
                <w:szCs w:val="18"/>
              </w:rPr>
            </w:pPr>
            <w:r>
              <w:rPr>
                <w:sz w:val="18"/>
                <w:szCs w:val="18"/>
              </w:rPr>
              <w:t>≤0.025</w:t>
            </w:r>
          </w:p>
        </w:tc>
        <w:tc>
          <w:tcPr>
            <w:tcW w:w="737" w:type="dxa"/>
            <w:vAlign w:val="center"/>
          </w:tcPr>
          <w:p w14:paraId="13C83AF6">
            <w:pPr>
              <w:jc w:val="center"/>
              <w:rPr>
                <w:sz w:val="18"/>
                <w:szCs w:val="18"/>
              </w:rPr>
            </w:pPr>
            <w:r>
              <w:rPr>
                <w:sz w:val="18"/>
                <w:szCs w:val="18"/>
              </w:rPr>
              <w:t>≤0.020</w:t>
            </w:r>
          </w:p>
        </w:tc>
        <w:tc>
          <w:tcPr>
            <w:tcW w:w="964" w:type="dxa"/>
            <w:vAlign w:val="center"/>
          </w:tcPr>
          <w:p w14:paraId="038AA1B9">
            <w:pPr>
              <w:jc w:val="center"/>
              <w:rPr>
                <w:sz w:val="18"/>
                <w:szCs w:val="18"/>
              </w:rPr>
            </w:pPr>
            <w:r>
              <w:rPr>
                <w:sz w:val="18"/>
                <w:szCs w:val="18"/>
              </w:rPr>
              <w:t>22.0~26.0</w:t>
            </w:r>
          </w:p>
        </w:tc>
        <w:tc>
          <w:tcPr>
            <w:tcW w:w="794" w:type="dxa"/>
            <w:vAlign w:val="center"/>
          </w:tcPr>
          <w:p w14:paraId="786AEC14">
            <w:pPr>
              <w:jc w:val="center"/>
              <w:rPr>
                <w:sz w:val="18"/>
                <w:szCs w:val="18"/>
              </w:rPr>
            </w:pPr>
            <w:r>
              <w:rPr>
                <w:sz w:val="18"/>
                <w:szCs w:val="18"/>
              </w:rPr>
              <w:t>5.0~7.0</w:t>
            </w:r>
          </w:p>
        </w:tc>
        <w:tc>
          <w:tcPr>
            <w:tcW w:w="680" w:type="dxa"/>
            <w:vAlign w:val="center"/>
          </w:tcPr>
          <w:p w14:paraId="38EFAC1C">
            <w:pPr>
              <w:jc w:val="center"/>
              <w:rPr>
                <w:sz w:val="18"/>
                <w:szCs w:val="18"/>
              </w:rPr>
            </w:pPr>
            <w:r>
              <w:rPr>
                <w:sz w:val="18"/>
                <w:szCs w:val="18"/>
              </w:rPr>
              <w:t>≤0.60</w:t>
            </w:r>
          </w:p>
        </w:tc>
        <w:tc>
          <w:tcPr>
            <w:tcW w:w="2211" w:type="dxa"/>
            <w:tcMar>
              <w:top w:w="57" w:type="dxa"/>
              <w:left w:w="57" w:type="dxa"/>
              <w:bottom w:w="57" w:type="dxa"/>
              <w:right w:w="57" w:type="dxa"/>
            </w:tcMar>
            <w:vAlign w:val="center"/>
          </w:tcPr>
          <w:p w14:paraId="5DAA76ED">
            <w:pPr>
              <w:spacing w:line="240" w:lineRule="exact"/>
              <w:jc w:val="center"/>
              <w:rPr>
                <w:sz w:val="18"/>
                <w:szCs w:val="18"/>
              </w:rPr>
            </w:pPr>
            <w:r>
              <w:rPr>
                <w:sz w:val="18"/>
                <w:szCs w:val="18"/>
              </w:rPr>
              <w:t>La、Ce、Co、Ti、Nb、Zr或其组合：0.04~1.00</w:t>
            </w:r>
          </w:p>
        </w:tc>
      </w:tr>
      <w:tr w14:paraId="3E9A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04" w:type="dxa"/>
            <w:vAlign w:val="center"/>
          </w:tcPr>
          <w:p w14:paraId="19AA3F29">
            <w:pPr>
              <w:jc w:val="center"/>
              <w:rPr>
                <w:sz w:val="18"/>
                <w:szCs w:val="18"/>
              </w:rPr>
            </w:pPr>
            <w:r>
              <w:rPr>
                <w:sz w:val="18"/>
                <w:szCs w:val="18"/>
              </w:rPr>
              <w:t>0Cr27Al7Mo2</w:t>
            </w:r>
          </w:p>
        </w:tc>
        <w:tc>
          <w:tcPr>
            <w:tcW w:w="680" w:type="dxa"/>
            <w:vAlign w:val="center"/>
          </w:tcPr>
          <w:p w14:paraId="3345CD81">
            <w:pPr>
              <w:jc w:val="center"/>
              <w:rPr>
                <w:sz w:val="18"/>
                <w:szCs w:val="18"/>
              </w:rPr>
            </w:pPr>
            <w:r>
              <w:rPr>
                <w:sz w:val="18"/>
                <w:szCs w:val="18"/>
              </w:rPr>
              <w:t>≤0.05</w:t>
            </w:r>
          </w:p>
        </w:tc>
        <w:tc>
          <w:tcPr>
            <w:tcW w:w="964" w:type="dxa"/>
            <w:vAlign w:val="center"/>
          </w:tcPr>
          <w:p w14:paraId="17E99DE4">
            <w:pPr>
              <w:jc w:val="center"/>
              <w:rPr>
                <w:sz w:val="18"/>
                <w:szCs w:val="18"/>
              </w:rPr>
            </w:pPr>
            <w:r>
              <w:rPr>
                <w:sz w:val="18"/>
                <w:szCs w:val="18"/>
              </w:rPr>
              <w:t>≤0.40</w:t>
            </w:r>
          </w:p>
        </w:tc>
        <w:tc>
          <w:tcPr>
            <w:tcW w:w="680" w:type="dxa"/>
            <w:vAlign w:val="center"/>
          </w:tcPr>
          <w:p w14:paraId="785AE700">
            <w:pPr>
              <w:jc w:val="center"/>
              <w:rPr>
                <w:sz w:val="18"/>
                <w:szCs w:val="18"/>
              </w:rPr>
            </w:pPr>
            <w:r>
              <w:rPr>
                <w:sz w:val="18"/>
                <w:szCs w:val="18"/>
              </w:rPr>
              <w:t>≤0.20</w:t>
            </w:r>
          </w:p>
        </w:tc>
        <w:tc>
          <w:tcPr>
            <w:tcW w:w="737" w:type="dxa"/>
            <w:vAlign w:val="center"/>
          </w:tcPr>
          <w:p w14:paraId="525CED86">
            <w:pPr>
              <w:jc w:val="center"/>
              <w:rPr>
                <w:sz w:val="18"/>
                <w:szCs w:val="18"/>
              </w:rPr>
            </w:pPr>
            <w:r>
              <w:rPr>
                <w:sz w:val="18"/>
                <w:szCs w:val="18"/>
              </w:rPr>
              <w:t>≤0.025</w:t>
            </w:r>
          </w:p>
        </w:tc>
        <w:tc>
          <w:tcPr>
            <w:tcW w:w="737" w:type="dxa"/>
            <w:vAlign w:val="center"/>
          </w:tcPr>
          <w:p w14:paraId="521117B4">
            <w:pPr>
              <w:jc w:val="center"/>
              <w:rPr>
                <w:sz w:val="18"/>
                <w:szCs w:val="18"/>
              </w:rPr>
            </w:pPr>
            <w:r>
              <w:rPr>
                <w:sz w:val="18"/>
                <w:szCs w:val="18"/>
              </w:rPr>
              <w:t>≤0.020</w:t>
            </w:r>
          </w:p>
        </w:tc>
        <w:tc>
          <w:tcPr>
            <w:tcW w:w="964" w:type="dxa"/>
            <w:vAlign w:val="center"/>
          </w:tcPr>
          <w:p w14:paraId="74C72F0D">
            <w:pPr>
              <w:jc w:val="center"/>
              <w:rPr>
                <w:sz w:val="18"/>
                <w:szCs w:val="18"/>
              </w:rPr>
            </w:pPr>
            <w:r>
              <w:rPr>
                <w:sz w:val="18"/>
                <w:szCs w:val="18"/>
              </w:rPr>
              <w:t>26.5~27.8</w:t>
            </w:r>
          </w:p>
        </w:tc>
        <w:tc>
          <w:tcPr>
            <w:tcW w:w="794" w:type="dxa"/>
            <w:vAlign w:val="center"/>
          </w:tcPr>
          <w:p w14:paraId="1864FDB0">
            <w:pPr>
              <w:jc w:val="center"/>
              <w:rPr>
                <w:sz w:val="18"/>
                <w:szCs w:val="18"/>
              </w:rPr>
            </w:pPr>
            <w:r>
              <w:rPr>
                <w:sz w:val="18"/>
                <w:szCs w:val="18"/>
              </w:rPr>
              <w:t>6.0~7.0</w:t>
            </w:r>
          </w:p>
        </w:tc>
        <w:tc>
          <w:tcPr>
            <w:tcW w:w="680" w:type="dxa"/>
            <w:vAlign w:val="center"/>
          </w:tcPr>
          <w:p w14:paraId="7564F511">
            <w:pPr>
              <w:jc w:val="center"/>
              <w:rPr>
                <w:sz w:val="18"/>
                <w:szCs w:val="18"/>
              </w:rPr>
            </w:pPr>
            <w:r>
              <w:rPr>
                <w:sz w:val="18"/>
                <w:szCs w:val="18"/>
              </w:rPr>
              <w:t>≤0.60</w:t>
            </w:r>
          </w:p>
        </w:tc>
        <w:tc>
          <w:tcPr>
            <w:tcW w:w="2211" w:type="dxa"/>
            <w:tcMar>
              <w:top w:w="57" w:type="dxa"/>
              <w:left w:w="57" w:type="dxa"/>
              <w:bottom w:w="57" w:type="dxa"/>
              <w:right w:w="57" w:type="dxa"/>
            </w:tcMar>
            <w:vAlign w:val="center"/>
          </w:tcPr>
          <w:p w14:paraId="3D1A8CDB">
            <w:pPr>
              <w:jc w:val="center"/>
              <w:rPr>
                <w:sz w:val="18"/>
                <w:szCs w:val="18"/>
              </w:rPr>
            </w:pPr>
            <w:r>
              <w:rPr>
                <w:sz w:val="18"/>
                <w:szCs w:val="18"/>
              </w:rPr>
              <w:t>Mo: 1.80~2.20</w:t>
            </w:r>
          </w:p>
        </w:tc>
      </w:tr>
    </w:tbl>
    <w:p w14:paraId="468045CD">
      <w:pPr>
        <w:widowControl/>
        <w:numPr>
          <w:ilvl w:val="2"/>
          <w:numId w:val="2"/>
        </w:numPr>
        <w:spacing w:before="156" w:beforeLines="50" w:after="156" w:afterLines="50"/>
        <w:ind w:left="0"/>
        <w:jc w:val="left"/>
        <w:outlineLvl w:val="3"/>
        <w:rPr>
          <w:kern w:val="0"/>
          <w:szCs w:val="21"/>
        </w:rPr>
      </w:pPr>
      <w:r>
        <w:rPr>
          <w:kern w:val="0"/>
          <w:szCs w:val="21"/>
        </w:rPr>
        <w:t>在保证合金性能符合本文件要求的条件下，可以对合金成分范围进行适当调整。</w:t>
      </w:r>
    </w:p>
    <w:p w14:paraId="42029513">
      <w:pPr>
        <w:widowControl/>
        <w:numPr>
          <w:ilvl w:val="2"/>
          <w:numId w:val="2"/>
        </w:numPr>
        <w:spacing w:before="156" w:beforeLines="50" w:after="156" w:afterLines="50"/>
        <w:ind w:left="0"/>
        <w:jc w:val="left"/>
        <w:outlineLvl w:val="3"/>
        <w:rPr>
          <w:kern w:val="0"/>
          <w:szCs w:val="21"/>
        </w:rPr>
      </w:pPr>
      <w:r>
        <w:t>为了改善合金性能，由供需双方协商，可在合金中添加适量稀土元素及其他元素。</w:t>
      </w:r>
    </w:p>
    <w:p w14:paraId="781DDE4E">
      <w:pPr>
        <w:pStyle w:val="46"/>
        <w:spacing w:before="156" w:after="156"/>
        <w:rPr>
          <w:rFonts w:ascii="Times New Roman"/>
          <w:szCs w:val="20"/>
        </w:rPr>
      </w:pPr>
      <w:r>
        <w:rPr>
          <w:rFonts w:ascii="Times New Roman"/>
          <w:szCs w:val="20"/>
        </w:rPr>
        <w:t>力学性能</w:t>
      </w:r>
    </w:p>
    <w:p w14:paraId="2CE63F76">
      <w:pPr>
        <w:pStyle w:val="25"/>
        <w:rPr>
          <w:rFonts w:ascii="Times New Roman"/>
        </w:rPr>
      </w:pPr>
      <w:r>
        <w:rPr>
          <w:rFonts w:hint="eastAsia" w:ascii="Times New Roman"/>
        </w:rPr>
        <w:t>经热处理的</w:t>
      </w:r>
      <w:r>
        <w:rPr>
          <w:rFonts w:ascii="Times New Roman"/>
        </w:rPr>
        <w:t>板带材力学性能应符合表2的规定。</w:t>
      </w:r>
    </w:p>
    <w:p w14:paraId="181D65B7">
      <w:pPr>
        <w:pStyle w:val="133"/>
        <w:spacing w:before="156" w:after="156"/>
        <w:ind w:left="709"/>
        <w:rPr>
          <w:rFonts w:ascii="Times New Roman"/>
        </w:rPr>
      </w:pPr>
      <w:r>
        <w:rPr>
          <w:rFonts w:hint="eastAsia" w:ascii="Times New Roman"/>
        </w:rPr>
        <w:t>经热处理的板带材</w:t>
      </w:r>
      <w:r>
        <w:rPr>
          <w:rFonts w:ascii="Times New Roman"/>
        </w:rPr>
        <w:t>力学性能</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9"/>
        <w:gridCol w:w="1862"/>
        <w:gridCol w:w="1673"/>
        <w:gridCol w:w="1968"/>
        <w:gridCol w:w="2228"/>
      </w:tblGrid>
      <w:tr w14:paraId="5D8BC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61" w:type="pct"/>
            <w:vMerge w:val="restart"/>
            <w:vAlign w:val="center"/>
          </w:tcPr>
          <w:p w14:paraId="3AD3DAC6">
            <w:pPr>
              <w:adjustRightInd w:val="0"/>
              <w:snapToGrid w:val="0"/>
              <w:jc w:val="center"/>
              <w:rPr>
                <w:rFonts w:ascii="宋体"/>
                <w:b/>
                <w:bCs/>
                <w:sz w:val="18"/>
                <w:szCs w:val="18"/>
              </w:rPr>
            </w:pPr>
            <w:r>
              <w:rPr>
                <w:rFonts w:hint="eastAsia" w:ascii="宋体"/>
                <w:b/>
                <w:bCs/>
                <w:sz w:val="18"/>
                <w:szCs w:val="18"/>
              </w:rPr>
              <w:t>牌号</w:t>
            </w:r>
          </w:p>
        </w:tc>
        <w:tc>
          <w:tcPr>
            <w:tcW w:w="2875" w:type="pct"/>
            <w:gridSpan w:val="3"/>
            <w:vAlign w:val="center"/>
          </w:tcPr>
          <w:p w14:paraId="6C7CA7BB">
            <w:pPr>
              <w:adjustRightInd w:val="0"/>
              <w:snapToGrid w:val="0"/>
              <w:jc w:val="center"/>
              <w:rPr>
                <w:rFonts w:ascii="宋体"/>
                <w:b/>
                <w:bCs/>
                <w:sz w:val="18"/>
                <w:szCs w:val="18"/>
              </w:rPr>
            </w:pPr>
            <w:r>
              <w:rPr>
                <w:rFonts w:hint="eastAsia" w:ascii="宋体"/>
                <w:b/>
                <w:bCs/>
                <w:sz w:val="18"/>
                <w:szCs w:val="18"/>
              </w:rPr>
              <w:t>拉伸试验</w:t>
            </w:r>
            <w:r>
              <w:rPr>
                <w:rFonts w:ascii="宋体"/>
                <w:b/>
                <w:bCs/>
                <w:sz w:val="18"/>
                <w:szCs w:val="18"/>
                <w:vertAlign w:val="superscript"/>
              </w:rPr>
              <w:t>a</w:t>
            </w:r>
          </w:p>
        </w:tc>
        <w:tc>
          <w:tcPr>
            <w:tcW w:w="1164" w:type="pct"/>
            <w:vAlign w:val="center"/>
          </w:tcPr>
          <w:p w14:paraId="053BADEB">
            <w:pPr>
              <w:adjustRightInd w:val="0"/>
              <w:snapToGrid w:val="0"/>
              <w:jc w:val="center"/>
              <w:rPr>
                <w:rFonts w:ascii="宋体"/>
                <w:b/>
                <w:bCs/>
                <w:sz w:val="18"/>
                <w:szCs w:val="18"/>
              </w:rPr>
            </w:pPr>
            <w:r>
              <w:rPr>
                <w:rFonts w:hint="eastAsia" w:ascii="宋体"/>
                <w:b/>
                <w:bCs/>
                <w:sz w:val="18"/>
                <w:szCs w:val="18"/>
              </w:rPr>
              <w:t>180°弯曲试验</w:t>
            </w:r>
            <w:r>
              <w:rPr>
                <w:rFonts w:ascii="宋体"/>
                <w:b/>
                <w:bCs/>
                <w:sz w:val="18"/>
                <w:szCs w:val="18"/>
                <w:vertAlign w:val="superscript"/>
              </w:rPr>
              <w:t>a</w:t>
            </w:r>
            <w:r>
              <w:rPr>
                <w:rFonts w:hint="eastAsia" w:ascii="宋体"/>
                <w:b/>
                <w:bCs/>
                <w:sz w:val="18"/>
                <w:szCs w:val="18"/>
                <w:vertAlign w:val="superscript"/>
              </w:rPr>
              <w:t>、</w:t>
            </w:r>
            <w:r>
              <w:rPr>
                <w:rFonts w:ascii="宋体"/>
                <w:b/>
                <w:bCs/>
                <w:sz w:val="18"/>
                <w:szCs w:val="18"/>
                <w:vertAlign w:val="superscript"/>
              </w:rPr>
              <w:t>b</w:t>
            </w:r>
          </w:p>
        </w:tc>
      </w:tr>
      <w:tr w14:paraId="509B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61" w:type="pct"/>
            <w:vMerge w:val="continue"/>
            <w:vAlign w:val="center"/>
          </w:tcPr>
          <w:p w14:paraId="55C2AF0E">
            <w:pPr>
              <w:adjustRightInd w:val="0"/>
              <w:snapToGrid w:val="0"/>
              <w:jc w:val="center"/>
              <w:rPr>
                <w:rFonts w:ascii="宋体"/>
                <w:b/>
                <w:bCs/>
                <w:sz w:val="18"/>
                <w:szCs w:val="18"/>
              </w:rPr>
            </w:pPr>
          </w:p>
        </w:tc>
        <w:tc>
          <w:tcPr>
            <w:tcW w:w="973" w:type="pct"/>
            <w:vAlign w:val="center"/>
          </w:tcPr>
          <w:p w14:paraId="28C29091">
            <w:pPr>
              <w:adjustRightInd w:val="0"/>
              <w:snapToGrid w:val="0"/>
              <w:jc w:val="center"/>
              <w:rPr>
                <w:rFonts w:ascii="宋体"/>
                <w:b/>
                <w:bCs/>
                <w:sz w:val="18"/>
                <w:szCs w:val="18"/>
              </w:rPr>
            </w:pPr>
            <w:r>
              <w:rPr>
                <w:rFonts w:hint="eastAsia" w:ascii="宋体"/>
                <w:b/>
                <w:bCs/>
                <w:sz w:val="18"/>
                <w:szCs w:val="18"/>
              </w:rPr>
              <w:t>规定塑性延伸强度</w:t>
            </w:r>
            <w:r>
              <w:rPr>
                <w:rFonts w:ascii="宋体"/>
                <w:b/>
                <w:bCs/>
                <w:i/>
                <w:iCs/>
                <w:sz w:val="18"/>
                <w:szCs w:val="18"/>
              </w:rPr>
              <w:t>R</w:t>
            </w:r>
            <w:r>
              <w:rPr>
                <w:rFonts w:ascii="宋体"/>
                <w:b/>
                <w:bCs/>
                <w:sz w:val="18"/>
                <w:szCs w:val="18"/>
                <w:vertAlign w:val="subscript"/>
              </w:rPr>
              <w:t>p0.2</w:t>
            </w:r>
            <w:r>
              <w:rPr>
                <w:rFonts w:ascii="宋体"/>
                <w:b/>
                <w:bCs/>
                <w:sz w:val="18"/>
                <w:szCs w:val="18"/>
              </w:rPr>
              <w:t>/MPa</w:t>
            </w:r>
          </w:p>
        </w:tc>
        <w:tc>
          <w:tcPr>
            <w:tcW w:w="874" w:type="pct"/>
            <w:vAlign w:val="center"/>
          </w:tcPr>
          <w:p w14:paraId="4B30D468">
            <w:pPr>
              <w:adjustRightInd w:val="0"/>
              <w:snapToGrid w:val="0"/>
              <w:jc w:val="center"/>
              <w:rPr>
                <w:rFonts w:ascii="宋体"/>
                <w:b/>
                <w:bCs/>
                <w:sz w:val="18"/>
                <w:szCs w:val="18"/>
              </w:rPr>
            </w:pPr>
            <w:r>
              <w:rPr>
                <w:rFonts w:hint="eastAsia" w:ascii="宋体"/>
                <w:b/>
                <w:bCs/>
                <w:sz w:val="18"/>
                <w:szCs w:val="18"/>
              </w:rPr>
              <w:t>抗拉强度</w:t>
            </w:r>
            <w:r>
              <w:rPr>
                <w:rFonts w:ascii="宋体"/>
                <w:b/>
                <w:bCs/>
                <w:i/>
                <w:iCs/>
                <w:sz w:val="18"/>
                <w:szCs w:val="18"/>
              </w:rPr>
              <w:t>R</w:t>
            </w:r>
            <w:r>
              <w:rPr>
                <w:rFonts w:ascii="宋体"/>
                <w:b/>
                <w:bCs/>
                <w:sz w:val="18"/>
                <w:szCs w:val="18"/>
                <w:vertAlign w:val="subscript"/>
              </w:rPr>
              <w:t>m</w:t>
            </w:r>
            <w:r>
              <w:rPr>
                <w:rFonts w:ascii="宋体"/>
                <w:b/>
                <w:bCs/>
                <w:sz w:val="18"/>
                <w:szCs w:val="18"/>
              </w:rPr>
              <w:t>/MPa</w:t>
            </w:r>
          </w:p>
        </w:tc>
        <w:tc>
          <w:tcPr>
            <w:tcW w:w="1028" w:type="pct"/>
            <w:vAlign w:val="center"/>
          </w:tcPr>
          <w:p w14:paraId="2B51696E">
            <w:pPr>
              <w:adjustRightInd w:val="0"/>
              <w:snapToGrid w:val="0"/>
              <w:jc w:val="center"/>
              <w:rPr>
                <w:rFonts w:ascii="宋体"/>
                <w:sz w:val="18"/>
                <w:szCs w:val="18"/>
              </w:rPr>
            </w:pPr>
            <w:r>
              <w:rPr>
                <w:rFonts w:hint="eastAsia" w:ascii="宋体"/>
                <w:b/>
                <w:bCs/>
                <w:sz w:val="18"/>
                <w:szCs w:val="18"/>
              </w:rPr>
              <w:t>断后伸长率</w:t>
            </w:r>
            <w:r>
              <w:rPr>
                <w:rFonts w:ascii="宋体"/>
                <w:b/>
                <w:bCs/>
                <w:sz w:val="18"/>
                <w:szCs w:val="18"/>
                <w:vertAlign w:val="superscript"/>
              </w:rPr>
              <w:t>c</w:t>
            </w:r>
            <w:r>
              <w:rPr>
                <w:rFonts w:hint="eastAsia" w:ascii="宋体"/>
                <w:b/>
                <w:bCs/>
                <w:sz w:val="18"/>
                <w:szCs w:val="18"/>
              </w:rPr>
              <w:t xml:space="preserve"> </w:t>
            </w:r>
            <w:r>
              <w:rPr>
                <w:rFonts w:ascii="宋体"/>
                <w:i/>
                <w:iCs/>
                <w:sz w:val="18"/>
                <w:szCs w:val="18"/>
              </w:rPr>
              <w:t>A</w:t>
            </w:r>
            <w:r>
              <w:rPr>
                <w:rFonts w:ascii="宋体"/>
                <w:i/>
                <w:iCs/>
                <w:sz w:val="18"/>
                <w:szCs w:val="18"/>
                <w:vertAlign w:val="subscript"/>
              </w:rPr>
              <w:t>50mm</w:t>
            </w:r>
            <w:r>
              <w:rPr>
                <w:rFonts w:ascii="宋体"/>
                <w:i/>
                <w:iCs/>
                <w:sz w:val="18"/>
                <w:szCs w:val="18"/>
              </w:rPr>
              <w:t>/</w:t>
            </w:r>
            <w:r>
              <w:rPr>
                <w:rFonts w:ascii="宋体"/>
                <w:sz w:val="18"/>
                <w:szCs w:val="18"/>
              </w:rPr>
              <w:t>%</w:t>
            </w:r>
          </w:p>
        </w:tc>
        <w:tc>
          <w:tcPr>
            <w:tcW w:w="1164" w:type="pct"/>
            <w:vAlign w:val="center"/>
          </w:tcPr>
          <w:p w14:paraId="6D467E05">
            <w:pPr>
              <w:adjustRightInd w:val="0"/>
              <w:snapToGrid w:val="0"/>
              <w:jc w:val="center"/>
              <w:rPr>
                <w:rFonts w:ascii="宋体"/>
                <w:sz w:val="18"/>
                <w:szCs w:val="18"/>
              </w:rPr>
            </w:pPr>
            <w:r>
              <w:rPr>
                <w:rFonts w:ascii="宋体"/>
                <w:sz w:val="18"/>
                <w:szCs w:val="18"/>
              </w:rPr>
              <w:t>弯曲压头直径D</w:t>
            </w:r>
          </w:p>
          <w:p w14:paraId="445D7695">
            <w:pPr>
              <w:adjustRightInd w:val="0"/>
              <w:snapToGrid w:val="0"/>
              <w:jc w:val="center"/>
              <w:rPr>
                <w:rFonts w:ascii="宋体"/>
                <w:b/>
                <w:bCs/>
                <w:sz w:val="18"/>
                <w:szCs w:val="18"/>
              </w:rPr>
            </w:pPr>
            <w:r>
              <w:rPr>
                <w:rFonts w:ascii="宋体"/>
                <w:sz w:val="18"/>
                <w:szCs w:val="18"/>
              </w:rPr>
              <w:t>（</w:t>
            </w:r>
            <w:r>
              <w:rPr>
                <w:rFonts w:hint="eastAsia" w:ascii="宋体"/>
                <w:b/>
                <w:bCs/>
                <w:sz w:val="18"/>
                <w:szCs w:val="18"/>
              </w:rPr>
              <w:t>b=20mm）</w:t>
            </w:r>
          </w:p>
        </w:tc>
      </w:tr>
      <w:tr w14:paraId="35F2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61" w:type="pct"/>
            <w:vAlign w:val="center"/>
          </w:tcPr>
          <w:p w14:paraId="69492231">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1Cr13Al2</w:t>
            </w:r>
          </w:p>
        </w:tc>
        <w:tc>
          <w:tcPr>
            <w:tcW w:w="973" w:type="pct"/>
            <w:vAlign w:val="center"/>
          </w:tcPr>
          <w:p w14:paraId="35B1A1D2">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≥240</w:t>
            </w:r>
          </w:p>
        </w:tc>
        <w:tc>
          <w:tcPr>
            <w:tcW w:w="874" w:type="pct"/>
            <w:vAlign w:val="center"/>
          </w:tcPr>
          <w:p w14:paraId="7A99BDF7">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≥400</w:t>
            </w:r>
          </w:p>
        </w:tc>
        <w:tc>
          <w:tcPr>
            <w:tcW w:w="1028" w:type="pct"/>
            <w:vAlign w:val="center"/>
          </w:tcPr>
          <w:p w14:paraId="7719B446">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≥18</w:t>
            </w:r>
          </w:p>
        </w:tc>
        <w:tc>
          <w:tcPr>
            <w:tcW w:w="1164" w:type="pct"/>
          </w:tcPr>
          <w:p w14:paraId="3025D1E6">
            <w:pPr>
              <w:jc w:val="center"/>
              <w:rPr>
                <w:rFonts w:ascii="宋体" w:eastAsiaTheme="minorEastAsia"/>
                <w:sz w:val="18"/>
                <w:szCs w:val="18"/>
              </w:rPr>
            </w:pPr>
            <w:r>
              <w:rPr>
                <w:rFonts w:ascii="宋体"/>
                <w:sz w:val="18"/>
                <w:szCs w:val="18"/>
              </w:rPr>
              <w:t>D</w:t>
            </w:r>
            <w:r>
              <w:rPr>
                <w:rFonts w:ascii="宋体" w:eastAsiaTheme="minorEastAsia"/>
                <w:sz w:val="18"/>
                <w:szCs w:val="18"/>
              </w:rPr>
              <w:t>=2a</w:t>
            </w:r>
          </w:p>
        </w:tc>
      </w:tr>
      <w:tr w14:paraId="28E8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961" w:type="pct"/>
            <w:vAlign w:val="center"/>
          </w:tcPr>
          <w:p w14:paraId="274551E7">
            <w:pPr>
              <w:jc w:val="center"/>
              <w:rPr>
                <w:rFonts w:ascii="宋体"/>
                <w:kern w:val="0"/>
                <w:sz w:val="18"/>
                <w:szCs w:val="18"/>
              </w:rPr>
            </w:pPr>
            <w:r>
              <w:rPr>
                <w:rFonts w:ascii="宋体"/>
                <w:sz w:val="18"/>
                <w:szCs w:val="18"/>
              </w:rPr>
              <w:t>1Cr13Al2Si</w:t>
            </w:r>
          </w:p>
        </w:tc>
        <w:tc>
          <w:tcPr>
            <w:tcW w:w="973" w:type="pct"/>
            <w:vAlign w:val="center"/>
          </w:tcPr>
          <w:p w14:paraId="2963D313">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≥260</w:t>
            </w:r>
          </w:p>
        </w:tc>
        <w:tc>
          <w:tcPr>
            <w:tcW w:w="874" w:type="pct"/>
            <w:vAlign w:val="center"/>
          </w:tcPr>
          <w:p w14:paraId="75A556AB">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≥420</w:t>
            </w:r>
          </w:p>
        </w:tc>
        <w:tc>
          <w:tcPr>
            <w:tcW w:w="1028" w:type="pct"/>
            <w:vAlign w:val="center"/>
          </w:tcPr>
          <w:p w14:paraId="62FAC4FF">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≥15</w:t>
            </w:r>
          </w:p>
        </w:tc>
        <w:tc>
          <w:tcPr>
            <w:tcW w:w="1164" w:type="pct"/>
          </w:tcPr>
          <w:p w14:paraId="4964539C">
            <w:pPr>
              <w:jc w:val="center"/>
              <w:rPr>
                <w:rFonts w:ascii="宋体" w:eastAsiaTheme="minorEastAsia"/>
                <w:sz w:val="18"/>
                <w:szCs w:val="18"/>
              </w:rPr>
            </w:pPr>
            <w:r>
              <w:rPr>
                <w:rFonts w:ascii="宋体"/>
                <w:sz w:val="18"/>
                <w:szCs w:val="18"/>
              </w:rPr>
              <w:t>D</w:t>
            </w:r>
            <w:r>
              <w:rPr>
                <w:rFonts w:ascii="宋体" w:eastAsiaTheme="minorEastAsia"/>
                <w:sz w:val="18"/>
                <w:szCs w:val="18"/>
              </w:rPr>
              <w:t>=2a</w:t>
            </w:r>
          </w:p>
        </w:tc>
      </w:tr>
      <w:tr w14:paraId="5842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961" w:type="pct"/>
            <w:vAlign w:val="center"/>
          </w:tcPr>
          <w:p w14:paraId="78B1F093">
            <w:pPr>
              <w:jc w:val="center"/>
              <w:rPr>
                <w:rFonts w:ascii="宋体"/>
                <w:kern w:val="0"/>
                <w:sz w:val="18"/>
                <w:szCs w:val="18"/>
              </w:rPr>
            </w:pPr>
            <w:r>
              <w:rPr>
                <w:rFonts w:ascii="宋体"/>
                <w:sz w:val="18"/>
                <w:szCs w:val="18"/>
              </w:rPr>
              <w:t>0Cr13Al3Ti</w:t>
            </w:r>
          </w:p>
        </w:tc>
        <w:tc>
          <w:tcPr>
            <w:tcW w:w="973" w:type="pct"/>
            <w:vAlign w:val="center"/>
          </w:tcPr>
          <w:p w14:paraId="5D672AF1">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≥260</w:t>
            </w:r>
          </w:p>
        </w:tc>
        <w:tc>
          <w:tcPr>
            <w:tcW w:w="874" w:type="pct"/>
            <w:vAlign w:val="center"/>
          </w:tcPr>
          <w:p w14:paraId="59E73CFC">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≥420</w:t>
            </w:r>
          </w:p>
        </w:tc>
        <w:tc>
          <w:tcPr>
            <w:tcW w:w="1028" w:type="pct"/>
            <w:vAlign w:val="center"/>
          </w:tcPr>
          <w:p w14:paraId="171B7CCC">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≥15</w:t>
            </w:r>
          </w:p>
        </w:tc>
        <w:tc>
          <w:tcPr>
            <w:tcW w:w="1164" w:type="pct"/>
          </w:tcPr>
          <w:p w14:paraId="148F4B25">
            <w:pPr>
              <w:jc w:val="center"/>
              <w:rPr>
                <w:rFonts w:ascii="宋体" w:eastAsiaTheme="minorEastAsia"/>
                <w:sz w:val="18"/>
                <w:szCs w:val="18"/>
              </w:rPr>
            </w:pPr>
            <w:r>
              <w:rPr>
                <w:rFonts w:ascii="宋体"/>
                <w:sz w:val="18"/>
                <w:szCs w:val="18"/>
              </w:rPr>
              <w:t>D</w:t>
            </w:r>
            <w:r>
              <w:rPr>
                <w:rFonts w:ascii="宋体" w:eastAsiaTheme="minorEastAsia"/>
                <w:sz w:val="18"/>
                <w:szCs w:val="18"/>
              </w:rPr>
              <w:t>=2a</w:t>
            </w:r>
          </w:p>
        </w:tc>
      </w:tr>
      <w:tr w14:paraId="5D9B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961" w:type="pct"/>
            <w:vAlign w:val="center"/>
          </w:tcPr>
          <w:p w14:paraId="0AD9C70E">
            <w:pPr>
              <w:jc w:val="center"/>
              <w:rPr>
                <w:rFonts w:ascii="宋体"/>
                <w:kern w:val="0"/>
                <w:sz w:val="18"/>
                <w:szCs w:val="18"/>
              </w:rPr>
            </w:pPr>
            <w:r>
              <w:rPr>
                <w:rFonts w:ascii="宋体"/>
                <w:sz w:val="18"/>
                <w:szCs w:val="18"/>
              </w:rPr>
              <w:t>1Cr13Al4</w:t>
            </w:r>
          </w:p>
        </w:tc>
        <w:tc>
          <w:tcPr>
            <w:tcW w:w="973" w:type="pct"/>
            <w:vAlign w:val="center"/>
          </w:tcPr>
          <w:p w14:paraId="5FB61217">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≥350</w:t>
            </w:r>
          </w:p>
        </w:tc>
        <w:tc>
          <w:tcPr>
            <w:tcW w:w="874" w:type="pct"/>
            <w:vAlign w:val="center"/>
          </w:tcPr>
          <w:p w14:paraId="66E0EA6C">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≥580</w:t>
            </w:r>
          </w:p>
        </w:tc>
        <w:tc>
          <w:tcPr>
            <w:tcW w:w="1028" w:type="pct"/>
            <w:vAlign w:val="center"/>
          </w:tcPr>
          <w:p w14:paraId="5D8E2AEB">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≥12</w:t>
            </w:r>
          </w:p>
        </w:tc>
        <w:tc>
          <w:tcPr>
            <w:tcW w:w="1164" w:type="pct"/>
          </w:tcPr>
          <w:p w14:paraId="3211529D">
            <w:pPr>
              <w:jc w:val="center"/>
              <w:rPr>
                <w:rFonts w:ascii="宋体" w:eastAsiaTheme="minorEastAsia"/>
                <w:sz w:val="18"/>
                <w:szCs w:val="18"/>
              </w:rPr>
            </w:pPr>
            <w:r>
              <w:rPr>
                <w:rFonts w:ascii="宋体"/>
                <w:sz w:val="18"/>
                <w:szCs w:val="18"/>
              </w:rPr>
              <w:t>D</w:t>
            </w:r>
            <w:r>
              <w:rPr>
                <w:rFonts w:ascii="宋体" w:eastAsiaTheme="minorEastAsia"/>
                <w:sz w:val="18"/>
                <w:szCs w:val="18"/>
              </w:rPr>
              <w:t>=4a</w:t>
            </w:r>
          </w:p>
        </w:tc>
      </w:tr>
      <w:tr w14:paraId="368C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961" w:type="pct"/>
            <w:vAlign w:val="center"/>
          </w:tcPr>
          <w:p w14:paraId="20F47126">
            <w:pPr>
              <w:jc w:val="center"/>
              <w:rPr>
                <w:rFonts w:ascii="宋体"/>
                <w:sz w:val="18"/>
                <w:szCs w:val="18"/>
              </w:rPr>
            </w:pPr>
            <w:r>
              <w:rPr>
                <w:rFonts w:ascii="宋体"/>
                <w:sz w:val="18"/>
                <w:szCs w:val="18"/>
              </w:rPr>
              <w:t>0Cr15Al5</w:t>
            </w:r>
          </w:p>
        </w:tc>
        <w:tc>
          <w:tcPr>
            <w:tcW w:w="973" w:type="pct"/>
            <w:vAlign w:val="center"/>
          </w:tcPr>
          <w:p w14:paraId="5CA58A08">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≥350</w:t>
            </w:r>
          </w:p>
        </w:tc>
        <w:tc>
          <w:tcPr>
            <w:tcW w:w="874" w:type="pct"/>
            <w:vAlign w:val="center"/>
          </w:tcPr>
          <w:p w14:paraId="55AD3CD5">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≥580</w:t>
            </w:r>
          </w:p>
        </w:tc>
        <w:tc>
          <w:tcPr>
            <w:tcW w:w="1028" w:type="pct"/>
            <w:vAlign w:val="center"/>
          </w:tcPr>
          <w:p w14:paraId="72038EBE">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≥12</w:t>
            </w:r>
          </w:p>
        </w:tc>
        <w:tc>
          <w:tcPr>
            <w:tcW w:w="1164" w:type="pct"/>
          </w:tcPr>
          <w:p w14:paraId="0D880749">
            <w:pPr>
              <w:jc w:val="center"/>
              <w:rPr>
                <w:rFonts w:ascii="宋体" w:eastAsiaTheme="minorEastAsia"/>
                <w:sz w:val="18"/>
                <w:szCs w:val="18"/>
              </w:rPr>
            </w:pPr>
            <w:r>
              <w:rPr>
                <w:rFonts w:ascii="宋体"/>
                <w:sz w:val="18"/>
                <w:szCs w:val="18"/>
              </w:rPr>
              <w:t>D</w:t>
            </w:r>
            <w:r>
              <w:rPr>
                <w:rFonts w:ascii="宋体" w:eastAsiaTheme="minorEastAsia"/>
                <w:sz w:val="18"/>
                <w:szCs w:val="18"/>
              </w:rPr>
              <w:t>=4a</w:t>
            </w:r>
          </w:p>
        </w:tc>
      </w:tr>
      <w:tr w14:paraId="4063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961" w:type="pct"/>
            <w:vAlign w:val="center"/>
          </w:tcPr>
          <w:p w14:paraId="3E075AE0">
            <w:pPr>
              <w:jc w:val="center"/>
              <w:rPr>
                <w:rFonts w:ascii="宋体"/>
                <w:sz w:val="18"/>
                <w:szCs w:val="18"/>
              </w:rPr>
            </w:pPr>
            <w:r>
              <w:rPr>
                <w:rFonts w:ascii="宋体"/>
                <w:sz w:val="18"/>
                <w:szCs w:val="18"/>
              </w:rPr>
              <w:t>0Cr18Al3</w:t>
            </w:r>
          </w:p>
        </w:tc>
        <w:tc>
          <w:tcPr>
            <w:tcW w:w="973" w:type="pct"/>
            <w:vAlign w:val="center"/>
          </w:tcPr>
          <w:p w14:paraId="3B360C22">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≥350</w:t>
            </w:r>
          </w:p>
        </w:tc>
        <w:tc>
          <w:tcPr>
            <w:tcW w:w="874" w:type="pct"/>
            <w:vAlign w:val="center"/>
          </w:tcPr>
          <w:p w14:paraId="237C3624">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≥520</w:t>
            </w:r>
          </w:p>
        </w:tc>
        <w:tc>
          <w:tcPr>
            <w:tcW w:w="1028" w:type="pct"/>
            <w:vAlign w:val="center"/>
          </w:tcPr>
          <w:p w14:paraId="6F35C8FC">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≥12</w:t>
            </w:r>
          </w:p>
        </w:tc>
        <w:tc>
          <w:tcPr>
            <w:tcW w:w="1164" w:type="pct"/>
          </w:tcPr>
          <w:p w14:paraId="7D6C5771">
            <w:pPr>
              <w:jc w:val="center"/>
              <w:rPr>
                <w:rFonts w:ascii="宋体" w:eastAsiaTheme="minorEastAsia"/>
                <w:sz w:val="18"/>
                <w:szCs w:val="18"/>
              </w:rPr>
            </w:pPr>
            <w:r>
              <w:rPr>
                <w:rFonts w:ascii="宋体"/>
                <w:sz w:val="18"/>
                <w:szCs w:val="18"/>
              </w:rPr>
              <w:t>D</w:t>
            </w:r>
            <w:r>
              <w:rPr>
                <w:rFonts w:ascii="宋体" w:eastAsiaTheme="minorEastAsia"/>
                <w:sz w:val="18"/>
                <w:szCs w:val="18"/>
              </w:rPr>
              <w:t>=4a</w:t>
            </w:r>
          </w:p>
        </w:tc>
      </w:tr>
      <w:tr w14:paraId="0BE3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961" w:type="pct"/>
            <w:vAlign w:val="center"/>
          </w:tcPr>
          <w:p w14:paraId="4337CE54">
            <w:pPr>
              <w:jc w:val="center"/>
              <w:rPr>
                <w:rFonts w:ascii="宋体"/>
                <w:sz w:val="18"/>
                <w:szCs w:val="18"/>
              </w:rPr>
            </w:pPr>
            <w:r>
              <w:rPr>
                <w:rFonts w:ascii="宋体"/>
                <w:sz w:val="18"/>
                <w:szCs w:val="18"/>
              </w:rPr>
              <w:t>0Cr18Al4RE</w:t>
            </w:r>
          </w:p>
        </w:tc>
        <w:tc>
          <w:tcPr>
            <w:tcW w:w="973" w:type="pct"/>
            <w:vAlign w:val="center"/>
          </w:tcPr>
          <w:p w14:paraId="4EF34F45">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≥350</w:t>
            </w:r>
          </w:p>
        </w:tc>
        <w:tc>
          <w:tcPr>
            <w:tcW w:w="874" w:type="pct"/>
            <w:vAlign w:val="center"/>
          </w:tcPr>
          <w:p w14:paraId="6734F357">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≥550</w:t>
            </w:r>
          </w:p>
        </w:tc>
        <w:tc>
          <w:tcPr>
            <w:tcW w:w="1028" w:type="pct"/>
            <w:vAlign w:val="center"/>
          </w:tcPr>
          <w:p w14:paraId="7568324F">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≥12</w:t>
            </w:r>
          </w:p>
        </w:tc>
        <w:tc>
          <w:tcPr>
            <w:tcW w:w="1164" w:type="pct"/>
          </w:tcPr>
          <w:p w14:paraId="395EFB82">
            <w:pPr>
              <w:jc w:val="center"/>
              <w:rPr>
                <w:rFonts w:ascii="宋体" w:eastAsiaTheme="minorEastAsia"/>
                <w:sz w:val="18"/>
                <w:szCs w:val="18"/>
              </w:rPr>
            </w:pPr>
            <w:r>
              <w:rPr>
                <w:rFonts w:ascii="宋体"/>
                <w:sz w:val="18"/>
                <w:szCs w:val="18"/>
              </w:rPr>
              <w:t>D</w:t>
            </w:r>
            <w:r>
              <w:rPr>
                <w:rFonts w:ascii="宋体" w:eastAsiaTheme="minorEastAsia"/>
                <w:sz w:val="18"/>
                <w:szCs w:val="18"/>
              </w:rPr>
              <w:t>=4a</w:t>
            </w:r>
          </w:p>
        </w:tc>
      </w:tr>
      <w:tr w14:paraId="312E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961" w:type="pct"/>
            <w:vAlign w:val="center"/>
          </w:tcPr>
          <w:p w14:paraId="30A4E4FD">
            <w:pPr>
              <w:jc w:val="center"/>
              <w:rPr>
                <w:rFonts w:ascii="宋体"/>
                <w:sz w:val="18"/>
                <w:szCs w:val="18"/>
              </w:rPr>
            </w:pPr>
            <w:r>
              <w:rPr>
                <w:rFonts w:ascii="宋体"/>
                <w:sz w:val="18"/>
                <w:szCs w:val="18"/>
              </w:rPr>
              <w:t>0Cr20Al3</w:t>
            </w:r>
          </w:p>
        </w:tc>
        <w:tc>
          <w:tcPr>
            <w:tcW w:w="973" w:type="pct"/>
            <w:vAlign w:val="center"/>
          </w:tcPr>
          <w:p w14:paraId="40F19367">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≥350</w:t>
            </w:r>
          </w:p>
        </w:tc>
        <w:tc>
          <w:tcPr>
            <w:tcW w:w="874" w:type="pct"/>
            <w:vAlign w:val="center"/>
          </w:tcPr>
          <w:p w14:paraId="0EB0B9ED">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≥580</w:t>
            </w:r>
          </w:p>
        </w:tc>
        <w:tc>
          <w:tcPr>
            <w:tcW w:w="1028" w:type="pct"/>
            <w:vAlign w:val="center"/>
          </w:tcPr>
          <w:p w14:paraId="2CD974F8">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≥12</w:t>
            </w:r>
          </w:p>
        </w:tc>
        <w:tc>
          <w:tcPr>
            <w:tcW w:w="1164" w:type="pct"/>
          </w:tcPr>
          <w:p w14:paraId="2D690697">
            <w:pPr>
              <w:jc w:val="center"/>
              <w:rPr>
                <w:rFonts w:ascii="宋体" w:eastAsiaTheme="minorEastAsia"/>
                <w:sz w:val="18"/>
                <w:szCs w:val="18"/>
              </w:rPr>
            </w:pPr>
            <w:r>
              <w:rPr>
                <w:rFonts w:ascii="宋体"/>
                <w:sz w:val="18"/>
                <w:szCs w:val="18"/>
              </w:rPr>
              <w:t>D</w:t>
            </w:r>
            <w:r>
              <w:rPr>
                <w:rFonts w:ascii="宋体" w:eastAsiaTheme="minorEastAsia"/>
                <w:sz w:val="18"/>
                <w:szCs w:val="18"/>
              </w:rPr>
              <w:t>=6a</w:t>
            </w:r>
          </w:p>
        </w:tc>
      </w:tr>
      <w:tr w14:paraId="4B23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961" w:type="pct"/>
            <w:vAlign w:val="center"/>
          </w:tcPr>
          <w:p w14:paraId="65CB492E">
            <w:pPr>
              <w:jc w:val="center"/>
              <w:rPr>
                <w:rFonts w:ascii="宋体"/>
                <w:sz w:val="18"/>
                <w:szCs w:val="18"/>
              </w:rPr>
            </w:pPr>
            <w:r>
              <w:rPr>
                <w:rFonts w:ascii="宋体"/>
                <w:sz w:val="18"/>
                <w:szCs w:val="18"/>
              </w:rPr>
              <w:t>0Cr23Al5</w:t>
            </w:r>
          </w:p>
        </w:tc>
        <w:tc>
          <w:tcPr>
            <w:tcW w:w="973" w:type="pct"/>
            <w:vAlign w:val="center"/>
          </w:tcPr>
          <w:p w14:paraId="42C3510A">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≥350</w:t>
            </w:r>
          </w:p>
        </w:tc>
        <w:tc>
          <w:tcPr>
            <w:tcW w:w="874" w:type="pct"/>
            <w:vAlign w:val="center"/>
          </w:tcPr>
          <w:p w14:paraId="5A08B29D">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≥600</w:t>
            </w:r>
          </w:p>
        </w:tc>
        <w:tc>
          <w:tcPr>
            <w:tcW w:w="1028" w:type="pct"/>
            <w:vAlign w:val="center"/>
          </w:tcPr>
          <w:p w14:paraId="1AB923E7">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≥12</w:t>
            </w:r>
          </w:p>
        </w:tc>
        <w:tc>
          <w:tcPr>
            <w:tcW w:w="1164" w:type="pct"/>
          </w:tcPr>
          <w:p w14:paraId="4BA319DA">
            <w:pPr>
              <w:jc w:val="center"/>
              <w:rPr>
                <w:rFonts w:ascii="宋体" w:eastAsiaTheme="minorEastAsia"/>
                <w:sz w:val="18"/>
                <w:szCs w:val="18"/>
              </w:rPr>
            </w:pPr>
            <w:r>
              <w:rPr>
                <w:rFonts w:ascii="宋体"/>
                <w:sz w:val="18"/>
                <w:szCs w:val="18"/>
              </w:rPr>
              <w:t>D</w:t>
            </w:r>
            <w:r>
              <w:rPr>
                <w:rFonts w:ascii="宋体" w:eastAsiaTheme="minorEastAsia"/>
                <w:sz w:val="18"/>
                <w:szCs w:val="18"/>
              </w:rPr>
              <w:t>=6a</w:t>
            </w:r>
          </w:p>
        </w:tc>
      </w:tr>
      <w:tr w14:paraId="0EAB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961" w:type="pct"/>
            <w:vAlign w:val="center"/>
          </w:tcPr>
          <w:p w14:paraId="307A15B3">
            <w:pPr>
              <w:jc w:val="center"/>
              <w:rPr>
                <w:rFonts w:ascii="宋体"/>
                <w:sz w:val="18"/>
                <w:szCs w:val="18"/>
              </w:rPr>
            </w:pPr>
            <w:r>
              <w:rPr>
                <w:rFonts w:ascii="宋体"/>
                <w:sz w:val="18"/>
                <w:szCs w:val="18"/>
              </w:rPr>
              <w:t>0Cr21Al6</w:t>
            </w:r>
          </w:p>
        </w:tc>
        <w:tc>
          <w:tcPr>
            <w:tcW w:w="973" w:type="pct"/>
            <w:vAlign w:val="center"/>
          </w:tcPr>
          <w:p w14:paraId="569F4CD1">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≥400</w:t>
            </w:r>
          </w:p>
        </w:tc>
        <w:tc>
          <w:tcPr>
            <w:tcW w:w="874" w:type="pct"/>
            <w:vAlign w:val="center"/>
          </w:tcPr>
          <w:p w14:paraId="3852D122">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≥600</w:t>
            </w:r>
          </w:p>
        </w:tc>
        <w:tc>
          <w:tcPr>
            <w:tcW w:w="1028" w:type="pct"/>
            <w:vAlign w:val="center"/>
          </w:tcPr>
          <w:p w14:paraId="5C2DCBB5">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≥12</w:t>
            </w:r>
          </w:p>
        </w:tc>
        <w:tc>
          <w:tcPr>
            <w:tcW w:w="1164" w:type="pct"/>
          </w:tcPr>
          <w:p w14:paraId="63ECCE18">
            <w:pPr>
              <w:jc w:val="center"/>
              <w:rPr>
                <w:rFonts w:ascii="宋体" w:eastAsiaTheme="minorEastAsia"/>
                <w:sz w:val="18"/>
                <w:szCs w:val="18"/>
              </w:rPr>
            </w:pPr>
            <w:r>
              <w:rPr>
                <w:rFonts w:ascii="宋体"/>
                <w:sz w:val="18"/>
                <w:szCs w:val="18"/>
              </w:rPr>
              <w:t>D</w:t>
            </w:r>
            <w:r>
              <w:rPr>
                <w:rFonts w:ascii="宋体" w:eastAsiaTheme="minorEastAsia"/>
                <w:sz w:val="18"/>
                <w:szCs w:val="18"/>
              </w:rPr>
              <w:t>=6a</w:t>
            </w:r>
          </w:p>
        </w:tc>
      </w:tr>
      <w:tr w14:paraId="63E5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961" w:type="pct"/>
            <w:vAlign w:val="center"/>
          </w:tcPr>
          <w:p w14:paraId="61526AD6">
            <w:pPr>
              <w:jc w:val="center"/>
              <w:rPr>
                <w:rFonts w:ascii="宋体"/>
                <w:sz w:val="18"/>
                <w:szCs w:val="18"/>
              </w:rPr>
            </w:pPr>
            <w:r>
              <w:rPr>
                <w:rFonts w:ascii="宋体"/>
                <w:sz w:val="18"/>
                <w:szCs w:val="18"/>
              </w:rPr>
              <w:t>0Cr20Al6RE</w:t>
            </w:r>
          </w:p>
        </w:tc>
        <w:tc>
          <w:tcPr>
            <w:tcW w:w="973" w:type="pct"/>
            <w:vAlign w:val="center"/>
          </w:tcPr>
          <w:p w14:paraId="31D980C4">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≥400</w:t>
            </w:r>
          </w:p>
        </w:tc>
        <w:tc>
          <w:tcPr>
            <w:tcW w:w="874" w:type="pct"/>
            <w:vAlign w:val="center"/>
          </w:tcPr>
          <w:p w14:paraId="002D9DB3">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≥600</w:t>
            </w:r>
          </w:p>
        </w:tc>
        <w:tc>
          <w:tcPr>
            <w:tcW w:w="1028" w:type="pct"/>
            <w:vAlign w:val="center"/>
          </w:tcPr>
          <w:p w14:paraId="71077BDF">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≥12</w:t>
            </w:r>
          </w:p>
        </w:tc>
        <w:tc>
          <w:tcPr>
            <w:tcW w:w="1164" w:type="pct"/>
          </w:tcPr>
          <w:p w14:paraId="4727FB6B">
            <w:pPr>
              <w:jc w:val="center"/>
              <w:rPr>
                <w:rFonts w:ascii="宋体" w:eastAsiaTheme="minorEastAsia"/>
                <w:sz w:val="18"/>
                <w:szCs w:val="18"/>
              </w:rPr>
            </w:pPr>
            <w:r>
              <w:rPr>
                <w:rFonts w:ascii="宋体"/>
                <w:sz w:val="18"/>
                <w:szCs w:val="18"/>
              </w:rPr>
              <w:t>D</w:t>
            </w:r>
            <w:r>
              <w:rPr>
                <w:rFonts w:ascii="宋体" w:eastAsiaTheme="minorEastAsia"/>
                <w:sz w:val="18"/>
                <w:szCs w:val="18"/>
              </w:rPr>
              <w:t>=6a</w:t>
            </w:r>
          </w:p>
        </w:tc>
      </w:tr>
      <w:tr w14:paraId="4836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961" w:type="pct"/>
            <w:vAlign w:val="center"/>
          </w:tcPr>
          <w:p w14:paraId="68D0A32A">
            <w:pPr>
              <w:jc w:val="center"/>
              <w:rPr>
                <w:rFonts w:ascii="宋体"/>
                <w:sz w:val="18"/>
                <w:szCs w:val="18"/>
              </w:rPr>
            </w:pPr>
            <w:r>
              <w:rPr>
                <w:rFonts w:ascii="宋体"/>
                <w:sz w:val="18"/>
                <w:szCs w:val="18"/>
              </w:rPr>
              <w:t>0Cr25Al5</w:t>
            </w:r>
          </w:p>
        </w:tc>
        <w:tc>
          <w:tcPr>
            <w:tcW w:w="973" w:type="pct"/>
            <w:vAlign w:val="center"/>
          </w:tcPr>
          <w:p w14:paraId="27105E59">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≥400</w:t>
            </w:r>
          </w:p>
        </w:tc>
        <w:tc>
          <w:tcPr>
            <w:tcW w:w="874" w:type="pct"/>
            <w:vAlign w:val="center"/>
          </w:tcPr>
          <w:p w14:paraId="3A0038E0">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≥600</w:t>
            </w:r>
          </w:p>
        </w:tc>
        <w:tc>
          <w:tcPr>
            <w:tcW w:w="1028" w:type="pct"/>
            <w:vAlign w:val="center"/>
          </w:tcPr>
          <w:p w14:paraId="3592BA39">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≥12</w:t>
            </w:r>
          </w:p>
        </w:tc>
        <w:tc>
          <w:tcPr>
            <w:tcW w:w="1164" w:type="pct"/>
          </w:tcPr>
          <w:p w14:paraId="58FEF62C">
            <w:pPr>
              <w:jc w:val="center"/>
              <w:rPr>
                <w:rFonts w:ascii="宋体" w:eastAsiaTheme="minorEastAsia"/>
                <w:sz w:val="18"/>
                <w:szCs w:val="18"/>
              </w:rPr>
            </w:pPr>
            <w:r>
              <w:rPr>
                <w:rFonts w:ascii="宋体"/>
                <w:sz w:val="18"/>
                <w:szCs w:val="18"/>
              </w:rPr>
              <w:t>D</w:t>
            </w:r>
            <w:r>
              <w:rPr>
                <w:rFonts w:ascii="宋体" w:eastAsiaTheme="minorEastAsia"/>
                <w:sz w:val="18"/>
                <w:szCs w:val="18"/>
              </w:rPr>
              <w:t>=6a</w:t>
            </w:r>
          </w:p>
        </w:tc>
      </w:tr>
      <w:tr w14:paraId="0136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1" w:type="pct"/>
            <w:vAlign w:val="center"/>
          </w:tcPr>
          <w:p w14:paraId="791D6B57">
            <w:pPr>
              <w:jc w:val="center"/>
              <w:rPr>
                <w:rFonts w:ascii="宋体"/>
                <w:sz w:val="18"/>
                <w:szCs w:val="18"/>
              </w:rPr>
            </w:pPr>
            <w:r>
              <w:rPr>
                <w:rFonts w:ascii="宋体"/>
                <w:sz w:val="18"/>
                <w:szCs w:val="18"/>
              </w:rPr>
              <w:t>0Cr21Al6Nb</w:t>
            </w:r>
          </w:p>
        </w:tc>
        <w:tc>
          <w:tcPr>
            <w:tcW w:w="973" w:type="pct"/>
            <w:vAlign w:val="center"/>
          </w:tcPr>
          <w:p w14:paraId="78ABDB51">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≥420</w:t>
            </w:r>
          </w:p>
        </w:tc>
        <w:tc>
          <w:tcPr>
            <w:tcW w:w="874" w:type="pct"/>
            <w:vAlign w:val="center"/>
          </w:tcPr>
          <w:p w14:paraId="7409B639">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≥650</w:t>
            </w:r>
          </w:p>
        </w:tc>
        <w:tc>
          <w:tcPr>
            <w:tcW w:w="1028" w:type="pct"/>
            <w:vAlign w:val="center"/>
          </w:tcPr>
          <w:p w14:paraId="33A09607">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≥10</w:t>
            </w:r>
          </w:p>
        </w:tc>
        <w:tc>
          <w:tcPr>
            <w:tcW w:w="1164" w:type="pct"/>
          </w:tcPr>
          <w:p w14:paraId="32A864FC">
            <w:pPr>
              <w:jc w:val="center"/>
              <w:rPr>
                <w:rFonts w:ascii="宋体" w:eastAsiaTheme="minorEastAsia"/>
                <w:sz w:val="18"/>
                <w:szCs w:val="18"/>
              </w:rPr>
            </w:pPr>
            <w:r>
              <w:rPr>
                <w:rFonts w:ascii="宋体"/>
                <w:sz w:val="18"/>
                <w:szCs w:val="18"/>
              </w:rPr>
              <w:t>D</w:t>
            </w:r>
            <w:r>
              <w:rPr>
                <w:rFonts w:ascii="宋体" w:eastAsiaTheme="minorEastAsia"/>
                <w:sz w:val="18"/>
                <w:szCs w:val="18"/>
              </w:rPr>
              <w:t>=6a</w:t>
            </w:r>
          </w:p>
        </w:tc>
      </w:tr>
      <w:tr w14:paraId="259D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1" w:type="pct"/>
            <w:vAlign w:val="center"/>
          </w:tcPr>
          <w:p w14:paraId="2F7906F2">
            <w:pPr>
              <w:jc w:val="center"/>
              <w:rPr>
                <w:rFonts w:ascii="宋体"/>
                <w:sz w:val="18"/>
                <w:szCs w:val="18"/>
              </w:rPr>
            </w:pPr>
            <w:r>
              <w:rPr>
                <w:rFonts w:ascii="宋体"/>
                <w:sz w:val="18"/>
                <w:szCs w:val="18"/>
              </w:rPr>
              <w:t>0Cr24Al6RE</w:t>
            </w:r>
          </w:p>
        </w:tc>
        <w:tc>
          <w:tcPr>
            <w:tcW w:w="973" w:type="pct"/>
            <w:vAlign w:val="center"/>
          </w:tcPr>
          <w:p w14:paraId="510C4323">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≥450</w:t>
            </w:r>
          </w:p>
        </w:tc>
        <w:tc>
          <w:tcPr>
            <w:tcW w:w="874" w:type="pct"/>
            <w:vAlign w:val="center"/>
          </w:tcPr>
          <w:p w14:paraId="5E787728">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≥680</w:t>
            </w:r>
          </w:p>
        </w:tc>
        <w:tc>
          <w:tcPr>
            <w:tcW w:w="1028" w:type="pct"/>
            <w:vAlign w:val="center"/>
          </w:tcPr>
          <w:p w14:paraId="4E802F2B">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≥10</w:t>
            </w:r>
          </w:p>
        </w:tc>
        <w:tc>
          <w:tcPr>
            <w:tcW w:w="1164" w:type="pct"/>
          </w:tcPr>
          <w:p w14:paraId="269E6535">
            <w:pPr>
              <w:jc w:val="center"/>
              <w:rPr>
                <w:rFonts w:ascii="宋体" w:eastAsiaTheme="minorEastAsia"/>
                <w:sz w:val="18"/>
                <w:szCs w:val="18"/>
              </w:rPr>
            </w:pPr>
            <w:r>
              <w:rPr>
                <w:rFonts w:ascii="宋体"/>
                <w:sz w:val="18"/>
                <w:szCs w:val="18"/>
              </w:rPr>
              <w:t>D</w:t>
            </w:r>
            <w:r>
              <w:rPr>
                <w:rFonts w:ascii="宋体" w:eastAsiaTheme="minorEastAsia"/>
                <w:sz w:val="18"/>
                <w:szCs w:val="18"/>
              </w:rPr>
              <w:t>=8a</w:t>
            </w:r>
          </w:p>
        </w:tc>
      </w:tr>
      <w:tr w14:paraId="6897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961" w:type="pct"/>
            <w:vAlign w:val="center"/>
          </w:tcPr>
          <w:p w14:paraId="20B50FAF">
            <w:pPr>
              <w:jc w:val="center"/>
              <w:rPr>
                <w:rFonts w:ascii="宋体"/>
                <w:sz w:val="18"/>
                <w:szCs w:val="18"/>
              </w:rPr>
            </w:pPr>
            <w:r>
              <w:rPr>
                <w:rFonts w:ascii="宋体"/>
                <w:sz w:val="18"/>
                <w:szCs w:val="18"/>
              </w:rPr>
              <w:t>0Cr27Al7Mo2</w:t>
            </w:r>
          </w:p>
        </w:tc>
        <w:tc>
          <w:tcPr>
            <w:tcW w:w="973" w:type="pct"/>
            <w:vAlign w:val="center"/>
          </w:tcPr>
          <w:p w14:paraId="5D277627">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≥450</w:t>
            </w:r>
          </w:p>
        </w:tc>
        <w:tc>
          <w:tcPr>
            <w:tcW w:w="874" w:type="pct"/>
            <w:vAlign w:val="center"/>
          </w:tcPr>
          <w:p w14:paraId="4DEC9E3E">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≥680</w:t>
            </w:r>
          </w:p>
        </w:tc>
        <w:tc>
          <w:tcPr>
            <w:tcW w:w="1028" w:type="pct"/>
            <w:vAlign w:val="center"/>
          </w:tcPr>
          <w:p w14:paraId="097F95D5">
            <w:pPr>
              <w:pStyle w:val="14"/>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≥10</w:t>
            </w:r>
          </w:p>
        </w:tc>
        <w:tc>
          <w:tcPr>
            <w:tcW w:w="1164" w:type="pct"/>
          </w:tcPr>
          <w:p w14:paraId="7EA3AFAB">
            <w:pPr>
              <w:jc w:val="center"/>
              <w:rPr>
                <w:rFonts w:ascii="宋体"/>
                <w:sz w:val="18"/>
                <w:szCs w:val="18"/>
              </w:rPr>
            </w:pPr>
            <w:r>
              <w:rPr>
                <w:rFonts w:ascii="宋体"/>
                <w:sz w:val="18"/>
                <w:szCs w:val="18"/>
              </w:rPr>
              <w:t>D</w:t>
            </w:r>
            <w:r>
              <w:rPr>
                <w:rFonts w:ascii="宋体" w:eastAsiaTheme="minorEastAsia"/>
                <w:sz w:val="18"/>
                <w:szCs w:val="18"/>
              </w:rPr>
              <w:t>=8a</w:t>
            </w:r>
          </w:p>
        </w:tc>
      </w:tr>
      <w:tr w14:paraId="7A39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5000" w:type="pct"/>
            <w:gridSpan w:val="5"/>
            <w:vAlign w:val="center"/>
          </w:tcPr>
          <w:p w14:paraId="09068698">
            <w:pPr>
              <w:rPr>
                <w:rFonts w:ascii="宋体"/>
                <w:sz w:val="18"/>
                <w:szCs w:val="18"/>
              </w:rPr>
            </w:pPr>
            <w:r>
              <w:rPr>
                <w:rFonts w:ascii="宋体"/>
                <w:sz w:val="18"/>
                <w:szCs w:val="18"/>
                <w:vertAlign w:val="superscript"/>
              </w:rPr>
              <w:t>a</w:t>
            </w:r>
            <w:r>
              <w:rPr>
                <w:rFonts w:ascii="宋体"/>
                <w:sz w:val="18"/>
                <w:szCs w:val="18"/>
              </w:rPr>
              <w:t xml:space="preserve"> 取横向试样。</w:t>
            </w:r>
          </w:p>
          <w:p w14:paraId="5A6626D2">
            <w:pPr>
              <w:rPr>
                <w:rFonts w:ascii="宋体"/>
                <w:sz w:val="18"/>
                <w:szCs w:val="18"/>
              </w:rPr>
            </w:pPr>
            <w:r>
              <w:rPr>
                <w:rFonts w:ascii="宋体"/>
                <w:sz w:val="18"/>
                <w:szCs w:val="18"/>
                <w:vertAlign w:val="superscript"/>
              </w:rPr>
              <w:t>b</w:t>
            </w:r>
            <w:r>
              <w:rPr>
                <w:rFonts w:ascii="宋体"/>
                <w:sz w:val="18"/>
                <w:szCs w:val="18"/>
              </w:rPr>
              <w:t xml:space="preserve"> a为试样厚度，</w:t>
            </w:r>
            <w:r>
              <w:rPr>
                <w:rFonts w:hint="eastAsia" w:ascii="宋体"/>
                <w:sz w:val="18"/>
                <w:szCs w:val="18"/>
              </w:rPr>
              <w:t>b</w:t>
            </w:r>
            <w:r>
              <w:rPr>
                <w:rFonts w:ascii="宋体"/>
                <w:sz w:val="18"/>
                <w:szCs w:val="18"/>
              </w:rPr>
              <w:t>为试样宽度。</w:t>
            </w:r>
          </w:p>
          <w:p w14:paraId="1BEC2992">
            <w:pPr>
              <w:rPr>
                <w:rFonts w:ascii="宋体"/>
                <w:sz w:val="18"/>
                <w:szCs w:val="18"/>
                <w:vertAlign w:val="superscript"/>
              </w:rPr>
            </w:pPr>
            <w:r>
              <w:rPr>
                <w:rFonts w:ascii="宋体"/>
                <w:sz w:val="18"/>
                <w:szCs w:val="18"/>
                <w:vertAlign w:val="superscript"/>
              </w:rPr>
              <w:t>c</w:t>
            </w:r>
            <w:r>
              <w:rPr>
                <w:rFonts w:hint="eastAsia" w:ascii="宋体"/>
                <w:sz w:val="18"/>
                <w:szCs w:val="18"/>
                <w:vertAlign w:val="superscript"/>
              </w:rPr>
              <w:t xml:space="preserve"> </w:t>
            </w:r>
            <w:r>
              <w:rPr>
                <w:rStyle w:val="43"/>
                <w:rFonts w:hint="eastAsia" w:ascii="宋体"/>
                <w:sz w:val="18"/>
                <w:szCs w:val="18"/>
              </w:rPr>
              <w:t>厚度不大于3.0mm</w:t>
            </w:r>
            <w:r>
              <w:rPr>
                <w:rFonts w:hint="eastAsia" w:ascii="宋体"/>
                <w:sz w:val="18"/>
                <w:szCs w:val="18"/>
              </w:rPr>
              <w:t>板带材采用</w:t>
            </w:r>
            <w:r>
              <w:rPr>
                <w:rFonts w:ascii="宋体"/>
                <w:sz w:val="18"/>
                <w:szCs w:val="18"/>
              </w:rPr>
              <w:t>GB</w:t>
            </w:r>
            <w:r>
              <w:rPr>
                <w:rFonts w:hint="eastAsia" w:ascii="宋体"/>
                <w:sz w:val="18"/>
                <w:szCs w:val="18"/>
              </w:rPr>
              <w:t xml:space="preserve">/T </w:t>
            </w:r>
            <w:r>
              <w:rPr>
                <w:rFonts w:ascii="宋体"/>
                <w:sz w:val="18"/>
                <w:szCs w:val="18"/>
              </w:rPr>
              <w:t>228.1</w:t>
            </w:r>
            <w:r>
              <w:rPr>
                <w:rFonts w:hint="eastAsia" w:ascii="宋体"/>
                <w:sz w:val="18"/>
                <w:szCs w:val="18"/>
              </w:rPr>
              <w:t>-2021的</w:t>
            </w:r>
            <w:r>
              <w:rPr>
                <w:rStyle w:val="43"/>
                <w:rFonts w:ascii="宋体"/>
                <w:sz w:val="18"/>
                <w:szCs w:val="18"/>
              </w:rPr>
              <w:t>P5</w:t>
            </w:r>
            <w:r>
              <w:rPr>
                <w:rStyle w:val="43"/>
                <w:rFonts w:hint="eastAsia" w:ascii="宋体"/>
                <w:sz w:val="18"/>
                <w:szCs w:val="18"/>
              </w:rPr>
              <w:t>试样，厚度大于等于3.0mm板带材</w:t>
            </w:r>
            <w:r>
              <w:rPr>
                <w:rFonts w:hint="eastAsia" w:ascii="宋体"/>
                <w:sz w:val="18"/>
                <w:szCs w:val="18"/>
              </w:rPr>
              <w:t>采用</w:t>
            </w:r>
            <w:r>
              <w:rPr>
                <w:rFonts w:ascii="宋体"/>
                <w:sz w:val="18"/>
                <w:szCs w:val="18"/>
              </w:rPr>
              <w:t>GB</w:t>
            </w:r>
            <w:r>
              <w:rPr>
                <w:rFonts w:hint="eastAsia" w:ascii="宋体"/>
                <w:sz w:val="18"/>
                <w:szCs w:val="18"/>
              </w:rPr>
              <w:t xml:space="preserve">/T </w:t>
            </w:r>
            <w:r>
              <w:rPr>
                <w:rFonts w:ascii="宋体"/>
                <w:sz w:val="18"/>
                <w:szCs w:val="18"/>
              </w:rPr>
              <w:t>228.1</w:t>
            </w:r>
            <w:r>
              <w:rPr>
                <w:rFonts w:hint="eastAsia" w:ascii="宋体"/>
                <w:sz w:val="18"/>
                <w:szCs w:val="18"/>
              </w:rPr>
              <w:t>-2021的</w:t>
            </w:r>
            <w:r>
              <w:rPr>
                <w:rStyle w:val="43"/>
                <w:rFonts w:hint="eastAsia" w:ascii="宋体"/>
                <w:sz w:val="18"/>
                <w:szCs w:val="18"/>
              </w:rPr>
              <w:t>P12试样。</w:t>
            </w:r>
          </w:p>
        </w:tc>
      </w:tr>
    </w:tbl>
    <w:p w14:paraId="01A61DCC">
      <w:pPr>
        <w:pStyle w:val="46"/>
        <w:spacing w:before="156" w:after="156"/>
        <w:rPr>
          <w:rFonts w:ascii="Times New Roman"/>
          <w:szCs w:val="20"/>
        </w:rPr>
      </w:pPr>
      <w:r>
        <w:rPr>
          <w:rFonts w:ascii="Times New Roman"/>
          <w:szCs w:val="20"/>
        </w:rPr>
        <w:t>物理性能</w:t>
      </w:r>
    </w:p>
    <w:p w14:paraId="5CD1D148">
      <w:pPr>
        <w:widowControl/>
        <w:numPr>
          <w:ilvl w:val="2"/>
          <w:numId w:val="2"/>
        </w:numPr>
        <w:spacing w:before="156" w:beforeLines="50" w:after="156" w:afterLines="50"/>
        <w:ind w:left="0"/>
        <w:jc w:val="left"/>
        <w:outlineLvl w:val="3"/>
      </w:pPr>
      <w:bookmarkStart w:id="15" w:name="_Hlk75613770"/>
      <w:r>
        <w:rPr>
          <w:kern w:val="0"/>
          <w:szCs w:val="20"/>
        </w:rPr>
        <w:t>高温抗氧化性能</w:t>
      </w:r>
    </w:p>
    <w:p w14:paraId="78569D82">
      <w:pPr>
        <w:pStyle w:val="25"/>
        <w:rPr>
          <w:rFonts w:ascii="Times New Roman"/>
        </w:rPr>
      </w:pPr>
      <w:r>
        <w:rPr>
          <w:rFonts w:ascii="Times New Roman"/>
        </w:rPr>
        <w:t>根据需方要求，经供需双方协商，并在合同中注明，板带材可按GB/T 13303进行高温氧化检验，推荐试验温度为1100℃，持续时间为400h，抗氧化性级别应满足完全抗氧化性要求。</w:t>
      </w:r>
    </w:p>
    <w:p w14:paraId="2DE56E2D">
      <w:pPr>
        <w:widowControl/>
        <w:numPr>
          <w:ilvl w:val="2"/>
          <w:numId w:val="2"/>
        </w:numPr>
        <w:spacing w:before="156" w:beforeLines="50" w:after="156" w:afterLines="50"/>
        <w:ind w:left="0"/>
        <w:jc w:val="left"/>
        <w:outlineLvl w:val="3"/>
      </w:pPr>
      <w:r>
        <w:rPr>
          <w:kern w:val="0"/>
          <w:szCs w:val="20"/>
        </w:rPr>
        <w:t>电阻率</w:t>
      </w:r>
    </w:p>
    <w:p w14:paraId="55C08831">
      <w:pPr>
        <w:pStyle w:val="25"/>
        <w:rPr>
          <w:rFonts w:ascii="Times New Roman"/>
        </w:rPr>
      </w:pPr>
      <w:r>
        <w:rPr>
          <w:rFonts w:ascii="Times New Roman"/>
        </w:rPr>
        <w:t>经供需双方协商，并在合同中注明，可在成品上检验合金电阻率，检验结果应符合GB/T 1234中相关要求或协商。</w:t>
      </w:r>
    </w:p>
    <w:p w14:paraId="5635A374">
      <w:pPr>
        <w:pStyle w:val="46"/>
        <w:spacing w:before="156" w:after="156"/>
        <w:rPr>
          <w:rFonts w:ascii="Times New Roman"/>
          <w:szCs w:val="20"/>
        </w:rPr>
      </w:pPr>
      <w:r>
        <w:rPr>
          <w:rFonts w:ascii="Times New Roman"/>
          <w:szCs w:val="20"/>
        </w:rPr>
        <w:t>表面加工类型</w:t>
      </w:r>
    </w:p>
    <w:p w14:paraId="62CC894E">
      <w:pPr>
        <w:pStyle w:val="25"/>
        <w:rPr>
          <w:rFonts w:ascii="Times New Roman"/>
        </w:rPr>
      </w:pPr>
      <w:r>
        <w:rPr>
          <w:rFonts w:ascii="Times New Roman"/>
        </w:rPr>
        <w:t>板带材的表面加工类型应符合表3的规定。</w:t>
      </w:r>
    </w:p>
    <w:p w14:paraId="5BBC7251">
      <w:pPr>
        <w:pStyle w:val="133"/>
        <w:spacing w:before="156" w:after="156"/>
        <w:ind w:left="0"/>
        <w:rPr>
          <w:rFonts w:ascii="Times New Roman"/>
        </w:rPr>
      </w:pPr>
      <w:r>
        <w:rPr>
          <w:rFonts w:ascii="Times New Roman"/>
        </w:rPr>
        <w:t>表面加工类型</w:t>
      </w:r>
    </w:p>
    <w:tbl>
      <w:tblPr>
        <w:tblStyle w:val="161"/>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71"/>
        <w:gridCol w:w="1814"/>
        <w:gridCol w:w="5225"/>
      </w:tblGrid>
      <w:tr w14:paraId="75C4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Align w:val="center"/>
          </w:tcPr>
          <w:p w14:paraId="677A665D">
            <w:pPr>
              <w:jc w:val="center"/>
              <w:rPr>
                <w:rFonts w:ascii="宋体"/>
                <w:b/>
                <w:bCs/>
                <w:sz w:val="18"/>
                <w:szCs w:val="18"/>
              </w:rPr>
            </w:pPr>
            <w:r>
              <w:rPr>
                <w:rFonts w:hint="eastAsia" w:ascii="宋体"/>
                <w:b/>
                <w:bCs/>
                <w:sz w:val="18"/>
                <w:szCs w:val="18"/>
              </w:rPr>
              <w:t>简称</w:t>
            </w:r>
          </w:p>
        </w:tc>
        <w:tc>
          <w:tcPr>
            <w:tcW w:w="1571" w:type="dxa"/>
            <w:vAlign w:val="center"/>
          </w:tcPr>
          <w:p w14:paraId="5DB5EEED">
            <w:pPr>
              <w:pStyle w:val="46"/>
              <w:widowControl w:val="0"/>
              <w:numPr>
                <w:ilvl w:val="1"/>
                <w:numId w:val="0"/>
              </w:numPr>
              <w:spacing w:beforeLines="0" w:afterLines="0"/>
              <w:jc w:val="center"/>
              <w:outlineLvl w:val="9"/>
              <w:rPr>
                <w:rFonts w:ascii="Times New Roman" w:eastAsia="宋体"/>
                <w:b/>
                <w:bCs/>
                <w:kern w:val="2"/>
                <w:sz w:val="18"/>
                <w:szCs w:val="18"/>
              </w:rPr>
            </w:pPr>
            <w:r>
              <w:rPr>
                <w:rFonts w:hint="eastAsia" w:ascii="Times New Roman" w:eastAsia="宋体"/>
                <w:b/>
                <w:bCs/>
                <w:kern w:val="2"/>
                <w:sz w:val="18"/>
                <w:szCs w:val="18"/>
              </w:rPr>
              <w:t>加工类型</w:t>
            </w:r>
          </w:p>
        </w:tc>
        <w:tc>
          <w:tcPr>
            <w:tcW w:w="1814" w:type="dxa"/>
            <w:vAlign w:val="center"/>
          </w:tcPr>
          <w:p w14:paraId="279BDE94">
            <w:pPr>
              <w:pStyle w:val="46"/>
              <w:widowControl w:val="0"/>
              <w:numPr>
                <w:ilvl w:val="1"/>
                <w:numId w:val="0"/>
              </w:numPr>
              <w:spacing w:beforeLines="0" w:afterLines="0"/>
              <w:jc w:val="center"/>
              <w:outlineLvl w:val="9"/>
              <w:rPr>
                <w:rFonts w:ascii="Times New Roman" w:eastAsia="宋体"/>
                <w:b/>
                <w:bCs/>
                <w:kern w:val="2"/>
                <w:sz w:val="18"/>
                <w:szCs w:val="18"/>
              </w:rPr>
            </w:pPr>
            <w:r>
              <w:rPr>
                <w:rFonts w:hint="eastAsia" w:ascii="Times New Roman" w:eastAsia="宋体"/>
                <w:b/>
                <w:bCs/>
                <w:kern w:val="2"/>
                <w:sz w:val="18"/>
                <w:szCs w:val="18"/>
              </w:rPr>
              <w:t>表面状态</w:t>
            </w:r>
          </w:p>
        </w:tc>
        <w:tc>
          <w:tcPr>
            <w:tcW w:w="5225" w:type="dxa"/>
            <w:vAlign w:val="center"/>
          </w:tcPr>
          <w:p w14:paraId="21B69D7F">
            <w:pPr>
              <w:pStyle w:val="46"/>
              <w:widowControl w:val="0"/>
              <w:numPr>
                <w:ilvl w:val="1"/>
                <w:numId w:val="0"/>
              </w:numPr>
              <w:spacing w:beforeLines="0" w:afterLines="0"/>
              <w:jc w:val="center"/>
              <w:outlineLvl w:val="9"/>
              <w:rPr>
                <w:rFonts w:ascii="Times New Roman" w:eastAsia="宋体"/>
                <w:b/>
                <w:bCs/>
                <w:kern w:val="2"/>
                <w:sz w:val="18"/>
                <w:szCs w:val="18"/>
              </w:rPr>
            </w:pPr>
            <w:r>
              <w:rPr>
                <w:rFonts w:hint="eastAsia" w:ascii="Times New Roman" w:eastAsia="宋体"/>
                <w:b/>
                <w:bCs/>
                <w:kern w:val="2"/>
                <w:sz w:val="18"/>
                <w:szCs w:val="18"/>
              </w:rPr>
              <w:t>备注</w:t>
            </w:r>
          </w:p>
        </w:tc>
      </w:tr>
      <w:tr w14:paraId="416A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Align w:val="center"/>
          </w:tcPr>
          <w:p w14:paraId="1CF05C15">
            <w:pPr>
              <w:jc w:val="center"/>
              <w:rPr>
                <w:rFonts w:ascii="宋体"/>
                <w:sz w:val="18"/>
                <w:szCs w:val="18"/>
              </w:rPr>
            </w:pPr>
            <w:r>
              <w:rPr>
                <w:rFonts w:ascii="宋体"/>
                <w:sz w:val="18"/>
                <w:szCs w:val="18"/>
              </w:rPr>
              <w:t>1U表面</w:t>
            </w:r>
          </w:p>
        </w:tc>
        <w:tc>
          <w:tcPr>
            <w:tcW w:w="1571" w:type="dxa"/>
            <w:vAlign w:val="center"/>
          </w:tcPr>
          <w:p w14:paraId="4C095C2F">
            <w:pPr>
              <w:jc w:val="left"/>
              <w:rPr>
                <w:rFonts w:ascii="宋体"/>
                <w:sz w:val="18"/>
                <w:szCs w:val="18"/>
              </w:rPr>
            </w:pPr>
            <w:r>
              <w:rPr>
                <w:rFonts w:ascii="宋体"/>
                <w:sz w:val="18"/>
                <w:szCs w:val="18"/>
              </w:rPr>
              <w:t>热轧、不热处理、不去氧化皮</w:t>
            </w:r>
          </w:p>
        </w:tc>
        <w:tc>
          <w:tcPr>
            <w:tcW w:w="1814" w:type="dxa"/>
            <w:vAlign w:val="center"/>
          </w:tcPr>
          <w:p w14:paraId="1E2246A7">
            <w:pPr>
              <w:jc w:val="center"/>
              <w:rPr>
                <w:rFonts w:ascii="宋体"/>
                <w:sz w:val="18"/>
                <w:szCs w:val="18"/>
              </w:rPr>
            </w:pPr>
            <w:r>
              <w:rPr>
                <w:rFonts w:ascii="宋体"/>
                <w:sz w:val="18"/>
                <w:szCs w:val="18"/>
              </w:rPr>
              <w:t>有轧制氧化皮</w:t>
            </w:r>
          </w:p>
        </w:tc>
        <w:tc>
          <w:tcPr>
            <w:tcW w:w="5225" w:type="dxa"/>
            <w:vAlign w:val="center"/>
          </w:tcPr>
          <w:p w14:paraId="23FD2466">
            <w:pPr>
              <w:jc w:val="left"/>
              <w:rPr>
                <w:rFonts w:ascii="宋体"/>
                <w:sz w:val="18"/>
                <w:szCs w:val="18"/>
              </w:rPr>
            </w:pPr>
            <w:r>
              <w:rPr>
                <w:rFonts w:ascii="宋体"/>
                <w:sz w:val="18"/>
                <w:szCs w:val="18"/>
              </w:rPr>
              <w:t>用于进一步加工，例如再轧制</w:t>
            </w:r>
            <w:r>
              <w:rPr>
                <w:rFonts w:hint="eastAsia" w:ascii="宋体"/>
                <w:sz w:val="18"/>
                <w:szCs w:val="18"/>
              </w:rPr>
              <w:t>带材</w:t>
            </w:r>
          </w:p>
        </w:tc>
      </w:tr>
      <w:tr w14:paraId="2D585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Align w:val="center"/>
          </w:tcPr>
          <w:p w14:paraId="2116B465">
            <w:pPr>
              <w:jc w:val="center"/>
              <w:rPr>
                <w:rFonts w:ascii="宋体"/>
                <w:sz w:val="18"/>
                <w:szCs w:val="18"/>
              </w:rPr>
            </w:pPr>
            <w:r>
              <w:rPr>
                <w:rFonts w:ascii="宋体"/>
                <w:sz w:val="18"/>
                <w:szCs w:val="18"/>
              </w:rPr>
              <w:t>1D表面</w:t>
            </w:r>
          </w:p>
        </w:tc>
        <w:tc>
          <w:tcPr>
            <w:tcW w:w="1571" w:type="dxa"/>
            <w:vAlign w:val="center"/>
          </w:tcPr>
          <w:p w14:paraId="7F13422E">
            <w:pPr>
              <w:jc w:val="left"/>
              <w:rPr>
                <w:rFonts w:ascii="宋体"/>
                <w:sz w:val="18"/>
                <w:szCs w:val="18"/>
              </w:rPr>
            </w:pPr>
            <w:r>
              <w:rPr>
                <w:rFonts w:ascii="宋体"/>
                <w:sz w:val="18"/>
                <w:szCs w:val="18"/>
              </w:rPr>
              <w:t>热轧、热处理、酸洗</w:t>
            </w:r>
          </w:p>
        </w:tc>
        <w:tc>
          <w:tcPr>
            <w:tcW w:w="1814" w:type="dxa"/>
            <w:vAlign w:val="center"/>
          </w:tcPr>
          <w:p w14:paraId="20DEE775">
            <w:pPr>
              <w:jc w:val="center"/>
              <w:rPr>
                <w:rFonts w:ascii="宋体"/>
                <w:sz w:val="18"/>
                <w:szCs w:val="18"/>
              </w:rPr>
            </w:pPr>
            <w:r>
              <w:rPr>
                <w:rFonts w:ascii="宋体"/>
                <w:sz w:val="18"/>
                <w:szCs w:val="18"/>
              </w:rPr>
              <w:t>无氧化皮</w:t>
            </w:r>
          </w:p>
        </w:tc>
        <w:tc>
          <w:tcPr>
            <w:tcW w:w="5225" w:type="dxa"/>
            <w:vAlign w:val="center"/>
          </w:tcPr>
          <w:p w14:paraId="22623A03">
            <w:pPr>
              <w:jc w:val="left"/>
              <w:rPr>
                <w:rFonts w:ascii="宋体"/>
                <w:sz w:val="18"/>
                <w:szCs w:val="18"/>
              </w:rPr>
            </w:pPr>
            <w:r>
              <w:rPr>
                <w:rFonts w:ascii="宋体"/>
                <w:sz w:val="18"/>
                <w:szCs w:val="18"/>
              </w:rPr>
              <w:t>适用于确保良好耐腐蚀性能的大多数钢的标准。是进一步加工产品常用的精加工。允许有研磨痕迹</w:t>
            </w:r>
          </w:p>
        </w:tc>
      </w:tr>
      <w:tr w14:paraId="2A12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Align w:val="center"/>
          </w:tcPr>
          <w:p w14:paraId="31CE872D">
            <w:pPr>
              <w:jc w:val="center"/>
              <w:rPr>
                <w:rFonts w:ascii="宋体"/>
                <w:sz w:val="18"/>
                <w:szCs w:val="18"/>
              </w:rPr>
            </w:pPr>
            <w:r>
              <w:rPr>
                <w:rFonts w:ascii="宋体"/>
                <w:sz w:val="18"/>
                <w:szCs w:val="18"/>
              </w:rPr>
              <w:t>HL表面</w:t>
            </w:r>
          </w:p>
        </w:tc>
        <w:tc>
          <w:tcPr>
            <w:tcW w:w="1571" w:type="dxa"/>
            <w:vAlign w:val="center"/>
          </w:tcPr>
          <w:p w14:paraId="5B24AA01">
            <w:pPr>
              <w:jc w:val="left"/>
              <w:rPr>
                <w:rFonts w:ascii="宋体"/>
                <w:sz w:val="18"/>
                <w:szCs w:val="18"/>
              </w:rPr>
            </w:pPr>
            <w:r>
              <w:rPr>
                <w:rFonts w:ascii="宋体"/>
                <w:sz w:val="18"/>
                <w:szCs w:val="18"/>
              </w:rPr>
              <w:t>冷轧、酸洗、平整、研磨</w:t>
            </w:r>
          </w:p>
        </w:tc>
        <w:tc>
          <w:tcPr>
            <w:tcW w:w="1814" w:type="dxa"/>
            <w:vAlign w:val="center"/>
          </w:tcPr>
          <w:p w14:paraId="289ACE58">
            <w:pPr>
              <w:jc w:val="center"/>
              <w:rPr>
                <w:rFonts w:ascii="宋体"/>
                <w:sz w:val="18"/>
                <w:szCs w:val="18"/>
              </w:rPr>
            </w:pPr>
            <w:r>
              <w:rPr>
                <w:rFonts w:ascii="宋体"/>
                <w:sz w:val="18"/>
                <w:szCs w:val="18"/>
              </w:rPr>
              <w:t>呈连续性磨纹状</w:t>
            </w:r>
          </w:p>
        </w:tc>
        <w:tc>
          <w:tcPr>
            <w:tcW w:w="5225" w:type="dxa"/>
            <w:vAlign w:val="center"/>
          </w:tcPr>
          <w:p w14:paraId="55EAC19C">
            <w:pPr>
              <w:jc w:val="left"/>
              <w:rPr>
                <w:rFonts w:ascii="宋体"/>
                <w:sz w:val="18"/>
                <w:szCs w:val="18"/>
              </w:rPr>
            </w:pPr>
            <w:r>
              <w:rPr>
                <w:rFonts w:ascii="宋体"/>
                <w:sz w:val="18"/>
                <w:szCs w:val="18"/>
              </w:rPr>
              <w:t>用适当粒度的研磨材料进行抛光，使表面呈连续性磨纹</w:t>
            </w:r>
          </w:p>
        </w:tc>
      </w:tr>
      <w:tr w14:paraId="5E7B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Align w:val="center"/>
          </w:tcPr>
          <w:p w14:paraId="20126777">
            <w:pPr>
              <w:jc w:val="center"/>
              <w:rPr>
                <w:rFonts w:ascii="宋体"/>
                <w:sz w:val="18"/>
                <w:szCs w:val="18"/>
              </w:rPr>
            </w:pPr>
            <w:r>
              <w:rPr>
                <w:rFonts w:ascii="宋体"/>
                <w:sz w:val="18"/>
                <w:szCs w:val="18"/>
              </w:rPr>
              <w:t>2D表面</w:t>
            </w:r>
          </w:p>
        </w:tc>
        <w:tc>
          <w:tcPr>
            <w:tcW w:w="1571" w:type="dxa"/>
            <w:vAlign w:val="center"/>
          </w:tcPr>
          <w:p w14:paraId="7D1810ED">
            <w:pPr>
              <w:jc w:val="left"/>
              <w:rPr>
                <w:rFonts w:ascii="宋体"/>
                <w:sz w:val="18"/>
                <w:szCs w:val="18"/>
              </w:rPr>
            </w:pPr>
            <w:r>
              <w:rPr>
                <w:rFonts w:ascii="宋体"/>
                <w:sz w:val="18"/>
                <w:szCs w:val="18"/>
              </w:rPr>
              <w:t>冷轧、热处理、酸洗或除鳞</w:t>
            </w:r>
          </w:p>
        </w:tc>
        <w:tc>
          <w:tcPr>
            <w:tcW w:w="1814" w:type="dxa"/>
            <w:vAlign w:val="center"/>
          </w:tcPr>
          <w:p w14:paraId="1F4E45FE">
            <w:pPr>
              <w:jc w:val="center"/>
              <w:rPr>
                <w:rFonts w:ascii="宋体"/>
                <w:sz w:val="18"/>
                <w:szCs w:val="18"/>
              </w:rPr>
            </w:pPr>
            <w:r>
              <w:rPr>
                <w:rFonts w:ascii="宋体"/>
                <w:sz w:val="18"/>
                <w:szCs w:val="18"/>
              </w:rPr>
              <w:t>表面均匀、呈亚光状</w:t>
            </w:r>
          </w:p>
        </w:tc>
        <w:tc>
          <w:tcPr>
            <w:tcW w:w="5225" w:type="dxa"/>
            <w:vAlign w:val="center"/>
          </w:tcPr>
          <w:p w14:paraId="18DFD859">
            <w:pPr>
              <w:jc w:val="left"/>
              <w:rPr>
                <w:rFonts w:ascii="宋体"/>
                <w:sz w:val="18"/>
                <w:szCs w:val="18"/>
              </w:rPr>
            </w:pPr>
            <w:r>
              <w:rPr>
                <w:rFonts w:ascii="宋体"/>
                <w:sz w:val="18"/>
                <w:szCs w:val="18"/>
              </w:rPr>
              <w:t>冷轧后热处理、酸洗或除鳞。亚光表面经酸洗产生。可用毛面辊进行平整。毛面加工便于在深冲时将润滑剂保留在</w:t>
            </w:r>
            <w:r>
              <w:rPr>
                <w:rFonts w:hint="eastAsia" w:ascii="宋体"/>
                <w:sz w:val="18"/>
                <w:szCs w:val="18"/>
              </w:rPr>
              <w:t>板材</w:t>
            </w:r>
            <w:r>
              <w:rPr>
                <w:rFonts w:ascii="宋体"/>
                <w:sz w:val="18"/>
                <w:szCs w:val="18"/>
              </w:rPr>
              <w:t>表面。这种表面适用于加工深冲部件，但这些部件成型后还需进行抛光处理</w:t>
            </w:r>
          </w:p>
        </w:tc>
      </w:tr>
      <w:tr w14:paraId="122E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Align w:val="center"/>
          </w:tcPr>
          <w:p w14:paraId="46183260">
            <w:pPr>
              <w:jc w:val="center"/>
              <w:rPr>
                <w:rFonts w:ascii="宋体"/>
                <w:sz w:val="18"/>
                <w:szCs w:val="18"/>
              </w:rPr>
            </w:pPr>
            <w:r>
              <w:rPr>
                <w:rFonts w:ascii="宋体"/>
                <w:sz w:val="18"/>
                <w:szCs w:val="18"/>
              </w:rPr>
              <w:t>2B表面</w:t>
            </w:r>
          </w:p>
        </w:tc>
        <w:tc>
          <w:tcPr>
            <w:tcW w:w="1571" w:type="dxa"/>
            <w:vAlign w:val="center"/>
          </w:tcPr>
          <w:p w14:paraId="29516D16">
            <w:pPr>
              <w:jc w:val="left"/>
              <w:rPr>
                <w:rFonts w:ascii="宋体"/>
                <w:sz w:val="18"/>
                <w:szCs w:val="18"/>
              </w:rPr>
            </w:pPr>
            <w:r>
              <w:rPr>
                <w:rFonts w:ascii="宋体"/>
                <w:sz w:val="18"/>
                <w:szCs w:val="18"/>
              </w:rPr>
              <w:t>冷轧、热处理、酸洗或除鳞、光亮加工</w:t>
            </w:r>
          </w:p>
        </w:tc>
        <w:tc>
          <w:tcPr>
            <w:tcW w:w="1814" w:type="dxa"/>
            <w:vAlign w:val="center"/>
          </w:tcPr>
          <w:p w14:paraId="33D2A129">
            <w:pPr>
              <w:jc w:val="center"/>
              <w:rPr>
                <w:rFonts w:ascii="宋体"/>
                <w:sz w:val="18"/>
                <w:szCs w:val="18"/>
              </w:rPr>
            </w:pPr>
            <w:r>
              <w:rPr>
                <w:rFonts w:ascii="宋体"/>
                <w:sz w:val="18"/>
                <w:szCs w:val="18"/>
              </w:rPr>
              <w:t>较2D表面光滑平直</w:t>
            </w:r>
          </w:p>
        </w:tc>
        <w:tc>
          <w:tcPr>
            <w:tcW w:w="5225" w:type="dxa"/>
            <w:vAlign w:val="center"/>
          </w:tcPr>
          <w:p w14:paraId="327D7644">
            <w:pPr>
              <w:jc w:val="left"/>
              <w:rPr>
                <w:rFonts w:ascii="宋体"/>
                <w:sz w:val="18"/>
                <w:szCs w:val="18"/>
              </w:rPr>
            </w:pPr>
            <w:r>
              <w:rPr>
                <w:rFonts w:ascii="宋体"/>
                <w:sz w:val="18"/>
                <w:szCs w:val="18"/>
              </w:rPr>
              <w:t>在2D表面的基础上，对经热处理、除鳞后的</w:t>
            </w:r>
            <w:r>
              <w:rPr>
                <w:rFonts w:hint="eastAsia" w:ascii="宋体"/>
                <w:sz w:val="18"/>
                <w:szCs w:val="18"/>
              </w:rPr>
              <w:t>板材</w:t>
            </w:r>
            <w:r>
              <w:rPr>
                <w:rFonts w:ascii="宋体"/>
                <w:sz w:val="18"/>
                <w:szCs w:val="18"/>
              </w:rPr>
              <w:t>用抛光辊进行小压下量的平整。属最常用的表面加工。除极为复杂的深冲外，可用于任何用途。</w:t>
            </w:r>
          </w:p>
        </w:tc>
      </w:tr>
      <w:tr w14:paraId="0E5E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Align w:val="center"/>
          </w:tcPr>
          <w:p w14:paraId="29E44D77">
            <w:pPr>
              <w:jc w:val="center"/>
              <w:rPr>
                <w:rFonts w:ascii="宋体"/>
                <w:sz w:val="18"/>
                <w:szCs w:val="18"/>
              </w:rPr>
            </w:pPr>
            <w:r>
              <w:rPr>
                <w:rFonts w:ascii="宋体"/>
                <w:sz w:val="18"/>
                <w:szCs w:val="18"/>
              </w:rPr>
              <w:t>BA表面</w:t>
            </w:r>
          </w:p>
        </w:tc>
        <w:tc>
          <w:tcPr>
            <w:tcW w:w="1571" w:type="dxa"/>
            <w:vAlign w:val="center"/>
          </w:tcPr>
          <w:p w14:paraId="367CA779">
            <w:pPr>
              <w:jc w:val="left"/>
              <w:rPr>
                <w:rFonts w:ascii="宋体"/>
                <w:sz w:val="18"/>
                <w:szCs w:val="18"/>
              </w:rPr>
            </w:pPr>
            <w:r>
              <w:rPr>
                <w:rFonts w:ascii="宋体"/>
                <w:sz w:val="18"/>
                <w:szCs w:val="18"/>
              </w:rPr>
              <w:t>冷轧、光亮退火</w:t>
            </w:r>
          </w:p>
        </w:tc>
        <w:tc>
          <w:tcPr>
            <w:tcW w:w="1814" w:type="dxa"/>
            <w:vAlign w:val="center"/>
          </w:tcPr>
          <w:p w14:paraId="67318D3E">
            <w:pPr>
              <w:jc w:val="center"/>
              <w:rPr>
                <w:rFonts w:ascii="宋体"/>
                <w:sz w:val="18"/>
                <w:szCs w:val="22"/>
              </w:rPr>
            </w:pPr>
            <w:r>
              <w:rPr>
                <w:rFonts w:ascii="宋体"/>
                <w:sz w:val="18"/>
                <w:szCs w:val="22"/>
              </w:rPr>
              <w:t>平滑、光亮、反光</w:t>
            </w:r>
          </w:p>
        </w:tc>
        <w:tc>
          <w:tcPr>
            <w:tcW w:w="5225" w:type="dxa"/>
            <w:vAlign w:val="center"/>
          </w:tcPr>
          <w:p w14:paraId="73047DE1">
            <w:pPr>
              <w:jc w:val="left"/>
              <w:rPr>
                <w:rFonts w:ascii="宋体"/>
                <w:sz w:val="18"/>
                <w:szCs w:val="22"/>
              </w:rPr>
            </w:pPr>
            <w:r>
              <w:rPr>
                <w:rFonts w:ascii="宋体"/>
                <w:sz w:val="18"/>
                <w:szCs w:val="22"/>
              </w:rPr>
              <w:t>冷轧后在可控气氛炉内进行光亮退火。通常采用干氢或干氢与干氮混合</w:t>
            </w:r>
            <w:r>
              <w:rPr>
                <w:rFonts w:ascii="宋体"/>
                <w:sz w:val="18"/>
                <w:szCs w:val="18"/>
              </w:rPr>
              <w:t>气氛</w:t>
            </w:r>
            <w:r>
              <w:rPr>
                <w:rFonts w:ascii="宋体"/>
                <w:sz w:val="18"/>
                <w:szCs w:val="22"/>
              </w:rPr>
              <w:t>，以防止</w:t>
            </w:r>
            <w:r>
              <w:rPr>
                <w:rFonts w:ascii="宋体"/>
                <w:sz w:val="18"/>
                <w:szCs w:val="18"/>
              </w:rPr>
              <w:t>退火</w:t>
            </w:r>
            <w:r>
              <w:rPr>
                <w:rFonts w:ascii="宋体"/>
                <w:sz w:val="18"/>
                <w:szCs w:val="22"/>
              </w:rPr>
              <w:t>过程中的氧化现象。也是后工序再加工常用的表面加工。</w:t>
            </w:r>
          </w:p>
        </w:tc>
      </w:tr>
    </w:tbl>
    <w:p w14:paraId="49F20871">
      <w:pPr>
        <w:pStyle w:val="46"/>
        <w:spacing w:before="156" w:after="156"/>
        <w:rPr>
          <w:rFonts w:ascii="Times New Roman"/>
          <w:szCs w:val="20"/>
        </w:rPr>
      </w:pPr>
      <w:r>
        <w:rPr>
          <w:rFonts w:ascii="Times New Roman"/>
          <w:szCs w:val="20"/>
        </w:rPr>
        <w:t>表面质量</w:t>
      </w:r>
    </w:p>
    <w:p w14:paraId="653AAE6A">
      <w:pPr>
        <w:widowControl/>
        <w:numPr>
          <w:ilvl w:val="2"/>
          <w:numId w:val="2"/>
        </w:numPr>
        <w:spacing w:before="156" w:beforeLines="50" w:after="156" w:afterLines="50"/>
        <w:ind w:left="0"/>
        <w:jc w:val="left"/>
        <w:outlineLvl w:val="3"/>
      </w:pPr>
      <w:r>
        <w:t>板带材表面应光洁、光滑、平整，不允许有裂纹、折叠、疤痕、锈斑、分层及影响使用的缺陷。局部加工或划伤缺陷的深度应小于GB/T 4237或GB/T 3280规定的厚度公差的一半。</w:t>
      </w:r>
    </w:p>
    <w:p w14:paraId="174210C5">
      <w:pPr>
        <w:widowControl/>
        <w:numPr>
          <w:ilvl w:val="2"/>
          <w:numId w:val="2"/>
        </w:numPr>
        <w:spacing w:before="156" w:beforeLines="50" w:after="156" w:afterLines="50"/>
        <w:ind w:left="0"/>
        <w:jc w:val="left"/>
        <w:outlineLvl w:val="3"/>
      </w:pPr>
      <w:r>
        <w:t>板带材边缘不允许有超过GB/T 4237或GB/T 3280规定的厚度公差的飞边、毛刺。</w:t>
      </w:r>
    </w:p>
    <w:bookmarkEnd w:id="15"/>
    <w:p w14:paraId="5C8A1D7F">
      <w:pPr>
        <w:pStyle w:val="46"/>
        <w:spacing w:before="156" w:after="156"/>
        <w:rPr>
          <w:rFonts w:ascii="Times New Roman"/>
        </w:rPr>
      </w:pPr>
      <w:r>
        <w:rPr>
          <w:rFonts w:ascii="Times New Roman"/>
        </w:rPr>
        <w:t>公称尺寸及允许偏差</w:t>
      </w:r>
    </w:p>
    <w:p w14:paraId="399A795D">
      <w:pPr>
        <w:widowControl/>
        <w:numPr>
          <w:ilvl w:val="2"/>
          <w:numId w:val="2"/>
        </w:numPr>
        <w:spacing w:before="156" w:beforeLines="50" w:after="156" w:afterLines="50"/>
        <w:ind w:left="0"/>
        <w:jc w:val="left"/>
        <w:outlineLvl w:val="3"/>
      </w:pPr>
      <w:r>
        <w:t>板带材的公称尺寸范围应符合表4的规定。热轧板带材尺寸及允许偏差应符合GB/T 4237的规定，冷轧板带材尺寸及允许偏差应符合GB/T 3280的规定。</w:t>
      </w:r>
    </w:p>
    <w:p w14:paraId="762EB1A9">
      <w:pPr>
        <w:pStyle w:val="133"/>
        <w:wordWrap w:val="0"/>
        <w:spacing w:before="156" w:after="156"/>
        <w:ind w:left="0"/>
        <w:jc w:val="right"/>
        <w:rPr>
          <w:rFonts w:ascii="Times New Roman"/>
        </w:rPr>
      </w:pPr>
      <w:bookmarkStart w:id="16" w:name="_Hlk57985590"/>
      <w:bookmarkStart w:id="17" w:name="_Hlk57299000"/>
      <w:bookmarkStart w:id="18" w:name="_Hlk47278566"/>
      <w:r>
        <w:rPr>
          <w:rFonts w:ascii="Times New Roman"/>
        </w:rPr>
        <w:t xml:space="preserve">板带材的公称尺寸范围          </w:t>
      </w:r>
      <w:r>
        <w:rPr>
          <w:rFonts w:hint="eastAsia" w:ascii="Times New Roman"/>
        </w:rPr>
        <w:t xml:space="preserve">      </w:t>
      </w:r>
      <w:r>
        <w:rPr>
          <w:rFonts w:ascii="Times New Roman"/>
        </w:rPr>
        <w:t xml:space="preserve">     </w:t>
      </w:r>
      <w:r>
        <w:rPr>
          <w:rFonts w:ascii="Times New Roman" w:eastAsia="宋体"/>
          <w:sz w:val="18"/>
          <w:szCs w:val="18"/>
        </w:rPr>
        <w:t>单位为毫米</w:t>
      </w:r>
    </w:p>
    <w:tbl>
      <w:tblPr>
        <w:tblStyle w:val="37"/>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2"/>
        <w:gridCol w:w="2393"/>
        <w:gridCol w:w="2393"/>
      </w:tblGrid>
      <w:tr w14:paraId="0D54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4" w:type="dxa"/>
            <w:gridSpan w:val="2"/>
            <w:vAlign w:val="center"/>
          </w:tcPr>
          <w:p w14:paraId="7862882B">
            <w:pPr>
              <w:pStyle w:val="25"/>
              <w:ind w:firstLine="361"/>
              <w:jc w:val="center"/>
              <w:rPr>
                <w:rFonts w:ascii="Times New Roman"/>
                <w:b/>
                <w:bCs/>
                <w:sz w:val="18"/>
                <w:szCs w:val="18"/>
              </w:rPr>
            </w:pPr>
            <w:r>
              <w:rPr>
                <w:rFonts w:hint="eastAsia" w:ascii="Times New Roman"/>
                <w:b/>
                <w:bCs/>
                <w:sz w:val="18"/>
                <w:szCs w:val="18"/>
              </w:rPr>
              <w:t>热轧板带材</w:t>
            </w:r>
          </w:p>
        </w:tc>
        <w:tc>
          <w:tcPr>
            <w:tcW w:w="4786" w:type="dxa"/>
            <w:gridSpan w:val="2"/>
            <w:vAlign w:val="center"/>
          </w:tcPr>
          <w:p w14:paraId="770EC97C">
            <w:pPr>
              <w:pStyle w:val="25"/>
              <w:ind w:firstLine="361"/>
              <w:jc w:val="center"/>
              <w:rPr>
                <w:rFonts w:ascii="Times New Roman"/>
                <w:b/>
                <w:bCs/>
                <w:sz w:val="18"/>
                <w:szCs w:val="18"/>
              </w:rPr>
            </w:pPr>
            <w:r>
              <w:rPr>
                <w:rFonts w:hint="eastAsia" w:ascii="Times New Roman"/>
                <w:b/>
                <w:bCs/>
                <w:sz w:val="18"/>
                <w:szCs w:val="18"/>
              </w:rPr>
              <w:t>冷轧板带材</w:t>
            </w:r>
          </w:p>
        </w:tc>
      </w:tr>
      <w:tr w14:paraId="2EAE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vAlign w:val="center"/>
          </w:tcPr>
          <w:p w14:paraId="02C80E54">
            <w:pPr>
              <w:pStyle w:val="25"/>
              <w:ind w:firstLine="361"/>
              <w:jc w:val="center"/>
              <w:rPr>
                <w:rFonts w:ascii="Times New Roman"/>
                <w:b/>
                <w:bCs/>
                <w:sz w:val="18"/>
                <w:szCs w:val="18"/>
              </w:rPr>
            </w:pPr>
            <w:r>
              <w:rPr>
                <w:rFonts w:hint="eastAsia" w:ascii="Times New Roman"/>
                <w:b/>
                <w:bCs/>
                <w:sz w:val="18"/>
                <w:szCs w:val="18"/>
              </w:rPr>
              <w:t>公称厚度</w:t>
            </w:r>
          </w:p>
        </w:tc>
        <w:tc>
          <w:tcPr>
            <w:tcW w:w="2392" w:type="dxa"/>
            <w:vAlign w:val="center"/>
          </w:tcPr>
          <w:p w14:paraId="4FDA5247">
            <w:pPr>
              <w:pStyle w:val="25"/>
              <w:ind w:firstLine="361"/>
              <w:jc w:val="center"/>
              <w:rPr>
                <w:rFonts w:ascii="Times New Roman"/>
                <w:b/>
                <w:bCs/>
                <w:sz w:val="18"/>
                <w:szCs w:val="18"/>
              </w:rPr>
            </w:pPr>
            <w:r>
              <w:rPr>
                <w:rFonts w:hint="eastAsia" w:ascii="Times New Roman"/>
                <w:b/>
                <w:bCs/>
                <w:sz w:val="18"/>
                <w:szCs w:val="18"/>
              </w:rPr>
              <w:t>公称宽度</w:t>
            </w:r>
          </w:p>
        </w:tc>
        <w:tc>
          <w:tcPr>
            <w:tcW w:w="2393" w:type="dxa"/>
            <w:vAlign w:val="center"/>
          </w:tcPr>
          <w:p w14:paraId="05935C9E">
            <w:pPr>
              <w:pStyle w:val="25"/>
              <w:ind w:firstLine="361"/>
              <w:jc w:val="center"/>
              <w:rPr>
                <w:rFonts w:ascii="Times New Roman"/>
                <w:b/>
                <w:bCs/>
                <w:sz w:val="18"/>
                <w:szCs w:val="18"/>
              </w:rPr>
            </w:pPr>
            <w:r>
              <w:rPr>
                <w:rFonts w:hint="eastAsia" w:ascii="Times New Roman"/>
                <w:b/>
                <w:bCs/>
                <w:sz w:val="18"/>
                <w:szCs w:val="18"/>
              </w:rPr>
              <w:t>公称厚度</w:t>
            </w:r>
          </w:p>
        </w:tc>
        <w:tc>
          <w:tcPr>
            <w:tcW w:w="2393" w:type="dxa"/>
            <w:vAlign w:val="center"/>
          </w:tcPr>
          <w:p w14:paraId="0154D652">
            <w:pPr>
              <w:pStyle w:val="25"/>
              <w:ind w:firstLine="361"/>
              <w:jc w:val="center"/>
              <w:rPr>
                <w:rFonts w:ascii="Times New Roman"/>
                <w:b/>
                <w:bCs/>
                <w:sz w:val="18"/>
                <w:szCs w:val="18"/>
              </w:rPr>
            </w:pPr>
            <w:r>
              <w:rPr>
                <w:rFonts w:hint="eastAsia" w:ascii="Times New Roman"/>
                <w:b/>
                <w:bCs/>
                <w:sz w:val="18"/>
                <w:szCs w:val="18"/>
              </w:rPr>
              <w:t>公称宽度</w:t>
            </w:r>
          </w:p>
        </w:tc>
      </w:tr>
      <w:tr w14:paraId="298C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vAlign w:val="center"/>
          </w:tcPr>
          <w:p w14:paraId="7E72E6F8">
            <w:pPr>
              <w:pStyle w:val="25"/>
              <w:ind w:firstLine="360"/>
              <w:jc w:val="center"/>
              <w:rPr>
                <w:rFonts w:ascii="Times New Roman"/>
                <w:sz w:val="18"/>
                <w:szCs w:val="18"/>
              </w:rPr>
            </w:pPr>
            <w:r>
              <w:rPr>
                <w:rFonts w:ascii="Times New Roman"/>
                <w:sz w:val="18"/>
                <w:szCs w:val="18"/>
              </w:rPr>
              <w:t>2.0~6.0</w:t>
            </w:r>
          </w:p>
        </w:tc>
        <w:tc>
          <w:tcPr>
            <w:tcW w:w="2392" w:type="dxa"/>
            <w:vAlign w:val="center"/>
          </w:tcPr>
          <w:p w14:paraId="1913C107">
            <w:pPr>
              <w:pStyle w:val="25"/>
              <w:ind w:firstLine="360"/>
              <w:jc w:val="center"/>
              <w:rPr>
                <w:rFonts w:ascii="Times New Roman"/>
                <w:sz w:val="18"/>
                <w:szCs w:val="18"/>
              </w:rPr>
            </w:pPr>
            <w:r>
              <w:rPr>
                <w:rFonts w:ascii="Times New Roman"/>
                <w:sz w:val="18"/>
                <w:szCs w:val="18"/>
              </w:rPr>
              <w:t>900~1300</w:t>
            </w:r>
          </w:p>
        </w:tc>
        <w:tc>
          <w:tcPr>
            <w:tcW w:w="2393" w:type="dxa"/>
            <w:vAlign w:val="center"/>
          </w:tcPr>
          <w:p w14:paraId="25E0EE41">
            <w:pPr>
              <w:pStyle w:val="25"/>
              <w:ind w:firstLine="360"/>
              <w:jc w:val="center"/>
              <w:rPr>
                <w:rFonts w:ascii="Times New Roman"/>
                <w:sz w:val="18"/>
                <w:szCs w:val="18"/>
              </w:rPr>
            </w:pPr>
            <w:r>
              <w:rPr>
                <w:rFonts w:ascii="Times New Roman"/>
                <w:sz w:val="18"/>
                <w:szCs w:val="18"/>
              </w:rPr>
              <w:t>0.3~3.0</w:t>
            </w:r>
          </w:p>
        </w:tc>
        <w:tc>
          <w:tcPr>
            <w:tcW w:w="2393" w:type="dxa"/>
            <w:vAlign w:val="center"/>
          </w:tcPr>
          <w:p w14:paraId="4120FCBE">
            <w:pPr>
              <w:pStyle w:val="25"/>
              <w:ind w:firstLine="360"/>
              <w:jc w:val="center"/>
              <w:rPr>
                <w:rFonts w:ascii="Times New Roman"/>
                <w:sz w:val="18"/>
                <w:szCs w:val="18"/>
              </w:rPr>
            </w:pPr>
            <w:r>
              <w:rPr>
                <w:rFonts w:ascii="Times New Roman"/>
                <w:sz w:val="18"/>
                <w:szCs w:val="18"/>
              </w:rPr>
              <w:t>900~1300</w:t>
            </w:r>
          </w:p>
        </w:tc>
      </w:tr>
    </w:tbl>
    <w:p w14:paraId="1DEC8356">
      <w:pPr>
        <w:widowControl/>
        <w:numPr>
          <w:ilvl w:val="2"/>
          <w:numId w:val="2"/>
        </w:numPr>
        <w:spacing w:before="156" w:beforeLines="50" w:after="156" w:afterLines="50"/>
        <w:ind w:left="0"/>
        <w:jc w:val="left"/>
        <w:outlineLvl w:val="3"/>
      </w:pPr>
      <w:r>
        <w:t>根据需方要求，经供需双方协商，可供应其他尺寸规格的</w:t>
      </w:r>
      <w:r>
        <w:rPr>
          <w:rFonts w:hint="eastAsia"/>
        </w:rPr>
        <w:t>板带材</w:t>
      </w:r>
      <w:r>
        <w:t>。</w:t>
      </w:r>
    </w:p>
    <w:p w14:paraId="157741A7">
      <w:pPr>
        <w:pStyle w:val="46"/>
        <w:spacing w:before="156" w:after="156"/>
        <w:rPr>
          <w:rFonts w:ascii="Times New Roman"/>
        </w:rPr>
      </w:pPr>
      <w:r>
        <w:rPr>
          <w:rFonts w:ascii="Times New Roman"/>
        </w:rPr>
        <w:t>外形</w:t>
      </w:r>
    </w:p>
    <w:p w14:paraId="1B1E5B1E">
      <w:pPr>
        <w:widowControl/>
        <w:numPr>
          <w:ilvl w:val="2"/>
          <w:numId w:val="2"/>
        </w:numPr>
        <w:spacing w:before="156" w:beforeLines="50" w:after="156" w:afterLines="50"/>
        <w:ind w:left="0"/>
        <w:jc w:val="left"/>
        <w:outlineLvl w:val="3"/>
      </w:pPr>
      <w:r>
        <w:rPr>
          <w:rFonts w:hint="eastAsia"/>
        </w:rPr>
        <w:t>带材</w:t>
      </w:r>
      <w:r>
        <w:t>应牢固成卷并尽量保持圆柱形和不卷边。</w:t>
      </w:r>
      <w:r>
        <w:rPr>
          <w:rFonts w:hint="eastAsia"/>
        </w:rPr>
        <w:t>带材</w:t>
      </w:r>
      <w:r>
        <w:t>内径应在合同中注明。</w:t>
      </w:r>
    </w:p>
    <w:p w14:paraId="769A5142">
      <w:pPr>
        <w:widowControl/>
        <w:numPr>
          <w:ilvl w:val="2"/>
          <w:numId w:val="2"/>
        </w:numPr>
        <w:spacing w:before="156" w:beforeLines="50" w:after="156" w:afterLines="50"/>
        <w:ind w:left="0"/>
        <w:jc w:val="left"/>
        <w:outlineLvl w:val="3"/>
      </w:pPr>
      <w:r>
        <w:rPr>
          <w:rFonts w:hint="eastAsia"/>
        </w:rPr>
        <w:t>带材</w:t>
      </w:r>
      <w:r>
        <w:t>塔形应符合：切边</w:t>
      </w:r>
      <w:r>
        <w:rPr>
          <w:rFonts w:hint="eastAsia"/>
        </w:rPr>
        <w:t>带材</w:t>
      </w:r>
      <w:r>
        <w:t>（EC）及纵剪</w:t>
      </w:r>
      <w:r>
        <w:rPr>
          <w:rFonts w:hint="eastAsia"/>
        </w:rPr>
        <w:t>带材</w:t>
      </w:r>
      <w:r>
        <w:t>不大于35mm；不切边</w:t>
      </w:r>
      <w:r>
        <w:rPr>
          <w:rFonts w:hint="eastAsia"/>
        </w:rPr>
        <w:t>带材</w:t>
      </w:r>
      <w:r>
        <w:t>（EM）不大于70mm。</w:t>
      </w:r>
    </w:p>
    <w:p w14:paraId="192C3622">
      <w:pPr>
        <w:widowControl/>
        <w:numPr>
          <w:ilvl w:val="2"/>
          <w:numId w:val="2"/>
        </w:numPr>
        <w:spacing w:before="156" w:beforeLines="50" w:after="156" w:afterLines="50"/>
        <w:ind w:left="0"/>
        <w:jc w:val="left"/>
        <w:outlineLvl w:val="3"/>
      </w:pPr>
      <w:r>
        <w:rPr>
          <w:rFonts w:hint="eastAsia"/>
        </w:rPr>
        <w:t>板带材</w:t>
      </w:r>
      <w:r>
        <w:t>其他外形要求应满足GB/T 4237或GB/T 3280中相关规定。</w:t>
      </w:r>
    </w:p>
    <w:p w14:paraId="50257238">
      <w:pPr>
        <w:pStyle w:val="46"/>
        <w:spacing w:before="156" w:after="156"/>
        <w:rPr>
          <w:rFonts w:ascii="Times New Roman"/>
        </w:rPr>
      </w:pPr>
      <w:r>
        <w:rPr>
          <w:rFonts w:ascii="Times New Roman"/>
        </w:rPr>
        <w:t>重量</w:t>
      </w:r>
    </w:p>
    <w:bookmarkEnd w:id="16"/>
    <w:bookmarkEnd w:id="17"/>
    <w:bookmarkEnd w:id="18"/>
    <w:p w14:paraId="479BAD34">
      <w:pPr>
        <w:pStyle w:val="25"/>
        <w:rPr>
          <w:rFonts w:ascii="Times New Roman"/>
        </w:rPr>
      </w:pPr>
      <w:bookmarkStart w:id="19" w:name="_Hlk19468304"/>
      <w:r>
        <w:rPr>
          <w:rFonts w:hint="eastAsia"/>
        </w:rPr>
        <w:t>板带材</w:t>
      </w:r>
      <w:r>
        <w:rPr>
          <w:rFonts w:ascii="Times New Roman"/>
        </w:rPr>
        <w:t>按实际重量交货。</w:t>
      </w:r>
    </w:p>
    <w:bookmarkEnd w:id="19"/>
    <w:p w14:paraId="3A507C15">
      <w:pPr>
        <w:pStyle w:val="50"/>
        <w:spacing w:before="312" w:after="312"/>
        <w:rPr>
          <w:rFonts w:ascii="Times New Roman"/>
        </w:rPr>
      </w:pPr>
      <w:r>
        <w:rPr>
          <w:rFonts w:ascii="Times New Roman"/>
        </w:rPr>
        <w:t>试验方法</w:t>
      </w:r>
    </w:p>
    <w:p w14:paraId="3CB50373">
      <w:pPr>
        <w:pStyle w:val="46"/>
        <w:spacing w:before="156" w:after="156"/>
        <w:rPr>
          <w:rFonts w:ascii="Times New Roman" w:eastAsia="宋体"/>
        </w:rPr>
      </w:pPr>
      <w:bookmarkStart w:id="20" w:name="_Hlk57995035"/>
      <w:r>
        <w:rPr>
          <w:rFonts w:ascii="Times New Roman" w:eastAsia="宋体"/>
        </w:rPr>
        <w:t>合金的化学成分试验方法按GB/T 11170或通用方法的规定进行，但仲裁时应按</w:t>
      </w:r>
      <w:r>
        <w:rPr>
          <w:rFonts w:ascii="Times New Roman"/>
          <w:color w:val="000000" w:themeColor="text1"/>
          <w14:textFill>
            <w14:solidFill>
              <w14:schemeClr w14:val="tx1"/>
            </w14:solidFill>
          </w14:textFill>
        </w:rPr>
        <w:t>GB/T 223.5</w:t>
      </w:r>
      <w:r>
        <w:rPr>
          <w:rFonts w:ascii="Times New Roman" w:eastAsia="宋体"/>
        </w:rPr>
        <w:t>、GB/T 223.8、GB/T 223.11、GB/T 223.17、GB/T 223.23、GB/T 223.28、GB/T 223.30、GB/T 223.40、GB/T 223.49、GB/T 223.59、GB/T 223.60、GB/T 223.63、GB/T 223.65、GB/T 223.68、GB/T 223.79、GB/T 223.86的规定执行。</w:t>
      </w:r>
    </w:p>
    <w:bookmarkEnd w:id="20"/>
    <w:p w14:paraId="07523A1B">
      <w:pPr>
        <w:pStyle w:val="46"/>
        <w:spacing w:before="156" w:after="156"/>
        <w:rPr>
          <w:rFonts w:ascii="Times New Roman" w:eastAsia="宋体"/>
        </w:rPr>
      </w:pPr>
      <w:r>
        <w:rPr>
          <w:rFonts w:hint="eastAsia"/>
        </w:rPr>
        <w:t>板带材</w:t>
      </w:r>
      <w:r>
        <w:rPr>
          <w:rFonts w:ascii="Times New Roman" w:eastAsia="宋体"/>
        </w:rPr>
        <w:t>的检验项目、取样位置和试验方法应符合表5的规定。</w:t>
      </w:r>
    </w:p>
    <w:p w14:paraId="788BE3CA">
      <w:pPr>
        <w:pStyle w:val="133"/>
        <w:spacing w:before="156" w:after="156"/>
        <w:ind w:left="0"/>
        <w:rPr>
          <w:rFonts w:ascii="Times New Roman"/>
        </w:rPr>
      </w:pPr>
      <w:r>
        <w:rPr>
          <w:rFonts w:hint="eastAsia" w:ascii="Times New Roman"/>
        </w:rPr>
        <w:t>板带材</w:t>
      </w:r>
      <w:r>
        <w:rPr>
          <w:rFonts w:ascii="Times New Roman"/>
        </w:rPr>
        <w:t>的检验项目、取样数量、取样位置和试验方法</w:t>
      </w:r>
    </w:p>
    <w:tbl>
      <w:tblPr>
        <w:tblStyle w:val="36"/>
        <w:tblW w:w="9260" w:type="dxa"/>
        <w:tblInd w:w="108" w:type="dxa"/>
        <w:tblLayout w:type="fixed"/>
        <w:tblCellMar>
          <w:top w:w="0" w:type="dxa"/>
          <w:left w:w="108" w:type="dxa"/>
          <w:bottom w:w="0" w:type="dxa"/>
          <w:right w:w="108" w:type="dxa"/>
        </w:tblCellMar>
      </w:tblPr>
      <w:tblGrid>
        <w:gridCol w:w="851"/>
        <w:gridCol w:w="1871"/>
        <w:gridCol w:w="1921"/>
        <w:gridCol w:w="2445"/>
        <w:gridCol w:w="2172"/>
      </w:tblGrid>
      <w:tr w14:paraId="3A1905E5">
        <w:tblPrEx>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vAlign w:val="center"/>
          </w:tcPr>
          <w:p w14:paraId="29AEAF40">
            <w:pPr>
              <w:widowControl/>
              <w:tabs>
                <w:tab w:val="center" w:pos="4201"/>
                <w:tab w:val="right" w:leader="dot" w:pos="9298"/>
              </w:tabs>
              <w:autoSpaceDE w:val="0"/>
              <w:autoSpaceDN w:val="0"/>
              <w:jc w:val="center"/>
              <w:rPr>
                <w:b/>
                <w:bCs/>
                <w:kern w:val="0"/>
                <w:sz w:val="18"/>
                <w:szCs w:val="18"/>
              </w:rPr>
            </w:pPr>
            <w:bookmarkStart w:id="21" w:name="_Hlk58358109"/>
            <w:r>
              <w:rPr>
                <w:rFonts w:hint="eastAsia"/>
                <w:b/>
                <w:bCs/>
                <w:kern w:val="0"/>
                <w:sz w:val="18"/>
                <w:szCs w:val="18"/>
              </w:rPr>
              <w:t>序号</w:t>
            </w:r>
          </w:p>
        </w:tc>
        <w:tc>
          <w:tcPr>
            <w:tcW w:w="1871" w:type="dxa"/>
            <w:tcBorders>
              <w:top w:val="single" w:color="auto" w:sz="4" w:space="0"/>
              <w:left w:val="nil"/>
              <w:bottom w:val="single" w:color="auto" w:sz="4" w:space="0"/>
              <w:right w:val="single" w:color="auto" w:sz="4" w:space="0"/>
            </w:tcBorders>
            <w:vAlign w:val="center"/>
          </w:tcPr>
          <w:p w14:paraId="2D85EF43">
            <w:pPr>
              <w:widowControl/>
              <w:tabs>
                <w:tab w:val="center" w:pos="4201"/>
                <w:tab w:val="right" w:leader="dot" w:pos="9298"/>
              </w:tabs>
              <w:autoSpaceDE w:val="0"/>
              <w:autoSpaceDN w:val="0"/>
              <w:jc w:val="center"/>
              <w:rPr>
                <w:b/>
                <w:bCs/>
                <w:kern w:val="0"/>
                <w:sz w:val="18"/>
                <w:szCs w:val="18"/>
              </w:rPr>
            </w:pPr>
            <w:r>
              <w:rPr>
                <w:rFonts w:hint="eastAsia"/>
                <w:b/>
                <w:bCs/>
                <w:kern w:val="0"/>
                <w:sz w:val="18"/>
                <w:szCs w:val="18"/>
              </w:rPr>
              <w:t>检验项目</w:t>
            </w:r>
          </w:p>
        </w:tc>
        <w:tc>
          <w:tcPr>
            <w:tcW w:w="1921" w:type="dxa"/>
            <w:tcBorders>
              <w:top w:val="single" w:color="auto" w:sz="4" w:space="0"/>
              <w:left w:val="nil"/>
              <w:bottom w:val="single" w:color="auto" w:sz="4" w:space="0"/>
              <w:right w:val="single" w:color="auto" w:sz="4" w:space="0"/>
            </w:tcBorders>
            <w:vAlign w:val="center"/>
          </w:tcPr>
          <w:p w14:paraId="06389BFC">
            <w:pPr>
              <w:widowControl/>
              <w:tabs>
                <w:tab w:val="center" w:pos="4201"/>
                <w:tab w:val="right" w:leader="dot" w:pos="9298"/>
              </w:tabs>
              <w:autoSpaceDE w:val="0"/>
              <w:autoSpaceDN w:val="0"/>
              <w:jc w:val="center"/>
              <w:rPr>
                <w:b/>
                <w:bCs/>
                <w:kern w:val="0"/>
                <w:sz w:val="18"/>
                <w:szCs w:val="18"/>
              </w:rPr>
            </w:pPr>
            <w:r>
              <w:rPr>
                <w:rFonts w:hint="eastAsia"/>
                <w:b/>
                <w:bCs/>
                <w:kern w:val="0"/>
                <w:sz w:val="18"/>
                <w:szCs w:val="18"/>
              </w:rPr>
              <w:t>取样数量</w:t>
            </w:r>
          </w:p>
        </w:tc>
        <w:tc>
          <w:tcPr>
            <w:tcW w:w="2445" w:type="dxa"/>
            <w:tcBorders>
              <w:top w:val="single" w:color="auto" w:sz="4" w:space="0"/>
              <w:left w:val="nil"/>
              <w:bottom w:val="single" w:color="auto" w:sz="4" w:space="0"/>
              <w:right w:val="single" w:color="auto" w:sz="4" w:space="0"/>
            </w:tcBorders>
            <w:vAlign w:val="center"/>
          </w:tcPr>
          <w:p w14:paraId="44C4C054">
            <w:pPr>
              <w:widowControl/>
              <w:tabs>
                <w:tab w:val="center" w:pos="4201"/>
                <w:tab w:val="right" w:leader="dot" w:pos="9298"/>
              </w:tabs>
              <w:autoSpaceDE w:val="0"/>
              <w:autoSpaceDN w:val="0"/>
              <w:jc w:val="center"/>
              <w:rPr>
                <w:b/>
                <w:bCs/>
                <w:kern w:val="0"/>
                <w:sz w:val="18"/>
                <w:szCs w:val="18"/>
              </w:rPr>
            </w:pPr>
            <w:r>
              <w:rPr>
                <w:rFonts w:hint="eastAsia"/>
                <w:b/>
                <w:bCs/>
                <w:kern w:val="0"/>
                <w:sz w:val="18"/>
                <w:szCs w:val="18"/>
              </w:rPr>
              <w:t>取样方法</w:t>
            </w:r>
          </w:p>
        </w:tc>
        <w:tc>
          <w:tcPr>
            <w:tcW w:w="2172" w:type="dxa"/>
            <w:tcBorders>
              <w:top w:val="single" w:color="auto" w:sz="4" w:space="0"/>
              <w:left w:val="nil"/>
              <w:bottom w:val="single" w:color="auto" w:sz="4" w:space="0"/>
              <w:right w:val="single" w:color="auto" w:sz="4" w:space="0"/>
            </w:tcBorders>
            <w:vAlign w:val="center"/>
          </w:tcPr>
          <w:p w14:paraId="4B132FAE">
            <w:pPr>
              <w:widowControl/>
              <w:tabs>
                <w:tab w:val="center" w:pos="4201"/>
                <w:tab w:val="right" w:leader="dot" w:pos="9298"/>
              </w:tabs>
              <w:autoSpaceDE w:val="0"/>
              <w:autoSpaceDN w:val="0"/>
              <w:jc w:val="center"/>
              <w:rPr>
                <w:b/>
                <w:bCs/>
                <w:kern w:val="0"/>
                <w:sz w:val="18"/>
                <w:szCs w:val="18"/>
              </w:rPr>
            </w:pPr>
            <w:r>
              <w:rPr>
                <w:rFonts w:hint="eastAsia"/>
                <w:b/>
                <w:bCs/>
                <w:kern w:val="0"/>
                <w:sz w:val="18"/>
                <w:szCs w:val="18"/>
              </w:rPr>
              <w:t>试验方法</w:t>
            </w:r>
          </w:p>
        </w:tc>
      </w:tr>
      <w:tr w14:paraId="0EAE75C5">
        <w:tblPrEx>
          <w:tblCellMar>
            <w:top w:w="0" w:type="dxa"/>
            <w:left w:w="108" w:type="dxa"/>
            <w:bottom w:w="0" w:type="dxa"/>
            <w:right w:w="108" w:type="dxa"/>
          </w:tblCellMar>
        </w:tblPrEx>
        <w:trPr>
          <w:trHeight w:val="20" w:hRule="atLeast"/>
        </w:trPr>
        <w:tc>
          <w:tcPr>
            <w:tcW w:w="851" w:type="dxa"/>
            <w:tcBorders>
              <w:top w:val="nil"/>
              <w:left w:val="single" w:color="auto" w:sz="4" w:space="0"/>
              <w:bottom w:val="single" w:color="auto" w:sz="4" w:space="0"/>
              <w:right w:val="single" w:color="auto" w:sz="4" w:space="0"/>
            </w:tcBorders>
            <w:vAlign w:val="center"/>
          </w:tcPr>
          <w:p w14:paraId="6D03FA4E">
            <w:pPr>
              <w:widowControl/>
              <w:tabs>
                <w:tab w:val="center" w:pos="4201"/>
                <w:tab w:val="right" w:leader="dot" w:pos="9298"/>
              </w:tabs>
              <w:autoSpaceDE w:val="0"/>
              <w:autoSpaceDN w:val="0"/>
              <w:jc w:val="center"/>
              <w:rPr>
                <w:kern w:val="0"/>
                <w:sz w:val="18"/>
                <w:szCs w:val="18"/>
              </w:rPr>
            </w:pPr>
            <w:r>
              <w:rPr>
                <w:kern w:val="0"/>
                <w:sz w:val="18"/>
                <w:szCs w:val="18"/>
              </w:rPr>
              <w:t>1</w:t>
            </w:r>
          </w:p>
        </w:tc>
        <w:tc>
          <w:tcPr>
            <w:tcW w:w="1871" w:type="dxa"/>
            <w:tcBorders>
              <w:top w:val="nil"/>
              <w:left w:val="nil"/>
              <w:bottom w:val="single" w:color="auto" w:sz="4" w:space="0"/>
              <w:right w:val="single" w:color="auto" w:sz="4" w:space="0"/>
            </w:tcBorders>
            <w:vAlign w:val="center"/>
          </w:tcPr>
          <w:p w14:paraId="4CA6738D">
            <w:pPr>
              <w:widowControl/>
              <w:tabs>
                <w:tab w:val="center" w:pos="4201"/>
                <w:tab w:val="right" w:leader="dot" w:pos="9298"/>
              </w:tabs>
              <w:autoSpaceDE w:val="0"/>
              <w:autoSpaceDN w:val="0"/>
              <w:jc w:val="center"/>
              <w:rPr>
                <w:kern w:val="0"/>
                <w:sz w:val="18"/>
                <w:szCs w:val="18"/>
              </w:rPr>
            </w:pPr>
            <w:r>
              <w:rPr>
                <w:kern w:val="0"/>
                <w:sz w:val="18"/>
                <w:szCs w:val="18"/>
              </w:rPr>
              <w:t>化学成分</w:t>
            </w:r>
          </w:p>
        </w:tc>
        <w:tc>
          <w:tcPr>
            <w:tcW w:w="1921" w:type="dxa"/>
            <w:tcBorders>
              <w:top w:val="nil"/>
              <w:left w:val="nil"/>
              <w:bottom w:val="single" w:color="auto" w:sz="4" w:space="0"/>
              <w:right w:val="single" w:color="auto" w:sz="4" w:space="0"/>
            </w:tcBorders>
            <w:vAlign w:val="center"/>
          </w:tcPr>
          <w:p w14:paraId="28ABD3BF">
            <w:pPr>
              <w:jc w:val="center"/>
              <w:rPr>
                <w:kern w:val="0"/>
                <w:sz w:val="18"/>
                <w:szCs w:val="18"/>
              </w:rPr>
            </w:pPr>
            <w:r>
              <w:rPr>
                <w:kern w:val="0"/>
                <w:sz w:val="18"/>
                <w:szCs w:val="18"/>
              </w:rPr>
              <w:t>1个/炉</w:t>
            </w:r>
          </w:p>
        </w:tc>
        <w:tc>
          <w:tcPr>
            <w:tcW w:w="2445" w:type="dxa"/>
            <w:tcBorders>
              <w:top w:val="single" w:color="auto" w:sz="4" w:space="0"/>
              <w:left w:val="nil"/>
              <w:bottom w:val="single" w:color="auto" w:sz="4" w:space="0"/>
              <w:right w:val="single" w:color="auto" w:sz="4" w:space="0"/>
            </w:tcBorders>
            <w:vAlign w:val="center"/>
          </w:tcPr>
          <w:p w14:paraId="62E712F6">
            <w:pPr>
              <w:jc w:val="center"/>
              <w:rPr>
                <w:kern w:val="0"/>
                <w:sz w:val="18"/>
                <w:szCs w:val="18"/>
              </w:rPr>
            </w:pPr>
            <w:r>
              <w:rPr>
                <w:kern w:val="0"/>
                <w:sz w:val="18"/>
                <w:szCs w:val="18"/>
              </w:rPr>
              <w:t>GB/T 20066</w:t>
            </w:r>
          </w:p>
        </w:tc>
        <w:tc>
          <w:tcPr>
            <w:tcW w:w="2172" w:type="dxa"/>
            <w:tcBorders>
              <w:top w:val="single" w:color="auto" w:sz="4" w:space="0"/>
              <w:left w:val="nil"/>
              <w:bottom w:val="single" w:color="auto" w:sz="4" w:space="0"/>
              <w:right w:val="single" w:color="auto" w:sz="4" w:space="0"/>
            </w:tcBorders>
            <w:vAlign w:val="center"/>
          </w:tcPr>
          <w:p w14:paraId="55CF59A2">
            <w:pPr>
              <w:jc w:val="center"/>
              <w:rPr>
                <w:kern w:val="0"/>
                <w:sz w:val="18"/>
                <w:szCs w:val="18"/>
              </w:rPr>
            </w:pPr>
            <w:r>
              <w:rPr>
                <w:kern w:val="0"/>
                <w:sz w:val="18"/>
                <w:szCs w:val="18"/>
              </w:rPr>
              <w:t>见8.1</w:t>
            </w:r>
          </w:p>
        </w:tc>
      </w:tr>
      <w:tr w14:paraId="068616C4">
        <w:tblPrEx>
          <w:tblCellMar>
            <w:top w:w="0" w:type="dxa"/>
            <w:left w:w="108" w:type="dxa"/>
            <w:bottom w:w="0" w:type="dxa"/>
            <w:right w:w="108" w:type="dxa"/>
          </w:tblCellMar>
        </w:tblPrEx>
        <w:trPr>
          <w:trHeight w:val="20" w:hRule="atLeast"/>
        </w:trPr>
        <w:tc>
          <w:tcPr>
            <w:tcW w:w="851" w:type="dxa"/>
            <w:tcBorders>
              <w:top w:val="nil"/>
              <w:left w:val="single" w:color="auto" w:sz="4" w:space="0"/>
              <w:bottom w:val="single" w:color="auto" w:sz="4" w:space="0"/>
              <w:right w:val="single" w:color="auto" w:sz="4" w:space="0"/>
            </w:tcBorders>
            <w:vAlign w:val="center"/>
          </w:tcPr>
          <w:p w14:paraId="55E8B8D8">
            <w:pPr>
              <w:widowControl/>
              <w:tabs>
                <w:tab w:val="center" w:pos="4201"/>
                <w:tab w:val="right" w:leader="dot" w:pos="9298"/>
              </w:tabs>
              <w:autoSpaceDE w:val="0"/>
              <w:autoSpaceDN w:val="0"/>
              <w:jc w:val="center"/>
              <w:rPr>
                <w:kern w:val="0"/>
                <w:sz w:val="18"/>
                <w:szCs w:val="18"/>
              </w:rPr>
            </w:pPr>
            <w:r>
              <w:rPr>
                <w:kern w:val="0"/>
                <w:sz w:val="18"/>
                <w:szCs w:val="18"/>
              </w:rPr>
              <w:t>2</w:t>
            </w:r>
          </w:p>
        </w:tc>
        <w:tc>
          <w:tcPr>
            <w:tcW w:w="1871" w:type="dxa"/>
            <w:tcBorders>
              <w:top w:val="nil"/>
              <w:left w:val="nil"/>
              <w:bottom w:val="single" w:color="auto" w:sz="4" w:space="0"/>
              <w:right w:val="single" w:color="auto" w:sz="4" w:space="0"/>
            </w:tcBorders>
            <w:vAlign w:val="center"/>
          </w:tcPr>
          <w:p w14:paraId="5C080BBC">
            <w:pPr>
              <w:widowControl/>
              <w:tabs>
                <w:tab w:val="center" w:pos="4201"/>
                <w:tab w:val="right" w:leader="dot" w:pos="9298"/>
              </w:tabs>
              <w:autoSpaceDE w:val="0"/>
              <w:autoSpaceDN w:val="0"/>
              <w:jc w:val="center"/>
              <w:rPr>
                <w:kern w:val="0"/>
                <w:sz w:val="18"/>
                <w:szCs w:val="18"/>
              </w:rPr>
            </w:pPr>
            <w:r>
              <w:rPr>
                <w:kern w:val="0"/>
                <w:sz w:val="18"/>
                <w:szCs w:val="18"/>
              </w:rPr>
              <w:t>拉伸试验</w:t>
            </w:r>
          </w:p>
        </w:tc>
        <w:tc>
          <w:tcPr>
            <w:tcW w:w="1921" w:type="dxa"/>
            <w:tcBorders>
              <w:top w:val="nil"/>
              <w:left w:val="nil"/>
              <w:bottom w:val="single" w:color="auto" w:sz="4" w:space="0"/>
              <w:right w:val="single" w:color="auto" w:sz="4" w:space="0"/>
            </w:tcBorders>
          </w:tcPr>
          <w:p w14:paraId="3BB72043">
            <w:pPr>
              <w:jc w:val="center"/>
              <w:rPr>
                <w:kern w:val="0"/>
                <w:sz w:val="18"/>
                <w:szCs w:val="18"/>
              </w:rPr>
            </w:pPr>
            <w:r>
              <w:rPr>
                <w:sz w:val="18"/>
                <w:szCs w:val="18"/>
              </w:rPr>
              <w:t>1个/批</w:t>
            </w:r>
          </w:p>
        </w:tc>
        <w:tc>
          <w:tcPr>
            <w:tcW w:w="2445" w:type="dxa"/>
            <w:tcBorders>
              <w:top w:val="single" w:color="auto" w:sz="4" w:space="0"/>
              <w:left w:val="nil"/>
              <w:bottom w:val="single" w:color="auto" w:sz="4" w:space="0"/>
              <w:right w:val="single" w:color="auto" w:sz="4" w:space="0"/>
            </w:tcBorders>
            <w:vAlign w:val="center"/>
          </w:tcPr>
          <w:p w14:paraId="7B5D7291">
            <w:pPr>
              <w:jc w:val="center"/>
              <w:rPr>
                <w:kern w:val="0"/>
                <w:sz w:val="18"/>
                <w:szCs w:val="18"/>
              </w:rPr>
            </w:pPr>
            <w:r>
              <w:rPr>
                <w:kern w:val="0"/>
                <w:sz w:val="18"/>
                <w:szCs w:val="18"/>
              </w:rPr>
              <w:t>GB/T 2975</w:t>
            </w:r>
            <w:r>
              <w:rPr>
                <w:sz w:val="18"/>
                <w:szCs w:val="18"/>
              </w:rPr>
              <w:t xml:space="preserve"> </w:t>
            </w:r>
          </w:p>
        </w:tc>
        <w:tc>
          <w:tcPr>
            <w:tcW w:w="2172" w:type="dxa"/>
            <w:tcBorders>
              <w:top w:val="single" w:color="auto" w:sz="4" w:space="0"/>
              <w:left w:val="nil"/>
              <w:bottom w:val="single" w:color="auto" w:sz="4" w:space="0"/>
              <w:right w:val="single" w:color="auto" w:sz="4" w:space="0"/>
            </w:tcBorders>
            <w:vAlign w:val="center"/>
          </w:tcPr>
          <w:p w14:paraId="4B0128C6">
            <w:pPr>
              <w:jc w:val="center"/>
              <w:rPr>
                <w:kern w:val="0"/>
                <w:sz w:val="18"/>
                <w:szCs w:val="18"/>
              </w:rPr>
            </w:pPr>
            <w:r>
              <w:rPr>
                <w:kern w:val="0"/>
                <w:sz w:val="18"/>
                <w:szCs w:val="18"/>
              </w:rPr>
              <w:t>GB/T 228.1</w:t>
            </w:r>
          </w:p>
        </w:tc>
      </w:tr>
      <w:tr w14:paraId="0F2D8306">
        <w:tblPrEx>
          <w:tblCellMar>
            <w:top w:w="0" w:type="dxa"/>
            <w:left w:w="108" w:type="dxa"/>
            <w:bottom w:w="0" w:type="dxa"/>
            <w:right w:w="108" w:type="dxa"/>
          </w:tblCellMar>
        </w:tblPrEx>
        <w:trPr>
          <w:trHeight w:val="20" w:hRule="atLeast"/>
        </w:trPr>
        <w:tc>
          <w:tcPr>
            <w:tcW w:w="851" w:type="dxa"/>
            <w:tcBorders>
              <w:top w:val="nil"/>
              <w:left w:val="single" w:color="auto" w:sz="4" w:space="0"/>
              <w:bottom w:val="single" w:color="auto" w:sz="4" w:space="0"/>
              <w:right w:val="single" w:color="auto" w:sz="4" w:space="0"/>
            </w:tcBorders>
            <w:vAlign w:val="center"/>
          </w:tcPr>
          <w:p w14:paraId="612400B8">
            <w:pPr>
              <w:widowControl/>
              <w:tabs>
                <w:tab w:val="center" w:pos="4201"/>
                <w:tab w:val="right" w:leader="dot" w:pos="9298"/>
              </w:tabs>
              <w:autoSpaceDE w:val="0"/>
              <w:autoSpaceDN w:val="0"/>
              <w:jc w:val="center"/>
              <w:rPr>
                <w:kern w:val="0"/>
                <w:sz w:val="18"/>
                <w:szCs w:val="18"/>
              </w:rPr>
            </w:pPr>
            <w:r>
              <w:rPr>
                <w:kern w:val="0"/>
                <w:sz w:val="18"/>
                <w:szCs w:val="18"/>
              </w:rPr>
              <w:t>3</w:t>
            </w:r>
          </w:p>
        </w:tc>
        <w:tc>
          <w:tcPr>
            <w:tcW w:w="1871" w:type="dxa"/>
            <w:tcBorders>
              <w:top w:val="nil"/>
              <w:left w:val="nil"/>
              <w:bottom w:val="single" w:color="auto" w:sz="4" w:space="0"/>
              <w:right w:val="single" w:color="auto" w:sz="4" w:space="0"/>
            </w:tcBorders>
            <w:vAlign w:val="center"/>
          </w:tcPr>
          <w:p w14:paraId="3D3C706E">
            <w:pPr>
              <w:widowControl/>
              <w:tabs>
                <w:tab w:val="center" w:pos="4201"/>
                <w:tab w:val="right" w:leader="dot" w:pos="9298"/>
              </w:tabs>
              <w:autoSpaceDE w:val="0"/>
              <w:autoSpaceDN w:val="0"/>
              <w:jc w:val="center"/>
              <w:rPr>
                <w:kern w:val="0"/>
                <w:sz w:val="18"/>
                <w:szCs w:val="18"/>
              </w:rPr>
            </w:pPr>
            <w:r>
              <w:rPr>
                <w:kern w:val="0"/>
                <w:sz w:val="18"/>
                <w:szCs w:val="18"/>
              </w:rPr>
              <w:t>弯曲试验</w:t>
            </w:r>
          </w:p>
        </w:tc>
        <w:tc>
          <w:tcPr>
            <w:tcW w:w="1921" w:type="dxa"/>
            <w:tcBorders>
              <w:top w:val="nil"/>
              <w:left w:val="nil"/>
              <w:bottom w:val="single" w:color="auto" w:sz="4" w:space="0"/>
              <w:right w:val="single" w:color="auto" w:sz="4" w:space="0"/>
            </w:tcBorders>
          </w:tcPr>
          <w:p w14:paraId="52B200C7">
            <w:pPr>
              <w:jc w:val="center"/>
              <w:rPr>
                <w:kern w:val="0"/>
                <w:sz w:val="18"/>
                <w:szCs w:val="18"/>
              </w:rPr>
            </w:pPr>
            <w:r>
              <w:rPr>
                <w:sz w:val="18"/>
                <w:szCs w:val="18"/>
              </w:rPr>
              <w:t>1个/批</w:t>
            </w:r>
          </w:p>
        </w:tc>
        <w:tc>
          <w:tcPr>
            <w:tcW w:w="2445" w:type="dxa"/>
            <w:tcBorders>
              <w:top w:val="single" w:color="auto" w:sz="4" w:space="0"/>
              <w:left w:val="nil"/>
              <w:bottom w:val="single" w:color="auto" w:sz="4" w:space="0"/>
              <w:right w:val="single" w:color="auto" w:sz="4" w:space="0"/>
            </w:tcBorders>
            <w:vAlign w:val="center"/>
          </w:tcPr>
          <w:p w14:paraId="11D4C3D0">
            <w:pPr>
              <w:jc w:val="center"/>
              <w:rPr>
                <w:kern w:val="0"/>
                <w:sz w:val="18"/>
                <w:szCs w:val="18"/>
              </w:rPr>
            </w:pPr>
            <w:r>
              <w:rPr>
                <w:kern w:val="0"/>
                <w:sz w:val="18"/>
                <w:szCs w:val="18"/>
              </w:rPr>
              <w:t>GB/T 2975</w:t>
            </w:r>
          </w:p>
        </w:tc>
        <w:tc>
          <w:tcPr>
            <w:tcW w:w="2172" w:type="dxa"/>
            <w:tcBorders>
              <w:top w:val="single" w:color="auto" w:sz="4" w:space="0"/>
              <w:left w:val="nil"/>
              <w:bottom w:val="single" w:color="auto" w:sz="4" w:space="0"/>
              <w:right w:val="single" w:color="auto" w:sz="4" w:space="0"/>
            </w:tcBorders>
            <w:vAlign w:val="center"/>
          </w:tcPr>
          <w:p w14:paraId="2A68BD28">
            <w:pPr>
              <w:jc w:val="center"/>
              <w:rPr>
                <w:kern w:val="0"/>
                <w:sz w:val="18"/>
                <w:szCs w:val="18"/>
              </w:rPr>
            </w:pPr>
            <w:r>
              <w:rPr>
                <w:kern w:val="0"/>
                <w:sz w:val="18"/>
                <w:szCs w:val="18"/>
              </w:rPr>
              <w:t>GB/T 232</w:t>
            </w:r>
          </w:p>
        </w:tc>
      </w:tr>
      <w:tr w14:paraId="1E855DEC">
        <w:tblPrEx>
          <w:tblCellMar>
            <w:top w:w="0" w:type="dxa"/>
            <w:left w:w="108" w:type="dxa"/>
            <w:bottom w:w="0" w:type="dxa"/>
            <w:right w:w="108" w:type="dxa"/>
          </w:tblCellMar>
        </w:tblPrEx>
        <w:trPr>
          <w:trHeight w:val="20" w:hRule="atLeast"/>
        </w:trPr>
        <w:tc>
          <w:tcPr>
            <w:tcW w:w="851" w:type="dxa"/>
            <w:tcBorders>
              <w:top w:val="nil"/>
              <w:left w:val="single" w:color="auto" w:sz="4" w:space="0"/>
              <w:bottom w:val="single" w:color="auto" w:sz="4" w:space="0"/>
              <w:right w:val="single" w:color="auto" w:sz="4" w:space="0"/>
            </w:tcBorders>
            <w:vAlign w:val="center"/>
          </w:tcPr>
          <w:p w14:paraId="60082856">
            <w:pPr>
              <w:widowControl/>
              <w:tabs>
                <w:tab w:val="center" w:pos="4201"/>
                <w:tab w:val="right" w:leader="dot" w:pos="9298"/>
              </w:tabs>
              <w:autoSpaceDE w:val="0"/>
              <w:autoSpaceDN w:val="0"/>
              <w:jc w:val="center"/>
              <w:rPr>
                <w:kern w:val="0"/>
                <w:sz w:val="18"/>
                <w:szCs w:val="18"/>
              </w:rPr>
            </w:pPr>
            <w:r>
              <w:rPr>
                <w:rFonts w:hint="eastAsia"/>
                <w:kern w:val="0"/>
                <w:sz w:val="18"/>
                <w:szCs w:val="18"/>
              </w:rPr>
              <w:t>4</w:t>
            </w:r>
          </w:p>
        </w:tc>
        <w:tc>
          <w:tcPr>
            <w:tcW w:w="1871" w:type="dxa"/>
            <w:tcBorders>
              <w:top w:val="nil"/>
              <w:left w:val="nil"/>
              <w:bottom w:val="single" w:color="auto" w:sz="4" w:space="0"/>
              <w:right w:val="single" w:color="auto" w:sz="4" w:space="0"/>
            </w:tcBorders>
            <w:vAlign w:val="center"/>
          </w:tcPr>
          <w:p w14:paraId="34005D0F">
            <w:pPr>
              <w:widowControl/>
              <w:tabs>
                <w:tab w:val="center" w:pos="4201"/>
                <w:tab w:val="right" w:leader="dot" w:pos="9298"/>
              </w:tabs>
              <w:autoSpaceDE w:val="0"/>
              <w:autoSpaceDN w:val="0"/>
              <w:jc w:val="center"/>
              <w:rPr>
                <w:kern w:val="0"/>
                <w:sz w:val="18"/>
                <w:szCs w:val="18"/>
              </w:rPr>
            </w:pPr>
            <w:r>
              <w:rPr>
                <w:kern w:val="0"/>
                <w:sz w:val="18"/>
                <w:szCs w:val="18"/>
              </w:rPr>
              <w:t>高温抗氧化性能</w:t>
            </w:r>
          </w:p>
        </w:tc>
        <w:tc>
          <w:tcPr>
            <w:tcW w:w="1921" w:type="dxa"/>
            <w:tcBorders>
              <w:top w:val="nil"/>
              <w:left w:val="nil"/>
              <w:bottom w:val="single" w:color="auto" w:sz="4" w:space="0"/>
              <w:right w:val="single" w:color="auto" w:sz="4" w:space="0"/>
            </w:tcBorders>
            <w:vAlign w:val="center"/>
          </w:tcPr>
          <w:p w14:paraId="0CFEDEEB">
            <w:pPr>
              <w:jc w:val="center"/>
              <w:rPr>
                <w:kern w:val="0"/>
                <w:sz w:val="18"/>
                <w:szCs w:val="18"/>
              </w:rPr>
            </w:pPr>
            <w:r>
              <w:rPr>
                <w:sz w:val="18"/>
                <w:szCs w:val="18"/>
              </w:rPr>
              <w:t>3个/批</w:t>
            </w:r>
          </w:p>
        </w:tc>
        <w:tc>
          <w:tcPr>
            <w:tcW w:w="2445" w:type="dxa"/>
            <w:tcBorders>
              <w:top w:val="single" w:color="auto" w:sz="4" w:space="0"/>
              <w:left w:val="nil"/>
              <w:bottom w:val="single" w:color="auto" w:sz="4" w:space="0"/>
              <w:right w:val="single" w:color="auto" w:sz="4" w:space="0"/>
            </w:tcBorders>
            <w:vAlign w:val="center"/>
          </w:tcPr>
          <w:p w14:paraId="28BAA860">
            <w:pPr>
              <w:jc w:val="center"/>
              <w:rPr>
                <w:kern w:val="0"/>
                <w:sz w:val="18"/>
                <w:szCs w:val="18"/>
              </w:rPr>
            </w:pPr>
            <w:r>
              <w:rPr>
                <w:sz w:val="18"/>
                <w:szCs w:val="18"/>
              </w:rPr>
              <w:t>任一张或任一卷</w:t>
            </w:r>
          </w:p>
        </w:tc>
        <w:tc>
          <w:tcPr>
            <w:tcW w:w="2172" w:type="dxa"/>
            <w:tcBorders>
              <w:top w:val="single" w:color="auto" w:sz="4" w:space="0"/>
              <w:left w:val="nil"/>
              <w:bottom w:val="single" w:color="auto" w:sz="4" w:space="0"/>
              <w:right w:val="single" w:color="auto" w:sz="4" w:space="0"/>
            </w:tcBorders>
            <w:vAlign w:val="center"/>
          </w:tcPr>
          <w:p w14:paraId="1BDA3DE6">
            <w:pPr>
              <w:jc w:val="center"/>
              <w:rPr>
                <w:kern w:val="0"/>
                <w:sz w:val="18"/>
                <w:szCs w:val="18"/>
              </w:rPr>
            </w:pPr>
            <w:r>
              <w:rPr>
                <w:sz w:val="18"/>
                <w:szCs w:val="18"/>
              </w:rPr>
              <w:t>GB/T 13303</w:t>
            </w:r>
          </w:p>
        </w:tc>
      </w:tr>
      <w:tr w14:paraId="6B8F6B60">
        <w:tblPrEx>
          <w:tblCellMar>
            <w:top w:w="0" w:type="dxa"/>
            <w:left w:w="108" w:type="dxa"/>
            <w:bottom w:w="0" w:type="dxa"/>
            <w:right w:w="108" w:type="dxa"/>
          </w:tblCellMar>
        </w:tblPrEx>
        <w:trPr>
          <w:trHeight w:val="20" w:hRule="atLeast"/>
        </w:trPr>
        <w:tc>
          <w:tcPr>
            <w:tcW w:w="851" w:type="dxa"/>
            <w:tcBorders>
              <w:top w:val="nil"/>
              <w:left w:val="single" w:color="auto" w:sz="4" w:space="0"/>
              <w:bottom w:val="single" w:color="auto" w:sz="4" w:space="0"/>
              <w:right w:val="single" w:color="auto" w:sz="4" w:space="0"/>
            </w:tcBorders>
            <w:vAlign w:val="center"/>
          </w:tcPr>
          <w:p w14:paraId="7D70F781">
            <w:pPr>
              <w:widowControl/>
              <w:tabs>
                <w:tab w:val="center" w:pos="4201"/>
                <w:tab w:val="right" w:leader="dot" w:pos="9298"/>
              </w:tabs>
              <w:autoSpaceDE w:val="0"/>
              <w:autoSpaceDN w:val="0"/>
              <w:jc w:val="center"/>
              <w:rPr>
                <w:kern w:val="0"/>
                <w:sz w:val="18"/>
                <w:szCs w:val="18"/>
              </w:rPr>
            </w:pPr>
            <w:r>
              <w:rPr>
                <w:rFonts w:hint="eastAsia"/>
                <w:kern w:val="0"/>
                <w:sz w:val="18"/>
                <w:szCs w:val="18"/>
              </w:rPr>
              <w:t>5</w:t>
            </w:r>
          </w:p>
        </w:tc>
        <w:tc>
          <w:tcPr>
            <w:tcW w:w="1871" w:type="dxa"/>
            <w:tcBorders>
              <w:top w:val="nil"/>
              <w:left w:val="nil"/>
              <w:bottom w:val="single" w:color="auto" w:sz="4" w:space="0"/>
              <w:right w:val="single" w:color="auto" w:sz="4" w:space="0"/>
            </w:tcBorders>
            <w:vAlign w:val="center"/>
          </w:tcPr>
          <w:p w14:paraId="71D408B8">
            <w:pPr>
              <w:widowControl/>
              <w:tabs>
                <w:tab w:val="center" w:pos="4201"/>
                <w:tab w:val="right" w:leader="dot" w:pos="9298"/>
              </w:tabs>
              <w:autoSpaceDE w:val="0"/>
              <w:autoSpaceDN w:val="0"/>
              <w:jc w:val="center"/>
              <w:rPr>
                <w:kern w:val="0"/>
                <w:sz w:val="18"/>
                <w:szCs w:val="18"/>
              </w:rPr>
            </w:pPr>
            <w:r>
              <w:rPr>
                <w:kern w:val="0"/>
                <w:sz w:val="18"/>
                <w:szCs w:val="18"/>
              </w:rPr>
              <w:t>电阻率</w:t>
            </w:r>
          </w:p>
        </w:tc>
        <w:tc>
          <w:tcPr>
            <w:tcW w:w="1921" w:type="dxa"/>
            <w:tcBorders>
              <w:top w:val="nil"/>
              <w:left w:val="nil"/>
              <w:bottom w:val="single" w:color="auto" w:sz="4" w:space="0"/>
              <w:right w:val="single" w:color="auto" w:sz="4" w:space="0"/>
            </w:tcBorders>
          </w:tcPr>
          <w:p w14:paraId="6E5F7A98">
            <w:pPr>
              <w:jc w:val="center"/>
              <w:rPr>
                <w:kern w:val="0"/>
                <w:sz w:val="18"/>
                <w:szCs w:val="18"/>
              </w:rPr>
            </w:pPr>
            <w:r>
              <w:rPr>
                <w:sz w:val="18"/>
                <w:szCs w:val="18"/>
              </w:rPr>
              <w:t>1个/批</w:t>
            </w:r>
          </w:p>
        </w:tc>
        <w:tc>
          <w:tcPr>
            <w:tcW w:w="2445" w:type="dxa"/>
            <w:tcBorders>
              <w:top w:val="single" w:color="auto" w:sz="4" w:space="0"/>
              <w:left w:val="nil"/>
              <w:bottom w:val="single" w:color="auto" w:sz="4" w:space="0"/>
              <w:right w:val="single" w:color="auto" w:sz="4" w:space="0"/>
            </w:tcBorders>
          </w:tcPr>
          <w:p w14:paraId="5FEF0DE1">
            <w:pPr>
              <w:widowControl/>
              <w:tabs>
                <w:tab w:val="center" w:pos="4201"/>
                <w:tab w:val="right" w:leader="dot" w:pos="9298"/>
              </w:tabs>
              <w:autoSpaceDE w:val="0"/>
              <w:autoSpaceDN w:val="0"/>
              <w:jc w:val="center"/>
              <w:rPr>
                <w:kern w:val="0"/>
                <w:sz w:val="18"/>
                <w:szCs w:val="18"/>
              </w:rPr>
            </w:pPr>
            <w:r>
              <w:rPr>
                <w:sz w:val="18"/>
                <w:szCs w:val="18"/>
              </w:rPr>
              <w:t>任一张或任一卷</w:t>
            </w:r>
          </w:p>
        </w:tc>
        <w:tc>
          <w:tcPr>
            <w:tcW w:w="2172" w:type="dxa"/>
            <w:tcBorders>
              <w:top w:val="single" w:color="auto" w:sz="4" w:space="0"/>
              <w:left w:val="nil"/>
              <w:bottom w:val="single" w:color="auto" w:sz="4" w:space="0"/>
              <w:right w:val="single" w:color="auto" w:sz="4" w:space="0"/>
            </w:tcBorders>
          </w:tcPr>
          <w:p w14:paraId="70F469E5">
            <w:pPr>
              <w:widowControl/>
              <w:tabs>
                <w:tab w:val="center" w:pos="4201"/>
                <w:tab w:val="right" w:leader="dot" w:pos="9298"/>
              </w:tabs>
              <w:autoSpaceDE w:val="0"/>
              <w:autoSpaceDN w:val="0"/>
              <w:jc w:val="center"/>
              <w:rPr>
                <w:kern w:val="0"/>
                <w:sz w:val="18"/>
                <w:szCs w:val="18"/>
              </w:rPr>
            </w:pPr>
            <w:r>
              <w:rPr>
                <w:sz w:val="18"/>
                <w:szCs w:val="18"/>
              </w:rPr>
              <w:t>GB/T 1234</w:t>
            </w:r>
          </w:p>
        </w:tc>
      </w:tr>
      <w:tr w14:paraId="188938B8">
        <w:tblPrEx>
          <w:tblCellMar>
            <w:top w:w="0" w:type="dxa"/>
            <w:left w:w="108" w:type="dxa"/>
            <w:bottom w:w="0" w:type="dxa"/>
            <w:right w:w="108" w:type="dxa"/>
          </w:tblCellMar>
        </w:tblPrEx>
        <w:trPr>
          <w:trHeight w:val="20" w:hRule="atLeast"/>
        </w:trPr>
        <w:tc>
          <w:tcPr>
            <w:tcW w:w="851" w:type="dxa"/>
            <w:tcBorders>
              <w:top w:val="nil"/>
              <w:left w:val="single" w:color="auto" w:sz="4" w:space="0"/>
              <w:bottom w:val="single" w:color="auto" w:sz="4" w:space="0"/>
              <w:right w:val="single" w:color="auto" w:sz="4" w:space="0"/>
            </w:tcBorders>
            <w:vAlign w:val="center"/>
          </w:tcPr>
          <w:p w14:paraId="7817455F">
            <w:pPr>
              <w:widowControl/>
              <w:tabs>
                <w:tab w:val="center" w:pos="4201"/>
                <w:tab w:val="right" w:leader="dot" w:pos="9298"/>
              </w:tabs>
              <w:autoSpaceDE w:val="0"/>
              <w:autoSpaceDN w:val="0"/>
              <w:jc w:val="center"/>
              <w:rPr>
                <w:kern w:val="0"/>
                <w:sz w:val="18"/>
                <w:szCs w:val="18"/>
              </w:rPr>
            </w:pPr>
            <w:r>
              <w:rPr>
                <w:rFonts w:hint="eastAsia"/>
                <w:kern w:val="0"/>
                <w:sz w:val="18"/>
                <w:szCs w:val="18"/>
              </w:rPr>
              <w:t>6</w:t>
            </w:r>
          </w:p>
        </w:tc>
        <w:tc>
          <w:tcPr>
            <w:tcW w:w="1871" w:type="dxa"/>
            <w:tcBorders>
              <w:top w:val="nil"/>
              <w:left w:val="nil"/>
              <w:bottom w:val="single" w:color="auto" w:sz="4" w:space="0"/>
              <w:right w:val="single" w:color="auto" w:sz="4" w:space="0"/>
            </w:tcBorders>
            <w:vAlign w:val="center"/>
          </w:tcPr>
          <w:p w14:paraId="2FCD4553">
            <w:pPr>
              <w:widowControl/>
              <w:tabs>
                <w:tab w:val="center" w:pos="4201"/>
                <w:tab w:val="right" w:leader="dot" w:pos="9298"/>
              </w:tabs>
              <w:autoSpaceDE w:val="0"/>
              <w:autoSpaceDN w:val="0"/>
              <w:jc w:val="center"/>
              <w:rPr>
                <w:kern w:val="0"/>
                <w:sz w:val="18"/>
                <w:szCs w:val="18"/>
              </w:rPr>
            </w:pPr>
            <w:r>
              <w:rPr>
                <w:kern w:val="0"/>
                <w:sz w:val="18"/>
                <w:szCs w:val="18"/>
              </w:rPr>
              <w:t>尺寸、外形</w:t>
            </w:r>
          </w:p>
        </w:tc>
        <w:tc>
          <w:tcPr>
            <w:tcW w:w="1921" w:type="dxa"/>
            <w:tcBorders>
              <w:top w:val="nil"/>
              <w:left w:val="nil"/>
              <w:bottom w:val="single" w:color="auto" w:sz="4" w:space="0"/>
              <w:right w:val="single" w:color="auto" w:sz="4" w:space="0"/>
            </w:tcBorders>
            <w:vAlign w:val="center"/>
          </w:tcPr>
          <w:p w14:paraId="70E945B6">
            <w:pPr>
              <w:widowControl/>
              <w:tabs>
                <w:tab w:val="center" w:pos="4201"/>
                <w:tab w:val="right" w:leader="dot" w:pos="9298"/>
              </w:tabs>
              <w:autoSpaceDE w:val="0"/>
              <w:autoSpaceDN w:val="0"/>
              <w:jc w:val="center"/>
              <w:rPr>
                <w:kern w:val="0"/>
                <w:sz w:val="18"/>
                <w:szCs w:val="18"/>
              </w:rPr>
            </w:pPr>
            <w:r>
              <w:rPr>
                <w:kern w:val="0"/>
                <w:sz w:val="18"/>
                <w:szCs w:val="18"/>
              </w:rPr>
              <w:t>逐张/逐卷</w:t>
            </w:r>
          </w:p>
        </w:tc>
        <w:tc>
          <w:tcPr>
            <w:tcW w:w="2445" w:type="dxa"/>
            <w:tcBorders>
              <w:top w:val="single" w:color="auto" w:sz="4" w:space="0"/>
              <w:left w:val="nil"/>
              <w:bottom w:val="single" w:color="auto" w:sz="4" w:space="0"/>
              <w:right w:val="single" w:color="auto" w:sz="4" w:space="0"/>
            </w:tcBorders>
            <w:vAlign w:val="center"/>
          </w:tcPr>
          <w:p w14:paraId="402438AD">
            <w:pPr>
              <w:widowControl/>
              <w:tabs>
                <w:tab w:val="center" w:pos="4201"/>
                <w:tab w:val="right" w:leader="dot" w:pos="9298"/>
              </w:tabs>
              <w:autoSpaceDE w:val="0"/>
              <w:autoSpaceDN w:val="0"/>
              <w:jc w:val="center"/>
              <w:rPr>
                <w:kern w:val="0"/>
                <w:sz w:val="18"/>
                <w:szCs w:val="18"/>
              </w:rPr>
            </w:pPr>
            <w:r>
              <w:rPr>
                <w:kern w:val="0"/>
                <w:sz w:val="18"/>
                <w:szCs w:val="18"/>
              </w:rPr>
              <w:t>—</w:t>
            </w:r>
          </w:p>
        </w:tc>
        <w:tc>
          <w:tcPr>
            <w:tcW w:w="2172" w:type="dxa"/>
            <w:tcBorders>
              <w:top w:val="single" w:color="auto" w:sz="4" w:space="0"/>
              <w:left w:val="nil"/>
              <w:bottom w:val="single" w:color="auto" w:sz="4" w:space="0"/>
              <w:right w:val="single" w:color="auto" w:sz="4" w:space="0"/>
            </w:tcBorders>
            <w:vAlign w:val="center"/>
          </w:tcPr>
          <w:p w14:paraId="489F0B81">
            <w:pPr>
              <w:widowControl/>
              <w:tabs>
                <w:tab w:val="center" w:pos="4201"/>
                <w:tab w:val="right" w:leader="dot" w:pos="9298"/>
              </w:tabs>
              <w:autoSpaceDE w:val="0"/>
              <w:autoSpaceDN w:val="0"/>
              <w:jc w:val="center"/>
              <w:rPr>
                <w:kern w:val="0"/>
                <w:sz w:val="18"/>
                <w:szCs w:val="18"/>
              </w:rPr>
            </w:pPr>
            <w:r>
              <w:rPr>
                <w:kern w:val="0"/>
                <w:sz w:val="18"/>
                <w:szCs w:val="18"/>
              </w:rPr>
              <w:t>适宜的量具</w:t>
            </w:r>
          </w:p>
        </w:tc>
      </w:tr>
      <w:tr w14:paraId="61CED545">
        <w:tblPrEx>
          <w:tblCellMar>
            <w:top w:w="0" w:type="dxa"/>
            <w:left w:w="108" w:type="dxa"/>
            <w:bottom w:w="0" w:type="dxa"/>
            <w:right w:w="108" w:type="dxa"/>
          </w:tblCellMar>
        </w:tblPrEx>
        <w:trPr>
          <w:trHeight w:val="20" w:hRule="atLeast"/>
        </w:trPr>
        <w:tc>
          <w:tcPr>
            <w:tcW w:w="851" w:type="dxa"/>
            <w:tcBorders>
              <w:top w:val="nil"/>
              <w:left w:val="single" w:color="auto" w:sz="4" w:space="0"/>
              <w:bottom w:val="single" w:color="auto" w:sz="4" w:space="0"/>
              <w:right w:val="single" w:color="auto" w:sz="4" w:space="0"/>
            </w:tcBorders>
            <w:vAlign w:val="center"/>
          </w:tcPr>
          <w:p w14:paraId="6351B10D">
            <w:pPr>
              <w:widowControl/>
              <w:tabs>
                <w:tab w:val="center" w:pos="4201"/>
                <w:tab w:val="right" w:leader="dot" w:pos="9298"/>
              </w:tabs>
              <w:autoSpaceDE w:val="0"/>
              <w:autoSpaceDN w:val="0"/>
              <w:jc w:val="center"/>
              <w:rPr>
                <w:kern w:val="0"/>
                <w:sz w:val="18"/>
                <w:szCs w:val="18"/>
              </w:rPr>
            </w:pPr>
            <w:r>
              <w:rPr>
                <w:rFonts w:hint="eastAsia"/>
                <w:kern w:val="0"/>
                <w:sz w:val="18"/>
                <w:szCs w:val="18"/>
              </w:rPr>
              <w:t>7</w:t>
            </w:r>
          </w:p>
        </w:tc>
        <w:tc>
          <w:tcPr>
            <w:tcW w:w="1871" w:type="dxa"/>
            <w:tcBorders>
              <w:top w:val="nil"/>
              <w:left w:val="nil"/>
              <w:bottom w:val="single" w:color="auto" w:sz="4" w:space="0"/>
              <w:right w:val="single" w:color="auto" w:sz="4" w:space="0"/>
            </w:tcBorders>
            <w:vAlign w:val="center"/>
          </w:tcPr>
          <w:p w14:paraId="50022121">
            <w:pPr>
              <w:widowControl/>
              <w:tabs>
                <w:tab w:val="center" w:pos="4201"/>
                <w:tab w:val="right" w:leader="dot" w:pos="9298"/>
              </w:tabs>
              <w:autoSpaceDE w:val="0"/>
              <w:autoSpaceDN w:val="0"/>
              <w:jc w:val="center"/>
              <w:rPr>
                <w:kern w:val="0"/>
                <w:sz w:val="18"/>
                <w:szCs w:val="18"/>
              </w:rPr>
            </w:pPr>
            <w:r>
              <w:rPr>
                <w:kern w:val="0"/>
                <w:sz w:val="18"/>
                <w:szCs w:val="18"/>
              </w:rPr>
              <w:t>表面质量</w:t>
            </w:r>
          </w:p>
        </w:tc>
        <w:tc>
          <w:tcPr>
            <w:tcW w:w="1921" w:type="dxa"/>
            <w:tcBorders>
              <w:top w:val="nil"/>
              <w:left w:val="nil"/>
              <w:bottom w:val="single" w:color="auto" w:sz="4" w:space="0"/>
              <w:right w:val="single" w:color="auto" w:sz="4" w:space="0"/>
            </w:tcBorders>
            <w:vAlign w:val="center"/>
          </w:tcPr>
          <w:p w14:paraId="7CBDCDEB">
            <w:pPr>
              <w:widowControl/>
              <w:tabs>
                <w:tab w:val="center" w:pos="4201"/>
                <w:tab w:val="right" w:leader="dot" w:pos="9298"/>
              </w:tabs>
              <w:autoSpaceDE w:val="0"/>
              <w:autoSpaceDN w:val="0"/>
              <w:jc w:val="center"/>
              <w:rPr>
                <w:kern w:val="0"/>
                <w:sz w:val="18"/>
                <w:szCs w:val="18"/>
              </w:rPr>
            </w:pPr>
            <w:r>
              <w:rPr>
                <w:kern w:val="0"/>
                <w:sz w:val="18"/>
                <w:szCs w:val="18"/>
              </w:rPr>
              <w:t>逐张/逐卷</w:t>
            </w:r>
          </w:p>
        </w:tc>
        <w:tc>
          <w:tcPr>
            <w:tcW w:w="2445" w:type="dxa"/>
            <w:tcBorders>
              <w:top w:val="single" w:color="auto" w:sz="4" w:space="0"/>
              <w:left w:val="nil"/>
              <w:bottom w:val="single" w:color="auto" w:sz="4" w:space="0"/>
              <w:right w:val="single" w:color="auto" w:sz="4" w:space="0"/>
            </w:tcBorders>
            <w:vAlign w:val="center"/>
          </w:tcPr>
          <w:p w14:paraId="1891B5E5">
            <w:pPr>
              <w:widowControl/>
              <w:tabs>
                <w:tab w:val="center" w:pos="4201"/>
                <w:tab w:val="right" w:leader="dot" w:pos="9298"/>
              </w:tabs>
              <w:autoSpaceDE w:val="0"/>
              <w:autoSpaceDN w:val="0"/>
              <w:jc w:val="center"/>
              <w:rPr>
                <w:kern w:val="0"/>
                <w:sz w:val="18"/>
                <w:szCs w:val="18"/>
              </w:rPr>
            </w:pPr>
            <w:r>
              <w:rPr>
                <w:kern w:val="0"/>
                <w:sz w:val="18"/>
                <w:szCs w:val="18"/>
              </w:rPr>
              <w:t>—</w:t>
            </w:r>
          </w:p>
        </w:tc>
        <w:tc>
          <w:tcPr>
            <w:tcW w:w="2172" w:type="dxa"/>
            <w:tcBorders>
              <w:top w:val="single" w:color="auto" w:sz="4" w:space="0"/>
              <w:left w:val="nil"/>
              <w:bottom w:val="single" w:color="auto" w:sz="4" w:space="0"/>
              <w:right w:val="single" w:color="auto" w:sz="4" w:space="0"/>
            </w:tcBorders>
            <w:vAlign w:val="center"/>
          </w:tcPr>
          <w:p w14:paraId="28FBE00B">
            <w:pPr>
              <w:widowControl/>
              <w:tabs>
                <w:tab w:val="center" w:pos="4201"/>
                <w:tab w:val="right" w:leader="dot" w:pos="9298"/>
              </w:tabs>
              <w:autoSpaceDE w:val="0"/>
              <w:autoSpaceDN w:val="0"/>
              <w:jc w:val="center"/>
              <w:rPr>
                <w:kern w:val="0"/>
                <w:sz w:val="18"/>
                <w:szCs w:val="18"/>
              </w:rPr>
            </w:pPr>
            <w:r>
              <w:rPr>
                <w:kern w:val="0"/>
                <w:sz w:val="18"/>
                <w:szCs w:val="18"/>
              </w:rPr>
              <w:t>目视</w:t>
            </w:r>
          </w:p>
        </w:tc>
      </w:tr>
      <w:bookmarkEnd w:id="21"/>
    </w:tbl>
    <w:p w14:paraId="56D898A6">
      <w:pPr>
        <w:pStyle w:val="50"/>
        <w:spacing w:before="312" w:after="312"/>
        <w:rPr>
          <w:rFonts w:ascii="Times New Roman"/>
        </w:rPr>
      </w:pPr>
      <w:r>
        <w:rPr>
          <w:rFonts w:ascii="Times New Roman"/>
        </w:rPr>
        <w:t>检验规则</w:t>
      </w:r>
    </w:p>
    <w:p w14:paraId="4E64F750">
      <w:pPr>
        <w:pStyle w:val="46"/>
        <w:spacing w:before="156" w:after="156"/>
        <w:rPr>
          <w:rFonts w:ascii="Times New Roman"/>
        </w:rPr>
      </w:pPr>
      <w:r>
        <w:rPr>
          <w:rFonts w:ascii="Times New Roman"/>
        </w:rPr>
        <w:t>检查和验收</w:t>
      </w:r>
    </w:p>
    <w:p w14:paraId="12709E31">
      <w:pPr>
        <w:pStyle w:val="25"/>
        <w:rPr>
          <w:rFonts w:ascii="Times New Roman" w:eastAsiaTheme="minorEastAsia"/>
          <w:szCs w:val="21"/>
        </w:rPr>
      </w:pPr>
      <w:r>
        <w:rPr>
          <w:rFonts w:hint="eastAsia" w:ascii="Times New Roman"/>
        </w:rPr>
        <w:t>板带材</w:t>
      </w:r>
      <w:r>
        <w:rPr>
          <w:rFonts w:ascii="Times New Roman" w:eastAsiaTheme="minorEastAsia"/>
          <w:szCs w:val="21"/>
        </w:rPr>
        <w:t>的检查和验收由供方的质量监督检验部门进行。</w:t>
      </w:r>
    </w:p>
    <w:p w14:paraId="05718762">
      <w:pPr>
        <w:pStyle w:val="46"/>
        <w:spacing w:before="156" w:after="156"/>
        <w:rPr>
          <w:rFonts w:ascii="Times New Roman"/>
        </w:rPr>
      </w:pPr>
      <w:r>
        <w:rPr>
          <w:rFonts w:ascii="Times New Roman"/>
        </w:rPr>
        <w:t>组批规则</w:t>
      </w:r>
    </w:p>
    <w:p w14:paraId="6F637C50">
      <w:pPr>
        <w:pStyle w:val="25"/>
        <w:rPr>
          <w:rFonts w:ascii="Times New Roman" w:eastAsiaTheme="minorEastAsia"/>
          <w:szCs w:val="21"/>
        </w:rPr>
      </w:pPr>
      <w:r>
        <w:rPr>
          <w:rFonts w:hint="eastAsia" w:ascii="Times New Roman"/>
        </w:rPr>
        <w:t>板带材</w:t>
      </w:r>
      <w:r>
        <w:rPr>
          <w:rFonts w:ascii="Times New Roman" w:eastAsiaTheme="minorEastAsia"/>
          <w:szCs w:val="21"/>
        </w:rPr>
        <w:t>应按批验收。每批由同一牌号、同一炉号、同一热处理状态、同一规格、同一表面状态的</w:t>
      </w:r>
      <w:r>
        <w:rPr>
          <w:rFonts w:hint="eastAsia" w:ascii="Times New Roman"/>
        </w:rPr>
        <w:t>带材或板材</w:t>
      </w:r>
      <w:r>
        <w:rPr>
          <w:rFonts w:ascii="Times New Roman" w:eastAsiaTheme="minorEastAsia"/>
          <w:szCs w:val="21"/>
        </w:rPr>
        <w:t>组成。</w:t>
      </w:r>
    </w:p>
    <w:p w14:paraId="56A4EE5D">
      <w:pPr>
        <w:pStyle w:val="46"/>
        <w:spacing w:before="156" w:after="156"/>
        <w:rPr>
          <w:rFonts w:ascii="Times New Roman"/>
        </w:rPr>
      </w:pPr>
      <w:r>
        <w:rPr>
          <w:rFonts w:ascii="Times New Roman"/>
        </w:rPr>
        <w:t>取样数量</w:t>
      </w:r>
    </w:p>
    <w:p w14:paraId="105955CE">
      <w:pPr>
        <w:pStyle w:val="25"/>
        <w:rPr>
          <w:rFonts w:ascii="Times New Roman" w:eastAsiaTheme="minorEastAsia"/>
          <w:szCs w:val="21"/>
        </w:rPr>
      </w:pPr>
      <w:r>
        <w:rPr>
          <w:rFonts w:hint="eastAsia" w:ascii="Times New Roman"/>
        </w:rPr>
        <w:t>板带材</w:t>
      </w:r>
      <w:r>
        <w:rPr>
          <w:rFonts w:ascii="Times New Roman"/>
        </w:rPr>
        <w:t>的取样数量应符合表5的规定。</w:t>
      </w:r>
    </w:p>
    <w:p w14:paraId="4E3D8884">
      <w:pPr>
        <w:pStyle w:val="46"/>
        <w:spacing w:before="156" w:after="156"/>
        <w:rPr>
          <w:rFonts w:ascii="Times New Roman"/>
        </w:rPr>
      </w:pPr>
      <w:r>
        <w:rPr>
          <w:rFonts w:ascii="Times New Roman"/>
        </w:rPr>
        <w:t>复验与判定</w:t>
      </w:r>
    </w:p>
    <w:p w14:paraId="29AB1123">
      <w:pPr>
        <w:pStyle w:val="25"/>
        <w:rPr>
          <w:rFonts w:ascii="Times New Roman" w:eastAsiaTheme="minorEastAsia"/>
          <w:szCs w:val="21"/>
        </w:rPr>
      </w:pPr>
      <w:r>
        <w:rPr>
          <w:rFonts w:hint="eastAsia" w:ascii="Times New Roman"/>
        </w:rPr>
        <w:t>板带材</w:t>
      </w:r>
      <w:r>
        <w:rPr>
          <w:rFonts w:ascii="Times New Roman" w:eastAsiaTheme="minorEastAsia"/>
          <w:szCs w:val="21"/>
        </w:rPr>
        <w:t>的复验与判定规则应符合GB/T 17505的规定。</w:t>
      </w:r>
    </w:p>
    <w:p w14:paraId="22BD35BF">
      <w:pPr>
        <w:pStyle w:val="46"/>
        <w:spacing w:before="156" w:after="156"/>
        <w:rPr>
          <w:rFonts w:ascii="Times New Roman"/>
        </w:rPr>
      </w:pPr>
      <w:r>
        <w:rPr>
          <w:rFonts w:ascii="Times New Roman"/>
        </w:rPr>
        <w:t>数值修约</w:t>
      </w:r>
    </w:p>
    <w:p w14:paraId="4FC3A58B">
      <w:pPr>
        <w:pStyle w:val="25"/>
        <w:rPr>
          <w:rFonts w:ascii="Times New Roman" w:eastAsiaTheme="minorEastAsia"/>
          <w:szCs w:val="21"/>
        </w:rPr>
      </w:pPr>
      <w:r>
        <w:rPr>
          <w:rFonts w:hint="eastAsia" w:ascii="Times New Roman"/>
        </w:rPr>
        <w:t>板带材</w:t>
      </w:r>
      <w:r>
        <w:rPr>
          <w:rFonts w:ascii="Times New Roman" w:eastAsiaTheme="minorEastAsia"/>
          <w:szCs w:val="21"/>
        </w:rPr>
        <w:t>的各项检测结果采用修约值比较法，修约规则应符合GB/T 8170的规定。</w:t>
      </w:r>
    </w:p>
    <w:p w14:paraId="1FB2B870">
      <w:pPr>
        <w:pStyle w:val="50"/>
        <w:spacing w:before="312" w:after="312"/>
        <w:rPr>
          <w:rFonts w:ascii="Times New Roman"/>
        </w:rPr>
      </w:pPr>
      <w:bookmarkStart w:id="22" w:name="_Toc501728448"/>
      <w:bookmarkStart w:id="23" w:name="_Toc513987617"/>
      <w:bookmarkStart w:id="24" w:name="_Toc496792866"/>
      <w:r>
        <w:rPr>
          <w:rFonts w:ascii="Times New Roman"/>
        </w:rPr>
        <w:t>包装、标志及质量证明书</w:t>
      </w:r>
      <w:bookmarkEnd w:id="22"/>
      <w:bookmarkEnd w:id="23"/>
      <w:bookmarkEnd w:id="24"/>
    </w:p>
    <w:p w14:paraId="265A6C97">
      <w:pPr>
        <w:pStyle w:val="25"/>
        <w:rPr>
          <w:rFonts w:ascii="Times New Roman"/>
        </w:rPr>
      </w:pPr>
      <w:r>
        <w:rPr>
          <w:rFonts w:hint="eastAsia" w:ascii="Times New Roman"/>
        </w:rPr>
        <w:t>板带材</w:t>
      </w:r>
      <w:r>
        <w:rPr>
          <w:rFonts w:ascii="Times New Roman"/>
        </w:rPr>
        <w:t>的包装、标志及质量证明书应符合GB/T 247的规定。</w:t>
      </w:r>
    </w:p>
    <w:p w14:paraId="7604B6C4">
      <w:pPr>
        <w:pStyle w:val="25"/>
        <w:ind w:firstLine="0" w:firstLineChars="0"/>
        <w:rPr>
          <w:rFonts w:ascii="Times New Roman"/>
        </w:rPr>
      </w:pPr>
    </w:p>
    <w:p w14:paraId="2DE47C35">
      <w:pPr>
        <w:pStyle w:val="25"/>
        <w:rPr>
          <w:rFonts w:ascii="Times New Roman"/>
        </w:rPr>
        <w:sectPr>
          <w:pgSz w:w="11906" w:h="16838"/>
          <w:pgMar w:top="567" w:right="1134" w:bottom="1134" w:left="1418" w:header="1418" w:footer="1134" w:gutter="0"/>
          <w:pgNumType w:start="1"/>
          <w:cols w:space="425" w:num="1"/>
          <w:formProt w:val="0"/>
          <w:docGrid w:type="lines" w:linePitch="312" w:charSpace="0"/>
        </w:sectPr>
      </w:pPr>
    </w:p>
    <w:p w14:paraId="317DD299">
      <w:pPr>
        <w:keepNext/>
        <w:widowControl/>
        <w:shd w:val="clear" w:color="auto" w:fill="FFFFFF"/>
        <w:tabs>
          <w:tab w:val="left" w:pos="360"/>
          <w:tab w:val="left" w:pos="6405"/>
        </w:tabs>
        <w:spacing w:before="156" w:beforeLines="50" w:after="156" w:afterLines="50"/>
        <w:jc w:val="center"/>
        <w:outlineLvl w:val="0"/>
        <w:rPr>
          <w:rFonts w:eastAsia="黑体"/>
          <w:szCs w:val="21"/>
        </w:rPr>
      </w:pPr>
      <w:r>
        <w:rPr>
          <w:rFonts w:eastAsia="黑体"/>
          <w:kern w:val="0"/>
          <w:szCs w:val="20"/>
        </w:rPr>
        <w:t xml:space="preserve">附录  </w:t>
      </w:r>
      <w:r>
        <w:rPr>
          <w:rFonts w:hint="eastAsia" w:eastAsia="黑体"/>
          <w:kern w:val="0"/>
          <w:szCs w:val="20"/>
        </w:rPr>
        <w:t>A</w:t>
      </w:r>
      <w:r>
        <w:rPr>
          <w:rFonts w:eastAsia="黑体"/>
          <w:kern w:val="0"/>
          <w:szCs w:val="20"/>
        </w:rPr>
        <w:br w:type="textWrapping"/>
      </w:r>
      <w:r>
        <w:rPr>
          <w:rFonts w:eastAsia="黑体"/>
          <w:kern w:val="0"/>
          <w:szCs w:val="20"/>
        </w:rPr>
        <w:t>（资料性）</w:t>
      </w:r>
      <w:r>
        <w:rPr>
          <w:rFonts w:eastAsia="黑体"/>
          <w:kern w:val="0"/>
          <w:szCs w:val="20"/>
        </w:rPr>
        <w:br w:type="textWrapping"/>
      </w:r>
      <w:r>
        <w:rPr>
          <w:rFonts w:hint="eastAsia" w:eastAsia="黑体"/>
          <w:szCs w:val="21"/>
        </w:rPr>
        <w:t>推荐热</w:t>
      </w:r>
      <w:r>
        <w:rPr>
          <w:rFonts w:eastAsia="黑体"/>
          <w:szCs w:val="21"/>
        </w:rPr>
        <w:t>处理制度</w:t>
      </w:r>
    </w:p>
    <w:p w14:paraId="64B54163">
      <w:pPr>
        <w:pStyle w:val="25"/>
        <w:rPr>
          <w:rFonts w:ascii="Times New Roman" w:eastAsia="黑体"/>
        </w:rPr>
      </w:pPr>
      <w:r>
        <w:rPr>
          <w:rFonts w:hint="eastAsia" w:ascii="Times New Roman" w:eastAsia="黑体"/>
        </w:rPr>
        <w:t>A</w:t>
      </w:r>
      <w:r>
        <w:rPr>
          <w:rFonts w:ascii="Times New Roman" w:eastAsia="黑体"/>
        </w:rPr>
        <w:t>.1 推荐的热处理制度见表</w:t>
      </w:r>
      <w:r>
        <w:rPr>
          <w:rFonts w:hint="eastAsia" w:ascii="Times New Roman" w:eastAsia="黑体"/>
        </w:rPr>
        <w:t>A</w:t>
      </w:r>
      <w:r>
        <w:rPr>
          <w:rFonts w:ascii="Times New Roman" w:eastAsia="黑体"/>
        </w:rPr>
        <w:t>.1。</w:t>
      </w:r>
    </w:p>
    <w:p w14:paraId="43BF4D4A">
      <w:pPr>
        <w:tabs>
          <w:tab w:val="left" w:pos="180"/>
        </w:tabs>
        <w:spacing w:before="156" w:beforeLines="50" w:after="156" w:afterLines="50"/>
        <w:jc w:val="center"/>
        <w:rPr>
          <w:rFonts w:hint="eastAsia" w:eastAsia="黑体"/>
          <w:sz w:val="18"/>
          <w:szCs w:val="21"/>
        </w:rPr>
      </w:pPr>
      <w:r>
        <w:rPr>
          <w:rFonts w:eastAsia="黑体"/>
          <w:sz w:val="18"/>
          <w:szCs w:val="21"/>
        </w:rPr>
        <w:t>表</w:t>
      </w:r>
      <w:r>
        <w:rPr>
          <w:rFonts w:hint="eastAsia" w:eastAsia="黑体"/>
        </w:rPr>
        <w:t>A</w:t>
      </w:r>
      <w:r>
        <w:rPr>
          <w:rFonts w:eastAsia="黑体"/>
          <w:sz w:val="18"/>
          <w:szCs w:val="21"/>
        </w:rPr>
        <w:t>.1推荐的热处理制度</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2020"/>
        <w:gridCol w:w="2458"/>
        <w:gridCol w:w="3073"/>
      </w:tblGrid>
      <w:tr w14:paraId="6B2A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5" w:type="pct"/>
            <w:vAlign w:val="center"/>
          </w:tcPr>
          <w:p w14:paraId="43050D26">
            <w:pPr>
              <w:jc w:val="center"/>
              <w:rPr>
                <w:b/>
                <w:bCs/>
                <w:sz w:val="18"/>
                <w:szCs w:val="18"/>
              </w:rPr>
            </w:pPr>
            <w:r>
              <w:rPr>
                <w:rFonts w:hint="eastAsia"/>
                <w:b/>
                <w:bCs/>
                <w:sz w:val="18"/>
                <w:szCs w:val="18"/>
              </w:rPr>
              <w:t>序号</w:t>
            </w:r>
          </w:p>
        </w:tc>
        <w:tc>
          <w:tcPr>
            <w:tcW w:w="1055" w:type="pct"/>
            <w:vAlign w:val="center"/>
          </w:tcPr>
          <w:p w14:paraId="33D65547">
            <w:pPr>
              <w:jc w:val="center"/>
              <w:rPr>
                <w:b/>
                <w:bCs/>
                <w:sz w:val="18"/>
                <w:szCs w:val="18"/>
              </w:rPr>
            </w:pPr>
            <w:r>
              <w:rPr>
                <w:b/>
                <w:bCs/>
                <w:sz w:val="18"/>
                <w:szCs w:val="18"/>
              </w:rPr>
              <w:t>牌号</w:t>
            </w:r>
          </w:p>
        </w:tc>
        <w:tc>
          <w:tcPr>
            <w:tcW w:w="1284" w:type="pct"/>
            <w:vAlign w:val="center"/>
          </w:tcPr>
          <w:p w14:paraId="409262E7">
            <w:pPr>
              <w:jc w:val="center"/>
              <w:rPr>
                <w:b/>
                <w:bCs/>
                <w:sz w:val="18"/>
                <w:szCs w:val="18"/>
              </w:rPr>
            </w:pPr>
            <w:r>
              <w:rPr>
                <w:rFonts w:hint="eastAsia"/>
                <w:b/>
                <w:bCs/>
                <w:sz w:val="18"/>
                <w:szCs w:val="18"/>
              </w:rPr>
              <w:t>热处理温度(</w:t>
            </w:r>
            <w:r>
              <w:rPr>
                <w:sz w:val="18"/>
                <w:szCs w:val="18"/>
              </w:rPr>
              <w:t>℃</w:t>
            </w:r>
            <w:r>
              <w:rPr>
                <w:rFonts w:hint="eastAsia"/>
                <w:b/>
                <w:bCs/>
                <w:sz w:val="18"/>
                <w:szCs w:val="18"/>
              </w:rPr>
              <w:t>)</w:t>
            </w:r>
          </w:p>
        </w:tc>
        <w:tc>
          <w:tcPr>
            <w:tcW w:w="1605" w:type="pct"/>
            <w:vAlign w:val="center"/>
          </w:tcPr>
          <w:p w14:paraId="4AE91727">
            <w:pPr>
              <w:jc w:val="center"/>
              <w:rPr>
                <w:b/>
                <w:bCs/>
                <w:sz w:val="18"/>
                <w:szCs w:val="18"/>
              </w:rPr>
            </w:pPr>
            <w:r>
              <w:rPr>
                <w:rFonts w:hint="eastAsia"/>
                <w:b/>
                <w:bCs/>
                <w:sz w:val="18"/>
                <w:szCs w:val="18"/>
              </w:rPr>
              <w:t>冷却方式</w:t>
            </w:r>
          </w:p>
        </w:tc>
      </w:tr>
      <w:tr w14:paraId="4DEF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5" w:type="pct"/>
            <w:vAlign w:val="center"/>
          </w:tcPr>
          <w:p w14:paraId="467B8052">
            <w:pPr>
              <w:jc w:val="center"/>
              <w:rPr>
                <w:sz w:val="18"/>
                <w:szCs w:val="18"/>
              </w:rPr>
            </w:pPr>
            <w:r>
              <w:rPr>
                <w:rFonts w:hint="eastAsia"/>
                <w:sz w:val="18"/>
                <w:szCs w:val="18"/>
              </w:rPr>
              <w:t>1</w:t>
            </w:r>
          </w:p>
        </w:tc>
        <w:tc>
          <w:tcPr>
            <w:tcW w:w="1055" w:type="pct"/>
            <w:vAlign w:val="center"/>
          </w:tcPr>
          <w:p w14:paraId="0AF6B311">
            <w:pPr>
              <w:jc w:val="center"/>
              <w:rPr>
                <w:sz w:val="18"/>
                <w:szCs w:val="18"/>
              </w:rPr>
            </w:pPr>
            <w:r>
              <w:rPr>
                <w:sz w:val="18"/>
                <w:szCs w:val="18"/>
              </w:rPr>
              <w:t>1Cr13Al2</w:t>
            </w:r>
          </w:p>
        </w:tc>
        <w:tc>
          <w:tcPr>
            <w:tcW w:w="1284" w:type="pct"/>
            <w:vAlign w:val="center"/>
          </w:tcPr>
          <w:p w14:paraId="35404E85">
            <w:pPr>
              <w:jc w:val="center"/>
              <w:rPr>
                <w:sz w:val="18"/>
                <w:szCs w:val="18"/>
              </w:rPr>
            </w:pPr>
            <w:r>
              <w:rPr>
                <w:rFonts w:hint="eastAsia"/>
                <w:sz w:val="18"/>
                <w:szCs w:val="18"/>
              </w:rPr>
              <w:t>750~1050</w:t>
            </w:r>
          </w:p>
        </w:tc>
        <w:tc>
          <w:tcPr>
            <w:tcW w:w="1605" w:type="pct"/>
            <w:vAlign w:val="center"/>
          </w:tcPr>
          <w:p w14:paraId="7F1118C2">
            <w:pPr>
              <w:jc w:val="center"/>
              <w:rPr>
                <w:sz w:val="18"/>
                <w:szCs w:val="18"/>
              </w:rPr>
            </w:pPr>
            <w:r>
              <w:rPr>
                <w:rFonts w:hint="eastAsia"/>
                <w:sz w:val="18"/>
                <w:szCs w:val="18"/>
              </w:rPr>
              <w:t>水冷或其他方式快冷</w:t>
            </w:r>
          </w:p>
        </w:tc>
      </w:tr>
      <w:tr w14:paraId="78F0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55" w:type="pct"/>
            <w:vAlign w:val="center"/>
          </w:tcPr>
          <w:p w14:paraId="0192FA4E">
            <w:pPr>
              <w:jc w:val="center"/>
              <w:rPr>
                <w:sz w:val="18"/>
                <w:szCs w:val="18"/>
              </w:rPr>
            </w:pPr>
            <w:r>
              <w:rPr>
                <w:rFonts w:hint="eastAsia"/>
                <w:sz w:val="18"/>
                <w:szCs w:val="18"/>
              </w:rPr>
              <w:t>2</w:t>
            </w:r>
          </w:p>
        </w:tc>
        <w:tc>
          <w:tcPr>
            <w:tcW w:w="1055" w:type="pct"/>
            <w:vAlign w:val="center"/>
          </w:tcPr>
          <w:p w14:paraId="7E994385">
            <w:pPr>
              <w:jc w:val="center"/>
              <w:rPr>
                <w:sz w:val="18"/>
                <w:szCs w:val="18"/>
              </w:rPr>
            </w:pPr>
            <w:r>
              <w:rPr>
                <w:sz w:val="18"/>
                <w:szCs w:val="18"/>
              </w:rPr>
              <w:t>1Cr13Al2Si</w:t>
            </w:r>
          </w:p>
        </w:tc>
        <w:tc>
          <w:tcPr>
            <w:tcW w:w="1284" w:type="pct"/>
            <w:vAlign w:val="center"/>
          </w:tcPr>
          <w:p w14:paraId="58C04691">
            <w:pPr>
              <w:jc w:val="center"/>
              <w:rPr>
                <w:sz w:val="18"/>
                <w:szCs w:val="18"/>
              </w:rPr>
            </w:pPr>
            <w:r>
              <w:rPr>
                <w:rFonts w:hint="eastAsia"/>
                <w:sz w:val="18"/>
                <w:szCs w:val="18"/>
              </w:rPr>
              <w:t>750~1050</w:t>
            </w:r>
          </w:p>
        </w:tc>
        <w:tc>
          <w:tcPr>
            <w:tcW w:w="1605" w:type="pct"/>
            <w:vAlign w:val="center"/>
          </w:tcPr>
          <w:p w14:paraId="63601ACA">
            <w:pPr>
              <w:jc w:val="center"/>
              <w:rPr>
                <w:sz w:val="18"/>
                <w:szCs w:val="18"/>
              </w:rPr>
            </w:pPr>
            <w:r>
              <w:rPr>
                <w:rFonts w:hint="eastAsia"/>
                <w:sz w:val="18"/>
                <w:szCs w:val="18"/>
              </w:rPr>
              <w:t>水冷或其他方式快冷</w:t>
            </w:r>
          </w:p>
        </w:tc>
      </w:tr>
      <w:tr w14:paraId="2A62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55" w:type="pct"/>
            <w:vAlign w:val="center"/>
          </w:tcPr>
          <w:p w14:paraId="43ABFF17">
            <w:pPr>
              <w:jc w:val="center"/>
              <w:rPr>
                <w:sz w:val="18"/>
                <w:szCs w:val="18"/>
              </w:rPr>
            </w:pPr>
            <w:r>
              <w:rPr>
                <w:rFonts w:hint="eastAsia"/>
                <w:sz w:val="18"/>
                <w:szCs w:val="18"/>
              </w:rPr>
              <w:t>3</w:t>
            </w:r>
          </w:p>
        </w:tc>
        <w:tc>
          <w:tcPr>
            <w:tcW w:w="1055" w:type="pct"/>
            <w:vAlign w:val="center"/>
          </w:tcPr>
          <w:p w14:paraId="3865E9F3">
            <w:pPr>
              <w:jc w:val="center"/>
              <w:rPr>
                <w:sz w:val="18"/>
                <w:szCs w:val="18"/>
              </w:rPr>
            </w:pPr>
            <w:r>
              <w:rPr>
                <w:sz w:val="18"/>
                <w:szCs w:val="18"/>
              </w:rPr>
              <w:t>0Cr13Al3Ti</w:t>
            </w:r>
          </w:p>
        </w:tc>
        <w:tc>
          <w:tcPr>
            <w:tcW w:w="1284" w:type="pct"/>
            <w:vAlign w:val="center"/>
          </w:tcPr>
          <w:p w14:paraId="38CCEBE4">
            <w:pPr>
              <w:jc w:val="center"/>
              <w:rPr>
                <w:sz w:val="18"/>
                <w:szCs w:val="18"/>
              </w:rPr>
            </w:pPr>
            <w:r>
              <w:rPr>
                <w:rFonts w:hint="eastAsia"/>
                <w:sz w:val="18"/>
                <w:szCs w:val="18"/>
              </w:rPr>
              <w:t>750~1050</w:t>
            </w:r>
          </w:p>
        </w:tc>
        <w:tc>
          <w:tcPr>
            <w:tcW w:w="1605" w:type="pct"/>
            <w:vAlign w:val="center"/>
          </w:tcPr>
          <w:p w14:paraId="288250C9">
            <w:pPr>
              <w:jc w:val="center"/>
              <w:rPr>
                <w:sz w:val="18"/>
                <w:szCs w:val="18"/>
              </w:rPr>
            </w:pPr>
            <w:r>
              <w:rPr>
                <w:rFonts w:hint="eastAsia"/>
                <w:sz w:val="18"/>
                <w:szCs w:val="18"/>
              </w:rPr>
              <w:t>水冷或其他方式快冷</w:t>
            </w:r>
          </w:p>
        </w:tc>
      </w:tr>
      <w:tr w14:paraId="74F3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55" w:type="pct"/>
            <w:vAlign w:val="center"/>
          </w:tcPr>
          <w:p w14:paraId="0E0ED0B1">
            <w:pPr>
              <w:jc w:val="center"/>
              <w:rPr>
                <w:sz w:val="18"/>
                <w:szCs w:val="18"/>
              </w:rPr>
            </w:pPr>
            <w:r>
              <w:rPr>
                <w:rFonts w:hint="eastAsia"/>
                <w:sz w:val="18"/>
                <w:szCs w:val="18"/>
              </w:rPr>
              <w:t>4</w:t>
            </w:r>
          </w:p>
        </w:tc>
        <w:tc>
          <w:tcPr>
            <w:tcW w:w="1055" w:type="pct"/>
            <w:vAlign w:val="center"/>
          </w:tcPr>
          <w:p w14:paraId="6968D2D7">
            <w:pPr>
              <w:jc w:val="center"/>
              <w:rPr>
                <w:sz w:val="18"/>
                <w:szCs w:val="18"/>
              </w:rPr>
            </w:pPr>
            <w:r>
              <w:rPr>
                <w:sz w:val="18"/>
                <w:szCs w:val="18"/>
              </w:rPr>
              <w:t>1Cr13Al4</w:t>
            </w:r>
          </w:p>
        </w:tc>
        <w:tc>
          <w:tcPr>
            <w:tcW w:w="1284" w:type="pct"/>
            <w:vAlign w:val="center"/>
          </w:tcPr>
          <w:p w14:paraId="756D7950">
            <w:pPr>
              <w:jc w:val="center"/>
              <w:rPr>
                <w:sz w:val="18"/>
                <w:szCs w:val="18"/>
              </w:rPr>
            </w:pPr>
            <w:r>
              <w:rPr>
                <w:rFonts w:hint="eastAsia"/>
                <w:sz w:val="18"/>
                <w:szCs w:val="18"/>
              </w:rPr>
              <w:t>750~1050</w:t>
            </w:r>
          </w:p>
        </w:tc>
        <w:tc>
          <w:tcPr>
            <w:tcW w:w="1605" w:type="pct"/>
            <w:vAlign w:val="center"/>
          </w:tcPr>
          <w:p w14:paraId="03D3F1E5">
            <w:pPr>
              <w:jc w:val="center"/>
              <w:rPr>
                <w:sz w:val="18"/>
                <w:szCs w:val="18"/>
              </w:rPr>
            </w:pPr>
            <w:r>
              <w:rPr>
                <w:rFonts w:hint="eastAsia"/>
                <w:sz w:val="18"/>
                <w:szCs w:val="18"/>
              </w:rPr>
              <w:t>水冷或其他方式快冷</w:t>
            </w:r>
          </w:p>
        </w:tc>
      </w:tr>
      <w:tr w14:paraId="7DAE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55" w:type="pct"/>
            <w:vAlign w:val="center"/>
          </w:tcPr>
          <w:p w14:paraId="3E7BA68E">
            <w:pPr>
              <w:jc w:val="center"/>
              <w:rPr>
                <w:sz w:val="18"/>
                <w:szCs w:val="18"/>
              </w:rPr>
            </w:pPr>
            <w:r>
              <w:rPr>
                <w:rFonts w:hint="eastAsia"/>
                <w:sz w:val="18"/>
                <w:szCs w:val="18"/>
              </w:rPr>
              <w:t>5</w:t>
            </w:r>
          </w:p>
        </w:tc>
        <w:tc>
          <w:tcPr>
            <w:tcW w:w="1055" w:type="pct"/>
            <w:vAlign w:val="center"/>
          </w:tcPr>
          <w:p w14:paraId="28B159D9">
            <w:pPr>
              <w:jc w:val="center"/>
              <w:rPr>
                <w:sz w:val="18"/>
                <w:szCs w:val="18"/>
              </w:rPr>
            </w:pPr>
            <w:r>
              <w:rPr>
                <w:sz w:val="18"/>
                <w:szCs w:val="18"/>
              </w:rPr>
              <w:t>0Cr15Al5</w:t>
            </w:r>
          </w:p>
        </w:tc>
        <w:tc>
          <w:tcPr>
            <w:tcW w:w="1284" w:type="pct"/>
            <w:vAlign w:val="center"/>
          </w:tcPr>
          <w:p w14:paraId="36D09F84">
            <w:pPr>
              <w:jc w:val="center"/>
              <w:rPr>
                <w:sz w:val="18"/>
                <w:szCs w:val="18"/>
              </w:rPr>
            </w:pPr>
            <w:r>
              <w:rPr>
                <w:rFonts w:hint="eastAsia"/>
                <w:sz w:val="18"/>
                <w:szCs w:val="18"/>
              </w:rPr>
              <w:t>750~1050</w:t>
            </w:r>
          </w:p>
        </w:tc>
        <w:tc>
          <w:tcPr>
            <w:tcW w:w="1605" w:type="pct"/>
            <w:vAlign w:val="center"/>
          </w:tcPr>
          <w:p w14:paraId="7C8461F1">
            <w:pPr>
              <w:jc w:val="center"/>
              <w:rPr>
                <w:sz w:val="18"/>
                <w:szCs w:val="18"/>
              </w:rPr>
            </w:pPr>
            <w:r>
              <w:rPr>
                <w:rFonts w:hint="eastAsia"/>
                <w:sz w:val="18"/>
                <w:szCs w:val="18"/>
              </w:rPr>
              <w:t>水冷或其他方式快冷</w:t>
            </w:r>
          </w:p>
        </w:tc>
      </w:tr>
      <w:tr w14:paraId="4654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55" w:type="pct"/>
            <w:vAlign w:val="center"/>
          </w:tcPr>
          <w:p w14:paraId="2432D76B">
            <w:pPr>
              <w:jc w:val="center"/>
              <w:rPr>
                <w:sz w:val="18"/>
                <w:szCs w:val="18"/>
              </w:rPr>
            </w:pPr>
            <w:r>
              <w:rPr>
                <w:rFonts w:hint="eastAsia"/>
                <w:sz w:val="18"/>
                <w:szCs w:val="18"/>
              </w:rPr>
              <w:t>6</w:t>
            </w:r>
          </w:p>
        </w:tc>
        <w:tc>
          <w:tcPr>
            <w:tcW w:w="1055" w:type="pct"/>
            <w:vAlign w:val="center"/>
          </w:tcPr>
          <w:p w14:paraId="4D7EE3EF">
            <w:pPr>
              <w:jc w:val="center"/>
              <w:rPr>
                <w:sz w:val="18"/>
                <w:szCs w:val="18"/>
              </w:rPr>
            </w:pPr>
            <w:r>
              <w:rPr>
                <w:sz w:val="18"/>
                <w:szCs w:val="18"/>
              </w:rPr>
              <w:t>0Cr18Al3</w:t>
            </w:r>
          </w:p>
        </w:tc>
        <w:tc>
          <w:tcPr>
            <w:tcW w:w="1284" w:type="pct"/>
            <w:vAlign w:val="center"/>
          </w:tcPr>
          <w:p w14:paraId="17FB2D48">
            <w:pPr>
              <w:jc w:val="center"/>
              <w:rPr>
                <w:sz w:val="18"/>
                <w:szCs w:val="18"/>
              </w:rPr>
            </w:pPr>
            <w:r>
              <w:rPr>
                <w:rFonts w:hint="eastAsia"/>
                <w:sz w:val="18"/>
                <w:szCs w:val="18"/>
              </w:rPr>
              <w:t>750~1050</w:t>
            </w:r>
          </w:p>
        </w:tc>
        <w:tc>
          <w:tcPr>
            <w:tcW w:w="1605" w:type="pct"/>
            <w:vAlign w:val="center"/>
          </w:tcPr>
          <w:p w14:paraId="1A04D463">
            <w:pPr>
              <w:jc w:val="center"/>
              <w:rPr>
                <w:sz w:val="18"/>
                <w:szCs w:val="18"/>
              </w:rPr>
            </w:pPr>
            <w:r>
              <w:rPr>
                <w:rFonts w:hint="eastAsia"/>
                <w:sz w:val="18"/>
                <w:szCs w:val="18"/>
              </w:rPr>
              <w:t>水冷或其他方式快冷</w:t>
            </w:r>
          </w:p>
        </w:tc>
      </w:tr>
      <w:tr w14:paraId="526B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55" w:type="pct"/>
            <w:vAlign w:val="center"/>
          </w:tcPr>
          <w:p w14:paraId="36B4435A">
            <w:pPr>
              <w:jc w:val="center"/>
              <w:rPr>
                <w:sz w:val="18"/>
                <w:szCs w:val="18"/>
              </w:rPr>
            </w:pPr>
            <w:r>
              <w:rPr>
                <w:rFonts w:hint="eastAsia"/>
                <w:sz w:val="18"/>
                <w:szCs w:val="18"/>
              </w:rPr>
              <w:t>7</w:t>
            </w:r>
          </w:p>
        </w:tc>
        <w:tc>
          <w:tcPr>
            <w:tcW w:w="1055" w:type="pct"/>
            <w:vAlign w:val="center"/>
          </w:tcPr>
          <w:p w14:paraId="3C8896AF">
            <w:pPr>
              <w:jc w:val="center"/>
              <w:rPr>
                <w:sz w:val="18"/>
                <w:szCs w:val="18"/>
              </w:rPr>
            </w:pPr>
            <w:r>
              <w:rPr>
                <w:sz w:val="18"/>
                <w:szCs w:val="18"/>
              </w:rPr>
              <w:t>0Cr18Al4RE</w:t>
            </w:r>
          </w:p>
        </w:tc>
        <w:tc>
          <w:tcPr>
            <w:tcW w:w="1284" w:type="pct"/>
            <w:vAlign w:val="center"/>
          </w:tcPr>
          <w:p w14:paraId="5F0979E2">
            <w:pPr>
              <w:jc w:val="center"/>
              <w:rPr>
                <w:sz w:val="18"/>
                <w:szCs w:val="18"/>
              </w:rPr>
            </w:pPr>
            <w:r>
              <w:rPr>
                <w:rFonts w:hint="eastAsia"/>
                <w:sz w:val="18"/>
                <w:szCs w:val="18"/>
              </w:rPr>
              <w:t>750~1050</w:t>
            </w:r>
          </w:p>
        </w:tc>
        <w:tc>
          <w:tcPr>
            <w:tcW w:w="1605" w:type="pct"/>
            <w:vAlign w:val="center"/>
          </w:tcPr>
          <w:p w14:paraId="0995C9CB">
            <w:pPr>
              <w:jc w:val="center"/>
              <w:rPr>
                <w:sz w:val="18"/>
                <w:szCs w:val="18"/>
              </w:rPr>
            </w:pPr>
            <w:r>
              <w:rPr>
                <w:rFonts w:hint="eastAsia"/>
                <w:sz w:val="18"/>
                <w:szCs w:val="18"/>
              </w:rPr>
              <w:t>水冷或其他方式快冷</w:t>
            </w:r>
          </w:p>
        </w:tc>
      </w:tr>
      <w:tr w14:paraId="25A5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55" w:type="pct"/>
            <w:vAlign w:val="center"/>
          </w:tcPr>
          <w:p w14:paraId="71BB8300">
            <w:pPr>
              <w:jc w:val="center"/>
              <w:rPr>
                <w:sz w:val="18"/>
                <w:szCs w:val="18"/>
              </w:rPr>
            </w:pPr>
            <w:r>
              <w:rPr>
                <w:rFonts w:hint="eastAsia"/>
                <w:sz w:val="18"/>
                <w:szCs w:val="18"/>
              </w:rPr>
              <w:t>8</w:t>
            </w:r>
          </w:p>
        </w:tc>
        <w:tc>
          <w:tcPr>
            <w:tcW w:w="1055" w:type="pct"/>
            <w:vAlign w:val="center"/>
          </w:tcPr>
          <w:p w14:paraId="419D825F">
            <w:pPr>
              <w:jc w:val="center"/>
              <w:rPr>
                <w:sz w:val="18"/>
                <w:szCs w:val="18"/>
              </w:rPr>
            </w:pPr>
            <w:r>
              <w:rPr>
                <w:sz w:val="18"/>
                <w:szCs w:val="18"/>
              </w:rPr>
              <w:t>0Cr20Al3</w:t>
            </w:r>
          </w:p>
        </w:tc>
        <w:tc>
          <w:tcPr>
            <w:tcW w:w="1284" w:type="pct"/>
            <w:vAlign w:val="center"/>
          </w:tcPr>
          <w:p w14:paraId="529F5B97">
            <w:pPr>
              <w:jc w:val="center"/>
              <w:rPr>
                <w:sz w:val="18"/>
                <w:szCs w:val="18"/>
              </w:rPr>
            </w:pPr>
            <w:r>
              <w:rPr>
                <w:rFonts w:hint="eastAsia"/>
                <w:sz w:val="18"/>
                <w:szCs w:val="18"/>
              </w:rPr>
              <w:t>750~1050</w:t>
            </w:r>
          </w:p>
        </w:tc>
        <w:tc>
          <w:tcPr>
            <w:tcW w:w="1605" w:type="pct"/>
            <w:vAlign w:val="center"/>
          </w:tcPr>
          <w:p w14:paraId="46898AF8">
            <w:pPr>
              <w:jc w:val="center"/>
              <w:rPr>
                <w:sz w:val="18"/>
                <w:szCs w:val="18"/>
              </w:rPr>
            </w:pPr>
            <w:r>
              <w:rPr>
                <w:rFonts w:hint="eastAsia"/>
                <w:sz w:val="18"/>
                <w:szCs w:val="18"/>
              </w:rPr>
              <w:t>水冷或其他方式快冷</w:t>
            </w:r>
          </w:p>
        </w:tc>
      </w:tr>
      <w:tr w14:paraId="5CFC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55" w:type="pct"/>
            <w:vAlign w:val="center"/>
          </w:tcPr>
          <w:p w14:paraId="4AF51BC6">
            <w:pPr>
              <w:jc w:val="center"/>
              <w:rPr>
                <w:sz w:val="18"/>
                <w:szCs w:val="18"/>
              </w:rPr>
            </w:pPr>
            <w:r>
              <w:rPr>
                <w:rFonts w:hint="eastAsia"/>
                <w:sz w:val="18"/>
                <w:szCs w:val="18"/>
              </w:rPr>
              <w:t>9</w:t>
            </w:r>
          </w:p>
        </w:tc>
        <w:tc>
          <w:tcPr>
            <w:tcW w:w="1055" w:type="pct"/>
            <w:vAlign w:val="center"/>
          </w:tcPr>
          <w:p w14:paraId="38374F86">
            <w:pPr>
              <w:jc w:val="center"/>
              <w:rPr>
                <w:sz w:val="18"/>
                <w:szCs w:val="18"/>
              </w:rPr>
            </w:pPr>
            <w:r>
              <w:rPr>
                <w:sz w:val="18"/>
                <w:szCs w:val="18"/>
              </w:rPr>
              <w:t>0Cr23Al5</w:t>
            </w:r>
          </w:p>
        </w:tc>
        <w:tc>
          <w:tcPr>
            <w:tcW w:w="1284" w:type="pct"/>
            <w:vAlign w:val="center"/>
          </w:tcPr>
          <w:p w14:paraId="3CF2A44B">
            <w:pPr>
              <w:jc w:val="center"/>
              <w:rPr>
                <w:sz w:val="18"/>
                <w:szCs w:val="18"/>
              </w:rPr>
            </w:pPr>
            <w:r>
              <w:rPr>
                <w:rFonts w:hint="eastAsia"/>
                <w:sz w:val="18"/>
                <w:szCs w:val="18"/>
              </w:rPr>
              <w:t>750~1050</w:t>
            </w:r>
          </w:p>
        </w:tc>
        <w:tc>
          <w:tcPr>
            <w:tcW w:w="1605" w:type="pct"/>
            <w:vAlign w:val="center"/>
          </w:tcPr>
          <w:p w14:paraId="43959834">
            <w:pPr>
              <w:jc w:val="center"/>
              <w:rPr>
                <w:sz w:val="18"/>
                <w:szCs w:val="18"/>
              </w:rPr>
            </w:pPr>
            <w:r>
              <w:rPr>
                <w:rFonts w:hint="eastAsia"/>
                <w:sz w:val="18"/>
                <w:szCs w:val="18"/>
              </w:rPr>
              <w:t>水冷或其他方式快冷</w:t>
            </w:r>
          </w:p>
        </w:tc>
      </w:tr>
      <w:tr w14:paraId="2273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55" w:type="pct"/>
            <w:vAlign w:val="center"/>
          </w:tcPr>
          <w:p w14:paraId="6BC0E2B3">
            <w:pPr>
              <w:jc w:val="center"/>
              <w:rPr>
                <w:sz w:val="18"/>
                <w:szCs w:val="18"/>
              </w:rPr>
            </w:pPr>
            <w:r>
              <w:rPr>
                <w:rFonts w:hint="eastAsia"/>
                <w:sz w:val="18"/>
                <w:szCs w:val="18"/>
              </w:rPr>
              <w:t>10</w:t>
            </w:r>
          </w:p>
        </w:tc>
        <w:tc>
          <w:tcPr>
            <w:tcW w:w="1055" w:type="pct"/>
            <w:vAlign w:val="center"/>
          </w:tcPr>
          <w:p w14:paraId="61C5CFEE">
            <w:pPr>
              <w:jc w:val="center"/>
              <w:rPr>
                <w:sz w:val="18"/>
                <w:szCs w:val="18"/>
              </w:rPr>
            </w:pPr>
            <w:r>
              <w:rPr>
                <w:sz w:val="18"/>
                <w:szCs w:val="18"/>
              </w:rPr>
              <w:t>0Cr21Al6</w:t>
            </w:r>
          </w:p>
        </w:tc>
        <w:tc>
          <w:tcPr>
            <w:tcW w:w="1284" w:type="pct"/>
            <w:vAlign w:val="center"/>
          </w:tcPr>
          <w:p w14:paraId="7CC6D4AB">
            <w:pPr>
              <w:jc w:val="center"/>
              <w:rPr>
                <w:sz w:val="18"/>
                <w:szCs w:val="18"/>
              </w:rPr>
            </w:pPr>
            <w:r>
              <w:rPr>
                <w:rFonts w:hint="eastAsia"/>
                <w:sz w:val="18"/>
                <w:szCs w:val="18"/>
              </w:rPr>
              <w:t>750~1050</w:t>
            </w:r>
          </w:p>
        </w:tc>
        <w:tc>
          <w:tcPr>
            <w:tcW w:w="1605" w:type="pct"/>
            <w:vAlign w:val="center"/>
          </w:tcPr>
          <w:p w14:paraId="72D9A3F2">
            <w:pPr>
              <w:jc w:val="center"/>
              <w:rPr>
                <w:sz w:val="18"/>
                <w:szCs w:val="18"/>
              </w:rPr>
            </w:pPr>
            <w:r>
              <w:rPr>
                <w:rFonts w:hint="eastAsia"/>
                <w:sz w:val="18"/>
                <w:szCs w:val="18"/>
              </w:rPr>
              <w:t>水冷或其他方式快冷</w:t>
            </w:r>
          </w:p>
        </w:tc>
      </w:tr>
      <w:tr w14:paraId="6BBC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55" w:type="pct"/>
            <w:vAlign w:val="center"/>
          </w:tcPr>
          <w:p w14:paraId="429A8768">
            <w:pPr>
              <w:jc w:val="center"/>
              <w:rPr>
                <w:sz w:val="18"/>
                <w:szCs w:val="18"/>
              </w:rPr>
            </w:pPr>
            <w:r>
              <w:rPr>
                <w:rFonts w:hint="eastAsia"/>
                <w:sz w:val="18"/>
                <w:szCs w:val="18"/>
              </w:rPr>
              <w:t>11</w:t>
            </w:r>
          </w:p>
        </w:tc>
        <w:tc>
          <w:tcPr>
            <w:tcW w:w="1055" w:type="pct"/>
            <w:vAlign w:val="center"/>
          </w:tcPr>
          <w:p w14:paraId="3D496BDC">
            <w:pPr>
              <w:jc w:val="center"/>
              <w:rPr>
                <w:sz w:val="18"/>
                <w:szCs w:val="18"/>
              </w:rPr>
            </w:pPr>
            <w:r>
              <w:rPr>
                <w:sz w:val="18"/>
                <w:szCs w:val="18"/>
              </w:rPr>
              <w:t>0Cr20Al6RE</w:t>
            </w:r>
          </w:p>
        </w:tc>
        <w:tc>
          <w:tcPr>
            <w:tcW w:w="1284" w:type="pct"/>
            <w:vAlign w:val="center"/>
          </w:tcPr>
          <w:p w14:paraId="44BBB0E9">
            <w:pPr>
              <w:jc w:val="center"/>
              <w:rPr>
                <w:sz w:val="18"/>
                <w:szCs w:val="18"/>
              </w:rPr>
            </w:pPr>
            <w:r>
              <w:rPr>
                <w:rFonts w:hint="eastAsia"/>
                <w:sz w:val="18"/>
                <w:szCs w:val="18"/>
              </w:rPr>
              <w:t>750~1050</w:t>
            </w:r>
          </w:p>
        </w:tc>
        <w:tc>
          <w:tcPr>
            <w:tcW w:w="1605" w:type="pct"/>
            <w:vAlign w:val="center"/>
          </w:tcPr>
          <w:p w14:paraId="6F7EBA40">
            <w:pPr>
              <w:jc w:val="center"/>
              <w:rPr>
                <w:sz w:val="18"/>
                <w:szCs w:val="18"/>
              </w:rPr>
            </w:pPr>
            <w:r>
              <w:rPr>
                <w:rFonts w:hint="eastAsia"/>
                <w:sz w:val="18"/>
                <w:szCs w:val="18"/>
              </w:rPr>
              <w:t>水冷或其他方式快冷</w:t>
            </w:r>
          </w:p>
        </w:tc>
      </w:tr>
      <w:tr w14:paraId="256E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55" w:type="pct"/>
            <w:vAlign w:val="center"/>
          </w:tcPr>
          <w:p w14:paraId="2B41A7E4">
            <w:pPr>
              <w:jc w:val="center"/>
              <w:rPr>
                <w:sz w:val="18"/>
                <w:szCs w:val="18"/>
              </w:rPr>
            </w:pPr>
            <w:r>
              <w:rPr>
                <w:rFonts w:hint="eastAsia"/>
                <w:sz w:val="18"/>
                <w:szCs w:val="18"/>
              </w:rPr>
              <w:t>12</w:t>
            </w:r>
          </w:p>
        </w:tc>
        <w:tc>
          <w:tcPr>
            <w:tcW w:w="1055" w:type="pct"/>
            <w:vAlign w:val="center"/>
          </w:tcPr>
          <w:p w14:paraId="10D2A195">
            <w:pPr>
              <w:jc w:val="center"/>
              <w:rPr>
                <w:sz w:val="18"/>
                <w:szCs w:val="18"/>
              </w:rPr>
            </w:pPr>
            <w:r>
              <w:rPr>
                <w:sz w:val="18"/>
                <w:szCs w:val="18"/>
              </w:rPr>
              <w:t>0Cr25Al5</w:t>
            </w:r>
          </w:p>
        </w:tc>
        <w:tc>
          <w:tcPr>
            <w:tcW w:w="1284" w:type="pct"/>
            <w:vAlign w:val="center"/>
          </w:tcPr>
          <w:p w14:paraId="7B8D9D1A">
            <w:pPr>
              <w:jc w:val="center"/>
              <w:rPr>
                <w:sz w:val="18"/>
                <w:szCs w:val="18"/>
              </w:rPr>
            </w:pPr>
            <w:r>
              <w:rPr>
                <w:rFonts w:hint="eastAsia"/>
                <w:sz w:val="18"/>
                <w:szCs w:val="18"/>
              </w:rPr>
              <w:t>750~1050</w:t>
            </w:r>
          </w:p>
        </w:tc>
        <w:tc>
          <w:tcPr>
            <w:tcW w:w="1605" w:type="pct"/>
            <w:vAlign w:val="center"/>
          </w:tcPr>
          <w:p w14:paraId="02D0F5B2">
            <w:pPr>
              <w:jc w:val="center"/>
              <w:rPr>
                <w:sz w:val="18"/>
                <w:szCs w:val="18"/>
              </w:rPr>
            </w:pPr>
            <w:r>
              <w:rPr>
                <w:rFonts w:hint="eastAsia"/>
                <w:sz w:val="18"/>
                <w:szCs w:val="18"/>
              </w:rPr>
              <w:t>水冷或其他方式快冷</w:t>
            </w:r>
          </w:p>
        </w:tc>
      </w:tr>
      <w:tr w14:paraId="66E8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55" w:type="pct"/>
            <w:vAlign w:val="center"/>
          </w:tcPr>
          <w:p w14:paraId="15C83CCF">
            <w:pPr>
              <w:jc w:val="center"/>
              <w:rPr>
                <w:sz w:val="18"/>
                <w:szCs w:val="18"/>
              </w:rPr>
            </w:pPr>
            <w:r>
              <w:rPr>
                <w:rFonts w:hint="eastAsia"/>
                <w:sz w:val="18"/>
                <w:szCs w:val="18"/>
              </w:rPr>
              <w:t>13</w:t>
            </w:r>
          </w:p>
        </w:tc>
        <w:tc>
          <w:tcPr>
            <w:tcW w:w="1055" w:type="pct"/>
            <w:vAlign w:val="center"/>
          </w:tcPr>
          <w:p w14:paraId="3DD188CC">
            <w:pPr>
              <w:jc w:val="center"/>
              <w:rPr>
                <w:sz w:val="18"/>
                <w:szCs w:val="18"/>
              </w:rPr>
            </w:pPr>
            <w:r>
              <w:rPr>
                <w:sz w:val="18"/>
                <w:szCs w:val="18"/>
              </w:rPr>
              <w:t>0Cr21Al6Nb</w:t>
            </w:r>
          </w:p>
        </w:tc>
        <w:tc>
          <w:tcPr>
            <w:tcW w:w="1284" w:type="pct"/>
            <w:vAlign w:val="center"/>
          </w:tcPr>
          <w:p w14:paraId="2A79CB69">
            <w:pPr>
              <w:jc w:val="center"/>
              <w:rPr>
                <w:sz w:val="18"/>
                <w:szCs w:val="18"/>
              </w:rPr>
            </w:pPr>
            <w:r>
              <w:rPr>
                <w:rFonts w:hint="eastAsia"/>
                <w:sz w:val="18"/>
                <w:szCs w:val="18"/>
              </w:rPr>
              <w:t>750~1050</w:t>
            </w:r>
          </w:p>
        </w:tc>
        <w:tc>
          <w:tcPr>
            <w:tcW w:w="1605" w:type="pct"/>
            <w:vAlign w:val="center"/>
          </w:tcPr>
          <w:p w14:paraId="1D7D31B2">
            <w:pPr>
              <w:jc w:val="center"/>
              <w:rPr>
                <w:sz w:val="18"/>
                <w:szCs w:val="18"/>
              </w:rPr>
            </w:pPr>
            <w:r>
              <w:rPr>
                <w:rFonts w:hint="eastAsia"/>
                <w:sz w:val="18"/>
                <w:szCs w:val="18"/>
              </w:rPr>
              <w:t>水冷或其他方式快冷</w:t>
            </w:r>
          </w:p>
        </w:tc>
      </w:tr>
      <w:tr w14:paraId="5421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55" w:type="pct"/>
            <w:vAlign w:val="center"/>
          </w:tcPr>
          <w:p w14:paraId="7571803A">
            <w:pPr>
              <w:jc w:val="center"/>
              <w:rPr>
                <w:sz w:val="18"/>
                <w:szCs w:val="18"/>
              </w:rPr>
            </w:pPr>
            <w:r>
              <w:rPr>
                <w:rFonts w:hint="eastAsia"/>
                <w:sz w:val="18"/>
                <w:szCs w:val="18"/>
              </w:rPr>
              <w:t>14</w:t>
            </w:r>
          </w:p>
        </w:tc>
        <w:tc>
          <w:tcPr>
            <w:tcW w:w="1055" w:type="pct"/>
            <w:vAlign w:val="center"/>
          </w:tcPr>
          <w:p w14:paraId="1E513505">
            <w:pPr>
              <w:jc w:val="center"/>
              <w:rPr>
                <w:sz w:val="18"/>
                <w:szCs w:val="18"/>
              </w:rPr>
            </w:pPr>
            <w:r>
              <w:rPr>
                <w:sz w:val="18"/>
                <w:szCs w:val="18"/>
              </w:rPr>
              <w:t>0Cr24Al6RE</w:t>
            </w:r>
          </w:p>
        </w:tc>
        <w:tc>
          <w:tcPr>
            <w:tcW w:w="1284" w:type="pct"/>
            <w:vAlign w:val="center"/>
          </w:tcPr>
          <w:p w14:paraId="2C6BD5B6">
            <w:pPr>
              <w:jc w:val="center"/>
              <w:rPr>
                <w:sz w:val="18"/>
                <w:szCs w:val="18"/>
              </w:rPr>
            </w:pPr>
            <w:r>
              <w:rPr>
                <w:rFonts w:hint="eastAsia"/>
                <w:sz w:val="18"/>
                <w:szCs w:val="18"/>
              </w:rPr>
              <w:t>750~1050</w:t>
            </w:r>
          </w:p>
        </w:tc>
        <w:tc>
          <w:tcPr>
            <w:tcW w:w="1605" w:type="pct"/>
            <w:vAlign w:val="center"/>
          </w:tcPr>
          <w:p w14:paraId="3FF2793D">
            <w:pPr>
              <w:jc w:val="center"/>
              <w:rPr>
                <w:sz w:val="18"/>
                <w:szCs w:val="18"/>
              </w:rPr>
            </w:pPr>
            <w:r>
              <w:rPr>
                <w:rFonts w:hint="eastAsia"/>
                <w:sz w:val="18"/>
                <w:szCs w:val="18"/>
              </w:rPr>
              <w:t>水冷或其他方式快冷</w:t>
            </w:r>
          </w:p>
        </w:tc>
      </w:tr>
      <w:tr w14:paraId="2938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55" w:type="pct"/>
            <w:vAlign w:val="center"/>
          </w:tcPr>
          <w:p w14:paraId="35E71380">
            <w:pPr>
              <w:jc w:val="center"/>
              <w:rPr>
                <w:sz w:val="18"/>
                <w:szCs w:val="18"/>
              </w:rPr>
            </w:pPr>
            <w:r>
              <w:rPr>
                <w:rFonts w:hint="eastAsia"/>
                <w:sz w:val="18"/>
                <w:szCs w:val="18"/>
              </w:rPr>
              <w:t>15</w:t>
            </w:r>
          </w:p>
        </w:tc>
        <w:tc>
          <w:tcPr>
            <w:tcW w:w="1055" w:type="pct"/>
            <w:vAlign w:val="center"/>
          </w:tcPr>
          <w:p w14:paraId="7CE3E37F">
            <w:pPr>
              <w:jc w:val="center"/>
              <w:rPr>
                <w:sz w:val="18"/>
                <w:szCs w:val="18"/>
              </w:rPr>
            </w:pPr>
            <w:r>
              <w:rPr>
                <w:sz w:val="18"/>
                <w:szCs w:val="18"/>
              </w:rPr>
              <w:t>0Cr27Al7Mo2</w:t>
            </w:r>
          </w:p>
        </w:tc>
        <w:tc>
          <w:tcPr>
            <w:tcW w:w="1284" w:type="pct"/>
            <w:vAlign w:val="center"/>
          </w:tcPr>
          <w:p w14:paraId="4D9B82B6">
            <w:pPr>
              <w:jc w:val="center"/>
              <w:rPr>
                <w:sz w:val="18"/>
                <w:szCs w:val="18"/>
              </w:rPr>
            </w:pPr>
            <w:r>
              <w:rPr>
                <w:rFonts w:hint="eastAsia"/>
                <w:sz w:val="18"/>
                <w:szCs w:val="18"/>
              </w:rPr>
              <w:t>750~1050</w:t>
            </w:r>
          </w:p>
        </w:tc>
        <w:tc>
          <w:tcPr>
            <w:tcW w:w="1605" w:type="pct"/>
            <w:vAlign w:val="center"/>
          </w:tcPr>
          <w:p w14:paraId="61F25875">
            <w:pPr>
              <w:jc w:val="center"/>
              <w:rPr>
                <w:sz w:val="18"/>
                <w:szCs w:val="18"/>
              </w:rPr>
            </w:pPr>
            <w:r>
              <w:rPr>
                <w:rFonts w:hint="eastAsia"/>
                <w:sz w:val="18"/>
                <w:szCs w:val="18"/>
              </w:rPr>
              <w:t>缓冷</w:t>
            </w:r>
          </w:p>
        </w:tc>
      </w:tr>
    </w:tbl>
    <w:p w14:paraId="75292154">
      <w:pPr>
        <w:pStyle w:val="25"/>
        <w:ind w:firstLine="0" w:firstLineChars="0"/>
        <w:rPr>
          <w:rFonts w:ascii="Times New Roman"/>
          <w:b/>
          <w:bCs/>
        </w:rPr>
      </w:pP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FAA5D">
    <w:pPr>
      <w:pStyle w:val="48"/>
    </w:pPr>
    <w:r>
      <w:fldChar w:fldCharType="begin"/>
    </w:r>
    <w:r>
      <w:instrText xml:space="preserve"> PAGE  \* MERGEFORMAT </w:instrText>
    </w:r>
    <w:r>
      <w:fldChar w:fldCharType="separate"/>
    </w:r>
    <w: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66207">
    <w:pPr>
      <w:pStyle w:val="20"/>
    </w:pPr>
  </w:p>
  <w:p w14:paraId="3E8B731F">
    <w:pPr>
      <w:pStyle w:val="20"/>
    </w:pPr>
  </w:p>
  <w:p w14:paraId="06CC4F2C">
    <w:pPr>
      <w:pStyle w:val="20"/>
      <w:ind w:firstLine="7560" w:firstLineChars="3600"/>
      <w:rPr>
        <w:rFonts w:ascii="黑体" w:eastAsia="黑体"/>
        <w:kern w:val="0"/>
        <w:sz w:val="21"/>
        <w:szCs w:val="21"/>
      </w:rPr>
    </w:pPr>
  </w:p>
  <w:p w14:paraId="6705F577">
    <w:pPr>
      <w:pStyle w:val="20"/>
      <w:ind w:firstLine="7560" w:firstLineChars="3600"/>
    </w:pPr>
    <w:r>
      <w:rPr>
        <w:rFonts w:ascii="黑体" w:eastAsia="黑体"/>
        <w:kern w:val="0"/>
        <w:sz w:val="21"/>
        <w:szCs w:val="21"/>
      </w:rPr>
      <w:t>T/SSEA XXXX-XXXX</w:t>
    </w:r>
  </w:p>
  <w:p w14:paraId="6AA6D60E">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A21A5">
    <w:pPr>
      <w:pStyle w:val="20"/>
      <w:ind w:firstLine="6480" w:firstLineChars="3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72"/>
      <w:suff w:val="nothing"/>
      <w:lvlText w:val="注%1："/>
      <w:lvlJc w:val="left"/>
      <w:pPr>
        <w:ind w:left="811" w:hanging="448"/>
      </w:pPr>
      <w:rPr>
        <w:rFonts w:ascii="宋体" w:eastAsia="宋体"/>
        <w:sz w:val="18"/>
        <w:szCs w:val="18"/>
        <w:lang w:val="en-US" w:eastAsia="zh-CN" w:bidi="ar-SA"/>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5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851"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05"/>
      <w:suff w:val="space"/>
      <w:lvlText w:val="%1"/>
      <w:lvlJc w:val="left"/>
      <w:pPr>
        <w:ind w:left="623" w:hanging="425"/>
      </w:pPr>
      <w:rPr>
        <w:rFonts w:hint="eastAsia"/>
      </w:rPr>
    </w:lvl>
    <w:lvl w:ilvl="1" w:tentative="0">
      <w:start w:val="1"/>
      <w:numFmt w:val="decimal"/>
      <w:pStyle w:val="10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55"/>
      <w:suff w:val="nothing"/>
      <w:lvlText w:val="%1——"/>
      <w:lvlJc w:val="left"/>
      <w:pPr>
        <w:ind w:left="833" w:hanging="408"/>
      </w:pPr>
      <w:rPr>
        <w:rFonts w:hint="eastAsia"/>
      </w:rPr>
    </w:lvl>
    <w:lvl w:ilvl="1" w:tentative="0">
      <w:start w:val="1"/>
      <w:numFmt w:val="bullet"/>
      <w:pStyle w:val="56"/>
      <w:lvlText w:val=""/>
      <w:lvlJc w:val="left"/>
      <w:pPr>
        <w:tabs>
          <w:tab w:val="left" w:pos="760"/>
        </w:tabs>
        <w:ind w:left="1264" w:hanging="413"/>
      </w:pPr>
      <w:rPr>
        <w:rFonts w:hint="default" w:ascii="Symbol" w:hAnsi="Symbol"/>
        <w:color w:val="auto"/>
      </w:rPr>
    </w:lvl>
    <w:lvl w:ilvl="2" w:tentative="0">
      <w:start w:val="1"/>
      <w:numFmt w:val="bullet"/>
      <w:pStyle w:val="6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8BE18DA"/>
    <w:multiLevelType w:val="multilevel"/>
    <w:tmpl w:val="38BE18DA"/>
    <w:lvl w:ilvl="0" w:tentative="0">
      <w:start w:val="1"/>
      <w:numFmt w:val="lowerLetter"/>
      <w:lvlText w:val="%1)"/>
      <w:lvlJc w:val="left"/>
      <w:pPr>
        <w:tabs>
          <w:tab w:val="left" w:pos="840"/>
        </w:tabs>
        <w:ind w:left="839" w:hanging="419"/>
      </w:pPr>
      <w:rPr>
        <w:rFonts w:hint="default" w:ascii="Times New Roman" w:hAnsi="Times New Roman" w:eastAsia="宋体" w:cs="Times New Roman"/>
        <w:b w:val="0"/>
        <w:i w:val="0"/>
        <w:sz w:val="21"/>
        <w:szCs w:val="21"/>
      </w:rPr>
    </w:lvl>
    <w:lvl w:ilvl="1" w:tentative="0">
      <w:start w:val="1"/>
      <w:numFmt w:val="decimal"/>
      <w:pStyle w:val="61"/>
      <w:lvlText w:val="%2)"/>
      <w:lvlJc w:val="left"/>
      <w:pPr>
        <w:tabs>
          <w:tab w:val="left" w:pos="1260"/>
        </w:tabs>
        <w:ind w:left="1259" w:hanging="419"/>
      </w:pPr>
      <w:rPr>
        <w:rFonts w:hint="eastAsia"/>
      </w:rPr>
    </w:lvl>
    <w:lvl w:ilvl="2" w:tentative="0">
      <w:start w:val="1"/>
      <w:numFmt w:val="decimal"/>
      <w:pStyle w:val="6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B733A5F"/>
    <w:multiLevelType w:val="multilevel"/>
    <w:tmpl w:val="4B733A5F"/>
    <w:lvl w:ilvl="0" w:tentative="0">
      <w:start w:val="1"/>
      <w:numFmt w:val="decimal"/>
      <w:pStyle w:val="6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3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93"/>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33"/>
      <w:suff w:val="nothing"/>
      <w:lvlText w:val="表%1　"/>
      <w:lvlJc w:val="left"/>
      <w:pPr>
        <w:ind w:left="7088"/>
      </w:pPr>
      <w:rPr>
        <w:rFonts w:hint="eastAsia" w:ascii="黑体" w:hAnsi="Times New Roman" w:eastAsia="黑体" w:cs="Times New Roman"/>
        <w:b w:val="0"/>
        <w:bCs w:val="0"/>
        <w:i w:val="0"/>
        <w:iCs w:val="0"/>
        <w:sz w:val="21"/>
        <w:szCs w:val="21"/>
        <w:lang w:val="en-US"/>
      </w:rPr>
    </w:lvl>
    <w:lvl w:ilvl="1" w:tentative="0">
      <w:start w:val="1"/>
      <w:numFmt w:val="decimal"/>
      <w:lvlText w:val="%1.%2"/>
      <w:lvlJc w:val="left"/>
      <w:pPr>
        <w:tabs>
          <w:tab w:val="left" w:pos="-2269"/>
        </w:tabs>
        <w:ind w:left="-2269" w:hanging="567"/>
      </w:pPr>
      <w:rPr>
        <w:rFonts w:hint="eastAsia" w:cs="Times New Roman"/>
      </w:rPr>
    </w:lvl>
    <w:lvl w:ilvl="2" w:tentative="0">
      <w:start w:val="1"/>
      <w:numFmt w:val="decimal"/>
      <w:lvlText w:val="%1.%2.%3"/>
      <w:lvlJc w:val="left"/>
      <w:pPr>
        <w:tabs>
          <w:tab w:val="left" w:pos="-1843"/>
        </w:tabs>
        <w:ind w:left="-1843" w:hanging="567"/>
      </w:pPr>
      <w:rPr>
        <w:rFonts w:hint="eastAsia" w:cs="Times New Roman"/>
      </w:rPr>
    </w:lvl>
    <w:lvl w:ilvl="3" w:tentative="0">
      <w:start w:val="1"/>
      <w:numFmt w:val="decimal"/>
      <w:lvlText w:val="%1.%2.%3.%4"/>
      <w:lvlJc w:val="left"/>
      <w:pPr>
        <w:tabs>
          <w:tab w:val="left" w:pos="-1277"/>
        </w:tabs>
        <w:ind w:left="-1277" w:hanging="708"/>
      </w:pPr>
      <w:rPr>
        <w:rFonts w:hint="eastAsia" w:cs="Times New Roman"/>
      </w:rPr>
    </w:lvl>
    <w:lvl w:ilvl="4" w:tentative="0">
      <w:start w:val="1"/>
      <w:numFmt w:val="decimal"/>
      <w:lvlText w:val="%1.%2.%3.%4.%5"/>
      <w:lvlJc w:val="left"/>
      <w:pPr>
        <w:tabs>
          <w:tab w:val="left" w:pos="-710"/>
        </w:tabs>
        <w:ind w:left="-710" w:hanging="850"/>
      </w:pPr>
      <w:rPr>
        <w:rFonts w:hint="eastAsia" w:cs="Times New Roman"/>
      </w:rPr>
    </w:lvl>
    <w:lvl w:ilvl="5" w:tentative="0">
      <w:start w:val="1"/>
      <w:numFmt w:val="decimal"/>
      <w:lvlText w:val="%1.%2.%3.%4.%5.%6"/>
      <w:lvlJc w:val="left"/>
      <w:pPr>
        <w:tabs>
          <w:tab w:val="left" w:pos="-1"/>
        </w:tabs>
        <w:ind w:left="-1" w:hanging="1134"/>
      </w:pPr>
      <w:rPr>
        <w:rFonts w:hint="eastAsia" w:cs="Times New Roman"/>
      </w:rPr>
    </w:lvl>
    <w:lvl w:ilvl="6" w:tentative="0">
      <w:start w:val="1"/>
      <w:numFmt w:val="decimal"/>
      <w:lvlText w:val="%1.%2.%3.%4.%5.%6.%7"/>
      <w:lvlJc w:val="left"/>
      <w:pPr>
        <w:tabs>
          <w:tab w:val="left" w:pos="566"/>
        </w:tabs>
        <w:ind w:left="566" w:hanging="1276"/>
      </w:pPr>
      <w:rPr>
        <w:rFonts w:hint="eastAsia" w:cs="Times New Roman"/>
      </w:rPr>
    </w:lvl>
    <w:lvl w:ilvl="7" w:tentative="0">
      <w:start w:val="1"/>
      <w:numFmt w:val="decimal"/>
      <w:lvlText w:val="%1.%2.%3.%4.%5.%6.%7.%8"/>
      <w:lvlJc w:val="left"/>
      <w:pPr>
        <w:tabs>
          <w:tab w:val="left" w:pos="1133"/>
        </w:tabs>
        <w:ind w:left="1133" w:hanging="1418"/>
      </w:pPr>
      <w:rPr>
        <w:rFonts w:hint="eastAsia" w:cs="Times New Roman"/>
      </w:rPr>
    </w:lvl>
    <w:lvl w:ilvl="8" w:tentative="0">
      <w:start w:val="1"/>
      <w:numFmt w:val="decimal"/>
      <w:lvlText w:val="%1.%2.%3.%4.%5.%6.%7.%8.%9"/>
      <w:lvlJc w:val="left"/>
      <w:pPr>
        <w:tabs>
          <w:tab w:val="left" w:pos="1841"/>
        </w:tabs>
        <w:ind w:left="1841" w:hanging="1700"/>
      </w:pPr>
      <w:rPr>
        <w:rFonts w:hint="eastAsia" w:cs="Times New Roman"/>
      </w:rPr>
    </w:lvl>
  </w:abstractNum>
  <w:abstractNum w:abstractNumId="14">
    <w:nsid w:val="657D3FBC"/>
    <w:multiLevelType w:val="multilevel"/>
    <w:tmpl w:val="657D3FBC"/>
    <w:lvl w:ilvl="0" w:tentative="0">
      <w:start w:val="1"/>
      <w:numFmt w:val="upperLetter"/>
      <w:pStyle w:val="91"/>
      <w:suff w:val="nothing"/>
      <w:lvlText w:val="附　录　%1"/>
      <w:lvlJc w:val="left"/>
      <w:pPr>
        <w:ind w:left="0" w:firstLine="0"/>
      </w:pPr>
      <w:rPr>
        <w:rFonts w:hint="eastAsia" w:ascii="黑体" w:hAnsi="Times New Roman" w:eastAsia="黑体"/>
        <w:b w:val="0"/>
        <w:i w:val="0"/>
        <w:spacing w:val="0"/>
        <w:w w:val="100"/>
        <w:sz w:val="21"/>
        <w:lang w:val="en-US"/>
      </w:rPr>
    </w:lvl>
    <w:lvl w:ilvl="1" w:tentative="0">
      <w:start w:val="1"/>
      <w:numFmt w:val="decimal"/>
      <w:pStyle w:val="10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BFD12A7"/>
    <w:multiLevelType w:val="multilevel"/>
    <w:tmpl w:val="6BFD12A7"/>
    <w:lvl w:ilvl="0" w:tentative="0">
      <w:start w:val="1"/>
      <w:numFmt w:val="lowerLetter"/>
      <w:lvlText w:val="%1）"/>
      <w:lvlJc w:val="left"/>
      <w:pPr>
        <w:ind w:left="860" w:hanging="440"/>
      </w:pPr>
      <w:rPr>
        <w:rFonts w:hint="default"/>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16">
    <w:nsid w:val="6D6C07CD"/>
    <w:multiLevelType w:val="multilevel"/>
    <w:tmpl w:val="6D6C07CD"/>
    <w:lvl w:ilvl="0" w:tentative="0">
      <w:start w:val="1"/>
      <w:numFmt w:val="lowerLetter"/>
      <w:pStyle w:val="112"/>
      <w:lvlText w:val="%1)"/>
      <w:lvlJc w:val="left"/>
      <w:pPr>
        <w:tabs>
          <w:tab w:val="left" w:pos="839"/>
        </w:tabs>
        <w:ind w:left="839" w:hanging="419"/>
      </w:pPr>
      <w:rPr>
        <w:rFonts w:hint="eastAsia" w:ascii="宋体" w:eastAsia="宋体"/>
        <w:b w:val="0"/>
        <w:i w:val="0"/>
        <w:sz w:val="21"/>
      </w:rPr>
    </w:lvl>
    <w:lvl w:ilvl="1" w:tentative="0">
      <w:start w:val="1"/>
      <w:numFmt w:val="decimal"/>
      <w:pStyle w:val="10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6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5"/>
  </w:num>
  <w:num w:numId="3">
    <w:abstractNumId w:val="7"/>
  </w:num>
  <w:num w:numId="4">
    <w:abstractNumId w:val="2"/>
  </w:num>
  <w:num w:numId="5">
    <w:abstractNumId w:val="8"/>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6"/>
  </w:num>
  <w:num w:numId="13">
    <w:abstractNumId w:val="6"/>
  </w:num>
  <w:num w:numId="14">
    <w:abstractNumId w:val="1"/>
  </w:num>
  <w:num w:numId="15">
    <w:abstractNumId w:val="3"/>
  </w:num>
  <w:num w:numId="16">
    <w:abstractNumId w:val="13"/>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0434"/>
    <w:rsid w:val="0000061B"/>
    <w:rsid w:val="00000AE0"/>
    <w:rsid w:val="000012BB"/>
    <w:rsid w:val="0000185F"/>
    <w:rsid w:val="00001CC0"/>
    <w:rsid w:val="00001E3D"/>
    <w:rsid w:val="00002082"/>
    <w:rsid w:val="00002BC2"/>
    <w:rsid w:val="00002BC3"/>
    <w:rsid w:val="00002C40"/>
    <w:rsid w:val="00003311"/>
    <w:rsid w:val="000035BA"/>
    <w:rsid w:val="00003941"/>
    <w:rsid w:val="0000395D"/>
    <w:rsid w:val="00003981"/>
    <w:rsid w:val="00003D97"/>
    <w:rsid w:val="00003EBF"/>
    <w:rsid w:val="000044DC"/>
    <w:rsid w:val="000048D9"/>
    <w:rsid w:val="000050ED"/>
    <w:rsid w:val="0000586F"/>
    <w:rsid w:val="00005950"/>
    <w:rsid w:val="00005BCF"/>
    <w:rsid w:val="00005FC0"/>
    <w:rsid w:val="00006242"/>
    <w:rsid w:val="000077B4"/>
    <w:rsid w:val="00007950"/>
    <w:rsid w:val="00007C5A"/>
    <w:rsid w:val="00010DF6"/>
    <w:rsid w:val="0001158B"/>
    <w:rsid w:val="00011A46"/>
    <w:rsid w:val="00011C08"/>
    <w:rsid w:val="00012635"/>
    <w:rsid w:val="00012BC4"/>
    <w:rsid w:val="000138D4"/>
    <w:rsid w:val="00013D86"/>
    <w:rsid w:val="00013E02"/>
    <w:rsid w:val="0001411C"/>
    <w:rsid w:val="000141E2"/>
    <w:rsid w:val="000145B9"/>
    <w:rsid w:val="00014861"/>
    <w:rsid w:val="00014AF9"/>
    <w:rsid w:val="00014C6A"/>
    <w:rsid w:val="00016087"/>
    <w:rsid w:val="00016C6E"/>
    <w:rsid w:val="00016FE8"/>
    <w:rsid w:val="000172AB"/>
    <w:rsid w:val="00017C05"/>
    <w:rsid w:val="00020165"/>
    <w:rsid w:val="000205F0"/>
    <w:rsid w:val="00020B07"/>
    <w:rsid w:val="00020CAF"/>
    <w:rsid w:val="0002143C"/>
    <w:rsid w:val="00021F2E"/>
    <w:rsid w:val="00022486"/>
    <w:rsid w:val="000227CA"/>
    <w:rsid w:val="00023020"/>
    <w:rsid w:val="00023346"/>
    <w:rsid w:val="00023C00"/>
    <w:rsid w:val="00023C6D"/>
    <w:rsid w:val="00023DAD"/>
    <w:rsid w:val="00023DC8"/>
    <w:rsid w:val="0002407A"/>
    <w:rsid w:val="00024479"/>
    <w:rsid w:val="00024BEA"/>
    <w:rsid w:val="00025312"/>
    <w:rsid w:val="000253EF"/>
    <w:rsid w:val="000255A6"/>
    <w:rsid w:val="0002564D"/>
    <w:rsid w:val="00025A65"/>
    <w:rsid w:val="00025B00"/>
    <w:rsid w:val="00026066"/>
    <w:rsid w:val="000260A3"/>
    <w:rsid w:val="0002615D"/>
    <w:rsid w:val="00026539"/>
    <w:rsid w:val="0002670E"/>
    <w:rsid w:val="00026C31"/>
    <w:rsid w:val="00026C3F"/>
    <w:rsid w:val="00026F7C"/>
    <w:rsid w:val="00027201"/>
    <w:rsid w:val="00027280"/>
    <w:rsid w:val="00030B1E"/>
    <w:rsid w:val="00030DA3"/>
    <w:rsid w:val="00030E43"/>
    <w:rsid w:val="00031032"/>
    <w:rsid w:val="000320A7"/>
    <w:rsid w:val="00032591"/>
    <w:rsid w:val="000325ED"/>
    <w:rsid w:val="0003280F"/>
    <w:rsid w:val="000335E6"/>
    <w:rsid w:val="0003392D"/>
    <w:rsid w:val="0003434C"/>
    <w:rsid w:val="00034524"/>
    <w:rsid w:val="00034586"/>
    <w:rsid w:val="0003488F"/>
    <w:rsid w:val="00034951"/>
    <w:rsid w:val="00034A3F"/>
    <w:rsid w:val="0003561C"/>
    <w:rsid w:val="00035925"/>
    <w:rsid w:val="00035AF4"/>
    <w:rsid w:val="00036168"/>
    <w:rsid w:val="000364A9"/>
    <w:rsid w:val="00036570"/>
    <w:rsid w:val="00036A6D"/>
    <w:rsid w:val="00036C4A"/>
    <w:rsid w:val="00036DDC"/>
    <w:rsid w:val="0003727D"/>
    <w:rsid w:val="00037C1F"/>
    <w:rsid w:val="00037DB6"/>
    <w:rsid w:val="00037E1C"/>
    <w:rsid w:val="0004048B"/>
    <w:rsid w:val="00041414"/>
    <w:rsid w:val="000414BD"/>
    <w:rsid w:val="000418AE"/>
    <w:rsid w:val="00041EF5"/>
    <w:rsid w:val="000423CA"/>
    <w:rsid w:val="000426F2"/>
    <w:rsid w:val="00042940"/>
    <w:rsid w:val="00042B1F"/>
    <w:rsid w:val="00042F52"/>
    <w:rsid w:val="000435C9"/>
    <w:rsid w:val="00043D3B"/>
    <w:rsid w:val="0004461C"/>
    <w:rsid w:val="00044E78"/>
    <w:rsid w:val="0004530A"/>
    <w:rsid w:val="00045605"/>
    <w:rsid w:val="00046352"/>
    <w:rsid w:val="00046354"/>
    <w:rsid w:val="0004692D"/>
    <w:rsid w:val="00046AF1"/>
    <w:rsid w:val="00046B3B"/>
    <w:rsid w:val="00046C32"/>
    <w:rsid w:val="00046E42"/>
    <w:rsid w:val="00047A09"/>
    <w:rsid w:val="0005095B"/>
    <w:rsid w:val="00050CD0"/>
    <w:rsid w:val="00051248"/>
    <w:rsid w:val="000514A8"/>
    <w:rsid w:val="0005156C"/>
    <w:rsid w:val="000518BC"/>
    <w:rsid w:val="00051A3A"/>
    <w:rsid w:val="00051CEF"/>
    <w:rsid w:val="00052B92"/>
    <w:rsid w:val="00052E41"/>
    <w:rsid w:val="00053060"/>
    <w:rsid w:val="0005336B"/>
    <w:rsid w:val="00053531"/>
    <w:rsid w:val="00053E7A"/>
    <w:rsid w:val="000547A2"/>
    <w:rsid w:val="0005534C"/>
    <w:rsid w:val="0005579F"/>
    <w:rsid w:val="0005639E"/>
    <w:rsid w:val="0005656D"/>
    <w:rsid w:val="0005673D"/>
    <w:rsid w:val="000569B8"/>
    <w:rsid w:val="00056AC6"/>
    <w:rsid w:val="00056AE0"/>
    <w:rsid w:val="00056D55"/>
    <w:rsid w:val="00056F7B"/>
    <w:rsid w:val="0005794D"/>
    <w:rsid w:val="00057E3F"/>
    <w:rsid w:val="00057EB4"/>
    <w:rsid w:val="00060755"/>
    <w:rsid w:val="00060B34"/>
    <w:rsid w:val="00061AC5"/>
    <w:rsid w:val="00061B99"/>
    <w:rsid w:val="00062223"/>
    <w:rsid w:val="00062378"/>
    <w:rsid w:val="00062400"/>
    <w:rsid w:val="00062483"/>
    <w:rsid w:val="00062F80"/>
    <w:rsid w:val="0006315C"/>
    <w:rsid w:val="0006340A"/>
    <w:rsid w:val="0006346D"/>
    <w:rsid w:val="000635D8"/>
    <w:rsid w:val="00063FE5"/>
    <w:rsid w:val="000640F8"/>
    <w:rsid w:val="00064EB0"/>
    <w:rsid w:val="0006519A"/>
    <w:rsid w:val="000652C7"/>
    <w:rsid w:val="000653D3"/>
    <w:rsid w:val="00065C1B"/>
    <w:rsid w:val="00065C87"/>
    <w:rsid w:val="00065E26"/>
    <w:rsid w:val="000661F0"/>
    <w:rsid w:val="00066976"/>
    <w:rsid w:val="0006733C"/>
    <w:rsid w:val="000676D0"/>
    <w:rsid w:val="000677C1"/>
    <w:rsid w:val="00067958"/>
    <w:rsid w:val="00067AB3"/>
    <w:rsid w:val="00067C5E"/>
    <w:rsid w:val="00067CDF"/>
    <w:rsid w:val="0007009B"/>
    <w:rsid w:val="000700AA"/>
    <w:rsid w:val="000703B5"/>
    <w:rsid w:val="000708B9"/>
    <w:rsid w:val="00070960"/>
    <w:rsid w:val="00070E57"/>
    <w:rsid w:val="00070FBA"/>
    <w:rsid w:val="00070FDF"/>
    <w:rsid w:val="00071649"/>
    <w:rsid w:val="00071666"/>
    <w:rsid w:val="000718A3"/>
    <w:rsid w:val="00072492"/>
    <w:rsid w:val="000729E4"/>
    <w:rsid w:val="00072CBF"/>
    <w:rsid w:val="00072F26"/>
    <w:rsid w:val="000735AE"/>
    <w:rsid w:val="00073A49"/>
    <w:rsid w:val="0007408E"/>
    <w:rsid w:val="000741C8"/>
    <w:rsid w:val="0007463B"/>
    <w:rsid w:val="00074CF0"/>
    <w:rsid w:val="00074FBE"/>
    <w:rsid w:val="0007575E"/>
    <w:rsid w:val="0007623F"/>
    <w:rsid w:val="000763A7"/>
    <w:rsid w:val="00076812"/>
    <w:rsid w:val="00076FF8"/>
    <w:rsid w:val="00077846"/>
    <w:rsid w:val="00077FD2"/>
    <w:rsid w:val="0008096C"/>
    <w:rsid w:val="0008104C"/>
    <w:rsid w:val="00081E2F"/>
    <w:rsid w:val="000825BC"/>
    <w:rsid w:val="00082672"/>
    <w:rsid w:val="000838A4"/>
    <w:rsid w:val="00083A09"/>
    <w:rsid w:val="00083BC7"/>
    <w:rsid w:val="000846A8"/>
    <w:rsid w:val="00084B86"/>
    <w:rsid w:val="00084D7D"/>
    <w:rsid w:val="000852B4"/>
    <w:rsid w:val="00085906"/>
    <w:rsid w:val="00085B7B"/>
    <w:rsid w:val="00085E39"/>
    <w:rsid w:val="000867C6"/>
    <w:rsid w:val="00086D90"/>
    <w:rsid w:val="00087930"/>
    <w:rsid w:val="00087F8E"/>
    <w:rsid w:val="0009005E"/>
    <w:rsid w:val="0009031A"/>
    <w:rsid w:val="0009073E"/>
    <w:rsid w:val="00090AD4"/>
    <w:rsid w:val="00090CC1"/>
    <w:rsid w:val="00091550"/>
    <w:rsid w:val="0009170C"/>
    <w:rsid w:val="000918D3"/>
    <w:rsid w:val="000919D0"/>
    <w:rsid w:val="00091EEB"/>
    <w:rsid w:val="00092106"/>
    <w:rsid w:val="00092311"/>
    <w:rsid w:val="00092352"/>
    <w:rsid w:val="00092446"/>
    <w:rsid w:val="00092857"/>
    <w:rsid w:val="000931D2"/>
    <w:rsid w:val="000933C1"/>
    <w:rsid w:val="000937B9"/>
    <w:rsid w:val="00093D8A"/>
    <w:rsid w:val="00093DFF"/>
    <w:rsid w:val="00093FD2"/>
    <w:rsid w:val="00094133"/>
    <w:rsid w:val="00094269"/>
    <w:rsid w:val="000949A7"/>
    <w:rsid w:val="00094DC5"/>
    <w:rsid w:val="0009515A"/>
    <w:rsid w:val="000952F3"/>
    <w:rsid w:val="00095998"/>
    <w:rsid w:val="00095CEA"/>
    <w:rsid w:val="0009626B"/>
    <w:rsid w:val="00096C45"/>
    <w:rsid w:val="000970F8"/>
    <w:rsid w:val="00097224"/>
    <w:rsid w:val="000978A1"/>
    <w:rsid w:val="00097B79"/>
    <w:rsid w:val="00097CBF"/>
    <w:rsid w:val="00097DF5"/>
    <w:rsid w:val="000A0B26"/>
    <w:rsid w:val="000A20A9"/>
    <w:rsid w:val="000A2A4C"/>
    <w:rsid w:val="000A2ACE"/>
    <w:rsid w:val="000A2BFA"/>
    <w:rsid w:val="000A2C31"/>
    <w:rsid w:val="000A3F02"/>
    <w:rsid w:val="000A4293"/>
    <w:rsid w:val="000A48B1"/>
    <w:rsid w:val="000A4FBE"/>
    <w:rsid w:val="000A5BF3"/>
    <w:rsid w:val="000A6A91"/>
    <w:rsid w:val="000A6E3C"/>
    <w:rsid w:val="000A712C"/>
    <w:rsid w:val="000A7789"/>
    <w:rsid w:val="000A778E"/>
    <w:rsid w:val="000A7B86"/>
    <w:rsid w:val="000B0017"/>
    <w:rsid w:val="000B0053"/>
    <w:rsid w:val="000B0520"/>
    <w:rsid w:val="000B0923"/>
    <w:rsid w:val="000B0BAD"/>
    <w:rsid w:val="000B1C3B"/>
    <w:rsid w:val="000B20FB"/>
    <w:rsid w:val="000B3085"/>
    <w:rsid w:val="000B3143"/>
    <w:rsid w:val="000B3360"/>
    <w:rsid w:val="000B3C3C"/>
    <w:rsid w:val="000B57A1"/>
    <w:rsid w:val="000B633B"/>
    <w:rsid w:val="000B6456"/>
    <w:rsid w:val="000B64A9"/>
    <w:rsid w:val="000B721E"/>
    <w:rsid w:val="000B7366"/>
    <w:rsid w:val="000B766E"/>
    <w:rsid w:val="000B77F6"/>
    <w:rsid w:val="000B7B2F"/>
    <w:rsid w:val="000C1120"/>
    <w:rsid w:val="000C195C"/>
    <w:rsid w:val="000C2D7E"/>
    <w:rsid w:val="000C323D"/>
    <w:rsid w:val="000C36E6"/>
    <w:rsid w:val="000C3EA2"/>
    <w:rsid w:val="000C4CE5"/>
    <w:rsid w:val="000C56AE"/>
    <w:rsid w:val="000C5D9E"/>
    <w:rsid w:val="000C6176"/>
    <w:rsid w:val="000C671A"/>
    <w:rsid w:val="000C6B05"/>
    <w:rsid w:val="000C6DD6"/>
    <w:rsid w:val="000C6F39"/>
    <w:rsid w:val="000C73D4"/>
    <w:rsid w:val="000C7A9E"/>
    <w:rsid w:val="000C7CBA"/>
    <w:rsid w:val="000D00F9"/>
    <w:rsid w:val="000D02EF"/>
    <w:rsid w:val="000D0671"/>
    <w:rsid w:val="000D099B"/>
    <w:rsid w:val="000D0CCC"/>
    <w:rsid w:val="000D212E"/>
    <w:rsid w:val="000D2379"/>
    <w:rsid w:val="000D2F1A"/>
    <w:rsid w:val="000D35A8"/>
    <w:rsid w:val="000D39F1"/>
    <w:rsid w:val="000D3D4C"/>
    <w:rsid w:val="000D431F"/>
    <w:rsid w:val="000D44CD"/>
    <w:rsid w:val="000D4F51"/>
    <w:rsid w:val="000D5086"/>
    <w:rsid w:val="000D51A0"/>
    <w:rsid w:val="000D6110"/>
    <w:rsid w:val="000D6219"/>
    <w:rsid w:val="000D65C2"/>
    <w:rsid w:val="000D69B1"/>
    <w:rsid w:val="000D6AAC"/>
    <w:rsid w:val="000D6F44"/>
    <w:rsid w:val="000D7088"/>
    <w:rsid w:val="000D718B"/>
    <w:rsid w:val="000D74F2"/>
    <w:rsid w:val="000D79DF"/>
    <w:rsid w:val="000D7BAB"/>
    <w:rsid w:val="000E018D"/>
    <w:rsid w:val="000E0610"/>
    <w:rsid w:val="000E070B"/>
    <w:rsid w:val="000E074E"/>
    <w:rsid w:val="000E0C46"/>
    <w:rsid w:val="000E132F"/>
    <w:rsid w:val="000E1930"/>
    <w:rsid w:val="000E1D27"/>
    <w:rsid w:val="000E1FB8"/>
    <w:rsid w:val="000E21FA"/>
    <w:rsid w:val="000E255E"/>
    <w:rsid w:val="000E266D"/>
    <w:rsid w:val="000E2AA0"/>
    <w:rsid w:val="000E2B31"/>
    <w:rsid w:val="000E2C04"/>
    <w:rsid w:val="000E2D97"/>
    <w:rsid w:val="000E3070"/>
    <w:rsid w:val="000E331B"/>
    <w:rsid w:val="000E355F"/>
    <w:rsid w:val="000E3607"/>
    <w:rsid w:val="000E36E7"/>
    <w:rsid w:val="000E3D37"/>
    <w:rsid w:val="000E3E92"/>
    <w:rsid w:val="000E44A4"/>
    <w:rsid w:val="000E48A3"/>
    <w:rsid w:val="000E4AAC"/>
    <w:rsid w:val="000E4E58"/>
    <w:rsid w:val="000E5537"/>
    <w:rsid w:val="000E5609"/>
    <w:rsid w:val="000E58B1"/>
    <w:rsid w:val="000E6892"/>
    <w:rsid w:val="000E6BDA"/>
    <w:rsid w:val="000E6D71"/>
    <w:rsid w:val="000E709E"/>
    <w:rsid w:val="000E719D"/>
    <w:rsid w:val="000E7241"/>
    <w:rsid w:val="000F030C"/>
    <w:rsid w:val="000F039F"/>
    <w:rsid w:val="000F0636"/>
    <w:rsid w:val="000F0E67"/>
    <w:rsid w:val="000F0F26"/>
    <w:rsid w:val="000F129C"/>
    <w:rsid w:val="000F13D4"/>
    <w:rsid w:val="000F1645"/>
    <w:rsid w:val="000F29F0"/>
    <w:rsid w:val="000F2F9E"/>
    <w:rsid w:val="000F40C8"/>
    <w:rsid w:val="000F450D"/>
    <w:rsid w:val="000F4908"/>
    <w:rsid w:val="000F499A"/>
    <w:rsid w:val="000F4E29"/>
    <w:rsid w:val="000F507D"/>
    <w:rsid w:val="000F5334"/>
    <w:rsid w:val="000F5A02"/>
    <w:rsid w:val="000F5A3A"/>
    <w:rsid w:val="000F5B2C"/>
    <w:rsid w:val="000F5C6A"/>
    <w:rsid w:val="000F6309"/>
    <w:rsid w:val="000F6771"/>
    <w:rsid w:val="000F67B8"/>
    <w:rsid w:val="000F68C2"/>
    <w:rsid w:val="000F6C51"/>
    <w:rsid w:val="000F6DB4"/>
    <w:rsid w:val="000F7529"/>
    <w:rsid w:val="000F793F"/>
    <w:rsid w:val="000F7DC4"/>
    <w:rsid w:val="0010008F"/>
    <w:rsid w:val="00100B66"/>
    <w:rsid w:val="00100D2B"/>
    <w:rsid w:val="00101C18"/>
    <w:rsid w:val="00102126"/>
    <w:rsid w:val="001025F4"/>
    <w:rsid w:val="00102FBF"/>
    <w:rsid w:val="00103DC4"/>
    <w:rsid w:val="00103EB3"/>
    <w:rsid w:val="0010413D"/>
    <w:rsid w:val="00104176"/>
    <w:rsid w:val="0010427D"/>
    <w:rsid w:val="00104396"/>
    <w:rsid w:val="0010520A"/>
    <w:rsid w:val="001056DE"/>
    <w:rsid w:val="001057FA"/>
    <w:rsid w:val="00105884"/>
    <w:rsid w:val="00105CC1"/>
    <w:rsid w:val="001065DC"/>
    <w:rsid w:val="00106878"/>
    <w:rsid w:val="00106A11"/>
    <w:rsid w:val="00106B14"/>
    <w:rsid w:val="001071FB"/>
    <w:rsid w:val="00107609"/>
    <w:rsid w:val="001100CD"/>
    <w:rsid w:val="001102C0"/>
    <w:rsid w:val="00110767"/>
    <w:rsid w:val="001109AB"/>
    <w:rsid w:val="00110D47"/>
    <w:rsid w:val="00110D8B"/>
    <w:rsid w:val="00110FFF"/>
    <w:rsid w:val="0011119D"/>
    <w:rsid w:val="00111F51"/>
    <w:rsid w:val="001124C0"/>
    <w:rsid w:val="00112E99"/>
    <w:rsid w:val="00113433"/>
    <w:rsid w:val="00113561"/>
    <w:rsid w:val="00113680"/>
    <w:rsid w:val="00114D37"/>
    <w:rsid w:val="00115AFC"/>
    <w:rsid w:val="00115E79"/>
    <w:rsid w:val="0011610A"/>
    <w:rsid w:val="00116C31"/>
    <w:rsid w:val="00116FF0"/>
    <w:rsid w:val="00117148"/>
    <w:rsid w:val="001176F3"/>
    <w:rsid w:val="00117CB2"/>
    <w:rsid w:val="001200A2"/>
    <w:rsid w:val="00120124"/>
    <w:rsid w:val="0012041D"/>
    <w:rsid w:val="0012071A"/>
    <w:rsid w:val="00120E96"/>
    <w:rsid w:val="001214AD"/>
    <w:rsid w:val="001215E7"/>
    <w:rsid w:val="00121ECF"/>
    <w:rsid w:val="00122211"/>
    <w:rsid w:val="0012291B"/>
    <w:rsid w:val="00122F57"/>
    <w:rsid w:val="00122F5A"/>
    <w:rsid w:val="00123CCF"/>
    <w:rsid w:val="0012408C"/>
    <w:rsid w:val="001242A8"/>
    <w:rsid w:val="00124431"/>
    <w:rsid w:val="00124436"/>
    <w:rsid w:val="001245FD"/>
    <w:rsid w:val="00124C37"/>
    <w:rsid w:val="00124DD0"/>
    <w:rsid w:val="00124F96"/>
    <w:rsid w:val="00125196"/>
    <w:rsid w:val="0012520D"/>
    <w:rsid w:val="001253B5"/>
    <w:rsid w:val="00125470"/>
    <w:rsid w:val="00125658"/>
    <w:rsid w:val="001258B2"/>
    <w:rsid w:val="00125AF9"/>
    <w:rsid w:val="00125FC9"/>
    <w:rsid w:val="001264A7"/>
    <w:rsid w:val="0012698E"/>
    <w:rsid w:val="00126A20"/>
    <w:rsid w:val="00126B31"/>
    <w:rsid w:val="00126BB0"/>
    <w:rsid w:val="00127CCA"/>
    <w:rsid w:val="00127EB7"/>
    <w:rsid w:val="00130522"/>
    <w:rsid w:val="0013071B"/>
    <w:rsid w:val="0013127F"/>
    <w:rsid w:val="001312EF"/>
    <w:rsid w:val="0013175F"/>
    <w:rsid w:val="001320F9"/>
    <w:rsid w:val="00132100"/>
    <w:rsid w:val="00132E90"/>
    <w:rsid w:val="00133324"/>
    <w:rsid w:val="0013343A"/>
    <w:rsid w:val="001334B0"/>
    <w:rsid w:val="00133557"/>
    <w:rsid w:val="00133EC7"/>
    <w:rsid w:val="00134045"/>
    <w:rsid w:val="001344B6"/>
    <w:rsid w:val="001348E0"/>
    <w:rsid w:val="00134BF2"/>
    <w:rsid w:val="00134BFC"/>
    <w:rsid w:val="00134D53"/>
    <w:rsid w:val="00135A0B"/>
    <w:rsid w:val="00135F1A"/>
    <w:rsid w:val="00135F78"/>
    <w:rsid w:val="001360E4"/>
    <w:rsid w:val="00136265"/>
    <w:rsid w:val="00136344"/>
    <w:rsid w:val="00136E61"/>
    <w:rsid w:val="001375C6"/>
    <w:rsid w:val="001379AD"/>
    <w:rsid w:val="00137E11"/>
    <w:rsid w:val="00140A53"/>
    <w:rsid w:val="00140FDC"/>
    <w:rsid w:val="00141363"/>
    <w:rsid w:val="001413D8"/>
    <w:rsid w:val="00141634"/>
    <w:rsid w:val="00141928"/>
    <w:rsid w:val="00141E8B"/>
    <w:rsid w:val="00142216"/>
    <w:rsid w:val="0014258F"/>
    <w:rsid w:val="00142ECA"/>
    <w:rsid w:val="00142EEC"/>
    <w:rsid w:val="001431B0"/>
    <w:rsid w:val="00143546"/>
    <w:rsid w:val="00143636"/>
    <w:rsid w:val="00144F05"/>
    <w:rsid w:val="00145672"/>
    <w:rsid w:val="001456D4"/>
    <w:rsid w:val="00145AD6"/>
    <w:rsid w:val="00146C5F"/>
    <w:rsid w:val="00146F18"/>
    <w:rsid w:val="00147058"/>
    <w:rsid w:val="0014739B"/>
    <w:rsid w:val="001473E5"/>
    <w:rsid w:val="001473EE"/>
    <w:rsid w:val="0014764E"/>
    <w:rsid w:val="0015004A"/>
    <w:rsid w:val="00150739"/>
    <w:rsid w:val="0015089D"/>
    <w:rsid w:val="00150A79"/>
    <w:rsid w:val="001510FD"/>
    <w:rsid w:val="001512B4"/>
    <w:rsid w:val="0015179A"/>
    <w:rsid w:val="00151A7E"/>
    <w:rsid w:val="00151CA1"/>
    <w:rsid w:val="00152208"/>
    <w:rsid w:val="001522E3"/>
    <w:rsid w:val="00152B15"/>
    <w:rsid w:val="00152E46"/>
    <w:rsid w:val="00153322"/>
    <w:rsid w:val="001534D1"/>
    <w:rsid w:val="001534EC"/>
    <w:rsid w:val="00153BC0"/>
    <w:rsid w:val="00154A28"/>
    <w:rsid w:val="00154C68"/>
    <w:rsid w:val="00154EC8"/>
    <w:rsid w:val="001552EC"/>
    <w:rsid w:val="001554C1"/>
    <w:rsid w:val="0015563F"/>
    <w:rsid w:val="001563F9"/>
    <w:rsid w:val="00156971"/>
    <w:rsid w:val="00156BBC"/>
    <w:rsid w:val="001575C3"/>
    <w:rsid w:val="00157C9A"/>
    <w:rsid w:val="00157CE0"/>
    <w:rsid w:val="00160544"/>
    <w:rsid w:val="001605F4"/>
    <w:rsid w:val="00160661"/>
    <w:rsid w:val="00160796"/>
    <w:rsid w:val="00160CF9"/>
    <w:rsid w:val="0016134F"/>
    <w:rsid w:val="001615A3"/>
    <w:rsid w:val="00161C85"/>
    <w:rsid w:val="001620A5"/>
    <w:rsid w:val="00162228"/>
    <w:rsid w:val="0016229B"/>
    <w:rsid w:val="001626A7"/>
    <w:rsid w:val="00162B47"/>
    <w:rsid w:val="0016313B"/>
    <w:rsid w:val="00163270"/>
    <w:rsid w:val="0016367D"/>
    <w:rsid w:val="001641B6"/>
    <w:rsid w:val="001649E9"/>
    <w:rsid w:val="00164E53"/>
    <w:rsid w:val="001657DF"/>
    <w:rsid w:val="001658B4"/>
    <w:rsid w:val="00165B91"/>
    <w:rsid w:val="0016617B"/>
    <w:rsid w:val="00166261"/>
    <w:rsid w:val="0016699D"/>
    <w:rsid w:val="00166A8F"/>
    <w:rsid w:val="001679A8"/>
    <w:rsid w:val="00167CA6"/>
    <w:rsid w:val="0017050D"/>
    <w:rsid w:val="00170515"/>
    <w:rsid w:val="00170910"/>
    <w:rsid w:val="001709F1"/>
    <w:rsid w:val="00170E4C"/>
    <w:rsid w:val="001710D1"/>
    <w:rsid w:val="001718A0"/>
    <w:rsid w:val="0017195A"/>
    <w:rsid w:val="00171B31"/>
    <w:rsid w:val="00172018"/>
    <w:rsid w:val="001722A9"/>
    <w:rsid w:val="00172BFC"/>
    <w:rsid w:val="00172F48"/>
    <w:rsid w:val="0017366C"/>
    <w:rsid w:val="00173A72"/>
    <w:rsid w:val="00173F94"/>
    <w:rsid w:val="001748E4"/>
    <w:rsid w:val="00174FB9"/>
    <w:rsid w:val="001750B3"/>
    <w:rsid w:val="00175159"/>
    <w:rsid w:val="001752EE"/>
    <w:rsid w:val="00175B73"/>
    <w:rsid w:val="00176207"/>
    <w:rsid w:val="00176208"/>
    <w:rsid w:val="00176613"/>
    <w:rsid w:val="001767FE"/>
    <w:rsid w:val="00176D0C"/>
    <w:rsid w:val="00176DAC"/>
    <w:rsid w:val="00176FAF"/>
    <w:rsid w:val="00177236"/>
    <w:rsid w:val="0017748B"/>
    <w:rsid w:val="00177DD3"/>
    <w:rsid w:val="001809FE"/>
    <w:rsid w:val="00181B56"/>
    <w:rsid w:val="00181B5B"/>
    <w:rsid w:val="00181DA5"/>
    <w:rsid w:val="0018211B"/>
    <w:rsid w:val="00182996"/>
    <w:rsid w:val="00182A42"/>
    <w:rsid w:val="00182C30"/>
    <w:rsid w:val="001832FD"/>
    <w:rsid w:val="0018379D"/>
    <w:rsid w:val="001840D3"/>
    <w:rsid w:val="0018425A"/>
    <w:rsid w:val="00184267"/>
    <w:rsid w:val="00184CA5"/>
    <w:rsid w:val="0018551D"/>
    <w:rsid w:val="00185892"/>
    <w:rsid w:val="00185C49"/>
    <w:rsid w:val="001860E8"/>
    <w:rsid w:val="00186312"/>
    <w:rsid w:val="001868F9"/>
    <w:rsid w:val="00186BAE"/>
    <w:rsid w:val="001900F8"/>
    <w:rsid w:val="001904D5"/>
    <w:rsid w:val="001905A2"/>
    <w:rsid w:val="00190E6C"/>
    <w:rsid w:val="00191206"/>
    <w:rsid w:val="00191258"/>
    <w:rsid w:val="001914A2"/>
    <w:rsid w:val="0019185B"/>
    <w:rsid w:val="001921CC"/>
    <w:rsid w:val="00192680"/>
    <w:rsid w:val="00193037"/>
    <w:rsid w:val="001933C7"/>
    <w:rsid w:val="00193A2C"/>
    <w:rsid w:val="00193BD7"/>
    <w:rsid w:val="00193F0F"/>
    <w:rsid w:val="001940F1"/>
    <w:rsid w:val="001945FE"/>
    <w:rsid w:val="00194E3C"/>
    <w:rsid w:val="00195370"/>
    <w:rsid w:val="001958BB"/>
    <w:rsid w:val="00196188"/>
    <w:rsid w:val="00196358"/>
    <w:rsid w:val="00196953"/>
    <w:rsid w:val="00196DFB"/>
    <w:rsid w:val="00197363"/>
    <w:rsid w:val="0019741F"/>
    <w:rsid w:val="001A06E7"/>
    <w:rsid w:val="001A0A25"/>
    <w:rsid w:val="001A1873"/>
    <w:rsid w:val="001A19EF"/>
    <w:rsid w:val="001A1AC0"/>
    <w:rsid w:val="001A200D"/>
    <w:rsid w:val="001A22C8"/>
    <w:rsid w:val="001A288E"/>
    <w:rsid w:val="001A3E4F"/>
    <w:rsid w:val="001A4789"/>
    <w:rsid w:val="001A4B1B"/>
    <w:rsid w:val="001A5158"/>
    <w:rsid w:val="001A545B"/>
    <w:rsid w:val="001A5A9C"/>
    <w:rsid w:val="001A5DDA"/>
    <w:rsid w:val="001A617B"/>
    <w:rsid w:val="001A618C"/>
    <w:rsid w:val="001A706B"/>
    <w:rsid w:val="001A71E0"/>
    <w:rsid w:val="001A77D4"/>
    <w:rsid w:val="001A7E8F"/>
    <w:rsid w:val="001B0220"/>
    <w:rsid w:val="001B0BC1"/>
    <w:rsid w:val="001B0D94"/>
    <w:rsid w:val="001B12DB"/>
    <w:rsid w:val="001B1393"/>
    <w:rsid w:val="001B14C9"/>
    <w:rsid w:val="001B189F"/>
    <w:rsid w:val="001B19F8"/>
    <w:rsid w:val="001B1D13"/>
    <w:rsid w:val="001B2459"/>
    <w:rsid w:val="001B2B25"/>
    <w:rsid w:val="001B30EB"/>
    <w:rsid w:val="001B3440"/>
    <w:rsid w:val="001B371B"/>
    <w:rsid w:val="001B4792"/>
    <w:rsid w:val="001B4A14"/>
    <w:rsid w:val="001B4A6F"/>
    <w:rsid w:val="001B5114"/>
    <w:rsid w:val="001B51DC"/>
    <w:rsid w:val="001B5BAA"/>
    <w:rsid w:val="001B5C8B"/>
    <w:rsid w:val="001B61DA"/>
    <w:rsid w:val="001B69C5"/>
    <w:rsid w:val="001B6DC2"/>
    <w:rsid w:val="001B72AD"/>
    <w:rsid w:val="001B78D2"/>
    <w:rsid w:val="001B78FA"/>
    <w:rsid w:val="001C0624"/>
    <w:rsid w:val="001C0903"/>
    <w:rsid w:val="001C0A2C"/>
    <w:rsid w:val="001C1247"/>
    <w:rsid w:val="001C149C"/>
    <w:rsid w:val="001C14F9"/>
    <w:rsid w:val="001C21AC"/>
    <w:rsid w:val="001C2322"/>
    <w:rsid w:val="001C2ABE"/>
    <w:rsid w:val="001C2E40"/>
    <w:rsid w:val="001C3EB3"/>
    <w:rsid w:val="001C3FEA"/>
    <w:rsid w:val="001C47BA"/>
    <w:rsid w:val="001C4B06"/>
    <w:rsid w:val="001C4F96"/>
    <w:rsid w:val="001C59EA"/>
    <w:rsid w:val="001C5AA6"/>
    <w:rsid w:val="001C5B69"/>
    <w:rsid w:val="001C5C36"/>
    <w:rsid w:val="001C5F60"/>
    <w:rsid w:val="001C62C1"/>
    <w:rsid w:val="001C71B9"/>
    <w:rsid w:val="001C75D7"/>
    <w:rsid w:val="001C790A"/>
    <w:rsid w:val="001D0F57"/>
    <w:rsid w:val="001D1119"/>
    <w:rsid w:val="001D15BD"/>
    <w:rsid w:val="001D1C6A"/>
    <w:rsid w:val="001D1E76"/>
    <w:rsid w:val="001D2158"/>
    <w:rsid w:val="001D28A3"/>
    <w:rsid w:val="001D32F8"/>
    <w:rsid w:val="001D3B5B"/>
    <w:rsid w:val="001D3FC8"/>
    <w:rsid w:val="001D4000"/>
    <w:rsid w:val="001D406C"/>
    <w:rsid w:val="001D41EE"/>
    <w:rsid w:val="001D44F4"/>
    <w:rsid w:val="001D4676"/>
    <w:rsid w:val="001D48C2"/>
    <w:rsid w:val="001D4948"/>
    <w:rsid w:val="001D4A74"/>
    <w:rsid w:val="001D4FE5"/>
    <w:rsid w:val="001D52E8"/>
    <w:rsid w:val="001D54E8"/>
    <w:rsid w:val="001D557B"/>
    <w:rsid w:val="001D562D"/>
    <w:rsid w:val="001D5700"/>
    <w:rsid w:val="001D6E8F"/>
    <w:rsid w:val="001D6EFF"/>
    <w:rsid w:val="001D737E"/>
    <w:rsid w:val="001D74E4"/>
    <w:rsid w:val="001D7695"/>
    <w:rsid w:val="001D77EE"/>
    <w:rsid w:val="001E0380"/>
    <w:rsid w:val="001E0847"/>
    <w:rsid w:val="001E0AB2"/>
    <w:rsid w:val="001E1271"/>
    <w:rsid w:val="001E13B1"/>
    <w:rsid w:val="001E14E9"/>
    <w:rsid w:val="001E16F8"/>
    <w:rsid w:val="001E19AA"/>
    <w:rsid w:val="001E1F28"/>
    <w:rsid w:val="001E1F61"/>
    <w:rsid w:val="001E2698"/>
    <w:rsid w:val="001E279C"/>
    <w:rsid w:val="001E361D"/>
    <w:rsid w:val="001E37AB"/>
    <w:rsid w:val="001E3B21"/>
    <w:rsid w:val="001E41FA"/>
    <w:rsid w:val="001E4323"/>
    <w:rsid w:val="001E4AD3"/>
    <w:rsid w:val="001E4BAB"/>
    <w:rsid w:val="001E4BC1"/>
    <w:rsid w:val="001E4E09"/>
    <w:rsid w:val="001E506C"/>
    <w:rsid w:val="001E520B"/>
    <w:rsid w:val="001E5414"/>
    <w:rsid w:val="001E583D"/>
    <w:rsid w:val="001E6362"/>
    <w:rsid w:val="001E7299"/>
    <w:rsid w:val="001E7727"/>
    <w:rsid w:val="001E776D"/>
    <w:rsid w:val="001E7802"/>
    <w:rsid w:val="001E79D4"/>
    <w:rsid w:val="001F0627"/>
    <w:rsid w:val="001F0858"/>
    <w:rsid w:val="001F0925"/>
    <w:rsid w:val="001F0CA3"/>
    <w:rsid w:val="001F0E72"/>
    <w:rsid w:val="001F1BD8"/>
    <w:rsid w:val="001F1D8D"/>
    <w:rsid w:val="001F214B"/>
    <w:rsid w:val="001F2162"/>
    <w:rsid w:val="001F25AE"/>
    <w:rsid w:val="001F2607"/>
    <w:rsid w:val="001F27D1"/>
    <w:rsid w:val="001F3433"/>
    <w:rsid w:val="001F34A7"/>
    <w:rsid w:val="001F37B3"/>
    <w:rsid w:val="001F3A19"/>
    <w:rsid w:val="001F4794"/>
    <w:rsid w:val="001F4EFC"/>
    <w:rsid w:val="001F4F25"/>
    <w:rsid w:val="001F4F30"/>
    <w:rsid w:val="001F4FC5"/>
    <w:rsid w:val="001F5330"/>
    <w:rsid w:val="001F55AF"/>
    <w:rsid w:val="001F5635"/>
    <w:rsid w:val="001F5821"/>
    <w:rsid w:val="001F70A3"/>
    <w:rsid w:val="001F78E0"/>
    <w:rsid w:val="001F7FB1"/>
    <w:rsid w:val="002004A7"/>
    <w:rsid w:val="00200529"/>
    <w:rsid w:val="00200777"/>
    <w:rsid w:val="0020087D"/>
    <w:rsid w:val="002008CC"/>
    <w:rsid w:val="00200B9D"/>
    <w:rsid w:val="002010A4"/>
    <w:rsid w:val="00201303"/>
    <w:rsid w:val="00202A21"/>
    <w:rsid w:val="00202E78"/>
    <w:rsid w:val="00203167"/>
    <w:rsid w:val="00203277"/>
    <w:rsid w:val="0020352F"/>
    <w:rsid w:val="002048F0"/>
    <w:rsid w:val="00204972"/>
    <w:rsid w:val="00204C52"/>
    <w:rsid w:val="00204C8C"/>
    <w:rsid w:val="002050E3"/>
    <w:rsid w:val="0020523F"/>
    <w:rsid w:val="002055BC"/>
    <w:rsid w:val="00205C88"/>
    <w:rsid w:val="00205FFE"/>
    <w:rsid w:val="002063C5"/>
    <w:rsid w:val="00206E8D"/>
    <w:rsid w:val="00207556"/>
    <w:rsid w:val="002079F7"/>
    <w:rsid w:val="00207A9F"/>
    <w:rsid w:val="00207BA8"/>
    <w:rsid w:val="00210056"/>
    <w:rsid w:val="00210E3E"/>
    <w:rsid w:val="00211A1B"/>
    <w:rsid w:val="00212A11"/>
    <w:rsid w:val="002130D7"/>
    <w:rsid w:val="00213265"/>
    <w:rsid w:val="00213387"/>
    <w:rsid w:val="00213C36"/>
    <w:rsid w:val="00213EE4"/>
    <w:rsid w:val="00214067"/>
    <w:rsid w:val="00214D9E"/>
    <w:rsid w:val="0021500D"/>
    <w:rsid w:val="00215B98"/>
    <w:rsid w:val="00215C18"/>
    <w:rsid w:val="00215F56"/>
    <w:rsid w:val="00216089"/>
    <w:rsid w:val="00216178"/>
    <w:rsid w:val="00216316"/>
    <w:rsid w:val="00216327"/>
    <w:rsid w:val="00216969"/>
    <w:rsid w:val="002169D2"/>
    <w:rsid w:val="00217787"/>
    <w:rsid w:val="00217D36"/>
    <w:rsid w:val="00217FDD"/>
    <w:rsid w:val="00220430"/>
    <w:rsid w:val="00220899"/>
    <w:rsid w:val="00220DC3"/>
    <w:rsid w:val="002216F4"/>
    <w:rsid w:val="00221811"/>
    <w:rsid w:val="00222032"/>
    <w:rsid w:val="00222568"/>
    <w:rsid w:val="0022267C"/>
    <w:rsid w:val="00223592"/>
    <w:rsid w:val="00223A1E"/>
    <w:rsid w:val="00223D73"/>
    <w:rsid w:val="00224095"/>
    <w:rsid w:val="00224106"/>
    <w:rsid w:val="00224155"/>
    <w:rsid w:val="0022446D"/>
    <w:rsid w:val="0022511F"/>
    <w:rsid w:val="002253FA"/>
    <w:rsid w:val="002258CA"/>
    <w:rsid w:val="00225D39"/>
    <w:rsid w:val="00225D4B"/>
    <w:rsid w:val="002260DA"/>
    <w:rsid w:val="002260F5"/>
    <w:rsid w:val="00226653"/>
    <w:rsid w:val="0022687A"/>
    <w:rsid w:val="00226FB2"/>
    <w:rsid w:val="00227069"/>
    <w:rsid w:val="002270AB"/>
    <w:rsid w:val="0022753F"/>
    <w:rsid w:val="00227625"/>
    <w:rsid w:val="0022762C"/>
    <w:rsid w:val="00227B75"/>
    <w:rsid w:val="00227F06"/>
    <w:rsid w:val="002308F5"/>
    <w:rsid w:val="00230B90"/>
    <w:rsid w:val="00230D08"/>
    <w:rsid w:val="00230F56"/>
    <w:rsid w:val="0023113D"/>
    <w:rsid w:val="002317E8"/>
    <w:rsid w:val="00231970"/>
    <w:rsid w:val="00231AFA"/>
    <w:rsid w:val="00232081"/>
    <w:rsid w:val="0023221C"/>
    <w:rsid w:val="00232709"/>
    <w:rsid w:val="00232757"/>
    <w:rsid w:val="00232945"/>
    <w:rsid w:val="00232A00"/>
    <w:rsid w:val="00232E05"/>
    <w:rsid w:val="002333AC"/>
    <w:rsid w:val="002342FC"/>
    <w:rsid w:val="00234467"/>
    <w:rsid w:val="00234662"/>
    <w:rsid w:val="002346DB"/>
    <w:rsid w:val="00234FC7"/>
    <w:rsid w:val="0023528F"/>
    <w:rsid w:val="00235D3A"/>
    <w:rsid w:val="0023644D"/>
    <w:rsid w:val="00236560"/>
    <w:rsid w:val="0023709B"/>
    <w:rsid w:val="002370E6"/>
    <w:rsid w:val="002370F5"/>
    <w:rsid w:val="00237A48"/>
    <w:rsid w:val="00237BA5"/>
    <w:rsid w:val="00237D8D"/>
    <w:rsid w:val="00240A9B"/>
    <w:rsid w:val="00240D99"/>
    <w:rsid w:val="00240F89"/>
    <w:rsid w:val="00241541"/>
    <w:rsid w:val="00241B33"/>
    <w:rsid w:val="00241C2A"/>
    <w:rsid w:val="00241DA2"/>
    <w:rsid w:val="002423CA"/>
    <w:rsid w:val="00243BD5"/>
    <w:rsid w:val="00243DE5"/>
    <w:rsid w:val="00244CE6"/>
    <w:rsid w:val="00244FC4"/>
    <w:rsid w:val="0024509C"/>
    <w:rsid w:val="002456E8"/>
    <w:rsid w:val="0024605C"/>
    <w:rsid w:val="002460F9"/>
    <w:rsid w:val="002461CF"/>
    <w:rsid w:val="00246304"/>
    <w:rsid w:val="00246481"/>
    <w:rsid w:val="00246989"/>
    <w:rsid w:val="00246C65"/>
    <w:rsid w:val="00246FAF"/>
    <w:rsid w:val="002477F5"/>
    <w:rsid w:val="00247FEE"/>
    <w:rsid w:val="002500B6"/>
    <w:rsid w:val="0025047C"/>
    <w:rsid w:val="00250940"/>
    <w:rsid w:val="002509A6"/>
    <w:rsid w:val="00250A3C"/>
    <w:rsid w:val="00250E7D"/>
    <w:rsid w:val="0025113C"/>
    <w:rsid w:val="0025126B"/>
    <w:rsid w:val="002515F6"/>
    <w:rsid w:val="00251DB8"/>
    <w:rsid w:val="0025280E"/>
    <w:rsid w:val="00252E15"/>
    <w:rsid w:val="00252F70"/>
    <w:rsid w:val="00252F91"/>
    <w:rsid w:val="002538CE"/>
    <w:rsid w:val="0025394C"/>
    <w:rsid w:val="0025395D"/>
    <w:rsid w:val="00253DF5"/>
    <w:rsid w:val="002541B1"/>
    <w:rsid w:val="0025477A"/>
    <w:rsid w:val="002549A9"/>
    <w:rsid w:val="00254C4A"/>
    <w:rsid w:val="00255105"/>
    <w:rsid w:val="0025574C"/>
    <w:rsid w:val="00255B37"/>
    <w:rsid w:val="00255BF8"/>
    <w:rsid w:val="002562EA"/>
    <w:rsid w:val="002565D5"/>
    <w:rsid w:val="00257348"/>
    <w:rsid w:val="0025742B"/>
    <w:rsid w:val="00260303"/>
    <w:rsid w:val="0026084C"/>
    <w:rsid w:val="00260B97"/>
    <w:rsid w:val="00260F8C"/>
    <w:rsid w:val="0026117B"/>
    <w:rsid w:val="002613E5"/>
    <w:rsid w:val="00261487"/>
    <w:rsid w:val="0026150C"/>
    <w:rsid w:val="00262203"/>
    <w:rsid w:val="00262250"/>
    <w:rsid w:val="002622C0"/>
    <w:rsid w:val="002624F6"/>
    <w:rsid w:val="00262752"/>
    <w:rsid w:val="00262950"/>
    <w:rsid w:val="0026324B"/>
    <w:rsid w:val="002639F5"/>
    <w:rsid w:val="00264B0A"/>
    <w:rsid w:val="00265B01"/>
    <w:rsid w:val="002660CC"/>
    <w:rsid w:val="002662D4"/>
    <w:rsid w:val="0026675E"/>
    <w:rsid w:val="00266BAF"/>
    <w:rsid w:val="0026725F"/>
    <w:rsid w:val="00267356"/>
    <w:rsid w:val="002673E3"/>
    <w:rsid w:val="002673E4"/>
    <w:rsid w:val="0026764E"/>
    <w:rsid w:val="00267901"/>
    <w:rsid w:val="00267BEE"/>
    <w:rsid w:val="00267CEF"/>
    <w:rsid w:val="002702A3"/>
    <w:rsid w:val="00270F03"/>
    <w:rsid w:val="002710ED"/>
    <w:rsid w:val="0027142F"/>
    <w:rsid w:val="00271534"/>
    <w:rsid w:val="00271610"/>
    <w:rsid w:val="002716CD"/>
    <w:rsid w:val="002717FA"/>
    <w:rsid w:val="00271A54"/>
    <w:rsid w:val="00271A58"/>
    <w:rsid w:val="00271ACE"/>
    <w:rsid w:val="00271C6A"/>
    <w:rsid w:val="00271F9C"/>
    <w:rsid w:val="00272197"/>
    <w:rsid w:val="00272574"/>
    <w:rsid w:val="0027296B"/>
    <w:rsid w:val="00272D48"/>
    <w:rsid w:val="00272E03"/>
    <w:rsid w:val="00272EF5"/>
    <w:rsid w:val="002733C9"/>
    <w:rsid w:val="00273955"/>
    <w:rsid w:val="00273D38"/>
    <w:rsid w:val="002744C7"/>
    <w:rsid w:val="002744CE"/>
    <w:rsid w:val="002751C2"/>
    <w:rsid w:val="00275505"/>
    <w:rsid w:val="00275751"/>
    <w:rsid w:val="00275DB2"/>
    <w:rsid w:val="00275DE5"/>
    <w:rsid w:val="00276A2E"/>
    <w:rsid w:val="00276BEF"/>
    <w:rsid w:val="0027711B"/>
    <w:rsid w:val="0027767B"/>
    <w:rsid w:val="002778AE"/>
    <w:rsid w:val="002778BD"/>
    <w:rsid w:val="002778CC"/>
    <w:rsid w:val="00277BCC"/>
    <w:rsid w:val="00277E10"/>
    <w:rsid w:val="00277E77"/>
    <w:rsid w:val="00280056"/>
    <w:rsid w:val="00280064"/>
    <w:rsid w:val="00280976"/>
    <w:rsid w:val="00280DE1"/>
    <w:rsid w:val="0028122E"/>
    <w:rsid w:val="00281387"/>
    <w:rsid w:val="00281720"/>
    <w:rsid w:val="002817FF"/>
    <w:rsid w:val="002818E1"/>
    <w:rsid w:val="00281C7F"/>
    <w:rsid w:val="00281C88"/>
    <w:rsid w:val="00281CD2"/>
    <w:rsid w:val="0028217D"/>
    <w:rsid w:val="00282274"/>
    <w:rsid w:val="00282440"/>
    <w:rsid w:val="00282604"/>
    <w:rsid w:val="0028269A"/>
    <w:rsid w:val="00283103"/>
    <w:rsid w:val="00283590"/>
    <w:rsid w:val="0028391B"/>
    <w:rsid w:val="00284678"/>
    <w:rsid w:val="002847BB"/>
    <w:rsid w:val="00284D2A"/>
    <w:rsid w:val="00285073"/>
    <w:rsid w:val="0028551C"/>
    <w:rsid w:val="0028573B"/>
    <w:rsid w:val="00285A46"/>
    <w:rsid w:val="002864D9"/>
    <w:rsid w:val="002867AE"/>
    <w:rsid w:val="00286973"/>
    <w:rsid w:val="00286AFA"/>
    <w:rsid w:val="00286F62"/>
    <w:rsid w:val="00287080"/>
    <w:rsid w:val="00287656"/>
    <w:rsid w:val="00287D40"/>
    <w:rsid w:val="00290BEB"/>
    <w:rsid w:val="00290FDD"/>
    <w:rsid w:val="0029126A"/>
    <w:rsid w:val="00291888"/>
    <w:rsid w:val="002918F9"/>
    <w:rsid w:val="00291AB4"/>
    <w:rsid w:val="00291B8A"/>
    <w:rsid w:val="002925D8"/>
    <w:rsid w:val="00292B95"/>
    <w:rsid w:val="00292D95"/>
    <w:rsid w:val="0029374A"/>
    <w:rsid w:val="00293BA1"/>
    <w:rsid w:val="00293D2A"/>
    <w:rsid w:val="002942D4"/>
    <w:rsid w:val="002943F9"/>
    <w:rsid w:val="00294551"/>
    <w:rsid w:val="00294715"/>
    <w:rsid w:val="00294716"/>
    <w:rsid w:val="00294808"/>
    <w:rsid w:val="00294886"/>
    <w:rsid w:val="00294CCB"/>
    <w:rsid w:val="00294E70"/>
    <w:rsid w:val="0029504D"/>
    <w:rsid w:val="00295170"/>
    <w:rsid w:val="002954CE"/>
    <w:rsid w:val="00295509"/>
    <w:rsid w:val="00295EC2"/>
    <w:rsid w:val="00295F38"/>
    <w:rsid w:val="00296414"/>
    <w:rsid w:val="00296960"/>
    <w:rsid w:val="00296E16"/>
    <w:rsid w:val="00297C60"/>
    <w:rsid w:val="00297DCA"/>
    <w:rsid w:val="002A008C"/>
    <w:rsid w:val="002A038D"/>
    <w:rsid w:val="002A0879"/>
    <w:rsid w:val="002A1924"/>
    <w:rsid w:val="002A2910"/>
    <w:rsid w:val="002A2A39"/>
    <w:rsid w:val="002A2A56"/>
    <w:rsid w:val="002A2A9A"/>
    <w:rsid w:val="002A2C12"/>
    <w:rsid w:val="002A30D2"/>
    <w:rsid w:val="002A3532"/>
    <w:rsid w:val="002A3E3A"/>
    <w:rsid w:val="002A4B34"/>
    <w:rsid w:val="002A551C"/>
    <w:rsid w:val="002A58E7"/>
    <w:rsid w:val="002A6181"/>
    <w:rsid w:val="002A6991"/>
    <w:rsid w:val="002A6F51"/>
    <w:rsid w:val="002A7420"/>
    <w:rsid w:val="002A7710"/>
    <w:rsid w:val="002A7BFA"/>
    <w:rsid w:val="002A7DB6"/>
    <w:rsid w:val="002B06C0"/>
    <w:rsid w:val="002B0F12"/>
    <w:rsid w:val="002B1179"/>
    <w:rsid w:val="002B1308"/>
    <w:rsid w:val="002B17D1"/>
    <w:rsid w:val="002B1A96"/>
    <w:rsid w:val="002B1B8C"/>
    <w:rsid w:val="002B2204"/>
    <w:rsid w:val="002B2B8B"/>
    <w:rsid w:val="002B2EC3"/>
    <w:rsid w:val="002B31FD"/>
    <w:rsid w:val="002B3FDF"/>
    <w:rsid w:val="002B41D3"/>
    <w:rsid w:val="002B44A7"/>
    <w:rsid w:val="002B4521"/>
    <w:rsid w:val="002B4554"/>
    <w:rsid w:val="002B490B"/>
    <w:rsid w:val="002B493A"/>
    <w:rsid w:val="002B4A43"/>
    <w:rsid w:val="002B4C24"/>
    <w:rsid w:val="002B5055"/>
    <w:rsid w:val="002B590A"/>
    <w:rsid w:val="002B5ACB"/>
    <w:rsid w:val="002B620F"/>
    <w:rsid w:val="002B6A7D"/>
    <w:rsid w:val="002B6C1B"/>
    <w:rsid w:val="002B6D11"/>
    <w:rsid w:val="002B7334"/>
    <w:rsid w:val="002B7582"/>
    <w:rsid w:val="002B78DA"/>
    <w:rsid w:val="002B7902"/>
    <w:rsid w:val="002C0037"/>
    <w:rsid w:val="002C173E"/>
    <w:rsid w:val="002C17B9"/>
    <w:rsid w:val="002C1988"/>
    <w:rsid w:val="002C1F35"/>
    <w:rsid w:val="002C1FAA"/>
    <w:rsid w:val="002C1FB3"/>
    <w:rsid w:val="002C25B7"/>
    <w:rsid w:val="002C25FF"/>
    <w:rsid w:val="002C27D2"/>
    <w:rsid w:val="002C2C84"/>
    <w:rsid w:val="002C395D"/>
    <w:rsid w:val="002C39C0"/>
    <w:rsid w:val="002C40A6"/>
    <w:rsid w:val="002C4242"/>
    <w:rsid w:val="002C47AD"/>
    <w:rsid w:val="002C49BA"/>
    <w:rsid w:val="002C4A45"/>
    <w:rsid w:val="002C53C1"/>
    <w:rsid w:val="002C5508"/>
    <w:rsid w:val="002C5600"/>
    <w:rsid w:val="002C5823"/>
    <w:rsid w:val="002C5848"/>
    <w:rsid w:val="002C5A0F"/>
    <w:rsid w:val="002C6177"/>
    <w:rsid w:val="002C65F4"/>
    <w:rsid w:val="002C6CD1"/>
    <w:rsid w:val="002C70BE"/>
    <w:rsid w:val="002C72D8"/>
    <w:rsid w:val="002C7D4D"/>
    <w:rsid w:val="002D003C"/>
    <w:rsid w:val="002D0291"/>
    <w:rsid w:val="002D045A"/>
    <w:rsid w:val="002D0525"/>
    <w:rsid w:val="002D099B"/>
    <w:rsid w:val="002D0B78"/>
    <w:rsid w:val="002D0C1A"/>
    <w:rsid w:val="002D0F8F"/>
    <w:rsid w:val="002D11FA"/>
    <w:rsid w:val="002D15B7"/>
    <w:rsid w:val="002D18A3"/>
    <w:rsid w:val="002D1FE5"/>
    <w:rsid w:val="002D24A0"/>
    <w:rsid w:val="002D259C"/>
    <w:rsid w:val="002D2801"/>
    <w:rsid w:val="002D286A"/>
    <w:rsid w:val="002D2C1D"/>
    <w:rsid w:val="002D33C4"/>
    <w:rsid w:val="002D3D9C"/>
    <w:rsid w:val="002D419B"/>
    <w:rsid w:val="002D442E"/>
    <w:rsid w:val="002D4C7A"/>
    <w:rsid w:val="002D56A4"/>
    <w:rsid w:val="002D5A41"/>
    <w:rsid w:val="002D62DA"/>
    <w:rsid w:val="002E0DDF"/>
    <w:rsid w:val="002E0F13"/>
    <w:rsid w:val="002E13D0"/>
    <w:rsid w:val="002E1F68"/>
    <w:rsid w:val="002E240F"/>
    <w:rsid w:val="002E28DF"/>
    <w:rsid w:val="002E2906"/>
    <w:rsid w:val="002E2D13"/>
    <w:rsid w:val="002E2D3A"/>
    <w:rsid w:val="002E2DA6"/>
    <w:rsid w:val="002E4A43"/>
    <w:rsid w:val="002E5635"/>
    <w:rsid w:val="002E56BC"/>
    <w:rsid w:val="002E5A0E"/>
    <w:rsid w:val="002E5B6A"/>
    <w:rsid w:val="002E5DD1"/>
    <w:rsid w:val="002E5F78"/>
    <w:rsid w:val="002E6403"/>
    <w:rsid w:val="002E64C3"/>
    <w:rsid w:val="002E667C"/>
    <w:rsid w:val="002E6A2C"/>
    <w:rsid w:val="002E740E"/>
    <w:rsid w:val="002E7CAC"/>
    <w:rsid w:val="002F0786"/>
    <w:rsid w:val="002F0B58"/>
    <w:rsid w:val="002F0EFE"/>
    <w:rsid w:val="002F1820"/>
    <w:rsid w:val="002F1D8C"/>
    <w:rsid w:val="002F1DB3"/>
    <w:rsid w:val="002F2084"/>
    <w:rsid w:val="002F21DA"/>
    <w:rsid w:val="002F2731"/>
    <w:rsid w:val="002F274C"/>
    <w:rsid w:val="002F28DA"/>
    <w:rsid w:val="002F3832"/>
    <w:rsid w:val="002F394B"/>
    <w:rsid w:val="002F4939"/>
    <w:rsid w:val="002F4A05"/>
    <w:rsid w:val="002F4A08"/>
    <w:rsid w:val="002F4F7B"/>
    <w:rsid w:val="002F5447"/>
    <w:rsid w:val="002F552D"/>
    <w:rsid w:val="002F558D"/>
    <w:rsid w:val="002F56FE"/>
    <w:rsid w:val="002F5DA3"/>
    <w:rsid w:val="002F606C"/>
    <w:rsid w:val="002F62BE"/>
    <w:rsid w:val="002F7424"/>
    <w:rsid w:val="002F78CE"/>
    <w:rsid w:val="002F7A36"/>
    <w:rsid w:val="00300610"/>
    <w:rsid w:val="003006D4"/>
    <w:rsid w:val="00300771"/>
    <w:rsid w:val="00300EF3"/>
    <w:rsid w:val="003010DF"/>
    <w:rsid w:val="00301125"/>
    <w:rsid w:val="003014CB"/>
    <w:rsid w:val="0030159E"/>
    <w:rsid w:val="00301F39"/>
    <w:rsid w:val="00302071"/>
    <w:rsid w:val="003024CE"/>
    <w:rsid w:val="00302F80"/>
    <w:rsid w:val="0030385C"/>
    <w:rsid w:val="0030389F"/>
    <w:rsid w:val="00303A7F"/>
    <w:rsid w:val="00303C13"/>
    <w:rsid w:val="00303C15"/>
    <w:rsid w:val="00304454"/>
    <w:rsid w:val="00304480"/>
    <w:rsid w:val="003056CD"/>
    <w:rsid w:val="00305853"/>
    <w:rsid w:val="00305AE2"/>
    <w:rsid w:val="00305BAC"/>
    <w:rsid w:val="00306255"/>
    <w:rsid w:val="003062E4"/>
    <w:rsid w:val="00306AA0"/>
    <w:rsid w:val="00307FC7"/>
    <w:rsid w:val="0031006D"/>
    <w:rsid w:val="003104B5"/>
    <w:rsid w:val="00310604"/>
    <w:rsid w:val="00310E2E"/>
    <w:rsid w:val="00310F13"/>
    <w:rsid w:val="00310F69"/>
    <w:rsid w:val="00310FBA"/>
    <w:rsid w:val="00311471"/>
    <w:rsid w:val="00311911"/>
    <w:rsid w:val="00312212"/>
    <w:rsid w:val="003124FB"/>
    <w:rsid w:val="0031255F"/>
    <w:rsid w:val="003128ED"/>
    <w:rsid w:val="003131AE"/>
    <w:rsid w:val="00313314"/>
    <w:rsid w:val="00313785"/>
    <w:rsid w:val="00314279"/>
    <w:rsid w:val="00314552"/>
    <w:rsid w:val="003146C3"/>
    <w:rsid w:val="00314EEC"/>
    <w:rsid w:val="00316182"/>
    <w:rsid w:val="00316878"/>
    <w:rsid w:val="003172B7"/>
    <w:rsid w:val="00320055"/>
    <w:rsid w:val="00320779"/>
    <w:rsid w:val="00320EFA"/>
    <w:rsid w:val="0032157E"/>
    <w:rsid w:val="003219BF"/>
    <w:rsid w:val="00321BDB"/>
    <w:rsid w:val="00321C6D"/>
    <w:rsid w:val="0032248E"/>
    <w:rsid w:val="0032249A"/>
    <w:rsid w:val="0032304A"/>
    <w:rsid w:val="00323412"/>
    <w:rsid w:val="0032355C"/>
    <w:rsid w:val="00323957"/>
    <w:rsid w:val="00323C5B"/>
    <w:rsid w:val="00324542"/>
    <w:rsid w:val="00324CB0"/>
    <w:rsid w:val="00324D34"/>
    <w:rsid w:val="0032500A"/>
    <w:rsid w:val="00325052"/>
    <w:rsid w:val="00325653"/>
    <w:rsid w:val="0032579D"/>
    <w:rsid w:val="00325926"/>
    <w:rsid w:val="00325A01"/>
    <w:rsid w:val="00325A2B"/>
    <w:rsid w:val="00325B56"/>
    <w:rsid w:val="003265CC"/>
    <w:rsid w:val="003266A4"/>
    <w:rsid w:val="00326EC4"/>
    <w:rsid w:val="00327A8A"/>
    <w:rsid w:val="00327B16"/>
    <w:rsid w:val="00330310"/>
    <w:rsid w:val="00330753"/>
    <w:rsid w:val="00330DF6"/>
    <w:rsid w:val="00330FC9"/>
    <w:rsid w:val="0033155F"/>
    <w:rsid w:val="003315A9"/>
    <w:rsid w:val="003323E1"/>
    <w:rsid w:val="003324B1"/>
    <w:rsid w:val="00333143"/>
    <w:rsid w:val="00333C78"/>
    <w:rsid w:val="003343D3"/>
    <w:rsid w:val="00334A45"/>
    <w:rsid w:val="003354C4"/>
    <w:rsid w:val="00335B6A"/>
    <w:rsid w:val="00335DEB"/>
    <w:rsid w:val="00335E9F"/>
    <w:rsid w:val="00336610"/>
    <w:rsid w:val="003367C1"/>
    <w:rsid w:val="003367F0"/>
    <w:rsid w:val="00336B72"/>
    <w:rsid w:val="00336FF6"/>
    <w:rsid w:val="003372D3"/>
    <w:rsid w:val="0033763F"/>
    <w:rsid w:val="00340019"/>
    <w:rsid w:val="0034050F"/>
    <w:rsid w:val="0034077A"/>
    <w:rsid w:val="00340BD9"/>
    <w:rsid w:val="00340D0C"/>
    <w:rsid w:val="003410C6"/>
    <w:rsid w:val="0034128A"/>
    <w:rsid w:val="003413D1"/>
    <w:rsid w:val="003419E9"/>
    <w:rsid w:val="0034202D"/>
    <w:rsid w:val="00342852"/>
    <w:rsid w:val="00342D39"/>
    <w:rsid w:val="00343ABC"/>
    <w:rsid w:val="00343AF9"/>
    <w:rsid w:val="00343F73"/>
    <w:rsid w:val="00344593"/>
    <w:rsid w:val="00345060"/>
    <w:rsid w:val="003455CC"/>
    <w:rsid w:val="003457C3"/>
    <w:rsid w:val="003457E4"/>
    <w:rsid w:val="003458B7"/>
    <w:rsid w:val="00346005"/>
    <w:rsid w:val="00346007"/>
    <w:rsid w:val="003462B7"/>
    <w:rsid w:val="00346D33"/>
    <w:rsid w:val="00346E1A"/>
    <w:rsid w:val="00346F07"/>
    <w:rsid w:val="0034700A"/>
    <w:rsid w:val="0034725C"/>
    <w:rsid w:val="00347805"/>
    <w:rsid w:val="00347926"/>
    <w:rsid w:val="003501FC"/>
    <w:rsid w:val="003509D4"/>
    <w:rsid w:val="00350B92"/>
    <w:rsid w:val="00350EDE"/>
    <w:rsid w:val="00351319"/>
    <w:rsid w:val="00351A1E"/>
    <w:rsid w:val="00351EB3"/>
    <w:rsid w:val="0035209A"/>
    <w:rsid w:val="00352729"/>
    <w:rsid w:val="003527BF"/>
    <w:rsid w:val="003528C9"/>
    <w:rsid w:val="003529E6"/>
    <w:rsid w:val="00352A1C"/>
    <w:rsid w:val="00352F49"/>
    <w:rsid w:val="0035323B"/>
    <w:rsid w:val="00353847"/>
    <w:rsid w:val="00353B28"/>
    <w:rsid w:val="00353F74"/>
    <w:rsid w:val="0035427D"/>
    <w:rsid w:val="00354516"/>
    <w:rsid w:val="003546FC"/>
    <w:rsid w:val="00354B18"/>
    <w:rsid w:val="00354D9C"/>
    <w:rsid w:val="003551E3"/>
    <w:rsid w:val="00355FE4"/>
    <w:rsid w:val="00356E9E"/>
    <w:rsid w:val="00357541"/>
    <w:rsid w:val="003575F7"/>
    <w:rsid w:val="00357B5A"/>
    <w:rsid w:val="00357EB8"/>
    <w:rsid w:val="00357FC8"/>
    <w:rsid w:val="003608C8"/>
    <w:rsid w:val="003609D2"/>
    <w:rsid w:val="003611A4"/>
    <w:rsid w:val="00362919"/>
    <w:rsid w:val="00362B3B"/>
    <w:rsid w:val="00362E7F"/>
    <w:rsid w:val="00363721"/>
    <w:rsid w:val="00363908"/>
    <w:rsid w:val="00363AB3"/>
    <w:rsid w:val="00363F22"/>
    <w:rsid w:val="00364BAC"/>
    <w:rsid w:val="00364E22"/>
    <w:rsid w:val="00365026"/>
    <w:rsid w:val="00365D37"/>
    <w:rsid w:val="00366036"/>
    <w:rsid w:val="0036693E"/>
    <w:rsid w:val="00367F65"/>
    <w:rsid w:val="0037042E"/>
    <w:rsid w:val="00370524"/>
    <w:rsid w:val="0037066B"/>
    <w:rsid w:val="003706F9"/>
    <w:rsid w:val="00370A12"/>
    <w:rsid w:val="00370E72"/>
    <w:rsid w:val="003714C7"/>
    <w:rsid w:val="00371CEF"/>
    <w:rsid w:val="00371FB9"/>
    <w:rsid w:val="003727E0"/>
    <w:rsid w:val="00372E68"/>
    <w:rsid w:val="003732F5"/>
    <w:rsid w:val="003735FB"/>
    <w:rsid w:val="00374983"/>
    <w:rsid w:val="00374A0D"/>
    <w:rsid w:val="00374A43"/>
    <w:rsid w:val="00375082"/>
    <w:rsid w:val="00375564"/>
    <w:rsid w:val="00375AE6"/>
    <w:rsid w:val="00375BF3"/>
    <w:rsid w:val="0037687A"/>
    <w:rsid w:val="00376AD8"/>
    <w:rsid w:val="00376F09"/>
    <w:rsid w:val="003770E1"/>
    <w:rsid w:val="003772C8"/>
    <w:rsid w:val="003773EE"/>
    <w:rsid w:val="00377870"/>
    <w:rsid w:val="00377C4C"/>
    <w:rsid w:val="00377DB1"/>
    <w:rsid w:val="00377F7D"/>
    <w:rsid w:val="0038116B"/>
    <w:rsid w:val="0038149C"/>
    <w:rsid w:val="003817E7"/>
    <w:rsid w:val="00381DCC"/>
    <w:rsid w:val="00381DD6"/>
    <w:rsid w:val="003822A2"/>
    <w:rsid w:val="00382726"/>
    <w:rsid w:val="00382A66"/>
    <w:rsid w:val="00382CBD"/>
    <w:rsid w:val="00382F5F"/>
    <w:rsid w:val="00383191"/>
    <w:rsid w:val="00383268"/>
    <w:rsid w:val="00383283"/>
    <w:rsid w:val="0038371D"/>
    <w:rsid w:val="00383CC0"/>
    <w:rsid w:val="00383E6A"/>
    <w:rsid w:val="00384549"/>
    <w:rsid w:val="003849C8"/>
    <w:rsid w:val="00384A65"/>
    <w:rsid w:val="00385464"/>
    <w:rsid w:val="003856A1"/>
    <w:rsid w:val="00386118"/>
    <w:rsid w:val="003861FB"/>
    <w:rsid w:val="00386606"/>
    <w:rsid w:val="003868D7"/>
    <w:rsid w:val="00386A96"/>
    <w:rsid w:val="00386DED"/>
    <w:rsid w:val="00387292"/>
    <w:rsid w:val="0038778B"/>
    <w:rsid w:val="003879CC"/>
    <w:rsid w:val="00390AFF"/>
    <w:rsid w:val="003912E7"/>
    <w:rsid w:val="00391791"/>
    <w:rsid w:val="003917C0"/>
    <w:rsid w:val="00391BCA"/>
    <w:rsid w:val="00391D0E"/>
    <w:rsid w:val="00391D4D"/>
    <w:rsid w:val="0039218D"/>
    <w:rsid w:val="003927E1"/>
    <w:rsid w:val="00392907"/>
    <w:rsid w:val="0039362E"/>
    <w:rsid w:val="00393947"/>
    <w:rsid w:val="00393ED2"/>
    <w:rsid w:val="00394335"/>
    <w:rsid w:val="0039436F"/>
    <w:rsid w:val="00394526"/>
    <w:rsid w:val="00394B20"/>
    <w:rsid w:val="00394DE6"/>
    <w:rsid w:val="003952C8"/>
    <w:rsid w:val="0039584E"/>
    <w:rsid w:val="00395C94"/>
    <w:rsid w:val="00395E92"/>
    <w:rsid w:val="0039716B"/>
    <w:rsid w:val="0039759B"/>
    <w:rsid w:val="003978A6"/>
    <w:rsid w:val="0039791A"/>
    <w:rsid w:val="00397EC4"/>
    <w:rsid w:val="003A006A"/>
    <w:rsid w:val="003A00F0"/>
    <w:rsid w:val="003A033A"/>
    <w:rsid w:val="003A0886"/>
    <w:rsid w:val="003A0B60"/>
    <w:rsid w:val="003A0CD4"/>
    <w:rsid w:val="003A110B"/>
    <w:rsid w:val="003A1816"/>
    <w:rsid w:val="003A1963"/>
    <w:rsid w:val="003A2275"/>
    <w:rsid w:val="003A28C0"/>
    <w:rsid w:val="003A2CCF"/>
    <w:rsid w:val="003A3084"/>
    <w:rsid w:val="003A30D4"/>
    <w:rsid w:val="003A3607"/>
    <w:rsid w:val="003A3920"/>
    <w:rsid w:val="003A3ABD"/>
    <w:rsid w:val="003A3AD8"/>
    <w:rsid w:val="003A3B46"/>
    <w:rsid w:val="003A3B58"/>
    <w:rsid w:val="003A3F4B"/>
    <w:rsid w:val="003A4232"/>
    <w:rsid w:val="003A4500"/>
    <w:rsid w:val="003A4BAF"/>
    <w:rsid w:val="003A4F16"/>
    <w:rsid w:val="003A57F3"/>
    <w:rsid w:val="003A582E"/>
    <w:rsid w:val="003A60FF"/>
    <w:rsid w:val="003A61C8"/>
    <w:rsid w:val="003A658F"/>
    <w:rsid w:val="003A665C"/>
    <w:rsid w:val="003A6A4F"/>
    <w:rsid w:val="003A6E34"/>
    <w:rsid w:val="003A6F04"/>
    <w:rsid w:val="003A7088"/>
    <w:rsid w:val="003A71A7"/>
    <w:rsid w:val="003A7F40"/>
    <w:rsid w:val="003B00DF"/>
    <w:rsid w:val="003B0205"/>
    <w:rsid w:val="003B0315"/>
    <w:rsid w:val="003B049F"/>
    <w:rsid w:val="003B059E"/>
    <w:rsid w:val="003B05EB"/>
    <w:rsid w:val="003B087E"/>
    <w:rsid w:val="003B09CF"/>
    <w:rsid w:val="003B0CD7"/>
    <w:rsid w:val="003B1086"/>
    <w:rsid w:val="003B1275"/>
    <w:rsid w:val="003B1778"/>
    <w:rsid w:val="003B2223"/>
    <w:rsid w:val="003B2807"/>
    <w:rsid w:val="003B2AEF"/>
    <w:rsid w:val="003B38D4"/>
    <w:rsid w:val="003B3985"/>
    <w:rsid w:val="003B3D11"/>
    <w:rsid w:val="003B3E21"/>
    <w:rsid w:val="003B3F03"/>
    <w:rsid w:val="003B41D2"/>
    <w:rsid w:val="003B477B"/>
    <w:rsid w:val="003B49B8"/>
    <w:rsid w:val="003B4A21"/>
    <w:rsid w:val="003B4FF8"/>
    <w:rsid w:val="003B501C"/>
    <w:rsid w:val="003B5833"/>
    <w:rsid w:val="003B5E44"/>
    <w:rsid w:val="003B6034"/>
    <w:rsid w:val="003B6754"/>
    <w:rsid w:val="003B6C61"/>
    <w:rsid w:val="003B6D06"/>
    <w:rsid w:val="003B7A09"/>
    <w:rsid w:val="003C0357"/>
    <w:rsid w:val="003C0613"/>
    <w:rsid w:val="003C0657"/>
    <w:rsid w:val="003C0C33"/>
    <w:rsid w:val="003C0C71"/>
    <w:rsid w:val="003C11CB"/>
    <w:rsid w:val="003C1227"/>
    <w:rsid w:val="003C183A"/>
    <w:rsid w:val="003C18F3"/>
    <w:rsid w:val="003C1E7C"/>
    <w:rsid w:val="003C2588"/>
    <w:rsid w:val="003C299F"/>
    <w:rsid w:val="003C2D7F"/>
    <w:rsid w:val="003C2E41"/>
    <w:rsid w:val="003C3041"/>
    <w:rsid w:val="003C3110"/>
    <w:rsid w:val="003C322D"/>
    <w:rsid w:val="003C352D"/>
    <w:rsid w:val="003C396A"/>
    <w:rsid w:val="003C3AAE"/>
    <w:rsid w:val="003C40AF"/>
    <w:rsid w:val="003C4761"/>
    <w:rsid w:val="003C49A9"/>
    <w:rsid w:val="003C4DD8"/>
    <w:rsid w:val="003C4E02"/>
    <w:rsid w:val="003C579E"/>
    <w:rsid w:val="003C6A50"/>
    <w:rsid w:val="003C75F3"/>
    <w:rsid w:val="003C78A3"/>
    <w:rsid w:val="003C78AF"/>
    <w:rsid w:val="003C7F7B"/>
    <w:rsid w:val="003D0CD5"/>
    <w:rsid w:val="003D126D"/>
    <w:rsid w:val="003D19DB"/>
    <w:rsid w:val="003D1BA7"/>
    <w:rsid w:val="003D2974"/>
    <w:rsid w:val="003D2A7C"/>
    <w:rsid w:val="003D2E01"/>
    <w:rsid w:val="003D3028"/>
    <w:rsid w:val="003D30D9"/>
    <w:rsid w:val="003D3175"/>
    <w:rsid w:val="003D3318"/>
    <w:rsid w:val="003D3581"/>
    <w:rsid w:val="003D36E3"/>
    <w:rsid w:val="003D4DB2"/>
    <w:rsid w:val="003D528E"/>
    <w:rsid w:val="003D589B"/>
    <w:rsid w:val="003D5C32"/>
    <w:rsid w:val="003D5E5B"/>
    <w:rsid w:val="003D6934"/>
    <w:rsid w:val="003E08B4"/>
    <w:rsid w:val="003E0B05"/>
    <w:rsid w:val="003E0BEA"/>
    <w:rsid w:val="003E0EA5"/>
    <w:rsid w:val="003E0FAB"/>
    <w:rsid w:val="003E1115"/>
    <w:rsid w:val="003E1867"/>
    <w:rsid w:val="003E1E41"/>
    <w:rsid w:val="003E2228"/>
    <w:rsid w:val="003E23B1"/>
    <w:rsid w:val="003E240B"/>
    <w:rsid w:val="003E24B0"/>
    <w:rsid w:val="003E2695"/>
    <w:rsid w:val="003E3265"/>
    <w:rsid w:val="003E3504"/>
    <w:rsid w:val="003E3634"/>
    <w:rsid w:val="003E3694"/>
    <w:rsid w:val="003E3C3C"/>
    <w:rsid w:val="003E3E10"/>
    <w:rsid w:val="003E4E75"/>
    <w:rsid w:val="003E525F"/>
    <w:rsid w:val="003E5729"/>
    <w:rsid w:val="003E579C"/>
    <w:rsid w:val="003E61D9"/>
    <w:rsid w:val="003E6AEC"/>
    <w:rsid w:val="003E7AC4"/>
    <w:rsid w:val="003F0608"/>
    <w:rsid w:val="003F0736"/>
    <w:rsid w:val="003F0766"/>
    <w:rsid w:val="003F0CA2"/>
    <w:rsid w:val="003F0E53"/>
    <w:rsid w:val="003F21DB"/>
    <w:rsid w:val="003F234C"/>
    <w:rsid w:val="003F248D"/>
    <w:rsid w:val="003F2A8A"/>
    <w:rsid w:val="003F2F21"/>
    <w:rsid w:val="003F2FF7"/>
    <w:rsid w:val="003F36B5"/>
    <w:rsid w:val="003F4634"/>
    <w:rsid w:val="003F470F"/>
    <w:rsid w:val="003F493F"/>
    <w:rsid w:val="003F49F8"/>
    <w:rsid w:val="003F4EE0"/>
    <w:rsid w:val="003F5087"/>
    <w:rsid w:val="003F511B"/>
    <w:rsid w:val="003F5528"/>
    <w:rsid w:val="003F5B4C"/>
    <w:rsid w:val="003F5BAA"/>
    <w:rsid w:val="003F60CE"/>
    <w:rsid w:val="003F6566"/>
    <w:rsid w:val="003F6D6F"/>
    <w:rsid w:val="003F790B"/>
    <w:rsid w:val="003F7BB9"/>
    <w:rsid w:val="004003E0"/>
    <w:rsid w:val="004005B4"/>
    <w:rsid w:val="00400B42"/>
    <w:rsid w:val="00400BF1"/>
    <w:rsid w:val="00400D7A"/>
    <w:rsid w:val="00401692"/>
    <w:rsid w:val="00401C64"/>
    <w:rsid w:val="00401FE2"/>
    <w:rsid w:val="00402153"/>
    <w:rsid w:val="0040284D"/>
    <w:rsid w:val="00402C5B"/>
    <w:rsid w:val="00402FC1"/>
    <w:rsid w:val="004032C1"/>
    <w:rsid w:val="00403408"/>
    <w:rsid w:val="004035C7"/>
    <w:rsid w:val="004036FF"/>
    <w:rsid w:val="0040381E"/>
    <w:rsid w:val="00404038"/>
    <w:rsid w:val="00404320"/>
    <w:rsid w:val="00404938"/>
    <w:rsid w:val="00404AAE"/>
    <w:rsid w:val="00404B4C"/>
    <w:rsid w:val="00404BD6"/>
    <w:rsid w:val="00405448"/>
    <w:rsid w:val="004057F2"/>
    <w:rsid w:val="00405DD7"/>
    <w:rsid w:val="0040623A"/>
    <w:rsid w:val="00406354"/>
    <w:rsid w:val="0040672E"/>
    <w:rsid w:val="00406CB9"/>
    <w:rsid w:val="00406CD4"/>
    <w:rsid w:val="00406EF2"/>
    <w:rsid w:val="004077F4"/>
    <w:rsid w:val="004078B1"/>
    <w:rsid w:val="004102F6"/>
    <w:rsid w:val="00410574"/>
    <w:rsid w:val="00410635"/>
    <w:rsid w:val="004108EF"/>
    <w:rsid w:val="00411492"/>
    <w:rsid w:val="00411740"/>
    <w:rsid w:val="004117FA"/>
    <w:rsid w:val="00411EDA"/>
    <w:rsid w:val="00411F08"/>
    <w:rsid w:val="00412CE8"/>
    <w:rsid w:val="00412D33"/>
    <w:rsid w:val="00412E90"/>
    <w:rsid w:val="00413371"/>
    <w:rsid w:val="00413F87"/>
    <w:rsid w:val="004149FD"/>
    <w:rsid w:val="00414D64"/>
    <w:rsid w:val="004158E9"/>
    <w:rsid w:val="00415956"/>
    <w:rsid w:val="00415E81"/>
    <w:rsid w:val="0041637E"/>
    <w:rsid w:val="0041677A"/>
    <w:rsid w:val="004169B7"/>
    <w:rsid w:val="004171B7"/>
    <w:rsid w:val="0041749D"/>
    <w:rsid w:val="0041764C"/>
    <w:rsid w:val="004179EA"/>
    <w:rsid w:val="00417A5F"/>
    <w:rsid w:val="00420A5A"/>
    <w:rsid w:val="00420D01"/>
    <w:rsid w:val="00420D71"/>
    <w:rsid w:val="00420E22"/>
    <w:rsid w:val="00421097"/>
    <w:rsid w:val="004210BB"/>
    <w:rsid w:val="004210CF"/>
    <w:rsid w:val="00421379"/>
    <w:rsid w:val="00421F61"/>
    <w:rsid w:val="00422304"/>
    <w:rsid w:val="004223C2"/>
    <w:rsid w:val="004227F6"/>
    <w:rsid w:val="004228AD"/>
    <w:rsid w:val="004237D8"/>
    <w:rsid w:val="00423A92"/>
    <w:rsid w:val="00423ECA"/>
    <w:rsid w:val="00424545"/>
    <w:rsid w:val="00424C24"/>
    <w:rsid w:val="00424DC9"/>
    <w:rsid w:val="00425082"/>
    <w:rsid w:val="004251C8"/>
    <w:rsid w:val="00425220"/>
    <w:rsid w:val="004254DF"/>
    <w:rsid w:val="00425D00"/>
    <w:rsid w:val="00425E8D"/>
    <w:rsid w:val="00425FC6"/>
    <w:rsid w:val="004260AB"/>
    <w:rsid w:val="00426B2A"/>
    <w:rsid w:val="00426C68"/>
    <w:rsid w:val="004271E9"/>
    <w:rsid w:val="00427465"/>
    <w:rsid w:val="00427706"/>
    <w:rsid w:val="00430220"/>
    <w:rsid w:val="004304D9"/>
    <w:rsid w:val="00430B0E"/>
    <w:rsid w:val="00430C5B"/>
    <w:rsid w:val="00430E94"/>
    <w:rsid w:val="00430F64"/>
    <w:rsid w:val="00431153"/>
    <w:rsid w:val="00431232"/>
    <w:rsid w:val="0043142D"/>
    <w:rsid w:val="00431DEB"/>
    <w:rsid w:val="00432AA1"/>
    <w:rsid w:val="00433D09"/>
    <w:rsid w:val="00433EEB"/>
    <w:rsid w:val="004341CA"/>
    <w:rsid w:val="004343CD"/>
    <w:rsid w:val="00434A89"/>
    <w:rsid w:val="00434F7B"/>
    <w:rsid w:val="00435008"/>
    <w:rsid w:val="0043520D"/>
    <w:rsid w:val="004358C7"/>
    <w:rsid w:val="00436173"/>
    <w:rsid w:val="0043708D"/>
    <w:rsid w:val="00440445"/>
    <w:rsid w:val="00440567"/>
    <w:rsid w:val="00440A25"/>
    <w:rsid w:val="00440F46"/>
    <w:rsid w:val="00441C06"/>
    <w:rsid w:val="004420DA"/>
    <w:rsid w:val="00443C48"/>
    <w:rsid w:val="00443E61"/>
    <w:rsid w:val="004446EE"/>
    <w:rsid w:val="00444D64"/>
    <w:rsid w:val="00444F48"/>
    <w:rsid w:val="00445146"/>
    <w:rsid w:val="004457E6"/>
    <w:rsid w:val="00445B00"/>
    <w:rsid w:val="00446B29"/>
    <w:rsid w:val="00446EE7"/>
    <w:rsid w:val="004470E5"/>
    <w:rsid w:val="0044767B"/>
    <w:rsid w:val="00447729"/>
    <w:rsid w:val="004479B6"/>
    <w:rsid w:val="00450F6C"/>
    <w:rsid w:val="00451797"/>
    <w:rsid w:val="00451F85"/>
    <w:rsid w:val="00452DC9"/>
    <w:rsid w:val="0045373C"/>
    <w:rsid w:val="00453A15"/>
    <w:rsid w:val="00453F9A"/>
    <w:rsid w:val="0045413F"/>
    <w:rsid w:val="00454674"/>
    <w:rsid w:val="004546BA"/>
    <w:rsid w:val="00454B46"/>
    <w:rsid w:val="00454E05"/>
    <w:rsid w:val="0045560D"/>
    <w:rsid w:val="0045624D"/>
    <w:rsid w:val="004575FD"/>
    <w:rsid w:val="00457A46"/>
    <w:rsid w:val="00457B69"/>
    <w:rsid w:val="00457F5E"/>
    <w:rsid w:val="004605D0"/>
    <w:rsid w:val="004612A7"/>
    <w:rsid w:val="00461575"/>
    <w:rsid w:val="004617B9"/>
    <w:rsid w:val="00461957"/>
    <w:rsid w:val="00461C1D"/>
    <w:rsid w:val="00461E0B"/>
    <w:rsid w:val="00461E76"/>
    <w:rsid w:val="00462150"/>
    <w:rsid w:val="00462863"/>
    <w:rsid w:val="0046301D"/>
    <w:rsid w:val="004636C1"/>
    <w:rsid w:val="004644BB"/>
    <w:rsid w:val="0046451B"/>
    <w:rsid w:val="004648D9"/>
    <w:rsid w:val="00464AAF"/>
    <w:rsid w:val="00464C62"/>
    <w:rsid w:val="00465CDB"/>
    <w:rsid w:val="004662D3"/>
    <w:rsid w:val="004663C4"/>
    <w:rsid w:val="00467858"/>
    <w:rsid w:val="00467F1A"/>
    <w:rsid w:val="00467F2B"/>
    <w:rsid w:val="00470FE6"/>
    <w:rsid w:val="004710CD"/>
    <w:rsid w:val="00471230"/>
    <w:rsid w:val="00471B90"/>
    <w:rsid w:val="00471E91"/>
    <w:rsid w:val="0047204C"/>
    <w:rsid w:val="00472A2F"/>
    <w:rsid w:val="00472ADB"/>
    <w:rsid w:val="00472BA2"/>
    <w:rsid w:val="004738FF"/>
    <w:rsid w:val="00473AE3"/>
    <w:rsid w:val="00473C22"/>
    <w:rsid w:val="00473FCA"/>
    <w:rsid w:val="00474223"/>
    <w:rsid w:val="004744D7"/>
    <w:rsid w:val="00474675"/>
    <w:rsid w:val="0047470C"/>
    <w:rsid w:val="00474935"/>
    <w:rsid w:val="00474B2B"/>
    <w:rsid w:val="00474B36"/>
    <w:rsid w:val="00474BE2"/>
    <w:rsid w:val="00474D7C"/>
    <w:rsid w:val="0047544D"/>
    <w:rsid w:val="00475BBF"/>
    <w:rsid w:val="00475E1F"/>
    <w:rsid w:val="0047653C"/>
    <w:rsid w:val="00476873"/>
    <w:rsid w:val="00476B0A"/>
    <w:rsid w:val="00476C75"/>
    <w:rsid w:val="004779B4"/>
    <w:rsid w:val="00477C36"/>
    <w:rsid w:val="00477DF5"/>
    <w:rsid w:val="0048071F"/>
    <w:rsid w:val="00480A8D"/>
    <w:rsid w:val="00480FEA"/>
    <w:rsid w:val="004812B1"/>
    <w:rsid w:val="00481DBC"/>
    <w:rsid w:val="00481E6E"/>
    <w:rsid w:val="004823D2"/>
    <w:rsid w:val="004826D0"/>
    <w:rsid w:val="004827E2"/>
    <w:rsid w:val="00482F4B"/>
    <w:rsid w:val="00483286"/>
    <w:rsid w:val="004832F2"/>
    <w:rsid w:val="00483724"/>
    <w:rsid w:val="00483A41"/>
    <w:rsid w:val="00483B0C"/>
    <w:rsid w:val="00483C14"/>
    <w:rsid w:val="00483FC9"/>
    <w:rsid w:val="0048423E"/>
    <w:rsid w:val="004844B4"/>
    <w:rsid w:val="004844F6"/>
    <w:rsid w:val="00484838"/>
    <w:rsid w:val="004848E2"/>
    <w:rsid w:val="00484FC0"/>
    <w:rsid w:val="0048580C"/>
    <w:rsid w:val="0048586E"/>
    <w:rsid w:val="00485AFA"/>
    <w:rsid w:val="00485FCF"/>
    <w:rsid w:val="00486003"/>
    <w:rsid w:val="00486119"/>
    <w:rsid w:val="004863A5"/>
    <w:rsid w:val="004864BA"/>
    <w:rsid w:val="00486FA5"/>
    <w:rsid w:val="004873A9"/>
    <w:rsid w:val="00487A51"/>
    <w:rsid w:val="00490030"/>
    <w:rsid w:val="004902FC"/>
    <w:rsid w:val="0049065B"/>
    <w:rsid w:val="004906A6"/>
    <w:rsid w:val="00490A9A"/>
    <w:rsid w:val="00490EF2"/>
    <w:rsid w:val="00490F7F"/>
    <w:rsid w:val="004910C9"/>
    <w:rsid w:val="004914EA"/>
    <w:rsid w:val="00491746"/>
    <w:rsid w:val="00491752"/>
    <w:rsid w:val="00491A25"/>
    <w:rsid w:val="00491CD1"/>
    <w:rsid w:val="00491F4E"/>
    <w:rsid w:val="00492A93"/>
    <w:rsid w:val="0049318A"/>
    <w:rsid w:val="004933CC"/>
    <w:rsid w:val="00493953"/>
    <w:rsid w:val="00493B5D"/>
    <w:rsid w:val="00494001"/>
    <w:rsid w:val="00494089"/>
    <w:rsid w:val="00494302"/>
    <w:rsid w:val="004946FF"/>
    <w:rsid w:val="004947EA"/>
    <w:rsid w:val="0049487D"/>
    <w:rsid w:val="00494E89"/>
    <w:rsid w:val="00494F15"/>
    <w:rsid w:val="00494FD1"/>
    <w:rsid w:val="004954A3"/>
    <w:rsid w:val="00495C71"/>
    <w:rsid w:val="004961AD"/>
    <w:rsid w:val="00496394"/>
    <w:rsid w:val="00496536"/>
    <w:rsid w:val="004967D1"/>
    <w:rsid w:val="00496E16"/>
    <w:rsid w:val="004976EA"/>
    <w:rsid w:val="004979F2"/>
    <w:rsid w:val="00497BF0"/>
    <w:rsid w:val="004A01FE"/>
    <w:rsid w:val="004A0252"/>
    <w:rsid w:val="004A03ED"/>
    <w:rsid w:val="004A053E"/>
    <w:rsid w:val="004A0961"/>
    <w:rsid w:val="004A0DC1"/>
    <w:rsid w:val="004A128F"/>
    <w:rsid w:val="004A18CD"/>
    <w:rsid w:val="004A2105"/>
    <w:rsid w:val="004A2416"/>
    <w:rsid w:val="004A2648"/>
    <w:rsid w:val="004A2F2E"/>
    <w:rsid w:val="004A31CF"/>
    <w:rsid w:val="004A3286"/>
    <w:rsid w:val="004A32C5"/>
    <w:rsid w:val="004A35F9"/>
    <w:rsid w:val="004A3623"/>
    <w:rsid w:val="004A408B"/>
    <w:rsid w:val="004A459E"/>
    <w:rsid w:val="004A45F8"/>
    <w:rsid w:val="004A4987"/>
    <w:rsid w:val="004A5730"/>
    <w:rsid w:val="004A5883"/>
    <w:rsid w:val="004A5A14"/>
    <w:rsid w:val="004A5BB6"/>
    <w:rsid w:val="004A60F7"/>
    <w:rsid w:val="004A6D45"/>
    <w:rsid w:val="004A74A9"/>
    <w:rsid w:val="004A76DB"/>
    <w:rsid w:val="004A7A36"/>
    <w:rsid w:val="004B0BDB"/>
    <w:rsid w:val="004B0CDD"/>
    <w:rsid w:val="004B16F9"/>
    <w:rsid w:val="004B2361"/>
    <w:rsid w:val="004B24C1"/>
    <w:rsid w:val="004B2519"/>
    <w:rsid w:val="004B2566"/>
    <w:rsid w:val="004B2A12"/>
    <w:rsid w:val="004B2B98"/>
    <w:rsid w:val="004B2F8F"/>
    <w:rsid w:val="004B372A"/>
    <w:rsid w:val="004B3FD2"/>
    <w:rsid w:val="004B40C9"/>
    <w:rsid w:val="004B40FC"/>
    <w:rsid w:val="004B4280"/>
    <w:rsid w:val="004B42C7"/>
    <w:rsid w:val="004B4CD4"/>
    <w:rsid w:val="004B52EE"/>
    <w:rsid w:val="004B57F6"/>
    <w:rsid w:val="004B58A3"/>
    <w:rsid w:val="004B5CEA"/>
    <w:rsid w:val="004B652A"/>
    <w:rsid w:val="004B682D"/>
    <w:rsid w:val="004B695E"/>
    <w:rsid w:val="004B6BD8"/>
    <w:rsid w:val="004B71E8"/>
    <w:rsid w:val="004B73E8"/>
    <w:rsid w:val="004B7776"/>
    <w:rsid w:val="004B7806"/>
    <w:rsid w:val="004B7E45"/>
    <w:rsid w:val="004C09EC"/>
    <w:rsid w:val="004C0EF3"/>
    <w:rsid w:val="004C1C3F"/>
    <w:rsid w:val="004C21FE"/>
    <w:rsid w:val="004C292F"/>
    <w:rsid w:val="004C2ED5"/>
    <w:rsid w:val="004C396C"/>
    <w:rsid w:val="004C3B57"/>
    <w:rsid w:val="004C4892"/>
    <w:rsid w:val="004C4F4A"/>
    <w:rsid w:val="004C51C3"/>
    <w:rsid w:val="004C566E"/>
    <w:rsid w:val="004C573C"/>
    <w:rsid w:val="004C57BC"/>
    <w:rsid w:val="004C5835"/>
    <w:rsid w:val="004C6015"/>
    <w:rsid w:val="004C62D7"/>
    <w:rsid w:val="004C62DD"/>
    <w:rsid w:val="004C66B8"/>
    <w:rsid w:val="004C6733"/>
    <w:rsid w:val="004C6BA1"/>
    <w:rsid w:val="004C78A0"/>
    <w:rsid w:val="004C799E"/>
    <w:rsid w:val="004D03F7"/>
    <w:rsid w:val="004D06A1"/>
    <w:rsid w:val="004D07A0"/>
    <w:rsid w:val="004D09E3"/>
    <w:rsid w:val="004D1278"/>
    <w:rsid w:val="004D1336"/>
    <w:rsid w:val="004D2031"/>
    <w:rsid w:val="004D21CD"/>
    <w:rsid w:val="004D2BD7"/>
    <w:rsid w:val="004D3B0D"/>
    <w:rsid w:val="004D4266"/>
    <w:rsid w:val="004D45DA"/>
    <w:rsid w:val="004D53E9"/>
    <w:rsid w:val="004D57DF"/>
    <w:rsid w:val="004D5A95"/>
    <w:rsid w:val="004D5AA6"/>
    <w:rsid w:val="004D6044"/>
    <w:rsid w:val="004D66D2"/>
    <w:rsid w:val="004D6827"/>
    <w:rsid w:val="004D6E0A"/>
    <w:rsid w:val="004D6FF7"/>
    <w:rsid w:val="004D76BD"/>
    <w:rsid w:val="004E0724"/>
    <w:rsid w:val="004E084D"/>
    <w:rsid w:val="004E0B85"/>
    <w:rsid w:val="004E0DE8"/>
    <w:rsid w:val="004E11AB"/>
    <w:rsid w:val="004E13A7"/>
    <w:rsid w:val="004E1A45"/>
    <w:rsid w:val="004E1A89"/>
    <w:rsid w:val="004E1C95"/>
    <w:rsid w:val="004E23DA"/>
    <w:rsid w:val="004E3069"/>
    <w:rsid w:val="004E3156"/>
    <w:rsid w:val="004E39CA"/>
    <w:rsid w:val="004E3CEE"/>
    <w:rsid w:val="004E4119"/>
    <w:rsid w:val="004E4F34"/>
    <w:rsid w:val="004E4F83"/>
    <w:rsid w:val="004E5AD0"/>
    <w:rsid w:val="004E5B20"/>
    <w:rsid w:val="004E6326"/>
    <w:rsid w:val="004E6568"/>
    <w:rsid w:val="004E69C7"/>
    <w:rsid w:val="004E7162"/>
    <w:rsid w:val="004E75AC"/>
    <w:rsid w:val="004E7DE6"/>
    <w:rsid w:val="004E7FDA"/>
    <w:rsid w:val="004F0442"/>
    <w:rsid w:val="004F055E"/>
    <w:rsid w:val="004F0587"/>
    <w:rsid w:val="004F131D"/>
    <w:rsid w:val="004F13C3"/>
    <w:rsid w:val="004F17EA"/>
    <w:rsid w:val="004F1BE2"/>
    <w:rsid w:val="004F1EE6"/>
    <w:rsid w:val="004F295C"/>
    <w:rsid w:val="004F2C33"/>
    <w:rsid w:val="004F343C"/>
    <w:rsid w:val="004F37E1"/>
    <w:rsid w:val="004F445F"/>
    <w:rsid w:val="004F5232"/>
    <w:rsid w:val="004F5A9F"/>
    <w:rsid w:val="004F5E1A"/>
    <w:rsid w:val="004F6244"/>
    <w:rsid w:val="004F67EE"/>
    <w:rsid w:val="004F793C"/>
    <w:rsid w:val="004F7D7F"/>
    <w:rsid w:val="005000EB"/>
    <w:rsid w:val="00500174"/>
    <w:rsid w:val="0050055F"/>
    <w:rsid w:val="00500772"/>
    <w:rsid w:val="00500B02"/>
    <w:rsid w:val="00500B2D"/>
    <w:rsid w:val="00500C15"/>
    <w:rsid w:val="00500D8D"/>
    <w:rsid w:val="00500E49"/>
    <w:rsid w:val="005018B7"/>
    <w:rsid w:val="00501BB1"/>
    <w:rsid w:val="00501E89"/>
    <w:rsid w:val="0050200F"/>
    <w:rsid w:val="00502C74"/>
    <w:rsid w:val="00502DE8"/>
    <w:rsid w:val="005045A0"/>
    <w:rsid w:val="00504744"/>
    <w:rsid w:val="00504E4B"/>
    <w:rsid w:val="005051ED"/>
    <w:rsid w:val="00505874"/>
    <w:rsid w:val="00505DC2"/>
    <w:rsid w:val="00506709"/>
    <w:rsid w:val="00506B7E"/>
    <w:rsid w:val="00506F4C"/>
    <w:rsid w:val="005070A3"/>
    <w:rsid w:val="005072E2"/>
    <w:rsid w:val="00510280"/>
    <w:rsid w:val="005105F0"/>
    <w:rsid w:val="00510A79"/>
    <w:rsid w:val="005110FA"/>
    <w:rsid w:val="005111A4"/>
    <w:rsid w:val="005112EB"/>
    <w:rsid w:val="00511368"/>
    <w:rsid w:val="00512484"/>
    <w:rsid w:val="00512619"/>
    <w:rsid w:val="005132B6"/>
    <w:rsid w:val="00513B7A"/>
    <w:rsid w:val="00513BFB"/>
    <w:rsid w:val="00513D73"/>
    <w:rsid w:val="00514801"/>
    <w:rsid w:val="00514A43"/>
    <w:rsid w:val="00514B4A"/>
    <w:rsid w:val="00515368"/>
    <w:rsid w:val="005153D4"/>
    <w:rsid w:val="00515648"/>
    <w:rsid w:val="005158EE"/>
    <w:rsid w:val="00515F40"/>
    <w:rsid w:val="005161D2"/>
    <w:rsid w:val="0051696C"/>
    <w:rsid w:val="005174E5"/>
    <w:rsid w:val="00517A87"/>
    <w:rsid w:val="00517AA0"/>
    <w:rsid w:val="00517B37"/>
    <w:rsid w:val="00517EC4"/>
    <w:rsid w:val="00517F02"/>
    <w:rsid w:val="00517F93"/>
    <w:rsid w:val="00520291"/>
    <w:rsid w:val="00520BFC"/>
    <w:rsid w:val="00520E91"/>
    <w:rsid w:val="00520F03"/>
    <w:rsid w:val="00520FF3"/>
    <w:rsid w:val="00522393"/>
    <w:rsid w:val="0052253F"/>
    <w:rsid w:val="00522620"/>
    <w:rsid w:val="00522F0F"/>
    <w:rsid w:val="00523904"/>
    <w:rsid w:val="00523DC0"/>
    <w:rsid w:val="005249D7"/>
    <w:rsid w:val="00524B77"/>
    <w:rsid w:val="00524D8C"/>
    <w:rsid w:val="00525656"/>
    <w:rsid w:val="005258B0"/>
    <w:rsid w:val="00525E1C"/>
    <w:rsid w:val="00525F21"/>
    <w:rsid w:val="00525F77"/>
    <w:rsid w:val="0052635F"/>
    <w:rsid w:val="005263CA"/>
    <w:rsid w:val="005265CF"/>
    <w:rsid w:val="005269EC"/>
    <w:rsid w:val="00526D6E"/>
    <w:rsid w:val="005271E3"/>
    <w:rsid w:val="005279C7"/>
    <w:rsid w:val="00527C91"/>
    <w:rsid w:val="00527CD5"/>
    <w:rsid w:val="00527F16"/>
    <w:rsid w:val="005305D4"/>
    <w:rsid w:val="005309A6"/>
    <w:rsid w:val="005309D7"/>
    <w:rsid w:val="005315A3"/>
    <w:rsid w:val="0053180F"/>
    <w:rsid w:val="00531BD1"/>
    <w:rsid w:val="0053202F"/>
    <w:rsid w:val="005335DE"/>
    <w:rsid w:val="005336E8"/>
    <w:rsid w:val="005338C5"/>
    <w:rsid w:val="005338D4"/>
    <w:rsid w:val="00533A40"/>
    <w:rsid w:val="00533DAF"/>
    <w:rsid w:val="00534054"/>
    <w:rsid w:val="0053470B"/>
    <w:rsid w:val="00534C02"/>
    <w:rsid w:val="00534CE3"/>
    <w:rsid w:val="005350D7"/>
    <w:rsid w:val="005355C2"/>
    <w:rsid w:val="00535930"/>
    <w:rsid w:val="00535B2B"/>
    <w:rsid w:val="00535F84"/>
    <w:rsid w:val="0053604E"/>
    <w:rsid w:val="00536110"/>
    <w:rsid w:val="0053663E"/>
    <w:rsid w:val="005367B3"/>
    <w:rsid w:val="00536ABC"/>
    <w:rsid w:val="00536ADE"/>
    <w:rsid w:val="00536F4C"/>
    <w:rsid w:val="0053737E"/>
    <w:rsid w:val="00537647"/>
    <w:rsid w:val="00537C8B"/>
    <w:rsid w:val="005400DC"/>
    <w:rsid w:val="00540340"/>
    <w:rsid w:val="005404FF"/>
    <w:rsid w:val="00540CBD"/>
    <w:rsid w:val="0054117B"/>
    <w:rsid w:val="005420C8"/>
    <w:rsid w:val="00542139"/>
    <w:rsid w:val="005423C8"/>
    <w:rsid w:val="0054264B"/>
    <w:rsid w:val="0054267A"/>
    <w:rsid w:val="00542904"/>
    <w:rsid w:val="005431D7"/>
    <w:rsid w:val="00543368"/>
    <w:rsid w:val="00543786"/>
    <w:rsid w:val="005437BC"/>
    <w:rsid w:val="005437C3"/>
    <w:rsid w:val="00543EC7"/>
    <w:rsid w:val="00543FC6"/>
    <w:rsid w:val="0054435B"/>
    <w:rsid w:val="00544495"/>
    <w:rsid w:val="0054561F"/>
    <w:rsid w:val="0054612E"/>
    <w:rsid w:val="00546A9F"/>
    <w:rsid w:val="00546F88"/>
    <w:rsid w:val="00546FC0"/>
    <w:rsid w:val="00547BCB"/>
    <w:rsid w:val="00547BEB"/>
    <w:rsid w:val="00547D0D"/>
    <w:rsid w:val="005501B6"/>
    <w:rsid w:val="00550400"/>
    <w:rsid w:val="0055053B"/>
    <w:rsid w:val="005509B0"/>
    <w:rsid w:val="005512AC"/>
    <w:rsid w:val="00551A93"/>
    <w:rsid w:val="00552270"/>
    <w:rsid w:val="00552407"/>
    <w:rsid w:val="00552A08"/>
    <w:rsid w:val="00552F13"/>
    <w:rsid w:val="005531A9"/>
    <w:rsid w:val="005533D7"/>
    <w:rsid w:val="0055348B"/>
    <w:rsid w:val="005534C6"/>
    <w:rsid w:val="005538B8"/>
    <w:rsid w:val="005539F0"/>
    <w:rsid w:val="00553F99"/>
    <w:rsid w:val="005548E7"/>
    <w:rsid w:val="00554980"/>
    <w:rsid w:val="00554CA7"/>
    <w:rsid w:val="00555F58"/>
    <w:rsid w:val="00556AB3"/>
    <w:rsid w:val="00557798"/>
    <w:rsid w:val="00557FC3"/>
    <w:rsid w:val="00560243"/>
    <w:rsid w:val="005608F5"/>
    <w:rsid w:val="005611F2"/>
    <w:rsid w:val="005619BD"/>
    <w:rsid w:val="005622C8"/>
    <w:rsid w:val="005624E6"/>
    <w:rsid w:val="00562E23"/>
    <w:rsid w:val="00563265"/>
    <w:rsid w:val="00563473"/>
    <w:rsid w:val="005635C7"/>
    <w:rsid w:val="00563692"/>
    <w:rsid w:val="005637A5"/>
    <w:rsid w:val="005639B9"/>
    <w:rsid w:val="00563A1E"/>
    <w:rsid w:val="0056436C"/>
    <w:rsid w:val="00564394"/>
    <w:rsid w:val="00564664"/>
    <w:rsid w:val="00564ABA"/>
    <w:rsid w:val="00564C66"/>
    <w:rsid w:val="00564ED7"/>
    <w:rsid w:val="005655CC"/>
    <w:rsid w:val="0056578A"/>
    <w:rsid w:val="00565844"/>
    <w:rsid w:val="00565C22"/>
    <w:rsid w:val="00565FFB"/>
    <w:rsid w:val="0056692A"/>
    <w:rsid w:val="00567193"/>
    <w:rsid w:val="0056724E"/>
    <w:rsid w:val="005703DE"/>
    <w:rsid w:val="005717E1"/>
    <w:rsid w:val="0057183F"/>
    <w:rsid w:val="00571B61"/>
    <w:rsid w:val="00572505"/>
    <w:rsid w:val="005725AE"/>
    <w:rsid w:val="005726D6"/>
    <w:rsid w:val="00572754"/>
    <w:rsid w:val="005729DD"/>
    <w:rsid w:val="00572CA9"/>
    <w:rsid w:val="00572E38"/>
    <w:rsid w:val="00574E1D"/>
    <w:rsid w:val="00574F1F"/>
    <w:rsid w:val="00575338"/>
    <w:rsid w:val="005754B0"/>
    <w:rsid w:val="00576055"/>
    <w:rsid w:val="005760FE"/>
    <w:rsid w:val="00576DE9"/>
    <w:rsid w:val="00577131"/>
    <w:rsid w:val="00577211"/>
    <w:rsid w:val="005776D7"/>
    <w:rsid w:val="00577EF0"/>
    <w:rsid w:val="00580048"/>
    <w:rsid w:val="0058032D"/>
    <w:rsid w:val="005808C4"/>
    <w:rsid w:val="00580E56"/>
    <w:rsid w:val="00580F13"/>
    <w:rsid w:val="005810C6"/>
    <w:rsid w:val="00581A52"/>
    <w:rsid w:val="00581D42"/>
    <w:rsid w:val="00581EBF"/>
    <w:rsid w:val="00581F4A"/>
    <w:rsid w:val="00582910"/>
    <w:rsid w:val="00582A0A"/>
    <w:rsid w:val="00582E7B"/>
    <w:rsid w:val="0058329B"/>
    <w:rsid w:val="00583867"/>
    <w:rsid w:val="00583E12"/>
    <w:rsid w:val="00584176"/>
    <w:rsid w:val="005844B8"/>
    <w:rsid w:val="0058464E"/>
    <w:rsid w:val="005846D7"/>
    <w:rsid w:val="00584D41"/>
    <w:rsid w:val="00584F22"/>
    <w:rsid w:val="00585F92"/>
    <w:rsid w:val="00585FBE"/>
    <w:rsid w:val="00586031"/>
    <w:rsid w:val="005860A4"/>
    <w:rsid w:val="0058614A"/>
    <w:rsid w:val="005861CB"/>
    <w:rsid w:val="00586265"/>
    <w:rsid w:val="00586404"/>
    <w:rsid w:val="005869C1"/>
    <w:rsid w:val="00586E37"/>
    <w:rsid w:val="0058706D"/>
    <w:rsid w:val="005878F4"/>
    <w:rsid w:val="00587AEE"/>
    <w:rsid w:val="00587CC0"/>
    <w:rsid w:val="005903DE"/>
    <w:rsid w:val="0059087B"/>
    <w:rsid w:val="005911D2"/>
    <w:rsid w:val="00591580"/>
    <w:rsid w:val="005926C9"/>
    <w:rsid w:val="00592A14"/>
    <w:rsid w:val="00592FE1"/>
    <w:rsid w:val="00594FE8"/>
    <w:rsid w:val="00595306"/>
    <w:rsid w:val="0059567B"/>
    <w:rsid w:val="0059579F"/>
    <w:rsid w:val="00595D4B"/>
    <w:rsid w:val="00596232"/>
    <w:rsid w:val="00596455"/>
    <w:rsid w:val="00596716"/>
    <w:rsid w:val="005969C2"/>
    <w:rsid w:val="00597256"/>
    <w:rsid w:val="00597C94"/>
    <w:rsid w:val="005A0086"/>
    <w:rsid w:val="005A016F"/>
    <w:rsid w:val="005A01CB"/>
    <w:rsid w:val="005A02A9"/>
    <w:rsid w:val="005A064B"/>
    <w:rsid w:val="005A0655"/>
    <w:rsid w:val="005A0EFF"/>
    <w:rsid w:val="005A12C7"/>
    <w:rsid w:val="005A1553"/>
    <w:rsid w:val="005A17EF"/>
    <w:rsid w:val="005A1858"/>
    <w:rsid w:val="005A1FB0"/>
    <w:rsid w:val="005A208A"/>
    <w:rsid w:val="005A26FF"/>
    <w:rsid w:val="005A2AFC"/>
    <w:rsid w:val="005A307C"/>
    <w:rsid w:val="005A3815"/>
    <w:rsid w:val="005A3B9A"/>
    <w:rsid w:val="005A3DDD"/>
    <w:rsid w:val="005A3EB2"/>
    <w:rsid w:val="005A4200"/>
    <w:rsid w:val="005A460D"/>
    <w:rsid w:val="005A510A"/>
    <w:rsid w:val="005A5127"/>
    <w:rsid w:val="005A52AD"/>
    <w:rsid w:val="005A5745"/>
    <w:rsid w:val="005A585A"/>
    <w:rsid w:val="005A588B"/>
    <w:rsid w:val="005A58FF"/>
    <w:rsid w:val="005A5BDD"/>
    <w:rsid w:val="005A5C08"/>
    <w:rsid w:val="005A5DF6"/>
    <w:rsid w:val="005A5EAF"/>
    <w:rsid w:val="005A5F53"/>
    <w:rsid w:val="005A642C"/>
    <w:rsid w:val="005A64C0"/>
    <w:rsid w:val="005A6E36"/>
    <w:rsid w:val="005A71B8"/>
    <w:rsid w:val="005A722B"/>
    <w:rsid w:val="005B0234"/>
    <w:rsid w:val="005B0758"/>
    <w:rsid w:val="005B0CB3"/>
    <w:rsid w:val="005B0CC3"/>
    <w:rsid w:val="005B12AE"/>
    <w:rsid w:val="005B13FA"/>
    <w:rsid w:val="005B167F"/>
    <w:rsid w:val="005B1E1A"/>
    <w:rsid w:val="005B2149"/>
    <w:rsid w:val="005B28DA"/>
    <w:rsid w:val="005B291E"/>
    <w:rsid w:val="005B374E"/>
    <w:rsid w:val="005B3C11"/>
    <w:rsid w:val="005B4681"/>
    <w:rsid w:val="005B4734"/>
    <w:rsid w:val="005B5686"/>
    <w:rsid w:val="005B5817"/>
    <w:rsid w:val="005B595A"/>
    <w:rsid w:val="005B5960"/>
    <w:rsid w:val="005B5DD5"/>
    <w:rsid w:val="005B5E40"/>
    <w:rsid w:val="005B6658"/>
    <w:rsid w:val="005B6E23"/>
    <w:rsid w:val="005B77CB"/>
    <w:rsid w:val="005B7888"/>
    <w:rsid w:val="005C06B1"/>
    <w:rsid w:val="005C0B7B"/>
    <w:rsid w:val="005C11E0"/>
    <w:rsid w:val="005C1349"/>
    <w:rsid w:val="005C13DE"/>
    <w:rsid w:val="005C1C28"/>
    <w:rsid w:val="005C1C36"/>
    <w:rsid w:val="005C276A"/>
    <w:rsid w:val="005C35B2"/>
    <w:rsid w:val="005C49A8"/>
    <w:rsid w:val="005C546B"/>
    <w:rsid w:val="005C59BD"/>
    <w:rsid w:val="005C5EDC"/>
    <w:rsid w:val="005C606B"/>
    <w:rsid w:val="005C60D7"/>
    <w:rsid w:val="005C63BD"/>
    <w:rsid w:val="005C64C9"/>
    <w:rsid w:val="005C667D"/>
    <w:rsid w:val="005C66D2"/>
    <w:rsid w:val="005C6DB5"/>
    <w:rsid w:val="005C6DDB"/>
    <w:rsid w:val="005C7285"/>
    <w:rsid w:val="005C7ED1"/>
    <w:rsid w:val="005C7EEA"/>
    <w:rsid w:val="005D0467"/>
    <w:rsid w:val="005D0ACF"/>
    <w:rsid w:val="005D0B05"/>
    <w:rsid w:val="005D0EB8"/>
    <w:rsid w:val="005D11D7"/>
    <w:rsid w:val="005D27C8"/>
    <w:rsid w:val="005D2E8B"/>
    <w:rsid w:val="005D2EED"/>
    <w:rsid w:val="005D3035"/>
    <w:rsid w:val="005D3043"/>
    <w:rsid w:val="005D3060"/>
    <w:rsid w:val="005D3319"/>
    <w:rsid w:val="005D3976"/>
    <w:rsid w:val="005D3C99"/>
    <w:rsid w:val="005D3D6C"/>
    <w:rsid w:val="005D4142"/>
    <w:rsid w:val="005D4349"/>
    <w:rsid w:val="005D45E6"/>
    <w:rsid w:val="005D4765"/>
    <w:rsid w:val="005D4E74"/>
    <w:rsid w:val="005D50E2"/>
    <w:rsid w:val="005D60AE"/>
    <w:rsid w:val="005D6AF7"/>
    <w:rsid w:val="005D6AFF"/>
    <w:rsid w:val="005D7678"/>
    <w:rsid w:val="005D76CB"/>
    <w:rsid w:val="005D77BB"/>
    <w:rsid w:val="005D781A"/>
    <w:rsid w:val="005D79EE"/>
    <w:rsid w:val="005D7EFD"/>
    <w:rsid w:val="005E01CC"/>
    <w:rsid w:val="005E0DFC"/>
    <w:rsid w:val="005E0E85"/>
    <w:rsid w:val="005E143C"/>
    <w:rsid w:val="005E194A"/>
    <w:rsid w:val="005E19E7"/>
    <w:rsid w:val="005E1B82"/>
    <w:rsid w:val="005E2345"/>
    <w:rsid w:val="005E24A1"/>
    <w:rsid w:val="005E2B65"/>
    <w:rsid w:val="005E2FC1"/>
    <w:rsid w:val="005E304A"/>
    <w:rsid w:val="005E3392"/>
    <w:rsid w:val="005E3419"/>
    <w:rsid w:val="005E3C31"/>
    <w:rsid w:val="005E42D9"/>
    <w:rsid w:val="005E476A"/>
    <w:rsid w:val="005E4B4F"/>
    <w:rsid w:val="005E4B86"/>
    <w:rsid w:val="005E504F"/>
    <w:rsid w:val="005E53A0"/>
    <w:rsid w:val="005E57F3"/>
    <w:rsid w:val="005E5B79"/>
    <w:rsid w:val="005E5BBD"/>
    <w:rsid w:val="005E663D"/>
    <w:rsid w:val="005E6ADA"/>
    <w:rsid w:val="005E6C63"/>
    <w:rsid w:val="005E7894"/>
    <w:rsid w:val="005E7F67"/>
    <w:rsid w:val="005F16D0"/>
    <w:rsid w:val="005F1E03"/>
    <w:rsid w:val="005F24DC"/>
    <w:rsid w:val="005F25AB"/>
    <w:rsid w:val="005F3097"/>
    <w:rsid w:val="005F324D"/>
    <w:rsid w:val="005F3444"/>
    <w:rsid w:val="005F36F3"/>
    <w:rsid w:val="005F3782"/>
    <w:rsid w:val="005F38CB"/>
    <w:rsid w:val="005F3930"/>
    <w:rsid w:val="005F3B07"/>
    <w:rsid w:val="005F3BD5"/>
    <w:rsid w:val="005F3E19"/>
    <w:rsid w:val="005F438B"/>
    <w:rsid w:val="005F5390"/>
    <w:rsid w:val="005F5962"/>
    <w:rsid w:val="005F5D36"/>
    <w:rsid w:val="005F5E96"/>
    <w:rsid w:val="005F6DEC"/>
    <w:rsid w:val="005F778B"/>
    <w:rsid w:val="006007A1"/>
    <w:rsid w:val="00600A08"/>
    <w:rsid w:val="00600A26"/>
    <w:rsid w:val="00600BB2"/>
    <w:rsid w:val="00600FC8"/>
    <w:rsid w:val="00601A60"/>
    <w:rsid w:val="00601CBA"/>
    <w:rsid w:val="00601F5D"/>
    <w:rsid w:val="006022A8"/>
    <w:rsid w:val="006025F4"/>
    <w:rsid w:val="006026B9"/>
    <w:rsid w:val="00602705"/>
    <w:rsid w:val="00603408"/>
    <w:rsid w:val="00603ACD"/>
    <w:rsid w:val="00604B30"/>
    <w:rsid w:val="00605031"/>
    <w:rsid w:val="00605833"/>
    <w:rsid w:val="006059CC"/>
    <w:rsid w:val="006065C7"/>
    <w:rsid w:val="00606B35"/>
    <w:rsid w:val="00606C76"/>
    <w:rsid w:val="0060785A"/>
    <w:rsid w:val="00607A81"/>
    <w:rsid w:val="00607D63"/>
    <w:rsid w:val="00607D7B"/>
    <w:rsid w:val="00607FE0"/>
    <w:rsid w:val="006103B8"/>
    <w:rsid w:val="00610DAE"/>
    <w:rsid w:val="00611148"/>
    <w:rsid w:val="00612774"/>
    <w:rsid w:val="006129D5"/>
    <w:rsid w:val="00612C6B"/>
    <w:rsid w:val="00612D05"/>
    <w:rsid w:val="00612D15"/>
    <w:rsid w:val="00613E28"/>
    <w:rsid w:val="00613F3C"/>
    <w:rsid w:val="00614011"/>
    <w:rsid w:val="006142F1"/>
    <w:rsid w:val="00614406"/>
    <w:rsid w:val="006145A2"/>
    <w:rsid w:val="00614609"/>
    <w:rsid w:val="00614C98"/>
    <w:rsid w:val="00614EB0"/>
    <w:rsid w:val="00614FE8"/>
    <w:rsid w:val="006153BF"/>
    <w:rsid w:val="00615403"/>
    <w:rsid w:val="006156B7"/>
    <w:rsid w:val="00616577"/>
    <w:rsid w:val="006167A3"/>
    <w:rsid w:val="006168D7"/>
    <w:rsid w:val="0061694E"/>
    <w:rsid w:val="00616D2B"/>
    <w:rsid w:val="0061716C"/>
    <w:rsid w:val="0061747C"/>
    <w:rsid w:val="00617915"/>
    <w:rsid w:val="00617B13"/>
    <w:rsid w:val="00617B74"/>
    <w:rsid w:val="0062011B"/>
    <w:rsid w:val="00620435"/>
    <w:rsid w:val="006204C2"/>
    <w:rsid w:val="00620836"/>
    <w:rsid w:val="00620A66"/>
    <w:rsid w:val="00620D9E"/>
    <w:rsid w:val="006210F1"/>
    <w:rsid w:val="0062116C"/>
    <w:rsid w:val="006214AE"/>
    <w:rsid w:val="006214F3"/>
    <w:rsid w:val="0062154A"/>
    <w:rsid w:val="00621602"/>
    <w:rsid w:val="0062206B"/>
    <w:rsid w:val="0062288E"/>
    <w:rsid w:val="00622A8B"/>
    <w:rsid w:val="00622E3E"/>
    <w:rsid w:val="00623459"/>
    <w:rsid w:val="00623687"/>
    <w:rsid w:val="006243A1"/>
    <w:rsid w:val="0062614B"/>
    <w:rsid w:val="00626566"/>
    <w:rsid w:val="00626901"/>
    <w:rsid w:val="00626E0D"/>
    <w:rsid w:val="00627B07"/>
    <w:rsid w:val="00627B90"/>
    <w:rsid w:val="00627E86"/>
    <w:rsid w:val="0063073F"/>
    <w:rsid w:val="00630B25"/>
    <w:rsid w:val="00631053"/>
    <w:rsid w:val="00631136"/>
    <w:rsid w:val="006311CF"/>
    <w:rsid w:val="006311E9"/>
    <w:rsid w:val="00631909"/>
    <w:rsid w:val="00632157"/>
    <w:rsid w:val="006329BA"/>
    <w:rsid w:val="00632E56"/>
    <w:rsid w:val="006330FE"/>
    <w:rsid w:val="00633120"/>
    <w:rsid w:val="0063337F"/>
    <w:rsid w:val="006339E2"/>
    <w:rsid w:val="00633C8C"/>
    <w:rsid w:val="00633CAB"/>
    <w:rsid w:val="0063473A"/>
    <w:rsid w:val="006350E3"/>
    <w:rsid w:val="00635111"/>
    <w:rsid w:val="0063516D"/>
    <w:rsid w:val="00635CBA"/>
    <w:rsid w:val="00636731"/>
    <w:rsid w:val="00636756"/>
    <w:rsid w:val="00636829"/>
    <w:rsid w:val="0063689D"/>
    <w:rsid w:val="00636A37"/>
    <w:rsid w:val="0063719E"/>
    <w:rsid w:val="00637501"/>
    <w:rsid w:val="006375BE"/>
    <w:rsid w:val="006378EC"/>
    <w:rsid w:val="00637B21"/>
    <w:rsid w:val="006401F1"/>
    <w:rsid w:val="00641BAB"/>
    <w:rsid w:val="00642241"/>
    <w:rsid w:val="0064248E"/>
    <w:rsid w:val="006424AA"/>
    <w:rsid w:val="006429F3"/>
    <w:rsid w:val="00642C53"/>
    <w:rsid w:val="00642CD8"/>
    <w:rsid w:val="0064309B"/>
    <w:rsid w:val="0064318F"/>
    <w:rsid w:val="0064338B"/>
    <w:rsid w:val="00643972"/>
    <w:rsid w:val="0064410E"/>
    <w:rsid w:val="00644696"/>
    <w:rsid w:val="00644CC8"/>
    <w:rsid w:val="00644FB6"/>
    <w:rsid w:val="0064516F"/>
    <w:rsid w:val="006452E4"/>
    <w:rsid w:val="00645A85"/>
    <w:rsid w:val="00645E44"/>
    <w:rsid w:val="00645EBF"/>
    <w:rsid w:val="006461C7"/>
    <w:rsid w:val="00646542"/>
    <w:rsid w:val="0064677D"/>
    <w:rsid w:val="0064721E"/>
    <w:rsid w:val="006473BE"/>
    <w:rsid w:val="00650376"/>
    <w:rsid w:val="006504F4"/>
    <w:rsid w:val="00650804"/>
    <w:rsid w:val="00650E3E"/>
    <w:rsid w:val="00650EB7"/>
    <w:rsid w:val="00650F5F"/>
    <w:rsid w:val="00651B59"/>
    <w:rsid w:val="00651D49"/>
    <w:rsid w:val="00651FC5"/>
    <w:rsid w:val="00652F09"/>
    <w:rsid w:val="006531A6"/>
    <w:rsid w:val="006531D1"/>
    <w:rsid w:val="0065499A"/>
    <w:rsid w:val="00654A7A"/>
    <w:rsid w:val="00654BC9"/>
    <w:rsid w:val="006552FD"/>
    <w:rsid w:val="006553F2"/>
    <w:rsid w:val="00655B99"/>
    <w:rsid w:val="00656204"/>
    <w:rsid w:val="0065643C"/>
    <w:rsid w:val="006566AC"/>
    <w:rsid w:val="00656707"/>
    <w:rsid w:val="00656708"/>
    <w:rsid w:val="00656983"/>
    <w:rsid w:val="00656BA3"/>
    <w:rsid w:val="00656E2C"/>
    <w:rsid w:val="00657218"/>
    <w:rsid w:val="006572FA"/>
    <w:rsid w:val="0065736A"/>
    <w:rsid w:val="00657495"/>
    <w:rsid w:val="006574CA"/>
    <w:rsid w:val="00657A05"/>
    <w:rsid w:val="00660054"/>
    <w:rsid w:val="006602CE"/>
    <w:rsid w:val="00660DE1"/>
    <w:rsid w:val="00660E80"/>
    <w:rsid w:val="00661794"/>
    <w:rsid w:val="00661841"/>
    <w:rsid w:val="00661B30"/>
    <w:rsid w:val="00661FF8"/>
    <w:rsid w:val="0066226A"/>
    <w:rsid w:val="00662B23"/>
    <w:rsid w:val="00663035"/>
    <w:rsid w:val="006633C2"/>
    <w:rsid w:val="0066368B"/>
    <w:rsid w:val="00663AF3"/>
    <w:rsid w:val="0066410D"/>
    <w:rsid w:val="00664650"/>
    <w:rsid w:val="00664901"/>
    <w:rsid w:val="0066494B"/>
    <w:rsid w:val="00664DF4"/>
    <w:rsid w:val="00664E87"/>
    <w:rsid w:val="00665396"/>
    <w:rsid w:val="006656BD"/>
    <w:rsid w:val="006659BE"/>
    <w:rsid w:val="00665A91"/>
    <w:rsid w:val="00665B8F"/>
    <w:rsid w:val="006660AB"/>
    <w:rsid w:val="00666613"/>
    <w:rsid w:val="006667B0"/>
    <w:rsid w:val="00666ACF"/>
    <w:rsid w:val="00666B6C"/>
    <w:rsid w:val="00666E57"/>
    <w:rsid w:val="00666F0E"/>
    <w:rsid w:val="00667429"/>
    <w:rsid w:val="00667824"/>
    <w:rsid w:val="00667A68"/>
    <w:rsid w:val="00667EF7"/>
    <w:rsid w:val="006704BC"/>
    <w:rsid w:val="00670A08"/>
    <w:rsid w:val="00670FA4"/>
    <w:rsid w:val="0067121C"/>
    <w:rsid w:val="00672159"/>
    <w:rsid w:val="006726EC"/>
    <w:rsid w:val="00672831"/>
    <w:rsid w:val="00672CC4"/>
    <w:rsid w:val="00672D1A"/>
    <w:rsid w:val="00672D58"/>
    <w:rsid w:val="00673699"/>
    <w:rsid w:val="00674C83"/>
    <w:rsid w:val="00674F6A"/>
    <w:rsid w:val="006751B9"/>
    <w:rsid w:val="00675262"/>
    <w:rsid w:val="00675B2F"/>
    <w:rsid w:val="00675D71"/>
    <w:rsid w:val="0067614C"/>
    <w:rsid w:val="00676A88"/>
    <w:rsid w:val="00676B81"/>
    <w:rsid w:val="00677E5E"/>
    <w:rsid w:val="0068057E"/>
    <w:rsid w:val="00680DBA"/>
    <w:rsid w:val="00681425"/>
    <w:rsid w:val="006814EB"/>
    <w:rsid w:val="00681A60"/>
    <w:rsid w:val="00681B4F"/>
    <w:rsid w:val="00681BCB"/>
    <w:rsid w:val="006820C7"/>
    <w:rsid w:val="0068264F"/>
    <w:rsid w:val="00682665"/>
    <w:rsid w:val="00682682"/>
    <w:rsid w:val="00682702"/>
    <w:rsid w:val="006835BF"/>
    <w:rsid w:val="0068386F"/>
    <w:rsid w:val="00683AEA"/>
    <w:rsid w:val="00683C40"/>
    <w:rsid w:val="00684111"/>
    <w:rsid w:val="00684256"/>
    <w:rsid w:val="00684332"/>
    <w:rsid w:val="00684825"/>
    <w:rsid w:val="00684ED5"/>
    <w:rsid w:val="00684F63"/>
    <w:rsid w:val="006851B9"/>
    <w:rsid w:val="00685A3C"/>
    <w:rsid w:val="0068656E"/>
    <w:rsid w:val="00686E90"/>
    <w:rsid w:val="00686FA8"/>
    <w:rsid w:val="00687CBE"/>
    <w:rsid w:val="00687CE9"/>
    <w:rsid w:val="00687FAD"/>
    <w:rsid w:val="006905FD"/>
    <w:rsid w:val="006906E8"/>
    <w:rsid w:val="006910A2"/>
    <w:rsid w:val="006913A5"/>
    <w:rsid w:val="0069188E"/>
    <w:rsid w:val="00691AF6"/>
    <w:rsid w:val="00691BA0"/>
    <w:rsid w:val="00692230"/>
    <w:rsid w:val="00692368"/>
    <w:rsid w:val="006923F9"/>
    <w:rsid w:val="0069252D"/>
    <w:rsid w:val="00692A71"/>
    <w:rsid w:val="00692E74"/>
    <w:rsid w:val="0069313D"/>
    <w:rsid w:val="00693151"/>
    <w:rsid w:val="0069382B"/>
    <w:rsid w:val="00693B6A"/>
    <w:rsid w:val="00693C35"/>
    <w:rsid w:val="006941A3"/>
    <w:rsid w:val="0069482E"/>
    <w:rsid w:val="00696152"/>
    <w:rsid w:val="00696378"/>
    <w:rsid w:val="00696449"/>
    <w:rsid w:val="00696A9C"/>
    <w:rsid w:val="006971B0"/>
    <w:rsid w:val="00697A10"/>
    <w:rsid w:val="00697B4D"/>
    <w:rsid w:val="00697EEA"/>
    <w:rsid w:val="00697F68"/>
    <w:rsid w:val="006A00F4"/>
    <w:rsid w:val="006A08D4"/>
    <w:rsid w:val="006A08E1"/>
    <w:rsid w:val="006A0DE5"/>
    <w:rsid w:val="006A1286"/>
    <w:rsid w:val="006A20A4"/>
    <w:rsid w:val="006A294D"/>
    <w:rsid w:val="006A2EBC"/>
    <w:rsid w:val="006A319D"/>
    <w:rsid w:val="006A32CE"/>
    <w:rsid w:val="006A3A8C"/>
    <w:rsid w:val="006A3E4D"/>
    <w:rsid w:val="006A3F6D"/>
    <w:rsid w:val="006A48D7"/>
    <w:rsid w:val="006A4A47"/>
    <w:rsid w:val="006A4CF9"/>
    <w:rsid w:val="006A5391"/>
    <w:rsid w:val="006A53BF"/>
    <w:rsid w:val="006A541C"/>
    <w:rsid w:val="006A55F9"/>
    <w:rsid w:val="006A573A"/>
    <w:rsid w:val="006A5EA0"/>
    <w:rsid w:val="006A62E3"/>
    <w:rsid w:val="006A6470"/>
    <w:rsid w:val="006A6678"/>
    <w:rsid w:val="006A6C1A"/>
    <w:rsid w:val="006A6F2E"/>
    <w:rsid w:val="006A783B"/>
    <w:rsid w:val="006A788F"/>
    <w:rsid w:val="006A7B33"/>
    <w:rsid w:val="006B0384"/>
    <w:rsid w:val="006B17D3"/>
    <w:rsid w:val="006B2838"/>
    <w:rsid w:val="006B2A3E"/>
    <w:rsid w:val="006B2CEF"/>
    <w:rsid w:val="006B30BA"/>
    <w:rsid w:val="006B350E"/>
    <w:rsid w:val="006B356D"/>
    <w:rsid w:val="006B3779"/>
    <w:rsid w:val="006B3D36"/>
    <w:rsid w:val="006B40E2"/>
    <w:rsid w:val="006B4E13"/>
    <w:rsid w:val="006B4E50"/>
    <w:rsid w:val="006B504C"/>
    <w:rsid w:val="006B53FF"/>
    <w:rsid w:val="006B5E00"/>
    <w:rsid w:val="006B6327"/>
    <w:rsid w:val="006B6B4D"/>
    <w:rsid w:val="006B6E87"/>
    <w:rsid w:val="006B7039"/>
    <w:rsid w:val="006B7303"/>
    <w:rsid w:val="006B75DD"/>
    <w:rsid w:val="006B787B"/>
    <w:rsid w:val="006B7E21"/>
    <w:rsid w:val="006B7FE3"/>
    <w:rsid w:val="006C06C1"/>
    <w:rsid w:val="006C0930"/>
    <w:rsid w:val="006C09F0"/>
    <w:rsid w:val="006C1018"/>
    <w:rsid w:val="006C1B6E"/>
    <w:rsid w:val="006C204B"/>
    <w:rsid w:val="006C2488"/>
    <w:rsid w:val="006C25E2"/>
    <w:rsid w:val="006C3362"/>
    <w:rsid w:val="006C3868"/>
    <w:rsid w:val="006C39F6"/>
    <w:rsid w:val="006C3AF5"/>
    <w:rsid w:val="006C3F89"/>
    <w:rsid w:val="006C4733"/>
    <w:rsid w:val="006C4C01"/>
    <w:rsid w:val="006C5259"/>
    <w:rsid w:val="006C5331"/>
    <w:rsid w:val="006C5B20"/>
    <w:rsid w:val="006C5C25"/>
    <w:rsid w:val="006C5EEA"/>
    <w:rsid w:val="006C5FCE"/>
    <w:rsid w:val="006C65D1"/>
    <w:rsid w:val="006C67E0"/>
    <w:rsid w:val="006C6DE6"/>
    <w:rsid w:val="006C6F3E"/>
    <w:rsid w:val="006C789D"/>
    <w:rsid w:val="006C78EF"/>
    <w:rsid w:val="006C7ABA"/>
    <w:rsid w:val="006C7C06"/>
    <w:rsid w:val="006C7F1A"/>
    <w:rsid w:val="006D050C"/>
    <w:rsid w:val="006D064B"/>
    <w:rsid w:val="006D0737"/>
    <w:rsid w:val="006D0913"/>
    <w:rsid w:val="006D0953"/>
    <w:rsid w:val="006D0D60"/>
    <w:rsid w:val="006D0E18"/>
    <w:rsid w:val="006D1122"/>
    <w:rsid w:val="006D14B6"/>
    <w:rsid w:val="006D1803"/>
    <w:rsid w:val="006D21DF"/>
    <w:rsid w:val="006D2DB2"/>
    <w:rsid w:val="006D2DC5"/>
    <w:rsid w:val="006D33CA"/>
    <w:rsid w:val="006D39A1"/>
    <w:rsid w:val="006D3C00"/>
    <w:rsid w:val="006D48D2"/>
    <w:rsid w:val="006D4B7D"/>
    <w:rsid w:val="006D4BCA"/>
    <w:rsid w:val="006D5119"/>
    <w:rsid w:val="006D534C"/>
    <w:rsid w:val="006D54C4"/>
    <w:rsid w:val="006D5A4A"/>
    <w:rsid w:val="006D5EFD"/>
    <w:rsid w:val="006D6CBB"/>
    <w:rsid w:val="006D6DAD"/>
    <w:rsid w:val="006E028A"/>
    <w:rsid w:val="006E04ED"/>
    <w:rsid w:val="006E0AA3"/>
    <w:rsid w:val="006E1EE7"/>
    <w:rsid w:val="006E20A0"/>
    <w:rsid w:val="006E2454"/>
    <w:rsid w:val="006E27F3"/>
    <w:rsid w:val="006E2814"/>
    <w:rsid w:val="006E2856"/>
    <w:rsid w:val="006E2D5F"/>
    <w:rsid w:val="006E308D"/>
    <w:rsid w:val="006E32C1"/>
    <w:rsid w:val="006E3493"/>
    <w:rsid w:val="006E3675"/>
    <w:rsid w:val="006E3C52"/>
    <w:rsid w:val="006E3D67"/>
    <w:rsid w:val="006E3E5E"/>
    <w:rsid w:val="006E3ED6"/>
    <w:rsid w:val="006E4702"/>
    <w:rsid w:val="006E47EE"/>
    <w:rsid w:val="006E4A7F"/>
    <w:rsid w:val="006E55D3"/>
    <w:rsid w:val="006E561F"/>
    <w:rsid w:val="006E6548"/>
    <w:rsid w:val="006E7DB1"/>
    <w:rsid w:val="006F0E49"/>
    <w:rsid w:val="006F1493"/>
    <w:rsid w:val="006F1A04"/>
    <w:rsid w:val="006F1CC5"/>
    <w:rsid w:val="006F1EBA"/>
    <w:rsid w:val="006F309D"/>
    <w:rsid w:val="006F320D"/>
    <w:rsid w:val="006F3286"/>
    <w:rsid w:val="006F40EF"/>
    <w:rsid w:val="006F4281"/>
    <w:rsid w:val="006F4FD1"/>
    <w:rsid w:val="006F5372"/>
    <w:rsid w:val="006F554C"/>
    <w:rsid w:val="006F5668"/>
    <w:rsid w:val="006F592F"/>
    <w:rsid w:val="006F5AD8"/>
    <w:rsid w:val="006F5E18"/>
    <w:rsid w:val="006F5F60"/>
    <w:rsid w:val="006F689B"/>
    <w:rsid w:val="006F6CD0"/>
    <w:rsid w:val="006F7AD2"/>
    <w:rsid w:val="006F7D34"/>
    <w:rsid w:val="006F7EE0"/>
    <w:rsid w:val="006F7EE7"/>
    <w:rsid w:val="0070020D"/>
    <w:rsid w:val="00700517"/>
    <w:rsid w:val="00700A03"/>
    <w:rsid w:val="00700AD5"/>
    <w:rsid w:val="00701A9D"/>
    <w:rsid w:val="00701BE8"/>
    <w:rsid w:val="00702C6F"/>
    <w:rsid w:val="00703084"/>
    <w:rsid w:val="0070364E"/>
    <w:rsid w:val="00703988"/>
    <w:rsid w:val="00704DF6"/>
    <w:rsid w:val="0070519D"/>
    <w:rsid w:val="0070522E"/>
    <w:rsid w:val="0070578F"/>
    <w:rsid w:val="0070651C"/>
    <w:rsid w:val="00706DE8"/>
    <w:rsid w:val="00706F64"/>
    <w:rsid w:val="007070CD"/>
    <w:rsid w:val="00707415"/>
    <w:rsid w:val="007079A3"/>
    <w:rsid w:val="00707BE3"/>
    <w:rsid w:val="00707EA2"/>
    <w:rsid w:val="00710206"/>
    <w:rsid w:val="0071113D"/>
    <w:rsid w:val="0071133E"/>
    <w:rsid w:val="00711965"/>
    <w:rsid w:val="00712826"/>
    <w:rsid w:val="00712E8C"/>
    <w:rsid w:val="007132A3"/>
    <w:rsid w:val="00713A20"/>
    <w:rsid w:val="00713A67"/>
    <w:rsid w:val="00713BFA"/>
    <w:rsid w:val="00713E06"/>
    <w:rsid w:val="00713F7B"/>
    <w:rsid w:val="007149DB"/>
    <w:rsid w:val="00715A66"/>
    <w:rsid w:val="00715BAE"/>
    <w:rsid w:val="007160D3"/>
    <w:rsid w:val="00716421"/>
    <w:rsid w:val="007169B1"/>
    <w:rsid w:val="00716A84"/>
    <w:rsid w:val="0071705D"/>
    <w:rsid w:val="007170F6"/>
    <w:rsid w:val="007176F7"/>
    <w:rsid w:val="007178D3"/>
    <w:rsid w:val="00717CC9"/>
    <w:rsid w:val="00717F89"/>
    <w:rsid w:val="00717FAD"/>
    <w:rsid w:val="007200D5"/>
    <w:rsid w:val="007202A4"/>
    <w:rsid w:val="007202C0"/>
    <w:rsid w:val="00720475"/>
    <w:rsid w:val="00720819"/>
    <w:rsid w:val="0072084C"/>
    <w:rsid w:val="00720E77"/>
    <w:rsid w:val="00721191"/>
    <w:rsid w:val="007217E8"/>
    <w:rsid w:val="00721F6C"/>
    <w:rsid w:val="007223B7"/>
    <w:rsid w:val="00722838"/>
    <w:rsid w:val="0072360B"/>
    <w:rsid w:val="00723C57"/>
    <w:rsid w:val="00724373"/>
    <w:rsid w:val="00724B2E"/>
    <w:rsid w:val="00724EFB"/>
    <w:rsid w:val="00725187"/>
    <w:rsid w:val="007253AB"/>
    <w:rsid w:val="00725505"/>
    <w:rsid w:val="00725A25"/>
    <w:rsid w:val="00725C8D"/>
    <w:rsid w:val="00726616"/>
    <w:rsid w:val="007269E6"/>
    <w:rsid w:val="00726A77"/>
    <w:rsid w:val="00726E8F"/>
    <w:rsid w:val="00727748"/>
    <w:rsid w:val="00730193"/>
    <w:rsid w:val="007301E4"/>
    <w:rsid w:val="007305F9"/>
    <w:rsid w:val="007325C3"/>
    <w:rsid w:val="0073293C"/>
    <w:rsid w:val="00733549"/>
    <w:rsid w:val="007338D1"/>
    <w:rsid w:val="00733C03"/>
    <w:rsid w:val="00733D59"/>
    <w:rsid w:val="00733E88"/>
    <w:rsid w:val="00733F67"/>
    <w:rsid w:val="00733F83"/>
    <w:rsid w:val="00734566"/>
    <w:rsid w:val="007347FD"/>
    <w:rsid w:val="0073502E"/>
    <w:rsid w:val="00735120"/>
    <w:rsid w:val="007351B9"/>
    <w:rsid w:val="007359D2"/>
    <w:rsid w:val="00736937"/>
    <w:rsid w:val="00737762"/>
    <w:rsid w:val="00737C24"/>
    <w:rsid w:val="00737D00"/>
    <w:rsid w:val="00737D5C"/>
    <w:rsid w:val="00737E24"/>
    <w:rsid w:val="00737E4F"/>
    <w:rsid w:val="00737FB4"/>
    <w:rsid w:val="007407FC"/>
    <w:rsid w:val="00740C1A"/>
    <w:rsid w:val="00740D23"/>
    <w:rsid w:val="007419C3"/>
    <w:rsid w:val="007425E5"/>
    <w:rsid w:val="00742C78"/>
    <w:rsid w:val="00743275"/>
    <w:rsid w:val="00743746"/>
    <w:rsid w:val="00743A89"/>
    <w:rsid w:val="007440FF"/>
    <w:rsid w:val="00744157"/>
    <w:rsid w:val="007441D8"/>
    <w:rsid w:val="00744B46"/>
    <w:rsid w:val="00745747"/>
    <w:rsid w:val="007459EE"/>
    <w:rsid w:val="00746787"/>
    <w:rsid w:val="007467A7"/>
    <w:rsid w:val="007469DD"/>
    <w:rsid w:val="00746B45"/>
    <w:rsid w:val="00746FED"/>
    <w:rsid w:val="0074741B"/>
    <w:rsid w:val="0074745F"/>
    <w:rsid w:val="0074759E"/>
    <w:rsid w:val="007475A1"/>
    <w:rsid w:val="007478EA"/>
    <w:rsid w:val="007479BF"/>
    <w:rsid w:val="00747C8E"/>
    <w:rsid w:val="00747DC2"/>
    <w:rsid w:val="00750098"/>
    <w:rsid w:val="00750736"/>
    <w:rsid w:val="0075094F"/>
    <w:rsid w:val="007509D5"/>
    <w:rsid w:val="00750C02"/>
    <w:rsid w:val="00751324"/>
    <w:rsid w:val="00751596"/>
    <w:rsid w:val="007515A6"/>
    <w:rsid w:val="00751657"/>
    <w:rsid w:val="007517C0"/>
    <w:rsid w:val="0075184F"/>
    <w:rsid w:val="00751FA1"/>
    <w:rsid w:val="007521F4"/>
    <w:rsid w:val="0075222D"/>
    <w:rsid w:val="00752786"/>
    <w:rsid w:val="00752C2C"/>
    <w:rsid w:val="00752C9B"/>
    <w:rsid w:val="0075321C"/>
    <w:rsid w:val="007534A0"/>
    <w:rsid w:val="00753E17"/>
    <w:rsid w:val="00753FD9"/>
    <w:rsid w:val="0075415C"/>
    <w:rsid w:val="0075418B"/>
    <w:rsid w:val="00754930"/>
    <w:rsid w:val="00754C82"/>
    <w:rsid w:val="0075513E"/>
    <w:rsid w:val="00755AF4"/>
    <w:rsid w:val="00756397"/>
    <w:rsid w:val="007564D1"/>
    <w:rsid w:val="00756520"/>
    <w:rsid w:val="00756D1B"/>
    <w:rsid w:val="00756E5D"/>
    <w:rsid w:val="0075732B"/>
    <w:rsid w:val="0075793C"/>
    <w:rsid w:val="00757DD3"/>
    <w:rsid w:val="00760449"/>
    <w:rsid w:val="007605E0"/>
    <w:rsid w:val="0076084B"/>
    <w:rsid w:val="00761232"/>
    <w:rsid w:val="00761385"/>
    <w:rsid w:val="007614F8"/>
    <w:rsid w:val="00761714"/>
    <w:rsid w:val="00761832"/>
    <w:rsid w:val="00761A0E"/>
    <w:rsid w:val="00761F04"/>
    <w:rsid w:val="00761FC9"/>
    <w:rsid w:val="00762156"/>
    <w:rsid w:val="007621C1"/>
    <w:rsid w:val="00762494"/>
    <w:rsid w:val="00762DB2"/>
    <w:rsid w:val="00762E38"/>
    <w:rsid w:val="007634C4"/>
    <w:rsid w:val="00763502"/>
    <w:rsid w:val="00763560"/>
    <w:rsid w:val="00763A4F"/>
    <w:rsid w:val="00763D14"/>
    <w:rsid w:val="00763E8D"/>
    <w:rsid w:val="0076594A"/>
    <w:rsid w:val="00765F83"/>
    <w:rsid w:val="00766365"/>
    <w:rsid w:val="007664E6"/>
    <w:rsid w:val="00766702"/>
    <w:rsid w:val="00766788"/>
    <w:rsid w:val="00766A47"/>
    <w:rsid w:val="0076703D"/>
    <w:rsid w:val="007676B8"/>
    <w:rsid w:val="00767A5F"/>
    <w:rsid w:val="00767A9C"/>
    <w:rsid w:val="00767F43"/>
    <w:rsid w:val="00767F95"/>
    <w:rsid w:val="00770C45"/>
    <w:rsid w:val="00771941"/>
    <w:rsid w:val="00771BD4"/>
    <w:rsid w:val="00771E24"/>
    <w:rsid w:val="00772558"/>
    <w:rsid w:val="00772758"/>
    <w:rsid w:val="00772FB2"/>
    <w:rsid w:val="00773ED3"/>
    <w:rsid w:val="00774512"/>
    <w:rsid w:val="00774806"/>
    <w:rsid w:val="00774FAE"/>
    <w:rsid w:val="00775531"/>
    <w:rsid w:val="0077581F"/>
    <w:rsid w:val="00775A90"/>
    <w:rsid w:val="00775C7F"/>
    <w:rsid w:val="00775CFD"/>
    <w:rsid w:val="00775F0E"/>
    <w:rsid w:val="00775FE1"/>
    <w:rsid w:val="00776133"/>
    <w:rsid w:val="00776464"/>
    <w:rsid w:val="00776D46"/>
    <w:rsid w:val="00777202"/>
    <w:rsid w:val="00777227"/>
    <w:rsid w:val="00777578"/>
    <w:rsid w:val="00780035"/>
    <w:rsid w:val="0078006F"/>
    <w:rsid w:val="0078010D"/>
    <w:rsid w:val="0078103E"/>
    <w:rsid w:val="00781486"/>
    <w:rsid w:val="0078199A"/>
    <w:rsid w:val="00781E42"/>
    <w:rsid w:val="00782473"/>
    <w:rsid w:val="00782810"/>
    <w:rsid w:val="00782822"/>
    <w:rsid w:val="00782976"/>
    <w:rsid w:val="00782A5A"/>
    <w:rsid w:val="00782E3E"/>
    <w:rsid w:val="007832F7"/>
    <w:rsid w:val="007839BB"/>
    <w:rsid w:val="00783AB9"/>
    <w:rsid w:val="00783E99"/>
    <w:rsid w:val="00784009"/>
    <w:rsid w:val="00784CD5"/>
    <w:rsid w:val="00784EAF"/>
    <w:rsid w:val="00785559"/>
    <w:rsid w:val="00785C07"/>
    <w:rsid w:val="00785F22"/>
    <w:rsid w:val="0078620F"/>
    <w:rsid w:val="00786394"/>
    <w:rsid w:val="0078662C"/>
    <w:rsid w:val="0078681D"/>
    <w:rsid w:val="0078686D"/>
    <w:rsid w:val="00786E41"/>
    <w:rsid w:val="00786F9F"/>
    <w:rsid w:val="0078730B"/>
    <w:rsid w:val="0078743F"/>
    <w:rsid w:val="00787D60"/>
    <w:rsid w:val="00790044"/>
    <w:rsid w:val="00790072"/>
    <w:rsid w:val="007904CA"/>
    <w:rsid w:val="00790591"/>
    <w:rsid w:val="00790728"/>
    <w:rsid w:val="007910AA"/>
    <w:rsid w:val="007913AB"/>
    <w:rsid w:val="007914F7"/>
    <w:rsid w:val="00791A95"/>
    <w:rsid w:val="0079255F"/>
    <w:rsid w:val="00792863"/>
    <w:rsid w:val="00792F3E"/>
    <w:rsid w:val="00793422"/>
    <w:rsid w:val="00793C19"/>
    <w:rsid w:val="00793EAC"/>
    <w:rsid w:val="00794148"/>
    <w:rsid w:val="007946F4"/>
    <w:rsid w:val="0079549B"/>
    <w:rsid w:val="007958A1"/>
    <w:rsid w:val="00795C44"/>
    <w:rsid w:val="00796D45"/>
    <w:rsid w:val="00797051"/>
    <w:rsid w:val="007971F6"/>
    <w:rsid w:val="007973EF"/>
    <w:rsid w:val="007A0B66"/>
    <w:rsid w:val="007A0DC2"/>
    <w:rsid w:val="007A0DE5"/>
    <w:rsid w:val="007A1B53"/>
    <w:rsid w:val="007A25F1"/>
    <w:rsid w:val="007A338D"/>
    <w:rsid w:val="007A3B1C"/>
    <w:rsid w:val="007A3B71"/>
    <w:rsid w:val="007A3E49"/>
    <w:rsid w:val="007A4722"/>
    <w:rsid w:val="007A52DE"/>
    <w:rsid w:val="007A6AFE"/>
    <w:rsid w:val="007A7141"/>
    <w:rsid w:val="007A72E8"/>
    <w:rsid w:val="007A759A"/>
    <w:rsid w:val="007A7DFF"/>
    <w:rsid w:val="007B05FF"/>
    <w:rsid w:val="007B0A8B"/>
    <w:rsid w:val="007B0C7D"/>
    <w:rsid w:val="007B1411"/>
    <w:rsid w:val="007B1625"/>
    <w:rsid w:val="007B1C6B"/>
    <w:rsid w:val="007B1D2C"/>
    <w:rsid w:val="007B22B4"/>
    <w:rsid w:val="007B29EF"/>
    <w:rsid w:val="007B30F4"/>
    <w:rsid w:val="007B32BA"/>
    <w:rsid w:val="007B3714"/>
    <w:rsid w:val="007B37EB"/>
    <w:rsid w:val="007B4288"/>
    <w:rsid w:val="007B4650"/>
    <w:rsid w:val="007B4734"/>
    <w:rsid w:val="007B48F9"/>
    <w:rsid w:val="007B4911"/>
    <w:rsid w:val="007B4C3A"/>
    <w:rsid w:val="007B4F98"/>
    <w:rsid w:val="007B50F5"/>
    <w:rsid w:val="007B5182"/>
    <w:rsid w:val="007B63F7"/>
    <w:rsid w:val="007B66AF"/>
    <w:rsid w:val="007B6B59"/>
    <w:rsid w:val="007B6D27"/>
    <w:rsid w:val="007B706E"/>
    <w:rsid w:val="007B71EB"/>
    <w:rsid w:val="007B7394"/>
    <w:rsid w:val="007B7838"/>
    <w:rsid w:val="007C007E"/>
    <w:rsid w:val="007C0636"/>
    <w:rsid w:val="007C06EA"/>
    <w:rsid w:val="007C0815"/>
    <w:rsid w:val="007C0837"/>
    <w:rsid w:val="007C0864"/>
    <w:rsid w:val="007C0AC3"/>
    <w:rsid w:val="007C1A7B"/>
    <w:rsid w:val="007C1E02"/>
    <w:rsid w:val="007C26A1"/>
    <w:rsid w:val="007C285B"/>
    <w:rsid w:val="007C2A81"/>
    <w:rsid w:val="007C3005"/>
    <w:rsid w:val="007C3CD6"/>
    <w:rsid w:val="007C448A"/>
    <w:rsid w:val="007C462F"/>
    <w:rsid w:val="007C465E"/>
    <w:rsid w:val="007C49E2"/>
    <w:rsid w:val="007C4EEF"/>
    <w:rsid w:val="007C4F56"/>
    <w:rsid w:val="007C5143"/>
    <w:rsid w:val="007C54DF"/>
    <w:rsid w:val="007C5FD4"/>
    <w:rsid w:val="007C6205"/>
    <w:rsid w:val="007C6634"/>
    <w:rsid w:val="007C668E"/>
    <w:rsid w:val="007C686A"/>
    <w:rsid w:val="007C6878"/>
    <w:rsid w:val="007C70F1"/>
    <w:rsid w:val="007C728E"/>
    <w:rsid w:val="007C77D6"/>
    <w:rsid w:val="007C7D00"/>
    <w:rsid w:val="007C7DA3"/>
    <w:rsid w:val="007D0E82"/>
    <w:rsid w:val="007D0FDF"/>
    <w:rsid w:val="007D164D"/>
    <w:rsid w:val="007D1DC1"/>
    <w:rsid w:val="007D22D0"/>
    <w:rsid w:val="007D23F5"/>
    <w:rsid w:val="007D2415"/>
    <w:rsid w:val="007D2532"/>
    <w:rsid w:val="007D2597"/>
    <w:rsid w:val="007D2C53"/>
    <w:rsid w:val="007D3B34"/>
    <w:rsid w:val="007D3D60"/>
    <w:rsid w:val="007D3FE0"/>
    <w:rsid w:val="007D480E"/>
    <w:rsid w:val="007D4AE5"/>
    <w:rsid w:val="007D4C18"/>
    <w:rsid w:val="007D4D69"/>
    <w:rsid w:val="007D5066"/>
    <w:rsid w:val="007D565A"/>
    <w:rsid w:val="007D5923"/>
    <w:rsid w:val="007D5CAD"/>
    <w:rsid w:val="007D616E"/>
    <w:rsid w:val="007D7C2E"/>
    <w:rsid w:val="007D7DDB"/>
    <w:rsid w:val="007E0250"/>
    <w:rsid w:val="007E1756"/>
    <w:rsid w:val="007E1980"/>
    <w:rsid w:val="007E19AC"/>
    <w:rsid w:val="007E2020"/>
    <w:rsid w:val="007E2A5A"/>
    <w:rsid w:val="007E2B48"/>
    <w:rsid w:val="007E2DA5"/>
    <w:rsid w:val="007E2ECF"/>
    <w:rsid w:val="007E49C0"/>
    <w:rsid w:val="007E4B76"/>
    <w:rsid w:val="007E5109"/>
    <w:rsid w:val="007E591D"/>
    <w:rsid w:val="007E5EA8"/>
    <w:rsid w:val="007E5FD0"/>
    <w:rsid w:val="007E62AB"/>
    <w:rsid w:val="007E670F"/>
    <w:rsid w:val="007E68DB"/>
    <w:rsid w:val="007E7008"/>
    <w:rsid w:val="007E7260"/>
    <w:rsid w:val="007E7380"/>
    <w:rsid w:val="007F02E2"/>
    <w:rsid w:val="007F0CF1"/>
    <w:rsid w:val="007F0DE7"/>
    <w:rsid w:val="007F1287"/>
    <w:rsid w:val="007F12A5"/>
    <w:rsid w:val="007F1779"/>
    <w:rsid w:val="007F19D1"/>
    <w:rsid w:val="007F1F38"/>
    <w:rsid w:val="007F21D0"/>
    <w:rsid w:val="007F2690"/>
    <w:rsid w:val="007F26B1"/>
    <w:rsid w:val="007F2CAC"/>
    <w:rsid w:val="007F2F24"/>
    <w:rsid w:val="007F307E"/>
    <w:rsid w:val="007F3AE9"/>
    <w:rsid w:val="007F3DBB"/>
    <w:rsid w:val="007F400A"/>
    <w:rsid w:val="007F4456"/>
    <w:rsid w:val="007F4CF1"/>
    <w:rsid w:val="007F5A09"/>
    <w:rsid w:val="007F602A"/>
    <w:rsid w:val="007F6196"/>
    <w:rsid w:val="007F6AEB"/>
    <w:rsid w:val="007F6E5C"/>
    <w:rsid w:val="007F758D"/>
    <w:rsid w:val="007F7A7F"/>
    <w:rsid w:val="007F7A94"/>
    <w:rsid w:val="007F7D52"/>
    <w:rsid w:val="00800958"/>
    <w:rsid w:val="00800C4D"/>
    <w:rsid w:val="00801F51"/>
    <w:rsid w:val="00802277"/>
    <w:rsid w:val="0080286F"/>
    <w:rsid w:val="0080395F"/>
    <w:rsid w:val="00803E0F"/>
    <w:rsid w:val="008049E4"/>
    <w:rsid w:val="00804C9F"/>
    <w:rsid w:val="00804DE3"/>
    <w:rsid w:val="00805A6C"/>
    <w:rsid w:val="0080627D"/>
    <w:rsid w:val="0080654C"/>
    <w:rsid w:val="00806BDD"/>
    <w:rsid w:val="00806D3E"/>
    <w:rsid w:val="0080719C"/>
    <w:rsid w:val="008071C6"/>
    <w:rsid w:val="00807F71"/>
    <w:rsid w:val="00811644"/>
    <w:rsid w:val="0081208D"/>
    <w:rsid w:val="0081276B"/>
    <w:rsid w:val="008127C8"/>
    <w:rsid w:val="00812CC3"/>
    <w:rsid w:val="00812E5E"/>
    <w:rsid w:val="008130DD"/>
    <w:rsid w:val="00813EC0"/>
    <w:rsid w:val="008143AE"/>
    <w:rsid w:val="008147DD"/>
    <w:rsid w:val="00815330"/>
    <w:rsid w:val="00815EB7"/>
    <w:rsid w:val="008162D8"/>
    <w:rsid w:val="00816364"/>
    <w:rsid w:val="00816E93"/>
    <w:rsid w:val="00817A00"/>
    <w:rsid w:val="00817F80"/>
    <w:rsid w:val="008207A5"/>
    <w:rsid w:val="00821C8D"/>
    <w:rsid w:val="00821D28"/>
    <w:rsid w:val="008222F6"/>
    <w:rsid w:val="008226F7"/>
    <w:rsid w:val="008228FF"/>
    <w:rsid w:val="00822D60"/>
    <w:rsid w:val="008232EF"/>
    <w:rsid w:val="00823B6B"/>
    <w:rsid w:val="00823CAE"/>
    <w:rsid w:val="00823F75"/>
    <w:rsid w:val="0082486B"/>
    <w:rsid w:val="008249BB"/>
    <w:rsid w:val="00824DFD"/>
    <w:rsid w:val="00825092"/>
    <w:rsid w:val="00825193"/>
    <w:rsid w:val="00825321"/>
    <w:rsid w:val="0082534B"/>
    <w:rsid w:val="008253C2"/>
    <w:rsid w:val="008255C3"/>
    <w:rsid w:val="00825727"/>
    <w:rsid w:val="00825F23"/>
    <w:rsid w:val="00826019"/>
    <w:rsid w:val="00826227"/>
    <w:rsid w:val="00826532"/>
    <w:rsid w:val="00826962"/>
    <w:rsid w:val="00826EBA"/>
    <w:rsid w:val="008271DE"/>
    <w:rsid w:val="008272B0"/>
    <w:rsid w:val="0082732C"/>
    <w:rsid w:val="008275C8"/>
    <w:rsid w:val="008300ED"/>
    <w:rsid w:val="00830710"/>
    <w:rsid w:val="00830DD4"/>
    <w:rsid w:val="00831730"/>
    <w:rsid w:val="00831AC9"/>
    <w:rsid w:val="00831C0D"/>
    <w:rsid w:val="008324AA"/>
    <w:rsid w:val="00832FDB"/>
    <w:rsid w:val="008336C8"/>
    <w:rsid w:val="00833973"/>
    <w:rsid w:val="008339F7"/>
    <w:rsid w:val="00833A46"/>
    <w:rsid w:val="00834717"/>
    <w:rsid w:val="008349CD"/>
    <w:rsid w:val="00835239"/>
    <w:rsid w:val="00835817"/>
    <w:rsid w:val="00835DB3"/>
    <w:rsid w:val="00835F4C"/>
    <w:rsid w:val="00836107"/>
    <w:rsid w:val="0083617B"/>
    <w:rsid w:val="008366B4"/>
    <w:rsid w:val="0083671C"/>
    <w:rsid w:val="008369FC"/>
    <w:rsid w:val="00836D1A"/>
    <w:rsid w:val="00836FBE"/>
    <w:rsid w:val="008371BD"/>
    <w:rsid w:val="008374BB"/>
    <w:rsid w:val="00837947"/>
    <w:rsid w:val="008404BE"/>
    <w:rsid w:val="00840670"/>
    <w:rsid w:val="00840F3C"/>
    <w:rsid w:val="00841110"/>
    <w:rsid w:val="008417C6"/>
    <w:rsid w:val="00841A2B"/>
    <w:rsid w:val="00841FC4"/>
    <w:rsid w:val="00842324"/>
    <w:rsid w:val="0084240E"/>
    <w:rsid w:val="00842844"/>
    <w:rsid w:val="00842CFC"/>
    <w:rsid w:val="00842EFF"/>
    <w:rsid w:val="00843461"/>
    <w:rsid w:val="008436AA"/>
    <w:rsid w:val="008444D7"/>
    <w:rsid w:val="0084475C"/>
    <w:rsid w:val="00845089"/>
    <w:rsid w:val="008454BE"/>
    <w:rsid w:val="00845727"/>
    <w:rsid w:val="00845821"/>
    <w:rsid w:val="00845955"/>
    <w:rsid w:val="00845B4F"/>
    <w:rsid w:val="008461BD"/>
    <w:rsid w:val="008466A0"/>
    <w:rsid w:val="00846721"/>
    <w:rsid w:val="008470AD"/>
    <w:rsid w:val="0084766F"/>
    <w:rsid w:val="00847740"/>
    <w:rsid w:val="008478A8"/>
    <w:rsid w:val="00847C7D"/>
    <w:rsid w:val="008504A8"/>
    <w:rsid w:val="00850626"/>
    <w:rsid w:val="008514C8"/>
    <w:rsid w:val="0085282E"/>
    <w:rsid w:val="00852BDB"/>
    <w:rsid w:val="00852E88"/>
    <w:rsid w:val="00853262"/>
    <w:rsid w:val="00853263"/>
    <w:rsid w:val="008532EA"/>
    <w:rsid w:val="008535D3"/>
    <w:rsid w:val="00853864"/>
    <w:rsid w:val="00853A86"/>
    <w:rsid w:val="00853C8A"/>
    <w:rsid w:val="00853D77"/>
    <w:rsid w:val="0085414E"/>
    <w:rsid w:val="00854263"/>
    <w:rsid w:val="0085491F"/>
    <w:rsid w:val="008549C0"/>
    <w:rsid w:val="00854DEB"/>
    <w:rsid w:val="008550A1"/>
    <w:rsid w:val="008550EA"/>
    <w:rsid w:val="00855A4F"/>
    <w:rsid w:val="00855D6A"/>
    <w:rsid w:val="00855FA8"/>
    <w:rsid w:val="008560DB"/>
    <w:rsid w:val="008562C4"/>
    <w:rsid w:val="008564FE"/>
    <w:rsid w:val="008565CB"/>
    <w:rsid w:val="00856D26"/>
    <w:rsid w:val="00857111"/>
    <w:rsid w:val="00857131"/>
    <w:rsid w:val="008600C4"/>
    <w:rsid w:val="00860223"/>
    <w:rsid w:val="00860A4B"/>
    <w:rsid w:val="00861CE1"/>
    <w:rsid w:val="00862395"/>
    <w:rsid w:val="00862444"/>
    <w:rsid w:val="008625E5"/>
    <w:rsid w:val="00862603"/>
    <w:rsid w:val="0086378E"/>
    <w:rsid w:val="008637E5"/>
    <w:rsid w:val="00863918"/>
    <w:rsid w:val="00863B77"/>
    <w:rsid w:val="00863D96"/>
    <w:rsid w:val="0086402C"/>
    <w:rsid w:val="00864CA2"/>
    <w:rsid w:val="00864E41"/>
    <w:rsid w:val="00864E7A"/>
    <w:rsid w:val="008651FD"/>
    <w:rsid w:val="00865315"/>
    <w:rsid w:val="00866AAA"/>
    <w:rsid w:val="00867695"/>
    <w:rsid w:val="00870C3A"/>
    <w:rsid w:val="00871289"/>
    <w:rsid w:val="00871933"/>
    <w:rsid w:val="0087198C"/>
    <w:rsid w:val="0087216E"/>
    <w:rsid w:val="0087260D"/>
    <w:rsid w:val="008726E0"/>
    <w:rsid w:val="00872A1F"/>
    <w:rsid w:val="00872C1F"/>
    <w:rsid w:val="00872E8B"/>
    <w:rsid w:val="0087332C"/>
    <w:rsid w:val="00873717"/>
    <w:rsid w:val="00873B42"/>
    <w:rsid w:val="00873CFE"/>
    <w:rsid w:val="00873E0F"/>
    <w:rsid w:val="00874D57"/>
    <w:rsid w:val="00874D9F"/>
    <w:rsid w:val="00874DB7"/>
    <w:rsid w:val="00875634"/>
    <w:rsid w:val="00876F7E"/>
    <w:rsid w:val="008772F9"/>
    <w:rsid w:val="00877C4F"/>
    <w:rsid w:val="00880224"/>
    <w:rsid w:val="008802E8"/>
    <w:rsid w:val="00880582"/>
    <w:rsid w:val="0088109C"/>
    <w:rsid w:val="008810DF"/>
    <w:rsid w:val="0088141D"/>
    <w:rsid w:val="008814B4"/>
    <w:rsid w:val="008817F9"/>
    <w:rsid w:val="00881E16"/>
    <w:rsid w:val="00882368"/>
    <w:rsid w:val="008829AF"/>
    <w:rsid w:val="008834E1"/>
    <w:rsid w:val="00884E61"/>
    <w:rsid w:val="00884F8C"/>
    <w:rsid w:val="00885279"/>
    <w:rsid w:val="0088552F"/>
    <w:rsid w:val="008856D8"/>
    <w:rsid w:val="00886BD0"/>
    <w:rsid w:val="00887716"/>
    <w:rsid w:val="00887A1D"/>
    <w:rsid w:val="00887CB8"/>
    <w:rsid w:val="00887F1D"/>
    <w:rsid w:val="00890741"/>
    <w:rsid w:val="00890E1F"/>
    <w:rsid w:val="00890FF4"/>
    <w:rsid w:val="00891011"/>
    <w:rsid w:val="008918CB"/>
    <w:rsid w:val="0089192A"/>
    <w:rsid w:val="00891F23"/>
    <w:rsid w:val="00892034"/>
    <w:rsid w:val="00892E82"/>
    <w:rsid w:val="00893FE3"/>
    <w:rsid w:val="0089418D"/>
    <w:rsid w:val="008949F6"/>
    <w:rsid w:val="00894B66"/>
    <w:rsid w:val="00895D43"/>
    <w:rsid w:val="008962E9"/>
    <w:rsid w:val="00896962"/>
    <w:rsid w:val="00897460"/>
    <w:rsid w:val="008A091A"/>
    <w:rsid w:val="008A0F8A"/>
    <w:rsid w:val="008A1081"/>
    <w:rsid w:val="008A115A"/>
    <w:rsid w:val="008A1518"/>
    <w:rsid w:val="008A18BB"/>
    <w:rsid w:val="008A1F75"/>
    <w:rsid w:val="008A229F"/>
    <w:rsid w:val="008A28DE"/>
    <w:rsid w:val="008A2B86"/>
    <w:rsid w:val="008A2C54"/>
    <w:rsid w:val="008A3538"/>
    <w:rsid w:val="008A3FF9"/>
    <w:rsid w:val="008A4C3F"/>
    <w:rsid w:val="008A4D61"/>
    <w:rsid w:val="008A4E18"/>
    <w:rsid w:val="008A5444"/>
    <w:rsid w:val="008A5A17"/>
    <w:rsid w:val="008A62B8"/>
    <w:rsid w:val="008A6B77"/>
    <w:rsid w:val="008A71F3"/>
    <w:rsid w:val="008A7A1B"/>
    <w:rsid w:val="008B0539"/>
    <w:rsid w:val="008B0CF4"/>
    <w:rsid w:val="008B0E06"/>
    <w:rsid w:val="008B0E9A"/>
    <w:rsid w:val="008B12EA"/>
    <w:rsid w:val="008B149F"/>
    <w:rsid w:val="008B158B"/>
    <w:rsid w:val="008B1AA1"/>
    <w:rsid w:val="008B1BCD"/>
    <w:rsid w:val="008B28FB"/>
    <w:rsid w:val="008B2EA3"/>
    <w:rsid w:val="008B321C"/>
    <w:rsid w:val="008B358A"/>
    <w:rsid w:val="008B3704"/>
    <w:rsid w:val="008B3F9D"/>
    <w:rsid w:val="008B4031"/>
    <w:rsid w:val="008B4299"/>
    <w:rsid w:val="008B4603"/>
    <w:rsid w:val="008B468A"/>
    <w:rsid w:val="008B4F00"/>
    <w:rsid w:val="008B53D3"/>
    <w:rsid w:val="008B601F"/>
    <w:rsid w:val="008B64B5"/>
    <w:rsid w:val="008B6B2D"/>
    <w:rsid w:val="008B725D"/>
    <w:rsid w:val="008B7488"/>
    <w:rsid w:val="008B7DDB"/>
    <w:rsid w:val="008C0013"/>
    <w:rsid w:val="008C030B"/>
    <w:rsid w:val="008C108A"/>
    <w:rsid w:val="008C10EB"/>
    <w:rsid w:val="008C1B58"/>
    <w:rsid w:val="008C1E59"/>
    <w:rsid w:val="008C25CA"/>
    <w:rsid w:val="008C291D"/>
    <w:rsid w:val="008C29A7"/>
    <w:rsid w:val="008C29F7"/>
    <w:rsid w:val="008C2B78"/>
    <w:rsid w:val="008C3015"/>
    <w:rsid w:val="008C33E3"/>
    <w:rsid w:val="008C39AE"/>
    <w:rsid w:val="008C3ED0"/>
    <w:rsid w:val="008C46D5"/>
    <w:rsid w:val="008C4978"/>
    <w:rsid w:val="008C533D"/>
    <w:rsid w:val="008C56E0"/>
    <w:rsid w:val="008C585E"/>
    <w:rsid w:val="008C590D"/>
    <w:rsid w:val="008C5C06"/>
    <w:rsid w:val="008C6402"/>
    <w:rsid w:val="008C65CB"/>
    <w:rsid w:val="008C700D"/>
    <w:rsid w:val="008C71AD"/>
    <w:rsid w:val="008C7504"/>
    <w:rsid w:val="008C7697"/>
    <w:rsid w:val="008C76C6"/>
    <w:rsid w:val="008C7B13"/>
    <w:rsid w:val="008C7D99"/>
    <w:rsid w:val="008D0F33"/>
    <w:rsid w:val="008D151D"/>
    <w:rsid w:val="008D189C"/>
    <w:rsid w:val="008D25E8"/>
    <w:rsid w:val="008D327C"/>
    <w:rsid w:val="008D32F4"/>
    <w:rsid w:val="008D4AD5"/>
    <w:rsid w:val="008D4B7D"/>
    <w:rsid w:val="008D4CEE"/>
    <w:rsid w:val="008D4EDE"/>
    <w:rsid w:val="008D4F40"/>
    <w:rsid w:val="008D5D0C"/>
    <w:rsid w:val="008D61DC"/>
    <w:rsid w:val="008D625A"/>
    <w:rsid w:val="008D647C"/>
    <w:rsid w:val="008D714C"/>
    <w:rsid w:val="008D7281"/>
    <w:rsid w:val="008D764F"/>
    <w:rsid w:val="008D7D20"/>
    <w:rsid w:val="008E0069"/>
    <w:rsid w:val="008E031B"/>
    <w:rsid w:val="008E05DC"/>
    <w:rsid w:val="008E0FD8"/>
    <w:rsid w:val="008E1C7F"/>
    <w:rsid w:val="008E21A4"/>
    <w:rsid w:val="008E2D75"/>
    <w:rsid w:val="008E338F"/>
    <w:rsid w:val="008E34F8"/>
    <w:rsid w:val="008E352E"/>
    <w:rsid w:val="008E40AA"/>
    <w:rsid w:val="008E482E"/>
    <w:rsid w:val="008E4AD6"/>
    <w:rsid w:val="008E4E97"/>
    <w:rsid w:val="008E4F1A"/>
    <w:rsid w:val="008E5458"/>
    <w:rsid w:val="008E576F"/>
    <w:rsid w:val="008E662B"/>
    <w:rsid w:val="008E6722"/>
    <w:rsid w:val="008E6C19"/>
    <w:rsid w:val="008E6C39"/>
    <w:rsid w:val="008E7029"/>
    <w:rsid w:val="008E71F8"/>
    <w:rsid w:val="008E7338"/>
    <w:rsid w:val="008E74B0"/>
    <w:rsid w:val="008E7EF6"/>
    <w:rsid w:val="008F05C2"/>
    <w:rsid w:val="008F0A31"/>
    <w:rsid w:val="008F0E33"/>
    <w:rsid w:val="008F1085"/>
    <w:rsid w:val="008F196E"/>
    <w:rsid w:val="008F19C3"/>
    <w:rsid w:val="008F1D31"/>
    <w:rsid w:val="008F1F98"/>
    <w:rsid w:val="008F2125"/>
    <w:rsid w:val="008F3432"/>
    <w:rsid w:val="008F46D9"/>
    <w:rsid w:val="008F5154"/>
    <w:rsid w:val="008F5609"/>
    <w:rsid w:val="008F5D09"/>
    <w:rsid w:val="008F6758"/>
    <w:rsid w:val="008F73EF"/>
    <w:rsid w:val="008F7FBE"/>
    <w:rsid w:val="0090012D"/>
    <w:rsid w:val="009008F2"/>
    <w:rsid w:val="00900BAF"/>
    <w:rsid w:val="0090109F"/>
    <w:rsid w:val="00901109"/>
    <w:rsid w:val="009018BC"/>
    <w:rsid w:val="00901906"/>
    <w:rsid w:val="0090190F"/>
    <w:rsid w:val="00902174"/>
    <w:rsid w:val="009023FD"/>
    <w:rsid w:val="00902D20"/>
    <w:rsid w:val="0090332F"/>
    <w:rsid w:val="009033A5"/>
    <w:rsid w:val="00903717"/>
    <w:rsid w:val="00903CA8"/>
    <w:rsid w:val="009040DD"/>
    <w:rsid w:val="00904592"/>
    <w:rsid w:val="009059FF"/>
    <w:rsid w:val="00905A3F"/>
    <w:rsid w:val="00905B47"/>
    <w:rsid w:val="0090601E"/>
    <w:rsid w:val="00906470"/>
    <w:rsid w:val="00906D4F"/>
    <w:rsid w:val="00906D9A"/>
    <w:rsid w:val="009070E9"/>
    <w:rsid w:val="0090786C"/>
    <w:rsid w:val="00910592"/>
    <w:rsid w:val="00910619"/>
    <w:rsid w:val="00910EDA"/>
    <w:rsid w:val="00910FBB"/>
    <w:rsid w:val="0091109A"/>
    <w:rsid w:val="00911554"/>
    <w:rsid w:val="00911732"/>
    <w:rsid w:val="009117D4"/>
    <w:rsid w:val="00911CD1"/>
    <w:rsid w:val="00911F38"/>
    <w:rsid w:val="0091238F"/>
    <w:rsid w:val="009125B9"/>
    <w:rsid w:val="0091282B"/>
    <w:rsid w:val="0091331C"/>
    <w:rsid w:val="0091389A"/>
    <w:rsid w:val="009146D7"/>
    <w:rsid w:val="0091471B"/>
    <w:rsid w:val="009148A3"/>
    <w:rsid w:val="00915420"/>
    <w:rsid w:val="0091582C"/>
    <w:rsid w:val="00915D17"/>
    <w:rsid w:val="009164FD"/>
    <w:rsid w:val="00916882"/>
    <w:rsid w:val="0091691B"/>
    <w:rsid w:val="009176B9"/>
    <w:rsid w:val="009178B2"/>
    <w:rsid w:val="00917C0D"/>
    <w:rsid w:val="00917D93"/>
    <w:rsid w:val="00917E46"/>
    <w:rsid w:val="00917ECD"/>
    <w:rsid w:val="00920634"/>
    <w:rsid w:val="0092071F"/>
    <w:rsid w:val="00920780"/>
    <w:rsid w:val="00920B40"/>
    <w:rsid w:val="00920C66"/>
    <w:rsid w:val="0092116C"/>
    <w:rsid w:val="009211C7"/>
    <w:rsid w:val="0092146A"/>
    <w:rsid w:val="009215C6"/>
    <w:rsid w:val="009218B8"/>
    <w:rsid w:val="009220C2"/>
    <w:rsid w:val="00922232"/>
    <w:rsid w:val="0092278D"/>
    <w:rsid w:val="009227C5"/>
    <w:rsid w:val="00922AAC"/>
    <w:rsid w:val="00923115"/>
    <w:rsid w:val="00923B02"/>
    <w:rsid w:val="00923B29"/>
    <w:rsid w:val="00923DDB"/>
    <w:rsid w:val="0092457A"/>
    <w:rsid w:val="00925041"/>
    <w:rsid w:val="00925983"/>
    <w:rsid w:val="009259A3"/>
    <w:rsid w:val="00925E34"/>
    <w:rsid w:val="0092617D"/>
    <w:rsid w:val="0092652F"/>
    <w:rsid w:val="00927236"/>
    <w:rsid w:val="0092743B"/>
    <w:rsid w:val="009278A0"/>
    <w:rsid w:val="009279DE"/>
    <w:rsid w:val="00927BAE"/>
    <w:rsid w:val="00930116"/>
    <w:rsid w:val="009303E4"/>
    <w:rsid w:val="00930462"/>
    <w:rsid w:val="00931056"/>
    <w:rsid w:val="00931520"/>
    <w:rsid w:val="00931C94"/>
    <w:rsid w:val="009329DC"/>
    <w:rsid w:val="00934278"/>
    <w:rsid w:val="0093461A"/>
    <w:rsid w:val="00934B80"/>
    <w:rsid w:val="00935643"/>
    <w:rsid w:val="00935DF6"/>
    <w:rsid w:val="00936823"/>
    <w:rsid w:val="00936C7A"/>
    <w:rsid w:val="0093706C"/>
    <w:rsid w:val="009371C7"/>
    <w:rsid w:val="00937251"/>
    <w:rsid w:val="0093769A"/>
    <w:rsid w:val="00937A63"/>
    <w:rsid w:val="00937B88"/>
    <w:rsid w:val="00937BFE"/>
    <w:rsid w:val="0094048D"/>
    <w:rsid w:val="0094079E"/>
    <w:rsid w:val="00940A1F"/>
    <w:rsid w:val="009412C2"/>
    <w:rsid w:val="009416C3"/>
    <w:rsid w:val="0094188F"/>
    <w:rsid w:val="00941A99"/>
    <w:rsid w:val="009420E7"/>
    <w:rsid w:val="0094212C"/>
    <w:rsid w:val="0094281F"/>
    <w:rsid w:val="00942A98"/>
    <w:rsid w:val="00943021"/>
    <w:rsid w:val="0094313A"/>
    <w:rsid w:val="0094328C"/>
    <w:rsid w:val="00943380"/>
    <w:rsid w:val="00944009"/>
    <w:rsid w:val="00944113"/>
    <w:rsid w:val="009447F3"/>
    <w:rsid w:val="00944AD4"/>
    <w:rsid w:val="00944BFA"/>
    <w:rsid w:val="009450CB"/>
    <w:rsid w:val="00945EC7"/>
    <w:rsid w:val="00946428"/>
    <w:rsid w:val="009470BB"/>
    <w:rsid w:val="00947828"/>
    <w:rsid w:val="00947B0E"/>
    <w:rsid w:val="00947D0D"/>
    <w:rsid w:val="00947FB8"/>
    <w:rsid w:val="009500DA"/>
    <w:rsid w:val="00950213"/>
    <w:rsid w:val="00950A45"/>
    <w:rsid w:val="00950ECE"/>
    <w:rsid w:val="009514E9"/>
    <w:rsid w:val="00951501"/>
    <w:rsid w:val="00951536"/>
    <w:rsid w:val="00951572"/>
    <w:rsid w:val="0095193B"/>
    <w:rsid w:val="0095274B"/>
    <w:rsid w:val="00952D21"/>
    <w:rsid w:val="00952E8B"/>
    <w:rsid w:val="009539B3"/>
    <w:rsid w:val="00954072"/>
    <w:rsid w:val="0095449E"/>
    <w:rsid w:val="00954689"/>
    <w:rsid w:val="00954693"/>
    <w:rsid w:val="0095505B"/>
    <w:rsid w:val="0095632E"/>
    <w:rsid w:val="00956372"/>
    <w:rsid w:val="00956454"/>
    <w:rsid w:val="00956732"/>
    <w:rsid w:val="009571A0"/>
    <w:rsid w:val="00957D4A"/>
    <w:rsid w:val="0096013A"/>
    <w:rsid w:val="0096021C"/>
    <w:rsid w:val="009602BD"/>
    <w:rsid w:val="009606F4"/>
    <w:rsid w:val="00960EF9"/>
    <w:rsid w:val="009617C9"/>
    <w:rsid w:val="00961C93"/>
    <w:rsid w:val="00961F8C"/>
    <w:rsid w:val="00961FF0"/>
    <w:rsid w:val="009624E2"/>
    <w:rsid w:val="0096258D"/>
    <w:rsid w:val="00962A49"/>
    <w:rsid w:val="00962F9A"/>
    <w:rsid w:val="00963120"/>
    <w:rsid w:val="00963409"/>
    <w:rsid w:val="00963845"/>
    <w:rsid w:val="00963903"/>
    <w:rsid w:val="00963919"/>
    <w:rsid w:val="009639BE"/>
    <w:rsid w:val="00963D6B"/>
    <w:rsid w:val="009643BA"/>
    <w:rsid w:val="0096484E"/>
    <w:rsid w:val="00964B92"/>
    <w:rsid w:val="00965324"/>
    <w:rsid w:val="00965894"/>
    <w:rsid w:val="00965DD3"/>
    <w:rsid w:val="009664B6"/>
    <w:rsid w:val="00967194"/>
    <w:rsid w:val="0096723B"/>
    <w:rsid w:val="0096728C"/>
    <w:rsid w:val="009674CD"/>
    <w:rsid w:val="00967792"/>
    <w:rsid w:val="009700E5"/>
    <w:rsid w:val="00970176"/>
    <w:rsid w:val="009702FB"/>
    <w:rsid w:val="0097091E"/>
    <w:rsid w:val="00970E77"/>
    <w:rsid w:val="00970F68"/>
    <w:rsid w:val="00971663"/>
    <w:rsid w:val="00972147"/>
    <w:rsid w:val="009722A0"/>
    <w:rsid w:val="0097262E"/>
    <w:rsid w:val="00973685"/>
    <w:rsid w:val="00973756"/>
    <w:rsid w:val="0097464D"/>
    <w:rsid w:val="00974B7C"/>
    <w:rsid w:val="00974C80"/>
    <w:rsid w:val="0097506B"/>
    <w:rsid w:val="00975891"/>
    <w:rsid w:val="009760D3"/>
    <w:rsid w:val="009761DD"/>
    <w:rsid w:val="00977132"/>
    <w:rsid w:val="0097770F"/>
    <w:rsid w:val="00977EC4"/>
    <w:rsid w:val="009800FE"/>
    <w:rsid w:val="009809CB"/>
    <w:rsid w:val="00980B87"/>
    <w:rsid w:val="00980E6C"/>
    <w:rsid w:val="00980F74"/>
    <w:rsid w:val="009810EB"/>
    <w:rsid w:val="009814C0"/>
    <w:rsid w:val="009817C3"/>
    <w:rsid w:val="00981A4B"/>
    <w:rsid w:val="00981AC1"/>
    <w:rsid w:val="00981B5E"/>
    <w:rsid w:val="00982117"/>
    <w:rsid w:val="009821D2"/>
    <w:rsid w:val="00982501"/>
    <w:rsid w:val="00982973"/>
    <w:rsid w:val="00982B96"/>
    <w:rsid w:val="00982BDE"/>
    <w:rsid w:val="00982D2A"/>
    <w:rsid w:val="00982F60"/>
    <w:rsid w:val="00983483"/>
    <w:rsid w:val="00983537"/>
    <w:rsid w:val="009837AC"/>
    <w:rsid w:val="0098385D"/>
    <w:rsid w:val="00983F1C"/>
    <w:rsid w:val="00984C14"/>
    <w:rsid w:val="00984CCB"/>
    <w:rsid w:val="00984D8D"/>
    <w:rsid w:val="0098527F"/>
    <w:rsid w:val="009857BC"/>
    <w:rsid w:val="00985DDA"/>
    <w:rsid w:val="00985E35"/>
    <w:rsid w:val="00986206"/>
    <w:rsid w:val="00986C27"/>
    <w:rsid w:val="00986CB8"/>
    <w:rsid w:val="009870E9"/>
    <w:rsid w:val="009877D3"/>
    <w:rsid w:val="009877F5"/>
    <w:rsid w:val="0099090D"/>
    <w:rsid w:val="00990A8C"/>
    <w:rsid w:val="00990DDE"/>
    <w:rsid w:val="0099121C"/>
    <w:rsid w:val="00991B5A"/>
    <w:rsid w:val="00991DF9"/>
    <w:rsid w:val="00992434"/>
    <w:rsid w:val="00992447"/>
    <w:rsid w:val="00992715"/>
    <w:rsid w:val="00993471"/>
    <w:rsid w:val="00993686"/>
    <w:rsid w:val="00994115"/>
    <w:rsid w:val="009946B6"/>
    <w:rsid w:val="0099479A"/>
    <w:rsid w:val="009948DC"/>
    <w:rsid w:val="00994E8F"/>
    <w:rsid w:val="009951DC"/>
    <w:rsid w:val="00995203"/>
    <w:rsid w:val="009953B5"/>
    <w:rsid w:val="009959BB"/>
    <w:rsid w:val="00995BA1"/>
    <w:rsid w:val="00995BFB"/>
    <w:rsid w:val="009960B5"/>
    <w:rsid w:val="009965FE"/>
    <w:rsid w:val="00997158"/>
    <w:rsid w:val="00997351"/>
    <w:rsid w:val="00997837"/>
    <w:rsid w:val="009A05E6"/>
    <w:rsid w:val="009A1047"/>
    <w:rsid w:val="009A112C"/>
    <w:rsid w:val="009A2051"/>
    <w:rsid w:val="009A22C5"/>
    <w:rsid w:val="009A25AC"/>
    <w:rsid w:val="009A2FA5"/>
    <w:rsid w:val="009A32D1"/>
    <w:rsid w:val="009A33E4"/>
    <w:rsid w:val="009A3848"/>
    <w:rsid w:val="009A3A7C"/>
    <w:rsid w:val="009A3C66"/>
    <w:rsid w:val="009A3CEF"/>
    <w:rsid w:val="009A4245"/>
    <w:rsid w:val="009A4714"/>
    <w:rsid w:val="009A4960"/>
    <w:rsid w:val="009A4ACC"/>
    <w:rsid w:val="009A4FFB"/>
    <w:rsid w:val="009A6C23"/>
    <w:rsid w:val="009A702A"/>
    <w:rsid w:val="009A732E"/>
    <w:rsid w:val="009A7374"/>
    <w:rsid w:val="009B0577"/>
    <w:rsid w:val="009B09FE"/>
    <w:rsid w:val="009B0BC7"/>
    <w:rsid w:val="009B0D08"/>
    <w:rsid w:val="009B19D4"/>
    <w:rsid w:val="009B1EDB"/>
    <w:rsid w:val="009B21E4"/>
    <w:rsid w:val="009B21E6"/>
    <w:rsid w:val="009B2ADB"/>
    <w:rsid w:val="009B3103"/>
    <w:rsid w:val="009B3806"/>
    <w:rsid w:val="009B45E5"/>
    <w:rsid w:val="009B5234"/>
    <w:rsid w:val="009B5416"/>
    <w:rsid w:val="009B5813"/>
    <w:rsid w:val="009B603A"/>
    <w:rsid w:val="009B6C96"/>
    <w:rsid w:val="009B6F08"/>
    <w:rsid w:val="009B7884"/>
    <w:rsid w:val="009B7A38"/>
    <w:rsid w:val="009B7BDC"/>
    <w:rsid w:val="009B7C6B"/>
    <w:rsid w:val="009B7E1E"/>
    <w:rsid w:val="009C018A"/>
    <w:rsid w:val="009C0682"/>
    <w:rsid w:val="009C0845"/>
    <w:rsid w:val="009C0FF4"/>
    <w:rsid w:val="009C147E"/>
    <w:rsid w:val="009C195D"/>
    <w:rsid w:val="009C2D0E"/>
    <w:rsid w:val="009C3263"/>
    <w:rsid w:val="009C3C2A"/>
    <w:rsid w:val="009C3D77"/>
    <w:rsid w:val="009C3DAC"/>
    <w:rsid w:val="009C428E"/>
    <w:rsid w:val="009C42E0"/>
    <w:rsid w:val="009C453D"/>
    <w:rsid w:val="009C5099"/>
    <w:rsid w:val="009C5579"/>
    <w:rsid w:val="009C55D9"/>
    <w:rsid w:val="009C5E4F"/>
    <w:rsid w:val="009C6121"/>
    <w:rsid w:val="009C6125"/>
    <w:rsid w:val="009C6528"/>
    <w:rsid w:val="009C689E"/>
    <w:rsid w:val="009C70D0"/>
    <w:rsid w:val="009C74E4"/>
    <w:rsid w:val="009D00A3"/>
    <w:rsid w:val="009D0242"/>
    <w:rsid w:val="009D03AC"/>
    <w:rsid w:val="009D095F"/>
    <w:rsid w:val="009D1B5B"/>
    <w:rsid w:val="009D21F5"/>
    <w:rsid w:val="009D23D0"/>
    <w:rsid w:val="009D23DB"/>
    <w:rsid w:val="009D2775"/>
    <w:rsid w:val="009D2B14"/>
    <w:rsid w:val="009D416C"/>
    <w:rsid w:val="009D460B"/>
    <w:rsid w:val="009D4C10"/>
    <w:rsid w:val="009D4D44"/>
    <w:rsid w:val="009D5362"/>
    <w:rsid w:val="009D5723"/>
    <w:rsid w:val="009D5C33"/>
    <w:rsid w:val="009D5C80"/>
    <w:rsid w:val="009D6107"/>
    <w:rsid w:val="009D6A1F"/>
    <w:rsid w:val="009D6D9B"/>
    <w:rsid w:val="009D7BA4"/>
    <w:rsid w:val="009D7DD5"/>
    <w:rsid w:val="009E016E"/>
    <w:rsid w:val="009E06FB"/>
    <w:rsid w:val="009E07F3"/>
    <w:rsid w:val="009E09A8"/>
    <w:rsid w:val="009E0AB1"/>
    <w:rsid w:val="009E118B"/>
    <w:rsid w:val="009E13E8"/>
    <w:rsid w:val="009E1415"/>
    <w:rsid w:val="009E155F"/>
    <w:rsid w:val="009E1FB6"/>
    <w:rsid w:val="009E2C99"/>
    <w:rsid w:val="009E2F6D"/>
    <w:rsid w:val="009E307F"/>
    <w:rsid w:val="009E3B5F"/>
    <w:rsid w:val="009E3B93"/>
    <w:rsid w:val="009E3C7C"/>
    <w:rsid w:val="009E3ECA"/>
    <w:rsid w:val="009E408A"/>
    <w:rsid w:val="009E453F"/>
    <w:rsid w:val="009E45A3"/>
    <w:rsid w:val="009E4679"/>
    <w:rsid w:val="009E4F5B"/>
    <w:rsid w:val="009E5622"/>
    <w:rsid w:val="009E5877"/>
    <w:rsid w:val="009E603A"/>
    <w:rsid w:val="009E6062"/>
    <w:rsid w:val="009E6116"/>
    <w:rsid w:val="009E6E24"/>
    <w:rsid w:val="009E72DB"/>
    <w:rsid w:val="009E7637"/>
    <w:rsid w:val="009F02FC"/>
    <w:rsid w:val="009F059F"/>
    <w:rsid w:val="009F0B7E"/>
    <w:rsid w:val="009F19D7"/>
    <w:rsid w:val="009F1C85"/>
    <w:rsid w:val="009F1D47"/>
    <w:rsid w:val="009F1DBF"/>
    <w:rsid w:val="009F2244"/>
    <w:rsid w:val="009F255A"/>
    <w:rsid w:val="009F2AE9"/>
    <w:rsid w:val="009F2CA8"/>
    <w:rsid w:val="009F3121"/>
    <w:rsid w:val="009F3B2F"/>
    <w:rsid w:val="009F3CBE"/>
    <w:rsid w:val="009F440D"/>
    <w:rsid w:val="009F46F8"/>
    <w:rsid w:val="009F4B1B"/>
    <w:rsid w:val="009F5050"/>
    <w:rsid w:val="009F53EB"/>
    <w:rsid w:val="009F5949"/>
    <w:rsid w:val="009F59CC"/>
    <w:rsid w:val="009F5B64"/>
    <w:rsid w:val="009F5C38"/>
    <w:rsid w:val="009F5E64"/>
    <w:rsid w:val="009F5E6E"/>
    <w:rsid w:val="009F686B"/>
    <w:rsid w:val="009F687C"/>
    <w:rsid w:val="009F7056"/>
    <w:rsid w:val="009F7312"/>
    <w:rsid w:val="009F7BFA"/>
    <w:rsid w:val="009F7C1A"/>
    <w:rsid w:val="009F7DE7"/>
    <w:rsid w:val="00A00992"/>
    <w:rsid w:val="00A01497"/>
    <w:rsid w:val="00A01D47"/>
    <w:rsid w:val="00A024B3"/>
    <w:rsid w:val="00A0273F"/>
    <w:rsid w:val="00A02E43"/>
    <w:rsid w:val="00A03654"/>
    <w:rsid w:val="00A03916"/>
    <w:rsid w:val="00A039F1"/>
    <w:rsid w:val="00A03A22"/>
    <w:rsid w:val="00A03C70"/>
    <w:rsid w:val="00A03FD4"/>
    <w:rsid w:val="00A0447A"/>
    <w:rsid w:val="00A0454D"/>
    <w:rsid w:val="00A046CA"/>
    <w:rsid w:val="00A04E63"/>
    <w:rsid w:val="00A05506"/>
    <w:rsid w:val="00A05B05"/>
    <w:rsid w:val="00A05B41"/>
    <w:rsid w:val="00A05C98"/>
    <w:rsid w:val="00A05D80"/>
    <w:rsid w:val="00A05EC2"/>
    <w:rsid w:val="00A05EF2"/>
    <w:rsid w:val="00A060D2"/>
    <w:rsid w:val="00A065F9"/>
    <w:rsid w:val="00A06683"/>
    <w:rsid w:val="00A07167"/>
    <w:rsid w:val="00A071D2"/>
    <w:rsid w:val="00A073F2"/>
    <w:rsid w:val="00A07CC0"/>
    <w:rsid w:val="00A07D43"/>
    <w:rsid w:val="00A07D57"/>
    <w:rsid w:val="00A07F34"/>
    <w:rsid w:val="00A10F80"/>
    <w:rsid w:val="00A10FA7"/>
    <w:rsid w:val="00A11190"/>
    <w:rsid w:val="00A1133D"/>
    <w:rsid w:val="00A11997"/>
    <w:rsid w:val="00A11F04"/>
    <w:rsid w:val="00A12224"/>
    <w:rsid w:val="00A1269B"/>
    <w:rsid w:val="00A1349B"/>
    <w:rsid w:val="00A14DC4"/>
    <w:rsid w:val="00A163D5"/>
    <w:rsid w:val="00A16747"/>
    <w:rsid w:val="00A16B17"/>
    <w:rsid w:val="00A16F7D"/>
    <w:rsid w:val="00A17BE9"/>
    <w:rsid w:val="00A204B5"/>
    <w:rsid w:val="00A216B8"/>
    <w:rsid w:val="00A21FFB"/>
    <w:rsid w:val="00A22154"/>
    <w:rsid w:val="00A2286F"/>
    <w:rsid w:val="00A22C3B"/>
    <w:rsid w:val="00A22FF4"/>
    <w:rsid w:val="00A232A1"/>
    <w:rsid w:val="00A232C5"/>
    <w:rsid w:val="00A237D1"/>
    <w:rsid w:val="00A237F6"/>
    <w:rsid w:val="00A2384C"/>
    <w:rsid w:val="00A23DF8"/>
    <w:rsid w:val="00A23F8A"/>
    <w:rsid w:val="00A25245"/>
    <w:rsid w:val="00A25C38"/>
    <w:rsid w:val="00A25E63"/>
    <w:rsid w:val="00A2606D"/>
    <w:rsid w:val="00A262BF"/>
    <w:rsid w:val="00A263EB"/>
    <w:rsid w:val="00A27038"/>
    <w:rsid w:val="00A276C5"/>
    <w:rsid w:val="00A27D0D"/>
    <w:rsid w:val="00A27EC6"/>
    <w:rsid w:val="00A30101"/>
    <w:rsid w:val="00A30147"/>
    <w:rsid w:val="00A3036C"/>
    <w:rsid w:val="00A30C67"/>
    <w:rsid w:val="00A30E98"/>
    <w:rsid w:val="00A310BB"/>
    <w:rsid w:val="00A3165E"/>
    <w:rsid w:val="00A31811"/>
    <w:rsid w:val="00A3198F"/>
    <w:rsid w:val="00A31CA7"/>
    <w:rsid w:val="00A321AF"/>
    <w:rsid w:val="00A322F0"/>
    <w:rsid w:val="00A32354"/>
    <w:rsid w:val="00A32C42"/>
    <w:rsid w:val="00A3323A"/>
    <w:rsid w:val="00A3349F"/>
    <w:rsid w:val="00A33E3A"/>
    <w:rsid w:val="00A340A5"/>
    <w:rsid w:val="00A344C8"/>
    <w:rsid w:val="00A34F52"/>
    <w:rsid w:val="00A35244"/>
    <w:rsid w:val="00A35259"/>
    <w:rsid w:val="00A3582B"/>
    <w:rsid w:val="00A35E53"/>
    <w:rsid w:val="00A35EB0"/>
    <w:rsid w:val="00A36281"/>
    <w:rsid w:val="00A364EC"/>
    <w:rsid w:val="00A365ED"/>
    <w:rsid w:val="00A36BBE"/>
    <w:rsid w:val="00A3784C"/>
    <w:rsid w:val="00A37E92"/>
    <w:rsid w:val="00A37EAF"/>
    <w:rsid w:val="00A40900"/>
    <w:rsid w:val="00A413C6"/>
    <w:rsid w:val="00A4144D"/>
    <w:rsid w:val="00A415FE"/>
    <w:rsid w:val="00A4182C"/>
    <w:rsid w:val="00A41C8E"/>
    <w:rsid w:val="00A41F2A"/>
    <w:rsid w:val="00A42840"/>
    <w:rsid w:val="00A42937"/>
    <w:rsid w:val="00A4307A"/>
    <w:rsid w:val="00A4469D"/>
    <w:rsid w:val="00A446C0"/>
    <w:rsid w:val="00A449B1"/>
    <w:rsid w:val="00A44AF4"/>
    <w:rsid w:val="00A4547A"/>
    <w:rsid w:val="00A46217"/>
    <w:rsid w:val="00A46695"/>
    <w:rsid w:val="00A46CDE"/>
    <w:rsid w:val="00A473DE"/>
    <w:rsid w:val="00A47E16"/>
    <w:rsid w:val="00A47EBB"/>
    <w:rsid w:val="00A47EE9"/>
    <w:rsid w:val="00A50900"/>
    <w:rsid w:val="00A50B19"/>
    <w:rsid w:val="00A50BFB"/>
    <w:rsid w:val="00A511E5"/>
    <w:rsid w:val="00A51510"/>
    <w:rsid w:val="00A5179D"/>
    <w:rsid w:val="00A51968"/>
    <w:rsid w:val="00A51CDD"/>
    <w:rsid w:val="00A51EF6"/>
    <w:rsid w:val="00A52B9E"/>
    <w:rsid w:val="00A52F0A"/>
    <w:rsid w:val="00A536A4"/>
    <w:rsid w:val="00A53FCD"/>
    <w:rsid w:val="00A5426F"/>
    <w:rsid w:val="00A54FDF"/>
    <w:rsid w:val="00A55161"/>
    <w:rsid w:val="00A55C9B"/>
    <w:rsid w:val="00A56302"/>
    <w:rsid w:val="00A56561"/>
    <w:rsid w:val="00A56C15"/>
    <w:rsid w:val="00A56ED0"/>
    <w:rsid w:val="00A6083A"/>
    <w:rsid w:val="00A6113A"/>
    <w:rsid w:val="00A61A52"/>
    <w:rsid w:val="00A622F2"/>
    <w:rsid w:val="00A624E3"/>
    <w:rsid w:val="00A6283B"/>
    <w:rsid w:val="00A631A6"/>
    <w:rsid w:val="00A6352E"/>
    <w:rsid w:val="00A635C4"/>
    <w:rsid w:val="00A63B29"/>
    <w:rsid w:val="00A63B39"/>
    <w:rsid w:val="00A63D6C"/>
    <w:rsid w:val="00A64A75"/>
    <w:rsid w:val="00A64BD3"/>
    <w:rsid w:val="00A65D9D"/>
    <w:rsid w:val="00A662E3"/>
    <w:rsid w:val="00A668DB"/>
    <w:rsid w:val="00A6695B"/>
    <w:rsid w:val="00A66BF5"/>
    <w:rsid w:val="00A6730D"/>
    <w:rsid w:val="00A67EEC"/>
    <w:rsid w:val="00A67F6C"/>
    <w:rsid w:val="00A70419"/>
    <w:rsid w:val="00A71625"/>
    <w:rsid w:val="00A717E3"/>
    <w:rsid w:val="00A7183A"/>
    <w:rsid w:val="00A71B9B"/>
    <w:rsid w:val="00A726E4"/>
    <w:rsid w:val="00A7275D"/>
    <w:rsid w:val="00A72BCC"/>
    <w:rsid w:val="00A72C76"/>
    <w:rsid w:val="00A7348C"/>
    <w:rsid w:val="00A737B0"/>
    <w:rsid w:val="00A7405A"/>
    <w:rsid w:val="00A74A90"/>
    <w:rsid w:val="00A74BB4"/>
    <w:rsid w:val="00A751C7"/>
    <w:rsid w:val="00A755B5"/>
    <w:rsid w:val="00A75BBE"/>
    <w:rsid w:val="00A75D9A"/>
    <w:rsid w:val="00A75F61"/>
    <w:rsid w:val="00A765F5"/>
    <w:rsid w:val="00A7664A"/>
    <w:rsid w:val="00A76C31"/>
    <w:rsid w:val="00A776B7"/>
    <w:rsid w:val="00A77BB9"/>
    <w:rsid w:val="00A77E7B"/>
    <w:rsid w:val="00A80D8E"/>
    <w:rsid w:val="00A81081"/>
    <w:rsid w:val="00A81315"/>
    <w:rsid w:val="00A825B5"/>
    <w:rsid w:val="00A8306D"/>
    <w:rsid w:val="00A83070"/>
    <w:rsid w:val="00A83B61"/>
    <w:rsid w:val="00A83BF6"/>
    <w:rsid w:val="00A83DFD"/>
    <w:rsid w:val="00A83EC2"/>
    <w:rsid w:val="00A8411B"/>
    <w:rsid w:val="00A84380"/>
    <w:rsid w:val="00A84839"/>
    <w:rsid w:val="00A84871"/>
    <w:rsid w:val="00A848C3"/>
    <w:rsid w:val="00A849E1"/>
    <w:rsid w:val="00A84BAF"/>
    <w:rsid w:val="00A85AFC"/>
    <w:rsid w:val="00A8617A"/>
    <w:rsid w:val="00A86CE3"/>
    <w:rsid w:val="00A87198"/>
    <w:rsid w:val="00A877E6"/>
    <w:rsid w:val="00A87844"/>
    <w:rsid w:val="00A87956"/>
    <w:rsid w:val="00A910F1"/>
    <w:rsid w:val="00A911FE"/>
    <w:rsid w:val="00A91579"/>
    <w:rsid w:val="00A9164D"/>
    <w:rsid w:val="00A9199B"/>
    <w:rsid w:val="00A91AFA"/>
    <w:rsid w:val="00A91C06"/>
    <w:rsid w:val="00A92043"/>
    <w:rsid w:val="00A92530"/>
    <w:rsid w:val="00A93871"/>
    <w:rsid w:val="00A93C58"/>
    <w:rsid w:val="00A949CF"/>
    <w:rsid w:val="00A94C41"/>
    <w:rsid w:val="00A9520E"/>
    <w:rsid w:val="00A95218"/>
    <w:rsid w:val="00A956BE"/>
    <w:rsid w:val="00A9579F"/>
    <w:rsid w:val="00A95DB2"/>
    <w:rsid w:val="00A9627C"/>
    <w:rsid w:val="00A9638A"/>
    <w:rsid w:val="00A968EF"/>
    <w:rsid w:val="00A97082"/>
    <w:rsid w:val="00A973AF"/>
    <w:rsid w:val="00A97BF4"/>
    <w:rsid w:val="00A97E54"/>
    <w:rsid w:val="00AA038C"/>
    <w:rsid w:val="00AA05E3"/>
    <w:rsid w:val="00AA07B8"/>
    <w:rsid w:val="00AA0C65"/>
    <w:rsid w:val="00AA0E2F"/>
    <w:rsid w:val="00AA1246"/>
    <w:rsid w:val="00AA19C3"/>
    <w:rsid w:val="00AA20FB"/>
    <w:rsid w:val="00AA226A"/>
    <w:rsid w:val="00AA27CC"/>
    <w:rsid w:val="00AA2F8B"/>
    <w:rsid w:val="00AA2FE8"/>
    <w:rsid w:val="00AA33DC"/>
    <w:rsid w:val="00AA380C"/>
    <w:rsid w:val="00AA4D25"/>
    <w:rsid w:val="00AA4DA9"/>
    <w:rsid w:val="00AA4FE0"/>
    <w:rsid w:val="00AA55DA"/>
    <w:rsid w:val="00AA5779"/>
    <w:rsid w:val="00AA5B97"/>
    <w:rsid w:val="00AA61A4"/>
    <w:rsid w:val="00AA6506"/>
    <w:rsid w:val="00AA6922"/>
    <w:rsid w:val="00AA6A31"/>
    <w:rsid w:val="00AA7239"/>
    <w:rsid w:val="00AA741B"/>
    <w:rsid w:val="00AA753D"/>
    <w:rsid w:val="00AA7A09"/>
    <w:rsid w:val="00AB008E"/>
    <w:rsid w:val="00AB013C"/>
    <w:rsid w:val="00AB0898"/>
    <w:rsid w:val="00AB0C63"/>
    <w:rsid w:val="00AB138B"/>
    <w:rsid w:val="00AB13F2"/>
    <w:rsid w:val="00AB17C6"/>
    <w:rsid w:val="00AB18E7"/>
    <w:rsid w:val="00AB197B"/>
    <w:rsid w:val="00AB2261"/>
    <w:rsid w:val="00AB26B6"/>
    <w:rsid w:val="00AB26D8"/>
    <w:rsid w:val="00AB27C1"/>
    <w:rsid w:val="00AB29D2"/>
    <w:rsid w:val="00AB3089"/>
    <w:rsid w:val="00AB34DC"/>
    <w:rsid w:val="00AB3841"/>
    <w:rsid w:val="00AB3B50"/>
    <w:rsid w:val="00AB3E41"/>
    <w:rsid w:val="00AB453C"/>
    <w:rsid w:val="00AB4C67"/>
    <w:rsid w:val="00AB55B5"/>
    <w:rsid w:val="00AB56FF"/>
    <w:rsid w:val="00AB5852"/>
    <w:rsid w:val="00AB5F81"/>
    <w:rsid w:val="00AB5FBB"/>
    <w:rsid w:val="00AB625E"/>
    <w:rsid w:val="00AB6542"/>
    <w:rsid w:val="00AB6ED2"/>
    <w:rsid w:val="00AB745E"/>
    <w:rsid w:val="00AB74F2"/>
    <w:rsid w:val="00AB7837"/>
    <w:rsid w:val="00AB79E4"/>
    <w:rsid w:val="00AB7A93"/>
    <w:rsid w:val="00AB7DB3"/>
    <w:rsid w:val="00AB7E96"/>
    <w:rsid w:val="00AC0556"/>
    <w:rsid w:val="00AC05B1"/>
    <w:rsid w:val="00AC09C8"/>
    <w:rsid w:val="00AC114B"/>
    <w:rsid w:val="00AC12C1"/>
    <w:rsid w:val="00AC14CA"/>
    <w:rsid w:val="00AC14CC"/>
    <w:rsid w:val="00AC16AE"/>
    <w:rsid w:val="00AC17D9"/>
    <w:rsid w:val="00AC1A18"/>
    <w:rsid w:val="00AC1AF8"/>
    <w:rsid w:val="00AC1BFD"/>
    <w:rsid w:val="00AC21A3"/>
    <w:rsid w:val="00AC2A89"/>
    <w:rsid w:val="00AC3273"/>
    <w:rsid w:val="00AC3315"/>
    <w:rsid w:val="00AC33D1"/>
    <w:rsid w:val="00AC3FE7"/>
    <w:rsid w:val="00AC4371"/>
    <w:rsid w:val="00AC45E7"/>
    <w:rsid w:val="00AC4B8F"/>
    <w:rsid w:val="00AC4C5A"/>
    <w:rsid w:val="00AC4E9A"/>
    <w:rsid w:val="00AC4FDD"/>
    <w:rsid w:val="00AC5183"/>
    <w:rsid w:val="00AC54B9"/>
    <w:rsid w:val="00AC5A7D"/>
    <w:rsid w:val="00AC5AB4"/>
    <w:rsid w:val="00AC5C59"/>
    <w:rsid w:val="00AC6324"/>
    <w:rsid w:val="00AC63D2"/>
    <w:rsid w:val="00AC644F"/>
    <w:rsid w:val="00AC6635"/>
    <w:rsid w:val="00AC69F7"/>
    <w:rsid w:val="00AC6A04"/>
    <w:rsid w:val="00AC6C02"/>
    <w:rsid w:val="00AC6DB0"/>
    <w:rsid w:val="00AC6FFE"/>
    <w:rsid w:val="00AC71A9"/>
    <w:rsid w:val="00AC783B"/>
    <w:rsid w:val="00AC787F"/>
    <w:rsid w:val="00AC7EA0"/>
    <w:rsid w:val="00AD008C"/>
    <w:rsid w:val="00AD0141"/>
    <w:rsid w:val="00AD017C"/>
    <w:rsid w:val="00AD02C6"/>
    <w:rsid w:val="00AD04D5"/>
    <w:rsid w:val="00AD05E9"/>
    <w:rsid w:val="00AD1A39"/>
    <w:rsid w:val="00AD274D"/>
    <w:rsid w:val="00AD2754"/>
    <w:rsid w:val="00AD2971"/>
    <w:rsid w:val="00AD2A4C"/>
    <w:rsid w:val="00AD356C"/>
    <w:rsid w:val="00AD35B0"/>
    <w:rsid w:val="00AD38D6"/>
    <w:rsid w:val="00AD3BA6"/>
    <w:rsid w:val="00AD3D1E"/>
    <w:rsid w:val="00AD3F30"/>
    <w:rsid w:val="00AD3F56"/>
    <w:rsid w:val="00AD4873"/>
    <w:rsid w:val="00AD48D3"/>
    <w:rsid w:val="00AD49EC"/>
    <w:rsid w:val="00AD5097"/>
    <w:rsid w:val="00AD5214"/>
    <w:rsid w:val="00AD60D7"/>
    <w:rsid w:val="00AD63DF"/>
    <w:rsid w:val="00AD6638"/>
    <w:rsid w:val="00AD6A54"/>
    <w:rsid w:val="00AD6A83"/>
    <w:rsid w:val="00AD6D61"/>
    <w:rsid w:val="00AD751A"/>
    <w:rsid w:val="00AD7669"/>
    <w:rsid w:val="00AD775F"/>
    <w:rsid w:val="00AD7B62"/>
    <w:rsid w:val="00AE11C5"/>
    <w:rsid w:val="00AE18D8"/>
    <w:rsid w:val="00AE1FBF"/>
    <w:rsid w:val="00AE2418"/>
    <w:rsid w:val="00AE24B4"/>
    <w:rsid w:val="00AE2573"/>
    <w:rsid w:val="00AE26DC"/>
    <w:rsid w:val="00AE2819"/>
    <w:rsid w:val="00AE2868"/>
    <w:rsid w:val="00AE2914"/>
    <w:rsid w:val="00AE2F75"/>
    <w:rsid w:val="00AE3579"/>
    <w:rsid w:val="00AE36FF"/>
    <w:rsid w:val="00AE3BEC"/>
    <w:rsid w:val="00AE3C73"/>
    <w:rsid w:val="00AE42A2"/>
    <w:rsid w:val="00AE4AEC"/>
    <w:rsid w:val="00AE4D0F"/>
    <w:rsid w:val="00AE4FED"/>
    <w:rsid w:val="00AE512C"/>
    <w:rsid w:val="00AE51E6"/>
    <w:rsid w:val="00AE529C"/>
    <w:rsid w:val="00AE53C0"/>
    <w:rsid w:val="00AE54AC"/>
    <w:rsid w:val="00AE5E8F"/>
    <w:rsid w:val="00AE686F"/>
    <w:rsid w:val="00AE6D0A"/>
    <w:rsid w:val="00AE6D15"/>
    <w:rsid w:val="00AE7039"/>
    <w:rsid w:val="00AE7521"/>
    <w:rsid w:val="00AE7AD0"/>
    <w:rsid w:val="00AE7CF8"/>
    <w:rsid w:val="00AF02AD"/>
    <w:rsid w:val="00AF041E"/>
    <w:rsid w:val="00AF0D4E"/>
    <w:rsid w:val="00AF0EDE"/>
    <w:rsid w:val="00AF1B87"/>
    <w:rsid w:val="00AF211A"/>
    <w:rsid w:val="00AF3282"/>
    <w:rsid w:val="00AF355B"/>
    <w:rsid w:val="00AF3756"/>
    <w:rsid w:val="00AF43C5"/>
    <w:rsid w:val="00AF45A4"/>
    <w:rsid w:val="00AF4BB7"/>
    <w:rsid w:val="00AF5EAD"/>
    <w:rsid w:val="00AF6841"/>
    <w:rsid w:val="00AF6E3F"/>
    <w:rsid w:val="00AF7130"/>
    <w:rsid w:val="00AF7215"/>
    <w:rsid w:val="00AF78C9"/>
    <w:rsid w:val="00AF78CD"/>
    <w:rsid w:val="00B00452"/>
    <w:rsid w:val="00B008A0"/>
    <w:rsid w:val="00B00C2E"/>
    <w:rsid w:val="00B01034"/>
    <w:rsid w:val="00B0159B"/>
    <w:rsid w:val="00B020DD"/>
    <w:rsid w:val="00B02406"/>
    <w:rsid w:val="00B026CF"/>
    <w:rsid w:val="00B034DE"/>
    <w:rsid w:val="00B04182"/>
    <w:rsid w:val="00B04762"/>
    <w:rsid w:val="00B04EA4"/>
    <w:rsid w:val="00B052F5"/>
    <w:rsid w:val="00B057D6"/>
    <w:rsid w:val="00B05D55"/>
    <w:rsid w:val="00B05D56"/>
    <w:rsid w:val="00B0605A"/>
    <w:rsid w:val="00B060E6"/>
    <w:rsid w:val="00B0610E"/>
    <w:rsid w:val="00B0632A"/>
    <w:rsid w:val="00B06621"/>
    <w:rsid w:val="00B067FB"/>
    <w:rsid w:val="00B06ECD"/>
    <w:rsid w:val="00B07069"/>
    <w:rsid w:val="00B074FB"/>
    <w:rsid w:val="00B0782E"/>
    <w:rsid w:val="00B07AE3"/>
    <w:rsid w:val="00B07D9F"/>
    <w:rsid w:val="00B07DF9"/>
    <w:rsid w:val="00B10820"/>
    <w:rsid w:val="00B10C1F"/>
    <w:rsid w:val="00B11221"/>
    <w:rsid w:val="00B1122B"/>
    <w:rsid w:val="00B11430"/>
    <w:rsid w:val="00B115D9"/>
    <w:rsid w:val="00B11BB1"/>
    <w:rsid w:val="00B1232E"/>
    <w:rsid w:val="00B1295B"/>
    <w:rsid w:val="00B12D41"/>
    <w:rsid w:val="00B130DA"/>
    <w:rsid w:val="00B133CC"/>
    <w:rsid w:val="00B1463B"/>
    <w:rsid w:val="00B14C49"/>
    <w:rsid w:val="00B150D3"/>
    <w:rsid w:val="00B164CF"/>
    <w:rsid w:val="00B16513"/>
    <w:rsid w:val="00B16A20"/>
    <w:rsid w:val="00B16B4F"/>
    <w:rsid w:val="00B1708D"/>
    <w:rsid w:val="00B20381"/>
    <w:rsid w:val="00B206B7"/>
    <w:rsid w:val="00B2079B"/>
    <w:rsid w:val="00B2104C"/>
    <w:rsid w:val="00B219CC"/>
    <w:rsid w:val="00B21A7D"/>
    <w:rsid w:val="00B2210B"/>
    <w:rsid w:val="00B2287D"/>
    <w:rsid w:val="00B22A33"/>
    <w:rsid w:val="00B22A8D"/>
    <w:rsid w:val="00B23630"/>
    <w:rsid w:val="00B236F2"/>
    <w:rsid w:val="00B24170"/>
    <w:rsid w:val="00B258A7"/>
    <w:rsid w:val="00B25F69"/>
    <w:rsid w:val="00B26101"/>
    <w:rsid w:val="00B261C7"/>
    <w:rsid w:val="00B264D3"/>
    <w:rsid w:val="00B267E2"/>
    <w:rsid w:val="00B269AD"/>
    <w:rsid w:val="00B26C03"/>
    <w:rsid w:val="00B26F5D"/>
    <w:rsid w:val="00B27572"/>
    <w:rsid w:val="00B27B08"/>
    <w:rsid w:val="00B309BF"/>
    <w:rsid w:val="00B30F62"/>
    <w:rsid w:val="00B31303"/>
    <w:rsid w:val="00B3195A"/>
    <w:rsid w:val="00B31D61"/>
    <w:rsid w:val="00B31DEC"/>
    <w:rsid w:val="00B32392"/>
    <w:rsid w:val="00B32D15"/>
    <w:rsid w:val="00B330AA"/>
    <w:rsid w:val="00B33700"/>
    <w:rsid w:val="00B337D7"/>
    <w:rsid w:val="00B337F8"/>
    <w:rsid w:val="00B33A54"/>
    <w:rsid w:val="00B33BBB"/>
    <w:rsid w:val="00B3462D"/>
    <w:rsid w:val="00B34A35"/>
    <w:rsid w:val="00B353EB"/>
    <w:rsid w:val="00B357BF"/>
    <w:rsid w:val="00B357C8"/>
    <w:rsid w:val="00B358AC"/>
    <w:rsid w:val="00B35AA6"/>
    <w:rsid w:val="00B35F65"/>
    <w:rsid w:val="00B36621"/>
    <w:rsid w:val="00B37003"/>
    <w:rsid w:val="00B37124"/>
    <w:rsid w:val="00B3765C"/>
    <w:rsid w:val="00B37711"/>
    <w:rsid w:val="00B37D17"/>
    <w:rsid w:val="00B40789"/>
    <w:rsid w:val="00B40C14"/>
    <w:rsid w:val="00B40CAD"/>
    <w:rsid w:val="00B41370"/>
    <w:rsid w:val="00B4148E"/>
    <w:rsid w:val="00B41513"/>
    <w:rsid w:val="00B41E07"/>
    <w:rsid w:val="00B4202F"/>
    <w:rsid w:val="00B4215C"/>
    <w:rsid w:val="00B42181"/>
    <w:rsid w:val="00B439C4"/>
    <w:rsid w:val="00B43CB8"/>
    <w:rsid w:val="00B43ECE"/>
    <w:rsid w:val="00B441A1"/>
    <w:rsid w:val="00B445E2"/>
    <w:rsid w:val="00B44924"/>
    <w:rsid w:val="00B450EB"/>
    <w:rsid w:val="00B4535E"/>
    <w:rsid w:val="00B459D5"/>
    <w:rsid w:val="00B45ECC"/>
    <w:rsid w:val="00B46334"/>
    <w:rsid w:val="00B46B38"/>
    <w:rsid w:val="00B46C7B"/>
    <w:rsid w:val="00B46D53"/>
    <w:rsid w:val="00B46D5B"/>
    <w:rsid w:val="00B4704F"/>
    <w:rsid w:val="00B47904"/>
    <w:rsid w:val="00B47AC4"/>
    <w:rsid w:val="00B47D2B"/>
    <w:rsid w:val="00B50121"/>
    <w:rsid w:val="00B50684"/>
    <w:rsid w:val="00B50A52"/>
    <w:rsid w:val="00B50C7D"/>
    <w:rsid w:val="00B50D51"/>
    <w:rsid w:val="00B50EB8"/>
    <w:rsid w:val="00B51066"/>
    <w:rsid w:val="00B5169E"/>
    <w:rsid w:val="00B51723"/>
    <w:rsid w:val="00B52012"/>
    <w:rsid w:val="00B5226D"/>
    <w:rsid w:val="00B5258F"/>
    <w:rsid w:val="00B525E5"/>
    <w:rsid w:val="00B5282E"/>
    <w:rsid w:val="00B52A8C"/>
    <w:rsid w:val="00B52E73"/>
    <w:rsid w:val="00B53F63"/>
    <w:rsid w:val="00B53FA2"/>
    <w:rsid w:val="00B5404B"/>
    <w:rsid w:val="00B5422C"/>
    <w:rsid w:val="00B554D6"/>
    <w:rsid w:val="00B55BBD"/>
    <w:rsid w:val="00B56363"/>
    <w:rsid w:val="00B57473"/>
    <w:rsid w:val="00B57BC2"/>
    <w:rsid w:val="00B57EA1"/>
    <w:rsid w:val="00B60CD3"/>
    <w:rsid w:val="00B60F4C"/>
    <w:rsid w:val="00B613CF"/>
    <w:rsid w:val="00B613F2"/>
    <w:rsid w:val="00B618B3"/>
    <w:rsid w:val="00B618EF"/>
    <w:rsid w:val="00B619B3"/>
    <w:rsid w:val="00B619B8"/>
    <w:rsid w:val="00B62194"/>
    <w:rsid w:val="00B63430"/>
    <w:rsid w:val="00B636A8"/>
    <w:rsid w:val="00B63A64"/>
    <w:rsid w:val="00B63F2E"/>
    <w:rsid w:val="00B64690"/>
    <w:rsid w:val="00B647B7"/>
    <w:rsid w:val="00B64EF0"/>
    <w:rsid w:val="00B6593C"/>
    <w:rsid w:val="00B65DC2"/>
    <w:rsid w:val="00B65E1E"/>
    <w:rsid w:val="00B661CD"/>
    <w:rsid w:val="00B663D3"/>
    <w:rsid w:val="00B6656C"/>
    <w:rsid w:val="00B665C6"/>
    <w:rsid w:val="00B665F6"/>
    <w:rsid w:val="00B6668E"/>
    <w:rsid w:val="00B66FE6"/>
    <w:rsid w:val="00B67422"/>
    <w:rsid w:val="00B67D5B"/>
    <w:rsid w:val="00B67F32"/>
    <w:rsid w:val="00B70C27"/>
    <w:rsid w:val="00B714F1"/>
    <w:rsid w:val="00B71537"/>
    <w:rsid w:val="00B7154E"/>
    <w:rsid w:val="00B72362"/>
    <w:rsid w:val="00B728B6"/>
    <w:rsid w:val="00B729CB"/>
    <w:rsid w:val="00B72A49"/>
    <w:rsid w:val="00B72DCD"/>
    <w:rsid w:val="00B72F89"/>
    <w:rsid w:val="00B7306A"/>
    <w:rsid w:val="00B730CD"/>
    <w:rsid w:val="00B73375"/>
    <w:rsid w:val="00B73694"/>
    <w:rsid w:val="00B73984"/>
    <w:rsid w:val="00B74002"/>
    <w:rsid w:val="00B741DA"/>
    <w:rsid w:val="00B74BD7"/>
    <w:rsid w:val="00B74E18"/>
    <w:rsid w:val="00B74E44"/>
    <w:rsid w:val="00B7555B"/>
    <w:rsid w:val="00B75E6E"/>
    <w:rsid w:val="00B76527"/>
    <w:rsid w:val="00B76C30"/>
    <w:rsid w:val="00B77432"/>
    <w:rsid w:val="00B7764B"/>
    <w:rsid w:val="00B77B5B"/>
    <w:rsid w:val="00B8019A"/>
    <w:rsid w:val="00B805AF"/>
    <w:rsid w:val="00B80CF7"/>
    <w:rsid w:val="00B8137F"/>
    <w:rsid w:val="00B81D53"/>
    <w:rsid w:val="00B81D77"/>
    <w:rsid w:val="00B820F1"/>
    <w:rsid w:val="00B82B7B"/>
    <w:rsid w:val="00B82ED1"/>
    <w:rsid w:val="00B8325B"/>
    <w:rsid w:val="00B838DB"/>
    <w:rsid w:val="00B83BBE"/>
    <w:rsid w:val="00B83E77"/>
    <w:rsid w:val="00B8410B"/>
    <w:rsid w:val="00B84F39"/>
    <w:rsid w:val="00B85BC7"/>
    <w:rsid w:val="00B86253"/>
    <w:rsid w:val="00B869EC"/>
    <w:rsid w:val="00B86FE8"/>
    <w:rsid w:val="00B9053C"/>
    <w:rsid w:val="00B91D44"/>
    <w:rsid w:val="00B91D7F"/>
    <w:rsid w:val="00B91F4E"/>
    <w:rsid w:val="00B91FCC"/>
    <w:rsid w:val="00B92054"/>
    <w:rsid w:val="00B9260C"/>
    <w:rsid w:val="00B92914"/>
    <w:rsid w:val="00B93294"/>
    <w:rsid w:val="00B933E8"/>
    <w:rsid w:val="00B93939"/>
    <w:rsid w:val="00B9397A"/>
    <w:rsid w:val="00B93C03"/>
    <w:rsid w:val="00B9422C"/>
    <w:rsid w:val="00B94AE5"/>
    <w:rsid w:val="00B94E6F"/>
    <w:rsid w:val="00B95001"/>
    <w:rsid w:val="00B9633D"/>
    <w:rsid w:val="00B9679C"/>
    <w:rsid w:val="00B96CAD"/>
    <w:rsid w:val="00B9710C"/>
    <w:rsid w:val="00B97260"/>
    <w:rsid w:val="00B97426"/>
    <w:rsid w:val="00B97705"/>
    <w:rsid w:val="00B97824"/>
    <w:rsid w:val="00B97B56"/>
    <w:rsid w:val="00BA06F8"/>
    <w:rsid w:val="00BA0783"/>
    <w:rsid w:val="00BA0992"/>
    <w:rsid w:val="00BA0A6D"/>
    <w:rsid w:val="00BA0CD2"/>
    <w:rsid w:val="00BA1232"/>
    <w:rsid w:val="00BA181C"/>
    <w:rsid w:val="00BA1949"/>
    <w:rsid w:val="00BA2264"/>
    <w:rsid w:val="00BA22E0"/>
    <w:rsid w:val="00BA25BF"/>
    <w:rsid w:val="00BA2C4B"/>
    <w:rsid w:val="00BA2EBE"/>
    <w:rsid w:val="00BA36B0"/>
    <w:rsid w:val="00BA371F"/>
    <w:rsid w:val="00BA3DB6"/>
    <w:rsid w:val="00BA40F5"/>
    <w:rsid w:val="00BA40FD"/>
    <w:rsid w:val="00BA4540"/>
    <w:rsid w:val="00BA465A"/>
    <w:rsid w:val="00BA4737"/>
    <w:rsid w:val="00BA4AD3"/>
    <w:rsid w:val="00BA4DBB"/>
    <w:rsid w:val="00BA4F7B"/>
    <w:rsid w:val="00BA5790"/>
    <w:rsid w:val="00BA5F10"/>
    <w:rsid w:val="00BA6A22"/>
    <w:rsid w:val="00BA6BF2"/>
    <w:rsid w:val="00BA74C6"/>
    <w:rsid w:val="00BB0080"/>
    <w:rsid w:val="00BB0A90"/>
    <w:rsid w:val="00BB0B71"/>
    <w:rsid w:val="00BB0C16"/>
    <w:rsid w:val="00BB0F28"/>
    <w:rsid w:val="00BB1092"/>
    <w:rsid w:val="00BB1564"/>
    <w:rsid w:val="00BB1D4C"/>
    <w:rsid w:val="00BB2257"/>
    <w:rsid w:val="00BB26F0"/>
    <w:rsid w:val="00BB2FC6"/>
    <w:rsid w:val="00BB336F"/>
    <w:rsid w:val="00BB33A2"/>
    <w:rsid w:val="00BB362C"/>
    <w:rsid w:val="00BB3A76"/>
    <w:rsid w:val="00BB458A"/>
    <w:rsid w:val="00BB4918"/>
    <w:rsid w:val="00BB4EAB"/>
    <w:rsid w:val="00BB58CC"/>
    <w:rsid w:val="00BB5A35"/>
    <w:rsid w:val="00BB5F90"/>
    <w:rsid w:val="00BB5FED"/>
    <w:rsid w:val="00BB5FF2"/>
    <w:rsid w:val="00BB634A"/>
    <w:rsid w:val="00BB68E3"/>
    <w:rsid w:val="00BB6BB9"/>
    <w:rsid w:val="00BB6CF8"/>
    <w:rsid w:val="00BB6D1F"/>
    <w:rsid w:val="00BB7534"/>
    <w:rsid w:val="00BC04D6"/>
    <w:rsid w:val="00BC0740"/>
    <w:rsid w:val="00BC0889"/>
    <w:rsid w:val="00BC0B00"/>
    <w:rsid w:val="00BC0C93"/>
    <w:rsid w:val="00BC0D01"/>
    <w:rsid w:val="00BC0F01"/>
    <w:rsid w:val="00BC21EE"/>
    <w:rsid w:val="00BC28AE"/>
    <w:rsid w:val="00BC2E68"/>
    <w:rsid w:val="00BC2F32"/>
    <w:rsid w:val="00BC39BA"/>
    <w:rsid w:val="00BC3C84"/>
    <w:rsid w:val="00BC4054"/>
    <w:rsid w:val="00BC41F0"/>
    <w:rsid w:val="00BC4212"/>
    <w:rsid w:val="00BC47B5"/>
    <w:rsid w:val="00BC4AED"/>
    <w:rsid w:val="00BC4D94"/>
    <w:rsid w:val="00BC52F5"/>
    <w:rsid w:val="00BC5B42"/>
    <w:rsid w:val="00BC5D0B"/>
    <w:rsid w:val="00BC627E"/>
    <w:rsid w:val="00BC64EF"/>
    <w:rsid w:val="00BC65F9"/>
    <w:rsid w:val="00BC73B7"/>
    <w:rsid w:val="00BC758C"/>
    <w:rsid w:val="00BC7B8A"/>
    <w:rsid w:val="00BC7BC9"/>
    <w:rsid w:val="00BD00D3"/>
    <w:rsid w:val="00BD06C4"/>
    <w:rsid w:val="00BD0747"/>
    <w:rsid w:val="00BD0764"/>
    <w:rsid w:val="00BD0D4E"/>
    <w:rsid w:val="00BD0E8B"/>
    <w:rsid w:val="00BD0E91"/>
    <w:rsid w:val="00BD1659"/>
    <w:rsid w:val="00BD178C"/>
    <w:rsid w:val="00BD1CAB"/>
    <w:rsid w:val="00BD2249"/>
    <w:rsid w:val="00BD236B"/>
    <w:rsid w:val="00BD30F5"/>
    <w:rsid w:val="00BD3791"/>
    <w:rsid w:val="00BD392F"/>
    <w:rsid w:val="00BD3AA9"/>
    <w:rsid w:val="00BD3BD8"/>
    <w:rsid w:val="00BD4550"/>
    <w:rsid w:val="00BD46FC"/>
    <w:rsid w:val="00BD4909"/>
    <w:rsid w:val="00BD4A18"/>
    <w:rsid w:val="00BD4FAD"/>
    <w:rsid w:val="00BD5A4E"/>
    <w:rsid w:val="00BD5A57"/>
    <w:rsid w:val="00BD5BE1"/>
    <w:rsid w:val="00BD5D7F"/>
    <w:rsid w:val="00BD6488"/>
    <w:rsid w:val="00BD666A"/>
    <w:rsid w:val="00BD6721"/>
    <w:rsid w:val="00BD6B6E"/>
    <w:rsid w:val="00BD6DB2"/>
    <w:rsid w:val="00BD70AA"/>
    <w:rsid w:val="00BD7A4A"/>
    <w:rsid w:val="00BD7D5E"/>
    <w:rsid w:val="00BD7D9F"/>
    <w:rsid w:val="00BE08B5"/>
    <w:rsid w:val="00BE0E22"/>
    <w:rsid w:val="00BE11CF"/>
    <w:rsid w:val="00BE11DF"/>
    <w:rsid w:val="00BE1332"/>
    <w:rsid w:val="00BE21AB"/>
    <w:rsid w:val="00BE2F87"/>
    <w:rsid w:val="00BE32EC"/>
    <w:rsid w:val="00BE354B"/>
    <w:rsid w:val="00BE39D6"/>
    <w:rsid w:val="00BE4323"/>
    <w:rsid w:val="00BE43F1"/>
    <w:rsid w:val="00BE4870"/>
    <w:rsid w:val="00BE5042"/>
    <w:rsid w:val="00BE5143"/>
    <w:rsid w:val="00BE55B5"/>
    <w:rsid w:val="00BE55CB"/>
    <w:rsid w:val="00BE570B"/>
    <w:rsid w:val="00BE5CE3"/>
    <w:rsid w:val="00BE646D"/>
    <w:rsid w:val="00BE68AA"/>
    <w:rsid w:val="00BE7266"/>
    <w:rsid w:val="00BE78A4"/>
    <w:rsid w:val="00BE794B"/>
    <w:rsid w:val="00BE7982"/>
    <w:rsid w:val="00BF04A9"/>
    <w:rsid w:val="00BF0BA4"/>
    <w:rsid w:val="00BF0C70"/>
    <w:rsid w:val="00BF0DF8"/>
    <w:rsid w:val="00BF1461"/>
    <w:rsid w:val="00BF1787"/>
    <w:rsid w:val="00BF18A4"/>
    <w:rsid w:val="00BF19D7"/>
    <w:rsid w:val="00BF1B43"/>
    <w:rsid w:val="00BF1DD7"/>
    <w:rsid w:val="00BF1E10"/>
    <w:rsid w:val="00BF388E"/>
    <w:rsid w:val="00BF3BA6"/>
    <w:rsid w:val="00BF3CB6"/>
    <w:rsid w:val="00BF3F6B"/>
    <w:rsid w:val="00BF4424"/>
    <w:rsid w:val="00BF4707"/>
    <w:rsid w:val="00BF47FA"/>
    <w:rsid w:val="00BF481C"/>
    <w:rsid w:val="00BF4AD6"/>
    <w:rsid w:val="00BF4B4D"/>
    <w:rsid w:val="00BF4D5E"/>
    <w:rsid w:val="00BF4E54"/>
    <w:rsid w:val="00BF4FC5"/>
    <w:rsid w:val="00BF5435"/>
    <w:rsid w:val="00BF54F4"/>
    <w:rsid w:val="00BF5649"/>
    <w:rsid w:val="00BF5C1C"/>
    <w:rsid w:val="00BF617A"/>
    <w:rsid w:val="00BF624C"/>
    <w:rsid w:val="00BF6512"/>
    <w:rsid w:val="00BF6EB4"/>
    <w:rsid w:val="00BF6F8E"/>
    <w:rsid w:val="00BF720F"/>
    <w:rsid w:val="00BF72A1"/>
    <w:rsid w:val="00BF766B"/>
    <w:rsid w:val="00BF7B16"/>
    <w:rsid w:val="00BF7C76"/>
    <w:rsid w:val="00C0015B"/>
    <w:rsid w:val="00C0064B"/>
    <w:rsid w:val="00C01339"/>
    <w:rsid w:val="00C01E4A"/>
    <w:rsid w:val="00C01FF6"/>
    <w:rsid w:val="00C0222A"/>
    <w:rsid w:val="00C026B5"/>
    <w:rsid w:val="00C02FE3"/>
    <w:rsid w:val="00C03243"/>
    <w:rsid w:val="00C0340A"/>
    <w:rsid w:val="00C0354B"/>
    <w:rsid w:val="00C035CE"/>
    <w:rsid w:val="00C0379D"/>
    <w:rsid w:val="00C03931"/>
    <w:rsid w:val="00C039C4"/>
    <w:rsid w:val="00C03A78"/>
    <w:rsid w:val="00C044C8"/>
    <w:rsid w:val="00C047F5"/>
    <w:rsid w:val="00C04E94"/>
    <w:rsid w:val="00C05515"/>
    <w:rsid w:val="00C05B5E"/>
    <w:rsid w:val="00C05FE3"/>
    <w:rsid w:val="00C064BC"/>
    <w:rsid w:val="00C0663E"/>
    <w:rsid w:val="00C06817"/>
    <w:rsid w:val="00C06D23"/>
    <w:rsid w:val="00C07206"/>
    <w:rsid w:val="00C07D6F"/>
    <w:rsid w:val="00C103B6"/>
    <w:rsid w:val="00C10779"/>
    <w:rsid w:val="00C1093E"/>
    <w:rsid w:val="00C10C8E"/>
    <w:rsid w:val="00C11B80"/>
    <w:rsid w:val="00C11DB5"/>
    <w:rsid w:val="00C1215B"/>
    <w:rsid w:val="00C12315"/>
    <w:rsid w:val="00C13925"/>
    <w:rsid w:val="00C13AFD"/>
    <w:rsid w:val="00C13C32"/>
    <w:rsid w:val="00C14CE5"/>
    <w:rsid w:val="00C14F55"/>
    <w:rsid w:val="00C151AC"/>
    <w:rsid w:val="00C15536"/>
    <w:rsid w:val="00C1561A"/>
    <w:rsid w:val="00C15E8C"/>
    <w:rsid w:val="00C16865"/>
    <w:rsid w:val="00C168CD"/>
    <w:rsid w:val="00C1692B"/>
    <w:rsid w:val="00C16C17"/>
    <w:rsid w:val="00C17173"/>
    <w:rsid w:val="00C1732C"/>
    <w:rsid w:val="00C17346"/>
    <w:rsid w:val="00C17BA9"/>
    <w:rsid w:val="00C17BC9"/>
    <w:rsid w:val="00C2007C"/>
    <w:rsid w:val="00C2041D"/>
    <w:rsid w:val="00C2093D"/>
    <w:rsid w:val="00C20EAE"/>
    <w:rsid w:val="00C2136D"/>
    <w:rsid w:val="00C214EE"/>
    <w:rsid w:val="00C218D6"/>
    <w:rsid w:val="00C21F7A"/>
    <w:rsid w:val="00C22428"/>
    <w:rsid w:val="00C226C0"/>
    <w:rsid w:val="00C22C0D"/>
    <w:rsid w:val="00C2314B"/>
    <w:rsid w:val="00C240C4"/>
    <w:rsid w:val="00C243F0"/>
    <w:rsid w:val="00C2460C"/>
    <w:rsid w:val="00C24971"/>
    <w:rsid w:val="00C24FAB"/>
    <w:rsid w:val="00C2577B"/>
    <w:rsid w:val="00C25A56"/>
    <w:rsid w:val="00C26715"/>
    <w:rsid w:val="00C26870"/>
    <w:rsid w:val="00C26925"/>
    <w:rsid w:val="00C26BE5"/>
    <w:rsid w:val="00C26E4D"/>
    <w:rsid w:val="00C27909"/>
    <w:rsid w:val="00C27B03"/>
    <w:rsid w:val="00C27BFF"/>
    <w:rsid w:val="00C27D95"/>
    <w:rsid w:val="00C303C3"/>
    <w:rsid w:val="00C30726"/>
    <w:rsid w:val="00C30921"/>
    <w:rsid w:val="00C30AFC"/>
    <w:rsid w:val="00C30F9B"/>
    <w:rsid w:val="00C3105A"/>
    <w:rsid w:val="00C314E1"/>
    <w:rsid w:val="00C314E3"/>
    <w:rsid w:val="00C3160A"/>
    <w:rsid w:val="00C325D4"/>
    <w:rsid w:val="00C32A38"/>
    <w:rsid w:val="00C32B5F"/>
    <w:rsid w:val="00C32BED"/>
    <w:rsid w:val="00C32C26"/>
    <w:rsid w:val="00C332C3"/>
    <w:rsid w:val="00C33433"/>
    <w:rsid w:val="00C34397"/>
    <w:rsid w:val="00C34534"/>
    <w:rsid w:val="00C346BC"/>
    <w:rsid w:val="00C346F6"/>
    <w:rsid w:val="00C347EB"/>
    <w:rsid w:val="00C34EAA"/>
    <w:rsid w:val="00C34EDA"/>
    <w:rsid w:val="00C352E3"/>
    <w:rsid w:val="00C35917"/>
    <w:rsid w:val="00C35D40"/>
    <w:rsid w:val="00C360B7"/>
    <w:rsid w:val="00C36E0D"/>
    <w:rsid w:val="00C37676"/>
    <w:rsid w:val="00C37C47"/>
    <w:rsid w:val="00C402D3"/>
    <w:rsid w:val="00C4032F"/>
    <w:rsid w:val="00C4095D"/>
    <w:rsid w:val="00C40F0A"/>
    <w:rsid w:val="00C415D7"/>
    <w:rsid w:val="00C41FB8"/>
    <w:rsid w:val="00C4242D"/>
    <w:rsid w:val="00C43494"/>
    <w:rsid w:val="00C43849"/>
    <w:rsid w:val="00C43DE3"/>
    <w:rsid w:val="00C43FE4"/>
    <w:rsid w:val="00C4406C"/>
    <w:rsid w:val="00C44118"/>
    <w:rsid w:val="00C4465A"/>
    <w:rsid w:val="00C44E1F"/>
    <w:rsid w:val="00C44E79"/>
    <w:rsid w:val="00C454EF"/>
    <w:rsid w:val="00C46501"/>
    <w:rsid w:val="00C465A9"/>
    <w:rsid w:val="00C4728F"/>
    <w:rsid w:val="00C477DC"/>
    <w:rsid w:val="00C4797A"/>
    <w:rsid w:val="00C47E4D"/>
    <w:rsid w:val="00C502BA"/>
    <w:rsid w:val="00C50A32"/>
    <w:rsid w:val="00C50AB9"/>
    <w:rsid w:val="00C50FD1"/>
    <w:rsid w:val="00C513F1"/>
    <w:rsid w:val="00C5154F"/>
    <w:rsid w:val="00C515B5"/>
    <w:rsid w:val="00C51888"/>
    <w:rsid w:val="00C52258"/>
    <w:rsid w:val="00C52D15"/>
    <w:rsid w:val="00C535CD"/>
    <w:rsid w:val="00C53AF4"/>
    <w:rsid w:val="00C546CE"/>
    <w:rsid w:val="00C54DAA"/>
    <w:rsid w:val="00C54E4F"/>
    <w:rsid w:val="00C55019"/>
    <w:rsid w:val="00C5517F"/>
    <w:rsid w:val="00C5560E"/>
    <w:rsid w:val="00C55803"/>
    <w:rsid w:val="00C55D96"/>
    <w:rsid w:val="00C55FA1"/>
    <w:rsid w:val="00C5637C"/>
    <w:rsid w:val="00C5642D"/>
    <w:rsid w:val="00C56D4C"/>
    <w:rsid w:val="00C5712D"/>
    <w:rsid w:val="00C601D2"/>
    <w:rsid w:val="00C60736"/>
    <w:rsid w:val="00C607B3"/>
    <w:rsid w:val="00C60867"/>
    <w:rsid w:val="00C60E65"/>
    <w:rsid w:val="00C61314"/>
    <w:rsid w:val="00C61955"/>
    <w:rsid w:val="00C61980"/>
    <w:rsid w:val="00C61A9B"/>
    <w:rsid w:val="00C61F06"/>
    <w:rsid w:val="00C6261C"/>
    <w:rsid w:val="00C6311F"/>
    <w:rsid w:val="00C63158"/>
    <w:rsid w:val="00C632E4"/>
    <w:rsid w:val="00C63609"/>
    <w:rsid w:val="00C641C8"/>
    <w:rsid w:val="00C64690"/>
    <w:rsid w:val="00C64A26"/>
    <w:rsid w:val="00C64F50"/>
    <w:rsid w:val="00C64F96"/>
    <w:rsid w:val="00C65308"/>
    <w:rsid w:val="00C65796"/>
    <w:rsid w:val="00C657AB"/>
    <w:rsid w:val="00C65949"/>
    <w:rsid w:val="00C65BB9"/>
    <w:rsid w:val="00C65BCC"/>
    <w:rsid w:val="00C66970"/>
    <w:rsid w:val="00C66BA8"/>
    <w:rsid w:val="00C679A2"/>
    <w:rsid w:val="00C67CE2"/>
    <w:rsid w:val="00C67CEA"/>
    <w:rsid w:val="00C67DDC"/>
    <w:rsid w:val="00C67E02"/>
    <w:rsid w:val="00C70469"/>
    <w:rsid w:val="00C704EB"/>
    <w:rsid w:val="00C70A37"/>
    <w:rsid w:val="00C70FF7"/>
    <w:rsid w:val="00C7183C"/>
    <w:rsid w:val="00C71CE4"/>
    <w:rsid w:val="00C72244"/>
    <w:rsid w:val="00C72DB3"/>
    <w:rsid w:val="00C72EB7"/>
    <w:rsid w:val="00C73177"/>
    <w:rsid w:val="00C7323F"/>
    <w:rsid w:val="00C7347D"/>
    <w:rsid w:val="00C734AF"/>
    <w:rsid w:val="00C737FE"/>
    <w:rsid w:val="00C7398B"/>
    <w:rsid w:val="00C73AC4"/>
    <w:rsid w:val="00C73CEA"/>
    <w:rsid w:val="00C7446C"/>
    <w:rsid w:val="00C74B25"/>
    <w:rsid w:val="00C74BC3"/>
    <w:rsid w:val="00C74F43"/>
    <w:rsid w:val="00C7550D"/>
    <w:rsid w:val="00C75595"/>
    <w:rsid w:val="00C75790"/>
    <w:rsid w:val="00C75957"/>
    <w:rsid w:val="00C76296"/>
    <w:rsid w:val="00C7629C"/>
    <w:rsid w:val="00C762B3"/>
    <w:rsid w:val="00C76CE0"/>
    <w:rsid w:val="00C76FC8"/>
    <w:rsid w:val="00C77290"/>
    <w:rsid w:val="00C772B9"/>
    <w:rsid w:val="00C7770B"/>
    <w:rsid w:val="00C77884"/>
    <w:rsid w:val="00C779FA"/>
    <w:rsid w:val="00C77DE7"/>
    <w:rsid w:val="00C80152"/>
    <w:rsid w:val="00C8071F"/>
    <w:rsid w:val="00C80C5B"/>
    <w:rsid w:val="00C811BC"/>
    <w:rsid w:val="00C81225"/>
    <w:rsid w:val="00C81673"/>
    <w:rsid w:val="00C81D1D"/>
    <w:rsid w:val="00C82455"/>
    <w:rsid w:val="00C824ED"/>
    <w:rsid w:val="00C82B3A"/>
    <w:rsid w:val="00C83291"/>
    <w:rsid w:val="00C8361B"/>
    <w:rsid w:val="00C83CD4"/>
    <w:rsid w:val="00C842AB"/>
    <w:rsid w:val="00C8442D"/>
    <w:rsid w:val="00C8488A"/>
    <w:rsid w:val="00C848FE"/>
    <w:rsid w:val="00C84CC5"/>
    <w:rsid w:val="00C8501B"/>
    <w:rsid w:val="00C853D3"/>
    <w:rsid w:val="00C85438"/>
    <w:rsid w:val="00C858C1"/>
    <w:rsid w:val="00C8686B"/>
    <w:rsid w:val="00C8691C"/>
    <w:rsid w:val="00C869F4"/>
    <w:rsid w:val="00C86E8A"/>
    <w:rsid w:val="00C87047"/>
    <w:rsid w:val="00C90205"/>
    <w:rsid w:val="00C90B3B"/>
    <w:rsid w:val="00C90DC0"/>
    <w:rsid w:val="00C915DB"/>
    <w:rsid w:val="00C91892"/>
    <w:rsid w:val="00C91AA2"/>
    <w:rsid w:val="00C91D2C"/>
    <w:rsid w:val="00C92C6B"/>
    <w:rsid w:val="00C92DEC"/>
    <w:rsid w:val="00C94102"/>
    <w:rsid w:val="00C94523"/>
    <w:rsid w:val="00C9456A"/>
    <w:rsid w:val="00C94636"/>
    <w:rsid w:val="00C9473B"/>
    <w:rsid w:val="00C94AA1"/>
    <w:rsid w:val="00C95FCF"/>
    <w:rsid w:val="00C9603B"/>
    <w:rsid w:val="00C9638F"/>
    <w:rsid w:val="00C96564"/>
    <w:rsid w:val="00C969E5"/>
    <w:rsid w:val="00C97DC9"/>
    <w:rsid w:val="00CA03DE"/>
    <w:rsid w:val="00CA088F"/>
    <w:rsid w:val="00CA0CC1"/>
    <w:rsid w:val="00CA13FD"/>
    <w:rsid w:val="00CA168A"/>
    <w:rsid w:val="00CA1A11"/>
    <w:rsid w:val="00CA1A19"/>
    <w:rsid w:val="00CA1C23"/>
    <w:rsid w:val="00CA21CD"/>
    <w:rsid w:val="00CA21CF"/>
    <w:rsid w:val="00CA2288"/>
    <w:rsid w:val="00CA22E1"/>
    <w:rsid w:val="00CA24B8"/>
    <w:rsid w:val="00CA2613"/>
    <w:rsid w:val="00CA2AC7"/>
    <w:rsid w:val="00CA345A"/>
    <w:rsid w:val="00CA357E"/>
    <w:rsid w:val="00CA380D"/>
    <w:rsid w:val="00CA383F"/>
    <w:rsid w:val="00CA44F9"/>
    <w:rsid w:val="00CA4A69"/>
    <w:rsid w:val="00CA5CFE"/>
    <w:rsid w:val="00CA6199"/>
    <w:rsid w:val="00CA6973"/>
    <w:rsid w:val="00CA6A98"/>
    <w:rsid w:val="00CA711C"/>
    <w:rsid w:val="00CA7465"/>
    <w:rsid w:val="00CA7570"/>
    <w:rsid w:val="00CA7854"/>
    <w:rsid w:val="00CA7A4D"/>
    <w:rsid w:val="00CA7D85"/>
    <w:rsid w:val="00CB0E0D"/>
    <w:rsid w:val="00CB1313"/>
    <w:rsid w:val="00CB179D"/>
    <w:rsid w:val="00CB1A07"/>
    <w:rsid w:val="00CB1A99"/>
    <w:rsid w:val="00CB1E90"/>
    <w:rsid w:val="00CB1F18"/>
    <w:rsid w:val="00CB264F"/>
    <w:rsid w:val="00CB3802"/>
    <w:rsid w:val="00CB4326"/>
    <w:rsid w:val="00CB5347"/>
    <w:rsid w:val="00CB5A22"/>
    <w:rsid w:val="00CB5AE9"/>
    <w:rsid w:val="00CB5FF1"/>
    <w:rsid w:val="00CB693E"/>
    <w:rsid w:val="00CB6947"/>
    <w:rsid w:val="00CB70DD"/>
    <w:rsid w:val="00CB7DC8"/>
    <w:rsid w:val="00CC040A"/>
    <w:rsid w:val="00CC05F6"/>
    <w:rsid w:val="00CC0610"/>
    <w:rsid w:val="00CC0F8C"/>
    <w:rsid w:val="00CC1192"/>
    <w:rsid w:val="00CC13BD"/>
    <w:rsid w:val="00CC16A0"/>
    <w:rsid w:val="00CC1852"/>
    <w:rsid w:val="00CC2410"/>
    <w:rsid w:val="00CC247A"/>
    <w:rsid w:val="00CC322F"/>
    <w:rsid w:val="00CC347C"/>
    <w:rsid w:val="00CC3E0C"/>
    <w:rsid w:val="00CC4D03"/>
    <w:rsid w:val="00CC4EBA"/>
    <w:rsid w:val="00CC5664"/>
    <w:rsid w:val="00CC58D3"/>
    <w:rsid w:val="00CC5DA3"/>
    <w:rsid w:val="00CC7111"/>
    <w:rsid w:val="00CC744D"/>
    <w:rsid w:val="00CC784D"/>
    <w:rsid w:val="00CC7896"/>
    <w:rsid w:val="00CC7D5D"/>
    <w:rsid w:val="00CD0643"/>
    <w:rsid w:val="00CD08CD"/>
    <w:rsid w:val="00CD0AD3"/>
    <w:rsid w:val="00CD0CBC"/>
    <w:rsid w:val="00CD1266"/>
    <w:rsid w:val="00CD16CC"/>
    <w:rsid w:val="00CD20E3"/>
    <w:rsid w:val="00CD3051"/>
    <w:rsid w:val="00CD361B"/>
    <w:rsid w:val="00CD3C86"/>
    <w:rsid w:val="00CD3D60"/>
    <w:rsid w:val="00CD406A"/>
    <w:rsid w:val="00CD47E2"/>
    <w:rsid w:val="00CD495D"/>
    <w:rsid w:val="00CD5BAC"/>
    <w:rsid w:val="00CD5E82"/>
    <w:rsid w:val="00CD6CF8"/>
    <w:rsid w:val="00CD76EA"/>
    <w:rsid w:val="00CD7D58"/>
    <w:rsid w:val="00CD7E23"/>
    <w:rsid w:val="00CD7F0C"/>
    <w:rsid w:val="00CE04A2"/>
    <w:rsid w:val="00CE066E"/>
    <w:rsid w:val="00CE06A0"/>
    <w:rsid w:val="00CE092C"/>
    <w:rsid w:val="00CE0CB0"/>
    <w:rsid w:val="00CE0FFF"/>
    <w:rsid w:val="00CE11A1"/>
    <w:rsid w:val="00CE11BE"/>
    <w:rsid w:val="00CE1B0C"/>
    <w:rsid w:val="00CE1DF5"/>
    <w:rsid w:val="00CE20D0"/>
    <w:rsid w:val="00CE218A"/>
    <w:rsid w:val="00CE259F"/>
    <w:rsid w:val="00CE2735"/>
    <w:rsid w:val="00CE323D"/>
    <w:rsid w:val="00CE3841"/>
    <w:rsid w:val="00CE44B1"/>
    <w:rsid w:val="00CE48CD"/>
    <w:rsid w:val="00CE49EA"/>
    <w:rsid w:val="00CE4BBF"/>
    <w:rsid w:val="00CE4EA2"/>
    <w:rsid w:val="00CE5174"/>
    <w:rsid w:val="00CE56E9"/>
    <w:rsid w:val="00CE609D"/>
    <w:rsid w:val="00CE6597"/>
    <w:rsid w:val="00CE677F"/>
    <w:rsid w:val="00CE6E0B"/>
    <w:rsid w:val="00CE70D3"/>
    <w:rsid w:val="00CF005F"/>
    <w:rsid w:val="00CF091B"/>
    <w:rsid w:val="00CF0A83"/>
    <w:rsid w:val="00CF0CA6"/>
    <w:rsid w:val="00CF0CBC"/>
    <w:rsid w:val="00CF17F7"/>
    <w:rsid w:val="00CF1EF3"/>
    <w:rsid w:val="00CF20DF"/>
    <w:rsid w:val="00CF28B6"/>
    <w:rsid w:val="00CF2F54"/>
    <w:rsid w:val="00CF3102"/>
    <w:rsid w:val="00CF3161"/>
    <w:rsid w:val="00CF3844"/>
    <w:rsid w:val="00CF3B45"/>
    <w:rsid w:val="00CF46C3"/>
    <w:rsid w:val="00CF4EB6"/>
    <w:rsid w:val="00CF52E1"/>
    <w:rsid w:val="00CF5B48"/>
    <w:rsid w:val="00CF5D88"/>
    <w:rsid w:val="00CF686D"/>
    <w:rsid w:val="00CF68B2"/>
    <w:rsid w:val="00CF7384"/>
    <w:rsid w:val="00CF769F"/>
    <w:rsid w:val="00CF7851"/>
    <w:rsid w:val="00D009B8"/>
    <w:rsid w:val="00D00E28"/>
    <w:rsid w:val="00D00EEA"/>
    <w:rsid w:val="00D011EA"/>
    <w:rsid w:val="00D0122F"/>
    <w:rsid w:val="00D0147A"/>
    <w:rsid w:val="00D015D4"/>
    <w:rsid w:val="00D0175A"/>
    <w:rsid w:val="00D0283B"/>
    <w:rsid w:val="00D0337B"/>
    <w:rsid w:val="00D035D3"/>
    <w:rsid w:val="00D03823"/>
    <w:rsid w:val="00D03C25"/>
    <w:rsid w:val="00D040B2"/>
    <w:rsid w:val="00D041E5"/>
    <w:rsid w:val="00D0475C"/>
    <w:rsid w:val="00D04B95"/>
    <w:rsid w:val="00D050AF"/>
    <w:rsid w:val="00D053BF"/>
    <w:rsid w:val="00D054FB"/>
    <w:rsid w:val="00D05B9F"/>
    <w:rsid w:val="00D05ED0"/>
    <w:rsid w:val="00D068ED"/>
    <w:rsid w:val="00D06EBB"/>
    <w:rsid w:val="00D079B2"/>
    <w:rsid w:val="00D07A31"/>
    <w:rsid w:val="00D10DF4"/>
    <w:rsid w:val="00D1147C"/>
    <w:rsid w:val="00D1148C"/>
    <w:rsid w:val="00D114E9"/>
    <w:rsid w:val="00D11575"/>
    <w:rsid w:val="00D11B0E"/>
    <w:rsid w:val="00D11DD9"/>
    <w:rsid w:val="00D12AB6"/>
    <w:rsid w:val="00D12BF1"/>
    <w:rsid w:val="00D13C83"/>
    <w:rsid w:val="00D14B3E"/>
    <w:rsid w:val="00D14CA1"/>
    <w:rsid w:val="00D151E2"/>
    <w:rsid w:val="00D157EF"/>
    <w:rsid w:val="00D159C3"/>
    <w:rsid w:val="00D15E1F"/>
    <w:rsid w:val="00D15F44"/>
    <w:rsid w:val="00D160DD"/>
    <w:rsid w:val="00D16267"/>
    <w:rsid w:val="00D165FB"/>
    <w:rsid w:val="00D16EAD"/>
    <w:rsid w:val="00D16F8C"/>
    <w:rsid w:val="00D179F1"/>
    <w:rsid w:val="00D21A05"/>
    <w:rsid w:val="00D22399"/>
    <w:rsid w:val="00D2242E"/>
    <w:rsid w:val="00D246C2"/>
    <w:rsid w:val="00D25CE3"/>
    <w:rsid w:val="00D2699C"/>
    <w:rsid w:val="00D27113"/>
    <w:rsid w:val="00D27366"/>
    <w:rsid w:val="00D27D53"/>
    <w:rsid w:val="00D301B3"/>
    <w:rsid w:val="00D301D5"/>
    <w:rsid w:val="00D30D8C"/>
    <w:rsid w:val="00D31543"/>
    <w:rsid w:val="00D317E9"/>
    <w:rsid w:val="00D31904"/>
    <w:rsid w:val="00D323BD"/>
    <w:rsid w:val="00D326C8"/>
    <w:rsid w:val="00D32C12"/>
    <w:rsid w:val="00D33451"/>
    <w:rsid w:val="00D33CA7"/>
    <w:rsid w:val="00D33E0E"/>
    <w:rsid w:val="00D33F5E"/>
    <w:rsid w:val="00D341FC"/>
    <w:rsid w:val="00D34615"/>
    <w:rsid w:val="00D35419"/>
    <w:rsid w:val="00D3549E"/>
    <w:rsid w:val="00D35528"/>
    <w:rsid w:val="00D35773"/>
    <w:rsid w:val="00D366E6"/>
    <w:rsid w:val="00D36724"/>
    <w:rsid w:val="00D370B8"/>
    <w:rsid w:val="00D40B87"/>
    <w:rsid w:val="00D40FF3"/>
    <w:rsid w:val="00D4110B"/>
    <w:rsid w:val="00D4137B"/>
    <w:rsid w:val="00D41C1D"/>
    <w:rsid w:val="00D41D95"/>
    <w:rsid w:val="00D420FA"/>
    <w:rsid w:val="00D429C6"/>
    <w:rsid w:val="00D43AB4"/>
    <w:rsid w:val="00D43E7E"/>
    <w:rsid w:val="00D441BC"/>
    <w:rsid w:val="00D44952"/>
    <w:rsid w:val="00D44CF5"/>
    <w:rsid w:val="00D45367"/>
    <w:rsid w:val="00D45807"/>
    <w:rsid w:val="00D45917"/>
    <w:rsid w:val="00D45976"/>
    <w:rsid w:val="00D45AF6"/>
    <w:rsid w:val="00D45DE2"/>
    <w:rsid w:val="00D45E42"/>
    <w:rsid w:val="00D45EA4"/>
    <w:rsid w:val="00D4623B"/>
    <w:rsid w:val="00D46E69"/>
    <w:rsid w:val="00D46FF4"/>
    <w:rsid w:val="00D476D3"/>
    <w:rsid w:val="00D47748"/>
    <w:rsid w:val="00D4785B"/>
    <w:rsid w:val="00D47A4A"/>
    <w:rsid w:val="00D47CF4"/>
    <w:rsid w:val="00D47F30"/>
    <w:rsid w:val="00D50495"/>
    <w:rsid w:val="00D508B0"/>
    <w:rsid w:val="00D50E1D"/>
    <w:rsid w:val="00D50E1E"/>
    <w:rsid w:val="00D50F97"/>
    <w:rsid w:val="00D5132B"/>
    <w:rsid w:val="00D5187D"/>
    <w:rsid w:val="00D519CA"/>
    <w:rsid w:val="00D52212"/>
    <w:rsid w:val="00D52ADF"/>
    <w:rsid w:val="00D52C08"/>
    <w:rsid w:val="00D52EC7"/>
    <w:rsid w:val="00D52F03"/>
    <w:rsid w:val="00D544B2"/>
    <w:rsid w:val="00D544FD"/>
    <w:rsid w:val="00D547D2"/>
    <w:rsid w:val="00D54CC3"/>
    <w:rsid w:val="00D54FBA"/>
    <w:rsid w:val="00D55039"/>
    <w:rsid w:val="00D5505C"/>
    <w:rsid w:val="00D5544F"/>
    <w:rsid w:val="00D5570C"/>
    <w:rsid w:val="00D55DE2"/>
    <w:rsid w:val="00D56575"/>
    <w:rsid w:val="00D568D4"/>
    <w:rsid w:val="00D56A93"/>
    <w:rsid w:val="00D56C2C"/>
    <w:rsid w:val="00D56C3A"/>
    <w:rsid w:val="00D575B6"/>
    <w:rsid w:val="00D57B95"/>
    <w:rsid w:val="00D60307"/>
    <w:rsid w:val="00D6041A"/>
    <w:rsid w:val="00D60754"/>
    <w:rsid w:val="00D608FC"/>
    <w:rsid w:val="00D61640"/>
    <w:rsid w:val="00D616F2"/>
    <w:rsid w:val="00D62584"/>
    <w:rsid w:val="00D633EB"/>
    <w:rsid w:val="00D6407D"/>
    <w:rsid w:val="00D647E0"/>
    <w:rsid w:val="00D64BDA"/>
    <w:rsid w:val="00D6657D"/>
    <w:rsid w:val="00D665BC"/>
    <w:rsid w:val="00D6772B"/>
    <w:rsid w:val="00D67BB2"/>
    <w:rsid w:val="00D67F18"/>
    <w:rsid w:val="00D701C5"/>
    <w:rsid w:val="00D7108A"/>
    <w:rsid w:val="00D71100"/>
    <w:rsid w:val="00D71122"/>
    <w:rsid w:val="00D715C0"/>
    <w:rsid w:val="00D715D5"/>
    <w:rsid w:val="00D71DA1"/>
    <w:rsid w:val="00D71E5E"/>
    <w:rsid w:val="00D721F5"/>
    <w:rsid w:val="00D73A5B"/>
    <w:rsid w:val="00D73C6B"/>
    <w:rsid w:val="00D75083"/>
    <w:rsid w:val="00D754E3"/>
    <w:rsid w:val="00D75C6B"/>
    <w:rsid w:val="00D75DB5"/>
    <w:rsid w:val="00D76416"/>
    <w:rsid w:val="00D764E2"/>
    <w:rsid w:val="00D76977"/>
    <w:rsid w:val="00D76D27"/>
    <w:rsid w:val="00D76E0E"/>
    <w:rsid w:val="00D77193"/>
    <w:rsid w:val="00D771CD"/>
    <w:rsid w:val="00D77877"/>
    <w:rsid w:val="00D80400"/>
    <w:rsid w:val="00D80408"/>
    <w:rsid w:val="00D80456"/>
    <w:rsid w:val="00D80457"/>
    <w:rsid w:val="00D80E76"/>
    <w:rsid w:val="00D80FA7"/>
    <w:rsid w:val="00D80FEF"/>
    <w:rsid w:val="00D810EF"/>
    <w:rsid w:val="00D81349"/>
    <w:rsid w:val="00D815EF"/>
    <w:rsid w:val="00D81EAB"/>
    <w:rsid w:val="00D82207"/>
    <w:rsid w:val="00D82686"/>
    <w:rsid w:val="00D827D0"/>
    <w:rsid w:val="00D82B53"/>
    <w:rsid w:val="00D82FF7"/>
    <w:rsid w:val="00D8324A"/>
    <w:rsid w:val="00D836CA"/>
    <w:rsid w:val="00D8375D"/>
    <w:rsid w:val="00D83CC4"/>
    <w:rsid w:val="00D84340"/>
    <w:rsid w:val="00D8442B"/>
    <w:rsid w:val="00D84494"/>
    <w:rsid w:val="00D847FE"/>
    <w:rsid w:val="00D84A37"/>
    <w:rsid w:val="00D8558E"/>
    <w:rsid w:val="00D8591B"/>
    <w:rsid w:val="00D85962"/>
    <w:rsid w:val="00D85EC9"/>
    <w:rsid w:val="00D85F7C"/>
    <w:rsid w:val="00D860BB"/>
    <w:rsid w:val="00D87345"/>
    <w:rsid w:val="00D8764D"/>
    <w:rsid w:val="00D9001F"/>
    <w:rsid w:val="00D900DE"/>
    <w:rsid w:val="00D901CA"/>
    <w:rsid w:val="00D909D3"/>
    <w:rsid w:val="00D90BB9"/>
    <w:rsid w:val="00D90CAD"/>
    <w:rsid w:val="00D91A41"/>
    <w:rsid w:val="00D91E1C"/>
    <w:rsid w:val="00D92669"/>
    <w:rsid w:val="00D93098"/>
    <w:rsid w:val="00D93AE1"/>
    <w:rsid w:val="00D93E43"/>
    <w:rsid w:val="00D94398"/>
    <w:rsid w:val="00D94B6D"/>
    <w:rsid w:val="00D950E7"/>
    <w:rsid w:val="00D951F1"/>
    <w:rsid w:val="00D9531B"/>
    <w:rsid w:val="00D954CC"/>
    <w:rsid w:val="00D9567C"/>
    <w:rsid w:val="00D95EEE"/>
    <w:rsid w:val="00D96203"/>
    <w:rsid w:val="00D964EA"/>
    <w:rsid w:val="00D96656"/>
    <w:rsid w:val="00D966D0"/>
    <w:rsid w:val="00D97096"/>
    <w:rsid w:val="00D970C0"/>
    <w:rsid w:val="00D973D3"/>
    <w:rsid w:val="00D97647"/>
    <w:rsid w:val="00D97F11"/>
    <w:rsid w:val="00DA01AA"/>
    <w:rsid w:val="00DA0260"/>
    <w:rsid w:val="00DA06D9"/>
    <w:rsid w:val="00DA08DA"/>
    <w:rsid w:val="00DA0C59"/>
    <w:rsid w:val="00DA0D05"/>
    <w:rsid w:val="00DA0E99"/>
    <w:rsid w:val="00DA1591"/>
    <w:rsid w:val="00DA3003"/>
    <w:rsid w:val="00DA3401"/>
    <w:rsid w:val="00DA368E"/>
    <w:rsid w:val="00DA38DA"/>
    <w:rsid w:val="00DA3991"/>
    <w:rsid w:val="00DA3D13"/>
    <w:rsid w:val="00DA3D71"/>
    <w:rsid w:val="00DA4556"/>
    <w:rsid w:val="00DA4746"/>
    <w:rsid w:val="00DA5439"/>
    <w:rsid w:val="00DA57D3"/>
    <w:rsid w:val="00DA5971"/>
    <w:rsid w:val="00DA5B6D"/>
    <w:rsid w:val="00DA67E8"/>
    <w:rsid w:val="00DA6F52"/>
    <w:rsid w:val="00DA70E7"/>
    <w:rsid w:val="00DA75D1"/>
    <w:rsid w:val="00DA7747"/>
    <w:rsid w:val="00DA7798"/>
    <w:rsid w:val="00DA78EF"/>
    <w:rsid w:val="00DA7999"/>
    <w:rsid w:val="00DA7CAE"/>
    <w:rsid w:val="00DA7F37"/>
    <w:rsid w:val="00DB01BA"/>
    <w:rsid w:val="00DB05F3"/>
    <w:rsid w:val="00DB08CC"/>
    <w:rsid w:val="00DB0EAD"/>
    <w:rsid w:val="00DB18F0"/>
    <w:rsid w:val="00DB19B4"/>
    <w:rsid w:val="00DB2665"/>
    <w:rsid w:val="00DB34AF"/>
    <w:rsid w:val="00DB39C6"/>
    <w:rsid w:val="00DB3CE0"/>
    <w:rsid w:val="00DB4136"/>
    <w:rsid w:val="00DB4C7D"/>
    <w:rsid w:val="00DB4FF9"/>
    <w:rsid w:val="00DB5067"/>
    <w:rsid w:val="00DB5229"/>
    <w:rsid w:val="00DB5773"/>
    <w:rsid w:val="00DB59DB"/>
    <w:rsid w:val="00DB61FB"/>
    <w:rsid w:val="00DB69A5"/>
    <w:rsid w:val="00DB6A35"/>
    <w:rsid w:val="00DB6B1D"/>
    <w:rsid w:val="00DB76E7"/>
    <w:rsid w:val="00DB774E"/>
    <w:rsid w:val="00DB7D85"/>
    <w:rsid w:val="00DB7E6C"/>
    <w:rsid w:val="00DC04B9"/>
    <w:rsid w:val="00DC0785"/>
    <w:rsid w:val="00DC12A5"/>
    <w:rsid w:val="00DC1549"/>
    <w:rsid w:val="00DC15C7"/>
    <w:rsid w:val="00DC177C"/>
    <w:rsid w:val="00DC22BE"/>
    <w:rsid w:val="00DC22BF"/>
    <w:rsid w:val="00DC253F"/>
    <w:rsid w:val="00DC29B8"/>
    <w:rsid w:val="00DC34B0"/>
    <w:rsid w:val="00DC34DF"/>
    <w:rsid w:val="00DC3C4C"/>
    <w:rsid w:val="00DC5D6F"/>
    <w:rsid w:val="00DC5D9A"/>
    <w:rsid w:val="00DC6411"/>
    <w:rsid w:val="00DC64A3"/>
    <w:rsid w:val="00DC745C"/>
    <w:rsid w:val="00DC75C2"/>
    <w:rsid w:val="00DC77F4"/>
    <w:rsid w:val="00DD023C"/>
    <w:rsid w:val="00DD03C3"/>
    <w:rsid w:val="00DD18F4"/>
    <w:rsid w:val="00DD19F9"/>
    <w:rsid w:val="00DD1A14"/>
    <w:rsid w:val="00DD1B8C"/>
    <w:rsid w:val="00DD205B"/>
    <w:rsid w:val="00DD2454"/>
    <w:rsid w:val="00DD2477"/>
    <w:rsid w:val="00DD2B22"/>
    <w:rsid w:val="00DD3679"/>
    <w:rsid w:val="00DD36A7"/>
    <w:rsid w:val="00DD3708"/>
    <w:rsid w:val="00DD37A8"/>
    <w:rsid w:val="00DD39BE"/>
    <w:rsid w:val="00DD3CBF"/>
    <w:rsid w:val="00DD4450"/>
    <w:rsid w:val="00DD448E"/>
    <w:rsid w:val="00DD45EC"/>
    <w:rsid w:val="00DD5A29"/>
    <w:rsid w:val="00DD5D12"/>
    <w:rsid w:val="00DD5D9D"/>
    <w:rsid w:val="00DD635A"/>
    <w:rsid w:val="00DD696A"/>
    <w:rsid w:val="00DD69F1"/>
    <w:rsid w:val="00DD6E92"/>
    <w:rsid w:val="00DD6FA4"/>
    <w:rsid w:val="00DD73E7"/>
    <w:rsid w:val="00DD7786"/>
    <w:rsid w:val="00DE0A2E"/>
    <w:rsid w:val="00DE0D47"/>
    <w:rsid w:val="00DE0FC7"/>
    <w:rsid w:val="00DE1929"/>
    <w:rsid w:val="00DE1B12"/>
    <w:rsid w:val="00DE20C9"/>
    <w:rsid w:val="00DE21D6"/>
    <w:rsid w:val="00DE270C"/>
    <w:rsid w:val="00DE2856"/>
    <w:rsid w:val="00DE2B50"/>
    <w:rsid w:val="00DE3072"/>
    <w:rsid w:val="00DE339D"/>
    <w:rsid w:val="00DE3538"/>
    <w:rsid w:val="00DE35CB"/>
    <w:rsid w:val="00DE3650"/>
    <w:rsid w:val="00DE36E0"/>
    <w:rsid w:val="00DE3BEC"/>
    <w:rsid w:val="00DE4127"/>
    <w:rsid w:val="00DE4128"/>
    <w:rsid w:val="00DE44A7"/>
    <w:rsid w:val="00DE4842"/>
    <w:rsid w:val="00DE4A3B"/>
    <w:rsid w:val="00DE4F92"/>
    <w:rsid w:val="00DE544D"/>
    <w:rsid w:val="00DE588A"/>
    <w:rsid w:val="00DE5923"/>
    <w:rsid w:val="00DE5E1B"/>
    <w:rsid w:val="00DE6197"/>
    <w:rsid w:val="00DE6CC1"/>
    <w:rsid w:val="00DE6FD0"/>
    <w:rsid w:val="00DE7092"/>
    <w:rsid w:val="00DE750F"/>
    <w:rsid w:val="00DE787C"/>
    <w:rsid w:val="00DE7988"/>
    <w:rsid w:val="00DF02A1"/>
    <w:rsid w:val="00DF0912"/>
    <w:rsid w:val="00DF0DD7"/>
    <w:rsid w:val="00DF0E3D"/>
    <w:rsid w:val="00DF1021"/>
    <w:rsid w:val="00DF10A2"/>
    <w:rsid w:val="00DF1D80"/>
    <w:rsid w:val="00DF21E9"/>
    <w:rsid w:val="00DF2405"/>
    <w:rsid w:val="00DF3084"/>
    <w:rsid w:val="00DF375C"/>
    <w:rsid w:val="00DF39EF"/>
    <w:rsid w:val="00DF3BE9"/>
    <w:rsid w:val="00DF3BFD"/>
    <w:rsid w:val="00DF3FB6"/>
    <w:rsid w:val="00DF493F"/>
    <w:rsid w:val="00DF4D55"/>
    <w:rsid w:val="00DF4E0E"/>
    <w:rsid w:val="00DF4FDF"/>
    <w:rsid w:val="00DF5D48"/>
    <w:rsid w:val="00DF5ED0"/>
    <w:rsid w:val="00DF6C53"/>
    <w:rsid w:val="00DF7D9D"/>
    <w:rsid w:val="00DF7EDF"/>
    <w:rsid w:val="00E0003F"/>
    <w:rsid w:val="00E00208"/>
    <w:rsid w:val="00E00422"/>
    <w:rsid w:val="00E00494"/>
    <w:rsid w:val="00E0071D"/>
    <w:rsid w:val="00E00873"/>
    <w:rsid w:val="00E00A96"/>
    <w:rsid w:val="00E00F14"/>
    <w:rsid w:val="00E01FE8"/>
    <w:rsid w:val="00E02039"/>
    <w:rsid w:val="00E023F5"/>
    <w:rsid w:val="00E024B2"/>
    <w:rsid w:val="00E02F44"/>
    <w:rsid w:val="00E035AD"/>
    <w:rsid w:val="00E03C41"/>
    <w:rsid w:val="00E03FE6"/>
    <w:rsid w:val="00E04037"/>
    <w:rsid w:val="00E04111"/>
    <w:rsid w:val="00E04303"/>
    <w:rsid w:val="00E047C5"/>
    <w:rsid w:val="00E04D07"/>
    <w:rsid w:val="00E052FF"/>
    <w:rsid w:val="00E0538D"/>
    <w:rsid w:val="00E05B97"/>
    <w:rsid w:val="00E0609D"/>
    <w:rsid w:val="00E06386"/>
    <w:rsid w:val="00E0667F"/>
    <w:rsid w:val="00E06BAE"/>
    <w:rsid w:val="00E07430"/>
    <w:rsid w:val="00E07761"/>
    <w:rsid w:val="00E07AB1"/>
    <w:rsid w:val="00E106AD"/>
    <w:rsid w:val="00E112BD"/>
    <w:rsid w:val="00E11CB7"/>
    <w:rsid w:val="00E11D7B"/>
    <w:rsid w:val="00E12401"/>
    <w:rsid w:val="00E1277D"/>
    <w:rsid w:val="00E127E5"/>
    <w:rsid w:val="00E12DE4"/>
    <w:rsid w:val="00E1340A"/>
    <w:rsid w:val="00E13498"/>
    <w:rsid w:val="00E140A9"/>
    <w:rsid w:val="00E147A5"/>
    <w:rsid w:val="00E14F9C"/>
    <w:rsid w:val="00E15F30"/>
    <w:rsid w:val="00E162C7"/>
    <w:rsid w:val="00E16F39"/>
    <w:rsid w:val="00E1744C"/>
    <w:rsid w:val="00E17999"/>
    <w:rsid w:val="00E17C0F"/>
    <w:rsid w:val="00E17D52"/>
    <w:rsid w:val="00E17DF5"/>
    <w:rsid w:val="00E17ED8"/>
    <w:rsid w:val="00E20659"/>
    <w:rsid w:val="00E2070A"/>
    <w:rsid w:val="00E20938"/>
    <w:rsid w:val="00E20A8D"/>
    <w:rsid w:val="00E20BDE"/>
    <w:rsid w:val="00E20F98"/>
    <w:rsid w:val="00E2193E"/>
    <w:rsid w:val="00E2260A"/>
    <w:rsid w:val="00E22E56"/>
    <w:rsid w:val="00E2340B"/>
    <w:rsid w:val="00E246A0"/>
    <w:rsid w:val="00E24EB4"/>
    <w:rsid w:val="00E252D6"/>
    <w:rsid w:val="00E25C4D"/>
    <w:rsid w:val="00E25E3B"/>
    <w:rsid w:val="00E25EE6"/>
    <w:rsid w:val="00E25F4C"/>
    <w:rsid w:val="00E260F1"/>
    <w:rsid w:val="00E26AE9"/>
    <w:rsid w:val="00E26EE9"/>
    <w:rsid w:val="00E26FFF"/>
    <w:rsid w:val="00E30175"/>
    <w:rsid w:val="00E3036D"/>
    <w:rsid w:val="00E3086F"/>
    <w:rsid w:val="00E30B4E"/>
    <w:rsid w:val="00E30CFF"/>
    <w:rsid w:val="00E30FAF"/>
    <w:rsid w:val="00E311ED"/>
    <w:rsid w:val="00E3134B"/>
    <w:rsid w:val="00E31669"/>
    <w:rsid w:val="00E319C4"/>
    <w:rsid w:val="00E31F9B"/>
    <w:rsid w:val="00E31FA8"/>
    <w:rsid w:val="00E32074"/>
    <w:rsid w:val="00E320ED"/>
    <w:rsid w:val="00E32BAC"/>
    <w:rsid w:val="00E33008"/>
    <w:rsid w:val="00E330EC"/>
    <w:rsid w:val="00E33292"/>
    <w:rsid w:val="00E33A4C"/>
    <w:rsid w:val="00E33AFB"/>
    <w:rsid w:val="00E341B7"/>
    <w:rsid w:val="00E34218"/>
    <w:rsid w:val="00E3457C"/>
    <w:rsid w:val="00E345EF"/>
    <w:rsid w:val="00E3472C"/>
    <w:rsid w:val="00E351F9"/>
    <w:rsid w:val="00E35987"/>
    <w:rsid w:val="00E35ACC"/>
    <w:rsid w:val="00E36397"/>
    <w:rsid w:val="00E36463"/>
    <w:rsid w:val="00E36527"/>
    <w:rsid w:val="00E366D4"/>
    <w:rsid w:val="00E37038"/>
    <w:rsid w:val="00E3728F"/>
    <w:rsid w:val="00E376D2"/>
    <w:rsid w:val="00E3780A"/>
    <w:rsid w:val="00E4032D"/>
    <w:rsid w:val="00E40367"/>
    <w:rsid w:val="00E403D8"/>
    <w:rsid w:val="00E4051A"/>
    <w:rsid w:val="00E4069D"/>
    <w:rsid w:val="00E40CF7"/>
    <w:rsid w:val="00E40E09"/>
    <w:rsid w:val="00E41BCE"/>
    <w:rsid w:val="00E420A9"/>
    <w:rsid w:val="00E42466"/>
    <w:rsid w:val="00E429A9"/>
    <w:rsid w:val="00E429E8"/>
    <w:rsid w:val="00E43258"/>
    <w:rsid w:val="00E43272"/>
    <w:rsid w:val="00E433A4"/>
    <w:rsid w:val="00E4370C"/>
    <w:rsid w:val="00E43902"/>
    <w:rsid w:val="00E43A64"/>
    <w:rsid w:val="00E441E7"/>
    <w:rsid w:val="00E448EE"/>
    <w:rsid w:val="00E45401"/>
    <w:rsid w:val="00E4562D"/>
    <w:rsid w:val="00E46282"/>
    <w:rsid w:val="00E46563"/>
    <w:rsid w:val="00E4673D"/>
    <w:rsid w:val="00E467ED"/>
    <w:rsid w:val="00E46804"/>
    <w:rsid w:val="00E47A22"/>
    <w:rsid w:val="00E47D41"/>
    <w:rsid w:val="00E5036D"/>
    <w:rsid w:val="00E5069C"/>
    <w:rsid w:val="00E50913"/>
    <w:rsid w:val="00E50971"/>
    <w:rsid w:val="00E50985"/>
    <w:rsid w:val="00E51238"/>
    <w:rsid w:val="00E51379"/>
    <w:rsid w:val="00E51F85"/>
    <w:rsid w:val="00E5216E"/>
    <w:rsid w:val="00E52296"/>
    <w:rsid w:val="00E53C8C"/>
    <w:rsid w:val="00E53C9C"/>
    <w:rsid w:val="00E54494"/>
    <w:rsid w:val="00E54797"/>
    <w:rsid w:val="00E553B1"/>
    <w:rsid w:val="00E55E53"/>
    <w:rsid w:val="00E55EFB"/>
    <w:rsid w:val="00E564C5"/>
    <w:rsid w:val="00E56970"/>
    <w:rsid w:val="00E56E4E"/>
    <w:rsid w:val="00E576AE"/>
    <w:rsid w:val="00E5778B"/>
    <w:rsid w:val="00E57BD6"/>
    <w:rsid w:val="00E57BEA"/>
    <w:rsid w:val="00E57F2B"/>
    <w:rsid w:val="00E601BC"/>
    <w:rsid w:val="00E6061B"/>
    <w:rsid w:val="00E60B32"/>
    <w:rsid w:val="00E60F51"/>
    <w:rsid w:val="00E61793"/>
    <w:rsid w:val="00E61B0C"/>
    <w:rsid w:val="00E61CE7"/>
    <w:rsid w:val="00E622DC"/>
    <w:rsid w:val="00E62F81"/>
    <w:rsid w:val="00E62FDD"/>
    <w:rsid w:val="00E62FF5"/>
    <w:rsid w:val="00E63654"/>
    <w:rsid w:val="00E63C74"/>
    <w:rsid w:val="00E64226"/>
    <w:rsid w:val="00E643D9"/>
    <w:rsid w:val="00E6463D"/>
    <w:rsid w:val="00E6489C"/>
    <w:rsid w:val="00E64A85"/>
    <w:rsid w:val="00E650FB"/>
    <w:rsid w:val="00E651DD"/>
    <w:rsid w:val="00E654E2"/>
    <w:rsid w:val="00E6550C"/>
    <w:rsid w:val="00E656A2"/>
    <w:rsid w:val="00E65809"/>
    <w:rsid w:val="00E65908"/>
    <w:rsid w:val="00E65E93"/>
    <w:rsid w:val="00E668AA"/>
    <w:rsid w:val="00E66D99"/>
    <w:rsid w:val="00E67073"/>
    <w:rsid w:val="00E671C3"/>
    <w:rsid w:val="00E672B3"/>
    <w:rsid w:val="00E67343"/>
    <w:rsid w:val="00E67713"/>
    <w:rsid w:val="00E700C4"/>
    <w:rsid w:val="00E7042C"/>
    <w:rsid w:val="00E70F4D"/>
    <w:rsid w:val="00E71003"/>
    <w:rsid w:val="00E71848"/>
    <w:rsid w:val="00E71934"/>
    <w:rsid w:val="00E71AC7"/>
    <w:rsid w:val="00E71CD7"/>
    <w:rsid w:val="00E727A9"/>
    <w:rsid w:val="00E72844"/>
    <w:rsid w:val="00E72857"/>
    <w:rsid w:val="00E7287F"/>
    <w:rsid w:val="00E72A01"/>
    <w:rsid w:val="00E742EF"/>
    <w:rsid w:val="00E74683"/>
    <w:rsid w:val="00E74990"/>
    <w:rsid w:val="00E74FE7"/>
    <w:rsid w:val="00E756A8"/>
    <w:rsid w:val="00E763BF"/>
    <w:rsid w:val="00E764BE"/>
    <w:rsid w:val="00E76602"/>
    <w:rsid w:val="00E76E2C"/>
    <w:rsid w:val="00E76E34"/>
    <w:rsid w:val="00E77426"/>
    <w:rsid w:val="00E774DA"/>
    <w:rsid w:val="00E77A71"/>
    <w:rsid w:val="00E77CDC"/>
    <w:rsid w:val="00E8002A"/>
    <w:rsid w:val="00E803A1"/>
    <w:rsid w:val="00E81135"/>
    <w:rsid w:val="00E81975"/>
    <w:rsid w:val="00E81B88"/>
    <w:rsid w:val="00E81D38"/>
    <w:rsid w:val="00E82344"/>
    <w:rsid w:val="00E828A5"/>
    <w:rsid w:val="00E8297B"/>
    <w:rsid w:val="00E82B0C"/>
    <w:rsid w:val="00E830B0"/>
    <w:rsid w:val="00E83733"/>
    <w:rsid w:val="00E837C8"/>
    <w:rsid w:val="00E83ECB"/>
    <w:rsid w:val="00E84344"/>
    <w:rsid w:val="00E84C82"/>
    <w:rsid w:val="00E84D64"/>
    <w:rsid w:val="00E85900"/>
    <w:rsid w:val="00E85A02"/>
    <w:rsid w:val="00E8630B"/>
    <w:rsid w:val="00E86328"/>
    <w:rsid w:val="00E86338"/>
    <w:rsid w:val="00E8693B"/>
    <w:rsid w:val="00E86A0C"/>
    <w:rsid w:val="00E86C73"/>
    <w:rsid w:val="00E86CEE"/>
    <w:rsid w:val="00E86DA9"/>
    <w:rsid w:val="00E8722B"/>
    <w:rsid w:val="00E87408"/>
    <w:rsid w:val="00E9001D"/>
    <w:rsid w:val="00E901F4"/>
    <w:rsid w:val="00E9022B"/>
    <w:rsid w:val="00E90B2C"/>
    <w:rsid w:val="00E90FC5"/>
    <w:rsid w:val="00E910BD"/>
    <w:rsid w:val="00E914C4"/>
    <w:rsid w:val="00E91EE4"/>
    <w:rsid w:val="00E9275C"/>
    <w:rsid w:val="00E92D38"/>
    <w:rsid w:val="00E931FC"/>
    <w:rsid w:val="00E934F5"/>
    <w:rsid w:val="00E93516"/>
    <w:rsid w:val="00E93AA2"/>
    <w:rsid w:val="00E93B05"/>
    <w:rsid w:val="00E93BD2"/>
    <w:rsid w:val="00E93DD5"/>
    <w:rsid w:val="00E95682"/>
    <w:rsid w:val="00E95A80"/>
    <w:rsid w:val="00E95A97"/>
    <w:rsid w:val="00E95D87"/>
    <w:rsid w:val="00E95DBB"/>
    <w:rsid w:val="00E962E6"/>
    <w:rsid w:val="00E9655F"/>
    <w:rsid w:val="00E965F6"/>
    <w:rsid w:val="00E967AD"/>
    <w:rsid w:val="00E96961"/>
    <w:rsid w:val="00E96C70"/>
    <w:rsid w:val="00E97048"/>
    <w:rsid w:val="00E97140"/>
    <w:rsid w:val="00E97A5A"/>
    <w:rsid w:val="00E97C36"/>
    <w:rsid w:val="00E97D4B"/>
    <w:rsid w:val="00EA0195"/>
    <w:rsid w:val="00EA09DD"/>
    <w:rsid w:val="00EA0B2A"/>
    <w:rsid w:val="00EA0C11"/>
    <w:rsid w:val="00EA0E7A"/>
    <w:rsid w:val="00EA0F1A"/>
    <w:rsid w:val="00EA0F50"/>
    <w:rsid w:val="00EA0FD9"/>
    <w:rsid w:val="00EA103E"/>
    <w:rsid w:val="00EA10F6"/>
    <w:rsid w:val="00EA13EE"/>
    <w:rsid w:val="00EA1ADB"/>
    <w:rsid w:val="00EA1BFE"/>
    <w:rsid w:val="00EA1C83"/>
    <w:rsid w:val="00EA2161"/>
    <w:rsid w:val="00EA2348"/>
    <w:rsid w:val="00EA2398"/>
    <w:rsid w:val="00EA2505"/>
    <w:rsid w:val="00EA2AE4"/>
    <w:rsid w:val="00EA2BFC"/>
    <w:rsid w:val="00EA2CB4"/>
    <w:rsid w:val="00EA313B"/>
    <w:rsid w:val="00EA3292"/>
    <w:rsid w:val="00EA365E"/>
    <w:rsid w:val="00EA3677"/>
    <w:rsid w:val="00EA38B2"/>
    <w:rsid w:val="00EA43C1"/>
    <w:rsid w:val="00EA44C0"/>
    <w:rsid w:val="00EA488C"/>
    <w:rsid w:val="00EA4938"/>
    <w:rsid w:val="00EA4A88"/>
    <w:rsid w:val="00EA534D"/>
    <w:rsid w:val="00EA5C92"/>
    <w:rsid w:val="00EA5F9D"/>
    <w:rsid w:val="00EA60B3"/>
    <w:rsid w:val="00EA6438"/>
    <w:rsid w:val="00EA6FE5"/>
    <w:rsid w:val="00EA72EC"/>
    <w:rsid w:val="00EA7785"/>
    <w:rsid w:val="00EB0660"/>
    <w:rsid w:val="00EB11CB"/>
    <w:rsid w:val="00EB1250"/>
    <w:rsid w:val="00EB1880"/>
    <w:rsid w:val="00EB240B"/>
    <w:rsid w:val="00EB242D"/>
    <w:rsid w:val="00EB275A"/>
    <w:rsid w:val="00EB2973"/>
    <w:rsid w:val="00EB3493"/>
    <w:rsid w:val="00EB34B4"/>
    <w:rsid w:val="00EB3626"/>
    <w:rsid w:val="00EB365B"/>
    <w:rsid w:val="00EB36AE"/>
    <w:rsid w:val="00EB4015"/>
    <w:rsid w:val="00EB419B"/>
    <w:rsid w:val="00EB54D6"/>
    <w:rsid w:val="00EB59CF"/>
    <w:rsid w:val="00EB5D54"/>
    <w:rsid w:val="00EB5F97"/>
    <w:rsid w:val="00EB638D"/>
    <w:rsid w:val="00EB6FE1"/>
    <w:rsid w:val="00EB7189"/>
    <w:rsid w:val="00EB74A8"/>
    <w:rsid w:val="00EB786A"/>
    <w:rsid w:val="00EC0682"/>
    <w:rsid w:val="00EC0918"/>
    <w:rsid w:val="00EC1578"/>
    <w:rsid w:val="00EC1BAA"/>
    <w:rsid w:val="00EC1C72"/>
    <w:rsid w:val="00EC1D14"/>
    <w:rsid w:val="00EC1F99"/>
    <w:rsid w:val="00EC30D3"/>
    <w:rsid w:val="00EC3CC9"/>
    <w:rsid w:val="00EC3ED5"/>
    <w:rsid w:val="00EC40B8"/>
    <w:rsid w:val="00EC47C6"/>
    <w:rsid w:val="00EC4B91"/>
    <w:rsid w:val="00EC50C6"/>
    <w:rsid w:val="00EC589D"/>
    <w:rsid w:val="00EC5AC1"/>
    <w:rsid w:val="00EC654D"/>
    <w:rsid w:val="00EC680A"/>
    <w:rsid w:val="00EC6AF8"/>
    <w:rsid w:val="00EC76DA"/>
    <w:rsid w:val="00EC79D3"/>
    <w:rsid w:val="00EC7A0E"/>
    <w:rsid w:val="00EC7E9D"/>
    <w:rsid w:val="00ED03CE"/>
    <w:rsid w:val="00ED071B"/>
    <w:rsid w:val="00ED0798"/>
    <w:rsid w:val="00ED0C04"/>
    <w:rsid w:val="00ED0D72"/>
    <w:rsid w:val="00ED1DF6"/>
    <w:rsid w:val="00ED200A"/>
    <w:rsid w:val="00ED203D"/>
    <w:rsid w:val="00ED2365"/>
    <w:rsid w:val="00ED265E"/>
    <w:rsid w:val="00ED29C0"/>
    <w:rsid w:val="00ED3CC0"/>
    <w:rsid w:val="00ED3F88"/>
    <w:rsid w:val="00ED4340"/>
    <w:rsid w:val="00ED4660"/>
    <w:rsid w:val="00ED4883"/>
    <w:rsid w:val="00ED599D"/>
    <w:rsid w:val="00ED5AB6"/>
    <w:rsid w:val="00ED5EDC"/>
    <w:rsid w:val="00ED5FBC"/>
    <w:rsid w:val="00ED6ADD"/>
    <w:rsid w:val="00ED6D54"/>
    <w:rsid w:val="00ED7457"/>
    <w:rsid w:val="00ED7C83"/>
    <w:rsid w:val="00ED7F1F"/>
    <w:rsid w:val="00EE00ED"/>
    <w:rsid w:val="00EE0772"/>
    <w:rsid w:val="00EE0B03"/>
    <w:rsid w:val="00EE0D6A"/>
    <w:rsid w:val="00EE113C"/>
    <w:rsid w:val="00EE15A8"/>
    <w:rsid w:val="00EE1C8C"/>
    <w:rsid w:val="00EE1E22"/>
    <w:rsid w:val="00EE1ED9"/>
    <w:rsid w:val="00EE209F"/>
    <w:rsid w:val="00EE236B"/>
    <w:rsid w:val="00EE26C4"/>
    <w:rsid w:val="00EE2BED"/>
    <w:rsid w:val="00EE2C31"/>
    <w:rsid w:val="00EE30F3"/>
    <w:rsid w:val="00EE3185"/>
    <w:rsid w:val="00EE374B"/>
    <w:rsid w:val="00EE3800"/>
    <w:rsid w:val="00EE39D9"/>
    <w:rsid w:val="00EE3A74"/>
    <w:rsid w:val="00EE4432"/>
    <w:rsid w:val="00EE48F7"/>
    <w:rsid w:val="00EE4926"/>
    <w:rsid w:val="00EE4B97"/>
    <w:rsid w:val="00EE4E9B"/>
    <w:rsid w:val="00EE5102"/>
    <w:rsid w:val="00EE5418"/>
    <w:rsid w:val="00EE5A6D"/>
    <w:rsid w:val="00EE6248"/>
    <w:rsid w:val="00EE6992"/>
    <w:rsid w:val="00EE7429"/>
    <w:rsid w:val="00EE74B2"/>
    <w:rsid w:val="00EE78B3"/>
    <w:rsid w:val="00EE7AD6"/>
    <w:rsid w:val="00EF000F"/>
    <w:rsid w:val="00EF10E1"/>
    <w:rsid w:val="00EF110B"/>
    <w:rsid w:val="00EF1444"/>
    <w:rsid w:val="00EF1AAF"/>
    <w:rsid w:val="00EF1FCE"/>
    <w:rsid w:val="00EF2192"/>
    <w:rsid w:val="00EF21E9"/>
    <w:rsid w:val="00EF2C2B"/>
    <w:rsid w:val="00EF3651"/>
    <w:rsid w:val="00EF3DAE"/>
    <w:rsid w:val="00EF3DEA"/>
    <w:rsid w:val="00EF4BCF"/>
    <w:rsid w:val="00EF54D2"/>
    <w:rsid w:val="00EF59E6"/>
    <w:rsid w:val="00EF5F75"/>
    <w:rsid w:val="00EF61AD"/>
    <w:rsid w:val="00EF6240"/>
    <w:rsid w:val="00EF6B68"/>
    <w:rsid w:val="00EF6CD2"/>
    <w:rsid w:val="00EF6D12"/>
    <w:rsid w:val="00EF6D55"/>
    <w:rsid w:val="00EF7358"/>
    <w:rsid w:val="00EF736A"/>
    <w:rsid w:val="00EF74FC"/>
    <w:rsid w:val="00EF78B9"/>
    <w:rsid w:val="00EF7AF2"/>
    <w:rsid w:val="00EF7BF5"/>
    <w:rsid w:val="00EF7C6B"/>
    <w:rsid w:val="00F001C7"/>
    <w:rsid w:val="00F00318"/>
    <w:rsid w:val="00F00327"/>
    <w:rsid w:val="00F01BE9"/>
    <w:rsid w:val="00F02517"/>
    <w:rsid w:val="00F02EBA"/>
    <w:rsid w:val="00F02F5B"/>
    <w:rsid w:val="00F0310B"/>
    <w:rsid w:val="00F0328C"/>
    <w:rsid w:val="00F0348A"/>
    <w:rsid w:val="00F038F2"/>
    <w:rsid w:val="00F03F38"/>
    <w:rsid w:val="00F03FFE"/>
    <w:rsid w:val="00F04480"/>
    <w:rsid w:val="00F05324"/>
    <w:rsid w:val="00F06219"/>
    <w:rsid w:val="00F06C1C"/>
    <w:rsid w:val="00F06FA5"/>
    <w:rsid w:val="00F0709D"/>
    <w:rsid w:val="00F070A3"/>
    <w:rsid w:val="00F078E0"/>
    <w:rsid w:val="00F07B3B"/>
    <w:rsid w:val="00F1047F"/>
    <w:rsid w:val="00F10CA8"/>
    <w:rsid w:val="00F10D56"/>
    <w:rsid w:val="00F1116A"/>
    <w:rsid w:val="00F11BB5"/>
    <w:rsid w:val="00F11F61"/>
    <w:rsid w:val="00F12490"/>
    <w:rsid w:val="00F131B1"/>
    <w:rsid w:val="00F1378A"/>
    <w:rsid w:val="00F13C19"/>
    <w:rsid w:val="00F1417B"/>
    <w:rsid w:val="00F14202"/>
    <w:rsid w:val="00F1436D"/>
    <w:rsid w:val="00F145DF"/>
    <w:rsid w:val="00F14BCC"/>
    <w:rsid w:val="00F15123"/>
    <w:rsid w:val="00F153F3"/>
    <w:rsid w:val="00F166BE"/>
    <w:rsid w:val="00F173F5"/>
    <w:rsid w:val="00F17ACB"/>
    <w:rsid w:val="00F20035"/>
    <w:rsid w:val="00F2022B"/>
    <w:rsid w:val="00F20718"/>
    <w:rsid w:val="00F20E64"/>
    <w:rsid w:val="00F210E8"/>
    <w:rsid w:val="00F213DF"/>
    <w:rsid w:val="00F219CE"/>
    <w:rsid w:val="00F219F1"/>
    <w:rsid w:val="00F221B8"/>
    <w:rsid w:val="00F2229D"/>
    <w:rsid w:val="00F22506"/>
    <w:rsid w:val="00F227DF"/>
    <w:rsid w:val="00F22A97"/>
    <w:rsid w:val="00F22E51"/>
    <w:rsid w:val="00F23062"/>
    <w:rsid w:val="00F23803"/>
    <w:rsid w:val="00F2397B"/>
    <w:rsid w:val="00F23E19"/>
    <w:rsid w:val="00F24079"/>
    <w:rsid w:val="00F240A4"/>
    <w:rsid w:val="00F246EF"/>
    <w:rsid w:val="00F2477A"/>
    <w:rsid w:val="00F2571E"/>
    <w:rsid w:val="00F25735"/>
    <w:rsid w:val="00F25E44"/>
    <w:rsid w:val="00F260A2"/>
    <w:rsid w:val="00F261D2"/>
    <w:rsid w:val="00F264E9"/>
    <w:rsid w:val="00F26763"/>
    <w:rsid w:val="00F26C59"/>
    <w:rsid w:val="00F2744F"/>
    <w:rsid w:val="00F2790E"/>
    <w:rsid w:val="00F3057C"/>
    <w:rsid w:val="00F305A4"/>
    <w:rsid w:val="00F31322"/>
    <w:rsid w:val="00F31B72"/>
    <w:rsid w:val="00F323C5"/>
    <w:rsid w:val="00F333B5"/>
    <w:rsid w:val="00F33706"/>
    <w:rsid w:val="00F33746"/>
    <w:rsid w:val="00F33A63"/>
    <w:rsid w:val="00F33C69"/>
    <w:rsid w:val="00F34041"/>
    <w:rsid w:val="00F34B99"/>
    <w:rsid w:val="00F35800"/>
    <w:rsid w:val="00F365F2"/>
    <w:rsid w:val="00F36BDE"/>
    <w:rsid w:val="00F36D5C"/>
    <w:rsid w:val="00F370DA"/>
    <w:rsid w:val="00F37FDD"/>
    <w:rsid w:val="00F400AC"/>
    <w:rsid w:val="00F40147"/>
    <w:rsid w:val="00F4096D"/>
    <w:rsid w:val="00F40F73"/>
    <w:rsid w:val="00F41132"/>
    <w:rsid w:val="00F41456"/>
    <w:rsid w:val="00F41843"/>
    <w:rsid w:val="00F42745"/>
    <w:rsid w:val="00F42F56"/>
    <w:rsid w:val="00F430E6"/>
    <w:rsid w:val="00F43312"/>
    <w:rsid w:val="00F436CE"/>
    <w:rsid w:val="00F43BE7"/>
    <w:rsid w:val="00F43C4D"/>
    <w:rsid w:val="00F44425"/>
    <w:rsid w:val="00F44CEA"/>
    <w:rsid w:val="00F452AF"/>
    <w:rsid w:val="00F460B9"/>
    <w:rsid w:val="00F460D3"/>
    <w:rsid w:val="00F47560"/>
    <w:rsid w:val="00F476A9"/>
    <w:rsid w:val="00F47936"/>
    <w:rsid w:val="00F50455"/>
    <w:rsid w:val="00F504B0"/>
    <w:rsid w:val="00F506B7"/>
    <w:rsid w:val="00F50807"/>
    <w:rsid w:val="00F517ED"/>
    <w:rsid w:val="00F51C7F"/>
    <w:rsid w:val="00F51F93"/>
    <w:rsid w:val="00F52794"/>
    <w:rsid w:val="00F52C41"/>
    <w:rsid w:val="00F52DAB"/>
    <w:rsid w:val="00F52FBD"/>
    <w:rsid w:val="00F531D1"/>
    <w:rsid w:val="00F53CCD"/>
    <w:rsid w:val="00F53D52"/>
    <w:rsid w:val="00F54009"/>
    <w:rsid w:val="00F5408B"/>
    <w:rsid w:val="00F542FC"/>
    <w:rsid w:val="00F543F0"/>
    <w:rsid w:val="00F545E8"/>
    <w:rsid w:val="00F54977"/>
    <w:rsid w:val="00F549EC"/>
    <w:rsid w:val="00F54B9B"/>
    <w:rsid w:val="00F5557A"/>
    <w:rsid w:val="00F555F8"/>
    <w:rsid w:val="00F55AD6"/>
    <w:rsid w:val="00F55B2A"/>
    <w:rsid w:val="00F56105"/>
    <w:rsid w:val="00F5675D"/>
    <w:rsid w:val="00F5679B"/>
    <w:rsid w:val="00F56A0F"/>
    <w:rsid w:val="00F56C67"/>
    <w:rsid w:val="00F570E0"/>
    <w:rsid w:val="00F57452"/>
    <w:rsid w:val="00F57BCD"/>
    <w:rsid w:val="00F57EFB"/>
    <w:rsid w:val="00F603BC"/>
    <w:rsid w:val="00F60E29"/>
    <w:rsid w:val="00F61129"/>
    <w:rsid w:val="00F612A9"/>
    <w:rsid w:val="00F61402"/>
    <w:rsid w:val="00F618FA"/>
    <w:rsid w:val="00F62925"/>
    <w:rsid w:val="00F62CA4"/>
    <w:rsid w:val="00F62D8F"/>
    <w:rsid w:val="00F62F34"/>
    <w:rsid w:val="00F63333"/>
    <w:rsid w:val="00F634F5"/>
    <w:rsid w:val="00F63E01"/>
    <w:rsid w:val="00F641C9"/>
    <w:rsid w:val="00F64273"/>
    <w:rsid w:val="00F6454F"/>
    <w:rsid w:val="00F6455A"/>
    <w:rsid w:val="00F6486E"/>
    <w:rsid w:val="00F6532B"/>
    <w:rsid w:val="00F65398"/>
    <w:rsid w:val="00F66399"/>
    <w:rsid w:val="00F679FC"/>
    <w:rsid w:val="00F67C5B"/>
    <w:rsid w:val="00F702C1"/>
    <w:rsid w:val="00F70489"/>
    <w:rsid w:val="00F70C5F"/>
    <w:rsid w:val="00F71A13"/>
    <w:rsid w:val="00F720FC"/>
    <w:rsid w:val="00F72513"/>
    <w:rsid w:val="00F735DA"/>
    <w:rsid w:val="00F73881"/>
    <w:rsid w:val="00F73EC9"/>
    <w:rsid w:val="00F7452E"/>
    <w:rsid w:val="00F74710"/>
    <w:rsid w:val="00F749A9"/>
    <w:rsid w:val="00F74E14"/>
    <w:rsid w:val="00F74F28"/>
    <w:rsid w:val="00F7515B"/>
    <w:rsid w:val="00F752D5"/>
    <w:rsid w:val="00F7532B"/>
    <w:rsid w:val="00F76496"/>
    <w:rsid w:val="00F769F5"/>
    <w:rsid w:val="00F76C88"/>
    <w:rsid w:val="00F77F34"/>
    <w:rsid w:val="00F804F9"/>
    <w:rsid w:val="00F807A3"/>
    <w:rsid w:val="00F81372"/>
    <w:rsid w:val="00F814FA"/>
    <w:rsid w:val="00F81717"/>
    <w:rsid w:val="00F817D5"/>
    <w:rsid w:val="00F81AF3"/>
    <w:rsid w:val="00F81D29"/>
    <w:rsid w:val="00F820CD"/>
    <w:rsid w:val="00F822E6"/>
    <w:rsid w:val="00F824B6"/>
    <w:rsid w:val="00F83229"/>
    <w:rsid w:val="00F8358D"/>
    <w:rsid w:val="00F83600"/>
    <w:rsid w:val="00F838AF"/>
    <w:rsid w:val="00F83BC4"/>
    <w:rsid w:val="00F83EB9"/>
    <w:rsid w:val="00F841B4"/>
    <w:rsid w:val="00F8429E"/>
    <w:rsid w:val="00F849F1"/>
    <w:rsid w:val="00F84DB6"/>
    <w:rsid w:val="00F85400"/>
    <w:rsid w:val="00F857CA"/>
    <w:rsid w:val="00F85A9E"/>
    <w:rsid w:val="00F85DB5"/>
    <w:rsid w:val="00F86B29"/>
    <w:rsid w:val="00F87783"/>
    <w:rsid w:val="00F87B66"/>
    <w:rsid w:val="00F90146"/>
    <w:rsid w:val="00F902F9"/>
    <w:rsid w:val="00F908C2"/>
    <w:rsid w:val="00F91C4D"/>
    <w:rsid w:val="00F91D2C"/>
    <w:rsid w:val="00F92304"/>
    <w:rsid w:val="00F928E4"/>
    <w:rsid w:val="00F9299A"/>
    <w:rsid w:val="00F92E87"/>
    <w:rsid w:val="00F92FD9"/>
    <w:rsid w:val="00F93331"/>
    <w:rsid w:val="00F9362C"/>
    <w:rsid w:val="00F93658"/>
    <w:rsid w:val="00F93A14"/>
    <w:rsid w:val="00F93D94"/>
    <w:rsid w:val="00F94035"/>
    <w:rsid w:val="00F94258"/>
    <w:rsid w:val="00F947FC"/>
    <w:rsid w:val="00F95105"/>
    <w:rsid w:val="00F95156"/>
    <w:rsid w:val="00F95890"/>
    <w:rsid w:val="00F95BFA"/>
    <w:rsid w:val="00F962E9"/>
    <w:rsid w:val="00F963A5"/>
    <w:rsid w:val="00F96A6F"/>
    <w:rsid w:val="00F971CC"/>
    <w:rsid w:val="00F9744A"/>
    <w:rsid w:val="00F97592"/>
    <w:rsid w:val="00F97EC4"/>
    <w:rsid w:val="00F97F26"/>
    <w:rsid w:val="00FA02CF"/>
    <w:rsid w:val="00FA126D"/>
    <w:rsid w:val="00FA1732"/>
    <w:rsid w:val="00FA1735"/>
    <w:rsid w:val="00FA181D"/>
    <w:rsid w:val="00FA18E5"/>
    <w:rsid w:val="00FA1D97"/>
    <w:rsid w:val="00FA1F13"/>
    <w:rsid w:val="00FA2017"/>
    <w:rsid w:val="00FA2162"/>
    <w:rsid w:val="00FA2192"/>
    <w:rsid w:val="00FA2315"/>
    <w:rsid w:val="00FA2FE4"/>
    <w:rsid w:val="00FA328D"/>
    <w:rsid w:val="00FA3719"/>
    <w:rsid w:val="00FA57B6"/>
    <w:rsid w:val="00FA5C04"/>
    <w:rsid w:val="00FA5D78"/>
    <w:rsid w:val="00FA5E66"/>
    <w:rsid w:val="00FA5F94"/>
    <w:rsid w:val="00FA62DB"/>
    <w:rsid w:val="00FA6684"/>
    <w:rsid w:val="00FA67CE"/>
    <w:rsid w:val="00FA68B3"/>
    <w:rsid w:val="00FA6DC1"/>
    <w:rsid w:val="00FA731E"/>
    <w:rsid w:val="00FA7F99"/>
    <w:rsid w:val="00FA7F9F"/>
    <w:rsid w:val="00FB007B"/>
    <w:rsid w:val="00FB07A9"/>
    <w:rsid w:val="00FB0849"/>
    <w:rsid w:val="00FB153F"/>
    <w:rsid w:val="00FB1B35"/>
    <w:rsid w:val="00FB1C46"/>
    <w:rsid w:val="00FB2934"/>
    <w:rsid w:val="00FB2B38"/>
    <w:rsid w:val="00FB3142"/>
    <w:rsid w:val="00FB34DC"/>
    <w:rsid w:val="00FB3758"/>
    <w:rsid w:val="00FB3CA7"/>
    <w:rsid w:val="00FB3DC1"/>
    <w:rsid w:val="00FB4277"/>
    <w:rsid w:val="00FB4993"/>
    <w:rsid w:val="00FB4CA8"/>
    <w:rsid w:val="00FB533D"/>
    <w:rsid w:val="00FB5E31"/>
    <w:rsid w:val="00FB61D6"/>
    <w:rsid w:val="00FB65E2"/>
    <w:rsid w:val="00FB661E"/>
    <w:rsid w:val="00FB662B"/>
    <w:rsid w:val="00FB78A4"/>
    <w:rsid w:val="00FB7B92"/>
    <w:rsid w:val="00FC02E9"/>
    <w:rsid w:val="00FC0389"/>
    <w:rsid w:val="00FC0427"/>
    <w:rsid w:val="00FC0ED0"/>
    <w:rsid w:val="00FC1089"/>
    <w:rsid w:val="00FC13D8"/>
    <w:rsid w:val="00FC21B5"/>
    <w:rsid w:val="00FC27F0"/>
    <w:rsid w:val="00FC3147"/>
    <w:rsid w:val="00FC3592"/>
    <w:rsid w:val="00FC3745"/>
    <w:rsid w:val="00FC4695"/>
    <w:rsid w:val="00FC480E"/>
    <w:rsid w:val="00FC51CA"/>
    <w:rsid w:val="00FC5B0B"/>
    <w:rsid w:val="00FC6358"/>
    <w:rsid w:val="00FC677D"/>
    <w:rsid w:val="00FC6B32"/>
    <w:rsid w:val="00FC6BBC"/>
    <w:rsid w:val="00FD028F"/>
    <w:rsid w:val="00FD0956"/>
    <w:rsid w:val="00FD0DBD"/>
    <w:rsid w:val="00FD1902"/>
    <w:rsid w:val="00FD19F5"/>
    <w:rsid w:val="00FD211A"/>
    <w:rsid w:val="00FD21BD"/>
    <w:rsid w:val="00FD236C"/>
    <w:rsid w:val="00FD2DB6"/>
    <w:rsid w:val="00FD31E2"/>
    <w:rsid w:val="00FD320D"/>
    <w:rsid w:val="00FD43F8"/>
    <w:rsid w:val="00FD4627"/>
    <w:rsid w:val="00FD4AB1"/>
    <w:rsid w:val="00FD4F46"/>
    <w:rsid w:val="00FD5120"/>
    <w:rsid w:val="00FD54B3"/>
    <w:rsid w:val="00FD5684"/>
    <w:rsid w:val="00FD5A44"/>
    <w:rsid w:val="00FD5CB7"/>
    <w:rsid w:val="00FD6FAB"/>
    <w:rsid w:val="00FD72AD"/>
    <w:rsid w:val="00FE0B80"/>
    <w:rsid w:val="00FE0C59"/>
    <w:rsid w:val="00FE103A"/>
    <w:rsid w:val="00FE2049"/>
    <w:rsid w:val="00FE23DE"/>
    <w:rsid w:val="00FE2425"/>
    <w:rsid w:val="00FE35BF"/>
    <w:rsid w:val="00FE3601"/>
    <w:rsid w:val="00FE3B65"/>
    <w:rsid w:val="00FE3BB2"/>
    <w:rsid w:val="00FE3D63"/>
    <w:rsid w:val="00FE415C"/>
    <w:rsid w:val="00FE4527"/>
    <w:rsid w:val="00FE4683"/>
    <w:rsid w:val="00FE4BE0"/>
    <w:rsid w:val="00FE7182"/>
    <w:rsid w:val="00FE79CD"/>
    <w:rsid w:val="00FF0084"/>
    <w:rsid w:val="00FF00E4"/>
    <w:rsid w:val="00FF0C0D"/>
    <w:rsid w:val="00FF1153"/>
    <w:rsid w:val="00FF1456"/>
    <w:rsid w:val="00FF22F1"/>
    <w:rsid w:val="00FF2C5C"/>
    <w:rsid w:val="00FF2C6F"/>
    <w:rsid w:val="00FF2D2D"/>
    <w:rsid w:val="00FF2E65"/>
    <w:rsid w:val="00FF2FC8"/>
    <w:rsid w:val="00FF3422"/>
    <w:rsid w:val="00FF44D5"/>
    <w:rsid w:val="00FF45A0"/>
    <w:rsid w:val="00FF50F4"/>
    <w:rsid w:val="00FF5AEA"/>
    <w:rsid w:val="00FF5BB2"/>
    <w:rsid w:val="00FF647F"/>
    <w:rsid w:val="00FF6615"/>
    <w:rsid w:val="00FF670A"/>
    <w:rsid w:val="00FF6AD9"/>
    <w:rsid w:val="00FF6CEB"/>
    <w:rsid w:val="00FF79E7"/>
    <w:rsid w:val="010B7FD1"/>
    <w:rsid w:val="017373EA"/>
    <w:rsid w:val="01BC5247"/>
    <w:rsid w:val="01CC1A40"/>
    <w:rsid w:val="01E35765"/>
    <w:rsid w:val="02062B27"/>
    <w:rsid w:val="02392C65"/>
    <w:rsid w:val="02407817"/>
    <w:rsid w:val="026610AE"/>
    <w:rsid w:val="027D44D9"/>
    <w:rsid w:val="03427EC0"/>
    <w:rsid w:val="036F779E"/>
    <w:rsid w:val="03952359"/>
    <w:rsid w:val="03AD6796"/>
    <w:rsid w:val="03D22F99"/>
    <w:rsid w:val="03EC0177"/>
    <w:rsid w:val="04034F29"/>
    <w:rsid w:val="04565A50"/>
    <w:rsid w:val="045F1328"/>
    <w:rsid w:val="0478689E"/>
    <w:rsid w:val="051315CA"/>
    <w:rsid w:val="05977A81"/>
    <w:rsid w:val="05E90CB3"/>
    <w:rsid w:val="05EF419F"/>
    <w:rsid w:val="06297C72"/>
    <w:rsid w:val="065B1E6F"/>
    <w:rsid w:val="068A4946"/>
    <w:rsid w:val="06931BFA"/>
    <w:rsid w:val="06DD2D82"/>
    <w:rsid w:val="06E13A1C"/>
    <w:rsid w:val="07227979"/>
    <w:rsid w:val="073841DD"/>
    <w:rsid w:val="082D69F1"/>
    <w:rsid w:val="08733232"/>
    <w:rsid w:val="08DF6131"/>
    <w:rsid w:val="08E65A0A"/>
    <w:rsid w:val="09817B09"/>
    <w:rsid w:val="09A90B64"/>
    <w:rsid w:val="09B71AAD"/>
    <w:rsid w:val="0A4E7FBB"/>
    <w:rsid w:val="0A816BF9"/>
    <w:rsid w:val="0A977356"/>
    <w:rsid w:val="0A9A0416"/>
    <w:rsid w:val="0AAD0D4A"/>
    <w:rsid w:val="0ADB7A99"/>
    <w:rsid w:val="0B0A05F4"/>
    <w:rsid w:val="0B107968"/>
    <w:rsid w:val="0B251308"/>
    <w:rsid w:val="0B7F72B1"/>
    <w:rsid w:val="0B86720A"/>
    <w:rsid w:val="0BEC1093"/>
    <w:rsid w:val="0C5451FD"/>
    <w:rsid w:val="0C612F79"/>
    <w:rsid w:val="0CAF2BC2"/>
    <w:rsid w:val="0CB64BD6"/>
    <w:rsid w:val="0CB77007"/>
    <w:rsid w:val="0E0B715B"/>
    <w:rsid w:val="0E1411F5"/>
    <w:rsid w:val="0E1A15BB"/>
    <w:rsid w:val="0E241ABC"/>
    <w:rsid w:val="0E267F7C"/>
    <w:rsid w:val="0E2877DB"/>
    <w:rsid w:val="0E63194F"/>
    <w:rsid w:val="0F137227"/>
    <w:rsid w:val="0F167B9A"/>
    <w:rsid w:val="0F365925"/>
    <w:rsid w:val="0F5E0B2A"/>
    <w:rsid w:val="0FAB1530"/>
    <w:rsid w:val="0FC27E1A"/>
    <w:rsid w:val="0FC939E4"/>
    <w:rsid w:val="0FD64AA9"/>
    <w:rsid w:val="0FFF56D6"/>
    <w:rsid w:val="102C0385"/>
    <w:rsid w:val="10662157"/>
    <w:rsid w:val="10D00C49"/>
    <w:rsid w:val="10DB0A32"/>
    <w:rsid w:val="111879BA"/>
    <w:rsid w:val="11250274"/>
    <w:rsid w:val="112E54ED"/>
    <w:rsid w:val="117045FF"/>
    <w:rsid w:val="120C366D"/>
    <w:rsid w:val="12A95105"/>
    <w:rsid w:val="12EB4789"/>
    <w:rsid w:val="12FA1D6A"/>
    <w:rsid w:val="135D6996"/>
    <w:rsid w:val="13745B26"/>
    <w:rsid w:val="13A86DE6"/>
    <w:rsid w:val="13C80C20"/>
    <w:rsid w:val="1416108E"/>
    <w:rsid w:val="14642704"/>
    <w:rsid w:val="14716E6E"/>
    <w:rsid w:val="149C57B6"/>
    <w:rsid w:val="14BB2CB4"/>
    <w:rsid w:val="14CB36B6"/>
    <w:rsid w:val="14E74FBF"/>
    <w:rsid w:val="1534393D"/>
    <w:rsid w:val="153449BE"/>
    <w:rsid w:val="153E5B97"/>
    <w:rsid w:val="15613347"/>
    <w:rsid w:val="15FC6F17"/>
    <w:rsid w:val="16446484"/>
    <w:rsid w:val="16780DA0"/>
    <w:rsid w:val="16CB4101"/>
    <w:rsid w:val="175579C2"/>
    <w:rsid w:val="176A49DD"/>
    <w:rsid w:val="17C65771"/>
    <w:rsid w:val="17CC42A9"/>
    <w:rsid w:val="184D0089"/>
    <w:rsid w:val="185354FE"/>
    <w:rsid w:val="186F0AC6"/>
    <w:rsid w:val="18EB6E69"/>
    <w:rsid w:val="18F5358F"/>
    <w:rsid w:val="19261B2A"/>
    <w:rsid w:val="195A5E7E"/>
    <w:rsid w:val="19A24AE9"/>
    <w:rsid w:val="1A4C5DB7"/>
    <w:rsid w:val="1A5F7015"/>
    <w:rsid w:val="1A70240B"/>
    <w:rsid w:val="1A75304A"/>
    <w:rsid w:val="1A7F661E"/>
    <w:rsid w:val="1A8477B5"/>
    <w:rsid w:val="1A9B16F5"/>
    <w:rsid w:val="1A9E281E"/>
    <w:rsid w:val="1ABC641B"/>
    <w:rsid w:val="1ACE26CF"/>
    <w:rsid w:val="1B023647"/>
    <w:rsid w:val="1B0C6A6C"/>
    <w:rsid w:val="1B32411D"/>
    <w:rsid w:val="1B3B4E4F"/>
    <w:rsid w:val="1B3C158C"/>
    <w:rsid w:val="1B952244"/>
    <w:rsid w:val="1BE334B2"/>
    <w:rsid w:val="1C08248B"/>
    <w:rsid w:val="1C0A08C9"/>
    <w:rsid w:val="1C753D32"/>
    <w:rsid w:val="1C81746E"/>
    <w:rsid w:val="1C8E141E"/>
    <w:rsid w:val="1CB54FFA"/>
    <w:rsid w:val="1D604DCA"/>
    <w:rsid w:val="1D8C1965"/>
    <w:rsid w:val="1DB67458"/>
    <w:rsid w:val="1DB914AC"/>
    <w:rsid w:val="1E160478"/>
    <w:rsid w:val="1EA314E5"/>
    <w:rsid w:val="1EC41754"/>
    <w:rsid w:val="1F01539D"/>
    <w:rsid w:val="1F133AB5"/>
    <w:rsid w:val="1FB70EFB"/>
    <w:rsid w:val="1FC651FA"/>
    <w:rsid w:val="20480E7D"/>
    <w:rsid w:val="206E622F"/>
    <w:rsid w:val="2094464C"/>
    <w:rsid w:val="211F0CE4"/>
    <w:rsid w:val="21C045EF"/>
    <w:rsid w:val="21C90561"/>
    <w:rsid w:val="221939EF"/>
    <w:rsid w:val="22CF0097"/>
    <w:rsid w:val="22EE0C5B"/>
    <w:rsid w:val="232A1876"/>
    <w:rsid w:val="2340353C"/>
    <w:rsid w:val="23455AB9"/>
    <w:rsid w:val="235F5245"/>
    <w:rsid w:val="23785689"/>
    <w:rsid w:val="238C56F1"/>
    <w:rsid w:val="239910FD"/>
    <w:rsid w:val="23A9415D"/>
    <w:rsid w:val="23DE19DE"/>
    <w:rsid w:val="244A30EB"/>
    <w:rsid w:val="24D34B24"/>
    <w:rsid w:val="24EF71F9"/>
    <w:rsid w:val="250B02B4"/>
    <w:rsid w:val="256306BD"/>
    <w:rsid w:val="263B3598"/>
    <w:rsid w:val="26954C77"/>
    <w:rsid w:val="26D0777B"/>
    <w:rsid w:val="26D609DC"/>
    <w:rsid w:val="26FF560D"/>
    <w:rsid w:val="272B4D47"/>
    <w:rsid w:val="272D4FFD"/>
    <w:rsid w:val="272E389C"/>
    <w:rsid w:val="274F43F6"/>
    <w:rsid w:val="27594B96"/>
    <w:rsid w:val="277A1685"/>
    <w:rsid w:val="27BC3EB1"/>
    <w:rsid w:val="27D619A2"/>
    <w:rsid w:val="280A28E1"/>
    <w:rsid w:val="28253ECF"/>
    <w:rsid w:val="28585A2C"/>
    <w:rsid w:val="290D41FD"/>
    <w:rsid w:val="290E0027"/>
    <w:rsid w:val="293C27A9"/>
    <w:rsid w:val="29572FA3"/>
    <w:rsid w:val="299066C5"/>
    <w:rsid w:val="2994668D"/>
    <w:rsid w:val="299802A5"/>
    <w:rsid w:val="29990A4C"/>
    <w:rsid w:val="299A6485"/>
    <w:rsid w:val="29B21F15"/>
    <w:rsid w:val="2A325E05"/>
    <w:rsid w:val="2A352FA2"/>
    <w:rsid w:val="2A457A21"/>
    <w:rsid w:val="2A5067A8"/>
    <w:rsid w:val="2B162923"/>
    <w:rsid w:val="2B1A646E"/>
    <w:rsid w:val="2B201C54"/>
    <w:rsid w:val="2B652EF5"/>
    <w:rsid w:val="2BA9293E"/>
    <w:rsid w:val="2BC1521B"/>
    <w:rsid w:val="2C33489F"/>
    <w:rsid w:val="2C6526E2"/>
    <w:rsid w:val="2CF5658A"/>
    <w:rsid w:val="2D4476C0"/>
    <w:rsid w:val="2D534E87"/>
    <w:rsid w:val="2D591597"/>
    <w:rsid w:val="2D8F15C7"/>
    <w:rsid w:val="2D95736C"/>
    <w:rsid w:val="2DB142E1"/>
    <w:rsid w:val="2E04780D"/>
    <w:rsid w:val="2E1D1F14"/>
    <w:rsid w:val="2EA74B17"/>
    <w:rsid w:val="2EF63956"/>
    <w:rsid w:val="2F9131A9"/>
    <w:rsid w:val="2F99085C"/>
    <w:rsid w:val="2FD162F0"/>
    <w:rsid w:val="3003095A"/>
    <w:rsid w:val="304D651F"/>
    <w:rsid w:val="305C7DB9"/>
    <w:rsid w:val="308A0917"/>
    <w:rsid w:val="30E113B2"/>
    <w:rsid w:val="30FF1138"/>
    <w:rsid w:val="3114202C"/>
    <w:rsid w:val="31203481"/>
    <w:rsid w:val="31D6657A"/>
    <w:rsid w:val="3200374B"/>
    <w:rsid w:val="32473253"/>
    <w:rsid w:val="3293329B"/>
    <w:rsid w:val="32F267ED"/>
    <w:rsid w:val="335D41DA"/>
    <w:rsid w:val="3361798A"/>
    <w:rsid w:val="33B47068"/>
    <w:rsid w:val="33C05C8F"/>
    <w:rsid w:val="33EC07EB"/>
    <w:rsid w:val="34550144"/>
    <w:rsid w:val="34746B0F"/>
    <w:rsid w:val="34806536"/>
    <w:rsid w:val="34BF22AB"/>
    <w:rsid w:val="34CB25CD"/>
    <w:rsid w:val="35111409"/>
    <w:rsid w:val="352214DC"/>
    <w:rsid w:val="35586679"/>
    <w:rsid w:val="363D3ABE"/>
    <w:rsid w:val="36B623F8"/>
    <w:rsid w:val="36B9188B"/>
    <w:rsid w:val="3705639C"/>
    <w:rsid w:val="37145501"/>
    <w:rsid w:val="372431CA"/>
    <w:rsid w:val="37315697"/>
    <w:rsid w:val="37355D64"/>
    <w:rsid w:val="37381876"/>
    <w:rsid w:val="3860111B"/>
    <w:rsid w:val="389817D4"/>
    <w:rsid w:val="38A03FB7"/>
    <w:rsid w:val="38A74D8A"/>
    <w:rsid w:val="39C83239"/>
    <w:rsid w:val="39CB4FCA"/>
    <w:rsid w:val="3A330D54"/>
    <w:rsid w:val="3A5C37EF"/>
    <w:rsid w:val="3ABC547B"/>
    <w:rsid w:val="3B0E5A97"/>
    <w:rsid w:val="3B1807A5"/>
    <w:rsid w:val="3B5B01E6"/>
    <w:rsid w:val="3B7339AE"/>
    <w:rsid w:val="3BB37066"/>
    <w:rsid w:val="3C6A465C"/>
    <w:rsid w:val="3CB45EC4"/>
    <w:rsid w:val="3CE06F3D"/>
    <w:rsid w:val="3D0505D9"/>
    <w:rsid w:val="3D4164BC"/>
    <w:rsid w:val="3DB42B44"/>
    <w:rsid w:val="3DD84B93"/>
    <w:rsid w:val="3E047288"/>
    <w:rsid w:val="3E354E0B"/>
    <w:rsid w:val="3E3D0FAE"/>
    <w:rsid w:val="3E5873DF"/>
    <w:rsid w:val="3E8D54EE"/>
    <w:rsid w:val="3E9D6976"/>
    <w:rsid w:val="3EB44473"/>
    <w:rsid w:val="3EC4183B"/>
    <w:rsid w:val="3F0F3DD4"/>
    <w:rsid w:val="3F7209B4"/>
    <w:rsid w:val="3FA0183A"/>
    <w:rsid w:val="3FAA0393"/>
    <w:rsid w:val="40E536CB"/>
    <w:rsid w:val="41142462"/>
    <w:rsid w:val="41643969"/>
    <w:rsid w:val="419B0310"/>
    <w:rsid w:val="41BF676C"/>
    <w:rsid w:val="428611BC"/>
    <w:rsid w:val="42C72542"/>
    <w:rsid w:val="42F65D2E"/>
    <w:rsid w:val="43106993"/>
    <w:rsid w:val="43387888"/>
    <w:rsid w:val="43516FE8"/>
    <w:rsid w:val="43BD5B13"/>
    <w:rsid w:val="43E57A19"/>
    <w:rsid w:val="4421304A"/>
    <w:rsid w:val="443C4228"/>
    <w:rsid w:val="445523E9"/>
    <w:rsid w:val="4476756F"/>
    <w:rsid w:val="448F59DC"/>
    <w:rsid w:val="44BA7F79"/>
    <w:rsid w:val="44C10B41"/>
    <w:rsid w:val="44DF7EAD"/>
    <w:rsid w:val="456D0E05"/>
    <w:rsid w:val="45795008"/>
    <w:rsid w:val="45B53AB2"/>
    <w:rsid w:val="45CF23BA"/>
    <w:rsid w:val="45DA780A"/>
    <w:rsid w:val="45F3309F"/>
    <w:rsid w:val="45F92EEE"/>
    <w:rsid w:val="46096830"/>
    <w:rsid w:val="464C34C2"/>
    <w:rsid w:val="46C204FF"/>
    <w:rsid w:val="4740634A"/>
    <w:rsid w:val="47AE7D60"/>
    <w:rsid w:val="47B62199"/>
    <w:rsid w:val="47E2753D"/>
    <w:rsid w:val="47F45CB1"/>
    <w:rsid w:val="48370FB5"/>
    <w:rsid w:val="487677F4"/>
    <w:rsid w:val="48774D51"/>
    <w:rsid w:val="488E189F"/>
    <w:rsid w:val="489C4709"/>
    <w:rsid w:val="495373D5"/>
    <w:rsid w:val="49881FB3"/>
    <w:rsid w:val="499A7363"/>
    <w:rsid w:val="49BC6DD4"/>
    <w:rsid w:val="49EA05EA"/>
    <w:rsid w:val="4A3317C3"/>
    <w:rsid w:val="4A780618"/>
    <w:rsid w:val="4A7C646B"/>
    <w:rsid w:val="4ACF1FBC"/>
    <w:rsid w:val="4AE46A4E"/>
    <w:rsid w:val="4B55404C"/>
    <w:rsid w:val="4B745E87"/>
    <w:rsid w:val="4B8E70D9"/>
    <w:rsid w:val="4BAE3363"/>
    <w:rsid w:val="4C4C1669"/>
    <w:rsid w:val="4C7574B4"/>
    <w:rsid w:val="4CB7022C"/>
    <w:rsid w:val="4CF93FF0"/>
    <w:rsid w:val="4D8F3077"/>
    <w:rsid w:val="4E3F4EE9"/>
    <w:rsid w:val="4EA21BB3"/>
    <w:rsid w:val="4EE946E2"/>
    <w:rsid w:val="4F4531C6"/>
    <w:rsid w:val="4F837156"/>
    <w:rsid w:val="4FAC655E"/>
    <w:rsid w:val="4FEC5BBA"/>
    <w:rsid w:val="508D4210"/>
    <w:rsid w:val="50F23E13"/>
    <w:rsid w:val="514C6AB1"/>
    <w:rsid w:val="51683D29"/>
    <w:rsid w:val="517522D5"/>
    <w:rsid w:val="517E1A18"/>
    <w:rsid w:val="5183786E"/>
    <w:rsid w:val="519159EF"/>
    <w:rsid w:val="51AA53B0"/>
    <w:rsid w:val="51BC101B"/>
    <w:rsid w:val="522E1623"/>
    <w:rsid w:val="52655152"/>
    <w:rsid w:val="5295058C"/>
    <w:rsid w:val="52D2486D"/>
    <w:rsid w:val="534F74B3"/>
    <w:rsid w:val="536176B0"/>
    <w:rsid w:val="53666A40"/>
    <w:rsid w:val="53CE6142"/>
    <w:rsid w:val="53DF697E"/>
    <w:rsid w:val="54A0638B"/>
    <w:rsid w:val="54E36DCE"/>
    <w:rsid w:val="54F17F76"/>
    <w:rsid w:val="550F752C"/>
    <w:rsid w:val="55381AD5"/>
    <w:rsid w:val="55A65448"/>
    <w:rsid w:val="560B593B"/>
    <w:rsid w:val="56510F8F"/>
    <w:rsid w:val="569A686D"/>
    <w:rsid w:val="56C1024B"/>
    <w:rsid w:val="56D614AE"/>
    <w:rsid w:val="56D6767B"/>
    <w:rsid w:val="56E10056"/>
    <w:rsid w:val="57166C2D"/>
    <w:rsid w:val="57884880"/>
    <w:rsid w:val="57BA464D"/>
    <w:rsid w:val="57EA17D7"/>
    <w:rsid w:val="58856C90"/>
    <w:rsid w:val="58917C61"/>
    <w:rsid w:val="58C8702E"/>
    <w:rsid w:val="58D36913"/>
    <w:rsid w:val="58EA3C82"/>
    <w:rsid w:val="593D383A"/>
    <w:rsid w:val="5954215A"/>
    <w:rsid w:val="596E6436"/>
    <w:rsid w:val="599B55B1"/>
    <w:rsid w:val="5A2C2B15"/>
    <w:rsid w:val="5A5B214E"/>
    <w:rsid w:val="5AD016DB"/>
    <w:rsid w:val="5AE22DED"/>
    <w:rsid w:val="5B125E2B"/>
    <w:rsid w:val="5B635110"/>
    <w:rsid w:val="5BF0155A"/>
    <w:rsid w:val="5BF51631"/>
    <w:rsid w:val="5C1D6844"/>
    <w:rsid w:val="5C2465A5"/>
    <w:rsid w:val="5C305E1A"/>
    <w:rsid w:val="5C3D196A"/>
    <w:rsid w:val="5C632CA5"/>
    <w:rsid w:val="5CD75372"/>
    <w:rsid w:val="5D002502"/>
    <w:rsid w:val="5D8272FD"/>
    <w:rsid w:val="5D8B4A7C"/>
    <w:rsid w:val="5DA96B23"/>
    <w:rsid w:val="5DCA15EB"/>
    <w:rsid w:val="5DDA602F"/>
    <w:rsid w:val="5E127E65"/>
    <w:rsid w:val="5E453526"/>
    <w:rsid w:val="5E6C3D5E"/>
    <w:rsid w:val="5E91668C"/>
    <w:rsid w:val="5EC033FA"/>
    <w:rsid w:val="5ED30830"/>
    <w:rsid w:val="5F1650D7"/>
    <w:rsid w:val="5F535F2C"/>
    <w:rsid w:val="5F5A5F96"/>
    <w:rsid w:val="5FBA1A2F"/>
    <w:rsid w:val="5FCF086B"/>
    <w:rsid w:val="601C72F2"/>
    <w:rsid w:val="602A0A8B"/>
    <w:rsid w:val="602A2D2E"/>
    <w:rsid w:val="611D2893"/>
    <w:rsid w:val="6131147B"/>
    <w:rsid w:val="614A183E"/>
    <w:rsid w:val="619B70EB"/>
    <w:rsid w:val="61D001F1"/>
    <w:rsid w:val="61EF4230"/>
    <w:rsid w:val="61F4083F"/>
    <w:rsid w:val="62153D76"/>
    <w:rsid w:val="625364D2"/>
    <w:rsid w:val="629122E3"/>
    <w:rsid w:val="62F41981"/>
    <w:rsid w:val="63242D49"/>
    <w:rsid w:val="6335758A"/>
    <w:rsid w:val="63770334"/>
    <w:rsid w:val="63A1249F"/>
    <w:rsid w:val="63CC03F0"/>
    <w:rsid w:val="64164766"/>
    <w:rsid w:val="64274410"/>
    <w:rsid w:val="642B6EEF"/>
    <w:rsid w:val="64B617C3"/>
    <w:rsid w:val="64DF74F1"/>
    <w:rsid w:val="65C3494B"/>
    <w:rsid w:val="660202AA"/>
    <w:rsid w:val="667555E2"/>
    <w:rsid w:val="66AE5D88"/>
    <w:rsid w:val="66B23E35"/>
    <w:rsid w:val="670B3337"/>
    <w:rsid w:val="67E14D06"/>
    <w:rsid w:val="683A1917"/>
    <w:rsid w:val="687A109C"/>
    <w:rsid w:val="68EC6F68"/>
    <w:rsid w:val="698E10AD"/>
    <w:rsid w:val="69A26532"/>
    <w:rsid w:val="6A112ADF"/>
    <w:rsid w:val="6A14250D"/>
    <w:rsid w:val="6A4B0B85"/>
    <w:rsid w:val="6A4C4C0B"/>
    <w:rsid w:val="6ABE50E7"/>
    <w:rsid w:val="6AC15083"/>
    <w:rsid w:val="6AEB32FC"/>
    <w:rsid w:val="6B4612EF"/>
    <w:rsid w:val="6B781440"/>
    <w:rsid w:val="6B970619"/>
    <w:rsid w:val="6BB63EAC"/>
    <w:rsid w:val="6BD9731F"/>
    <w:rsid w:val="6C197C6C"/>
    <w:rsid w:val="6C5B7DBA"/>
    <w:rsid w:val="6C71001B"/>
    <w:rsid w:val="6C941EBD"/>
    <w:rsid w:val="6C9B7AB0"/>
    <w:rsid w:val="6CB93949"/>
    <w:rsid w:val="6CDD086B"/>
    <w:rsid w:val="6CE112BD"/>
    <w:rsid w:val="6D261116"/>
    <w:rsid w:val="6D304AC6"/>
    <w:rsid w:val="6D371935"/>
    <w:rsid w:val="6D441B72"/>
    <w:rsid w:val="6D6C18AC"/>
    <w:rsid w:val="6D785690"/>
    <w:rsid w:val="6DC07A87"/>
    <w:rsid w:val="6E6D658B"/>
    <w:rsid w:val="6E8910AF"/>
    <w:rsid w:val="6F2614AD"/>
    <w:rsid w:val="6F3D0718"/>
    <w:rsid w:val="6F506850"/>
    <w:rsid w:val="6FC43F82"/>
    <w:rsid w:val="704A2BFA"/>
    <w:rsid w:val="705C7DD6"/>
    <w:rsid w:val="706D2794"/>
    <w:rsid w:val="709D2A18"/>
    <w:rsid w:val="70D22650"/>
    <w:rsid w:val="70EE2172"/>
    <w:rsid w:val="70EF0FF2"/>
    <w:rsid w:val="71071BF0"/>
    <w:rsid w:val="71935189"/>
    <w:rsid w:val="71A170B2"/>
    <w:rsid w:val="721D18F6"/>
    <w:rsid w:val="72217979"/>
    <w:rsid w:val="726E036F"/>
    <w:rsid w:val="72873009"/>
    <w:rsid w:val="72922769"/>
    <w:rsid w:val="729E70A0"/>
    <w:rsid w:val="72B156D0"/>
    <w:rsid w:val="72E256EB"/>
    <w:rsid w:val="72E94795"/>
    <w:rsid w:val="7307002B"/>
    <w:rsid w:val="734E7113"/>
    <w:rsid w:val="735A0ED8"/>
    <w:rsid w:val="738C60BA"/>
    <w:rsid w:val="73962055"/>
    <w:rsid w:val="73A00AF1"/>
    <w:rsid w:val="74117515"/>
    <w:rsid w:val="7528594D"/>
    <w:rsid w:val="7534294D"/>
    <w:rsid w:val="75697BB7"/>
    <w:rsid w:val="75A91BB6"/>
    <w:rsid w:val="75A964F0"/>
    <w:rsid w:val="75C42CC6"/>
    <w:rsid w:val="75DA023A"/>
    <w:rsid w:val="7637466A"/>
    <w:rsid w:val="76A36D46"/>
    <w:rsid w:val="76C45833"/>
    <w:rsid w:val="76DC7B57"/>
    <w:rsid w:val="76EA3AE6"/>
    <w:rsid w:val="773C186D"/>
    <w:rsid w:val="776B6D23"/>
    <w:rsid w:val="777137EC"/>
    <w:rsid w:val="77B01013"/>
    <w:rsid w:val="77B447F7"/>
    <w:rsid w:val="7810631C"/>
    <w:rsid w:val="7820282E"/>
    <w:rsid w:val="784645C5"/>
    <w:rsid w:val="787315D8"/>
    <w:rsid w:val="78861F6C"/>
    <w:rsid w:val="789D1544"/>
    <w:rsid w:val="78FE572E"/>
    <w:rsid w:val="790C7257"/>
    <w:rsid w:val="797177C8"/>
    <w:rsid w:val="79752F13"/>
    <w:rsid w:val="79D54ED4"/>
    <w:rsid w:val="79F11E1E"/>
    <w:rsid w:val="79F5333B"/>
    <w:rsid w:val="79F83013"/>
    <w:rsid w:val="7A334C4C"/>
    <w:rsid w:val="7AD9047D"/>
    <w:rsid w:val="7B2B076F"/>
    <w:rsid w:val="7B2C1EFB"/>
    <w:rsid w:val="7B7A1E48"/>
    <w:rsid w:val="7BA14171"/>
    <w:rsid w:val="7BCC6C4A"/>
    <w:rsid w:val="7BCC728E"/>
    <w:rsid w:val="7C7A4B03"/>
    <w:rsid w:val="7CAF2805"/>
    <w:rsid w:val="7CCA1F03"/>
    <w:rsid w:val="7D5F5F5D"/>
    <w:rsid w:val="7D775255"/>
    <w:rsid w:val="7D9E71E1"/>
    <w:rsid w:val="7DD74E10"/>
    <w:rsid w:val="7DE948E1"/>
    <w:rsid w:val="7E4554E6"/>
    <w:rsid w:val="7E857E5D"/>
    <w:rsid w:val="7E870EA9"/>
    <w:rsid w:val="7E947E5B"/>
    <w:rsid w:val="7EA938E5"/>
    <w:rsid w:val="7EBF4741"/>
    <w:rsid w:val="7EBF4B2F"/>
    <w:rsid w:val="7F287811"/>
    <w:rsid w:val="7F5A4951"/>
    <w:rsid w:val="7F5C334B"/>
    <w:rsid w:val="7F6725E7"/>
    <w:rsid w:val="7F732A73"/>
    <w:rsid w:val="7F9C2BF8"/>
    <w:rsid w:val="7FE467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0"/>
    <w:qFormat/>
    <w:uiPriority w:val="0"/>
    <w:pPr>
      <w:keepNext/>
      <w:keepLines/>
      <w:spacing w:before="340" w:after="330" w:line="578" w:lineRule="auto"/>
      <w:outlineLvl w:val="0"/>
    </w:pPr>
    <w:rPr>
      <w:b/>
      <w:bCs/>
      <w:kern w:val="44"/>
      <w:sz w:val="44"/>
      <w:szCs w:val="44"/>
    </w:rPr>
  </w:style>
  <w:style w:type="character" w:default="1" w:styleId="38">
    <w:name w:val="Default Paragraph Font"/>
    <w:semiHidden/>
    <w:unhideWhenUsed/>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48"/>
    <w:unhideWhenUsed/>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link w:val="145"/>
    <w:qFormat/>
    <w:uiPriority w:val="1"/>
    <w:pPr>
      <w:autoSpaceDE w:val="0"/>
      <w:autoSpaceDN w:val="0"/>
      <w:jc w:val="left"/>
    </w:pPr>
    <w:rPr>
      <w:rFonts w:ascii="宋体" w:hAnsi="宋体" w:cs="宋体"/>
      <w:kern w:val="0"/>
      <w:sz w:val="20"/>
      <w:szCs w:val="20"/>
      <w:lang w:eastAsia="en-US"/>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semiHidden/>
    <w:qFormat/>
    <w:uiPriority w:val="0"/>
    <w:pPr>
      <w:tabs>
        <w:tab w:val="right" w:leader="dot" w:pos="9241"/>
      </w:tabs>
      <w:ind w:firstLine="102" w:firstLineChars="100"/>
      <w:jc w:val="left"/>
    </w:pPr>
    <w:rPr>
      <w:rFonts w:ascii="宋体"/>
      <w:szCs w:val="21"/>
    </w:rPr>
  </w:style>
  <w:style w:type="paragraph" w:styleId="14">
    <w:name w:val="Plain Text"/>
    <w:basedOn w:val="1"/>
    <w:link w:val="163"/>
    <w:qFormat/>
    <w:uiPriority w:val="0"/>
    <w:pPr>
      <w:spacing w:line="360" w:lineRule="auto"/>
      <w:ind w:firstLine="200" w:firstLineChars="200"/>
    </w:pPr>
    <w:rPr>
      <w:rFonts w:ascii="宋体" w:hAnsi="Courier New" w:cs="Courier New"/>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6"/>
    <w:qFormat/>
    <w:uiPriority w:val="0"/>
    <w:rPr>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1"/>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198"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5"/>
    <w:qFormat/>
    <w:uiPriority w:val="0"/>
    <w:pPr>
      <w:tabs>
        <w:tab w:val="center" w:pos="4201"/>
        <w:tab w:val="right" w:leader="dot" w:pos="9298"/>
      </w:tabs>
      <w:autoSpaceDE w:val="0"/>
      <w:autoSpaceDN w:val="0"/>
      <w:spacing w:after="160" w:line="278" w:lineRule="auto"/>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3"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semiHidden/>
    <w:qFormat/>
    <w:uiPriority w:val="0"/>
    <w:pPr>
      <w:tabs>
        <w:tab w:val="right" w:leader="dot" w:pos="9241"/>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HTML Preformatted"/>
    <w:basedOn w:val="1"/>
    <w:link w:val="14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spacing w:val="20"/>
      <w:w w:val="148"/>
      <w:kern w:val="0"/>
      <w:sz w:val="20"/>
      <w:szCs w:val="20"/>
    </w:rPr>
  </w:style>
  <w:style w:type="paragraph" w:styleId="33">
    <w:name w:val="Normal (Web)"/>
    <w:basedOn w:val="1"/>
    <w:unhideWhenUsed/>
    <w:qFormat/>
    <w:uiPriority w:val="0"/>
    <w:pPr>
      <w:spacing w:beforeAutospacing="1" w:afterAutospacing="1"/>
      <w:jc w:val="left"/>
    </w:pPr>
    <w:rPr>
      <w:kern w:val="0"/>
      <w:sz w:val="24"/>
    </w:rPr>
  </w:style>
  <w:style w:type="paragraph" w:styleId="34">
    <w:name w:val="index 2"/>
    <w:basedOn w:val="1"/>
    <w:next w:val="1"/>
    <w:qFormat/>
    <w:uiPriority w:val="0"/>
    <w:pPr>
      <w:ind w:left="420" w:hanging="210"/>
      <w:jc w:val="left"/>
    </w:pPr>
    <w:rPr>
      <w:rFonts w:ascii="Calibri" w:hAnsi="Calibri"/>
      <w:sz w:val="20"/>
      <w:szCs w:val="20"/>
    </w:rPr>
  </w:style>
  <w:style w:type="paragraph" w:styleId="35">
    <w:name w:val="annotation subject"/>
    <w:basedOn w:val="8"/>
    <w:next w:val="8"/>
    <w:link w:val="149"/>
    <w:semiHidden/>
    <w:unhideWhenUsed/>
    <w:qFormat/>
    <w:uiPriority w:val="0"/>
    <w:rPr>
      <w:b/>
      <w:bCs/>
    </w:rPr>
  </w:style>
  <w:style w:type="table" w:styleId="37">
    <w:name w:val="Table Grid"/>
    <w:basedOn w:val="3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FollowedHyperlink"/>
    <w:qFormat/>
    <w:uiPriority w:val="99"/>
    <w:rPr>
      <w:color w:val="800080"/>
      <w:u w:val="single"/>
    </w:rPr>
  </w:style>
  <w:style w:type="character" w:styleId="42">
    <w:name w:val="Hyperlink"/>
    <w:qFormat/>
    <w:uiPriority w:val="99"/>
    <w:rPr>
      <w:color w:val="0000FF"/>
      <w:spacing w:val="0"/>
      <w:w w:val="100"/>
      <w:szCs w:val="21"/>
      <w:u w:val="single"/>
    </w:rPr>
  </w:style>
  <w:style w:type="character" w:styleId="43">
    <w:name w:val="annotation reference"/>
    <w:basedOn w:val="38"/>
    <w:semiHidden/>
    <w:unhideWhenUsed/>
    <w:qFormat/>
    <w:uiPriority w:val="0"/>
    <w:rPr>
      <w:sz w:val="21"/>
      <w:szCs w:val="21"/>
    </w:rPr>
  </w:style>
  <w:style w:type="character" w:styleId="44">
    <w:name w:val="footnote reference"/>
    <w:semiHidden/>
    <w:qFormat/>
    <w:uiPriority w:val="0"/>
    <w:rPr>
      <w:vertAlign w:val="superscript"/>
    </w:rPr>
  </w:style>
  <w:style w:type="character" w:customStyle="1" w:styleId="45">
    <w:name w:val="段 Char"/>
    <w:link w:val="25"/>
    <w:qFormat/>
    <w:uiPriority w:val="0"/>
    <w:rPr>
      <w:rFonts w:ascii="宋体"/>
      <w:sz w:val="21"/>
      <w:lang w:val="en-US" w:eastAsia="zh-CN" w:bidi="ar-SA"/>
    </w:rPr>
  </w:style>
  <w:style w:type="paragraph" w:customStyle="1" w:styleId="46">
    <w:name w:val="一级条标题"/>
    <w:next w:val="25"/>
    <w:link w:val="47"/>
    <w:qFormat/>
    <w:uiPriority w:val="0"/>
    <w:pPr>
      <w:numPr>
        <w:ilvl w:val="1"/>
        <w:numId w:val="2"/>
      </w:numPr>
      <w:spacing w:beforeLines="50" w:after="160" w:afterLines="50" w:line="278" w:lineRule="auto"/>
      <w:outlineLvl w:val="2"/>
    </w:pPr>
    <w:rPr>
      <w:rFonts w:ascii="黑体" w:hAnsi="Times New Roman" w:eastAsia="黑体" w:cs="Times New Roman"/>
      <w:sz w:val="21"/>
      <w:szCs w:val="21"/>
      <w:lang w:val="en-US" w:eastAsia="zh-CN" w:bidi="ar-SA"/>
    </w:rPr>
  </w:style>
  <w:style w:type="character" w:customStyle="1" w:styleId="47">
    <w:name w:val="一级条标题 Char"/>
    <w:link w:val="46"/>
    <w:qFormat/>
    <w:locked/>
    <w:uiPriority w:val="0"/>
    <w:rPr>
      <w:rFonts w:ascii="黑体" w:eastAsia="黑体"/>
      <w:sz w:val="21"/>
      <w:szCs w:val="21"/>
    </w:rPr>
  </w:style>
  <w:style w:type="paragraph" w:customStyle="1" w:styleId="48">
    <w:name w:val="标准书脚_奇数页"/>
    <w:qFormat/>
    <w:uiPriority w:val="0"/>
    <w:pPr>
      <w:spacing w:before="120" w:after="160" w:line="278" w:lineRule="auto"/>
      <w:ind w:right="198"/>
      <w:jc w:val="right"/>
    </w:pPr>
    <w:rPr>
      <w:rFonts w:ascii="宋体" w:hAnsi="Times New Roman" w:eastAsia="宋体" w:cs="Times New Roman"/>
      <w:sz w:val="18"/>
      <w:szCs w:val="18"/>
      <w:lang w:val="en-US" w:eastAsia="zh-CN" w:bidi="ar-SA"/>
    </w:rPr>
  </w:style>
  <w:style w:type="paragraph" w:customStyle="1" w:styleId="49">
    <w:name w:val="标准书眉_奇数页"/>
    <w:next w:val="1"/>
    <w:qFormat/>
    <w:uiPriority w:val="0"/>
    <w:pPr>
      <w:tabs>
        <w:tab w:val="center" w:pos="4154"/>
        <w:tab w:val="right" w:pos="8306"/>
      </w:tabs>
      <w:spacing w:after="220" w:line="278" w:lineRule="auto"/>
      <w:jc w:val="right"/>
    </w:pPr>
    <w:rPr>
      <w:rFonts w:ascii="黑体" w:hAnsi="Times New Roman" w:eastAsia="黑体" w:cs="Times New Roman"/>
      <w:sz w:val="21"/>
      <w:szCs w:val="21"/>
      <w:lang w:val="en-US" w:eastAsia="zh-CN" w:bidi="ar-SA"/>
    </w:rPr>
  </w:style>
  <w:style w:type="paragraph" w:customStyle="1" w:styleId="50">
    <w:name w:val="章标题"/>
    <w:next w:val="25"/>
    <w:link w:val="51"/>
    <w:qFormat/>
    <w:uiPriority w:val="0"/>
    <w:pPr>
      <w:numPr>
        <w:ilvl w:val="0"/>
        <w:numId w:val="2"/>
      </w:numPr>
      <w:spacing w:beforeLines="100" w:after="160" w:afterLines="100" w:line="278" w:lineRule="auto"/>
      <w:jc w:val="both"/>
      <w:outlineLvl w:val="1"/>
    </w:pPr>
    <w:rPr>
      <w:rFonts w:ascii="黑体" w:hAnsi="Times New Roman" w:eastAsia="黑体" w:cs="Times New Roman"/>
      <w:sz w:val="21"/>
      <w:lang w:val="en-US" w:eastAsia="zh-CN" w:bidi="ar-SA"/>
    </w:rPr>
  </w:style>
  <w:style w:type="character" w:customStyle="1" w:styleId="51">
    <w:name w:val="章标题 Char"/>
    <w:link w:val="50"/>
    <w:qFormat/>
    <w:locked/>
    <w:uiPriority w:val="0"/>
    <w:rPr>
      <w:rFonts w:ascii="黑体" w:eastAsia="黑体"/>
      <w:sz w:val="21"/>
    </w:rPr>
  </w:style>
  <w:style w:type="paragraph" w:customStyle="1" w:styleId="52">
    <w:name w:val="二级条标题"/>
    <w:basedOn w:val="46"/>
    <w:next w:val="25"/>
    <w:link w:val="53"/>
    <w:qFormat/>
    <w:uiPriority w:val="0"/>
    <w:pPr>
      <w:numPr>
        <w:ilvl w:val="0"/>
        <w:numId w:val="0"/>
      </w:numPr>
      <w:spacing w:before="50" w:after="50"/>
      <w:outlineLvl w:val="3"/>
    </w:pPr>
  </w:style>
  <w:style w:type="character" w:customStyle="1" w:styleId="53">
    <w:name w:val="二级条标题 Char"/>
    <w:basedOn w:val="47"/>
    <w:link w:val="52"/>
    <w:qFormat/>
    <w:locked/>
    <w:uiPriority w:val="0"/>
    <w:rPr>
      <w:rFonts w:ascii="黑体" w:eastAsia="黑体"/>
      <w:sz w:val="21"/>
      <w:szCs w:val="21"/>
      <w:lang w:bidi="ar-SA"/>
    </w:rPr>
  </w:style>
  <w:style w:type="paragraph" w:customStyle="1" w:styleId="54">
    <w:name w:val="封面标准号2"/>
    <w:qFormat/>
    <w:uiPriority w:val="0"/>
    <w:pPr>
      <w:framePr w:w="9140" w:h="1242" w:hRule="exact" w:hSpace="284" w:wrap="around" w:vAnchor="page" w:hAnchor="page" w:x="1645" w:y="2910" w:anchorLock="1"/>
      <w:spacing w:before="357" w:after="160" w:line="280" w:lineRule="exact"/>
      <w:jc w:val="right"/>
    </w:pPr>
    <w:rPr>
      <w:rFonts w:ascii="黑体" w:hAnsi="Times New Roman" w:eastAsia="黑体" w:cs="Times New Roman"/>
      <w:sz w:val="28"/>
      <w:szCs w:val="28"/>
      <w:lang w:val="en-US" w:eastAsia="zh-CN" w:bidi="ar-SA"/>
    </w:rPr>
  </w:style>
  <w:style w:type="paragraph" w:customStyle="1" w:styleId="55">
    <w:name w:val="列项——（一级）"/>
    <w:qFormat/>
    <w:uiPriority w:val="0"/>
    <w:pPr>
      <w:widowControl w:val="0"/>
      <w:numPr>
        <w:ilvl w:val="0"/>
        <w:numId w:val="3"/>
      </w:numPr>
      <w:spacing w:after="160" w:line="278" w:lineRule="auto"/>
      <w:jc w:val="both"/>
    </w:pPr>
    <w:rPr>
      <w:rFonts w:ascii="宋体" w:hAnsi="Times New Roman" w:eastAsia="宋体" w:cs="Times New Roman"/>
      <w:sz w:val="21"/>
      <w:lang w:val="en-US" w:eastAsia="zh-CN" w:bidi="ar-SA"/>
    </w:rPr>
  </w:style>
  <w:style w:type="paragraph" w:customStyle="1" w:styleId="56">
    <w:name w:val="列项●（二级）"/>
    <w:qFormat/>
    <w:uiPriority w:val="0"/>
    <w:pPr>
      <w:numPr>
        <w:ilvl w:val="1"/>
        <w:numId w:val="3"/>
      </w:numPr>
      <w:tabs>
        <w:tab w:val="left" w:pos="840"/>
      </w:tabs>
      <w:spacing w:after="160" w:line="278" w:lineRule="auto"/>
      <w:jc w:val="both"/>
    </w:pPr>
    <w:rPr>
      <w:rFonts w:ascii="宋体" w:hAnsi="Times New Roman" w:eastAsia="宋体" w:cs="Times New Roman"/>
      <w:sz w:val="21"/>
      <w:lang w:val="en-US" w:eastAsia="zh-CN" w:bidi="ar-SA"/>
    </w:rPr>
  </w:style>
  <w:style w:type="paragraph" w:customStyle="1" w:styleId="57">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8">
    <w:name w:val="三级条标题"/>
    <w:basedOn w:val="52"/>
    <w:next w:val="25"/>
    <w:qFormat/>
    <w:uiPriority w:val="0"/>
    <w:pPr>
      <w:numPr>
        <w:ilvl w:val="3"/>
      </w:numPr>
      <w:outlineLvl w:val="4"/>
    </w:pPr>
  </w:style>
  <w:style w:type="paragraph" w:customStyle="1" w:styleId="59">
    <w:name w:val="示例"/>
    <w:next w:val="60"/>
    <w:qFormat/>
    <w:uiPriority w:val="0"/>
    <w:pPr>
      <w:widowControl w:val="0"/>
      <w:numPr>
        <w:ilvl w:val="0"/>
        <w:numId w:val="4"/>
      </w:numPr>
      <w:spacing w:after="160" w:line="278" w:lineRule="auto"/>
      <w:jc w:val="both"/>
    </w:pPr>
    <w:rPr>
      <w:rFonts w:ascii="宋体" w:hAnsi="Times New Roman" w:eastAsia="宋体" w:cs="Times New Roman"/>
      <w:sz w:val="18"/>
      <w:szCs w:val="18"/>
      <w:lang w:val="en-US" w:eastAsia="zh-CN" w:bidi="ar-SA"/>
    </w:rPr>
  </w:style>
  <w:style w:type="paragraph" w:customStyle="1" w:styleId="60">
    <w:name w:val="示例内容"/>
    <w:qFormat/>
    <w:uiPriority w:val="0"/>
    <w:pPr>
      <w:spacing w:after="160" w:line="278" w:lineRule="auto"/>
      <w:ind w:firstLine="200" w:firstLineChars="200"/>
    </w:pPr>
    <w:rPr>
      <w:rFonts w:ascii="宋体" w:hAnsi="Times New Roman" w:eastAsia="宋体" w:cs="Times New Roman"/>
      <w:sz w:val="18"/>
      <w:szCs w:val="18"/>
      <w:lang w:val="en-US" w:eastAsia="zh-CN" w:bidi="ar-SA"/>
    </w:rPr>
  </w:style>
  <w:style w:type="paragraph" w:customStyle="1" w:styleId="61">
    <w:name w:val="数字编号列项（二级）"/>
    <w:qFormat/>
    <w:uiPriority w:val="0"/>
    <w:pPr>
      <w:numPr>
        <w:ilvl w:val="1"/>
        <w:numId w:val="5"/>
      </w:numPr>
      <w:spacing w:after="160" w:line="278" w:lineRule="auto"/>
      <w:jc w:val="both"/>
    </w:pPr>
    <w:rPr>
      <w:rFonts w:ascii="宋体" w:hAnsi="Times New Roman" w:eastAsia="宋体" w:cs="Times New Roman"/>
      <w:sz w:val="21"/>
      <w:lang w:val="en-US" w:eastAsia="zh-CN" w:bidi="ar-SA"/>
    </w:rPr>
  </w:style>
  <w:style w:type="paragraph" w:customStyle="1" w:styleId="62">
    <w:name w:val="四级条标题"/>
    <w:basedOn w:val="58"/>
    <w:next w:val="25"/>
    <w:qFormat/>
    <w:uiPriority w:val="0"/>
    <w:pPr>
      <w:numPr>
        <w:ilvl w:val="4"/>
      </w:numPr>
      <w:outlineLvl w:val="5"/>
    </w:pPr>
  </w:style>
  <w:style w:type="paragraph" w:customStyle="1" w:styleId="63">
    <w:name w:val="五级条标题"/>
    <w:basedOn w:val="62"/>
    <w:next w:val="25"/>
    <w:qFormat/>
    <w:uiPriority w:val="0"/>
    <w:pPr>
      <w:numPr>
        <w:ilvl w:val="5"/>
      </w:numPr>
      <w:outlineLvl w:val="6"/>
    </w:pPr>
  </w:style>
  <w:style w:type="paragraph" w:customStyle="1" w:styleId="64">
    <w:name w:val="注："/>
    <w:next w:val="25"/>
    <w:qFormat/>
    <w:uiPriority w:val="0"/>
    <w:pPr>
      <w:widowControl w:val="0"/>
      <w:numPr>
        <w:ilvl w:val="0"/>
        <w:numId w:val="6"/>
      </w:numPr>
      <w:autoSpaceDE w:val="0"/>
      <w:autoSpaceDN w:val="0"/>
      <w:spacing w:after="160" w:line="278" w:lineRule="auto"/>
      <w:jc w:val="both"/>
    </w:pPr>
    <w:rPr>
      <w:rFonts w:ascii="宋体" w:hAnsi="Times New Roman" w:eastAsia="宋体" w:cs="Times New Roman"/>
      <w:sz w:val="18"/>
      <w:szCs w:val="18"/>
      <w:lang w:val="en-US" w:eastAsia="zh-CN" w:bidi="ar-SA"/>
    </w:rPr>
  </w:style>
  <w:style w:type="paragraph" w:customStyle="1" w:styleId="65">
    <w:name w:val="注×："/>
    <w:qFormat/>
    <w:uiPriority w:val="99"/>
    <w:pPr>
      <w:widowControl w:val="0"/>
      <w:numPr>
        <w:ilvl w:val="0"/>
        <w:numId w:val="7"/>
      </w:numPr>
      <w:autoSpaceDE w:val="0"/>
      <w:autoSpaceDN w:val="0"/>
      <w:spacing w:after="160" w:line="278" w:lineRule="auto"/>
      <w:jc w:val="both"/>
    </w:pPr>
    <w:rPr>
      <w:rFonts w:ascii="宋体" w:hAnsi="Times New Roman" w:eastAsia="宋体" w:cs="Times New Roman"/>
      <w:sz w:val="18"/>
      <w:szCs w:val="18"/>
      <w:lang w:val="en-US" w:eastAsia="zh-CN" w:bidi="ar-SA"/>
    </w:rPr>
  </w:style>
  <w:style w:type="paragraph" w:customStyle="1" w:styleId="66">
    <w:name w:val="字母编号列项（一级）"/>
    <w:qFormat/>
    <w:uiPriority w:val="0"/>
    <w:pPr>
      <w:tabs>
        <w:tab w:val="left" w:pos="840"/>
      </w:tabs>
      <w:spacing w:after="160" w:line="278" w:lineRule="auto"/>
      <w:jc w:val="both"/>
    </w:pPr>
    <w:rPr>
      <w:rFonts w:ascii="宋体" w:hAnsi="Times New Roman" w:eastAsia="宋体" w:cs="Times New Roman"/>
      <w:sz w:val="21"/>
      <w:lang w:val="en-US" w:eastAsia="zh-CN" w:bidi="ar-SA"/>
    </w:rPr>
  </w:style>
  <w:style w:type="paragraph" w:customStyle="1" w:styleId="67">
    <w:name w:val="列项◆（三级）"/>
    <w:basedOn w:val="1"/>
    <w:qFormat/>
    <w:uiPriority w:val="0"/>
    <w:pPr>
      <w:numPr>
        <w:ilvl w:val="2"/>
        <w:numId w:val="3"/>
      </w:numPr>
    </w:pPr>
    <w:rPr>
      <w:rFonts w:ascii="宋体"/>
      <w:szCs w:val="21"/>
    </w:rPr>
  </w:style>
  <w:style w:type="paragraph" w:customStyle="1" w:styleId="68">
    <w:name w:val="编号列项（三级）"/>
    <w:qFormat/>
    <w:uiPriority w:val="0"/>
    <w:pPr>
      <w:numPr>
        <w:ilvl w:val="2"/>
        <w:numId w:val="5"/>
      </w:numPr>
      <w:spacing w:after="160" w:line="278" w:lineRule="auto"/>
    </w:pPr>
    <w:rPr>
      <w:rFonts w:ascii="宋体" w:hAnsi="Times New Roman" w:eastAsia="宋体" w:cs="Times New Roman"/>
      <w:sz w:val="21"/>
      <w:lang w:val="en-US" w:eastAsia="zh-CN" w:bidi="ar-SA"/>
    </w:rPr>
  </w:style>
  <w:style w:type="paragraph" w:customStyle="1" w:styleId="69">
    <w:name w:val="示例×："/>
    <w:basedOn w:val="50"/>
    <w:qFormat/>
    <w:uiPriority w:val="0"/>
    <w:pPr>
      <w:numPr>
        <w:numId w:val="8"/>
      </w:numPr>
      <w:spacing w:beforeLines="0" w:afterLines="0"/>
      <w:outlineLvl w:val="9"/>
    </w:pPr>
    <w:rPr>
      <w:rFonts w:ascii="宋体" w:eastAsia="宋体"/>
      <w:sz w:val="18"/>
      <w:szCs w:val="18"/>
    </w:rPr>
  </w:style>
  <w:style w:type="paragraph" w:customStyle="1" w:styleId="70">
    <w:name w:val="二级无"/>
    <w:basedOn w:val="52"/>
    <w:qFormat/>
    <w:uiPriority w:val="0"/>
    <w:pPr>
      <w:spacing w:beforeLines="0" w:afterLines="0"/>
    </w:pPr>
    <w:rPr>
      <w:rFonts w:ascii="宋体" w:eastAsia="宋体"/>
    </w:rPr>
  </w:style>
  <w:style w:type="paragraph" w:customStyle="1" w:styleId="71">
    <w:name w:val="注：（正文）"/>
    <w:basedOn w:val="64"/>
    <w:next w:val="25"/>
    <w:qFormat/>
    <w:uiPriority w:val="0"/>
  </w:style>
  <w:style w:type="paragraph" w:customStyle="1" w:styleId="72">
    <w:name w:val="注×：（正文）"/>
    <w:qFormat/>
    <w:uiPriority w:val="0"/>
    <w:pPr>
      <w:numPr>
        <w:ilvl w:val="0"/>
        <w:numId w:val="9"/>
      </w:numPr>
      <w:spacing w:after="160" w:line="278" w:lineRule="auto"/>
      <w:jc w:val="both"/>
    </w:pPr>
    <w:rPr>
      <w:rFonts w:ascii="宋体" w:hAnsi="Times New Roman" w:eastAsia="宋体" w:cs="Times New Roman"/>
      <w:sz w:val="18"/>
      <w:szCs w:val="18"/>
      <w:lang w:val="en-US" w:eastAsia="zh-CN" w:bidi="ar-SA"/>
    </w:rPr>
  </w:style>
  <w:style w:type="paragraph" w:customStyle="1" w:styleId="73">
    <w:name w:val="标准标志"/>
    <w:next w:val="1"/>
    <w:qFormat/>
    <w:uiPriority w:val="0"/>
    <w:pPr>
      <w:framePr w:w="2546" w:h="1389" w:hRule="exact" w:hSpace="181" w:vSpace="181" w:wrap="around" w:vAnchor="margin" w:hAnchor="margin" w:x="6522" w:y="398" w:anchorLock="1"/>
      <w:shd w:val="solid" w:color="FFFFFF" w:fill="FFFFFF"/>
      <w:spacing w:after="160" w:line="0" w:lineRule="atLeast"/>
      <w:jc w:val="right"/>
    </w:pPr>
    <w:rPr>
      <w:rFonts w:ascii="Times New Roman" w:hAnsi="Times New Roman" w:eastAsia="宋体" w:cs="Times New Roman"/>
      <w:b/>
      <w:w w:val="170"/>
      <w:sz w:val="96"/>
      <w:szCs w:val="96"/>
      <w:lang w:val="en-US" w:eastAsia="zh-CN" w:bidi="ar-SA"/>
    </w:rPr>
  </w:style>
  <w:style w:type="paragraph" w:customStyle="1" w:styleId="7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after="160" w:line="0" w:lineRule="atLeast"/>
      <w:jc w:val="distribute"/>
    </w:pPr>
    <w:rPr>
      <w:rFonts w:ascii="宋体" w:hAnsi="Times New Roman" w:eastAsia="宋体" w:cs="Times New Roman"/>
      <w:b/>
      <w:bCs/>
      <w:spacing w:val="20"/>
      <w:w w:val="148"/>
      <w:sz w:val="48"/>
      <w:lang w:val="en-US" w:eastAsia="zh-CN" w:bidi="ar-SA"/>
    </w:rPr>
  </w:style>
  <w:style w:type="paragraph" w:customStyle="1" w:styleId="75">
    <w:name w:val="标准书脚_偶数页"/>
    <w:qFormat/>
    <w:uiPriority w:val="0"/>
    <w:pPr>
      <w:spacing w:before="120" w:after="160" w:line="278" w:lineRule="auto"/>
      <w:ind w:left="221"/>
    </w:pPr>
    <w:rPr>
      <w:rFonts w:ascii="宋体" w:hAnsi="Times New Roman" w:eastAsia="宋体" w:cs="Times New Roman"/>
      <w:sz w:val="18"/>
      <w:szCs w:val="18"/>
      <w:lang w:val="en-US" w:eastAsia="zh-CN" w:bidi="ar-SA"/>
    </w:rPr>
  </w:style>
  <w:style w:type="paragraph" w:customStyle="1" w:styleId="76">
    <w:name w:val="标准书眉_偶数页"/>
    <w:basedOn w:val="49"/>
    <w:next w:val="1"/>
    <w:qFormat/>
    <w:uiPriority w:val="0"/>
    <w:pPr>
      <w:jc w:val="left"/>
    </w:pPr>
  </w:style>
  <w:style w:type="paragraph" w:customStyle="1" w:styleId="77">
    <w:name w:val="标准书眉一"/>
    <w:qFormat/>
    <w:uiPriority w:val="0"/>
    <w:pPr>
      <w:spacing w:after="160" w:line="278" w:lineRule="auto"/>
      <w:jc w:val="both"/>
    </w:pPr>
    <w:rPr>
      <w:rFonts w:ascii="Times New Roman" w:hAnsi="Times New Roman" w:eastAsia="宋体" w:cs="Times New Roman"/>
      <w:lang w:val="en-US" w:eastAsia="zh-CN" w:bidi="ar-SA"/>
    </w:rPr>
  </w:style>
  <w:style w:type="paragraph" w:customStyle="1" w:styleId="78">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9">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0">
    <w:name w:val="发布"/>
    <w:qFormat/>
    <w:uiPriority w:val="0"/>
    <w:rPr>
      <w:rFonts w:ascii="黑体" w:eastAsia="黑体"/>
      <w:spacing w:val="85"/>
      <w:w w:val="100"/>
      <w:position w:val="3"/>
      <w:sz w:val="28"/>
      <w:szCs w:val="28"/>
    </w:rPr>
  </w:style>
  <w:style w:type="paragraph" w:customStyle="1" w:styleId="81">
    <w:name w:val="发布部门"/>
    <w:next w:val="25"/>
    <w:qFormat/>
    <w:uiPriority w:val="0"/>
    <w:pPr>
      <w:framePr w:w="7938" w:h="1134" w:hRule="exact" w:hSpace="125" w:vSpace="181" w:wrap="around" w:vAnchor="page" w:hAnchor="page" w:x="2150" w:y="14630" w:anchorLock="1"/>
      <w:spacing w:after="160" w:line="278" w:lineRule="auto"/>
      <w:jc w:val="center"/>
    </w:pPr>
    <w:rPr>
      <w:rFonts w:ascii="宋体" w:hAnsi="Times New Roman" w:eastAsia="宋体" w:cs="Times New Roman"/>
      <w:b/>
      <w:spacing w:val="20"/>
      <w:w w:val="135"/>
      <w:sz w:val="28"/>
      <w:lang w:val="en-US" w:eastAsia="zh-CN" w:bidi="ar-SA"/>
    </w:rPr>
  </w:style>
  <w:style w:type="paragraph" w:customStyle="1" w:styleId="82">
    <w:name w:val="发布日期"/>
    <w:qFormat/>
    <w:uiPriority w:val="0"/>
    <w:pPr>
      <w:framePr w:w="3997" w:h="471" w:hRule="exact" w:vSpace="181" w:wrap="around" w:vAnchor="margin" w:hAnchor="page" w:x="7089" w:y="14097" w:anchorLock="1"/>
      <w:spacing w:after="160" w:line="278" w:lineRule="auto"/>
    </w:pPr>
    <w:rPr>
      <w:rFonts w:ascii="Times New Roman" w:hAnsi="Times New Roman" w:eastAsia="黑体" w:cs="Times New Roman"/>
      <w:sz w:val="28"/>
      <w:lang w:val="en-US" w:eastAsia="zh-CN" w:bidi="ar-SA"/>
    </w:rPr>
  </w:style>
  <w:style w:type="paragraph" w:customStyle="1" w:styleId="83">
    <w:name w:val="封面标准代替信息"/>
    <w:qFormat/>
    <w:uiPriority w:val="0"/>
    <w:pPr>
      <w:framePr w:w="9140" w:h="1242" w:hRule="exact" w:hSpace="284" w:wrap="around" w:vAnchor="page" w:hAnchor="page" w:x="1645" w:y="2910" w:anchorLock="1"/>
      <w:spacing w:before="57" w:after="160" w:line="280" w:lineRule="exact"/>
      <w:jc w:val="right"/>
    </w:pPr>
    <w:rPr>
      <w:rFonts w:ascii="宋体" w:hAnsi="Times New Roman" w:eastAsia="宋体" w:cs="Times New Roman"/>
      <w:sz w:val="21"/>
      <w:szCs w:val="21"/>
      <w:lang w:val="en-US" w:eastAsia="zh-CN" w:bidi="ar-SA"/>
    </w:rPr>
  </w:style>
  <w:style w:type="paragraph" w:customStyle="1" w:styleId="84">
    <w:name w:val="封面标准号1"/>
    <w:qFormat/>
    <w:uiPriority w:val="0"/>
    <w:pPr>
      <w:widowControl w:val="0"/>
      <w:kinsoku w:val="0"/>
      <w:overflowPunct w:val="0"/>
      <w:autoSpaceDE w:val="0"/>
      <w:autoSpaceDN w:val="0"/>
      <w:spacing w:before="308" w:after="160" w:line="278" w:lineRule="auto"/>
      <w:jc w:val="right"/>
      <w:textAlignment w:val="center"/>
    </w:pPr>
    <w:rPr>
      <w:rFonts w:ascii="Times New Roman" w:hAnsi="Times New Roman" w:eastAsia="宋体" w:cs="Times New Roman"/>
      <w:sz w:val="28"/>
      <w:lang w:val="en-US" w:eastAsia="zh-CN" w:bidi="ar-SA"/>
    </w:rPr>
  </w:style>
  <w:style w:type="paragraph" w:customStyle="1" w:styleId="85">
    <w:name w:val="封面标准名称"/>
    <w:qFormat/>
    <w:uiPriority w:val="0"/>
    <w:pPr>
      <w:framePr w:w="9639" w:h="6917" w:hRule="exact" w:wrap="around" w:vAnchor="page" w:hAnchor="page" w:xAlign="center" w:y="6408" w:anchorLock="1"/>
      <w:widowControl w:val="0"/>
      <w:spacing w:after="160" w:line="680" w:lineRule="exact"/>
      <w:jc w:val="center"/>
      <w:textAlignment w:val="center"/>
    </w:pPr>
    <w:rPr>
      <w:rFonts w:ascii="黑体" w:hAnsi="Times New Roman" w:eastAsia="黑体" w:cs="Times New Roman"/>
      <w:sz w:val="52"/>
      <w:lang w:val="en-US" w:eastAsia="zh-CN" w:bidi="ar-SA"/>
    </w:rPr>
  </w:style>
  <w:style w:type="paragraph" w:customStyle="1" w:styleId="86">
    <w:name w:val="封面标准英文名称"/>
    <w:basedOn w:val="85"/>
    <w:qFormat/>
    <w:uiPriority w:val="0"/>
    <w:pPr>
      <w:framePr w:wrap="around"/>
      <w:spacing w:before="370" w:line="400" w:lineRule="exact"/>
    </w:pPr>
    <w:rPr>
      <w:rFonts w:ascii="Times New Roman"/>
      <w:sz w:val="28"/>
      <w:szCs w:val="28"/>
    </w:rPr>
  </w:style>
  <w:style w:type="paragraph" w:customStyle="1" w:styleId="87">
    <w:name w:val="封面一致性程度标识"/>
    <w:basedOn w:val="86"/>
    <w:qFormat/>
    <w:uiPriority w:val="0"/>
    <w:pPr>
      <w:framePr w:wrap="around"/>
      <w:spacing w:before="440"/>
    </w:pPr>
    <w:rPr>
      <w:rFonts w:ascii="宋体" w:eastAsia="宋体"/>
    </w:rPr>
  </w:style>
  <w:style w:type="paragraph" w:customStyle="1" w:styleId="88">
    <w:name w:val="封面标准文稿类别"/>
    <w:basedOn w:val="87"/>
    <w:qFormat/>
    <w:uiPriority w:val="0"/>
    <w:pPr>
      <w:framePr w:wrap="around"/>
      <w:spacing w:line="240" w:lineRule="auto"/>
    </w:pPr>
    <w:rPr>
      <w:sz w:val="24"/>
    </w:rPr>
  </w:style>
  <w:style w:type="paragraph" w:customStyle="1" w:styleId="89">
    <w:name w:val="封面标准文稿编辑信息"/>
    <w:basedOn w:val="88"/>
    <w:qFormat/>
    <w:uiPriority w:val="0"/>
    <w:pPr>
      <w:framePr w:wrap="around"/>
      <w:spacing w:before="180" w:line="180" w:lineRule="exact"/>
    </w:pPr>
    <w:rPr>
      <w:sz w:val="21"/>
    </w:rPr>
  </w:style>
  <w:style w:type="paragraph" w:customStyle="1" w:styleId="90">
    <w:name w:val="封面正文"/>
    <w:qFormat/>
    <w:uiPriority w:val="0"/>
    <w:pPr>
      <w:spacing w:after="160" w:line="278" w:lineRule="auto"/>
      <w:jc w:val="both"/>
    </w:pPr>
    <w:rPr>
      <w:rFonts w:ascii="Times New Roman" w:hAnsi="Times New Roman" w:eastAsia="宋体" w:cs="Times New Roman"/>
      <w:lang w:val="en-US" w:eastAsia="zh-CN" w:bidi="ar-SA"/>
    </w:rPr>
  </w:style>
  <w:style w:type="paragraph" w:customStyle="1" w:styleId="91">
    <w:name w:val="附录标识"/>
    <w:basedOn w:val="1"/>
    <w:next w:val="25"/>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2">
    <w:name w:val="附录标题"/>
    <w:basedOn w:val="25"/>
    <w:next w:val="25"/>
    <w:qFormat/>
    <w:uiPriority w:val="0"/>
    <w:pPr>
      <w:ind w:firstLine="0" w:firstLineChars="0"/>
      <w:jc w:val="center"/>
    </w:pPr>
    <w:rPr>
      <w:rFonts w:ascii="黑体" w:eastAsia="黑体"/>
    </w:rPr>
  </w:style>
  <w:style w:type="paragraph" w:customStyle="1" w:styleId="93">
    <w:name w:val="附录表标号"/>
    <w:basedOn w:val="1"/>
    <w:next w:val="25"/>
    <w:qFormat/>
    <w:uiPriority w:val="99"/>
    <w:pPr>
      <w:numPr>
        <w:ilvl w:val="0"/>
        <w:numId w:val="11"/>
      </w:numPr>
      <w:tabs>
        <w:tab w:val="clear" w:pos="0"/>
      </w:tabs>
      <w:spacing w:line="14" w:lineRule="exact"/>
      <w:ind w:left="811" w:hanging="448"/>
      <w:jc w:val="center"/>
      <w:outlineLvl w:val="0"/>
    </w:pPr>
    <w:rPr>
      <w:color w:val="FFFFFF"/>
    </w:rPr>
  </w:style>
  <w:style w:type="paragraph" w:customStyle="1" w:styleId="94">
    <w:name w:val="附录表标题"/>
    <w:basedOn w:val="1"/>
    <w:next w:val="25"/>
    <w:qFormat/>
    <w:uiPriority w:val="99"/>
    <w:pPr>
      <w:numPr>
        <w:ilvl w:val="1"/>
        <w:numId w:val="11"/>
      </w:numPr>
      <w:tabs>
        <w:tab w:val="left" w:pos="180"/>
      </w:tabs>
      <w:spacing w:beforeLines="50" w:afterLines="50"/>
      <w:ind w:left="0" w:firstLine="0"/>
      <w:jc w:val="center"/>
    </w:pPr>
    <w:rPr>
      <w:rFonts w:ascii="黑体" w:eastAsia="黑体"/>
      <w:szCs w:val="21"/>
    </w:rPr>
  </w:style>
  <w:style w:type="paragraph" w:customStyle="1" w:styleId="95">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6">
    <w:name w:val="附录二级无"/>
    <w:basedOn w:val="95"/>
    <w:qFormat/>
    <w:uiPriority w:val="0"/>
    <w:pPr>
      <w:tabs>
        <w:tab w:val="clear" w:pos="360"/>
      </w:tabs>
      <w:spacing w:beforeLines="0" w:afterLines="0"/>
    </w:pPr>
    <w:rPr>
      <w:rFonts w:ascii="宋体" w:eastAsia="宋体"/>
      <w:szCs w:val="21"/>
    </w:rPr>
  </w:style>
  <w:style w:type="paragraph" w:customStyle="1" w:styleId="97">
    <w:name w:val="附录公式"/>
    <w:basedOn w:val="25"/>
    <w:next w:val="25"/>
    <w:link w:val="98"/>
    <w:qFormat/>
    <w:uiPriority w:val="0"/>
  </w:style>
  <w:style w:type="character" w:customStyle="1" w:styleId="98">
    <w:name w:val="附录公式 Char"/>
    <w:basedOn w:val="45"/>
    <w:link w:val="97"/>
    <w:qFormat/>
    <w:uiPriority w:val="0"/>
    <w:rPr>
      <w:rFonts w:ascii="宋体"/>
      <w:sz w:val="21"/>
      <w:lang w:val="en-US" w:eastAsia="zh-CN" w:bidi="ar-SA"/>
    </w:rPr>
  </w:style>
  <w:style w:type="paragraph" w:customStyle="1" w:styleId="99">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100">
    <w:name w:val="附录三级条标题"/>
    <w:basedOn w:val="95"/>
    <w:next w:val="25"/>
    <w:qFormat/>
    <w:uiPriority w:val="0"/>
    <w:pPr>
      <w:outlineLvl w:val="4"/>
    </w:pPr>
  </w:style>
  <w:style w:type="paragraph" w:customStyle="1" w:styleId="101">
    <w:name w:val="附录三级无"/>
    <w:basedOn w:val="100"/>
    <w:qFormat/>
    <w:uiPriority w:val="0"/>
    <w:pPr>
      <w:tabs>
        <w:tab w:val="clear" w:pos="360"/>
      </w:tabs>
      <w:spacing w:beforeLines="0" w:afterLines="0"/>
    </w:pPr>
    <w:rPr>
      <w:rFonts w:ascii="宋体" w:eastAsia="宋体"/>
      <w:szCs w:val="21"/>
    </w:rPr>
  </w:style>
  <w:style w:type="paragraph" w:customStyle="1" w:styleId="102">
    <w:name w:val="附录数字编号列项（二级）"/>
    <w:qFormat/>
    <w:uiPriority w:val="0"/>
    <w:pPr>
      <w:numPr>
        <w:ilvl w:val="1"/>
        <w:numId w:val="12"/>
      </w:numPr>
      <w:spacing w:after="160" w:line="278" w:lineRule="auto"/>
    </w:pPr>
    <w:rPr>
      <w:rFonts w:ascii="宋体" w:hAnsi="Times New Roman" w:eastAsia="宋体" w:cs="Times New Roman"/>
      <w:sz w:val="21"/>
      <w:lang w:val="en-US" w:eastAsia="zh-CN" w:bidi="ar-SA"/>
    </w:rPr>
  </w:style>
  <w:style w:type="paragraph" w:customStyle="1" w:styleId="103">
    <w:name w:val="附录四级条标题"/>
    <w:basedOn w:val="100"/>
    <w:next w:val="25"/>
    <w:qFormat/>
    <w:uiPriority w:val="0"/>
    <w:pPr>
      <w:outlineLvl w:val="5"/>
    </w:pPr>
  </w:style>
  <w:style w:type="paragraph" w:customStyle="1" w:styleId="104">
    <w:name w:val="附录四级无"/>
    <w:basedOn w:val="103"/>
    <w:qFormat/>
    <w:uiPriority w:val="0"/>
    <w:pPr>
      <w:tabs>
        <w:tab w:val="clear" w:pos="360"/>
      </w:tabs>
      <w:spacing w:beforeLines="0" w:afterLines="0"/>
    </w:pPr>
    <w:rPr>
      <w:rFonts w:ascii="宋体" w:eastAsia="宋体"/>
      <w:szCs w:val="21"/>
    </w:rPr>
  </w:style>
  <w:style w:type="paragraph" w:customStyle="1" w:styleId="105">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6">
    <w:name w:val="附录图标题"/>
    <w:basedOn w:val="1"/>
    <w:next w:val="25"/>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7">
    <w:name w:val="附录五级条标题"/>
    <w:basedOn w:val="103"/>
    <w:next w:val="25"/>
    <w:qFormat/>
    <w:uiPriority w:val="0"/>
    <w:pPr>
      <w:outlineLvl w:val="6"/>
    </w:pPr>
  </w:style>
  <w:style w:type="paragraph" w:customStyle="1" w:styleId="108">
    <w:name w:val="附录五级无"/>
    <w:basedOn w:val="107"/>
    <w:qFormat/>
    <w:uiPriority w:val="0"/>
    <w:pPr>
      <w:tabs>
        <w:tab w:val="clear" w:pos="360"/>
      </w:tabs>
      <w:spacing w:beforeLines="0" w:afterLines="0"/>
    </w:pPr>
    <w:rPr>
      <w:rFonts w:ascii="宋体" w:eastAsia="宋体"/>
      <w:szCs w:val="21"/>
    </w:rPr>
  </w:style>
  <w:style w:type="paragraph" w:customStyle="1" w:styleId="109">
    <w:name w:val="附录章标题"/>
    <w:next w:val="25"/>
    <w:qFormat/>
    <w:uiPriority w:val="0"/>
    <w:pPr>
      <w:numPr>
        <w:ilvl w:val="1"/>
        <w:numId w:val="10"/>
      </w:numPr>
      <w:tabs>
        <w:tab w:val="left" w:pos="360"/>
      </w:tabs>
      <w:wordWrap w:val="0"/>
      <w:overflowPunct w:val="0"/>
      <w:autoSpaceDE w:val="0"/>
      <w:spacing w:beforeLines="100" w:after="160" w:afterLines="100" w:line="278" w:lineRule="auto"/>
      <w:jc w:val="both"/>
      <w:textAlignment w:val="baseline"/>
      <w:outlineLvl w:val="1"/>
    </w:pPr>
    <w:rPr>
      <w:rFonts w:ascii="黑体" w:hAnsi="Times New Roman" w:eastAsia="黑体" w:cs="Times New Roman"/>
      <w:kern w:val="21"/>
      <w:sz w:val="21"/>
      <w:lang w:val="en-US" w:eastAsia="zh-CN" w:bidi="ar-SA"/>
    </w:rPr>
  </w:style>
  <w:style w:type="paragraph" w:customStyle="1" w:styleId="110">
    <w:name w:val="附录一级条标题"/>
    <w:basedOn w:val="109"/>
    <w:next w:val="25"/>
    <w:qFormat/>
    <w:uiPriority w:val="0"/>
    <w:pPr>
      <w:numPr>
        <w:ilvl w:val="2"/>
      </w:numPr>
      <w:autoSpaceDN w:val="0"/>
      <w:spacing w:beforeLines="50" w:afterLines="50"/>
      <w:outlineLvl w:val="2"/>
    </w:pPr>
  </w:style>
  <w:style w:type="paragraph" w:customStyle="1" w:styleId="111">
    <w:name w:val="附录一级无"/>
    <w:basedOn w:val="110"/>
    <w:qFormat/>
    <w:uiPriority w:val="0"/>
    <w:pPr>
      <w:tabs>
        <w:tab w:val="clear" w:pos="360"/>
      </w:tabs>
      <w:spacing w:beforeLines="0" w:afterLines="0"/>
    </w:pPr>
    <w:rPr>
      <w:rFonts w:ascii="宋体" w:eastAsia="宋体"/>
      <w:szCs w:val="21"/>
    </w:rPr>
  </w:style>
  <w:style w:type="paragraph" w:customStyle="1" w:styleId="112">
    <w:name w:val="附录字母编号列项（一级）"/>
    <w:qFormat/>
    <w:uiPriority w:val="0"/>
    <w:pPr>
      <w:numPr>
        <w:ilvl w:val="0"/>
        <w:numId w:val="12"/>
      </w:numPr>
      <w:spacing w:after="160" w:line="278" w:lineRule="auto"/>
    </w:pPr>
    <w:rPr>
      <w:rFonts w:ascii="宋体" w:hAnsi="Times New Roman" w:eastAsia="宋体" w:cs="Times New Roman"/>
      <w:sz w:val="21"/>
      <w:lang w:val="en-US" w:eastAsia="zh-CN" w:bidi="ar-SA"/>
    </w:rPr>
  </w:style>
  <w:style w:type="paragraph" w:customStyle="1" w:styleId="11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4">
    <w:name w:val="列项说明数字编号"/>
    <w:qFormat/>
    <w:uiPriority w:val="0"/>
    <w:pPr>
      <w:spacing w:after="160" w:line="278" w:lineRule="auto"/>
      <w:ind w:left="600" w:leftChars="400" w:hanging="200" w:hangingChars="200"/>
    </w:pPr>
    <w:rPr>
      <w:rFonts w:ascii="宋体" w:hAnsi="Times New Roman" w:eastAsia="宋体" w:cs="Times New Roman"/>
      <w:sz w:val="21"/>
      <w:lang w:val="en-US" w:eastAsia="zh-CN" w:bidi="ar-SA"/>
    </w:rPr>
  </w:style>
  <w:style w:type="paragraph" w:customStyle="1" w:styleId="115">
    <w:name w:val="目次、索引正文"/>
    <w:qFormat/>
    <w:uiPriority w:val="0"/>
    <w:pPr>
      <w:spacing w:after="160" w:line="320" w:lineRule="exact"/>
      <w:jc w:val="both"/>
    </w:pPr>
    <w:rPr>
      <w:rFonts w:ascii="宋体" w:hAnsi="Times New Roman" w:eastAsia="宋体" w:cs="Times New Roman"/>
      <w:sz w:val="21"/>
      <w:lang w:val="en-US" w:eastAsia="zh-CN" w:bidi="ar-SA"/>
    </w:rPr>
  </w:style>
  <w:style w:type="paragraph" w:customStyle="1" w:styleId="116">
    <w:name w:val="其他标准标志"/>
    <w:basedOn w:val="73"/>
    <w:qFormat/>
    <w:uiPriority w:val="0"/>
    <w:pPr>
      <w:framePr w:w="6101" w:wrap="around" w:vAnchor="page" w:hAnchor="page" w:x="4673" w:y="942"/>
    </w:pPr>
    <w:rPr>
      <w:w w:val="130"/>
    </w:rPr>
  </w:style>
  <w:style w:type="paragraph" w:customStyle="1" w:styleId="117">
    <w:name w:val="其他标准称谓"/>
    <w:next w:val="1"/>
    <w:qFormat/>
    <w:uiPriority w:val="0"/>
    <w:pPr>
      <w:framePr w:hSpace="181" w:vSpace="181" w:wrap="around" w:vAnchor="page" w:hAnchor="page" w:x="1419" w:y="2286" w:anchorLock="1"/>
      <w:spacing w:after="160" w:line="0" w:lineRule="atLeast"/>
      <w:jc w:val="distribute"/>
    </w:pPr>
    <w:rPr>
      <w:rFonts w:ascii="黑体" w:hAnsi="宋体" w:eastAsia="黑体" w:cs="Times New Roman"/>
      <w:spacing w:val="-40"/>
      <w:sz w:val="48"/>
      <w:szCs w:val="52"/>
      <w:lang w:val="en-US" w:eastAsia="zh-CN" w:bidi="ar-SA"/>
    </w:rPr>
  </w:style>
  <w:style w:type="paragraph" w:customStyle="1" w:styleId="118">
    <w:name w:val="其他发布部门"/>
    <w:basedOn w:val="81"/>
    <w:qFormat/>
    <w:uiPriority w:val="0"/>
    <w:pPr>
      <w:framePr w:wrap="around" w:y="15310"/>
      <w:spacing w:line="0" w:lineRule="atLeast"/>
    </w:pPr>
    <w:rPr>
      <w:rFonts w:ascii="黑体" w:eastAsia="黑体"/>
      <w:b w:val="0"/>
    </w:rPr>
  </w:style>
  <w:style w:type="paragraph" w:customStyle="1" w:styleId="119">
    <w:name w:val="前言、引言标题"/>
    <w:next w:val="25"/>
    <w:qFormat/>
    <w:uiPriority w:val="0"/>
    <w:pPr>
      <w:keepNext/>
      <w:pageBreakBefore/>
      <w:shd w:val="clear" w:color="FFFFFF" w:fill="FFFFFF"/>
      <w:spacing w:before="640" w:after="560" w:line="278" w:lineRule="auto"/>
      <w:jc w:val="center"/>
      <w:outlineLvl w:val="0"/>
    </w:pPr>
    <w:rPr>
      <w:rFonts w:ascii="黑体" w:hAnsi="Times New Roman" w:eastAsia="黑体" w:cs="Times New Roman"/>
      <w:sz w:val="32"/>
      <w:lang w:val="en-US" w:eastAsia="zh-CN" w:bidi="ar-SA"/>
    </w:rPr>
  </w:style>
  <w:style w:type="paragraph" w:customStyle="1" w:styleId="120">
    <w:name w:val="三级无"/>
    <w:basedOn w:val="58"/>
    <w:qFormat/>
    <w:uiPriority w:val="0"/>
    <w:pPr>
      <w:spacing w:beforeLines="0" w:afterLines="0"/>
    </w:pPr>
    <w:rPr>
      <w:rFonts w:ascii="宋体" w:eastAsia="宋体"/>
    </w:rPr>
  </w:style>
  <w:style w:type="paragraph" w:customStyle="1" w:styleId="121">
    <w:name w:val="实施日期"/>
    <w:basedOn w:val="82"/>
    <w:qFormat/>
    <w:uiPriority w:val="0"/>
    <w:pPr>
      <w:framePr w:wrap="around" w:vAnchor="page" w:hAnchor="text"/>
      <w:jc w:val="right"/>
    </w:pPr>
  </w:style>
  <w:style w:type="paragraph" w:customStyle="1" w:styleId="122">
    <w:name w:val="示例后文字"/>
    <w:basedOn w:val="25"/>
    <w:next w:val="25"/>
    <w:qFormat/>
    <w:uiPriority w:val="0"/>
    <w:pPr>
      <w:ind w:firstLine="360"/>
    </w:pPr>
    <w:rPr>
      <w:sz w:val="18"/>
    </w:rPr>
  </w:style>
  <w:style w:type="paragraph" w:customStyle="1" w:styleId="123">
    <w:name w:val="首示例"/>
    <w:next w:val="25"/>
    <w:link w:val="124"/>
    <w:qFormat/>
    <w:uiPriority w:val="0"/>
    <w:pPr>
      <w:numPr>
        <w:ilvl w:val="0"/>
        <w:numId w:val="14"/>
      </w:numPr>
      <w:tabs>
        <w:tab w:val="left" w:pos="360"/>
      </w:tabs>
      <w:spacing w:after="160" w:line="278" w:lineRule="auto"/>
      <w:ind w:firstLine="0"/>
    </w:pPr>
    <w:rPr>
      <w:rFonts w:ascii="宋体" w:hAnsi="宋体" w:eastAsia="宋体" w:cs="Times New Roman"/>
      <w:kern w:val="2"/>
      <w:sz w:val="18"/>
      <w:szCs w:val="18"/>
      <w:lang w:val="en-US" w:eastAsia="zh-CN" w:bidi="ar-SA"/>
    </w:rPr>
  </w:style>
  <w:style w:type="character" w:customStyle="1" w:styleId="124">
    <w:name w:val="首示例 Char"/>
    <w:link w:val="123"/>
    <w:qFormat/>
    <w:uiPriority w:val="0"/>
    <w:rPr>
      <w:rFonts w:ascii="宋体" w:hAnsi="宋体"/>
      <w:kern w:val="2"/>
      <w:sz w:val="18"/>
      <w:szCs w:val="18"/>
    </w:rPr>
  </w:style>
  <w:style w:type="paragraph" w:customStyle="1" w:styleId="125">
    <w:name w:val="四级无"/>
    <w:basedOn w:val="62"/>
    <w:qFormat/>
    <w:uiPriority w:val="0"/>
    <w:pPr>
      <w:spacing w:beforeLines="0" w:afterLines="0"/>
    </w:pPr>
    <w:rPr>
      <w:rFonts w:ascii="宋体" w:eastAsia="宋体"/>
    </w:rPr>
  </w:style>
  <w:style w:type="paragraph" w:customStyle="1" w:styleId="126">
    <w:name w:val="条文脚注"/>
    <w:basedOn w:val="26"/>
    <w:qFormat/>
    <w:uiPriority w:val="0"/>
    <w:pPr>
      <w:numPr>
        <w:numId w:val="0"/>
      </w:numPr>
      <w:jc w:val="both"/>
    </w:pPr>
  </w:style>
  <w:style w:type="paragraph" w:customStyle="1" w:styleId="127">
    <w:name w:val="图标脚注说明"/>
    <w:basedOn w:val="25"/>
    <w:qFormat/>
    <w:uiPriority w:val="0"/>
    <w:pPr>
      <w:ind w:left="840" w:hanging="420" w:firstLineChars="0"/>
    </w:pPr>
    <w:rPr>
      <w:sz w:val="18"/>
      <w:szCs w:val="18"/>
    </w:rPr>
  </w:style>
  <w:style w:type="paragraph" w:customStyle="1" w:styleId="128">
    <w:name w:val="图表脚注说明"/>
    <w:basedOn w:val="1"/>
    <w:qFormat/>
    <w:uiPriority w:val="0"/>
    <w:pPr>
      <w:numPr>
        <w:ilvl w:val="0"/>
        <w:numId w:val="15"/>
      </w:numPr>
    </w:pPr>
    <w:rPr>
      <w:rFonts w:ascii="宋体"/>
      <w:sz w:val="18"/>
      <w:szCs w:val="18"/>
    </w:rPr>
  </w:style>
  <w:style w:type="paragraph" w:customStyle="1" w:styleId="129">
    <w:name w:val="图的脚注"/>
    <w:next w:val="25"/>
    <w:qFormat/>
    <w:uiPriority w:val="0"/>
    <w:pPr>
      <w:widowControl w:val="0"/>
      <w:spacing w:after="160" w:line="278" w:lineRule="auto"/>
      <w:ind w:left="840" w:leftChars="200" w:hanging="420" w:hangingChars="200"/>
      <w:jc w:val="both"/>
    </w:pPr>
    <w:rPr>
      <w:rFonts w:ascii="宋体" w:hAnsi="Times New Roman" w:eastAsia="宋体" w:cs="Times New Roman"/>
      <w:sz w:val="18"/>
      <w:lang w:val="en-US" w:eastAsia="zh-CN" w:bidi="ar-SA"/>
    </w:rPr>
  </w:style>
  <w:style w:type="paragraph" w:customStyle="1" w:styleId="130">
    <w:name w:val="文献分类号"/>
    <w:qFormat/>
    <w:uiPriority w:val="0"/>
    <w:pPr>
      <w:framePr w:hSpace="180" w:vSpace="180" w:wrap="around" w:vAnchor="margin" w:hAnchor="margin" w:y="1" w:anchorLock="1"/>
      <w:widowControl w:val="0"/>
      <w:spacing w:after="160" w:line="278" w:lineRule="auto"/>
      <w:textAlignment w:val="center"/>
    </w:pPr>
    <w:rPr>
      <w:rFonts w:ascii="黑体" w:hAnsi="Times New Roman" w:eastAsia="黑体" w:cs="Times New Roman"/>
      <w:sz w:val="21"/>
      <w:szCs w:val="21"/>
      <w:lang w:val="en-US" w:eastAsia="zh-CN" w:bidi="ar-SA"/>
    </w:rPr>
  </w:style>
  <w:style w:type="paragraph" w:customStyle="1" w:styleId="131">
    <w:name w:val="五级无"/>
    <w:basedOn w:val="63"/>
    <w:qFormat/>
    <w:uiPriority w:val="0"/>
    <w:pPr>
      <w:spacing w:beforeLines="0" w:afterLines="0"/>
    </w:pPr>
    <w:rPr>
      <w:rFonts w:ascii="宋体" w:eastAsia="宋体"/>
    </w:rPr>
  </w:style>
  <w:style w:type="paragraph" w:customStyle="1" w:styleId="132">
    <w:name w:val="一级无"/>
    <w:basedOn w:val="46"/>
    <w:qFormat/>
    <w:uiPriority w:val="0"/>
    <w:pPr>
      <w:spacing w:beforeLines="0" w:afterLines="0"/>
    </w:pPr>
    <w:rPr>
      <w:rFonts w:ascii="宋体" w:eastAsia="宋体"/>
    </w:rPr>
  </w:style>
  <w:style w:type="paragraph" w:customStyle="1" w:styleId="133">
    <w:name w:val="正文表标题"/>
    <w:next w:val="25"/>
    <w:qFormat/>
    <w:uiPriority w:val="0"/>
    <w:pPr>
      <w:numPr>
        <w:ilvl w:val="0"/>
        <w:numId w:val="16"/>
      </w:numPr>
      <w:spacing w:beforeLines="50" w:after="160" w:afterLines="50" w:line="278" w:lineRule="auto"/>
      <w:jc w:val="center"/>
    </w:pPr>
    <w:rPr>
      <w:rFonts w:ascii="黑体" w:hAnsi="Times New Roman" w:eastAsia="黑体" w:cs="Times New Roman"/>
      <w:sz w:val="21"/>
      <w:lang w:val="en-US" w:eastAsia="zh-CN" w:bidi="ar-SA"/>
    </w:rPr>
  </w:style>
  <w:style w:type="paragraph" w:customStyle="1" w:styleId="134">
    <w:name w:val="正文公式编号制表符"/>
    <w:basedOn w:val="25"/>
    <w:next w:val="25"/>
    <w:qFormat/>
    <w:uiPriority w:val="0"/>
    <w:pPr>
      <w:ind w:firstLine="0" w:firstLineChars="0"/>
    </w:pPr>
  </w:style>
  <w:style w:type="paragraph" w:customStyle="1" w:styleId="135">
    <w:name w:val="正文图标题"/>
    <w:next w:val="25"/>
    <w:qFormat/>
    <w:uiPriority w:val="0"/>
    <w:pPr>
      <w:numPr>
        <w:ilvl w:val="0"/>
        <w:numId w:val="17"/>
      </w:numPr>
      <w:spacing w:beforeLines="50" w:after="160" w:afterLines="50" w:line="278" w:lineRule="auto"/>
      <w:jc w:val="center"/>
    </w:pPr>
    <w:rPr>
      <w:rFonts w:ascii="黑体" w:hAnsi="Times New Roman" w:eastAsia="黑体" w:cs="Times New Roman"/>
      <w:sz w:val="21"/>
      <w:lang w:val="en-US" w:eastAsia="zh-CN" w:bidi="ar-SA"/>
    </w:rPr>
  </w:style>
  <w:style w:type="paragraph" w:customStyle="1" w:styleId="136">
    <w:name w:val="终结线"/>
    <w:basedOn w:val="1"/>
    <w:qFormat/>
    <w:uiPriority w:val="0"/>
    <w:pPr>
      <w:framePr w:hSpace="181" w:vSpace="181" w:wrap="around" w:vAnchor="text" w:hAnchor="margin" w:xAlign="center" w:y="285"/>
    </w:pPr>
  </w:style>
  <w:style w:type="paragraph" w:customStyle="1" w:styleId="137">
    <w:name w:val="其他发布日期"/>
    <w:basedOn w:val="82"/>
    <w:qFormat/>
    <w:uiPriority w:val="0"/>
    <w:pPr>
      <w:framePr w:wrap="around" w:vAnchor="page" w:hAnchor="text" w:x="1419"/>
    </w:pPr>
  </w:style>
  <w:style w:type="paragraph" w:customStyle="1" w:styleId="138">
    <w:name w:val="其他实施日期"/>
    <w:basedOn w:val="121"/>
    <w:qFormat/>
    <w:uiPriority w:val="0"/>
    <w:pPr>
      <w:framePr w:wrap="around"/>
    </w:pPr>
  </w:style>
  <w:style w:type="paragraph" w:customStyle="1" w:styleId="139">
    <w:name w:val="封面标准名称2"/>
    <w:basedOn w:val="85"/>
    <w:qFormat/>
    <w:uiPriority w:val="0"/>
    <w:pPr>
      <w:framePr w:wrap="around" w:y="4469"/>
      <w:spacing w:beforeLines="630"/>
    </w:pPr>
  </w:style>
  <w:style w:type="paragraph" w:customStyle="1" w:styleId="140">
    <w:name w:val="封面标准英文名称2"/>
    <w:basedOn w:val="86"/>
    <w:qFormat/>
    <w:uiPriority w:val="0"/>
    <w:pPr>
      <w:framePr w:wrap="around" w:y="4469"/>
    </w:pPr>
  </w:style>
  <w:style w:type="paragraph" w:customStyle="1" w:styleId="141">
    <w:name w:val="封面一致性程度标识2"/>
    <w:basedOn w:val="87"/>
    <w:qFormat/>
    <w:uiPriority w:val="0"/>
    <w:pPr>
      <w:framePr w:wrap="around" w:y="4469"/>
    </w:pPr>
  </w:style>
  <w:style w:type="paragraph" w:customStyle="1" w:styleId="142">
    <w:name w:val="封面标准文稿类别2"/>
    <w:basedOn w:val="88"/>
    <w:qFormat/>
    <w:uiPriority w:val="0"/>
    <w:pPr>
      <w:framePr w:wrap="around" w:y="4469"/>
    </w:pPr>
  </w:style>
  <w:style w:type="paragraph" w:customStyle="1" w:styleId="143">
    <w:name w:val="封面标准文稿编辑信息2"/>
    <w:basedOn w:val="89"/>
    <w:qFormat/>
    <w:uiPriority w:val="0"/>
    <w:pPr>
      <w:framePr w:wrap="around" w:y="4469"/>
    </w:pPr>
  </w:style>
  <w:style w:type="character" w:customStyle="1" w:styleId="144">
    <w:name w:val="HTML 预设格式 字符"/>
    <w:basedOn w:val="38"/>
    <w:link w:val="32"/>
    <w:qFormat/>
    <w:uiPriority w:val="99"/>
    <w:rPr>
      <w:rFonts w:ascii="Arial Unicode MS" w:hAnsi="Arial Unicode MS" w:eastAsia="宋体" w:cs="Arial Unicode MS"/>
      <w:color w:val="000000"/>
      <w:spacing w:val="20"/>
      <w:w w:val="148"/>
    </w:rPr>
  </w:style>
  <w:style w:type="character" w:customStyle="1" w:styleId="145">
    <w:name w:val="正文文本 字符"/>
    <w:basedOn w:val="38"/>
    <w:link w:val="10"/>
    <w:qFormat/>
    <w:uiPriority w:val="1"/>
    <w:rPr>
      <w:rFonts w:ascii="宋体" w:hAnsi="宋体" w:cs="宋体"/>
      <w:lang w:eastAsia="en-US"/>
    </w:rPr>
  </w:style>
  <w:style w:type="character" w:customStyle="1" w:styleId="146">
    <w:name w:val="批注框文本 字符"/>
    <w:basedOn w:val="38"/>
    <w:link w:val="18"/>
    <w:qFormat/>
    <w:uiPriority w:val="0"/>
    <w:rPr>
      <w:kern w:val="2"/>
      <w:sz w:val="18"/>
      <w:szCs w:val="18"/>
    </w:rPr>
  </w:style>
  <w:style w:type="character" w:styleId="147">
    <w:name w:val="Placeholder Text"/>
    <w:basedOn w:val="38"/>
    <w:semiHidden/>
    <w:qFormat/>
    <w:uiPriority w:val="99"/>
    <w:rPr>
      <w:color w:val="808080"/>
    </w:rPr>
  </w:style>
  <w:style w:type="character" w:customStyle="1" w:styleId="148">
    <w:name w:val="批注文字 字符"/>
    <w:basedOn w:val="38"/>
    <w:link w:val="8"/>
    <w:qFormat/>
    <w:uiPriority w:val="0"/>
    <w:rPr>
      <w:kern w:val="2"/>
      <w:sz w:val="21"/>
      <w:szCs w:val="24"/>
    </w:rPr>
  </w:style>
  <w:style w:type="character" w:customStyle="1" w:styleId="149">
    <w:name w:val="批注主题 字符"/>
    <w:basedOn w:val="148"/>
    <w:link w:val="35"/>
    <w:semiHidden/>
    <w:qFormat/>
    <w:uiPriority w:val="0"/>
    <w:rPr>
      <w:b/>
      <w:bCs/>
      <w:kern w:val="2"/>
      <w:sz w:val="21"/>
      <w:szCs w:val="24"/>
    </w:rPr>
  </w:style>
  <w:style w:type="character" w:customStyle="1" w:styleId="150">
    <w:name w:val="标题 1 字符"/>
    <w:basedOn w:val="38"/>
    <w:link w:val="2"/>
    <w:qFormat/>
    <w:uiPriority w:val="0"/>
    <w:rPr>
      <w:b/>
      <w:bCs/>
      <w:kern w:val="44"/>
      <w:sz w:val="44"/>
      <w:szCs w:val="44"/>
    </w:rPr>
  </w:style>
  <w:style w:type="paragraph" w:styleId="151">
    <w:name w:val="List Paragraph"/>
    <w:basedOn w:val="1"/>
    <w:qFormat/>
    <w:uiPriority w:val="99"/>
    <w:pPr>
      <w:ind w:firstLine="420" w:firstLineChars="200"/>
    </w:pPr>
  </w:style>
  <w:style w:type="paragraph" w:customStyle="1" w:styleId="152">
    <w:name w:val="列出段落1"/>
    <w:basedOn w:val="1"/>
    <w:qFormat/>
    <w:uiPriority w:val="34"/>
    <w:pPr>
      <w:ind w:firstLine="420" w:firstLineChars="200"/>
    </w:pPr>
  </w:style>
  <w:style w:type="table" w:customStyle="1" w:styleId="153">
    <w:name w:val="网格型1"/>
    <w:basedOn w:val="36"/>
    <w:qFormat/>
    <w:uiPriority w:val="59"/>
    <w:rPr>
      <w:rFonts w:eastAsia="微软雅黑"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4">
    <w:name w:val="Table Paragraph"/>
    <w:basedOn w:val="1"/>
    <w:qFormat/>
    <w:uiPriority w:val="1"/>
    <w:pPr>
      <w:autoSpaceDE w:val="0"/>
      <w:autoSpaceDN w:val="0"/>
      <w:spacing w:before="21"/>
      <w:jc w:val="center"/>
    </w:pPr>
    <w:rPr>
      <w:rFonts w:ascii="宋体" w:hAnsi="宋体" w:cs="宋体"/>
      <w:kern w:val="0"/>
      <w:sz w:val="22"/>
      <w:szCs w:val="22"/>
      <w:lang w:eastAsia="en-US"/>
    </w:rPr>
  </w:style>
  <w:style w:type="character" w:customStyle="1" w:styleId="155">
    <w:name w:val="font31"/>
    <w:basedOn w:val="38"/>
    <w:qFormat/>
    <w:uiPriority w:val="0"/>
    <w:rPr>
      <w:rFonts w:hint="default" w:ascii="Times New Roman" w:hAnsi="Times New Roman" w:cs="Times New Roman"/>
      <w:color w:val="FF0000"/>
      <w:sz w:val="18"/>
      <w:szCs w:val="18"/>
      <w:u w:val="none"/>
    </w:rPr>
  </w:style>
  <w:style w:type="character" w:customStyle="1" w:styleId="156">
    <w:name w:val="font41"/>
    <w:basedOn w:val="38"/>
    <w:qFormat/>
    <w:uiPriority w:val="0"/>
    <w:rPr>
      <w:rFonts w:hint="eastAsia" w:ascii="宋体" w:hAnsi="宋体" w:eastAsia="宋体" w:cs="宋体"/>
      <w:color w:val="FF0000"/>
      <w:sz w:val="18"/>
      <w:szCs w:val="18"/>
      <w:u w:val="none"/>
    </w:rPr>
  </w:style>
  <w:style w:type="character" w:customStyle="1" w:styleId="157">
    <w:name w:val="font21"/>
    <w:basedOn w:val="38"/>
    <w:qFormat/>
    <w:uiPriority w:val="0"/>
    <w:rPr>
      <w:rFonts w:hint="eastAsia" w:ascii="宋体" w:hAnsi="宋体" w:eastAsia="宋体" w:cs="宋体"/>
      <w:color w:val="000000"/>
      <w:sz w:val="18"/>
      <w:szCs w:val="18"/>
      <w:u w:val="none"/>
    </w:rPr>
  </w:style>
  <w:style w:type="character" w:customStyle="1" w:styleId="158">
    <w:name w:val="font11"/>
    <w:basedOn w:val="38"/>
    <w:qFormat/>
    <w:uiPriority w:val="0"/>
    <w:rPr>
      <w:rFonts w:hint="default" w:ascii="Times New Roman" w:hAnsi="Times New Roman" w:cs="Times New Roman"/>
      <w:color w:val="000000"/>
      <w:sz w:val="18"/>
      <w:szCs w:val="18"/>
      <w:u w:val="none"/>
    </w:rPr>
  </w:style>
  <w:style w:type="character" w:customStyle="1" w:styleId="159">
    <w:name w:val="font51"/>
    <w:basedOn w:val="38"/>
    <w:qFormat/>
    <w:uiPriority w:val="0"/>
    <w:rPr>
      <w:rFonts w:hint="eastAsia" w:ascii="宋体" w:hAnsi="宋体" w:eastAsia="宋体" w:cs="宋体"/>
      <w:color w:val="000000"/>
      <w:sz w:val="18"/>
      <w:szCs w:val="18"/>
      <w:u w:val="none"/>
    </w:rPr>
  </w:style>
  <w:style w:type="character" w:customStyle="1" w:styleId="160">
    <w:name w:val="font61"/>
    <w:basedOn w:val="38"/>
    <w:qFormat/>
    <w:uiPriority w:val="0"/>
    <w:rPr>
      <w:rFonts w:hint="default" w:ascii="Times New Roman" w:hAnsi="Times New Roman" w:cs="Times New Roman"/>
      <w:color w:val="000000"/>
      <w:sz w:val="18"/>
      <w:szCs w:val="18"/>
      <w:u w:val="none"/>
    </w:rPr>
  </w:style>
  <w:style w:type="table" w:customStyle="1" w:styleId="161">
    <w:name w:val="网格型2"/>
    <w:basedOn w:val="3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2">
    <w:name w:val="修订1"/>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163">
    <w:name w:val="纯文本 字符"/>
    <w:basedOn w:val="38"/>
    <w:link w:val="14"/>
    <w:qFormat/>
    <w:uiPriority w:val="0"/>
    <w:rPr>
      <w:rFonts w:ascii="宋体" w:hAnsi="Courier New" w:cs="Courier New"/>
      <w:kern w:val="2"/>
      <w:sz w:val="21"/>
      <w:szCs w:val="21"/>
    </w:rPr>
  </w:style>
  <w:style w:type="paragraph" w:customStyle="1" w:styleId="164">
    <w:name w:val="修订2"/>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165">
    <w:name w:val="Revision"/>
    <w:hidden/>
    <w:unhideWhenUsed/>
    <w:uiPriority w:val="99"/>
    <w:pPr>
      <w:spacing w:after="0" w:line="240" w:lineRule="auto"/>
    </w:pPr>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3675</Words>
  <Characters>5693</Characters>
  <Lines>24</Lines>
  <Paragraphs>13</Paragraphs>
  <TotalTime>367</TotalTime>
  <ScaleCrop>false</ScaleCrop>
  <LinksUpToDate>false</LinksUpToDate>
  <CharactersWithSpaces>5938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2023-05-19T03:32:00Z</dcterms:created>
  <dc:creator>User</dc:creator>
  <cp:lastModifiedBy>ma yuan</cp:lastModifiedBy>
  <dcterms:modified xsi:type="dcterms:W3CDTF">2025-04-14T01:52:46Z</dcterms:modified>
  <dc:title>标准名称</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0D3F4182238C45288993CE698D2E8808</vt:lpwstr>
  </property>
  <property fmtid="{D5CDD505-2E9C-101B-9397-08002B2CF9AE}" pid="4" name="KSOTemplateDocerSaveRecord">
    <vt:lpwstr>eyJoZGlkIjoiYThkN2NjNTA0ZDhlYjRiOGI0MDBhNGIzMWU1YTkwMzIiLCJ1c2VySWQiOiIzMzcyOTAwNTkifQ==</vt:lpwstr>
  </property>
</Properties>
</file>