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4123">
      <w:pPr>
        <w:pStyle w:val="99"/>
        <w:framePr w:w="0" w:hRule="auto" w:wrap="around" w:x="1590" w:y="2356"/>
        <w:rPr>
          <w:rFonts w:ascii="Times New Roman"/>
          <w:color w:val="000000"/>
          <w:szCs w:val="48"/>
        </w:rPr>
      </w:pPr>
      <w:r>
        <w:rPr>
          <w:rFonts w:ascii="Times New Roman"/>
          <w:color w:val="000000"/>
        </w:rPr>
        <w:t>团体标准</w:t>
      </w:r>
    </w:p>
    <w:p w14:paraId="3F94D8AD">
      <w:pPr>
        <w:pStyle w:val="80"/>
        <w:framePr w:wrap="around"/>
        <w:pBdr>
          <w:bottom w:val="single" w:color="auto" w:sz="4" w:space="1"/>
        </w:pBdr>
        <w:wordWrap w:val="0"/>
        <w:rPr>
          <w:rFonts w:ascii="Times New Roman" w:eastAsia="宋体"/>
        </w:rPr>
      </w:pPr>
      <w:r>
        <w:rPr>
          <w:rFonts w:ascii="Times New Roman" w:eastAsia="宋体"/>
        </w:rPr>
        <w:t>T/SSEA XXXX—XXXX</w:t>
      </w:r>
    </w:p>
    <w:p w14:paraId="70A31C4C">
      <w:pPr>
        <w:pStyle w:val="80"/>
        <w:framePr w:wrap="around"/>
        <w:rPr>
          <w:rFonts w:ascii="Times New Roman" w:eastAsia="宋体"/>
        </w:rPr>
      </w:pPr>
    </w:p>
    <w:p w14:paraId="24ACCE1A">
      <w:pPr>
        <w:pStyle w:val="80"/>
        <w:framePr w:wrap="around"/>
        <w:rPr>
          <w:rFonts w:ascii="Times New Roman" w:eastAsia="宋体"/>
        </w:rPr>
      </w:pPr>
    </w:p>
    <w:p w14:paraId="79131C2E">
      <w:pPr>
        <w:pStyle w:val="70"/>
        <w:framePr w:wrap="around" w:x="1453" w:y="5557"/>
        <w:rPr>
          <w:rFonts w:ascii="Times New Roman"/>
          <w:color w:val="auto"/>
          <w:sz w:val="44"/>
          <w:szCs w:val="16"/>
        </w:rPr>
      </w:pPr>
      <w:bookmarkStart w:id="0" w:name="_Hlk135387942"/>
      <w:r>
        <w:rPr>
          <w:rFonts w:hint="eastAsia" w:ascii="Times New Roman"/>
          <w:color w:val="auto"/>
          <w:sz w:val="44"/>
          <w:szCs w:val="16"/>
        </w:rPr>
        <w:t>汽车高强度轮辐用热轧钢板及钢带</w:t>
      </w:r>
    </w:p>
    <w:bookmarkEnd w:id="0"/>
    <w:p w14:paraId="4DED80E1">
      <w:pPr>
        <w:keepNext w:val="0"/>
        <w:keepLines w:val="0"/>
        <w:framePr w:wrap="around" w:vAnchor="margin" w:hAnchor="text" w:x="1453" w:y="5557"/>
        <w:widowControl/>
        <w:suppressLineNumbers w:val="0"/>
        <w:pBdr>
          <w:top w:val="none" w:color="auto" w:sz="0" w:space="0"/>
          <w:left w:val="none" w:color="auto" w:sz="0" w:space="0"/>
          <w:bottom w:val="none" w:color="auto" w:sz="0" w:space="0"/>
          <w:right w:val="none" w:color="auto" w:sz="0" w:space="0"/>
        </w:pBdr>
        <w:jc w:val="left"/>
        <w:rPr>
          <w:color w:val="auto"/>
        </w:rPr>
      </w:pPr>
      <w:r>
        <w:rPr>
          <w:rFonts w:ascii="Times New Roman" w:eastAsia="仿宋_GB2312"/>
          <w:color w:val="auto"/>
        </w:rPr>
        <w:t xml:space="preserve">Hot rolled steel </w:t>
      </w:r>
      <w:r>
        <w:rPr>
          <w:rFonts w:hint="eastAsia" w:ascii="Times New Roman" w:eastAsia="仿宋_GB2312"/>
          <w:color w:val="auto"/>
          <w:lang w:val="en-US" w:eastAsia="zh-CN"/>
        </w:rPr>
        <w:t>plates and strips</w:t>
      </w:r>
      <w:r>
        <w:rPr>
          <w:rFonts w:ascii="Times New Roman" w:eastAsia="仿宋_GB2312"/>
          <w:color w:val="auto"/>
        </w:rPr>
        <w:t xml:space="preserve"> for </w:t>
      </w:r>
      <w:r>
        <w:rPr>
          <w:rFonts w:hint="eastAsia" w:ascii="Times New Roman" w:eastAsia="仿宋_GB2312"/>
          <w:color w:val="auto"/>
          <w:lang w:val="en-US" w:eastAsia="zh-CN"/>
        </w:rPr>
        <w:t xml:space="preserve">high-strength automotive </w:t>
      </w:r>
      <w:r>
        <w:rPr>
          <w:rFonts w:hint="default" w:ascii="Times New Roman" w:eastAsia="仿宋_GB2312"/>
          <w:color w:val="auto"/>
          <w:lang w:val="en-US" w:eastAsia="zh-CN"/>
        </w:rPr>
        <w:t>wheel spoke</w:t>
      </w:r>
    </w:p>
    <w:p w14:paraId="7665D58B">
      <w:pPr>
        <w:pStyle w:val="111"/>
        <w:framePr w:wrap="around" w:hAnchor="page" w:x="1175" w:y="14086"/>
        <w:rPr>
          <w:rFonts w:eastAsia="宋体"/>
        </w:rPr>
      </w:pPr>
      <w:bookmarkStart w:id="1" w:name="FM"/>
      <w:r>
        <w:rPr>
          <w:rFonts w:eastAsia="宋体"/>
        </w:rPr>
        <w:t>XXXX-</w:t>
      </w:r>
      <w:bookmarkEnd w:id="1"/>
      <w:r>
        <w:rPr>
          <w:rFonts w:eastAsia="宋体"/>
        </w:rPr>
        <w:t>XX-XX</w:t>
      </w:r>
      <w:r>
        <w:t>发布</w:t>
      </w:r>
    </w:p>
    <w:p w14:paraId="41C8939C">
      <w:pPr>
        <w:pStyle w:val="142"/>
        <w:framePr w:wrap="around" w:hAnchor="page" w:x="6661" w:y="14041"/>
      </w:pPr>
      <w:r>
        <w:rPr>
          <w:rFonts w:eastAsia="宋体"/>
        </w:rPr>
        <w:t>XXXX-XX-XX</w:t>
      </w:r>
      <w:r>
        <w:t>实施</w:t>
      </w:r>
    </w:p>
    <w:p w14:paraId="57AF49E5">
      <w:pPr>
        <w:pStyle w:val="134"/>
        <w:framePr w:wrap="around" w:x="2156" w:y="15196"/>
        <w:rPr>
          <w:rFonts w:ascii="Times New Roman"/>
        </w:rPr>
      </w:pPr>
      <w:r>
        <w:rPr>
          <w:rFonts w:ascii="Times New Roman"/>
          <w:sz w:val="36"/>
          <w:szCs w:val="36"/>
        </w:rPr>
        <w:t>中国特钢企业协会</w:t>
      </w:r>
      <w:r>
        <w:rPr>
          <w:rFonts w:ascii="Times New Roman"/>
        </w:rPr>
        <w:t>发布</w:t>
      </w:r>
    </w:p>
    <w:p w14:paraId="7224E42A">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1839E358">
      <w:pPr>
        <w:pStyle w:val="23"/>
        <w:spacing w:line="340" w:lineRule="exact"/>
        <w:rPr>
          <w:rFonts w:ascii="Times New Roman"/>
        </w:rPr>
      </w:pPr>
      <w:r>
        <w:rPr>
          <w:rFonts w:ascii="Times New Roman"/>
        </w:rPr>
        <w:t>CCS H 46</w:t>
      </w:r>
    </w:p>
    <w:p w14:paraId="338E6FC5">
      <w:pPr>
        <w:pStyle w:val="23"/>
        <w:spacing w:line="340" w:lineRule="exact"/>
        <w:rPr>
          <w:rFonts w:ascii="Times New Roman"/>
        </w:rPr>
      </w:pPr>
    </w:p>
    <w:p w14:paraId="3C47A224">
      <w:pPr>
        <w:jc w:val="center"/>
        <w:rPr>
          <w:spacing w:val="20"/>
          <w:sz w:val="28"/>
          <w:szCs w:val="28"/>
        </w:rPr>
      </w:pPr>
    </w:p>
    <w:p w14:paraId="0A2BC6E0">
      <w:pPr>
        <w:jc w:val="center"/>
        <w:rPr>
          <w:spacing w:val="20"/>
          <w:sz w:val="28"/>
          <w:szCs w:val="28"/>
        </w:rPr>
      </w:pPr>
    </w:p>
    <w:p w14:paraId="0EF8F98B">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wp:start x="0" y="0"/>
                    <wp:lineTo x="0" y="21600"/>
                    <wp:lineTo x="21600" y="21600"/>
                    <wp:lineTo x="21600" y="0"/>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DwK9SbJAQAAnwMAAA4AAAAAAAAAAQAgAAAAJgEAAGRy&#10;cy9lMm9Eb2MueG1sUEsFBgAAAAAGAAYAWQEAAGEFAAAAAA==&#10;">
                <v:fill on="f" focussize="0,0"/>
                <v:stroke color="#000000" joinstyle="round"/>
                <v:imagedata o:title=""/>
                <o:lock v:ext="edit" aspectratio="f"/>
                <w10:wrap type="tight"/>
              </v:line>
            </w:pict>
          </mc:Fallback>
        </mc:AlternateContent>
      </w:r>
    </w:p>
    <w:p w14:paraId="271415D8">
      <w:pPr>
        <w:jc w:val="center"/>
        <w:rPr>
          <w:b/>
          <w:sz w:val="32"/>
        </w:rPr>
        <w:sectPr>
          <w:headerReference r:id="rId4" w:type="first"/>
          <w:footerReference r:id="rId5" w:type="first"/>
          <w:headerReference r:id="rId3" w:type="default"/>
          <w:pgSz w:w="11906" w:h="16838"/>
          <w:pgMar w:top="1134" w:right="1134" w:bottom="1134" w:left="1418" w:header="851" w:footer="992" w:gutter="0"/>
          <w:pgNumType w:start="0"/>
          <w:cols w:space="720" w:num="1"/>
          <w:docGrid w:type="lines" w:linePitch="312" w:charSpace="0"/>
        </w:sectPr>
      </w:pPr>
    </w:p>
    <w:p w14:paraId="3B375A53">
      <w:pPr>
        <w:pStyle w:val="83"/>
        <w:rPr>
          <w:rFonts w:ascii="Times New Roman"/>
        </w:rPr>
      </w:pPr>
      <w:bookmarkStart w:id="2" w:name="_Toc520380389"/>
      <w:r>
        <w:rPr>
          <w:rFonts w:ascii="Times New Roman"/>
        </w:rPr>
        <w:t>前言</w:t>
      </w:r>
      <w:bookmarkEnd w:id="2"/>
    </w:p>
    <w:p w14:paraId="33EA7F56">
      <w:pPr>
        <w:widowControl/>
        <w:tabs>
          <w:tab w:val="center" w:pos="4201"/>
          <w:tab w:val="right" w:leader="dot" w:pos="9298"/>
        </w:tabs>
        <w:autoSpaceDE w:val="0"/>
        <w:autoSpaceDN w:val="0"/>
        <w:ind w:firstLine="420" w:firstLineChars="200"/>
        <w:rPr>
          <w:kern w:val="0"/>
          <w:szCs w:val="20"/>
        </w:rPr>
      </w:pPr>
      <w:r>
        <w:rPr>
          <w:kern w:val="0"/>
          <w:szCs w:val="20"/>
        </w:rPr>
        <w:t>本文件按照GB/T 1.1-2020《标准化工作导则第1部分：标准化文件的结构和起草规则》的规定起草。</w:t>
      </w:r>
    </w:p>
    <w:p w14:paraId="64869FA3">
      <w:pPr>
        <w:widowControl/>
        <w:tabs>
          <w:tab w:val="center" w:pos="4201"/>
          <w:tab w:val="right" w:leader="dot" w:pos="9298"/>
        </w:tabs>
        <w:autoSpaceDE w:val="0"/>
        <w:autoSpaceDN w:val="0"/>
        <w:ind w:firstLine="420" w:firstLineChars="200"/>
        <w:rPr>
          <w:kern w:val="0"/>
          <w:szCs w:val="20"/>
        </w:rPr>
      </w:pPr>
      <w:r>
        <w:rPr>
          <w:kern w:val="0"/>
          <w:szCs w:val="20"/>
        </w:rPr>
        <w:t>请注意本文件的某些内容可能涉及专利。本文件的发布机构不承担识别专利的责任。</w:t>
      </w:r>
    </w:p>
    <w:p w14:paraId="11E46E01">
      <w:pPr>
        <w:widowControl/>
        <w:tabs>
          <w:tab w:val="center" w:pos="4201"/>
          <w:tab w:val="right" w:leader="dot" w:pos="9298"/>
        </w:tabs>
        <w:autoSpaceDE w:val="0"/>
        <w:autoSpaceDN w:val="0"/>
        <w:ind w:firstLine="420" w:firstLineChars="200"/>
        <w:rPr>
          <w:kern w:val="0"/>
          <w:szCs w:val="20"/>
        </w:rPr>
      </w:pPr>
      <w:r>
        <w:rPr>
          <w:kern w:val="0"/>
          <w:szCs w:val="20"/>
        </w:rPr>
        <w:t>本文件由中国特钢企业协会团体标准化工作委员会提出并归口。</w:t>
      </w:r>
    </w:p>
    <w:p w14:paraId="279B3B02">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22295AD7">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r>
        <w:t>本文件主要起草人：</w:t>
      </w:r>
    </w:p>
    <w:p w14:paraId="4591562F">
      <w:pPr>
        <w:pStyle w:val="60"/>
        <w:keepNext/>
        <w:keepLines w:val="0"/>
        <w:pageBreakBefore/>
        <w:widowControl/>
        <w:kinsoku/>
        <w:wordWrap/>
        <w:overflowPunct/>
        <w:topLinePunct w:val="0"/>
        <w:autoSpaceDE/>
        <w:autoSpaceDN/>
        <w:bidi w:val="0"/>
        <w:adjustRightInd/>
        <w:snapToGrid/>
        <w:spacing w:before="313" w:beforeLines="100" w:after="625" w:afterLines="200" w:line="240" w:lineRule="auto"/>
        <w:textAlignment w:val="auto"/>
        <w:rPr>
          <w:rFonts w:ascii="Times New Roman"/>
          <w:color w:val="auto"/>
        </w:rPr>
      </w:pPr>
      <w:bookmarkStart w:id="3" w:name="_Hlk155354996"/>
      <w:r>
        <w:rPr>
          <w:rFonts w:hint="eastAsia" w:ascii="Times New Roman"/>
          <w:color w:val="auto"/>
        </w:rPr>
        <w:t>汽车高强度轮辐用热轧钢板及钢带</w:t>
      </w:r>
    </w:p>
    <w:bookmarkEnd w:id="3"/>
    <w:p w14:paraId="4CA7D577">
      <w:pPr>
        <w:widowControl/>
        <w:numPr>
          <w:ilvl w:val="0"/>
          <w:numId w:val="3"/>
        </w:numPr>
        <w:spacing w:before="156" w:beforeLines="50" w:after="156" w:afterLines="50"/>
        <w:outlineLvl w:val="1"/>
      </w:pPr>
      <w:bookmarkStart w:id="4" w:name="_Toc129684139"/>
      <w:r>
        <w:rPr>
          <w:rFonts w:eastAsia="黑体"/>
          <w:kern w:val="0"/>
          <w:szCs w:val="20"/>
        </w:rPr>
        <w:t>范围</w:t>
      </w:r>
      <w:bookmarkEnd w:id="4"/>
    </w:p>
    <w:p w14:paraId="42C9375B">
      <w:pPr>
        <w:pStyle w:val="23"/>
        <w:rPr>
          <w:rFonts w:ascii="Times New Roman"/>
        </w:rPr>
      </w:pPr>
      <w:bookmarkStart w:id="5" w:name="_Toc520380392"/>
      <w:r>
        <w:rPr>
          <w:rFonts w:ascii="Times New Roman"/>
        </w:rPr>
        <w:t>本文件规定了</w:t>
      </w:r>
      <w:r>
        <w:rPr>
          <w:rFonts w:ascii="Times New Roman"/>
          <w:color w:val="000000"/>
        </w:rPr>
        <w:t>汽车用高强度</w:t>
      </w:r>
      <w:r>
        <w:rPr>
          <w:rFonts w:hint="eastAsia" w:ascii="Times New Roman"/>
          <w:color w:val="000000"/>
          <w:highlight w:val="none"/>
          <w:lang w:val="en-US" w:eastAsia="zh-CN"/>
        </w:rPr>
        <w:t>轮辐</w:t>
      </w:r>
      <w:r>
        <w:rPr>
          <w:rFonts w:ascii="Times New Roman"/>
          <w:color w:val="000000"/>
        </w:rPr>
        <w:t>钢</w:t>
      </w:r>
      <w:r>
        <w:rPr>
          <w:rFonts w:ascii="Times New Roman"/>
        </w:rPr>
        <w:t>热轧钢板</w:t>
      </w:r>
      <w:r>
        <w:rPr>
          <w:rFonts w:hint="eastAsia" w:ascii="Times New Roman"/>
          <w:lang w:val="en-US" w:eastAsia="zh-CN"/>
        </w:rPr>
        <w:t>及钢带</w:t>
      </w:r>
      <w:r>
        <w:rPr>
          <w:rFonts w:ascii="Times New Roman"/>
        </w:rPr>
        <w:t>的</w:t>
      </w:r>
      <w:bookmarkStart w:id="6" w:name="_Hlk155354315"/>
      <w:r>
        <w:rPr>
          <w:rFonts w:ascii="Times New Roman"/>
        </w:rPr>
        <w:t>分类及代号、订货内容、</w:t>
      </w:r>
      <w:r>
        <w:rPr>
          <w:rFonts w:ascii="Times New Roman"/>
          <w:color w:val="auto"/>
        </w:rPr>
        <w:t>尺寸、外形、重量、技术要求、试验方法、检验规则、包装、标志和质量证明</w:t>
      </w:r>
      <w:r>
        <w:rPr>
          <w:rFonts w:ascii="Times New Roman"/>
        </w:rPr>
        <w:t>书</w:t>
      </w:r>
      <w:bookmarkEnd w:id="6"/>
      <w:r>
        <w:rPr>
          <w:rFonts w:ascii="Times New Roman"/>
        </w:rPr>
        <w:t>。</w:t>
      </w:r>
    </w:p>
    <w:p w14:paraId="4795317D">
      <w:pPr>
        <w:pStyle w:val="23"/>
        <w:rPr>
          <w:rFonts w:ascii="Times New Roman"/>
          <w:color w:val="auto"/>
          <w:highlight w:val="none"/>
        </w:rPr>
      </w:pPr>
      <w:bookmarkStart w:id="7" w:name="_Hlk155354327"/>
      <w:r>
        <w:rPr>
          <w:rFonts w:ascii="Times New Roman"/>
        </w:rPr>
        <w:t>本文件适用于厚度</w:t>
      </w:r>
      <w:r>
        <w:rPr>
          <w:rFonts w:ascii="Times New Roman"/>
          <w:color w:val="auto"/>
        </w:rPr>
        <w:t>为3.0mm</w:t>
      </w:r>
      <w:r>
        <w:rPr>
          <w:rFonts w:hint="eastAsia" w:ascii="仿宋_GB2312" w:hAnsi="仿宋_GB2312" w:eastAsia="仿宋_GB2312" w:cs="仿宋_GB2312"/>
          <w:color w:val="auto"/>
        </w:rPr>
        <w:t>～</w:t>
      </w:r>
      <w:r>
        <w:rPr>
          <w:rFonts w:hint="eastAsia" w:ascii="Times New Roman"/>
          <w:color w:val="auto"/>
          <w:lang w:val="en-US" w:eastAsia="zh-CN"/>
        </w:rPr>
        <w:t>25.4</w:t>
      </w:r>
      <w:r>
        <w:rPr>
          <w:rFonts w:ascii="Times New Roman"/>
          <w:color w:val="auto"/>
        </w:rPr>
        <w:t>mm</w:t>
      </w:r>
      <w:r>
        <w:rPr>
          <w:rFonts w:ascii="Times New Roman"/>
        </w:rPr>
        <w:t>的</w:t>
      </w:r>
      <w:r>
        <w:rPr>
          <w:rFonts w:ascii="Times New Roman"/>
          <w:color w:val="000000"/>
        </w:rPr>
        <w:t>汽车用高强度</w:t>
      </w:r>
      <w:r>
        <w:rPr>
          <w:rFonts w:hint="eastAsia" w:ascii="Times New Roman"/>
          <w:color w:val="000000"/>
          <w:highlight w:val="none"/>
          <w:lang w:val="en-US" w:eastAsia="zh-CN"/>
        </w:rPr>
        <w:t>轮辐</w:t>
      </w:r>
      <w:r>
        <w:rPr>
          <w:rFonts w:ascii="Times New Roman"/>
          <w:color w:val="000000"/>
        </w:rPr>
        <w:t>钢热轧钢板</w:t>
      </w:r>
      <w:r>
        <w:rPr>
          <w:rFonts w:hint="eastAsia" w:ascii="Times New Roman"/>
          <w:color w:val="000000"/>
          <w:lang w:val="en-US" w:eastAsia="zh-CN"/>
        </w:rPr>
        <w:t>及钢带</w:t>
      </w:r>
      <w:r>
        <w:rPr>
          <w:rFonts w:ascii="Times New Roman"/>
          <w:color w:val="auto"/>
          <w:highlight w:val="none"/>
        </w:rPr>
        <w:t>（以下简称钢板</w:t>
      </w:r>
      <w:r>
        <w:rPr>
          <w:rFonts w:hint="eastAsia" w:ascii="Times New Roman"/>
          <w:color w:val="auto"/>
          <w:highlight w:val="none"/>
          <w:lang w:val="en-US" w:eastAsia="zh-CN"/>
        </w:rPr>
        <w:t>及钢带</w:t>
      </w:r>
      <w:r>
        <w:rPr>
          <w:rFonts w:ascii="Times New Roman"/>
          <w:color w:val="auto"/>
          <w:highlight w:val="none"/>
        </w:rPr>
        <w:t>）</w:t>
      </w:r>
      <w:bookmarkEnd w:id="7"/>
      <w:r>
        <w:rPr>
          <w:rFonts w:ascii="Times New Roman"/>
          <w:color w:val="auto"/>
          <w:highlight w:val="none"/>
        </w:rPr>
        <w:t>。</w:t>
      </w:r>
      <w:bookmarkEnd w:id="5"/>
    </w:p>
    <w:p w14:paraId="18943174">
      <w:pPr>
        <w:widowControl/>
        <w:numPr>
          <w:ilvl w:val="0"/>
          <w:numId w:val="3"/>
        </w:numPr>
        <w:spacing w:before="156" w:beforeLines="50" w:after="156" w:afterLines="50"/>
        <w:outlineLvl w:val="1"/>
        <w:rPr>
          <w:rFonts w:eastAsia="黑体"/>
          <w:color w:val="auto"/>
          <w:kern w:val="0"/>
          <w:szCs w:val="20"/>
          <w:highlight w:val="none"/>
        </w:rPr>
      </w:pPr>
      <w:bookmarkStart w:id="8" w:name="_Toc520380393"/>
      <w:r>
        <w:rPr>
          <w:rFonts w:eastAsia="黑体"/>
          <w:color w:val="auto"/>
          <w:kern w:val="0"/>
          <w:szCs w:val="20"/>
          <w:highlight w:val="none"/>
        </w:rPr>
        <w:t>规范性引用文件</w:t>
      </w:r>
    </w:p>
    <w:p w14:paraId="46EC5979">
      <w:pPr>
        <w:ind w:firstLine="420" w:firstLineChars="200"/>
        <w:rPr>
          <w:rFonts w:eastAsiaTheme="minorEastAsia"/>
        </w:rPr>
      </w:pPr>
      <w:r>
        <w:rPr>
          <w:rFonts w:eastAsiaTheme="minorEastAsia"/>
        </w:rP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8"/>
    <w:p w14:paraId="735BE5BB">
      <w:pPr>
        <w:ind w:firstLine="420" w:firstLineChars="200"/>
        <w:rPr>
          <w:rFonts w:eastAsiaTheme="minorEastAsia"/>
        </w:rPr>
      </w:pPr>
      <w:bookmarkStart w:id="9" w:name="_Toc520380394"/>
      <w:r>
        <w:rPr>
          <w:rFonts w:eastAsiaTheme="minorEastAsia"/>
        </w:rPr>
        <w:t>GB/T 222　钢的成品化学成分允许偏差</w:t>
      </w:r>
    </w:p>
    <w:p w14:paraId="50204282">
      <w:pPr>
        <w:ind w:firstLine="420" w:firstLineChars="200"/>
        <w:rPr>
          <w:rFonts w:eastAsiaTheme="minorEastAsia"/>
        </w:rPr>
      </w:pPr>
      <w:r>
        <w:rPr>
          <w:rFonts w:hint="default" w:ascii="Times New Roman" w:hAnsi="Times New Roman" w:cs="Times New Roman"/>
          <w:color w:val="auto"/>
          <w:szCs w:val="21"/>
        </w:rPr>
        <w:t>GB/T 223</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所有部分</w:t>
      </w:r>
      <w:r>
        <w:rPr>
          <w:rFonts w:hint="default" w:ascii="Times New Roman" w:hAnsi="Times New Roman" w:cs="Times New Roman"/>
          <w:color w:val="auto"/>
          <w:szCs w:val="21"/>
          <w:lang w:eastAsia="zh-CN"/>
        </w:rPr>
        <w:t>）</w:t>
      </w:r>
      <w:r>
        <w:rPr>
          <w:rFonts w:eastAsiaTheme="minorEastAsia"/>
        </w:rPr>
        <w:t>　</w:t>
      </w:r>
      <w:r>
        <w:rPr>
          <w:rFonts w:hint="default" w:ascii="Times New Roman" w:hAnsi="Times New Roman" w:cs="Times New Roman"/>
          <w:color w:val="auto"/>
          <w:szCs w:val="21"/>
          <w:lang w:val="en-US" w:eastAsia="zh-CN"/>
        </w:rPr>
        <w:t>钢铁及合金化学分析方法</w:t>
      </w:r>
    </w:p>
    <w:p w14:paraId="3718FAC1">
      <w:pPr>
        <w:ind w:firstLine="420" w:firstLineChars="200"/>
        <w:rPr>
          <w:rFonts w:eastAsiaTheme="minorEastAsia"/>
        </w:rPr>
      </w:pPr>
      <w:r>
        <w:rPr>
          <w:rFonts w:eastAsiaTheme="minorEastAsia"/>
        </w:rPr>
        <w:t>GB/T 228.1　金属材料　拉伸试验　第1部分：室温试验方法</w:t>
      </w:r>
    </w:p>
    <w:p w14:paraId="23E8323F">
      <w:pPr>
        <w:ind w:firstLine="420" w:firstLineChars="200"/>
        <w:rPr>
          <w:rFonts w:eastAsiaTheme="minorEastAsia"/>
        </w:rPr>
      </w:pPr>
      <w:r>
        <w:rPr>
          <w:rFonts w:eastAsiaTheme="minorEastAsia"/>
        </w:rPr>
        <w:t>GB/T 232　金属材料　弯曲试验方法</w:t>
      </w:r>
    </w:p>
    <w:p w14:paraId="100D6E34">
      <w:pPr>
        <w:ind w:firstLine="420" w:firstLineChars="200"/>
        <w:rPr>
          <w:rFonts w:eastAsiaTheme="minorEastAsia"/>
        </w:rPr>
      </w:pPr>
      <w:r>
        <w:rPr>
          <w:rFonts w:eastAsiaTheme="minorEastAsia"/>
        </w:rPr>
        <w:t>GB/T 247　钢板和钢带包装、标志及质量证明书的一般规定</w:t>
      </w:r>
    </w:p>
    <w:p w14:paraId="4C332E04">
      <w:pPr>
        <w:ind w:firstLine="420" w:firstLineChars="200"/>
        <w:rPr>
          <w:rFonts w:eastAsiaTheme="minorEastAsia"/>
        </w:rPr>
      </w:pPr>
      <w:r>
        <w:rPr>
          <w:rFonts w:eastAsiaTheme="minorEastAsia"/>
        </w:rPr>
        <w:t>GB/T 709　热轧钢板和钢带的尺寸、外形、重量及允许偏差</w:t>
      </w:r>
    </w:p>
    <w:p w14:paraId="6590D3F4">
      <w:pPr>
        <w:ind w:firstLine="420" w:firstLineChars="200"/>
        <w:rPr>
          <w:rFonts w:eastAsiaTheme="minorEastAsia"/>
        </w:rPr>
      </w:pPr>
      <w:r>
        <w:rPr>
          <w:rFonts w:eastAsiaTheme="minorEastAsia"/>
        </w:rPr>
        <w:t>GB/T 2975　钢及钢产品　力学性能试验取样位置及试样制备</w:t>
      </w:r>
    </w:p>
    <w:p w14:paraId="55B603D8">
      <w:pPr>
        <w:ind w:firstLine="420" w:firstLineChars="200"/>
        <w:rPr>
          <w:rFonts w:eastAsiaTheme="minorEastAsia"/>
        </w:rPr>
      </w:pPr>
      <w:r>
        <w:rPr>
          <w:rFonts w:eastAsiaTheme="minorEastAsia"/>
        </w:rPr>
        <w:t xml:space="preserve">GB/T </w:t>
      </w:r>
      <w:r>
        <w:rPr>
          <w:rFonts w:hint="eastAsia" w:eastAsiaTheme="minorEastAsia"/>
          <w:lang w:val="en-US" w:eastAsia="zh-CN"/>
        </w:rPr>
        <w:t>4336</w:t>
      </w:r>
      <w:r>
        <w:rPr>
          <w:rFonts w:eastAsiaTheme="minorEastAsia"/>
        </w:rPr>
        <w:t>　碳素钢和中低合金钢　火花源原子发射光谱分析方法(常规法)</w:t>
      </w:r>
    </w:p>
    <w:p w14:paraId="06DDF910">
      <w:pPr>
        <w:ind w:firstLine="420" w:firstLineChars="200"/>
        <w:rPr>
          <w:rFonts w:eastAsiaTheme="minorEastAsia"/>
        </w:rPr>
      </w:pPr>
      <w:r>
        <w:rPr>
          <w:rFonts w:eastAsiaTheme="minorEastAsia"/>
        </w:rPr>
        <w:t>GB/T 6394　金属平均晶粒度测定方法</w:t>
      </w:r>
    </w:p>
    <w:p w14:paraId="577646AF">
      <w:pPr>
        <w:ind w:firstLine="420" w:firstLineChars="200"/>
        <w:rPr>
          <w:rFonts w:eastAsiaTheme="minorEastAsia"/>
        </w:rPr>
      </w:pPr>
      <w:r>
        <w:rPr>
          <w:rFonts w:eastAsiaTheme="minorEastAsia"/>
        </w:rPr>
        <w:t>GB/T 8170　数值修约规则与极限数值的表示和判定</w:t>
      </w:r>
    </w:p>
    <w:p w14:paraId="30E7DF52">
      <w:pPr>
        <w:ind w:firstLine="420" w:firstLineChars="200"/>
        <w:rPr>
          <w:rFonts w:hint="default" w:eastAsiaTheme="minorEastAsia"/>
          <w:lang w:val="en-US" w:eastAsia="zh-CN"/>
        </w:rPr>
      </w:pPr>
      <w:r>
        <w:rPr>
          <w:rFonts w:eastAsiaTheme="minorEastAsia"/>
        </w:rPr>
        <w:t xml:space="preserve">GB/T </w:t>
      </w:r>
      <w:r>
        <w:rPr>
          <w:rFonts w:hint="eastAsia" w:eastAsiaTheme="minorEastAsia"/>
          <w:lang w:val="en-US" w:eastAsia="zh-CN"/>
        </w:rPr>
        <w:t>10561—2023</w:t>
      </w:r>
      <w:r>
        <w:rPr>
          <w:rFonts w:eastAsiaTheme="minorEastAsia"/>
        </w:rPr>
        <w:t>　</w:t>
      </w:r>
      <w:r>
        <w:rPr>
          <w:rFonts w:hint="eastAsia" w:eastAsiaTheme="minorEastAsia"/>
        </w:rPr>
        <w:t>钢中非金属夹杂物含量的测定</w:t>
      </w:r>
      <w:r>
        <w:rPr>
          <w:rFonts w:hint="eastAsia" w:eastAsiaTheme="minorEastAsia"/>
          <w:lang w:val="en-US" w:eastAsia="zh-CN"/>
        </w:rPr>
        <w:t xml:space="preserve">  </w:t>
      </w:r>
      <w:r>
        <w:rPr>
          <w:rFonts w:hint="eastAsia" w:eastAsiaTheme="minorEastAsia"/>
        </w:rPr>
        <w:t>标准评级图显微检验法</w:t>
      </w:r>
    </w:p>
    <w:p w14:paraId="68153E7E">
      <w:pPr>
        <w:ind w:firstLine="420" w:firstLineChars="200"/>
        <w:rPr>
          <w:rFonts w:eastAsiaTheme="minorEastAsia"/>
        </w:rPr>
      </w:pPr>
      <w:r>
        <w:rPr>
          <w:rFonts w:eastAsiaTheme="minorEastAsia"/>
        </w:rPr>
        <w:t>GB/T 17505　钢及钢产品　交货一般技术要求</w:t>
      </w:r>
    </w:p>
    <w:p w14:paraId="0D618961">
      <w:pPr>
        <w:ind w:firstLine="420" w:firstLineChars="200"/>
        <w:rPr>
          <w:rFonts w:eastAsiaTheme="minorEastAsia"/>
        </w:rPr>
      </w:pPr>
      <w:r>
        <w:rPr>
          <w:rFonts w:eastAsiaTheme="minorEastAsia"/>
        </w:rPr>
        <w:t>GB/T 20066　钢和铁　化学成分测定用试样的取样和制样方法</w:t>
      </w:r>
    </w:p>
    <w:p w14:paraId="525048ED">
      <w:pPr>
        <w:ind w:firstLine="420" w:firstLineChars="200"/>
        <w:rPr>
          <w:rFonts w:eastAsiaTheme="minorEastAsia"/>
        </w:rPr>
      </w:pPr>
      <w:r>
        <w:rPr>
          <w:rFonts w:eastAsiaTheme="minorEastAsia"/>
        </w:rPr>
        <w:t>GB/T 20123　钢铁　总碳硫含量的测定　高频感应炉燃烧后红外吸收法（常规方法）</w:t>
      </w:r>
    </w:p>
    <w:p w14:paraId="350F537F">
      <w:pPr>
        <w:ind w:firstLine="420" w:firstLineChars="200"/>
        <w:rPr>
          <w:rFonts w:eastAsiaTheme="minorEastAsia"/>
        </w:rPr>
      </w:pPr>
      <w:r>
        <w:rPr>
          <w:rFonts w:eastAsiaTheme="minorEastAsia"/>
        </w:rPr>
        <w:t>GB/T 2012</w:t>
      </w:r>
      <w:r>
        <w:rPr>
          <w:rFonts w:hint="eastAsia" w:eastAsiaTheme="minorEastAsia"/>
          <w:lang w:val="en-US" w:eastAsia="zh-CN"/>
        </w:rPr>
        <w:t>5</w:t>
      </w:r>
      <w:r>
        <w:rPr>
          <w:rFonts w:eastAsiaTheme="minorEastAsia"/>
        </w:rPr>
        <w:t>　低合金钢　多元素的测定　电感耦合等离子体发射光谱法</w:t>
      </w:r>
    </w:p>
    <w:p w14:paraId="5F14CE9D">
      <w:pPr>
        <w:ind w:firstLine="420" w:firstLineChars="200"/>
        <w:rPr>
          <w:rFonts w:eastAsiaTheme="minorEastAsia"/>
        </w:rPr>
      </w:pPr>
      <w:r>
        <w:rPr>
          <w:rFonts w:eastAsiaTheme="minorEastAsia"/>
        </w:rPr>
        <w:t xml:space="preserve">GB/T </w:t>
      </w:r>
      <w:r>
        <w:rPr>
          <w:rFonts w:hint="eastAsia" w:eastAsiaTheme="minorEastAsia"/>
          <w:lang w:val="en-US" w:eastAsia="zh-CN"/>
        </w:rPr>
        <w:t>34474.1</w:t>
      </w:r>
      <w:r>
        <w:rPr>
          <w:rFonts w:eastAsiaTheme="minorEastAsia"/>
        </w:rPr>
        <w:t>　钢中带状组织的评定　第1部分：标准评级图法</w:t>
      </w:r>
    </w:p>
    <w:p w14:paraId="1BDEF0AA">
      <w:pPr>
        <w:widowControl/>
        <w:numPr>
          <w:ilvl w:val="0"/>
          <w:numId w:val="3"/>
        </w:numPr>
        <w:spacing w:before="156" w:beforeLines="50" w:after="156" w:afterLines="50"/>
        <w:outlineLvl w:val="1"/>
        <w:rPr>
          <w:rFonts w:eastAsia="黑体"/>
          <w:kern w:val="0"/>
          <w:szCs w:val="20"/>
        </w:rPr>
      </w:pPr>
      <w:r>
        <w:rPr>
          <w:rFonts w:eastAsia="黑体"/>
          <w:kern w:val="0"/>
          <w:szCs w:val="20"/>
        </w:rPr>
        <w:t>术语和定义</w:t>
      </w:r>
    </w:p>
    <w:p w14:paraId="0023FC22">
      <w:pPr>
        <w:ind w:firstLine="420" w:firstLineChars="200"/>
      </w:pPr>
      <w:r>
        <w:t>本文件没有需要界定的术语和定义。</w:t>
      </w:r>
    </w:p>
    <w:p w14:paraId="57FD53D3">
      <w:pPr>
        <w:widowControl/>
        <w:numPr>
          <w:ilvl w:val="0"/>
          <w:numId w:val="3"/>
        </w:numPr>
        <w:spacing w:before="156" w:beforeLines="50" w:after="156" w:afterLines="50"/>
        <w:outlineLvl w:val="1"/>
        <w:rPr>
          <w:rFonts w:eastAsia="黑体"/>
          <w:kern w:val="0"/>
          <w:szCs w:val="20"/>
        </w:rPr>
      </w:pPr>
      <w:r>
        <w:rPr>
          <w:rFonts w:eastAsia="黑体"/>
          <w:kern w:val="0"/>
          <w:szCs w:val="20"/>
        </w:rPr>
        <w:t>分类</w:t>
      </w:r>
      <w:r>
        <w:rPr>
          <w:rFonts w:hint="eastAsia" w:eastAsia="黑体"/>
          <w:kern w:val="0"/>
          <w:szCs w:val="20"/>
          <w:lang w:eastAsia="zh-CN"/>
        </w:rPr>
        <w:t>、</w:t>
      </w:r>
      <w:r>
        <w:rPr>
          <w:rFonts w:eastAsia="黑体"/>
          <w:kern w:val="0"/>
          <w:szCs w:val="20"/>
        </w:rPr>
        <w:t>代号</w:t>
      </w:r>
      <w:r>
        <w:rPr>
          <w:rFonts w:hint="eastAsia" w:eastAsia="黑体"/>
          <w:kern w:val="0"/>
          <w:szCs w:val="20"/>
          <w:lang w:val="en-US" w:eastAsia="zh-CN"/>
        </w:rPr>
        <w:t>及牌号表示方法</w:t>
      </w:r>
    </w:p>
    <w:p w14:paraId="174C633B">
      <w:pPr>
        <w:widowControl/>
        <w:numPr>
          <w:ilvl w:val="1"/>
          <w:numId w:val="3"/>
        </w:numPr>
        <w:ind w:left="0"/>
        <w:outlineLvl w:val="2"/>
        <w:rPr>
          <w:rFonts w:hint="eastAsia" w:ascii="黑体" w:hAnsi="黑体" w:eastAsia="黑体" w:cs="黑体"/>
          <w:kern w:val="0"/>
          <w:szCs w:val="21"/>
        </w:rPr>
      </w:pPr>
      <w:bookmarkStart w:id="10" w:name="_Hlk155354361"/>
      <w:r>
        <w:rPr>
          <w:rFonts w:hint="eastAsia" w:ascii="黑体" w:hAnsi="黑体" w:eastAsia="黑体" w:cs="黑体"/>
          <w:kern w:val="0"/>
          <w:szCs w:val="21"/>
          <w:lang w:val="en-US" w:eastAsia="zh-CN"/>
        </w:rPr>
        <w:t>分类、代号</w:t>
      </w:r>
    </w:p>
    <w:p w14:paraId="2E340622">
      <w:pPr>
        <w:widowControl/>
        <w:numPr>
          <w:ilvl w:val="0"/>
          <w:numId w:val="0"/>
        </w:numPr>
        <w:ind w:leftChars="0"/>
        <w:outlineLvl w:val="2"/>
        <w:rPr>
          <w:kern w:val="0"/>
          <w:szCs w:val="21"/>
        </w:rPr>
      </w:pPr>
      <w:r>
        <w:rPr>
          <w:rFonts w:hint="eastAsia" w:ascii="黑体" w:hAnsi="黑体" w:eastAsia="黑体" w:cs="黑体"/>
          <w:kern w:val="0"/>
          <w:szCs w:val="21"/>
          <w:lang w:val="en-US" w:eastAsia="zh-CN"/>
        </w:rPr>
        <w:t xml:space="preserve">4.1.1  </w:t>
      </w:r>
      <w:r>
        <w:rPr>
          <w:kern w:val="0"/>
          <w:szCs w:val="21"/>
        </w:rPr>
        <w:t>按边缘状态分：</w:t>
      </w:r>
    </w:p>
    <w:p w14:paraId="5F49B893">
      <w:pPr>
        <w:pStyle w:val="23"/>
        <w:rPr>
          <w:rFonts w:ascii="Times New Roman" w:eastAsiaTheme="minorEastAsia"/>
        </w:rPr>
      </w:pPr>
      <w:r>
        <w:rPr>
          <w:rFonts w:ascii="Times New Roman" w:eastAsiaTheme="minorEastAsia"/>
        </w:rPr>
        <w:t>a）切边 EC；</w:t>
      </w:r>
    </w:p>
    <w:p w14:paraId="39FD387F">
      <w:pPr>
        <w:pStyle w:val="23"/>
        <w:rPr>
          <w:rFonts w:ascii="Times New Roman" w:eastAsiaTheme="minorEastAsia"/>
        </w:rPr>
      </w:pPr>
      <w:r>
        <w:rPr>
          <w:rFonts w:ascii="Times New Roman" w:eastAsiaTheme="minorEastAsia"/>
        </w:rPr>
        <w:t>b）不切边 EM。</w:t>
      </w:r>
    </w:p>
    <w:p w14:paraId="533359E2">
      <w:pPr>
        <w:widowControl/>
        <w:numPr>
          <w:ilvl w:val="0"/>
          <w:numId w:val="0"/>
        </w:numPr>
        <w:ind w:leftChars="0"/>
        <w:outlineLvl w:val="2"/>
        <w:rPr>
          <w:kern w:val="0"/>
          <w:szCs w:val="21"/>
        </w:rPr>
      </w:pPr>
      <w:r>
        <w:rPr>
          <w:rFonts w:hint="eastAsia" w:ascii="黑体" w:hAnsi="黑体" w:eastAsia="黑体" w:cs="黑体"/>
          <w:kern w:val="0"/>
          <w:szCs w:val="21"/>
          <w:lang w:val="en-US" w:eastAsia="zh-CN"/>
        </w:rPr>
        <w:t xml:space="preserve">4.1.2  </w:t>
      </w:r>
      <w:r>
        <w:rPr>
          <w:kern w:val="0"/>
          <w:szCs w:val="21"/>
        </w:rPr>
        <w:t>按厚度精度分：</w:t>
      </w:r>
    </w:p>
    <w:p w14:paraId="1A84796C">
      <w:pPr>
        <w:pStyle w:val="23"/>
        <w:rPr>
          <w:rFonts w:ascii="Times New Roman" w:eastAsiaTheme="minorEastAsia"/>
        </w:rPr>
      </w:pPr>
      <w:r>
        <w:rPr>
          <w:rFonts w:ascii="Times New Roman" w:eastAsiaTheme="minorEastAsia"/>
        </w:rPr>
        <w:t>a）普通精度 PT.A；</w:t>
      </w:r>
    </w:p>
    <w:p w14:paraId="282B64D9">
      <w:pPr>
        <w:pStyle w:val="23"/>
        <w:rPr>
          <w:rFonts w:ascii="Times New Roman" w:eastAsiaTheme="minorEastAsia"/>
        </w:rPr>
      </w:pPr>
      <w:r>
        <w:rPr>
          <w:rFonts w:ascii="Times New Roman" w:eastAsiaTheme="minorEastAsia"/>
        </w:rPr>
        <w:t>b）较高精度 PT.B。</w:t>
      </w:r>
    </w:p>
    <w:p w14:paraId="5B6E4C00">
      <w:pPr>
        <w:pStyle w:val="23"/>
        <w:ind w:left="0" w:leftChars="0" w:firstLine="0" w:firstLineChars="0"/>
        <w:rPr>
          <w:kern w:val="0"/>
          <w:szCs w:val="21"/>
        </w:rPr>
      </w:pPr>
      <w:r>
        <w:rPr>
          <w:rFonts w:hint="eastAsia" w:ascii="黑体" w:hAnsi="黑体" w:eastAsia="黑体" w:cs="黑体"/>
          <w:kern w:val="0"/>
          <w:szCs w:val="21"/>
          <w:lang w:val="en-US" w:eastAsia="zh-CN"/>
        </w:rPr>
        <w:t xml:space="preserve">4.1.3  </w:t>
      </w:r>
      <w:r>
        <w:rPr>
          <w:kern w:val="0"/>
          <w:szCs w:val="21"/>
        </w:rPr>
        <w:t>按表面处理方式分：</w:t>
      </w:r>
    </w:p>
    <w:p w14:paraId="5F94DE49">
      <w:pPr>
        <w:pStyle w:val="23"/>
        <w:rPr>
          <w:rFonts w:ascii="Times New Roman" w:eastAsiaTheme="minorEastAsia"/>
        </w:rPr>
      </w:pPr>
      <w:r>
        <w:rPr>
          <w:rFonts w:ascii="Times New Roman" w:eastAsiaTheme="minorEastAsia"/>
        </w:rPr>
        <w:t>a）轧制表面；</w:t>
      </w:r>
    </w:p>
    <w:p w14:paraId="15B6A6FC">
      <w:pPr>
        <w:pStyle w:val="23"/>
        <w:rPr>
          <w:rFonts w:ascii="Times New Roman" w:eastAsiaTheme="minorEastAsia"/>
        </w:rPr>
      </w:pPr>
      <w:r>
        <w:rPr>
          <w:rFonts w:ascii="Times New Roman" w:eastAsiaTheme="minorEastAsia"/>
        </w:rPr>
        <w:t>b）酸洗表面。</w:t>
      </w:r>
    </w:p>
    <w:p w14:paraId="49FAC12A">
      <w:pPr>
        <w:widowControl/>
        <w:numPr>
          <w:ilvl w:val="0"/>
          <w:numId w:val="0"/>
        </w:numPr>
        <w:ind w:leftChars="0"/>
        <w:outlineLvl w:val="2"/>
        <w:rPr>
          <w:kern w:val="0"/>
          <w:szCs w:val="21"/>
        </w:rPr>
      </w:pPr>
      <w:r>
        <w:rPr>
          <w:rFonts w:hint="eastAsia" w:ascii="黑体" w:hAnsi="黑体" w:eastAsia="黑体" w:cs="黑体"/>
          <w:kern w:val="0"/>
          <w:szCs w:val="21"/>
          <w:lang w:val="en-US" w:eastAsia="zh-CN"/>
        </w:rPr>
        <w:t xml:space="preserve">4.1.4  </w:t>
      </w:r>
      <w:r>
        <w:rPr>
          <w:kern w:val="0"/>
          <w:szCs w:val="21"/>
        </w:rPr>
        <w:t>按表面质量等级分：</w:t>
      </w:r>
    </w:p>
    <w:p w14:paraId="66942318">
      <w:pPr>
        <w:pStyle w:val="23"/>
        <w:rPr>
          <w:rFonts w:ascii="Times New Roman" w:eastAsiaTheme="minorEastAsia"/>
        </w:rPr>
      </w:pPr>
      <w:r>
        <w:rPr>
          <w:rFonts w:ascii="Times New Roman" w:eastAsiaTheme="minorEastAsia"/>
        </w:rPr>
        <w:t>a）普通级表面 FA；</w:t>
      </w:r>
    </w:p>
    <w:p w14:paraId="0D53671C">
      <w:pPr>
        <w:pStyle w:val="23"/>
        <w:rPr>
          <w:rFonts w:hint="default" w:ascii="黑体" w:hAnsi="黑体" w:eastAsia="黑体" w:cs="黑体"/>
          <w:kern w:val="0"/>
          <w:szCs w:val="21"/>
          <w:lang w:val="en-US" w:eastAsia="zh-CN"/>
        </w:rPr>
      </w:pPr>
      <w:r>
        <w:rPr>
          <w:rFonts w:ascii="Times New Roman" w:eastAsiaTheme="minorEastAsia"/>
        </w:rPr>
        <w:t>b）较高级表面 FB。</w:t>
      </w:r>
    </w:p>
    <w:bookmarkEnd w:id="10"/>
    <w:p w14:paraId="72C2C216">
      <w:pPr>
        <w:widowControl/>
        <w:numPr>
          <w:ilvl w:val="1"/>
          <w:numId w:val="3"/>
        </w:numPr>
        <w:ind w:left="0"/>
        <w:outlineLvl w:val="2"/>
        <w:rPr>
          <w:rFonts w:hint="eastAsia" w:ascii="黑体" w:hAnsi="黑体" w:eastAsia="黑体" w:cs="黑体"/>
          <w:kern w:val="0"/>
          <w:szCs w:val="21"/>
        </w:rPr>
      </w:pPr>
      <w:r>
        <w:rPr>
          <w:rFonts w:hint="eastAsia" w:ascii="黑体" w:hAnsi="黑体" w:eastAsia="黑体" w:cs="黑体"/>
          <w:kern w:val="0"/>
          <w:szCs w:val="21"/>
          <w:lang w:val="en-US" w:eastAsia="zh-CN"/>
        </w:rPr>
        <w:t>牌号表示方法</w:t>
      </w:r>
    </w:p>
    <w:p w14:paraId="28E36173">
      <w:pPr>
        <w:widowControl/>
        <w:numPr>
          <w:ilvl w:val="0"/>
          <w:numId w:val="0"/>
        </w:numPr>
        <w:ind w:leftChars="0" w:firstLine="420" w:firstLineChars="200"/>
        <w:outlineLvl w:val="2"/>
        <w:rPr>
          <w:color w:val="auto"/>
          <w:kern w:val="0"/>
          <w:szCs w:val="21"/>
        </w:rPr>
      </w:pPr>
      <w:r>
        <w:rPr>
          <w:kern w:val="0"/>
          <w:szCs w:val="21"/>
        </w:rPr>
        <w:t>钢的牌号由规定抗拉强度最小值和“</w:t>
      </w:r>
      <w:r>
        <w:rPr>
          <w:rFonts w:hint="eastAsia"/>
          <w:kern w:val="0"/>
          <w:szCs w:val="21"/>
          <w:lang w:val="en-US" w:eastAsia="zh-CN"/>
        </w:rPr>
        <w:t>轮辐</w:t>
      </w:r>
      <w:r>
        <w:rPr>
          <w:kern w:val="0"/>
          <w:szCs w:val="21"/>
        </w:rPr>
        <w:t>”的汉语拼音</w:t>
      </w:r>
      <w:r>
        <w:rPr>
          <w:color w:val="auto"/>
          <w:kern w:val="0"/>
          <w:szCs w:val="21"/>
        </w:rPr>
        <w:t>首字母“L</w:t>
      </w:r>
      <w:r>
        <w:rPr>
          <w:rFonts w:hint="eastAsia"/>
          <w:color w:val="auto"/>
          <w:kern w:val="0"/>
          <w:szCs w:val="21"/>
          <w:lang w:val="en-US" w:eastAsia="zh-CN"/>
        </w:rPr>
        <w:t>F</w:t>
      </w:r>
      <w:r>
        <w:rPr>
          <w:color w:val="auto"/>
          <w:kern w:val="0"/>
          <w:szCs w:val="21"/>
        </w:rPr>
        <w:t>”两部分组成。</w:t>
      </w:r>
    </w:p>
    <w:p w14:paraId="486C726E">
      <w:pPr>
        <w:pStyle w:val="23"/>
        <w:rPr>
          <w:rFonts w:hint="eastAsia" w:ascii="Times New Roman" w:eastAsiaTheme="minorEastAsia"/>
          <w:color w:val="auto"/>
          <w:lang w:eastAsia="zh-CN"/>
        </w:rPr>
      </w:pPr>
      <w:r>
        <w:rPr>
          <w:rFonts w:ascii="Times New Roman" w:eastAsiaTheme="minorEastAsia"/>
          <w:color w:val="auto"/>
        </w:rPr>
        <w:t>示例：440L</w:t>
      </w:r>
      <w:r>
        <w:rPr>
          <w:rFonts w:hint="eastAsia" w:ascii="Times New Roman" w:eastAsiaTheme="minorEastAsia"/>
          <w:color w:val="auto"/>
          <w:lang w:val="en-US" w:eastAsia="zh-CN"/>
        </w:rPr>
        <w:t>F</w:t>
      </w:r>
    </w:p>
    <w:p w14:paraId="7E6BEB1D">
      <w:pPr>
        <w:pStyle w:val="23"/>
        <w:rPr>
          <w:rFonts w:ascii="Times New Roman" w:eastAsiaTheme="minorEastAsia"/>
        </w:rPr>
      </w:pPr>
      <w:r>
        <w:rPr>
          <w:rFonts w:ascii="Times New Roman" w:eastAsiaTheme="minorEastAsia"/>
        </w:rPr>
        <w:t>440——规定抗拉强度最小值，单位为兆帕（MPa）；</w:t>
      </w:r>
    </w:p>
    <w:p w14:paraId="16F78824">
      <w:pPr>
        <w:pStyle w:val="23"/>
        <w:rPr>
          <w:rFonts w:ascii="Times New Roman" w:eastAsiaTheme="minorEastAsia"/>
        </w:rPr>
      </w:pPr>
      <w:r>
        <w:rPr>
          <w:rFonts w:ascii="Times New Roman" w:eastAsiaTheme="minorEastAsia"/>
        </w:rPr>
        <w:t>L</w:t>
      </w:r>
      <w:r>
        <w:rPr>
          <w:rFonts w:hint="eastAsia" w:ascii="Times New Roman" w:eastAsiaTheme="minorEastAsia"/>
          <w:lang w:val="en-US" w:eastAsia="zh-CN"/>
        </w:rPr>
        <w:t>F</w:t>
      </w:r>
      <w:r>
        <w:rPr>
          <w:rFonts w:ascii="Times New Roman" w:eastAsiaTheme="minorEastAsia"/>
        </w:rPr>
        <w:t>——</w:t>
      </w:r>
      <w:r>
        <w:rPr>
          <w:rFonts w:hint="eastAsia" w:ascii="Times New Roman" w:eastAsiaTheme="minorEastAsia"/>
          <w:lang w:val="en-US" w:eastAsia="zh-CN"/>
        </w:rPr>
        <w:t>轮辐</w:t>
      </w:r>
      <w:r>
        <w:rPr>
          <w:rFonts w:ascii="Times New Roman" w:eastAsiaTheme="minorEastAsia"/>
        </w:rPr>
        <w:t>的汉语拼音首字母。</w:t>
      </w:r>
    </w:p>
    <w:p w14:paraId="1973314A">
      <w:pPr>
        <w:widowControl/>
        <w:numPr>
          <w:ilvl w:val="0"/>
          <w:numId w:val="3"/>
        </w:numPr>
        <w:spacing w:before="156" w:beforeLines="50" w:after="156" w:afterLines="50"/>
        <w:outlineLvl w:val="1"/>
        <w:rPr>
          <w:rFonts w:eastAsia="黑体"/>
          <w:kern w:val="0"/>
          <w:szCs w:val="20"/>
        </w:rPr>
      </w:pPr>
      <w:r>
        <w:rPr>
          <w:rFonts w:eastAsia="黑体"/>
          <w:kern w:val="0"/>
          <w:szCs w:val="20"/>
        </w:rPr>
        <w:t>订货内容</w:t>
      </w:r>
    </w:p>
    <w:p w14:paraId="6C6F94FB">
      <w:pPr>
        <w:pStyle w:val="23"/>
        <w:rPr>
          <w:rFonts w:ascii="Times New Roman" w:eastAsiaTheme="minorEastAsia"/>
        </w:rPr>
      </w:pPr>
      <w:bookmarkStart w:id="11" w:name="_Hlk155354423"/>
      <w:r>
        <w:rPr>
          <w:rFonts w:ascii="Times New Roman" w:eastAsiaTheme="minorEastAsia"/>
        </w:rPr>
        <w:t>按本文件订货的合同或订单应包括下列内容：</w:t>
      </w:r>
    </w:p>
    <w:p w14:paraId="20DCA7BD">
      <w:pPr>
        <w:pStyle w:val="104"/>
        <w:numPr>
          <w:ilvl w:val="0"/>
          <w:numId w:val="4"/>
        </w:numPr>
        <w:rPr>
          <w:rFonts w:ascii="Times New Roman" w:eastAsiaTheme="minorEastAsia"/>
        </w:rPr>
      </w:pPr>
      <w:r>
        <w:rPr>
          <w:rFonts w:ascii="Times New Roman" w:eastAsiaTheme="minorEastAsia"/>
        </w:rPr>
        <w:t>产品名称；</w:t>
      </w:r>
    </w:p>
    <w:p w14:paraId="5C473745">
      <w:pPr>
        <w:pStyle w:val="104"/>
        <w:numPr>
          <w:ilvl w:val="0"/>
          <w:numId w:val="4"/>
        </w:numPr>
        <w:rPr>
          <w:rFonts w:ascii="Times New Roman" w:eastAsiaTheme="minorEastAsia"/>
        </w:rPr>
      </w:pPr>
      <w:r>
        <w:rPr>
          <w:rFonts w:ascii="Times New Roman" w:eastAsiaTheme="minorEastAsia"/>
        </w:rPr>
        <w:t>本文件编号；</w:t>
      </w:r>
    </w:p>
    <w:p w14:paraId="131962B9">
      <w:pPr>
        <w:pStyle w:val="104"/>
        <w:numPr>
          <w:ilvl w:val="0"/>
          <w:numId w:val="4"/>
        </w:numPr>
        <w:rPr>
          <w:rFonts w:ascii="Times New Roman" w:eastAsiaTheme="minorEastAsia"/>
        </w:rPr>
      </w:pPr>
      <w:r>
        <w:rPr>
          <w:rFonts w:ascii="Times New Roman" w:eastAsiaTheme="minorEastAsia"/>
        </w:rPr>
        <w:t>牌号；</w:t>
      </w:r>
    </w:p>
    <w:p w14:paraId="7525F9B0">
      <w:pPr>
        <w:pStyle w:val="104"/>
        <w:numPr>
          <w:ilvl w:val="0"/>
          <w:numId w:val="4"/>
        </w:numPr>
        <w:rPr>
          <w:rFonts w:ascii="Times New Roman" w:eastAsiaTheme="minorEastAsia"/>
        </w:rPr>
      </w:pPr>
      <w:r>
        <w:rPr>
          <w:rFonts w:ascii="Times New Roman" w:eastAsiaTheme="minorEastAsia"/>
        </w:rPr>
        <w:t>交货状态；</w:t>
      </w:r>
    </w:p>
    <w:p w14:paraId="2F53BD23">
      <w:pPr>
        <w:pStyle w:val="104"/>
        <w:numPr>
          <w:ilvl w:val="0"/>
          <w:numId w:val="4"/>
        </w:numPr>
        <w:rPr>
          <w:rFonts w:ascii="Times New Roman" w:eastAsiaTheme="minorEastAsia"/>
        </w:rPr>
      </w:pPr>
      <w:r>
        <w:rPr>
          <w:rFonts w:ascii="Times New Roman" w:eastAsiaTheme="minorEastAsia"/>
        </w:rPr>
        <w:t>尺寸及精度；</w:t>
      </w:r>
    </w:p>
    <w:p w14:paraId="64541716">
      <w:pPr>
        <w:pStyle w:val="104"/>
        <w:numPr>
          <w:ilvl w:val="0"/>
          <w:numId w:val="4"/>
        </w:numPr>
        <w:rPr>
          <w:rFonts w:ascii="Times New Roman" w:eastAsiaTheme="minorEastAsia"/>
        </w:rPr>
      </w:pPr>
      <w:r>
        <w:rPr>
          <w:rFonts w:ascii="Times New Roman" w:eastAsiaTheme="minorEastAsia"/>
        </w:rPr>
        <w:t>边缘状态（切边EC、不切边EM）；</w:t>
      </w:r>
    </w:p>
    <w:p w14:paraId="5847E1FA">
      <w:pPr>
        <w:pStyle w:val="104"/>
        <w:numPr>
          <w:ilvl w:val="0"/>
          <w:numId w:val="4"/>
        </w:numPr>
        <w:rPr>
          <w:rFonts w:ascii="Times New Roman" w:eastAsiaTheme="minorEastAsia"/>
        </w:rPr>
      </w:pPr>
      <w:r>
        <w:rPr>
          <w:rFonts w:ascii="Times New Roman" w:eastAsiaTheme="minorEastAsia"/>
        </w:rPr>
        <w:t>表面处理方式及表面质量等级；</w:t>
      </w:r>
    </w:p>
    <w:p w14:paraId="7C08714B">
      <w:pPr>
        <w:pStyle w:val="104"/>
        <w:numPr>
          <w:ilvl w:val="0"/>
          <w:numId w:val="4"/>
        </w:numPr>
        <w:rPr>
          <w:rFonts w:ascii="Times New Roman" w:eastAsiaTheme="minorEastAsia"/>
        </w:rPr>
      </w:pPr>
      <w:r>
        <w:rPr>
          <w:rFonts w:ascii="Times New Roman" w:eastAsiaTheme="minorEastAsia"/>
        </w:rPr>
        <w:t>重量；</w:t>
      </w:r>
    </w:p>
    <w:p w14:paraId="2AB6F4D1">
      <w:pPr>
        <w:pStyle w:val="104"/>
        <w:numPr>
          <w:ilvl w:val="0"/>
          <w:numId w:val="4"/>
        </w:numPr>
        <w:rPr>
          <w:rFonts w:ascii="Times New Roman" w:eastAsiaTheme="minorEastAsia"/>
        </w:rPr>
      </w:pPr>
      <w:r>
        <w:rPr>
          <w:rFonts w:ascii="Times New Roman" w:eastAsiaTheme="minorEastAsia"/>
        </w:rPr>
        <w:t>特殊要求。</w:t>
      </w:r>
    </w:p>
    <w:bookmarkEnd w:id="9"/>
    <w:bookmarkEnd w:id="11"/>
    <w:p w14:paraId="4ACE8576">
      <w:pPr>
        <w:widowControl/>
        <w:numPr>
          <w:ilvl w:val="0"/>
          <w:numId w:val="3"/>
        </w:numPr>
        <w:spacing w:before="156" w:beforeLines="50" w:after="156" w:afterLines="50"/>
        <w:outlineLvl w:val="1"/>
        <w:rPr>
          <w:rFonts w:eastAsia="黑体"/>
          <w:kern w:val="0"/>
          <w:szCs w:val="20"/>
        </w:rPr>
      </w:pPr>
      <w:r>
        <w:rPr>
          <w:rFonts w:hint="eastAsia" w:eastAsia="黑体"/>
          <w:kern w:val="0"/>
          <w:szCs w:val="20"/>
          <w:lang w:val="en-US" w:eastAsia="zh-CN"/>
        </w:rPr>
        <w:t>制造工艺</w:t>
      </w:r>
    </w:p>
    <w:p w14:paraId="2A593BE2">
      <w:pPr>
        <w:pStyle w:val="49"/>
        <w:numPr>
          <w:ilvl w:val="1"/>
          <w:numId w:val="3"/>
        </w:numPr>
        <w:spacing w:before="156" w:after="156"/>
        <w:ind w:left="0"/>
        <w:rPr>
          <w:rFonts w:ascii="Times New Roman"/>
        </w:rPr>
      </w:pPr>
      <w:bookmarkStart w:id="12" w:name="_Hlk5804893"/>
      <w:bookmarkStart w:id="13" w:name="_Hlk155354467"/>
      <w:r>
        <w:rPr>
          <w:rFonts w:ascii="Times New Roman"/>
        </w:rPr>
        <w:t>冶炼方法</w:t>
      </w:r>
    </w:p>
    <w:p w14:paraId="64462C5D">
      <w:pPr>
        <w:ind w:firstLine="420" w:firstLineChars="200"/>
        <w:rPr>
          <w:rFonts w:eastAsiaTheme="minorEastAsia"/>
          <w:color w:val="auto"/>
        </w:rPr>
      </w:pPr>
      <w:r>
        <w:rPr>
          <w:rFonts w:eastAsiaTheme="minorEastAsia"/>
          <w:color w:val="auto"/>
        </w:rPr>
        <w:t>钢</w:t>
      </w:r>
      <w:r>
        <w:rPr>
          <w:rFonts w:hint="eastAsia" w:eastAsiaTheme="minorEastAsia"/>
          <w:color w:val="auto"/>
          <w:lang w:val="en-US" w:eastAsia="zh-CN"/>
        </w:rPr>
        <w:t>应采用电炉或转炉冶炼，并经炉外</w:t>
      </w:r>
      <w:r>
        <w:rPr>
          <w:rFonts w:eastAsiaTheme="minorEastAsia"/>
          <w:color w:val="auto"/>
        </w:rPr>
        <w:t>精炼。</w:t>
      </w:r>
    </w:p>
    <w:p w14:paraId="731FC30A">
      <w:pPr>
        <w:pStyle w:val="49"/>
        <w:numPr>
          <w:ilvl w:val="1"/>
          <w:numId w:val="3"/>
        </w:numPr>
        <w:spacing w:before="156" w:after="156"/>
        <w:ind w:left="0"/>
        <w:rPr>
          <w:rFonts w:ascii="Times New Roman"/>
          <w:color w:val="auto"/>
        </w:rPr>
      </w:pPr>
      <w:r>
        <w:rPr>
          <w:rFonts w:ascii="Times New Roman"/>
          <w:color w:val="auto"/>
        </w:rPr>
        <w:t>交货状态</w:t>
      </w:r>
    </w:p>
    <w:p w14:paraId="40DAD1B3">
      <w:pPr>
        <w:pStyle w:val="52"/>
        <w:numPr>
          <w:ilvl w:val="2"/>
          <w:numId w:val="3"/>
        </w:numPr>
        <w:spacing w:beforeLines="0" w:afterLines="0"/>
        <w:rPr>
          <w:rFonts w:ascii="Times New Roman" w:eastAsia="宋体"/>
          <w:color w:val="auto"/>
        </w:rPr>
      </w:pPr>
      <w:r>
        <w:rPr>
          <w:rFonts w:ascii="Times New Roman" w:eastAsia="宋体"/>
          <w:color w:val="auto"/>
        </w:rPr>
        <w:t>钢板</w:t>
      </w:r>
      <w:r>
        <w:rPr>
          <w:rFonts w:hint="eastAsia" w:ascii="Times New Roman" w:eastAsia="宋体"/>
          <w:color w:val="auto"/>
          <w:lang w:val="en-US" w:eastAsia="zh-CN"/>
        </w:rPr>
        <w:t>及钢带</w:t>
      </w:r>
      <w:r>
        <w:rPr>
          <w:rFonts w:ascii="Times New Roman" w:eastAsia="宋体"/>
          <w:color w:val="auto"/>
        </w:rPr>
        <w:t>以热轧状态</w:t>
      </w:r>
      <w:r>
        <w:rPr>
          <w:rFonts w:hint="eastAsia" w:ascii="Times New Roman" w:eastAsia="宋体"/>
          <w:color w:val="auto"/>
          <w:lang w:val="en-US" w:eastAsia="zh-CN"/>
        </w:rPr>
        <w:t>工艺控轧状态</w:t>
      </w:r>
      <w:r>
        <w:rPr>
          <w:rFonts w:ascii="Times New Roman" w:eastAsia="宋体"/>
          <w:color w:val="auto"/>
        </w:rPr>
        <w:t>交货。</w:t>
      </w:r>
    </w:p>
    <w:p w14:paraId="2234CFED">
      <w:pPr>
        <w:pStyle w:val="52"/>
        <w:numPr>
          <w:ilvl w:val="2"/>
          <w:numId w:val="3"/>
        </w:numPr>
        <w:spacing w:beforeLines="0" w:afterLines="0"/>
        <w:rPr>
          <w:rFonts w:ascii="Times New Roman" w:eastAsia="宋体"/>
          <w:color w:val="auto"/>
        </w:rPr>
      </w:pPr>
      <w:r>
        <w:rPr>
          <w:rFonts w:ascii="Times New Roman" w:eastAsia="宋体"/>
          <w:color w:val="auto"/>
        </w:rPr>
        <w:t>钢板</w:t>
      </w:r>
      <w:r>
        <w:rPr>
          <w:rFonts w:hint="eastAsia" w:ascii="Times New Roman" w:eastAsia="宋体"/>
          <w:color w:val="auto"/>
          <w:lang w:val="en-US" w:eastAsia="zh-CN"/>
        </w:rPr>
        <w:t>及钢带</w:t>
      </w:r>
      <w:r>
        <w:rPr>
          <w:rFonts w:ascii="Times New Roman" w:eastAsia="宋体"/>
          <w:color w:val="auto"/>
        </w:rPr>
        <w:t>的表面处理方式可采用轧制表面和酸洗表面两种方式。</w:t>
      </w:r>
    </w:p>
    <w:p w14:paraId="72AE7911">
      <w:pPr>
        <w:pStyle w:val="52"/>
        <w:numPr>
          <w:ilvl w:val="2"/>
          <w:numId w:val="3"/>
        </w:numPr>
        <w:spacing w:beforeLines="0" w:afterLines="0"/>
        <w:jc w:val="both"/>
        <w:rPr>
          <w:rFonts w:ascii="Times New Roman" w:eastAsia="宋体"/>
          <w:color w:val="auto"/>
        </w:rPr>
      </w:pPr>
      <w:bookmarkStart w:id="14" w:name="_Hlk155354659"/>
      <w:r>
        <w:rPr>
          <w:rFonts w:ascii="Times New Roman" w:eastAsia="宋体"/>
          <w:color w:val="auto"/>
        </w:rPr>
        <w:t>酸洗表面的钢板</w:t>
      </w:r>
      <w:r>
        <w:rPr>
          <w:rFonts w:hint="eastAsia" w:ascii="Times New Roman" w:eastAsia="宋体"/>
          <w:color w:val="auto"/>
          <w:lang w:val="en-US" w:eastAsia="zh-CN"/>
        </w:rPr>
        <w:t>及钢带</w:t>
      </w:r>
      <w:r>
        <w:rPr>
          <w:rFonts w:ascii="Times New Roman" w:eastAsia="宋体"/>
          <w:color w:val="auto"/>
        </w:rPr>
        <w:t>通常应进行涂油，所涂油膜应能用碱水溶液去除。在通常的包装、运输、搬运和储存条件下，供方保证自生产完成之日三个月内不产生锈蚀。如需方要求酸洗表面的钢板</w:t>
      </w:r>
      <w:r>
        <w:rPr>
          <w:rFonts w:hint="eastAsia" w:ascii="Times New Roman" w:eastAsia="宋体"/>
          <w:color w:val="auto"/>
          <w:lang w:val="en-US" w:eastAsia="zh-CN"/>
        </w:rPr>
        <w:t>及钢带</w:t>
      </w:r>
      <w:r>
        <w:rPr>
          <w:rFonts w:ascii="Times New Roman" w:eastAsia="宋体"/>
          <w:color w:val="auto"/>
        </w:rPr>
        <w:t>不涂油时，双方应在合同中注明，不涂油的热轧酸洗钢板</w:t>
      </w:r>
      <w:r>
        <w:rPr>
          <w:rFonts w:hint="eastAsia" w:ascii="Times New Roman" w:eastAsia="宋体"/>
          <w:color w:val="auto"/>
          <w:lang w:val="en-US" w:eastAsia="zh-CN"/>
        </w:rPr>
        <w:t>及钢带</w:t>
      </w:r>
      <w:r>
        <w:rPr>
          <w:rFonts w:ascii="Times New Roman" w:eastAsia="宋体"/>
          <w:color w:val="auto"/>
        </w:rPr>
        <w:t>，在运输和加工过程中容易产生锈蚀和擦伤，供方对此不作保证</w:t>
      </w:r>
      <w:bookmarkEnd w:id="14"/>
      <w:r>
        <w:rPr>
          <w:rFonts w:ascii="Times New Roman" w:eastAsia="宋体"/>
          <w:color w:val="auto"/>
        </w:rPr>
        <w:t>。</w:t>
      </w:r>
    </w:p>
    <w:bookmarkEnd w:id="12"/>
    <w:bookmarkEnd w:id="13"/>
    <w:p w14:paraId="1FE37846">
      <w:pPr>
        <w:widowControl/>
        <w:numPr>
          <w:ilvl w:val="0"/>
          <w:numId w:val="3"/>
        </w:numPr>
        <w:spacing w:before="156" w:beforeLines="50" w:after="156" w:afterLines="50"/>
        <w:outlineLvl w:val="1"/>
        <w:rPr>
          <w:rFonts w:eastAsia="黑体"/>
          <w:kern w:val="0"/>
          <w:szCs w:val="20"/>
        </w:rPr>
      </w:pPr>
      <w:r>
        <w:rPr>
          <w:rFonts w:eastAsia="黑体"/>
          <w:kern w:val="0"/>
          <w:szCs w:val="20"/>
        </w:rPr>
        <w:t>技术要求</w:t>
      </w:r>
    </w:p>
    <w:p w14:paraId="30EF37AF">
      <w:pPr>
        <w:pStyle w:val="49"/>
        <w:numPr>
          <w:ilvl w:val="1"/>
          <w:numId w:val="3"/>
        </w:numPr>
        <w:spacing w:before="156" w:after="156"/>
        <w:ind w:left="0"/>
        <w:rPr>
          <w:rFonts w:ascii="Times New Roman"/>
        </w:rPr>
      </w:pPr>
      <w:r>
        <w:rPr>
          <w:rFonts w:ascii="Times New Roman"/>
        </w:rPr>
        <w:t>牌号和化学成分</w:t>
      </w:r>
    </w:p>
    <w:p w14:paraId="24EDF800">
      <w:pPr>
        <w:pStyle w:val="52"/>
        <w:numPr>
          <w:ilvl w:val="2"/>
          <w:numId w:val="3"/>
        </w:numPr>
        <w:spacing w:beforeLines="0" w:afterLines="0"/>
        <w:rPr>
          <w:rFonts w:ascii="Times New Roman" w:eastAsia="宋体"/>
        </w:rPr>
      </w:pPr>
      <w:r>
        <w:rPr>
          <w:rFonts w:ascii="Times New Roman" w:eastAsia="宋体"/>
        </w:rPr>
        <w:t>钢的牌号和化学成分（熔炼分析）应符合表1的规定。</w:t>
      </w:r>
    </w:p>
    <w:p w14:paraId="0C7509A0">
      <w:pPr>
        <w:pStyle w:val="79"/>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ascii="Times New Roman"/>
        </w:rPr>
      </w:pPr>
      <w:r>
        <w:rPr>
          <w:rFonts w:ascii="Times New Roman"/>
        </w:rPr>
        <w:t>牌号和化学成分（熔炼分析）</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348"/>
        <w:gridCol w:w="1348"/>
        <w:gridCol w:w="1365"/>
        <w:gridCol w:w="1386"/>
        <w:gridCol w:w="1386"/>
        <w:gridCol w:w="1387"/>
      </w:tblGrid>
      <w:tr w14:paraId="7395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14:paraId="05B71D43">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rPr>
              <w:t>牌号</w:t>
            </w:r>
          </w:p>
        </w:tc>
        <w:tc>
          <w:tcPr>
            <w:tcW w:w="8220" w:type="dxa"/>
            <w:gridSpan w:val="6"/>
            <w:vAlign w:val="center"/>
          </w:tcPr>
          <w:p w14:paraId="237B4BB5">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rPr>
              <w:t>化学成分（质量分数）/%</w:t>
            </w:r>
          </w:p>
        </w:tc>
      </w:tr>
      <w:tr w14:paraId="7BEF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vAlign w:val="center"/>
          </w:tcPr>
          <w:p w14:paraId="572481AB">
            <w:pPr>
              <w:pStyle w:val="23"/>
              <w:keepNext w:val="0"/>
              <w:keepLines w:val="0"/>
              <w:pageBreakBefore w:val="0"/>
              <w:numPr>
                <w:ilvl w:val="0"/>
                <w:numId w:val="1"/>
              </w:numPr>
              <w:kinsoku/>
              <w:wordWrap/>
              <w:overflowPunct/>
              <w:topLinePunct w:val="0"/>
              <w:bidi w:val="0"/>
              <w:ind w:left="0" w:leftChars="0" w:firstLine="0" w:firstLineChars="0"/>
              <w:jc w:val="center"/>
              <w:textAlignment w:val="auto"/>
              <w:rPr>
                <w:rFonts w:hint="default" w:ascii="Times New Roman" w:hAnsi="Times New Roman" w:eastAsia="宋体" w:cs="Times New Roman"/>
                <w:color w:val="auto"/>
                <w:sz w:val="18"/>
                <w:szCs w:val="18"/>
                <w:vertAlign w:val="baseline"/>
              </w:rPr>
            </w:pPr>
          </w:p>
        </w:tc>
        <w:tc>
          <w:tcPr>
            <w:tcW w:w="1348" w:type="dxa"/>
            <w:vAlign w:val="center"/>
          </w:tcPr>
          <w:p w14:paraId="513389A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C</w:t>
            </w:r>
          </w:p>
        </w:tc>
        <w:tc>
          <w:tcPr>
            <w:tcW w:w="1348" w:type="dxa"/>
            <w:vAlign w:val="center"/>
          </w:tcPr>
          <w:p w14:paraId="236C8CD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Si</w:t>
            </w:r>
          </w:p>
        </w:tc>
        <w:tc>
          <w:tcPr>
            <w:tcW w:w="1365" w:type="dxa"/>
            <w:vAlign w:val="center"/>
          </w:tcPr>
          <w:p w14:paraId="04F13978">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Mn</w:t>
            </w:r>
          </w:p>
        </w:tc>
        <w:tc>
          <w:tcPr>
            <w:tcW w:w="1386" w:type="dxa"/>
            <w:vAlign w:val="center"/>
          </w:tcPr>
          <w:p w14:paraId="76BB1C48">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P</w:t>
            </w:r>
          </w:p>
        </w:tc>
        <w:tc>
          <w:tcPr>
            <w:tcW w:w="1386" w:type="dxa"/>
            <w:vAlign w:val="center"/>
          </w:tcPr>
          <w:p w14:paraId="042EEECB">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S</w:t>
            </w:r>
          </w:p>
        </w:tc>
        <w:tc>
          <w:tcPr>
            <w:tcW w:w="1387" w:type="dxa"/>
            <w:vAlign w:val="center"/>
          </w:tcPr>
          <w:p w14:paraId="3F0E8D6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Als</w:t>
            </w:r>
            <w:r>
              <w:rPr>
                <w:rFonts w:hint="default" w:ascii="Times New Roman" w:hAnsi="Times New Roman" w:eastAsia="宋体" w:cs="Times New Roman"/>
                <w:color w:val="auto"/>
                <w:sz w:val="18"/>
                <w:szCs w:val="18"/>
                <w:vertAlign w:val="superscript"/>
              </w:rPr>
              <w:t>a</w:t>
            </w:r>
          </w:p>
        </w:tc>
      </w:tr>
      <w:tr w14:paraId="40D4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350" w:type="dxa"/>
            <w:vMerge w:val="continue"/>
            <w:vAlign w:val="center"/>
          </w:tcPr>
          <w:p w14:paraId="1FA4FF41">
            <w:pPr>
              <w:pStyle w:val="23"/>
              <w:keepNext w:val="0"/>
              <w:keepLines w:val="0"/>
              <w:pageBreakBefore w:val="0"/>
              <w:numPr>
                <w:ilvl w:val="0"/>
                <w:numId w:val="1"/>
              </w:numPr>
              <w:kinsoku/>
              <w:wordWrap/>
              <w:overflowPunct/>
              <w:topLinePunct w:val="0"/>
              <w:bidi w:val="0"/>
              <w:ind w:left="0" w:leftChars="0" w:firstLine="0" w:firstLineChars="0"/>
              <w:jc w:val="center"/>
              <w:textAlignment w:val="auto"/>
              <w:rPr>
                <w:rFonts w:hint="default" w:ascii="Times New Roman" w:hAnsi="Times New Roman" w:eastAsia="宋体" w:cs="Times New Roman"/>
                <w:color w:val="auto"/>
                <w:sz w:val="18"/>
                <w:szCs w:val="18"/>
                <w:vertAlign w:val="baseline"/>
              </w:rPr>
            </w:pPr>
          </w:p>
        </w:tc>
        <w:tc>
          <w:tcPr>
            <w:tcW w:w="6833" w:type="dxa"/>
            <w:gridSpan w:val="5"/>
            <w:vAlign w:val="center"/>
          </w:tcPr>
          <w:p w14:paraId="07810109">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lang w:val="en-US" w:eastAsia="zh-CN"/>
              </w:rPr>
              <w:t>不大于</w:t>
            </w:r>
          </w:p>
        </w:tc>
        <w:tc>
          <w:tcPr>
            <w:tcW w:w="1387" w:type="dxa"/>
            <w:vAlign w:val="center"/>
          </w:tcPr>
          <w:p w14:paraId="71C4DEC5">
            <w:pPr>
              <w:pStyle w:val="23"/>
              <w:keepNext w:val="0"/>
              <w:keepLines w:val="0"/>
              <w:pageBreakBefore w:val="0"/>
              <w:numPr>
                <w:ilvl w:val="0"/>
                <w:numId w:val="0"/>
              </w:numPr>
              <w:kinsoku/>
              <w:wordWrap/>
              <w:overflowPunct/>
              <w:topLinePunct w:val="0"/>
              <w:bidi w:val="0"/>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lang w:val="en-US" w:eastAsia="zh-CN"/>
              </w:rPr>
              <w:t>不小于</w:t>
            </w:r>
          </w:p>
        </w:tc>
      </w:tr>
      <w:tr w14:paraId="66E0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7CAF062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380L</w:t>
            </w:r>
            <w:r>
              <w:rPr>
                <w:rFonts w:hint="default" w:ascii="Times New Roman" w:hAnsi="Times New Roman" w:eastAsia="宋体" w:cs="Times New Roman"/>
                <w:color w:val="auto"/>
                <w:sz w:val="18"/>
                <w:szCs w:val="18"/>
                <w:lang w:val="en-US" w:eastAsia="zh-CN"/>
              </w:rPr>
              <w:t>F</w:t>
            </w:r>
          </w:p>
        </w:tc>
        <w:tc>
          <w:tcPr>
            <w:tcW w:w="1348" w:type="dxa"/>
            <w:vAlign w:val="center"/>
          </w:tcPr>
          <w:p w14:paraId="7A29CE2B">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rPr>
              <w:t>0.14</w:t>
            </w:r>
          </w:p>
        </w:tc>
        <w:tc>
          <w:tcPr>
            <w:tcW w:w="1348" w:type="dxa"/>
            <w:vAlign w:val="center"/>
          </w:tcPr>
          <w:p w14:paraId="791B0C7C">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w:t>
            </w:r>
            <w:r>
              <w:rPr>
                <w:rFonts w:hint="default"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5</w:t>
            </w:r>
          </w:p>
        </w:tc>
        <w:tc>
          <w:tcPr>
            <w:tcW w:w="1365" w:type="dxa"/>
            <w:vAlign w:val="center"/>
          </w:tcPr>
          <w:p w14:paraId="6D76FBC5">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r>
              <w:rPr>
                <w:rFonts w:hint="default"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0</w:t>
            </w:r>
          </w:p>
        </w:tc>
        <w:tc>
          <w:tcPr>
            <w:tcW w:w="1386" w:type="dxa"/>
            <w:vAlign w:val="center"/>
          </w:tcPr>
          <w:p w14:paraId="270EFB9A">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0.025</w:t>
            </w:r>
          </w:p>
        </w:tc>
        <w:tc>
          <w:tcPr>
            <w:tcW w:w="1386" w:type="dxa"/>
            <w:vAlign w:val="center"/>
          </w:tcPr>
          <w:p w14:paraId="1A84F3AB">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w:t>
            </w:r>
            <w:r>
              <w:rPr>
                <w:rFonts w:hint="default" w:ascii="Times New Roman" w:hAnsi="Times New Roman" w:eastAsia="宋体" w:cs="Times New Roman"/>
                <w:color w:val="auto"/>
                <w:kern w:val="0"/>
                <w:sz w:val="18"/>
                <w:szCs w:val="18"/>
                <w:lang w:val="en-US" w:eastAsia="zh-CN"/>
              </w:rPr>
              <w:t>15</w:t>
            </w:r>
          </w:p>
        </w:tc>
        <w:tc>
          <w:tcPr>
            <w:tcW w:w="1387" w:type="dxa"/>
            <w:vAlign w:val="center"/>
          </w:tcPr>
          <w:p w14:paraId="6633D00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6EF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2FCB7C2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420L</w:t>
            </w:r>
            <w:r>
              <w:rPr>
                <w:rFonts w:hint="default" w:ascii="Times New Roman" w:hAnsi="Times New Roman" w:eastAsia="宋体" w:cs="Times New Roman"/>
                <w:color w:val="auto"/>
                <w:sz w:val="18"/>
                <w:szCs w:val="18"/>
                <w:highlight w:val="none"/>
                <w:lang w:val="en-US" w:eastAsia="zh-CN"/>
              </w:rPr>
              <w:t>F</w:t>
            </w:r>
          </w:p>
        </w:tc>
        <w:tc>
          <w:tcPr>
            <w:tcW w:w="1348" w:type="dxa"/>
            <w:vAlign w:val="center"/>
          </w:tcPr>
          <w:p w14:paraId="50C802E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0.14</w:t>
            </w:r>
          </w:p>
        </w:tc>
        <w:tc>
          <w:tcPr>
            <w:tcW w:w="1348" w:type="dxa"/>
            <w:vAlign w:val="center"/>
          </w:tcPr>
          <w:p w14:paraId="5E4A4C3C">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0.25</w:t>
            </w:r>
          </w:p>
        </w:tc>
        <w:tc>
          <w:tcPr>
            <w:tcW w:w="1365" w:type="dxa"/>
            <w:vAlign w:val="center"/>
          </w:tcPr>
          <w:p w14:paraId="0B56FD9E">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1.40</w:t>
            </w:r>
          </w:p>
        </w:tc>
        <w:tc>
          <w:tcPr>
            <w:tcW w:w="1386" w:type="dxa"/>
            <w:vAlign w:val="center"/>
          </w:tcPr>
          <w:p w14:paraId="72C9B462">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0.025</w:t>
            </w:r>
          </w:p>
        </w:tc>
        <w:tc>
          <w:tcPr>
            <w:tcW w:w="1386" w:type="dxa"/>
            <w:vAlign w:val="center"/>
          </w:tcPr>
          <w:p w14:paraId="3AB21CF5">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w:t>
            </w:r>
            <w:r>
              <w:rPr>
                <w:rFonts w:hint="default" w:ascii="Times New Roman" w:hAnsi="Times New Roman" w:eastAsia="宋体" w:cs="Times New Roman"/>
                <w:color w:val="auto"/>
                <w:kern w:val="0"/>
                <w:sz w:val="18"/>
                <w:szCs w:val="18"/>
                <w:lang w:val="en-US" w:eastAsia="zh-CN"/>
              </w:rPr>
              <w:t>15</w:t>
            </w:r>
          </w:p>
        </w:tc>
        <w:tc>
          <w:tcPr>
            <w:tcW w:w="1387" w:type="dxa"/>
            <w:vAlign w:val="center"/>
          </w:tcPr>
          <w:p w14:paraId="24B4374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5DAB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2935404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440L</w:t>
            </w:r>
            <w:r>
              <w:rPr>
                <w:rFonts w:hint="default" w:ascii="Times New Roman" w:hAnsi="Times New Roman" w:eastAsia="宋体" w:cs="Times New Roman"/>
                <w:color w:val="auto"/>
                <w:sz w:val="18"/>
                <w:szCs w:val="18"/>
                <w:highlight w:val="none"/>
                <w:lang w:val="en-US" w:eastAsia="zh-CN"/>
              </w:rPr>
              <w:t>F</w:t>
            </w:r>
          </w:p>
        </w:tc>
        <w:tc>
          <w:tcPr>
            <w:tcW w:w="1348" w:type="dxa"/>
            <w:vAlign w:val="center"/>
          </w:tcPr>
          <w:p w14:paraId="597E6ADC">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0.14</w:t>
            </w:r>
          </w:p>
        </w:tc>
        <w:tc>
          <w:tcPr>
            <w:tcW w:w="1348" w:type="dxa"/>
            <w:vAlign w:val="center"/>
          </w:tcPr>
          <w:p w14:paraId="6EA6E808">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0.30</w:t>
            </w:r>
          </w:p>
        </w:tc>
        <w:tc>
          <w:tcPr>
            <w:tcW w:w="1365" w:type="dxa"/>
            <w:vAlign w:val="center"/>
          </w:tcPr>
          <w:p w14:paraId="50B59AED">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r>
              <w:rPr>
                <w:rFonts w:hint="default" w:ascii="Times New Roman" w:hAnsi="Times New Roman" w:eastAsia="宋体" w:cs="Times New Roman"/>
                <w:color w:val="auto"/>
                <w:kern w:val="0"/>
                <w:sz w:val="18"/>
                <w:szCs w:val="18"/>
                <w:lang w:val="en-US" w:eastAsia="zh-CN"/>
              </w:rPr>
              <w:t>5</w:t>
            </w:r>
            <w:r>
              <w:rPr>
                <w:rFonts w:hint="default" w:ascii="Times New Roman" w:hAnsi="Times New Roman" w:eastAsia="宋体" w:cs="Times New Roman"/>
                <w:color w:val="auto"/>
                <w:kern w:val="0"/>
                <w:sz w:val="18"/>
                <w:szCs w:val="18"/>
              </w:rPr>
              <w:t>0</w:t>
            </w:r>
          </w:p>
        </w:tc>
        <w:tc>
          <w:tcPr>
            <w:tcW w:w="1386" w:type="dxa"/>
            <w:vAlign w:val="center"/>
          </w:tcPr>
          <w:p w14:paraId="0732A1DE">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0.025</w:t>
            </w:r>
          </w:p>
        </w:tc>
        <w:tc>
          <w:tcPr>
            <w:tcW w:w="1386" w:type="dxa"/>
            <w:vAlign w:val="center"/>
          </w:tcPr>
          <w:p w14:paraId="3935C841">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w:t>
            </w:r>
            <w:r>
              <w:rPr>
                <w:rFonts w:hint="default" w:ascii="Times New Roman" w:hAnsi="Times New Roman" w:eastAsia="宋体" w:cs="Times New Roman"/>
                <w:color w:val="auto"/>
                <w:kern w:val="0"/>
                <w:sz w:val="18"/>
                <w:szCs w:val="18"/>
                <w:lang w:val="en-US" w:eastAsia="zh-CN"/>
              </w:rPr>
              <w:t>15</w:t>
            </w:r>
          </w:p>
        </w:tc>
        <w:tc>
          <w:tcPr>
            <w:tcW w:w="1387" w:type="dxa"/>
            <w:vAlign w:val="center"/>
          </w:tcPr>
          <w:p w14:paraId="4B348998">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0769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57D997A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490L</w:t>
            </w:r>
            <w:r>
              <w:rPr>
                <w:rFonts w:hint="default" w:ascii="Times New Roman" w:hAnsi="Times New Roman" w:eastAsia="宋体" w:cs="Times New Roman"/>
                <w:color w:val="auto"/>
                <w:sz w:val="18"/>
                <w:szCs w:val="18"/>
                <w:highlight w:val="none"/>
                <w:lang w:val="en-US" w:eastAsia="zh-CN"/>
              </w:rPr>
              <w:t>F</w:t>
            </w:r>
          </w:p>
        </w:tc>
        <w:tc>
          <w:tcPr>
            <w:tcW w:w="1348" w:type="dxa"/>
            <w:vAlign w:val="center"/>
          </w:tcPr>
          <w:p w14:paraId="2BBD1CBB">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0.12</w:t>
            </w:r>
          </w:p>
        </w:tc>
        <w:tc>
          <w:tcPr>
            <w:tcW w:w="1348" w:type="dxa"/>
            <w:vAlign w:val="center"/>
          </w:tcPr>
          <w:p w14:paraId="15ACE2D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0.3</w:t>
            </w:r>
            <w:r>
              <w:rPr>
                <w:rFonts w:hint="default" w:ascii="Times New Roman" w:hAnsi="Times New Roman" w:eastAsia="宋体" w:cs="Times New Roman"/>
                <w:color w:val="auto"/>
                <w:kern w:val="0"/>
                <w:sz w:val="18"/>
                <w:szCs w:val="18"/>
                <w:lang w:val="en-US" w:eastAsia="zh-CN"/>
              </w:rPr>
              <w:t>0</w:t>
            </w:r>
          </w:p>
        </w:tc>
        <w:tc>
          <w:tcPr>
            <w:tcW w:w="1365" w:type="dxa"/>
            <w:vAlign w:val="center"/>
          </w:tcPr>
          <w:p w14:paraId="13F42DCF">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1.60</w:t>
            </w:r>
          </w:p>
        </w:tc>
        <w:tc>
          <w:tcPr>
            <w:tcW w:w="1386" w:type="dxa"/>
            <w:vAlign w:val="center"/>
          </w:tcPr>
          <w:p w14:paraId="738A03D3">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0.025</w:t>
            </w:r>
          </w:p>
        </w:tc>
        <w:tc>
          <w:tcPr>
            <w:tcW w:w="1386" w:type="dxa"/>
            <w:vAlign w:val="center"/>
          </w:tcPr>
          <w:p w14:paraId="0B921915">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w:t>
            </w:r>
            <w:r>
              <w:rPr>
                <w:rFonts w:hint="default" w:ascii="Times New Roman" w:hAnsi="Times New Roman" w:eastAsia="宋体" w:cs="Times New Roman"/>
                <w:color w:val="auto"/>
                <w:kern w:val="0"/>
                <w:sz w:val="18"/>
                <w:szCs w:val="18"/>
                <w:lang w:val="en-US" w:eastAsia="zh-CN"/>
              </w:rPr>
              <w:t>15</w:t>
            </w:r>
          </w:p>
        </w:tc>
        <w:tc>
          <w:tcPr>
            <w:tcW w:w="1387" w:type="dxa"/>
            <w:vAlign w:val="center"/>
          </w:tcPr>
          <w:p w14:paraId="38AE58E7">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1C9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774FFB0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540L</w:t>
            </w:r>
            <w:r>
              <w:rPr>
                <w:rFonts w:hint="default" w:ascii="Times New Roman" w:hAnsi="Times New Roman" w:eastAsia="宋体" w:cs="Times New Roman"/>
                <w:color w:val="auto"/>
                <w:sz w:val="18"/>
                <w:szCs w:val="18"/>
                <w:highlight w:val="none"/>
                <w:lang w:val="en-US" w:eastAsia="zh-CN"/>
              </w:rPr>
              <w:t>F</w:t>
            </w:r>
          </w:p>
        </w:tc>
        <w:tc>
          <w:tcPr>
            <w:tcW w:w="1348" w:type="dxa"/>
            <w:vAlign w:val="center"/>
          </w:tcPr>
          <w:p w14:paraId="5091241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0.12</w:t>
            </w:r>
          </w:p>
        </w:tc>
        <w:tc>
          <w:tcPr>
            <w:tcW w:w="1348" w:type="dxa"/>
            <w:vAlign w:val="center"/>
          </w:tcPr>
          <w:p w14:paraId="183EF02B">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0.35</w:t>
            </w:r>
          </w:p>
        </w:tc>
        <w:tc>
          <w:tcPr>
            <w:tcW w:w="1365" w:type="dxa"/>
            <w:vAlign w:val="center"/>
          </w:tcPr>
          <w:p w14:paraId="2759F60D">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r>
              <w:rPr>
                <w:rFonts w:hint="default" w:ascii="Times New Roman" w:hAnsi="Times New Roman" w:eastAsia="宋体" w:cs="Times New Roman"/>
                <w:color w:val="auto"/>
                <w:kern w:val="0"/>
                <w:sz w:val="18"/>
                <w:szCs w:val="18"/>
                <w:lang w:val="en-US" w:eastAsia="zh-CN"/>
              </w:rPr>
              <w:t>70</w:t>
            </w:r>
          </w:p>
        </w:tc>
        <w:tc>
          <w:tcPr>
            <w:tcW w:w="1386" w:type="dxa"/>
            <w:vAlign w:val="center"/>
          </w:tcPr>
          <w:p w14:paraId="70DE5E31">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0.020</w:t>
            </w:r>
          </w:p>
        </w:tc>
        <w:tc>
          <w:tcPr>
            <w:tcW w:w="1386" w:type="dxa"/>
            <w:vAlign w:val="center"/>
          </w:tcPr>
          <w:p w14:paraId="0EB64C1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w:t>
            </w:r>
            <w:r>
              <w:rPr>
                <w:rFonts w:hint="default" w:ascii="Times New Roman" w:hAnsi="Times New Roman" w:eastAsia="宋体" w:cs="Times New Roman"/>
                <w:color w:val="auto"/>
                <w:kern w:val="0"/>
                <w:sz w:val="18"/>
                <w:szCs w:val="18"/>
                <w:lang w:val="en-US" w:eastAsia="zh-CN"/>
              </w:rPr>
              <w:t>0</w:t>
            </w:r>
          </w:p>
        </w:tc>
        <w:tc>
          <w:tcPr>
            <w:tcW w:w="1387" w:type="dxa"/>
            <w:vAlign w:val="center"/>
          </w:tcPr>
          <w:p w14:paraId="5B0A7E78">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57E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50" w:type="dxa"/>
            <w:vAlign w:val="center"/>
          </w:tcPr>
          <w:p w14:paraId="4579190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590L</w:t>
            </w:r>
            <w:r>
              <w:rPr>
                <w:rFonts w:hint="default" w:ascii="Times New Roman" w:hAnsi="Times New Roman" w:eastAsia="宋体" w:cs="Times New Roman"/>
                <w:color w:val="auto"/>
                <w:sz w:val="18"/>
                <w:szCs w:val="18"/>
                <w:highlight w:val="none"/>
                <w:lang w:val="en-US" w:eastAsia="zh-CN"/>
              </w:rPr>
              <w:t>F</w:t>
            </w:r>
          </w:p>
        </w:tc>
        <w:tc>
          <w:tcPr>
            <w:tcW w:w="1348" w:type="dxa"/>
            <w:vAlign w:val="center"/>
          </w:tcPr>
          <w:p w14:paraId="10008B97">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0.12</w:t>
            </w:r>
          </w:p>
        </w:tc>
        <w:tc>
          <w:tcPr>
            <w:tcW w:w="1348" w:type="dxa"/>
            <w:vAlign w:val="center"/>
          </w:tcPr>
          <w:p w14:paraId="24A209A6">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0.50</w:t>
            </w:r>
          </w:p>
        </w:tc>
        <w:tc>
          <w:tcPr>
            <w:tcW w:w="1365" w:type="dxa"/>
            <w:vAlign w:val="center"/>
          </w:tcPr>
          <w:p w14:paraId="1B479DEC">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r>
              <w:rPr>
                <w:rFonts w:hint="default" w:ascii="Times New Roman" w:hAnsi="Times New Roman" w:eastAsia="宋体" w:cs="Times New Roman"/>
                <w:color w:val="auto"/>
                <w:kern w:val="0"/>
                <w:sz w:val="18"/>
                <w:szCs w:val="18"/>
                <w:lang w:val="en-US" w:eastAsia="zh-CN"/>
              </w:rPr>
              <w:t>70</w:t>
            </w:r>
          </w:p>
        </w:tc>
        <w:tc>
          <w:tcPr>
            <w:tcW w:w="1386" w:type="dxa"/>
            <w:vAlign w:val="center"/>
          </w:tcPr>
          <w:p w14:paraId="7C401A2F">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0.020</w:t>
            </w:r>
          </w:p>
        </w:tc>
        <w:tc>
          <w:tcPr>
            <w:tcW w:w="1386" w:type="dxa"/>
            <w:vAlign w:val="center"/>
          </w:tcPr>
          <w:p w14:paraId="2EB00DAB">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w:t>
            </w:r>
            <w:r>
              <w:rPr>
                <w:rFonts w:hint="default" w:ascii="Times New Roman" w:hAnsi="Times New Roman" w:eastAsia="宋体" w:cs="Times New Roman"/>
                <w:color w:val="auto"/>
                <w:kern w:val="0"/>
                <w:sz w:val="18"/>
                <w:szCs w:val="18"/>
                <w:lang w:val="en-US" w:eastAsia="zh-CN"/>
              </w:rPr>
              <w:t>0</w:t>
            </w:r>
          </w:p>
        </w:tc>
        <w:tc>
          <w:tcPr>
            <w:tcW w:w="1387" w:type="dxa"/>
            <w:vAlign w:val="center"/>
          </w:tcPr>
          <w:p w14:paraId="07B42A2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3942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14:paraId="3E7D8CE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650L</w:t>
            </w:r>
            <w:r>
              <w:rPr>
                <w:rFonts w:hint="default" w:ascii="Times New Roman" w:hAnsi="Times New Roman" w:eastAsia="宋体" w:cs="Times New Roman"/>
                <w:color w:val="auto"/>
                <w:sz w:val="18"/>
                <w:szCs w:val="18"/>
                <w:highlight w:val="none"/>
                <w:lang w:val="en-US" w:eastAsia="zh-CN"/>
              </w:rPr>
              <w:t>F</w:t>
            </w:r>
          </w:p>
        </w:tc>
        <w:tc>
          <w:tcPr>
            <w:tcW w:w="1348" w:type="dxa"/>
            <w:vAlign w:val="center"/>
          </w:tcPr>
          <w:p w14:paraId="6ADF7F36">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0.12</w:t>
            </w:r>
          </w:p>
        </w:tc>
        <w:tc>
          <w:tcPr>
            <w:tcW w:w="1348" w:type="dxa"/>
            <w:vAlign w:val="center"/>
          </w:tcPr>
          <w:p w14:paraId="5AEA406C">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0.5</w:t>
            </w:r>
            <w:r>
              <w:rPr>
                <w:rFonts w:hint="default" w:ascii="Times New Roman" w:hAnsi="Times New Roman" w:eastAsia="宋体" w:cs="Times New Roman"/>
                <w:color w:val="auto"/>
                <w:kern w:val="0"/>
                <w:sz w:val="18"/>
                <w:szCs w:val="18"/>
                <w:lang w:val="en-US" w:eastAsia="zh-CN"/>
              </w:rPr>
              <w:t>5</w:t>
            </w:r>
          </w:p>
        </w:tc>
        <w:tc>
          <w:tcPr>
            <w:tcW w:w="1365" w:type="dxa"/>
            <w:vAlign w:val="center"/>
          </w:tcPr>
          <w:p w14:paraId="13812A4F">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2.00</w:t>
            </w:r>
          </w:p>
        </w:tc>
        <w:tc>
          <w:tcPr>
            <w:tcW w:w="1386" w:type="dxa"/>
            <w:vAlign w:val="center"/>
          </w:tcPr>
          <w:p w14:paraId="1C449449">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0.020</w:t>
            </w:r>
          </w:p>
        </w:tc>
        <w:tc>
          <w:tcPr>
            <w:tcW w:w="1386" w:type="dxa"/>
            <w:vAlign w:val="center"/>
          </w:tcPr>
          <w:p w14:paraId="65CDE49A">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c>
          <w:tcPr>
            <w:tcW w:w="1387" w:type="dxa"/>
            <w:vAlign w:val="center"/>
          </w:tcPr>
          <w:p w14:paraId="2A186607">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527D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DCADA5">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700L</w:t>
            </w:r>
            <w:r>
              <w:rPr>
                <w:rFonts w:hint="default" w:ascii="Times New Roman" w:hAnsi="Times New Roman" w:eastAsia="宋体" w:cs="Times New Roman"/>
                <w:color w:val="auto"/>
                <w:sz w:val="18"/>
                <w:szCs w:val="18"/>
                <w:highlight w:val="none"/>
                <w:lang w:val="en-US" w:eastAsia="zh-CN"/>
              </w:rPr>
              <w:t>F</w:t>
            </w:r>
          </w:p>
        </w:tc>
        <w:tc>
          <w:tcPr>
            <w:tcW w:w="0" w:type="auto"/>
            <w:vAlign w:val="center"/>
          </w:tcPr>
          <w:p w14:paraId="03EE61BA">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0.12</w:t>
            </w:r>
          </w:p>
        </w:tc>
        <w:tc>
          <w:tcPr>
            <w:tcW w:w="0" w:type="auto"/>
            <w:vAlign w:val="center"/>
          </w:tcPr>
          <w:p w14:paraId="3BB856A8">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0.55</w:t>
            </w:r>
          </w:p>
        </w:tc>
        <w:tc>
          <w:tcPr>
            <w:tcW w:w="0" w:type="auto"/>
            <w:vAlign w:val="center"/>
          </w:tcPr>
          <w:p w14:paraId="5E2B3554">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2.00</w:t>
            </w:r>
          </w:p>
        </w:tc>
        <w:tc>
          <w:tcPr>
            <w:tcW w:w="0" w:type="auto"/>
            <w:vAlign w:val="center"/>
          </w:tcPr>
          <w:p w14:paraId="12BC2B90">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0.020</w:t>
            </w:r>
          </w:p>
        </w:tc>
        <w:tc>
          <w:tcPr>
            <w:tcW w:w="0" w:type="auto"/>
            <w:vAlign w:val="center"/>
          </w:tcPr>
          <w:p w14:paraId="674AFD82">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c>
          <w:tcPr>
            <w:tcW w:w="0" w:type="auto"/>
            <w:vAlign w:val="center"/>
          </w:tcPr>
          <w:p w14:paraId="611CA006">
            <w:pPr>
              <w:keepNext w:val="0"/>
              <w:keepLines w:val="0"/>
              <w:pageBreakBefore w:val="0"/>
              <w:widowControl/>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0.010</w:t>
            </w:r>
          </w:p>
        </w:tc>
      </w:tr>
      <w:tr w14:paraId="7113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7"/>
            <w:vAlign w:val="center"/>
          </w:tcPr>
          <w:p w14:paraId="1F5071C7">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360" w:firstLineChars="200"/>
              <w:jc w:val="both"/>
              <w:textAlignment w:val="auto"/>
              <w:rPr>
                <w:rFonts w:hint="default" w:ascii="Times New Roman" w:hAnsi="Times New Roman" w:eastAsia="宋体" w:cs="Times New Roman"/>
                <w:color w:val="auto"/>
                <w:kern w:val="0"/>
                <w:sz w:val="18"/>
                <w:szCs w:val="18"/>
                <w:highlight w:val="none"/>
              </w:rPr>
            </w:pPr>
            <w:r>
              <w:rPr>
                <w:rFonts w:hint="default" w:ascii="Times New Roman" w:hAnsi="Times New Roman" w:cs="Times New Roman" w:eastAsiaTheme="minorEastAsia"/>
                <w:color w:val="auto"/>
                <w:kern w:val="0"/>
                <w:sz w:val="18"/>
                <w:szCs w:val="18"/>
                <w:highlight w:val="none"/>
                <w:vertAlign w:val="superscript"/>
              </w:rPr>
              <w:t>a</w:t>
            </w:r>
            <w:r>
              <w:rPr>
                <w:rFonts w:hint="default" w:ascii="Times New Roman" w:hAnsi="Times New Roman" w:cs="Times New Roman" w:eastAsiaTheme="minorEastAsia"/>
                <w:color w:val="auto"/>
                <w:kern w:val="0"/>
                <w:sz w:val="18"/>
                <w:szCs w:val="18"/>
                <w:highlight w:val="none"/>
              </w:rPr>
              <w:t>当采用全铝（Alt）含量表示时，Alt用不小于0.0</w:t>
            </w:r>
            <w:r>
              <w:rPr>
                <w:rFonts w:hint="default" w:ascii="Times New Roman" w:hAnsi="Times New Roman" w:cs="Times New Roman" w:eastAsiaTheme="minorEastAsia"/>
                <w:color w:val="auto"/>
                <w:kern w:val="0"/>
                <w:sz w:val="18"/>
                <w:szCs w:val="18"/>
                <w:highlight w:val="none"/>
                <w:lang w:val="en-US" w:eastAsia="zh-CN"/>
              </w:rPr>
              <w:t>15</w:t>
            </w:r>
            <w:r>
              <w:rPr>
                <w:rFonts w:hint="default" w:ascii="Times New Roman" w:hAnsi="Times New Roman" w:cs="Times New Roman" w:eastAsiaTheme="minorEastAsia"/>
                <w:color w:val="auto"/>
                <w:kern w:val="0"/>
                <w:sz w:val="18"/>
                <w:szCs w:val="18"/>
                <w:highlight w:val="none"/>
              </w:rPr>
              <w:t>%。</w:t>
            </w:r>
          </w:p>
        </w:tc>
      </w:tr>
    </w:tbl>
    <w:p w14:paraId="1E917634">
      <w:pPr>
        <w:pStyle w:val="52"/>
        <w:numPr>
          <w:ilvl w:val="2"/>
          <w:numId w:val="3"/>
        </w:numPr>
        <w:spacing w:beforeLines="0" w:afterLines="0"/>
        <w:rPr>
          <w:rFonts w:ascii="Times New Roman" w:eastAsia="宋体"/>
        </w:rPr>
      </w:pPr>
      <w:r>
        <w:rPr>
          <w:rFonts w:ascii="Times New Roman" w:eastAsia="宋体"/>
        </w:rPr>
        <w:t>钢的成品化学成分允许偏差应符合GB/T 222的规定。</w:t>
      </w:r>
    </w:p>
    <w:p w14:paraId="1DAF40A6">
      <w:pPr>
        <w:pStyle w:val="52"/>
        <w:numPr>
          <w:ilvl w:val="2"/>
          <w:numId w:val="3"/>
        </w:numPr>
        <w:spacing w:beforeLines="0" w:afterLines="0"/>
        <w:jc w:val="both"/>
        <w:rPr>
          <w:rFonts w:ascii="Times New Roman" w:eastAsia="宋体"/>
        </w:rPr>
      </w:pPr>
      <w:r>
        <w:rPr>
          <w:rFonts w:ascii="Times New Roman" w:eastAsia="宋体"/>
        </w:rPr>
        <w:t>为改善钢材的综合性能，可加</w:t>
      </w:r>
      <w:r>
        <w:rPr>
          <w:rFonts w:ascii="Times New Roman" w:eastAsia="宋体"/>
          <w:color w:val="auto"/>
        </w:rPr>
        <w:t>入钒、铌、钛、铬、钼、镍、铜等合金</w:t>
      </w:r>
      <w:r>
        <w:rPr>
          <w:rFonts w:ascii="Times New Roman" w:eastAsia="宋体"/>
        </w:rPr>
        <w:t>元素，其含量与用户协商后，可应质量证明书上注明</w:t>
      </w:r>
      <w:r>
        <w:rPr>
          <w:rFonts w:hint="eastAsia" w:ascii="Times New Roman" w:eastAsia="宋体"/>
        </w:rPr>
        <w:t>。</w:t>
      </w:r>
    </w:p>
    <w:p w14:paraId="06717EF2">
      <w:pPr>
        <w:pStyle w:val="52"/>
        <w:numPr>
          <w:ilvl w:val="2"/>
          <w:numId w:val="3"/>
        </w:numPr>
        <w:spacing w:beforeLines="0" w:afterLines="0"/>
        <w:jc w:val="both"/>
        <w:rPr>
          <w:rFonts w:ascii="Times New Roman" w:eastAsia="宋体"/>
        </w:rPr>
      </w:pPr>
      <w:r>
        <w:rPr>
          <w:rFonts w:ascii="Times New Roman" w:eastAsia="宋体"/>
        </w:rPr>
        <w:t>经供需双方协商，并在合同中注明，可供应其他牌号和化学成分的钢板。</w:t>
      </w:r>
    </w:p>
    <w:p w14:paraId="1E4E329E">
      <w:pPr>
        <w:pStyle w:val="49"/>
        <w:numPr>
          <w:ilvl w:val="1"/>
          <w:numId w:val="3"/>
        </w:numPr>
        <w:spacing w:before="156" w:after="156"/>
        <w:ind w:left="0"/>
        <w:rPr>
          <w:rFonts w:ascii="Times New Roman"/>
        </w:rPr>
      </w:pPr>
      <w:bookmarkStart w:id="15" w:name="_Toc520380396"/>
      <w:r>
        <w:rPr>
          <w:rFonts w:ascii="Times New Roman"/>
        </w:rPr>
        <w:t>力学性能和工艺性能</w:t>
      </w:r>
    </w:p>
    <w:p w14:paraId="62D2D970">
      <w:pPr>
        <w:pStyle w:val="52"/>
        <w:numPr>
          <w:ilvl w:val="2"/>
          <w:numId w:val="3"/>
        </w:numPr>
        <w:spacing w:beforeLines="0" w:afterLines="0"/>
        <w:jc w:val="both"/>
        <w:rPr>
          <w:rFonts w:ascii="Times New Roman" w:eastAsia="宋体"/>
        </w:rPr>
      </w:pPr>
      <w:bookmarkStart w:id="16" w:name="_Hlk155354690"/>
      <w:bookmarkStart w:id="17" w:name="_Hlk59116979"/>
      <w:r>
        <w:rPr>
          <w:rFonts w:ascii="Times New Roman" w:eastAsia="宋体"/>
        </w:rPr>
        <w:t>钢板</w:t>
      </w:r>
      <w:r>
        <w:rPr>
          <w:rFonts w:hint="eastAsia" w:ascii="Times New Roman" w:eastAsia="宋体"/>
          <w:lang w:val="en-US" w:eastAsia="zh-CN"/>
        </w:rPr>
        <w:t>及钢带</w:t>
      </w:r>
      <w:r>
        <w:rPr>
          <w:rFonts w:ascii="Times New Roman" w:eastAsia="宋体"/>
        </w:rPr>
        <w:t>的力学性能和工艺性能应符合表2的规定</w:t>
      </w:r>
      <w:bookmarkEnd w:id="16"/>
      <w:r>
        <w:rPr>
          <w:rFonts w:ascii="Times New Roman" w:eastAsia="宋体"/>
        </w:rPr>
        <w:t>。</w:t>
      </w:r>
    </w:p>
    <w:bookmarkEnd w:id="17"/>
    <w:p w14:paraId="371660B0">
      <w:pPr>
        <w:pStyle w:val="79"/>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ascii="Times New Roman"/>
        </w:rPr>
      </w:pPr>
      <w:r>
        <w:rPr>
          <w:rFonts w:ascii="Times New Roman"/>
        </w:rPr>
        <w:t>力学性能和工艺性能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711"/>
        <w:gridCol w:w="1796"/>
        <w:gridCol w:w="1416"/>
        <w:gridCol w:w="2738"/>
      </w:tblGrid>
      <w:tr w14:paraId="058E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9" w:type="dxa"/>
            <w:vMerge w:val="restart"/>
            <w:vAlign w:val="center"/>
          </w:tcPr>
          <w:p w14:paraId="5BA81F9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牌号</w:t>
            </w:r>
          </w:p>
        </w:tc>
        <w:tc>
          <w:tcPr>
            <w:tcW w:w="4923" w:type="dxa"/>
            <w:gridSpan w:val="3"/>
            <w:vAlign w:val="center"/>
          </w:tcPr>
          <w:p w14:paraId="5854A30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拉伸试验</w:t>
            </w:r>
            <w:r>
              <w:rPr>
                <w:rFonts w:hint="default" w:ascii="Times New Roman" w:hAnsi="Times New Roman" w:eastAsia="宋体" w:cs="Times New Roman"/>
                <w:color w:val="auto"/>
                <w:sz w:val="18"/>
                <w:szCs w:val="18"/>
                <w:highlight w:val="none"/>
                <w:vertAlign w:val="superscript"/>
                <w:lang w:val="en-US" w:eastAsia="zh-CN"/>
              </w:rPr>
              <w:t>a</w:t>
            </w:r>
          </w:p>
        </w:tc>
        <w:tc>
          <w:tcPr>
            <w:tcW w:w="2738" w:type="dxa"/>
            <w:vAlign w:val="center"/>
          </w:tcPr>
          <w:p w14:paraId="12B61B9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180°弯曲试验</w:t>
            </w:r>
            <w:r>
              <w:rPr>
                <w:rFonts w:hint="default" w:ascii="Times New Roman" w:hAnsi="Times New Roman" w:eastAsia="宋体" w:cs="Times New Roman"/>
                <w:color w:val="auto"/>
                <w:sz w:val="18"/>
                <w:szCs w:val="18"/>
                <w:highlight w:val="none"/>
                <w:vertAlign w:val="superscript"/>
                <w:lang w:val="en-US" w:eastAsia="zh-CN"/>
              </w:rPr>
              <w:t>d</w:t>
            </w:r>
          </w:p>
        </w:tc>
      </w:tr>
      <w:tr w14:paraId="216E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909" w:type="dxa"/>
            <w:vMerge w:val="continue"/>
            <w:vAlign w:val="center"/>
          </w:tcPr>
          <w:p w14:paraId="4FC40E3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p>
        </w:tc>
        <w:tc>
          <w:tcPr>
            <w:tcW w:w="1711" w:type="dxa"/>
            <w:vAlign w:val="center"/>
          </w:tcPr>
          <w:p w14:paraId="6EABA84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下</w:t>
            </w:r>
            <w:r>
              <w:rPr>
                <w:rFonts w:hint="default" w:ascii="Times New Roman" w:hAnsi="Times New Roman" w:eastAsia="宋体" w:cs="Times New Roman"/>
                <w:color w:val="auto"/>
                <w:sz w:val="18"/>
                <w:szCs w:val="18"/>
                <w:highlight w:val="none"/>
              </w:rPr>
              <w:t>屈服强度</w:t>
            </w:r>
            <w:r>
              <w:rPr>
                <w:rFonts w:hint="default" w:ascii="Times New Roman" w:hAnsi="Times New Roman" w:eastAsia="宋体" w:cs="Times New Roman"/>
                <w:color w:val="auto"/>
                <w:sz w:val="18"/>
                <w:szCs w:val="18"/>
                <w:highlight w:val="none"/>
                <w:vertAlign w:val="superscript"/>
                <w:lang w:val="en-US" w:eastAsia="zh-CN"/>
              </w:rPr>
              <w:t>b</w:t>
            </w:r>
          </w:p>
          <w:p w14:paraId="574E351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R</w:t>
            </w:r>
            <w:r>
              <w:rPr>
                <w:rFonts w:hint="default" w:ascii="Times New Roman" w:hAnsi="Times New Roman" w:eastAsia="宋体" w:cs="Times New Roman"/>
                <w:color w:val="auto"/>
                <w:sz w:val="18"/>
                <w:szCs w:val="18"/>
                <w:highlight w:val="none"/>
                <w:vertAlign w:val="subscript"/>
              </w:rPr>
              <w:t>e</w:t>
            </w:r>
            <w:r>
              <w:rPr>
                <w:rFonts w:hint="default" w:ascii="Times New Roman" w:hAnsi="Times New Roman" w:eastAsia="宋体" w:cs="Times New Roman"/>
                <w:color w:val="auto"/>
                <w:sz w:val="18"/>
                <w:szCs w:val="18"/>
                <w:highlight w:val="none"/>
                <w:vertAlign w:val="subscript"/>
                <w:lang w:val="en-US" w:eastAsia="zh-CN"/>
              </w:rPr>
              <w:t>L</w:t>
            </w:r>
            <w:r>
              <w:rPr>
                <w:rFonts w:hint="default" w:ascii="Times New Roman" w:hAnsi="Times New Roman" w:eastAsia="宋体" w:cs="Times New Roman"/>
                <w:color w:val="auto"/>
                <w:sz w:val="18"/>
                <w:szCs w:val="18"/>
                <w:highlight w:val="none"/>
              </w:rPr>
              <w:t>/MPa</w:t>
            </w:r>
          </w:p>
        </w:tc>
        <w:tc>
          <w:tcPr>
            <w:tcW w:w="1796" w:type="dxa"/>
            <w:vAlign w:val="center"/>
          </w:tcPr>
          <w:p w14:paraId="357A9B9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抗拉强度</w:t>
            </w:r>
          </w:p>
          <w:p w14:paraId="17CCDBD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R</w:t>
            </w:r>
            <w:r>
              <w:rPr>
                <w:rFonts w:hint="default" w:ascii="Times New Roman" w:hAnsi="Times New Roman" w:eastAsia="宋体" w:cs="Times New Roman"/>
                <w:color w:val="auto"/>
                <w:sz w:val="18"/>
                <w:szCs w:val="18"/>
                <w:highlight w:val="none"/>
                <w:vertAlign w:val="subscript"/>
              </w:rPr>
              <w:t>m</w:t>
            </w:r>
            <w:r>
              <w:rPr>
                <w:rFonts w:hint="default" w:ascii="Times New Roman" w:hAnsi="Times New Roman" w:eastAsia="宋体" w:cs="Times New Roman"/>
                <w:color w:val="auto"/>
                <w:sz w:val="18"/>
                <w:szCs w:val="18"/>
                <w:highlight w:val="none"/>
              </w:rPr>
              <w:t>/MPa</w:t>
            </w:r>
          </w:p>
        </w:tc>
        <w:tc>
          <w:tcPr>
            <w:tcW w:w="1416" w:type="dxa"/>
            <w:vAlign w:val="center"/>
          </w:tcPr>
          <w:p w14:paraId="2BBDCE3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断后伸长率</w:t>
            </w:r>
            <w:r>
              <w:rPr>
                <w:rFonts w:hint="default" w:ascii="Times New Roman" w:hAnsi="Times New Roman" w:eastAsia="宋体" w:cs="Times New Roman"/>
                <w:color w:val="auto"/>
                <w:sz w:val="18"/>
                <w:szCs w:val="18"/>
                <w:highlight w:val="none"/>
                <w:vertAlign w:val="superscript"/>
                <w:lang w:val="en-US" w:eastAsia="zh-CN"/>
              </w:rPr>
              <w:t>c</w:t>
            </w:r>
          </w:p>
          <w:p w14:paraId="258746B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A</w:t>
            </w:r>
            <w:r>
              <w:rPr>
                <w:rFonts w:hint="default" w:ascii="Times New Roman" w:hAnsi="Times New Roman" w:eastAsia="宋体" w:cs="Times New Roman"/>
                <w:color w:val="auto"/>
                <w:sz w:val="18"/>
                <w:szCs w:val="18"/>
                <w:highlight w:val="none"/>
              </w:rPr>
              <w:t>/%</w:t>
            </w:r>
          </w:p>
        </w:tc>
        <w:tc>
          <w:tcPr>
            <w:tcW w:w="2738" w:type="dxa"/>
            <w:vAlign w:val="center"/>
          </w:tcPr>
          <w:p w14:paraId="2432F1F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弯曲压头直径</w:t>
            </w:r>
          </w:p>
          <w:p w14:paraId="5AB6216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eastAsia="宋体" w:cs="Times New Roman"/>
                <w:color w:val="auto"/>
                <w:sz w:val="18"/>
                <w:szCs w:val="18"/>
                <w:highlight w:val="none"/>
                <w:lang w:val="en-US" w:eastAsia="zh-CN"/>
              </w:rPr>
              <w:t>/mm</w:t>
            </w:r>
          </w:p>
        </w:tc>
      </w:tr>
      <w:tr w14:paraId="55DF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7F0CE53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380L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7CA98C3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rPr>
              <w:t>5</w:t>
            </w:r>
          </w:p>
        </w:tc>
        <w:tc>
          <w:tcPr>
            <w:tcW w:w="1796" w:type="dxa"/>
            <w:vAlign w:val="center"/>
          </w:tcPr>
          <w:p w14:paraId="0772DB1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380～480</w:t>
            </w:r>
          </w:p>
        </w:tc>
        <w:tc>
          <w:tcPr>
            <w:tcW w:w="1416" w:type="dxa"/>
            <w:vAlign w:val="center"/>
          </w:tcPr>
          <w:p w14:paraId="3E8B1ED4">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≥28</w:t>
            </w:r>
          </w:p>
        </w:tc>
        <w:tc>
          <w:tcPr>
            <w:tcW w:w="2738" w:type="dxa"/>
            <w:vAlign w:val="center"/>
          </w:tcPr>
          <w:p w14:paraId="7E7D65C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i/>
                <w:iCs/>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1.0</w:t>
            </w:r>
            <w:r>
              <w:rPr>
                <w:rFonts w:hint="default" w:ascii="Times New Roman" w:hAnsi="Times New Roman" w:eastAsia="宋体" w:cs="Times New Roman"/>
                <w:i/>
                <w:iCs/>
                <w:color w:val="auto"/>
                <w:sz w:val="18"/>
                <w:szCs w:val="18"/>
                <w:highlight w:val="none"/>
              </w:rPr>
              <w:t>a</w:t>
            </w:r>
          </w:p>
        </w:tc>
      </w:tr>
      <w:tr w14:paraId="29AE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2857222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420L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0B8E8CA6">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≥290</w:t>
            </w:r>
          </w:p>
        </w:tc>
        <w:tc>
          <w:tcPr>
            <w:tcW w:w="1796" w:type="dxa"/>
            <w:vAlign w:val="center"/>
          </w:tcPr>
          <w:p w14:paraId="20C19594">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420～520</w:t>
            </w:r>
          </w:p>
        </w:tc>
        <w:tc>
          <w:tcPr>
            <w:tcW w:w="1416" w:type="dxa"/>
            <w:vAlign w:val="center"/>
          </w:tcPr>
          <w:p w14:paraId="7636EEF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val="en-US" w:eastAsia="zh-CN"/>
              </w:rPr>
              <w:t>8</w:t>
            </w:r>
          </w:p>
        </w:tc>
        <w:tc>
          <w:tcPr>
            <w:tcW w:w="2738" w:type="dxa"/>
            <w:vAlign w:val="center"/>
          </w:tcPr>
          <w:p w14:paraId="6481E0B4">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1.0</w:t>
            </w:r>
            <w:r>
              <w:rPr>
                <w:rFonts w:hint="default" w:ascii="Times New Roman" w:hAnsi="Times New Roman" w:eastAsia="宋体" w:cs="Times New Roman"/>
                <w:i/>
                <w:iCs/>
                <w:color w:val="auto"/>
                <w:sz w:val="18"/>
                <w:szCs w:val="18"/>
                <w:highlight w:val="none"/>
              </w:rPr>
              <w:t>a</w:t>
            </w:r>
          </w:p>
        </w:tc>
      </w:tr>
      <w:tr w14:paraId="3C1C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17789BB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440L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325DFDA6">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295</w:t>
            </w:r>
          </w:p>
        </w:tc>
        <w:tc>
          <w:tcPr>
            <w:tcW w:w="1796" w:type="dxa"/>
            <w:vAlign w:val="center"/>
          </w:tcPr>
          <w:p w14:paraId="392B3C7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440～540</w:t>
            </w:r>
          </w:p>
        </w:tc>
        <w:tc>
          <w:tcPr>
            <w:tcW w:w="1416" w:type="dxa"/>
            <w:vAlign w:val="center"/>
          </w:tcPr>
          <w:p w14:paraId="525A454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≥26</w:t>
            </w:r>
          </w:p>
        </w:tc>
        <w:tc>
          <w:tcPr>
            <w:tcW w:w="2738" w:type="dxa"/>
            <w:vAlign w:val="center"/>
          </w:tcPr>
          <w:p w14:paraId="455D79D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1.0</w:t>
            </w:r>
            <w:r>
              <w:rPr>
                <w:rFonts w:hint="default" w:ascii="Times New Roman" w:hAnsi="Times New Roman" w:eastAsia="宋体" w:cs="Times New Roman"/>
                <w:i/>
                <w:iCs/>
                <w:color w:val="auto"/>
                <w:sz w:val="18"/>
                <w:szCs w:val="18"/>
                <w:highlight w:val="none"/>
              </w:rPr>
              <w:t>a</w:t>
            </w:r>
          </w:p>
        </w:tc>
      </w:tr>
      <w:tr w14:paraId="2EAF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0D1D603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490L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235B36F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val="en-US" w:eastAsia="zh-CN"/>
              </w:rPr>
              <w:t>25</w:t>
            </w:r>
          </w:p>
        </w:tc>
        <w:tc>
          <w:tcPr>
            <w:tcW w:w="1796" w:type="dxa"/>
            <w:vAlign w:val="center"/>
          </w:tcPr>
          <w:p w14:paraId="58CD2DD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490～600</w:t>
            </w:r>
          </w:p>
        </w:tc>
        <w:tc>
          <w:tcPr>
            <w:tcW w:w="1416" w:type="dxa"/>
            <w:vAlign w:val="center"/>
          </w:tcPr>
          <w:p w14:paraId="4F397C5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val="en-US" w:eastAsia="zh-CN"/>
              </w:rPr>
              <w:t>5</w:t>
            </w:r>
          </w:p>
        </w:tc>
        <w:tc>
          <w:tcPr>
            <w:tcW w:w="2738" w:type="dxa"/>
            <w:vAlign w:val="center"/>
          </w:tcPr>
          <w:p w14:paraId="0C04ACC1">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1.5</w:t>
            </w:r>
            <w:r>
              <w:rPr>
                <w:rFonts w:hint="default" w:ascii="Times New Roman" w:hAnsi="Times New Roman" w:eastAsia="宋体" w:cs="Times New Roman"/>
                <w:i/>
                <w:iCs/>
                <w:color w:val="auto"/>
                <w:sz w:val="18"/>
                <w:szCs w:val="18"/>
                <w:highlight w:val="none"/>
              </w:rPr>
              <w:t>a</w:t>
            </w:r>
          </w:p>
        </w:tc>
      </w:tr>
      <w:tr w14:paraId="2524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75D75D07">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540L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5E58120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val="en-US" w:eastAsia="zh-CN"/>
              </w:rPr>
              <w:t>55</w:t>
            </w:r>
          </w:p>
        </w:tc>
        <w:tc>
          <w:tcPr>
            <w:tcW w:w="1796" w:type="dxa"/>
            <w:vAlign w:val="center"/>
          </w:tcPr>
          <w:p w14:paraId="472DFDC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540～650</w:t>
            </w:r>
          </w:p>
        </w:tc>
        <w:tc>
          <w:tcPr>
            <w:tcW w:w="1416" w:type="dxa"/>
            <w:vAlign w:val="center"/>
          </w:tcPr>
          <w:p w14:paraId="33D8C6FE">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eastAsia="宋体" w:cs="Times New Roman"/>
                <w:color w:val="auto"/>
                <w:sz w:val="18"/>
                <w:szCs w:val="18"/>
                <w:highlight w:val="none"/>
                <w:lang w:val="en-US" w:eastAsia="zh-CN"/>
              </w:rPr>
              <w:t>3</w:t>
            </w:r>
          </w:p>
        </w:tc>
        <w:tc>
          <w:tcPr>
            <w:tcW w:w="2738" w:type="dxa"/>
            <w:vAlign w:val="center"/>
          </w:tcPr>
          <w:p w14:paraId="5FA95EF6">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1.5</w:t>
            </w:r>
            <w:r>
              <w:rPr>
                <w:rFonts w:hint="default" w:ascii="Times New Roman" w:hAnsi="Times New Roman" w:eastAsia="宋体" w:cs="Times New Roman"/>
                <w:i/>
                <w:iCs/>
                <w:color w:val="auto"/>
                <w:sz w:val="18"/>
                <w:szCs w:val="18"/>
                <w:highlight w:val="none"/>
              </w:rPr>
              <w:t>a</w:t>
            </w:r>
          </w:p>
        </w:tc>
      </w:tr>
      <w:tr w14:paraId="14FF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2D32C79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590L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04E12AD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≥420</w:t>
            </w:r>
          </w:p>
        </w:tc>
        <w:tc>
          <w:tcPr>
            <w:tcW w:w="1796" w:type="dxa"/>
            <w:vAlign w:val="center"/>
          </w:tcPr>
          <w:p w14:paraId="4EEAA7D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590～710</w:t>
            </w:r>
          </w:p>
        </w:tc>
        <w:tc>
          <w:tcPr>
            <w:tcW w:w="1416" w:type="dxa"/>
            <w:vAlign w:val="center"/>
          </w:tcPr>
          <w:p w14:paraId="0E93006F">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0</w:t>
            </w:r>
          </w:p>
        </w:tc>
        <w:tc>
          <w:tcPr>
            <w:tcW w:w="2738" w:type="dxa"/>
            <w:vAlign w:val="center"/>
          </w:tcPr>
          <w:p w14:paraId="69C8EF9D">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1.5</w:t>
            </w:r>
            <w:r>
              <w:rPr>
                <w:rFonts w:hint="default" w:ascii="Times New Roman" w:hAnsi="Times New Roman" w:eastAsia="宋体" w:cs="Times New Roman"/>
                <w:i/>
                <w:iCs/>
                <w:color w:val="auto"/>
                <w:sz w:val="18"/>
                <w:szCs w:val="18"/>
                <w:highlight w:val="none"/>
              </w:rPr>
              <w:t>a</w:t>
            </w:r>
            <w:bookmarkStart w:id="37" w:name="_GoBack"/>
            <w:bookmarkEnd w:id="37"/>
          </w:p>
        </w:tc>
      </w:tr>
      <w:tr w14:paraId="3969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403D1DBA">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650L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1C0D7B7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≥500</w:t>
            </w:r>
          </w:p>
        </w:tc>
        <w:tc>
          <w:tcPr>
            <w:tcW w:w="1796" w:type="dxa"/>
            <w:vAlign w:val="center"/>
          </w:tcPr>
          <w:p w14:paraId="6DCCD74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650～770</w:t>
            </w:r>
          </w:p>
        </w:tc>
        <w:tc>
          <w:tcPr>
            <w:tcW w:w="1416" w:type="dxa"/>
            <w:vAlign w:val="center"/>
          </w:tcPr>
          <w:p w14:paraId="6559DABC">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w:t>
            </w:r>
            <w:r>
              <w:rPr>
                <w:rFonts w:hint="default" w:ascii="Times New Roman" w:hAnsi="Times New Roman" w:eastAsia="宋体" w:cs="Times New Roman"/>
                <w:color w:val="auto"/>
                <w:sz w:val="18"/>
                <w:szCs w:val="18"/>
                <w:highlight w:val="none"/>
                <w:lang w:val="en-US" w:eastAsia="zh-CN"/>
              </w:rPr>
              <w:t>8</w:t>
            </w:r>
          </w:p>
        </w:tc>
        <w:tc>
          <w:tcPr>
            <w:tcW w:w="2738" w:type="dxa"/>
            <w:vAlign w:val="center"/>
          </w:tcPr>
          <w:p w14:paraId="759B0973">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1.5</w:t>
            </w:r>
            <w:r>
              <w:rPr>
                <w:rFonts w:hint="default" w:ascii="Times New Roman" w:hAnsi="Times New Roman" w:eastAsia="宋体" w:cs="Times New Roman"/>
                <w:i/>
                <w:iCs/>
                <w:color w:val="auto"/>
                <w:sz w:val="18"/>
                <w:szCs w:val="18"/>
                <w:highlight w:val="none"/>
              </w:rPr>
              <w:t>a</w:t>
            </w:r>
          </w:p>
        </w:tc>
      </w:tr>
      <w:tr w14:paraId="7D13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14:paraId="70F28D45">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700L</w:t>
            </w:r>
            <w:r>
              <w:rPr>
                <w:rFonts w:hint="default" w:ascii="Times New Roman" w:hAnsi="Times New Roman" w:eastAsia="宋体" w:cs="Times New Roman"/>
                <w:color w:val="auto"/>
                <w:sz w:val="18"/>
                <w:szCs w:val="18"/>
                <w:highlight w:val="none"/>
                <w:lang w:val="en-US" w:eastAsia="zh-CN"/>
              </w:rPr>
              <w:t>F</w:t>
            </w:r>
          </w:p>
        </w:tc>
        <w:tc>
          <w:tcPr>
            <w:tcW w:w="1711" w:type="dxa"/>
            <w:vAlign w:val="center"/>
          </w:tcPr>
          <w:p w14:paraId="43BD96C9">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≥550</w:t>
            </w:r>
          </w:p>
        </w:tc>
        <w:tc>
          <w:tcPr>
            <w:tcW w:w="1796" w:type="dxa"/>
            <w:vAlign w:val="center"/>
          </w:tcPr>
          <w:p w14:paraId="5C0DCB90">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700～830</w:t>
            </w:r>
          </w:p>
        </w:tc>
        <w:tc>
          <w:tcPr>
            <w:tcW w:w="1416" w:type="dxa"/>
            <w:vAlign w:val="center"/>
          </w:tcPr>
          <w:p w14:paraId="562DECD8">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6</w:t>
            </w:r>
          </w:p>
        </w:tc>
        <w:tc>
          <w:tcPr>
            <w:tcW w:w="2738" w:type="dxa"/>
            <w:vAlign w:val="center"/>
          </w:tcPr>
          <w:p w14:paraId="7B237E02">
            <w:pPr>
              <w:keepNext w:val="0"/>
              <w:keepLines w:val="0"/>
              <w:pageBreakBefore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iCs/>
                <w:color w:val="auto"/>
                <w:sz w:val="18"/>
                <w:szCs w:val="18"/>
                <w:highlight w:val="none"/>
              </w:rPr>
              <w:t>D</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2.0</w:t>
            </w:r>
            <w:r>
              <w:rPr>
                <w:rFonts w:hint="default" w:ascii="Times New Roman" w:hAnsi="Times New Roman" w:eastAsia="宋体" w:cs="Times New Roman"/>
                <w:i/>
                <w:iCs/>
                <w:color w:val="auto"/>
                <w:sz w:val="18"/>
                <w:szCs w:val="18"/>
                <w:highlight w:val="none"/>
              </w:rPr>
              <w:t>a</w:t>
            </w:r>
          </w:p>
        </w:tc>
      </w:tr>
      <w:tr w14:paraId="19E7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5"/>
            <w:vAlign w:val="center"/>
          </w:tcPr>
          <w:p w14:paraId="5D15237C">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vertAlign w:val="superscript"/>
                <w:lang w:val="en-US" w:eastAsia="zh-CN"/>
              </w:rPr>
              <w:t>a</w:t>
            </w:r>
            <w:r>
              <w:rPr>
                <w:rFonts w:hint="default" w:ascii="Times New Roman" w:hAnsi="Times New Roman" w:cs="Times New Roman" w:eastAsiaTheme="minorEastAsia"/>
                <w:color w:val="auto"/>
                <w:kern w:val="0"/>
                <w:sz w:val="18"/>
                <w:szCs w:val="18"/>
                <w:lang w:val="en-US" w:eastAsia="zh-CN"/>
              </w:rPr>
              <w:t>拉伸试验和弯曲试验采用横向试样。</w:t>
            </w:r>
          </w:p>
          <w:p w14:paraId="18ECD062">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vertAlign w:val="superscript"/>
                <w:lang w:val="en-US" w:eastAsia="zh-CN"/>
              </w:rPr>
              <w:t>b</w:t>
            </w:r>
            <w:r>
              <w:rPr>
                <w:rFonts w:hint="default" w:ascii="Times New Roman" w:hAnsi="Times New Roman" w:cs="Times New Roman" w:eastAsiaTheme="minorEastAsia"/>
                <w:color w:val="auto"/>
                <w:kern w:val="0"/>
                <w:sz w:val="18"/>
                <w:szCs w:val="18"/>
                <w:lang w:val="en-US" w:eastAsia="zh-CN"/>
              </w:rPr>
              <w:t>屈服现象不明显时，可采用规定塑性延伸强度</w:t>
            </w:r>
            <w:r>
              <w:rPr>
                <w:rFonts w:hint="default" w:ascii="Times New Roman" w:hAnsi="Times New Roman" w:cs="Times New Roman" w:eastAsiaTheme="minorEastAsia"/>
                <w:i/>
                <w:iCs/>
                <w:color w:val="auto"/>
                <w:kern w:val="0"/>
                <w:sz w:val="18"/>
                <w:szCs w:val="18"/>
                <w:lang w:val="en-US" w:eastAsia="zh-CN"/>
              </w:rPr>
              <w:t>R</w:t>
            </w:r>
            <w:r>
              <w:rPr>
                <w:rFonts w:hint="default" w:ascii="Times New Roman" w:hAnsi="Times New Roman" w:cs="Times New Roman" w:eastAsiaTheme="minorEastAsia"/>
                <w:color w:val="auto"/>
                <w:kern w:val="0"/>
                <w:sz w:val="18"/>
                <w:szCs w:val="18"/>
                <w:vertAlign w:val="subscript"/>
                <w:lang w:val="en-US" w:eastAsia="zh-CN"/>
              </w:rPr>
              <w:t>p0.2</w:t>
            </w:r>
            <w:r>
              <w:rPr>
                <w:rFonts w:hint="default" w:ascii="Times New Roman" w:hAnsi="Times New Roman" w:cs="Times New Roman" w:eastAsiaTheme="minorEastAsia"/>
                <w:color w:val="auto"/>
                <w:kern w:val="0"/>
                <w:sz w:val="18"/>
                <w:szCs w:val="18"/>
                <w:lang w:val="en-US" w:eastAsia="zh-CN"/>
              </w:rPr>
              <w:t>代替</w:t>
            </w:r>
            <w:r>
              <w:rPr>
                <w:rFonts w:hint="default" w:ascii="Times New Roman" w:hAnsi="Times New Roman" w:cs="Times New Roman" w:eastAsiaTheme="minorEastAsia"/>
                <w:i/>
                <w:iCs/>
                <w:color w:val="auto"/>
                <w:kern w:val="0"/>
                <w:sz w:val="18"/>
                <w:szCs w:val="18"/>
                <w:lang w:val="en-US" w:eastAsia="zh-CN"/>
              </w:rPr>
              <w:t>R</w:t>
            </w:r>
            <w:r>
              <w:rPr>
                <w:rFonts w:hint="default" w:ascii="Times New Roman" w:hAnsi="Times New Roman" w:cs="Times New Roman" w:eastAsiaTheme="minorEastAsia"/>
                <w:color w:val="auto"/>
                <w:kern w:val="0"/>
                <w:sz w:val="18"/>
                <w:szCs w:val="18"/>
                <w:vertAlign w:val="subscript"/>
                <w:lang w:val="en-US" w:eastAsia="zh-CN"/>
              </w:rPr>
              <w:t>eL</w:t>
            </w:r>
            <w:r>
              <w:rPr>
                <w:rFonts w:hint="default" w:ascii="Times New Roman" w:hAnsi="Times New Roman" w:cs="Times New Roman" w:eastAsiaTheme="minorEastAsia"/>
                <w:color w:val="auto"/>
                <w:kern w:val="0"/>
                <w:sz w:val="18"/>
                <w:szCs w:val="18"/>
                <w:lang w:val="en-US" w:eastAsia="zh-CN"/>
              </w:rPr>
              <w:t>。</w:t>
            </w:r>
          </w:p>
          <w:p w14:paraId="3FAE300E">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vertAlign w:val="superscript"/>
                <w:lang w:val="en-US" w:eastAsia="zh-CN"/>
              </w:rPr>
              <w:t>c</w:t>
            </w:r>
            <w:r>
              <w:rPr>
                <w:rFonts w:hint="default" w:ascii="Times New Roman" w:hAnsi="Times New Roman" w:cs="Times New Roman" w:eastAsiaTheme="minorEastAsia"/>
                <w:color w:val="auto"/>
                <w:kern w:val="0"/>
                <w:sz w:val="18"/>
                <w:szCs w:val="18"/>
                <w:lang w:val="en-US" w:eastAsia="zh-CN"/>
              </w:rPr>
              <w:t>厚度6.0mm～10.0mm的钢板和钢带断后伸长率允许较规定值降低1%；厚度大于10mm的钢板和钢带断后伸长率允许较规定值降低2%。</w:t>
            </w:r>
          </w:p>
          <w:p w14:paraId="4EB3E1A5">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cs="Times New Roman" w:eastAsiaTheme="minorEastAsia"/>
                <w:color w:val="auto"/>
                <w:kern w:val="0"/>
                <w:sz w:val="18"/>
                <w:szCs w:val="18"/>
                <w:highlight w:val="yellow"/>
              </w:rPr>
            </w:pPr>
            <w:r>
              <w:rPr>
                <w:rFonts w:hint="default" w:ascii="Times New Roman" w:hAnsi="Times New Roman" w:cs="Times New Roman" w:eastAsiaTheme="minorEastAsia"/>
                <w:color w:val="auto"/>
                <w:kern w:val="0"/>
                <w:sz w:val="18"/>
                <w:szCs w:val="18"/>
                <w:vertAlign w:val="superscript"/>
                <w:lang w:val="en-US" w:eastAsia="zh-CN"/>
              </w:rPr>
              <w:t>d</w:t>
            </w:r>
            <w:r>
              <w:rPr>
                <w:rFonts w:hint="default" w:ascii="Times New Roman" w:hAnsi="Times New Roman" w:cs="Times New Roman" w:eastAsiaTheme="minorEastAsia"/>
                <w:i/>
                <w:iCs/>
                <w:color w:val="auto"/>
                <w:kern w:val="0"/>
                <w:sz w:val="18"/>
                <w:szCs w:val="18"/>
                <w:lang w:val="en-US" w:eastAsia="zh-CN"/>
              </w:rPr>
              <w:t>D</w:t>
            </w:r>
            <w:r>
              <w:rPr>
                <w:rFonts w:hint="default" w:ascii="Times New Roman" w:hAnsi="Times New Roman" w:cs="Times New Roman" w:eastAsiaTheme="minorEastAsia"/>
                <w:color w:val="auto"/>
                <w:kern w:val="0"/>
                <w:sz w:val="18"/>
                <w:szCs w:val="18"/>
                <w:lang w:val="en-US" w:eastAsia="zh-CN"/>
              </w:rPr>
              <w:t>为弯曲压头直径，</w:t>
            </w:r>
            <w:r>
              <w:rPr>
                <w:rFonts w:hint="default" w:ascii="Times New Roman" w:hAnsi="Times New Roman" w:eastAsia="宋体" w:cs="Times New Roman"/>
                <w:i/>
                <w:iCs/>
                <w:color w:val="auto"/>
                <w:sz w:val="18"/>
                <w:szCs w:val="18"/>
                <w:highlight w:val="none"/>
                <w:lang w:val="en-US" w:eastAsia="zh-CN"/>
              </w:rPr>
              <w:t>a</w:t>
            </w:r>
            <w:r>
              <w:rPr>
                <w:rFonts w:hint="default" w:ascii="Times New Roman" w:hAnsi="Times New Roman" w:cs="Times New Roman" w:eastAsiaTheme="minorEastAsia"/>
                <w:color w:val="auto"/>
                <w:kern w:val="0"/>
                <w:sz w:val="18"/>
                <w:szCs w:val="18"/>
                <w:lang w:val="en-US" w:eastAsia="zh-CN"/>
              </w:rPr>
              <w:t>为试样厚度，弯曲试样宽度</w:t>
            </w:r>
            <w:r>
              <w:rPr>
                <w:rFonts w:hint="default" w:ascii="Times New Roman" w:hAnsi="Times New Roman" w:eastAsia="宋体" w:cs="Times New Roman"/>
                <w:i/>
                <w:iCs/>
                <w:color w:val="auto"/>
                <w:sz w:val="18"/>
                <w:szCs w:val="18"/>
                <w:highlight w:val="none"/>
                <w:lang w:val="en-US" w:eastAsia="zh-CN"/>
              </w:rPr>
              <w:t>b</w:t>
            </w:r>
            <w:r>
              <w:rPr>
                <w:rFonts w:hint="default" w:ascii="Times New Roman" w:hAnsi="Times New Roman" w:cs="Times New Roman" w:eastAsiaTheme="minorEastAsia"/>
                <w:color w:val="auto"/>
                <w:kern w:val="0"/>
                <w:sz w:val="18"/>
                <w:szCs w:val="18"/>
                <w:lang w:val="en-US" w:eastAsia="zh-CN"/>
              </w:rPr>
              <w:t>=35mm。</w:t>
            </w:r>
          </w:p>
        </w:tc>
      </w:tr>
    </w:tbl>
    <w:p w14:paraId="6B6390CF">
      <w:pPr>
        <w:pStyle w:val="52"/>
        <w:numPr>
          <w:ilvl w:val="2"/>
          <w:numId w:val="3"/>
        </w:numPr>
        <w:spacing w:beforeLines="0" w:afterLines="0"/>
      </w:pPr>
      <w:r>
        <w:rPr>
          <w:rFonts w:hint="eastAsia" w:ascii="宋体" w:hAnsi="宋体" w:eastAsia="宋体" w:cs="宋体"/>
          <w:color w:val="000000"/>
          <w:kern w:val="0"/>
          <w:sz w:val="20"/>
          <w:szCs w:val="20"/>
          <w:lang w:val="en-US" w:eastAsia="zh-CN" w:bidi="ar"/>
        </w:rPr>
        <w:t>弯曲试验后，试样的外侧面不应有目视可见的裂纹</w:t>
      </w:r>
    </w:p>
    <w:p w14:paraId="54455835">
      <w:pPr>
        <w:pStyle w:val="49"/>
        <w:numPr>
          <w:ilvl w:val="1"/>
          <w:numId w:val="3"/>
        </w:numPr>
        <w:spacing w:before="156" w:after="156"/>
        <w:ind w:left="0"/>
        <w:rPr>
          <w:rFonts w:ascii="Times New Roman"/>
        </w:rPr>
      </w:pPr>
      <w:r>
        <w:rPr>
          <w:rFonts w:ascii="Times New Roman"/>
        </w:rPr>
        <w:t>高倍检验</w:t>
      </w:r>
    </w:p>
    <w:p w14:paraId="74C37024">
      <w:pPr>
        <w:pStyle w:val="52"/>
        <w:numPr>
          <w:ilvl w:val="0"/>
          <w:numId w:val="0"/>
        </w:numPr>
        <w:spacing w:beforeLines="0" w:afterLines="0"/>
        <w:ind w:leftChars="0" w:firstLine="420" w:firstLineChars="200"/>
        <w:rPr>
          <w:rFonts w:ascii="Times New Roman" w:eastAsia="宋体"/>
        </w:rPr>
      </w:pPr>
      <w:bookmarkStart w:id="18" w:name="_Hlk155354752"/>
      <w:r>
        <w:rPr>
          <w:rFonts w:ascii="Times New Roman" w:eastAsia="宋体"/>
        </w:rPr>
        <w:t>经供需双方协商，并在合同中注明，可进行下列高倍检验</w:t>
      </w:r>
      <w:bookmarkEnd w:id="18"/>
      <w:r>
        <w:rPr>
          <w:rFonts w:ascii="Times New Roman" w:eastAsia="宋体"/>
        </w:rPr>
        <w:t>：</w:t>
      </w:r>
    </w:p>
    <w:p w14:paraId="2565DA43">
      <w:pPr>
        <w:pStyle w:val="23"/>
        <w:rPr>
          <w:rFonts w:ascii="Times New Roman"/>
        </w:rPr>
      </w:pPr>
      <w:bookmarkStart w:id="19" w:name="_Hlk155354767"/>
      <w:r>
        <w:rPr>
          <w:rFonts w:ascii="Times New Roman"/>
        </w:rPr>
        <w:t>a）钢板</w:t>
      </w:r>
      <w:r>
        <w:rPr>
          <w:rFonts w:hint="eastAsia" w:ascii="Times New Roman" w:eastAsia="宋体"/>
          <w:lang w:val="en-US" w:eastAsia="zh-CN"/>
        </w:rPr>
        <w:t>及钢带</w:t>
      </w:r>
      <w:r>
        <w:rPr>
          <w:rFonts w:ascii="Times New Roman"/>
        </w:rPr>
        <w:t>的晶粒度应不小于8级，</w:t>
      </w:r>
      <w:r>
        <w:rPr>
          <w:rFonts w:hint="eastAsia" w:ascii="Times New Roman"/>
          <w:lang w:val="en-US" w:eastAsia="zh-CN"/>
        </w:rPr>
        <w:t>两个试样上晶粒度最大级别与最小级别差不超过</w:t>
      </w:r>
      <w:r>
        <w:rPr>
          <w:rFonts w:ascii="Times New Roman"/>
        </w:rPr>
        <w:t>3级。供方若能保证可不进行校验。</w:t>
      </w:r>
    </w:p>
    <w:p w14:paraId="5AFD2A8B">
      <w:pPr>
        <w:pStyle w:val="23"/>
        <w:rPr>
          <w:rFonts w:ascii="Times New Roman"/>
        </w:rPr>
      </w:pPr>
      <w:r>
        <w:rPr>
          <w:rFonts w:ascii="Times New Roman"/>
        </w:rPr>
        <w:t>b）钢板</w:t>
      </w:r>
      <w:r>
        <w:rPr>
          <w:rFonts w:hint="eastAsia" w:ascii="Times New Roman" w:eastAsia="宋体"/>
          <w:lang w:val="en-US" w:eastAsia="zh-CN"/>
        </w:rPr>
        <w:t>及钢带</w:t>
      </w:r>
      <w:r>
        <w:rPr>
          <w:rFonts w:ascii="Times New Roman"/>
        </w:rPr>
        <w:t>的带状组织一般不大于2级，大于2级但不大于3级的钢板</w:t>
      </w:r>
      <w:r>
        <w:rPr>
          <w:rFonts w:hint="eastAsia" w:ascii="Times New Roman" w:eastAsia="宋体"/>
          <w:lang w:val="en-US" w:eastAsia="zh-CN"/>
        </w:rPr>
        <w:t>及钢带</w:t>
      </w:r>
      <w:r>
        <w:rPr>
          <w:rFonts w:ascii="Times New Roman"/>
        </w:rPr>
        <w:t>也可交货。</w:t>
      </w:r>
    </w:p>
    <w:p w14:paraId="76F781B1">
      <w:pPr>
        <w:pStyle w:val="49"/>
        <w:numPr>
          <w:ilvl w:val="1"/>
          <w:numId w:val="3"/>
        </w:numPr>
        <w:spacing w:before="156" w:after="156"/>
        <w:ind w:left="0"/>
        <w:rPr>
          <w:rFonts w:ascii="Times New Roman"/>
        </w:rPr>
      </w:pPr>
      <w:r>
        <w:rPr>
          <w:rFonts w:hint="eastAsia" w:ascii="Times New Roman"/>
          <w:lang w:val="en-US" w:eastAsia="zh-CN"/>
        </w:rPr>
        <w:t>非金属夹杂物</w:t>
      </w:r>
    </w:p>
    <w:p w14:paraId="0FB86508">
      <w:pPr>
        <w:pStyle w:val="23"/>
        <w:rPr>
          <w:rFonts w:hint="eastAsia" w:ascii="Times New Roman"/>
          <w:lang w:val="en-US" w:eastAsia="zh-CN"/>
        </w:rPr>
      </w:pPr>
      <w:r>
        <w:rPr>
          <w:rFonts w:hint="eastAsia" w:ascii="Times New Roman"/>
          <w:lang w:val="en-US" w:eastAsia="zh-CN"/>
        </w:rPr>
        <w:t>钢板及钢带的非金属夹杂物合格级别应不大于表3的规定。</w:t>
      </w:r>
    </w:p>
    <w:p w14:paraId="79F0532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3</w:t>
      </w:r>
      <w:r>
        <w:rPr>
          <w:rFonts w:hint="eastAsia" w:ascii="黑体" w:hAnsi="黑体" w:eastAsia="黑体" w:cs="黑体"/>
          <w:color w:val="auto"/>
          <w:szCs w:val="21"/>
        </w:rPr>
        <w:t xml:space="preserve"> </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非金属夹杂物</w:t>
      </w:r>
      <w:r>
        <w:rPr>
          <w:rFonts w:hint="eastAsia" w:ascii="黑体" w:hAnsi="黑体" w:eastAsia="黑体" w:cs="黑体"/>
          <w:color w:val="auto"/>
          <w:szCs w:val="21"/>
          <w:lang w:val="en-US" w:eastAsia="zh-CN"/>
        </w:rPr>
        <w:t>级别</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764"/>
        <w:gridCol w:w="736"/>
        <w:gridCol w:w="837"/>
        <w:gridCol w:w="792"/>
        <w:gridCol w:w="727"/>
        <w:gridCol w:w="745"/>
        <w:gridCol w:w="736"/>
        <w:gridCol w:w="727"/>
        <w:gridCol w:w="681"/>
      </w:tblGrid>
      <w:tr w14:paraId="37CA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Merge w:val="restart"/>
            <w:noWrap w:val="0"/>
            <w:vAlign w:val="center"/>
          </w:tcPr>
          <w:p w14:paraId="4D2F18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lang w:val="en-US" w:eastAsia="zh-CN"/>
              </w:rPr>
            </w:pPr>
            <w:r>
              <w:rPr>
                <w:rFonts w:hint="default" w:ascii="Times New Roman" w:hAnsi="Times New Roman" w:eastAsia="SimSun-Identity-H" w:cs="Times New Roman"/>
                <w:color w:val="auto"/>
                <w:sz w:val="18"/>
                <w:lang w:val="en-US" w:eastAsia="zh-CN"/>
              </w:rPr>
              <w:t>夹杂物类型</w:t>
            </w:r>
          </w:p>
        </w:tc>
        <w:tc>
          <w:tcPr>
            <w:tcW w:w="1500" w:type="dxa"/>
            <w:gridSpan w:val="2"/>
            <w:noWrap w:val="0"/>
            <w:vAlign w:val="center"/>
          </w:tcPr>
          <w:p w14:paraId="52F072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A</w:t>
            </w:r>
          </w:p>
        </w:tc>
        <w:tc>
          <w:tcPr>
            <w:tcW w:w="1629" w:type="dxa"/>
            <w:gridSpan w:val="2"/>
            <w:noWrap w:val="0"/>
            <w:vAlign w:val="center"/>
          </w:tcPr>
          <w:p w14:paraId="220818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B</w:t>
            </w:r>
          </w:p>
        </w:tc>
        <w:tc>
          <w:tcPr>
            <w:tcW w:w="1472" w:type="dxa"/>
            <w:gridSpan w:val="2"/>
            <w:noWrap w:val="0"/>
            <w:vAlign w:val="center"/>
          </w:tcPr>
          <w:p w14:paraId="6AA4C7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C</w:t>
            </w:r>
          </w:p>
        </w:tc>
        <w:tc>
          <w:tcPr>
            <w:tcW w:w="1463" w:type="dxa"/>
            <w:gridSpan w:val="2"/>
            <w:noWrap w:val="0"/>
            <w:vAlign w:val="center"/>
          </w:tcPr>
          <w:p w14:paraId="2B5809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D</w:t>
            </w:r>
          </w:p>
        </w:tc>
        <w:tc>
          <w:tcPr>
            <w:tcW w:w="681" w:type="dxa"/>
            <w:vMerge w:val="restart"/>
            <w:noWrap w:val="0"/>
            <w:vAlign w:val="center"/>
          </w:tcPr>
          <w:p w14:paraId="4F751D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DS</w:t>
            </w:r>
          </w:p>
        </w:tc>
      </w:tr>
      <w:tr w14:paraId="07ED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Merge w:val="continue"/>
            <w:noWrap w:val="0"/>
            <w:vAlign w:val="center"/>
          </w:tcPr>
          <w:p w14:paraId="64B282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p>
        </w:tc>
        <w:tc>
          <w:tcPr>
            <w:tcW w:w="764" w:type="dxa"/>
            <w:noWrap w:val="0"/>
            <w:vAlign w:val="center"/>
          </w:tcPr>
          <w:p w14:paraId="7699B7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SimSun-Identity-H" w:cs="Times New Roman"/>
                <w:color w:val="auto"/>
                <w:sz w:val="18"/>
                <w:lang w:val="en-US" w:eastAsia="zh-CN"/>
              </w:rPr>
            </w:pPr>
            <w:r>
              <w:rPr>
                <w:rFonts w:hint="default" w:ascii="Times New Roman" w:hAnsi="Times New Roman" w:eastAsia="SimSun-Identity-H" w:cs="Times New Roman"/>
                <w:color w:val="auto"/>
                <w:sz w:val="18"/>
              </w:rPr>
              <w:t>粗</w:t>
            </w:r>
            <w:r>
              <w:rPr>
                <w:rFonts w:hint="eastAsia" w:eastAsia="SimSun-Identity-H" w:cs="Times New Roman"/>
                <w:color w:val="auto"/>
                <w:sz w:val="18"/>
                <w:lang w:val="en-US" w:eastAsia="zh-CN"/>
              </w:rPr>
              <w:t>系</w:t>
            </w:r>
          </w:p>
        </w:tc>
        <w:tc>
          <w:tcPr>
            <w:tcW w:w="736" w:type="dxa"/>
            <w:noWrap w:val="0"/>
            <w:vAlign w:val="center"/>
          </w:tcPr>
          <w:p w14:paraId="77DDCA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SimSun-Identity-H" w:cs="Times New Roman"/>
                <w:color w:val="auto"/>
                <w:sz w:val="18"/>
                <w:lang w:val="en-US" w:eastAsia="zh-CN"/>
              </w:rPr>
            </w:pPr>
            <w:r>
              <w:rPr>
                <w:rFonts w:hint="default" w:ascii="Times New Roman" w:hAnsi="Times New Roman" w:eastAsia="SimSun-Identity-H" w:cs="Times New Roman"/>
                <w:color w:val="auto"/>
                <w:sz w:val="18"/>
              </w:rPr>
              <w:t>细</w:t>
            </w:r>
            <w:r>
              <w:rPr>
                <w:rFonts w:hint="eastAsia" w:eastAsia="SimSun-Identity-H" w:cs="Times New Roman"/>
                <w:color w:val="auto"/>
                <w:sz w:val="18"/>
                <w:lang w:val="en-US" w:eastAsia="zh-CN"/>
              </w:rPr>
              <w:t>系</w:t>
            </w:r>
          </w:p>
        </w:tc>
        <w:tc>
          <w:tcPr>
            <w:tcW w:w="837" w:type="dxa"/>
            <w:noWrap w:val="0"/>
            <w:vAlign w:val="center"/>
          </w:tcPr>
          <w:p w14:paraId="5E82DB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粗</w:t>
            </w:r>
            <w:r>
              <w:rPr>
                <w:rFonts w:hint="eastAsia" w:eastAsia="SimSun-Identity-H" w:cs="Times New Roman"/>
                <w:color w:val="auto"/>
                <w:sz w:val="18"/>
                <w:lang w:val="en-US" w:eastAsia="zh-CN"/>
              </w:rPr>
              <w:t>系</w:t>
            </w:r>
          </w:p>
        </w:tc>
        <w:tc>
          <w:tcPr>
            <w:tcW w:w="792" w:type="dxa"/>
            <w:noWrap w:val="0"/>
            <w:vAlign w:val="center"/>
          </w:tcPr>
          <w:p w14:paraId="23C04F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细</w:t>
            </w:r>
            <w:r>
              <w:rPr>
                <w:rFonts w:hint="eastAsia" w:eastAsia="SimSun-Identity-H" w:cs="Times New Roman"/>
                <w:color w:val="auto"/>
                <w:sz w:val="18"/>
                <w:lang w:val="en-US" w:eastAsia="zh-CN"/>
              </w:rPr>
              <w:t>系</w:t>
            </w:r>
          </w:p>
        </w:tc>
        <w:tc>
          <w:tcPr>
            <w:tcW w:w="727" w:type="dxa"/>
            <w:noWrap w:val="0"/>
            <w:vAlign w:val="center"/>
          </w:tcPr>
          <w:p w14:paraId="6FF69D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粗</w:t>
            </w:r>
            <w:r>
              <w:rPr>
                <w:rFonts w:hint="eastAsia" w:eastAsia="SimSun-Identity-H" w:cs="Times New Roman"/>
                <w:color w:val="auto"/>
                <w:sz w:val="18"/>
                <w:lang w:val="en-US" w:eastAsia="zh-CN"/>
              </w:rPr>
              <w:t>系</w:t>
            </w:r>
          </w:p>
        </w:tc>
        <w:tc>
          <w:tcPr>
            <w:tcW w:w="745" w:type="dxa"/>
            <w:noWrap w:val="0"/>
            <w:vAlign w:val="center"/>
          </w:tcPr>
          <w:p w14:paraId="6B88C9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细</w:t>
            </w:r>
            <w:r>
              <w:rPr>
                <w:rFonts w:hint="eastAsia" w:eastAsia="SimSun-Identity-H" w:cs="Times New Roman"/>
                <w:color w:val="auto"/>
                <w:sz w:val="18"/>
                <w:lang w:val="en-US" w:eastAsia="zh-CN"/>
              </w:rPr>
              <w:t>系</w:t>
            </w:r>
          </w:p>
        </w:tc>
        <w:tc>
          <w:tcPr>
            <w:tcW w:w="736" w:type="dxa"/>
            <w:noWrap w:val="0"/>
            <w:vAlign w:val="center"/>
          </w:tcPr>
          <w:p w14:paraId="52F4A4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粗</w:t>
            </w:r>
            <w:r>
              <w:rPr>
                <w:rFonts w:hint="eastAsia" w:eastAsia="SimSun-Identity-H" w:cs="Times New Roman"/>
                <w:color w:val="auto"/>
                <w:sz w:val="18"/>
                <w:lang w:val="en-US" w:eastAsia="zh-CN"/>
              </w:rPr>
              <w:t>系</w:t>
            </w:r>
          </w:p>
        </w:tc>
        <w:tc>
          <w:tcPr>
            <w:tcW w:w="727" w:type="dxa"/>
            <w:noWrap w:val="0"/>
            <w:vAlign w:val="center"/>
          </w:tcPr>
          <w:p w14:paraId="14A6A5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rPr>
              <w:t>细</w:t>
            </w:r>
            <w:r>
              <w:rPr>
                <w:rFonts w:hint="eastAsia" w:eastAsia="SimSun-Identity-H" w:cs="Times New Roman"/>
                <w:color w:val="auto"/>
                <w:sz w:val="18"/>
                <w:lang w:val="en-US" w:eastAsia="zh-CN"/>
              </w:rPr>
              <w:t>系</w:t>
            </w:r>
          </w:p>
        </w:tc>
        <w:tc>
          <w:tcPr>
            <w:tcW w:w="681" w:type="dxa"/>
            <w:vMerge w:val="continue"/>
            <w:noWrap w:val="0"/>
            <w:vAlign w:val="center"/>
          </w:tcPr>
          <w:p w14:paraId="1C9D53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p>
        </w:tc>
      </w:tr>
      <w:tr w14:paraId="672A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noWrap w:val="0"/>
            <w:vAlign w:val="center"/>
          </w:tcPr>
          <w:p w14:paraId="7773D8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18"/>
                <w:lang w:val="en-US" w:eastAsia="zh-CN"/>
              </w:rPr>
            </w:pPr>
            <w:r>
              <w:rPr>
                <w:rFonts w:hint="default" w:ascii="Times New Roman" w:hAnsi="Times New Roman" w:cs="Times New Roman"/>
                <w:color w:val="auto"/>
                <w:sz w:val="18"/>
                <w:lang w:val="en-US" w:eastAsia="zh-CN"/>
              </w:rPr>
              <w:t>合格级别</w:t>
            </w:r>
          </w:p>
        </w:tc>
        <w:tc>
          <w:tcPr>
            <w:tcW w:w="764" w:type="dxa"/>
            <w:noWrap w:val="0"/>
            <w:vAlign w:val="center"/>
          </w:tcPr>
          <w:p w14:paraId="1A33FF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736" w:type="dxa"/>
            <w:noWrap w:val="0"/>
            <w:vAlign w:val="center"/>
          </w:tcPr>
          <w:p w14:paraId="1D9822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837" w:type="dxa"/>
            <w:noWrap w:val="0"/>
            <w:vAlign w:val="center"/>
          </w:tcPr>
          <w:p w14:paraId="20723A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792" w:type="dxa"/>
            <w:noWrap w:val="0"/>
            <w:vAlign w:val="center"/>
          </w:tcPr>
          <w:p w14:paraId="7B2E10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727" w:type="dxa"/>
            <w:noWrap w:val="0"/>
            <w:vAlign w:val="center"/>
          </w:tcPr>
          <w:p w14:paraId="35592B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745" w:type="dxa"/>
            <w:noWrap w:val="0"/>
            <w:vAlign w:val="center"/>
          </w:tcPr>
          <w:p w14:paraId="53B7C7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736" w:type="dxa"/>
            <w:noWrap w:val="0"/>
            <w:vAlign w:val="center"/>
          </w:tcPr>
          <w:p w14:paraId="1D0242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727" w:type="dxa"/>
            <w:noWrap w:val="0"/>
            <w:vAlign w:val="center"/>
          </w:tcPr>
          <w:p w14:paraId="214B5C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c>
          <w:tcPr>
            <w:tcW w:w="681" w:type="dxa"/>
            <w:noWrap w:val="0"/>
            <w:vAlign w:val="center"/>
          </w:tcPr>
          <w:p w14:paraId="57B006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SimSun-Identity-H" w:cs="Times New Roman"/>
                <w:color w:val="auto"/>
                <w:sz w:val="18"/>
              </w:rPr>
            </w:pPr>
            <w:r>
              <w:rPr>
                <w:rFonts w:hint="default" w:ascii="Times New Roman" w:hAnsi="Times New Roman" w:eastAsia="SimSun-Identity-H" w:cs="Times New Roman"/>
                <w:color w:val="auto"/>
                <w:sz w:val="18"/>
                <w:lang w:val="en-US" w:eastAsia="zh-CN"/>
              </w:rPr>
              <w:t>≤</w:t>
            </w:r>
            <w:r>
              <w:rPr>
                <w:rFonts w:hint="default" w:ascii="Times New Roman" w:hAnsi="Times New Roman" w:eastAsia="SimSun-Identity-H" w:cs="Times New Roman"/>
                <w:color w:val="auto"/>
                <w:sz w:val="18"/>
              </w:rPr>
              <w:t>2.0</w:t>
            </w:r>
          </w:p>
        </w:tc>
      </w:tr>
      <w:bookmarkEnd w:id="19"/>
    </w:tbl>
    <w:p w14:paraId="14BC228E">
      <w:pPr>
        <w:pStyle w:val="49"/>
        <w:keepNext w:val="0"/>
        <w:keepLines w:val="0"/>
        <w:pageBreakBefore w:val="0"/>
        <w:widowControl/>
        <w:numPr>
          <w:ilvl w:val="1"/>
          <w:numId w:val="3"/>
        </w:numPr>
        <w:kinsoku/>
        <w:wordWrap/>
        <w:overflowPunct/>
        <w:topLinePunct w:val="0"/>
        <w:autoSpaceDE/>
        <w:autoSpaceDN/>
        <w:bidi w:val="0"/>
        <w:adjustRightInd/>
        <w:snapToGrid/>
        <w:spacing w:before="156" w:after="156"/>
        <w:ind w:left="0"/>
        <w:textAlignment w:val="auto"/>
        <w:rPr>
          <w:rFonts w:ascii="Times New Roman"/>
        </w:rPr>
      </w:pPr>
      <w:r>
        <w:rPr>
          <w:rFonts w:ascii="Times New Roman"/>
        </w:rPr>
        <w:t>表面质量</w:t>
      </w:r>
    </w:p>
    <w:bookmarkEnd w:id="15"/>
    <w:p w14:paraId="7EE89A8C">
      <w:pPr>
        <w:pStyle w:val="52"/>
        <w:numPr>
          <w:ilvl w:val="2"/>
          <w:numId w:val="3"/>
        </w:numPr>
        <w:spacing w:beforeLines="0" w:afterLines="0"/>
        <w:jc w:val="both"/>
        <w:rPr>
          <w:rFonts w:ascii="Times New Roman" w:eastAsia="宋体"/>
        </w:rPr>
      </w:pPr>
      <w:bookmarkStart w:id="20" w:name="_Hlk155354793"/>
      <w:bookmarkStart w:id="21" w:name="_Hlk6857923"/>
      <w:bookmarkStart w:id="22" w:name="_Hlk40211994"/>
      <w:r>
        <w:rPr>
          <w:rFonts w:ascii="Times New Roman" w:eastAsia="宋体"/>
        </w:rPr>
        <w:t>钢板</w:t>
      </w:r>
      <w:r>
        <w:rPr>
          <w:rFonts w:hint="eastAsia" w:ascii="Times New Roman" w:eastAsia="宋体"/>
          <w:lang w:val="en-US" w:eastAsia="zh-CN"/>
        </w:rPr>
        <w:t>及钢带</w:t>
      </w:r>
      <w:r>
        <w:rPr>
          <w:rFonts w:ascii="Times New Roman" w:eastAsia="宋体"/>
        </w:rPr>
        <w:t>不应有气泡、结疤、裂纹、折叠、夹杂和压入氧化铁皮等影响使用的有害缺陷。钢板</w:t>
      </w:r>
      <w:r>
        <w:rPr>
          <w:rFonts w:hint="eastAsia" w:ascii="Times New Roman" w:eastAsia="宋体"/>
          <w:lang w:val="en-US" w:eastAsia="zh-CN"/>
        </w:rPr>
        <w:t>及钢带</w:t>
      </w:r>
      <w:r>
        <w:rPr>
          <w:rFonts w:ascii="Times New Roman" w:eastAsia="宋体"/>
        </w:rPr>
        <w:t>不应有目视可见的分层</w:t>
      </w:r>
      <w:bookmarkEnd w:id="20"/>
      <w:r>
        <w:rPr>
          <w:rFonts w:ascii="Times New Roman" w:eastAsia="宋体"/>
        </w:rPr>
        <w:t>。</w:t>
      </w:r>
    </w:p>
    <w:p w14:paraId="6BA4CEC4">
      <w:pPr>
        <w:pStyle w:val="52"/>
        <w:numPr>
          <w:ilvl w:val="2"/>
          <w:numId w:val="3"/>
        </w:numPr>
        <w:spacing w:beforeLines="0" w:afterLines="0"/>
        <w:jc w:val="both"/>
        <w:rPr>
          <w:rFonts w:ascii="Times New Roman" w:eastAsia="宋体"/>
        </w:rPr>
      </w:pPr>
      <w:bookmarkStart w:id="23" w:name="_Hlk155354804"/>
      <w:r>
        <w:rPr>
          <w:rFonts w:ascii="Times New Roman" w:eastAsia="宋体"/>
        </w:rPr>
        <w:t>钢板</w:t>
      </w:r>
      <w:r>
        <w:rPr>
          <w:rFonts w:hint="eastAsia" w:ascii="Times New Roman" w:eastAsia="宋体"/>
          <w:lang w:val="en-US" w:eastAsia="zh-CN"/>
        </w:rPr>
        <w:t>及钢带</w:t>
      </w:r>
      <w:r>
        <w:rPr>
          <w:rFonts w:ascii="Times New Roman" w:eastAsia="宋体"/>
        </w:rPr>
        <w:t>表面允许有不妨碍检查表面缺陷的薄层氧化铁皮、铁锈及由于压入氧化铁皮和轧辊所造成的不明显的粗糙、网纹、麻点、划痕及其他局部缺欠，但其深度不应大于钢板</w:t>
      </w:r>
      <w:r>
        <w:rPr>
          <w:rFonts w:hint="eastAsia" w:ascii="Times New Roman" w:eastAsia="宋体"/>
          <w:lang w:val="en-US" w:eastAsia="zh-CN"/>
        </w:rPr>
        <w:t>及钢带</w:t>
      </w:r>
      <w:r>
        <w:rPr>
          <w:rFonts w:ascii="Times New Roman" w:eastAsia="宋体"/>
        </w:rPr>
        <w:t>厚度的公差之半，并应保证钢板</w:t>
      </w:r>
      <w:r>
        <w:rPr>
          <w:rFonts w:hint="eastAsia" w:ascii="Times New Roman" w:eastAsia="宋体"/>
          <w:lang w:val="en-US" w:eastAsia="zh-CN"/>
        </w:rPr>
        <w:t>及钢带</w:t>
      </w:r>
      <w:r>
        <w:rPr>
          <w:rFonts w:ascii="Times New Roman" w:eastAsia="宋体"/>
        </w:rPr>
        <w:t>的最小厚度</w:t>
      </w:r>
      <w:bookmarkEnd w:id="23"/>
      <w:r>
        <w:rPr>
          <w:rFonts w:ascii="Times New Roman" w:eastAsia="宋体"/>
        </w:rPr>
        <w:t>。</w:t>
      </w:r>
    </w:p>
    <w:bookmarkEnd w:id="21"/>
    <w:p w14:paraId="6E06812A">
      <w:pPr>
        <w:pStyle w:val="52"/>
        <w:numPr>
          <w:ilvl w:val="2"/>
          <w:numId w:val="3"/>
        </w:numPr>
        <w:spacing w:beforeLines="0" w:afterLines="0"/>
        <w:jc w:val="both"/>
        <w:rPr>
          <w:rFonts w:ascii="Times New Roman" w:eastAsia="宋体"/>
        </w:rPr>
      </w:pPr>
      <w:bookmarkStart w:id="24" w:name="_Hlk155354816"/>
      <w:r>
        <w:rPr>
          <w:rFonts w:ascii="Times New Roman" w:eastAsia="宋体"/>
        </w:rPr>
        <w:t>钢板</w:t>
      </w:r>
      <w:r>
        <w:rPr>
          <w:rFonts w:hint="eastAsia" w:ascii="Times New Roman" w:eastAsia="宋体"/>
          <w:lang w:val="en-US" w:eastAsia="zh-CN"/>
        </w:rPr>
        <w:t>及钢带</w:t>
      </w:r>
      <w:r>
        <w:rPr>
          <w:rFonts w:ascii="Times New Roman" w:eastAsia="宋体"/>
        </w:rPr>
        <w:t>表面缺陷允许用修磨等方法清除，清理处应平滑无棱角，清理深度不应大于钢板</w:t>
      </w:r>
      <w:r>
        <w:rPr>
          <w:rFonts w:hint="eastAsia" w:ascii="Times New Roman" w:eastAsia="宋体"/>
          <w:lang w:val="en-US" w:eastAsia="zh-CN"/>
        </w:rPr>
        <w:t>及钢带</w:t>
      </w:r>
      <w:r>
        <w:rPr>
          <w:rFonts w:ascii="Times New Roman" w:eastAsia="宋体"/>
        </w:rPr>
        <w:t>厚度的负偏差，并应保证钢板</w:t>
      </w:r>
      <w:r>
        <w:rPr>
          <w:rFonts w:hint="eastAsia" w:ascii="Times New Roman" w:eastAsia="宋体"/>
          <w:lang w:val="en-US" w:eastAsia="zh-CN"/>
        </w:rPr>
        <w:t>及钢带</w:t>
      </w:r>
      <w:r>
        <w:rPr>
          <w:rFonts w:ascii="Times New Roman" w:eastAsia="宋体"/>
        </w:rPr>
        <w:t>允许的最小厚度</w:t>
      </w:r>
      <w:bookmarkEnd w:id="24"/>
      <w:r>
        <w:rPr>
          <w:rFonts w:ascii="Times New Roman" w:eastAsia="宋体"/>
        </w:rPr>
        <w:t>。</w:t>
      </w:r>
    </w:p>
    <w:p w14:paraId="11D07DAE">
      <w:pPr>
        <w:pStyle w:val="52"/>
        <w:numPr>
          <w:ilvl w:val="2"/>
          <w:numId w:val="3"/>
        </w:numPr>
        <w:spacing w:beforeLines="0" w:afterLines="0"/>
        <w:jc w:val="both"/>
        <w:rPr>
          <w:rFonts w:ascii="Times New Roman" w:eastAsia="宋体"/>
        </w:rPr>
      </w:pPr>
      <w:bookmarkStart w:id="25" w:name="_Hlk155354828"/>
      <w:r>
        <w:rPr>
          <w:rFonts w:ascii="Times New Roman" w:eastAsia="宋体"/>
        </w:rPr>
        <w:t>允许钢带有局部缺陷交货，但带缺陷部分不应超过每卷钢带总长度的6%</w:t>
      </w:r>
      <w:bookmarkEnd w:id="25"/>
      <w:r>
        <w:rPr>
          <w:rFonts w:ascii="Times New Roman" w:eastAsia="宋体"/>
        </w:rPr>
        <w:t>。</w:t>
      </w:r>
    </w:p>
    <w:p w14:paraId="4F1AE688">
      <w:pPr>
        <w:pStyle w:val="52"/>
        <w:numPr>
          <w:ilvl w:val="2"/>
          <w:numId w:val="3"/>
        </w:numPr>
        <w:spacing w:beforeLines="0" w:afterLines="0"/>
        <w:jc w:val="both"/>
        <w:rPr>
          <w:rFonts w:ascii="Times New Roman" w:eastAsia="宋体"/>
        </w:rPr>
      </w:pPr>
      <w:bookmarkStart w:id="26" w:name="_Hlk155354840"/>
      <w:r>
        <w:rPr>
          <w:rFonts w:ascii="Times New Roman" w:eastAsia="宋体"/>
        </w:rPr>
        <w:t>钢板</w:t>
      </w:r>
      <w:r>
        <w:rPr>
          <w:rFonts w:hint="eastAsia" w:ascii="Times New Roman" w:eastAsia="宋体"/>
          <w:lang w:val="en-US" w:eastAsia="zh-CN"/>
        </w:rPr>
        <w:t>及钢带</w:t>
      </w:r>
      <w:r>
        <w:rPr>
          <w:rFonts w:ascii="Times New Roman" w:eastAsia="宋体"/>
        </w:rPr>
        <w:t>表面质量</w:t>
      </w:r>
      <w:r>
        <w:rPr>
          <w:rFonts w:hint="eastAsia" w:ascii="Times New Roman" w:eastAsia="宋体"/>
          <w:lang w:val="en-US" w:eastAsia="zh-CN"/>
        </w:rPr>
        <w:t>等级及</w:t>
      </w:r>
      <w:r>
        <w:rPr>
          <w:rFonts w:ascii="Times New Roman" w:eastAsia="宋体"/>
        </w:rPr>
        <w:t>特征应符合表</w:t>
      </w:r>
      <w:r>
        <w:rPr>
          <w:rFonts w:hint="eastAsia" w:ascii="Times New Roman" w:eastAsia="宋体"/>
          <w:lang w:val="en-US" w:eastAsia="zh-CN"/>
        </w:rPr>
        <w:t>4</w:t>
      </w:r>
      <w:r>
        <w:rPr>
          <w:rFonts w:ascii="Times New Roman" w:eastAsia="宋体"/>
        </w:rPr>
        <w:t>的规定</w:t>
      </w:r>
      <w:bookmarkEnd w:id="26"/>
      <w:r>
        <w:rPr>
          <w:rFonts w:ascii="Times New Roman" w:eastAsia="宋体"/>
        </w:rPr>
        <w:t>。</w:t>
      </w:r>
    </w:p>
    <w:p w14:paraId="076C6A65">
      <w:pPr>
        <w:pStyle w:val="79"/>
        <w:numPr>
          <w:ilvl w:val="0"/>
          <w:numId w:val="0"/>
        </w:numPr>
        <w:spacing w:before="156" w:after="156"/>
        <w:ind w:leftChars="0"/>
        <w:jc w:val="center"/>
        <w:rPr>
          <w:rFonts w:ascii="Times New Roman"/>
        </w:rPr>
      </w:pPr>
      <w:r>
        <w:rPr>
          <w:rFonts w:hint="eastAsia" w:ascii="黑体" w:hAnsi="黑体" w:eastAsia="黑体" w:cs="黑体"/>
          <w:color w:val="auto"/>
          <w:szCs w:val="21"/>
        </w:rPr>
        <w:t>表</w:t>
      </w:r>
      <w:r>
        <w:rPr>
          <w:rFonts w:hint="eastAsia" w:hAnsi="黑体" w:cs="黑体"/>
          <w:color w:val="auto"/>
          <w:szCs w:val="21"/>
          <w:lang w:val="en-US" w:eastAsia="zh-CN"/>
        </w:rPr>
        <w:t>4</w:t>
      </w:r>
      <w:r>
        <w:rPr>
          <w:rFonts w:hint="eastAsia" w:ascii="黑体" w:hAnsi="黑体" w:eastAsia="黑体" w:cs="黑体"/>
          <w:color w:val="auto"/>
          <w:szCs w:val="21"/>
        </w:rPr>
        <w:t xml:space="preserve"> </w:t>
      </w:r>
      <w:r>
        <w:rPr>
          <w:rFonts w:hint="eastAsia" w:ascii="黑体" w:hAnsi="黑体" w:eastAsia="黑体" w:cs="黑体"/>
          <w:color w:val="auto"/>
          <w:szCs w:val="21"/>
          <w:lang w:val="en-US" w:eastAsia="zh-CN"/>
        </w:rPr>
        <w:t xml:space="preserve"> </w:t>
      </w:r>
      <w:r>
        <w:rPr>
          <w:rFonts w:ascii="Times New Roman"/>
        </w:rPr>
        <w:t>表面质量</w:t>
      </w:r>
      <w:r>
        <w:rPr>
          <w:rFonts w:hint="eastAsia" w:ascii="Times New Roman"/>
          <w:lang w:val="en-US" w:eastAsia="zh-CN"/>
        </w:rPr>
        <w:t>等级及</w:t>
      </w:r>
      <w:r>
        <w:rPr>
          <w:rFonts w:ascii="Times New Roman"/>
        </w:rPr>
        <w:t>特征</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6"/>
        <w:gridCol w:w="1302"/>
        <w:gridCol w:w="6376"/>
      </w:tblGrid>
      <w:tr w14:paraId="47F9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dxa"/>
            <w:vAlign w:val="center"/>
          </w:tcPr>
          <w:p w14:paraId="03D6A6A5">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bookmarkStart w:id="27" w:name="_Hlk155354874"/>
            <w:r>
              <w:rPr>
                <w:rFonts w:hint="default" w:ascii="Times New Roman" w:hAnsi="Times New Roman" w:eastAsia="宋体" w:cs="Times New Roman"/>
                <w:sz w:val="18"/>
                <w:szCs w:val="18"/>
              </w:rPr>
              <w:t>级别及代号</w:t>
            </w:r>
          </w:p>
        </w:tc>
        <w:tc>
          <w:tcPr>
            <w:tcW w:w="1302" w:type="dxa"/>
            <w:vAlign w:val="center"/>
          </w:tcPr>
          <w:p w14:paraId="24E33057">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表面处理方式</w:t>
            </w:r>
          </w:p>
        </w:tc>
        <w:tc>
          <w:tcPr>
            <w:tcW w:w="6376" w:type="dxa"/>
            <w:vAlign w:val="center"/>
          </w:tcPr>
          <w:p w14:paraId="6DBE40E8">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特征</w:t>
            </w:r>
          </w:p>
        </w:tc>
      </w:tr>
      <w:tr w14:paraId="55A3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dxa"/>
            <w:vAlign w:val="center"/>
          </w:tcPr>
          <w:p w14:paraId="7A48435B">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普通级表面（FA）</w:t>
            </w:r>
          </w:p>
        </w:tc>
        <w:tc>
          <w:tcPr>
            <w:tcW w:w="1302" w:type="dxa"/>
            <w:vAlign w:val="center"/>
          </w:tcPr>
          <w:p w14:paraId="33F40919">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轧制表面</w:t>
            </w:r>
          </w:p>
          <w:p w14:paraId="6CA32FED">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酸洗表面</w:t>
            </w:r>
          </w:p>
        </w:tc>
        <w:tc>
          <w:tcPr>
            <w:tcW w:w="6376" w:type="dxa"/>
            <w:vAlign w:val="center"/>
          </w:tcPr>
          <w:p w14:paraId="145C181F">
            <w:pPr>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表面允许有深度（或高度）不超过钢板</w:t>
            </w:r>
            <w:r>
              <w:rPr>
                <w:rFonts w:hint="default" w:ascii="Times New Roman" w:hAnsi="Times New Roman" w:eastAsia="宋体" w:cs="Times New Roman"/>
                <w:sz w:val="18"/>
                <w:szCs w:val="18"/>
                <w:lang w:val="en-US" w:eastAsia="zh-CN"/>
              </w:rPr>
              <w:t>或钢带</w:t>
            </w:r>
            <w:r>
              <w:rPr>
                <w:rFonts w:hint="default" w:ascii="Times New Roman" w:hAnsi="Times New Roman" w:eastAsia="宋体" w:cs="Times New Roman"/>
                <w:sz w:val="18"/>
                <w:szCs w:val="18"/>
              </w:rPr>
              <w:t>厚度公差之半的麻点、凹面、划痕等轻量、局部缺陷，但应保证钢板</w:t>
            </w:r>
            <w:r>
              <w:rPr>
                <w:rFonts w:hint="default" w:ascii="Times New Roman" w:hAnsi="Times New Roman" w:eastAsia="宋体" w:cs="Times New Roman"/>
                <w:sz w:val="18"/>
                <w:szCs w:val="18"/>
                <w:lang w:val="en-US" w:eastAsia="zh-CN"/>
              </w:rPr>
              <w:t>或钢带</w:t>
            </w:r>
            <w:r>
              <w:rPr>
                <w:rFonts w:hint="default" w:ascii="Times New Roman" w:hAnsi="Times New Roman" w:eastAsia="宋体" w:cs="Times New Roman"/>
                <w:sz w:val="18"/>
                <w:szCs w:val="18"/>
              </w:rPr>
              <w:t>允许的最小厚度；允许有轻微的锯齿边、部分为切边、欠酸洗、停车斑等局部缺陷。</w:t>
            </w:r>
          </w:p>
        </w:tc>
      </w:tr>
      <w:tr w14:paraId="1381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dxa"/>
            <w:vAlign w:val="center"/>
          </w:tcPr>
          <w:p w14:paraId="70B99743">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较高级表面（FB）</w:t>
            </w:r>
          </w:p>
        </w:tc>
        <w:tc>
          <w:tcPr>
            <w:tcW w:w="1302" w:type="dxa"/>
            <w:vAlign w:val="center"/>
          </w:tcPr>
          <w:p w14:paraId="1A1DD09E">
            <w:pPr>
              <w:keepNext w:val="0"/>
              <w:keepLines w:val="0"/>
              <w:pageBreakBefore w:val="0"/>
              <w:widowControl w:val="0"/>
              <w:numPr>
                <w:ilvl w:val="0"/>
                <w:numId w:val="0"/>
              </w:numPr>
              <w:kinsoku/>
              <w:wordWrap/>
              <w:overflowPunct/>
              <w:topLinePunct w:val="0"/>
              <w:autoSpaceDE/>
              <w:autoSpaceDN/>
              <w:bidi w:val="0"/>
              <w:adjustRightInd/>
              <w:snapToGrid/>
              <w:ind w:left="0" w:firstLine="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酸洗表面</w:t>
            </w:r>
          </w:p>
        </w:tc>
        <w:tc>
          <w:tcPr>
            <w:tcW w:w="6376" w:type="dxa"/>
            <w:vAlign w:val="center"/>
          </w:tcPr>
          <w:p w14:paraId="6022B93F">
            <w:pPr>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表面允许有不影响成形性的局部缺陷，如轻微划伤、轻微压痕、轻微麻点、轻微辊印及色差等；表面允许有涂油后不明显的轻微停车斑，不允许有欠酸洗、过酸洗等缺陷。</w:t>
            </w:r>
          </w:p>
        </w:tc>
      </w:tr>
      <w:bookmarkEnd w:id="27"/>
    </w:tbl>
    <w:p w14:paraId="5EB7AA57">
      <w:pPr>
        <w:pStyle w:val="49"/>
        <w:keepNext w:val="0"/>
        <w:keepLines w:val="0"/>
        <w:pageBreakBefore w:val="0"/>
        <w:widowControl/>
        <w:numPr>
          <w:ilvl w:val="1"/>
          <w:numId w:val="3"/>
        </w:numPr>
        <w:kinsoku/>
        <w:wordWrap/>
        <w:overflowPunct/>
        <w:topLinePunct w:val="0"/>
        <w:autoSpaceDE/>
        <w:autoSpaceDN/>
        <w:bidi w:val="0"/>
        <w:adjustRightInd/>
        <w:snapToGrid/>
        <w:spacing w:before="156" w:after="156"/>
        <w:ind w:left="0"/>
        <w:textAlignment w:val="auto"/>
        <w:rPr>
          <w:rFonts w:ascii="Times New Roman"/>
        </w:rPr>
      </w:pPr>
      <w:r>
        <w:rPr>
          <w:rFonts w:ascii="Times New Roman"/>
        </w:rPr>
        <w:t>尺寸、外形、重量</w:t>
      </w:r>
    </w:p>
    <w:p w14:paraId="167C8910">
      <w:pPr>
        <w:pStyle w:val="23"/>
        <w:ind w:left="0" w:leftChars="0" w:firstLine="420" w:firstLineChars="200"/>
        <w:rPr>
          <w:rFonts w:ascii="Times New Roman" w:eastAsiaTheme="minorEastAsia"/>
        </w:rPr>
      </w:pPr>
      <w:r>
        <w:rPr>
          <w:rFonts w:ascii="Times New Roman" w:eastAsiaTheme="minorEastAsia"/>
        </w:rPr>
        <w:t>钢板</w:t>
      </w:r>
      <w:r>
        <w:rPr>
          <w:rFonts w:hint="eastAsia" w:ascii="Times New Roman" w:eastAsia="宋体"/>
          <w:lang w:val="en-US" w:eastAsia="zh-CN"/>
        </w:rPr>
        <w:t>及钢带</w:t>
      </w:r>
      <w:r>
        <w:rPr>
          <w:rFonts w:ascii="Times New Roman" w:eastAsiaTheme="minorEastAsia"/>
        </w:rPr>
        <w:t>的尺寸、外形、重量及允许偏差应符合GB/T 709的规定。经供需双方协商，并在合同中注明，可供应其他厚度允许偏差要求的钢板</w:t>
      </w:r>
      <w:r>
        <w:rPr>
          <w:rFonts w:hint="eastAsia" w:ascii="Times New Roman" w:eastAsia="宋体"/>
          <w:lang w:val="en-US" w:eastAsia="zh-CN"/>
        </w:rPr>
        <w:t>及钢带</w:t>
      </w:r>
      <w:r>
        <w:rPr>
          <w:rFonts w:ascii="Times New Roman" w:eastAsiaTheme="minorEastAsia"/>
        </w:rPr>
        <w:t>。</w:t>
      </w:r>
    </w:p>
    <w:bookmarkEnd w:id="22"/>
    <w:p w14:paraId="7B46BDBF">
      <w:pPr>
        <w:widowControl/>
        <w:numPr>
          <w:ilvl w:val="0"/>
          <w:numId w:val="3"/>
        </w:numPr>
        <w:spacing w:before="156" w:beforeLines="50" w:after="156" w:afterLines="50"/>
        <w:outlineLvl w:val="1"/>
        <w:rPr>
          <w:rFonts w:eastAsia="黑体"/>
          <w:kern w:val="0"/>
          <w:szCs w:val="20"/>
        </w:rPr>
      </w:pPr>
      <w:r>
        <w:rPr>
          <w:rFonts w:eastAsia="黑体"/>
          <w:kern w:val="0"/>
          <w:szCs w:val="20"/>
        </w:rPr>
        <w:t>试验方法</w:t>
      </w:r>
    </w:p>
    <w:p w14:paraId="46A0F438">
      <w:pPr>
        <w:widowControl/>
        <w:numPr>
          <w:ilvl w:val="1"/>
          <w:numId w:val="3"/>
        </w:numPr>
        <w:ind w:left="0"/>
        <w:outlineLvl w:val="2"/>
        <w:rPr>
          <w:kern w:val="0"/>
          <w:szCs w:val="21"/>
        </w:rPr>
      </w:pPr>
      <w:bookmarkStart w:id="28" w:name="_Hlk155354902"/>
      <w:r>
        <w:rPr>
          <w:rFonts w:hint="default"/>
          <w:color w:val="auto"/>
          <w:kern w:val="0"/>
          <w:szCs w:val="21"/>
          <w:highlight w:val="none"/>
          <w:lang w:val="en-US" w:eastAsia="zh-CN"/>
        </w:rPr>
        <w:t>钢的化学成分一般按GB/T 223（所有部分）、GB/T 4336、GB/T 20123、GB/T 20125或通用的化学分析方法进行，仲裁时由供需双方协商确定</w:t>
      </w:r>
      <w:r>
        <w:rPr>
          <w:color w:val="auto"/>
          <w:kern w:val="0"/>
          <w:szCs w:val="21"/>
          <w:highlight w:val="none"/>
        </w:rPr>
        <w:t>。</w:t>
      </w:r>
      <w:bookmarkEnd w:id="28"/>
      <w:bookmarkStart w:id="29" w:name="_Hlk155354914"/>
    </w:p>
    <w:p w14:paraId="40F7D9A1">
      <w:pPr>
        <w:widowControl/>
        <w:numPr>
          <w:ilvl w:val="1"/>
          <w:numId w:val="3"/>
        </w:numPr>
        <w:ind w:left="0"/>
        <w:outlineLvl w:val="2"/>
        <w:rPr>
          <w:kern w:val="0"/>
          <w:szCs w:val="21"/>
        </w:rPr>
      </w:pPr>
      <w:r>
        <w:rPr>
          <w:rFonts w:ascii="Times New Roman" w:eastAsiaTheme="minorEastAsia"/>
        </w:rPr>
        <w:t>钢板</w:t>
      </w:r>
      <w:r>
        <w:rPr>
          <w:rFonts w:hint="eastAsia" w:ascii="Times New Roman" w:eastAsia="宋体"/>
          <w:lang w:val="en-US" w:eastAsia="zh-CN"/>
        </w:rPr>
        <w:t>及钢带</w:t>
      </w:r>
      <w:r>
        <w:rPr>
          <w:kern w:val="0"/>
          <w:szCs w:val="21"/>
        </w:rPr>
        <w:t>的检验项目、取样方法及试验方法应符合表</w:t>
      </w:r>
      <w:r>
        <w:rPr>
          <w:rFonts w:hint="eastAsia"/>
          <w:kern w:val="0"/>
          <w:szCs w:val="21"/>
          <w:lang w:val="en-US" w:eastAsia="zh-CN"/>
        </w:rPr>
        <w:t>5</w:t>
      </w:r>
      <w:r>
        <w:rPr>
          <w:kern w:val="0"/>
          <w:szCs w:val="21"/>
        </w:rPr>
        <w:t>规定</w:t>
      </w:r>
      <w:bookmarkEnd w:id="29"/>
      <w:r>
        <w:rPr>
          <w:kern w:val="0"/>
          <w:szCs w:val="21"/>
        </w:rPr>
        <w:t>。</w:t>
      </w:r>
    </w:p>
    <w:p w14:paraId="05253E76">
      <w:pPr>
        <w:pStyle w:val="79"/>
        <w:numPr>
          <w:ilvl w:val="0"/>
          <w:numId w:val="0"/>
        </w:numPr>
        <w:spacing w:before="156" w:after="156"/>
        <w:ind w:leftChars="0"/>
        <w:jc w:val="center"/>
        <w:rPr>
          <w:rFonts w:ascii="Times New Roman"/>
        </w:rPr>
      </w:pPr>
      <w:r>
        <w:rPr>
          <w:rFonts w:hint="eastAsia" w:ascii="黑体" w:hAnsi="黑体" w:eastAsia="黑体" w:cs="黑体"/>
          <w:color w:val="auto"/>
          <w:szCs w:val="21"/>
        </w:rPr>
        <w:t>表</w:t>
      </w:r>
      <w:r>
        <w:rPr>
          <w:rFonts w:hint="eastAsia" w:hAnsi="黑体" w:cs="黑体"/>
          <w:color w:val="auto"/>
          <w:szCs w:val="21"/>
          <w:lang w:val="en-US" w:eastAsia="zh-CN"/>
        </w:rPr>
        <w:t>5</w:t>
      </w:r>
      <w:r>
        <w:rPr>
          <w:rFonts w:hint="eastAsia" w:ascii="黑体" w:hAnsi="黑体" w:eastAsia="黑体" w:cs="黑体"/>
          <w:color w:val="auto"/>
          <w:szCs w:val="21"/>
        </w:rPr>
        <w:t xml:space="preserve"> </w:t>
      </w:r>
      <w:r>
        <w:rPr>
          <w:rFonts w:hint="eastAsia" w:ascii="黑体" w:hAnsi="黑体" w:eastAsia="黑体" w:cs="黑体"/>
          <w:color w:val="auto"/>
          <w:szCs w:val="21"/>
          <w:lang w:val="en-US" w:eastAsia="zh-CN"/>
        </w:rPr>
        <w:t xml:space="preserve"> </w:t>
      </w:r>
      <w:r>
        <w:rPr>
          <w:rFonts w:ascii="Times New Roman"/>
        </w:rPr>
        <w:t>检验项目、取样数量、取样方法及试验方法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06"/>
        <w:gridCol w:w="2303"/>
        <w:gridCol w:w="2304"/>
        <w:gridCol w:w="2304"/>
      </w:tblGrid>
      <w:tr w14:paraId="0CD7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39A9D21">
            <w:pPr>
              <w:jc w:val="center"/>
              <w:rPr>
                <w:rFonts w:eastAsiaTheme="minorEastAsia"/>
                <w:sz w:val="18"/>
                <w:szCs w:val="18"/>
              </w:rPr>
            </w:pPr>
            <w:bookmarkStart w:id="30" w:name="_Hlk155354928"/>
            <w:r>
              <w:rPr>
                <w:rFonts w:eastAsiaTheme="minorEastAsia"/>
                <w:sz w:val="18"/>
                <w:szCs w:val="18"/>
              </w:rPr>
              <w:t>序号</w:t>
            </w:r>
          </w:p>
        </w:tc>
        <w:tc>
          <w:tcPr>
            <w:tcW w:w="1706" w:type="dxa"/>
            <w:vAlign w:val="center"/>
          </w:tcPr>
          <w:p w14:paraId="36B904CF">
            <w:pPr>
              <w:jc w:val="center"/>
              <w:rPr>
                <w:rFonts w:eastAsiaTheme="minorEastAsia"/>
                <w:sz w:val="18"/>
                <w:szCs w:val="18"/>
              </w:rPr>
            </w:pPr>
            <w:r>
              <w:rPr>
                <w:rFonts w:eastAsiaTheme="minorEastAsia"/>
                <w:sz w:val="18"/>
                <w:szCs w:val="18"/>
              </w:rPr>
              <w:t>检验项目</w:t>
            </w:r>
          </w:p>
        </w:tc>
        <w:tc>
          <w:tcPr>
            <w:tcW w:w="2303" w:type="dxa"/>
            <w:vAlign w:val="center"/>
          </w:tcPr>
          <w:p w14:paraId="37F92AEF">
            <w:pPr>
              <w:jc w:val="center"/>
              <w:rPr>
                <w:rFonts w:eastAsiaTheme="minorEastAsia"/>
                <w:sz w:val="18"/>
                <w:szCs w:val="18"/>
              </w:rPr>
            </w:pPr>
            <w:r>
              <w:rPr>
                <w:rFonts w:eastAsiaTheme="minorEastAsia"/>
                <w:sz w:val="18"/>
                <w:szCs w:val="18"/>
              </w:rPr>
              <w:t>取样数量</w:t>
            </w:r>
          </w:p>
        </w:tc>
        <w:tc>
          <w:tcPr>
            <w:tcW w:w="2304" w:type="dxa"/>
            <w:vAlign w:val="center"/>
          </w:tcPr>
          <w:p w14:paraId="0A3BF9F3">
            <w:pPr>
              <w:jc w:val="center"/>
              <w:rPr>
                <w:rFonts w:eastAsiaTheme="minorEastAsia"/>
                <w:sz w:val="18"/>
                <w:szCs w:val="18"/>
              </w:rPr>
            </w:pPr>
            <w:r>
              <w:rPr>
                <w:rFonts w:eastAsiaTheme="minorEastAsia"/>
                <w:sz w:val="18"/>
                <w:szCs w:val="18"/>
              </w:rPr>
              <w:t>取样方法</w:t>
            </w:r>
          </w:p>
        </w:tc>
        <w:tc>
          <w:tcPr>
            <w:tcW w:w="2304" w:type="dxa"/>
            <w:vAlign w:val="center"/>
          </w:tcPr>
          <w:p w14:paraId="61FAC236">
            <w:pPr>
              <w:jc w:val="center"/>
              <w:rPr>
                <w:rFonts w:eastAsiaTheme="minorEastAsia"/>
                <w:sz w:val="18"/>
                <w:szCs w:val="18"/>
              </w:rPr>
            </w:pPr>
            <w:r>
              <w:rPr>
                <w:rFonts w:eastAsiaTheme="minorEastAsia"/>
                <w:sz w:val="18"/>
                <w:szCs w:val="18"/>
              </w:rPr>
              <w:t>试验方法</w:t>
            </w:r>
          </w:p>
        </w:tc>
      </w:tr>
      <w:tr w14:paraId="0DA4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2120E65A">
            <w:pPr>
              <w:jc w:val="center"/>
              <w:rPr>
                <w:rFonts w:eastAsiaTheme="minorEastAsia"/>
                <w:sz w:val="18"/>
                <w:szCs w:val="18"/>
              </w:rPr>
            </w:pPr>
            <w:r>
              <w:rPr>
                <w:rFonts w:eastAsiaTheme="minorEastAsia"/>
                <w:sz w:val="18"/>
                <w:szCs w:val="18"/>
              </w:rPr>
              <w:t>1</w:t>
            </w:r>
          </w:p>
        </w:tc>
        <w:tc>
          <w:tcPr>
            <w:tcW w:w="1706" w:type="dxa"/>
            <w:vAlign w:val="center"/>
          </w:tcPr>
          <w:p w14:paraId="16205498">
            <w:pPr>
              <w:jc w:val="center"/>
              <w:rPr>
                <w:rFonts w:eastAsiaTheme="minorEastAsia"/>
                <w:sz w:val="18"/>
                <w:szCs w:val="18"/>
              </w:rPr>
            </w:pPr>
            <w:r>
              <w:rPr>
                <w:rFonts w:eastAsiaTheme="minorEastAsia"/>
                <w:sz w:val="18"/>
                <w:szCs w:val="18"/>
              </w:rPr>
              <w:t>化学成分</w:t>
            </w:r>
          </w:p>
        </w:tc>
        <w:tc>
          <w:tcPr>
            <w:tcW w:w="2303" w:type="dxa"/>
            <w:vAlign w:val="center"/>
          </w:tcPr>
          <w:p w14:paraId="5FAB5FC1">
            <w:pPr>
              <w:jc w:val="center"/>
              <w:rPr>
                <w:rFonts w:eastAsiaTheme="minorEastAsia"/>
                <w:sz w:val="18"/>
                <w:szCs w:val="18"/>
              </w:rPr>
            </w:pPr>
            <w:r>
              <w:rPr>
                <w:rFonts w:eastAsiaTheme="minorEastAsia"/>
                <w:sz w:val="18"/>
                <w:szCs w:val="18"/>
              </w:rPr>
              <w:t>1个/炉</w:t>
            </w:r>
          </w:p>
        </w:tc>
        <w:tc>
          <w:tcPr>
            <w:tcW w:w="2304" w:type="dxa"/>
            <w:vAlign w:val="center"/>
          </w:tcPr>
          <w:p w14:paraId="2084A016">
            <w:pPr>
              <w:jc w:val="center"/>
              <w:rPr>
                <w:rFonts w:eastAsiaTheme="minorEastAsia"/>
                <w:sz w:val="18"/>
                <w:szCs w:val="18"/>
              </w:rPr>
            </w:pPr>
            <w:r>
              <w:rPr>
                <w:rFonts w:eastAsiaTheme="minorEastAsia"/>
                <w:sz w:val="18"/>
                <w:szCs w:val="18"/>
              </w:rPr>
              <w:t>GB/T 20066</w:t>
            </w:r>
          </w:p>
        </w:tc>
        <w:tc>
          <w:tcPr>
            <w:tcW w:w="2304" w:type="dxa"/>
            <w:vAlign w:val="center"/>
          </w:tcPr>
          <w:p w14:paraId="49DFA77D">
            <w:pPr>
              <w:jc w:val="center"/>
              <w:rPr>
                <w:rFonts w:eastAsiaTheme="minorEastAsia"/>
                <w:sz w:val="18"/>
                <w:szCs w:val="18"/>
              </w:rPr>
            </w:pPr>
            <w:r>
              <w:rPr>
                <w:rFonts w:eastAsiaTheme="minorEastAsia"/>
                <w:sz w:val="18"/>
                <w:szCs w:val="18"/>
              </w:rPr>
              <w:t>见7.1</w:t>
            </w:r>
          </w:p>
        </w:tc>
      </w:tr>
      <w:tr w14:paraId="59E8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0270129">
            <w:pPr>
              <w:jc w:val="center"/>
              <w:rPr>
                <w:rFonts w:eastAsiaTheme="minorEastAsia"/>
                <w:sz w:val="18"/>
                <w:szCs w:val="18"/>
              </w:rPr>
            </w:pPr>
            <w:r>
              <w:rPr>
                <w:rFonts w:eastAsiaTheme="minorEastAsia"/>
                <w:sz w:val="18"/>
                <w:szCs w:val="18"/>
              </w:rPr>
              <w:t>2</w:t>
            </w:r>
          </w:p>
        </w:tc>
        <w:tc>
          <w:tcPr>
            <w:tcW w:w="1706" w:type="dxa"/>
            <w:vAlign w:val="center"/>
          </w:tcPr>
          <w:p w14:paraId="247543F5">
            <w:pPr>
              <w:jc w:val="center"/>
              <w:rPr>
                <w:rFonts w:eastAsiaTheme="minorEastAsia"/>
                <w:sz w:val="18"/>
                <w:szCs w:val="18"/>
              </w:rPr>
            </w:pPr>
            <w:r>
              <w:rPr>
                <w:rFonts w:eastAsiaTheme="minorEastAsia"/>
                <w:sz w:val="18"/>
                <w:szCs w:val="18"/>
              </w:rPr>
              <w:t>拉伸试验</w:t>
            </w:r>
          </w:p>
        </w:tc>
        <w:tc>
          <w:tcPr>
            <w:tcW w:w="2303" w:type="dxa"/>
            <w:vAlign w:val="center"/>
          </w:tcPr>
          <w:p w14:paraId="50AD81A6">
            <w:pPr>
              <w:jc w:val="center"/>
              <w:rPr>
                <w:rFonts w:eastAsiaTheme="minorEastAsia"/>
                <w:sz w:val="18"/>
                <w:szCs w:val="18"/>
              </w:rPr>
            </w:pPr>
            <w:r>
              <w:rPr>
                <w:rFonts w:eastAsiaTheme="minorEastAsia"/>
                <w:sz w:val="18"/>
                <w:szCs w:val="18"/>
              </w:rPr>
              <w:t>1个/批</w:t>
            </w:r>
          </w:p>
        </w:tc>
        <w:tc>
          <w:tcPr>
            <w:tcW w:w="2304" w:type="dxa"/>
            <w:vAlign w:val="center"/>
          </w:tcPr>
          <w:p w14:paraId="54928EB6">
            <w:pPr>
              <w:jc w:val="center"/>
              <w:rPr>
                <w:rFonts w:eastAsiaTheme="minorEastAsia"/>
                <w:sz w:val="18"/>
                <w:szCs w:val="18"/>
              </w:rPr>
            </w:pPr>
            <w:r>
              <w:rPr>
                <w:rFonts w:eastAsiaTheme="minorEastAsia"/>
                <w:sz w:val="18"/>
                <w:szCs w:val="18"/>
              </w:rPr>
              <w:t>GB/T 2975</w:t>
            </w:r>
          </w:p>
        </w:tc>
        <w:tc>
          <w:tcPr>
            <w:tcW w:w="2304" w:type="dxa"/>
            <w:vAlign w:val="center"/>
          </w:tcPr>
          <w:p w14:paraId="167E7E0F">
            <w:pPr>
              <w:jc w:val="center"/>
              <w:rPr>
                <w:rFonts w:eastAsiaTheme="minorEastAsia"/>
                <w:sz w:val="18"/>
                <w:szCs w:val="18"/>
              </w:rPr>
            </w:pPr>
            <w:r>
              <w:rPr>
                <w:rFonts w:eastAsiaTheme="minorEastAsia"/>
                <w:sz w:val="18"/>
                <w:szCs w:val="18"/>
              </w:rPr>
              <w:t>GB/T 228.1</w:t>
            </w:r>
          </w:p>
        </w:tc>
      </w:tr>
      <w:tr w14:paraId="08DF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194EC87">
            <w:pPr>
              <w:jc w:val="center"/>
              <w:rPr>
                <w:rFonts w:eastAsiaTheme="minorEastAsia"/>
                <w:sz w:val="18"/>
                <w:szCs w:val="18"/>
              </w:rPr>
            </w:pPr>
            <w:r>
              <w:rPr>
                <w:rFonts w:eastAsiaTheme="minorEastAsia"/>
                <w:sz w:val="18"/>
                <w:szCs w:val="18"/>
              </w:rPr>
              <w:t>3</w:t>
            </w:r>
          </w:p>
        </w:tc>
        <w:tc>
          <w:tcPr>
            <w:tcW w:w="1706" w:type="dxa"/>
            <w:vAlign w:val="center"/>
          </w:tcPr>
          <w:p w14:paraId="1830AA4C">
            <w:pPr>
              <w:jc w:val="center"/>
              <w:rPr>
                <w:rFonts w:eastAsiaTheme="minorEastAsia"/>
                <w:sz w:val="18"/>
                <w:szCs w:val="18"/>
              </w:rPr>
            </w:pPr>
            <w:r>
              <w:rPr>
                <w:rFonts w:eastAsiaTheme="minorEastAsia"/>
                <w:sz w:val="18"/>
                <w:szCs w:val="18"/>
              </w:rPr>
              <w:t>弯曲试验</w:t>
            </w:r>
          </w:p>
        </w:tc>
        <w:tc>
          <w:tcPr>
            <w:tcW w:w="2303" w:type="dxa"/>
            <w:vAlign w:val="center"/>
          </w:tcPr>
          <w:p w14:paraId="47684692">
            <w:pPr>
              <w:jc w:val="center"/>
              <w:rPr>
                <w:rFonts w:eastAsiaTheme="minorEastAsia"/>
                <w:sz w:val="18"/>
                <w:szCs w:val="18"/>
              </w:rPr>
            </w:pPr>
            <w:r>
              <w:rPr>
                <w:rFonts w:eastAsiaTheme="minorEastAsia"/>
                <w:sz w:val="18"/>
                <w:szCs w:val="18"/>
              </w:rPr>
              <w:t>1个/批</w:t>
            </w:r>
          </w:p>
        </w:tc>
        <w:tc>
          <w:tcPr>
            <w:tcW w:w="2304" w:type="dxa"/>
            <w:vAlign w:val="center"/>
          </w:tcPr>
          <w:p w14:paraId="3B009C1B">
            <w:pPr>
              <w:jc w:val="center"/>
              <w:rPr>
                <w:rFonts w:eastAsiaTheme="minorEastAsia"/>
                <w:sz w:val="18"/>
                <w:szCs w:val="18"/>
              </w:rPr>
            </w:pPr>
            <w:r>
              <w:rPr>
                <w:rFonts w:eastAsiaTheme="minorEastAsia"/>
                <w:sz w:val="18"/>
                <w:szCs w:val="18"/>
              </w:rPr>
              <w:t>GB/T 2975</w:t>
            </w:r>
          </w:p>
        </w:tc>
        <w:tc>
          <w:tcPr>
            <w:tcW w:w="2304" w:type="dxa"/>
            <w:vAlign w:val="center"/>
          </w:tcPr>
          <w:p w14:paraId="647D4155">
            <w:pPr>
              <w:jc w:val="center"/>
              <w:rPr>
                <w:rFonts w:eastAsiaTheme="minorEastAsia"/>
                <w:sz w:val="18"/>
                <w:szCs w:val="18"/>
              </w:rPr>
            </w:pPr>
            <w:r>
              <w:rPr>
                <w:rFonts w:eastAsiaTheme="minorEastAsia"/>
                <w:sz w:val="18"/>
                <w:szCs w:val="18"/>
              </w:rPr>
              <w:t>GB/T 232</w:t>
            </w:r>
          </w:p>
        </w:tc>
      </w:tr>
      <w:tr w14:paraId="051C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DDABACF">
            <w:pPr>
              <w:jc w:val="center"/>
              <w:rPr>
                <w:rFonts w:eastAsiaTheme="minorEastAsia"/>
                <w:sz w:val="18"/>
                <w:szCs w:val="18"/>
              </w:rPr>
            </w:pPr>
            <w:r>
              <w:rPr>
                <w:rFonts w:eastAsiaTheme="minorEastAsia"/>
                <w:sz w:val="18"/>
                <w:szCs w:val="18"/>
              </w:rPr>
              <w:t>4</w:t>
            </w:r>
          </w:p>
        </w:tc>
        <w:tc>
          <w:tcPr>
            <w:tcW w:w="1706" w:type="dxa"/>
            <w:vAlign w:val="center"/>
          </w:tcPr>
          <w:p w14:paraId="3D8553AF">
            <w:pPr>
              <w:jc w:val="center"/>
              <w:rPr>
                <w:rFonts w:eastAsiaTheme="minorEastAsia"/>
                <w:sz w:val="18"/>
                <w:szCs w:val="18"/>
              </w:rPr>
            </w:pPr>
            <w:r>
              <w:rPr>
                <w:rFonts w:eastAsiaTheme="minorEastAsia"/>
                <w:sz w:val="18"/>
                <w:szCs w:val="18"/>
              </w:rPr>
              <w:t>晶粒度</w:t>
            </w:r>
          </w:p>
        </w:tc>
        <w:tc>
          <w:tcPr>
            <w:tcW w:w="2303" w:type="dxa"/>
            <w:vAlign w:val="center"/>
          </w:tcPr>
          <w:p w14:paraId="47C26167">
            <w:pPr>
              <w:jc w:val="center"/>
              <w:rPr>
                <w:rFonts w:eastAsiaTheme="minorEastAsia"/>
                <w:sz w:val="18"/>
                <w:szCs w:val="18"/>
              </w:rPr>
            </w:pPr>
            <w:r>
              <w:rPr>
                <w:rFonts w:eastAsiaTheme="minorEastAsia"/>
                <w:sz w:val="18"/>
                <w:szCs w:val="18"/>
              </w:rPr>
              <w:t>1个/批</w:t>
            </w:r>
          </w:p>
        </w:tc>
        <w:tc>
          <w:tcPr>
            <w:tcW w:w="2304" w:type="dxa"/>
            <w:vAlign w:val="center"/>
          </w:tcPr>
          <w:p w14:paraId="25F91768">
            <w:pPr>
              <w:jc w:val="center"/>
              <w:rPr>
                <w:rFonts w:hint="default" w:eastAsiaTheme="minorEastAsia"/>
                <w:sz w:val="18"/>
                <w:szCs w:val="18"/>
                <w:lang w:val="en-US" w:eastAsia="zh-CN"/>
              </w:rPr>
            </w:pPr>
            <w:r>
              <w:rPr>
                <w:rFonts w:eastAsiaTheme="minorEastAsia"/>
                <w:sz w:val="18"/>
                <w:szCs w:val="18"/>
              </w:rPr>
              <w:t>任一钢板</w:t>
            </w:r>
            <w:r>
              <w:rPr>
                <w:rFonts w:hint="eastAsia" w:eastAsiaTheme="minorEastAsia"/>
                <w:sz w:val="18"/>
                <w:szCs w:val="18"/>
                <w:lang w:val="en-US" w:eastAsia="zh-CN"/>
              </w:rPr>
              <w:t>及钢带</w:t>
            </w:r>
          </w:p>
        </w:tc>
        <w:tc>
          <w:tcPr>
            <w:tcW w:w="2304" w:type="dxa"/>
            <w:vAlign w:val="center"/>
          </w:tcPr>
          <w:p w14:paraId="1D855E1F">
            <w:pPr>
              <w:jc w:val="center"/>
              <w:rPr>
                <w:rFonts w:eastAsiaTheme="minorEastAsia"/>
                <w:sz w:val="18"/>
                <w:szCs w:val="18"/>
              </w:rPr>
            </w:pPr>
            <w:r>
              <w:rPr>
                <w:rFonts w:eastAsiaTheme="minorEastAsia"/>
                <w:sz w:val="18"/>
                <w:szCs w:val="18"/>
              </w:rPr>
              <w:t>GB/T 6394</w:t>
            </w:r>
          </w:p>
        </w:tc>
      </w:tr>
      <w:tr w14:paraId="2D06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075B71FE">
            <w:pPr>
              <w:jc w:val="center"/>
              <w:rPr>
                <w:rFonts w:eastAsiaTheme="minorEastAsia"/>
                <w:sz w:val="18"/>
                <w:szCs w:val="18"/>
              </w:rPr>
            </w:pPr>
            <w:r>
              <w:rPr>
                <w:rFonts w:eastAsiaTheme="minorEastAsia"/>
                <w:sz w:val="18"/>
                <w:szCs w:val="18"/>
              </w:rPr>
              <w:t>5</w:t>
            </w:r>
          </w:p>
        </w:tc>
        <w:tc>
          <w:tcPr>
            <w:tcW w:w="1706" w:type="dxa"/>
            <w:vAlign w:val="center"/>
          </w:tcPr>
          <w:p w14:paraId="36CCD0D2">
            <w:pPr>
              <w:jc w:val="center"/>
              <w:rPr>
                <w:rFonts w:eastAsiaTheme="minorEastAsia"/>
                <w:sz w:val="18"/>
                <w:szCs w:val="18"/>
              </w:rPr>
            </w:pPr>
            <w:r>
              <w:rPr>
                <w:rFonts w:eastAsiaTheme="minorEastAsia"/>
                <w:sz w:val="18"/>
                <w:szCs w:val="18"/>
              </w:rPr>
              <w:t>带状组织</w:t>
            </w:r>
          </w:p>
        </w:tc>
        <w:tc>
          <w:tcPr>
            <w:tcW w:w="2303" w:type="dxa"/>
            <w:vAlign w:val="center"/>
          </w:tcPr>
          <w:p w14:paraId="72C86C5E">
            <w:pPr>
              <w:jc w:val="center"/>
              <w:rPr>
                <w:rFonts w:eastAsiaTheme="minorEastAsia"/>
                <w:sz w:val="18"/>
                <w:szCs w:val="18"/>
              </w:rPr>
            </w:pPr>
            <w:r>
              <w:rPr>
                <w:rFonts w:eastAsiaTheme="minorEastAsia"/>
                <w:sz w:val="18"/>
                <w:szCs w:val="18"/>
              </w:rPr>
              <w:t>2个/批</w:t>
            </w:r>
          </w:p>
        </w:tc>
        <w:tc>
          <w:tcPr>
            <w:tcW w:w="2304" w:type="dxa"/>
            <w:vAlign w:val="center"/>
          </w:tcPr>
          <w:p w14:paraId="3068F265">
            <w:pPr>
              <w:jc w:val="center"/>
              <w:rPr>
                <w:rFonts w:eastAsiaTheme="minorEastAsia"/>
                <w:sz w:val="18"/>
                <w:szCs w:val="18"/>
              </w:rPr>
            </w:pPr>
            <w:r>
              <w:rPr>
                <w:rFonts w:eastAsiaTheme="minorEastAsia"/>
                <w:sz w:val="18"/>
                <w:szCs w:val="18"/>
              </w:rPr>
              <w:t>不同钢板</w:t>
            </w:r>
            <w:r>
              <w:rPr>
                <w:rFonts w:hint="eastAsia" w:eastAsiaTheme="minorEastAsia"/>
                <w:sz w:val="18"/>
                <w:szCs w:val="18"/>
                <w:lang w:val="en-US" w:eastAsia="zh-CN"/>
              </w:rPr>
              <w:t>及钢带</w:t>
            </w:r>
          </w:p>
        </w:tc>
        <w:tc>
          <w:tcPr>
            <w:tcW w:w="2304" w:type="dxa"/>
            <w:vAlign w:val="center"/>
          </w:tcPr>
          <w:p w14:paraId="006062BE">
            <w:pPr>
              <w:jc w:val="center"/>
              <w:rPr>
                <w:rFonts w:hint="default" w:eastAsiaTheme="minorEastAsia"/>
                <w:sz w:val="18"/>
                <w:szCs w:val="18"/>
                <w:lang w:val="en-US" w:eastAsia="zh-CN"/>
              </w:rPr>
            </w:pPr>
            <w:r>
              <w:rPr>
                <w:rFonts w:eastAsiaTheme="minorEastAsia"/>
                <w:color w:val="auto"/>
                <w:sz w:val="18"/>
                <w:szCs w:val="18"/>
              </w:rPr>
              <w:t xml:space="preserve">GB/T </w:t>
            </w:r>
            <w:r>
              <w:rPr>
                <w:rFonts w:hint="eastAsia" w:eastAsiaTheme="minorEastAsia"/>
                <w:color w:val="auto"/>
                <w:sz w:val="18"/>
                <w:szCs w:val="18"/>
                <w:lang w:val="en-US" w:eastAsia="zh-CN"/>
              </w:rPr>
              <w:t>34474.1</w:t>
            </w:r>
          </w:p>
        </w:tc>
      </w:tr>
      <w:tr w14:paraId="22B3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0317BD40">
            <w:pPr>
              <w:jc w:val="center"/>
              <w:rPr>
                <w:rFonts w:ascii="Times New Roman" w:hAnsi="Times New Roman" w:cs="Times New Roman" w:eastAsiaTheme="minorEastAsia"/>
                <w:kern w:val="2"/>
                <w:sz w:val="18"/>
                <w:szCs w:val="18"/>
                <w:lang w:val="en-US" w:eastAsia="zh-CN" w:bidi="ar-SA"/>
              </w:rPr>
            </w:pPr>
            <w:r>
              <w:rPr>
                <w:rFonts w:eastAsiaTheme="minorEastAsia"/>
                <w:sz w:val="18"/>
                <w:szCs w:val="18"/>
              </w:rPr>
              <w:t>6</w:t>
            </w:r>
          </w:p>
        </w:tc>
        <w:tc>
          <w:tcPr>
            <w:tcW w:w="1706" w:type="dxa"/>
            <w:vAlign w:val="center"/>
          </w:tcPr>
          <w:p w14:paraId="00C86320">
            <w:pPr>
              <w:jc w:val="center"/>
              <w:rPr>
                <w:rFonts w:eastAsiaTheme="minorEastAsia"/>
                <w:sz w:val="18"/>
                <w:szCs w:val="18"/>
              </w:rPr>
            </w:pPr>
            <w:r>
              <w:rPr>
                <w:rFonts w:hint="eastAsia" w:eastAsiaTheme="minorEastAsia"/>
                <w:sz w:val="18"/>
                <w:szCs w:val="18"/>
                <w:lang w:val="en-US" w:eastAsia="zh-CN"/>
              </w:rPr>
              <w:t>非金属夹杂物</w:t>
            </w:r>
          </w:p>
        </w:tc>
        <w:tc>
          <w:tcPr>
            <w:tcW w:w="2303" w:type="dxa"/>
            <w:vAlign w:val="center"/>
          </w:tcPr>
          <w:p w14:paraId="53DEEF28">
            <w:pPr>
              <w:jc w:val="center"/>
              <w:rPr>
                <w:rFonts w:eastAsiaTheme="minorEastAsia"/>
                <w:sz w:val="18"/>
                <w:szCs w:val="18"/>
              </w:rPr>
            </w:pPr>
            <w:r>
              <w:rPr>
                <w:rFonts w:eastAsiaTheme="minorEastAsia"/>
                <w:sz w:val="18"/>
                <w:szCs w:val="18"/>
              </w:rPr>
              <w:t>2个/批</w:t>
            </w:r>
          </w:p>
        </w:tc>
        <w:tc>
          <w:tcPr>
            <w:tcW w:w="2304" w:type="dxa"/>
            <w:vAlign w:val="center"/>
          </w:tcPr>
          <w:p w14:paraId="7D1D67C5">
            <w:pPr>
              <w:jc w:val="center"/>
              <w:rPr>
                <w:rFonts w:eastAsiaTheme="minorEastAsia"/>
                <w:sz w:val="18"/>
                <w:szCs w:val="18"/>
              </w:rPr>
            </w:pPr>
            <w:r>
              <w:rPr>
                <w:rFonts w:eastAsiaTheme="minorEastAsia"/>
                <w:sz w:val="18"/>
                <w:szCs w:val="18"/>
              </w:rPr>
              <w:t>不同钢板</w:t>
            </w:r>
            <w:r>
              <w:rPr>
                <w:rFonts w:hint="eastAsia" w:eastAsiaTheme="minorEastAsia"/>
                <w:sz w:val="18"/>
                <w:szCs w:val="18"/>
                <w:lang w:val="en-US" w:eastAsia="zh-CN"/>
              </w:rPr>
              <w:t>及钢带</w:t>
            </w:r>
          </w:p>
        </w:tc>
        <w:tc>
          <w:tcPr>
            <w:tcW w:w="2304" w:type="dxa"/>
            <w:vAlign w:val="center"/>
          </w:tcPr>
          <w:p w14:paraId="1C2E4D62">
            <w:pPr>
              <w:jc w:val="center"/>
              <w:rPr>
                <w:rFonts w:eastAsiaTheme="minorEastAsia"/>
                <w:sz w:val="18"/>
                <w:szCs w:val="18"/>
              </w:rPr>
            </w:pPr>
            <w:r>
              <w:rPr>
                <w:rFonts w:eastAsiaTheme="minorEastAsia"/>
                <w:sz w:val="18"/>
                <w:szCs w:val="18"/>
              </w:rPr>
              <w:t>GB/T 10561</w:t>
            </w:r>
            <w:r>
              <w:rPr>
                <w:rFonts w:hint="eastAsia" w:eastAsiaTheme="minorEastAsia"/>
                <w:sz w:val="18"/>
                <w:szCs w:val="18"/>
                <w:lang w:eastAsia="zh-CN"/>
              </w:rPr>
              <w:t>—</w:t>
            </w:r>
            <w:r>
              <w:rPr>
                <w:rFonts w:hint="eastAsia" w:eastAsiaTheme="minorEastAsia"/>
                <w:sz w:val="18"/>
                <w:szCs w:val="18"/>
                <w:lang w:val="en-US" w:eastAsia="zh-CN"/>
              </w:rPr>
              <w:t>2023</w:t>
            </w:r>
            <w:r>
              <w:rPr>
                <w:rFonts w:hint="eastAsia" w:eastAsiaTheme="minorEastAsia"/>
                <w:sz w:val="18"/>
                <w:szCs w:val="18"/>
                <w:lang w:eastAsia="zh-CN"/>
              </w:rPr>
              <w:t>，</w:t>
            </w:r>
            <w:r>
              <w:rPr>
                <w:rFonts w:hint="eastAsia" w:eastAsiaTheme="minorEastAsia"/>
                <w:sz w:val="18"/>
                <w:szCs w:val="18"/>
                <w:lang w:val="en-US" w:eastAsia="zh-CN"/>
              </w:rPr>
              <w:t>A法</w:t>
            </w:r>
          </w:p>
        </w:tc>
      </w:tr>
      <w:tr w14:paraId="0636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14CC9155">
            <w:pPr>
              <w:jc w:val="center"/>
              <w:rPr>
                <w:rFonts w:ascii="Times New Roman" w:hAnsi="Times New Roman" w:cs="Times New Roman" w:eastAsiaTheme="minorEastAsia"/>
                <w:kern w:val="2"/>
                <w:sz w:val="18"/>
                <w:szCs w:val="18"/>
                <w:lang w:val="en-US" w:eastAsia="zh-CN" w:bidi="ar-SA"/>
              </w:rPr>
            </w:pPr>
            <w:r>
              <w:rPr>
                <w:rFonts w:eastAsiaTheme="minorEastAsia"/>
                <w:sz w:val="18"/>
                <w:szCs w:val="18"/>
              </w:rPr>
              <w:t>7</w:t>
            </w:r>
          </w:p>
        </w:tc>
        <w:tc>
          <w:tcPr>
            <w:tcW w:w="1706" w:type="dxa"/>
            <w:vAlign w:val="center"/>
          </w:tcPr>
          <w:p w14:paraId="13633232">
            <w:pPr>
              <w:jc w:val="center"/>
              <w:rPr>
                <w:rFonts w:eastAsiaTheme="minorEastAsia"/>
                <w:sz w:val="18"/>
                <w:szCs w:val="18"/>
              </w:rPr>
            </w:pPr>
            <w:r>
              <w:rPr>
                <w:rFonts w:eastAsiaTheme="minorEastAsia"/>
                <w:sz w:val="18"/>
                <w:szCs w:val="18"/>
              </w:rPr>
              <w:t>表面质量</w:t>
            </w:r>
          </w:p>
        </w:tc>
        <w:tc>
          <w:tcPr>
            <w:tcW w:w="2303" w:type="dxa"/>
            <w:vAlign w:val="center"/>
          </w:tcPr>
          <w:p w14:paraId="03BA40C6">
            <w:pPr>
              <w:jc w:val="center"/>
              <w:rPr>
                <w:rFonts w:eastAsiaTheme="minorEastAsia"/>
                <w:sz w:val="18"/>
                <w:szCs w:val="18"/>
              </w:rPr>
            </w:pPr>
            <w:r>
              <w:rPr>
                <w:rFonts w:eastAsiaTheme="minorEastAsia"/>
                <w:sz w:val="18"/>
                <w:szCs w:val="18"/>
              </w:rPr>
              <w:t>逐张/逐卷</w:t>
            </w:r>
          </w:p>
        </w:tc>
        <w:tc>
          <w:tcPr>
            <w:tcW w:w="2304" w:type="dxa"/>
            <w:vAlign w:val="center"/>
          </w:tcPr>
          <w:p w14:paraId="7BFB0B24">
            <w:pPr>
              <w:jc w:val="center"/>
              <w:rPr>
                <w:rFonts w:eastAsiaTheme="minorEastAsia"/>
                <w:sz w:val="18"/>
                <w:szCs w:val="18"/>
              </w:rPr>
            </w:pPr>
            <w:r>
              <w:rPr>
                <w:rFonts w:eastAsiaTheme="minorEastAsia"/>
                <w:sz w:val="18"/>
                <w:szCs w:val="18"/>
              </w:rPr>
              <w:t>—</w:t>
            </w:r>
          </w:p>
        </w:tc>
        <w:tc>
          <w:tcPr>
            <w:tcW w:w="2304" w:type="dxa"/>
            <w:vAlign w:val="center"/>
          </w:tcPr>
          <w:p w14:paraId="5BCC195F">
            <w:pPr>
              <w:jc w:val="center"/>
              <w:rPr>
                <w:rFonts w:eastAsiaTheme="minorEastAsia"/>
                <w:sz w:val="18"/>
                <w:szCs w:val="18"/>
              </w:rPr>
            </w:pPr>
            <w:r>
              <w:rPr>
                <w:rFonts w:eastAsiaTheme="minorEastAsia"/>
                <w:sz w:val="18"/>
                <w:szCs w:val="18"/>
              </w:rPr>
              <w:t>目视</w:t>
            </w:r>
          </w:p>
        </w:tc>
      </w:tr>
      <w:tr w14:paraId="793C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14:paraId="7338A484">
            <w:pPr>
              <w:jc w:val="center"/>
              <w:rPr>
                <w:rFonts w:hint="eastAsia" w:eastAsiaTheme="minorEastAsia"/>
                <w:sz w:val="18"/>
                <w:szCs w:val="18"/>
                <w:lang w:val="en-US" w:eastAsia="zh-CN"/>
              </w:rPr>
            </w:pPr>
            <w:r>
              <w:rPr>
                <w:rFonts w:hint="eastAsia" w:eastAsiaTheme="minorEastAsia"/>
                <w:sz w:val="18"/>
                <w:szCs w:val="18"/>
                <w:lang w:val="en-US" w:eastAsia="zh-CN"/>
              </w:rPr>
              <w:t>8</w:t>
            </w:r>
          </w:p>
        </w:tc>
        <w:tc>
          <w:tcPr>
            <w:tcW w:w="1706" w:type="dxa"/>
            <w:vAlign w:val="center"/>
          </w:tcPr>
          <w:p w14:paraId="5991ED19">
            <w:pPr>
              <w:jc w:val="center"/>
              <w:rPr>
                <w:rFonts w:eastAsiaTheme="minorEastAsia"/>
                <w:color w:val="000000"/>
                <w:sz w:val="18"/>
                <w:szCs w:val="18"/>
              </w:rPr>
            </w:pPr>
            <w:r>
              <w:rPr>
                <w:rFonts w:eastAsiaTheme="minorEastAsia"/>
                <w:color w:val="000000"/>
                <w:sz w:val="18"/>
                <w:szCs w:val="18"/>
              </w:rPr>
              <w:t>尺寸外形</w:t>
            </w:r>
          </w:p>
        </w:tc>
        <w:tc>
          <w:tcPr>
            <w:tcW w:w="2303" w:type="dxa"/>
            <w:vAlign w:val="center"/>
          </w:tcPr>
          <w:p w14:paraId="7C752D4D">
            <w:pPr>
              <w:jc w:val="center"/>
              <w:rPr>
                <w:rFonts w:eastAsiaTheme="minorEastAsia"/>
                <w:color w:val="000000"/>
                <w:sz w:val="18"/>
                <w:szCs w:val="18"/>
              </w:rPr>
            </w:pPr>
            <w:r>
              <w:rPr>
                <w:rFonts w:eastAsiaTheme="minorEastAsia"/>
                <w:sz w:val="18"/>
                <w:szCs w:val="18"/>
              </w:rPr>
              <w:t>逐张/逐卷</w:t>
            </w:r>
          </w:p>
        </w:tc>
        <w:tc>
          <w:tcPr>
            <w:tcW w:w="2304" w:type="dxa"/>
            <w:vAlign w:val="center"/>
          </w:tcPr>
          <w:p w14:paraId="5B22553D">
            <w:pPr>
              <w:jc w:val="center"/>
              <w:rPr>
                <w:rFonts w:eastAsiaTheme="minorEastAsia"/>
                <w:color w:val="000000"/>
                <w:sz w:val="18"/>
                <w:szCs w:val="18"/>
              </w:rPr>
            </w:pPr>
            <w:r>
              <w:rPr>
                <w:rFonts w:eastAsiaTheme="minorEastAsia"/>
                <w:color w:val="000000"/>
                <w:sz w:val="18"/>
                <w:szCs w:val="18"/>
              </w:rPr>
              <w:t>—</w:t>
            </w:r>
          </w:p>
        </w:tc>
        <w:tc>
          <w:tcPr>
            <w:tcW w:w="2304" w:type="dxa"/>
            <w:vAlign w:val="center"/>
          </w:tcPr>
          <w:p w14:paraId="1F2094C0">
            <w:pPr>
              <w:jc w:val="center"/>
              <w:rPr>
                <w:rFonts w:eastAsiaTheme="minorEastAsia"/>
                <w:color w:val="000000"/>
                <w:sz w:val="18"/>
                <w:szCs w:val="18"/>
              </w:rPr>
            </w:pPr>
            <w:r>
              <w:rPr>
                <w:rFonts w:eastAsiaTheme="minorEastAsia"/>
                <w:color w:val="000000"/>
                <w:sz w:val="18"/>
                <w:szCs w:val="18"/>
              </w:rPr>
              <w:t>合适的量具</w:t>
            </w:r>
          </w:p>
        </w:tc>
      </w:tr>
      <w:bookmarkEnd w:id="30"/>
    </w:tbl>
    <w:p w14:paraId="2FBA03FD">
      <w:pPr>
        <w:widowControl/>
        <w:numPr>
          <w:ilvl w:val="0"/>
          <w:numId w:val="3"/>
        </w:numPr>
        <w:spacing w:before="156" w:beforeLines="50" w:after="156" w:afterLines="50"/>
        <w:outlineLvl w:val="1"/>
        <w:rPr>
          <w:rFonts w:eastAsia="黑体"/>
          <w:kern w:val="0"/>
          <w:szCs w:val="20"/>
        </w:rPr>
      </w:pPr>
      <w:r>
        <w:rPr>
          <w:rFonts w:eastAsia="黑体"/>
          <w:kern w:val="0"/>
          <w:szCs w:val="20"/>
        </w:rPr>
        <w:t>检验规则</w:t>
      </w:r>
    </w:p>
    <w:p w14:paraId="3994725E">
      <w:pPr>
        <w:pStyle w:val="49"/>
        <w:numPr>
          <w:ilvl w:val="1"/>
          <w:numId w:val="3"/>
        </w:numPr>
        <w:spacing w:before="156" w:after="156"/>
        <w:ind w:left="0"/>
        <w:rPr>
          <w:rFonts w:ascii="Times New Roman"/>
        </w:rPr>
      </w:pPr>
      <w:r>
        <w:rPr>
          <w:rFonts w:ascii="Times New Roman"/>
        </w:rPr>
        <w:t>检查和验收</w:t>
      </w:r>
    </w:p>
    <w:p w14:paraId="1A4AC4A0">
      <w:pPr>
        <w:pStyle w:val="145"/>
        <w:ind w:firstLine="373" w:firstLineChars="178"/>
        <w:rPr>
          <w:rFonts w:ascii="Times New Roman" w:hAnsi="Times New Roman" w:eastAsiaTheme="minorEastAsia"/>
        </w:rPr>
      </w:pPr>
      <w:bookmarkStart w:id="31" w:name="_Hlk155354945"/>
      <w:r>
        <w:rPr>
          <w:rFonts w:ascii="Times New Roman" w:eastAsiaTheme="minorEastAsia"/>
        </w:rPr>
        <w:t>钢板</w:t>
      </w:r>
      <w:r>
        <w:rPr>
          <w:rFonts w:hint="eastAsia" w:ascii="Times New Roman" w:eastAsia="宋体"/>
          <w:lang w:val="en-US" w:eastAsia="zh-CN"/>
        </w:rPr>
        <w:t>及钢带</w:t>
      </w:r>
      <w:r>
        <w:rPr>
          <w:rFonts w:ascii="Times New Roman" w:hAnsi="Times New Roman" w:eastAsiaTheme="minorEastAsia"/>
        </w:rPr>
        <w:t>的检查由供方质量检验部门进行</w:t>
      </w:r>
      <w:bookmarkEnd w:id="31"/>
      <w:r>
        <w:rPr>
          <w:rFonts w:ascii="Times New Roman" w:hAnsi="Times New Roman" w:eastAsiaTheme="minorEastAsia"/>
        </w:rPr>
        <w:t>。</w:t>
      </w:r>
    </w:p>
    <w:p w14:paraId="0E016E68">
      <w:pPr>
        <w:pStyle w:val="49"/>
        <w:numPr>
          <w:ilvl w:val="1"/>
          <w:numId w:val="3"/>
        </w:numPr>
        <w:spacing w:before="156" w:after="156"/>
        <w:ind w:left="0"/>
        <w:rPr>
          <w:rFonts w:ascii="Times New Roman"/>
        </w:rPr>
      </w:pPr>
      <w:r>
        <w:rPr>
          <w:rFonts w:ascii="Times New Roman"/>
        </w:rPr>
        <w:t>组批规则</w:t>
      </w:r>
    </w:p>
    <w:p w14:paraId="30BADC5B">
      <w:pPr>
        <w:pStyle w:val="145"/>
        <w:ind w:firstLine="373" w:firstLineChars="178"/>
        <w:rPr>
          <w:rFonts w:ascii="Times New Roman" w:hAnsi="Times New Roman" w:eastAsiaTheme="minorEastAsia"/>
        </w:rPr>
      </w:pPr>
      <w:bookmarkStart w:id="32" w:name="_Hlk155354952"/>
      <w:r>
        <w:rPr>
          <w:rFonts w:ascii="Times New Roman" w:eastAsiaTheme="minorEastAsia"/>
        </w:rPr>
        <w:t>钢板</w:t>
      </w:r>
      <w:r>
        <w:rPr>
          <w:rFonts w:hint="eastAsia" w:ascii="Times New Roman" w:eastAsia="宋体"/>
          <w:lang w:val="en-US" w:eastAsia="zh-CN"/>
        </w:rPr>
        <w:t>及钢带</w:t>
      </w:r>
      <w:r>
        <w:rPr>
          <w:rFonts w:ascii="Times New Roman" w:hAnsi="Times New Roman" w:eastAsiaTheme="minorEastAsia"/>
        </w:rPr>
        <w:t>应成批验收。每批由同一牌号、同一炉号、同一尺寸的钢板</w:t>
      </w:r>
      <w:r>
        <w:rPr>
          <w:rFonts w:hint="eastAsia" w:ascii="Times New Roman" w:hAnsi="Times New Roman" w:eastAsiaTheme="minorEastAsia"/>
          <w:lang w:val="en-US" w:eastAsia="zh-CN"/>
        </w:rPr>
        <w:t>或钢带</w:t>
      </w:r>
      <w:r>
        <w:rPr>
          <w:rFonts w:ascii="Times New Roman" w:hAnsi="Times New Roman" w:eastAsiaTheme="minorEastAsia"/>
        </w:rPr>
        <w:t>组成</w:t>
      </w:r>
      <w:bookmarkEnd w:id="32"/>
      <w:r>
        <w:rPr>
          <w:rFonts w:ascii="Times New Roman" w:hAnsi="Times New Roman" w:eastAsiaTheme="minorEastAsia"/>
        </w:rPr>
        <w:t>。</w:t>
      </w:r>
    </w:p>
    <w:p w14:paraId="1FE054CD">
      <w:pPr>
        <w:pStyle w:val="49"/>
        <w:numPr>
          <w:ilvl w:val="1"/>
          <w:numId w:val="3"/>
        </w:numPr>
        <w:spacing w:before="156" w:after="156"/>
        <w:ind w:left="0"/>
        <w:rPr>
          <w:rFonts w:ascii="Times New Roman"/>
        </w:rPr>
      </w:pPr>
      <w:r>
        <w:rPr>
          <w:rFonts w:ascii="Times New Roman"/>
        </w:rPr>
        <w:t>取样数量</w:t>
      </w:r>
    </w:p>
    <w:p w14:paraId="66395252">
      <w:pPr>
        <w:pStyle w:val="23"/>
        <w:rPr>
          <w:rFonts w:ascii="Times New Roman"/>
        </w:rPr>
      </w:pPr>
      <w:bookmarkStart w:id="33" w:name="_Hlk155354960"/>
      <w:r>
        <w:rPr>
          <w:rFonts w:ascii="Times New Roman"/>
        </w:rPr>
        <w:t>每批</w:t>
      </w:r>
      <w:r>
        <w:rPr>
          <w:rFonts w:ascii="Times New Roman" w:eastAsiaTheme="minorEastAsia"/>
        </w:rPr>
        <w:t>钢板</w:t>
      </w:r>
      <w:r>
        <w:rPr>
          <w:rFonts w:hint="eastAsia" w:ascii="Times New Roman" w:eastAsia="宋体"/>
          <w:lang w:val="en-US" w:eastAsia="zh-CN"/>
        </w:rPr>
        <w:t>及钢带</w:t>
      </w:r>
      <w:r>
        <w:rPr>
          <w:rFonts w:ascii="Times New Roman"/>
        </w:rPr>
        <w:t>的取样数量见表</w:t>
      </w:r>
      <w:bookmarkEnd w:id="33"/>
      <w:r>
        <w:rPr>
          <w:rFonts w:hint="eastAsia" w:ascii="Times New Roman"/>
          <w:lang w:val="en-US" w:eastAsia="zh-CN"/>
        </w:rPr>
        <w:t>5</w:t>
      </w:r>
      <w:r>
        <w:rPr>
          <w:rFonts w:ascii="Times New Roman"/>
        </w:rPr>
        <w:t>。</w:t>
      </w:r>
    </w:p>
    <w:p w14:paraId="1983225D">
      <w:pPr>
        <w:pStyle w:val="49"/>
        <w:numPr>
          <w:ilvl w:val="1"/>
          <w:numId w:val="3"/>
        </w:numPr>
        <w:spacing w:before="156" w:after="156"/>
        <w:ind w:left="0"/>
        <w:rPr>
          <w:rFonts w:ascii="Times New Roman"/>
        </w:rPr>
      </w:pPr>
      <w:r>
        <w:rPr>
          <w:rFonts w:ascii="Times New Roman"/>
        </w:rPr>
        <w:t>复验和判定规则</w:t>
      </w:r>
    </w:p>
    <w:p w14:paraId="52A04ACC">
      <w:pPr>
        <w:pStyle w:val="145"/>
        <w:ind w:left="374" w:firstLine="0" w:firstLineChars="0"/>
        <w:rPr>
          <w:rFonts w:ascii="Times New Roman" w:hAnsi="Times New Roman" w:eastAsiaTheme="minorEastAsia"/>
        </w:rPr>
      </w:pPr>
      <w:bookmarkStart w:id="34" w:name="_Hlk155354968"/>
      <w:r>
        <w:rPr>
          <w:rFonts w:ascii="Times New Roman" w:eastAsiaTheme="minorEastAsia"/>
        </w:rPr>
        <w:t>钢板</w:t>
      </w:r>
      <w:r>
        <w:rPr>
          <w:rFonts w:hint="eastAsia" w:ascii="Times New Roman" w:eastAsia="宋体"/>
          <w:lang w:val="en-US" w:eastAsia="zh-CN"/>
        </w:rPr>
        <w:t>及钢带</w:t>
      </w:r>
      <w:r>
        <w:rPr>
          <w:rFonts w:ascii="Times New Roman" w:hAnsi="Times New Roman" w:eastAsiaTheme="minorEastAsia"/>
        </w:rPr>
        <w:t>的复验与判定应符合GB/T 17505的规定</w:t>
      </w:r>
      <w:bookmarkEnd w:id="34"/>
      <w:r>
        <w:rPr>
          <w:rFonts w:ascii="Times New Roman" w:hAnsi="Times New Roman" w:eastAsiaTheme="minorEastAsia"/>
        </w:rPr>
        <w:t>。</w:t>
      </w:r>
    </w:p>
    <w:p w14:paraId="094F12EA">
      <w:pPr>
        <w:pStyle w:val="49"/>
        <w:numPr>
          <w:ilvl w:val="1"/>
          <w:numId w:val="3"/>
        </w:numPr>
        <w:spacing w:before="156" w:after="156"/>
        <w:ind w:left="0"/>
        <w:rPr>
          <w:rFonts w:ascii="Times New Roman"/>
        </w:rPr>
      </w:pPr>
      <w:r>
        <w:rPr>
          <w:rFonts w:ascii="Times New Roman"/>
        </w:rPr>
        <w:t>数值修约</w:t>
      </w:r>
    </w:p>
    <w:p w14:paraId="5E7239C0">
      <w:pPr>
        <w:pStyle w:val="145"/>
        <w:ind w:left="374" w:firstLine="0" w:firstLineChars="0"/>
        <w:rPr>
          <w:rFonts w:ascii="Times New Roman" w:hAnsi="Times New Roman" w:eastAsiaTheme="minorEastAsia"/>
        </w:rPr>
      </w:pPr>
      <w:bookmarkStart w:id="35" w:name="_Hlk155354975"/>
      <w:r>
        <w:rPr>
          <w:rFonts w:ascii="Times New Roman" w:hAnsi="Times New Roman" w:eastAsiaTheme="minorEastAsia"/>
        </w:rPr>
        <w:t>数值判定采用修约值比较法进行修约，修约规则应符合GB/T 8170的规定</w:t>
      </w:r>
      <w:bookmarkEnd w:id="35"/>
      <w:r>
        <w:rPr>
          <w:rFonts w:ascii="Times New Roman" w:hAnsi="Times New Roman" w:eastAsiaTheme="minorEastAsia"/>
        </w:rPr>
        <w:t>。</w:t>
      </w:r>
    </w:p>
    <w:p w14:paraId="317E1877">
      <w:pPr>
        <w:widowControl/>
        <w:numPr>
          <w:ilvl w:val="0"/>
          <w:numId w:val="3"/>
        </w:numPr>
        <w:spacing w:before="312" w:beforeLines="100" w:after="312" w:afterLines="100"/>
        <w:outlineLvl w:val="1"/>
        <w:rPr>
          <w:rFonts w:eastAsia="黑体"/>
          <w:kern w:val="0"/>
          <w:szCs w:val="20"/>
        </w:rPr>
      </w:pPr>
      <w:r>
        <w:rPr>
          <w:rFonts w:eastAsia="黑体"/>
          <w:kern w:val="0"/>
          <w:szCs w:val="20"/>
        </w:rPr>
        <w:t>包装、标志和质量证明书</w:t>
      </w:r>
    </w:p>
    <w:p w14:paraId="36CBB157">
      <w:pPr>
        <w:pStyle w:val="145"/>
        <w:ind w:left="374" w:firstLine="0" w:firstLineChars="0"/>
        <w:rPr>
          <w:rFonts w:ascii="Times New Roman" w:hAnsi="Times New Roman" w:eastAsiaTheme="minorEastAsia"/>
        </w:rPr>
      </w:pPr>
      <w:bookmarkStart w:id="36" w:name="_Hlk155354983"/>
      <w:r>
        <w:rPr>
          <w:rFonts w:ascii="Times New Roman" w:eastAsiaTheme="minorEastAsia"/>
        </w:rPr>
        <w:t>钢板</w:t>
      </w:r>
      <w:r>
        <w:rPr>
          <w:rFonts w:hint="eastAsia" w:ascii="Times New Roman" w:eastAsia="宋体"/>
          <w:lang w:val="en-US" w:eastAsia="zh-CN"/>
        </w:rPr>
        <w:t>及钢带</w:t>
      </w:r>
      <w:r>
        <w:rPr>
          <w:rFonts w:ascii="Times New Roman" w:hAnsi="Times New Roman" w:eastAsiaTheme="minorEastAsia"/>
        </w:rPr>
        <w:t>的包装、标志和质量证明书应符合GB/T 247的规定</w:t>
      </w:r>
      <w:bookmarkEnd w:id="36"/>
      <w:r>
        <w:rPr>
          <w:rFonts w:ascii="Times New Roman" w:hAnsi="Times New Roman" w:eastAsiaTheme="minorEastAsia"/>
        </w:rPr>
        <w:t>。</w:t>
      </w:r>
    </w:p>
    <w:p w14:paraId="0E3224AD">
      <w:pPr>
        <w:pStyle w:val="141"/>
        <w:framePr w:wrap="around" w:hAnchor="page" w:x="4241" w:y="1845"/>
        <w:rPr>
          <w:rFonts w:hint="default" w:ascii="Times New Roman" w:hAnsi="Times New Roman" w:cs="Times New Roman"/>
        </w:rPr>
      </w:pPr>
      <w:r>
        <w:rPr>
          <w:rFonts w:hint="default" w:ascii="Times New Roman" w:hAnsi="Times New Roman" w:cs="Times New Roman"/>
        </w:rPr>
        <w:t>_________________________________</w: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123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2D4B">
    <w:pPr>
      <w:pStyle w:val="94"/>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14:paraId="0B9C2577">
        <w:pPr>
          <w:pStyle w:val="17"/>
          <w:jc w:val="left"/>
        </w:pPr>
        <w:r>
          <w:fldChar w:fldCharType="begin"/>
        </w:r>
        <w:r>
          <w:instrText xml:space="preserve">PAGE   \* MERGEFORMAT</w:instrText>
        </w:r>
        <w:r>
          <w:fldChar w:fldCharType="separate"/>
        </w:r>
        <w:r>
          <w:rPr>
            <w:lang w:val="zh-CN"/>
          </w:rPr>
          <w:t>6</w:t>
        </w:r>
        <w:r>
          <w:rPr>
            <w:lang w:val="zh-CN"/>
          </w:rPr>
          <w:fldChar w:fldCharType="end"/>
        </w:r>
      </w:p>
    </w:sdtContent>
  </w:sdt>
  <w:p w14:paraId="14FDBFBF">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6273">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4C06">
    <w:pPr>
      <w:pStyle w:val="94"/>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EEF0">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FC7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120F">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7AEE1751">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ACC6">
    <w:pPr>
      <w:pStyle w:val="18"/>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CF309">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6A4F">
    <w:pPr>
      <w:pStyle w:val="18"/>
      <w:jc w:val="right"/>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79"/>
      <w:suff w:val="nothing"/>
      <w:lvlText w:val="表%1　"/>
      <w:lvlJc w:val="left"/>
      <w:pPr>
        <w:ind w:left="4536"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185F"/>
    <w:rsid w:val="0000586F"/>
    <w:rsid w:val="00005D79"/>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5C9B"/>
    <w:rsid w:val="000466F7"/>
    <w:rsid w:val="000478B3"/>
    <w:rsid w:val="00055DB2"/>
    <w:rsid w:val="000639E9"/>
    <w:rsid w:val="00063E76"/>
    <w:rsid w:val="00067CDF"/>
    <w:rsid w:val="00074FBE"/>
    <w:rsid w:val="000772BB"/>
    <w:rsid w:val="00077E45"/>
    <w:rsid w:val="000818DD"/>
    <w:rsid w:val="00082FEE"/>
    <w:rsid w:val="00083A09"/>
    <w:rsid w:val="00083EE8"/>
    <w:rsid w:val="0009005E"/>
    <w:rsid w:val="00090E08"/>
    <w:rsid w:val="00092857"/>
    <w:rsid w:val="00092E6E"/>
    <w:rsid w:val="00094BD2"/>
    <w:rsid w:val="00097C30"/>
    <w:rsid w:val="000A0E72"/>
    <w:rsid w:val="000A20A9"/>
    <w:rsid w:val="000A3AE3"/>
    <w:rsid w:val="000A48B1"/>
    <w:rsid w:val="000A5495"/>
    <w:rsid w:val="000B00D1"/>
    <w:rsid w:val="000B11B6"/>
    <w:rsid w:val="000B3143"/>
    <w:rsid w:val="000B5B9B"/>
    <w:rsid w:val="000B5F2A"/>
    <w:rsid w:val="000B632E"/>
    <w:rsid w:val="000C30C7"/>
    <w:rsid w:val="000C6B05"/>
    <w:rsid w:val="000C6DD6"/>
    <w:rsid w:val="000C73D4"/>
    <w:rsid w:val="000D03F1"/>
    <w:rsid w:val="000D0E47"/>
    <w:rsid w:val="000D114F"/>
    <w:rsid w:val="000D3D4C"/>
    <w:rsid w:val="000D4406"/>
    <w:rsid w:val="000D4505"/>
    <w:rsid w:val="000D4F51"/>
    <w:rsid w:val="000D61D9"/>
    <w:rsid w:val="000D718B"/>
    <w:rsid w:val="000E0C46"/>
    <w:rsid w:val="000E0CFC"/>
    <w:rsid w:val="000E3EC7"/>
    <w:rsid w:val="000F030C"/>
    <w:rsid w:val="000F04B4"/>
    <w:rsid w:val="000F129C"/>
    <w:rsid w:val="000F1A0A"/>
    <w:rsid w:val="000F25D8"/>
    <w:rsid w:val="001056DE"/>
    <w:rsid w:val="00111863"/>
    <w:rsid w:val="001124C0"/>
    <w:rsid w:val="00112F96"/>
    <w:rsid w:val="00123638"/>
    <w:rsid w:val="00125108"/>
    <w:rsid w:val="001278EF"/>
    <w:rsid w:val="0013175F"/>
    <w:rsid w:val="00134999"/>
    <w:rsid w:val="00137393"/>
    <w:rsid w:val="00137B34"/>
    <w:rsid w:val="00143F81"/>
    <w:rsid w:val="001512B4"/>
    <w:rsid w:val="00152179"/>
    <w:rsid w:val="00152E02"/>
    <w:rsid w:val="00154746"/>
    <w:rsid w:val="00154A8E"/>
    <w:rsid w:val="00156D41"/>
    <w:rsid w:val="00160652"/>
    <w:rsid w:val="001620A5"/>
    <w:rsid w:val="00164E53"/>
    <w:rsid w:val="00165E9C"/>
    <w:rsid w:val="0016699D"/>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E7D"/>
    <w:rsid w:val="00197D88"/>
    <w:rsid w:val="001A01D4"/>
    <w:rsid w:val="001A288E"/>
    <w:rsid w:val="001A32EE"/>
    <w:rsid w:val="001A5C42"/>
    <w:rsid w:val="001A7BA7"/>
    <w:rsid w:val="001B5E5F"/>
    <w:rsid w:val="001B6DC2"/>
    <w:rsid w:val="001C149C"/>
    <w:rsid w:val="001C21AC"/>
    <w:rsid w:val="001C47BA"/>
    <w:rsid w:val="001C56C3"/>
    <w:rsid w:val="001C59EA"/>
    <w:rsid w:val="001D379C"/>
    <w:rsid w:val="001D406C"/>
    <w:rsid w:val="001D41EE"/>
    <w:rsid w:val="001D4EC2"/>
    <w:rsid w:val="001E0380"/>
    <w:rsid w:val="001E13B1"/>
    <w:rsid w:val="001E55B7"/>
    <w:rsid w:val="001E61C0"/>
    <w:rsid w:val="001E69DB"/>
    <w:rsid w:val="001F0250"/>
    <w:rsid w:val="001F3A19"/>
    <w:rsid w:val="002002E4"/>
    <w:rsid w:val="00204F6E"/>
    <w:rsid w:val="002101D3"/>
    <w:rsid w:val="0022046A"/>
    <w:rsid w:val="002242CD"/>
    <w:rsid w:val="00231142"/>
    <w:rsid w:val="00231970"/>
    <w:rsid w:val="00234467"/>
    <w:rsid w:val="00237D8D"/>
    <w:rsid w:val="00240622"/>
    <w:rsid w:val="00240FE6"/>
    <w:rsid w:val="00241DA2"/>
    <w:rsid w:val="00245B95"/>
    <w:rsid w:val="00247FEE"/>
    <w:rsid w:val="00250E7D"/>
    <w:rsid w:val="002549B0"/>
    <w:rsid w:val="00255A3D"/>
    <w:rsid w:val="002565D5"/>
    <w:rsid w:val="00257415"/>
    <w:rsid w:val="00257C39"/>
    <w:rsid w:val="002622C0"/>
    <w:rsid w:val="00262D2E"/>
    <w:rsid w:val="0026462C"/>
    <w:rsid w:val="00264F4E"/>
    <w:rsid w:val="00264F9B"/>
    <w:rsid w:val="00275493"/>
    <w:rsid w:val="002759BB"/>
    <w:rsid w:val="00276299"/>
    <w:rsid w:val="00276B08"/>
    <w:rsid w:val="002778AE"/>
    <w:rsid w:val="0028022A"/>
    <w:rsid w:val="00281919"/>
    <w:rsid w:val="002824CB"/>
    <w:rsid w:val="0028269A"/>
    <w:rsid w:val="00283590"/>
    <w:rsid w:val="00286973"/>
    <w:rsid w:val="002904AF"/>
    <w:rsid w:val="00294E70"/>
    <w:rsid w:val="002952CE"/>
    <w:rsid w:val="00296FB8"/>
    <w:rsid w:val="002A06B3"/>
    <w:rsid w:val="002A1924"/>
    <w:rsid w:val="002A2E29"/>
    <w:rsid w:val="002A7420"/>
    <w:rsid w:val="002B0F12"/>
    <w:rsid w:val="002B1308"/>
    <w:rsid w:val="002B4449"/>
    <w:rsid w:val="002B4554"/>
    <w:rsid w:val="002B4FE3"/>
    <w:rsid w:val="002C2696"/>
    <w:rsid w:val="002C72D8"/>
    <w:rsid w:val="002D11FA"/>
    <w:rsid w:val="002D13DE"/>
    <w:rsid w:val="002D545A"/>
    <w:rsid w:val="002D5A46"/>
    <w:rsid w:val="002E0DDF"/>
    <w:rsid w:val="002E2906"/>
    <w:rsid w:val="002E5635"/>
    <w:rsid w:val="002E64C3"/>
    <w:rsid w:val="002E6A2C"/>
    <w:rsid w:val="002F1950"/>
    <w:rsid w:val="002F1D8C"/>
    <w:rsid w:val="002F21DA"/>
    <w:rsid w:val="002F31F1"/>
    <w:rsid w:val="002F3F0D"/>
    <w:rsid w:val="002F42E2"/>
    <w:rsid w:val="002F4512"/>
    <w:rsid w:val="002F57F3"/>
    <w:rsid w:val="00300945"/>
    <w:rsid w:val="00301F39"/>
    <w:rsid w:val="003026BB"/>
    <w:rsid w:val="00305812"/>
    <w:rsid w:val="003073E0"/>
    <w:rsid w:val="00310478"/>
    <w:rsid w:val="0031400B"/>
    <w:rsid w:val="00317A37"/>
    <w:rsid w:val="0032071A"/>
    <w:rsid w:val="00325926"/>
    <w:rsid w:val="00327A8A"/>
    <w:rsid w:val="00336610"/>
    <w:rsid w:val="00343F73"/>
    <w:rsid w:val="00345060"/>
    <w:rsid w:val="00350BC9"/>
    <w:rsid w:val="00351CFE"/>
    <w:rsid w:val="0035323B"/>
    <w:rsid w:val="00356876"/>
    <w:rsid w:val="003609D2"/>
    <w:rsid w:val="00360BA3"/>
    <w:rsid w:val="003616C3"/>
    <w:rsid w:val="00363F22"/>
    <w:rsid w:val="003650D5"/>
    <w:rsid w:val="003659A4"/>
    <w:rsid w:val="003732A9"/>
    <w:rsid w:val="0037473D"/>
    <w:rsid w:val="00375564"/>
    <w:rsid w:val="00375AAA"/>
    <w:rsid w:val="0037662F"/>
    <w:rsid w:val="003768C0"/>
    <w:rsid w:val="0038146F"/>
    <w:rsid w:val="00383191"/>
    <w:rsid w:val="003839CA"/>
    <w:rsid w:val="003852DB"/>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217D"/>
    <w:rsid w:val="003B7105"/>
    <w:rsid w:val="003B7AC1"/>
    <w:rsid w:val="003B7FB1"/>
    <w:rsid w:val="003C11CB"/>
    <w:rsid w:val="003C2126"/>
    <w:rsid w:val="003C5654"/>
    <w:rsid w:val="003C75F3"/>
    <w:rsid w:val="003C78A3"/>
    <w:rsid w:val="003D0240"/>
    <w:rsid w:val="003D721E"/>
    <w:rsid w:val="003E0318"/>
    <w:rsid w:val="003E0D6C"/>
    <w:rsid w:val="003E1867"/>
    <w:rsid w:val="003E1AFB"/>
    <w:rsid w:val="003E5000"/>
    <w:rsid w:val="003E5729"/>
    <w:rsid w:val="003E5A57"/>
    <w:rsid w:val="003F2B21"/>
    <w:rsid w:val="003F4EE0"/>
    <w:rsid w:val="00400C28"/>
    <w:rsid w:val="00402153"/>
    <w:rsid w:val="00402FC1"/>
    <w:rsid w:val="004134DD"/>
    <w:rsid w:val="004145B9"/>
    <w:rsid w:val="004166CD"/>
    <w:rsid w:val="004178B1"/>
    <w:rsid w:val="0041793A"/>
    <w:rsid w:val="00423779"/>
    <w:rsid w:val="00423DBC"/>
    <w:rsid w:val="00424C34"/>
    <w:rsid w:val="00425082"/>
    <w:rsid w:val="00431DEB"/>
    <w:rsid w:val="00433284"/>
    <w:rsid w:val="00446B29"/>
    <w:rsid w:val="004509E6"/>
    <w:rsid w:val="00452714"/>
    <w:rsid w:val="00452F3F"/>
    <w:rsid w:val="0045305D"/>
    <w:rsid w:val="00453F9A"/>
    <w:rsid w:val="0045659F"/>
    <w:rsid w:val="0046416D"/>
    <w:rsid w:val="00470986"/>
    <w:rsid w:val="00471D7E"/>
    <w:rsid w:val="00471E91"/>
    <w:rsid w:val="00472AF6"/>
    <w:rsid w:val="00472C6E"/>
    <w:rsid w:val="00474675"/>
    <w:rsid w:val="0047470C"/>
    <w:rsid w:val="0047745F"/>
    <w:rsid w:val="00485828"/>
    <w:rsid w:val="00485ADA"/>
    <w:rsid w:val="00490762"/>
    <w:rsid w:val="00490E6B"/>
    <w:rsid w:val="00495B36"/>
    <w:rsid w:val="004A029F"/>
    <w:rsid w:val="004A0900"/>
    <w:rsid w:val="004A1661"/>
    <w:rsid w:val="004A2EB0"/>
    <w:rsid w:val="004A35F9"/>
    <w:rsid w:val="004A4698"/>
    <w:rsid w:val="004B1107"/>
    <w:rsid w:val="004B1EA1"/>
    <w:rsid w:val="004B24C1"/>
    <w:rsid w:val="004B3527"/>
    <w:rsid w:val="004B4141"/>
    <w:rsid w:val="004B7A61"/>
    <w:rsid w:val="004C0DE4"/>
    <w:rsid w:val="004C15CE"/>
    <w:rsid w:val="004C292F"/>
    <w:rsid w:val="004C3BCF"/>
    <w:rsid w:val="004C52B4"/>
    <w:rsid w:val="004C6D21"/>
    <w:rsid w:val="004D197C"/>
    <w:rsid w:val="004D57C1"/>
    <w:rsid w:val="004E4034"/>
    <w:rsid w:val="004E504F"/>
    <w:rsid w:val="004E7695"/>
    <w:rsid w:val="004F10FB"/>
    <w:rsid w:val="004F11CA"/>
    <w:rsid w:val="00500A34"/>
    <w:rsid w:val="00510280"/>
    <w:rsid w:val="005107C9"/>
    <w:rsid w:val="00513480"/>
    <w:rsid w:val="00513D73"/>
    <w:rsid w:val="00514A43"/>
    <w:rsid w:val="00515AF2"/>
    <w:rsid w:val="005174E5"/>
    <w:rsid w:val="00522393"/>
    <w:rsid w:val="00522620"/>
    <w:rsid w:val="00522F9A"/>
    <w:rsid w:val="00525656"/>
    <w:rsid w:val="00525C3B"/>
    <w:rsid w:val="00526737"/>
    <w:rsid w:val="00532DB6"/>
    <w:rsid w:val="00534C02"/>
    <w:rsid w:val="00534D29"/>
    <w:rsid w:val="00534EC9"/>
    <w:rsid w:val="005374CA"/>
    <w:rsid w:val="0054264B"/>
    <w:rsid w:val="00543786"/>
    <w:rsid w:val="00550AC2"/>
    <w:rsid w:val="005533D7"/>
    <w:rsid w:val="00560E0C"/>
    <w:rsid w:val="00560EB9"/>
    <w:rsid w:val="005703DE"/>
    <w:rsid w:val="00573FF7"/>
    <w:rsid w:val="00575169"/>
    <w:rsid w:val="00576D9A"/>
    <w:rsid w:val="00580B6B"/>
    <w:rsid w:val="005828EB"/>
    <w:rsid w:val="00582AD4"/>
    <w:rsid w:val="0058464E"/>
    <w:rsid w:val="00587FD0"/>
    <w:rsid w:val="00592C13"/>
    <w:rsid w:val="005A01CB"/>
    <w:rsid w:val="005A09F3"/>
    <w:rsid w:val="005A58FF"/>
    <w:rsid w:val="005A5BD3"/>
    <w:rsid w:val="005A5EAF"/>
    <w:rsid w:val="005A64C0"/>
    <w:rsid w:val="005B0270"/>
    <w:rsid w:val="005B1AD6"/>
    <w:rsid w:val="005B3747"/>
    <w:rsid w:val="005B3C11"/>
    <w:rsid w:val="005B3CB5"/>
    <w:rsid w:val="005B5F81"/>
    <w:rsid w:val="005B73B1"/>
    <w:rsid w:val="005C1190"/>
    <w:rsid w:val="005C1C28"/>
    <w:rsid w:val="005C3767"/>
    <w:rsid w:val="005C40BF"/>
    <w:rsid w:val="005C6DB5"/>
    <w:rsid w:val="005C7E1D"/>
    <w:rsid w:val="005D291E"/>
    <w:rsid w:val="005D347A"/>
    <w:rsid w:val="005D4E43"/>
    <w:rsid w:val="005D6D3F"/>
    <w:rsid w:val="005D7121"/>
    <w:rsid w:val="005E0135"/>
    <w:rsid w:val="005E19E7"/>
    <w:rsid w:val="005E51BE"/>
    <w:rsid w:val="005E6290"/>
    <w:rsid w:val="005E6661"/>
    <w:rsid w:val="005E71F4"/>
    <w:rsid w:val="005E7A66"/>
    <w:rsid w:val="005F1913"/>
    <w:rsid w:val="005F2504"/>
    <w:rsid w:val="005F3BCD"/>
    <w:rsid w:val="005F606F"/>
    <w:rsid w:val="005F7EFC"/>
    <w:rsid w:val="00600BCD"/>
    <w:rsid w:val="00601A64"/>
    <w:rsid w:val="00603CAD"/>
    <w:rsid w:val="00605DE9"/>
    <w:rsid w:val="006123BE"/>
    <w:rsid w:val="0061716C"/>
    <w:rsid w:val="0062170B"/>
    <w:rsid w:val="006243A1"/>
    <w:rsid w:val="0062654B"/>
    <w:rsid w:val="006268F1"/>
    <w:rsid w:val="006274A6"/>
    <w:rsid w:val="00627580"/>
    <w:rsid w:val="0063111E"/>
    <w:rsid w:val="00632E56"/>
    <w:rsid w:val="00635CBA"/>
    <w:rsid w:val="00640D79"/>
    <w:rsid w:val="00641C62"/>
    <w:rsid w:val="006423A6"/>
    <w:rsid w:val="0064338B"/>
    <w:rsid w:val="00646542"/>
    <w:rsid w:val="00646A44"/>
    <w:rsid w:val="00646A5E"/>
    <w:rsid w:val="006504F4"/>
    <w:rsid w:val="006504FA"/>
    <w:rsid w:val="00651D37"/>
    <w:rsid w:val="00652A8E"/>
    <w:rsid w:val="00653CBB"/>
    <w:rsid w:val="00654BC9"/>
    <w:rsid w:val="006552FD"/>
    <w:rsid w:val="006554A5"/>
    <w:rsid w:val="00662954"/>
    <w:rsid w:val="00663AF3"/>
    <w:rsid w:val="00666B6C"/>
    <w:rsid w:val="0066740F"/>
    <w:rsid w:val="00667651"/>
    <w:rsid w:val="0067275D"/>
    <w:rsid w:val="00676D9C"/>
    <w:rsid w:val="00677A1E"/>
    <w:rsid w:val="00682682"/>
    <w:rsid w:val="00682702"/>
    <w:rsid w:val="00684161"/>
    <w:rsid w:val="006862EB"/>
    <w:rsid w:val="00690D41"/>
    <w:rsid w:val="006915B7"/>
    <w:rsid w:val="006916B9"/>
    <w:rsid w:val="0069219B"/>
    <w:rsid w:val="00692368"/>
    <w:rsid w:val="00692DB1"/>
    <w:rsid w:val="00692EAF"/>
    <w:rsid w:val="006A2EBC"/>
    <w:rsid w:val="006A5EA0"/>
    <w:rsid w:val="006A61D0"/>
    <w:rsid w:val="006A783B"/>
    <w:rsid w:val="006A7AEB"/>
    <w:rsid w:val="006A7B33"/>
    <w:rsid w:val="006B0009"/>
    <w:rsid w:val="006B03C7"/>
    <w:rsid w:val="006B3B7D"/>
    <w:rsid w:val="006B47BB"/>
    <w:rsid w:val="006B4972"/>
    <w:rsid w:val="006B4E13"/>
    <w:rsid w:val="006B75DD"/>
    <w:rsid w:val="006C3EC4"/>
    <w:rsid w:val="006C5EC8"/>
    <w:rsid w:val="006C67E0"/>
    <w:rsid w:val="006C79BB"/>
    <w:rsid w:val="006C7ABA"/>
    <w:rsid w:val="006D0D60"/>
    <w:rsid w:val="006D1122"/>
    <w:rsid w:val="006D3C00"/>
    <w:rsid w:val="006E3675"/>
    <w:rsid w:val="006E4A7F"/>
    <w:rsid w:val="006E5E69"/>
    <w:rsid w:val="006F0025"/>
    <w:rsid w:val="006F2AB3"/>
    <w:rsid w:val="006F30E6"/>
    <w:rsid w:val="006F3843"/>
    <w:rsid w:val="00700506"/>
    <w:rsid w:val="00702335"/>
    <w:rsid w:val="00704DF6"/>
    <w:rsid w:val="00705F44"/>
    <w:rsid w:val="0070651C"/>
    <w:rsid w:val="00707D93"/>
    <w:rsid w:val="00710179"/>
    <w:rsid w:val="0071145F"/>
    <w:rsid w:val="00711B5A"/>
    <w:rsid w:val="007132A3"/>
    <w:rsid w:val="00716421"/>
    <w:rsid w:val="00717651"/>
    <w:rsid w:val="00722D17"/>
    <w:rsid w:val="00722F36"/>
    <w:rsid w:val="00724EFB"/>
    <w:rsid w:val="00732949"/>
    <w:rsid w:val="00733E7A"/>
    <w:rsid w:val="007419C3"/>
    <w:rsid w:val="00743B4A"/>
    <w:rsid w:val="00744823"/>
    <w:rsid w:val="007467A7"/>
    <w:rsid w:val="007469DD"/>
    <w:rsid w:val="00747275"/>
    <w:rsid w:val="0074741B"/>
    <w:rsid w:val="0074759E"/>
    <w:rsid w:val="007478EA"/>
    <w:rsid w:val="00753E0E"/>
    <w:rsid w:val="0075415C"/>
    <w:rsid w:val="00763424"/>
    <w:rsid w:val="00763502"/>
    <w:rsid w:val="0076433C"/>
    <w:rsid w:val="00765463"/>
    <w:rsid w:val="00765465"/>
    <w:rsid w:val="00767D83"/>
    <w:rsid w:val="00771B48"/>
    <w:rsid w:val="00772775"/>
    <w:rsid w:val="00774E9B"/>
    <w:rsid w:val="007760D4"/>
    <w:rsid w:val="00781B36"/>
    <w:rsid w:val="007848C5"/>
    <w:rsid w:val="00784DB9"/>
    <w:rsid w:val="007913AB"/>
    <w:rsid w:val="007914F7"/>
    <w:rsid w:val="00797015"/>
    <w:rsid w:val="007B071B"/>
    <w:rsid w:val="007B0C68"/>
    <w:rsid w:val="007B1625"/>
    <w:rsid w:val="007B2AA6"/>
    <w:rsid w:val="007B2ED4"/>
    <w:rsid w:val="007B3BAC"/>
    <w:rsid w:val="007B4CAA"/>
    <w:rsid w:val="007B706E"/>
    <w:rsid w:val="007B71EB"/>
    <w:rsid w:val="007B7466"/>
    <w:rsid w:val="007B7F4D"/>
    <w:rsid w:val="007C0A15"/>
    <w:rsid w:val="007C2D77"/>
    <w:rsid w:val="007C31CC"/>
    <w:rsid w:val="007C44C3"/>
    <w:rsid w:val="007C487E"/>
    <w:rsid w:val="007C6205"/>
    <w:rsid w:val="007C686A"/>
    <w:rsid w:val="007C728E"/>
    <w:rsid w:val="007D12D6"/>
    <w:rsid w:val="007D2C53"/>
    <w:rsid w:val="007D3D60"/>
    <w:rsid w:val="007D58A1"/>
    <w:rsid w:val="007D7786"/>
    <w:rsid w:val="007E1980"/>
    <w:rsid w:val="007E2CED"/>
    <w:rsid w:val="007E4B76"/>
    <w:rsid w:val="007E4C8A"/>
    <w:rsid w:val="007E5EA8"/>
    <w:rsid w:val="007F0949"/>
    <w:rsid w:val="007F0CF1"/>
    <w:rsid w:val="007F12A5"/>
    <w:rsid w:val="007F27B4"/>
    <w:rsid w:val="007F2D6D"/>
    <w:rsid w:val="007F3B0B"/>
    <w:rsid w:val="007F48B2"/>
    <w:rsid w:val="007F4CF1"/>
    <w:rsid w:val="007F758D"/>
    <w:rsid w:val="007F7D52"/>
    <w:rsid w:val="00801277"/>
    <w:rsid w:val="00802398"/>
    <w:rsid w:val="0080654C"/>
    <w:rsid w:val="008071C6"/>
    <w:rsid w:val="008073E5"/>
    <w:rsid w:val="008109D6"/>
    <w:rsid w:val="00811750"/>
    <w:rsid w:val="00815237"/>
    <w:rsid w:val="00817136"/>
    <w:rsid w:val="00817A00"/>
    <w:rsid w:val="008212D7"/>
    <w:rsid w:val="00821C5F"/>
    <w:rsid w:val="008258E4"/>
    <w:rsid w:val="0083084A"/>
    <w:rsid w:val="00832776"/>
    <w:rsid w:val="00833D87"/>
    <w:rsid w:val="008342E7"/>
    <w:rsid w:val="00834813"/>
    <w:rsid w:val="00834B6C"/>
    <w:rsid w:val="00835834"/>
    <w:rsid w:val="00835DB3"/>
    <w:rsid w:val="0083617B"/>
    <w:rsid w:val="00836D9D"/>
    <w:rsid w:val="008371BD"/>
    <w:rsid w:val="00842971"/>
    <w:rsid w:val="008504A8"/>
    <w:rsid w:val="00852006"/>
    <w:rsid w:val="0085282E"/>
    <w:rsid w:val="008533B6"/>
    <w:rsid w:val="00857A3C"/>
    <w:rsid w:val="00862151"/>
    <w:rsid w:val="00862B89"/>
    <w:rsid w:val="00864FB4"/>
    <w:rsid w:val="00866AA4"/>
    <w:rsid w:val="0087198C"/>
    <w:rsid w:val="00872896"/>
    <w:rsid w:val="00872C1F"/>
    <w:rsid w:val="00873B42"/>
    <w:rsid w:val="008743BC"/>
    <w:rsid w:val="00874A40"/>
    <w:rsid w:val="0087620B"/>
    <w:rsid w:val="008770F5"/>
    <w:rsid w:val="00877177"/>
    <w:rsid w:val="0087773E"/>
    <w:rsid w:val="00880480"/>
    <w:rsid w:val="00880B73"/>
    <w:rsid w:val="0088194D"/>
    <w:rsid w:val="00882D2B"/>
    <w:rsid w:val="00885289"/>
    <w:rsid w:val="008856D8"/>
    <w:rsid w:val="00892D71"/>
    <w:rsid w:val="00892E82"/>
    <w:rsid w:val="00894FC6"/>
    <w:rsid w:val="008A2A95"/>
    <w:rsid w:val="008C0D91"/>
    <w:rsid w:val="008C1B58"/>
    <w:rsid w:val="008C38FE"/>
    <w:rsid w:val="008C39AE"/>
    <w:rsid w:val="008C590D"/>
    <w:rsid w:val="008C786F"/>
    <w:rsid w:val="008D009D"/>
    <w:rsid w:val="008D250B"/>
    <w:rsid w:val="008D4EA9"/>
    <w:rsid w:val="008E031B"/>
    <w:rsid w:val="008E0817"/>
    <w:rsid w:val="008E224C"/>
    <w:rsid w:val="008E2388"/>
    <w:rsid w:val="008E23E7"/>
    <w:rsid w:val="008E4014"/>
    <w:rsid w:val="008E60E2"/>
    <w:rsid w:val="008E7029"/>
    <w:rsid w:val="008E7EF6"/>
    <w:rsid w:val="008F1F98"/>
    <w:rsid w:val="008F5765"/>
    <w:rsid w:val="008F6758"/>
    <w:rsid w:val="008F6F02"/>
    <w:rsid w:val="00900900"/>
    <w:rsid w:val="00902A08"/>
    <w:rsid w:val="0090326F"/>
    <w:rsid w:val="009040DD"/>
    <w:rsid w:val="0090450B"/>
    <w:rsid w:val="00905B47"/>
    <w:rsid w:val="00906ECD"/>
    <w:rsid w:val="00906F0A"/>
    <w:rsid w:val="0090711E"/>
    <w:rsid w:val="0091331C"/>
    <w:rsid w:val="00913E7A"/>
    <w:rsid w:val="0091457E"/>
    <w:rsid w:val="00916945"/>
    <w:rsid w:val="00922E53"/>
    <w:rsid w:val="009236CF"/>
    <w:rsid w:val="009240E8"/>
    <w:rsid w:val="00924BA0"/>
    <w:rsid w:val="009279DE"/>
    <w:rsid w:val="00930116"/>
    <w:rsid w:val="00933DC7"/>
    <w:rsid w:val="00933E40"/>
    <w:rsid w:val="00935676"/>
    <w:rsid w:val="009363F2"/>
    <w:rsid w:val="0093742D"/>
    <w:rsid w:val="009375C7"/>
    <w:rsid w:val="009376E0"/>
    <w:rsid w:val="00940320"/>
    <w:rsid w:val="00940FAC"/>
    <w:rsid w:val="00941421"/>
    <w:rsid w:val="0094212C"/>
    <w:rsid w:val="009421BE"/>
    <w:rsid w:val="00944733"/>
    <w:rsid w:val="00946042"/>
    <w:rsid w:val="009504BC"/>
    <w:rsid w:val="009507F6"/>
    <w:rsid w:val="00951D89"/>
    <w:rsid w:val="009520CA"/>
    <w:rsid w:val="00953278"/>
    <w:rsid w:val="00954689"/>
    <w:rsid w:val="009562D4"/>
    <w:rsid w:val="009602EB"/>
    <w:rsid w:val="00960636"/>
    <w:rsid w:val="009617C9"/>
    <w:rsid w:val="00961C93"/>
    <w:rsid w:val="00963087"/>
    <w:rsid w:val="00965324"/>
    <w:rsid w:val="0097091E"/>
    <w:rsid w:val="0097312C"/>
    <w:rsid w:val="0097354E"/>
    <w:rsid w:val="00975EFE"/>
    <w:rsid w:val="009760D3"/>
    <w:rsid w:val="00977132"/>
    <w:rsid w:val="00980089"/>
    <w:rsid w:val="009801D8"/>
    <w:rsid w:val="00981A4B"/>
    <w:rsid w:val="0098238C"/>
    <w:rsid w:val="00982501"/>
    <w:rsid w:val="0098485C"/>
    <w:rsid w:val="00984AE2"/>
    <w:rsid w:val="00985D50"/>
    <w:rsid w:val="00987386"/>
    <w:rsid w:val="009877D3"/>
    <w:rsid w:val="00994AD9"/>
    <w:rsid w:val="00994E8F"/>
    <w:rsid w:val="009951DC"/>
    <w:rsid w:val="009959BB"/>
    <w:rsid w:val="00996669"/>
    <w:rsid w:val="00997158"/>
    <w:rsid w:val="009A01B9"/>
    <w:rsid w:val="009A01D6"/>
    <w:rsid w:val="009A3753"/>
    <w:rsid w:val="009A3A7C"/>
    <w:rsid w:val="009B2ADB"/>
    <w:rsid w:val="009B603A"/>
    <w:rsid w:val="009B6E06"/>
    <w:rsid w:val="009C0F68"/>
    <w:rsid w:val="009C2D0E"/>
    <w:rsid w:val="009C3DAC"/>
    <w:rsid w:val="009C42E0"/>
    <w:rsid w:val="009C4EEC"/>
    <w:rsid w:val="009C7DCB"/>
    <w:rsid w:val="009D187A"/>
    <w:rsid w:val="009D28B6"/>
    <w:rsid w:val="009D2B49"/>
    <w:rsid w:val="009D5362"/>
    <w:rsid w:val="009E09B4"/>
    <w:rsid w:val="009E1415"/>
    <w:rsid w:val="009E4174"/>
    <w:rsid w:val="009E4E89"/>
    <w:rsid w:val="009E5238"/>
    <w:rsid w:val="009E534F"/>
    <w:rsid w:val="009E5754"/>
    <w:rsid w:val="009E6116"/>
    <w:rsid w:val="009E6A1B"/>
    <w:rsid w:val="009F11B8"/>
    <w:rsid w:val="009F12D8"/>
    <w:rsid w:val="009F1B15"/>
    <w:rsid w:val="009F2170"/>
    <w:rsid w:val="009F4C79"/>
    <w:rsid w:val="009F51BD"/>
    <w:rsid w:val="009F5A2F"/>
    <w:rsid w:val="009F73D8"/>
    <w:rsid w:val="00A00B9D"/>
    <w:rsid w:val="00A0112A"/>
    <w:rsid w:val="00A02E43"/>
    <w:rsid w:val="00A065F9"/>
    <w:rsid w:val="00A06FD9"/>
    <w:rsid w:val="00A07F34"/>
    <w:rsid w:val="00A15157"/>
    <w:rsid w:val="00A205FA"/>
    <w:rsid w:val="00A22154"/>
    <w:rsid w:val="00A24393"/>
    <w:rsid w:val="00A25C38"/>
    <w:rsid w:val="00A26308"/>
    <w:rsid w:val="00A26A96"/>
    <w:rsid w:val="00A27B20"/>
    <w:rsid w:val="00A34775"/>
    <w:rsid w:val="00A34D69"/>
    <w:rsid w:val="00A368A7"/>
    <w:rsid w:val="00A36BBE"/>
    <w:rsid w:val="00A40207"/>
    <w:rsid w:val="00A41191"/>
    <w:rsid w:val="00A4307A"/>
    <w:rsid w:val="00A43097"/>
    <w:rsid w:val="00A43373"/>
    <w:rsid w:val="00A47EBB"/>
    <w:rsid w:val="00A50675"/>
    <w:rsid w:val="00A51CDD"/>
    <w:rsid w:val="00A577E8"/>
    <w:rsid w:val="00A57CC7"/>
    <w:rsid w:val="00A6107E"/>
    <w:rsid w:val="00A618F7"/>
    <w:rsid w:val="00A6394B"/>
    <w:rsid w:val="00A6730D"/>
    <w:rsid w:val="00A6746D"/>
    <w:rsid w:val="00A711A2"/>
    <w:rsid w:val="00A71625"/>
    <w:rsid w:val="00A71B9B"/>
    <w:rsid w:val="00A751C7"/>
    <w:rsid w:val="00A828DE"/>
    <w:rsid w:val="00A828EA"/>
    <w:rsid w:val="00A86A6A"/>
    <w:rsid w:val="00A87844"/>
    <w:rsid w:val="00A92ADF"/>
    <w:rsid w:val="00A94C41"/>
    <w:rsid w:val="00A96267"/>
    <w:rsid w:val="00A97D1F"/>
    <w:rsid w:val="00AA038C"/>
    <w:rsid w:val="00AA1737"/>
    <w:rsid w:val="00AA7A09"/>
    <w:rsid w:val="00AA7AD2"/>
    <w:rsid w:val="00AB2D90"/>
    <w:rsid w:val="00AB3B50"/>
    <w:rsid w:val="00AB3C6A"/>
    <w:rsid w:val="00AB6E40"/>
    <w:rsid w:val="00AC05B1"/>
    <w:rsid w:val="00AC13D9"/>
    <w:rsid w:val="00AC6F5A"/>
    <w:rsid w:val="00AD2DFC"/>
    <w:rsid w:val="00AD356C"/>
    <w:rsid w:val="00AD4F18"/>
    <w:rsid w:val="00AE2914"/>
    <w:rsid w:val="00AE42A9"/>
    <w:rsid w:val="00AE6D15"/>
    <w:rsid w:val="00AE7BBA"/>
    <w:rsid w:val="00AF40A2"/>
    <w:rsid w:val="00AF461F"/>
    <w:rsid w:val="00AF4D12"/>
    <w:rsid w:val="00B006AB"/>
    <w:rsid w:val="00B01D5B"/>
    <w:rsid w:val="00B01FF6"/>
    <w:rsid w:val="00B04182"/>
    <w:rsid w:val="00B0685E"/>
    <w:rsid w:val="00B07670"/>
    <w:rsid w:val="00B07AE3"/>
    <w:rsid w:val="00B10E92"/>
    <w:rsid w:val="00B10F4F"/>
    <w:rsid w:val="00B11430"/>
    <w:rsid w:val="00B12D55"/>
    <w:rsid w:val="00B174A5"/>
    <w:rsid w:val="00B25987"/>
    <w:rsid w:val="00B27F93"/>
    <w:rsid w:val="00B30B21"/>
    <w:rsid w:val="00B33414"/>
    <w:rsid w:val="00B3352A"/>
    <w:rsid w:val="00B34238"/>
    <w:rsid w:val="00B34A96"/>
    <w:rsid w:val="00B353EB"/>
    <w:rsid w:val="00B41642"/>
    <w:rsid w:val="00B416B0"/>
    <w:rsid w:val="00B432A1"/>
    <w:rsid w:val="00B439C4"/>
    <w:rsid w:val="00B4535E"/>
    <w:rsid w:val="00B50D6E"/>
    <w:rsid w:val="00B52A8C"/>
    <w:rsid w:val="00B53C7E"/>
    <w:rsid w:val="00B56E21"/>
    <w:rsid w:val="00B60A4D"/>
    <w:rsid w:val="00B61939"/>
    <w:rsid w:val="00B6239F"/>
    <w:rsid w:val="00B6273B"/>
    <w:rsid w:val="00B636A8"/>
    <w:rsid w:val="00B65085"/>
    <w:rsid w:val="00B651BB"/>
    <w:rsid w:val="00B665C6"/>
    <w:rsid w:val="00B66FA5"/>
    <w:rsid w:val="00B679EE"/>
    <w:rsid w:val="00B74AFC"/>
    <w:rsid w:val="00B74EB5"/>
    <w:rsid w:val="00B805AF"/>
    <w:rsid w:val="00B83559"/>
    <w:rsid w:val="00B86395"/>
    <w:rsid w:val="00B869EC"/>
    <w:rsid w:val="00B86D7D"/>
    <w:rsid w:val="00B87EF1"/>
    <w:rsid w:val="00B9076F"/>
    <w:rsid w:val="00B9397A"/>
    <w:rsid w:val="00B95E90"/>
    <w:rsid w:val="00B9633D"/>
    <w:rsid w:val="00B977B2"/>
    <w:rsid w:val="00BA00CF"/>
    <w:rsid w:val="00BA2EBE"/>
    <w:rsid w:val="00BA5F3B"/>
    <w:rsid w:val="00BA6E1A"/>
    <w:rsid w:val="00BA78BF"/>
    <w:rsid w:val="00BB0213"/>
    <w:rsid w:val="00BB0F28"/>
    <w:rsid w:val="00BB0F47"/>
    <w:rsid w:val="00BB41EA"/>
    <w:rsid w:val="00BB458A"/>
    <w:rsid w:val="00BC18E2"/>
    <w:rsid w:val="00BC4FEF"/>
    <w:rsid w:val="00BC64B7"/>
    <w:rsid w:val="00BC6545"/>
    <w:rsid w:val="00BC6F05"/>
    <w:rsid w:val="00BD00D3"/>
    <w:rsid w:val="00BD1659"/>
    <w:rsid w:val="00BD3AA9"/>
    <w:rsid w:val="00BD3D69"/>
    <w:rsid w:val="00BD4A18"/>
    <w:rsid w:val="00BD5623"/>
    <w:rsid w:val="00BD6DB2"/>
    <w:rsid w:val="00BE042B"/>
    <w:rsid w:val="00BE11CF"/>
    <w:rsid w:val="00BE21AB"/>
    <w:rsid w:val="00BE2E40"/>
    <w:rsid w:val="00BE4E0E"/>
    <w:rsid w:val="00BE55CB"/>
    <w:rsid w:val="00BF1A5B"/>
    <w:rsid w:val="00BF356A"/>
    <w:rsid w:val="00BF617A"/>
    <w:rsid w:val="00C000DC"/>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56D4"/>
    <w:rsid w:val="00C26BE5"/>
    <w:rsid w:val="00C26E4D"/>
    <w:rsid w:val="00C27909"/>
    <w:rsid w:val="00C27B03"/>
    <w:rsid w:val="00C3025F"/>
    <w:rsid w:val="00C314E1"/>
    <w:rsid w:val="00C31A79"/>
    <w:rsid w:val="00C32DD9"/>
    <w:rsid w:val="00C33EB7"/>
    <w:rsid w:val="00C34397"/>
    <w:rsid w:val="00C4095D"/>
    <w:rsid w:val="00C458E9"/>
    <w:rsid w:val="00C543C0"/>
    <w:rsid w:val="00C54EA9"/>
    <w:rsid w:val="00C55F2B"/>
    <w:rsid w:val="00C5655B"/>
    <w:rsid w:val="00C56DF0"/>
    <w:rsid w:val="00C601D2"/>
    <w:rsid w:val="00C60D4C"/>
    <w:rsid w:val="00C613DE"/>
    <w:rsid w:val="00C61CA0"/>
    <w:rsid w:val="00C61E58"/>
    <w:rsid w:val="00C636F9"/>
    <w:rsid w:val="00C64E94"/>
    <w:rsid w:val="00C657AB"/>
    <w:rsid w:val="00C65BCC"/>
    <w:rsid w:val="00C66970"/>
    <w:rsid w:val="00C7173E"/>
    <w:rsid w:val="00C73BC7"/>
    <w:rsid w:val="00C74BF3"/>
    <w:rsid w:val="00C778A9"/>
    <w:rsid w:val="00C77B57"/>
    <w:rsid w:val="00C8585D"/>
    <w:rsid w:val="00C8691C"/>
    <w:rsid w:val="00C86A9E"/>
    <w:rsid w:val="00C90606"/>
    <w:rsid w:val="00C94D96"/>
    <w:rsid w:val="00C95B40"/>
    <w:rsid w:val="00C96494"/>
    <w:rsid w:val="00C966B8"/>
    <w:rsid w:val="00CA0E56"/>
    <w:rsid w:val="00CA168A"/>
    <w:rsid w:val="00CA357E"/>
    <w:rsid w:val="00CA42E7"/>
    <w:rsid w:val="00CA44F9"/>
    <w:rsid w:val="00CA4A69"/>
    <w:rsid w:val="00CB08EA"/>
    <w:rsid w:val="00CB2D67"/>
    <w:rsid w:val="00CB40FD"/>
    <w:rsid w:val="00CC3E0C"/>
    <w:rsid w:val="00CC58D3"/>
    <w:rsid w:val="00CC784D"/>
    <w:rsid w:val="00CD2F47"/>
    <w:rsid w:val="00CD3B5B"/>
    <w:rsid w:val="00CD6E51"/>
    <w:rsid w:val="00CE1A51"/>
    <w:rsid w:val="00CE2006"/>
    <w:rsid w:val="00CE501D"/>
    <w:rsid w:val="00CE51F7"/>
    <w:rsid w:val="00CF03B5"/>
    <w:rsid w:val="00CF15CF"/>
    <w:rsid w:val="00D0337B"/>
    <w:rsid w:val="00D04F64"/>
    <w:rsid w:val="00D05B87"/>
    <w:rsid w:val="00D079B2"/>
    <w:rsid w:val="00D114E9"/>
    <w:rsid w:val="00D11A67"/>
    <w:rsid w:val="00D11C8B"/>
    <w:rsid w:val="00D11FDA"/>
    <w:rsid w:val="00D12894"/>
    <w:rsid w:val="00D12DA8"/>
    <w:rsid w:val="00D221F1"/>
    <w:rsid w:val="00D22635"/>
    <w:rsid w:val="00D23220"/>
    <w:rsid w:val="00D2393C"/>
    <w:rsid w:val="00D242F8"/>
    <w:rsid w:val="00D34E6B"/>
    <w:rsid w:val="00D37A4C"/>
    <w:rsid w:val="00D414A3"/>
    <w:rsid w:val="00D41BB5"/>
    <w:rsid w:val="00D429C6"/>
    <w:rsid w:val="00D47748"/>
    <w:rsid w:val="00D54A4A"/>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18C4"/>
    <w:rsid w:val="00D9561C"/>
    <w:rsid w:val="00D95F91"/>
    <w:rsid w:val="00D964EA"/>
    <w:rsid w:val="00D966D0"/>
    <w:rsid w:val="00D97DB6"/>
    <w:rsid w:val="00DA0C59"/>
    <w:rsid w:val="00DA3991"/>
    <w:rsid w:val="00DA43C3"/>
    <w:rsid w:val="00DB12DE"/>
    <w:rsid w:val="00DB5CCB"/>
    <w:rsid w:val="00DB5F1D"/>
    <w:rsid w:val="00DB69A5"/>
    <w:rsid w:val="00DB753E"/>
    <w:rsid w:val="00DB7566"/>
    <w:rsid w:val="00DB7E6C"/>
    <w:rsid w:val="00DC1267"/>
    <w:rsid w:val="00DC3B61"/>
    <w:rsid w:val="00DC6D7E"/>
    <w:rsid w:val="00DD09D2"/>
    <w:rsid w:val="00DD5A29"/>
    <w:rsid w:val="00DD5D9D"/>
    <w:rsid w:val="00DE1E8C"/>
    <w:rsid w:val="00DE35CB"/>
    <w:rsid w:val="00DE54C0"/>
    <w:rsid w:val="00DE55B7"/>
    <w:rsid w:val="00DF21E9"/>
    <w:rsid w:val="00DF3746"/>
    <w:rsid w:val="00DF3835"/>
    <w:rsid w:val="00DF45C6"/>
    <w:rsid w:val="00DF4689"/>
    <w:rsid w:val="00DF5466"/>
    <w:rsid w:val="00E00E22"/>
    <w:rsid w:val="00E00F14"/>
    <w:rsid w:val="00E014DB"/>
    <w:rsid w:val="00E01E2C"/>
    <w:rsid w:val="00E03A41"/>
    <w:rsid w:val="00E06386"/>
    <w:rsid w:val="00E06724"/>
    <w:rsid w:val="00E06A22"/>
    <w:rsid w:val="00E1006D"/>
    <w:rsid w:val="00E15A3D"/>
    <w:rsid w:val="00E1617C"/>
    <w:rsid w:val="00E24EB4"/>
    <w:rsid w:val="00E317DC"/>
    <w:rsid w:val="00E320ED"/>
    <w:rsid w:val="00E32DF6"/>
    <w:rsid w:val="00E33AFB"/>
    <w:rsid w:val="00E34218"/>
    <w:rsid w:val="00E36B6A"/>
    <w:rsid w:val="00E427A5"/>
    <w:rsid w:val="00E42989"/>
    <w:rsid w:val="00E46282"/>
    <w:rsid w:val="00E47E10"/>
    <w:rsid w:val="00E51468"/>
    <w:rsid w:val="00E5216E"/>
    <w:rsid w:val="00E5468F"/>
    <w:rsid w:val="00E55461"/>
    <w:rsid w:val="00E57BBB"/>
    <w:rsid w:val="00E608D9"/>
    <w:rsid w:val="00E60B84"/>
    <w:rsid w:val="00E65FD6"/>
    <w:rsid w:val="00E70631"/>
    <w:rsid w:val="00E72A9E"/>
    <w:rsid w:val="00E74BE1"/>
    <w:rsid w:val="00E75D41"/>
    <w:rsid w:val="00E76C52"/>
    <w:rsid w:val="00E82344"/>
    <w:rsid w:val="00E84078"/>
    <w:rsid w:val="00E84C82"/>
    <w:rsid w:val="00E84D64"/>
    <w:rsid w:val="00E8576D"/>
    <w:rsid w:val="00E86AF7"/>
    <w:rsid w:val="00E87408"/>
    <w:rsid w:val="00E914C4"/>
    <w:rsid w:val="00E934F5"/>
    <w:rsid w:val="00E94A41"/>
    <w:rsid w:val="00E96961"/>
    <w:rsid w:val="00EA72EC"/>
    <w:rsid w:val="00EB04E1"/>
    <w:rsid w:val="00EB11CB"/>
    <w:rsid w:val="00EB275A"/>
    <w:rsid w:val="00EB3E99"/>
    <w:rsid w:val="00EB75DB"/>
    <w:rsid w:val="00EB786A"/>
    <w:rsid w:val="00EC1578"/>
    <w:rsid w:val="00EC1C72"/>
    <w:rsid w:val="00EC2945"/>
    <w:rsid w:val="00EC3CC9"/>
    <w:rsid w:val="00EC680A"/>
    <w:rsid w:val="00EC7EBE"/>
    <w:rsid w:val="00ED0130"/>
    <w:rsid w:val="00ED1196"/>
    <w:rsid w:val="00ED2BAF"/>
    <w:rsid w:val="00ED49EF"/>
    <w:rsid w:val="00ED7AEE"/>
    <w:rsid w:val="00EE1BF1"/>
    <w:rsid w:val="00EE205B"/>
    <w:rsid w:val="00EE2BED"/>
    <w:rsid w:val="00EE3414"/>
    <w:rsid w:val="00EE374B"/>
    <w:rsid w:val="00EE4805"/>
    <w:rsid w:val="00EE59FB"/>
    <w:rsid w:val="00EF10F8"/>
    <w:rsid w:val="00EF548A"/>
    <w:rsid w:val="00EF58BA"/>
    <w:rsid w:val="00EF7629"/>
    <w:rsid w:val="00EF7CEF"/>
    <w:rsid w:val="00F00B72"/>
    <w:rsid w:val="00F01332"/>
    <w:rsid w:val="00F11BB5"/>
    <w:rsid w:val="00F1417B"/>
    <w:rsid w:val="00F1787C"/>
    <w:rsid w:val="00F23D23"/>
    <w:rsid w:val="00F27CA9"/>
    <w:rsid w:val="00F3390A"/>
    <w:rsid w:val="00F34B99"/>
    <w:rsid w:val="00F37A7F"/>
    <w:rsid w:val="00F405ED"/>
    <w:rsid w:val="00F420F2"/>
    <w:rsid w:val="00F44F85"/>
    <w:rsid w:val="00F45778"/>
    <w:rsid w:val="00F510E6"/>
    <w:rsid w:val="00F52DAB"/>
    <w:rsid w:val="00F53443"/>
    <w:rsid w:val="00F54196"/>
    <w:rsid w:val="00F543F0"/>
    <w:rsid w:val="00F55827"/>
    <w:rsid w:val="00F575F3"/>
    <w:rsid w:val="00F6373D"/>
    <w:rsid w:val="00F7074B"/>
    <w:rsid w:val="00F72314"/>
    <w:rsid w:val="00F737AD"/>
    <w:rsid w:val="00F75807"/>
    <w:rsid w:val="00F81158"/>
    <w:rsid w:val="00F81D29"/>
    <w:rsid w:val="00F81D61"/>
    <w:rsid w:val="00F81DC8"/>
    <w:rsid w:val="00F867C5"/>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C6358"/>
    <w:rsid w:val="00FC6C90"/>
    <w:rsid w:val="00FD04BB"/>
    <w:rsid w:val="00FD066A"/>
    <w:rsid w:val="00FD0C5E"/>
    <w:rsid w:val="00FD220B"/>
    <w:rsid w:val="00FD320D"/>
    <w:rsid w:val="00FD4991"/>
    <w:rsid w:val="00FD570D"/>
    <w:rsid w:val="00FE05C6"/>
    <w:rsid w:val="00FE1498"/>
    <w:rsid w:val="00FE23DE"/>
    <w:rsid w:val="00FE3369"/>
    <w:rsid w:val="00FE35E0"/>
    <w:rsid w:val="00FF3562"/>
    <w:rsid w:val="03DC5DEE"/>
    <w:rsid w:val="09647AD7"/>
    <w:rsid w:val="09E06124"/>
    <w:rsid w:val="0A842761"/>
    <w:rsid w:val="0C68411F"/>
    <w:rsid w:val="0DD7773F"/>
    <w:rsid w:val="0E8D76BF"/>
    <w:rsid w:val="10776784"/>
    <w:rsid w:val="11845E93"/>
    <w:rsid w:val="128A1009"/>
    <w:rsid w:val="14683417"/>
    <w:rsid w:val="180C1BBF"/>
    <w:rsid w:val="1C525489"/>
    <w:rsid w:val="1D786173"/>
    <w:rsid w:val="1D932193"/>
    <w:rsid w:val="1F3E57F5"/>
    <w:rsid w:val="215C14F1"/>
    <w:rsid w:val="22FF5577"/>
    <w:rsid w:val="23BA6823"/>
    <w:rsid w:val="240B5CB0"/>
    <w:rsid w:val="24345391"/>
    <w:rsid w:val="24642242"/>
    <w:rsid w:val="24BB79C6"/>
    <w:rsid w:val="25A662D8"/>
    <w:rsid w:val="26AA2316"/>
    <w:rsid w:val="278D3F11"/>
    <w:rsid w:val="28FD036F"/>
    <w:rsid w:val="2B41697F"/>
    <w:rsid w:val="2E1C1A4E"/>
    <w:rsid w:val="33DB6004"/>
    <w:rsid w:val="36114AA4"/>
    <w:rsid w:val="438F69E7"/>
    <w:rsid w:val="47F952A2"/>
    <w:rsid w:val="499A6B9F"/>
    <w:rsid w:val="4DC024C2"/>
    <w:rsid w:val="51C508AC"/>
    <w:rsid w:val="5405508F"/>
    <w:rsid w:val="57D72C5D"/>
    <w:rsid w:val="5AE12A2F"/>
    <w:rsid w:val="5F7B5377"/>
    <w:rsid w:val="61721CA7"/>
    <w:rsid w:val="6568477B"/>
    <w:rsid w:val="673452AD"/>
    <w:rsid w:val="674B0307"/>
    <w:rsid w:val="68D52A0C"/>
    <w:rsid w:val="6B882879"/>
    <w:rsid w:val="6CD846E4"/>
    <w:rsid w:val="6CEA54EF"/>
    <w:rsid w:val="6E906FA7"/>
    <w:rsid w:val="6EDF047D"/>
    <w:rsid w:val="70687638"/>
    <w:rsid w:val="799C7E72"/>
    <w:rsid w:val="7A5D61CD"/>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4"/>
    <w:qFormat/>
    <w:uiPriority w:val="0"/>
    <w:rPr>
      <w:sz w:val="18"/>
      <w:szCs w:val="18"/>
    </w:rPr>
  </w:style>
  <w:style w:type="paragraph" w:styleId="17">
    <w:name w:val="footer"/>
    <w:basedOn w:val="1"/>
    <w:link w:val="55"/>
    <w:qFormat/>
    <w:uiPriority w:val="99"/>
    <w:pPr>
      <w:snapToGrid w:val="0"/>
      <w:ind w:right="210" w:rightChars="100"/>
      <w:jc w:val="right"/>
    </w:pPr>
    <w:rPr>
      <w:sz w:val="18"/>
      <w:szCs w:val="18"/>
    </w:rPr>
  </w:style>
  <w:style w:type="paragraph" w:styleId="18">
    <w:name w:val="header"/>
    <w:basedOn w:val="1"/>
    <w:link w:val="43"/>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49"/>
    <w:semiHidden/>
    <w:unhideWhenUsed/>
    <w:qFormat/>
    <w:uiPriority w:val="0"/>
    <w:rPr>
      <w:b/>
      <w:bCs/>
    </w:rPr>
  </w:style>
  <w:style w:type="table" w:styleId="33">
    <w:name w:val="Table Grid"/>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Emphasis"/>
    <w:basedOn w:val="34"/>
    <w:qFormat/>
    <w:uiPriority w:val="20"/>
    <w:rPr>
      <w:i/>
      <w:iCs/>
    </w:rPr>
  </w:style>
  <w:style w:type="character" w:styleId="38">
    <w:name w:val="Hyperlink"/>
    <w:qFormat/>
    <w:uiPriority w:val="0"/>
    <w:rPr>
      <w:color w:val="0000FF"/>
      <w:spacing w:val="0"/>
      <w:w w:val="100"/>
      <w:szCs w:val="21"/>
      <w:u w:val="single"/>
      <w:lang w:val="en-US" w:eastAsia="zh-CN"/>
    </w:rPr>
  </w:style>
  <w:style w:type="character" w:styleId="39">
    <w:name w:val="annotation reference"/>
    <w:basedOn w:val="34"/>
    <w:semiHidden/>
    <w:unhideWhenUsed/>
    <w:qFormat/>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character" w:customStyle="1" w:styleId="42">
    <w:name w:val="访问过的超链接1"/>
    <w:qFormat/>
    <w:uiPriority w:val="0"/>
    <w:rPr>
      <w:color w:val="800080"/>
      <w:u w:val="single"/>
    </w:rPr>
  </w:style>
  <w:style w:type="character" w:customStyle="1" w:styleId="43">
    <w:name w:val="页眉 字符"/>
    <w:link w:val="18"/>
    <w:qFormat/>
    <w:locked/>
    <w:uiPriority w:val="0"/>
    <w:rPr>
      <w:kern w:val="2"/>
      <w:sz w:val="18"/>
      <w:szCs w:val="18"/>
    </w:rPr>
  </w:style>
  <w:style w:type="character" w:customStyle="1" w:styleId="44">
    <w:name w:val="批注框文本 字符"/>
    <w:link w:val="16"/>
    <w:qFormat/>
    <w:uiPriority w:val="0"/>
    <w:rPr>
      <w:kern w:val="2"/>
      <w:sz w:val="18"/>
      <w:szCs w:val="18"/>
    </w:rPr>
  </w:style>
  <w:style w:type="character" w:customStyle="1" w:styleId="45">
    <w:name w:val="发布"/>
    <w:qFormat/>
    <w:uiPriority w:val="0"/>
    <w:rPr>
      <w:rFonts w:ascii="黑体" w:eastAsia="黑体"/>
      <w:spacing w:val="85"/>
      <w:w w:val="100"/>
      <w:position w:val="3"/>
      <w:sz w:val="28"/>
      <w:szCs w:val="28"/>
    </w:rPr>
  </w:style>
  <w:style w:type="character" w:customStyle="1" w:styleId="46">
    <w:name w:val="章标题 Char"/>
    <w:link w:val="47"/>
    <w:qFormat/>
    <w:locked/>
    <w:uiPriority w:val="0"/>
    <w:rPr>
      <w:rFonts w:ascii="黑体" w:eastAsia="黑体"/>
      <w:sz w:val="21"/>
    </w:rPr>
  </w:style>
  <w:style w:type="paragraph" w:customStyle="1" w:styleId="47">
    <w:name w:val="章标题"/>
    <w:next w:val="23"/>
    <w:link w:val="46"/>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8">
    <w:name w:val="一级条标题 Char"/>
    <w:link w:val="49"/>
    <w:qFormat/>
    <w:locked/>
    <w:uiPriority w:val="0"/>
    <w:rPr>
      <w:rFonts w:ascii="黑体" w:eastAsia="黑体"/>
      <w:sz w:val="21"/>
      <w:szCs w:val="21"/>
    </w:rPr>
  </w:style>
  <w:style w:type="paragraph" w:customStyle="1" w:styleId="49">
    <w:name w:val="一级条标题"/>
    <w:next w:val="23"/>
    <w:link w:val="48"/>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0">
    <w:name w:val="二级无 Char"/>
    <w:link w:val="51"/>
    <w:qFormat/>
    <w:locked/>
    <w:uiPriority w:val="0"/>
    <w:rPr>
      <w:rFonts w:ascii="宋体"/>
      <w:sz w:val="21"/>
      <w:szCs w:val="21"/>
    </w:rPr>
  </w:style>
  <w:style w:type="paragraph" w:customStyle="1" w:styleId="51">
    <w:name w:val="二级无"/>
    <w:basedOn w:val="52"/>
    <w:link w:val="50"/>
    <w:qFormat/>
    <w:uiPriority w:val="0"/>
    <w:pPr>
      <w:spacing w:beforeLines="0" w:afterLines="0"/>
    </w:pPr>
    <w:rPr>
      <w:rFonts w:ascii="宋体" w:eastAsia="宋体"/>
    </w:rPr>
  </w:style>
  <w:style w:type="paragraph" w:customStyle="1" w:styleId="52">
    <w:name w:val="二级条标题"/>
    <w:basedOn w:val="49"/>
    <w:next w:val="23"/>
    <w:link w:val="147"/>
    <w:qFormat/>
    <w:uiPriority w:val="0"/>
    <w:pPr>
      <w:spacing w:before="50" w:after="50"/>
      <w:outlineLvl w:val="3"/>
    </w:pPr>
  </w:style>
  <w:style w:type="character" w:customStyle="1" w:styleId="53">
    <w:name w:val="附录公式 Char"/>
    <w:basedOn w:val="41"/>
    <w:link w:val="54"/>
    <w:qFormat/>
    <w:uiPriority w:val="0"/>
    <w:rPr>
      <w:rFonts w:ascii="宋体"/>
      <w:sz w:val="21"/>
      <w:lang w:val="en-US" w:eastAsia="zh-CN" w:bidi="ar-SA"/>
    </w:rPr>
  </w:style>
  <w:style w:type="paragraph" w:customStyle="1" w:styleId="54">
    <w:name w:val="附录公式"/>
    <w:basedOn w:val="23"/>
    <w:next w:val="23"/>
    <w:link w:val="53"/>
    <w:qFormat/>
    <w:uiPriority w:val="0"/>
  </w:style>
  <w:style w:type="character" w:customStyle="1" w:styleId="55">
    <w:name w:val="页脚 字符"/>
    <w:link w:val="17"/>
    <w:qFormat/>
    <w:locked/>
    <w:uiPriority w:val="99"/>
    <w:rPr>
      <w:kern w:val="2"/>
      <w:sz w:val="18"/>
      <w:szCs w:val="18"/>
    </w:rPr>
  </w:style>
  <w:style w:type="character" w:customStyle="1" w:styleId="56">
    <w:name w:val="首示例 Char"/>
    <w:link w:val="57"/>
    <w:qFormat/>
    <w:uiPriority w:val="0"/>
    <w:rPr>
      <w:rFonts w:ascii="宋体" w:hAnsi="宋体"/>
      <w:kern w:val="2"/>
      <w:sz w:val="18"/>
      <w:szCs w:val="18"/>
    </w:rPr>
  </w:style>
  <w:style w:type="paragraph" w:customStyle="1" w:styleId="57">
    <w:name w:val="首示例"/>
    <w:next w:val="23"/>
    <w:link w:val="56"/>
    <w:qFormat/>
    <w:uiPriority w:val="0"/>
    <w:pPr>
      <w:tabs>
        <w:tab w:val="left" w:pos="360"/>
      </w:tabs>
    </w:pPr>
    <w:rPr>
      <w:rFonts w:ascii="宋体" w:hAnsi="宋体" w:eastAsia="宋体" w:cs="Times New Roman"/>
      <w:kern w:val="2"/>
      <w:sz w:val="18"/>
      <w:szCs w:val="18"/>
      <w:lang w:val="en-US" w:eastAsia="zh-CN" w:bidi="ar-SA"/>
    </w:rPr>
  </w:style>
  <w:style w:type="paragraph" w:customStyle="1" w:styleId="58">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0">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3">
    <w:name w:val="示例后文字"/>
    <w:basedOn w:val="23"/>
    <w:next w:val="23"/>
    <w:qFormat/>
    <w:uiPriority w:val="0"/>
    <w:pPr>
      <w:ind w:firstLine="360"/>
    </w:pPr>
    <w:rPr>
      <w:sz w:val="18"/>
    </w:rPr>
  </w:style>
  <w:style w:type="paragraph" w:customStyle="1" w:styleId="6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附录表标号"/>
    <w:basedOn w:val="1"/>
    <w:next w:val="23"/>
    <w:qFormat/>
    <w:uiPriority w:val="0"/>
    <w:pPr>
      <w:spacing w:line="14" w:lineRule="exact"/>
      <w:ind w:left="811" w:hanging="448"/>
      <w:jc w:val="center"/>
      <w:outlineLvl w:val="0"/>
    </w:pPr>
    <w:rPr>
      <w:color w:val="FFFFFF"/>
    </w:rPr>
  </w:style>
  <w:style w:type="paragraph" w:customStyle="1" w:styleId="67">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封面一致性程度标识"/>
    <w:basedOn w:val="69"/>
    <w:qFormat/>
    <w:uiPriority w:val="99"/>
    <w:pPr>
      <w:framePr w:wrap="around"/>
      <w:spacing w:before="440"/>
    </w:pPr>
    <w:rPr>
      <w:rFonts w:ascii="宋体" w:eastAsia="宋体"/>
    </w:rPr>
  </w:style>
  <w:style w:type="paragraph" w:customStyle="1" w:styleId="69">
    <w:name w:val="封面标准英文名称"/>
    <w:basedOn w:val="70"/>
    <w:qFormat/>
    <w:uiPriority w:val="0"/>
    <w:pPr>
      <w:framePr w:wrap="around"/>
      <w:spacing w:before="370" w:line="400" w:lineRule="exact"/>
    </w:pPr>
    <w:rPr>
      <w:rFonts w:ascii="Times New Roman"/>
      <w:sz w:val="28"/>
      <w:szCs w:val="28"/>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附录二级无"/>
    <w:basedOn w:val="67"/>
    <w:qFormat/>
    <w:uiPriority w:val="0"/>
    <w:pPr>
      <w:tabs>
        <w:tab w:val="clear" w:pos="360"/>
      </w:tabs>
      <w:spacing w:beforeLines="0" w:afterLines="0"/>
    </w:pPr>
    <w:rPr>
      <w:rFonts w:ascii="宋体" w:eastAsia="宋体"/>
      <w:szCs w:val="21"/>
    </w:rPr>
  </w:style>
  <w:style w:type="paragraph" w:customStyle="1" w:styleId="72">
    <w:name w:val="一级无"/>
    <w:basedOn w:val="49"/>
    <w:qFormat/>
    <w:uiPriority w:val="0"/>
    <w:pPr>
      <w:spacing w:beforeLines="0" w:afterLines="0"/>
    </w:pPr>
    <w:rPr>
      <w:rFonts w:ascii="宋体" w:eastAsia="宋体"/>
    </w:rPr>
  </w:style>
  <w:style w:type="paragraph" w:customStyle="1" w:styleId="73">
    <w:name w:val="实施日期"/>
    <w:basedOn w:val="59"/>
    <w:qFormat/>
    <w:uiPriority w:val="0"/>
    <w:pPr>
      <w:framePr w:wrap="around" w:vAnchor="page" w:hAnchor="text"/>
      <w:jc w:val="right"/>
    </w:pPr>
  </w:style>
  <w:style w:type="paragraph" w:customStyle="1" w:styleId="74">
    <w:name w:val="四级无"/>
    <w:basedOn w:val="75"/>
    <w:qFormat/>
    <w:uiPriority w:val="0"/>
    <w:pPr>
      <w:spacing w:beforeLines="0" w:afterLines="0"/>
    </w:pPr>
    <w:rPr>
      <w:rFonts w:ascii="宋体" w:eastAsia="宋体"/>
    </w:rPr>
  </w:style>
  <w:style w:type="paragraph" w:customStyle="1" w:styleId="75">
    <w:name w:val="四级条标题"/>
    <w:basedOn w:val="76"/>
    <w:next w:val="23"/>
    <w:qFormat/>
    <w:uiPriority w:val="0"/>
    <w:pPr>
      <w:outlineLvl w:val="5"/>
    </w:pPr>
  </w:style>
  <w:style w:type="paragraph" w:customStyle="1" w:styleId="76">
    <w:name w:val="三级条标题"/>
    <w:basedOn w:val="52"/>
    <w:next w:val="23"/>
    <w:qFormat/>
    <w:uiPriority w:val="99"/>
    <w:pPr>
      <w:outlineLvl w:val="4"/>
    </w:pPr>
  </w:style>
  <w:style w:type="paragraph" w:customStyle="1" w:styleId="77">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8">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9">
    <w:name w:val="正文表标题"/>
    <w:next w:val="23"/>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1">
    <w:name w:val="图标脚注说明"/>
    <w:basedOn w:val="23"/>
    <w:qFormat/>
    <w:uiPriority w:val="0"/>
    <w:pPr>
      <w:ind w:left="840" w:hanging="420" w:firstLineChars="0"/>
    </w:pPr>
    <w:rPr>
      <w:sz w:val="18"/>
      <w:szCs w:val="18"/>
    </w:rPr>
  </w:style>
  <w:style w:type="paragraph" w:customStyle="1" w:styleId="82">
    <w:name w:val="列项◆（三级）"/>
    <w:basedOn w:val="1"/>
    <w:qFormat/>
    <w:uiPriority w:val="0"/>
    <w:pPr>
      <w:tabs>
        <w:tab w:val="left" w:pos="1678"/>
      </w:tabs>
      <w:ind w:left="1678" w:hanging="414"/>
    </w:pPr>
    <w:rPr>
      <w:rFonts w:ascii="宋体"/>
      <w:szCs w:val="21"/>
    </w:rPr>
  </w:style>
  <w:style w:type="paragraph" w:customStyle="1" w:styleId="8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附录三级条标题"/>
    <w:basedOn w:val="67"/>
    <w:next w:val="23"/>
    <w:qFormat/>
    <w:uiPriority w:val="0"/>
    <w:pPr>
      <w:outlineLvl w:val="4"/>
    </w:pPr>
  </w:style>
  <w:style w:type="paragraph" w:customStyle="1" w:styleId="8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6">
    <w:name w:val="附录五级无"/>
    <w:basedOn w:val="87"/>
    <w:qFormat/>
    <w:uiPriority w:val="0"/>
    <w:pPr>
      <w:tabs>
        <w:tab w:val="left" w:pos="360"/>
      </w:tabs>
      <w:spacing w:beforeLines="0" w:afterLines="0"/>
    </w:pPr>
    <w:rPr>
      <w:rFonts w:ascii="宋体" w:eastAsia="宋体"/>
      <w:szCs w:val="21"/>
    </w:rPr>
  </w:style>
  <w:style w:type="paragraph" w:customStyle="1" w:styleId="87">
    <w:name w:val="附录五级条标题"/>
    <w:basedOn w:val="88"/>
    <w:next w:val="23"/>
    <w:qFormat/>
    <w:uiPriority w:val="0"/>
    <w:pPr>
      <w:tabs>
        <w:tab w:val="left" w:pos="360"/>
      </w:tabs>
      <w:outlineLvl w:val="6"/>
    </w:pPr>
  </w:style>
  <w:style w:type="paragraph" w:customStyle="1" w:styleId="88">
    <w:name w:val="附录四级条标题"/>
    <w:basedOn w:val="84"/>
    <w:next w:val="23"/>
    <w:qFormat/>
    <w:uiPriority w:val="0"/>
    <w:pPr>
      <w:outlineLvl w:val="5"/>
    </w:p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附录一级无"/>
    <w:basedOn w:val="91"/>
    <w:qFormat/>
    <w:uiPriority w:val="0"/>
    <w:pPr>
      <w:tabs>
        <w:tab w:val="left" w:pos="360"/>
      </w:tabs>
      <w:spacing w:beforeLines="0" w:afterLines="0"/>
    </w:pPr>
    <w:rPr>
      <w:rFonts w:ascii="宋体" w:eastAsia="宋体"/>
      <w:szCs w:val="21"/>
    </w:rPr>
  </w:style>
  <w:style w:type="paragraph" w:customStyle="1" w:styleId="91">
    <w:name w:val="附录一级条标题"/>
    <w:basedOn w:val="92"/>
    <w:next w:val="23"/>
    <w:qFormat/>
    <w:uiPriority w:val="0"/>
    <w:pPr>
      <w:tabs>
        <w:tab w:val="left" w:pos="360"/>
      </w:tabs>
      <w:autoSpaceDN w:val="0"/>
      <w:spacing w:beforeLines="50" w:afterLines="50"/>
      <w:outlineLvl w:val="2"/>
    </w:pPr>
  </w:style>
  <w:style w:type="paragraph" w:customStyle="1" w:styleId="92">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5">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97">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8">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2">
    <w:name w:val="条文脚注"/>
    <w:basedOn w:val="24"/>
    <w:qFormat/>
    <w:uiPriority w:val="0"/>
    <w:pPr>
      <w:ind w:left="0" w:firstLine="0"/>
      <w:jc w:val="both"/>
    </w:pPr>
  </w:style>
  <w:style w:type="paragraph" w:customStyle="1" w:styleId="10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5">
    <w:name w:val="示例"/>
    <w:next w:val="10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7">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8">
    <w:name w:val="封面一致性程度标识2"/>
    <w:basedOn w:val="68"/>
    <w:qFormat/>
    <w:uiPriority w:val="0"/>
    <w:pPr>
      <w:framePr w:wrap="around" w:y="4469"/>
    </w:pPr>
  </w:style>
  <w:style w:type="paragraph" w:customStyle="1" w:styleId="109">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0">
    <w:name w:val="附录三级无"/>
    <w:basedOn w:val="84"/>
    <w:qFormat/>
    <w:uiPriority w:val="0"/>
    <w:pPr>
      <w:tabs>
        <w:tab w:val="clear" w:pos="360"/>
      </w:tabs>
      <w:spacing w:beforeLines="0" w:afterLines="0"/>
    </w:pPr>
    <w:rPr>
      <w:rFonts w:ascii="宋体" w:eastAsia="宋体"/>
      <w:szCs w:val="21"/>
    </w:rPr>
  </w:style>
  <w:style w:type="paragraph" w:customStyle="1" w:styleId="111">
    <w:name w:val="其他发布日期"/>
    <w:basedOn w:val="59"/>
    <w:qFormat/>
    <w:uiPriority w:val="99"/>
    <w:pPr>
      <w:framePr w:wrap="around" w:vAnchor="page" w:hAnchor="text" w:x="1419"/>
    </w:pPr>
  </w:style>
  <w:style w:type="paragraph" w:customStyle="1" w:styleId="11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3">
    <w:name w:val="其他标准标志"/>
    <w:basedOn w:val="103"/>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图表脚注说明"/>
    <w:basedOn w:val="1"/>
    <w:qFormat/>
    <w:uiPriority w:val="0"/>
    <w:pPr>
      <w:ind w:left="544" w:hanging="181"/>
    </w:pPr>
    <w:rPr>
      <w:rFonts w:ascii="宋体"/>
      <w:sz w:val="18"/>
      <w:szCs w:val="18"/>
    </w:rPr>
  </w:style>
  <w:style w:type="paragraph" w:customStyle="1" w:styleId="116">
    <w:name w:val="五级条标题"/>
    <w:basedOn w:val="75"/>
    <w:next w:val="23"/>
    <w:qFormat/>
    <w:uiPriority w:val="0"/>
    <w:pPr>
      <w:outlineLvl w:val="6"/>
    </w:pPr>
  </w:style>
  <w:style w:type="paragraph" w:customStyle="1" w:styleId="117">
    <w:name w:val="封面标准文稿类别"/>
    <w:basedOn w:val="68"/>
    <w:qFormat/>
    <w:uiPriority w:val="0"/>
    <w:pPr>
      <w:framePr w:wrap="around"/>
      <w:spacing w:after="160" w:line="240" w:lineRule="auto"/>
    </w:pPr>
    <w:rPr>
      <w:sz w:val="24"/>
    </w:r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示例×："/>
    <w:basedOn w:val="47"/>
    <w:qFormat/>
    <w:uiPriority w:val="0"/>
    <w:pPr>
      <w:spacing w:beforeLines="0" w:afterLines="0"/>
      <w:ind w:firstLine="363"/>
      <w:outlineLvl w:val="9"/>
    </w:pPr>
    <w:rPr>
      <w:rFonts w:ascii="宋体" w:eastAsia="宋体"/>
      <w:sz w:val="18"/>
      <w:szCs w:val="18"/>
    </w:rPr>
  </w:style>
  <w:style w:type="paragraph" w:customStyle="1" w:styleId="1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1">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2">
    <w:name w:val="附录标识"/>
    <w:basedOn w:val="1"/>
    <w:next w:val="2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3">
    <w:name w:val="标准书眉_偶数页"/>
    <w:basedOn w:val="85"/>
    <w:next w:val="1"/>
    <w:qFormat/>
    <w:uiPriority w:val="0"/>
    <w:pPr>
      <w:jc w:val="left"/>
    </w:pPr>
  </w:style>
  <w:style w:type="paragraph" w:customStyle="1" w:styleId="124">
    <w:name w:val="封面标准文稿编辑信息"/>
    <w:basedOn w:val="117"/>
    <w:qFormat/>
    <w:uiPriority w:val="0"/>
    <w:pPr>
      <w:framePr w:wrap="around"/>
      <w:spacing w:before="180" w:line="180" w:lineRule="exact"/>
    </w:pPr>
    <w:rPr>
      <w:sz w:val="21"/>
    </w:rPr>
  </w:style>
  <w:style w:type="paragraph" w:customStyle="1" w:styleId="125">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6">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7">
    <w:name w:val="注：（正文）"/>
    <w:basedOn w:val="126"/>
    <w:next w:val="23"/>
    <w:qFormat/>
    <w:uiPriority w:val="0"/>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1">
    <w:name w:val="附录标题"/>
    <w:basedOn w:val="23"/>
    <w:next w:val="23"/>
    <w:qFormat/>
    <w:uiPriority w:val="0"/>
    <w:pPr>
      <w:ind w:firstLine="0" w:firstLineChars="0"/>
      <w:jc w:val="center"/>
    </w:pPr>
    <w:rPr>
      <w:rFonts w:ascii="黑体" w:eastAsia="黑体"/>
    </w:rPr>
  </w:style>
  <w:style w:type="paragraph" w:customStyle="1" w:styleId="13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3">
    <w:name w:val="封面标准名称2"/>
    <w:basedOn w:val="70"/>
    <w:qFormat/>
    <w:uiPriority w:val="0"/>
    <w:pPr>
      <w:framePr w:wrap="around" w:y="4469"/>
      <w:spacing w:beforeLines="630"/>
    </w:pPr>
  </w:style>
  <w:style w:type="paragraph" w:customStyle="1" w:styleId="134">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5">
    <w:name w:val="封面标准文稿编辑信息2"/>
    <w:basedOn w:val="124"/>
    <w:qFormat/>
    <w:uiPriority w:val="0"/>
    <w:pPr>
      <w:framePr w:wrap="around" w:y="4469"/>
    </w:pPr>
  </w:style>
  <w:style w:type="paragraph" w:customStyle="1" w:styleId="136">
    <w:name w:val="其他发布部门"/>
    <w:basedOn w:val="134"/>
    <w:qFormat/>
    <w:uiPriority w:val="0"/>
    <w:pPr>
      <w:framePr w:wrap="around" w:y="15310"/>
      <w:spacing w:line="0" w:lineRule="atLeast"/>
    </w:pPr>
    <w:rPr>
      <w:rFonts w:ascii="黑体" w:eastAsia="黑体"/>
      <w:b w:val="0"/>
    </w:rPr>
  </w:style>
  <w:style w:type="paragraph" w:customStyle="1" w:styleId="137">
    <w:name w:val="附录四级无"/>
    <w:basedOn w:val="88"/>
    <w:qFormat/>
    <w:uiPriority w:val="0"/>
    <w:pPr>
      <w:tabs>
        <w:tab w:val="clear" w:pos="360"/>
      </w:tabs>
      <w:spacing w:beforeLines="0" w:afterLines="0"/>
    </w:pPr>
    <w:rPr>
      <w:rFonts w:ascii="宋体" w:eastAsia="宋体"/>
      <w:szCs w:val="21"/>
    </w:rPr>
  </w:style>
  <w:style w:type="paragraph" w:customStyle="1" w:styleId="138">
    <w:name w:val="三级无"/>
    <w:basedOn w:val="76"/>
    <w:qFormat/>
    <w:uiPriority w:val="0"/>
    <w:pPr>
      <w:spacing w:beforeLines="0" w:afterLines="0"/>
    </w:pPr>
    <w:rPr>
      <w:rFonts w:ascii="宋体" w:eastAsia="宋体"/>
    </w:rPr>
  </w:style>
  <w:style w:type="paragraph" w:customStyle="1" w:styleId="139">
    <w:name w:val="五级无"/>
    <w:basedOn w:val="116"/>
    <w:qFormat/>
    <w:uiPriority w:val="0"/>
    <w:pPr>
      <w:spacing w:beforeLines="0" w:afterLines="0"/>
    </w:pPr>
    <w:rPr>
      <w:rFonts w:ascii="宋体" w:eastAsia="宋体"/>
    </w:rPr>
  </w:style>
  <w:style w:type="paragraph" w:customStyle="1" w:styleId="140">
    <w:name w:val="正文公式编号制表符"/>
    <w:basedOn w:val="23"/>
    <w:next w:val="23"/>
    <w:qFormat/>
    <w:uiPriority w:val="0"/>
    <w:pPr>
      <w:ind w:firstLine="0" w:firstLineChars="0"/>
    </w:pPr>
  </w:style>
  <w:style w:type="paragraph" w:customStyle="1" w:styleId="141">
    <w:name w:val="终结线"/>
    <w:basedOn w:val="1"/>
    <w:qFormat/>
    <w:uiPriority w:val="0"/>
    <w:pPr>
      <w:framePr w:hSpace="181" w:vSpace="181" w:wrap="around" w:vAnchor="text" w:hAnchor="margin" w:xAlign="center" w:y="285"/>
    </w:pPr>
  </w:style>
  <w:style w:type="paragraph" w:customStyle="1" w:styleId="142">
    <w:name w:val="其他实施日期"/>
    <w:basedOn w:val="73"/>
    <w:qFormat/>
    <w:uiPriority w:val="99"/>
    <w:pPr>
      <w:framePr w:wrap="around"/>
    </w:pPr>
  </w:style>
  <w:style w:type="paragraph" w:customStyle="1" w:styleId="143">
    <w:name w:val="封面标准英文名称2"/>
    <w:basedOn w:val="69"/>
    <w:qFormat/>
    <w:uiPriority w:val="0"/>
    <w:pPr>
      <w:framePr w:wrap="around" w:y="4469"/>
    </w:pPr>
  </w:style>
  <w:style w:type="paragraph" w:customStyle="1" w:styleId="144">
    <w:name w:val="封面标准文稿类别2"/>
    <w:basedOn w:val="117"/>
    <w:qFormat/>
    <w:uiPriority w:val="0"/>
    <w:pPr>
      <w:framePr w:wrap="around" w:y="4469"/>
    </w:pPr>
  </w:style>
  <w:style w:type="paragraph" w:styleId="145">
    <w:name w:val="List Paragraph"/>
    <w:basedOn w:val="1"/>
    <w:qFormat/>
    <w:uiPriority w:val="34"/>
    <w:pPr>
      <w:ind w:firstLine="420" w:firstLineChars="200"/>
    </w:pPr>
    <w:rPr>
      <w:rFonts w:ascii="Calibri" w:hAnsi="Calibri"/>
      <w:szCs w:val="22"/>
    </w:rPr>
  </w:style>
  <w:style w:type="paragraph" w:customStyle="1" w:styleId="146">
    <w:name w:val="Char Char Char Char"/>
    <w:basedOn w:val="1"/>
    <w:qFormat/>
    <w:uiPriority w:val="0"/>
    <w:pPr>
      <w:adjustRightInd w:val="0"/>
      <w:spacing w:line="360" w:lineRule="auto"/>
    </w:pPr>
    <w:rPr>
      <w:kern w:val="0"/>
      <w:sz w:val="24"/>
      <w:szCs w:val="20"/>
    </w:rPr>
  </w:style>
  <w:style w:type="character" w:customStyle="1" w:styleId="147">
    <w:name w:val="二级条标题 Char"/>
    <w:link w:val="52"/>
    <w:qFormat/>
    <w:locked/>
    <w:uiPriority w:val="0"/>
    <w:rPr>
      <w:rFonts w:ascii="黑体" w:eastAsia="黑体"/>
      <w:sz w:val="21"/>
      <w:szCs w:val="21"/>
    </w:rPr>
  </w:style>
  <w:style w:type="character" w:customStyle="1" w:styleId="148">
    <w:name w:val="批注文字 字符"/>
    <w:basedOn w:val="34"/>
    <w:link w:val="8"/>
    <w:semiHidden/>
    <w:qFormat/>
    <w:uiPriority w:val="0"/>
    <w:rPr>
      <w:kern w:val="2"/>
      <w:sz w:val="21"/>
      <w:szCs w:val="24"/>
    </w:rPr>
  </w:style>
  <w:style w:type="character" w:customStyle="1" w:styleId="149">
    <w:name w:val="批注主题 字符"/>
    <w:basedOn w:val="148"/>
    <w:link w:val="31"/>
    <w:semiHidden/>
    <w:qFormat/>
    <w:uiPriority w:val="0"/>
    <w:rPr>
      <w:b/>
      <w:bCs/>
      <w:kern w:val="2"/>
      <w:sz w:val="21"/>
      <w:szCs w:val="24"/>
    </w:rPr>
  </w:style>
  <w:style w:type="character" w:customStyle="1" w:styleId="150">
    <w:name w:val="标题 1 字符"/>
    <w:basedOn w:val="34"/>
    <w:link w:val="2"/>
    <w:qFormat/>
    <w:uiPriority w:val="9"/>
    <w:rPr>
      <w:rFonts w:ascii="宋体" w:hAnsi="宋体" w:cs="宋体"/>
      <w:b/>
      <w:bCs/>
      <w:kern w:val="36"/>
      <w:sz w:val="48"/>
      <w:szCs w:val="4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3368</Words>
  <Characters>4354</Characters>
  <Lines>32</Lines>
  <Paragraphs>9</Paragraphs>
  <TotalTime>1</TotalTime>
  <ScaleCrop>false</ScaleCrop>
  <LinksUpToDate>false</LinksUpToDate>
  <CharactersWithSpaces>4534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2023-10-28T02:05:00Z</dcterms:created>
  <dc:creator>黄建国</dc:creator>
  <cp:lastModifiedBy>FL·yang</cp:lastModifiedBy>
  <cp:lastPrinted>2025-04-07T06:23:00Z</cp:lastPrinted>
  <dcterms:modified xsi:type="dcterms:W3CDTF">2025-04-11T08:52:51Z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82AD094AE2EC4CD0859415A0CC77946C</vt:lpwstr>
  </property>
  <property fmtid="{D5CDD505-2E9C-101B-9397-08002B2CF9AE}" pid="4" name="KSOTemplateDocerSaveRecord">
    <vt:lpwstr>eyJoZGlkIjoiNzg3NmQ5NzJkYWUzODUxZmI0ZGYwNDg2ZjY5ZjdjNDciLCJ1c2VySWQiOiIzNTU1NDMzMTUifQ==</vt:lpwstr>
  </property>
</Properties>
</file>