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0" w:name="BAH"/>
            <w:r>
              <w:rPr>
                <w:rFonts w:hint="eastAsia"/>
              </w:rPr>
              <w:instrText xml:space="preserve">FORMTEXT</w:instrText>
            </w:r>
            <w:r>
              <w:rPr>
                <w:rFonts w:hint="eastAsia"/>
              </w:rPr>
              <w:fldChar w:fldCharType="separate"/>
            </w:r>
            <w:r>
              <w:rPr>
                <w:rFonts w:hint="eastAsia"/>
              </w:rPr>
              <w:t>     </w:t>
            </w:r>
            <w:r>
              <w:rPr>
                <w:rFonts w:hint="eastAsia"/>
              </w:rPr>
              <w:fldChar w:fldCharType="end"/>
            </w:r>
            <w:bookmarkEnd w:id="0"/>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特殊用途热轧盘条</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Hot rolled wire rod for special applications conversion to wire</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1"/>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2"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2"/>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3"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3"/>
      <w:r>
        <w:rPr>
          <w:rFonts w:hint="eastAsia" w:ascii="黑体"/>
        </w:rPr>
        <w:t>-</w:t>
      </w:r>
      <w:r>
        <w:rPr>
          <w:rFonts w:hint="eastAsia" w:ascii="黑体"/>
        </w:rPr>
        <w:fldChar w:fldCharType="begin">
          <w:ffData>
            <w:name w:val="SM"/>
            <w:enabled/>
            <w:calcOnExit w:val="0"/>
            <w:textInput>
              <w:default w:val="XX"/>
              <w:maxLength w:val="2"/>
            </w:textInput>
          </w:ffData>
        </w:fldChar>
      </w:r>
      <w:bookmarkStart w:id="4"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ascii="黑体"/>
        </w:rPr>
        <w:t>-</w:t>
      </w:r>
      <w:r>
        <w:rPr>
          <w:rFonts w:hint="eastAsia" w:ascii="黑体"/>
        </w:rPr>
        <w:fldChar w:fldCharType="begin">
          <w:ffData>
            <w:name w:val="SD"/>
            <w:enabled/>
            <w:calcOnExit w:val="0"/>
            <w:textInput>
              <w:default w:val="XX"/>
              <w:maxLength w:val="2"/>
            </w:textInput>
          </w:ffData>
        </w:fldChar>
      </w:r>
      <w:bookmarkStart w:id="5"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5"/>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6"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6"/>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7" w:name="_Toc14408"/>
      <w:bookmarkStart w:id="8" w:name="_Toc25753"/>
      <w:bookmarkStart w:id="9" w:name="_Toc19905"/>
      <w:bookmarkStart w:id="10" w:name="_Toc21966"/>
      <w:r>
        <w:rPr>
          <w:rFonts w:ascii="Times New Roman"/>
        </w:rPr>
        <w:tab/>
      </w:r>
      <w:r>
        <w:rPr>
          <w:rFonts w:ascii="Times New Roman"/>
        </w:rPr>
        <w:tab/>
      </w:r>
      <w:r>
        <w:rPr>
          <w:rFonts w:ascii="Times New Roman"/>
        </w:rPr>
        <w:t>目</w:t>
      </w:r>
      <w:bookmarkStart w:id="11" w:name="BKML"/>
      <w:r>
        <w:rPr>
          <w:rFonts w:ascii="Times New Roman"/>
        </w:rPr>
        <w:t>  次</w:t>
      </w:r>
      <w:bookmarkEnd w:id="11"/>
    </w:p>
    <w:p w14:paraId="45A98A28">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TOC \h \z \t"前言、引言标题,1,参考文献、索引标题,1,章标题,1,参考文献,1,附录标识,1" \* MERGEFORMAT </w:instrText>
      </w:r>
      <w:r>
        <w:rPr>
          <w:rStyle w:val="43"/>
          <w:rFonts w:ascii="Times New Roman"/>
          <w:color w:val="000000" w:themeColor="text1"/>
          <w:u w:val="none"/>
          <w14:textFill>
            <w14:solidFill>
              <w14:schemeClr w14:val="tx1"/>
            </w14:solidFill>
          </w14:textFill>
        </w:rPr>
        <w:fldChar w:fldCharType="separate"/>
      </w:r>
      <w:r>
        <w:fldChar w:fldCharType="begin"/>
      </w:r>
      <w:r>
        <w:instrText xml:space="preserve"> HYPERLINK \l "_Toc27663756" </w:instrText>
      </w:r>
      <w:r>
        <w:fldChar w:fldCharType="separate"/>
      </w:r>
      <w:r>
        <w:rPr>
          <w:rStyle w:val="43"/>
          <w:rFonts w:ascii="Times New Roman"/>
          <w:color w:val="000000" w:themeColor="text1"/>
          <w:u w:val="none"/>
          <w14:textFill>
            <w14:solidFill>
              <w14:schemeClr w14:val="tx1"/>
            </w14:solidFill>
          </w14:textFill>
        </w:rPr>
        <w:t>前  言</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_Toc27663756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II</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42609CF">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"_Toc27663757" </w:instrText>
      </w:r>
      <w:r>
        <w:fldChar w:fldCharType="separate"/>
      </w:r>
      <w:r>
        <w:rPr>
          <w:rStyle w:val="43"/>
          <w:rFonts w:ascii="Times New Roman"/>
          <w:color w:val="000000" w:themeColor="text1"/>
          <w:u w:val="none"/>
          <w14:textFill>
            <w14:solidFill>
              <w14:schemeClr w14:val="tx1"/>
            </w14:solidFill>
          </w14:textFill>
        </w:rPr>
        <w:t>1　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_Toc27663757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253058C">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"_Toc27663758" </w:instrText>
      </w:r>
      <w:r>
        <w:fldChar w:fldCharType="separate"/>
      </w:r>
      <w:r>
        <w:rPr>
          <w:rStyle w:val="43"/>
          <w:rFonts w:ascii="Times New Roman"/>
          <w:color w:val="000000" w:themeColor="text1"/>
          <w:u w:val="none"/>
          <w14:textFill>
            <w14:solidFill>
              <w14:schemeClr w14:val="tx1"/>
            </w14:solidFill>
          </w14:textFill>
        </w:rPr>
        <w:t>2　规范性引用文件</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begin" w:fldLock="1"/>
      </w:r>
      <w:r>
        <w:rPr>
          <w:rStyle w:val="43"/>
          <w:rFonts w:ascii="Times New Roman"/>
          <w:color w:val="000000" w:themeColor="text1"/>
          <w:u w:val="none"/>
          <w14:textFill>
            <w14:solidFill>
              <w14:schemeClr w14:val="tx1"/>
            </w14:solidFill>
          </w14:textFill>
        </w:rPr>
        <w:instrText xml:space="preserve"> PAGEREF _Toc27663758 \h </w:instrText>
      </w:r>
      <w:r>
        <w:rPr>
          <w:rStyle w:val="43"/>
          <w:rFonts w:ascii="Times New Roman"/>
          <w:color w:val="000000" w:themeColor="text1"/>
          <w:u w:val="none"/>
          <w14:textFill>
            <w14:solidFill>
              <w14:schemeClr w14:val="tx1"/>
            </w14:solidFill>
          </w14:textFill>
        </w:rPr>
        <w:fldChar w:fldCharType="separate"/>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fldChar w:fldCharType="end"/>
      </w:r>
    </w:p>
    <w:p w14:paraId="160879F1">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"_Toc27663759" </w:instrText>
      </w:r>
      <w:r>
        <w:fldChar w:fldCharType="separate"/>
      </w:r>
      <w:r>
        <w:rPr>
          <w:rStyle w:val="43"/>
          <w:rFonts w:ascii="Times New Roman"/>
          <w:color w:val="000000" w:themeColor="text1"/>
          <w:u w:val="none"/>
          <w14:textFill>
            <w14:solidFill>
              <w14:schemeClr w14:val="tx1"/>
            </w14:solidFill>
          </w14:textFill>
        </w:rPr>
        <w:t>3　术语和定义</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5E3AE139">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4　评价边界及范围</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p>
    <w:p w14:paraId="13DF3D46">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"_Toc27663760" </w:instrText>
      </w:r>
      <w:r>
        <w:fldChar w:fldCharType="separate"/>
      </w:r>
      <w:r>
        <w:rPr>
          <w:rStyle w:val="43"/>
          <w:rFonts w:ascii="Times New Roman"/>
          <w:color w:val="000000" w:themeColor="text1"/>
          <w:u w:val="none"/>
          <w14:textFill>
            <w14:solidFill>
              <w14:schemeClr w14:val="tx1"/>
            </w14:solidFill>
          </w14:textFill>
        </w:rPr>
        <w:t>5　</w:t>
      </w:r>
      <w:r>
        <w:rPr>
          <w:rStyle w:val="43"/>
          <w:rFonts w:hint="eastAsia" w:ascii="Times New Roman"/>
          <w:color w:val="000000" w:themeColor="text1"/>
          <w:u w:val="none"/>
          <w14:textFill>
            <w14:solidFill>
              <w14:schemeClr w14:val="tx1"/>
            </w14:solidFill>
          </w14:textFill>
        </w:rPr>
        <w:t>低碳产品评价要求</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2</w:t>
      </w:r>
      <w:r>
        <w:rPr>
          <w:rStyle w:val="43"/>
          <w:rFonts w:ascii="Times New Roman"/>
          <w:color w:val="000000" w:themeColor="text1"/>
          <w:u w:val="none"/>
          <w14:textFill>
            <w14:solidFill>
              <w14:schemeClr w14:val="tx1"/>
            </w14:solidFill>
          </w14:textFill>
        </w:rPr>
        <w:fldChar w:fldCharType="end"/>
      </w:r>
    </w:p>
    <w:p w14:paraId="763E59AD">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t>6</w:t>
      </w:r>
      <w:r>
        <w:fldChar w:fldCharType="begin"/>
      </w:r>
      <w:r>
        <w:instrText xml:space="preserve"> HYPERLINK \l "_Toc27663761" </w:instrText>
      </w:r>
      <w:r>
        <w:fldChar w:fldCharType="separate"/>
      </w:r>
      <w:r>
        <w:rPr>
          <w:rStyle w:val="43"/>
          <w:rFonts w:ascii="Times New Roman"/>
          <w:color w:val="000000" w:themeColor="text1"/>
          <w:u w:val="none"/>
          <w14:textFill>
            <w14:solidFill>
              <w14:schemeClr w14:val="tx1"/>
            </w14:solidFill>
          </w14:textFill>
        </w:rPr>
        <w:t>　产品碳排放评价报告</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51034B57">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附录A（规范性）　钢材产品碳排放计算过程及计算方法</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4</w:t>
      </w:r>
    </w:p>
    <w:p w14:paraId="066E2E70">
      <w:pPr>
        <w:pStyle w:val="20"/>
        <w:spacing w:before="78" w:after="78"/>
        <w:rPr>
          <w:rStyle w:val="43"/>
          <w:rFonts w:ascii="Times New Roman"/>
          <w:color w:val="000000" w:themeColor="text1"/>
          <w:u w:val="none"/>
          <w14:textFill>
            <w14:solidFill>
              <w14:schemeClr w14:val="tx1"/>
            </w14:solidFill>
          </w14:textFill>
        </w:rPr>
      </w:pPr>
      <w:r>
        <w:rPr>
          <w:rStyle w:val="43"/>
          <w:rFonts w:ascii="Times New Roman"/>
          <w:color w:val="000000" w:themeColor="text1"/>
          <w:u w:val="none"/>
          <w14:textFill>
            <w14:solidFill>
              <w14:schemeClr w14:val="tx1"/>
            </w14:solidFill>
          </w14:textFill>
        </w:rPr>
        <w:fldChar w:fldCharType="end"/>
      </w:r>
      <w:r>
        <w:fldChar w:fldCharType="begin"/>
      </w:r>
      <w:r>
        <w:instrText xml:space="preserve"> HYPERLINK \l "_Toc27663763" </w:instrText>
      </w:r>
      <w:r>
        <w:fldChar w:fldCharType="separate"/>
      </w:r>
      <w:r>
        <w:rPr>
          <w:rStyle w:val="43"/>
          <w:rFonts w:ascii="Times New Roman"/>
          <w:color w:val="000000" w:themeColor="text1"/>
          <w:u w:val="none"/>
          <w14:textFill>
            <w14:solidFill>
              <w14:schemeClr w14:val="tx1"/>
            </w14:solidFill>
          </w14:textFill>
        </w:rPr>
        <w:t>附录B（资料性）　相关参数推荐值</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7</w:t>
      </w:r>
    </w:p>
    <w:p w14:paraId="4BF82C65">
      <w:pPr>
        <w:pStyle w:val="20"/>
        <w:spacing w:before="78" w:after="78"/>
        <w:rPr>
          <w:rStyle w:val="43"/>
          <w:rFonts w:ascii="Times New Roman"/>
          <w:color w:val="000000" w:themeColor="text1"/>
          <w:u w:val="none"/>
          <w14:textFill>
            <w14:solidFill>
              <w14:schemeClr w14:val="tx1"/>
            </w14:solidFill>
          </w14:textFill>
        </w:rPr>
      </w:pPr>
      <w:r>
        <w:fldChar w:fldCharType="begin"/>
      </w:r>
      <w:r>
        <w:instrText xml:space="preserve"> HYPERLINK \l "_Toc27663763" </w:instrText>
      </w:r>
      <w:r>
        <w:fldChar w:fldCharType="separate"/>
      </w:r>
      <w:r>
        <w:rPr>
          <w:rStyle w:val="43"/>
          <w:rFonts w:hint="eastAsia" w:ascii="Times New Roman"/>
          <w:color w:val="000000" w:themeColor="text1"/>
          <w:u w:val="none"/>
          <w14:textFill>
            <w14:solidFill>
              <w14:schemeClr w14:val="tx1"/>
            </w14:solidFill>
          </w14:textFill>
        </w:rPr>
        <w:t>参考文献</w:t>
      </w:r>
      <w:r>
        <w:rPr>
          <w:rStyle w:val="43"/>
          <w:rFonts w:ascii="Times New Roman"/>
          <w:color w:val="000000" w:themeColor="text1"/>
          <w:u w:val="none"/>
          <w14:textFill>
            <w14:solidFill>
              <w14:schemeClr w14:val="tx1"/>
            </w14:solidFill>
          </w14:textFill>
        </w:rPr>
        <w:tab/>
      </w:r>
      <w:r>
        <w:rPr>
          <w:rStyle w:val="43"/>
          <w:rFonts w:ascii="Times New Roman"/>
          <w:color w:val="000000" w:themeColor="text1"/>
          <w:u w:val="none"/>
          <w14:textFill>
            <w14:solidFill>
              <w14:schemeClr w14:val="tx1"/>
            </w14:solidFill>
          </w14:textFill>
        </w:rPr>
        <w:t>1</w:t>
      </w:r>
      <w:r>
        <w:rPr>
          <w:rStyle w:val="43"/>
          <w:rFonts w:ascii="Times New Roman"/>
          <w:color w:val="000000" w:themeColor="text1"/>
          <w:u w:val="none"/>
          <w14:textFill>
            <w14:solidFill>
              <w14:schemeClr w14:val="tx1"/>
            </w14:solidFill>
          </w14:textFill>
        </w:rPr>
        <w:fldChar w:fldCharType="end"/>
      </w:r>
      <w:r>
        <w:rPr>
          <w:rStyle w:val="43"/>
          <w:rFonts w:ascii="Times New Roman"/>
          <w:color w:val="000000" w:themeColor="text1"/>
          <w:u w:val="none"/>
          <w14:textFill>
            <w14:solidFill>
              <w14:schemeClr w14:val="tx1"/>
            </w14:solidFill>
          </w14:textFill>
        </w:rPr>
        <w:t>3</w:t>
      </w:r>
    </w:p>
    <w:p w14:paraId="17BCAAD4">
      <w:pPr>
        <w:pStyle w:val="24"/>
      </w:pPr>
    </w:p>
    <w:p w14:paraId="3BF23CD1">
      <w:pPr>
        <w:pStyle w:val="24"/>
      </w:pPr>
    </w:p>
    <w:p w14:paraId="5713E16F">
      <w:pPr>
        <w:pStyle w:val="143"/>
      </w:pPr>
      <w:bookmarkStart w:id="12" w:name="_Toc16391"/>
      <w:r>
        <w:rPr>
          <w:rFonts w:hint="eastAsia"/>
        </w:rPr>
        <w:t>前</w:t>
      </w:r>
      <w:bookmarkStart w:id="13" w:name="BKQY"/>
      <w:r>
        <w:rPr>
          <w:rFonts w:hint="eastAsia"/>
        </w:rPr>
        <w:t>  言</w:t>
      </w:r>
      <w:bookmarkEnd w:id="7"/>
      <w:bookmarkEnd w:id="8"/>
      <w:bookmarkEnd w:id="9"/>
      <w:bookmarkEnd w:id="10"/>
      <w:bookmarkEnd w:id="12"/>
      <w:bookmarkEnd w:id="13"/>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5" w:name="_GoBack"/>
      <w:bookmarkEnd w:id="25"/>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特殊用途热轧盘条</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2A87FE62">
      <w:pPr>
        <w:ind w:firstLine="420" w:firstLineChars="200"/>
        <w:rPr>
          <w:rFonts w:ascii="宋体" w:hAnsi="宋体" w:cs="宋体"/>
          <w:szCs w:val="21"/>
          <w:lang w:bidi="ar"/>
        </w:rPr>
      </w:pPr>
      <w:r>
        <w:rPr>
          <w:rFonts w:hint="eastAsia" w:ascii="宋体" w:hAnsi="宋体" w:cs="宋体"/>
          <w:szCs w:val="21"/>
          <w:lang w:bidi="ar"/>
        </w:rPr>
        <w:t>本文件规定了</w:t>
      </w:r>
      <w:r>
        <w:rPr>
          <w:rFonts w:hint="eastAsia"/>
        </w:rPr>
        <w:t>特殊用途热轧盘条</w:t>
      </w:r>
      <w:r>
        <w:rPr>
          <w:rFonts w:hint="eastAsia" w:ascii="宋体" w:hAnsi="宋体" w:cs="宋体"/>
          <w:szCs w:val="21"/>
          <w:lang w:bidi="ar"/>
        </w:rPr>
        <w:t>低碳产品评价的术语和定义、评价边界及范围、低碳产品评价要求和产品碳排放评价报告。</w:t>
      </w:r>
    </w:p>
    <w:p w14:paraId="3E36B8AA">
      <w:pPr>
        <w:ind w:firstLine="420" w:firstLineChars="200"/>
        <w:rPr>
          <w:rFonts w:ascii="宋体" w:hAnsi="宋体" w:cs="宋体"/>
          <w:szCs w:val="21"/>
          <w:lang w:bidi="ar"/>
        </w:rPr>
      </w:pPr>
      <w:r>
        <w:rPr>
          <w:rFonts w:hint="eastAsia" w:ascii="宋体" w:hAnsi="宋体" w:cs="宋体"/>
          <w:szCs w:val="21"/>
          <w:lang w:bidi="ar"/>
        </w:rPr>
        <w:t>本文件适用于特殊用途热轧盘条的低碳产品评价。</w:t>
      </w:r>
    </w:p>
    <w:p w14:paraId="54571B09">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2CB51AD6">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AD3532B">
      <w:pPr>
        <w:ind w:firstLine="420" w:firstLineChars="200"/>
        <w:rPr>
          <w:kern w:val="0"/>
          <w:szCs w:val="21"/>
          <w:lang w:bidi="ar"/>
        </w:rPr>
      </w:pPr>
      <w:r>
        <w:rPr>
          <w:rFonts w:hint="eastAsia"/>
          <w:szCs w:val="21"/>
        </w:rPr>
        <w:t>GB 17167  用能单位能源计量器具配备和管理通则</w:t>
      </w:r>
    </w:p>
    <w:p w14:paraId="582A60C7">
      <w:pPr>
        <w:ind w:firstLine="420" w:firstLineChars="200"/>
        <w:rPr>
          <w:kern w:val="0"/>
          <w:szCs w:val="21"/>
          <w:lang w:bidi="ar"/>
        </w:rPr>
      </w:pPr>
      <w:r>
        <w:rPr>
          <w:rFonts w:hint="eastAsia"/>
          <w:kern w:val="0"/>
          <w:szCs w:val="21"/>
          <w:lang w:bidi="ar"/>
        </w:rPr>
        <w:t xml:space="preserve">GB/T 19001  质量管理体系 </w:t>
      </w:r>
      <w:r>
        <w:rPr>
          <w:kern w:val="0"/>
          <w:szCs w:val="21"/>
          <w:lang w:bidi="ar"/>
        </w:rPr>
        <w:t xml:space="preserve"> </w:t>
      </w:r>
      <w:r>
        <w:rPr>
          <w:rFonts w:hint="eastAsia"/>
          <w:kern w:val="0"/>
          <w:szCs w:val="21"/>
          <w:lang w:bidi="ar"/>
        </w:rPr>
        <w:t>要求</w:t>
      </w:r>
    </w:p>
    <w:p w14:paraId="6CCF890F">
      <w:pPr>
        <w:ind w:firstLine="420" w:firstLineChars="200"/>
        <w:rPr>
          <w:kern w:val="0"/>
          <w:szCs w:val="21"/>
          <w:lang w:bidi="ar"/>
        </w:rPr>
      </w:pPr>
      <w:r>
        <w:rPr>
          <w:rFonts w:hint="eastAsia"/>
          <w:kern w:val="0"/>
          <w:szCs w:val="21"/>
          <w:lang w:bidi="ar"/>
        </w:rPr>
        <w:t>GB 21256  粗钢生产主要工序单位产品能源消耗限额</w:t>
      </w:r>
    </w:p>
    <w:p w14:paraId="70C9EB53">
      <w:pPr>
        <w:ind w:firstLine="420" w:firstLineChars="200"/>
        <w:rPr>
          <w:kern w:val="0"/>
          <w:szCs w:val="21"/>
          <w:lang w:bidi="ar"/>
        </w:rPr>
      </w:pPr>
      <w:r>
        <w:rPr>
          <w:rFonts w:hint="eastAsia"/>
          <w:kern w:val="0"/>
          <w:szCs w:val="21"/>
          <w:lang w:bidi="ar"/>
        </w:rPr>
        <w:t>GB 21342  焦炭单位产品能源消耗限额</w:t>
      </w:r>
    </w:p>
    <w:p w14:paraId="0D55B821">
      <w:pPr>
        <w:ind w:firstLine="420" w:firstLineChars="200"/>
        <w:rPr>
          <w:kern w:val="0"/>
          <w:szCs w:val="21"/>
          <w:lang w:bidi="ar"/>
        </w:rPr>
      </w:pPr>
      <w:r>
        <w:rPr>
          <w:rFonts w:hint="eastAsia"/>
          <w:kern w:val="0"/>
          <w:szCs w:val="21"/>
          <w:lang w:bidi="ar"/>
        </w:rPr>
        <w:t>GB/T 21368  钢铁企业能源计量器具配备和管理要求</w:t>
      </w:r>
    </w:p>
    <w:p w14:paraId="2C858FE6">
      <w:pPr>
        <w:ind w:firstLine="420" w:firstLineChars="200"/>
        <w:rPr>
          <w:kern w:val="0"/>
          <w:szCs w:val="21"/>
          <w:lang w:bidi="ar"/>
        </w:rPr>
      </w:pPr>
      <w:r>
        <w:rPr>
          <w:rFonts w:hint="eastAsia"/>
          <w:kern w:val="0"/>
          <w:szCs w:val="21"/>
          <w:lang w:bidi="ar"/>
        </w:rPr>
        <w:t xml:space="preserve">GB/T 23331  能源管理体系 </w:t>
      </w:r>
      <w:r>
        <w:rPr>
          <w:kern w:val="0"/>
          <w:szCs w:val="21"/>
          <w:lang w:bidi="ar"/>
        </w:rPr>
        <w:t xml:space="preserve"> </w:t>
      </w:r>
      <w:r>
        <w:rPr>
          <w:rFonts w:hint="eastAsia"/>
          <w:kern w:val="0"/>
          <w:szCs w:val="21"/>
          <w:lang w:bidi="ar"/>
        </w:rPr>
        <w:t>要求及使用指南</w:t>
      </w:r>
    </w:p>
    <w:p w14:paraId="1AEE3017">
      <w:pPr>
        <w:ind w:firstLine="420" w:firstLineChars="200"/>
        <w:rPr>
          <w:kern w:val="0"/>
          <w:szCs w:val="21"/>
          <w:lang w:bidi="ar"/>
        </w:rPr>
      </w:pPr>
      <w:r>
        <w:rPr>
          <w:rFonts w:hint="eastAsia"/>
          <w:kern w:val="0"/>
          <w:szCs w:val="21"/>
          <w:lang w:bidi="ar"/>
        </w:rPr>
        <w:t>GB 32050  电弧炉冶炼单位产品能源消耗限额</w:t>
      </w:r>
    </w:p>
    <w:p w14:paraId="3EB7AB69">
      <w:pPr>
        <w:ind w:firstLine="420" w:firstLineChars="200"/>
        <w:rPr>
          <w:kern w:val="0"/>
          <w:szCs w:val="21"/>
          <w:lang w:bidi="ar"/>
        </w:rPr>
      </w:pPr>
      <w:r>
        <w:rPr>
          <w:rFonts w:hint="eastAsia"/>
          <w:kern w:val="0"/>
          <w:szCs w:val="21"/>
          <w:lang w:bidi="ar"/>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本文件界定的特殊用途热轧盘条低碳产品生命周期评价系统边界分为两个阶段：原辅料与能源开采、生产和运输阶段；钢铁产品生产阶段。如图1所示，具体包括：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特殊用途热轧盘条低碳产品</w:t>
      </w:r>
      <w:r>
        <w:rPr>
          <w:rFonts w:ascii="Times New Roman"/>
        </w:rPr>
        <w:t>评价</w:t>
      </w:r>
      <w:r>
        <w:rPr>
          <w:rFonts w:hint="eastAsia" w:ascii="Times New Roman"/>
        </w:rPr>
        <w:t>边界及</w:t>
      </w:r>
      <w:r>
        <w:rPr>
          <w:rFonts w:ascii="Times New Roman"/>
        </w:rPr>
        <w:t>范围</w:t>
      </w:r>
    </w:p>
    <w:p w14:paraId="57480CC4">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021EB17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6E8A07A7">
      <w:pPr>
        <w:widowControl/>
        <w:tabs>
          <w:tab w:val="center" w:pos="4201"/>
          <w:tab w:val="right" w:leader="dot" w:pos="9298"/>
        </w:tabs>
        <w:autoSpaceDE w:val="0"/>
        <w:autoSpaceDN w:val="0"/>
        <w:ind w:firstLine="420" w:firstLineChars="200"/>
        <w:rPr>
          <w:kern w:val="0"/>
          <w:szCs w:val="20"/>
        </w:rPr>
      </w:pPr>
      <w:r>
        <w:rPr>
          <w:rFonts w:hint="eastAsia"/>
          <w:kern w:val="0"/>
          <w:szCs w:val="20"/>
        </w:rPr>
        <w:t>申请特殊用途热轧盘条低碳产品认证的企业应确保满足以下基本条件：</w:t>
      </w:r>
    </w:p>
    <w:p w14:paraId="40547613">
      <w:pPr>
        <w:widowControl/>
        <w:spacing w:before="156" w:beforeLines="50" w:after="156" w:afterLines="50"/>
        <w:ind w:firstLine="420" w:firstLineChars="200"/>
        <w:jc w:val="left"/>
        <w:outlineLvl w:val="2"/>
        <w:rPr>
          <w:szCs w:val="21"/>
        </w:rPr>
      </w:pPr>
      <w:r>
        <w:rPr>
          <w:rFonts w:hint="eastAsia"/>
          <w:szCs w:val="21"/>
        </w:rPr>
        <w:t>a）生产企业具备法人资格，并满足生产许可的要求（需要时）；</w:t>
      </w:r>
    </w:p>
    <w:p w14:paraId="034290BF">
      <w:pPr>
        <w:widowControl/>
        <w:spacing w:before="156" w:beforeLines="50" w:after="156" w:afterLines="50"/>
        <w:ind w:firstLine="420" w:firstLineChars="200"/>
        <w:jc w:val="left"/>
        <w:outlineLvl w:val="2"/>
        <w:rPr>
          <w:szCs w:val="21"/>
        </w:rPr>
      </w:pPr>
      <w:r>
        <w:rPr>
          <w:rFonts w:hint="eastAsia"/>
          <w:szCs w:val="21"/>
        </w:rPr>
        <w:t>b）产品质量应满足相关标准要求；</w:t>
      </w:r>
    </w:p>
    <w:p w14:paraId="2BB79AB2">
      <w:pPr>
        <w:widowControl/>
        <w:spacing w:before="156" w:beforeLines="50" w:after="156" w:afterLines="50"/>
        <w:ind w:firstLine="420" w:firstLineChars="200"/>
        <w:jc w:val="left"/>
        <w:outlineLvl w:val="2"/>
        <w:rPr>
          <w:szCs w:val="21"/>
        </w:rPr>
      </w:pPr>
      <w:r>
        <w:rPr>
          <w:rFonts w:hint="eastAsia"/>
          <w:szCs w:val="21"/>
        </w:rPr>
        <w:t>c）生产企业未列入国家信用信息严重失信主体名录；</w:t>
      </w:r>
    </w:p>
    <w:p w14:paraId="3DB6780E">
      <w:pPr>
        <w:widowControl/>
        <w:spacing w:before="156" w:beforeLines="50" w:after="156" w:afterLines="50"/>
        <w:ind w:firstLine="420" w:firstLineChars="200"/>
        <w:jc w:val="left"/>
        <w:outlineLvl w:val="2"/>
        <w:rPr>
          <w:szCs w:val="21"/>
        </w:rPr>
      </w:pPr>
      <w:r>
        <w:rPr>
          <w:rFonts w:hint="eastAsia"/>
          <w:szCs w:val="21"/>
        </w:rPr>
        <w:t>d）生产企业不应使用国家或有关部门发布的淘汰或禁止的技术、工艺、装备及相关物质；</w:t>
      </w:r>
    </w:p>
    <w:p w14:paraId="1C289651">
      <w:pPr>
        <w:widowControl/>
        <w:spacing w:before="156" w:beforeLines="50" w:after="156" w:afterLines="50"/>
        <w:ind w:firstLine="420" w:firstLineChars="200"/>
        <w:jc w:val="left"/>
        <w:outlineLvl w:val="2"/>
        <w:rPr>
          <w:szCs w:val="21"/>
        </w:rPr>
      </w:pPr>
      <w:r>
        <w:rPr>
          <w:rFonts w:hint="eastAsia"/>
          <w:szCs w:val="21"/>
        </w:rPr>
        <w:t>e）生产企业应按照GB/T 19001和GB/T 23331分别建立质量管理体系和能源管理体系；</w:t>
      </w:r>
    </w:p>
    <w:p w14:paraId="5C1B641C">
      <w:pPr>
        <w:widowControl/>
        <w:spacing w:before="156" w:beforeLines="50" w:after="156" w:afterLines="50"/>
        <w:ind w:firstLine="420" w:firstLineChars="200"/>
        <w:jc w:val="left"/>
        <w:outlineLvl w:val="2"/>
        <w:rPr>
          <w:szCs w:val="21"/>
        </w:rPr>
      </w:pPr>
      <w:r>
        <w:rPr>
          <w:rFonts w:hint="eastAsia"/>
          <w:szCs w:val="21"/>
        </w:rPr>
        <w:t>f）生产企业应按照GB 17167、GB/T 21368配备能源计量器具；</w:t>
      </w:r>
    </w:p>
    <w:p w14:paraId="21DC7957">
      <w:pPr>
        <w:widowControl/>
        <w:spacing w:before="156" w:beforeLines="50" w:after="156" w:afterLines="50"/>
        <w:ind w:firstLine="420" w:firstLineChars="200"/>
        <w:jc w:val="left"/>
        <w:outlineLvl w:val="2"/>
        <w:rPr>
          <w:szCs w:val="21"/>
        </w:rPr>
      </w:pPr>
      <w:r>
        <w:rPr>
          <w:rFonts w:hint="eastAsia"/>
          <w:szCs w:val="21"/>
        </w:rPr>
        <w:t>g）生产企业各工序单位产品能源消耗应符合GB 21256、GB 21342、GB 32050中准入值要求。</w:t>
      </w:r>
    </w:p>
    <w:p w14:paraId="2227B90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68F2F545">
      <w:pPr>
        <w:widowControl/>
        <w:tabs>
          <w:tab w:val="center" w:pos="4201"/>
          <w:tab w:val="right" w:leader="dot" w:pos="9298"/>
        </w:tabs>
        <w:autoSpaceDE w:val="0"/>
        <w:autoSpaceDN w:val="0"/>
        <w:ind w:firstLine="420" w:firstLineChars="200"/>
        <w:rPr>
          <w:kern w:val="0"/>
          <w:szCs w:val="20"/>
        </w:rPr>
      </w:pPr>
      <w:r>
        <w:rPr>
          <w:rFonts w:hint="eastAsia"/>
          <w:kern w:val="0"/>
          <w:szCs w:val="20"/>
        </w:rPr>
        <w:t>特殊用途热轧盘条</w:t>
      </w:r>
      <w:r>
        <w:rPr>
          <w:kern w:val="0"/>
          <w:szCs w:val="20"/>
        </w:rPr>
        <w:t>产品碳排放</w:t>
      </w:r>
      <w:r>
        <w:rPr>
          <w:rFonts w:hint="eastAsia"/>
          <w:kern w:val="0"/>
          <w:szCs w:val="20"/>
        </w:rPr>
        <w:t>量</w:t>
      </w:r>
      <w:r>
        <w:rPr>
          <w:kern w:val="0"/>
          <w:szCs w:val="20"/>
        </w:rPr>
        <w:t>应符合表1的规定。</w:t>
      </w:r>
    </w:p>
    <w:p w14:paraId="0D0B4BEB">
      <w:pPr>
        <w:pStyle w:val="116"/>
        <w:autoSpaceDE w:val="0"/>
        <w:autoSpaceDN w:val="0"/>
        <w:adjustRightInd w:val="0"/>
        <w:spacing w:before="156" w:after="156" w:line="440" w:lineRule="exact"/>
        <w:rPr>
          <w:sz w:val="18"/>
          <w:szCs w:val="18"/>
        </w:rPr>
      </w:pPr>
      <w:r>
        <w:rPr>
          <w:rFonts w:hint="eastAsia" w:ascii="Times New Roman"/>
        </w:rPr>
        <w:t>特殊用途热轧盘条</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35A51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056C1E29">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1FCDCFAE">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3D674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right w:val="single" w:color="auto" w:sz="6" w:space="0"/>
            </w:tcBorders>
            <w:vAlign w:val="center"/>
          </w:tcPr>
          <w:p w14:paraId="1955B536">
            <w:pPr>
              <w:autoSpaceDE w:val="0"/>
              <w:autoSpaceDN w:val="0"/>
              <w:adjustRightInd w:val="0"/>
              <w:jc w:val="center"/>
              <w:rPr>
                <w:sz w:val="18"/>
                <w:szCs w:val="18"/>
              </w:rPr>
            </w:pPr>
            <w:r>
              <w:rPr>
                <w:rFonts w:hint="eastAsia"/>
                <w:sz w:val="18"/>
                <w:szCs w:val="18"/>
              </w:rPr>
              <w:t>特殊用途热轧盘条</w:t>
            </w:r>
          </w:p>
        </w:tc>
        <w:tc>
          <w:tcPr>
            <w:tcW w:w="2500" w:type="pct"/>
            <w:tcBorders>
              <w:top w:val="single" w:color="auto" w:sz="6" w:space="0"/>
              <w:left w:val="nil"/>
              <w:bottom w:val="single" w:color="auto" w:sz="6" w:space="0"/>
              <w:right w:val="single" w:color="auto" w:sz="8" w:space="0"/>
            </w:tcBorders>
            <w:vAlign w:val="center"/>
          </w:tcPr>
          <w:p w14:paraId="08158A4C">
            <w:pPr>
              <w:autoSpaceDE w:val="0"/>
              <w:autoSpaceDN w:val="0"/>
              <w:adjustRightInd w:val="0"/>
              <w:jc w:val="center"/>
              <w:rPr>
                <w:rFonts w:cs="Calibri"/>
                <w:sz w:val="18"/>
                <w:szCs w:val="18"/>
              </w:rPr>
            </w:pPr>
            <w:r>
              <w:rPr>
                <w:rFonts w:hint="eastAsia" w:cs="Calibri"/>
                <w:sz w:val="18"/>
                <w:szCs w:val="18"/>
              </w:rPr>
              <w:t>2</w:t>
            </w:r>
            <w:r>
              <w:rPr>
                <w:rFonts w:cs="Calibri"/>
                <w:sz w:val="18"/>
                <w:szCs w:val="18"/>
              </w:rPr>
              <w:t>.30</w:t>
            </w:r>
          </w:p>
        </w:tc>
      </w:tr>
    </w:tbl>
    <w:p w14:paraId="3A5FBC7C">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05CEA2D6">
      <w:pPr>
        <w:widowControl/>
        <w:autoSpaceDE w:val="0"/>
        <w:autoSpaceDN w:val="0"/>
        <w:ind w:firstLine="420" w:firstLineChars="200"/>
        <w:rPr>
          <w:kern w:val="0"/>
          <w:szCs w:val="21"/>
        </w:rPr>
      </w:pPr>
      <w:r>
        <w:rPr>
          <w:rFonts w:hint="eastAsia"/>
          <w:kern w:val="0"/>
          <w:szCs w:val="21"/>
        </w:rPr>
        <w:t>特殊用途热轧盘条低碳产品</w:t>
      </w:r>
      <w:r>
        <w:rPr>
          <w:kern w:val="0"/>
          <w:szCs w:val="21"/>
        </w:rPr>
        <w:t>生产过程碳排放数据统计应基于可计量的统计期进行统计，一般情况下应以财务年为统计期。</w:t>
      </w:r>
    </w:p>
    <w:p w14:paraId="6349B1A6">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1D311934">
      <w:pPr>
        <w:widowControl/>
        <w:autoSpaceDE w:val="0"/>
        <w:autoSpaceDN w:val="0"/>
        <w:ind w:firstLine="420" w:firstLineChars="200"/>
        <w:rPr>
          <w:kern w:val="0"/>
          <w:szCs w:val="21"/>
        </w:rPr>
      </w:pPr>
      <w:r>
        <w:rPr>
          <w:rFonts w:hint="eastAsia"/>
          <w:kern w:val="0"/>
          <w:szCs w:val="21"/>
        </w:rPr>
        <w:t>特殊用途热轧盘条低碳产品碳排放量应采用附录A钢材产品碳排放核算过程及核算方法核算。</w:t>
      </w:r>
    </w:p>
    <w:p w14:paraId="7FA0A8F1">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517E2993">
      <w:pPr>
        <w:widowControl/>
        <w:autoSpaceDE w:val="0"/>
        <w:autoSpaceDN w:val="0"/>
        <w:ind w:firstLine="420" w:firstLineChars="200"/>
        <w:rPr>
          <w:kern w:val="0"/>
          <w:szCs w:val="21"/>
        </w:rPr>
      </w:pPr>
      <w:r>
        <w:rPr>
          <w:rFonts w:hint="eastAsia"/>
          <w:szCs w:val="21"/>
        </w:rPr>
        <w:t>在满足5.1基本要求的前提下，特殊用途热轧盘条</w:t>
      </w:r>
      <w:r>
        <w:rPr>
          <w:rFonts w:hint="eastAsia"/>
          <w:kern w:val="0"/>
          <w:szCs w:val="21"/>
        </w:rPr>
        <w:t>的单位产品碳排放量满足5</w:t>
      </w:r>
      <w:r>
        <w:rPr>
          <w:kern w:val="0"/>
          <w:szCs w:val="21"/>
        </w:rPr>
        <w:t>.2</w:t>
      </w:r>
      <w:r>
        <w:rPr>
          <w:rFonts w:hint="eastAsia"/>
          <w:kern w:val="0"/>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概述</w:t>
      </w:r>
    </w:p>
    <w:p w14:paraId="124DD639">
      <w:pPr>
        <w:pStyle w:val="24"/>
        <w:rPr>
          <w:rFonts w:ascii="Times New Roman"/>
        </w:rPr>
      </w:pPr>
      <w:r>
        <w:rPr>
          <w:rFonts w:hint="eastAsia" w:ascii="Times New Roman"/>
        </w:rPr>
        <w:t>特殊用途热轧盘条产品评价报告应说明评价主体基本信息、基本要求符合性、单位产品碳排放量、活动水平数据及其来源、排放因子及其来源等信息。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5D9BC36D">
      <w:pPr>
        <w:pStyle w:val="24"/>
        <w:rPr>
          <w:rFonts w:ascii="Times New Roman"/>
        </w:rPr>
      </w:pPr>
      <w:r>
        <w:rPr>
          <w:rFonts w:hint="eastAsia" w:ascii="Times New Roman"/>
        </w:rPr>
        <w:t>报告采用的各种排放因子数据及其来源。</w:t>
      </w:r>
    </w:p>
    <w:p w14:paraId="3BA51F2A">
      <w:pPr>
        <w:pStyle w:val="31"/>
        <w:widowControl/>
        <w:autoSpaceDE w:val="0"/>
        <w:autoSpaceDN w:val="0"/>
        <w:ind w:firstLine="420" w:firstLineChars="200"/>
        <w:rPr>
          <w:kern w:val="0"/>
          <w:sz w:val="21"/>
          <w:szCs w:val="21"/>
          <w:lang w:bidi="ar"/>
        </w:rPr>
      </w:pPr>
    </w:p>
    <w:p w14:paraId="48A95DAE">
      <w:pPr>
        <w:spacing w:line="360" w:lineRule="auto"/>
        <w:jc w:val="center"/>
        <w:outlineLvl w:val="0"/>
        <w:rPr>
          <w:b/>
          <w:bCs/>
        </w:rPr>
      </w:pPr>
      <w:r>
        <w:br w:type="page"/>
      </w:r>
      <w:bookmarkStart w:id="14" w:name="_Toc9528671"/>
      <w:bookmarkStart w:id="15" w:name="_Toc9524716"/>
      <w:bookmarkStart w:id="16" w:name="_Toc456690969"/>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4"/>
      <w:bookmarkEnd w:id="15"/>
      <w:bookmarkEnd w:id="16"/>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7" w:name="_Toc425754947"/>
      <w:bookmarkStart w:id="18" w:name="_Toc9528672"/>
      <w:bookmarkStart w:id="19" w:name="_Toc9524717"/>
      <w:bookmarkStart w:id="20" w:name="_Toc456690970"/>
      <w:bookmarkStart w:id="21" w:name="_Toc439245621"/>
      <w:r>
        <w:rPr>
          <w:rFonts w:hint="eastAsia"/>
        </w:rPr>
        <w:t>表B.3  常用化石燃料相关参数推荐值</w:t>
      </w:r>
      <w:bookmarkEnd w:id="17"/>
      <w:bookmarkEnd w:id="18"/>
      <w:bookmarkEnd w:id="19"/>
      <w:bookmarkEnd w:id="20"/>
      <w:bookmarkEnd w:id="21"/>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2" w:name="_Toc456690971"/>
      <w:bookmarkStart w:id="23" w:name="_Toc439245622"/>
      <w:bookmarkStart w:id="24" w:name="_Toc425754948"/>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2"/>
      <w:bookmarkEnd w:id="23"/>
      <w:bookmarkEnd w:id="24"/>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42D4E388">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7C29C2F3">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6928EFB7">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62814108">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13A8ABEC">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48D8324F">
      <w:pPr>
        <w:framePr w:hSpace="181" w:vSpace="181" w:wrap="around" w:vAnchor="text" w:hAnchor="page" w:x="4241" w:y="1845"/>
      </w:pPr>
      <w:r>
        <w:t>_________________________________</w:t>
      </w:r>
    </w:p>
    <w:p w14:paraId="290ED5AB">
      <w:pPr>
        <w:widowControl/>
        <w:tabs>
          <w:tab w:val="center" w:pos="4201"/>
          <w:tab w:val="right" w:leader="dot" w:pos="9298"/>
        </w:tabs>
        <w:autoSpaceDE w:val="0"/>
        <w:autoSpaceDN w:val="0"/>
        <w:rPr>
          <w:kern w:val="0"/>
          <w:szCs w:val="20"/>
        </w:rPr>
      </w:pPr>
      <w:r>
        <w:rPr>
          <w:kern w:val="0"/>
          <w:szCs w:val="20"/>
        </w:rPr>
        <w:t>[6]</w:t>
      </w:r>
      <w:r>
        <w:rPr>
          <w:rFonts w:ascii="宋体"/>
          <w:kern w:val="0"/>
          <w:szCs w:val="20"/>
        </w:rPr>
        <w:t xml:space="preserve"> 《认证机构管理办法》</w:t>
      </w:r>
    </w:p>
    <w:p w14:paraId="5E81D22F">
      <w:pPr>
        <w:pStyle w:val="24"/>
        <w:ind w:firstLine="0" w:firstLineChars="0"/>
        <w:rPr>
          <w:rFonts w:ascii="Times New Roman"/>
        </w:rPr>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6213"/>
    <w:rsid w:val="00007989"/>
    <w:rsid w:val="000121B8"/>
    <w:rsid w:val="000128A2"/>
    <w:rsid w:val="00013C95"/>
    <w:rsid w:val="00013D86"/>
    <w:rsid w:val="00013E02"/>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86C"/>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5636"/>
    <w:rsid w:val="004A772D"/>
    <w:rsid w:val="004B1C40"/>
    <w:rsid w:val="004B24C1"/>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814"/>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1455"/>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90D"/>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9346A"/>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F0E46"/>
    <w:rsid w:val="00DF21E9"/>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52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745B6"/>
    <w:rsid w:val="00F7550A"/>
    <w:rsid w:val="00F76C32"/>
    <w:rsid w:val="00F80343"/>
    <w:rsid w:val="00F81AF6"/>
    <w:rsid w:val="00F81D29"/>
    <w:rsid w:val="00F8423B"/>
    <w:rsid w:val="00F84978"/>
    <w:rsid w:val="00F849F2"/>
    <w:rsid w:val="00F86F6E"/>
    <w:rsid w:val="00F906D1"/>
    <w:rsid w:val="00F91C4D"/>
    <w:rsid w:val="00F92FD9"/>
    <w:rsid w:val="00F932CE"/>
    <w:rsid w:val="00F9678C"/>
    <w:rsid w:val="00FA03A0"/>
    <w:rsid w:val="00FA1DBF"/>
    <w:rsid w:val="00FA6684"/>
    <w:rsid w:val="00FA731E"/>
    <w:rsid w:val="00FB10AE"/>
    <w:rsid w:val="00FB1114"/>
    <w:rsid w:val="00FB1580"/>
    <w:rsid w:val="00FB20DD"/>
    <w:rsid w:val="00FB2B38"/>
    <w:rsid w:val="00FB3B1E"/>
    <w:rsid w:val="00FB3BD8"/>
    <w:rsid w:val="00FB56C7"/>
    <w:rsid w:val="00FB5F3B"/>
    <w:rsid w:val="00FB6C10"/>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58727F"/>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qFormat/>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938E4-AF1A-4B52-9781-9DB5949A854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3477</Words>
  <Characters>4469</Characters>
  <Lines>72</Lines>
  <Paragraphs>20</Paragraphs>
  <TotalTime>0</TotalTime>
  <ScaleCrop>false</ScaleCrop>
  <LinksUpToDate>false</LinksUpToDate>
  <CharactersWithSpaces>4609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2025-04-14T05:08:03Z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