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1529C">
      <w:pPr>
        <w:jc w:val="center"/>
        <w:rPr>
          <w:rFonts w:ascii="Times New Roman" w:hAnsi="Times New Roman" w:eastAsia="宋体" w:cs="Times New Roman"/>
          <w:sz w:val="32"/>
          <w:szCs w:val="32"/>
        </w:rPr>
      </w:pPr>
      <w:r>
        <w:rPr>
          <w:rFonts w:ascii="Times New Roman" w:hAnsi="Times New Roman" w:eastAsia="宋体" w:cs="Times New Roman"/>
          <w:sz w:val="30"/>
          <w:szCs w:val="30"/>
        </w:rPr>
        <w:t>《</w:t>
      </w:r>
      <w:r>
        <w:rPr>
          <w:rFonts w:hint="eastAsia" w:ascii="Times New Roman" w:hAnsi="Times New Roman" w:eastAsia="宋体" w:cs="Times New Roman"/>
          <w:sz w:val="30"/>
          <w:szCs w:val="30"/>
        </w:rPr>
        <w:t>低碳产品评价方法与要求 汽车用连续热镀锌钢板及钢带</w:t>
      </w:r>
      <w:r>
        <w:rPr>
          <w:rFonts w:ascii="Times New Roman" w:hAnsi="Times New Roman" w:eastAsia="宋体" w:cs="Times New Roman"/>
          <w:sz w:val="30"/>
          <w:szCs w:val="30"/>
        </w:rPr>
        <w:t>》</w:t>
      </w:r>
    </w:p>
    <w:p w14:paraId="76EB216E">
      <w:pPr>
        <w:jc w:val="center"/>
        <w:rPr>
          <w:rFonts w:ascii="Times New Roman" w:hAnsi="Times New Roman" w:eastAsia="宋体" w:cs="Times New Roman"/>
          <w:sz w:val="30"/>
          <w:szCs w:val="30"/>
        </w:rPr>
      </w:pPr>
      <w:r>
        <w:rPr>
          <w:rFonts w:hint="eastAsia" w:ascii="Times New Roman" w:hAnsi="Times New Roman" w:eastAsia="宋体" w:cs="Times New Roman"/>
          <w:sz w:val="30"/>
          <w:szCs w:val="30"/>
        </w:rPr>
        <w:t>团体</w:t>
      </w:r>
      <w:r>
        <w:rPr>
          <w:rFonts w:ascii="Times New Roman" w:hAnsi="Times New Roman" w:eastAsia="宋体" w:cs="Times New Roman"/>
          <w:sz w:val="30"/>
          <w:szCs w:val="30"/>
        </w:rPr>
        <w:t>标准编制说明</w:t>
      </w:r>
    </w:p>
    <w:p w14:paraId="356E756B">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一、工作简况</w:t>
      </w:r>
    </w:p>
    <w:p w14:paraId="699B5878">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（一）任务来源</w:t>
      </w:r>
    </w:p>
    <w:p w14:paraId="079DE231">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w:t>
      </w:r>
      <w:r>
        <w:rPr>
          <w:rFonts w:hint="eastAsia" w:ascii="Times New Roman" w:hAnsi="Times New Roman" w:eastAsia="宋体" w:cs="Times New Roman"/>
          <w:sz w:val="28"/>
          <w:szCs w:val="28"/>
        </w:rPr>
        <w:t>中国特钢企业协会团体标准化工作委员会关于团体标准制修订计划的通知》，由冶金工业规划研究院等单位负责制定《低碳产品评价方法与要求 汽车用连续热镀锌钢板及钢带》团体标准已正式立项。</w:t>
      </w:r>
    </w:p>
    <w:p w14:paraId="4EFB292C">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主要工作过程</w:t>
      </w:r>
    </w:p>
    <w:p w14:paraId="14675FBE">
      <w:pPr>
        <w:adjustRightInd w:val="0"/>
        <w:snapToGrid w:val="0"/>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起草(草案、调研)阶段：</w:t>
      </w:r>
      <w:r>
        <w:rPr>
          <w:rFonts w:hint="eastAsia" w:ascii="Times New Roman" w:hAnsi="Times New Roman" w:eastAsia="宋体" w:cs="Times New Roman"/>
          <w:sz w:val="28"/>
          <w:szCs w:val="28"/>
        </w:rPr>
        <w:t>计划下达后，规划院组织各起草单位成立了标准起草编制工作组。工作组对</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情况进行全面调研，同时广泛搜集低碳产品评价相关标准和国内外技术资料，进行了大量的研究分析、资料查证工作，结合实际应用经验，进行全面总结和归纳，在此基础上编制出《低碳产品评价方法与要求 汽车用连续热镀锌钢板及钢带》标准草案初稿。</w:t>
      </w:r>
    </w:p>
    <w:p w14:paraId="5CD0BEEF">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征求意见阶段（2025年4月）：</w:t>
      </w:r>
      <w:r>
        <w:rPr>
          <w:rFonts w:hint="eastAsia" w:ascii="Times New Roman" w:hAnsi="Times New Roman" w:eastAsia="宋体" w:cs="Times New Roman"/>
          <w:sz w:val="28"/>
          <w:szCs w:val="28"/>
        </w:rPr>
        <w:t>编制组结合讨论会意见，完善标准草案并形成征求意见稿，公开征求意见。</w:t>
      </w:r>
    </w:p>
    <w:p w14:paraId="4F39B888">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审定报批阶段（XXXXX）：</w:t>
      </w:r>
      <w:r>
        <w:rPr>
          <w:rFonts w:hint="eastAsia" w:ascii="Times New Roman" w:hAnsi="Times New Roman" w:eastAsia="宋体" w:cs="Times New Roman"/>
          <w:sz w:val="28"/>
          <w:szCs w:val="28"/>
        </w:rPr>
        <w:t>编制组结合审定会意见，修改完善标准报批稿，</w:t>
      </w:r>
      <w:r>
        <w:rPr>
          <w:rFonts w:ascii="Times New Roman" w:hAnsi="Times New Roman" w:eastAsia="宋体" w:cs="Times New Roman"/>
          <w:sz w:val="28"/>
          <w:szCs w:val="28"/>
        </w:rPr>
        <w:t>上报中国特钢企业协会发布</w:t>
      </w:r>
      <w:r>
        <w:rPr>
          <w:rFonts w:hint="eastAsia" w:ascii="Times New Roman" w:hAnsi="Times New Roman" w:eastAsia="宋体" w:cs="Times New Roman"/>
          <w:sz w:val="28"/>
          <w:szCs w:val="28"/>
        </w:rPr>
        <w:t>。</w:t>
      </w:r>
    </w:p>
    <w:p w14:paraId="74690DD9">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标准编制原则及意义</w:t>
      </w:r>
    </w:p>
    <w:p w14:paraId="7D4532DE">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（一）编制原则</w:t>
      </w:r>
    </w:p>
    <w:p w14:paraId="62BD645C">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范性的原则来进行本标准的制定工作。</w:t>
      </w:r>
    </w:p>
    <w:p w14:paraId="16C0050D">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本文件按照GB/T 1.1-2020《标准化工作导则 第1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（二）编制本标准的目的和意义</w:t>
      </w:r>
    </w:p>
    <w:p w14:paraId="036740C9">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中共中央、国务院印发的《国家标准化纲要》中明确指出，“制定重点行业和产品温室气体排放标准，完善低碳产品标准标识制度”。工信部等三部委印发的《工业领域碳达峰实施方案》强调到 2025年，制修订 300 项左右绿色低碳产品评价相关标准，开发推广万种绿色低碳产品。钢铁是世界各国均关注的重点碳排放行业，中国钢铁行业碳排放量占全球钢铁碳排放总量的60%以上，占全国碳排放总量得15%左右，是中国碳排放量最高的制造行业，钢铁行业是“碳达峰、碳中和”目标实现的责任主体行业，必须要不断降低单位产品的碳排放量。国际社会更加注重产品的碳排放情况，欧盟在2021年提出碳边境调节机制，即根据欧盟进口商品的含碳量对其进行价格调整。根据协议，欧洲的碳边境调整机制将于2023年10月1日起在过渡阶段生效，并于2026年1月1日完全生效，钢铁产品已被纳入控制名单中。</w:t>
      </w:r>
    </w:p>
    <w:p w14:paraId="3C576918">
      <w:pPr>
        <w:adjustRightInd w:val="0"/>
        <w:snapToGrid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在国家“双碳”战略指导下，为加快绿色转型，顺应汽车市场发展趋势，应对钢铁工业面临的机遇挑战，满足汽车客户对低碳排放产品的供应需求，众多钢铁企业已与汽车企业签订战略合作，共同推动钢铁-汽车供应链减排目标。马钢集团与奇瑞集团在奇瑞总部签订战略合作协议。经过十多年的深入合作，马钢与奇瑞在材料认证、EVI和VAVE等方面已达成一揽子合作格局。鞍钢蒂森克虏伯汽车钢有限公司（TAGAL）与鞍钢股份技术中心在大连共同举行低碳排放产品研发战略合作签约仪式</w:t>
      </w:r>
      <w:r>
        <w:rPr>
          <w:rFonts w:hint="eastAsia" w:ascii="Times New Roman" w:hAnsi="Times New Roman" w:eastAsia="宋体" w:cs="Times New Roman"/>
          <w:sz w:val="28"/>
          <w:szCs w:val="28"/>
          <w:lang w:eastAsia="zh-CN"/>
        </w:rPr>
        <w:t>。吉利汽车集团与首钢股份正式签署《汽车钢材循环经济与闭环回收价值体系合作备忘录》，双方将协力推动汽车钢材生产、使用和回收的全链条优化，实现汽车钢材的高效利用、循环利用及资源价值最大化；同时完善汽车废钢闭环回收价值体系，贯通汽车废钢闭环回收循环利用物理链，实现全流程信息可追溯。北京首钢股份有限公司与华晨宝马汽车有限公司签署《打造绿色低碳钢铁供应链合作备忘录》。</w:t>
      </w:r>
    </w:p>
    <w:p w14:paraId="0503ED4C">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lang w:val="en-US" w:eastAsia="zh-CN"/>
        </w:rPr>
        <w:t>汽车用连续热镀锌钢板及钢带作为汽车板主要产品之一，</w:t>
      </w:r>
      <w:r>
        <w:rPr>
          <w:rFonts w:hint="eastAsia" w:ascii="Times New Roman" w:hAnsi="Times New Roman" w:eastAsia="宋体" w:cs="Times New Roman"/>
          <w:sz w:val="28"/>
          <w:szCs w:val="28"/>
        </w:rPr>
        <w:t>目前尚无汽车用连续热镀锌钢板及钢带的低碳评价类相关标准，如何科学、客观、准确评价汽车用连续热镀锌钢板及钢带在全生命周期中的碳排放情况，发现其各环节的碳排放影响，及时提出改进完善措施，这成为我国</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低碳产品发展的重中之重。其中最主要的在于设置统一合理的评价标准，本标准的编制将及时填补这一空白，通过科学合理的评价技术，综合评价汽车用连续热镀锌钢板及钢带在全生命周期中碳排放的情况，在此基础上提出持续改进的有效建议，力争进一步减少产品的碳排放水平，促进产业链上下游绿色低碳高质量发展。</w:t>
      </w:r>
    </w:p>
    <w:p w14:paraId="02B328D2">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三、主要内容说明</w:t>
      </w:r>
    </w:p>
    <w:p w14:paraId="2E31BA36">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（一）范围</w:t>
      </w:r>
    </w:p>
    <w:p w14:paraId="44C16CC1">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本文件意在为开展汽车用连续热镀锌钢板及钢带低碳产品认证工作提供支撑。结合目前已发布低碳产品评价方法与要求标准，章节设置主要包括低碳产品评价的术语和定义、评价边界及范围、低碳产品评价要求和产品碳排放评价报告。</w:t>
      </w:r>
    </w:p>
    <w:p w14:paraId="4B760F5D">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在适用范围方面，本文件适用于</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低碳产品评价。</w:t>
      </w:r>
    </w:p>
    <w:p w14:paraId="0B38482B">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（二）规范性引用文件</w:t>
      </w:r>
    </w:p>
    <w:p w14:paraId="093543E2">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本部分将文件中所有引用标准按照标准编号顺序列出</w:t>
      </w:r>
      <w:r>
        <w:rPr>
          <w:rFonts w:ascii="Times New Roman" w:hAnsi="Times New Roman" w:eastAsia="宋体" w:cs="Times New Roman"/>
          <w:sz w:val="28"/>
          <w:szCs w:val="28"/>
        </w:rPr>
        <w:t>。</w:t>
      </w:r>
    </w:p>
    <w:p w14:paraId="5B79F9A9">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（三）术语和定义</w:t>
      </w:r>
    </w:p>
    <w:p w14:paraId="716BA9F3">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为帮助理解本文件中所出现的专业术语，指导使用者更加准确运用本文件，界定如下术语。</w:t>
      </w:r>
    </w:p>
    <w:p w14:paraId="52731608">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1．本文件在编写中引用部分《温室气体排放核算与报告要求 第5部分：钢铁生产企业》（GB/T 32151.5）的相关内容，在描述上与该标准保持一致，因此在术语部分引用该标准。</w:t>
      </w:r>
    </w:p>
    <w:p w14:paraId="6F35D4CB">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本文件核心内容为低碳产品，为明确本文件低碳产品的含义，结合给出了低碳产品的判定准则，定义为与同类产品或者相同功能的产品相比碳排放量较低，碳排放量值符合相关低碳产品评价标准或者技术规范要求的产品。</w:t>
      </w:r>
    </w:p>
    <w:p w14:paraId="7F316B86">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（四）评价边界及范围</w:t>
      </w:r>
    </w:p>
    <w:p w14:paraId="25F6F695">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本部分主要界定</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产品碳排放评价的边界范围，参照相关低碳产品评价的实际工作开展情况。</w:t>
      </w:r>
    </w:p>
    <w:p w14:paraId="64CEBA4C">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1．国内已发布《钢铁产品制造生命周期评价技术规范（产品种类规则）》（GB/T 30052-2013）标准中给出了钢铁产品的生命周期评价的三个阶段，包括原辅料与能源开采、生产和运输阶段；钢铁产品生产阶段；循环再利用阶段，不含下游使用过程。</w:t>
      </w:r>
    </w:p>
    <w:p w14:paraId="27AF335A">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w:t>
      </w:r>
      <w:r>
        <w:rPr>
          <w:rFonts w:ascii="Times New Roman" w:hAnsi="Times New Roman" w:eastAsia="宋体" w:cs="Times New Roman"/>
          <w:sz w:val="28"/>
          <w:szCs w:val="28"/>
        </w:rPr>
        <w:t>结合钢铁企业开展的生命周期评价经验，从</w:t>
      </w:r>
      <w:r>
        <w:rPr>
          <w:rFonts w:hint="eastAsia" w:ascii="Times New Roman" w:hAnsi="Times New Roman" w:eastAsia="宋体" w:cs="Times New Roman"/>
          <w:sz w:val="28"/>
          <w:szCs w:val="28"/>
        </w:rPr>
        <w:t>“</w:t>
      </w:r>
      <w:r>
        <w:rPr>
          <w:rFonts w:ascii="Times New Roman" w:hAnsi="Times New Roman" w:eastAsia="宋体" w:cs="Times New Roman"/>
          <w:sz w:val="28"/>
          <w:szCs w:val="28"/>
        </w:rPr>
        <w:t>摇篮</w:t>
      </w:r>
      <w:r>
        <w:rPr>
          <w:rFonts w:hint="eastAsia" w:ascii="Times New Roman" w:hAnsi="Times New Roman" w:eastAsia="宋体" w:cs="Times New Roman"/>
          <w:sz w:val="28"/>
          <w:szCs w:val="28"/>
        </w:rPr>
        <w:t>”</w:t>
      </w:r>
      <w:r>
        <w:rPr>
          <w:rFonts w:ascii="Times New Roman" w:hAnsi="Times New Roman" w:eastAsia="宋体" w:cs="Times New Roman"/>
          <w:sz w:val="28"/>
          <w:szCs w:val="28"/>
        </w:rPr>
        <w:t>到</w:t>
      </w:r>
      <w:r>
        <w:rPr>
          <w:rFonts w:hint="eastAsia" w:ascii="Times New Roman" w:hAnsi="Times New Roman" w:eastAsia="宋体" w:cs="Times New Roman"/>
          <w:sz w:val="28"/>
          <w:szCs w:val="28"/>
        </w:rPr>
        <w:t>“</w:t>
      </w:r>
      <w:r>
        <w:rPr>
          <w:rFonts w:ascii="Times New Roman" w:hAnsi="Times New Roman" w:eastAsia="宋体" w:cs="Times New Roman"/>
          <w:sz w:val="28"/>
          <w:szCs w:val="28"/>
        </w:rPr>
        <w:t>大门</w:t>
      </w:r>
      <w:r>
        <w:rPr>
          <w:rFonts w:hint="eastAsia" w:ascii="Times New Roman" w:hAnsi="Times New Roman" w:eastAsia="宋体" w:cs="Times New Roman"/>
          <w:sz w:val="28"/>
          <w:szCs w:val="28"/>
        </w:rPr>
        <w:t>”</w:t>
      </w:r>
      <w:r>
        <w:rPr>
          <w:rFonts w:ascii="Times New Roman" w:hAnsi="Times New Roman" w:eastAsia="宋体" w:cs="Times New Roman"/>
          <w:sz w:val="28"/>
          <w:szCs w:val="28"/>
        </w:rPr>
        <w:t>的边界更能获得企业共识。</w:t>
      </w:r>
    </w:p>
    <w:p w14:paraId="06620670">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综上，本文件的评价边界包括原材料的获取阶段（原辅料与能源开采、生产和运输）以及钢铁产品生产阶段</w:t>
      </w:r>
    </w:p>
    <w:p w14:paraId="0E5E7232">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（五）低碳产品评价要求</w:t>
      </w:r>
    </w:p>
    <w:p w14:paraId="584FA741">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 基本要求</w:t>
      </w:r>
    </w:p>
    <w:p w14:paraId="02D04035">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本部分提出申请低碳产品认证的</w:t>
      </w:r>
      <w:bookmarkStart w:id="2" w:name="_GoBack"/>
      <w:bookmarkEnd w:id="2"/>
      <w:r>
        <w:rPr>
          <w:rFonts w:hint="eastAsia" w:ascii="Times New Roman" w:hAnsi="Times New Roman" w:eastAsia="宋体" w:cs="Times New Roman"/>
          <w:sz w:val="28"/>
          <w:szCs w:val="28"/>
        </w:rPr>
        <w:t>企业应具备的底线条件，对于不满足底线条件的企业，不予开展后续评价工作。参照《认证机构管理办法》《产业结构调整指导目录（2024年本）》以及能耗等要求，结合实际低碳产品评价开展工作的情况，本文件在编制时考虑到钢铁行业的政策要求。</w:t>
      </w:r>
    </w:p>
    <w:p w14:paraId="24FE45A1">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产品碳排放基准值</w:t>
      </w:r>
    </w:p>
    <w:p w14:paraId="78745475">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本标准充分参考</w:t>
      </w:r>
      <w:r>
        <w:rPr>
          <w:rFonts w:hint="eastAsia" w:ascii="Times New Roman" w:hAnsi="Times New Roman" w:eastAsia="宋体" w:cs="Times New Roman"/>
          <w:sz w:val="28"/>
          <w:szCs w:val="28"/>
        </w:rPr>
        <w:t>钢协EPD平台相关连续热镀锌钢板及钢带产品公示的产品碳足迹报告，相关产品碳足迹报告见下表。</w:t>
      </w:r>
    </w:p>
    <w:tbl>
      <w:tblPr>
        <w:tblStyle w:val="8"/>
        <w:tblW w:w="4998" w:type="pct"/>
        <w:tblInd w:w="0" w:type="dxa"/>
        <w:tblLayout w:type="autofit"/>
        <w:tblCellMar>
          <w:top w:w="0" w:type="dxa"/>
          <w:left w:w="108" w:type="dxa"/>
          <w:bottom w:w="0" w:type="dxa"/>
          <w:right w:w="108" w:type="dxa"/>
        </w:tblCellMar>
      </w:tblPr>
      <w:tblGrid>
        <w:gridCol w:w="4531"/>
        <w:gridCol w:w="2669"/>
        <w:gridCol w:w="1319"/>
      </w:tblGrid>
      <w:tr w14:paraId="74658117">
        <w:tblPrEx>
          <w:tblCellMar>
            <w:top w:w="0" w:type="dxa"/>
            <w:left w:w="108" w:type="dxa"/>
            <w:bottom w:w="0" w:type="dxa"/>
            <w:right w:w="108" w:type="dxa"/>
          </w:tblCellMar>
        </w:tblPrEx>
        <w:trPr>
          <w:trHeight w:val="285" w:hRule="atLeast"/>
        </w:trPr>
        <w:tc>
          <w:tcPr>
            <w:tcW w:w="26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65ABA">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企业</w:t>
            </w:r>
          </w:p>
        </w:tc>
        <w:tc>
          <w:tcPr>
            <w:tcW w:w="1566" w:type="pct"/>
            <w:tcBorders>
              <w:top w:val="single" w:color="auto" w:sz="4" w:space="0"/>
              <w:left w:val="nil"/>
              <w:bottom w:val="single" w:color="auto" w:sz="4" w:space="0"/>
              <w:right w:val="single" w:color="auto" w:sz="4" w:space="0"/>
            </w:tcBorders>
            <w:shd w:val="clear" w:color="auto" w:fill="auto"/>
            <w:noWrap/>
            <w:vAlign w:val="center"/>
          </w:tcPr>
          <w:p w14:paraId="1AC89431">
            <w:pPr>
              <w:widowControl/>
              <w:jc w:val="center"/>
              <w:rPr>
                <w:rFonts w:hint="default" w:ascii="Times New Roman" w:hAnsi="Times New Roman" w:eastAsia="宋体" w:cs="Times New Roman"/>
                <w:b/>
                <w:bCs/>
                <w:color w:val="000000"/>
                <w:kern w:val="0"/>
                <w:sz w:val="22"/>
                <w:lang w:val="en-US" w:eastAsia="zh-CN"/>
              </w:rPr>
            </w:pPr>
            <w:r>
              <w:rPr>
                <w:rFonts w:hint="eastAsia" w:ascii="Times New Roman" w:hAnsi="Times New Roman" w:eastAsia="宋体" w:cs="Times New Roman"/>
                <w:b/>
                <w:bCs/>
                <w:color w:val="000000"/>
                <w:kern w:val="0"/>
                <w:sz w:val="22"/>
                <w:lang w:val="en-US" w:eastAsia="zh-CN"/>
              </w:rPr>
              <w:t>镀层类别</w:t>
            </w:r>
          </w:p>
        </w:tc>
        <w:tc>
          <w:tcPr>
            <w:tcW w:w="774" w:type="pct"/>
            <w:tcBorders>
              <w:top w:val="single" w:color="auto" w:sz="4" w:space="0"/>
              <w:left w:val="nil"/>
              <w:bottom w:val="single" w:color="auto" w:sz="4" w:space="0"/>
              <w:right w:val="single" w:color="auto" w:sz="4" w:space="0"/>
            </w:tcBorders>
            <w:shd w:val="clear" w:color="auto" w:fill="auto"/>
            <w:noWrap/>
            <w:vAlign w:val="center"/>
          </w:tcPr>
          <w:p w14:paraId="1BE9D38D">
            <w:pPr>
              <w:widowControl/>
              <w:jc w:val="center"/>
              <w:rPr>
                <w:rFonts w:hint="eastAsia" w:ascii="Times New Roman" w:hAnsi="Times New Roman" w:eastAsia="宋体" w:cs="Times New Roman"/>
                <w:b/>
                <w:bCs/>
                <w:color w:val="000000"/>
                <w:kern w:val="0"/>
                <w:sz w:val="22"/>
                <w:lang w:val="en-US" w:eastAsia="zh-CN"/>
              </w:rPr>
            </w:pPr>
            <w:r>
              <w:rPr>
                <w:rFonts w:hint="eastAsia" w:ascii="Times New Roman" w:hAnsi="Times New Roman" w:eastAsia="宋体" w:cs="Times New Roman"/>
                <w:b/>
                <w:bCs/>
                <w:color w:val="000000"/>
                <w:kern w:val="0"/>
                <w:sz w:val="22"/>
              </w:rPr>
              <w:t>碳排放</w:t>
            </w:r>
          </w:p>
        </w:tc>
      </w:tr>
      <w:tr w14:paraId="7E75A926">
        <w:tblPrEx>
          <w:tblCellMar>
            <w:top w:w="0" w:type="dxa"/>
            <w:left w:w="108" w:type="dxa"/>
            <w:bottom w:w="0" w:type="dxa"/>
            <w:right w:w="108" w:type="dxa"/>
          </w:tblCellMar>
        </w:tblPrEx>
        <w:trPr>
          <w:trHeight w:val="285" w:hRule="atLeast"/>
        </w:trPr>
        <w:tc>
          <w:tcPr>
            <w:tcW w:w="2659" w:type="pct"/>
            <w:tcBorders>
              <w:top w:val="nil"/>
              <w:left w:val="single" w:color="auto" w:sz="4" w:space="0"/>
              <w:bottom w:val="single" w:color="auto" w:sz="4" w:space="0"/>
              <w:right w:val="single" w:color="auto" w:sz="4" w:space="0"/>
            </w:tcBorders>
            <w:shd w:val="clear" w:color="auto" w:fill="auto"/>
            <w:noWrap/>
            <w:vAlign w:val="center"/>
          </w:tcPr>
          <w:p w14:paraId="75164A6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马鞍山钢铁股份有限公司</w:t>
            </w:r>
          </w:p>
        </w:tc>
        <w:tc>
          <w:tcPr>
            <w:tcW w:w="1566" w:type="pct"/>
            <w:tcBorders>
              <w:top w:val="nil"/>
              <w:left w:val="nil"/>
              <w:bottom w:val="single" w:color="auto" w:sz="4" w:space="0"/>
              <w:right w:val="single" w:color="auto" w:sz="4" w:space="0"/>
            </w:tcBorders>
            <w:shd w:val="clear" w:color="auto" w:fill="auto"/>
            <w:noWrap/>
            <w:vAlign w:val="center"/>
          </w:tcPr>
          <w:p w14:paraId="2AD1CC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single" w:color="auto" w:sz="4" w:space="0"/>
              <w:right w:val="single" w:color="auto" w:sz="4" w:space="0"/>
            </w:tcBorders>
            <w:shd w:val="clear" w:color="auto" w:fill="auto"/>
            <w:noWrap/>
            <w:vAlign w:val="center"/>
          </w:tcPr>
          <w:p w14:paraId="4D9F97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3.02E+03</w:t>
            </w:r>
          </w:p>
        </w:tc>
      </w:tr>
      <w:tr w14:paraId="5A06D9BD">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02E700A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鞍钢集团成都板材有限责任公司</w:t>
            </w:r>
          </w:p>
        </w:tc>
        <w:tc>
          <w:tcPr>
            <w:tcW w:w="1566" w:type="pct"/>
            <w:tcBorders>
              <w:top w:val="nil"/>
              <w:left w:val="nil"/>
              <w:bottom w:val="nil"/>
              <w:right w:val="single" w:color="auto" w:sz="4" w:space="0"/>
            </w:tcBorders>
            <w:shd w:val="clear" w:color="auto" w:fill="auto"/>
            <w:noWrap/>
            <w:vAlign w:val="center"/>
          </w:tcPr>
          <w:p w14:paraId="0FCBB3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14C163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2.89E+03</w:t>
            </w:r>
          </w:p>
        </w:tc>
      </w:tr>
      <w:tr w14:paraId="7E6EEF95">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58A123F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安阳钢铁股份有限公司</w:t>
            </w:r>
          </w:p>
        </w:tc>
        <w:tc>
          <w:tcPr>
            <w:tcW w:w="1566" w:type="pct"/>
            <w:tcBorders>
              <w:top w:val="nil"/>
              <w:left w:val="nil"/>
              <w:bottom w:val="nil"/>
              <w:right w:val="single" w:color="auto" w:sz="4" w:space="0"/>
            </w:tcBorders>
            <w:shd w:val="clear" w:color="auto" w:fill="auto"/>
            <w:noWrap/>
            <w:vAlign w:val="center"/>
          </w:tcPr>
          <w:p w14:paraId="191FD1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164B96D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2.89E+03</w:t>
            </w:r>
          </w:p>
        </w:tc>
      </w:tr>
      <w:tr w14:paraId="662374EF">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77A789AB">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邯郸钢铁集团有限责任公司</w:t>
            </w:r>
          </w:p>
        </w:tc>
        <w:tc>
          <w:tcPr>
            <w:tcW w:w="1566" w:type="pct"/>
            <w:tcBorders>
              <w:top w:val="nil"/>
              <w:left w:val="nil"/>
              <w:bottom w:val="nil"/>
              <w:right w:val="single" w:color="auto" w:sz="4" w:space="0"/>
            </w:tcBorders>
            <w:shd w:val="clear" w:color="auto" w:fill="auto"/>
            <w:noWrap/>
            <w:vAlign w:val="center"/>
          </w:tcPr>
          <w:p w14:paraId="3A8270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3BA91E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2.81E+03</w:t>
            </w:r>
          </w:p>
        </w:tc>
      </w:tr>
      <w:tr w14:paraId="3A8BC3CC">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0F992B6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湖南华菱涟源钢铁有限公司</w:t>
            </w:r>
          </w:p>
        </w:tc>
        <w:tc>
          <w:tcPr>
            <w:tcW w:w="1566" w:type="pct"/>
            <w:tcBorders>
              <w:top w:val="nil"/>
              <w:left w:val="nil"/>
              <w:bottom w:val="nil"/>
              <w:right w:val="single" w:color="auto" w:sz="4" w:space="0"/>
            </w:tcBorders>
            <w:shd w:val="clear" w:color="auto" w:fill="auto"/>
            <w:noWrap/>
            <w:vAlign w:val="center"/>
          </w:tcPr>
          <w:p w14:paraId="4CF1E4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3C71C5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2.75E+03</w:t>
            </w:r>
          </w:p>
        </w:tc>
      </w:tr>
      <w:tr w14:paraId="086293CE">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51D0352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Style w:val="23"/>
                <w:sz w:val="21"/>
                <w:szCs w:val="21"/>
                <w:lang w:val="en-US" w:eastAsia="zh-CN" w:bidi="ar"/>
              </w:rPr>
              <w:t>日照宝华新材料有限公司（</w:t>
            </w:r>
            <w:r>
              <w:rPr>
                <w:rStyle w:val="24"/>
                <w:rFonts w:eastAsia="宋体"/>
                <w:sz w:val="21"/>
                <w:szCs w:val="21"/>
                <w:lang w:val="en-US" w:eastAsia="zh-CN" w:bidi="ar"/>
              </w:rPr>
              <w:t>ESP)</w:t>
            </w:r>
          </w:p>
        </w:tc>
        <w:tc>
          <w:tcPr>
            <w:tcW w:w="1566" w:type="pct"/>
            <w:tcBorders>
              <w:top w:val="nil"/>
              <w:left w:val="nil"/>
              <w:bottom w:val="nil"/>
              <w:right w:val="single" w:color="auto" w:sz="4" w:space="0"/>
            </w:tcBorders>
            <w:shd w:val="clear" w:color="auto" w:fill="auto"/>
            <w:noWrap/>
            <w:vAlign w:val="center"/>
          </w:tcPr>
          <w:p w14:paraId="204922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61D6BA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2.44E+03</w:t>
            </w:r>
          </w:p>
        </w:tc>
      </w:tr>
      <w:tr w14:paraId="505A360D">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2E59F11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山东钢铁股份有限公司</w:t>
            </w:r>
          </w:p>
        </w:tc>
        <w:tc>
          <w:tcPr>
            <w:tcW w:w="1566" w:type="pct"/>
            <w:tcBorders>
              <w:top w:val="nil"/>
              <w:left w:val="nil"/>
              <w:bottom w:val="nil"/>
              <w:right w:val="single" w:color="auto" w:sz="4" w:space="0"/>
            </w:tcBorders>
            <w:shd w:val="clear" w:color="auto" w:fill="auto"/>
            <w:noWrap/>
            <w:vAlign w:val="center"/>
          </w:tcPr>
          <w:p w14:paraId="5588EA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016A8E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2.60E+03</w:t>
            </w:r>
          </w:p>
        </w:tc>
      </w:tr>
      <w:tr w14:paraId="3170C28C">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1D9BF0C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唐山钢铁集团高强汽车板有限公司</w:t>
            </w:r>
          </w:p>
        </w:tc>
        <w:tc>
          <w:tcPr>
            <w:tcW w:w="1566" w:type="pct"/>
            <w:tcBorders>
              <w:top w:val="nil"/>
              <w:left w:val="nil"/>
              <w:bottom w:val="nil"/>
              <w:right w:val="single" w:color="auto" w:sz="4" w:space="0"/>
            </w:tcBorders>
            <w:shd w:val="clear" w:color="auto" w:fill="auto"/>
            <w:noWrap/>
            <w:vAlign w:val="center"/>
          </w:tcPr>
          <w:p w14:paraId="73289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6893AA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2.39E+03</w:t>
            </w:r>
          </w:p>
        </w:tc>
      </w:tr>
      <w:tr w14:paraId="0898ABC8">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0B75333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本钢板材股份有限公司</w:t>
            </w:r>
          </w:p>
        </w:tc>
        <w:tc>
          <w:tcPr>
            <w:tcW w:w="1566" w:type="pct"/>
            <w:tcBorders>
              <w:top w:val="nil"/>
              <w:left w:val="nil"/>
              <w:bottom w:val="nil"/>
              <w:right w:val="single" w:color="auto" w:sz="4" w:space="0"/>
            </w:tcBorders>
            <w:shd w:val="clear" w:color="auto" w:fill="auto"/>
            <w:noWrap/>
            <w:vAlign w:val="center"/>
          </w:tcPr>
          <w:p w14:paraId="06C37E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0E94F2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2.83E+03</w:t>
            </w:r>
          </w:p>
        </w:tc>
      </w:tr>
      <w:tr w14:paraId="27AFFCD4">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74703AC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鞍钢广州汽车钢有限公司</w:t>
            </w:r>
          </w:p>
        </w:tc>
        <w:tc>
          <w:tcPr>
            <w:tcW w:w="1566" w:type="pct"/>
            <w:tcBorders>
              <w:top w:val="nil"/>
              <w:left w:val="nil"/>
              <w:bottom w:val="nil"/>
              <w:right w:val="single" w:color="auto" w:sz="4" w:space="0"/>
            </w:tcBorders>
            <w:shd w:val="clear" w:color="auto" w:fill="auto"/>
            <w:noWrap/>
            <w:vAlign w:val="center"/>
          </w:tcPr>
          <w:p w14:paraId="540295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w:t>
            </w:r>
          </w:p>
        </w:tc>
        <w:tc>
          <w:tcPr>
            <w:tcW w:w="774" w:type="pct"/>
            <w:tcBorders>
              <w:top w:val="nil"/>
              <w:left w:val="nil"/>
              <w:bottom w:val="nil"/>
              <w:right w:val="single" w:color="auto" w:sz="4" w:space="0"/>
            </w:tcBorders>
            <w:shd w:val="clear" w:color="auto" w:fill="auto"/>
            <w:noWrap/>
            <w:vAlign w:val="center"/>
          </w:tcPr>
          <w:p w14:paraId="17EEDF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2.85E+03</w:t>
            </w:r>
          </w:p>
        </w:tc>
      </w:tr>
      <w:tr w14:paraId="19F5B67C">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11A377F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山西建龙实业有限公司</w:t>
            </w:r>
          </w:p>
        </w:tc>
        <w:tc>
          <w:tcPr>
            <w:tcW w:w="1566" w:type="pct"/>
            <w:tcBorders>
              <w:top w:val="nil"/>
              <w:left w:val="nil"/>
              <w:bottom w:val="nil"/>
              <w:right w:val="single" w:color="auto" w:sz="4" w:space="0"/>
            </w:tcBorders>
            <w:shd w:val="clear" w:color="auto" w:fill="auto"/>
            <w:noWrap/>
            <w:vAlign w:val="center"/>
          </w:tcPr>
          <w:p w14:paraId="6834F8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纯锌、铝锌</w:t>
            </w:r>
          </w:p>
        </w:tc>
        <w:tc>
          <w:tcPr>
            <w:tcW w:w="774" w:type="pct"/>
            <w:tcBorders>
              <w:top w:val="nil"/>
              <w:left w:val="nil"/>
              <w:bottom w:val="nil"/>
              <w:right w:val="single" w:color="auto" w:sz="4" w:space="0"/>
            </w:tcBorders>
            <w:shd w:val="clear" w:color="auto" w:fill="auto"/>
            <w:noWrap/>
            <w:vAlign w:val="center"/>
          </w:tcPr>
          <w:p w14:paraId="024C6E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2.55E+03</w:t>
            </w:r>
          </w:p>
        </w:tc>
      </w:tr>
      <w:tr w14:paraId="6A34CC5D">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540B36E2">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上海梅山钢铁股份有限公司</w:t>
            </w:r>
          </w:p>
        </w:tc>
        <w:tc>
          <w:tcPr>
            <w:tcW w:w="1566" w:type="pct"/>
            <w:tcBorders>
              <w:top w:val="nil"/>
              <w:left w:val="nil"/>
              <w:bottom w:val="nil"/>
              <w:right w:val="single" w:color="auto" w:sz="4" w:space="0"/>
            </w:tcBorders>
            <w:shd w:val="clear" w:color="auto" w:fill="auto"/>
            <w:noWrap/>
            <w:vAlign w:val="center"/>
          </w:tcPr>
          <w:p w14:paraId="3024D2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铝锌</w:t>
            </w:r>
          </w:p>
        </w:tc>
        <w:tc>
          <w:tcPr>
            <w:tcW w:w="774" w:type="pct"/>
            <w:tcBorders>
              <w:top w:val="nil"/>
              <w:left w:val="nil"/>
              <w:bottom w:val="nil"/>
              <w:right w:val="single" w:color="auto" w:sz="4" w:space="0"/>
            </w:tcBorders>
            <w:shd w:val="clear" w:color="auto" w:fill="auto"/>
            <w:noWrap/>
            <w:vAlign w:val="center"/>
          </w:tcPr>
          <w:p w14:paraId="59883C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3.77E+03</w:t>
            </w:r>
          </w:p>
        </w:tc>
      </w:tr>
      <w:tr w14:paraId="1A7A426A">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5759B27A">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天津市新天钢冷轧薄板有限公司</w:t>
            </w:r>
          </w:p>
        </w:tc>
        <w:tc>
          <w:tcPr>
            <w:tcW w:w="1566" w:type="pct"/>
            <w:tcBorders>
              <w:top w:val="nil"/>
              <w:left w:val="nil"/>
              <w:bottom w:val="nil"/>
              <w:right w:val="single" w:color="auto" w:sz="4" w:space="0"/>
            </w:tcBorders>
            <w:shd w:val="clear" w:color="auto" w:fill="auto"/>
            <w:noWrap/>
            <w:vAlign w:val="center"/>
          </w:tcPr>
          <w:p w14:paraId="1A1BAA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纯锌、铝锌、锌铝镁</w:t>
            </w:r>
          </w:p>
        </w:tc>
        <w:tc>
          <w:tcPr>
            <w:tcW w:w="774" w:type="pct"/>
            <w:tcBorders>
              <w:top w:val="nil"/>
              <w:left w:val="nil"/>
              <w:bottom w:val="nil"/>
              <w:right w:val="single" w:color="auto" w:sz="4" w:space="0"/>
            </w:tcBorders>
            <w:shd w:val="clear" w:color="auto" w:fill="auto"/>
            <w:noWrap/>
            <w:vAlign w:val="center"/>
          </w:tcPr>
          <w:p w14:paraId="549FE2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2.72E+03</w:t>
            </w:r>
          </w:p>
        </w:tc>
      </w:tr>
      <w:tr w14:paraId="203C4D40">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1F8BF0F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天津市新宇彩板有限公司</w:t>
            </w:r>
          </w:p>
        </w:tc>
        <w:tc>
          <w:tcPr>
            <w:tcW w:w="1566" w:type="pct"/>
            <w:tcBorders>
              <w:top w:val="nil"/>
              <w:left w:val="nil"/>
              <w:bottom w:val="nil"/>
              <w:right w:val="single" w:color="auto" w:sz="4" w:space="0"/>
            </w:tcBorders>
            <w:shd w:val="clear" w:color="auto" w:fill="auto"/>
            <w:noWrap/>
            <w:vAlign w:val="center"/>
          </w:tcPr>
          <w:p w14:paraId="349C73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纯锌、铝锌、锌铝镁</w:t>
            </w:r>
          </w:p>
        </w:tc>
        <w:tc>
          <w:tcPr>
            <w:tcW w:w="774" w:type="pct"/>
            <w:tcBorders>
              <w:top w:val="nil"/>
              <w:left w:val="nil"/>
              <w:bottom w:val="nil"/>
              <w:right w:val="single" w:color="auto" w:sz="4" w:space="0"/>
            </w:tcBorders>
            <w:shd w:val="clear" w:color="auto" w:fill="auto"/>
            <w:noWrap/>
            <w:vAlign w:val="center"/>
          </w:tcPr>
          <w:p w14:paraId="4D5D54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3.24E+03</w:t>
            </w:r>
          </w:p>
        </w:tc>
      </w:tr>
      <w:tr w14:paraId="77F4E2B8">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0377577F">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甘肃酒钢集团宏兴钢铁股份有限公司</w:t>
            </w:r>
          </w:p>
        </w:tc>
        <w:tc>
          <w:tcPr>
            <w:tcW w:w="1566" w:type="pct"/>
            <w:tcBorders>
              <w:top w:val="nil"/>
              <w:left w:val="nil"/>
              <w:bottom w:val="nil"/>
              <w:right w:val="single" w:color="auto" w:sz="4" w:space="0"/>
            </w:tcBorders>
            <w:shd w:val="clear" w:color="auto" w:fill="auto"/>
            <w:noWrap/>
            <w:vAlign w:val="center"/>
          </w:tcPr>
          <w:p w14:paraId="5E14FB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纯锌、铝锌、锌铝镁</w:t>
            </w:r>
          </w:p>
        </w:tc>
        <w:tc>
          <w:tcPr>
            <w:tcW w:w="774" w:type="pct"/>
            <w:tcBorders>
              <w:top w:val="nil"/>
              <w:left w:val="nil"/>
              <w:bottom w:val="nil"/>
              <w:right w:val="single" w:color="auto" w:sz="4" w:space="0"/>
            </w:tcBorders>
            <w:shd w:val="clear" w:color="auto" w:fill="auto"/>
            <w:noWrap/>
            <w:vAlign w:val="center"/>
          </w:tcPr>
          <w:p w14:paraId="62381F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2.56E+03</w:t>
            </w:r>
          </w:p>
        </w:tc>
      </w:tr>
      <w:tr w14:paraId="76A22C73">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444D4FEC">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宝山钢铁股份有限公司</w:t>
            </w:r>
          </w:p>
        </w:tc>
        <w:tc>
          <w:tcPr>
            <w:tcW w:w="1566" w:type="pct"/>
            <w:tcBorders>
              <w:top w:val="nil"/>
              <w:left w:val="nil"/>
              <w:bottom w:val="nil"/>
              <w:right w:val="single" w:color="auto" w:sz="4" w:space="0"/>
            </w:tcBorders>
            <w:shd w:val="clear" w:color="auto" w:fill="auto"/>
            <w:noWrap/>
            <w:vAlign w:val="center"/>
          </w:tcPr>
          <w:p w14:paraId="17A39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铝锌镁</w:t>
            </w:r>
          </w:p>
        </w:tc>
        <w:tc>
          <w:tcPr>
            <w:tcW w:w="774" w:type="pct"/>
            <w:tcBorders>
              <w:top w:val="nil"/>
              <w:left w:val="nil"/>
              <w:bottom w:val="nil"/>
              <w:right w:val="single" w:color="auto" w:sz="4" w:space="0"/>
            </w:tcBorders>
            <w:shd w:val="clear" w:color="auto" w:fill="auto"/>
            <w:noWrap/>
            <w:vAlign w:val="center"/>
          </w:tcPr>
          <w:p w14:paraId="6856EA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3.40E+03</w:t>
            </w:r>
          </w:p>
        </w:tc>
      </w:tr>
      <w:tr w14:paraId="6627424A">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391CF0ED">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首钢京唐钢铁联合有限责任公司</w:t>
            </w:r>
          </w:p>
        </w:tc>
        <w:tc>
          <w:tcPr>
            <w:tcW w:w="1566" w:type="pct"/>
            <w:tcBorders>
              <w:top w:val="nil"/>
              <w:left w:val="nil"/>
              <w:bottom w:val="nil"/>
              <w:right w:val="single" w:color="auto" w:sz="4" w:space="0"/>
            </w:tcBorders>
            <w:shd w:val="clear" w:color="auto" w:fill="auto"/>
            <w:noWrap/>
            <w:vAlign w:val="center"/>
          </w:tcPr>
          <w:p w14:paraId="5393AC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锌铝镁（低铝）</w:t>
            </w:r>
          </w:p>
        </w:tc>
        <w:tc>
          <w:tcPr>
            <w:tcW w:w="774" w:type="pct"/>
            <w:tcBorders>
              <w:top w:val="nil"/>
              <w:left w:val="nil"/>
              <w:bottom w:val="nil"/>
              <w:right w:val="single" w:color="auto" w:sz="4" w:space="0"/>
            </w:tcBorders>
            <w:shd w:val="clear" w:color="auto" w:fill="auto"/>
            <w:noWrap/>
            <w:vAlign w:val="center"/>
          </w:tcPr>
          <w:p w14:paraId="5620E90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2.66E+03</w:t>
            </w:r>
          </w:p>
        </w:tc>
      </w:tr>
      <w:tr w14:paraId="3A11A43B">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4DDFA463">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首钢京唐钢铁联合有限责任公司</w:t>
            </w:r>
          </w:p>
        </w:tc>
        <w:tc>
          <w:tcPr>
            <w:tcW w:w="1566" w:type="pct"/>
            <w:tcBorders>
              <w:top w:val="nil"/>
              <w:left w:val="nil"/>
              <w:bottom w:val="nil"/>
              <w:right w:val="single" w:color="auto" w:sz="4" w:space="0"/>
            </w:tcBorders>
            <w:shd w:val="clear" w:color="auto" w:fill="auto"/>
            <w:noWrap/>
            <w:vAlign w:val="center"/>
          </w:tcPr>
          <w:p w14:paraId="012F3E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锌铝镁（中铝）</w:t>
            </w:r>
          </w:p>
        </w:tc>
        <w:tc>
          <w:tcPr>
            <w:tcW w:w="774" w:type="pct"/>
            <w:tcBorders>
              <w:top w:val="nil"/>
              <w:left w:val="nil"/>
              <w:bottom w:val="nil"/>
              <w:right w:val="single" w:color="auto" w:sz="4" w:space="0"/>
            </w:tcBorders>
            <w:shd w:val="clear" w:color="auto" w:fill="auto"/>
            <w:noWrap/>
            <w:vAlign w:val="center"/>
          </w:tcPr>
          <w:p w14:paraId="505CDE9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2.56E+03</w:t>
            </w:r>
          </w:p>
        </w:tc>
      </w:tr>
      <w:tr w14:paraId="54D18B6C">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558D3CDE">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邯郸钢铁集团有限责任公司</w:t>
            </w:r>
          </w:p>
        </w:tc>
        <w:tc>
          <w:tcPr>
            <w:tcW w:w="1566" w:type="pct"/>
            <w:tcBorders>
              <w:top w:val="nil"/>
              <w:left w:val="nil"/>
              <w:bottom w:val="nil"/>
              <w:right w:val="single" w:color="auto" w:sz="4" w:space="0"/>
            </w:tcBorders>
            <w:shd w:val="clear" w:color="auto" w:fill="auto"/>
            <w:noWrap/>
            <w:vAlign w:val="center"/>
          </w:tcPr>
          <w:p w14:paraId="5556CD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w:t>
            </w:r>
          </w:p>
        </w:tc>
        <w:tc>
          <w:tcPr>
            <w:tcW w:w="774" w:type="pct"/>
            <w:tcBorders>
              <w:top w:val="nil"/>
              <w:left w:val="nil"/>
              <w:bottom w:val="nil"/>
              <w:right w:val="single" w:color="auto" w:sz="4" w:space="0"/>
            </w:tcBorders>
            <w:shd w:val="clear" w:color="auto" w:fill="auto"/>
            <w:noWrap/>
            <w:vAlign w:val="center"/>
          </w:tcPr>
          <w:p w14:paraId="6DD9EE4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2.70E+03</w:t>
            </w:r>
          </w:p>
        </w:tc>
      </w:tr>
      <w:tr w14:paraId="254C7475">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7DC47E54">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山西永硕新材料科技有限公司</w:t>
            </w:r>
          </w:p>
        </w:tc>
        <w:tc>
          <w:tcPr>
            <w:tcW w:w="1566" w:type="pct"/>
            <w:tcBorders>
              <w:top w:val="nil"/>
              <w:left w:val="nil"/>
              <w:bottom w:val="nil"/>
              <w:right w:val="single" w:color="auto" w:sz="4" w:space="0"/>
            </w:tcBorders>
            <w:shd w:val="clear" w:color="auto" w:fill="auto"/>
            <w:noWrap/>
            <w:vAlign w:val="center"/>
          </w:tcPr>
          <w:p w14:paraId="52D23C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w:t>
            </w:r>
          </w:p>
        </w:tc>
        <w:tc>
          <w:tcPr>
            <w:tcW w:w="774" w:type="pct"/>
            <w:tcBorders>
              <w:top w:val="nil"/>
              <w:left w:val="nil"/>
              <w:bottom w:val="nil"/>
              <w:right w:val="single" w:color="auto" w:sz="4" w:space="0"/>
            </w:tcBorders>
            <w:shd w:val="clear" w:color="auto" w:fill="auto"/>
            <w:noWrap/>
            <w:vAlign w:val="center"/>
          </w:tcPr>
          <w:p w14:paraId="369A73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2.55E+03</w:t>
            </w:r>
          </w:p>
        </w:tc>
      </w:tr>
      <w:tr w14:paraId="70A6E1F2">
        <w:tblPrEx>
          <w:tblCellMar>
            <w:top w:w="0" w:type="dxa"/>
            <w:left w:w="108" w:type="dxa"/>
            <w:bottom w:w="0" w:type="dxa"/>
            <w:right w:w="108" w:type="dxa"/>
          </w:tblCellMar>
        </w:tblPrEx>
        <w:trPr>
          <w:trHeight w:val="285" w:hRule="atLeast"/>
        </w:trPr>
        <w:tc>
          <w:tcPr>
            <w:tcW w:w="2659" w:type="pct"/>
            <w:tcBorders>
              <w:top w:val="nil"/>
              <w:left w:val="single" w:color="auto" w:sz="4" w:space="0"/>
              <w:bottom w:val="nil"/>
              <w:right w:val="single" w:color="auto" w:sz="4" w:space="0"/>
            </w:tcBorders>
            <w:shd w:val="clear" w:color="auto" w:fill="auto"/>
            <w:noWrap/>
            <w:vAlign w:val="center"/>
          </w:tcPr>
          <w:p w14:paraId="48C65F86">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中普精密制造有限公司</w:t>
            </w:r>
          </w:p>
        </w:tc>
        <w:tc>
          <w:tcPr>
            <w:tcW w:w="1566" w:type="pct"/>
            <w:tcBorders>
              <w:top w:val="nil"/>
              <w:left w:val="nil"/>
              <w:bottom w:val="nil"/>
              <w:right w:val="single" w:color="auto" w:sz="4" w:space="0"/>
            </w:tcBorders>
            <w:shd w:val="clear" w:color="auto" w:fill="auto"/>
            <w:noWrap/>
            <w:vAlign w:val="center"/>
          </w:tcPr>
          <w:p w14:paraId="42FE35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w:t>
            </w:r>
          </w:p>
        </w:tc>
        <w:tc>
          <w:tcPr>
            <w:tcW w:w="774" w:type="pct"/>
            <w:tcBorders>
              <w:top w:val="nil"/>
              <w:left w:val="nil"/>
              <w:bottom w:val="nil"/>
              <w:right w:val="single" w:color="auto" w:sz="4" w:space="0"/>
            </w:tcBorders>
            <w:shd w:val="clear" w:color="auto" w:fill="auto"/>
            <w:noWrap/>
            <w:vAlign w:val="center"/>
          </w:tcPr>
          <w:p w14:paraId="0474B38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2.93E+03</w:t>
            </w:r>
          </w:p>
        </w:tc>
      </w:tr>
      <w:tr w14:paraId="3777A878">
        <w:tblPrEx>
          <w:tblCellMar>
            <w:top w:w="0" w:type="dxa"/>
            <w:left w:w="108" w:type="dxa"/>
            <w:bottom w:w="0" w:type="dxa"/>
            <w:right w:w="108" w:type="dxa"/>
          </w:tblCellMar>
        </w:tblPrEx>
        <w:trPr>
          <w:trHeight w:val="285" w:hRule="atLeast"/>
        </w:trPr>
        <w:tc>
          <w:tcPr>
            <w:tcW w:w="2659" w:type="pct"/>
            <w:tcBorders>
              <w:top w:val="nil"/>
              <w:left w:val="single" w:color="auto" w:sz="4" w:space="0"/>
              <w:bottom w:val="single" w:color="auto" w:sz="4" w:space="0"/>
              <w:right w:val="single" w:color="auto" w:sz="4" w:space="0"/>
            </w:tcBorders>
            <w:shd w:val="clear" w:color="auto" w:fill="auto"/>
            <w:noWrap/>
            <w:vAlign w:val="center"/>
          </w:tcPr>
          <w:p w14:paraId="7C9ACF17">
            <w:pPr>
              <w:keepNext w:val="0"/>
              <w:keepLines w:val="0"/>
              <w:widowControl/>
              <w:suppressLineNumbers w:val="0"/>
              <w:jc w:val="center"/>
              <w:textAlignment w:val="center"/>
              <w:rPr>
                <w:rFonts w:ascii="Times New Roman" w:hAnsi="Times New Roman" w:eastAsia="宋体" w:cs="Times New Roman"/>
                <w:color w:val="000000"/>
                <w:kern w:val="0"/>
                <w:sz w:val="21"/>
                <w:szCs w:val="21"/>
              </w:rPr>
            </w:pPr>
            <w:r>
              <w:rPr>
                <w:rFonts w:hint="eastAsia" w:ascii="宋体" w:hAnsi="宋体" w:eastAsia="宋体" w:cs="宋体"/>
                <w:i w:val="0"/>
                <w:iCs w:val="0"/>
                <w:color w:val="000000"/>
                <w:kern w:val="0"/>
                <w:sz w:val="21"/>
                <w:szCs w:val="21"/>
                <w:u w:val="none"/>
                <w:lang w:val="en-US" w:eastAsia="zh-CN" w:bidi="ar"/>
              </w:rPr>
              <w:t>鞍钢蒂森克虏伯汽车钢有限公司</w:t>
            </w:r>
          </w:p>
        </w:tc>
        <w:tc>
          <w:tcPr>
            <w:tcW w:w="1566" w:type="pct"/>
            <w:tcBorders>
              <w:top w:val="nil"/>
              <w:left w:val="nil"/>
              <w:bottom w:val="single" w:color="auto" w:sz="4" w:space="0"/>
              <w:right w:val="single" w:color="auto" w:sz="4" w:space="0"/>
            </w:tcBorders>
            <w:shd w:val="clear" w:color="auto" w:fill="auto"/>
            <w:noWrap/>
            <w:vAlign w:val="center"/>
          </w:tcPr>
          <w:p w14:paraId="524703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纯锌、锌铁、锌镁</w:t>
            </w:r>
          </w:p>
        </w:tc>
        <w:tc>
          <w:tcPr>
            <w:tcW w:w="774" w:type="pct"/>
            <w:tcBorders>
              <w:top w:val="nil"/>
              <w:left w:val="nil"/>
              <w:bottom w:val="single" w:color="auto" w:sz="4" w:space="0"/>
              <w:right w:val="single" w:color="auto" w:sz="4" w:space="0"/>
            </w:tcBorders>
            <w:shd w:val="clear" w:color="auto" w:fill="auto"/>
            <w:noWrap/>
            <w:vAlign w:val="center"/>
          </w:tcPr>
          <w:p w14:paraId="0FBB2AD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2.86E+03</w:t>
            </w:r>
          </w:p>
        </w:tc>
      </w:tr>
    </w:tbl>
    <w:p w14:paraId="5E9A90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hint="eastAsia" w:ascii="Times New Roman" w:hAnsi="Times New Roman" w:eastAsia="宋体" w:cs="Times New Roman"/>
          <w:sz w:val="28"/>
          <w:szCs w:val="28"/>
        </w:rPr>
      </w:pPr>
    </w:p>
    <w:p w14:paraId="5665002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rPr>
        <w:t xml:space="preserve">根据GB-T </w:t>
      </w:r>
      <w:r>
        <w:rPr>
          <w:rFonts w:hint="eastAsia" w:ascii="Times New Roman" w:hAnsi="Times New Roman" w:eastAsia="宋体" w:cs="Times New Roman"/>
          <w:sz w:val="28"/>
          <w:szCs w:val="28"/>
          <w:lang w:val="en-US" w:eastAsia="zh-CN"/>
        </w:rPr>
        <w:t>2518-2016</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连续热镀锌和锌合金镀层钢板及钢带</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和YB/T 4761-2019《</w:t>
      </w:r>
      <w:r>
        <w:rPr>
          <w:rFonts w:hint="eastAsia" w:ascii="Times New Roman" w:hAnsi="Times New Roman" w:eastAsia="宋体" w:cs="Times New Roman"/>
          <w:color w:val="auto"/>
          <w:sz w:val="28"/>
          <w:szCs w:val="28"/>
          <w:u w:val="none"/>
          <w:lang w:val="en-US" w:eastAsia="zh-CN"/>
        </w:rPr>
        <w:t>连续热镀锌铝镁合金镀层钢板及钢带</w:t>
      </w:r>
      <w:r>
        <w:rPr>
          <w:rFonts w:hint="eastAsia" w:ascii="Times New Roman" w:hAnsi="Times New Roman" w:eastAsia="宋体" w:cs="Times New Roman"/>
          <w:sz w:val="28"/>
          <w:szCs w:val="28"/>
          <w:lang w:val="en-US" w:eastAsia="zh-CN"/>
        </w:rPr>
        <w:t>》中汽车板常用镀层</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本标准选定的镀层种类为铝锌合金镀层、锌及锌合金镀层、锌铝镁合金镀层。按照镀层种类核算出的碳排放基准值如下表所示。</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671"/>
        <w:gridCol w:w="4851"/>
      </w:tblGrid>
      <w:tr w14:paraId="725025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vAlign w:val="center"/>
          </w:tcPr>
          <w:p w14:paraId="5A5A9E3D">
            <w:pPr>
              <w:autoSpaceDE w:val="0"/>
              <w:autoSpaceDN w:val="0"/>
              <w:adjustRightInd w:val="0"/>
              <w:spacing w:line="360" w:lineRule="exact"/>
              <w:jc w:val="center"/>
              <w:rPr>
                <w:rFonts w:hint="default" w:ascii="Times New Roman" w:hAnsi="Times New Roman" w:eastAsia="宋体" w:cs="Times New Roman"/>
                <w:kern w:val="0"/>
                <w:sz w:val="18"/>
                <w:szCs w:val="18"/>
                <w:lang w:val="en-US" w:eastAsia="zh-CN"/>
              </w:rPr>
            </w:pPr>
            <w:bookmarkStart w:id="0" w:name="_Hlk195280050"/>
            <w:r>
              <w:rPr>
                <w:rFonts w:hint="default" w:ascii="Times New Roman" w:hAnsi="Times New Roman" w:cs="Times New Roman"/>
                <w:b/>
                <w:bCs/>
                <w:sz w:val="18"/>
                <w:szCs w:val="18"/>
                <w:lang w:val="en-US" w:eastAsia="zh-CN"/>
              </w:rPr>
              <w:t>镀层种类</w:t>
            </w:r>
          </w:p>
        </w:tc>
        <w:tc>
          <w:tcPr>
            <w:tcW w:w="2845" w:type="pct"/>
            <w:tcBorders>
              <w:top w:val="single" w:color="auto" w:sz="6" w:space="0"/>
              <w:left w:val="nil"/>
              <w:bottom w:val="single" w:color="auto" w:sz="6" w:space="0"/>
              <w:right w:val="single" w:color="auto" w:sz="8" w:space="0"/>
            </w:tcBorders>
            <w:vAlign w:val="center"/>
          </w:tcPr>
          <w:p w14:paraId="61757681">
            <w:pPr>
              <w:autoSpaceDE w:val="0"/>
              <w:autoSpaceDN w:val="0"/>
              <w:adjustRightInd w:val="0"/>
              <w:spacing w:line="360" w:lineRule="exact"/>
              <w:jc w:val="center"/>
              <w:rPr>
                <w:rFonts w:hint="default" w:ascii="Times New Roman" w:hAnsi="Times New Roman" w:cs="Times New Roman"/>
                <w:sz w:val="18"/>
                <w:szCs w:val="18"/>
              </w:rPr>
            </w:pPr>
            <w:r>
              <w:rPr>
                <w:rFonts w:hint="default" w:ascii="Times New Roman" w:hAnsi="Times New Roman" w:cs="Times New Roman"/>
                <w:b/>
                <w:bCs/>
                <w:sz w:val="18"/>
                <w:szCs w:val="18"/>
              </w:rPr>
              <w:t>碳排放基准值（tCO</w:t>
            </w:r>
            <w:r>
              <w:rPr>
                <w:rFonts w:hint="default" w:ascii="Times New Roman" w:hAnsi="Times New Roman" w:cs="Times New Roman"/>
                <w:b/>
                <w:bCs/>
                <w:sz w:val="18"/>
                <w:szCs w:val="18"/>
                <w:vertAlign w:val="subscript"/>
              </w:rPr>
              <w:t>2</w:t>
            </w:r>
            <w:r>
              <w:rPr>
                <w:rFonts w:hint="default" w:ascii="Times New Roman" w:hAnsi="Times New Roman" w:cs="Times New Roman"/>
                <w:b/>
                <w:bCs/>
                <w:sz w:val="18"/>
                <w:szCs w:val="18"/>
              </w:rPr>
              <w:t>/t产品）</w:t>
            </w:r>
          </w:p>
        </w:tc>
      </w:tr>
      <w:tr w14:paraId="312F53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shd w:val="clear" w:color="auto" w:fill="auto"/>
            <w:vAlign w:val="center"/>
          </w:tcPr>
          <w:p w14:paraId="7AE363A1">
            <w:pPr>
              <w:autoSpaceDE w:val="0"/>
              <w:autoSpaceDN w:val="0"/>
              <w:adjustRightInd w:val="0"/>
              <w:spacing w:line="360" w:lineRule="exact"/>
              <w:jc w:val="center"/>
              <w:rPr>
                <w:rFonts w:hint="default" w:ascii="Times New Roman" w:hAnsi="Times New Roman" w:eastAsia="宋体" w:cs="Times New Roman"/>
                <w:kern w:val="0"/>
                <w:sz w:val="18"/>
                <w:szCs w:val="18"/>
                <w:lang w:val="en-US" w:eastAsia="zh-CN" w:bidi="ar-SA"/>
              </w:rPr>
            </w:pPr>
            <w:bookmarkStart w:id="1" w:name="_Hlk195279837"/>
            <w:r>
              <w:rPr>
                <w:rFonts w:hint="default" w:ascii="Times New Roman" w:hAnsi="Times New Roman" w:cs="Times New Roman"/>
                <w:kern w:val="0"/>
                <w:sz w:val="18"/>
                <w:szCs w:val="18"/>
                <w:lang w:val="en-US" w:eastAsia="zh-CN"/>
              </w:rPr>
              <w:t>铝锌合金镀层</w:t>
            </w:r>
          </w:p>
        </w:tc>
        <w:tc>
          <w:tcPr>
            <w:tcW w:w="2845" w:type="pct"/>
            <w:tcBorders>
              <w:top w:val="single" w:color="auto" w:sz="6" w:space="0"/>
              <w:left w:val="nil"/>
              <w:bottom w:val="single" w:color="auto" w:sz="6" w:space="0"/>
              <w:right w:val="single" w:color="auto" w:sz="8" w:space="0"/>
            </w:tcBorders>
            <w:shd w:val="clear" w:color="auto" w:fill="auto"/>
            <w:vAlign w:val="center"/>
          </w:tcPr>
          <w:p w14:paraId="007204D0">
            <w:pPr>
              <w:autoSpaceDE w:val="0"/>
              <w:autoSpaceDN w:val="0"/>
              <w:adjustRightInd w:val="0"/>
              <w:spacing w:line="3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2.45</w:t>
            </w:r>
          </w:p>
        </w:tc>
      </w:tr>
      <w:tr w14:paraId="4660C6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shd w:val="clear" w:color="auto" w:fill="auto"/>
            <w:vAlign w:val="center"/>
          </w:tcPr>
          <w:p w14:paraId="53DAFC28">
            <w:pPr>
              <w:autoSpaceDE w:val="0"/>
              <w:autoSpaceDN w:val="0"/>
              <w:adjustRightInd w:val="0"/>
              <w:spacing w:line="3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锌及锌合金镀层</w:t>
            </w:r>
          </w:p>
        </w:tc>
        <w:tc>
          <w:tcPr>
            <w:tcW w:w="2845" w:type="pct"/>
            <w:tcBorders>
              <w:top w:val="single" w:color="auto" w:sz="6" w:space="0"/>
              <w:left w:val="nil"/>
              <w:bottom w:val="single" w:color="auto" w:sz="6" w:space="0"/>
              <w:right w:val="single" w:color="auto" w:sz="8" w:space="0"/>
            </w:tcBorders>
            <w:shd w:val="clear" w:color="auto" w:fill="auto"/>
            <w:vAlign w:val="center"/>
          </w:tcPr>
          <w:p w14:paraId="13087442">
            <w:pPr>
              <w:autoSpaceDE w:val="0"/>
              <w:autoSpaceDN w:val="0"/>
              <w:adjustRightInd w:val="0"/>
              <w:spacing w:line="3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2.80</w:t>
            </w:r>
          </w:p>
        </w:tc>
      </w:tr>
      <w:tr w14:paraId="7DD77B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2154" w:type="pct"/>
            <w:tcBorders>
              <w:top w:val="single" w:color="auto" w:sz="6" w:space="0"/>
              <w:left w:val="single" w:color="auto" w:sz="8" w:space="0"/>
              <w:bottom w:val="single" w:color="auto" w:sz="6" w:space="0"/>
              <w:right w:val="single" w:color="auto" w:sz="6" w:space="0"/>
            </w:tcBorders>
            <w:shd w:val="clear" w:color="auto" w:fill="auto"/>
            <w:vAlign w:val="center"/>
          </w:tcPr>
          <w:p w14:paraId="08209F9F">
            <w:pPr>
              <w:autoSpaceDE w:val="0"/>
              <w:autoSpaceDN w:val="0"/>
              <w:adjustRightInd w:val="0"/>
              <w:spacing w:line="360" w:lineRule="exact"/>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lang w:val="en-US" w:eastAsia="zh-CN"/>
              </w:rPr>
              <w:t>锌铝镁合金镀层</w:t>
            </w:r>
          </w:p>
        </w:tc>
        <w:tc>
          <w:tcPr>
            <w:tcW w:w="2845" w:type="pct"/>
            <w:tcBorders>
              <w:top w:val="single" w:color="auto" w:sz="6" w:space="0"/>
              <w:left w:val="nil"/>
              <w:bottom w:val="single" w:color="auto" w:sz="6" w:space="0"/>
              <w:right w:val="single" w:color="auto" w:sz="8" w:space="0"/>
            </w:tcBorders>
            <w:shd w:val="clear" w:color="auto" w:fill="auto"/>
            <w:vAlign w:val="center"/>
          </w:tcPr>
          <w:p w14:paraId="66985A92">
            <w:pPr>
              <w:autoSpaceDE w:val="0"/>
              <w:autoSpaceDN w:val="0"/>
              <w:adjustRightInd w:val="0"/>
              <w:spacing w:line="36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2.81</w:t>
            </w:r>
          </w:p>
        </w:tc>
      </w:tr>
      <w:bookmarkEnd w:id="1"/>
      <w:tr w14:paraId="65924D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5000" w:type="pct"/>
            <w:gridSpan w:val="2"/>
            <w:tcBorders>
              <w:left w:val="single" w:color="auto" w:sz="8" w:space="0"/>
              <w:bottom w:val="single" w:color="auto" w:sz="6" w:space="0"/>
              <w:right w:val="single" w:color="auto" w:sz="8" w:space="0"/>
            </w:tcBorders>
            <w:vAlign w:val="center"/>
          </w:tcPr>
          <w:p w14:paraId="3645FDAC">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rPr>
              <w:t>注：</w:t>
            </w:r>
          </w:p>
          <w:p w14:paraId="036FBB1C">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rPr>
              <w:t>1.对于合金钢产品，合金含量≥5%且＜10%，单位产品碳排放基准值在表1的数值基础上按比例乘以1.1系数修正；合金含量≥10%且＜20%，单位产品碳排放基准值在表1的数值基础上按比例乘以1.3系数修正；合金含量≥20%且＜30%，单位产品碳排放基准值在表1的数值基础上按比例乘以1.5系数修正；合金含量≥30%且＜40%，单位产品碳排放基准值在表1的数值基础上按比例乘以1.7系数修正；合金含量≥40%，单位产品碳排放基准值在表1的数值基础上按比例乘以1.9系数修正。</w:t>
            </w:r>
          </w:p>
          <w:p w14:paraId="3FA9864F">
            <w:pPr>
              <w:autoSpaceDE w:val="0"/>
              <w:autoSpaceDN w:val="0"/>
              <w:adjustRightInd w:val="0"/>
              <w:spacing w:line="360" w:lineRule="exact"/>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.高炉钒钛磁铁矿比例超过50%，单位产品碳排放量在表1的数值基础上按比例乘以1.2系数修正。</w:t>
            </w:r>
          </w:p>
        </w:tc>
      </w:tr>
      <w:bookmarkEnd w:id="0"/>
    </w:tbl>
    <w:p w14:paraId="7C33C18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560" w:firstLineChars="200"/>
        <w:textAlignment w:val="auto"/>
        <w:rPr>
          <w:rFonts w:ascii="Times New Roman" w:hAnsi="Times New Roman" w:eastAsia="宋体" w:cs="Times New Roman"/>
          <w:sz w:val="28"/>
          <w:szCs w:val="28"/>
        </w:rPr>
      </w:pPr>
      <w:r>
        <w:rPr>
          <w:rFonts w:hint="eastAsia" w:ascii="Times New Roman" w:hAnsi="Times New Roman" w:eastAsia="宋体" w:cs="Times New Roman"/>
          <w:sz w:val="28"/>
          <w:szCs w:val="28"/>
        </w:rPr>
        <w:t>3．数据统计期</w:t>
      </w:r>
    </w:p>
    <w:p w14:paraId="17CDBB42">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数据统计周期主要参照《温室气体排放核算与报告要求 第5部分：钢铁生产企业》（GB/T 32151.5）的内容进行编制，明确应以财务年为统计期。</w:t>
      </w:r>
    </w:p>
    <w:p w14:paraId="33F21789">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4．碳排放量核算方法</w:t>
      </w:r>
    </w:p>
    <w:p w14:paraId="495ADD6E">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关于计算方法的考虑在本文后面内容“（七）附录A的说明”中进行解释。</w:t>
      </w:r>
    </w:p>
    <w:p w14:paraId="63A72D16">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5．低碳产品判定准则</w:t>
      </w:r>
    </w:p>
    <w:p w14:paraId="5FBC8735">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参照现有相关编写，在满足基本条件下，符合表1规定即可判定为低碳产品。</w:t>
      </w:r>
    </w:p>
    <w:p w14:paraId="31C348CA">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（六）产品碳排放评价报告</w:t>
      </w:r>
    </w:p>
    <w:p w14:paraId="5EDB8768">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参照钢材低碳产品评价实际开展情况，结合钢铁企业产品认证的相关工作经验，并参考《温室气体排放核算与报告要求 第5部分：钢铁生产企业》（GB/T 32151.5）、《低碳产品评价方法与要求 三相配电变压器》（RB/T 017-2019）和《低碳产品评价方法与要求 复印机、打印机和速印机》（RB/T 016-2019）等标准中关于评价报告的内容，提出评价报告的框架内容。同时，在评价报告中还应对本文件第5章及第6章的符合性进行说明。</w:t>
      </w:r>
    </w:p>
    <w:p w14:paraId="29000051">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（七）附录A的说明</w:t>
      </w:r>
    </w:p>
    <w:p w14:paraId="35D2E627">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为保证不同认证机构开展</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低碳产品评价计算方法的一致性，本文件在附录A给出了具体的计算方法，为规范性附录。依据本文件开展低碳钢材产品认证的机构均需按照附录A的方法进行计算。</w:t>
      </w:r>
    </w:p>
    <w:p w14:paraId="3C13FDD7">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（八）附录B的说明</w:t>
      </w:r>
    </w:p>
    <w:p w14:paraId="26E67A9F">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附录B为资料性附录，为不能获得实测值的企业低碳产品评价提供参考性依据。通过系统梳理国内外现有资料，数据指标主要参考行业测评数据。</w:t>
      </w:r>
    </w:p>
    <w:p w14:paraId="1BB7426D">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四、会议后主要修改内容</w:t>
      </w:r>
    </w:p>
    <w:p w14:paraId="3A0B0AE3">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1、表1 低碳钢材产品碳排放基准值进行修改，按照公称厚度进行划分。</w:t>
      </w:r>
    </w:p>
    <w:p w14:paraId="7463359C">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2、完善合金元素修正的表述。</w:t>
      </w:r>
    </w:p>
    <w:p w14:paraId="12AF2593">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3、完善附录A</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产品碳排放核算方法的描述。</w:t>
      </w:r>
    </w:p>
    <w:p w14:paraId="72FAF76E">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五、与专利的关系</w:t>
      </w:r>
    </w:p>
    <w:p w14:paraId="2D86D8C8">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本文件不涉及专利内容。</w:t>
      </w:r>
    </w:p>
    <w:p w14:paraId="29374361">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六、预期达到的社会效益、对产业发展的作用等情况</w:t>
      </w:r>
    </w:p>
    <w:p w14:paraId="4820A818">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通过标准的制定和实施，拟解决</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生产企业制造的产品长期以来未有全面系统的生命周期客观评价的现实问题，引导</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生产企业和下游用户单位开展低碳产品评价工作。对</w:t>
      </w:r>
      <w:r>
        <w:rPr>
          <w:rFonts w:hint="eastAsia" w:ascii="Times New Roman" w:hAnsi="Times New Roman" w:eastAsia="宋体" w:cs="Times New Roman"/>
          <w:sz w:val="28"/>
          <w:szCs w:val="28"/>
          <w:lang w:val="en-US" w:eastAsia="zh-CN"/>
        </w:rPr>
        <w:t>汽车用连续热镀锌钢板及钢带</w:t>
      </w:r>
      <w:r>
        <w:rPr>
          <w:rFonts w:hint="eastAsia" w:ascii="Times New Roman" w:hAnsi="Times New Roman" w:eastAsia="宋体" w:cs="Times New Roman"/>
          <w:sz w:val="28"/>
          <w:szCs w:val="28"/>
        </w:rPr>
        <w:t>产品生产有较高的指导价值和应用规范。制定的原则体现了标准的先进性、科学性。</w:t>
      </w:r>
    </w:p>
    <w:p w14:paraId="27DD81FA">
      <w:pPr>
        <w:spacing w:line="360" w:lineRule="auto"/>
        <w:ind w:firstLine="560" w:firstLineChars="200"/>
        <w:rPr>
          <w:rFonts w:ascii="Times New Roman" w:hAnsi="Times New Roman" w:eastAsia="宋体" w:cs="Times New Roman"/>
          <w:sz w:val="28"/>
          <w:szCs w:val="28"/>
          <w:highlight w:val="yellow"/>
        </w:rPr>
      </w:pPr>
    </w:p>
    <w:p w14:paraId="77D024D1">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七、与国际、国外对比情况</w:t>
      </w:r>
    </w:p>
    <w:p w14:paraId="07214D55">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本标准没有采用国际标准。</w:t>
      </w:r>
    </w:p>
    <w:p w14:paraId="23A05C78">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本标准制定过程中未查到同类国际、国外标准。</w:t>
      </w:r>
    </w:p>
    <w:p w14:paraId="5A082FF9">
      <w:pPr>
        <w:adjustRightInd w:val="0"/>
        <w:snapToGrid w:val="0"/>
        <w:spacing w:line="360" w:lineRule="auto"/>
        <w:ind w:firstLine="560" w:firstLineChars="200"/>
        <w:rPr>
          <w:rFonts w:ascii="Times New Roman" w:hAnsi="Times New Roman" w:eastAsia="宋体" w:cs="Times New Roman"/>
          <w:sz w:val="28"/>
          <w:szCs w:val="28"/>
          <w:highlight w:val="yellow"/>
        </w:rPr>
      </w:pPr>
    </w:p>
    <w:p w14:paraId="07254F22">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八、在标准体系中的位置，与现行相关法律、法规、规章及标准，特别是强制性标准的协调性</w:t>
      </w:r>
    </w:p>
    <w:p w14:paraId="3D597F81">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本标准与现行相关法律、法规、规章及相关标准协调一致。</w:t>
      </w:r>
    </w:p>
    <w:p w14:paraId="2D7D3B86">
      <w:pPr>
        <w:spacing w:line="360" w:lineRule="auto"/>
        <w:ind w:firstLine="560" w:firstLineChars="200"/>
        <w:rPr>
          <w:rFonts w:ascii="Times New Roman" w:hAnsi="Times New Roman" w:eastAsia="宋体" w:cs="Times New Roman"/>
          <w:sz w:val="28"/>
          <w:szCs w:val="28"/>
          <w:highlight w:val="yellow"/>
        </w:rPr>
      </w:pPr>
    </w:p>
    <w:p w14:paraId="38615E58">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九、重大分歧意见的处理经过和依据</w:t>
      </w:r>
    </w:p>
    <w:p w14:paraId="0A6D2792">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无重大分歧意见。</w:t>
      </w:r>
    </w:p>
    <w:p w14:paraId="1893B81A">
      <w:pPr>
        <w:spacing w:line="360" w:lineRule="auto"/>
        <w:ind w:firstLine="560" w:firstLineChars="200"/>
        <w:rPr>
          <w:rFonts w:ascii="Times New Roman" w:hAnsi="Times New Roman" w:eastAsia="宋体" w:cs="Times New Roman"/>
          <w:sz w:val="28"/>
          <w:szCs w:val="28"/>
          <w:highlight w:val="yellow"/>
        </w:rPr>
      </w:pPr>
    </w:p>
    <w:p w14:paraId="760A696D">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十、标准性质的建议说明</w:t>
      </w:r>
    </w:p>
    <w:p w14:paraId="087B6C58">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为推荐性标准。</w:t>
      </w:r>
    </w:p>
    <w:p w14:paraId="01F81542">
      <w:pPr>
        <w:spacing w:line="360" w:lineRule="auto"/>
        <w:ind w:firstLine="560" w:firstLineChars="200"/>
        <w:rPr>
          <w:rFonts w:ascii="Times New Roman" w:hAnsi="Times New Roman" w:eastAsia="宋体" w:cs="Times New Roman"/>
          <w:sz w:val="28"/>
          <w:szCs w:val="28"/>
          <w:highlight w:val="yellow"/>
        </w:rPr>
      </w:pPr>
    </w:p>
    <w:p w14:paraId="25543BAD">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十一、贯彻标准的要求和措施建议</w:t>
      </w:r>
    </w:p>
    <w:p w14:paraId="2B822641">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文件由中国特钢企业协会提出并归口</w:t>
      </w:r>
      <w:r>
        <w:rPr>
          <w:rFonts w:ascii="Times New Roman" w:hAnsi="Times New Roman" w:eastAsia="宋体" w:cs="Times New Roman"/>
          <w:sz w:val="28"/>
          <w:szCs w:val="28"/>
        </w:rPr>
        <w:t>，经过审定报批后，由</w:t>
      </w:r>
      <w:r>
        <w:rPr>
          <w:rFonts w:hint="eastAsia" w:ascii="Times New Roman" w:hAnsi="Times New Roman" w:eastAsia="宋体" w:cs="Times New Roman"/>
          <w:sz w:val="28"/>
          <w:szCs w:val="28"/>
        </w:rPr>
        <w:t>中国特钢企业协会</w:t>
      </w:r>
      <w:r>
        <w:rPr>
          <w:rFonts w:ascii="Times New Roman" w:hAnsi="Times New Roman" w:eastAsia="宋体" w:cs="Times New Roman"/>
          <w:sz w:val="28"/>
          <w:szCs w:val="28"/>
        </w:rPr>
        <w:t>发布。建议本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在</w:t>
      </w:r>
      <w:r>
        <w:rPr>
          <w:rFonts w:hint="eastAsia" w:ascii="Times New Roman" w:hAnsi="Times New Roman" w:eastAsia="宋体" w:cs="Times New Roman"/>
          <w:sz w:val="28"/>
          <w:szCs w:val="28"/>
        </w:rPr>
        <w:t>钢铁企业</w:t>
      </w:r>
      <w:r>
        <w:rPr>
          <w:rFonts w:ascii="Times New Roman" w:hAnsi="Times New Roman" w:eastAsia="宋体" w:cs="Times New Roman"/>
          <w:sz w:val="28"/>
          <w:szCs w:val="28"/>
        </w:rPr>
        <w:t>进行宣贯执行。</w:t>
      </w:r>
    </w:p>
    <w:p w14:paraId="3B026441">
      <w:pPr>
        <w:spacing w:line="360" w:lineRule="auto"/>
        <w:ind w:firstLine="560" w:firstLineChars="200"/>
        <w:rPr>
          <w:rFonts w:ascii="Times New Roman" w:hAnsi="Times New Roman" w:eastAsia="宋体" w:cs="Times New Roman"/>
          <w:sz w:val="28"/>
          <w:szCs w:val="28"/>
          <w:highlight w:val="yellow"/>
        </w:rPr>
      </w:pPr>
    </w:p>
    <w:p w14:paraId="65CCE6E1">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十二、废止或代替现行相关标准的建议</w:t>
      </w:r>
    </w:p>
    <w:p w14:paraId="00C23AB5">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本文件为首次发布</w:t>
      </w:r>
      <w:r>
        <w:rPr>
          <w:rFonts w:ascii="Times New Roman" w:hAnsi="Times New Roman" w:eastAsia="宋体" w:cs="Times New Roman"/>
          <w:sz w:val="28"/>
          <w:szCs w:val="28"/>
        </w:rPr>
        <w:t>。</w:t>
      </w:r>
    </w:p>
    <w:p w14:paraId="3652D39F">
      <w:pPr>
        <w:spacing w:line="360" w:lineRule="auto"/>
        <w:ind w:firstLine="560" w:firstLineChars="200"/>
        <w:rPr>
          <w:rFonts w:ascii="Times New Roman" w:hAnsi="Times New Roman" w:eastAsia="宋体" w:cs="Times New Roman"/>
          <w:sz w:val="28"/>
          <w:szCs w:val="28"/>
          <w:highlight w:val="yellow"/>
        </w:rPr>
      </w:pPr>
    </w:p>
    <w:p w14:paraId="228D5880">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十三、其他应予说明的事项</w:t>
      </w:r>
    </w:p>
    <w:p w14:paraId="2388EE5C">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w:t>
      </w:r>
    </w:p>
    <w:p w14:paraId="1BBDCD55">
      <w:pPr>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 xml:space="preserve">低碳产品评价方法与要求 </w:t>
      </w:r>
      <w:r>
        <w:rPr>
          <w:rFonts w:hint="eastAsia" w:ascii="Times New Roman" w:hAnsi="Times New Roman" w:eastAsia="宋体" w:cs="Times New Roman"/>
          <w:sz w:val="28"/>
          <w:szCs w:val="28"/>
          <w:lang w:val="en-US" w:eastAsia="zh-CN"/>
        </w:rPr>
        <w:t>汽车用连续热镀锌钢板及钢带</w:t>
      </w:r>
      <w:r>
        <w:rPr>
          <w:rFonts w:ascii="Times New Roman" w:hAnsi="Times New Roman" w:eastAsia="宋体" w:cs="Times New Roman"/>
          <w:sz w:val="28"/>
          <w:szCs w:val="28"/>
        </w:rPr>
        <w:t>》</w:t>
      </w:r>
    </w:p>
    <w:p w14:paraId="738BC66C">
      <w:pPr>
        <w:ind w:firstLine="560" w:firstLineChars="20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团体</w:t>
      </w:r>
      <w:r>
        <w:rPr>
          <w:rFonts w:ascii="Times New Roman" w:hAnsi="Times New Roman" w:eastAsia="宋体" w:cs="Times New Roman"/>
          <w:sz w:val="28"/>
          <w:szCs w:val="28"/>
        </w:rPr>
        <w:t>标准编制工作组</w:t>
      </w:r>
    </w:p>
    <w:p w14:paraId="544804A2">
      <w:pPr>
        <w:jc w:val="right"/>
        <w:rPr>
          <w:rFonts w:ascii="Times New Roman" w:hAnsi="Times New Roman" w:eastAsia="宋体" w:cs="Times New Roman"/>
          <w:sz w:val="28"/>
          <w:szCs w:val="28"/>
        </w:rPr>
      </w:pPr>
      <w:r>
        <w:rPr>
          <w:rFonts w:ascii="Times New Roman" w:hAnsi="Times New Roman" w:eastAsia="宋体" w:cs="Times New Roman"/>
          <w:sz w:val="28"/>
          <w:szCs w:val="28"/>
        </w:rPr>
        <w:t>202</w:t>
      </w:r>
      <w:r>
        <w:rPr>
          <w:rFonts w:hint="eastAsia" w:ascii="Times New Roman" w:hAnsi="Times New Roman" w:eastAsia="宋体" w:cs="Times New Roman"/>
          <w:sz w:val="28"/>
          <w:szCs w:val="28"/>
        </w:rPr>
        <w:t>5</w:t>
      </w:r>
      <w:r>
        <w:rPr>
          <w:rFonts w:ascii="Times New Roman" w:hAnsi="Times New Roman" w:eastAsia="宋体" w:cs="Times New Roman"/>
          <w:sz w:val="28"/>
          <w:szCs w:val="28"/>
        </w:rPr>
        <w:t>年</w:t>
      </w:r>
      <w:r>
        <w:rPr>
          <w:rFonts w:hint="eastAsia" w:ascii="Times New Roman" w:hAnsi="Times New Roman" w:eastAsia="宋体" w:cs="Times New Roman"/>
          <w:sz w:val="28"/>
          <w:szCs w:val="28"/>
        </w:rPr>
        <w:t>4</w:t>
      </w:r>
      <w:r>
        <w:rPr>
          <w:rFonts w:ascii="Times New Roman" w:hAnsi="Times New Roman" w:eastAsia="宋体" w:cs="Times New Roman"/>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MGJiZTY3ZDA1YTE3MjE0NWYzZmUwOGY3M2RiNDUifQ=="/>
  </w:docVars>
  <w:rsids>
    <w:rsidRoot w:val="00172A27"/>
    <w:rsid w:val="00026A06"/>
    <w:rsid w:val="0003637A"/>
    <w:rsid w:val="00082C2F"/>
    <w:rsid w:val="0009643A"/>
    <w:rsid w:val="000A06F8"/>
    <w:rsid w:val="000A7543"/>
    <w:rsid w:val="000B461A"/>
    <w:rsid w:val="000E46BD"/>
    <w:rsid w:val="000F5D2F"/>
    <w:rsid w:val="00107191"/>
    <w:rsid w:val="00107E8C"/>
    <w:rsid w:val="001155AB"/>
    <w:rsid w:val="00120611"/>
    <w:rsid w:val="00157B20"/>
    <w:rsid w:val="001662F1"/>
    <w:rsid w:val="001674D1"/>
    <w:rsid w:val="00172A27"/>
    <w:rsid w:val="00173C71"/>
    <w:rsid w:val="0019199A"/>
    <w:rsid w:val="0019360C"/>
    <w:rsid w:val="00194396"/>
    <w:rsid w:val="001A6B9F"/>
    <w:rsid w:val="001D339D"/>
    <w:rsid w:val="00206AA5"/>
    <w:rsid w:val="0021176C"/>
    <w:rsid w:val="00233184"/>
    <w:rsid w:val="0023389E"/>
    <w:rsid w:val="002541B3"/>
    <w:rsid w:val="00257A89"/>
    <w:rsid w:val="00264B89"/>
    <w:rsid w:val="00282C79"/>
    <w:rsid w:val="00286425"/>
    <w:rsid w:val="002A4096"/>
    <w:rsid w:val="002A5F3A"/>
    <w:rsid w:val="002B1995"/>
    <w:rsid w:val="002B1ABA"/>
    <w:rsid w:val="002C231C"/>
    <w:rsid w:val="002C3750"/>
    <w:rsid w:val="002C6608"/>
    <w:rsid w:val="002D4B71"/>
    <w:rsid w:val="002E27DB"/>
    <w:rsid w:val="002E6E1C"/>
    <w:rsid w:val="003021B8"/>
    <w:rsid w:val="003068A1"/>
    <w:rsid w:val="00320831"/>
    <w:rsid w:val="00320ECA"/>
    <w:rsid w:val="00325824"/>
    <w:rsid w:val="00333876"/>
    <w:rsid w:val="00343688"/>
    <w:rsid w:val="00345EDA"/>
    <w:rsid w:val="003543D1"/>
    <w:rsid w:val="00374FB4"/>
    <w:rsid w:val="00380892"/>
    <w:rsid w:val="003A0919"/>
    <w:rsid w:val="003B2098"/>
    <w:rsid w:val="003C3D9C"/>
    <w:rsid w:val="003D207D"/>
    <w:rsid w:val="003E438E"/>
    <w:rsid w:val="003E4A58"/>
    <w:rsid w:val="003F1716"/>
    <w:rsid w:val="0040624B"/>
    <w:rsid w:val="00424797"/>
    <w:rsid w:val="004315DD"/>
    <w:rsid w:val="00437BA2"/>
    <w:rsid w:val="00453F1F"/>
    <w:rsid w:val="004773AD"/>
    <w:rsid w:val="004776D7"/>
    <w:rsid w:val="0048070F"/>
    <w:rsid w:val="00485FFA"/>
    <w:rsid w:val="00486FE7"/>
    <w:rsid w:val="004A4931"/>
    <w:rsid w:val="004B6AE6"/>
    <w:rsid w:val="004D4790"/>
    <w:rsid w:val="004D5FB9"/>
    <w:rsid w:val="004E4570"/>
    <w:rsid w:val="004E5408"/>
    <w:rsid w:val="004E739C"/>
    <w:rsid w:val="004F22C9"/>
    <w:rsid w:val="004F4F2E"/>
    <w:rsid w:val="005234A1"/>
    <w:rsid w:val="005457BD"/>
    <w:rsid w:val="00545933"/>
    <w:rsid w:val="00557643"/>
    <w:rsid w:val="00565B8B"/>
    <w:rsid w:val="00566DB7"/>
    <w:rsid w:val="005961FD"/>
    <w:rsid w:val="005A2F5B"/>
    <w:rsid w:val="005C5161"/>
    <w:rsid w:val="005C6159"/>
    <w:rsid w:val="005D3687"/>
    <w:rsid w:val="005D45B4"/>
    <w:rsid w:val="005E2591"/>
    <w:rsid w:val="0061018C"/>
    <w:rsid w:val="00611259"/>
    <w:rsid w:val="00620221"/>
    <w:rsid w:val="00637D53"/>
    <w:rsid w:val="006571F7"/>
    <w:rsid w:val="00657550"/>
    <w:rsid w:val="0066215D"/>
    <w:rsid w:val="00664922"/>
    <w:rsid w:val="006756FF"/>
    <w:rsid w:val="006870AE"/>
    <w:rsid w:val="006947DE"/>
    <w:rsid w:val="00696540"/>
    <w:rsid w:val="006B25F2"/>
    <w:rsid w:val="006B4B3F"/>
    <w:rsid w:val="006D5ACC"/>
    <w:rsid w:val="006E7B0A"/>
    <w:rsid w:val="00700131"/>
    <w:rsid w:val="00735DE2"/>
    <w:rsid w:val="0074223A"/>
    <w:rsid w:val="00744E01"/>
    <w:rsid w:val="00774C20"/>
    <w:rsid w:val="007A16B8"/>
    <w:rsid w:val="007A7932"/>
    <w:rsid w:val="007B549A"/>
    <w:rsid w:val="007B761A"/>
    <w:rsid w:val="007C284D"/>
    <w:rsid w:val="007D2529"/>
    <w:rsid w:val="007F313E"/>
    <w:rsid w:val="00805EAF"/>
    <w:rsid w:val="008061D0"/>
    <w:rsid w:val="008160E2"/>
    <w:rsid w:val="008224EF"/>
    <w:rsid w:val="008273BF"/>
    <w:rsid w:val="00833440"/>
    <w:rsid w:val="00867539"/>
    <w:rsid w:val="008743D4"/>
    <w:rsid w:val="00890B39"/>
    <w:rsid w:val="008A0B90"/>
    <w:rsid w:val="008E66DB"/>
    <w:rsid w:val="008F356C"/>
    <w:rsid w:val="0090242D"/>
    <w:rsid w:val="00910E04"/>
    <w:rsid w:val="00915210"/>
    <w:rsid w:val="00921496"/>
    <w:rsid w:val="009411AF"/>
    <w:rsid w:val="00942832"/>
    <w:rsid w:val="00942BC4"/>
    <w:rsid w:val="009511E3"/>
    <w:rsid w:val="0095258D"/>
    <w:rsid w:val="00972A1B"/>
    <w:rsid w:val="0097397E"/>
    <w:rsid w:val="00981960"/>
    <w:rsid w:val="009B22C1"/>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41189"/>
    <w:rsid w:val="00A626B4"/>
    <w:rsid w:val="00A64861"/>
    <w:rsid w:val="00A65866"/>
    <w:rsid w:val="00A80CE3"/>
    <w:rsid w:val="00A92567"/>
    <w:rsid w:val="00A96935"/>
    <w:rsid w:val="00AA0B5F"/>
    <w:rsid w:val="00AC3E79"/>
    <w:rsid w:val="00AE3FEC"/>
    <w:rsid w:val="00AF2897"/>
    <w:rsid w:val="00B02FC9"/>
    <w:rsid w:val="00B11D05"/>
    <w:rsid w:val="00B155AC"/>
    <w:rsid w:val="00B34757"/>
    <w:rsid w:val="00B71035"/>
    <w:rsid w:val="00B9724F"/>
    <w:rsid w:val="00B977E3"/>
    <w:rsid w:val="00BB3AE7"/>
    <w:rsid w:val="00BC1A4C"/>
    <w:rsid w:val="00BC6B34"/>
    <w:rsid w:val="00BD6F5C"/>
    <w:rsid w:val="00BF155F"/>
    <w:rsid w:val="00C03A81"/>
    <w:rsid w:val="00C05BF6"/>
    <w:rsid w:val="00C44538"/>
    <w:rsid w:val="00C45F61"/>
    <w:rsid w:val="00C5015F"/>
    <w:rsid w:val="00C774C7"/>
    <w:rsid w:val="00C84A1F"/>
    <w:rsid w:val="00C85B57"/>
    <w:rsid w:val="00CA069C"/>
    <w:rsid w:val="00CA06CE"/>
    <w:rsid w:val="00CA133A"/>
    <w:rsid w:val="00CA5164"/>
    <w:rsid w:val="00CC4876"/>
    <w:rsid w:val="00CC5054"/>
    <w:rsid w:val="00CD1195"/>
    <w:rsid w:val="00CF2E12"/>
    <w:rsid w:val="00D36492"/>
    <w:rsid w:val="00D40F6C"/>
    <w:rsid w:val="00DA7B09"/>
    <w:rsid w:val="00DC203D"/>
    <w:rsid w:val="00DC32F3"/>
    <w:rsid w:val="00E0278A"/>
    <w:rsid w:val="00E05E9A"/>
    <w:rsid w:val="00E1095C"/>
    <w:rsid w:val="00E13836"/>
    <w:rsid w:val="00E2632F"/>
    <w:rsid w:val="00E42977"/>
    <w:rsid w:val="00E609DF"/>
    <w:rsid w:val="00E7128C"/>
    <w:rsid w:val="00E95400"/>
    <w:rsid w:val="00EA082D"/>
    <w:rsid w:val="00ED77A0"/>
    <w:rsid w:val="00EE18E5"/>
    <w:rsid w:val="00F01864"/>
    <w:rsid w:val="00F21B9E"/>
    <w:rsid w:val="00F86D39"/>
    <w:rsid w:val="00FC0008"/>
    <w:rsid w:val="00FC3862"/>
    <w:rsid w:val="00FD1634"/>
    <w:rsid w:val="00FD52CD"/>
    <w:rsid w:val="00FE5C80"/>
    <w:rsid w:val="03525CB3"/>
    <w:rsid w:val="038A0BB1"/>
    <w:rsid w:val="051842E3"/>
    <w:rsid w:val="05E642CD"/>
    <w:rsid w:val="07B70A9C"/>
    <w:rsid w:val="10B65D95"/>
    <w:rsid w:val="113D4340"/>
    <w:rsid w:val="13C620D3"/>
    <w:rsid w:val="157901A5"/>
    <w:rsid w:val="19BB1252"/>
    <w:rsid w:val="1AEC1E2D"/>
    <w:rsid w:val="1C101EE6"/>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eastAsia="宋体"/>
      <w:sz w:val="18"/>
      <w:szCs w:val="18"/>
    </w:rPr>
  </w:style>
  <w:style w:type="paragraph" w:styleId="3">
    <w:name w:val="annotation text"/>
    <w:basedOn w:val="1"/>
    <w:link w:val="22"/>
    <w:qFormat/>
    <w:uiPriority w:val="0"/>
    <w:pPr>
      <w:jc w:val="left"/>
    </w:pPr>
    <w:rPr>
      <w:rFonts w:ascii="Times New Roman" w:hAnsi="Times New Roman" w:eastAsia="宋体" w:cs="Times New Roman"/>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rPr>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uiPriority w:val="99"/>
    <w:rPr>
      <w:color w:val="0000FF"/>
      <w:u w:val="single"/>
    </w:rPr>
  </w:style>
  <w:style w:type="character" w:styleId="12">
    <w:name w:val="annotation reference"/>
    <w:qFormat/>
    <w:uiPriority w:val="0"/>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文档结构图 字符"/>
    <w:basedOn w:val="10"/>
    <w:link w:val="2"/>
    <w:semiHidden/>
    <w:qFormat/>
    <w:uiPriority w:val="99"/>
    <w:rPr>
      <w:rFonts w:ascii="宋体" w:eastAsia="宋体"/>
      <w:sz w:val="18"/>
      <w:szCs w:val="18"/>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段 Char"/>
    <w:basedOn w:val="10"/>
    <w:link w:val="17"/>
    <w:qFormat/>
    <w:uiPriority w:val="0"/>
    <w:rPr>
      <w:rFonts w:ascii="宋体" w:hAnsi="Times New Roman" w:eastAsia="宋体" w:cs="Times New Roman"/>
      <w:kern w:val="0"/>
      <w:szCs w:val="20"/>
    </w:rPr>
  </w:style>
  <w:style w:type="paragraph" w:customStyle="1" w:styleId="19">
    <w:name w:val="三级无"/>
    <w:basedOn w:val="1"/>
    <w:qFormat/>
    <w:uiPriority w:val="0"/>
    <w:pPr>
      <w:widowControl/>
      <w:jc w:val="left"/>
      <w:outlineLvl w:val="4"/>
    </w:pPr>
    <w:rPr>
      <w:rFonts w:ascii="宋体" w:hAnsi="Times New Roman" w:eastAsia="宋体" w:cs="Times New Roman"/>
      <w:kern w:val="0"/>
      <w:szCs w:val="21"/>
    </w:rPr>
  </w:style>
  <w:style w:type="paragraph" w:customStyle="1" w:styleId="20">
    <w:name w:val="二级条标题"/>
    <w:basedOn w:val="1"/>
    <w:next w:val="17"/>
    <w:qFormat/>
    <w:uiPriority w:val="0"/>
    <w:pPr>
      <w:widowControl/>
      <w:spacing w:beforeLines="50" w:afterLines="50"/>
      <w:jc w:val="left"/>
      <w:outlineLvl w:val="3"/>
    </w:pPr>
    <w:rPr>
      <w:rFonts w:ascii="黑体" w:hAnsi="Times New Roman" w:eastAsia="黑体" w:cs="Times New Roman"/>
      <w:kern w:val="0"/>
      <w:szCs w:val="21"/>
    </w:rPr>
  </w:style>
  <w:style w:type="character" w:customStyle="1" w:styleId="21">
    <w:name w:val="批注框文本 字符"/>
    <w:basedOn w:val="10"/>
    <w:link w:val="4"/>
    <w:semiHidden/>
    <w:qFormat/>
    <w:uiPriority w:val="99"/>
    <w:rPr>
      <w:kern w:val="2"/>
      <w:sz w:val="18"/>
      <w:szCs w:val="18"/>
    </w:rPr>
  </w:style>
  <w:style w:type="character" w:customStyle="1" w:styleId="22">
    <w:name w:val="批注文字 字符"/>
    <w:basedOn w:val="10"/>
    <w:link w:val="3"/>
    <w:qFormat/>
    <w:uiPriority w:val="0"/>
    <w:rPr>
      <w:rFonts w:ascii="Times New Roman" w:hAnsi="Times New Roman" w:eastAsia="宋体" w:cs="Times New Roman"/>
      <w:kern w:val="2"/>
      <w:sz w:val="21"/>
      <w:szCs w:val="24"/>
    </w:rPr>
  </w:style>
  <w:style w:type="character" w:customStyle="1" w:styleId="23">
    <w:name w:val="font11"/>
    <w:basedOn w:val="10"/>
    <w:uiPriority w:val="0"/>
    <w:rPr>
      <w:rFonts w:hint="eastAsia" w:ascii="宋体" w:hAnsi="宋体" w:eastAsia="宋体" w:cs="宋体"/>
      <w:color w:val="000000"/>
      <w:sz w:val="28"/>
      <w:szCs w:val="28"/>
      <w:u w:val="none"/>
    </w:rPr>
  </w:style>
  <w:style w:type="character" w:customStyle="1" w:styleId="24">
    <w:name w:val="font21"/>
    <w:basedOn w:val="10"/>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5FCE-C587-4699-A42C-A4B6F58F5F24}">
  <ds:schemaRefs/>
</ds:datastoreItem>
</file>

<file path=docProps/app.xml><?xml version="1.0" encoding="utf-8"?>
<Properties xmlns="http://schemas.openxmlformats.org/officeDocument/2006/extended-properties" xmlns:vt="http://schemas.openxmlformats.org/officeDocument/2006/docPropsVTypes">
  <Template>Normal</Template>
  <Pages>9</Pages>
  <Words>4405</Words>
  <Characters>4772</Characters>
  <Lines>35</Lines>
  <Paragraphs>9</Paragraphs>
  <TotalTime>6</TotalTime>
  <ScaleCrop>false</ScaleCrop>
  <LinksUpToDate>false</LinksUpToDate>
  <CharactersWithSpaces>4799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2023-07-10T00:50:00Z</dcterms:created>
  <dc:creator>user</dc:creator>
  <cp:lastModifiedBy>FL·yang</cp:lastModifiedBy>
  <cp:lastPrinted>2022-04-20T09:40:00Z</cp:lastPrinted>
  <dcterms:modified xsi:type="dcterms:W3CDTF">2025-04-14T06:26:25Z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D5B80849352344879DB28124E9215460_13</vt:lpwstr>
  </property>
  <property fmtid="{D5CDD505-2E9C-101B-9397-08002B2CF9AE}" pid="4" name="KSOTemplateDocerSaveRecord">
    <vt:lpwstr>eyJoZGlkIjoiNzg3NmQ5NzJkYWUzODUxZmI0ZGYwNDg2ZjY5ZjdjNDciLCJ1c2VySWQiOiIzNTU1NDMzMTUifQ==</vt:lpwstr>
  </property>
</Properties>
</file>