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ADE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E2A06A1">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D4D55B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91.060.50</w:t>
            </w:r>
            <w:r>
              <w:rPr>
                <w:rFonts w:ascii="黑体" w:hAnsi="黑体" w:eastAsia="黑体"/>
                <w:sz w:val="21"/>
                <w:szCs w:val="21"/>
              </w:rPr>
              <w:fldChar w:fldCharType="end"/>
            </w:r>
            <w:bookmarkEnd w:id="0"/>
          </w:p>
        </w:tc>
      </w:tr>
      <w:tr w14:paraId="5049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38CC47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016291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A58EA01">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1D33337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01</w:t>
            </w:r>
            <w:r>
              <w:rPr>
                <w:rFonts w:ascii="黑体" w:hAnsi="黑体" w:eastAsia="黑体"/>
                <w:sz w:val="21"/>
                <w:szCs w:val="21"/>
              </w:rPr>
              <w:fldChar w:fldCharType="end"/>
            </w:r>
            <w:bookmarkEnd w:id="2"/>
          </w:p>
        </w:tc>
      </w:tr>
    </w:tbl>
    <w:p w14:paraId="28E95FB9">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C0A118E">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495023CA">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279E6DC">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99A3DAB">
      <w:pPr>
        <w:pStyle w:val="50"/>
        <w:framePr w:w="9639" w:h="6976" w:hRule="exact" w:hSpace="0" w:vSpace="0" w:wrap="around" w:hAnchor="page" w:y="6408"/>
        <w:jc w:val="center"/>
        <w:rPr>
          <w:rFonts w:hint="eastAsia" w:ascii="黑体" w:hAnsi="黑体" w:eastAsia="黑体"/>
          <w:b w:val="0"/>
          <w:bCs w:val="0"/>
          <w:w w:val="100"/>
        </w:rPr>
      </w:pPr>
    </w:p>
    <w:p w14:paraId="6D3CA85A">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绿色低碳建筑门窗工程施工技术规范</w:t>
      </w:r>
      <w:r>
        <w:fldChar w:fldCharType="end"/>
      </w:r>
      <w:bookmarkEnd w:id="9"/>
    </w:p>
    <w:p w14:paraId="4B137FBA">
      <w:pPr>
        <w:framePr w:w="9639" w:h="6974" w:hRule="exact" w:wrap="around" w:vAnchor="page" w:hAnchor="page" w:x="1419" w:y="6408" w:anchorLock="1"/>
        <w:ind w:left="-1418"/>
      </w:pPr>
    </w:p>
    <w:p w14:paraId="4617E64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Green low carbon building door and window engineering construction technical code</w:t>
      </w:r>
      <w:r>
        <w:rPr>
          <w:rFonts w:eastAsia="黑体"/>
          <w:szCs w:val="28"/>
        </w:rPr>
        <w:fldChar w:fldCharType="end"/>
      </w:r>
      <w:bookmarkEnd w:id="10"/>
    </w:p>
    <w:p w14:paraId="1DEAE8BF">
      <w:pPr>
        <w:framePr w:w="9639" w:h="6974" w:hRule="exact" w:wrap="around" w:vAnchor="page" w:hAnchor="page" w:x="1419" w:y="6408" w:anchorLock="1"/>
        <w:spacing w:line="760" w:lineRule="exact"/>
        <w:ind w:left="-1418"/>
      </w:pPr>
    </w:p>
    <w:p w14:paraId="57EFB9E2">
      <w:pPr>
        <w:pStyle w:val="125"/>
        <w:framePr w:w="9639" w:h="6974" w:hRule="exact" w:wrap="around" w:vAnchor="page" w:hAnchor="page" w:x="1419" w:y="6408" w:anchorLock="1"/>
        <w:textAlignment w:val="bottom"/>
        <w:rPr>
          <w:rFonts w:eastAsia="黑体"/>
          <w:szCs w:val="28"/>
        </w:rPr>
      </w:pPr>
    </w:p>
    <w:p w14:paraId="22BAEC6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80C8C2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4689DD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C7CF30B">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084929D">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8F94B8D">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ED45B1B">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AA9E478">
      <w:pPr>
        <w:pStyle w:val="91"/>
        <w:spacing w:after="360"/>
        <w:rPr>
          <w:rFonts w:hint="eastAsia"/>
        </w:rPr>
      </w:pPr>
      <w:bookmarkStart w:id="21" w:name="BookMark1"/>
      <w:bookmarkStart w:id="22" w:name="_Toc192773920"/>
      <w:r>
        <w:rPr>
          <w:rFonts w:hint="eastAsia"/>
          <w:spacing w:val="320"/>
        </w:rPr>
        <w:t>目</w:t>
      </w:r>
      <w:r>
        <w:rPr>
          <w:rFonts w:hint="eastAsia"/>
        </w:rPr>
        <w:t>次</w:t>
      </w:r>
    </w:p>
    <w:p w14:paraId="04C45632">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"_Toc192774057"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_Toc192774057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7B2B78D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"_Toc192774058"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_Toc192774058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DC8485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"_Toc192774059"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_Toc192774059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78C294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"_Toc192774060"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_Toc192774060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717F29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"_Toc192774061" </w:instrText>
      </w:r>
      <w:r>
        <w:fldChar w:fldCharType="separate"/>
      </w:r>
      <w:r>
        <w:rPr>
          <w:rStyle w:val="32"/>
          <w:rFonts w:ascii="Times New Roman"/>
        </w:rPr>
        <w:t>4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_Toc192774061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CC353D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"_Toc192774062" </w:instrText>
      </w:r>
      <w:r>
        <w:fldChar w:fldCharType="separate"/>
      </w:r>
      <w:r>
        <w:rPr>
          <w:rStyle w:val="32"/>
          <w:rFonts w:ascii="Times New Roman"/>
        </w:rPr>
        <w:t>5  材料与构件要求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_Toc192774062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C75359B">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"_Toc192774063" </w:instrText>
      </w:r>
      <w:r>
        <w:fldChar w:fldCharType="separate"/>
      </w:r>
      <w:r>
        <w:rPr>
          <w:rStyle w:val="32"/>
          <w:rFonts w:ascii="Times New Roman"/>
        </w:rPr>
        <w:t>6  施工工艺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_Toc192774063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5796399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"_Toc192774064" </w:instrText>
      </w:r>
      <w:r>
        <w:fldChar w:fldCharType="separate"/>
      </w:r>
      <w:r>
        <w:rPr>
          <w:rStyle w:val="32"/>
          <w:rFonts w:ascii="Times New Roman"/>
        </w:rPr>
        <w:t>7  质量控制与验收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_Toc192774064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392B941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"_Toc192774065" </w:instrText>
      </w:r>
      <w:r>
        <w:fldChar w:fldCharType="separate"/>
      </w:r>
      <w:r>
        <w:rPr>
          <w:rStyle w:val="32"/>
          <w:rFonts w:ascii="Times New Roman"/>
        </w:rPr>
        <w:t>8  安全与环保管理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_Toc192774065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59C9B03C">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16F4617E">
      <w:pPr>
        <w:pStyle w:val="89"/>
        <w:spacing w:before="900" w:after="360"/>
        <w:rPr>
          <w:rFonts w:ascii="Times New Roman"/>
        </w:rPr>
      </w:pPr>
      <w:bookmarkStart w:id="23" w:name="_Toc192774057"/>
      <w:bookmarkStart w:id="24" w:name="BookMark2"/>
      <w:r>
        <w:rPr>
          <w:rFonts w:ascii="Times New Roman"/>
          <w:spacing w:val="320"/>
        </w:rPr>
        <w:t>前</w:t>
      </w:r>
      <w:r>
        <w:rPr>
          <w:rFonts w:ascii="Times New Roman"/>
        </w:rPr>
        <w:t>言</w:t>
      </w:r>
      <w:bookmarkEnd w:id="22"/>
      <w:bookmarkEnd w:id="23"/>
    </w:p>
    <w:p w14:paraId="1ECCBBB5">
      <w:pPr>
        <w:pStyle w:val="56"/>
        <w:ind w:firstLine="420"/>
        <w:rPr>
          <w:rFonts w:ascii="Times New Roman"/>
        </w:rPr>
      </w:pPr>
      <w:r>
        <w:rPr>
          <w:rFonts w:ascii="Times New Roman"/>
        </w:rPr>
        <w:t>本文件按照GB/T 1.1—2020《标准化工作导则  第1部分：标准化文件的结构和起草规则》的规定起草。</w:t>
      </w:r>
    </w:p>
    <w:p w14:paraId="3BC42212">
      <w:pPr>
        <w:pStyle w:val="56"/>
        <w:ind w:firstLine="420"/>
        <w:rPr>
          <w:rFonts w:ascii="Times New Roman"/>
        </w:rPr>
      </w:pPr>
      <w:r>
        <w:rPr>
          <w:rFonts w:ascii="Times New Roman"/>
        </w:rPr>
        <w:t>请注意本文件的某些内容可能涉及专利。本文件的发布机构不承担识别专利的责任。</w:t>
      </w:r>
    </w:p>
    <w:p w14:paraId="66EAB8A1">
      <w:pPr>
        <w:pStyle w:val="56"/>
        <w:ind w:firstLine="420"/>
        <w:rPr>
          <w:rFonts w:ascii="Times New Roman"/>
        </w:rPr>
      </w:pPr>
      <w:r>
        <w:rPr>
          <w:rFonts w:ascii="Times New Roman"/>
        </w:rPr>
        <w:t>本文件由</w:t>
      </w:r>
      <w:r>
        <w:rPr>
          <w:rFonts w:hint="eastAsia" w:ascii="Times New Roman"/>
        </w:rPr>
        <w:t>浙江德光建筑工程有限公司</w:t>
      </w:r>
      <w:r>
        <w:rPr>
          <w:rFonts w:ascii="Times New Roman"/>
        </w:rPr>
        <w:t>提出。</w:t>
      </w:r>
    </w:p>
    <w:p w14:paraId="571C9749">
      <w:pPr>
        <w:pStyle w:val="56"/>
        <w:ind w:firstLine="420"/>
        <w:rPr>
          <w:rFonts w:ascii="Times New Roman"/>
        </w:rPr>
      </w:pPr>
      <w:r>
        <w:rPr>
          <w:rFonts w:ascii="Times New Roman"/>
        </w:rPr>
        <w:t>本文件由</w:t>
      </w:r>
      <w:r>
        <w:rPr>
          <w:rFonts w:hint="eastAsia" w:ascii="Times New Roman"/>
          <w:lang w:eastAsia="zh-CN"/>
        </w:rPr>
        <w:t>中国中小企业协会</w:t>
      </w:r>
      <w:r>
        <w:rPr>
          <w:rFonts w:ascii="Times New Roman"/>
        </w:rPr>
        <w:t>归口。</w:t>
      </w:r>
    </w:p>
    <w:p w14:paraId="285D216B">
      <w:pPr>
        <w:pStyle w:val="56"/>
        <w:ind w:firstLine="420"/>
        <w:rPr>
          <w:rFonts w:hint="eastAsia" w:ascii="Times New Roman" w:eastAsia="宋体"/>
          <w:lang w:eastAsia="zh-CN"/>
        </w:rPr>
      </w:pPr>
      <w:r>
        <w:rPr>
          <w:rFonts w:ascii="Times New Roman"/>
        </w:rPr>
        <w:t>本文件起草单位：</w:t>
      </w:r>
      <w:r>
        <w:rPr>
          <w:rFonts w:hint="eastAsia" w:ascii="Times New Roman"/>
        </w:rPr>
        <w:t>浙江德光建筑工程有限公司</w:t>
      </w:r>
      <w:r>
        <w:rPr>
          <w:rFonts w:hint="eastAsia" w:ascii="Times New Roman"/>
          <w:lang w:eastAsia="zh-CN"/>
        </w:rPr>
        <w:t>。</w:t>
      </w:r>
    </w:p>
    <w:p w14:paraId="30189C92">
      <w:pPr>
        <w:pStyle w:val="56"/>
        <w:ind w:firstLine="420"/>
        <w:rPr>
          <w:rFonts w:ascii="Times New Roman"/>
        </w:rPr>
      </w:pPr>
      <w:r>
        <w:rPr>
          <w:rFonts w:ascii="Times New Roman"/>
        </w:rPr>
        <w:t>本文件主要起草人：</w:t>
      </w:r>
      <w:bookmarkStart w:id="66" w:name="_GoBack"/>
      <w:bookmarkEnd w:id="66"/>
    </w:p>
    <w:p w14:paraId="4E30158D">
      <w:pPr>
        <w:pStyle w:val="56"/>
        <w:ind w:firstLine="420"/>
        <w:rPr>
          <w:rFonts w:ascii="Times New Roman"/>
        </w:rPr>
      </w:pPr>
    </w:p>
    <w:p w14:paraId="1E84C691">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4"/>
    <w:p w14:paraId="73B7F073">
      <w:pPr>
        <w:spacing w:line="20" w:lineRule="exact"/>
        <w:jc w:val="center"/>
        <w:rPr>
          <w:rFonts w:ascii="Times New Roman" w:hAnsi="Times New Roman" w:eastAsia="黑体"/>
          <w:sz w:val="32"/>
          <w:szCs w:val="32"/>
        </w:rPr>
      </w:pPr>
      <w:bookmarkStart w:id="25" w:name="BookMark4"/>
    </w:p>
    <w:p w14:paraId="72905D37">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84E407B1AD0E44BAAB07E81ABCCC7705"/>
        </w:placeholder>
      </w:sdtPr>
      <w:sdtEndPr>
        <w:rPr>
          <w:rFonts w:ascii="Times New Roman" w:hAnsi="Times New Roman"/>
        </w:rPr>
      </w:sdtEndPr>
      <w:sdtContent>
        <w:p w14:paraId="2755077C">
          <w:pPr>
            <w:pStyle w:val="177"/>
            <w:spacing w:before="2" w:beforeLines="1" w:after="528" w:afterLines="220"/>
            <w:rPr>
              <w:rFonts w:ascii="Times New Roman" w:hAnsi="Times New Roman"/>
            </w:rPr>
          </w:pPr>
          <w:bookmarkStart w:id="26" w:name="_Hlk192778833"/>
          <w:bookmarkStart w:id="27" w:name="NEW_STAND_NAME"/>
          <w:r>
            <w:rPr>
              <w:rFonts w:ascii="Times New Roman" w:hAnsi="Times New Roman"/>
            </w:rPr>
            <w:t>绿色低碳建筑门窗工程施工技术规范</w:t>
          </w:r>
        </w:p>
      </w:sdtContent>
    </w:sdt>
    <w:bookmarkEnd w:id="26"/>
    <w:bookmarkEnd w:id="27"/>
    <w:p w14:paraId="040CE74F">
      <w:pPr>
        <w:pStyle w:val="104"/>
        <w:spacing w:before="240" w:after="240"/>
        <w:rPr>
          <w:rFonts w:ascii="Times New Roman"/>
        </w:rPr>
      </w:pPr>
      <w:bookmarkStart w:id="28" w:name="_Toc192773921"/>
      <w:bookmarkStart w:id="29" w:name="_Toc17233333"/>
      <w:bookmarkStart w:id="30" w:name="_Toc26986771"/>
      <w:bookmarkStart w:id="31" w:name="_Toc26718930"/>
      <w:bookmarkStart w:id="32" w:name="_Toc24884211"/>
      <w:bookmarkStart w:id="33" w:name="_Toc192774058"/>
      <w:bookmarkStart w:id="34" w:name="_Toc26648465"/>
      <w:bookmarkStart w:id="35" w:name="_Toc17233325"/>
      <w:bookmarkStart w:id="36" w:name="_Toc24884218"/>
      <w:bookmarkStart w:id="37" w:name="_Toc97192964"/>
      <w:bookmarkStart w:id="38" w:name="_Toc26986530"/>
      <w:bookmarkStart w:id="39" w:name="_Hlk192778948"/>
      <w:r>
        <w:rPr>
          <w:rFonts w:ascii="Times New Roman"/>
        </w:rPr>
        <w:t>范围</w:t>
      </w:r>
      <w:bookmarkEnd w:id="28"/>
      <w:bookmarkEnd w:id="29"/>
      <w:bookmarkEnd w:id="30"/>
      <w:bookmarkEnd w:id="31"/>
      <w:bookmarkEnd w:id="32"/>
      <w:bookmarkEnd w:id="33"/>
      <w:bookmarkEnd w:id="34"/>
      <w:bookmarkEnd w:id="35"/>
      <w:bookmarkEnd w:id="36"/>
      <w:bookmarkEnd w:id="37"/>
      <w:bookmarkEnd w:id="38"/>
    </w:p>
    <w:p w14:paraId="4C9511A0">
      <w:pPr>
        <w:pStyle w:val="56"/>
        <w:ind w:firstLine="420"/>
        <w:rPr>
          <w:rFonts w:ascii="Times New Roman"/>
        </w:rPr>
      </w:pPr>
      <w:bookmarkStart w:id="40" w:name="_Toc24884212"/>
      <w:bookmarkStart w:id="41" w:name="_Toc17233326"/>
      <w:bookmarkStart w:id="42" w:name="_Toc24884219"/>
      <w:bookmarkStart w:id="43" w:name="_Toc17233334"/>
      <w:bookmarkStart w:id="44" w:name="_Toc26648466"/>
      <w:r>
        <w:rPr>
          <w:rFonts w:ascii="Times New Roman"/>
        </w:rPr>
        <w:t>本文件规定了绿色低碳建筑门窗工程施工的术语和定义、基本要求、材料与构件要求、施工工艺、质量控制与验收、安全与环保管理。</w:t>
      </w:r>
    </w:p>
    <w:p w14:paraId="7E126B35">
      <w:pPr>
        <w:pStyle w:val="56"/>
        <w:ind w:firstLine="420"/>
        <w:rPr>
          <w:rFonts w:ascii="Times New Roman"/>
        </w:rPr>
      </w:pPr>
      <w:r>
        <w:rPr>
          <w:rFonts w:ascii="Times New Roman"/>
        </w:rPr>
        <w:t>本文件适用于绿色低碳建筑门窗工程的施工。</w:t>
      </w:r>
    </w:p>
    <w:p w14:paraId="23A7C239">
      <w:pPr>
        <w:pStyle w:val="104"/>
        <w:spacing w:before="240" w:after="240"/>
        <w:rPr>
          <w:rFonts w:ascii="Times New Roman"/>
        </w:rPr>
      </w:pPr>
      <w:bookmarkStart w:id="45" w:name="_Toc26718931"/>
      <w:bookmarkStart w:id="46" w:name="_Toc26986531"/>
      <w:bookmarkStart w:id="47" w:name="_Toc192774059"/>
      <w:bookmarkStart w:id="48" w:name="_Toc97192965"/>
      <w:bookmarkStart w:id="49" w:name="_Toc26986772"/>
      <w:bookmarkStart w:id="50" w:name="_Toc192773922"/>
      <w:r>
        <w:rPr>
          <w:rFonts w:ascii="Times New Roman"/>
        </w:rPr>
        <w:t>规范性引用文件</w:t>
      </w:r>
      <w:bookmarkEnd w:id="40"/>
      <w:bookmarkEnd w:id="41"/>
      <w:bookmarkEnd w:id="42"/>
      <w:bookmarkEnd w:id="43"/>
      <w:bookmarkEnd w:id="44"/>
      <w:bookmarkEnd w:id="45"/>
      <w:bookmarkEnd w:id="46"/>
      <w:bookmarkEnd w:id="47"/>
      <w:bookmarkEnd w:id="48"/>
      <w:bookmarkEnd w:id="49"/>
      <w:bookmarkEnd w:id="50"/>
    </w:p>
    <w:sdt>
      <w:sdtPr>
        <w:rPr>
          <w:rFonts w:ascii="Times New Roman"/>
        </w:rPr>
        <w:id w:val="715848253"/>
        <w:placeholder>
          <w:docPart w:val="5782674214214ED1A7EF94CD24BC90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75D2C2D2">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AD7AB5">
      <w:pPr>
        <w:pStyle w:val="56"/>
        <w:ind w:firstLine="420"/>
        <w:rPr>
          <w:rFonts w:ascii="Times New Roman"/>
        </w:rPr>
      </w:pPr>
      <w:r>
        <w:rPr>
          <w:rFonts w:ascii="Times New Roman"/>
        </w:rPr>
        <w:t>GB/T 7106 建筑外门窗气密、水密、抗风压性能检测方法</w:t>
      </w:r>
    </w:p>
    <w:p w14:paraId="149C1230">
      <w:pPr>
        <w:pStyle w:val="56"/>
        <w:ind w:firstLine="420"/>
        <w:rPr>
          <w:rFonts w:ascii="Times New Roman"/>
        </w:rPr>
      </w:pPr>
      <w:r>
        <w:rPr>
          <w:rFonts w:ascii="Times New Roman"/>
        </w:rPr>
        <w:t>GB/T 8478 铝合金门窗</w:t>
      </w:r>
    </w:p>
    <w:p w14:paraId="6188818E">
      <w:pPr>
        <w:pStyle w:val="56"/>
        <w:ind w:firstLine="420"/>
        <w:rPr>
          <w:rFonts w:ascii="Times New Roman"/>
        </w:rPr>
      </w:pPr>
      <w:r>
        <w:rPr>
          <w:rFonts w:ascii="Times New Roman"/>
        </w:rPr>
        <w:t>GB/T 11944 中空玻璃</w:t>
      </w:r>
    </w:p>
    <w:p w14:paraId="4A305720">
      <w:pPr>
        <w:pStyle w:val="56"/>
        <w:ind w:firstLine="420"/>
        <w:rPr>
          <w:rFonts w:ascii="Times New Roman"/>
        </w:rPr>
      </w:pPr>
      <w:r>
        <w:rPr>
          <w:rFonts w:ascii="Times New Roman"/>
        </w:rPr>
        <w:t>GB 15763.2 建筑用安全玻璃 第2部分：钢化玻璃</w:t>
      </w:r>
    </w:p>
    <w:p w14:paraId="35F47EE8">
      <w:pPr>
        <w:pStyle w:val="56"/>
        <w:ind w:firstLine="420"/>
        <w:rPr>
          <w:rFonts w:ascii="Times New Roman"/>
        </w:rPr>
      </w:pPr>
      <w:r>
        <w:rPr>
          <w:rFonts w:ascii="Times New Roman"/>
        </w:rPr>
        <w:t>GB 16776 建筑用硅酮结构密封胶</w:t>
      </w:r>
    </w:p>
    <w:p w14:paraId="504940A7">
      <w:pPr>
        <w:pStyle w:val="56"/>
        <w:ind w:firstLine="420"/>
        <w:rPr>
          <w:rFonts w:ascii="Times New Roman"/>
        </w:rPr>
      </w:pPr>
      <w:r>
        <w:rPr>
          <w:rFonts w:ascii="Times New Roman"/>
        </w:rPr>
        <w:t>GB 18580 室内装饰装修材料 人造板及其制品中甲醛释放限量</w:t>
      </w:r>
    </w:p>
    <w:p w14:paraId="1C0A2F47">
      <w:pPr>
        <w:pStyle w:val="56"/>
        <w:ind w:firstLine="420"/>
        <w:rPr>
          <w:rFonts w:ascii="Times New Roman"/>
        </w:rPr>
      </w:pPr>
      <w:r>
        <w:rPr>
          <w:rFonts w:ascii="Times New Roman"/>
        </w:rPr>
        <w:t>GB 50210 建筑装饰装修工程质量验收标准</w:t>
      </w:r>
    </w:p>
    <w:p w14:paraId="4DC4664C">
      <w:pPr>
        <w:pStyle w:val="56"/>
        <w:ind w:firstLine="420"/>
        <w:rPr>
          <w:rFonts w:ascii="Times New Roman"/>
        </w:rPr>
      </w:pPr>
      <w:r>
        <w:rPr>
          <w:rFonts w:ascii="Times New Roman"/>
        </w:rPr>
        <w:t>GB 50325 民用建筑工程室内环境污染控制标准</w:t>
      </w:r>
    </w:p>
    <w:p w14:paraId="448069AE">
      <w:pPr>
        <w:pStyle w:val="56"/>
        <w:ind w:firstLine="420"/>
        <w:rPr>
          <w:rFonts w:ascii="Times New Roman"/>
        </w:rPr>
      </w:pPr>
      <w:r>
        <w:rPr>
          <w:rFonts w:ascii="Times New Roman"/>
        </w:rPr>
        <w:t>GB/T 51366 建筑碳排放计算标准</w:t>
      </w:r>
    </w:p>
    <w:p w14:paraId="36C7554E">
      <w:pPr>
        <w:pStyle w:val="56"/>
        <w:ind w:firstLine="420"/>
        <w:rPr>
          <w:rFonts w:ascii="Times New Roman"/>
        </w:rPr>
      </w:pPr>
      <w:r>
        <w:rPr>
          <w:rFonts w:ascii="Times New Roman"/>
        </w:rPr>
        <w:t>JG/T 571 玻纤增强聚氨酯节能门窗</w:t>
      </w:r>
    </w:p>
    <w:p w14:paraId="1743CD1E">
      <w:pPr>
        <w:pStyle w:val="56"/>
        <w:ind w:firstLine="420"/>
        <w:rPr>
          <w:rFonts w:ascii="Times New Roman"/>
        </w:rPr>
      </w:pPr>
      <w:r>
        <w:rPr>
          <w:rFonts w:ascii="Times New Roman"/>
        </w:rPr>
        <w:t>JGJ/T 205 建筑门窗工程检测技术规程</w:t>
      </w:r>
    </w:p>
    <w:p w14:paraId="6B61993F">
      <w:pPr>
        <w:pStyle w:val="104"/>
        <w:spacing w:before="240" w:after="240"/>
        <w:rPr>
          <w:rFonts w:ascii="Times New Roman"/>
        </w:rPr>
      </w:pPr>
      <w:bookmarkStart w:id="51" w:name="_Toc192773923"/>
      <w:bookmarkStart w:id="52" w:name="_Toc192774060"/>
      <w:bookmarkStart w:id="53" w:name="_Toc97192966"/>
      <w:r>
        <w:rPr>
          <w:rFonts w:ascii="Times New Roman"/>
          <w:szCs w:val="21"/>
        </w:rPr>
        <w:t>术语和定义</w:t>
      </w:r>
      <w:bookmarkEnd w:id="51"/>
      <w:bookmarkEnd w:id="52"/>
      <w:bookmarkEnd w:id="53"/>
    </w:p>
    <w:sdt>
      <w:sdtPr>
        <w:rPr>
          <w:rFonts w:ascii="Times New Roman"/>
        </w:rPr>
        <w:id w:val="-1909835108"/>
        <w:placeholder>
          <w:docPart w:val="A3740C58FBA4412E8BDCC4B4360C45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1A410950">
          <w:pPr>
            <w:pStyle w:val="56"/>
            <w:ind w:firstLine="420"/>
            <w:rPr>
              <w:rFonts w:ascii="Times New Roman"/>
            </w:rPr>
          </w:pPr>
          <w:bookmarkStart w:id="54" w:name="_Toc26986532"/>
          <w:bookmarkEnd w:id="54"/>
          <w:r>
            <w:rPr>
              <w:rFonts w:ascii="Times New Roman"/>
            </w:rPr>
            <w:t>本文件没有需要界定的术语和定义。</w:t>
          </w:r>
        </w:p>
      </w:sdtContent>
    </w:sdt>
    <w:p w14:paraId="613ACBE3">
      <w:pPr>
        <w:pStyle w:val="104"/>
        <w:spacing w:before="240" w:after="240"/>
        <w:rPr>
          <w:rFonts w:ascii="Times New Roman"/>
        </w:rPr>
      </w:pPr>
      <w:bookmarkStart w:id="55" w:name="_Toc192773924"/>
      <w:bookmarkStart w:id="56" w:name="_Toc192774061"/>
      <w:r>
        <w:rPr>
          <w:rFonts w:ascii="Times New Roman"/>
        </w:rPr>
        <w:t>基本要求</w:t>
      </w:r>
      <w:bookmarkEnd w:id="55"/>
      <w:bookmarkEnd w:id="56"/>
    </w:p>
    <w:p w14:paraId="27ACB8E1">
      <w:pPr>
        <w:pStyle w:val="105"/>
        <w:spacing w:before="120" w:after="120"/>
        <w:rPr>
          <w:rFonts w:ascii="Times New Roman"/>
        </w:rPr>
      </w:pPr>
      <w:r>
        <w:rPr>
          <w:rFonts w:ascii="Times New Roman"/>
        </w:rPr>
        <w:t>绿色低碳原则</w:t>
      </w:r>
    </w:p>
    <w:p w14:paraId="1F80B52C">
      <w:pPr>
        <w:pStyle w:val="165"/>
        <w:rPr>
          <w:rFonts w:ascii="Times New Roman"/>
        </w:rPr>
      </w:pPr>
      <w:r>
        <w:rPr>
          <w:rFonts w:ascii="Times New Roman"/>
        </w:rPr>
        <w:t>门窗工程的全生命周期涵盖材料生产、运输、施工、使用及拆除回收等阶段，应通过优化设计、选用低碳材料、减少施工能耗、延长使用寿命等措施，系统性降低碳排放强度。</w:t>
      </w:r>
    </w:p>
    <w:p w14:paraId="1AD7FDB5">
      <w:pPr>
        <w:pStyle w:val="165"/>
        <w:rPr>
          <w:rFonts w:ascii="Times New Roman"/>
        </w:rPr>
      </w:pPr>
      <w:r>
        <w:rPr>
          <w:rFonts w:ascii="Times New Roman"/>
        </w:rPr>
        <w:t>施工过程应优先采用节能技术及装备，减少能源资源消耗，不应使用高能耗、低效率的落后工艺。施工废弃物应分类回收再利用，回收率不宜低于85%。</w:t>
      </w:r>
    </w:p>
    <w:p w14:paraId="2DFBD815">
      <w:pPr>
        <w:pStyle w:val="165"/>
        <w:rPr>
          <w:rFonts w:ascii="Times New Roman"/>
        </w:rPr>
      </w:pPr>
      <w:r>
        <w:rPr>
          <w:rFonts w:ascii="Times New Roman"/>
        </w:rPr>
        <w:t>施工活动不应对周边生态环境造成污染，严格控制施工噪音、扬尘及有害气体排放。施工废水、固体废弃物应按环保要求处理，避免污染土壤及水体。</w:t>
      </w:r>
    </w:p>
    <w:p w14:paraId="7DE3ABF5">
      <w:pPr>
        <w:pStyle w:val="165"/>
        <w:rPr>
          <w:rFonts w:ascii="Times New Roman"/>
        </w:rPr>
      </w:pPr>
      <w:r>
        <w:rPr>
          <w:rFonts w:ascii="Times New Roman"/>
        </w:rPr>
        <w:t>门窗系统宜采用模块化、标准化设计，便于后期维护、改造及拆卸回收。材料选择应符合可循环利用要求，鼓励采用再生材料或可降解材料。</w:t>
      </w:r>
    </w:p>
    <w:p w14:paraId="2248C846">
      <w:pPr>
        <w:pStyle w:val="105"/>
        <w:spacing w:before="120" w:after="120"/>
        <w:rPr>
          <w:rFonts w:ascii="Times New Roman"/>
        </w:rPr>
      </w:pPr>
      <w:r>
        <w:rPr>
          <w:rFonts w:ascii="Times New Roman"/>
        </w:rPr>
        <w:t>节能与环保性能指标</w:t>
      </w:r>
    </w:p>
    <w:p w14:paraId="7B75F6CF">
      <w:pPr>
        <w:pStyle w:val="65"/>
        <w:spacing w:before="120" w:after="120"/>
        <w:rPr>
          <w:rFonts w:ascii="Times New Roman"/>
        </w:rPr>
      </w:pPr>
      <w:r>
        <w:rPr>
          <w:rFonts w:ascii="Times New Roman"/>
        </w:rPr>
        <w:t>热工性能</w:t>
      </w:r>
    </w:p>
    <w:p w14:paraId="778A5889">
      <w:pPr>
        <w:pStyle w:val="56"/>
        <w:ind w:firstLine="420"/>
        <w:rPr>
          <w:rFonts w:ascii="Times New Roman"/>
        </w:rPr>
      </w:pPr>
      <w:r>
        <w:rPr>
          <w:rFonts w:ascii="Times New Roman"/>
        </w:rPr>
        <w:t>门窗传热系数（K值）应根据建筑气候分区和节能目标确定，严寒及寒冷地区外窗传热系数不宜高于1.2 W/(m²·K)，夏热冬冷地区不宜高于2.0 W/(m²·K)。玻璃宜选用Low-E中空或真空玻璃，间隔层气体宜为氩气或更高性能惰性气体。</w:t>
      </w:r>
    </w:p>
    <w:p w14:paraId="11736AFF">
      <w:pPr>
        <w:pStyle w:val="65"/>
        <w:spacing w:before="120" w:after="120"/>
        <w:rPr>
          <w:rFonts w:ascii="Times New Roman"/>
        </w:rPr>
      </w:pPr>
      <w:r>
        <w:rPr>
          <w:rFonts w:ascii="Times New Roman"/>
        </w:rPr>
        <w:t>气密性能</w:t>
      </w:r>
    </w:p>
    <w:p w14:paraId="13DC696B">
      <w:pPr>
        <w:pStyle w:val="56"/>
        <w:ind w:firstLine="420"/>
        <w:rPr>
          <w:rFonts w:ascii="Times New Roman"/>
        </w:rPr>
      </w:pPr>
      <w:r>
        <w:rPr>
          <w:rFonts w:ascii="Times New Roman"/>
        </w:rPr>
        <w:t>外窗气密性等级不应低于GB/T 7106规定的6级要求，单元式幕墙气密性不应低于3级。施工中应重点管控框扇搭接密封、胶条连续性及节点气密构造。</w:t>
      </w:r>
    </w:p>
    <w:p w14:paraId="09C4EADE">
      <w:pPr>
        <w:pStyle w:val="65"/>
        <w:spacing w:before="120" w:after="120"/>
        <w:rPr>
          <w:rFonts w:ascii="Times New Roman"/>
        </w:rPr>
      </w:pPr>
      <w:r>
        <w:rPr>
          <w:rFonts w:ascii="Times New Roman"/>
        </w:rPr>
        <w:t>光热环境调控</w:t>
      </w:r>
    </w:p>
    <w:p w14:paraId="6272F494">
      <w:pPr>
        <w:pStyle w:val="56"/>
        <w:ind w:firstLine="420"/>
        <w:rPr>
          <w:rFonts w:ascii="Times New Roman"/>
        </w:rPr>
      </w:pPr>
      <w:r>
        <w:rPr>
          <w:rFonts w:ascii="Times New Roman"/>
        </w:rPr>
        <w:t>外窗可见光透射比不宜低于0.4，遮阳系数（SC值）应根据建筑朝向及遮阳需求综合确定。鼓励采用动态遮阳系统或光热智能调控技术，提升自然采光利用率。</w:t>
      </w:r>
    </w:p>
    <w:p w14:paraId="6F1DB8DD">
      <w:pPr>
        <w:pStyle w:val="65"/>
        <w:spacing w:before="120" w:after="120"/>
        <w:rPr>
          <w:rFonts w:ascii="Times New Roman"/>
        </w:rPr>
      </w:pPr>
      <w:r>
        <w:rPr>
          <w:rFonts w:ascii="Times New Roman"/>
        </w:rPr>
        <w:t>环保材料限值</w:t>
      </w:r>
    </w:p>
    <w:p w14:paraId="6249F417">
      <w:pPr>
        <w:pStyle w:val="56"/>
        <w:ind w:firstLine="420"/>
        <w:rPr>
          <w:rFonts w:ascii="Times New Roman"/>
        </w:rPr>
      </w:pPr>
      <w:r>
        <w:rPr>
          <w:rFonts w:ascii="Times New Roman"/>
        </w:rPr>
        <w:t>门窗材料中挥发性有机化合物（VOC）、甲醛等有害物质含量应符合JG/T 571、GB 18580的有关要求。密封胶、涂料等辅料宜通过绿色建材产品认证。</w:t>
      </w:r>
    </w:p>
    <w:p w14:paraId="4A25EF4C">
      <w:pPr>
        <w:pStyle w:val="105"/>
        <w:spacing w:before="120" w:after="120"/>
        <w:rPr>
          <w:rFonts w:ascii="Times New Roman"/>
        </w:rPr>
      </w:pPr>
      <w:r>
        <w:rPr>
          <w:rFonts w:ascii="Times New Roman"/>
        </w:rPr>
        <w:t>材料与资源利用</w:t>
      </w:r>
    </w:p>
    <w:p w14:paraId="16343A25">
      <w:pPr>
        <w:pStyle w:val="65"/>
        <w:spacing w:before="120" w:after="120"/>
        <w:rPr>
          <w:rFonts w:ascii="Times New Roman"/>
        </w:rPr>
      </w:pPr>
      <w:r>
        <w:rPr>
          <w:rFonts w:ascii="Times New Roman"/>
        </w:rPr>
        <w:t>材料低碳化</w:t>
      </w:r>
    </w:p>
    <w:p w14:paraId="6CA76D16">
      <w:pPr>
        <w:pStyle w:val="164"/>
        <w:rPr>
          <w:rFonts w:ascii="Times New Roman"/>
        </w:rPr>
      </w:pPr>
      <w:r>
        <w:rPr>
          <w:rFonts w:ascii="Times New Roman"/>
        </w:rPr>
        <w:t>优先选用再生铝合金、木塑复合型材等高回收率材料，原生铝材使用率不宜超过30%。</w:t>
      </w:r>
    </w:p>
    <w:p w14:paraId="6E10E86A">
      <w:pPr>
        <w:pStyle w:val="164"/>
        <w:rPr>
          <w:rFonts w:ascii="Times New Roman"/>
        </w:rPr>
      </w:pPr>
      <w:r>
        <w:rPr>
          <w:rFonts w:ascii="Times New Roman"/>
        </w:rPr>
        <w:t>推广使用低辐射镀膜（Low-E）玻璃、真空玻璃等高性能产品，不应使用单片非钢化玻璃。</w:t>
      </w:r>
    </w:p>
    <w:p w14:paraId="19B11B6D">
      <w:pPr>
        <w:pStyle w:val="164"/>
        <w:rPr>
          <w:rFonts w:ascii="Times New Roman"/>
        </w:rPr>
      </w:pPr>
      <w:r>
        <w:rPr>
          <w:rFonts w:ascii="Times New Roman"/>
        </w:rPr>
        <w:t>采用三元乙丙橡胶（EPDM）、硅酮胶等耐久性高、无污染产品，禁用含苯类溶剂胶粘剂。</w:t>
      </w:r>
    </w:p>
    <w:p w14:paraId="3A75F43F">
      <w:pPr>
        <w:pStyle w:val="65"/>
        <w:spacing w:before="120" w:after="120"/>
        <w:rPr>
          <w:rFonts w:ascii="Times New Roman"/>
        </w:rPr>
      </w:pPr>
      <w:r>
        <w:rPr>
          <w:rFonts w:ascii="Times New Roman"/>
        </w:rPr>
        <w:t>资源效率提升</w:t>
      </w:r>
    </w:p>
    <w:p w14:paraId="5A27F1F2">
      <w:pPr>
        <w:pStyle w:val="164"/>
        <w:rPr>
          <w:rFonts w:ascii="Times New Roman"/>
        </w:rPr>
      </w:pPr>
      <w:r>
        <w:rPr>
          <w:rFonts w:ascii="Times New Roman"/>
        </w:rPr>
        <w:t>材料损耗率应控制在5%以内，通过BIM技术优化下料方案，减少边角废料产生。</w:t>
      </w:r>
    </w:p>
    <w:p w14:paraId="4979C1AE">
      <w:pPr>
        <w:pStyle w:val="164"/>
        <w:rPr>
          <w:rFonts w:ascii="Times New Roman"/>
        </w:rPr>
      </w:pPr>
      <w:r>
        <w:rPr>
          <w:rFonts w:ascii="Times New Roman"/>
        </w:rPr>
        <w:t>施工临时设施宜采用可重复利用的装配式构件，周转次数不应少于10次。</w:t>
      </w:r>
    </w:p>
    <w:p w14:paraId="5F081836">
      <w:pPr>
        <w:pStyle w:val="65"/>
        <w:spacing w:before="120" w:after="120"/>
        <w:rPr>
          <w:rFonts w:ascii="Times New Roman"/>
        </w:rPr>
      </w:pPr>
      <w:r>
        <w:rPr>
          <w:rFonts w:ascii="Times New Roman"/>
        </w:rPr>
        <w:t>供应链管理</w:t>
      </w:r>
    </w:p>
    <w:p w14:paraId="5495ADF3">
      <w:pPr>
        <w:pStyle w:val="164"/>
        <w:rPr>
          <w:rFonts w:ascii="Times New Roman"/>
        </w:rPr>
      </w:pPr>
      <w:r>
        <w:rPr>
          <w:rFonts w:ascii="Times New Roman"/>
        </w:rPr>
        <w:t>供应商应提供材料碳足迹报告，优先选择通过环境管理体系认证的企业。</w:t>
      </w:r>
    </w:p>
    <w:p w14:paraId="0D3F376B">
      <w:pPr>
        <w:pStyle w:val="164"/>
        <w:rPr>
          <w:rFonts w:ascii="Times New Roman"/>
        </w:rPr>
      </w:pPr>
      <w:r>
        <w:rPr>
          <w:rFonts w:ascii="Times New Roman"/>
        </w:rPr>
        <w:t>运输环节应采用新能源车辆或集装箱化运输，减少物流过程碳排放。</w:t>
      </w:r>
    </w:p>
    <w:p w14:paraId="4D3DCC2D">
      <w:pPr>
        <w:pStyle w:val="105"/>
        <w:spacing w:before="120" w:after="120"/>
        <w:rPr>
          <w:rFonts w:ascii="Times New Roman"/>
        </w:rPr>
      </w:pPr>
      <w:r>
        <w:rPr>
          <w:rFonts w:ascii="Times New Roman"/>
        </w:rPr>
        <w:t>施工过程低碳控制</w:t>
      </w:r>
    </w:p>
    <w:p w14:paraId="6ED970B4">
      <w:pPr>
        <w:pStyle w:val="65"/>
        <w:spacing w:before="120" w:after="120"/>
        <w:rPr>
          <w:rFonts w:ascii="Times New Roman"/>
        </w:rPr>
      </w:pPr>
      <w:r>
        <w:rPr>
          <w:rFonts w:ascii="Times New Roman"/>
        </w:rPr>
        <w:t>施工工艺优化</w:t>
      </w:r>
    </w:p>
    <w:p w14:paraId="26C5ADF1">
      <w:pPr>
        <w:pStyle w:val="164"/>
        <w:rPr>
          <w:rFonts w:ascii="Times New Roman"/>
        </w:rPr>
      </w:pPr>
      <w:r>
        <w:rPr>
          <w:rFonts w:ascii="Times New Roman"/>
        </w:rPr>
        <w:t>采用无尘切割、免焊接组装等清洁工艺，减少粉尘及有害气体排放。</w:t>
      </w:r>
    </w:p>
    <w:p w14:paraId="08AEB678">
      <w:pPr>
        <w:pStyle w:val="164"/>
        <w:rPr>
          <w:rFonts w:ascii="Times New Roman"/>
        </w:rPr>
      </w:pPr>
      <w:r>
        <w:rPr>
          <w:rFonts w:ascii="Times New Roman"/>
        </w:rPr>
        <w:t>推广干法施工技术，降低水资源消耗，施工现场水资源循环利用率不宜低于60%。</w:t>
      </w:r>
    </w:p>
    <w:p w14:paraId="319ACABF">
      <w:pPr>
        <w:pStyle w:val="65"/>
        <w:spacing w:before="120" w:after="120"/>
        <w:rPr>
          <w:rFonts w:ascii="Times New Roman"/>
        </w:rPr>
      </w:pPr>
      <w:r>
        <w:rPr>
          <w:rFonts w:ascii="Times New Roman"/>
        </w:rPr>
        <w:t>能源管理</w:t>
      </w:r>
    </w:p>
    <w:p w14:paraId="1A60E139">
      <w:pPr>
        <w:pStyle w:val="164"/>
        <w:rPr>
          <w:rFonts w:ascii="Times New Roman"/>
        </w:rPr>
      </w:pPr>
      <w:r>
        <w:rPr>
          <w:rFonts w:ascii="Times New Roman"/>
        </w:rPr>
        <w:t>施工用电设备能效等级不应低于2级，临时照明宜采用LED灯具，功率密度值控制在5 W/m²以下。</w:t>
      </w:r>
    </w:p>
    <w:p w14:paraId="11AD0766">
      <w:pPr>
        <w:pStyle w:val="164"/>
        <w:rPr>
          <w:rFonts w:ascii="Times New Roman"/>
        </w:rPr>
      </w:pPr>
      <w:r>
        <w:rPr>
          <w:rFonts w:ascii="Times New Roman"/>
        </w:rPr>
        <w:t>大型设备宜采用电能或氢能驱动，不应使用国三以下排放标准的燃油机械。</w:t>
      </w:r>
    </w:p>
    <w:p w14:paraId="360196AB">
      <w:pPr>
        <w:pStyle w:val="65"/>
        <w:spacing w:before="120" w:after="120"/>
        <w:rPr>
          <w:rFonts w:ascii="Times New Roman"/>
        </w:rPr>
      </w:pPr>
      <w:r>
        <w:rPr>
          <w:rFonts w:ascii="Times New Roman"/>
        </w:rPr>
        <w:t>数字化技术应用</w:t>
      </w:r>
    </w:p>
    <w:p w14:paraId="75FDE3F4">
      <w:pPr>
        <w:pStyle w:val="164"/>
        <w:rPr>
          <w:rFonts w:ascii="Times New Roman"/>
        </w:rPr>
      </w:pPr>
      <w:r>
        <w:rPr>
          <w:rFonts w:ascii="Times New Roman"/>
        </w:rPr>
        <w:t>利用BIM技术模拟安装流程，优化节点构造，减少返工率。</w:t>
      </w:r>
    </w:p>
    <w:p w14:paraId="281EEC92">
      <w:pPr>
        <w:pStyle w:val="164"/>
        <w:rPr>
          <w:rFonts w:ascii="Times New Roman"/>
        </w:rPr>
      </w:pPr>
      <w:r>
        <w:rPr>
          <w:rFonts w:ascii="Times New Roman"/>
        </w:rPr>
        <w:t>通过物联网监测施工能耗及碳排放数据，实现动态管控与持续改进。</w:t>
      </w:r>
    </w:p>
    <w:p w14:paraId="3530D383">
      <w:pPr>
        <w:pStyle w:val="104"/>
        <w:spacing w:before="240" w:after="240"/>
        <w:rPr>
          <w:rFonts w:ascii="Times New Roman"/>
        </w:rPr>
      </w:pPr>
      <w:bookmarkStart w:id="57" w:name="_Toc192773925"/>
      <w:bookmarkStart w:id="58" w:name="_Toc192774062"/>
      <w:r>
        <w:rPr>
          <w:rFonts w:ascii="Times New Roman"/>
        </w:rPr>
        <w:t>材料与构件要求</w:t>
      </w:r>
      <w:bookmarkEnd w:id="57"/>
      <w:bookmarkEnd w:id="58"/>
    </w:p>
    <w:p w14:paraId="2D2F2654">
      <w:pPr>
        <w:pStyle w:val="105"/>
        <w:spacing w:before="120" w:after="120"/>
        <w:rPr>
          <w:rFonts w:ascii="Times New Roman"/>
        </w:rPr>
      </w:pPr>
      <w:r>
        <w:rPr>
          <w:rFonts w:ascii="Times New Roman"/>
        </w:rPr>
        <w:t>材料性能</w:t>
      </w:r>
    </w:p>
    <w:p w14:paraId="04DE20E9">
      <w:pPr>
        <w:pStyle w:val="65"/>
        <w:spacing w:before="120" w:after="120"/>
        <w:rPr>
          <w:rFonts w:ascii="Times New Roman"/>
        </w:rPr>
      </w:pPr>
      <w:r>
        <w:rPr>
          <w:rFonts w:ascii="Times New Roman"/>
        </w:rPr>
        <w:t>型材</w:t>
      </w:r>
    </w:p>
    <w:p w14:paraId="3F29224B">
      <w:pPr>
        <w:pStyle w:val="164"/>
        <w:rPr>
          <w:rFonts w:ascii="Times New Roman"/>
        </w:rPr>
      </w:pPr>
      <w:r>
        <w:rPr>
          <w:rFonts w:ascii="Times New Roman"/>
        </w:rPr>
        <w:t>铝合金型材应符合GB/T 8478的规定，其抗拉强度、硬度及耐腐蚀性应满足设计要求，表面处理宜采用环保型粉末喷涂或氟碳喷涂工艺。</w:t>
      </w:r>
    </w:p>
    <w:p w14:paraId="28156BB1">
      <w:pPr>
        <w:pStyle w:val="164"/>
        <w:rPr>
          <w:rFonts w:ascii="Times New Roman"/>
        </w:rPr>
      </w:pPr>
      <w:r>
        <w:rPr>
          <w:rFonts w:ascii="Times New Roman"/>
        </w:rPr>
        <w:t>木塑复合型材应符合JG/T 571的要求，含水率应控制在8%～12%，线性膨胀率不应超过0.3%。</w:t>
      </w:r>
    </w:p>
    <w:p w14:paraId="58D133F9">
      <w:pPr>
        <w:pStyle w:val="164"/>
        <w:rPr>
          <w:rFonts w:ascii="Times New Roman"/>
        </w:rPr>
      </w:pPr>
      <w:r>
        <w:rPr>
          <w:rFonts w:ascii="Times New Roman"/>
        </w:rPr>
        <w:t>断桥隔热型材的隔热条应采用聚酰胺尼龙（PA66）或同等性能材料，其纵向抗拉强度不应低于80 MPa，并应提供长期耐候性测试报告。</w:t>
      </w:r>
    </w:p>
    <w:p w14:paraId="6CC3CD04">
      <w:pPr>
        <w:pStyle w:val="65"/>
        <w:spacing w:before="120" w:after="120"/>
        <w:rPr>
          <w:rFonts w:ascii="Times New Roman"/>
        </w:rPr>
      </w:pPr>
      <w:r>
        <w:rPr>
          <w:rFonts w:ascii="Times New Roman"/>
        </w:rPr>
        <w:t>玻璃</w:t>
      </w:r>
    </w:p>
    <w:p w14:paraId="5AD8E917">
      <w:pPr>
        <w:pStyle w:val="164"/>
        <w:rPr>
          <w:rFonts w:ascii="Times New Roman"/>
        </w:rPr>
      </w:pPr>
      <w:r>
        <w:rPr>
          <w:rFonts w:ascii="Times New Roman"/>
        </w:rPr>
        <w:t>中空玻璃应符合GB/T 11944的规定，空气层厚度不宜小于12 mm，充惰性气体时初始浓度不应低于90%。</w:t>
      </w:r>
    </w:p>
    <w:p w14:paraId="4E72FD1C">
      <w:pPr>
        <w:pStyle w:val="164"/>
        <w:rPr>
          <w:rFonts w:ascii="Times New Roman"/>
        </w:rPr>
      </w:pPr>
      <w:r>
        <w:rPr>
          <w:rFonts w:ascii="Times New Roman"/>
        </w:rPr>
        <w:t>Low-E玻璃的辐射率应不高于0.15，可见光透射比应符合设计要求，并应提供光学热工参数检测报告。</w:t>
      </w:r>
    </w:p>
    <w:p w14:paraId="2C64E846">
      <w:pPr>
        <w:pStyle w:val="164"/>
        <w:rPr>
          <w:rFonts w:ascii="Times New Roman"/>
        </w:rPr>
      </w:pPr>
      <w:r>
        <w:rPr>
          <w:rFonts w:ascii="Times New Roman"/>
        </w:rPr>
        <w:t>钢化玻璃应满足GB 15763.2的破碎颗粒度要求，自爆率应控制在0.3%以内。</w:t>
      </w:r>
    </w:p>
    <w:p w14:paraId="362F9BBF">
      <w:pPr>
        <w:pStyle w:val="65"/>
        <w:spacing w:before="120" w:after="120"/>
        <w:rPr>
          <w:rFonts w:ascii="Times New Roman"/>
        </w:rPr>
      </w:pPr>
      <w:r>
        <w:rPr>
          <w:rFonts w:ascii="Times New Roman"/>
        </w:rPr>
        <w:t>密封材料</w:t>
      </w:r>
    </w:p>
    <w:p w14:paraId="785C1A2F">
      <w:pPr>
        <w:pStyle w:val="164"/>
        <w:rPr>
          <w:rFonts w:ascii="Times New Roman"/>
        </w:rPr>
      </w:pPr>
      <w:r>
        <w:rPr>
          <w:rFonts w:ascii="Times New Roman"/>
        </w:rPr>
        <w:t>密封胶条宜采用三元乙丙橡胶（EPDM）或硅橡胶，硬度范围宜为50 Shore A～70 Shore A，压缩永久变形率不应大于25%。</w:t>
      </w:r>
    </w:p>
    <w:p w14:paraId="0065866C">
      <w:pPr>
        <w:pStyle w:val="164"/>
        <w:rPr>
          <w:rFonts w:ascii="Times New Roman"/>
        </w:rPr>
      </w:pPr>
      <w:r>
        <w:rPr>
          <w:rFonts w:ascii="Times New Roman"/>
        </w:rPr>
        <w:t>耐候密封胶应符合GB 16776的性能要求，位移能力不应低于±25%，VOC含量应低于50 g/L。</w:t>
      </w:r>
    </w:p>
    <w:p w14:paraId="51E28EC3">
      <w:pPr>
        <w:pStyle w:val="164"/>
        <w:rPr>
          <w:rFonts w:ascii="Times New Roman"/>
        </w:rPr>
      </w:pPr>
      <w:r>
        <w:rPr>
          <w:rFonts w:ascii="Times New Roman"/>
        </w:rPr>
        <w:t>发泡填缝剂应为单组分聚氨酯环保型产品，固化后密度不宜小于15 kg/m³，燃烧性能等级不应低于B1级。</w:t>
      </w:r>
    </w:p>
    <w:p w14:paraId="7B8BAB26">
      <w:pPr>
        <w:pStyle w:val="105"/>
        <w:spacing w:before="120" w:after="120"/>
        <w:rPr>
          <w:rFonts w:ascii="Times New Roman"/>
        </w:rPr>
      </w:pPr>
      <w:r>
        <w:rPr>
          <w:rFonts w:ascii="Times New Roman"/>
        </w:rPr>
        <w:t>材料进场验收</w:t>
      </w:r>
    </w:p>
    <w:p w14:paraId="3831D701">
      <w:pPr>
        <w:pStyle w:val="65"/>
        <w:spacing w:before="120" w:after="120"/>
        <w:rPr>
          <w:rFonts w:ascii="Times New Roman"/>
        </w:rPr>
      </w:pPr>
      <w:r>
        <w:rPr>
          <w:rFonts w:ascii="Times New Roman"/>
        </w:rPr>
        <w:t>文件审查</w:t>
      </w:r>
    </w:p>
    <w:p w14:paraId="2CC21892">
      <w:pPr>
        <w:pStyle w:val="164"/>
        <w:rPr>
          <w:rFonts w:ascii="Times New Roman"/>
        </w:rPr>
      </w:pPr>
      <w:r>
        <w:rPr>
          <w:rFonts w:ascii="Times New Roman"/>
        </w:rPr>
        <w:t>所有材料进场时应提供出厂合格证、型式检验报告及环保认证文件（如绿色建材标识、碳足迹证书）。</w:t>
      </w:r>
    </w:p>
    <w:p w14:paraId="2D355AE7">
      <w:pPr>
        <w:pStyle w:val="164"/>
        <w:rPr>
          <w:rFonts w:ascii="Times New Roman"/>
        </w:rPr>
      </w:pPr>
      <w:r>
        <w:rPr>
          <w:rFonts w:ascii="Times New Roman"/>
        </w:rPr>
        <w:t>进口材料应附中文版质量证明文件及海关通关单，其性能指标应符合国内相关标准要求。</w:t>
      </w:r>
    </w:p>
    <w:p w14:paraId="0D767F86">
      <w:pPr>
        <w:pStyle w:val="65"/>
        <w:spacing w:before="120" w:after="120"/>
        <w:rPr>
          <w:rFonts w:ascii="Times New Roman"/>
        </w:rPr>
      </w:pPr>
      <w:r>
        <w:rPr>
          <w:rFonts w:ascii="Times New Roman"/>
        </w:rPr>
        <w:t>抽样复检</w:t>
      </w:r>
    </w:p>
    <w:p w14:paraId="16070130">
      <w:pPr>
        <w:pStyle w:val="56"/>
        <w:ind w:firstLine="420"/>
        <w:rPr>
          <w:rFonts w:ascii="Times New Roman"/>
        </w:rPr>
      </w:pPr>
      <w:r>
        <w:rPr>
          <w:rFonts w:ascii="Times New Roman"/>
        </w:rPr>
        <w:t>同一批次材料应按以下比例抽样复检：</w:t>
      </w:r>
    </w:p>
    <w:p w14:paraId="25C5492F">
      <w:pPr>
        <w:pStyle w:val="132"/>
        <w:rPr>
          <w:rFonts w:ascii="Times New Roman"/>
        </w:rPr>
      </w:pPr>
      <w:r>
        <w:rPr>
          <w:rFonts w:ascii="Times New Roman"/>
        </w:rPr>
        <w:t>型材：每10吨抽取3根试样，检测力学性能及尺寸偏差；</w:t>
      </w:r>
    </w:p>
    <w:p w14:paraId="1C955323">
      <w:pPr>
        <w:pStyle w:val="132"/>
        <w:rPr>
          <w:rFonts w:ascii="Times New Roman"/>
        </w:rPr>
      </w:pPr>
      <w:r>
        <w:rPr>
          <w:rFonts w:ascii="Times New Roman"/>
        </w:rPr>
        <w:t>玻璃：每500 m²抽取3块试样，检测厚度、应力斑及热工参数；</w:t>
      </w:r>
    </w:p>
    <w:p w14:paraId="27A32EFF">
      <w:pPr>
        <w:pStyle w:val="132"/>
        <w:rPr>
          <w:rFonts w:ascii="Times New Roman"/>
        </w:rPr>
      </w:pPr>
      <w:r>
        <w:rPr>
          <w:rFonts w:ascii="Times New Roman"/>
        </w:rPr>
        <w:t>密封胶：每5吨抽取2支试样，检测粘结强度及耐老化性能。</w:t>
      </w:r>
    </w:p>
    <w:p w14:paraId="3A4EB8D7">
      <w:pPr>
        <w:pStyle w:val="132"/>
        <w:rPr>
          <w:rFonts w:ascii="Times New Roman"/>
        </w:rPr>
      </w:pPr>
      <w:r>
        <w:rPr>
          <w:rFonts w:ascii="Times New Roman"/>
        </w:rPr>
        <w:t>复检不合格材料应立即退场，并记录供应商不良行为。</w:t>
      </w:r>
    </w:p>
    <w:p w14:paraId="7915DF87">
      <w:pPr>
        <w:pStyle w:val="65"/>
        <w:spacing w:before="120" w:after="120"/>
        <w:rPr>
          <w:rFonts w:ascii="Times New Roman"/>
        </w:rPr>
      </w:pPr>
      <w:r>
        <w:rPr>
          <w:rFonts w:ascii="Times New Roman"/>
        </w:rPr>
        <w:t>标识与溯源</w:t>
      </w:r>
    </w:p>
    <w:p w14:paraId="7B136727">
      <w:pPr>
        <w:pStyle w:val="164"/>
        <w:rPr>
          <w:rFonts w:ascii="Times New Roman"/>
        </w:rPr>
      </w:pPr>
      <w:r>
        <w:rPr>
          <w:rFonts w:ascii="Times New Roman"/>
        </w:rPr>
        <w:t>材料包装应清晰标注生产厂家、规格型号、生产日期及环保等级。</w:t>
      </w:r>
    </w:p>
    <w:p w14:paraId="32693104">
      <w:pPr>
        <w:pStyle w:val="164"/>
        <w:rPr>
          <w:rFonts w:ascii="Times New Roman"/>
        </w:rPr>
      </w:pPr>
      <w:r>
        <w:rPr>
          <w:rFonts w:ascii="Times New Roman"/>
        </w:rPr>
        <w:t>关键材料（如隔热条、密封胶）应采用二维码或RFID技术实现全程溯源。</w:t>
      </w:r>
    </w:p>
    <w:p w14:paraId="088A2506">
      <w:pPr>
        <w:pStyle w:val="105"/>
        <w:spacing w:before="120" w:after="120"/>
        <w:rPr>
          <w:rFonts w:ascii="Times New Roman"/>
        </w:rPr>
      </w:pPr>
      <w:r>
        <w:rPr>
          <w:rFonts w:ascii="Times New Roman"/>
        </w:rPr>
        <w:t>运输与储存</w:t>
      </w:r>
    </w:p>
    <w:p w14:paraId="36BAFDFE">
      <w:pPr>
        <w:pStyle w:val="65"/>
        <w:spacing w:before="120" w:after="120"/>
        <w:rPr>
          <w:rFonts w:ascii="Times New Roman"/>
        </w:rPr>
      </w:pPr>
      <w:r>
        <w:rPr>
          <w:rFonts w:ascii="Times New Roman"/>
        </w:rPr>
        <w:t>运输要求</w:t>
      </w:r>
    </w:p>
    <w:p w14:paraId="546A0B42">
      <w:pPr>
        <w:pStyle w:val="164"/>
        <w:rPr>
          <w:rFonts w:ascii="Times New Roman"/>
        </w:rPr>
      </w:pPr>
      <w:r>
        <w:rPr>
          <w:rFonts w:ascii="Times New Roman"/>
        </w:rPr>
        <w:t>玻璃运输应采用A型货架固定，边缘应用柔性材料包覆，避免碰撞损伤。</w:t>
      </w:r>
    </w:p>
    <w:p w14:paraId="033EBE9E">
      <w:pPr>
        <w:pStyle w:val="164"/>
        <w:rPr>
          <w:rFonts w:ascii="Times New Roman"/>
        </w:rPr>
      </w:pPr>
      <w:r>
        <w:rPr>
          <w:rFonts w:ascii="Times New Roman"/>
        </w:rPr>
        <w:t>型材运输时应按规格分层堆放，层间用木垫板隔离，防止变形或表面划伤。</w:t>
      </w:r>
    </w:p>
    <w:p w14:paraId="19236C7F">
      <w:pPr>
        <w:pStyle w:val="164"/>
        <w:rPr>
          <w:rFonts w:ascii="Times New Roman"/>
        </w:rPr>
      </w:pPr>
      <w:r>
        <w:rPr>
          <w:rFonts w:ascii="Times New Roman"/>
        </w:rPr>
        <w:t>易燃材料（如发泡剂、胶粘剂）运输车辆应配备消防器材，并避免高温暴晒。</w:t>
      </w:r>
    </w:p>
    <w:p w14:paraId="7F060759">
      <w:pPr>
        <w:pStyle w:val="65"/>
        <w:spacing w:before="120" w:after="120"/>
        <w:rPr>
          <w:rFonts w:ascii="Times New Roman"/>
        </w:rPr>
      </w:pPr>
      <w:r>
        <w:rPr>
          <w:rFonts w:ascii="Times New Roman"/>
        </w:rPr>
        <w:t>储存管理</w:t>
      </w:r>
    </w:p>
    <w:p w14:paraId="41AB358E">
      <w:pPr>
        <w:pStyle w:val="164"/>
        <w:rPr>
          <w:rFonts w:ascii="Times New Roman"/>
        </w:rPr>
      </w:pPr>
      <w:r>
        <w:rPr>
          <w:rFonts w:ascii="Times New Roman"/>
        </w:rPr>
        <w:t>材应存放于干燥通风的室内仓库，离地高度不小于200 mm，堆放层数不宜超过5层。</w:t>
      </w:r>
    </w:p>
    <w:p w14:paraId="6032608D">
      <w:pPr>
        <w:pStyle w:val="164"/>
        <w:rPr>
          <w:rFonts w:ascii="Times New Roman"/>
        </w:rPr>
      </w:pPr>
      <w:r>
        <w:rPr>
          <w:rFonts w:ascii="Times New Roman"/>
        </w:rPr>
        <w:t>玻璃应竖向存放于专用支架上，倾斜角宜为5°～10°，环境湿度应控制在40%～70%。</w:t>
      </w:r>
    </w:p>
    <w:p w14:paraId="07AEE482">
      <w:pPr>
        <w:pStyle w:val="164"/>
        <w:rPr>
          <w:rFonts w:ascii="Times New Roman"/>
        </w:rPr>
      </w:pPr>
      <w:r>
        <w:rPr>
          <w:rFonts w:ascii="Times New Roman"/>
        </w:rPr>
        <w:t>密封材料应避光储存，温度不宜高于30 ℃，与酸碱物质隔离存放。</w:t>
      </w:r>
    </w:p>
    <w:p w14:paraId="5B80F630">
      <w:pPr>
        <w:pStyle w:val="105"/>
        <w:spacing w:before="120" w:after="120"/>
        <w:rPr>
          <w:rFonts w:ascii="Times New Roman"/>
        </w:rPr>
      </w:pPr>
      <w:r>
        <w:rPr>
          <w:rFonts w:ascii="Times New Roman"/>
        </w:rPr>
        <w:t>构件加工</w:t>
      </w:r>
    </w:p>
    <w:p w14:paraId="7D717AA8">
      <w:pPr>
        <w:pStyle w:val="65"/>
        <w:spacing w:before="120" w:after="120"/>
        <w:rPr>
          <w:rFonts w:ascii="Times New Roman"/>
        </w:rPr>
      </w:pPr>
      <w:r>
        <w:rPr>
          <w:rFonts w:ascii="Times New Roman"/>
        </w:rPr>
        <w:t>工厂预制</w:t>
      </w:r>
    </w:p>
    <w:p w14:paraId="6D629767">
      <w:pPr>
        <w:pStyle w:val="164"/>
        <w:rPr>
          <w:rFonts w:ascii="Times New Roman"/>
        </w:rPr>
      </w:pPr>
      <w:r>
        <w:rPr>
          <w:rFonts w:ascii="Times New Roman"/>
        </w:rPr>
        <w:t>门窗构件加工应实现数字化控制，切割精度误差不应超过±0.5 mm，组角间隙不应大于0.3 mm。</w:t>
      </w:r>
    </w:p>
    <w:p w14:paraId="7A5730C4">
      <w:pPr>
        <w:pStyle w:val="164"/>
        <w:rPr>
          <w:rFonts w:ascii="Times New Roman"/>
        </w:rPr>
      </w:pPr>
      <w:r>
        <w:rPr>
          <w:rFonts w:ascii="Times New Roman"/>
        </w:rPr>
        <w:t>五金件安装孔位应采用数控机床定位，孔位偏差应控制在±0.2 mm以内。</w:t>
      </w:r>
    </w:p>
    <w:p w14:paraId="7DF6D433">
      <w:pPr>
        <w:pStyle w:val="65"/>
        <w:spacing w:before="120" w:after="120"/>
        <w:rPr>
          <w:rFonts w:ascii="Times New Roman"/>
        </w:rPr>
      </w:pPr>
      <w:r>
        <w:rPr>
          <w:rFonts w:ascii="Times New Roman"/>
        </w:rPr>
        <w:t>工艺要求</w:t>
      </w:r>
    </w:p>
    <w:p w14:paraId="4BF2867A">
      <w:pPr>
        <w:pStyle w:val="164"/>
        <w:rPr>
          <w:rFonts w:ascii="Times New Roman"/>
        </w:rPr>
      </w:pPr>
      <w:r>
        <w:rPr>
          <w:rFonts w:ascii="Times New Roman"/>
        </w:rPr>
        <w:t>铝合金型材切割后应进行端头毛刺清理，并喷涂防腐涂层。</w:t>
      </w:r>
    </w:p>
    <w:p w14:paraId="321DDF5F">
      <w:pPr>
        <w:pStyle w:val="164"/>
        <w:rPr>
          <w:rFonts w:ascii="Times New Roman"/>
        </w:rPr>
      </w:pPr>
      <w:r>
        <w:rPr>
          <w:rFonts w:ascii="Times New Roman"/>
        </w:rPr>
        <w:t>中空玻璃合片前应清洁间隔条槽口，充气后应检测气密性，年气体泄漏率应低于1%。</w:t>
      </w:r>
    </w:p>
    <w:p w14:paraId="3F0F17C7">
      <w:pPr>
        <w:pStyle w:val="65"/>
        <w:spacing w:before="120" w:after="120"/>
        <w:rPr>
          <w:rFonts w:ascii="Times New Roman"/>
        </w:rPr>
      </w:pPr>
      <w:r>
        <w:rPr>
          <w:rFonts w:ascii="Times New Roman"/>
        </w:rPr>
        <w:t>质量检验</w:t>
      </w:r>
    </w:p>
    <w:p w14:paraId="1EC636D6">
      <w:pPr>
        <w:pStyle w:val="164"/>
        <w:rPr>
          <w:rFonts w:ascii="Times New Roman"/>
        </w:rPr>
      </w:pPr>
      <w:r>
        <w:rPr>
          <w:rFonts w:ascii="Times New Roman"/>
        </w:rPr>
        <w:t>加工完成的构件应按JGJ/T 205进行全数外观检查，并抽检10%进行尺寸复测。</w:t>
      </w:r>
    </w:p>
    <w:p w14:paraId="3532761A">
      <w:pPr>
        <w:pStyle w:val="164"/>
        <w:rPr>
          <w:rFonts w:ascii="Times New Roman"/>
        </w:rPr>
      </w:pPr>
      <w:r>
        <w:rPr>
          <w:rFonts w:ascii="Times New Roman"/>
        </w:rPr>
        <w:t>五金配件需进行启闭力测试，执手操作力不应大于50 N，启闭循环次数不低于10万次。</w:t>
      </w:r>
    </w:p>
    <w:p w14:paraId="6BE98C6C">
      <w:pPr>
        <w:pStyle w:val="105"/>
        <w:spacing w:before="120" w:after="120"/>
        <w:rPr>
          <w:rFonts w:ascii="Times New Roman"/>
        </w:rPr>
      </w:pPr>
      <w:r>
        <w:rPr>
          <w:rFonts w:ascii="Times New Roman"/>
        </w:rPr>
        <w:t>安装配合要求</w:t>
      </w:r>
    </w:p>
    <w:p w14:paraId="63F3DEDD">
      <w:pPr>
        <w:pStyle w:val="65"/>
        <w:spacing w:before="120" w:after="120"/>
        <w:rPr>
          <w:rFonts w:ascii="Times New Roman"/>
        </w:rPr>
      </w:pPr>
      <w:r>
        <w:rPr>
          <w:rFonts w:ascii="Times New Roman"/>
        </w:rPr>
        <w:t>构件匹配性</w:t>
      </w:r>
    </w:p>
    <w:p w14:paraId="1DB9B85A">
      <w:pPr>
        <w:pStyle w:val="164"/>
        <w:rPr>
          <w:rFonts w:ascii="Times New Roman"/>
        </w:rPr>
      </w:pPr>
      <w:r>
        <w:rPr>
          <w:rFonts w:ascii="Times New Roman"/>
        </w:rPr>
        <w:t>门窗框与洞口间隙应根据墙体材料确定，混凝土墙体宜为10 mm～15 mm，砌块墙体宜为15 mm～20 mm。</w:t>
      </w:r>
    </w:p>
    <w:p w14:paraId="78E21608">
      <w:pPr>
        <w:pStyle w:val="164"/>
        <w:rPr>
          <w:rFonts w:ascii="Times New Roman"/>
        </w:rPr>
      </w:pPr>
      <w:r>
        <w:rPr>
          <w:rFonts w:ascii="Times New Roman"/>
        </w:rPr>
        <w:t>玻璃与型材槽口配合间隙应均匀，四周嵌入深度不应小于6 mm，且应填充弹性垫块。</w:t>
      </w:r>
    </w:p>
    <w:p w14:paraId="147419BC">
      <w:pPr>
        <w:pStyle w:val="65"/>
        <w:spacing w:before="120" w:after="120"/>
        <w:rPr>
          <w:rFonts w:ascii="Times New Roman"/>
        </w:rPr>
      </w:pPr>
      <w:r>
        <w:rPr>
          <w:rFonts w:ascii="Times New Roman"/>
        </w:rPr>
        <w:t>连接节点</w:t>
      </w:r>
    </w:p>
    <w:p w14:paraId="776699D7">
      <w:pPr>
        <w:pStyle w:val="164"/>
        <w:rPr>
          <w:rFonts w:ascii="Times New Roman"/>
        </w:rPr>
      </w:pPr>
      <w:r>
        <w:rPr>
          <w:rFonts w:ascii="Times New Roman"/>
        </w:rPr>
        <w:t>锚固件间距应根据风荷载设计值确定，且不应大于500 mm，端部距框角不应大于150 mm。</w:t>
      </w:r>
    </w:p>
    <w:p w14:paraId="3628BBC7">
      <w:pPr>
        <w:pStyle w:val="164"/>
        <w:rPr>
          <w:rFonts w:ascii="Times New Roman"/>
        </w:rPr>
      </w:pPr>
      <w:r>
        <w:rPr>
          <w:rFonts w:ascii="Times New Roman"/>
        </w:rPr>
        <w:t>膨胀螺栓抗拔力不应小于设计值的1.5倍，并应进行现场拉拔试验验证。</w:t>
      </w:r>
    </w:p>
    <w:p w14:paraId="53B87FB5">
      <w:pPr>
        <w:pStyle w:val="65"/>
        <w:spacing w:before="120" w:after="120"/>
        <w:rPr>
          <w:rFonts w:ascii="Times New Roman"/>
        </w:rPr>
      </w:pPr>
      <w:r>
        <w:rPr>
          <w:rFonts w:ascii="Times New Roman"/>
        </w:rPr>
        <w:t>现场调整</w:t>
      </w:r>
    </w:p>
    <w:p w14:paraId="1C011097">
      <w:pPr>
        <w:pStyle w:val="164"/>
        <w:rPr>
          <w:rFonts w:ascii="Times New Roman"/>
        </w:rPr>
      </w:pPr>
      <w:r>
        <w:rPr>
          <w:rFonts w:ascii="Times New Roman"/>
        </w:rPr>
        <w:t>门窗安装垂直度偏差不应超过2 mm/m，对角线差不应大于3 mm。</w:t>
      </w:r>
    </w:p>
    <w:p w14:paraId="6FE6290D">
      <w:pPr>
        <w:pStyle w:val="164"/>
        <w:rPr>
          <w:rFonts w:ascii="Times New Roman"/>
        </w:rPr>
      </w:pPr>
      <w:r>
        <w:rPr>
          <w:rFonts w:ascii="Times New Roman"/>
        </w:rPr>
        <w:t>开启扇应调整至启闭灵活，锁闭后密封胶条压缩量宜为原厚度的30%～40%。</w:t>
      </w:r>
    </w:p>
    <w:p w14:paraId="35F195BD">
      <w:pPr>
        <w:pStyle w:val="104"/>
        <w:spacing w:before="240" w:after="240"/>
        <w:rPr>
          <w:rFonts w:ascii="Times New Roman"/>
        </w:rPr>
      </w:pPr>
      <w:bookmarkStart w:id="59" w:name="_Toc192774063"/>
      <w:bookmarkStart w:id="60" w:name="_Toc192773926"/>
      <w:r>
        <w:rPr>
          <w:rFonts w:ascii="Times New Roman"/>
        </w:rPr>
        <w:t>施工工艺</w:t>
      </w:r>
      <w:bookmarkEnd w:id="59"/>
      <w:bookmarkEnd w:id="60"/>
    </w:p>
    <w:p w14:paraId="100A45B6">
      <w:pPr>
        <w:pStyle w:val="105"/>
        <w:spacing w:before="120" w:after="120"/>
        <w:rPr>
          <w:rFonts w:ascii="Times New Roman"/>
        </w:rPr>
      </w:pPr>
      <w:r>
        <w:rPr>
          <w:rFonts w:ascii="Times New Roman"/>
        </w:rPr>
        <w:t>施工准备</w:t>
      </w:r>
    </w:p>
    <w:p w14:paraId="7521069E">
      <w:pPr>
        <w:pStyle w:val="65"/>
        <w:spacing w:before="120" w:after="120"/>
        <w:rPr>
          <w:rFonts w:ascii="Times New Roman"/>
        </w:rPr>
      </w:pPr>
      <w:r>
        <w:rPr>
          <w:rFonts w:ascii="Times New Roman"/>
        </w:rPr>
        <w:t>技术交底</w:t>
      </w:r>
    </w:p>
    <w:p w14:paraId="3C6C2A17">
      <w:pPr>
        <w:pStyle w:val="164"/>
        <w:rPr>
          <w:rFonts w:ascii="Times New Roman"/>
        </w:rPr>
      </w:pPr>
      <w:r>
        <w:rPr>
          <w:rFonts w:ascii="Times New Roman"/>
        </w:rPr>
        <w:t>施工前应编制绿色低碳专项施工方案，明确节能工艺、材料使用及碳排放控制目标，并经监理单位审批。</w:t>
      </w:r>
    </w:p>
    <w:p w14:paraId="1C9775B2">
      <w:pPr>
        <w:pStyle w:val="164"/>
        <w:rPr>
          <w:rFonts w:ascii="Times New Roman"/>
        </w:rPr>
      </w:pPr>
      <w:r>
        <w:rPr>
          <w:rFonts w:ascii="Times New Roman"/>
        </w:rPr>
        <w:t>对作业人员进行低碳施工技术培训，重点宣贯无尘切割、密封工艺等环保操作规范。</w:t>
      </w:r>
    </w:p>
    <w:p w14:paraId="798AF01F">
      <w:pPr>
        <w:pStyle w:val="65"/>
        <w:spacing w:before="120" w:after="120"/>
        <w:rPr>
          <w:rFonts w:ascii="Times New Roman"/>
        </w:rPr>
      </w:pPr>
      <w:r>
        <w:rPr>
          <w:rFonts w:ascii="Times New Roman"/>
        </w:rPr>
        <w:t>现场布置</w:t>
      </w:r>
    </w:p>
    <w:p w14:paraId="20F5A06D">
      <w:pPr>
        <w:pStyle w:val="164"/>
        <w:rPr>
          <w:rFonts w:ascii="Times New Roman"/>
        </w:rPr>
      </w:pPr>
      <w:r>
        <w:rPr>
          <w:rFonts w:ascii="Times New Roman"/>
        </w:rPr>
        <w:t>材料堆放区应分区设置，玻璃、型材、密封材料应分类存放，并采取防潮、防变形措施。</w:t>
      </w:r>
    </w:p>
    <w:p w14:paraId="0A18299A">
      <w:pPr>
        <w:pStyle w:val="164"/>
        <w:rPr>
          <w:rFonts w:ascii="Times New Roman"/>
        </w:rPr>
      </w:pPr>
      <w:r>
        <w:rPr>
          <w:rFonts w:ascii="Times New Roman"/>
        </w:rPr>
        <w:t>加工区宜配置粉尘收集装置，切割设备应安装降噪设施，确保施工噪音昼间≤65 dB（A）。</w:t>
      </w:r>
    </w:p>
    <w:p w14:paraId="5C00AEAB">
      <w:pPr>
        <w:pStyle w:val="164"/>
        <w:rPr>
          <w:rFonts w:ascii="Times New Roman"/>
        </w:rPr>
      </w:pPr>
      <w:r>
        <w:rPr>
          <w:rFonts w:ascii="Times New Roman"/>
        </w:rPr>
        <w:t>临时用电线路应按节能要求敷设，采用铜芯电缆并配置智能电表监测能耗。</w:t>
      </w:r>
    </w:p>
    <w:p w14:paraId="2139B907">
      <w:pPr>
        <w:pStyle w:val="65"/>
        <w:spacing w:before="120" w:after="120"/>
        <w:rPr>
          <w:rFonts w:ascii="Times New Roman"/>
        </w:rPr>
      </w:pPr>
      <w:r>
        <w:rPr>
          <w:rFonts w:ascii="Times New Roman"/>
        </w:rPr>
        <w:t>设备与工具</w:t>
      </w:r>
    </w:p>
    <w:p w14:paraId="38DA5FCB">
      <w:pPr>
        <w:pStyle w:val="164"/>
        <w:rPr>
          <w:rFonts w:ascii="Times New Roman"/>
        </w:rPr>
      </w:pPr>
      <w:r>
        <w:rPr>
          <w:rFonts w:ascii="Times New Roman"/>
        </w:rPr>
        <w:t>优先选用电动或无尘化设备（如数控切割机、电动螺丝刀），不应使用高排放燃油机具。</w:t>
      </w:r>
    </w:p>
    <w:p w14:paraId="2C99C3F1">
      <w:pPr>
        <w:pStyle w:val="164"/>
        <w:rPr>
          <w:rFonts w:ascii="Times New Roman"/>
        </w:rPr>
      </w:pPr>
      <w:r>
        <w:rPr>
          <w:rFonts w:ascii="Times New Roman"/>
        </w:rPr>
        <w:t>量具及检测仪器（如激光水平仪、红外热像仪）应定期校准，精度需满足±1 mm/m要求。</w:t>
      </w:r>
    </w:p>
    <w:p w14:paraId="21FEBC2F">
      <w:pPr>
        <w:pStyle w:val="105"/>
        <w:spacing w:before="120" w:after="120"/>
        <w:rPr>
          <w:rFonts w:ascii="Times New Roman"/>
        </w:rPr>
      </w:pPr>
      <w:r>
        <w:rPr>
          <w:rFonts w:ascii="Times New Roman"/>
        </w:rPr>
        <w:t>安装工艺</w:t>
      </w:r>
    </w:p>
    <w:p w14:paraId="4486236D">
      <w:pPr>
        <w:pStyle w:val="65"/>
        <w:spacing w:before="120" w:after="120"/>
        <w:rPr>
          <w:rFonts w:ascii="Times New Roman"/>
        </w:rPr>
      </w:pPr>
      <w:r>
        <w:rPr>
          <w:rFonts w:ascii="Times New Roman"/>
        </w:rPr>
        <w:t>框体安装</w:t>
      </w:r>
    </w:p>
    <w:p w14:paraId="3C614248">
      <w:pPr>
        <w:pStyle w:val="164"/>
        <w:rPr>
          <w:rFonts w:ascii="Times New Roman"/>
        </w:rPr>
      </w:pPr>
      <w:r>
        <w:rPr>
          <w:rFonts w:ascii="Times New Roman"/>
        </w:rPr>
        <w:t>锚固点间距应根据门窗尺寸及风荷载确定，且不宜大于500 mm，端部距框角宜为100 mm～150 mm。</w:t>
      </w:r>
    </w:p>
    <w:p w14:paraId="7A389BAB">
      <w:pPr>
        <w:pStyle w:val="164"/>
        <w:rPr>
          <w:rFonts w:ascii="Times New Roman"/>
        </w:rPr>
      </w:pPr>
      <w:r>
        <w:rPr>
          <w:rFonts w:ascii="Times New Roman"/>
        </w:rPr>
        <w:t>框体与墙体间隙应采用发泡剂填充，发泡剂固化后应切割平整，外露部分应覆盖防水隔汽膜。</w:t>
      </w:r>
    </w:p>
    <w:p w14:paraId="68B8F551">
      <w:pPr>
        <w:pStyle w:val="164"/>
        <w:rPr>
          <w:rFonts w:ascii="Times New Roman"/>
        </w:rPr>
      </w:pPr>
      <w:r>
        <w:rPr>
          <w:rFonts w:ascii="Times New Roman"/>
        </w:rPr>
        <w:t>安装垂直度偏差应≤2 mm/m，对角线差应≤3 mm，超差时应调整后重新固定。</w:t>
      </w:r>
    </w:p>
    <w:p w14:paraId="1AA80A8E">
      <w:pPr>
        <w:pStyle w:val="65"/>
        <w:spacing w:before="120" w:after="120"/>
        <w:rPr>
          <w:rFonts w:ascii="Times New Roman"/>
        </w:rPr>
      </w:pPr>
      <w:r>
        <w:rPr>
          <w:rFonts w:ascii="Times New Roman"/>
        </w:rPr>
        <w:t>玻璃安装</w:t>
      </w:r>
    </w:p>
    <w:p w14:paraId="784B3A55">
      <w:pPr>
        <w:pStyle w:val="164"/>
        <w:rPr>
          <w:rFonts w:ascii="Times New Roman"/>
        </w:rPr>
      </w:pPr>
      <w:r>
        <w:rPr>
          <w:rFonts w:ascii="Times New Roman"/>
        </w:rPr>
        <w:t>玻璃嵌入槽口前应清洁型材接触面，并铺设弹性垫块，垫块间距宜为300 mm～400 mm。</w:t>
      </w:r>
    </w:p>
    <w:p w14:paraId="7909B42E">
      <w:pPr>
        <w:pStyle w:val="164"/>
        <w:rPr>
          <w:rFonts w:ascii="Times New Roman"/>
        </w:rPr>
      </w:pPr>
      <w:r>
        <w:rPr>
          <w:rFonts w:ascii="Times New Roman"/>
        </w:rPr>
        <w:t>中空玻璃安装时应避免直接接触金属框体，四周应填充硅酮耐候胶，胶缝宽度宜为5 mm～8 mm。</w:t>
      </w:r>
    </w:p>
    <w:p w14:paraId="045238BC">
      <w:pPr>
        <w:pStyle w:val="164"/>
        <w:rPr>
          <w:rFonts w:ascii="Times New Roman"/>
        </w:rPr>
      </w:pPr>
      <w:r>
        <w:rPr>
          <w:rFonts w:ascii="Times New Roman"/>
        </w:rPr>
        <w:t>动态遮阳系统（如百叶窗）应进行启闭调试，运行阻力应≤30 N，反复启闭100次无卡滞。</w:t>
      </w:r>
    </w:p>
    <w:p w14:paraId="615726B0">
      <w:pPr>
        <w:pStyle w:val="65"/>
        <w:spacing w:before="120" w:after="120"/>
        <w:rPr>
          <w:rFonts w:ascii="Times New Roman"/>
        </w:rPr>
      </w:pPr>
      <w:r>
        <w:rPr>
          <w:rFonts w:ascii="Times New Roman"/>
        </w:rPr>
        <w:t>密封处理</w:t>
      </w:r>
    </w:p>
    <w:p w14:paraId="6B803643">
      <w:pPr>
        <w:pStyle w:val="164"/>
        <w:rPr>
          <w:rFonts w:ascii="Times New Roman"/>
        </w:rPr>
      </w:pPr>
      <w:r>
        <w:rPr>
          <w:rFonts w:ascii="Times New Roman"/>
        </w:rPr>
        <w:t>框扇搭接处应连续敷设三元乙丙密封胶条，接头采用45°斜接，压缩量宜为原厚度的30%～40%。</w:t>
      </w:r>
    </w:p>
    <w:p w14:paraId="30AE943D">
      <w:pPr>
        <w:pStyle w:val="164"/>
        <w:rPr>
          <w:rFonts w:ascii="Times New Roman"/>
        </w:rPr>
      </w:pPr>
      <w:r>
        <w:rPr>
          <w:rFonts w:ascii="Times New Roman"/>
        </w:rPr>
        <w:t>外窗开启部位周边应打耐候密封胶，胶体表面应光滑无气泡，固化后进行淋水试验验证。</w:t>
      </w:r>
    </w:p>
    <w:p w14:paraId="3479B137">
      <w:pPr>
        <w:pStyle w:val="65"/>
        <w:spacing w:before="120" w:after="120"/>
        <w:rPr>
          <w:rFonts w:ascii="Times New Roman"/>
        </w:rPr>
      </w:pPr>
      <w:r>
        <w:rPr>
          <w:rFonts w:ascii="Times New Roman"/>
        </w:rPr>
        <w:t>热桥阻断</w:t>
      </w:r>
    </w:p>
    <w:p w14:paraId="2E0B375E">
      <w:pPr>
        <w:pStyle w:val="164"/>
        <w:rPr>
          <w:rFonts w:ascii="Times New Roman"/>
        </w:rPr>
      </w:pPr>
      <w:r>
        <w:rPr>
          <w:rFonts w:ascii="Times New Roman"/>
        </w:rPr>
        <w:t>断桥型材的隔热条安装不应破损，连接螺栓应避开隔热腔体，避免形成冷热传导通道。</w:t>
      </w:r>
    </w:p>
    <w:p w14:paraId="7F57D82D">
      <w:pPr>
        <w:pStyle w:val="164"/>
        <w:rPr>
          <w:rFonts w:ascii="Times New Roman"/>
        </w:rPr>
      </w:pPr>
      <w:r>
        <w:rPr>
          <w:rFonts w:ascii="Times New Roman"/>
        </w:rPr>
        <w:t>窗台板与墙体交接处应增设保温隔热带，采用聚氨酯发泡或岩棉填充，热阻值不应低于1.5 (m²·K)/W。</w:t>
      </w:r>
    </w:p>
    <w:p w14:paraId="680D3E0A">
      <w:pPr>
        <w:pStyle w:val="105"/>
        <w:spacing w:before="120" w:after="120"/>
        <w:rPr>
          <w:rFonts w:ascii="Times New Roman"/>
        </w:rPr>
      </w:pPr>
      <w:r>
        <w:rPr>
          <w:rFonts w:ascii="Times New Roman"/>
        </w:rPr>
        <w:t>过程质量控制</w:t>
      </w:r>
    </w:p>
    <w:p w14:paraId="5F120409">
      <w:pPr>
        <w:pStyle w:val="65"/>
        <w:spacing w:before="120" w:after="120"/>
        <w:rPr>
          <w:rFonts w:ascii="Times New Roman"/>
        </w:rPr>
      </w:pPr>
      <w:r>
        <w:rPr>
          <w:rFonts w:ascii="Times New Roman"/>
        </w:rPr>
        <w:t>关键节点检查</w:t>
      </w:r>
    </w:p>
    <w:p w14:paraId="7B5A3285">
      <w:pPr>
        <w:pStyle w:val="164"/>
        <w:rPr>
          <w:rFonts w:ascii="Times New Roman"/>
        </w:rPr>
      </w:pPr>
      <w:r>
        <w:rPr>
          <w:rFonts w:ascii="Times New Roman"/>
        </w:rPr>
        <w:t>每道工序完成后需进行三检（自检、互检、专检），重点核查以下内容：</w:t>
      </w:r>
    </w:p>
    <w:p w14:paraId="4E5103EA">
      <w:pPr>
        <w:pStyle w:val="132"/>
        <w:rPr>
          <w:rFonts w:ascii="Times New Roman"/>
        </w:rPr>
      </w:pPr>
      <w:r>
        <w:rPr>
          <w:rFonts w:ascii="Times New Roman"/>
        </w:rPr>
        <w:t>锚固点牢固性（采用扭矩扳手检测，扭矩值≥2.5 N·m）；</w:t>
      </w:r>
    </w:p>
    <w:p w14:paraId="150FFB8E">
      <w:pPr>
        <w:pStyle w:val="132"/>
        <w:rPr>
          <w:rFonts w:ascii="Times New Roman"/>
        </w:rPr>
      </w:pPr>
      <w:r>
        <w:rPr>
          <w:rFonts w:ascii="Times New Roman"/>
        </w:rPr>
        <w:t>玻璃与型材间隙均匀性（塞尺检测偏差≤1 mm）；</w:t>
      </w:r>
    </w:p>
    <w:p w14:paraId="21323E5F">
      <w:pPr>
        <w:pStyle w:val="132"/>
        <w:rPr>
          <w:rFonts w:ascii="Times New Roman"/>
        </w:rPr>
      </w:pPr>
      <w:r>
        <w:rPr>
          <w:rFonts w:ascii="Times New Roman"/>
        </w:rPr>
        <w:t>密封胶连续性（目测无断缝，针入度检测符合设计要求）。</w:t>
      </w:r>
    </w:p>
    <w:p w14:paraId="1F8F7670">
      <w:pPr>
        <w:pStyle w:val="164"/>
        <w:rPr>
          <w:rFonts w:ascii="Times New Roman"/>
        </w:rPr>
      </w:pPr>
      <w:r>
        <w:rPr>
          <w:rFonts w:ascii="Times New Roman"/>
        </w:rPr>
        <w:t>隐蔽工程（如发泡剂填充、隔汽膜施工）应留存影像资料，并经监理签字确认。</w:t>
      </w:r>
    </w:p>
    <w:p w14:paraId="5DBF7BCE">
      <w:pPr>
        <w:pStyle w:val="65"/>
        <w:spacing w:before="120" w:after="120"/>
        <w:rPr>
          <w:rFonts w:ascii="Times New Roman"/>
        </w:rPr>
      </w:pPr>
      <w:r>
        <w:rPr>
          <w:rFonts w:ascii="Times New Roman"/>
        </w:rPr>
        <w:t>性能检测</w:t>
      </w:r>
    </w:p>
    <w:p w14:paraId="377912C2">
      <w:pPr>
        <w:pStyle w:val="164"/>
        <w:rPr>
          <w:rFonts w:ascii="Times New Roman"/>
        </w:rPr>
      </w:pPr>
      <w:r>
        <w:rPr>
          <w:rFonts w:ascii="Times New Roman"/>
        </w:rPr>
        <w:t>气密性现场抽检应按GB/T 7106执行，抽检比例不低于10%。</w:t>
      </w:r>
    </w:p>
    <w:p w14:paraId="3AD17977">
      <w:pPr>
        <w:pStyle w:val="164"/>
        <w:rPr>
          <w:rFonts w:ascii="Times New Roman"/>
        </w:rPr>
      </w:pPr>
      <w:r>
        <w:rPr>
          <w:rFonts w:ascii="Times New Roman"/>
        </w:rPr>
        <w:t>热工缺陷采用红外热成像仪全数扫描，温度异常区域温差应≤2 ℃。</w:t>
      </w:r>
    </w:p>
    <w:p w14:paraId="112D8DAB">
      <w:pPr>
        <w:pStyle w:val="105"/>
        <w:spacing w:before="120" w:after="120"/>
        <w:rPr>
          <w:rFonts w:ascii="Times New Roman"/>
        </w:rPr>
      </w:pPr>
      <w:r>
        <w:rPr>
          <w:rFonts w:ascii="Times New Roman"/>
        </w:rPr>
        <w:t>环保与安全措施</w:t>
      </w:r>
    </w:p>
    <w:p w14:paraId="1BA09EE2">
      <w:pPr>
        <w:pStyle w:val="65"/>
        <w:spacing w:before="120" w:after="120"/>
        <w:rPr>
          <w:rFonts w:ascii="Times New Roman"/>
        </w:rPr>
      </w:pPr>
      <w:r>
        <w:rPr>
          <w:rFonts w:ascii="Times New Roman"/>
        </w:rPr>
        <w:t>废弃物管理</w:t>
      </w:r>
    </w:p>
    <w:p w14:paraId="0CF3D354">
      <w:pPr>
        <w:pStyle w:val="164"/>
        <w:rPr>
          <w:rFonts w:ascii="Times New Roman"/>
        </w:rPr>
      </w:pPr>
      <w:r>
        <w:rPr>
          <w:rFonts w:ascii="Times New Roman"/>
        </w:rPr>
        <w:t>施工废料应按金属、玻璃、塑料分类回收，其中铝型材边角料回收率≥90%，废弃胶桶应集中处理。</w:t>
      </w:r>
    </w:p>
    <w:p w14:paraId="00FEF424">
      <w:pPr>
        <w:pStyle w:val="164"/>
        <w:rPr>
          <w:rFonts w:ascii="Times New Roman"/>
        </w:rPr>
      </w:pPr>
      <w:r>
        <w:rPr>
          <w:rFonts w:ascii="Times New Roman"/>
        </w:rPr>
        <w:t>发泡剂残渣、粉尘等危险废弃物应交由具备资质的单位处置，不应混入建筑垃圾。</w:t>
      </w:r>
    </w:p>
    <w:p w14:paraId="4FE8CC83">
      <w:pPr>
        <w:pStyle w:val="65"/>
        <w:spacing w:before="120" w:after="120"/>
        <w:rPr>
          <w:rFonts w:ascii="Times New Roman"/>
        </w:rPr>
      </w:pPr>
      <w:r>
        <w:rPr>
          <w:rFonts w:ascii="Times New Roman"/>
        </w:rPr>
        <w:t>扬尘与噪声控制</w:t>
      </w:r>
    </w:p>
    <w:p w14:paraId="1B4D948B">
      <w:pPr>
        <w:pStyle w:val="164"/>
        <w:rPr>
          <w:rFonts w:ascii="Times New Roman"/>
        </w:rPr>
      </w:pPr>
      <w:r>
        <w:rPr>
          <w:rFonts w:ascii="Times New Roman"/>
        </w:rPr>
        <w:t>切割、钻孔等产尘作业应湿法施工，或配备移动式除尘设备，PM10浓度实时监测值应≤150 μg/m³。</w:t>
      </w:r>
    </w:p>
    <w:p w14:paraId="0A4861C8">
      <w:pPr>
        <w:pStyle w:val="164"/>
        <w:rPr>
          <w:rFonts w:ascii="Times New Roman"/>
        </w:rPr>
      </w:pPr>
      <w:r>
        <w:rPr>
          <w:rFonts w:ascii="Times New Roman"/>
        </w:rPr>
        <w:t>夜间施工应提前申报，噪音限值为55 dB（A），高噪声设备应集中时段作业。</w:t>
      </w:r>
    </w:p>
    <w:p w14:paraId="15DBDB7F">
      <w:pPr>
        <w:pStyle w:val="65"/>
        <w:spacing w:before="120" w:after="120"/>
        <w:rPr>
          <w:rFonts w:ascii="Times New Roman"/>
        </w:rPr>
      </w:pPr>
      <w:r>
        <w:rPr>
          <w:rFonts w:ascii="Times New Roman"/>
        </w:rPr>
        <w:t>安全防护</w:t>
      </w:r>
    </w:p>
    <w:p w14:paraId="0EEB6A79">
      <w:pPr>
        <w:pStyle w:val="164"/>
        <w:rPr>
          <w:rFonts w:ascii="Times New Roman"/>
        </w:rPr>
      </w:pPr>
      <w:r>
        <w:rPr>
          <w:rFonts w:ascii="Times New Roman"/>
        </w:rPr>
        <w:t>高空作业需设置双道安全绳，移动式操作平台承载力应≥2.5 kN/m²，临边防护栏高度≥1.2 m。</w:t>
      </w:r>
    </w:p>
    <w:p w14:paraId="7860545C">
      <w:pPr>
        <w:pStyle w:val="164"/>
        <w:rPr>
          <w:rFonts w:ascii="Times New Roman"/>
        </w:rPr>
      </w:pPr>
      <w:r>
        <w:rPr>
          <w:rFonts w:ascii="Times New Roman"/>
        </w:rPr>
        <w:t>电动工具应接地保护，漏电保护器动作电流≤30 mA，每周进行绝缘电阻测试。</w:t>
      </w:r>
    </w:p>
    <w:p w14:paraId="2291344D">
      <w:pPr>
        <w:pStyle w:val="105"/>
        <w:spacing w:before="120" w:after="120"/>
        <w:rPr>
          <w:rFonts w:ascii="Times New Roman"/>
        </w:rPr>
      </w:pPr>
      <w:r>
        <w:rPr>
          <w:rFonts w:ascii="Times New Roman"/>
        </w:rPr>
        <w:t>数字化施工技术</w:t>
      </w:r>
    </w:p>
    <w:p w14:paraId="37903096">
      <w:pPr>
        <w:pStyle w:val="65"/>
        <w:spacing w:before="120" w:after="120"/>
        <w:rPr>
          <w:rFonts w:ascii="Times New Roman"/>
        </w:rPr>
      </w:pPr>
      <w:r>
        <w:rPr>
          <w:rFonts w:ascii="Times New Roman"/>
        </w:rPr>
        <w:t>BIM技术应用</w:t>
      </w:r>
    </w:p>
    <w:p w14:paraId="160D4515">
      <w:pPr>
        <w:pStyle w:val="164"/>
        <w:rPr>
          <w:rFonts w:ascii="Times New Roman"/>
        </w:rPr>
      </w:pPr>
      <w:r>
        <w:rPr>
          <w:rFonts w:ascii="Times New Roman"/>
        </w:rPr>
        <w:t>利用BIM模型优化门窗洞口尺寸，减少现场切割量，材料利用率应≥95%。</w:t>
      </w:r>
    </w:p>
    <w:p w14:paraId="162003CF">
      <w:pPr>
        <w:pStyle w:val="164"/>
        <w:rPr>
          <w:rFonts w:ascii="Times New Roman"/>
        </w:rPr>
      </w:pPr>
      <w:r>
        <w:rPr>
          <w:rFonts w:ascii="Times New Roman"/>
        </w:rPr>
        <w:t>模拟安装碰撞检测，解决管线与门窗冲突问题，避免返工造成的资源浪费。</w:t>
      </w:r>
    </w:p>
    <w:p w14:paraId="653ED31F">
      <w:pPr>
        <w:pStyle w:val="65"/>
        <w:spacing w:before="120" w:after="120"/>
        <w:rPr>
          <w:rFonts w:ascii="Times New Roman"/>
        </w:rPr>
      </w:pPr>
      <w:r>
        <w:rPr>
          <w:rFonts w:ascii="Times New Roman"/>
        </w:rPr>
        <w:t>物联网监测</w:t>
      </w:r>
    </w:p>
    <w:p w14:paraId="57325BAD">
      <w:pPr>
        <w:pStyle w:val="164"/>
        <w:rPr>
          <w:rFonts w:ascii="Times New Roman"/>
        </w:rPr>
      </w:pPr>
      <w:r>
        <w:rPr>
          <w:rFonts w:ascii="Times New Roman"/>
        </w:rPr>
        <w:t>施工能耗（电、水）及碳排放数据实时上传至管理平台，超标时自动预警。</w:t>
      </w:r>
    </w:p>
    <w:p w14:paraId="41F3DB4E">
      <w:pPr>
        <w:pStyle w:val="164"/>
        <w:rPr>
          <w:rFonts w:ascii="Times New Roman"/>
        </w:rPr>
      </w:pPr>
      <w:r>
        <w:rPr>
          <w:rFonts w:ascii="Times New Roman"/>
        </w:rPr>
        <w:t>关键设备（如起重机、切割机）安装定位传感器，监控使用效率及安全状态。</w:t>
      </w:r>
    </w:p>
    <w:p w14:paraId="433128E9">
      <w:pPr>
        <w:pStyle w:val="105"/>
        <w:spacing w:before="120" w:after="120"/>
        <w:rPr>
          <w:rFonts w:ascii="Times New Roman"/>
        </w:rPr>
      </w:pPr>
      <w:r>
        <w:rPr>
          <w:rFonts w:ascii="Times New Roman"/>
        </w:rPr>
        <w:t>特殊情况处理</w:t>
      </w:r>
    </w:p>
    <w:p w14:paraId="4FFB49DC">
      <w:pPr>
        <w:pStyle w:val="65"/>
        <w:spacing w:before="120" w:after="120"/>
        <w:rPr>
          <w:rFonts w:ascii="Times New Roman"/>
        </w:rPr>
      </w:pPr>
      <w:r>
        <w:rPr>
          <w:rFonts w:ascii="Times New Roman"/>
        </w:rPr>
        <w:t>极端气候施工</w:t>
      </w:r>
    </w:p>
    <w:p w14:paraId="127EAC10">
      <w:pPr>
        <w:pStyle w:val="164"/>
        <w:rPr>
          <w:rFonts w:ascii="Times New Roman"/>
        </w:rPr>
      </w:pPr>
      <w:r>
        <w:rPr>
          <w:rFonts w:ascii="Times New Roman"/>
        </w:rPr>
        <w:t>高温环境（≥35℃）下，密封胶施打应避开日光直射时段，固化期间采取遮阳措施。</w:t>
      </w:r>
    </w:p>
    <w:p w14:paraId="209BA314">
      <w:pPr>
        <w:pStyle w:val="164"/>
        <w:rPr>
          <w:rFonts w:ascii="Times New Roman"/>
        </w:rPr>
      </w:pPr>
      <w:r>
        <w:rPr>
          <w:rFonts w:ascii="Times New Roman"/>
        </w:rPr>
        <w:t>低温环境（≤5℃）施工时，发泡剂应选用冬季专用型号，并延长养护时间至48 h。</w:t>
      </w:r>
    </w:p>
    <w:p w14:paraId="0DCBF1C3">
      <w:pPr>
        <w:pStyle w:val="65"/>
        <w:spacing w:before="120" w:after="120"/>
        <w:rPr>
          <w:rFonts w:ascii="Times New Roman"/>
        </w:rPr>
      </w:pPr>
      <w:r>
        <w:rPr>
          <w:rFonts w:ascii="Times New Roman"/>
        </w:rPr>
        <w:t>既有建筑改造</w:t>
      </w:r>
    </w:p>
    <w:p w14:paraId="68B09B5A">
      <w:pPr>
        <w:pStyle w:val="164"/>
        <w:rPr>
          <w:rFonts w:ascii="Times New Roman"/>
        </w:rPr>
      </w:pPr>
      <w:r>
        <w:rPr>
          <w:rFonts w:ascii="Times New Roman"/>
        </w:rPr>
        <w:t>旧窗拆除前应评估结构安全，优先采用无损拆卸工艺，回收材料分类率应≥80%。</w:t>
      </w:r>
    </w:p>
    <w:p w14:paraId="52DA55D2">
      <w:pPr>
        <w:pStyle w:val="164"/>
        <w:rPr>
          <w:rFonts w:ascii="Times New Roman"/>
        </w:rPr>
      </w:pPr>
      <w:r>
        <w:rPr>
          <w:rFonts w:ascii="Times New Roman"/>
        </w:rPr>
        <w:t>洞口修复应采用轻质节能材料（如发泡陶瓷），传热系数不应高于原结构20%。</w:t>
      </w:r>
    </w:p>
    <w:p w14:paraId="1D7256EB">
      <w:pPr>
        <w:pStyle w:val="104"/>
        <w:spacing w:before="240" w:after="240"/>
        <w:rPr>
          <w:rFonts w:ascii="Times New Roman"/>
        </w:rPr>
      </w:pPr>
      <w:bookmarkStart w:id="61" w:name="_Toc192774064"/>
      <w:bookmarkStart w:id="62" w:name="_Toc192773927"/>
      <w:r>
        <w:rPr>
          <w:rFonts w:ascii="Times New Roman"/>
        </w:rPr>
        <w:t>质量控制与验收</w:t>
      </w:r>
      <w:bookmarkEnd w:id="61"/>
      <w:bookmarkEnd w:id="62"/>
    </w:p>
    <w:p w14:paraId="4EE4ACD8">
      <w:pPr>
        <w:pStyle w:val="105"/>
        <w:spacing w:before="120" w:after="120"/>
        <w:rPr>
          <w:rFonts w:ascii="Times New Roman"/>
        </w:rPr>
      </w:pPr>
      <w:r>
        <w:rPr>
          <w:rFonts w:ascii="Times New Roman"/>
        </w:rPr>
        <w:t>基本要求</w:t>
      </w:r>
    </w:p>
    <w:p w14:paraId="47DBDDB3">
      <w:pPr>
        <w:pStyle w:val="165"/>
        <w:rPr>
          <w:rFonts w:ascii="Times New Roman"/>
        </w:rPr>
      </w:pPr>
      <w:r>
        <w:rPr>
          <w:rFonts w:ascii="Times New Roman"/>
        </w:rPr>
        <w:t>施工单位应建立绿色低碳专项质量管理体系，明确项目经理为第一责任人，配备专职质检员。</w:t>
      </w:r>
    </w:p>
    <w:p w14:paraId="58D5048D">
      <w:pPr>
        <w:pStyle w:val="165"/>
        <w:rPr>
          <w:rFonts w:ascii="Times New Roman"/>
        </w:rPr>
      </w:pPr>
      <w:r>
        <w:rPr>
          <w:rFonts w:ascii="Times New Roman"/>
        </w:rPr>
        <w:t>监理单位应对关键工序（如气密层施工、热桥阻断）进行旁站监督，并留存影像记录。</w:t>
      </w:r>
    </w:p>
    <w:p w14:paraId="06D2E0C2">
      <w:pPr>
        <w:pStyle w:val="165"/>
        <w:rPr>
          <w:rFonts w:ascii="Times New Roman"/>
        </w:rPr>
      </w:pPr>
      <w:r>
        <w:rPr>
          <w:rFonts w:ascii="Times New Roman"/>
        </w:rPr>
        <w:t>质量控制与验收应执行GB 50210的有关规定。</w:t>
      </w:r>
    </w:p>
    <w:p w14:paraId="63051F22">
      <w:pPr>
        <w:pStyle w:val="165"/>
        <w:rPr>
          <w:rFonts w:ascii="Times New Roman"/>
        </w:rPr>
      </w:pPr>
      <w:r>
        <w:rPr>
          <w:rFonts w:ascii="Times New Roman"/>
        </w:rPr>
        <w:t>新材料、新工艺的验收标准应通过专家论证并形成补充技术文件。</w:t>
      </w:r>
    </w:p>
    <w:p w14:paraId="56885613">
      <w:pPr>
        <w:pStyle w:val="105"/>
        <w:spacing w:before="120" w:after="120"/>
        <w:rPr>
          <w:rFonts w:ascii="Times New Roman"/>
        </w:rPr>
      </w:pPr>
      <w:r>
        <w:rPr>
          <w:rFonts w:ascii="Times New Roman"/>
        </w:rPr>
        <w:t>施工过程质量控制</w:t>
      </w:r>
    </w:p>
    <w:p w14:paraId="475AF5B0">
      <w:pPr>
        <w:pStyle w:val="65"/>
        <w:spacing w:before="120" w:after="120"/>
        <w:rPr>
          <w:rFonts w:ascii="Times New Roman"/>
        </w:rPr>
      </w:pPr>
      <w:r>
        <w:rPr>
          <w:rFonts w:ascii="Times New Roman"/>
        </w:rPr>
        <w:t>材料与构件检验</w:t>
      </w:r>
    </w:p>
    <w:p w14:paraId="41E124D6">
      <w:pPr>
        <w:pStyle w:val="164"/>
        <w:rPr>
          <w:rFonts w:ascii="Times New Roman"/>
        </w:rPr>
      </w:pPr>
      <w:r>
        <w:rPr>
          <w:rFonts w:ascii="Times New Roman"/>
        </w:rPr>
        <w:t>进场材料应本文件完成复检，不合格材料退场记录应存档备查。</w:t>
      </w:r>
    </w:p>
    <w:p w14:paraId="754F0CB1">
      <w:pPr>
        <w:pStyle w:val="164"/>
        <w:rPr>
          <w:rFonts w:ascii="Times New Roman"/>
        </w:rPr>
      </w:pPr>
      <w:r>
        <w:rPr>
          <w:rFonts w:ascii="Times New Roman"/>
        </w:rPr>
        <w:t>工厂预制的门窗构件应提供出厂合格证及第三方检测报告，现场抽检比例不低于5%。</w:t>
      </w:r>
    </w:p>
    <w:p w14:paraId="74A6D22A">
      <w:pPr>
        <w:pStyle w:val="65"/>
        <w:spacing w:before="120" w:after="120"/>
        <w:rPr>
          <w:rFonts w:ascii="Times New Roman"/>
        </w:rPr>
      </w:pPr>
      <w:r>
        <w:rPr>
          <w:rFonts w:ascii="Times New Roman"/>
        </w:rPr>
        <w:t>关键工序控制</w:t>
      </w:r>
    </w:p>
    <w:p w14:paraId="3D6154F1">
      <w:pPr>
        <w:pStyle w:val="164"/>
        <w:rPr>
          <w:rFonts w:ascii="Times New Roman"/>
        </w:rPr>
      </w:pPr>
      <w:r>
        <w:rPr>
          <w:rFonts w:ascii="Times New Roman"/>
        </w:rPr>
        <w:t>锚固点安装后应进行全数检查，锚栓抗拔力抽检比例不低于3%，单点抗拔力不应小于设计值的1.2倍。</w:t>
      </w:r>
    </w:p>
    <w:p w14:paraId="5A046DAD">
      <w:pPr>
        <w:pStyle w:val="164"/>
        <w:rPr>
          <w:rFonts w:ascii="Times New Roman"/>
        </w:rPr>
      </w:pPr>
      <w:r>
        <w:rPr>
          <w:rFonts w:ascii="Times New Roman"/>
        </w:rPr>
        <w:t>密封胶施打前应做粘结性试验，每500 m胶缝至少取1组试样，剥离强度不应低于0.5 N/mm。</w:t>
      </w:r>
    </w:p>
    <w:p w14:paraId="76F074AA">
      <w:pPr>
        <w:pStyle w:val="65"/>
        <w:spacing w:before="120" w:after="120"/>
        <w:rPr>
          <w:rFonts w:ascii="Times New Roman"/>
        </w:rPr>
      </w:pPr>
      <w:r>
        <w:rPr>
          <w:rFonts w:ascii="Times New Roman"/>
        </w:rPr>
        <w:t>隐蔽工程验收</w:t>
      </w:r>
    </w:p>
    <w:p w14:paraId="20886F99">
      <w:pPr>
        <w:pStyle w:val="164"/>
        <w:rPr>
          <w:rFonts w:ascii="Times New Roman"/>
        </w:rPr>
      </w:pPr>
      <w:r>
        <w:rPr>
          <w:rFonts w:ascii="Times New Roman"/>
        </w:rPr>
        <w:t>发泡剂填充、隔汽膜施工等隐蔽工程，应在覆盖前进行验收，验收记录应包含检测数据及监理签字。</w:t>
      </w:r>
    </w:p>
    <w:p w14:paraId="2D2E128F">
      <w:pPr>
        <w:pStyle w:val="164"/>
        <w:rPr>
          <w:rFonts w:ascii="Times New Roman"/>
        </w:rPr>
      </w:pPr>
      <w:r>
        <w:rPr>
          <w:rFonts w:ascii="Times New Roman"/>
        </w:rPr>
        <w:t>热桥阻断措施验收时，红外热成像检测温差应≤1.5 ℃，异常区域应返工并重新检测。</w:t>
      </w:r>
    </w:p>
    <w:p w14:paraId="5B8AB77D">
      <w:pPr>
        <w:pStyle w:val="105"/>
        <w:spacing w:before="120" w:after="120"/>
        <w:rPr>
          <w:rFonts w:ascii="Times New Roman"/>
        </w:rPr>
      </w:pPr>
      <w:r>
        <w:rPr>
          <w:rFonts w:ascii="Times New Roman"/>
        </w:rPr>
        <w:t>验收程序与要求</w:t>
      </w:r>
    </w:p>
    <w:p w14:paraId="73AE1172">
      <w:pPr>
        <w:pStyle w:val="65"/>
        <w:spacing w:before="120" w:after="120"/>
        <w:rPr>
          <w:rFonts w:ascii="Times New Roman"/>
        </w:rPr>
      </w:pPr>
      <w:r>
        <w:rPr>
          <w:rFonts w:ascii="Times New Roman"/>
        </w:rPr>
        <w:t>分部分项验收</w:t>
      </w:r>
    </w:p>
    <w:p w14:paraId="6FA52D86">
      <w:pPr>
        <w:pStyle w:val="164"/>
        <w:rPr>
          <w:rFonts w:ascii="Times New Roman"/>
        </w:rPr>
      </w:pPr>
      <w:r>
        <w:rPr>
          <w:rFonts w:ascii="Times New Roman"/>
        </w:rPr>
        <w:t>门窗工程应划分为框体安装、玻璃装配、密封处理等分项工程，每分项完工后应进行中间验收。</w:t>
      </w:r>
    </w:p>
    <w:p w14:paraId="2ED04FE9">
      <w:pPr>
        <w:pStyle w:val="164"/>
        <w:rPr>
          <w:rFonts w:ascii="Times New Roman"/>
        </w:rPr>
      </w:pPr>
      <w:r>
        <w:rPr>
          <w:rFonts w:ascii="Times New Roman"/>
        </w:rPr>
        <w:t>分项工程主控项目（如气密性、抗风压性能）合格率应达100%，一般项目合格率不低于90%。</w:t>
      </w:r>
    </w:p>
    <w:p w14:paraId="08967C95">
      <w:pPr>
        <w:pStyle w:val="65"/>
        <w:spacing w:before="120" w:after="120"/>
        <w:rPr>
          <w:rFonts w:ascii="Times New Roman"/>
        </w:rPr>
      </w:pPr>
      <w:r>
        <w:rPr>
          <w:rFonts w:ascii="Times New Roman"/>
        </w:rPr>
        <w:t>节能专项验收</w:t>
      </w:r>
    </w:p>
    <w:p w14:paraId="066709CD">
      <w:pPr>
        <w:pStyle w:val="164"/>
        <w:rPr>
          <w:rFonts w:ascii="Times New Roman"/>
        </w:rPr>
      </w:pPr>
      <w:r>
        <w:rPr>
          <w:rFonts w:ascii="Times New Roman"/>
        </w:rPr>
        <w:t>外窗传热系数、遮阳系数等指标应通过第三方能效测评，并提供检测报告。</w:t>
      </w:r>
    </w:p>
    <w:p w14:paraId="39EFBED0">
      <w:pPr>
        <w:pStyle w:val="164"/>
        <w:rPr>
          <w:rFonts w:ascii="Times New Roman"/>
        </w:rPr>
      </w:pPr>
      <w:r>
        <w:rPr>
          <w:rFonts w:ascii="Times New Roman"/>
        </w:rPr>
        <w:t>现场气密性检测抽检数量不少于同类型门窗总数的5%。</w:t>
      </w:r>
    </w:p>
    <w:p w14:paraId="3D77F406">
      <w:pPr>
        <w:pStyle w:val="65"/>
        <w:spacing w:before="120" w:after="120"/>
        <w:rPr>
          <w:rFonts w:ascii="Times New Roman"/>
        </w:rPr>
      </w:pPr>
      <w:r>
        <w:rPr>
          <w:rFonts w:ascii="Times New Roman"/>
        </w:rPr>
        <w:t>环保验收</w:t>
      </w:r>
    </w:p>
    <w:p w14:paraId="58887DDB">
      <w:pPr>
        <w:pStyle w:val="164"/>
        <w:rPr>
          <w:rFonts w:ascii="Times New Roman"/>
        </w:rPr>
      </w:pPr>
      <w:r>
        <w:rPr>
          <w:rFonts w:ascii="Times New Roman"/>
        </w:rPr>
        <w:t>竣工后室内空气质量检测应符合GB 50325要求，甲醛浓度≤0.07 mg/m³，TVOC≤0.45 mg/m³。</w:t>
      </w:r>
    </w:p>
    <w:p w14:paraId="07512D5A">
      <w:pPr>
        <w:pStyle w:val="164"/>
        <w:rPr>
          <w:rFonts w:ascii="Times New Roman"/>
        </w:rPr>
      </w:pPr>
      <w:r>
        <w:rPr>
          <w:rFonts w:ascii="Times New Roman"/>
        </w:rPr>
        <w:t>施工阶段碳排放数据需核算并形成报告，单位面积碳排放强度不应高于行业基准值10%。</w:t>
      </w:r>
    </w:p>
    <w:p w14:paraId="504593A9">
      <w:pPr>
        <w:pStyle w:val="105"/>
        <w:spacing w:before="120" w:after="120"/>
        <w:rPr>
          <w:rFonts w:ascii="Times New Roman"/>
        </w:rPr>
      </w:pPr>
      <w:r>
        <w:rPr>
          <w:rFonts w:ascii="Times New Roman"/>
        </w:rPr>
        <w:t>文件与记录管理</w:t>
      </w:r>
    </w:p>
    <w:p w14:paraId="183E9C8E">
      <w:pPr>
        <w:pStyle w:val="65"/>
        <w:spacing w:before="120" w:after="120"/>
        <w:rPr>
          <w:rFonts w:ascii="Times New Roman"/>
        </w:rPr>
      </w:pPr>
      <w:r>
        <w:rPr>
          <w:rFonts w:ascii="Times New Roman"/>
        </w:rPr>
        <w:t>验收文件</w:t>
      </w:r>
    </w:p>
    <w:p w14:paraId="27B325D9">
      <w:pPr>
        <w:pStyle w:val="164"/>
        <w:rPr>
          <w:rFonts w:ascii="Times New Roman"/>
        </w:rPr>
      </w:pPr>
      <w:r>
        <w:rPr>
          <w:rFonts w:ascii="Times New Roman"/>
        </w:rPr>
        <w:t>工程竣工时应提交以下资料：</w:t>
      </w:r>
    </w:p>
    <w:p w14:paraId="1EBFC748">
      <w:pPr>
        <w:pStyle w:val="132"/>
        <w:rPr>
          <w:rFonts w:ascii="Times New Roman"/>
        </w:rPr>
      </w:pPr>
      <w:r>
        <w:rPr>
          <w:rFonts w:ascii="Times New Roman"/>
        </w:rPr>
        <w:t>材料合格证、碳足迹报告及复检记录；</w:t>
      </w:r>
    </w:p>
    <w:p w14:paraId="3E4CD9A4">
      <w:pPr>
        <w:pStyle w:val="132"/>
        <w:rPr>
          <w:rFonts w:ascii="Times New Roman"/>
        </w:rPr>
      </w:pPr>
      <w:r>
        <w:rPr>
          <w:rFonts w:ascii="Times New Roman"/>
        </w:rPr>
        <w:t>隐蔽工程影像资料及验收单；</w:t>
      </w:r>
    </w:p>
    <w:p w14:paraId="2546432B">
      <w:pPr>
        <w:pStyle w:val="132"/>
        <w:rPr>
          <w:rFonts w:ascii="Times New Roman"/>
        </w:rPr>
      </w:pPr>
      <w:r>
        <w:rPr>
          <w:rFonts w:ascii="Times New Roman"/>
        </w:rPr>
        <w:t>气密性、热工性能检测报告；</w:t>
      </w:r>
    </w:p>
    <w:p w14:paraId="138B9341">
      <w:pPr>
        <w:pStyle w:val="132"/>
        <w:rPr>
          <w:rFonts w:ascii="Times New Roman"/>
        </w:rPr>
      </w:pPr>
      <w:r>
        <w:rPr>
          <w:rFonts w:ascii="Times New Roman"/>
        </w:rPr>
        <w:t>监理单位签署的质量评估报告。</w:t>
      </w:r>
    </w:p>
    <w:p w14:paraId="6C9CD4CA">
      <w:pPr>
        <w:pStyle w:val="164"/>
        <w:rPr>
          <w:rFonts w:ascii="Times New Roman"/>
        </w:rPr>
      </w:pPr>
      <w:r>
        <w:rPr>
          <w:rFonts w:ascii="Times New Roman"/>
        </w:rPr>
        <w:t>电子档案应保存至工程保修期结束后5年，纸质档案保存期限不少于10年。</w:t>
      </w:r>
    </w:p>
    <w:p w14:paraId="579C41B7">
      <w:pPr>
        <w:pStyle w:val="65"/>
        <w:spacing w:before="120" w:after="120"/>
        <w:rPr>
          <w:rFonts w:ascii="Times New Roman"/>
        </w:rPr>
      </w:pPr>
      <w:r>
        <w:rPr>
          <w:rFonts w:ascii="Times New Roman"/>
        </w:rPr>
        <w:t>可追溯性</w:t>
      </w:r>
    </w:p>
    <w:p w14:paraId="1BEC62DF">
      <w:pPr>
        <w:pStyle w:val="164"/>
        <w:rPr>
          <w:rFonts w:ascii="Times New Roman"/>
        </w:rPr>
      </w:pPr>
      <w:r>
        <w:rPr>
          <w:rFonts w:ascii="Times New Roman"/>
        </w:rPr>
        <w:t>关键材料（如密封胶、隔热条）应保留生产批次号及供应商信息，实现全生命周期追溯。</w:t>
      </w:r>
    </w:p>
    <w:p w14:paraId="5699CA05">
      <w:pPr>
        <w:pStyle w:val="164"/>
        <w:rPr>
          <w:rFonts w:ascii="Times New Roman"/>
        </w:rPr>
      </w:pPr>
      <w:r>
        <w:rPr>
          <w:rFonts w:ascii="Times New Roman"/>
        </w:rPr>
        <w:t>质量问题的处理记录应完整归档，包括原因分析、整改措施及复验结果。</w:t>
      </w:r>
    </w:p>
    <w:p w14:paraId="64E806D1">
      <w:pPr>
        <w:pStyle w:val="105"/>
        <w:spacing w:before="120" w:after="120"/>
        <w:rPr>
          <w:rFonts w:ascii="Times New Roman"/>
        </w:rPr>
      </w:pPr>
      <w:r>
        <w:rPr>
          <w:rFonts w:ascii="Times New Roman"/>
        </w:rPr>
        <w:t>不合格项处理</w:t>
      </w:r>
    </w:p>
    <w:p w14:paraId="42331418">
      <w:pPr>
        <w:pStyle w:val="165"/>
        <w:rPr>
          <w:rFonts w:ascii="Times New Roman"/>
        </w:rPr>
      </w:pPr>
      <w:r>
        <w:rPr>
          <w:rFonts w:ascii="Times New Roman"/>
        </w:rPr>
        <w:t>验收中发现的不合格项应在7日内制定整改方案，重大缺陷（如气密性不达标）应停工整改。</w:t>
      </w:r>
    </w:p>
    <w:p w14:paraId="3C96B4D6">
      <w:pPr>
        <w:pStyle w:val="165"/>
        <w:rPr>
          <w:rFonts w:ascii="Times New Roman"/>
        </w:rPr>
      </w:pPr>
      <w:r>
        <w:rPr>
          <w:rFonts w:ascii="Times New Roman"/>
        </w:rPr>
        <w:t>返工后的工程应重新组织验收，同一部位返工次数不应超过2次。</w:t>
      </w:r>
    </w:p>
    <w:p w14:paraId="23C04FE2">
      <w:pPr>
        <w:pStyle w:val="165"/>
        <w:rPr>
          <w:rFonts w:ascii="Times New Roman"/>
        </w:rPr>
      </w:pPr>
      <w:r>
        <w:rPr>
          <w:rFonts w:ascii="Times New Roman"/>
        </w:rPr>
        <w:t>对检测结果存在争议时，可委托省级以上建设工程质量检测机构复检，费用由责任方承担。</w:t>
      </w:r>
    </w:p>
    <w:p w14:paraId="23C548B3">
      <w:pPr>
        <w:pStyle w:val="165"/>
        <w:rPr>
          <w:rFonts w:ascii="Times New Roman"/>
        </w:rPr>
      </w:pPr>
      <w:r>
        <w:rPr>
          <w:rFonts w:ascii="Times New Roman"/>
        </w:rPr>
        <w:t>绿色低碳性能争议应依据设计文件、施工方案及行业专家论证结果判定。</w:t>
      </w:r>
    </w:p>
    <w:p w14:paraId="5FA02C25">
      <w:pPr>
        <w:pStyle w:val="104"/>
        <w:spacing w:before="240" w:after="240"/>
        <w:rPr>
          <w:rFonts w:ascii="Times New Roman"/>
        </w:rPr>
      </w:pPr>
      <w:bookmarkStart w:id="63" w:name="_Toc192774065"/>
      <w:bookmarkStart w:id="64" w:name="_Toc192773928"/>
      <w:r>
        <w:rPr>
          <w:rFonts w:ascii="Times New Roman"/>
        </w:rPr>
        <w:t>安全与环保管理</w:t>
      </w:r>
      <w:bookmarkEnd w:id="63"/>
      <w:bookmarkEnd w:id="64"/>
    </w:p>
    <w:p w14:paraId="1ECA7B22">
      <w:pPr>
        <w:pStyle w:val="105"/>
        <w:spacing w:before="120" w:after="120"/>
        <w:rPr>
          <w:rFonts w:ascii="Times New Roman"/>
        </w:rPr>
      </w:pPr>
      <w:r>
        <w:rPr>
          <w:rFonts w:ascii="Times New Roman"/>
        </w:rPr>
        <w:t>基本要求</w:t>
      </w:r>
    </w:p>
    <w:p w14:paraId="58E28C36">
      <w:pPr>
        <w:pStyle w:val="65"/>
        <w:spacing w:before="120" w:after="120"/>
        <w:rPr>
          <w:rFonts w:ascii="Times New Roman"/>
        </w:rPr>
      </w:pPr>
      <w:r>
        <w:rPr>
          <w:rFonts w:ascii="Times New Roman"/>
        </w:rPr>
        <w:t>管理体系</w:t>
      </w:r>
    </w:p>
    <w:p w14:paraId="0C5177F7">
      <w:pPr>
        <w:pStyle w:val="164"/>
        <w:rPr>
          <w:rFonts w:ascii="Times New Roman"/>
        </w:rPr>
      </w:pPr>
      <w:r>
        <w:rPr>
          <w:rFonts w:ascii="Times New Roman"/>
        </w:rPr>
        <w:t>施工单位应建立安全生产责任制，明确项目经理为安全第一责任人，配备专职安全员。</w:t>
      </w:r>
    </w:p>
    <w:p w14:paraId="2C73F0C9">
      <w:pPr>
        <w:pStyle w:val="164"/>
        <w:rPr>
          <w:rFonts w:ascii="Times New Roman"/>
        </w:rPr>
      </w:pPr>
      <w:r>
        <w:rPr>
          <w:rFonts w:ascii="Times New Roman"/>
        </w:rPr>
        <w:t>编制绿色低碳施工安全专项方案，涵盖危险源辨识、应急预案及安全技术交底等内容。</w:t>
      </w:r>
    </w:p>
    <w:p w14:paraId="76E90F61">
      <w:pPr>
        <w:pStyle w:val="65"/>
        <w:spacing w:before="120" w:after="120"/>
        <w:rPr>
          <w:rFonts w:ascii="Times New Roman"/>
        </w:rPr>
      </w:pPr>
      <w:r>
        <w:rPr>
          <w:rFonts w:ascii="Times New Roman"/>
        </w:rPr>
        <w:t>安全培训</w:t>
      </w:r>
    </w:p>
    <w:p w14:paraId="28AF6AEF">
      <w:pPr>
        <w:pStyle w:val="164"/>
        <w:rPr>
          <w:rFonts w:ascii="Times New Roman"/>
        </w:rPr>
      </w:pPr>
      <w:r>
        <w:rPr>
          <w:rFonts w:ascii="Times New Roman"/>
        </w:rPr>
        <w:t>作业人员上岗前应接受安全培训，重点包括高空作业、用电安全及环保设备操作规范。</w:t>
      </w:r>
    </w:p>
    <w:p w14:paraId="6CA622B2">
      <w:pPr>
        <w:pStyle w:val="164"/>
        <w:rPr>
          <w:rFonts w:ascii="Times New Roman"/>
        </w:rPr>
      </w:pPr>
      <w:r>
        <w:rPr>
          <w:rFonts w:ascii="Times New Roman"/>
        </w:rPr>
        <w:t>每季度组织一次应急演练，内容涵盖火灾、高空坠落及有害气体泄漏等场景。</w:t>
      </w:r>
    </w:p>
    <w:p w14:paraId="3C8DF8A1">
      <w:pPr>
        <w:pStyle w:val="105"/>
        <w:spacing w:before="120" w:after="120"/>
        <w:rPr>
          <w:rFonts w:ascii="Times New Roman"/>
        </w:rPr>
      </w:pPr>
      <w:r>
        <w:rPr>
          <w:rFonts w:ascii="Times New Roman"/>
        </w:rPr>
        <w:t>现场安全控制</w:t>
      </w:r>
    </w:p>
    <w:p w14:paraId="2D881CF8">
      <w:pPr>
        <w:pStyle w:val="65"/>
        <w:spacing w:before="120" w:after="120"/>
        <w:rPr>
          <w:rFonts w:ascii="Times New Roman"/>
        </w:rPr>
      </w:pPr>
      <w:r>
        <w:rPr>
          <w:rFonts w:ascii="Times New Roman"/>
        </w:rPr>
        <w:t>高空作业</w:t>
      </w:r>
    </w:p>
    <w:p w14:paraId="06EDB14E">
      <w:pPr>
        <w:pStyle w:val="164"/>
        <w:rPr>
          <w:rFonts w:ascii="Times New Roman"/>
        </w:rPr>
      </w:pPr>
      <w:r>
        <w:rPr>
          <w:rFonts w:ascii="Times New Roman"/>
        </w:rPr>
        <w:t>高度≥2 m的临边作业应设置双道安全绳，安全带悬挂点应独立于作业平台。</w:t>
      </w:r>
    </w:p>
    <w:p w14:paraId="67B7B408">
      <w:pPr>
        <w:pStyle w:val="164"/>
        <w:rPr>
          <w:rFonts w:ascii="Times New Roman"/>
        </w:rPr>
      </w:pPr>
      <w:r>
        <w:rPr>
          <w:rFonts w:ascii="Times New Roman"/>
        </w:rPr>
        <w:t>移动式脚手架承载力应≥2.0 kN/m²，搭设完成后应经第三方检测验收。</w:t>
      </w:r>
    </w:p>
    <w:p w14:paraId="0D8287AD">
      <w:pPr>
        <w:pStyle w:val="65"/>
        <w:spacing w:before="120" w:after="120"/>
        <w:rPr>
          <w:rFonts w:ascii="Times New Roman"/>
        </w:rPr>
      </w:pPr>
      <w:r>
        <w:rPr>
          <w:rFonts w:ascii="Times New Roman"/>
        </w:rPr>
        <w:t>临时用电</w:t>
      </w:r>
    </w:p>
    <w:p w14:paraId="6827A861">
      <w:pPr>
        <w:pStyle w:val="164"/>
        <w:rPr>
          <w:rFonts w:ascii="Times New Roman"/>
        </w:rPr>
      </w:pPr>
      <w:r>
        <w:rPr>
          <w:rFonts w:ascii="Times New Roman"/>
        </w:rPr>
        <w:t>配电箱应设置漏电保护装置，漏电动作电流≤30 mA，接地电阻≤4 Ω。</w:t>
      </w:r>
    </w:p>
    <w:p w14:paraId="54738560">
      <w:pPr>
        <w:pStyle w:val="164"/>
        <w:rPr>
          <w:rFonts w:ascii="Times New Roman"/>
        </w:rPr>
      </w:pPr>
      <w:r>
        <w:rPr>
          <w:rFonts w:ascii="Times New Roman"/>
        </w:rPr>
        <w:t>电缆敷设应架空或穿管保护，不应拖地使用，潮湿区域采用24 V安全电压照明。</w:t>
      </w:r>
    </w:p>
    <w:p w14:paraId="6ED0A28B">
      <w:pPr>
        <w:pStyle w:val="65"/>
        <w:spacing w:before="120" w:after="120"/>
        <w:rPr>
          <w:rFonts w:ascii="Times New Roman"/>
        </w:rPr>
      </w:pPr>
      <w:r>
        <w:rPr>
          <w:rFonts w:ascii="Times New Roman"/>
        </w:rPr>
        <w:t>机械设备</w:t>
      </w:r>
    </w:p>
    <w:p w14:paraId="5F33EA29">
      <w:pPr>
        <w:pStyle w:val="164"/>
        <w:rPr>
          <w:rFonts w:ascii="Times New Roman"/>
        </w:rPr>
      </w:pPr>
      <w:r>
        <w:rPr>
          <w:rFonts w:ascii="Times New Roman"/>
        </w:rPr>
        <w:t>切割机、钻床等设备应安装防护罩，操作人员应佩戴防尘口罩及护目镜。</w:t>
      </w:r>
    </w:p>
    <w:p w14:paraId="65AB108B">
      <w:pPr>
        <w:pStyle w:val="164"/>
        <w:rPr>
          <w:rFonts w:ascii="Times New Roman"/>
        </w:rPr>
      </w:pPr>
      <w:r>
        <w:rPr>
          <w:rFonts w:ascii="Times New Roman"/>
        </w:rPr>
        <w:t>起重机械应提供特种设备检验合格证，吊装作业时设置警戒区并专人指挥。</w:t>
      </w:r>
    </w:p>
    <w:p w14:paraId="6EA682AE">
      <w:pPr>
        <w:pStyle w:val="105"/>
        <w:spacing w:before="120" w:after="120"/>
        <w:rPr>
          <w:rFonts w:ascii="Times New Roman"/>
        </w:rPr>
      </w:pPr>
      <w:r>
        <w:rPr>
          <w:rFonts w:ascii="Times New Roman"/>
        </w:rPr>
        <w:t>环境保护管理</w:t>
      </w:r>
    </w:p>
    <w:p w14:paraId="04F0336B">
      <w:pPr>
        <w:pStyle w:val="65"/>
        <w:spacing w:before="120" w:after="120"/>
        <w:rPr>
          <w:rFonts w:ascii="Times New Roman"/>
        </w:rPr>
      </w:pPr>
      <w:r>
        <w:rPr>
          <w:rFonts w:ascii="Times New Roman"/>
        </w:rPr>
        <w:t>扬尘控制</w:t>
      </w:r>
    </w:p>
    <w:p w14:paraId="7A4D0F09">
      <w:pPr>
        <w:pStyle w:val="164"/>
        <w:rPr>
          <w:rFonts w:ascii="Times New Roman"/>
        </w:rPr>
      </w:pPr>
      <w:r>
        <w:rPr>
          <w:rFonts w:ascii="Times New Roman"/>
        </w:rPr>
        <w:t>切割、钻孔等产尘工序应湿法作业或配备移动式除尘设备，PM10浓度实时监测值≤150 μg/m³。</w:t>
      </w:r>
    </w:p>
    <w:p w14:paraId="7946D84F">
      <w:pPr>
        <w:pStyle w:val="164"/>
        <w:rPr>
          <w:rFonts w:ascii="Times New Roman"/>
        </w:rPr>
      </w:pPr>
      <w:r>
        <w:rPr>
          <w:rFonts w:ascii="Times New Roman"/>
        </w:rPr>
        <w:t>露天材料堆场应覆盖防尘网，场地硬化率≥80%，出入口设置车辆冲洗装置。</w:t>
      </w:r>
    </w:p>
    <w:p w14:paraId="2DE53B46">
      <w:pPr>
        <w:pStyle w:val="65"/>
        <w:spacing w:before="120" w:after="120"/>
        <w:rPr>
          <w:rFonts w:ascii="Times New Roman"/>
        </w:rPr>
      </w:pPr>
      <w:r>
        <w:rPr>
          <w:rFonts w:ascii="Times New Roman"/>
        </w:rPr>
        <w:t>废弃物管理</w:t>
      </w:r>
    </w:p>
    <w:p w14:paraId="2F6B8BC3">
      <w:pPr>
        <w:pStyle w:val="164"/>
        <w:rPr>
          <w:rFonts w:ascii="Times New Roman"/>
        </w:rPr>
      </w:pPr>
      <w:r>
        <w:rPr>
          <w:rFonts w:ascii="Times New Roman"/>
        </w:rPr>
        <w:t>施工废弃物应按金属、玻璃、塑料、危险废物四类分置，其中危险废物（如胶桶、废涂料）移交有资质单位处理。</w:t>
      </w:r>
    </w:p>
    <w:p w14:paraId="4BDD92E1">
      <w:pPr>
        <w:pStyle w:val="164"/>
        <w:rPr>
          <w:rFonts w:ascii="Times New Roman"/>
        </w:rPr>
      </w:pPr>
      <w:r>
        <w:rPr>
          <w:rFonts w:ascii="Times New Roman"/>
        </w:rPr>
        <w:t>铝型材边角料回收率≥90%，发泡剂空罐返厂利用率≥50%。</w:t>
      </w:r>
    </w:p>
    <w:p w14:paraId="0E588FD1">
      <w:pPr>
        <w:pStyle w:val="65"/>
        <w:spacing w:before="120" w:after="120"/>
        <w:rPr>
          <w:rFonts w:ascii="Times New Roman"/>
        </w:rPr>
      </w:pPr>
      <w:r>
        <w:rPr>
          <w:rFonts w:ascii="Times New Roman"/>
        </w:rPr>
        <w:t>噪声控制</w:t>
      </w:r>
    </w:p>
    <w:p w14:paraId="5A80073E">
      <w:pPr>
        <w:pStyle w:val="164"/>
        <w:rPr>
          <w:rFonts w:ascii="Times New Roman"/>
        </w:rPr>
      </w:pPr>
      <w:r>
        <w:rPr>
          <w:rFonts w:ascii="Times New Roman"/>
        </w:rPr>
        <w:t>施工噪音昼间应≤65 dB（A）、夜间应≤55 dB（A），高噪声设备（如切割机）集中时段使用。</w:t>
      </w:r>
    </w:p>
    <w:p w14:paraId="7CA2B5A7">
      <w:pPr>
        <w:pStyle w:val="164"/>
        <w:rPr>
          <w:rFonts w:ascii="Times New Roman"/>
        </w:rPr>
      </w:pPr>
      <w:r>
        <w:rPr>
          <w:rFonts w:ascii="Times New Roman"/>
        </w:rPr>
        <w:t>临近居民区时，应设置隔声屏障或调整作业时间，并提前公示施工计划。</w:t>
      </w:r>
    </w:p>
    <w:p w14:paraId="091FC999">
      <w:pPr>
        <w:pStyle w:val="105"/>
        <w:spacing w:before="120" w:after="120"/>
        <w:rPr>
          <w:rFonts w:ascii="Times New Roman"/>
        </w:rPr>
      </w:pPr>
      <w:r>
        <w:rPr>
          <w:rFonts w:ascii="Times New Roman"/>
        </w:rPr>
        <w:t>碳排放与资源管理</w:t>
      </w:r>
    </w:p>
    <w:p w14:paraId="2385A4DC">
      <w:pPr>
        <w:pStyle w:val="65"/>
        <w:spacing w:before="120" w:after="120"/>
        <w:rPr>
          <w:rFonts w:ascii="Times New Roman"/>
        </w:rPr>
      </w:pPr>
      <w:r>
        <w:rPr>
          <w:rFonts w:ascii="Times New Roman"/>
        </w:rPr>
        <w:t>碳排放核算</w:t>
      </w:r>
    </w:p>
    <w:p w14:paraId="31276367">
      <w:pPr>
        <w:pStyle w:val="164"/>
        <w:rPr>
          <w:rFonts w:ascii="Times New Roman"/>
        </w:rPr>
      </w:pPr>
      <w:r>
        <w:rPr>
          <w:rFonts w:ascii="Times New Roman"/>
        </w:rPr>
        <w:t>施工阶段碳排放量应按GB/T 51366核算，单位面积碳排放强度比行业基准值降低≥10%。</w:t>
      </w:r>
    </w:p>
    <w:p w14:paraId="4F1D2EA6">
      <w:pPr>
        <w:pStyle w:val="164"/>
        <w:rPr>
          <w:rFonts w:ascii="Times New Roman"/>
        </w:rPr>
      </w:pPr>
      <w:r>
        <w:rPr>
          <w:rFonts w:ascii="Times New Roman"/>
        </w:rPr>
        <w:t>碳排放数据每月公示，超标时应制定整改措施并报监理备案。</w:t>
      </w:r>
    </w:p>
    <w:p w14:paraId="2D93740B">
      <w:pPr>
        <w:pStyle w:val="65"/>
        <w:spacing w:before="120" w:after="120"/>
        <w:rPr>
          <w:rFonts w:ascii="Times New Roman"/>
        </w:rPr>
      </w:pPr>
      <w:r>
        <w:rPr>
          <w:rFonts w:ascii="Times New Roman"/>
        </w:rPr>
        <w:t>资源节约</w:t>
      </w:r>
    </w:p>
    <w:p w14:paraId="434B6D3D">
      <w:pPr>
        <w:pStyle w:val="164"/>
        <w:rPr>
          <w:rFonts w:ascii="Times New Roman"/>
        </w:rPr>
      </w:pPr>
      <w:r>
        <w:rPr>
          <w:rFonts w:ascii="Times New Roman"/>
        </w:rPr>
        <w:t>模板、脚手架等周转材料重复使用率≥85%，临时设施应采用装配式构件。</w:t>
      </w:r>
    </w:p>
    <w:p w14:paraId="3FAA9EDE">
      <w:pPr>
        <w:pStyle w:val="164"/>
        <w:rPr>
          <w:rFonts w:ascii="Times New Roman"/>
        </w:rPr>
      </w:pPr>
      <w:r>
        <w:rPr>
          <w:rFonts w:ascii="Times New Roman"/>
        </w:rPr>
        <w:t>施工用水循环利用率≥60%，混凝土养护优先采用节水喷雾技术。</w:t>
      </w:r>
    </w:p>
    <w:p w14:paraId="50BB3A11">
      <w:pPr>
        <w:pStyle w:val="105"/>
        <w:spacing w:before="120" w:after="120"/>
        <w:rPr>
          <w:rFonts w:ascii="Times New Roman"/>
        </w:rPr>
      </w:pPr>
      <w:r>
        <w:rPr>
          <w:rFonts w:ascii="Times New Roman"/>
        </w:rPr>
        <w:t>事故应急管理</w:t>
      </w:r>
    </w:p>
    <w:p w14:paraId="39AF8713">
      <w:pPr>
        <w:pStyle w:val="65"/>
        <w:spacing w:before="120" w:after="120"/>
        <w:rPr>
          <w:rFonts w:ascii="Times New Roman"/>
        </w:rPr>
      </w:pPr>
      <w:r>
        <w:rPr>
          <w:rFonts w:ascii="Times New Roman"/>
        </w:rPr>
        <w:t>应急预案</w:t>
      </w:r>
    </w:p>
    <w:p w14:paraId="6079E009">
      <w:pPr>
        <w:pStyle w:val="164"/>
        <w:rPr>
          <w:rFonts w:ascii="Times New Roman"/>
        </w:rPr>
      </w:pPr>
      <w:r>
        <w:rPr>
          <w:rFonts w:ascii="Times New Roman"/>
        </w:rPr>
        <w:t>应制定专项应急预案，明确火灾、高空坠落、有害气体中毒等事故处置流程。</w:t>
      </w:r>
    </w:p>
    <w:p w14:paraId="3E94AC6F">
      <w:pPr>
        <w:pStyle w:val="164"/>
        <w:rPr>
          <w:rFonts w:ascii="Times New Roman"/>
        </w:rPr>
      </w:pPr>
      <w:r>
        <w:rPr>
          <w:rFonts w:ascii="Times New Roman"/>
        </w:rPr>
        <w:t>现场配备急救箱、AED除颤仪及洗眼装置，应急通道宽度≥1.5 m并保持畅通。</w:t>
      </w:r>
    </w:p>
    <w:p w14:paraId="68A7FF21">
      <w:pPr>
        <w:pStyle w:val="65"/>
        <w:spacing w:before="120" w:after="120"/>
        <w:rPr>
          <w:rFonts w:ascii="Times New Roman"/>
        </w:rPr>
      </w:pPr>
      <w:r>
        <w:rPr>
          <w:rFonts w:ascii="Times New Roman"/>
        </w:rPr>
        <w:t>事故报告</w:t>
      </w:r>
    </w:p>
    <w:p w14:paraId="0CD7DFAF">
      <w:pPr>
        <w:pStyle w:val="164"/>
        <w:rPr>
          <w:rFonts w:ascii="Times New Roman"/>
        </w:rPr>
      </w:pPr>
      <w:r>
        <w:rPr>
          <w:rFonts w:ascii="Times New Roman"/>
        </w:rPr>
        <w:t>发生安全事故后应1 h内上报监管部门，24 h内提交初步分析报告。</w:t>
      </w:r>
    </w:p>
    <w:p w14:paraId="4B945F96">
      <w:pPr>
        <w:pStyle w:val="164"/>
        <w:rPr>
          <w:rFonts w:ascii="Times New Roman"/>
        </w:rPr>
      </w:pPr>
      <w:r>
        <w:rPr>
          <w:rFonts w:ascii="Times New Roman"/>
        </w:rPr>
        <w:t>环保污染事件（如化学品泄漏）应立即启动围堵措施，并通报环保部门。</w:t>
      </w:r>
    </w:p>
    <w:bookmarkEnd w:id="25"/>
    <w:bookmarkEnd w:id="39"/>
    <w:p w14:paraId="24B39822">
      <w:pPr>
        <w:pStyle w:val="164"/>
        <w:numPr>
          <w:ilvl w:val="0"/>
          <w:numId w:val="0"/>
        </w:numPr>
        <w:jc w:val="center"/>
        <w:rPr>
          <w:rFonts w:hint="eastAsia"/>
        </w:rPr>
      </w:pPr>
      <w:bookmarkStart w:id="65" w:name="BookMark8"/>
      <w:r>
        <w:rPr>
          <w:rFonts w:hint="eastAsia"/>
        </w:rPr>
        <w:drawing>
          <wp:inline distT="0" distB="0" distL="0" distR="0">
            <wp:extent cx="1485900" cy="317500"/>
            <wp:effectExtent l="0" t="0" r="0" b="6350"/>
            <wp:docPr id="690612772" name="图片 1"/>
            <wp:cNvGraphicFramePr/>
            <a:graphic xmlns:a="http://schemas.openxmlformats.org/drawingml/2006/main">
              <a:graphicData uri="http://schemas.openxmlformats.org/drawingml/2006/picture">
                <pic:pic xmlns:pic="http://schemas.openxmlformats.org/drawingml/2006/picture">
                  <pic:nvPicPr>
                    <pic:cNvPr id="690612772"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1D31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3BE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0FB5">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019A">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D82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2E3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AA5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A33B9">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0E18">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283"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pVx/QFateMKsP1rmraFXB5OvSfbCQFeESppQ+X1kTOjB5dFoWSyWSO2qhFL+AX7e9FKrXtlk6fR1bVgpVS04fQ==" w:salt="CB6sKYSXJEfY108EcMnbN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4D"/>
    <w:rsid w:val="0000040A"/>
    <w:rsid w:val="00000A94"/>
    <w:rsid w:val="00001972"/>
    <w:rsid w:val="00001D9A"/>
    <w:rsid w:val="00002D7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3F3A"/>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34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6B5"/>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535"/>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4D"/>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F90"/>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2F"/>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6B40"/>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2B5"/>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F06"/>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6E68"/>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A51"/>
    <w:rsid w:val="006640E5"/>
    <w:rsid w:val="006646F1"/>
    <w:rsid w:val="00664929"/>
    <w:rsid w:val="00664E5C"/>
    <w:rsid w:val="00664F62"/>
    <w:rsid w:val="006655E1"/>
    <w:rsid w:val="00671AE5"/>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42B7"/>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71"/>
    <w:rsid w:val="0072138B"/>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38A"/>
    <w:rsid w:val="00756B26"/>
    <w:rsid w:val="00756EDF"/>
    <w:rsid w:val="007600E3"/>
    <w:rsid w:val="00765C43"/>
    <w:rsid w:val="00765EFB"/>
    <w:rsid w:val="007671CA"/>
    <w:rsid w:val="0076772E"/>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B84"/>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D8D"/>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177"/>
    <w:rsid w:val="009E2D13"/>
    <w:rsid w:val="009E4A58"/>
    <w:rsid w:val="009E5A2D"/>
    <w:rsid w:val="009E5AB2"/>
    <w:rsid w:val="009E6219"/>
    <w:rsid w:val="009F03B3"/>
    <w:rsid w:val="009F4016"/>
    <w:rsid w:val="009F70AF"/>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850"/>
    <w:rsid w:val="00B62B58"/>
    <w:rsid w:val="00B65149"/>
    <w:rsid w:val="00B66567"/>
    <w:rsid w:val="00B66F52"/>
    <w:rsid w:val="00B66FE5"/>
    <w:rsid w:val="00B72880"/>
    <w:rsid w:val="00B758BF"/>
    <w:rsid w:val="00B7766B"/>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7B1"/>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859"/>
    <w:rsid w:val="00C21540"/>
    <w:rsid w:val="00C21906"/>
    <w:rsid w:val="00C21BFA"/>
    <w:rsid w:val="00C24C8D"/>
    <w:rsid w:val="00C25FE2"/>
    <w:rsid w:val="00C26B53"/>
    <w:rsid w:val="00C279B2"/>
    <w:rsid w:val="00C33E50"/>
    <w:rsid w:val="00C34C20"/>
    <w:rsid w:val="00C35A3E"/>
    <w:rsid w:val="00C41809"/>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02F"/>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C18"/>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0385"/>
    <w:rsid w:val="00D71F25"/>
    <w:rsid w:val="00D72A9C"/>
    <w:rsid w:val="00D77031"/>
    <w:rsid w:val="00D84941"/>
    <w:rsid w:val="00D84FA1"/>
    <w:rsid w:val="00D851F0"/>
    <w:rsid w:val="00D86DB7"/>
    <w:rsid w:val="00D87BF5"/>
    <w:rsid w:val="00D90721"/>
    <w:rsid w:val="00D926D0"/>
    <w:rsid w:val="00D93030"/>
    <w:rsid w:val="00D9355A"/>
    <w:rsid w:val="00D950E1"/>
    <w:rsid w:val="00D952A6"/>
    <w:rsid w:val="00D97F99"/>
    <w:rsid w:val="00DA1E08"/>
    <w:rsid w:val="00DA24F8"/>
    <w:rsid w:val="00DA28E8"/>
    <w:rsid w:val="00DA38D3"/>
    <w:rsid w:val="00DA3932"/>
    <w:rsid w:val="00DA3AFC"/>
    <w:rsid w:val="00DA64F8"/>
    <w:rsid w:val="00DA6C15"/>
    <w:rsid w:val="00DA7D8B"/>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BBA"/>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567C"/>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1995"/>
    <w:rsid w:val="00EC5359"/>
    <w:rsid w:val="00EC562A"/>
    <w:rsid w:val="00ED067A"/>
    <w:rsid w:val="00ED2B50"/>
    <w:rsid w:val="00EE0350"/>
    <w:rsid w:val="00EE0719"/>
    <w:rsid w:val="00EE0E80"/>
    <w:rsid w:val="00EE613F"/>
    <w:rsid w:val="00EE7295"/>
    <w:rsid w:val="00EE7869"/>
    <w:rsid w:val="00EF054A"/>
    <w:rsid w:val="00EF21D2"/>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0A"/>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355"/>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4CFB"/>
    <w:rsid w:val="00FE54AE"/>
    <w:rsid w:val="00FE576A"/>
    <w:rsid w:val="00FE7E79"/>
    <w:rsid w:val="00FF3E7D"/>
    <w:rsid w:val="00FF5B99"/>
    <w:rsid w:val="00FF730C"/>
    <w:rsid w:val="00FF73F4"/>
    <w:rsid w:val="00FF7CE4"/>
    <w:rsid w:val="00FF7E39"/>
    <w:rsid w:val="0D261E54"/>
    <w:rsid w:val="1CD166C1"/>
    <w:rsid w:val="425F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4E407B1AD0E44BAAB07E81ABCCC7705"/>
        <w:style w:val=""/>
        <w:category>
          <w:name w:val="常规"/>
          <w:gallery w:val="placeholder"/>
        </w:category>
        <w:types>
          <w:type w:val="bbPlcHdr"/>
        </w:types>
        <w:behaviors>
          <w:behavior w:val="content"/>
        </w:behaviors>
        <w:description w:val=""/>
        <w:guid w:val="{3473A9B8-71E3-45D7-B19E-1D978B630833}"/>
      </w:docPartPr>
      <w:docPartBody>
        <w:p w14:paraId="3311E277">
          <w:pPr>
            <w:pStyle w:val="5"/>
          </w:pPr>
          <w:r>
            <w:rPr>
              <w:rStyle w:val="4"/>
              <w:rFonts w:hint="eastAsia"/>
            </w:rPr>
            <w:t>单击或点击此处输入文字。</w:t>
          </w:r>
        </w:p>
      </w:docPartBody>
    </w:docPart>
    <w:docPart>
      <w:docPartPr>
        <w:name w:val="5782674214214ED1A7EF94CD24BC90D0"/>
        <w:style w:val=""/>
        <w:category>
          <w:name w:val="常规"/>
          <w:gallery w:val="placeholder"/>
        </w:category>
        <w:types>
          <w:type w:val="bbPlcHdr"/>
        </w:types>
        <w:behaviors>
          <w:behavior w:val="content"/>
        </w:behaviors>
        <w:description w:val=""/>
        <w:guid w:val="{C1D896E0-472C-483E-93DE-6CAC58BA058C}"/>
      </w:docPartPr>
      <w:docPartBody>
        <w:p w14:paraId="169A379E">
          <w:pPr>
            <w:pStyle w:val="6"/>
          </w:pPr>
          <w:r>
            <w:rPr>
              <w:rStyle w:val="4"/>
              <w:rFonts w:hint="eastAsia"/>
            </w:rPr>
            <w:t>选择一项。</w:t>
          </w:r>
        </w:p>
      </w:docPartBody>
    </w:docPart>
    <w:docPart>
      <w:docPartPr>
        <w:name w:val="A3740C58FBA4412E8BDCC4B4360C4559"/>
        <w:style w:val=""/>
        <w:category>
          <w:name w:val="常规"/>
          <w:gallery w:val="placeholder"/>
        </w:category>
        <w:types>
          <w:type w:val="bbPlcHdr"/>
        </w:types>
        <w:behaviors>
          <w:behavior w:val="content"/>
        </w:behaviors>
        <w:description w:val=""/>
        <w:guid w:val="{45A55B25-6B5A-450A-8D39-91A214B0CFFE}"/>
      </w:docPartPr>
      <w:docPartBody>
        <w:p w14:paraId="7CB5B8C6">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36"/>
    <w:rsid w:val="00444636"/>
    <w:rsid w:val="0076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4E407B1AD0E44BAAB07E81ABCCC7705"/>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5782674214214ED1A7EF94CD24BC90D0"/>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A3740C58FBA4412E8BDCC4B4360C455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5923</Words>
  <Characters>6520</Characters>
  <Lines>770</Lines>
  <Paragraphs>693</Paragraphs>
  <TotalTime>348</TotalTime>
  <ScaleCrop>false</ScaleCrop>
  <LinksUpToDate>false</LinksUpToDate>
  <CharactersWithSpaces>6669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2025-03-13T03:38:00Z</dcterms:created>
  <dc:creator>Administrator</dc:creator>
  <dc:description>&lt;config cover="true" show_menu="true" version="1.0.0" doctype="SDKXY"&gt;_x000d_
&lt;/config&gt;</dc:description>
  <cp:lastModifiedBy>Shimmer</cp:lastModifiedBy>
  <cp:lastPrinted>2021-02-02T08:22:00Z</cp:lastPrinted>
  <dcterms:modified xsi:type="dcterms:W3CDTF">2025-04-01T07:09:47Z</dcterms:modified>
  <dc:title>团体标准</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2BB9CEFF980A47DF9FC829C34796BA96_13</vt:lpwstr>
  </property>
</Properties>
</file>