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EBA178">
      <w:pPr>
        <w:adjustRightInd w:val="0"/>
        <w:snapToGrid w:val="0"/>
        <w:jc w:val="center"/>
        <w:rPr>
          <w:rFonts w:eastAsia="黑体"/>
          <w:b/>
          <w:sz w:val="48"/>
          <w:szCs w:val="48"/>
        </w:rPr>
      </w:pPr>
    </w:p>
    <w:p w14:paraId="20E13CE4">
      <w:pPr>
        <w:adjustRightInd w:val="0"/>
        <w:snapToGrid w:val="0"/>
        <w:jc w:val="center"/>
        <w:rPr>
          <w:rFonts w:eastAsia="黑体"/>
          <w:b/>
          <w:sz w:val="48"/>
          <w:szCs w:val="48"/>
        </w:rPr>
      </w:pPr>
    </w:p>
    <w:p w14:paraId="7C4D8663">
      <w:pPr>
        <w:adjustRightInd w:val="0"/>
        <w:snapToGrid w:val="0"/>
        <w:jc w:val="center"/>
        <w:rPr>
          <w:rFonts w:eastAsia="黑体"/>
          <w:b/>
          <w:sz w:val="48"/>
          <w:szCs w:val="48"/>
        </w:rPr>
      </w:pPr>
    </w:p>
    <w:p w14:paraId="448B294B">
      <w:pPr>
        <w:adjustRightInd w:val="0"/>
        <w:snapToGrid w:val="0"/>
        <w:jc w:val="center"/>
        <w:rPr>
          <w:rFonts w:eastAsia="黑体"/>
          <w:b/>
          <w:sz w:val="48"/>
          <w:szCs w:val="48"/>
        </w:rPr>
      </w:pPr>
      <w:r>
        <w:rPr>
          <w:rFonts w:hint="eastAsia" w:eastAsia="黑体"/>
          <w:b/>
          <w:sz w:val="48"/>
          <w:szCs w:val="48"/>
        </w:rPr>
        <w:t>中国中小企业协会团体</w:t>
      </w:r>
      <w:r>
        <w:rPr>
          <w:rFonts w:eastAsia="黑体"/>
          <w:b/>
          <w:sz w:val="48"/>
          <w:szCs w:val="48"/>
        </w:rPr>
        <w:t>标准</w:t>
      </w:r>
    </w:p>
    <w:p w14:paraId="6D4E2CA6">
      <w:pPr>
        <w:adjustRightInd w:val="0"/>
        <w:snapToGrid w:val="0"/>
        <w:jc w:val="center"/>
        <w:rPr>
          <w:rFonts w:eastAsia="黑体"/>
          <w:b/>
          <w:sz w:val="48"/>
          <w:szCs w:val="48"/>
        </w:rPr>
      </w:pPr>
      <w:r>
        <w:rPr>
          <w:rFonts w:eastAsia="黑体"/>
          <w:b/>
          <w:sz w:val="48"/>
          <w:szCs w:val="48"/>
        </w:rPr>
        <w:t>《</w:t>
      </w:r>
      <w:r>
        <w:rPr>
          <w:rFonts w:hint="eastAsia" w:eastAsia="黑体"/>
          <w:b/>
          <w:sz w:val="48"/>
          <w:szCs w:val="48"/>
        </w:rPr>
        <w:t>市政道路病害探测规程</w:t>
      </w:r>
      <w:r>
        <w:rPr>
          <w:rFonts w:eastAsia="黑体"/>
          <w:b/>
          <w:sz w:val="48"/>
          <w:szCs w:val="48"/>
        </w:rPr>
        <w:t>》</w:t>
      </w:r>
    </w:p>
    <w:p w14:paraId="518A293A">
      <w:pPr>
        <w:adjustRightInd w:val="0"/>
        <w:snapToGrid w:val="0"/>
        <w:jc w:val="center"/>
        <w:rPr>
          <w:rFonts w:eastAsia="黑体"/>
          <w:b/>
          <w:sz w:val="48"/>
          <w:szCs w:val="48"/>
        </w:rPr>
      </w:pPr>
    </w:p>
    <w:p w14:paraId="6B13BF35">
      <w:pPr>
        <w:spacing w:line="480" w:lineRule="auto"/>
        <w:jc w:val="center"/>
        <w:rPr>
          <w:rFonts w:eastAsia="黑体"/>
          <w:b/>
          <w:sz w:val="48"/>
          <w:szCs w:val="48"/>
        </w:rPr>
      </w:pPr>
      <w:r>
        <w:rPr>
          <w:rFonts w:eastAsia="黑体"/>
          <w:b/>
          <w:sz w:val="48"/>
          <w:szCs w:val="48"/>
        </w:rPr>
        <w:t>编 制 说 明</w:t>
      </w:r>
    </w:p>
    <w:p w14:paraId="6F9B4B76">
      <w:pPr>
        <w:spacing w:line="480" w:lineRule="auto"/>
        <w:jc w:val="center"/>
        <w:rPr>
          <w:rFonts w:eastAsia="黑体"/>
          <w:b/>
          <w:sz w:val="52"/>
          <w:szCs w:val="52"/>
        </w:rPr>
      </w:pPr>
    </w:p>
    <w:p w14:paraId="33AAEDC5">
      <w:pPr>
        <w:spacing w:line="480" w:lineRule="auto"/>
        <w:jc w:val="center"/>
        <w:rPr>
          <w:rFonts w:eastAsia="黑体"/>
          <w:b/>
          <w:sz w:val="52"/>
          <w:szCs w:val="52"/>
        </w:rPr>
      </w:pPr>
    </w:p>
    <w:p w14:paraId="3F707ACE">
      <w:pPr>
        <w:spacing w:line="480" w:lineRule="auto"/>
        <w:jc w:val="center"/>
        <w:rPr>
          <w:rFonts w:eastAsia="黑体"/>
          <w:b/>
          <w:sz w:val="52"/>
          <w:szCs w:val="52"/>
        </w:rPr>
      </w:pPr>
    </w:p>
    <w:p w14:paraId="5923FB50">
      <w:pPr>
        <w:spacing w:line="480" w:lineRule="auto"/>
        <w:jc w:val="center"/>
        <w:rPr>
          <w:rFonts w:eastAsia="黑体"/>
          <w:b/>
          <w:sz w:val="52"/>
          <w:szCs w:val="52"/>
        </w:rPr>
      </w:pPr>
    </w:p>
    <w:p w14:paraId="546D1B08">
      <w:pPr>
        <w:spacing w:line="480" w:lineRule="auto"/>
        <w:jc w:val="center"/>
        <w:rPr>
          <w:rFonts w:eastAsia="黑体"/>
          <w:b/>
          <w:sz w:val="52"/>
          <w:szCs w:val="52"/>
        </w:rPr>
      </w:pPr>
    </w:p>
    <w:p w14:paraId="78B2DC1E">
      <w:pPr>
        <w:spacing w:line="480" w:lineRule="auto"/>
        <w:jc w:val="center"/>
        <w:rPr>
          <w:rFonts w:eastAsia="黑体"/>
          <w:b/>
          <w:sz w:val="52"/>
          <w:szCs w:val="52"/>
        </w:rPr>
      </w:pPr>
    </w:p>
    <w:p w14:paraId="00B35F6B">
      <w:pPr>
        <w:spacing w:line="480" w:lineRule="auto"/>
        <w:jc w:val="center"/>
        <w:rPr>
          <w:rFonts w:eastAsia="黑体"/>
          <w:b/>
          <w:sz w:val="52"/>
          <w:szCs w:val="52"/>
        </w:rPr>
      </w:pPr>
    </w:p>
    <w:p w14:paraId="7C602A5D">
      <w:pPr>
        <w:spacing w:line="480" w:lineRule="auto"/>
        <w:jc w:val="center"/>
        <w:rPr>
          <w:rFonts w:eastAsia="黑体"/>
          <w:b/>
          <w:sz w:val="52"/>
          <w:szCs w:val="52"/>
        </w:rPr>
      </w:pPr>
    </w:p>
    <w:p w14:paraId="53407BB5">
      <w:pPr>
        <w:spacing w:line="480" w:lineRule="auto"/>
        <w:jc w:val="center"/>
        <w:rPr>
          <w:rFonts w:eastAsia="黑体"/>
          <w:bCs/>
          <w:szCs w:val="28"/>
        </w:rPr>
      </w:pPr>
      <w:r>
        <w:rPr>
          <w:rFonts w:hint="eastAsia" w:eastAsia="黑体"/>
          <w:bCs/>
          <w:szCs w:val="28"/>
        </w:rPr>
        <w:t xml:space="preserve">团标制定工作组 </w:t>
      </w:r>
    </w:p>
    <w:p w14:paraId="10462F38">
      <w:pPr>
        <w:spacing w:line="480" w:lineRule="auto"/>
        <w:jc w:val="center"/>
        <w:rPr>
          <w:rFonts w:eastAsia="黑体"/>
          <w:bCs/>
          <w:szCs w:val="28"/>
        </w:rPr>
      </w:pPr>
      <w:r>
        <w:rPr>
          <w:rFonts w:hint="eastAsia" w:eastAsia="黑体"/>
          <w:bCs/>
          <w:szCs w:val="28"/>
        </w:rPr>
        <w:t>二零二五年三月</w:t>
      </w:r>
    </w:p>
    <w:p w14:paraId="55A8F369">
      <w:pPr>
        <w:rPr>
          <w:rFonts w:eastAsia="黑体"/>
          <w:b/>
          <w:bCs/>
          <w:sz w:val="32"/>
          <w:szCs w:val="32"/>
        </w:rPr>
      </w:pPr>
    </w:p>
    <w:p w14:paraId="3BCEAECA">
      <w:pPr>
        <w:rPr>
          <w:rFonts w:eastAsia="黑体"/>
          <w:b/>
          <w:bCs/>
          <w:sz w:val="32"/>
          <w:szCs w:val="32"/>
        </w:rPr>
      </w:pPr>
    </w:p>
    <w:p w14:paraId="46732E9F">
      <w:pPr>
        <w:rPr>
          <w:rFonts w:eastAsia="黑体"/>
          <w:b/>
          <w:bCs/>
          <w:sz w:val="32"/>
          <w:szCs w:val="32"/>
        </w:rPr>
      </w:pPr>
    </w:p>
    <w:p w14:paraId="60BB6E2C">
      <w:pPr>
        <w:numPr>
          <w:ilvl w:val="0"/>
          <w:numId w:val="2"/>
        </w:numPr>
        <w:spacing w:line="240" w:lineRule="auto"/>
        <w:rPr>
          <w:rFonts w:hint="eastAsia" w:ascii="宋体" w:hAnsi="宋体" w:cs="宋体"/>
          <w:b/>
          <w:bCs/>
          <w:szCs w:val="28"/>
        </w:rPr>
      </w:pPr>
      <w:r>
        <w:rPr>
          <w:rFonts w:hint="eastAsia" w:ascii="宋体" w:hAnsi="宋体" w:cs="宋体"/>
          <w:b/>
          <w:bCs/>
          <w:szCs w:val="28"/>
        </w:rPr>
        <w:t>工作简况</w:t>
      </w:r>
    </w:p>
    <w:p w14:paraId="6D7F8298">
      <w:pPr>
        <w:spacing w:line="240" w:lineRule="auto"/>
        <w:ind w:firstLine="562" w:firstLineChars="200"/>
        <w:rPr>
          <w:rFonts w:hint="eastAsia" w:ascii="宋体" w:hAnsi="宋体" w:cs="宋体"/>
          <w:b/>
          <w:bCs/>
          <w:szCs w:val="28"/>
        </w:rPr>
      </w:pPr>
      <w:r>
        <w:rPr>
          <w:rFonts w:eastAsiaTheme="minorEastAsia"/>
          <w:b/>
          <w:szCs w:val="28"/>
        </w:rPr>
        <w:t>（一）任务来源</w:t>
      </w:r>
    </w:p>
    <w:p w14:paraId="157F0873">
      <w:pPr>
        <w:ind w:firstLine="560" w:firstLineChars="200"/>
        <w:rPr>
          <w:szCs w:val="28"/>
        </w:rPr>
      </w:pPr>
      <w:r>
        <w:rPr>
          <w:rFonts w:hint="eastAsia"/>
        </w:rPr>
        <w:t>为</w:t>
      </w:r>
      <w:r>
        <w:rPr>
          <w:rFonts w:hint="eastAsia" w:ascii="宋体" w:hAnsi="宋体" w:cs="宋体"/>
          <w:szCs w:val="28"/>
        </w:rPr>
        <w:t>保证市政道路病害探测工作的规范性和有效性，维护市政道路的质量，提高市政道路的使用寿命和行车的安全性</w:t>
      </w:r>
      <w:r>
        <w:rPr>
          <w:szCs w:val="28"/>
        </w:rPr>
        <w:t>。</w:t>
      </w:r>
      <w:r>
        <w:rPr>
          <w:rFonts w:hint="eastAsia"/>
          <w:szCs w:val="28"/>
        </w:rPr>
        <w:t>根据《中华人民标准化法》，</w:t>
      </w:r>
      <w:r>
        <w:rPr>
          <w:szCs w:val="28"/>
        </w:rPr>
        <w:t>以及《团体标准管理规定（试行）》相关规定</w:t>
      </w:r>
      <w:r>
        <w:rPr>
          <w:rFonts w:hint="eastAsia" w:ascii="宋体" w:hAnsi="宋体" w:cs="宋体"/>
          <w:szCs w:val="28"/>
        </w:rPr>
        <w:t>，</w:t>
      </w:r>
      <w:r>
        <w:rPr>
          <w:rFonts w:hint="eastAsia"/>
        </w:rPr>
        <w:t>浙江中浩应用工程技术研究院有限公司</w:t>
      </w:r>
      <w:r>
        <w:rPr>
          <w:rFonts w:hint="eastAsia" w:ascii="宋体" w:hAnsi="宋体" w:cs="宋体"/>
          <w:szCs w:val="28"/>
        </w:rPr>
        <w:t>联合相关单位共同提出《市政道路病害探测规程》团体标准的编制项目</w:t>
      </w:r>
      <w:r>
        <w:rPr>
          <w:rFonts w:hint="eastAsia"/>
          <w:szCs w:val="28"/>
        </w:rPr>
        <w:t>。</w:t>
      </w:r>
    </w:p>
    <w:p w14:paraId="76E8E51E">
      <w:pPr>
        <w:spacing w:line="240" w:lineRule="auto"/>
        <w:ind w:firstLine="562" w:firstLineChars="200"/>
        <w:rPr>
          <w:rFonts w:hint="eastAsia" w:ascii="宋体" w:hAnsi="宋体" w:cs="宋体"/>
          <w:b/>
          <w:bCs/>
          <w:szCs w:val="28"/>
        </w:rPr>
      </w:pPr>
      <w:r>
        <w:rPr>
          <w:rFonts w:eastAsiaTheme="minorEastAsia"/>
          <w:b/>
          <w:szCs w:val="28"/>
        </w:rPr>
        <w:t>（二）</w:t>
      </w:r>
      <w:r>
        <w:rPr>
          <w:rFonts w:hint="eastAsia" w:ascii="宋体" w:hAnsi="宋体" w:cs="宋体"/>
          <w:b/>
          <w:bCs/>
          <w:szCs w:val="28"/>
        </w:rPr>
        <w:t>制定背景</w:t>
      </w:r>
    </w:p>
    <w:p w14:paraId="602BB420">
      <w:pPr>
        <w:ind w:firstLine="560" w:firstLineChars="200"/>
        <w:rPr>
          <w:rFonts w:hint="eastAsia" w:ascii="宋体" w:hAnsi="宋体" w:cs="宋体"/>
          <w:szCs w:val="28"/>
        </w:rPr>
      </w:pPr>
      <w:r>
        <w:rPr>
          <w:rFonts w:hint="eastAsia" w:ascii="宋体" w:hAnsi="宋体" w:cs="宋体"/>
          <w:szCs w:val="28"/>
        </w:rPr>
        <w:t>随着我国城市化进程的加快和基础设施建设的不断完善，市政道路不仅是城市基础设施的重要组成部分，更是城市经济、社会和文化活动的重要支撑。然而随着市政道路里程的不断增加，市政道路在长期使用过程中可能会存在裂缝和坑槽、路面松散和车辙</w:t>
      </w:r>
      <w:r>
        <w:rPr>
          <w:rFonts w:hint="eastAsia" w:ascii="宋体" w:hAnsi="宋体" w:cs="宋体"/>
          <w:szCs w:val="28"/>
          <w:lang w:eastAsia="zh-CN"/>
        </w:rPr>
        <w:t>，甚至</w:t>
      </w:r>
      <w:r>
        <w:rPr>
          <w:rFonts w:hint="eastAsia" w:ascii="宋体" w:hAnsi="宋体" w:cs="宋体"/>
          <w:szCs w:val="28"/>
        </w:rPr>
        <w:t>是突发性塌陷等病害现象，给车辆和行人带来极大的安全隐患。为此，使用市政道路病害探测是及时发现和处理道路病害、保障道路安全、延长道路使用寿命的关键手段。市政道路病害探测是指通过一系列技术手段和方法，对市政道路的内部结构和表面状况进行全面检测和分析，以识别、评估和定位可能存在的病害（如裂缝、空洞、脱层、沉降等），并为道路的维护、修复和管理提供科学依据。该病害探测不仅能对病害进行识别与定位、评估分析、数据采集与管理，还能为城市管理有关部门提供维护决策与支持。因此市政道路病害探测也广泛运用于城市主干道病害探测、桥梁主干道探测等场景中。为规范市政道路病害的探测，并提供科学的指导依据，本起草单位提出《市政道路病害探测规程》团体标准制定计划。</w:t>
      </w:r>
    </w:p>
    <w:p w14:paraId="30F0B5AE">
      <w:pPr>
        <w:ind w:firstLine="560" w:firstLineChars="200"/>
        <w:rPr>
          <w:rFonts w:hint="eastAsia" w:ascii="宋体" w:hAnsi="宋体" w:cs="宋体"/>
          <w:szCs w:val="28"/>
        </w:rPr>
      </w:pPr>
      <w:r>
        <w:rPr>
          <w:rFonts w:hint="eastAsia" w:ascii="宋体" w:hAnsi="宋体" w:cs="宋体"/>
          <w:szCs w:val="28"/>
        </w:rPr>
        <w:t>综上所述，通过制定《市政道路病害探测规程》团体标准，将为规范、精确地探测市政道路病害提供了科学的指导依据，不仅能有效避免因市政道路病害引发的交通事故、保障行人和车辆的安全，还能对发现的市政道路病害进行精准维修、合理分配养护资源、减少不必要的开挖，同时对延长道路的使用寿命、推动城市建设和可持续发展具有积极且长远的作用。</w:t>
      </w:r>
    </w:p>
    <w:p w14:paraId="1D768F68">
      <w:pPr>
        <w:numPr>
          <w:ilvl w:val="0"/>
          <w:numId w:val="2"/>
        </w:numPr>
        <w:spacing w:line="240" w:lineRule="auto"/>
        <w:rPr>
          <w:rFonts w:hint="eastAsia" w:ascii="宋体" w:hAnsi="宋体" w:cs="宋体"/>
          <w:b/>
          <w:bCs/>
          <w:szCs w:val="28"/>
        </w:rPr>
      </w:pPr>
      <w:r>
        <w:rPr>
          <w:rFonts w:hint="eastAsia" w:ascii="宋体" w:hAnsi="宋体" w:cs="宋体"/>
          <w:b/>
          <w:bCs/>
          <w:szCs w:val="28"/>
        </w:rPr>
        <w:t>编制依据</w:t>
      </w:r>
    </w:p>
    <w:p w14:paraId="68684F49">
      <w:pPr>
        <w:ind w:firstLine="560" w:firstLineChars="200"/>
        <w:rPr>
          <w:rFonts w:hint="eastAsia" w:ascii="宋体" w:hAnsi="宋体" w:cs="宋体"/>
          <w:szCs w:val="28"/>
        </w:rPr>
      </w:pPr>
      <w:r>
        <w:rPr>
          <w:rFonts w:hint="eastAsia" w:ascii="宋体" w:hAnsi="宋体" w:cs="宋体"/>
          <w:szCs w:val="28"/>
        </w:rPr>
        <w:t>本标准立足于国家出台的有关市政道路及道路病害探测的法律法规、政策文件、相关标准，结合起草单位的实际作业和经验，旨在提供一项具有科学导向的市政道路病害探测规程，按GB/T 1.1-2020《标准化工作导则 第1部分：标准化文件的结构和起草规则》的规定而制定。</w:t>
      </w:r>
    </w:p>
    <w:p w14:paraId="04B6A0CE">
      <w:pPr>
        <w:ind w:firstLine="560" w:firstLineChars="200"/>
        <w:rPr>
          <w:rFonts w:hint="eastAsia" w:ascii="宋体" w:hAnsi="宋体" w:cs="宋体"/>
          <w:szCs w:val="28"/>
        </w:rPr>
      </w:pPr>
      <w:r>
        <w:rPr>
          <w:rFonts w:hint="eastAsia" w:ascii="宋体" w:hAnsi="宋体" w:cs="宋体"/>
          <w:szCs w:val="28"/>
        </w:rPr>
        <w:t>本标准主要参考了以下标准：</w:t>
      </w:r>
    </w:p>
    <w:p w14:paraId="2456CD62">
      <w:pPr>
        <w:ind w:firstLine="560" w:firstLineChars="200"/>
        <w:rPr>
          <w:rFonts w:hint="eastAsia" w:ascii="宋体" w:hAnsi="宋体" w:cs="宋体"/>
          <w:szCs w:val="28"/>
        </w:rPr>
      </w:pPr>
      <w:r>
        <w:rPr>
          <w:rFonts w:hint="eastAsia" w:ascii="宋体" w:hAnsi="宋体" w:cs="宋体"/>
          <w:szCs w:val="28"/>
        </w:rPr>
        <w:t>JGJ 46 施工现场临时用电安全技术规范</w:t>
      </w:r>
    </w:p>
    <w:p w14:paraId="3111F4CE">
      <w:pPr>
        <w:ind w:firstLine="560" w:firstLineChars="200"/>
        <w:rPr>
          <w:rFonts w:hint="eastAsia" w:ascii="宋体" w:hAnsi="宋体" w:cs="宋体"/>
          <w:szCs w:val="28"/>
        </w:rPr>
      </w:pPr>
      <w:r>
        <w:rPr>
          <w:rFonts w:hint="eastAsia" w:ascii="宋体" w:hAnsi="宋体" w:cs="宋体"/>
          <w:szCs w:val="28"/>
        </w:rPr>
        <w:t>JGJ/T 87 建筑工程地质勘探与取样技术规程</w:t>
      </w:r>
    </w:p>
    <w:p w14:paraId="18E95243">
      <w:pPr>
        <w:ind w:firstLine="560" w:firstLineChars="200"/>
        <w:rPr>
          <w:rFonts w:hint="eastAsia" w:ascii="宋体" w:hAnsi="宋体" w:cs="宋体"/>
          <w:szCs w:val="28"/>
        </w:rPr>
      </w:pPr>
      <w:r>
        <w:rPr>
          <w:rFonts w:hint="eastAsia" w:ascii="宋体" w:hAnsi="宋体" w:cs="宋体"/>
          <w:szCs w:val="28"/>
        </w:rPr>
        <w:t>JGJ 146 建设工程施工现场环境与卫生标准</w:t>
      </w:r>
    </w:p>
    <w:p w14:paraId="67625DD5">
      <w:pPr>
        <w:ind w:firstLine="560" w:firstLineChars="200"/>
        <w:rPr>
          <w:rFonts w:hint="eastAsia" w:ascii="宋体" w:hAnsi="宋体" w:cs="宋体"/>
          <w:szCs w:val="28"/>
        </w:rPr>
      </w:pPr>
      <w:r>
        <w:rPr>
          <w:rFonts w:hint="eastAsia" w:ascii="宋体" w:hAnsi="宋体" w:cs="宋体"/>
          <w:szCs w:val="28"/>
        </w:rPr>
        <w:t>JGJ/T 437 城市地下病害体综合探测与风险评估技术标准</w:t>
      </w:r>
    </w:p>
    <w:p w14:paraId="70E277C6">
      <w:pPr>
        <w:numPr>
          <w:ilvl w:val="0"/>
          <w:numId w:val="2"/>
        </w:numPr>
        <w:spacing w:line="240" w:lineRule="auto"/>
        <w:rPr>
          <w:rFonts w:hint="eastAsia" w:ascii="宋体" w:hAnsi="宋体" w:cs="宋体"/>
          <w:b/>
          <w:bCs/>
          <w:szCs w:val="28"/>
        </w:rPr>
      </w:pPr>
      <w:r>
        <w:rPr>
          <w:rFonts w:ascii="宋体" w:hAnsi="宋体" w:cs="宋体"/>
          <w:b/>
          <w:bCs/>
          <w:szCs w:val="28"/>
        </w:rPr>
        <w:t xml:space="preserve">编制过程 </w:t>
      </w:r>
    </w:p>
    <w:p w14:paraId="3B19D753">
      <w:pPr>
        <w:topLinePunct/>
        <w:ind w:firstLine="560" w:firstLineChars="200"/>
        <w:jc w:val="left"/>
        <w:rPr>
          <w:rFonts w:hint="eastAsia" w:ascii="宋体" w:hAnsi="宋体"/>
          <w:szCs w:val="28"/>
        </w:rPr>
      </w:pPr>
      <w:r>
        <w:rPr>
          <w:rFonts w:hint="eastAsia" w:ascii="宋体" w:hAnsi="宋体"/>
          <w:szCs w:val="28"/>
        </w:rPr>
        <w:t>1、项目立项阶段</w:t>
      </w:r>
    </w:p>
    <w:p w14:paraId="6966504F">
      <w:pPr>
        <w:topLinePunct/>
        <w:ind w:firstLine="560" w:firstLineChars="200"/>
        <w:jc w:val="left"/>
        <w:rPr>
          <w:rFonts w:hint="eastAsia" w:ascii="宋体" w:hAnsi="宋体"/>
          <w:szCs w:val="28"/>
        </w:rPr>
      </w:pPr>
      <w:r>
        <w:rPr>
          <w:rFonts w:hint="eastAsia" w:ascii="宋体" w:hAnsi="宋体" w:cs="宋体"/>
          <w:szCs w:val="28"/>
        </w:rPr>
        <w:t>由</w:t>
      </w:r>
      <w:r>
        <w:rPr>
          <w:rFonts w:hint="eastAsia"/>
        </w:rPr>
        <w:t>浙江中浩应用工程技术研究院有限公司</w:t>
      </w:r>
      <w:r>
        <w:rPr>
          <w:rFonts w:hint="eastAsia" w:ascii="宋体" w:hAnsi="宋体"/>
          <w:szCs w:val="28"/>
        </w:rPr>
        <w:t>等相关单位的</w:t>
      </w:r>
      <w:r>
        <w:rPr>
          <w:rFonts w:ascii="宋体" w:hAnsi="宋体"/>
          <w:szCs w:val="28"/>
        </w:rPr>
        <w:t>技术人员共同成立了标准起草组，制定了详细的工作方案和实施计划，</w:t>
      </w:r>
      <w:r>
        <w:rPr>
          <w:rFonts w:hint="eastAsia" w:ascii="宋体" w:hAnsi="宋体"/>
          <w:szCs w:val="28"/>
        </w:rPr>
        <w:t>研究分析道路病害探测领域标准制修订情况和行业发展现状</w:t>
      </w:r>
      <w:r>
        <w:rPr>
          <w:rFonts w:ascii="宋体" w:hAnsi="宋体"/>
          <w:szCs w:val="28"/>
        </w:rPr>
        <w:t>，在此基础上结合</w:t>
      </w:r>
      <w:r>
        <w:rPr>
          <w:rFonts w:hint="eastAsia" w:ascii="宋体" w:hAnsi="宋体"/>
          <w:szCs w:val="28"/>
        </w:rPr>
        <w:t>起草单位的</w:t>
      </w:r>
      <w:r>
        <w:rPr>
          <w:rFonts w:ascii="宋体" w:hAnsi="宋体"/>
          <w:szCs w:val="28"/>
        </w:rPr>
        <w:t>实际</w:t>
      </w:r>
      <w:r>
        <w:rPr>
          <w:rFonts w:hint="eastAsia" w:ascii="宋体" w:hAnsi="宋体"/>
          <w:szCs w:val="28"/>
        </w:rPr>
        <w:t>作业情况</w:t>
      </w:r>
      <w:r>
        <w:rPr>
          <w:rFonts w:ascii="宋体" w:hAnsi="宋体"/>
          <w:szCs w:val="28"/>
        </w:rPr>
        <w:t>，多次召开内部研讨会议，确定了标准名称</w:t>
      </w:r>
      <w:r>
        <w:rPr>
          <w:rFonts w:hint="eastAsia" w:ascii="宋体" w:hAnsi="宋体"/>
          <w:szCs w:val="28"/>
        </w:rPr>
        <w:t>。并向中国中小企业协会提交了</w:t>
      </w:r>
      <w:r>
        <w:rPr>
          <w:rFonts w:hint="eastAsia" w:ascii="宋体" w:hAnsi="宋体" w:cs="宋体"/>
          <w:szCs w:val="28"/>
        </w:rPr>
        <w:t>《市政道路病害探测规程》团体标准制订申请，</w:t>
      </w:r>
      <w:r>
        <w:rPr>
          <w:rFonts w:ascii="宋体" w:hAnsi="宋体"/>
          <w:szCs w:val="28"/>
        </w:rPr>
        <w:t>完成该项团体标准的立项工作。</w:t>
      </w:r>
    </w:p>
    <w:p w14:paraId="1523D9A4">
      <w:pPr>
        <w:topLinePunct/>
        <w:ind w:firstLine="560" w:firstLineChars="200"/>
        <w:jc w:val="left"/>
        <w:rPr>
          <w:rFonts w:hint="eastAsia" w:ascii="宋体" w:hAnsi="宋体"/>
          <w:szCs w:val="28"/>
        </w:rPr>
      </w:pPr>
      <w:r>
        <w:rPr>
          <w:rFonts w:hint="eastAsia" w:ascii="宋体" w:hAnsi="宋体"/>
          <w:szCs w:val="28"/>
        </w:rPr>
        <w:t>2、理论研究阶段</w:t>
      </w:r>
    </w:p>
    <w:p w14:paraId="1B61347C">
      <w:pPr>
        <w:topLinePunct/>
        <w:ind w:firstLine="560" w:firstLineChars="200"/>
        <w:jc w:val="left"/>
        <w:rPr>
          <w:rFonts w:hint="eastAsia" w:ascii="宋体" w:hAnsi="宋体"/>
          <w:szCs w:val="28"/>
        </w:rPr>
      </w:pPr>
      <w:r>
        <w:rPr>
          <w:rFonts w:hint="eastAsia" w:ascii="宋体" w:hAnsi="宋体"/>
          <w:szCs w:val="28"/>
        </w:rPr>
        <w:t>标准起草组广泛搜集相关标准和国外技术资料，进行了大量的研究分析、资料查证工作，确定了标准的制定原则，结合企业对现有的市政道路病害探测工作的研究，为标准的起草奠定了基础。</w:t>
      </w:r>
    </w:p>
    <w:p w14:paraId="7B272C98">
      <w:pPr>
        <w:topLinePunct/>
        <w:ind w:firstLine="560" w:firstLineChars="200"/>
        <w:jc w:val="left"/>
        <w:rPr>
          <w:rFonts w:hint="eastAsia" w:ascii="宋体" w:hAnsi="宋体"/>
          <w:szCs w:val="28"/>
        </w:rPr>
      </w:pPr>
      <w:r>
        <w:rPr>
          <w:rFonts w:hint="eastAsia" w:ascii="宋体" w:hAnsi="宋体"/>
          <w:szCs w:val="28"/>
        </w:rPr>
        <w:t>标准起草组进一步研讨</w:t>
      </w:r>
      <w:r>
        <w:rPr>
          <w:rFonts w:hint="eastAsia" w:ascii="宋体" w:hAnsi="宋体" w:cs="宋体"/>
          <w:szCs w:val="28"/>
        </w:rPr>
        <w:t>市政道路病害探测的</w:t>
      </w:r>
      <w:r>
        <w:rPr>
          <w:rFonts w:hint="eastAsia" w:ascii="宋体" w:hAnsi="宋体"/>
          <w:szCs w:val="28"/>
        </w:rPr>
        <w:t>特点和流程，明确了要求，为标准的具体起草指明方向。</w:t>
      </w:r>
    </w:p>
    <w:p w14:paraId="28E6C239">
      <w:pPr>
        <w:topLinePunct/>
        <w:ind w:firstLine="560" w:firstLineChars="200"/>
        <w:jc w:val="left"/>
        <w:rPr>
          <w:rFonts w:hint="eastAsia" w:ascii="宋体" w:hAnsi="宋体"/>
          <w:szCs w:val="28"/>
        </w:rPr>
      </w:pPr>
      <w:r>
        <w:rPr>
          <w:rFonts w:hint="eastAsia" w:ascii="宋体" w:hAnsi="宋体"/>
          <w:szCs w:val="28"/>
        </w:rPr>
        <w:t>3、</w:t>
      </w:r>
      <w:r>
        <w:rPr>
          <w:rFonts w:ascii="宋体" w:hAnsi="宋体"/>
          <w:szCs w:val="28"/>
        </w:rPr>
        <w:t>标准起草阶段</w:t>
      </w:r>
    </w:p>
    <w:p w14:paraId="37B5DA0D">
      <w:pPr>
        <w:topLinePunct/>
        <w:ind w:firstLine="560" w:firstLineChars="200"/>
        <w:jc w:val="left"/>
        <w:rPr>
          <w:rFonts w:hint="eastAsia" w:ascii="宋体" w:hAnsi="宋体"/>
          <w:szCs w:val="28"/>
        </w:rPr>
      </w:pPr>
      <w:r>
        <w:rPr>
          <w:rFonts w:hint="eastAsia" w:ascii="宋体" w:hAnsi="宋体"/>
          <w:szCs w:val="28"/>
        </w:rPr>
        <w:t>在理论研究基础上，标准起草组在标准编制过程中充分借鉴已有的理论研究和实践成果，从理论完善和实践应用方面提升标准的适用性和实用性，经过多次研讨和数次修改，形成了《</w:t>
      </w:r>
      <w:r>
        <w:rPr>
          <w:rFonts w:hint="eastAsia" w:ascii="宋体" w:hAnsi="宋体" w:cs="宋体"/>
          <w:szCs w:val="28"/>
        </w:rPr>
        <w:t>市政道路病害探测规程</w:t>
      </w:r>
      <w:r>
        <w:rPr>
          <w:rFonts w:hint="eastAsia" w:ascii="宋体" w:hAnsi="宋体"/>
          <w:szCs w:val="28"/>
        </w:rPr>
        <w:t>》（标准草案稿）。</w:t>
      </w:r>
    </w:p>
    <w:p w14:paraId="567AFA4A">
      <w:pPr>
        <w:topLinePunct/>
        <w:ind w:firstLine="560" w:firstLineChars="200"/>
        <w:jc w:val="left"/>
        <w:rPr>
          <w:rFonts w:hint="eastAsia" w:ascii="宋体" w:hAnsi="宋体"/>
          <w:szCs w:val="28"/>
        </w:rPr>
      </w:pPr>
      <w:r>
        <w:rPr>
          <w:rFonts w:ascii="宋体" w:hAnsi="宋体"/>
          <w:szCs w:val="28"/>
        </w:rPr>
        <w:t>4、标准征求意见阶段</w:t>
      </w:r>
    </w:p>
    <w:p w14:paraId="46E0D35B">
      <w:pPr>
        <w:topLinePunct/>
        <w:ind w:firstLine="560" w:firstLineChars="200"/>
        <w:jc w:val="left"/>
        <w:rPr>
          <w:rFonts w:hint="eastAsia" w:ascii="宋体" w:hAnsi="宋体"/>
          <w:szCs w:val="28"/>
        </w:rPr>
      </w:pPr>
      <w:r>
        <w:rPr>
          <w:rFonts w:hint="eastAsia" w:ascii="宋体" w:hAnsi="宋体"/>
          <w:szCs w:val="28"/>
        </w:rPr>
        <w:t>形成标准草案稿之后，标准起草组召开了多次专家研讨会，从标准框架、标准具体内容等角度广泛征求多方意见，从理论完善和实践应用方面提升标准的适用性和实用性。经过理论研究和方法验证，形成了《</w:t>
      </w:r>
      <w:r>
        <w:rPr>
          <w:rFonts w:hint="eastAsia" w:ascii="宋体" w:hAnsi="宋体" w:cs="宋体"/>
          <w:szCs w:val="28"/>
        </w:rPr>
        <w:t>市政道路病害探测规程</w:t>
      </w:r>
      <w:r>
        <w:rPr>
          <w:rFonts w:hint="eastAsia" w:ascii="宋体" w:hAnsi="宋体"/>
          <w:szCs w:val="28"/>
        </w:rPr>
        <w:t>》（征求意见稿）。</w:t>
      </w:r>
    </w:p>
    <w:p w14:paraId="3A19282B">
      <w:pPr>
        <w:topLinePunct/>
        <w:ind w:firstLine="560" w:firstLineChars="200"/>
        <w:jc w:val="left"/>
        <w:rPr>
          <w:rFonts w:hint="eastAsia" w:ascii="宋体" w:hAnsi="宋体"/>
          <w:szCs w:val="28"/>
        </w:rPr>
      </w:pPr>
      <w:r>
        <w:rPr>
          <w:rFonts w:hint="eastAsia" w:ascii="宋体" w:hAnsi="宋体"/>
          <w:szCs w:val="28"/>
        </w:rPr>
        <w:t>5、专家审核</w:t>
      </w:r>
    </w:p>
    <w:p w14:paraId="7226D8DA">
      <w:pPr>
        <w:topLinePunct/>
        <w:ind w:firstLine="560" w:firstLineChars="200"/>
        <w:jc w:val="left"/>
        <w:rPr>
          <w:rFonts w:hint="eastAsia" w:ascii="宋体" w:hAnsi="宋体"/>
          <w:color w:val="000000"/>
          <w:szCs w:val="28"/>
        </w:rPr>
      </w:pPr>
      <w:r>
        <w:rPr>
          <w:rFonts w:hint="eastAsia" w:ascii="宋体" w:hAnsi="宋体"/>
          <w:color w:val="000000"/>
          <w:szCs w:val="28"/>
        </w:rPr>
        <w:t>本标准拟定于2025年</w:t>
      </w:r>
      <w:r>
        <w:rPr>
          <w:rFonts w:hint="eastAsia" w:ascii="宋体" w:hAnsi="宋体"/>
          <w:color w:val="000000"/>
          <w:szCs w:val="28"/>
          <w:lang w:val="en-US" w:eastAsia="zh-CN"/>
        </w:rPr>
        <w:t>4</w:t>
      </w:r>
      <w:r>
        <w:rPr>
          <w:rFonts w:hint="eastAsia" w:ascii="宋体" w:hAnsi="宋体"/>
          <w:color w:val="000000"/>
          <w:szCs w:val="28"/>
        </w:rPr>
        <w:t>月进行专家审核。</w:t>
      </w:r>
    </w:p>
    <w:p w14:paraId="575A1E3A">
      <w:pPr>
        <w:topLinePunct/>
        <w:ind w:firstLine="560" w:firstLineChars="200"/>
        <w:jc w:val="left"/>
        <w:rPr>
          <w:rFonts w:hint="eastAsia" w:ascii="宋体" w:hAnsi="宋体"/>
          <w:color w:val="000000"/>
          <w:szCs w:val="28"/>
        </w:rPr>
      </w:pPr>
      <w:r>
        <w:rPr>
          <w:rFonts w:hint="eastAsia" w:ascii="宋体" w:hAnsi="宋体"/>
          <w:color w:val="000000"/>
          <w:szCs w:val="28"/>
        </w:rPr>
        <w:t>6、发布</w:t>
      </w:r>
    </w:p>
    <w:p w14:paraId="37467ACD">
      <w:pPr>
        <w:topLinePunct/>
        <w:ind w:firstLine="560" w:firstLineChars="200"/>
        <w:jc w:val="left"/>
        <w:rPr>
          <w:rFonts w:hint="eastAsia" w:ascii="宋体" w:hAnsi="宋体"/>
          <w:color w:val="FF0000"/>
          <w:szCs w:val="28"/>
        </w:rPr>
      </w:pPr>
      <w:r>
        <w:rPr>
          <w:rFonts w:hint="eastAsia" w:ascii="宋体" w:hAnsi="宋体"/>
          <w:color w:val="000000"/>
          <w:szCs w:val="28"/>
        </w:rPr>
        <w:t>本标准拟定于</w:t>
      </w:r>
      <w:r>
        <w:rPr>
          <w:rFonts w:ascii="宋体" w:hAnsi="宋体"/>
          <w:color w:val="000000"/>
          <w:szCs w:val="28"/>
        </w:rPr>
        <w:t>202</w:t>
      </w:r>
      <w:r>
        <w:rPr>
          <w:rFonts w:hint="eastAsia" w:ascii="宋体" w:hAnsi="宋体"/>
          <w:color w:val="000000"/>
          <w:szCs w:val="28"/>
        </w:rPr>
        <w:t>5年</w:t>
      </w:r>
      <w:r>
        <w:rPr>
          <w:rFonts w:hint="eastAsia" w:ascii="宋体" w:hAnsi="宋体"/>
          <w:color w:val="000000"/>
          <w:szCs w:val="28"/>
          <w:lang w:val="en-US" w:eastAsia="zh-CN"/>
        </w:rPr>
        <w:t>5</w:t>
      </w:r>
      <w:r>
        <w:rPr>
          <w:rFonts w:hint="eastAsia" w:ascii="宋体" w:hAnsi="宋体"/>
          <w:color w:val="000000"/>
          <w:szCs w:val="28"/>
        </w:rPr>
        <w:t>月发布并实施</w:t>
      </w:r>
      <w:r>
        <w:rPr>
          <w:rFonts w:hint="eastAsia" w:ascii="宋体" w:hAnsi="宋体"/>
          <w:szCs w:val="28"/>
        </w:rPr>
        <w:t>。</w:t>
      </w:r>
    </w:p>
    <w:p w14:paraId="25E1DB3F">
      <w:pPr>
        <w:numPr>
          <w:ilvl w:val="0"/>
          <w:numId w:val="2"/>
        </w:numPr>
        <w:spacing w:line="240" w:lineRule="auto"/>
        <w:rPr>
          <w:rFonts w:hint="eastAsia" w:ascii="宋体" w:hAnsi="宋体" w:cs="宋体"/>
          <w:b/>
          <w:bCs/>
          <w:szCs w:val="28"/>
        </w:rPr>
      </w:pPr>
      <w:r>
        <w:rPr>
          <w:rFonts w:hint="eastAsia" w:ascii="宋体" w:hAnsi="宋体" w:cs="宋体"/>
          <w:b/>
          <w:bCs/>
          <w:szCs w:val="28"/>
        </w:rPr>
        <w:t>主要起草单位及起草人所做的工作</w:t>
      </w:r>
      <w:r>
        <w:rPr>
          <w:rFonts w:ascii="宋体" w:hAnsi="宋体" w:cs="宋体"/>
          <w:b/>
          <w:bCs/>
          <w:szCs w:val="28"/>
        </w:rPr>
        <w:t xml:space="preserve">  </w:t>
      </w:r>
    </w:p>
    <w:p w14:paraId="64A4D261">
      <w:pPr>
        <w:topLinePunct/>
        <w:ind w:firstLine="560" w:firstLineChars="200"/>
        <w:jc w:val="left"/>
        <w:rPr>
          <w:rFonts w:hint="eastAsia" w:ascii="宋体" w:hAnsi="宋体"/>
          <w:szCs w:val="28"/>
        </w:rPr>
      </w:pPr>
      <w:r>
        <w:rPr>
          <w:rFonts w:hint="eastAsia" w:ascii="宋体" w:hAnsi="宋体"/>
          <w:szCs w:val="28"/>
        </w:rPr>
        <w:t>1、主要起草单位</w:t>
      </w:r>
    </w:p>
    <w:p w14:paraId="2227D2EB">
      <w:pPr>
        <w:topLinePunct/>
        <w:ind w:firstLine="560" w:firstLineChars="200"/>
        <w:jc w:val="left"/>
        <w:rPr>
          <w:rFonts w:hint="eastAsia" w:ascii="宋体" w:hAnsi="宋体" w:cs="宋体"/>
          <w:szCs w:val="28"/>
        </w:rPr>
      </w:pPr>
      <w:r>
        <w:rPr>
          <w:rFonts w:hint="eastAsia"/>
        </w:rPr>
        <w:t>浙江中浩应用工程技术研究院有限公司</w:t>
      </w:r>
      <w:r>
        <w:rPr>
          <w:rFonts w:hint="eastAsia" w:ascii="宋体" w:hAnsi="宋体" w:cs="宋体"/>
          <w:szCs w:val="28"/>
        </w:rPr>
        <w:t>、</w:t>
      </w:r>
      <w:r>
        <w:rPr>
          <w:rFonts w:hint="eastAsia" w:ascii="宋体" w:hAnsi="宋体" w:eastAsia="宋体"/>
          <w:color w:val="000000" w:themeColor="text1"/>
          <w:sz w:val="28"/>
          <w:szCs w:val="28"/>
          <w14:textFill>
            <w14:solidFill>
              <w14:schemeClr w14:val="tx1"/>
            </w14:solidFill>
          </w14:textFill>
        </w:rPr>
        <w:t>扬州弘思百佳科技有限公司、纵坐标（江苏）标准技术服务有限公司</w:t>
      </w:r>
      <w:r>
        <w:rPr>
          <w:rFonts w:hint="eastAsia" w:ascii="宋体" w:hAnsi="宋体"/>
          <w:szCs w:val="28"/>
        </w:rPr>
        <w:t>。</w:t>
      </w:r>
    </w:p>
    <w:p w14:paraId="6CD348A0">
      <w:pPr>
        <w:topLinePunct/>
        <w:ind w:firstLine="560" w:firstLineChars="200"/>
        <w:jc w:val="left"/>
        <w:rPr>
          <w:rFonts w:hint="eastAsia" w:ascii="宋体" w:hAnsi="宋体"/>
          <w:szCs w:val="28"/>
        </w:rPr>
      </w:pPr>
      <w:r>
        <w:rPr>
          <w:rFonts w:ascii="宋体" w:hAnsi="宋体"/>
          <w:szCs w:val="28"/>
        </w:rPr>
        <w:t>2</w:t>
      </w:r>
      <w:r>
        <w:rPr>
          <w:rFonts w:hint="eastAsia" w:ascii="宋体" w:hAnsi="宋体"/>
          <w:szCs w:val="28"/>
        </w:rPr>
        <w:t>、工作内容</w:t>
      </w:r>
    </w:p>
    <w:p w14:paraId="0096185E">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lang w:eastAsia="zh-CN"/>
        </w:rPr>
        <w:t>（</w:t>
      </w:r>
      <w:r>
        <w:rPr>
          <w:rFonts w:hint="eastAsia" w:ascii="宋体" w:hAnsi="宋体" w:eastAsia="宋体"/>
          <w:sz w:val="28"/>
          <w:szCs w:val="28"/>
          <w:lang w:val="en-US" w:eastAsia="zh-CN"/>
        </w:rPr>
        <w:t>1</w:t>
      </w:r>
      <w:r>
        <w:rPr>
          <w:rFonts w:hint="eastAsia" w:ascii="宋体" w:hAnsi="宋体" w:eastAsia="宋体"/>
          <w:sz w:val="28"/>
          <w:szCs w:val="28"/>
          <w:lang w:eastAsia="zh-CN"/>
        </w:rPr>
        <w:t>）</w:t>
      </w:r>
      <w:r>
        <w:rPr>
          <w:rFonts w:hint="eastAsia" w:ascii="宋体" w:hAnsi="宋体" w:eastAsia="宋体"/>
          <w:sz w:val="28"/>
          <w:szCs w:val="28"/>
        </w:rPr>
        <w:t>浙江中浩应用工程技术研究院有限公司主要负责标准制定过程的协调工作；负责标准制定工作，资料查询、标准正文及编制说明、标准草案起草、方法验证等工作。</w:t>
      </w:r>
    </w:p>
    <w:p w14:paraId="14326F8E">
      <w:pPr>
        <w:topLinePunct/>
        <w:spacing w:line="360" w:lineRule="auto"/>
        <w:ind w:firstLine="560" w:firstLineChars="200"/>
        <w:rPr>
          <w:rFonts w:hint="eastAsia" w:ascii="宋体" w:hAnsi="宋体"/>
          <w:szCs w:val="28"/>
        </w:rPr>
      </w:pPr>
      <w:r>
        <w:rPr>
          <w:rFonts w:hint="eastAsia" w:ascii="宋体" w:hAnsi="宋体" w:eastAsia="宋体"/>
          <w:sz w:val="28"/>
          <w:szCs w:val="28"/>
        </w:rPr>
        <w:t>（2）</w:t>
      </w:r>
      <w:r>
        <w:rPr>
          <w:rFonts w:hint="eastAsia" w:ascii="宋体" w:hAnsi="宋体" w:eastAsia="宋体"/>
          <w:color w:val="000000" w:themeColor="text1"/>
          <w:sz w:val="28"/>
          <w:szCs w:val="28"/>
          <w14:textFill>
            <w14:solidFill>
              <w14:schemeClr w14:val="tx1"/>
            </w14:solidFill>
          </w14:textFill>
        </w:rPr>
        <w:t>扬州弘思百佳科技有限公司、纵坐标（江苏）标准技术服务有限公司</w:t>
      </w:r>
      <w:r>
        <w:rPr>
          <w:rFonts w:hint="eastAsia" w:ascii="宋体" w:hAnsi="宋体" w:eastAsia="宋体"/>
          <w:sz w:val="28"/>
          <w:szCs w:val="28"/>
        </w:rPr>
        <w:t>主要参与资料查询、标准正文草案修改、方法验证等。</w:t>
      </w:r>
    </w:p>
    <w:p w14:paraId="1931738A">
      <w:pPr>
        <w:numPr>
          <w:ilvl w:val="0"/>
          <w:numId w:val="2"/>
        </w:numPr>
        <w:spacing w:line="240" w:lineRule="auto"/>
        <w:rPr>
          <w:rFonts w:hint="eastAsia" w:ascii="宋体" w:hAnsi="宋体" w:cs="宋体"/>
          <w:b/>
          <w:bCs/>
          <w:szCs w:val="28"/>
        </w:rPr>
      </w:pPr>
      <w:r>
        <w:rPr>
          <w:rFonts w:hint="eastAsia" w:ascii="宋体" w:hAnsi="宋体" w:cs="宋体"/>
          <w:b/>
          <w:bCs/>
          <w:szCs w:val="28"/>
        </w:rPr>
        <w:t>标准编制原则</w:t>
      </w:r>
    </w:p>
    <w:p w14:paraId="192A411D">
      <w:pPr>
        <w:ind w:firstLine="560" w:firstLineChars="200"/>
        <w:rPr>
          <w:rFonts w:hint="eastAsia" w:ascii="宋体" w:hAnsi="宋体" w:cs="宋体"/>
          <w:szCs w:val="28"/>
        </w:rPr>
      </w:pPr>
      <w:r>
        <w:rPr>
          <w:rFonts w:hint="eastAsia" w:ascii="宋体" w:hAnsi="宋体" w:cs="宋体"/>
          <w:szCs w:val="28"/>
        </w:rPr>
        <w:t>本标准按照 GB/T 1.1《标准化工作导则 第1部分：标准化文件的结构和起草规则》的规定编写，紧密结合工业有机废气智能处理系统的实用、设计、性能和安全要求。为使本标准具有先进性、适时性和实用性，且同时满足公开、透明、公平和公正要求，起草小组严格按照以下原则进行工作：</w:t>
      </w:r>
    </w:p>
    <w:p w14:paraId="0510BB8F">
      <w:pPr>
        <w:numPr>
          <w:ilvl w:val="0"/>
          <w:numId w:val="3"/>
        </w:numPr>
        <w:spacing w:line="240" w:lineRule="auto"/>
        <w:ind w:firstLine="560" w:firstLineChars="200"/>
        <w:rPr>
          <w:rFonts w:hint="eastAsia" w:ascii="宋体" w:hAnsi="宋体" w:cs="宋体"/>
          <w:szCs w:val="28"/>
        </w:rPr>
      </w:pPr>
      <w:r>
        <w:rPr>
          <w:rFonts w:hint="eastAsia" w:ascii="宋体" w:hAnsi="宋体" w:cs="宋体"/>
          <w:szCs w:val="28"/>
        </w:rPr>
        <w:t>标准的科学性、协调性和一致性；</w:t>
      </w:r>
    </w:p>
    <w:p w14:paraId="6DF819C0">
      <w:pPr>
        <w:numPr>
          <w:ilvl w:val="0"/>
          <w:numId w:val="3"/>
        </w:numPr>
        <w:spacing w:line="240" w:lineRule="auto"/>
        <w:ind w:firstLine="560" w:firstLineChars="200"/>
        <w:rPr>
          <w:rFonts w:hint="eastAsia" w:ascii="宋体" w:hAnsi="宋体" w:cs="宋体"/>
          <w:szCs w:val="28"/>
        </w:rPr>
      </w:pPr>
      <w:r>
        <w:rPr>
          <w:rFonts w:hint="eastAsia" w:ascii="宋体" w:hAnsi="宋体" w:cs="宋体"/>
          <w:szCs w:val="28"/>
        </w:rPr>
        <w:t>标准实施中的适用性、规范性和可操作性。</w:t>
      </w:r>
    </w:p>
    <w:p w14:paraId="6200D72B">
      <w:pPr>
        <w:numPr>
          <w:ilvl w:val="0"/>
          <w:numId w:val="2"/>
        </w:numPr>
        <w:spacing w:line="240" w:lineRule="auto"/>
        <w:rPr>
          <w:rFonts w:hint="eastAsia" w:ascii="宋体" w:hAnsi="宋体" w:cs="宋体"/>
          <w:b/>
          <w:bCs/>
          <w:szCs w:val="28"/>
        </w:rPr>
      </w:pPr>
      <w:r>
        <w:rPr>
          <w:rFonts w:hint="eastAsia" w:ascii="宋体" w:hAnsi="宋体" w:cs="宋体"/>
          <w:b/>
          <w:bCs/>
          <w:szCs w:val="28"/>
        </w:rPr>
        <w:t>标准主要内容</w:t>
      </w:r>
    </w:p>
    <w:p w14:paraId="554B6AF4">
      <w:pPr>
        <w:numPr>
          <w:ilvl w:val="0"/>
          <w:numId w:val="4"/>
        </w:numPr>
        <w:spacing w:line="240" w:lineRule="auto"/>
        <w:rPr>
          <w:rFonts w:hint="eastAsia" w:ascii="宋体" w:hAnsi="宋体" w:cs="宋体"/>
          <w:szCs w:val="28"/>
        </w:rPr>
      </w:pPr>
      <w:r>
        <w:rPr>
          <w:rFonts w:hint="eastAsia" w:ascii="宋体" w:hAnsi="宋体" w:cs="宋体"/>
          <w:szCs w:val="28"/>
          <w:lang w:eastAsia="zh-CN"/>
        </w:rPr>
        <w:t>适用范围</w:t>
      </w:r>
    </w:p>
    <w:p w14:paraId="495306C7">
      <w:pPr>
        <w:ind w:firstLine="560" w:firstLineChars="200"/>
        <w:rPr>
          <w:rFonts w:hint="eastAsia" w:ascii="宋体" w:hAnsi="宋体" w:cs="宋体"/>
          <w:szCs w:val="28"/>
        </w:rPr>
      </w:pPr>
      <w:r>
        <w:rPr>
          <w:rFonts w:hint="eastAsia" w:ascii="宋体" w:hAnsi="宋体" w:cs="宋体"/>
          <w:szCs w:val="28"/>
        </w:rPr>
        <w:t>本文件适用于市政道路病害探测工作。</w:t>
      </w:r>
    </w:p>
    <w:p w14:paraId="1137EEF7">
      <w:pPr>
        <w:numPr>
          <w:ilvl w:val="0"/>
          <w:numId w:val="4"/>
        </w:numPr>
        <w:spacing w:line="240" w:lineRule="auto"/>
        <w:rPr>
          <w:rFonts w:hint="eastAsia" w:ascii="宋体" w:hAnsi="宋体" w:cs="宋体"/>
          <w:szCs w:val="28"/>
        </w:rPr>
      </w:pPr>
      <w:r>
        <w:rPr>
          <w:rFonts w:hint="eastAsia" w:ascii="宋体" w:hAnsi="宋体" w:cs="宋体"/>
          <w:szCs w:val="28"/>
        </w:rPr>
        <w:t>有关条款说明</w:t>
      </w:r>
    </w:p>
    <w:p w14:paraId="29D73813">
      <w:pPr>
        <w:numPr>
          <w:ilvl w:val="0"/>
          <w:numId w:val="5"/>
        </w:numPr>
        <w:spacing w:line="240" w:lineRule="auto"/>
        <w:ind w:firstLine="560" w:firstLineChars="200"/>
        <w:rPr>
          <w:rFonts w:hint="eastAsia" w:ascii="宋体" w:hAnsi="宋体" w:cs="宋体"/>
          <w:szCs w:val="28"/>
        </w:rPr>
      </w:pPr>
      <w:r>
        <w:rPr>
          <w:rFonts w:hint="eastAsia" w:ascii="宋体" w:hAnsi="宋体" w:cs="宋体"/>
          <w:szCs w:val="28"/>
        </w:rPr>
        <w:t>标题</w:t>
      </w:r>
    </w:p>
    <w:p w14:paraId="408EE92C">
      <w:pPr>
        <w:ind w:firstLine="560" w:firstLineChars="200"/>
        <w:rPr>
          <w:rFonts w:hint="eastAsia" w:ascii="宋体" w:hAnsi="宋体" w:cs="宋体"/>
          <w:szCs w:val="28"/>
        </w:rPr>
      </w:pPr>
      <w:r>
        <w:rPr>
          <w:rFonts w:hint="eastAsia" w:ascii="宋体" w:hAnsi="宋体" w:cs="宋体"/>
          <w:szCs w:val="28"/>
        </w:rPr>
        <w:t>标准中文名称：市政道路病害探测规程。</w:t>
      </w:r>
    </w:p>
    <w:p w14:paraId="459426A2">
      <w:pPr>
        <w:ind w:firstLine="560" w:firstLineChars="200"/>
        <w:rPr>
          <w:rFonts w:hint="eastAsia" w:ascii="宋体" w:hAnsi="宋体" w:cs="宋体"/>
          <w:szCs w:val="28"/>
        </w:rPr>
      </w:pPr>
      <w:r>
        <w:rPr>
          <w:rFonts w:hint="eastAsia" w:ascii="宋体" w:hAnsi="宋体" w:cs="宋体"/>
          <w:szCs w:val="28"/>
        </w:rPr>
        <w:t>英文翻译：</w:t>
      </w:r>
      <w:r>
        <w:rPr>
          <w:rFonts w:ascii="宋体" w:hAnsi="宋体" w:cs="宋体"/>
          <w:szCs w:val="28"/>
        </w:rPr>
        <w:t xml:space="preserve">Code for detection of municipal road diseases  </w:t>
      </w:r>
    </w:p>
    <w:p w14:paraId="5F9AF309">
      <w:pPr>
        <w:numPr>
          <w:ilvl w:val="0"/>
          <w:numId w:val="5"/>
        </w:numPr>
        <w:spacing w:line="240" w:lineRule="auto"/>
        <w:rPr>
          <w:rFonts w:hint="eastAsia" w:ascii="宋体" w:hAnsi="宋体" w:cs="宋体"/>
          <w:szCs w:val="28"/>
        </w:rPr>
      </w:pPr>
      <w:r>
        <w:rPr>
          <w:rFonts w:hint="eastAsia" w:ascii="宋体" w:hAnsi="宋体" w:cs="宋体"/>
          <w:szCs w:val="28"/>
        </w:rPr>
        <w:t>术语和定义</w:t>
      </w:r>
    </w:p>
    <w:p w14:paraId="566A8678">
      <w:pPr>
        <w:ind w:firstLine="560" w:firstLineChars="200"/>
        <w:rPr>
          <w:rFonts w:hint="eastAsia" w:ascii="宋体" w:hAnsi="宋体" w:cs="宋体"/>
          <w:szCs w:val="28"/>
        </w:rPr>
      </w:pPr>
      <w:r>
        <w:rPr>
          <w:rFonts w:hint="eastAsia" w:ascii="宋体" w:hAnsi="宋体" w:cs="宋体"/>
          <w:szCs w:val="28"/>
        </w:rPr>
        <w:t>本标准对“市政道路病害”、“市政道路病害探测”、“裂缝”、“坑槽”、“沉陷”、“翻浆”、“管线”、 “脱空”、“空洞”、“疏松体”、“富水体”、“管线”进行了定义。</w:t>
      </w:r>
    </w:p>
    <w:p w14:paraId="4FB5A081">
      <w:pPr>
        <w:numPr>
          <w:ilvl w:val="0"/>
          <w:numId w:val="5"/>
        </w:numPr>
        <w:spacing w:line="240" w:lineRule="auto"/>
        <w:rPr>
          <w:rFonts w:hint="eastAsia" w:ascii="宋体" w:hAnsi="宋体" w:cs="宋体"/>
          <w:szCs w:val="28"/>
        </w:rPr>
      </w:pPr>
      <w:r>
        <w:rPr>
          <w:rFonts w:hint="eastAsia" w:ascii="宋体" w:hAnsi="宋体" w:cs="宋体"/>
          <w:szCs w:val="28"/>
        </w:rPr>
        <w:t>主要内容</w:t>
      </w:r>
      <w:bookmarkStart w:id="0" w:name="_GoBack"/>
      <w:bookmarkEnd w:id="0"/>
    </w:p>
    <w:p w14:paraId="23A4F2BA">
      <w:pPr>
        <w:keepNext w:val="0"/>
        <w:keepLines w:val="0"/>
        <w:pageBreakBefore w:val="0"/>
        <w:widowControl w:val="0"/>
        <w:kinsoku/>
        <w:wordWrap/>
        <w:overflowPunct/>
        <w:topLinePunct w:val="0"/>
        <w:autoSpaceDE/>
        <w:autoSpaceDN/>
        <w:bidi w:val="0"/>
        <w:adjustRightInd/>
        <w:snapToGrid/>
        <w:ind w:left="0" w:firstLine="560" w:firstLineChars="200"/>
        <w:textAlignment w:val="auto"/>
        <w:rPr>
          <w:rFonts w:hint="eastAsia" w:ascii="宋体" w:hAnsi="宋体" w:cs="宋体"/>
          <w:szCs w:val="28"/>
        </w:rPr>
      </w:pPr>
      <w:r>
        <w:rPr>
          <w:rFonts w:hint="eastAsia" w:ascii="宋体" w:hAnsi="宋体" w:cs="宋体"/>
          <w:szCs w:val="28"/>
        </w:rPr>
        <w:t>第四章：主要对市政道路病害探测的一般要求进行了规定。</w:t>
      </w:r>
    </w:p>
    <w:p w14:paraId="33E3C12D">
      <w:pPr>
        <w:keepNext w:val="0"/>
        <w:keepLines w:val="0"/>
        <w:pageBreakBefore w:val="0"/>
        <w:widowControl w:val="0"/>
        <w:kinsoku/>
        <w:wordWrap/>
        <w:overflowPunct/>
        <w:topLinePunct w:val="0"/>
        <w:autoSpaceDE/>
        <w:autoSpaceDN/>
        <w:bidi w:val="0"/>
        <w:adjustRightInd/>
        <w:snapToGrid/>
        <w:ind w:left="0" w:firstLine="560" w:firstLineChars="200"/>
        <w:textAlignment w:val="auto"/>
        <w:rPr>
          <w:rFonts w:hint="eastAsia" w:ascii="宋体" w:hAnsi="宋体" w:cs="宋体"/>
          <w:szCs w:val="28"/>
        </w:rPr>
      </w:pPr>
      <w:r>
        <w:rPr>
          <w:rFonts w:hint="eastAsia" w:ascii="宋体" w:hAnsi="宋体" w:cs="宋体"/>
          <w:szCs w:val="28"/>
        </w:rPr>
        <w:t>第五章：主要对市政道路病害探测的病害体分类及技术选择进行了规定。</w:t>
      </w:r>
    </w:p>
    <w:p w14:paraId="28CD35FD">
      <w:pPr>
        <w:keepNext w:val="0"/>
        <w:keepLines w:val="0"/>
        <w:pageBreakBefore w:val="0"/>
        <w:widowControl w:val="0"/>
        <w:kinsoku/>
        <w:wordWrap/>
        <w:overflowPunct/>
        <w:topLinePunct w:val="0"/>
        <w:autoSpaceDE/>
        <w:autoSpaceDN/>
        <w:bidi w:val="0"/>
        <w:adjustRightInd/>
        <w:snapToGrid/>
        <w:ind w:left="0" w:firstLine="560" w:firstLineChars="200"/>
        <w:textAlignment w:val="auto"/>
        <w:rPr>
          <w:rFonts w:ascii="宋体" w:hAnsi="宋体" w:cs="宋体"/>
          <w:szCs w:val="28"/>
        </w:rPr>
      </w:pPr>
      <w:r>
        <w:rPr>
          <w:rFonts w:hint="eastAsia" w:ascii="宋体" w:hAnsi="宋体" w:cs="宋体"/>
          <w:szCs w:val="28"/>
        </w:rPr>
        <w:t>第六章：主要对市政道路病害探测的探测工作实施要求进行了规定。包括探测工作流程、前期准备、现场探测、成果反馈、成果验收、探测报告。</w:t>
      </w:r>
    </w:p>
    <w:p w14:paraId="341A952B">
      <w:pPr>
        <w:pStyle w:val="16"/>
        <w:numPr>
          <w:ilvl w:val="0"/>
          <w:numId w:val="2"/>
        </w:numPr>
        <w:ind w:firstLineChars="0"/>
        <w:rPr>
          <w:rFonts w:ascii="宋体" w:hAnsi="宋体" w:cs="宋体"/>
          <w:szCs w:val="28"/>
        </w:rPr>
      </w:pPr>
      <w:r>
        <w:rPr>
          <w:rFonts w:hint="eastAsia" w:ascii="宋体" w:hAnsi="宋体" w:cs="宋体"/>
          <w:b/>
          <w:bCs/>
          <w:szCs w:val="28"/>
        </w:rPr>
        <w:t>主要试验情况分析</w:t>
      </w:r>
    </w:p>
    <w:p w14:paraId="252F331A">
      <w:pPr>
        <w:ind w:left="5" w:firstLine="560" w:firstLineChars="200"/>
        <w:rPr>
          <w:rFonts w:hint="eastAsia" w:ascii="宋体" w:hAnsi="宋体" w:cs="宋体"/>
          <w:szCs w:val="28"/>
        </w:rPr>
      </w:pPr>
      <w:r>
        <w:rPr>
          <w:rFonts w:hint="eastAsia" w:ascii="宋体" w:hAnsi="宋体" w:cs="宋体"/>
          <w:szCs w:val="28"/>
        </w:rPr>
        <w:t>结合国内外的行业测试和企业实际运行、操作情况进行试验验证。</w:t>
      </w:r>
    </w:p>
    <w:p w14:paraId="37754A04">
      <w:pPr>
        <w:numPr>
          <w:ilvl w:val="0"/>
          <w:numId w:val="2"/>
        </w:numPr>
        <w:spacing w:line="240" w:lineRule="auto"/>
        <w:rPr>
          <w:rFonts w:hint="eastAsia" w:ascii="宋体" w:hAnsi="宋体" w:cs="宋体"/>
          <w:b/>
          <w:bCs/>
          <w:szCs w:val="28"/>
        </w:rPr>
      </w:pPr>
      <w:r>
        <w:rPr>
          <w:rFonts w:hint="eastAsia" w:ascii="宋体" w:hAnsi="宋体" w:cs="宋体"/>
          <w:b/>
          <w:bCs/>
          <w:szCs w:val="28"/>
        </w:rPr>
        <w:t xml:space="preserve">预期的经济效益、社会效益 </w:t>
      </w:r>
    </w:p>
    <w:p w14:paraId="29A54CAD">
      <w:pPr>
        <w:ind w:firstLine="560" w:firstLineChars="200"/>
        <w:rPr>
          <w:rFonts w:hint="eastAsia" w:ascii="宋体" w:hAnsi="宋体" w:cs="宋体"/>
          <w:szCs w:val="28"/>
        </w:rPr>
      </w:pPr>
      <w:r>
        <w:rPr>
          <w:rFonts w:hint="eastAsia" w:ascii="宋体" w:hAnsi="宋体" w:cs="宋体"/>
          <w:szCs w:val="28"/>
        </w:rPr>
        <w:t>市政道路作为城市基础设施的重要组成部分，承担着重要的交通功能和沿线服务功能。通过本标准为市政道路病害的探测工程提供技术指导，保证市政道路病害探测工作的规范性和有效性，维护市政道路的质量，提高市政道路的使用寿命和行车的安全性。</w:t>
      </w:r>
    </w:p>
    <w:p w14:paraId="457B5ECA">
      <w:pPr>
        <w:numPr>
          <w:ilvl w:val="0"/>
          <w:numId w:val="2"/>
        </w:numPr>
        <w:spacing w:line="240" w:lineRule="auto"/>
        <w:rPr>
          <w:rFonts w:hint="eastAsia" w:ascii="宋体" w:hAnsi="宋体" w:cs="宋体"/>
          <w:b/>
          <w:bCs/>
          <w:szCs w:val="28"/>
        </w:rPr>
      </w:pPr>
      <w:r>
        <w:rPr>
          <w:rFonts w:hint="eastAsia" w:ascii="宋体" w:hAnsi="宋体" w:cs="宋体"/>
          <w:b/>
          <w:bCs/>
          <w:szCs w:val="28"/>
        </w:rPr>
        <w:t>采用国际标准和国外先进标准情况</w:t>
      </w:r>
    </w:p>
    <w:p w14:paraId="28F05256">
      <w:pPr>
        <w:ind w:firstLine="560" w:firstLineChars="200"/>
        <w:rPr>
          <w:rFonts w:hint="eastAsia" w:ascii="宋体" w:hAnsi="宋体" w:cs="宋体"/>
          <w:szCs w:val="28"/>
        </w:rPr>
      </w:pPr>
      <w:r>
        <w:rPr>
          <w:rFonts w:hint="eastAsia" w:ascii="宋体" w:hAnsi="宋体" w:cs="宋体"/>
          <w:szCs w:val="28"/>
        </w:rPr>
        <w:t>本标准为自主制定项目，未采用国内、国外标准。</w:t>
      </w:r>
    </w:p>
    <w:p w14:paraId="269376C0">
      <w:pPr>
        <w:numPr>
          <w:ilvl w:val="0"/>
          <w:numId w:val="2"/>
        </w:numPr>
        <w:spacing w:line="240" w:lineRule="auto"/>
        <w:rPr>
          <w:rFonts w:hint="eastAsia" w:ascii="宋体" w:hAnsi="宋体" w:cs="宋体"/>
          <w:b/>
          <w:bCs/>
          <w:szCs w:val="28"/>
        </w:rPr>
      </w:pPr>
      <w:r>
        <w:rPr>
          <w:rFonts w:hint="eastAsia" w:ascii="宋体" w:hAnsi="宋体" w:cs="宋体"/>
          <w:b/>
          <w:bCs/>
          <w:szCs w:val="28"/>
        </w:rPr>
        <w:t>与有关法律、行政法规及相关标准的关系</w:t>
      </w:r>
    </w:p>
    <w:p w14:paraId="023F5E7F">
      <w:pPr>
        <w:ind w:firstLine="560" w:firstLineChars="200"/>
        <w:rPr>
          <w:rFonts w:hint="eastAsia" w:ascii="宋体" w:hAnsi="宋体" w:cs="宋体"/>
          <w:szCs w:val="28"/>
        </w:rPr>
      </w:pPr>
      <w:r>
        <w:rPr>
          <w:rFonts w:hint="eastAsia" w:ascii="宋体" w:hAnsi="宋体" w:cs="宋体"/>
          <w:szCs w:val="28"/>
        </w:rPr>
        <w:t>本标准符合国家相关法律法规、规章及相关标准，与强制性标准的协调一致，无矛盾。</w:t>
      </w:r>
    </w:p>
    <w:p w14:paraId="5418F132">
      <w:pPr>
        <w:numPr>
          <w:ilvl w:val="0"/>
          <w:numId w:val="2"/>
        </w:numPr>
        <w:spacing w:line="240" w:lineRule="auto"/>
        <w:rPr>
          <w:rFonts w:hint="eastAsia" w:ascii="宋体" w:hAnsi="宋体" w:cs="宋体"/>
          <w:b/>
          <w:bCs/>
          <w:szCs w:val="28"/>
        </w:rPr>
      </w:pPr>
      <w:r>
        <w:rPr>
          <w:rFonts w:hint="eastAsia" w:ascii="宋体" w:hAnsi="宋体" w:cs="宋体"/>
          <w:b/>
          <w:bCs/>
          <w:szCs w:val="28"/>
        </w:rPr>
        <w:t>知识产权情况说明</w:t>
      </w:r>
    </w:p>
    <w:p w14:paraId="5BE9FACF">
      <w:pPr>
        <w:ind w:firstLine="560" w:firstLineChars="200"/>
        <w:rPr>
          <w:rFonts w:hint="eastAsia" w:ascii="宋体" w:hAnsi="宋体" w:cs="宋体"/>
          <w:szCs w:val="28"/>
        </w:rPr>
      </w:pPr>
      <w:r>
        <w:rPr>
          <w:rFonts w:hint="eastAsia" w:ascii="宋体" w:hAnsi="宋体" w:cs="宋体"/>
          <w:szCs w:val="28"/>
        </w:rPr>
        <w:t>本标准不涉及专利。</w:t>
      </w:r>
    </w:p>
    <w:p w14:paraId="3A47BA68">
      <w:pPr>
        <w:numPr>
          <w:ilvl w:val="0"/>
          <w:numId w:val="2"/>
        </w:numPr>
        <w:spacing w:line="240" w:lineRule="auto"/>
        <w:rPr>
          <w:rFonts w:hint="eastAsia" w:ascii="宋体" w:hAnsi="宋体" w:cs="宋体"/>
          <w:b/>
          <w:bCs/>
          <w:szCs w:val="28"/>
        </w:rPr>
      </w:pPr>
      <w:r>
        <w:rPr>
          <w:rFonts w:hint="eastAsia" w:ascii="宋体" w:hAnsi="宋体" w:cs="宋体"/>
          <w:b/>
          <w:bCs/>
          <w:szCs w:val="28"/>
        </w:rPr>
        <w:t>重大分歧意见的处理经过和依据</w:t>
      </w:r>
    </w:p>
    <w:p w14:paraId="6CC6EE23">
      <w:pPr>
        <w:ind w:firstLine="560" w:firstLineChars="200"/>
        <w:rPr>
          <w:rFonts w:hint="eastAsia" w:ascii="宋体" w:hAnsi="宋体" w:cs="宋体"/>
          <w:szCs w:val="28"/>
        </w:rPr>
      </w:pPr>
      <w:r>
        <w:rPr>
          <w:rFonts w:hint="eastAsia" w:ascii="宋体" w:hAnsi="宋体" w:cs="宋体"/>
          <w:szCs w:val="28"/>
        </w:rPr>
        <w:t>本标准在起草过程中无重大意见分歧。</w:t>
      </w:r>
    </w:p>
    <w:p w14:paraId="26AAA40F">
      <w:pPr>
        <w:numPr>
          <w:ilvl w:val="0"/>
          <w:numId w:val="2"/>
        </w:numPr>
        <w:spacing w:line="240" w:lineRule="auto"/>
        <w:rPr>
          <w:rFonts w:hint="eastAsia" w:ascii="宋体" w:hAnsi="宋体" w:cs="宋体"/>
          <w:b/>
          <w:bCs/>
          <w:szCs w:val="28"/>
        </w:rPr>
      </w:pPr>
      <w:r>
        <w:rPr>
          <w:rFonts w:hint="eastAsia" w:ascii="宋体" w:hAnsi="宋体" w:cs="宋体"/>
          <w:b/>
          <w:bCs/>
          <w:szCs w:val="28"/>
        </w:rPr>
        <w:t>标准性质的建议说明</w:t>
      </w:r>
    </w:p>
    <w:p w14:paraId="7B64AA4A">
      <w:pPr>
        <w:ind w:firstLine="560" w:firstLineChars="200"/>
        <w:rPr>
          <w:rFonts w:hint="eastAsia" w:ascii="宋体" w:hAnsi="宋体" w:cs="宋体"/>
          <w:szCs w:val="28"/>
        </w:rPr>
      </w:pPr>
      <w:r>
        <w:rPr>
          <w:rFonts w:ascii="宋体" w:hAnsi="宋体" w:cs="宋体"/>
          <w:szCs w:val="28"/>
        </w:rPr>
        <w:t>本标准为推荐性标准</w:t>
      </w:r>
      <w:r>
        <w:rPr>
          <w:rFonts w:hint="eastAsia" w:ascii="宋体" w:hAnsi="宋体" w:cs="宋体"/>
          <w:szCs w:val="28"/>
        </w:rPr>
        <w:t>。</w:t>
      </w:r>
    </w:p>
    <w:p w14:paraId="5FE5C6BA">
      <w:pPr>
        <w:numPr>
          <w:ilvl w:val="0"/>
          <w:numId w:val="2"/>
        </w:numPr>
        <w:spacing w:line="240" w:lineRule="auto"/>
        <w:rPr>
          <w:rFonts w:hint="eastAsia" w:ascii="宋体" w:hAnsi="宋体" w:cs="宋体"/>
          <w:b/>
          <w:bCs/>
          <w:szCs w:val="28"/>
        </w:rPr>
      </w:pPr>
      <w:r>
        <w:rPr>
          <w:rFonts w:hint="eastAsia" w:ascii="宋体" w:hAnsi="宋体" w:cs="宋体"/>
          <w:b/>
          <w:bCs/>
          <w:szCs w:val="28"/>
        </w:rPr>
        <w:t>标准贯彻的建议措施</w:t>
      </w:r>
    </w:p>
    <w:p w14:paraId="0D05B281">
      <w:pPr>
        <w:ind w:firstLine="560" w:firstLineChars="200"/>
        <w:rPr>
          <w:rFonts w:hint="eastAsia" w:ascii="宋体" w:hAnsi="宋体" w:cs="宋体"/>
          <w:szCs w:val="28"/>
        </w:rPr>
      </w:pPr>
      <w:r>
        <w:rPr>
          <w:rFonts w:hint="eastAsia" w:ascii="宋体" w:hAnsi="宋体" w:cs="宋体"/>
          <w:szCs w:val="28"/>
        </w:rPr>
        <w:t>本标准发布实施后，建议由标准主导起草单位进行培训和教育，在标准实施中及时在行业内及相关单位开展标准的宣贯，使相关单位能够学习并应用本标准，确保标准中的有关规定在实际情况中得到准确理解、掌握和执行。</w:t>
      </w:r>
    </w:p>
    <w:p w14:paraId="2E9DA5AD">
      <w:pPr>
        <w:numPr>
          <w:ilvl w:val="0"/>
          <w:numId w:val="2"/>
        </w:numPr>
        <w:spacing w:line="240" w:lineRule="auto"/>
        <w:rPr>
          <w:rFonts w:hint="eastAsia" w:ascii="宋体" w:hAnsi="宋体" w:cs="宋体"/>
          <w:b/>
          <w:bCs/>
          <w:szCs w:val="28"/>
        </w:rPr>
      </w:pPr>
      <w:r>
        <w:rPr>
          <w:rFonts w:hint="eastAsia" w:ascii="宋体" w:hAnsi="宋体" w:cs="宋体"/>
          <w:b/>
          <w:bCs/>
          <w:szCs w:val="28"/>
        </w:rPr>
        <w:t>废止现行相关标准的建议</w:t>
      </w:r>
    </w:p>
    <w:p w14:paraId="70E9BB21">
      <w:pPr>
        <w:ind w:firstLine="560" w:firstLineChars="200"/>
        <w:rPr>
          <w:rFonts w:hint="eastAsia" w:ascii="宋体" w:hAnsi="宋体" w:cs="宋体"/>
          <w:szCs w:val="28"/>
        </w:rPr>
      </w:pPr>
      <w:r>
        <w:rPr>
          <w:rFonts w:hint="eastAsia" w:ascii="宋体" w:hAnsi="宋体" w:cs="宋体"/>
          <w:szCs w:val="28"/>
        </w:rPr>
        <w:t>无。</w:t>
      </w:r>
    </w:p>
    <w:p w14:paraId="51BCE6A9">
      <w:pPr>
        <w:numPr>
          <w:ilvl w:val="0"/>
          <w:numId w:val="2"/>
        </w:numPr>
        <w:spacing w:line="240" w:lineRule="auto"/>
        <w:rPr>
          <w:rFonts w:hint="eastAsia" w:ascii="宋体" w:hAnsi="宋体" w:cs="宋体"/>
          <w:b/>
          <w:bCs/>
          <w:szCs w:val="28"/>
        </w:rPr>
      </w:pPr>
      <w:r>
        <w:rPr>
          <w:rFonts w:hint="eastAsia" w:ascii="宋体" w:hAnsi="宋体" w:cs="宋体"/>
          <w:b/>
          <w:bCs/>
          <w:szCs w:val="28"/>
        </w:rPr>
        <w:t>其他应予说明的事项</w:t>
      </w:r>
    </w:p>
    <w:p w14:paraId="56E9BD08">
      <w:pPr>
        <w:ind w:firstLine="560" w:firstLineChars="200"/>
        <w:rPr>
          <w:rFonts w:hint="eastAsia" w:ascii="宋体" w:hAnsi="宋体" w:cs="宋体"/>
          <w:szCs w:val="28"/>
        </w:rPr>
      </w:pPr>
      <w:r>
        <w:rPr>
          <w:rFonts w:hint="eastAsia" w:ascii="宋体" w:hAnsi="宋体" w:cs="宋体"/>
          <w:szCs w:val="28"/>
        </w:rPr>
        <w:t>无。</w:t>
      </w:r>
    </w:p>
    <w:p w14:paraId="5F4BFD37">
      <w:pPr>
        <w:ind w:firstLine="560" w:firstLineChars="200"/>
        <w:rPr>
          <w:rFonts w:hint="eastAsia" w:ascii="宋体" w:hAnsi="宋体" w:cs="宋体"/>
          <w:szCs w:val="28"/>
        </w:rPr>
      </w:pPr>
    </w:p>
    <w:p w14:paraId="7D29C104">
      <w:pPr>
        <w:rPr>
          <w:rFonts w:hint="eastAsia" w:ascii="宋体" w:hAnsi="宋体" w:cs="宋体"/>
          <w:szCs w:val="28"/>
        </w:rPr>
      </w:pPr>
    </w:p>
    <w:p w14:paraId="2BEFF0CA">
      <w:pPr>
        <w:ind w:left="720"/>
        <w:jc w:val="right"/>
        <w:rPr>
          <w:rFonts w:eastAsiaTheme="minorEastAsia"/>
          <w:szCs w:val="28"/>
        </w:rPr>
      </w:pPr>
      <w:r>
        <w:rPr>
          <w:rFonts w:hint="eastAsia" w:eastAsiaTheme="minorEastAsia"/>
          <w:szCs w:val="28"/>
        </w:rPr>
        <w:t xml:space="preserve">《市政道路病害探测规程》起草组 </w:t>
      </w:r>
    </w:p>
    <w:p w14:paraId="78EB654E">
      <w:pPr>
        <w:ind w:left="720"/>
        <w:jc w:val="right"/>
        <w:rPr>
          <w:rFonts w:eastAsiaTheme="minorEastAsia"/>
          <w:szCs w:val="28"/>
        </w:rPr>
      </w:pPr>
      <w:r>
        <w:rPr>
          <w:rFonts w:hint="eastAsia" w:eastAsiaTheme="minorEastAsia"/>
          <w:szCs w:val="28"/>
        </w:rPr>
        <w:t>2025年03月</w:t>
      </w: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7C921">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8415"/>
                          </w:sdtPr>
                          <w:sdtContent>
                            <w:p w14:paraId="2BF98F04">
                              <w:pPr>
                                <w:pStyle w:val="7"/>
                                <w:jc w:val="center"/>
                              </w:pPr>
                              <w:r>
                                <w:fldChar w:fldCharType="begin"/>
                              </w:r>
                              <w:r>
                                <w:instrText xml:space="preserve">PAGE   \* MERGEFORMAT</w:instrText>
                              </w:r>
                              <w:r>
                                <w:fldChar w:fldCharType="separate"/>
                              </w:r>
                              <w:r>
                                <w:rPr>
                                  <w:lang w:val="zh-CN"/>
                                </w:rPr>
                                <w:t>4</w:t>
                              </w:r>
                              <w: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id w:val="147468415"/>
                    </w:sdtPr>
                    <w:sdtContent>
                      <w:p w14:paraId="2BF98F04">
                        <w:pPr>
                          <w:pStyle w:val="7"/>
                          <w:jc w:val="center"/>
                        </w:pPr>
                        <w:r>
                          <w:fldChar w:fldCharType="begin"/>
                        </w:r>
                        <w:r>
                          <w:instrText xml:space="preserve">PAGE   \* MERGEFORMAT</w:instrText>
                        </w:r>
                        <w:r>
                          <w:fldChar w:fldCharType="separate"/>
                        </w:r>
                        <w:r>
                          <w:rPr>
                            <w:lang w:val="zh-CN"/>
                          </w:rPr>
                          <w:t>4</w:t>
                        </w:r>
                        <w:r>
                          <w:fldChar w:fldCharType="end"/>
                        </w:r>
                      </w:p>
                    </w:sdtContent>
                  </w:sdt>
                </w:txbxContent>
              </v:textbox>
            </v:shape>
          </w:pict>
        </mc:Fallback>
      </mc:AlternateContent>
    </w:r>
    <w:r>
      <w:rPr>
        <w:rFonts w:hint="eastAsia"/>
      </w:rPr>
      <w:t xml:space="preserve"> </w:t>
    </w:r>
  </w:p>
  <w:p w14:paraId="0ABBAAFE">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66E200"/>
    <w:multiLevelType w:val="singleLevel"/>
    <w:tmpl w:val="8A66E200"/>
    <w:lvl w:ilvl="0" w:tentative="0">
      <w:start w:val="1"/>
      <w:numFmt w:val="chineseCounting"/>
      <w:suff w:val="nothing"/>
      <w:lvlText w:val="%1、"/>
      <w:lvlJc w:val="left"/>
      <w:pPr>
        <w:ind w:left="5" w:firstLine="420"/>
      </w:pPr>
      <w:rPr>
        <w:rFonts w:hint="eastAsia"/>
        <w:b/>
        <w:bCs/>
      </w:rPr>
    </w:lvl>
  </w:abstractNum>
  <w:abstractNum w:abstractNumId="1">
    <w:nsid w:val="C4CBE3CF"/>
    <w:multiLevelType w:val="singleLevel"/>
    <w:tmpl w:val="C4CBE3CF"/>
    <w:lvl w:ilvl="0" w:tentative="0">
      <w:start w:val="1"/>
      <w:numFmt w:val="decimal"/>
      <w:suff w:val="nothing"/>
      <w:lvlText w:val="%1．"/>
      <w:lvlJc w:val="left"/>
      <w:pPr>
        <w:ind w:left="0" w:firstLine="400"/>
      </w:pPr>
      <w:rPr>
        <w:rFonts w:hint="default"/>
      </w:rPr>
    </w:lvl>
  </w:abstractNum>
  <w:abstractNum w:abstractNumId="2">
    <w:nsid w:val="3487AA6A"/>
    <w:multiLevelType w:val="singleLevel"/>
    <w:tmpl w:val="3487AA6A"/>
    <w:lvl w:ilvl="0" w:tentative="0">
      <w:start w:val="1"/>
      <w:numFmt w:val="chineseCounting"/>
      <w:suff w:val="nothing"/>
      <w:lvlText w:val="（%1）"/>
      <w:lvlJc w:val="left"/>
      <w:pPr>
        <w:ind w:left="0" w:firstLine="420"/>
      </w:pPr>
      <w:rPr>
        <w:rFonts w:hint="eastAsia"/>
      </w:rPr>
    </w:lvl>
  </w:abstractNum>
  <w:abstractNum w:abstractNumId="3">
    <w:nsid w:val="4A6E9682"/>
    <w:multiLevelType w:val="singleLevel"/>
    <w:tmpl w:val="4A6E9682"/>
    <w:lvl w:ilvl="0" w:tentative="0">
      <w:start w:val="1"/>
      <w:numFmt w:val="decimal"/>
      <w:suff w:val="nothing"/>
      <w:lvlText w:val="%1．"/>
      <w:lvlJc w:val="left"/>
      <w:pPr>
        <w:ind w:left="0" w:firstLine="400"/>
      </w:pPr>
      <w:rPr>
        <w:rFonts w:hint="default"/>
      </w:rPr>
    </w:lvl>
  </w:abstractNum>
  <w:abstractNum w:abstractNumId="4">
    <w:nsid w:val="646260FA"/>
    <w:multiLevelType w:val="multilevel"/>
    <w:tmpl w:val="646260FA"/>
    <w:lvl w:ilvl="0" w:tentative="0">
      <w:start w:val="1"/>
      <w:numFmt w:val="decimal"/>
      <w:pStyle w:val="24"/>
      <w:suff w:val="nothing"/>
      <w:lvlText w:val="表%1　"/>
      <w:lvlJc w:val="left"/>
      <w:pPr>
        <w:ind w:left="3402" w:firstLine="0"/>
      </w:pPr>
    </w:lvl>
    <w:lvl w:ilvl="1" w:tentative="0">
      <w:start w:val="1"/>
      <w:numFmt w:val="decimal"/>
      <w:lvlText w:val="%1.%2"/>
      <w:lvlJc w:val="left"/>
      <w:pPr>
        <w:tabs>
          <w:tab w:val="left" w:pos="0"/>
        </w:tabs>
        <w:ind w:left="0" w:hanging="567"/>
      </w:pPr>
    </w:lvl>
    <w:lvl w:ilvl="2" w:tentative="0">
      <w:start w:val="1"/>
      <w:numFmt w:val="decimal"/>
      <w:lvlText w:val="%1.%2.%3"/>
      <w:lvlJc w:val="left"/>
      <w:pPr>
        <w:tabs>
          <w:tab w:val="left" w:pos="425"/>
        </w:tabs>
        <w:ind w:left="425" w:hanging="567"/>
      </w:pPr>
    </w:lvl>
    <w:lvl w:ilvl="3" w:tentative="0">
      <w:start w:val="1"/>
      <w:numFmt w:val="decimal"/>
      <w:lvlText w:val="%1.%2.%3.%4"/>
      <w:lvlJc w:val="left"/>
      <w:pPr>
        <w:tabs>
          <w:tab w:val="left" w:pos="992"/>
        </w:tabs>
        <w:ind w:left="992" w:hanging="708"/>
      </w:pPr>
    </w:lvl>
    <w:lvl w:ilvl="4" w:tentative="0">
      <w:start w:val="1"/>
      <w:numFmt w:val="decimal"/>
      <w:lvlText w:val="%1.%2.%3.%4.%5"/>
      <w:lvlJc w:val="left"/>
      <w:pPr>
        <w:tabs>
          <w:tab w:val="left" w:pos="1559"/>
        </w:tabs>
        <w:ind w:left="1559" w:hanging="850"/>
      </w:pPr>
    </w:lvl>
    <w:lvl w:ilvl="5" w:tentative="0">
      <w:start w:val="1"/>
      <w:numFmt w:val="decimal"/>
      <w:lvlText w:val="%1.%2.%3.%4.%5.%6"/>
      <w:lvlJc w:val="left"/>
      <w:pPr>
        <w:tabs>
          <w:tab w:val="left" w:pos="2268"/>
        </w:tabs>
        <w:ind w:left="2268" w:hanging="1134"/>
      </w:pPr>
    </w:lvl>
    <w:lvl w:ilvl="6" w:tentative="0">
      <w:start w:val="1"/>
      <w:numFmt w:val="decimal"/>
      <w:lvlText w:val="%1.%2.%3.%4.%5.%6.%7"/>
      <w:lvlJc w:val="left"/>
      <w:pPr>
        <w:tabs>
          <w:tab w:val="left" w:pos="2835"/>
        </w:tabs>
        <w:ind w:left="2835" w:hanging="1276"/>
      </w:pPr>
    </w:lvl>
    <w:lvl w:ilvl="7" w:tentative="0">
      <w:start w:val="1"/>
      <w:numFmt w:val="decimal"/>
      <w:lvlText w:val="%1.%2.%3.%4.%5.%6.%7.%8"/>
      <w:lvlJc w:val="left"/>
      <w:pPr>
        <w:tabs>
          <w:tab w:val="left" w:pos="3402"/>
        </w:tabs>
        <w:ind w:left="3402" w:hanging="1418"/>
      </w:pPr>
    </w:lvl>
    <w:lvl w:ilvl="8" w:tentative="0">
      <w:start w:val="1"/>
      <w:numFmt w:val="decimal"/>
      <w:lvlText w:val="%1.%2.%3.%4.%5.%6.%7.%8.%9"/>
      <w:lvlJc w:val="left"/>
      <w:pPr>
        <w:tabs>
          <w:tab w:val="left" w:pos="4110"/>
        </w:tabs>
        <w:ind w:left="4110" w:hanging="170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FkZGU5ZjA4ZjNiYzZlYjA4NzYzOTFhMjEwMWI1NDIifQ=="/>
  </w:docVars>
  <w:rsids>
    <w:rsidRoot w:val="003A3732"/>
    <w:rsid w:val="000130ED"/>
    <w:rsid w:val="00015056"/>
    <w:rsid w:val="000222F7"/>
    <w:rsid w:val="000246A2"/>
    <w:rsid w:val="00040CE0"/>
    <w:rsid w:val="00041B12"/>
    <w:rsid w:val="00054336"/>
    <w:rsid w:val="00066D6D"/>
    <w:rsid w:val="00074B26"/>
    <w:rsid w:val="00076280"/>
    <w:rsid w:val="0008512F"/>
    <w:rsid w:val="000B0C4F"/>
    <w:rsid w:val="000B38AD"/>
    <w:rsid w:val="000C072B"/>
    <w:rsid w:val="000D43D5"/>
    <w:rsid w:val="000F1687"/>
    <w:rsid w:val="000F67FE"/>
    <w:rsid w:val="000F79FB"/>
    <w:rsid w:val="00103437"/>
    <w:rsid w:val="001041C1"/>
    <w:rsid w:val="001058CA"/>
    <w:rsid w:val="00115BCA"/>
    <w:rsid w:val="00132DB7"/>
    <w:rsid w:val="00133F25"/>
    <w:rsid w:val="00135869"/>
    <w:rsid w:val="00142E79"/>
    <w:rsid w:val="0014782D"/>
    <w:rsid w:val="00154188"/>
    <w:rsid w:val="00162255"/>
    <w:rsid w:val="00163803"/>
    <w:rsid w:val="00164A2C"/>
    <w:rsid w:val="00186C1F"/>
    <w:rsid w:val="00187374"/>
    <w:rsid w:val="0019195E"/>
    <w:rsid w:val="001A24CC"/>
    <w:rsid w:val="001A4768"/>
    <w:rsid w:val="001A62C0"/>
    <w:rsid w:val="001B0021"/>
    <w:rsid w:val="001C553F"/>
    <w:rsid w:val="001E0486"/>
    <w:rsid w:val="001E3C38"/>
    <w:rsid w:val="001F0983"/>
    <w:rsid w:val="001F230E"/>
    <w:rsid w:val="001F687E"/>
    <w:rsid w:val="0020762E"/>
    <w:rsid w:val="00207E53"/>
    <w:rsid w:val="00213BE3"/>
    <w:rsid w:val="00224235"/>
    <w:rsid w:val="002411DA"/>
    <w:rsid w:val="00241A6E"/>
    <w:rsid w:val="00255176"/>
    <w:rsid w:val="00261999"/>
    <w:rsid w:val="0028766A"/>
    <w:rsid w:val="00287A84"/>
    <w:rsid w:val="002905E6"/>
    <w:rsid w:val="002B71C3"/>
    <w:rsid w:val="002C0445"/>
    <w:rsid w:val="002C057D"/>
    <w:rsid w:val="002C31E0"/>
    <w:rsid w:val="002D598C"/>
    <w:rsid w:val="002E34F0"/>
    <w:rsid w:val="002E5CA0"/>
    <w:rsid w:val="002E78EA"/>
    <w:rsid w:val="002F0CE9"/>
    <w:rsid w:val="002F2CC0"/>
    <w:rsid w:val="00303041"/>
    <w:rsid w:val="00321B4E"/>
    <w:rsid w:val="00327324"/>
    <w:rsid w:val="00353E25"/>
    <w:rsid w:val="003662BA"/>
    <w:rsid w:val="00366E33"/>
    <w:rsid w:val="0036770A"/>
    <w:rsid w:val="003677DA"/>
    <w:rsid w:val="00372A2A"/>
    <w:rsid w:val="00377FFA"/>
    <w:rsid w:val="00386414"/>
    <w:rsid w:val="003A1D0A"/>
    <w:rsid w:val="003A3732"/>
    <w:rsid w:val="003A4693"/>
    <w:rsid w:val="003B0ACD"/>
    <w:rsid w:val="003C7C24"/>
    <w:rsid w:val="003D15FA"/>
    <w:rsid w:val="003E483B"/>
    <w:rsid w:val="003E5485"/>
    <w:rsid w:val="003F5F41"/>
    <w:rsid w:val="00406A10"/>
    <w:rsid w:val="00414BCD"/>
    <w:rsid w:val="00420F46"/>
    <w:rsid w:val="004258A7"/>
    <w:rsid w:val="0043320E"/>
    <w:rsid w:val="00435026"/>
    <w:rsid w:val="00441765"/>
    <w:rsid w:val="00445355"/>
    <w:rsid w:val="00445A06"/>
    <w:rsid w:val="0045319F"/>
    <w:rsid w:val="00457DE2"/>
    <w:rsid w:val="00460E41"/>
    <w:rsid w:val="00467AA6"/>
    <w:rsid w:val="00474F52"/>
    <w:rsid w:val="00486C04"/>
    <w:rsid w:val="00490B14"/>
    <w:rsid w:val="00491F6C"/>
    <w:rsid w:val="00497E5D"/>
    <w:rsid w:val="004A16E7"/>
    <w:rsid w:val="004A4EE1"/>
    <w:rsid w:val="004C33C7"/>
    <w:rsid w:val="004C717A"/>
    <w:rsid w:val="004C77CF"/>
    <w:rsid w:val="004D24C6"/>
    <w:rsid w:val="004E098D"/>
    <w:rsid w:val="004E5E38"/>
    <w:rsid w:val="00506CAA"/>
    <w:rsid w:val="00521DB6"/>
    <w:rsid w:val="00531B42"/>
    <w:rsid w:val="00536432"/>
    <w:rsid w:val="005366C1"/>
    <w:rsid w:val="00550505"/>
    <w:rsid w:val="00551A94"/>
    <w:rsid w:val="005618B3"/>
    <w:rsid w:val="00563375"/>
    <w:rsid w:val="005716F4"/>
    <w:rsid w:val="0057684A"/>
    <w:rsid w:val="005803A9"/>
    <w:rsid w:val="005875F8"/>
    <w:rsid w:val="005903DE"/>
    <w:rsid w:val="00590D27"/>
    <w:rsid w:val="00593D8C"/>
    <w:rsid w:val="005A2A84"/>
    <w:rsid w:val="005A6121"/>
    <w:rsid w:val="005B2A79"/>
    <w:rsid w:val="005B6E7D"/>
    <w:rsid w:val="005E0C25"/>
    <w:rsid w:val="005E4713"/>
    <w:rsid w:val="005E6347"/>
    <w:rsid w:val="00604F08"/>
    <w:rsid w:val="006134B7"/>
    <w:rsid w:val="00615F94"/>
    <w:rsid w:val="006233C5"/>
    <w:rsid w:val="00626DC5"/>
    <w:rsid w:val="00630A18"/>
    <w:rsid w:val="0063179A"/>
    <w:rsid w:val="00640EE3"/>
    <w:rsid w:val="00654E7D"/>
    <w:rsid w:val="006639F8"/>
    <w:rsid w:val="0067139C"/>
    <w:rsid w:val="00676B4B"/>
    <w:rsid w:val="0069186A"/>
    <w:rsid w:val="006A5DBD"/>
    <w:rsid w:val="006C59DA"/>
    <w:rsid w:val="006C7BBA"/>
    <w:rsid w:val="006D1579"/>
    <w:rsid w:val="006F5988"/>
    <w:rsid w:val="00702363"/>
    <w:rsid w:val="00707B4A"/>
    <w:rsid w:val="00712706"/>
    <w:rsid w:val="0071480D"/>
    <w:rsid w:val="00722A8B"/>
    <w:rsid w:val="00741A44"/>
    <w:rsid w:val="00747E70"/>
    <w:rsid w:val="00763DB0"/>
    <w:rsid w:val="0077781A"/>
    <w:rsid w:val="00781C75"/>
    <w:rsid w:val="00782A7C"/>
    <w:rsid w:val="00787DE5"/>
    <w:rsid w:val="007958FA"/>
    <w:rsid w:val="007C363E"/>
    <w:rsid w:val="007C38A7"/>
    <w:rsid w:val="007C47FE"/>
    <w:rsid w:val="007C6D9A"/>
    <w:rsid w:val="007D021B"/>
    <w:rsid w:val="007E4848"/>
    <w:rsid w:val="007F002C"/>
    <w:rsid w:val="008018E5"/>
    <w:rsid w:val="0081207A"/>
    <w:rsid w:val="008127A0"/>
    <w:rsid w:val="0081360C"/>
    <w:rsid w:val="00825F3C"/>
    <w:rsid w:val="008468BE"/>
    <w:rsid w:val="00851DA5"/>
    <w:rsid w:val="00855FD0"/>
    <w:rsid w:val="008768D2"/>
    <w:rsid w:val="0088121D"/>
    <w:rsid w:val="00891E58"/>
    <w:rsid w:val="008B5497"/>
    <w:rsid w:val="008C3565"/>
    <w:rsid w:val="008C58FD"/>
    <w:rsid w:val="00916E0E"/>
    <w:rsid w:val="00925D16"/>
    <w:rsid w:val="0092705C"/>
    <w:rsid w:val="0093050C"/>
    <w:rsid w:val="009409DE"/>
    <w:rsid w:val="00944D74"/>
    <w:rsid w:val="009557CA"/>
    <w:rsid w:val="009614CB"/>
    <w:rsid w:val="00964CFA"/>
    <w:rsid w:val="00965D9F"/>
    <w:rsid w:val="00965DCF"/>
    <w:rsid w:val="00970835"/>
    <w:rsid w:val="009874A6"/>
    <w:rsid w:val="009961CF"/>
    <w:rsid w:val="00996913"/>
    <w:rsid w:val="0099700F"/>
    <w:rsid w:val="009A2E48"/>
    <w:rsid w:val="009A4443"/>
    <w:rsid w:val="009B7D81"/>
    <w:rsid w:val="009C43CB"/>
    <w:rsid w:val="009C56E5"/>
    <w:rsid w:val="009D135E"/>
    <w:rsid w:val="009D14A8"/>
    <w:rsid w:val="009E0796"/>
    <w:rsid w:val="009E243A"/>
    <w:rsid w:val="009F0A86"/>
    <w:rsid w:val="009F60FD"/>
    <w:rsid w:val="009F73B1"/>
    <w:rsid w:val="00A01C12"/>
    <w:rsid w:val="00A063F3"/>
    <w:rsid w:val="00A068C2"/>
    <w:rsid w:val="00A07DFC"/>
    <w:rsid w:val="00A114D1"/>
    <w:rsid w:val="00A2584A"/>
    <w:rsid w:val="00A259BD"/>
    <w:rsid w:val="00A41495"/>
    <w:rsid w:val="00A43738"/>
    <w:rsid w:val="00A563A8"/>
    <w:rsid w:val="00A65144"/>
    <w:rsid w:val="00A6698E"/>
    <w:rsid w:val="00A8024E"/>
    <w:rsid w:val="00A80DEE"/>
    <w:rsid w:val="00A8332B"/>
    <w:rsid w:val="00A8397A"/>
    <w:rsid w:val="00A8613F"/>
    <w:rsid w:val="00A911D6"/>
    <w:rsid w:val="00A95369"/>
    <w:rsid w:val="00A967A3"/>
    <w:rsid w:val="00AA65EB"/>
    <w:rsid w:val="00AB04E7"/>
    <w:rsid w:val="00AB218C"/>
    <w:rsid w:val="00AC0D0E"/>
    <w:rsid w:val="00AD2AF7"/>
    <w:rsid w:val="00AE1B0E"/>
    <w:rsid w:val="00AF32F2"/>
    <w:rsid w:val="00B04C24"/>
    <w:rsid w:val="00B105CD"/>
    <w:rsid w:val="00B11118"/>
    <w:rsid w:val="00B35A56"/>
    <w:rsid w:val="00B52334"/>
    <w:rsid w:val="00B604DE"/>
    <w:rsid w:val="00B61E8E"/>
    <w:rsid w:val="00B829CF"/>
    <w:rsid w:val="00B833A9"/>
    <w:rsid w:val="00B84A4A"/>
    <w:rsid w:val="00B95DE5"/>
    <w:rsid w:val="00BC31D2"/>
    <w:rsid w:val="00BC665E"/>
    <w:rsid w:val="00C04692"/>
    <w:rsid w:val="00C13908"/>
    <w:rsid w:val="00C13AE7"/>
    <w:rsid w:val="00C25F3F"/>
    <w:rsid w:val="00C2797C"/>
    <w:rsid w:val="00C32DDB"/>
    <w:rsid w:val="00C46931"/>
    <w:rsid w:val="00C5215C"/>
    <w:rsid w:val="00C52F81"/>
    <w:rsid w:val="00C554BE"/>
    <w:rsid w:val="00C575CC"/>
    <w:rsid w:val="00C618DF"/>
    <w:rsid w:val="00C66AA1"/>
    <w:rsid w:val="00C67ADA"/>
    <w:rsid w:val="00C70A2A"/>
    <w:rsid w:val="00C75C47"/>
    <w:rsid w:val="00C90509"/>
    <w:rsid w:val="00CA731B"/>
    <w:rsid w:val="00CB0F23"/>
    <w:rsid w:val="00CB2EBD"/>
    <w:rsid w:val="00CC3ACC"/>
    <w:rsid w:val="00CD36B7"/>
    <w:rsid w:val="00CE401C"/>
    <w:rsid w:val="00CF503F"/>
    <w:rsid w:val="00CF67C8"/>
    <w:rsid w:val="00CF7B8C"/>
    <w:rsid w:val="00D0592F"/>
    <w:rsid w:val="00D30EEA"/>
    <w:rsid w:val="00D3263E"/>
    <w:rsid w:val="00D46C3A"/>
    <w:rsid w:val="00D52C08"/>
    <w:rsid w:val="00D634FE"/>
    <w:rsid w:val="00D6628D"/>
    <w:rsid w:val="00D70601"/>
    <w:rsid w:val="00D82A69"/>
    <w:rsid w:val="00D9636A"/>
    <w:rsid w:val="00D97F2D"/>
    <w:rsid w:val="00DA282E"/>
    <w:rsid w:val="00DA783C"/>
    <w:rsid w:val="00DB1341"/>
    <w:rsid w:val="00DB1652"/>
    <w:rsid w:val="00DB1C55"/>
    <w:rsid w:val="00DB6103"/>
    <w:rsid w:val="00DB7BE6"/>
    <w:rsid w:val="00DD2BAF"/>
    <w:rsid w:val="00DF20FD"/>
    <w:rsid w:val="00DF402E"/>
    <w:rsid w:val="00E1161E"/>
    <w:rsid w:val="00E21781"/>
    <w:rsid w:val="00E2238C"/>
    <w:rsid w:val="00E24F4E"/>
    <w:rsid w:val="00E30C4D"/>
    <w:rsid w:val="00E31800"/>
    <w:rsid w:val="00E43BB3"/>
    <w:rsid w:val="00E45187"/>
    <w:rsid w:val="00E451B0"/>
    <w:rsid w:val="00E5386B"/>
    <w:rsid w:val="00E57385"/>
    <w:rsid w:val="00E6368C"/>
    <w:rsid w:val="00E83E4F"/>
    <w:rsid w:val="00E861D6"/>
    <w:rsid w:val="00E9163B"/>
    <w:rsid w:val="00E94471"/>
    <w:rsid w:val="00E96FA5"/>
    <w:rsid w:val="00EA1C5A"/>
    <w:rsid w:val="00EA2CD5"/>
    <w:rsid w:val="00EB2B7F"/>
    <w:rsid w:val="00EB37F9"/>
    <w:rsid w:val="00EB592F"/>
    <w:rsid w:val="00EB5C4F"/>
    <w:rsid w:val="00EC1661"/>
    <w:rsid w:val="00ED0167"/>
    <w:rsid w:val="00ED4885"/>
    <w:rsid w:val="00EE3D97"/>
    <w:rsid w:val="00F02DE8"/>
    <w:rsid w:val="00F06ECC"/>
    <w:rsid w:val="00F152EA"/>
    <w:rsid w:val="00F1545A"/>
    <w:rsid w:val="00F16547"/>
    <w:rsid w:val="00F17BD4"/>
    <w:rsid w:val="00F33A44"/>
    <w:rsid w:val="00F6167A"/>
    <w:rsid w:val="00F634E4"/>
    <w:rsid w:val="00F63F91"/>
    <w:rsid w:val="00F65028"/>
    <w:rsid w:val="00F72036"/>
    <w:rsid w:val="00F72F6B"/>
    <w:rsid w:val="00F96531"/>
    <w:rsid w:val="00FA4C56"/>
    <w:rsid w:val="00FA4FDD"/>
    <w:rsid w:val="00FB2F0F"/>
    <w:rsid w:val="00FB467B"/>
    <w:rsid w:val="00FB4B2B"/>
    <w:rsid w:val="00FC224D"/>
    <w:rsid w:val="00FC70FA"/>
    <w:rsid w:val="00FC76B6"/>
    <w:rsid w:val="00FD1B08"/>
    <w:rsid w:val="00FD3FF7"/>
    <w:rsid w:val="00FD7BFC"/>
    <w:rsid w:val="00FF1183"/>
    <w:rsid w:val="00FF3D19"/>
    <w:rsid w:val="08415906"/>
    <w:rsid w:val="4C2811CD"/>
    <w:rsid w:val="66E65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9"/>
    <w:pPr>
      <w:keepNext/>
      <w:keepLines/>
      <w:spacing w:before="260" w:after="260"/>
      <w:outlineLvl w:val="1"/>
    </w:pPr>
    <w:rPr>
      <w:rFonts w:eastAsia="黑体" w:asciiTheme="majorHAnsi" w:hAnsiTheme="majorHAnsi" w:cstheme="majorBidi"/>
      <w:b/>
      <w:bCs/>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autoRedefine/>
    <w:semiHidden/>
    <w:unhideWhenUsed/>
    <w:qFormat/>
    <w:uiPriority w:val="39"/>
    <w:pPr>
      <w:ind w:left="2520" w:leftChars="1200"/>
    </w:pPr>
  </w:style>
  <w:style w:type="paragraph" w:styleId="5">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6">
    <w:name w:val="Balloon Text"/>
    <w:basedOn w:val="1"/>
    <w:link w:val="19"/>
    <w:semiHidden/>
    <w:unhideWhenUsed/>
    <w:uiPriority w:val="99"/>
    <w:pPr>
      <w:spacing w:line="240" w:lineRule="auto"/>
    </w:pPr>
    <w:rPr>
      <w:sz w:val="18"/>
      <w:szCs w:val="18"/>
    </w:rPr>
  </w:style>
  <w:style w:type="paragraph" w:styleId="7">
    <w:name w:val="footer"/>
    <w:basedOn w:val="1"/>
    <w:link w:val="21"/>
    <w:unhideWhenUsed/>
    <w:qFormat/>
    <w:uiPriority w:val="99"/>
    <w:pPr>
      <w:tabs>
        <w:tab w:val="center" w:pos="4153"/>
        <w:tab w:val="right" w:pos="8306"/>
      </w:tabs>
      <w:snapToGrid w:val="0"/>
      <w:spacing w:line="240" w:lineRule="auto"/>
      <w:jc w:val="left"/>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0">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1">
    <w:name w:val="Normal (Web)"/>
    <w:basedOn w:val="1"/>
    <w:semiHidden/>
    <w:unhideWhenUsed/>
    <w:qFormat/>
    <w:uiPriority w:val="99"/>
    <w:rPr>
      <w:sz w:val="24"/>
    </w:rPr>
  </w:style>
  <w:style w:type="table" w:styleId="13">
    <w:name w:val="Table Grid"/>
    <w:basedOn w:val="12"/>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paragraph" w:styleId="16">
    <w:name w:val="List Paragraph"/>
    <w:basedOn w:val="1"/>
    <w:qFormat/>
    <w:uiPriority w:val="34"/>
    <w:pPr>
      <w:ind w:firstLine="420" w:firstLineChars="200"/>
    </w:pPr>
  </w:style>
  <w:style w:type="character" w:customStyle="1" w:styleId="17">
    <w:name w:val="标题 1 字符"/>
    <w:basedOn w:val="14"/>
    <w:link w:val="2"/>
    <w:qFormat/>
    <w:uiPriority w:val="9"/>
    <w:rPr>
      <w:rFonts w:ascii="Times New Roman" w:hAnsi="Times New Roman" w:eastAsia="宋体" w:cs="Times New Roman"/>
      <w:b/>
      <w:bCs/>
      <w:kern w:val="44"/>
      <w:sz w:val="44"/>
      <w:szCs w:val="44"/>
    </w:rPr>
  </w:style>
  <w:style w:type="paragraph" w:customStyle="1" w:styleId="18">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9">
    <w:name w:val="批注框文本 字符"/>
    <w:basedOn w:val="14"/>
    <w:link w:val="6"/>
    <w:semiHidden/>
    <w:qFormat/>
    <w:uiPriority w:val="99"/>
    <w:rPr>
      <w:rFonts w:ascii="Times New Roman" w:hAnsi="Times New Roman" w:eastAsia="宋体" w:cs="Times New Roman"/>
      <w:sz w:val="18"/>
      <w:szCs w:val="18"/>
    </w:rPr>
  </w:style>
  <w:style w:type="character" w:customStyle="1" w:styleId="20">
    <w:name w:val="页眉 字符"/>
    <w:basedOn w:val="14"/>
    <w:link w:val="8"/>
    <w:qFormat/>
    <w:uiPriority w:val="99"/>
    <w:rPr>
      <w:rFonts w:ascii="Times New Roman" w:hAnsi="Times New Roman" w:eastAsia="宋体" w:cs="Times New Roman"/>
      <w:sz w:val="18"/>
      <w:szCs w:val="18"/>
    </w:rPr>
  </w:style>
  <w:style w:type="character" w:customStyle="1" w:styleId="21">
    <w:name w:val="页脚 字符"/>
    <w:basedOn w:val="14"/>
    <w:link w:val="7"/>
    <w:qFormat/>
    <w:uiPriority w:val="99"/>
    <w:rPr>
      <w:rFonts w:ascii="Times New Roman" w:hAnsi="Times New Roman" w:eastAsia="宋体" w:cs="Times New Roman"/>
      <w:sz w:val="18"/>
      <w:szCs w:val="18"/>
    </w:rPr>
  </w:style>
  <w:style w:type="character" w:customStyle="1" w:styleId="22">
    <w:name w:val="标题 2 字符"/>
    <w:basedOn w:val="14"/>
    <w:link w:val="3"/>
    <w:qFormat/>
    <w:uiPriority w:val="9"/>
    <w:rPr>
      <w:rFonts w:eastAsia="黑体" w:asciiTheme="majorHAnsi" w:hAnsiTheme="majorHAnsi" w:cstheme="majorBidi"/>
      <w:b/>
      <w:bCs/>
      <w:sz w:val="28"/>
      <w:szCs w:val="32"/>
    </w:rPr>
  </w:style>
  <w:style w:type="paragraph" w:customStyle="1" w:styleId="23">
    <w:name w:val="_Style 18"/>
    <w:basedOn w:val="1"/>
    <w:next w:val="1"/>
    <w:unhideWhenUsed/>
    <w:qFormat/>
    <w:uiPriority w:val="39"/>
    <w:pPr>
      <w:spacing w:line="240" w:lineRule="auto"/>
    </w:pPr>
    <w:rPr>
      <w:rFonts w:ascii="Calibri" w:hAnsi="Calibri"/>
      <w:sz w:val="21"/>
      <w:szCs w:val="22"/>
    </w:rPr>
  </w:style>
  <w:style w:type="paragraph" w:customStyle="1" w:styleId="24">
    <w:name w:val="标准文件_正文表标题"/>
    <w:next w:val="1"/>
    <w:qFormat/>
    <w:uiPriority w:val="0"/>
    <w:pPr>
      <w:numPr>
        <w:ilvl w:val="0"/>
        <w:numId w:val="1"/>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25">
    <w:name w:val="标准文件_表格"/>
    <w:basedOn w:val="1"/>
    <w:qFormat/>
    <w:uiPriority w:val="0"/>
    <w:pPr>
      <w:widowControl/>
      <w:autoSpaceDE w:val="0"/>
      <w:autoSpaceDN w:val="0"/>
      <w:spacing w:line="240" w:lineRule="auto"/>
      <w:jc w:val="center"/>
    </w:pPr>
    <w:rPr>
      <w:rFonts w:ascii="宋体"/>
      <w:kern w:val="0"/>
      <w:sz w:val="18"/>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F4132D-5FD1-4667-AEF9-37AB4609D8FC}">
  <ds:schemaRefs/>
</ds:datastoreItem>
</file>

<file path=docProps/app.xml><?xml version="1.0" encoding="utf-8"?>
<Properties xmlns="http://schemas.openxmlformats.org/officeDocument/2006/extended-properties" xmlns:vt="http://schemas.openxmlformats.org/officeDocument/2006/docPropsVTypes">
  <Template>Normal</Template>
  <Pages>8</Pages>
  <Words>2664</Words>
  <Characters>2744</Characters>
  <Lines>265</Lines>
  <Paragraphs>238</Paragraphs>
  <TotalTime>1</TotalTime>
  <ScaleCrop>false</ScaleCrop>
  <LinksUpToDate>false</LinksUpToDate>
  <CharactersWithSpaces>2775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2025-03-11T09:10:00Z</dcterms:created>
  <dc:creator>Favourite</dc:creator>
  <cp:lastModifiedBy>阿北</cp:lastModifiedBy>
  <dcterms:modified xsi:type="dcterms:W3CDTF">2025-03-14T07:02:56Z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6CDE9727B4B14BF8BAAA13C01CEC3D9A_12</vt:lpwstr>
  </property>
  <property fmtid="{D5CDD505-2E9C-101B-9397-08002B2CF9AE}" pid="4" name="KSOTemplateDocerSaveRecord">
    <vt:lpwstr>eyJoZGlkIjoiODk4MzM4ZWM2YWJkMjFhM2M1YmVmNzk0ZDM4M2ExMWQiLCJ1c2VySWQiOiI0NDY1NjM4NjAifQ==</vt:lpwstr>
  </property>
</Properties>
</file>