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36E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C864B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 xml:space="preserve">ICS  </w:t>
            </w:r>
          </w:p>
        </w:tc>
        <w:tc>
          <w:tcPr>
            <w:tcW w:w="8855" w:type="dxa"/>
          </w:tcPr>
          <w:p w14:paraId="5BCC308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93.080.01</w:t>
            </w:r>
          </w:p>
        </w:tc>
      </w:tr>
      <w:tr w14:paraId="7891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83633A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CCS</w:t>
            </w:r>
          </w:p>
        </w:tc>
        <w:tc>
          <w:tcPr>
            <w:tcW w:w="8855" w:type="dxa"/>
          </w:tcPr>
          <w:p w14:paraId="5267F0E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P 51</w:t>
            </w:r>
          </w:p>
        </w:tc>
      </w:tr>
    </w:tbl>
    <w:p w14:paraId="4DE81C87">
      <w:pPr>
        <w:pStyle w:val="51"/>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5C9B3B1C">
      <w:pPr>
        <w:pStyle w:val="196"/>
        <w:framePr/>
      </w:pPr>
      <w:r>
        <w:t>T/CASMES</w:t>
      </w:r>
      <w:r>
        <w:rPr>
          <w:rFonts w:hint="eastAsia"/>
        </w:rPr>
        <w:t xml:space="preserve"> </w:t>
      </w:r>
      <w:r>
        <w:t>XXX</w:t>
      </w:r>
      <w:r>
        <w:rPr>
          <w:rFonts w:hAnsi="黑体"/>
        </w:rPr>
        <w:t>—</w:t>
      </w:r>
      <w:r>
        <w:t>202</w:t>
      </w:r>
      <w:r>
        <w:rPr>
          <w:rFonts w:hint="eastAsia"/>
        </w:rPr>
        <w:t>5</w:t>
      </w:r>
    </w:p>
    <w:p w14:paraId="4A3799BB">
      <w:pPr>
        <w:pStyle w:val="197"/>
        <w:framePr/>
        <w:rPr>
          <w:rFonts w:hint="eastAsia"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52117EB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437F068">
      <w:pPr>
        <w:pStyle w:val="51"/>
        <w:framePr w:w="9639" w:h="6976" w:hRule="exact" w:hSpace="0" w:vSpace="0" w:wrap="around" w:hAnchor="page" w:y="6408"/>
        <w:jc w:val="center"/>
        <w:rPr>
          <w:rFonts w:hint="eastAsia" w:ascii="黑体" w:hAnsi="黑体" w:eastAsia="黑体"/>
          <w:b w:val="0"/>
          <w:bCs w:val="0"/>
          <w:w w:val="100"/>
        </w:rPr>
      </w:pPr>
    </w:p>
    <w:p w14:paraId="710E6DCA">
      <w:pPr>
        <w:pStyle w:val="198"/>
        <w:framePr w:h="6974" w:hRule="exact" w:wrap="around" w:x="1419" w:anchorLock="1"/>
        <w:rPr>
          <w:rFonts w:hint="eastAsia"/>
        </w:rPr>
      </w:pPr>
      <w:r>
        <w:rPr>
          <w:rFonts w:hint="eastAsia"/>
        </w:rPr>
        <w:t>市政道路病害探测规程</w:t>
      </w:r>
    </w:p>
    <w:p w14:paraId="6CB60E5F">
      <w:pPr>
        <w:pStyle w:val="126"/>
        <w:framePr w:w="9639" w:h="6974" w:hRule="exact" w:wrap="around" w:vAnchor="page" w:hAnchor="page" w:x="1419" w:y="6408" w:anchorLock="1"/>
        <w:textAlignment w:val="bottom"/>
        <w:rPr>
          <w:rFonts w:ascii="黑体" w:hAnsi="黑体" w:eastAsia="黑体"/>
          <w:szCs w:val="28"/>
        </w:rPr>
      </w:pPr>
      <w:bookmarkStart w:id="2" w:name="_Hlk192607281"/>
      <w:r>
        <w:rPr>
          <w:rFonts w:ascii="黑体" w:hAnsi="黑体" w:eastAsia="黑体"/>
          <w:szCs w:val="28"/>
        </w:rPr>
        <w:t xml:space="preserve">Code for detection of municipal road diseases </w:t>
      </w:r>
      <w:bookmarkEnd w:id="2"/>
    </w:p>
    <w:p w14:paraId="2514201E">
      <w:pPr>
        <w:pStyle w:val="126"/>
        <w:framePr w:w="9639" w:h="6974" w:hRule="exact" w:wrap="around" w:vAnchor="page" w:hAnchor="page" w:x="1419" w:y="6408" w:anchorLock="1"/>
        <w:spacing w:before="440" w:line="400" w:lineRule="exact"/>
        <w:textAlignment w:val="bottom"/>
        <w:rPr>
          <w:rFonts w:hint="eastAsia" w:ascii="宋体" w:hAnsi="宋体"/>
          <w:szCs w:val="28"/>
        </w:rPr>
      </w:pPr>
    </w:p>
    <w:p w14:paraId="31548E04">
      <w:pPr>
        <w:pStyle w:val="126"/>
        <w:framePr w:w="9639" w:h="6974" w:hRule="exact" w:wrap="around" w:vAnchor="page" w:hAnchor="page" w:x="1419" w:y="6408" w:anchorLock="1"/>
        <w:spacing w:before="440" w:after="160" w:line="240" w:lineRule="auto"/>
        <w:textAlignment w:val="bottom"/>
        <w:rPr>
          <w:rFonts w:ascii="宋体" w:hAnsi="宋体"/>
          <w:sz w:val="24"/>
          <w:szCs w:val="24"/>
        </w:rPr>
      </w:pPr>
      <w:r>
        <w:rPr>
          <w:rFonts w:hint="eastAsia" w:ascii="宋体" w:hAnsi="宋体"/>
          <w:sz w:val="24"/>
          <w:szCs w:val="24"/>
        </w:rPr>
        <w:t>（征求意见稿）</w:t>
      </w:r>
    </w:p>
    <w:p w14:paraId="7E047654">
      <w:pPr>
        <w:pStyle w:val="126"/>
        <w:framePr w:w="9639" w:h="6974" w:hRule="exact" w:wrap="around" w:vAnchor="page" w:hAnchor="page" w:x="1419" w:y="6408" w:anchorLock="1"/>
        <w:spacing w:before="440" w:after="160" w:line="240" w:lineRule="auto"/>
        <w:textAlignment w:val="bottom"/>
        <w:rPr>
          <w:rFonts w:hint="eastAsia" w:ascii="宋体" w:hAnsi="宋体"/>
          <w:sz w:val="24"/>
          <w:szCs w:val="24"/>
        </w:rPr>
      </w:pPr>
    </w:p>
    <w:p w14:paraId="07495F4D">
      <w:pPr>
        <w:pStyle w:val="126"/>
        <w:framePr w:w="9639" w:h="6974" w:hRule="exact" w:wrap="around" w:vAnchor="page" w:hAnchor="page" w:x="1419" w:y="6408" w:anchorLock="1"/>
        <w:spacing w:before="180" w:after="160" w:line="180" w:lineRule="atLeast"/>
        <w:textAlignment w:val="bottom"/>
        <w:rPr>
          <w:rFonts w:ascii="宋体" w:hAnsi="宋体"/>
          <w:b/>
          <w:bCs/>
          <w:sz w:val="21"/>
          <w:szCs w:val="28"/>
        </w:rPr>
      </w:pPr>
      <w:r>
        <w:rPr>
          <w:rFonts w:hint="eastAsia" w:ascii="宋体" w:hAnsi="宋体"/>
          <w:b/>
          <w:bCs/>
          <w:sz w:val="21"/>
          <w:szCs w:val="28"/>
        </w:rPr>
        <w:t>在提交反馈意见时，请将您知道的相关专利连同支持性文件一并附上。</w:t>
      </w:r>
    </w:p>
    <w:p w14:paraId="53427038">
      <w:pPr>
        <w:pStyle w:val="194"/>
        <w:framePr w:wrap="around" w:y="14176"/>
      </w:pPr>
      <w:r>
        <w:rPr>
          <w:rFonts w:hint="eastAsia" w:ascii="黑体"/>
        </w:rPr>
        <w:t>2025</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36D80975">
      <w:pPr>
        <w:pStyle w:val="195"/>
        <w:framePr w:wrap="around" w:y="14176"/>
      </w:pPr>
      <w:r>
        <w:rPr>
          <w:rFonts w:hint="eastAsia" w:ascii="黑体"/>
        </w:rPr>
        <w:t>2025</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18EFA3AD">
      <w:pPr>
        <w:pStyle w:val="152"/>
        <w:framePr w:h="584" w:hRule="exact" w:hSpace="181" w:vSpace="181" w:wrap="around" w:y="15027"/>
        <w:rPr>
          <w:rFonts w:hint="eastAsia" w:hAnsi="黑体"/>
        </w:rPr>
      </w:pPr>
      <w:r>
        <w:rPr>
          <w:rFonts w:hint="eastAsia" w:ascii="Times New Roman"/>
          <w:w w:val="100"/>
          <w:sz w:val="28"/>
        </w:rPr>
        <w:t>中国中小企业协会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C66D2F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B30115B">
      <w:pPr>
        <w:pStyle w:val="92"/>
        <w:spacing w:after="468"/>
        <w:rPr>
          <w:rFonts w:hint="eastAsia"/>
        </w:rPr>
      </w:pPr>
      <w:bookmarkStart w:id="3" w:name="BookMark1"/>
      <w:bookmarkStart w:id="4" w:name="_Toc111033569"/>
      <w:bookmarkStart w:id="5" w:name="_Toc181366638"/>
      <w:bookmarkStart w:id="6" w:name="_Toc67069577"/>
      <w:bookmarkStart w:id="7" w:name="_Toc74142077"/>
      <w:bookmarkStart w:id="8" w:name="_Toc181378016"/>
      <w:bookmarkStart w:id="9" w:name="_Toc68855871"/>
      <w:bookmarkStart w:id="10" w:name="_Toc181380504"/>
      <w:bookmarkStart w:id="11" w:name="_Toc66899194"/>
      <w:bookmarkStart w:id="12" w:name="_Toc67047417"/>
      <w:bookmarkStart w:id="13" w:name="_Toc70518821"/>
      <w:bookmarkStart w:id="14" w:name="_Toc109647439"/>
      <w:bookmarkStart w:id="15" w:name="_Toc66981424"/>
      <w:bookmarkStart w:id="16" w:name="_Toc68870194"/>
      <w:bookmarkStart w:id="17" w:name="_Toc111033543"/>
      <w:bookmarkStart w:id="18" w:name="_Toc67071479"/>
      <w:bookmarkStart w:id="19" w:name="_Toc67044875"/>
      <w:bookmarkStart w:id="20" w:name="_Toc67079596"/>
      <w:bookmarkStart w:id="21" w:name="_Toc68869488"/>
      <w:bookmarkStart w:id="22" w:name="_Toc72853454"/>
      <w:bookmarkStart w:id="23" w:name="_Toc67053156"/>
      <w:bookmarkStart w:id="24" w:name="_Toc67066418"/>
      <w:bookmarkStart w:id="25" w:name="_Toc67082537"/>
      <w:bookmarkStart w:id="26" w:name="_Toc67305561"/>
      <w:bookmarkStart w:id="27" w:name="_Toc74150045"/>
      <w:bookmarkStart w:id="28" w:name="_Toc74226207"/>
      <w:bookmarkStart w:id="29" w:name="_Toc181779116"/>
      <w:bookmarkStart w:id="30" w:name="_Toc181969848"/>
      <w:bookmarkStart w:id="31" w:name="_Toc192602861"/>
      <w:bookmarkStart w:id="32" w:name="_Toc192602994"/>
      <w:bookmarkStart w:id="33" w:name="_Toc192665567"/>
      <w:bookmarkStart w:id="34" w:name="_Toc181689761"/>
      <w:bookmarkStart w:id="35" w:name="_Toc181719680"/>
      <w:bookmarkStart w:id="36" w:name="_Toc181385124"/>
      <w:bookmarkStart w:id="37" w:name="_Toc181688429"/>
      <w:bookmarkStart w:id="38" w:name="_Toc192686335"/>
      <w:bookmarkStart w:id="39" w:name="_Toc192780759"/>
      <w:r>
        <w:rPr>
          <w:rFonts w:hint="eastAsia"/>
          <w:spacing w:val="320"/>
        </w:rPr>
        <w:t>目</w:t>
      </w:r>
      <w:r>
        <w:rPr>
          <w:rFonts w:hint="eastAsia"/>
        </w:rPr>
        <w:t>次</w:t>
      </w:r>
    </w:p>
    <w:p w14:paraId="163998E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"_Toc192855429"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_Toc192855429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3AAB531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"_Toc192855430"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_Toc192855430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99EB72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"_Toc192855431"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_Toc192855431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8E41B7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"_Toc192855432"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_Toc192855432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1FDAF9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"_Toc192855433" </w:instrText>
      </w:r>
      <w:r>
        <w:fldChar w:fldCharType="separate"/>
      </w:r>
      <w:r>
        <w:rPr>
          <w:rStyle w:val="33"/>
          <w:rFonts w:hint="eastAsia"/>
        </w:rPr>
        <w:t>4</w:t>
      </w:r>
      <w:r>
        <w:rPr>
          <w:rStyle w:val="33"/>
        </w:rPr>
        <w:t xml:space="preserve"> </w:t>
      </w:r>
      <w:r>
        <w:rPr>
          <w:rStyle w:val="33"/>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_Toc192855433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C452EA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"_Toc192855434" </w:instrText>
      </w:r>
      <w:r>
        <w:fldChar w:fldCharType="separate"/>
      </w:r>
      <w:r>
        <w:rPr>
          <w:rStyle w:val="33"/>
          <w:rFonts w:hint="eastAsia"/>
        </w:rPr>
        <w:t>5</w:t>
      </w:r>
      <w:r>
        <w:rPr>
          <w:rStyle w:val="33"/>
        </w:rPr>
        <w:t xml:space="preserve"> </w:t>
      </w:r>
      <w:r>
        <w:rPr>
          <w:rStyle w:val="33"/>
          <w:rFonts w:hint="eastAsia"/>
        </w:rPr>
        <w:t xml:space="preserve"> 病害体分类及技术选择</w:t>
      </w:r>
      <w:r>
        <w:rPr>
          <w:rFonts w:hint="eastAsia"/>
        </w:rPr>
        <w:tab/>
      </w:r>
      <w:r>
        <w:rPr>
          <w:rFonts w:hint="eastAsia"/>
        </w:rPr>
        <w:fldChar w:fldCharType="begin"/>
      </w:r>
      <w:r>
        <w:rPr>
          <w:rFonts w:hint="eastAsia"/>
        </w:rPr>
        <w:instrText xml:space="preserve"> </w:instrText>
      </w:r>
      <w:r>
        <w:instrText xml:space="preserve">PAGEREF _Toc192855434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51AD85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"_Toc192855435" </w:instrText>
      </w:r>
      <w:r>
        <w:fldChar w:fldCharType="separate"/>
      </w:r>
      <w:r>
        <w:rPr>
          <w:rStyle w:val="33"/>
          <w:rFonts w:hint="eastAsia"/>
        </w:rPr>
        <w:t>6</w:t>
      </w:r>
      <w:r>
        <w:rPr>
          <w:rStyle w:val="33"/>
        </w:rPr>
        <w:t xml:space="preserve"> </w:t>
      </w:r>
      <w:r>
        <w:rPr>
          <w:rStyle w:val="33"/>
          <w:rFonts w:hint="eastAsia"/>
        </w:rPr>
        <w:t xml:space="preserve"> 探测工作实施</w:t>
      </w:r>
      <w:r>
        <w:rPr>
          <w:rFonts w:hint="eastAsia"/>
        </w:rPr>
        <w:tab/>
      </w:r>
      <w:r>
        <w:rPr>
          <w:rFonts w:hint="eastAsia"/>
        </w:rPr>
        <w:fldChar w:fldCharType="begin"/>
      </w:r>
      <w:r>
        <w:rPr>
          <w:rFonts w:hint="eastAsia"/>
        </w:rPr>
        <w:instrText xml:space="preserve"> </w:instrText>
      </w:r>
      <w:r>
        <w:instrText xml:space="preserve">PAGEREF _Toc192855435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11EA532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"_Toc192855436" </w:instrText>
      </w:r>
      <w:r>
        <w:fldChar w:fldCharType="separate"/>
      </w:r>
      <w:r>
        <w:rPr>
          <w:rStyle w:val="33"/>
          <w:rFonts w:hint="eastAsia"/>
        </w:rPr>
        <w:t>附录A（规范性附录） 病害记录表样式</w:t>
      </w:r>
      <w:r>
        <w:rPr>
          <w:rFonts w:hint="eastAsia"/>
        </w:rPr>
        <w:tab/>
      </w:r>
      <w:r>
        <w:rPr>
          <w:rFonts w:hint="eastAsia"/>
        </w:rPr>
        <w:fldChar w:fldCharType="begin"/>
      </w:r>
      <w:r>
        <w:rPr>
          <w:rFonts w:hint="eastAsia"/>
        </w:rPr>
        <w:instrText xml:space="preserve"> </w:instrText>
      </w:r>
      <w:r>
        <w:instrText xml:space="preserve">PAGEREF _Toc192855436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9E18FFC">
      <w:pPr>
        <w:pStyle w:val="92"/>
        <w:spacing w:after="468"/>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3"/>
    <w:p w14:paraId="7AE9F632">
      <w:pPr>
        <w:pStyle w:val="90"/>
        <w:spacing w:after="468"/>
      </w:pPr>
      <w:bookmarkStart w:id="40" w:name="_Toc192855429"/>
      <w:bookmarkStart w:id="41" w:name="BookMark2"/>
      <w:r>
        <w:rPr>
          <w:spacing w:val="320"/>
        </w:rPr>
        <w:t>前</w:t>
      </w:r>
      <w: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656FB32">
      <w:pPr>
        <w:pStyle w:val="57"/>
        <w:ind w:firstLine="420"/>
      </w:pPr>
      <w:r>
        <w:rPr>
          <w:rFonts w:hint="eastAsia"/>
        </w:rPr>
        <w:t>本文件按照GB/T 1.1—2020《标准化工作导则  第1部分：标准化文件的结构和起草规则》的规定起草。</w:t>
      </w:r>
    </w:p>
    <w:p w14:paraId="6B8D4E83">
      <w:pPr>
        <w:pStyle w:val="57"/>
        <w:ind w:firstLine="420"/>
      </w:pPr>
      <w:r>
        <w:rPr>
          <w:rFonts w:hint="eastAsia"/>
        </w:rPr>
        <w:t>本文件由</w:t>
      </w:r>
      <w:bookmarkStart w:id="42" w:name="_Hlk192605674"/>
      <w:r>
        <w:rPr>
          <w:rFonts w:hint="eastAsia"/>
        </w:rPr>
        <w:t>浙江中浩应用工程技术研究院有限公司</w:t>
      </w:r>
      <w:bookmarkEnd w:id="42"/>
      <w:r>
        <w:rPr>
          <w:rFonts w:hint="eastAsia"/>
        </w:rPr>
        <w:t>提出。</w:t>
      </w:r>
    </w:p>
    <w:p w14:paraId="6BB7D0AD">
      <w:pPr>
        <w:pStyle w:val="57"/>
        <w:ind w:firstLine="420"/>
      </w:pPr>
      <w:r>
        <w:rPr>
          <w:rFonts w:hint="eastAsia"/>
        </w:rPr>
        <w:t>本文件由中国中小企业协会归口。</w:t>
      </w:r>
    </w:p>
    <w:p w14:paraId="58DFF3D2">
      <w:pPr>
        <w:pStyle w:val="57"/>
        <w:ind w:firstLine="420"/>
      </w:pPr>
      <w:r>
        <w:rPr>
          <w:rFonts w:hint="eastAsia"/>
        </w:rPr>
        <w:t>本文件起草单位：浙江中浩应用工程技术研究院有限公司、XXX、XXX。</w:t>
      </w:r>
    </w:p>
    <w:p w14:paraId="3DA7F9E2">
      <w:pPr>
        <w:pStyle w:val="57"/>
        <w:ind w:firstLine="420"/>
      </w:pPr>
      <w:r>
        <w:rPr>
          <w:rFonts w:hint="eastAsia"/>
        </w:rPr>
        <w:t>本文件主要起草人：XXX、XXX、XXX。</w:t>
      </w:r>
    </w:p>
    <w:p w14:paraId="736F8AA2">
      <w:pPr>
        <w:pStyle w:val="57"/>
        <w:ind w:firstLine="420"/>
        <w:sectPr>
          <w:headerReference r:id="rId15" w:type="default"/>
          <w:footerReference r:id="rId17" w:type="default"/>
          <w:headerReference r:id="rId16" w:type="even"/>
          <w:footerReference r:id="rId18" w:type="even"/>
          <w:pgSz w:w="11906" w:h="16838"/>
          <w:pgMar w:top="1871" w:right="1134" w:bottom="1134" w:left="1134" w:header="1418" w:footer="1134" w:gutter="284"/>
          <w:pgNumType w:fmt="upperRoman"/>
          <w:cols w:space="425" w:num="1"/>
          <w:formProt w:val="0"/>
          <w:docGrid w:type="lines" w:linePitch="312" w:charSpace="0"/>
        </w:sectPr>
      </w:pPr>
    </w:p>
    <w:bookmarkEnd w:id="41"/>
    <w:p w14:paraId="4FB8A453">
      <w:pPr>
        <w:spacing w:line="20" w:lineRule="exact"/>
        <w:jc w:val="center"/>
        <w:rPr>
          <w:rFonts w:hint="eastAsia" w:ascii="黑体" w:hAnsi="黑体" w:eastAsia="黑体"/>
          <w:sz w:val="32"/>
          <w:szCs w:val="32"/>
        </w:rPr>
      </w:pPr>
      <w:bookmarkStart w:id="43" w:name="BookMark4"/>
    </w:p>
    <w:p w14:paraId="7984E661">
      <w:pPr>
        <w:spacing w:line="20" w:lineRule="exact"/>
        <w:jc w:val="center"/>
        <w:rPr>
          <w:rFonts w:hint="eastAsia" w:ascii="黑体" w:hAnsi="黑体" w:eastAsia="黑体"/>
          <w:sz w:val="32"/>
          <w:szCs w:val="32"/>
        </w:rPr>
      </w:pPr>
    </w:p>
    <w:sdt>
      <w:sdtPr>
        <w:tag w:val="NEW_STAND_NAME"/>
        <w:id w:val="595910757"/>
        <w:lock w:val="sdtLocked"/>
        <w:placeholder>
          <w:docPart w:val="88D0A9E6ED8E41A5BC258D89F7A9C41B"/>
        </w:placeholder>
      </w:sdtPr>
      <w:sdtContent>
        <w:p w14:paraId="7A871C75">
          <w:pPr>
            <w:pStyle w:val="178"/>
            <w:spacing w:before="312" w:beforeLines="100" w:after="686" w:afterLines="220"/>
            <w:rPr>
              <w:rFonts w:hint="eastAsia"/>
            </w:rPr>
          </w:pPr>
          <w:bookmarkStart w:id="44" w:name="_Hlk181782892"/>
          <w:bookmarkStart w:id="45" w:name="NEW_STAND_NAME"/>
          <w:r>
            <w:rPr>
              <w:rFonts w:hint="eastAsia"/>
            </w:rPr>
            <w:t>市政道路病害探测规程</w:t>
          </w:r>
        </w:p>
      </w:sdtContent>
    </w:sdt>
    <w:bookmarkEnd w:id="44"/>
    <w:bookmarkEnd w:id="45"/>
    <w:p w14:paraId="2C5BB336">
      <w:pPr>
        <w:pStyle w:val="105"/>
        <w:spacing w:before="312" w:after="312"/>
      </w:pPr>
      <w:bookmarkStart w:id="46" w:name="_Toc17233333"/>
      <w:bookmarkStart w:id="47" w:name="_Toc26648465"/>
      <w:bookmarkStart w:id="48" w:name="_Toc24884218"/>
      <w:bookmarkStart w:id="49" w:name="_Toc26718930"/>
      <w:bookmarkStart w:id="50" w:name="_Toc26986530"/>
      <w:bookmarkStart w:id="51" w:name="_Toc26986771"/>
      <w:bookmarkStart w:id="52" w:name="_Toc66899195"/>
      <w:bookmarkStart w:id="53" w:name="_Toc24884211"/>
      <w:bookmarkStart w:id="54" w:name="_Toc66981425"/>
      <w:bookmarkStart w:id="55" w:name="_Toc67044876"/>
      <w:bookmarkStart w:id="56" w:name="_Toc17233325"/>
      <w:bookmarkStart w:id="57" w:name="_Toc67305562"/>
      <w:bookmarkStart w:id="58" w:name="_Toc181366639"/>
      <w:bookmarkStart w:id="59" w:name="_Toc68855872"/>
      <w:bookmarkStart w:id="60" w:name="_Toc109647440"/>
      <w:bookmarkStart w:id="61" w:name="_Toc67053157"/>
      <w:bookmarkStart w:id="62" w:name="_Toc67079597"/>
      <w:bookmarkStart w:id="63" w:name="_Toc68869489"/>
      <w:bookmarkStart w:id="64" w:name="_Toc67066419"/>
      <w:bookmarkStart w:id="65" w:name="_Toc70518822"/>
      <w:bookmarkStart w:id="66" w:name="_Toc72853455"/>
      <w:bookmarkStart w:id="67" w:name="_Toc68870195"/>
      <w:bookmarkStart w:id="68" w:name="_Toc181378017"/>
      <w:bookmarkStart w:id="69" w:name="_Toc74150046"/>
      <w:bookmarkStart w:id="70" w:name="_Toc181385125"/>
      <w:bookmarkStart w:id="71" w:name="_Toc181779117"/>
      <w:bookmarkStart w:id="72" w:name="_Toc111033570"/>
      <w:bookmarkStart w:id="73" w:name="_Toc181719681"/>
      <w:bookmarkStart w:id="74" w:name="_Toc181969849"/>
      <w:bookmarkStart w:id="75" w:name="_Toc192602862"/>
      <w:bookmarkStart w:id="76" w:name="_Toc67047418"/>
      <w:bookmarkStart w:id="77" w:name="_Toc192602995"/>
      <w:bookmarkStart w:id="78" w:name="_Toc74226208"/>
      <w:bookmarkStart w:id="79" w:name="_Toc192665568"/>
      <w:bookmarkStart w:id="80" w:name="_Toc192686336"/>
      <w:bookmarkStart w:id="81" w:name="_Toc67082538"/>
      <w:bookmarkStart w:id="82" w:name="_Toc67071480"/>
      <w:bookmarkStart w:id="83" w:name="_Toc67069578"/>
      <w:bookmarkStart w:id="84" w:name="_Toc74142078"/>
      <w:bookmarkStart w:id="85" w:name="_Toc111033544"/>
      <w:bookmarkStart w:id="86" w:name="_Toc181380505"/>
      <w:bookmarkStart w:id="87" w:name="_Toc181688430"/>
      <w:bookmarkStart w:id="88" w:name="_Toc181689762"/>
      <w:bookmarkStart w:id="89" w:name="_Toc192855430"/>
      <w:bookmarkStart w:id="90" w:name="_Toc192780760"/>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2965DF1">
      <w:pPr>
        <w:pStyle w:val="57"/>
        <w:ind w:firstLine="420"/>
      </w:pPr>
      <w:bookmarkStart w:id="91" w:name="_Toc17233326"/>
      <w:bookmarkStart w:id="92" w:name="_Toc17233334"/>
      <w:bookmarkStart w:id="93" w:name="_Toc24884219"/>
      <w:bookmarkStart w:id="94" w:name="_Toc26648466"/>
      <w:bookmarkStart w:id="95" w:name="_Toc24884212"/>
      <w:r>
        <w:rPr>
          <w:rFonts w:hint="eastAsia"/>
        </w:rPr>
        <w:t>本文件规定了市政道路病害探测的一般要求、病害体分类及技术选择、探测工作实施。</w:t>
      </w:r>
    </w:p>
    <w:p w14:paraId="6E32EEAC">
      <w:pPr>
        <w:pStyle w:val="57"/>
        <w:ind w:firstLine="420"/>
      </w:pPr>
      <w:r>
        <w:rPr>
          <w:rFonts w:hint="eastAsia"/>
        </w:rPr>
        <w:t>本文件适用市政道路病害的探测工作。</w:t>
      </w:r>
    </w:p>
    <w:p w14:paraId="1CCCAA0C">
      <w:pPr>
        <w:pStyle w:val="105"/>
        <w:spacing w:before="312" w:after="312"/>
      </w:pPr>
      <w:bookmarkStart w:id="96" w:name="_Toc67079598"/>
      <w:bookmarkStart w:id="97" w:name="_Toc68870196"/>
      <w:bookmarkStart w:id="98" w:name="_Toc26986531"/>
      <w:bookmarkStart w:id="99" w:name="_Toc67069579"/>
      <w:bookmarkStart w:id="100" w:name="_Toc67053158"/>
      <w:bookmarkStart w:id="101" w:name="_Toc67082539"/>
      <w:bookmarkStart w:id="102" w:name="_Toc26718931"/>
      <w:bookmarkStart w:id="103" w:name="_Toc66899196"/>
      <w:bookmarkStart w:id="104" w:name="_Toc26986772"/>
      <w:bookmarkStart w:id="105" w:name="_Toc67044877"/>
      <w:bookmarkStart w:id="106" w:name="_Toc67305563"/>
      <w:bookmarkStart w:id="107" w:name="_Toc68855873"/>
      <w:bookmarkStart w:id="108" w:name="_Toc68869490"/>
      <w:bookmarkStart w:id="109" w:name="_Toc67047419"/>
      <w:bookmarkStart w:id="110" w:name="_Toc66981426"/>
      <w:bookmarkStart w:id="111" w:name="_Toc70518823"/>
      <w:bookmarkStart w:id="112" w:name="_Toc72853456"/>
      <w:bookmarkStart w:id="113" w:name="_Toc74142079"/>
      <w:bookmarkStart w:id="114" w:name="_Toc67071481"/>
      <w:bookmarkStart w:id="115" w:name="_Toc67066420"/>
      <w:bookmarkStart w:id="116" w:name="_Toc111033545"/>
      <w:bookmarkStart w:id="117" w:name="_Toc74150047"/>
      <w:bookmarkStart w:id="118" w:name="_Toc111033571"/>
      <w:bookmarkStart w:id="119" w:name="_Toc181378018"/>
      <w:bookmarkStart w:id="120" w:name="_Toc192780761"/>
      <w:bookmarkStart w:id="121" w:name="_Toc181779118"/>
      <w:bookmarkStart w:id="122" w:name="_Toc192602996"/>
      <w:bookmarkStart w:id="123" w:name="_Toc192855431"/>
      <w:bookmarkStart w:id="124" w:name="_Toc181969850"/>
      <w:bookmarkStart w:id="125" w:name="_Toc109647441"/>
      <w:bookmarkStart w:id="126" w:name="_Toc181688431"/>
      <w:bookmarkStart w:id="127" w:name="_Toc181719682"/>
      <w:bookmarkStart w:id="128" w:name="_Toc192686337"/>
      <w:bookmarkStart w:id="129" w:name="_Toc192602863"/>
      <w:bookmarkStart w:id="130" w:name="_Toc192665569"/>
      <w:bookmarkStart w:id="131" w:name="_Toc181366640"/>
      <w:bookmarkStart w:id="132" w:name="_Toc181385126"/>
      <w:bookmarkStart w:id="133" w:name="_Toc74226209"/>
      <w:bookmarkStart w:id="134" w:name="_Toc181380506"/>
      <w:bookmarkStart w:id="135" w:name="_Toc181689763"/>
      <w:r>
        <w:rPr>
          <w:rFonts w:hint="eastAsia"/>
        </w:rPr>
        <w:t>规范性引用文件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E4DADF5">
      <w:pPr>
        <w:pStyle w:val="57"/>
        <w:ind w:firstLine="420"/>
      </w:pPr>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bookmarkStart w:id="136" w:name="_Hlk181870746"/>
      <w:bookmarkStart w:id="137" w:name="_Toc68855874"/>
      <w:bookmarkStart w:id="138" w:name="_Toc68870197"/>
      <w:bookmarkStart w:id="139" w:name="_Toc70518824"/>
      <w:bookmarkStart w:id="140" w:name="_Toc67069580"/>
      <w:bookmarkStart w:id="141" w:name="_Toc67082540"/>
      <w:bookmarkStart w:id="142" w:name="_Toc68869491"/>
      <w:bookmarkStart w:id="143" w:name="_Toc72853457"/>
      <w:bookmarkStart w:id="144" w:name="_Toc74150048"/>
      <w:bookmarkStart w:id="145" w:name="_Toc67066421"/>
      <w:bookmarkStart w:id="146" w:name="_Toc66899197"/>
      <w:bookmarkStart w:id="147" w:name="_Toc74226210"/>
      <w:bookmarkStart w:id="148" w:name="_Toc74142080"/>
      <w:bookmarkStart w:id="149" w:name="_Toc67071482"/>
      <w:bookmarkStart w:id="150" w:name="_Toc67044878"/>
      <w:bookmarkStart w:id="151" w:name="_Toc67053159"/>
      <w:bookmarkStart w:id="152" w:name="_Toc67047420"/>
      <w:bookmarkStart w:id="153" w:name="_Toc67079599"/>
      <w:bookmarkStart w:id="154" w:name="_Toc67305564"/>
      <w:bookmarkStart w:id="155" w:name="_Toc66981427"/>
      <w:bookmarkStart w:id="156" w:name="_Toc111033546"/>
      <w:bookmarkStart w:id="157" w:name="_Toc109647442"/>
      <w:bookmarkStart w:id="158" w:name="_Toc181366641"/>
      <w:bookmarkStart w:id="159" w:name="_Toc181385127"/>
      <w:bookmarkStart w:id="160" w:name="_Toc181380507"/>
      <w:bookmarkStart w:id="161" w:name="_Toc181378019"/>
      <w:bookmarkStart w:id="162" w:name="_Toc111033572"/>
      <w:r>
        <w:t xml:space="preserve"> </w:t>
      </w:r>
    </w:p>
    <w:bookmarkEnd w:id="136"/>
    <w:p w14:paraId="78A1AA58">
      <w:pPr>
        <w:pStyle w:val="57"/>
        <w:ind w:firstLine="420"/>
      </w:pPr>
      <w:bookmarkStart w:id="163" w:name="_Hlk192855490"/>
      <w:r>
        <w:rPr>
          <w:rFonts w:hint="eastAsia"/>
        </w:rPr>
        <w:t>JGJ 46 施工现场临时用电安全技术规范</w:t>
      </w:r>
    </w:p>
    <w:p w14:paraId="4FC3E2D5">
      <w:pPr>
        <w:pStyle w:val="57"/>
        <w:ind w:firstLine="420"/>
      </w:pPr>
      <w:r>
        <w:t>JGJ/T 87</w:t>
      </w:r>
      <w:r>
        <w:rPr>
          <w:rFonts w:hint="eastAsia"/>
        </w:rPr>
        <w:t xml:space="preserve"> 建筑工程地质勘探与取样技术规程</w:t>
      </w:r>
    </w:p>
    <w:p w14:paraId="63EB9362">
      <w:pPr>
        <w:pStyle w:val="57"/>
        <w:ind w:firstLine="420"/>
      </w:pPr>
      <w:r>
        <w:rPr>
          <w:rFonts w:hint="eastAsia"/>
        </w:rPr>
        <w:t>JGJ 146 建设工程施工现场环境与卫生标准</w:t>
      </w:r>
    </w:p>
    <w:p w14:paraId="119CBDA9">
      <w:pPr>
        <w:pStyle w:val="57"/>
        <w:ind w:firstLine="420"/>
      </w:pPr>
      <w:r>
        <w:t>JGJ/T 437</w:t>
      </w:r>
      <w:r>
        <w:rPr>
          <w:rFonts w:hint="eastAsia"/>
        </w:rPr>
        <w:t xml:space="preserve"> 城市地下病害体综合探测与风险评估技术标准</w:t>
      </w:r>
    </w:p>
    <w:bookmarkEnd w:id="163"/>
    <w:p w14:paraId="6DA0C9CF">
      <w:pPr>
        <w:pStyle w:val="105"/>
        <w:spacing w:before="312" w:after="312"/>
      </w:pPr>
      <w:bookmarkStart w:id="164" w:name="_Toc192602997"/>
      <w:bookmarkStart w:id="165" w:name="_Toc192855432"/>
      <w:bookmarkStart w:id="166" w:name="_Toc181779119"/>
      <w:bookmarkStart w:id="167" w:name="_Toc181969851"/>
      <w:bookmarkStart w:id="168" w:name="_Toc192686338"/>
      <w:bookmarkStart w:id="169" w:name="_Toc181719683"/>
      <w:bookmarkStart w:id="170" w:name="_Toc192665570"/>
      <w:bookmarkStart w:id="171" w:name="_Toc192780762"/>
      <w:bookmarkStart w:id="172" w:name="_Toc181689764"/>
      <w:bookmarkStart w:id="173" w:name="_Toc181688432"/>
      <w:bookmarkStart w:id="174" w:name="_Toc192602864"/>
      <w:r>
        <w:rPr>
          <w:rFonts w:hint="eastAsia"/>
        </w:rPr>
        <w:t>术语和定义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4"/>
      <w:bookmarkEnd w:id="165"/>
      <w:bookmarkEnd w:id="166"/>
      <w:bookmarkEnd w:id="167"/>
      <w:bookmarkEnd w:id="168"/>
      <w:bookmarkEnd w:id="169"/>
      <w:bookmarkEnd w:id="170"/>
      <w:bookmarkEnd w:id="171"/>
      <w:bookmarkEnd w:id="172"/>
      <w:bookmarkEnd w:id="173"/>
      <w:bookmarkEnd w:id="174"/>
    </w:p>
    <w:p w14:paraId="6B80DC09">
      <w:pPr>
        <w:pStyle w:val="57"/>
        <w:ind w:firstLine="420"/>
        <w:rPr>
          <w:rFonts w:hint="eastAsia" w:ascii="黑体" w:hAnsi="黑体" w:eastAsia="黑体"/>
        </w:rPr>
      </w:pPr>
      <w:bookmarkStart w:id="175" w:name="_Toc26986532"/>
      <w:bookmarkEnd w:id="175"/>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r>
            <w:rPr>
              <w:rFonts w:hint="eastAsia"/>
            </w:rPr>
            <w:t>下列术语和定义适用于本文件。</w:t>
          </w:r>
        </w:sdtContent>
      </w:sdt>
      <w:bookmarkStart w:id="176" w:name="_Toc181380509"/>
      <w:bookmarkStart w:id="177" w:name="_Toc181385129"/>
      <w:bookmarkStart w:id="178" w:name="_Toc181366643"/>
      <w:bookmarkStart w:id="179" w:name="_Toc181378021"/>
    </w:p>
    <w:p w14:paraId="29238AD1">
      <w:pPr>
        <w:pStyle w:val="224"/>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市政道路病害 m</w:t>
      </w:r>
      <w:r>
        <w:rPr>
          <w:rFonts w:ascii="黑体" w:hAnsi="黑体" w:eastAsia="黑体"/>
        </w:rPr>
        <w:t>unicipal road diseases</w:t>
      </w:r>
    </w:p>
    <w:p w14:paraId="72C5D7A6">
      <w:pPr>
        <w:pStyle w:val="57"/>
        <w:ind w:firstLine="420"/>
      </w:pPr>
      <w:r>
        <w:rPr>
          <w:rFonts w:hint="eastAsia"/>
        </w:rPr>
        <w:t>存在于市政道路路面及地面以下的裂缝、坑槽、沉陷、翻浆、管线、脱空、空洞、疏松体和富水体等影响市政道路安全的质量缺陷和不良地质。</w:t>
      </w:r>
    </w:p>
    <w:p w14:paraId="44E2BB1E">
      <w:pPr>
        <w:pStyle w:val="224"/>
        <w:ind w:left="420" w:hanging="420" w:hangingChars="200"/>
        <w:rPr>
          <w:rFonts w:hint="eastAsia" w:ascii="黑体" w:hAnsi="黑体" w:eastAsia="黑体"/>
        </w:rPr>
      </w:pPr>
    </w:p>
    <w:p w14:paraId="4A3C44A7">
      <w:pPr>
        <w:pStyle w:val="224"/>
        <w:numPr>
          <w:ilvl w:val="0"/>
          <w:numId w:val="0"/>
        </w:numPr>
        <w:ind w:left="420"/>
        <w:rPr>
          <w:rFonts w:hint="eastAsia" w:ascii="黑体" w:hAnsi="黑体" w:eastAsia="黑体"/>
        </w:rPr>
      </w:pPr>
      <w:r>
        <w:rPr>
          <w:rFonts w:hint="eastAsia" w:ascii="黑体" w:hAnsi="黑体" w:eastAsia="黑体"/>
        </w:rPr>
        <w:t xml:space="preserve">市政道路病害探测 municipal road diseases detection </w:t>
      </w:r>
    </w:p>
    <w:p w14:paraId="6BD46E0B">
      <w:pPr>
        <w:pStyle w:val="57"/>
        <w:ind w:firstLine="420"/>
      </w:pPr>
      <w:r>
        <w:rPr>
          <w:rFonts w:hint="eastAsia"/>
        </w:rPr>
        <w:t>采用地表地球物理探测方法探测市政道路地下和路面病害，查明其类型、位置和规模等属性特征的活动。</w:t>
      </w:r>
    </w:p>
    <w:p w14:paraId="48FA3D4B">
      <w:pPr>
        <w:pStyle w:val="224"/>
        <w:ind w:left="420" w:hanging="420" w:hangingChars="200"/>
      </w:pPr>
    </w:p>
    <w:p w14:paraId="6A4A4515">
      <w:pPr>
        <w:pStyle w:val="224"/>
        <w:numPr>
          <w:ilvl w:val="0"/>
          <w:numId w:val="0"/>
        </w:numPr>
        <w:ind w:left="420"/>
        <w:rPr>
          <w:rFonts w:hint="eastAsia" w:ascii="黑体" w:hAnsi="黑体" w:eastAsia="黑体"/>
        </w:rPr>
      </w:pPr>
      <w:r>
        <w:rPr>
          <w:rFonts w:hint="eastAsia" w:ascii="黑体" w:hAnsi="黑体" w:eastAsia="黑体"/>
        </w:rPr>
        <w:t>裂缝 crack</w:t>
      </w:r>
    </w:p>
    <w:p w14:paraId="4A6708CE">
      <w:pPr>
        <w:pStyle w:val="57"/>
        <w:ind w:firstLine="420"/>
      </w:pPr>
      <w:r>
        <w:rPr>
          <w:rFonts w:hint="eastAsia"/>
        </w:rPr>
        <w:t>路面因材料老化、温度变化、交通载荷及地基不均匀沉降等原因，表面出现的线状或网状开裂现象。</w:t>
      </w:r>
    </w:p>
    <w:p w14:paraId="100B62FA">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坑槽 pothole</w:t>
      </w:r>
    </w:p>
    <w:p w14:paraId="1FE0BA7C">
      <w:pPr>
        <w:pStyle w:val="57"/>
        <w:ind w:firstLine="420"/>
      </w:pPr>
      <w:r>
        <w:rPr>
          <w:rFonts w:hint="eastAsia"/>
        </w:rPr>
        <w:t>路面因局部结构破坏或脱落形成的深度较大的凹坑，边缘通常不规则。</w:t>
      </w:r>
    </w:p>
    <w:p w14:paraId="01E95858">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沉陷 settlement</w:t>
      </w:r>
    </w:p>
    <w:p w14:paraId="4A7F8E8C">
      <w:pPr>
        <w:pStyle w:val="57"/>
        <w:ind w:firstLine="420"/>
      </w:pPr>
      <w:r>
        <w:rPr>
          <w:rFonts w:hint="eastAsia"/>
        </w:rPr>
        <w:t>路基或路面因地基压缩、填土不均或结构老化，导致局部或整体高度降低的现象，通常伴随路面平整度变差。</w:t>
      </w:r>
    </w:p>
    <w:p w14:paraId="391D70F4">
      <w:pPr>
        <w:pStyle w:val="224"/>
        <w:ind w:left="420" w:hanging="420" w:hangingChars="200"/>
        <w:rPr>
          <w:rFonts w:hint="eastAsia" w:ascii="黑体" w:hAnsi="黑体" w:eastAsia="黑体"/>
        </w:rPr>
      </w:pPr>
    </w:p>
    <w:p w14:paraId="26B9EFFB">
      <w:pPr>
        <w:pStyle w:val="224"/>
        <w:numPr>
          <w:ilvl w:val="0"/>
          <w:numId w:val="0"/>
        </w:numPr>
        <w:ind w:left="420"/>
        <w:rPr>
          <w:rFonts w:hint="eastAsia" w:ascii="黑体" w:hAnsi="黑体" w:eastAsia="黑体"/>
        </w:rPr>
      </w:pPr>
      <w:r>
        <w:rPr>
          <w:rFonts w:hint="eastAsia" w:ascii="黑体" w:hAnsi="黑体" w:eastAsia="黑体"/>
        </w:rPr>
        <w:t>翻浆 mud pumping</w:t>
      </w:r>
    </w:p>
    <w:p w14:paraId="152E3802">
      <w:pPr>
        <w:pStyle w:val="57"/>
        <w:ind w:firstLine="420"/>
      </w:pPr>
      <w:r>
        <w:rPr>
          <w:rFonts w:hint="eastAsia"/>
        </w:rPr>
        <w:t>路基或路面基层因水分侵入，在车辆荷载作用下，细粒土被挤出地表形成泥浆现象。</w:t>
      </w:r>
    </w:p>
    <w:p w14:paraId="1A1F0FB4">
      <w:pPr>
        <w:pStyle w:val="224"/>
        <w:ind w:left="420" w:hanging="420" w:hangingChars="200"/>
      </w:pPr>
    </w:p>
    <w:p w14:paraId="4D0ACA8F">
      <w:pPr>
        <w:pStyle w:val="224"/>
        <w:numPr>
          <w:ilvl w:val="0"/>
          <w:numId w:val="0"/>
        </w:numPr>
        <w:ind w:left="420"/>
        <w:rPr>
          <w:rFonts w:hint="eastAsia" w:ascii="黑体" w:hAnsi="黑体" w:eastAsia="黑体"/>
        </w:rPr>
      </w:pPr>
      <w:r>
        <w:rPr>
          <w:rFonts w:hint="eastAsia" w:ascii="黑体" w:hAnsi="黑体" w:eastAsia="黑体"/>
        </w:rPr>
        <w:t>管线 pipelines</w:t>
      </w:r>
    </w:p>
    <w:p w14:paraId="16CAF49A">
      <w:pPr>
        <w:pStyle w:val="57"/>
        <w:ind w:firstLine="420"/>
      </w:pPr>
      <w:r>
        <w:rPr>
          <w:rFonts w:hint="eastAsia"/>
        </w:rPr>
        <w:t>路基或路面下方铺设有天然气管道、电缆、水管等市政管线。</w:t>
      </w:r>
    </w:p>
    <w:p w14:paraId="370ED14B">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脱空 cavity underneath pavement</w:t>
      </w:r>
    </w:p>
    <w:p w14:paraId="40108C31">
      <w:pPr>
        <w:pStyle w:val="57"/>
        <w:ind w:firstLine="420"/>
      </w:pPr>
      <w:r>
        <w:rPr>
          <w:rFonts w:hint="eastAsia"/>
        </w:rPr>
        <w:t>道路结构层与地基土之间发育的具有一定规模的洞体。</w:t>
      </w:r>
    </w:p>
    <w:p w14:paraId="0BD44B3D">
      <w:pPr>
        <w:pStyle w:val="224"/>
        <w:ind w:left="420" w:hanging="420" w:hangingChars="200"/>
        <w:rPr>
          <w:rFonts w:hint="eastAsia" w:ascii="黑体" w:hAnsi="黑体" w:eastAsia="黑体"/>
        </w:rPr>
      </w:pPr>
    </w:p>
    <w:p w14:paraId="2B83437D">
      <w:pPr>
        <w:pStyle w:val="224"/>
        <w:numPr>
          <w:ilvl w:val="0"/>
          <w:numId w:val="0"/>
        </w:numPr>
        <w:ind w:left="420"/>
        <w:rPr>
          <w:rFonts w:hint="eastAsia" w:ascii="黑体" w:hAnsi="黑体" w:eastAsia="黑体"/>
        </w:rPr>
      </w:pPr>
      <w:r>
        <w:rPr>
          <w:rFonts w:hint="eastAsia" w:ascii="黑体" w:hAnsi="黑体" w:eastAsia="黑体"/>
        </w:rPr>
        <w:t>空洞 void</w:t>
      </w:r>
    </w:p>
    <w:p w14:paraId="65C0E355">
      <w:pPr>
        <w:pStyle w:val="57"/>
        <w:ind w:firstLine="420"/>
      </w:pPr>
      <w:r>
        <w:rPr>
          <w:rFonts w:hint="eastAsia"/>
        </w:rPr>
        <w:t>道路地下土体中自然发育或人工形成的具有一定规模的洞体。</w:t>
      </w:r>
    </w:p>
    <w:p w14:paraId="2FF89F99">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疏松体 loosely infilled void</w:t>
      </w:r>
    </w:p>
    <w:p w14:paraId="7319C3B6">
      <w:pPr>
        <w:pStyle w:val="57"/>
        <w:ind w:firstLine="420"/>
      </w:pPr>
      <w:r>
        <w:rPr>
          <w:rFonts w:hint="eastAsia"/>
        </w:rPr>
        <w:t>密实度明显低于周边土体的不良地质体。</w:t>
      </w:r>
    </w:p>
    <w:p w14:paraId="3BCA90B9">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富水体 water-rich soil</w:t>
      </w:r>
    </w:p>
    <w:p w14:paraId="0BC18651">
      <w:pPr>
        <w:pStyle w:val="57"/>
        <w:ind w:firstLine="420"/>
      </w:pPr>
      <w:r>
        <w:rPr>
          <w:rFonts w:hint="eastAsia"/>
        </w:rPr>
        <w:t>道路地下含水率明显高于周边土体的不良地质体。</w:t>
      </w:r>
    </w:p>
    <w:p w14:paraId="14D4365D">
      <w:pPr>
        <w:pStyle w:val="105"/>
        <w:spacing w:before="312" w:after="312"/>
      </w:pPr>
      <w:bookmarkStart w:id="180" w:name="_Toc192602865"/>
      <w:bookmarkStart w:id="181" w:name="_Toc192602998"/>
      <w:bookmarkStart w:id="182" w:name="_Toc192855433"/>
      <w:bookmarkStart w:id="183" w:name="_Toc192665571"/>
      <w:bookmarkStart w:id="184" w:name="_Toc192780763"/>
      <w:bookmarkStart w:id="185" w:name="_Toc192686339"/>
      <w:r>
        <w:rPr>
          <w:rFonts w:hint="eastAsia"/>
        </w:rPr>
        <w:t>一般要求</w:t>
      </w:r>
      <w:bookmarkEnd w:id="176"/>
      <w:bookmarkEnd w:id="177"/>
      <w:bookmarkEnd w:id="178"/>
      <w:bookmarkEnd w:id="179"/>
      <w:bookmarkEnd w:id="180"/>
      <w:bookmarkEnd w:id="181"/>
      <w:bookmarkEnd w:id="182"/>
      <w:bookmarkEnd w:id="183"/>
      <w:bookmarkEnd w:id="184"/>
      <w:bookmarkEnd w:id="185"/>
    </w:p>
    <w:p w14:paraId="64E6EFD4">
      <w:pPr>
        <w:pStyle w:val="163"/>
      </w:pPr>
      <w:r>
        <w:rPr>
          <w:rFonts w:hint="eastAsia"/>
        </w:rPr>
        <w:t>市政道路病害探测应以防范道路事故隐患为核心，以科学探测为手段，以降低道路事故风险为目标。</w:t>
      </w:r>
    </w:p>
    <w:p w14:paraId="5011A7DD">
      <w:pPr>
        <w:pStyle w:val="163"/>
      </w:pPr>
      <w:r>
        <w:rPr>
          <w:rFonts w:hint="eastAsia"/>
        </w:rPr>
        <w:t>病害探测实施单位应取得相应资质。</w:t>
      </w:r>
    </w:p>
    <w:p w14:paraId="5061BC26">
      <w:pPr>
        <w:pStyle w:val="163"/>
      </w:pPr>
      <w:r>
        <w:rPr>
          <w:rFonts w:hint="eastAsia"/>
        </w:rPr>
        <w:t xml:space="preserve"> 病害探测采用的仪器设备：</w:t>
      </w:r>
    </w:p>
    <w:p w14:paraId="507BE91A">
      <w:pPr>
        <w:pStyle w:val="175"/>
        <w:numPr>
          <w:ilvl w:val="0"/>
          <w:numId w:val="33"/>
        </w:numPr>
      </w:pPr>
      <w:r>
        <w:rPr>
          <w:rFonts w:hint="eastAsia"/>
        </w:rPr>
        <w:t>仪器设备及附件应具备稳定性和一致性，满足不同探测深度和分辨率要求；</w:t>
      </w:r>
    </w:p>
    <w:p w14:paraId="3CAA687B">
      <w:pPr>
        <w:pStyle w:val="175"/>
        <w:numPr>
          <w:ilvl w:val="0"/>
          <w:numId w:val="33"/>
        </w:numPr>
      </w:pPr>
      <w:r>
        <w:rPr>
          <w:rFonts w:hint="eastAsia"/>
        </w:rPr>
        <w:t>投入的仪器设备在项目开始前应进行有效性试验；</w:t>
      </w:r>
    </w:p>
    <w:p w14:paraId="29C82DEF">
      <w:pPr>
        <w:pStyle w:val="175"/>
      </w:pPr>
      <w:r>
        <w:rPr>
          <w:rFonts w:hint="eastAsia"/>
        </w:rPr>
        <w:t>具有在有效期内检定、校准证书或相关探测参数的能力验证证书或试验室间质量对比结果单。</w:t>
      </w:r>
    </w:p>
    <w:p w14:paraId="7A907629">
      <w:pPr>
        <w:pStyle w:val="163"/>
      </w:pPr>
      <w:r>
        <w:rPr>
          <w:rFonts w:hint="eastAsia"/>
        </w:rPr>
        <w:t>探测工作人员：</w:t>
      </w:r>
    </w:p>
    <w:p w14:paraId="58728E29">
      <w:pPr>
        <w:pStyle w:val="175"/>
        <w:numPr>
          <w:ilvl w:val="0"/>
          <w:numId w:val="34"/>
        </w:numPr>
      </w:pPr>
      <w:r>
        <w:rPr>
          <w:rFonts w:hint="eastAsia"/>
        </w:rPr>
        <w:t>项目负责人应具有从事道路病害探测项目管理经验，有道路病害探测领域相关专业背景或教育培训经历，具备岩土、道路、物探或其他相关专业中级及以上专业技术职称，且从事道路病害探测相关工作3年以上；</w:t>
      </w:r>
    </w:p>
    <w:p w14:paraId="3DC4A345">
      <w:pPr>
        <w:pStyle w:val="175"/>
      </w:pPr>
      <w:r>
        <w:rPr>
          <w:rFonts w:hint="eastAsia"/>
        </w:rPr>
        <w:t>技术负责人应掌握道路病害探测的相关专业知识，具有道路病害探测领域相关专业背景或教育培训经历，具备岩土、道路、物探或其他相关专业高级专业技术职称，且从事道路病害探测相关工作5年以上；</w:t>
      </w:r>
    </w:p>
    <w:p w14:paraId="3BB868E1">
      <w:pPr>
        <w:pStyle w:val="175"/>
      </w:pPr>
      <w:r>
        <w:rPr>
          <w:rFonts w:hint="eastAsia"/>
        </w:rPr>
        <w:t>作业人员应具有道路病害探测领域相关专业背景或教育培训经历，经技术培训和施工安全培训合格后方可上岗。</w:t>
      </w:r>
    </w:p>
    <w:p w14:paraId="2924C5C8">
      <w:pPr>
        <w:pStyle w:val="163"/>
      </w:pPr>
      <w:r>
        <w:rPr>
          <w:rFonts w:hint="eastAsia"/>
        </w:rPr>
        <w:t>安全保障：</w:t>
      </w:r>
    </w:p>
    <w:p w14:paraId="02C44262">
      <w:pPr>
        <w:pStyle w:val="175"/>
        <w:numPr>
          <w:ilvl w:val="0"/>
          <w:numId w:val="35"/>
        </w:numPr>
      </w:pPr>
      <w:r>
        <w:rPr>
          <w:rFonts w:hint="eastAsia"/>
        </w:rPr>
        <w:t>保护探测工作相关资料的安全和知识产权；</w:t>
      </w:r>
    </w:p>
    <w:p w14:paraId="3E3349F9">
      <w:pPr>
        <w:pStyle w:val="175"/>
      </w:pPr>
      <w:r>
        <w:rPr>
          <w:rFonts w:hint="eastAsia"/>
        </w:rPr>
        <w:t>探测前进行安全培训，设置专职安全员；</w:t>
      </w:r>
    </w:p>
    <w:p w14:paraId="50A99AEB">
      <w:pPr>
        <w:pStyle w:val="175"/>
      </w:pPr>
      <w:r>
        <w:rPr>
          <w:rFonts w:hint="eastAsia"/>
        </w:rPr>
        <w:t>保障设备、车辆及系统的运行安全；</w:t>
      </w:r>
    </w:p>
    <w:p w14:paraId="15A90277">
      <w:pPr>
        <w:pStyle w:val="175"/>
      </w:pPr>
      <w:r>
        <w:rPr>
          <w:rFonts w:hint="eastAsia"/>
        </w:rPr>
        <w:t>确保各方人员和财产的安全；</w:t>
      </w:r>
    </w:p>
    <w:p w14:paraId="6FF55208">
      <w:pPr>
        <w:pStyle w:val="175"/>
      </w:pPr>
      <w:r>
        <w:rPr>
          <w:rFonts w:hint="eastAsia"/>
        </w:rPr>
        <w:t>作业符合交通管理部门相关规定，穿戴反光安全服、佩戴警示灯，所有设备均粘贴反光条；</w:t>
      </w:r>
    </w:p>
    <w:p w14:paraId="3C18D2F4">
      <w:pPr>
        <w:pStyle w:val="175"/>
      </w:pPr>
      <w:r>
        <w:rPr>
          <w:rFonts w:hint="eastAsia"/>
        </w:rPr>
        <w:t>不得将未经管理单位授权的探测成果传递给其他任何单位或个人；</w:t>
      </w:r>
    </w:p>
    <w:p w14:paraId="7C3899B5">
      <w:pPr>
        <w:pStyle w:val="175"/>
      </w:pPr>
      <w:r>
        <w:rPr>
          <w:rFonts w:hint="eastAsia"/>
        </w:rPr>
        <w:t>不得对外泄漏或发布任何与探测工作相关的信息，不得将未经授权的探测信息用于其他用途；</w:t>
      </w:r>
    </w:p>
    <w:p w14:paraId="17E923F9">
      <w:pPr>
        <w:pStyle w:val="175"/>
      </w:pPr>
      <w:r>
        <w:rPr>
          <w:rFonts w:hint="eastAsia"/>
        </w:rPr>
        <w:t>施工现场用电安全应符合JGJ 46的规定；</w:t>
      </w:r>
    </w:p>
    <w:p w14:paraId="265EF65F">
      <w:pPr>
        <w:pStyle w:val="175"/>
      </w:pPr>
      <w:r>
        <w:rPr>
          <w:rFonts w:hint="eastAsia"/>
        </w:rPr>
        <w:t>施工现场的环境与卫生管理应符合JGJ 146的规定。</w:t>
      </w:r>
    </w:p>
    <w:p w14:paraId="27886D87">
      <w:pPr>
        <w:pStyle w:val="105"/>
        <w:spacing w:before="312" w:after="312"/>
      </w:pPr>
      <w:bookmarkStart w:id="186" w:name="_Toc192686340"/>
      <w:bookmarkStart w:id="187" w:name="_Toc192780764"/>
      <w:bookmarkStart w:id="188" w:name="_Toc192855434"/>
      <w:bookmarkStart w:id="189" w:name="_Toc192602866"/>
      <w:bookmarkStart w:id="190" w:name="_Toc192602999"/>
      <w:bookmarkStart w:id="191" w:name="_Toc192665572"/>
      <w:r>
        <w:rPr>
          <w:rFonts w:hint="eastAsia"/>
        </w:rPr>
        <w:t>病害</w:t>
      </w:r>
      <w:bookmarkEnd w:id="186"/>
      <w:bookmarkEnd w:id="187"/>
      <w:r>
        <w:rPr>
          <w:rFonts w:hint="eastAsia"/>
        </w:rPr>
        <w:t>体分类及技术选择</w:t>
      </w:r>
      <w:bookmarkEnd w:id="188"/>
    </w:p>
    <w:p w14:paraId="3E1640AB">
      <w:pPr>
        <w:pStyle w:val="106"/>
        <w:spacing w:before="156" w:after="156"/>
      </w:pPr>
      <w:r>
        <w:rPr>
          <w:rFonts w:hint="eastAsia"/>
        </w:rPr>
        <w:t>病害体分类</w:t>
      </w:r>
    </w:p>
    <w:p w14:paraId="289A0F76">
      <w:pPr>
        <w:pStyle w:val="57"/>
        <w:ind w:firstLine="420"/>
      </w:pPr>
      <w:r>
        <w:rPr>
          <w:rFonts w:hint="eastAsia"/>
        </w:rPr>
        <w:t>市政道路病害体可分为裂缝、坑槽、沉陷、翻浆、管线、脱空、空洞、疏松体和富水体。</w:t>
      </w:r>
    </w:p>
    <w:p w14:paraId="4D0D33CF">
      <w:pPr>
        <w:pStyle w:val="106"/>
        <w:spacing w:before="156" w:after="156"/>
      </w:pPr>
      <w:r>
        <w:rPr>
          <w:rFonts w:hint="eastAsia"/>
        </w:rPr>
        <w:t>病害探测技术</w:t>
      </w:r>
    </w:p>
    <w:p w14:paraId="611CED11">
      <w:pPr>
        <w:pStyle w:val="166"/>
        <w:ind w:left="0"/>
      </w:pPr>
      <w:r>
        <w:rPr>
          <w:rFonts w:hint="eastAsia"/>
        </w:rPr>
        <w:t>病害探测技术包括但不限于：探地雷达定位法、管线定位仪法、高精度三维扫描仪法、红外热成像技术、高密度电阻率法、瞬态面波法、微动勘探法、瞬变电磁法。</w:t>
      </w:r>
    </w:p>
    <w:p w14:paraId="7BE17FA0">
      <w:pPr>
        <w:pStyle w:val="166"/>
        <w:ind w:left="0"/>
      </w:pPr>
      <w:r>
        <w:rPr>
          <w:rFonts w:hint="eastAsia"/>
        </w:rPr>
        <w:t>探地雷达定位法、高密度电阻率法、瞬态面波法、微动勘探法、瞬变电磁法技术要求应符合</w:t>
      </w:r>
      <w:r>
        <w:t>JGJ/T 437</w:t>
      </w:r>
      <w:r>
        <w:rPr>
          <w:rFonts w:hint="eastAsia"/>
        </w:rPr>
        <w:t>的规定。</w:t>
      </w:r>
    </w:p>
    <w:p w14:paraId="2B9EE761">
      <w:pPr>
        <w:pStyle w:val="166"/>
        <w:ind w:left="0"/>
      </w:pPr>
      <w:r>
        <w:rPr>
          <w:rFonts w:hint="eastAsia"/>
        </w:rPr>
        <w:t>管线定位仪法：</w:t>
      </w:r>
    </w:p>
    <w:p w14:paraId="32B6777B">
      <w:pPr>
        <w:pStyle w:val="175"/>
        <w:numPr>
          <w:ilvl w:val="0"/>
          <w:numId w:val="36"/>
        </w:numPr>
      </w:pPr>
      <w:r>
        <w:rPr>
          <w:rFonts w:hint="eastAsia"/>
        </w:rPr>
        <w:t>检测设备主要包括产生可调频率的电磁信号的发射机、接收机和信号夹钳、直连电缆、接地棒等辅助工具。设备的水平探测精度应为±30 cm，深度探测精度应为±10 cm（埋深应在3 m以内）；</w:t>
      </w:r>
    </w:p>
    <w:p w14:paraId="2942F479">
      <w:pPr>
        <w:pStyle w:val="175"/>
        <w:numPr>
          <w:ilvl w:val="0"/>
          <w:numId w:val="36"/>
        </w:numPr>
      </w:pPr>
      <w:r>
        <w:rPr>
          <w:rFonts w:hint="eastAsia"/>
        </w:rPr>
        <w:t>设备连接：将发射机连接到管线端口或通过信号夹钳进行信号耦合，选择合适的频率模式；</w:t>
      </w:r>
    </w:p>
    <w:p w14:paraId="08A9A0EC">
      <w:pPr>
        <w:pStyle w:val="175"/>
        <w:numPr>
          <w:ilvl w:val="0"/>
          <w:numId w:val="36"/>
        </w:numPr>
      </w:pPr>
      <w:r>
        <w:rPr>
          <w:rFonts w:hint="eastAsia"/>
        </w:rPr>
        <w:t>设备调试：打开接收机，调试发射信号强度和接收增益，确保信号清晰；</w:t>
      </w:r>
    </w:p>
    <w:p w14:paraId="0950D469">
      <w:pPr>
        <w:pStyle w:val="175"/>
        <w:numPr>
          <w:ilvl w:val="0"/>
          <w:numId w:val="36"/>
        </w:numPr>
      </w:pPr>
      <w:r>
        <w:rPr>
          <w:rFonts w:hint="eastAsia"/>
        </w:rPr>
        <w:t>定位与探测：沿测线方向移动接收机，根据信号强度变化确定管线位置或检测管线天然信号或外部信号频率，进行位置确认；</w:t>
      </w:r>
    </w:p>
    <w:p w14:paraId="7CF16D9F">
      <w:pPr>
        <w:pStyle w:val="175"/>
        <w:numPr>
          <w:ilvl w:val="0"/>
          <w:numId w:val="36"/>
        </w:numPr>
      </w:pPr>
      <w:r>
        <w:rPr>
          <w:rFonts w:hint="eastAsia"/>
        </w:rPr>
        <w:t>埋深测量：当管线位置确定后，利用深度测量功能记录管线埋深信息；</w:t>
      </w:r>
    </w:p>
    <w:p w14:paraId="550776C7">
      <w:pPr>
        <w:pStyle w:val="175"/>
        <w:numPr>
          <w:ilvl w:val="0"/>
          <w:numId w:val="36"/>
        </w:numPr>
      </w:pPr>
      <w:r>
        <w:rPr>
          <w:rFonts w:hint="eastAsia"/>
        </w:rPr>
        <w:t>数据记录与分析：记录每个测点的信号强度、频率及埋深信息，形成管线分布图；</w:t>
      </w:r>
    </w:p>
    <w:p w14:paraId="5AF52C36">
      <w:pPr>
        <w:pStyle w:val="175"/>
        <w:numPr>
          <w:ilvl w:val="0"/>
          <w:numId w:val="36"/>
        </w:numPr>
      </w:pPr>
      <w:r>
        <w:rPr>
          <w:rFonts w:hint="eastAsia"/>
        </w:rPr>
        <w:t>标记与报告：根据检测结果，在地表标记管线位置，并形成检测报告。</w:t>
      </w:r>
    </w:p>
    <w:p w14:paraId="3B0E2D93">
      <w:pPr>
        <w:pStyle w:val="166"/>
        <w:ind w:left="0"/>
      </w:pPr>
      <w:r>
        <w:rPr>
          <w:rFonts w:hint="eastAsia"/>
        </w:rPr>
        <w:t>高精度三维扫描仪法：</w:t>
      </w:r>
    </w:p>
    <w:p w14:paraId="2A7C47BC">
      <w:pPr>
        <w:pStyle w:val="175"/>
        <w:numPr>
          <w:ilvl w:val="0"/>
          <w:numId w:val="37"/>
        </w:numPr>
      </w:pPr>
      <w:r>
        <w:rPr>
          <w:rFonts w:hint="eastAsia"/>
        </w:rPr>
        <w:t>高精度三维扫描仪检测设备包括激光扫描仪/结构光扫描仪、接收器/传感器、数据处理主机、扫描平台、软件工具。激光扫描精度应为±1 mm，结构光扫描精度应为±0.5 mm；</w:t>
      </w:r>
    </w:p>
    <w:p w14:paraId="126D30F4">
      <w:pPr>
        <w:pStyle w:val="175"/>
        <w:numPr>
          <w:ilvl w:val="0"/>
          <w:numId w:val="37"/>
        </w:numPr>
      </w:pPr>
      <w:r>
        <w:rPr>
          <w:rFonts w:hint="eastAsia"/>
        </w:rPr>
        <w:t>设备准备与校准：启动扫描设备，检查设备是否正常运行。校准扫描仪，以确保其精度满足市政道路病害检测要求。设置参数，如扫描精度、测量范围等，根据道路检测的实际需求进行配置；</w:t>
      </w:r>
    </w:p>
    <w:p w14:paraId="564A4BD2">
      <w:pPr>
        <w:pStyle w:val="175"/>
        <w:numPr>
          <w:ilvl w:val="0"/>
          <w:numId w:val="37"/>
        </w:numPr>
      </w:pPr>
      <w:r>
        <w:rPr>
          <w:rFonts w:hint="eastAsia"/>
        </w:rPr>
        <w:t>扫描设置：根据道路的形状、长度和目标病害类型（如裂缝、沉陷等），选择适当的扫描模式（激光扫描或结构光扫描）。在道路检测区域设定多个扫描位置，确保全面覆盖检测区域。安装扫描平台或支架，将扫描仪固定在道路表面，避免由于震动造成数据误差；</w:t>
      </w:r>
    </w:p>
    <w:p w14:paraId="101A9F31">
      <w:pPr>
        <w:pStyle w:val="175"/>
        <w:numPr>
          <w:ilvl w:val="0"/>
          <w:numId w:val="37"/>
        </w:numPr>
      </w:pPr>
      <w:r>
        <w:rPr>
          <w:rFonts w:hint="eastAsia"/>
        </w:rPr>
        <w:t>数据采集：启动扫描仪进行数据采集。在扫描过程中，确保扫描仪按预定路径均匀移动，以便充分采集整个区域的三维数据。对道路表面、路基及地下管线进行全覆盖扫描，重点检测容易发生病害的区域（如裂缝、沉陷点、坑洞等）；</w:t>
      </w:r>
    </w:p>
    <w:p w14:paraId="1535C26B">
      <w:pPr>
        <w:pStyle w:val="175"/>
        <w:numPr>
          <w:ilvl w:val="0"/>
          <w:numId w:val="37"/>
        </w:numPr>
      </w:pPr>
      <w:r>
        <w:rPr>
          <w:rFonts w:hint="eastAsia"/>
        </w:rPr>
        <w:t>数据处理与分析：将采集到的点的云数据进行处理，包括去噪、点云配准、拼接等步骤，生成完整的三维模型。使用专业软件进行病害评估，通过三维模型分析道路的沉陷量、裂缝宽度、坑洞深度等数据，精确定位病害发生位置及其严重程度。</w:t>
      </w:r>
    </w:p>
    <w:p w14:paraId="6B0C599E">
      <w:pPr>
        <w:pStyle w:val="166"/>
        <w:ind w:left="0"/>
      </w:pPr>
      <w:r>
        <w:rPr>
          <w:rFonts w:hint="eastAsia"/>
        </w:rPr>
        <w:t>红外热成像技术：</w:t>
      </w:r>
    </w:p>
    <w:p w14:paraId="48E4BE94">
      <w:pPr>
        <w:pStyle w:val="175"/>
        <w:numPr>
          <w:ilvl w:val="0"/>
          <w:numId w:val="38"/>
        </w:numPr>
      </w:pPr>
      <w:r>
        <w:rPr>
          <w:rFonts w:hint="eastAsia"/>
        </w:rPr>
        <w:t>检测设备主要包括红外热像仪（分辨率应≥640×480）、无人机或移动平台、分析软件（用于处理热图数据，生成温度分布图并分析病害特征）、GPS定位系统和数据存储设备；设备的温度分辨率应为±0.1 ℃，测量范围应为-20 ℃～120 ℃；</w:t>
      </w:r>
    </w:p>
    <w:p w14:paraId="73C9E720">
      <w:pPr>
        <w:pStyle w:val="175"/>
        <w:numPr>
          <w:ilvl w:val="0"/>
          <w:numId w:val="38"/>
        </w:numPr>
      </w:pPr>
      <w:r>
        <w:rPr>
          <w:rFonts w:hint="eastAsia"/>
        </w:rPr>
        <w:t>调试红外热像仪，设置温度范围、环境参数（如反射率、背景温度等），根据检测需求规划测区，确定检测时间（通常在早晨或夜间温差显著时）；</w:t>
      </w:r>
    </w:p>
    <w:p w14:paraId="2B3072BC">
      <w:pPr>
        <w:pStyle w:val="175"/>
        <w:numPr>
          <w:ilvl w:val="0"/>
          <w:numId w:val="38"/>
        </w:numPr>
      </w:pPr>
      <w:r>
        <w:rPr>
          <w:rFonts w:hint="eastAsia"/>
        </w:rPr>
        <w:t>移动检测：将热像仪安装在无人机或车辆上，以固定速度沿测线进行扫描；</w:t>
      </w:r>
    </w:p>
    <w:p w14:paraId="660A9DDE">
      <w:pPr>
        <w:pStyle w:val="175"/>
        <w:numPr>
          <w:ilvl w:val="0"/>
          <w:numId w:val="38"/>
        </w:numPr>
      </w:pPr>
      <w:r>
        <w:rPr>
          <w:rFonts w:hint="eastAsia"/>
        </w:rPr>
        <w:t>定点检测：对重点区域进行细致观测，获取高分辨率的热图数据，记录道路表面的温差分布，识别潜在病害区域；</w:t>
      </w:r>
    </w:p>
    <w:p w14:paraId="18D5A342">
      <w:pPr>
        <w:pStyle w:val="175"/>
        <w:numPr>
          <w:ilvl w:val="0"/>
          <w:numId w:val="38"/>
        </w:numPr>
      </w:pPr>
      <w:r>
        <w:rPr>
          <w:rFonts w:hint="eastAsia"/>
        </w:rPr>
        <w:t>将采集到的热图数据导入分析软件，通过颜色差异或灰阶分布确定异常区域；结合病害类型和温差特性（如裂缝显示为低温区，空洞显示为高温区）进行标注和分类；</w:t>
      </w:r>
    </w:p>
    <w:p w14:paraId="4B49796C">
      <w:pPr>
        <w:pStyle w:val="175"/>
        <w:numPr>
          <w:ilvl w:val="0"/>
          <w:numId w:val="38"/>
        </w:numPr>
      </w:pPr>
      <w:r>
        <w:rPr>
          <w:rFonts w:hint="eastAsia"/>
        </w:rPr>
        <w:t>对疑似病害区域进行人工复核或使用其他手段（如地质雷达）进行验证；生成检测报告，包括热图、病害类型、位置坐标和修复建议。</w:t>
      </w:r>
    </w:p>
    <w:p w14:paraId="17387F3D">
      <w:pPr>
        <w:pStyle w:val="106"/>
        <w:spacing w:before="156" w:after="156"/>
      </w:pPr>
      <w:r>
        <w:rPr>
          <w:rFonts w:hint="eastAsia"/>
        </w:rPr>
        <w:t>病害探测技术选择</w:t>
      </w:r>
    </w:p>
    <w:p w14:paraId="65A31A6B">
      <w:pPr>
        <w:pStyle w:val="166"/>
        <w:ind w:left="0"/>
      </w:pPr>
      <w:r>
        <w:rPr>
          <w:rFonts w:hint="eastAsia"/>
        </w:rPr>
        <w:t>裂缝、坑槽、沉陷、翻浆、管线类病害体探测技术选择宜按表1的规定进行。</w:t>
      </w:r>
    </w:p>
    <w:p w14:paraId="6AB8B80C">
      <w:pPr>
        <w:pStyle w:val="113"/>
        <w:spacing w:before="156" w:after="156"/>
      </w:pPr>
      <w:r>
        <w:rPr>
          <w:rFonts w:hint="eastAsia"/>
        </w:rPr>
        <w:t>探测技术方法选择表</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6CC9B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restart"/>
            <w:tcBorders>
              <w:top w:val="single" w:color="auto" w:sz="8" w:space="0"/>
            </w:tcBorders>
            <w:shd w:val="clear" w:color="auto" w:fill="auto"/>
            <w:vAlign w:val="center"/>
          </w:tcPr>
          <w:p w14:paraId="4B799AE5">
            <w:pPr>
              <w:pStyle w:val="179"/>
            </w:pPr>
            <w:r>
              <w:rPr>
                <w:rFonts w:hint="eastAsia"/>
              </w:rPr>
              <w:t>检测项目</w:t>
            </w:r>
          </w:p>
        </w:tc>
        <w:tc>
          <w:tcPr>
            <w:tcW w:w="7468" w:type="dxa"/>
            <w:gridSpan w:val="4"/>
            <w:tcBorders>
              <w:top w:val="single" w:color="auto" w:sz="8" w:space="0"/>
              <w:bottom w:val="single" w:color="auto" w:sz="4" w:space="0"/>
            </w:tcBorders>
            <w:shd w:val="clear" w:color="auto" w:fill="auto"/>
            <w:vAlign w:val="center"/>
          </w:tcPr>
          <w:p w14:paraId="13382AAC">
            <w:pPr>
              <w:pStyle w:val="179"/>
            </w:pPr>
            <w:r>
              <w:rPr>
                <w:rFonts w:hint="eastAsia"/>
              </w:rPr>
              <w:t>检测方法</w:t>
            </w:r>
          </w:p>
        </w:tc>
      </w:tr>
      <w:tr w14:paraId="6E45D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continue"/>
            <w:tcBorders>
              <w:bottom w:val="single" w:color="auto" w:sz="8" w:space="0"/>
            </w:tcBorders>
            <w:shd w:val="clear" w:color="auto" w:fill="auto"/>
            <w:vAlign w:val="center"/>
          </w:tcPr>
          <w:p w14:paraId="11598842">
            <w:pPr>
              <w:pStyle w:val="179"/>
            </w:pPr>
          </w:p>
        </w:tc>
        <w:tc>
          <w:tcPr>
            <w:tcW w:w="1867" w:type="dxa"/>
            <w:tcBorders>
              <w:top w:val="single" w:color="auto" w:sz="4" w:space="0"/>
              <w:bottom w:val="single" w:color="auto" w:sz="8" w:space="0"/>
            </w:tcBorders>
            <w:shd w:val="clear" w:color="auto" w:fill="auto"/>
            <w:vAlign w:val="center"/>
          </w:tcPr>
          <w:p w14:paraId="32CD11BC">
            <w:pPr>
              <w:pStyle w:val="179"/>
            </w:pPr>
            <w:r>
              <w:rPr>
                <w:rFonts w:hint="eastAsia"/>
              </w:rPr>
              <w:t>探地雷达定位法</w:t>
            </w:r>
          </w:p>
        </w:tc>
        <w:tc>
          <w:tcPr>
            <w:tcW w:w="1867" w:type="dxa"/>
            <w:tcBorders>
              <w:top w:val="single" w:color="auto" w:sz="4" w:space="0"/>
              <w:bottom w:val="single" w:color="auto" w:sz="8" w:space="0"/>
            </w:tcBorders>
            <w:shd w:val="clear" w:color="auto" w:fill="auto"/>
            <w:vAlign w:val="center"/>
          </w:tcPr>
          <w:p w14:paraId="002E3743">
            <w:pPr>
              <w:pStyle w:val="179"/>
            </w:pPr>
            <w:r>
              <w:rPr>
                <w:rFonts w:hint="eastAsia"/>
              </w:rPr>
              <w:t>高精度三维扫描仪法</w:t>
            </w:r>
          </w:p>
        </w:tc>
        <w:tc>
          <w:tcPr>
            <w:tcW w:w="1867" w:type="dxa"/>
            <w:tcBorders>
              <w:top w:val="single" w:color="auto" w:sz="4" w:space="0"/>
              <w:bottom w:val="single" w:color="auto" w:sz="8" w:space="0"/>
            </w:tcBorders>
            <w:shd w:val="clear" w:color="auto" w:fill="auto"/>
            <w:vAlign w:val="center"/>
          </w:tcPr>
          <w:p w14:paraId="080AB047">
            <w:pPr>
              <w:pStyle w:val="179"/>
            </w:pPr>
            <w:r>
              <w:rPr>
                <w:rFonts w:hint="eastAsia"/>
              </w:rPr>
              <w:t>管线定位仪法</w:t>
            </w:r>
          </w:p>
        </w:tc>
        <w:tc>
          <w:tcPr>
            <w:tcW w:w="1867" w:type="dxa"/>
            <w:tcBorders>
              <w:top w:val="single" w:color="auto" w:sz="4" w:space="0"/>
              <w:bottom w:val="single" w:color="auto" w:sz="8" w:space="0"/>
            </w:tcBorders>
            <w:shd w:val="clear" w:color="auto" w:fill="auto"/>
            <w:vAlign w:val="center"/>
          </w:tcPr>
          <w:p w14:paraId="1D194A58">
            <w:pPr>
              <w:pStyle w:val="179"/>
            </w:pPr>
            <w:r>
              <w:rPr>
                <w:rFonts w:hint="eastAsia"/>
              </w:rPr>
              <w:t>红外热成像技术</w:t>
            </w:r>
          </w:p>
        </w:tc>
      </w:tr>
      <w:tr w14:paraId="722F9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14:paraId="0934F3C4">
            <w:pPr>
              <w:pStyle w:val="179"/>
            </w:pPr>
            <w:r>
              <w:rPr>
                <w:rFonts w:hint="eastAsia"/>
              </w:rPr>
              <w:t>裂缝</w:t>
            </w:r>
          </w:p>
        </w:tc>
        <w:tc>
          <w:tcPr>
            <w:tcW w:w="1867" w:type="dxa"/>
            <w:tcBorders>
              <w:top w:val="single" w:color="auto" w:sz="8" w:space="0"/>
            </w:tcBorders>
            <w:shd w:val="clear" w:color="auto" w:fill="auto"/>
            <w:vAlign w:val="center"/>
          </w:tcPr>
          <w:p w14:paraId="4F785A21">
            <w:pPr>
              <w:pStyle w:val="179"/>
            </w:pPr>
            <w:r>
              <w:rPr>
                <w:rFonts w:hint="eastAsia"/>
              </w:rPr>
              <w:t>·</w:t>
            </w:r>
          </w:p>
        </w:tc>
        <w:tc>
          <w:tcPr>
            <w:tcW w:w="1867" w:type="dxa"/>
            <w:tcBorders>
              <w:top w:val="single" w:color="auto" w:sz="8" w:space="0"/>
            </w:tcBorders>
            <w:shd w:val="clear" w:color="auto" w:fill="auto"/>
            <w:vAlign w:val="center"/>
          </w:tcPr>
          <w:p w14:paraId="5726791B">
            <w:pPr>
              <w:pStyle w:val="179"/>
            </w:pPr>
            <w:r>
              <w:rPr>
                <w:rFonts w:hint="eastAsia"/>
              </w:rPr>
              <w:t>o</w:t>
            </w:r>
          </w:p>
        </w:tc>
        <w:tc>
          <w:tcPr>
            <w:tcW w:w="1867" w:type="dxa"/>
            <w:tcBorders>
              <w:top w:val="single" w:color="auto" w:sz="8" w:space="0"/>
            </w:tcBorders>
            <w:shd w:val="clear" w:color="auto" w:fill="auto"/>
            <w:vAlign w:val="center"/>
          </w:tcPr>
          <w:p w14:paraId="7A00E7D5">
            <w:pPr>
              <w:pStyle w:val="179"/>
            </w:pPr>
            <w:r>
              <w:rPr>
                <w:rFonts w:hint="eastAsia"/>
              </w:rPr>
              <w:t>-</w:t>
            </w:r>
          </w:p>
        </w:tc>
        <w:tc>
          <w:tcPr>
            <w:tcW w:w="1867" w:type="dxa"/>
            <w:tcBorders>
              <w:top w:val="single" w:color="auto" w:sz="8" w:space="0"/>
            </w:tcBorders>
            <w:shd w:val="clear" w:color="auto" w:fill="auto"/>
            <w:vAlign w:val="center"/>
          </w:tcPr>
          <w:p w14:paraId="0FCACD38">
            <w:pPr>
              <w:pStyle w:val="179"/>
            </w:pPr>
            <w:r>
              <w:rPr>
                <w:rFonts w:hint="eastAsia"/>
              </w:rPr>
              <w:t>·</w:t>
            </w:r>
          </w:p>
        </w:tc>
      </w:tr>
      <w:tr w14:paraId="420F8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26521446">
            <w:pPr>
              <w:pStyle w:val="179"/>
            </w:pPr>
            <w:r>
              <w:rPr>
                <w:rFonts w:hint="eastAsia"/>
              </w:rPr>
              <w:t>坑槽</w:t>
            </w:r>
          </w:p>
        </w:tc>
        <w:tc>
          <w:tcPr>
            <w:tcW w:w="1867" w:type="dxa"/>
            <w:shd w:val="clear" w:color="auto" w:fill="auto"/>
            <w:vAlign w:val="center"/>
          </w:tcPr>
          <w:p w14:paraId="35E07F19">
            <w:pPr>
              <w:pStyle w:val="179"/>
            </w:pPr>
            <w:r>
              <w:rPr>
                <w:rFonts w:hint="eastAsia"/>
              </w:rPr>
              <w:t>·</w:t>
            </w:r>
          </w:p>
        </w:tc>
        <w:tc>
          <w:tcPr>
            <w:tcW w:w="1867" w:type="dxa"/>
            <w:shd w:val="clear" w:color="auto" w:fill="auto"/>
            <w:vAlign w:val="center"/>
          </w:tcPr>
          <w:p w14:paraId="0078A85E">
            <w:pPr>
              <w:pStyle w:val="179"/>
            </w:pPr>
            <w:r>
              <w:rPr>
                <w:rFonts w:hint="eastAsia"/>
              </w:rPr>
              <w:t>o</w:t>
            </w:r>
          </w:p>
        </w:tc>
        <w:tc>
          <w:tcPr>
            <w:tcW w:w="1867" w:type="dxa"/>
            <w:shd w:val="clear" w:color="auto" w:fill="auto"/>
            <w:vAlign w:val="center"/>
          </w:tcPr>
          <w:p w14:paraId="2FDFE029">
            <w:pPr>
              <w:pStyle w:val="179"/>
            </w:pPr>
            <w:r>
              <w:rPr>
                <w:rFonts w:hint="eastAsia"/>
              </w:rPr>
              <w:t>-</w:t>
            </w:r>
          </w:p>
        </w:tc>
        <w:tc>
          <w:tcPr>
            <w:tcW w:w="1867" w:type="dxa"/>
            <w:shd w:val="clear" w:color="auto" w:fill="auto"/>
            <w:vAlign w:val="center"/>
          </w:tcPr>
          <w:p w14:paraId="3AA75FB6">
            <w:pPr>
              <w:pStyle w:val="179"/>
            </w:pPr>
            <w:r>
              <w:rPr>
                <w:rFonts w:hint="eastAsia"/>
              </w:rPr>
              <w:t>-</w:t>
            </w:r>
          </w:p>
        </w:tc>
      </w:tr>
      <w:tr w14:paraId="0AD9F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69BF573F">
            <w:pPr>
              <w:pStyle w:val="179"/>
            </w:pPr>
            <w:r>
              <w:rPr>
                <w:rFonts w:hint="eastAsia"/>
              </w:rPr>
              <w:t>沉陷</w:t>
            </w:r>
          </w:p>
        </w:tc>
        <w:tc>
          <w:tcPr>
            <w:tcW w:w="1867" w:type="dxa"/>
            <w:shd w:val="clear" w:color="auto" w:fill="auto"/>
            <w:vAlign w:val="center"/>
          </w:tcPr>
          <w:p w14:paraId="6C82F60F">
            <w:pPr>
              <w:pStyle w:val="179"/>
            </w:pPr>
            <w:r>
              <w:rPr>
                <w:rFonts w:hint="eastAsia"/>
              </w:rPr>
              <w:t>·</w:t>
            </w:r>
          </w:p>
        </w:tc>
        <w:tc>
          <w:tcPr>
            <w:tcW w:w="1867" w:type="dxa"/>
            <w:shd w:val="clear" w:color="auto" w:fill="auto"/>
            <w:vAlign w:val="center"/>
          </w:tcPr>
          <w:p w14:paraId="7726860C">
            <w:pPr>
              <w:pStyle w:val="179"/>
            </w:pPr>
            <w:r>
              <w:rPr>
                <w:rFonts w:hint="eastAsia"/>
              </w:rPr>
              <w:t>o</w:t>
            </w:r>
          </w:p>
        </w:tc>
        <w:tc>
          <w:tcPr>
            <w:tcW w:w="1867" w:type="dxa"/>
            <w:shd w:val="clear" w:color="auto" w:fill="auto"/>
            <w:vAlign w:val="center"/>
          </w:tcPr>
          <w:p w14:paraId="1BF16A14">
            <w:pPr>
              <w:pStyle w:val="179"/>
            </w:pPr>
            <w:r>
              <w:rPr>
                <w:rFonts w:hint="eastAsia"/>
              </w:rPr>
              <w:t>-</w:t>
            </w:r>
          </w:p>
        </w:tc>
        <w:tc>
          <w:tcPr>
            <w:tcW w:w="1867" w:type="dxa"/>
            <w:shd w:val="clear" w:color="auto" w:fill="auto"/>
            <w:vAlign w:val="center"/>
          </w:tcPr>
          <w:p w14:paraId="177F5484">
            <w:pPr>
              <w:pStyle w:val="179"/>
            </w:pPr>
            <w:r>
              <w:rPr>
                <w:rFonts w:hint="eastAsia"/>
              </w:rPr>
              <w:t>-</w:t>
            </w:r>
          </w:p>
        </w:tc>
      </w:tr>
      <w:tr w14:paraId="279C8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14:paraId="67069DB1">
            <w:pPr>
              <w:pStyle w:val="179"/>
            </w:pPr>
            <w:r>
              <w:rPr>
                <w:rFonts w:hint="eastAsia"/>
              </w:rPr>
              <w:t>翻浆</w:t>
            </w:r>
          </w:p>
        </w:tc>
        <w:tc>
          <w:tcPr>
            <w:tcW w:w="1867" w:type="dxa"/>
            <w:shd w:val="clear" w:color="auto" w:fill="auto"/>
            <w:vAlign w:val="center"/>
          </w:tcPr>
          <w:p w14:paraId="03DC894A">
            <w:pPr>
              <w:pStyle w:val="179"/>
            </w:pPr>
            <w:r>
              <w:rPr>
                <w:rFonts w:hint="eastAsia"/>
              </w:rPr>
              <w:t>·</w:t>
            </w:r>
          </w:p>
        </w:tc>
        <w:tc>
          <w:tcPr>
            <w:tcW w:w="1867" w:type="dxa"/>
            <w:shd w:val="clear" w:color="auto" w:fill="auto"/>
            <w:vAlign w:val="center"/>
          </w:tcPr>
          <w:p w14:paraId="3E8B8445">
            <w:pPr>
              <w:pStyle w:val="179"/>
            </w:pPr>
            <w:r>
              <w:rPr>
                <w:rFonts w:hint="eastAsia"/>
              </w:rPr>
              <w:t>·</w:t>
            </w:r>
          </w:p>
        </w:tc>
        <w:tc>
          <w:tcPr>
            <w:tcW w:w="1867" w:type="dxa"/>
            <w:shd w:val="clear" w:color="auto" w:fill="auto"/>
            <w:vAlign w:val="center"/>
          </w:tcPr>
          <w:p w14:paraId="095E213D">
            <w:pPr>
              <w:pStyle w:val="179"/>
            </w:pPr>
            <w:r>
              <w:rPr>
                <w:rFonts w:hint="eastAsia"/>
              </w:rPr>
              <w:t>-</w:t>
            </w:r>
          </w:p>
        </w:tc>
        <w:tc>
          <w:tcPr>
            <w:tcW w:w="1867" w:type="dxa"/>
            <w:shd w:val="clear" w:color="auto" w:fill="auto"/>
            <w:vAlign w:val="center"/>
          </w:tcPr>
          <w:p w14:paraId="7B2DD049">
            <w:pPr>
              <w:pStyle w:val="179"/>
            </w:pPr>
            <w:r>
              <w:rPr>
                <w:rFonts w:hint="eastAsia"/>
              </w:rPr>
              <w:t>o</w:t>
            </w:r>
          </w:p>
        </w:tc>
      </w:tr>
      <w:tr w14:paraId="0443B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bottom w:val="single" w:color="auto" w:sz="8" w:space="0"/>
            </w:tcBorders>
            <w:shd w:val="clear" w:color="auto" w:fill="auto"/>
            <w:vAlign w:val="center"/>
          </w:tcPr>
          <w:p w14:paraId="3B75DA32">
            <w:pPr>
              <w:pStyle w:val="179"/>
            </w:pPr>
            <w:r>
              <w:rPr>
                <w:rFonts w:hint="eastAsia"/>
              </w:rPr>
              <w:t>管线</w:t>
            </w:r>
          </w:p>
        </w:tc>
        <w:tc>
          <w:tcPr>
            <w:tcW w:w="1867" w:type="dxa"/>
            <w:tcBorders>
              <w:bottom w:val="single" w:color="auto" w:sz="8" w:space="0"/>
            </w:tcBorders>
            <w:shd w:val="clear" w:color="auto" w:fill="auto"/>
            <w:vAlign w:val="center"/>
          </w:tcPr>
          <w:p w14:paraId="33408F06">
            <w:pPr>
              <w:pStyle w:val="179"/>
            </w:pPr>
            <w:r>
              <w:rPr>
                <w:rFonts w:hint="eastAsia"/>
              </w:rPr>
              <w:t>·</w:t>
            </w:r>
          </w:p>
        </w:tc>
        <w:tc>
          <w:tcPr>
            <w:tcW w:w="1867" w:type="dxa"/>
            <w:tcBorders>
              <w:bottom w:val="single" w:color="auto" w:sz="8" w:space="0"/>
            </w:tcBorders>
            <w:shd w:val="clear" w:color="auto" w:fill="auto"/>
            <w:vAlign w:val="center"/>
          </w:tcPr>
          <w:p w14:paraId="4EBBB15F">
            <w:pPr>
              <w:pStyle w:val="179"/>
            </w:pPr>
            <w:r>
              <w:rPr>
                <w:rFonts w:hint="eastAsia"/>
              </w:rPr>
              <w:t>-</w:t>
            </w:r>
          </w:p>
        </w:tc>
        <w:tc>
          <w:tcPr>
            <w:tcW w:w="1867" w:type="dxa"/>
            <w:tcBorders>
              <w:bottom w:val="single" w:color="auto" w:sz="8" w:space="0"/>
            </w:tcBorders>
            <w:shd w:val="clear" w:color="auto" w:fill="auto"/>
            <w:vAlign w:val="center"/>
          </w:tcPr>
          <w:p w14:paraId="11905B56">
            <w:pPr>
              <w:pStyle w:val="179"/>
            </w:pPr>
            <w:r>
              <w:rPr>
                <w:rFonts w:hint="eastAsia"/>
              </w:rPr>
              <w:t>·</w:t>
            </w:r>
          </w:p>
        </w:tc>
        <w:tc>
          <w:tcPr>
            <w:tcW w:w="1867" w:type="dxa"/>
            <w:tcBorders>
              <w:bottom w:val="single" w:color="auto" w:sz="8" w:space="0"/>
            </w:tcBorders>
            <w:shd w:val="clear" w:color="auto" w:fill="auto"/>
            <w:vAlign w:val="center"/>
          </w:tcPr>
          <w:p w14:paraId="6A0CB334">
            <w:pPr>
              <w:pStyle w:val="179"/>
            </w:pPr>
            <w:r>
              <w:rPr>
                <w:rFonts w:hint="eastAsia"/>
              </w:rPr>
              <w:t>-</w:t>
            </w:r>
          </w:p>
        </w:tc>
      </w:tr>
      <w:tr w14:paraId="52349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tcBorders>
              <w:top w:val="single" w:color="auto" w:sz="8" w:space="0"/>
              <w:bottom w:val="single" w:color="auto" w:sz="8" w:space="0"/>
            </w:tcBorders>
            <w:shd w:val="clear" w:color="auto" w:fill="auto"/>
            <w:vAlign w:val="center"/>
          </w:tcPr>
          <w:p w14:paraId="35E5F6AA">
            <w:pPr>
              <w:pStyle w:val="180"/>
            </w:pPr>
            <w:r>
              <w:rPr>
                <w:rFonts w:hint="eastAsia"/>
              </w:rPr>
              <w:t>“·”：表示适用；“o”：表示可用；“-”：表示不适用</w:t>
            </w:r>
          </w:p>
        </w:tc>
      </w:tr>
    </w:tbl>
    <w:p w14:paraId="0F9EB618">
      <w:pPr>
        <w:pStyle w:val="166"/>
        <w:ind w:left="0"/>
      </w:pPr>
      <w:r>
        <w:rPr>
          <w:rFonts w:hint="eastAsia"/>
        </w:rPr>
        <w:t>脱空、空洞、疏松体和富水体类病害体探测技术选择宜按</w:t>
      </w:r>
      <w:r>
        <w:t>JGJ/T 437</w:t>
      </w:r>
      <w:r>
        <w:rPr>
          <w:rFonts w:hint="eastAsia"/>
        </w:rPr>
        <w:t>的规定进行。</w:t>
      </w:r>
    </w:p>
    <w:bookmarkEnd w:id="189"/>
    <w:bookmarkEnd w:id="190"/>
    <w:bookmarkEnd w:id="191"/>
    <w:p w14:paraId="46EC191D">
      <w:pPr>
        <w:pStyle w:val="105"/>
        <w:spacing w:before="312" w:after="312"/>
      </w:pPr>
      <w:bookmarkStart w:id="192" w:name="_Toc192602867"/>
      <w:bookmarkStart w:id="193" w:name="_Toc192665573"/>
      <w:bookmarkStart w:id="194" w:name="_Toc192686342"/>
      <w:bookmarkStart w:id="195" w:name="_Toc192603000"/>
      <w:bookmarkStart w:id="196" w:name="_Toc192855435"/>
      <w:bookmarkStart w:id="197" w:name="_Toc192780765"/>
      <w:r>
        <w:rPr>
          <w:rFonts w:hint="eastAsia"/>
        </w:rPr>
        <w:t>探测工作实施</w:t>
      </w:r>
      <w:bookmarkEnd w:id="192"/>
      <w:bookmarkEnd w:id="193"/>
      <w:bookmarkEnd w:id="194"/>
      <w:bookmarkEnd w:id="195"/>
      <w:bookmarkEnd w:id="196"/>
      <w:bookmarkEnd w:id="197"/>
    </w:p>
    <w:p w14:paraId="7CA9C218">
      <w:pPr>
        <w:pStyle w:val="106"/>
        <w:spacing w:before="156" w:after="156"/>
      </w:pPr>
      <w:r>
        <w:rPr>
          <w:rFonts w:hint="eastAsia"/>
        </w:rPr>
        <w:t>探测工作流程</w:t>
      </w:r>
    </w:p>
    <w:p w14:paraId="73F0BD25">
      <w:pPr>
        <w:pStyle w:val="57"/>
        <w:ind w:firstLine="420"/>
      </w:pPr>
      <w:r>
        <w:rPr>
          <w:rFonts w:hint="eastAsia"/>
        </w:rPr>
        <w:t>探测工作流程图见图1。</w:t>
      </w:r>
    </w:p>
    <w:p w14:paraId="75953996">
      <w:pPr>
        <w:pStyle w:val="115"/>
        <w:numPr>
          <w:ilvl w:val="0"/>
          <w:numId w:val="0"/>
        </w:numPr>
        <w:spacing w:before="0" w:beforeLines="0" w:after="0" w:afterLines="0"/>
      </w:pPr>
      <w:r>
        <w:drawing>
          <wp:inline distT="0" distB="0" distL="0" distR="0">
            <wp:extent cx="6501765" cy="709295"/>
            <wp:effectExtent l="0" t="0" r="0" b="0"/>
            <wp:docPr id="598114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14650" name="图片 1"/>
                    <pic:cNvPicPr>
                      <a:picLocks noChangeAspect="1"/>
                    </pic:cNvPicPr>
                  </pic:nvPicPr>
                  <pic:blipFill>
                    <a:blip r:embed="rId28"/>
                    <a:stretch>
                      <a:fillRect/>
                    </a:stretch>
                  </pic:blipFill>
                  <pic:spPr>
                    <a:xfrm>
                      <a:off x="0" y="0"/>
                      <a:ext cx="6558165" cy="715831"/>
                    </a:xfrm>
                    <a:prstGeom prst="rect">
                      <a:avLst/>
                    </a:prstGeom>
                  </pic:spPr>
                </pic:pic>
              </a:graphicData>
            </a:graphic>
          </wp:inline>
        </w:drawing>
      </w:r>
    </w:p>
    <w:p w14:paraId="2C13DFF8">
      <w:pPr>
        <w:pStyle w:val="115"/>
        <w:spacing w:before="156" w:after="156"/>
      </w:pPr>
      <w:r>
        <w:rPr>
          <w:rFonts w:hint="eastAsia"/>
        </w:rPr>
        <w:t>探测工作流程图</w:t>
      </w:r>
    </w:p>
    <w:p w14:paraId="6A8C4247">
      <w:pPr>
        <w:pStyle w:val="106"/>
        <w:spacing w:before="156" w:after="156"/>
      </w:pPr>
      <w:r>
        <w:rPr>
          <w:rFonts w:hint="eastAsia"/>
        </w:rPr>
        <w:t>前期准备</w:t>
      </w:r>
    </w:p>
    <w:p w14:paraId="21D78858">
      <w:pPr>
        <w:pStyle w:val="66"/>
        <w:spacing w:before="156" w:after="156"/>
      </w:pPr>
      <w:r>
        <w:rPr>
          <w:rFonts w:hint="eastAsia"/>
        </w:rPr>
        <w:t>人员组织准备</w:t>
      </w:r>
    </w:p>
    <w:p w14:paraId="649656AF">
      <w:pPr>
        <w:pStyle w:val="57"/>
        <w:ind w:firstLine="420"/>
      </w:pPr>
      <w:r>
        <w:rPr>
          <w:rFonts w:hint="eastAsia"/>
        </w:rPr>
        <w:t>探测前需进行人员组织准备，应包括但不限于以下内容：</w:t>
      </w:r>
    </w:p>
    <w:p w14:paraId="768852AF">
      <w:pPr>
        <w:pStyle w:val="175"/>
        <w:numPr>
          <w:ilvl w:val="0"/>
          <w:numId w:val="39"/>
        </w:numPr>
      </w:pPr>
      <w:r>
        <w:rPr>
          <w:rFonts w:hint="eastAsia"/>
        </w:rPr>
        <w:t>成立项目组，任命项目负责人、技术负责人、作业人员，以及安全、后勤保障等责任人；</w:t>
      </w:r>
    </w:p>
    <w:p w14:paraId="66D8FEFB">
      <w:pPr>
        <w:pStyle w:val="175"/>
      </w:pPr>
      <w:r>
        <w:rPr>
          <w:rFonts w:hint="eastAsia"/>
        </w:rPr>
        <w:t>技术负责人对作业人员进行技术交底；</w:t>
      </w:r>
    </w:p>
    <w:p w14:paraId="2DBAC351">
      <w:pPr>
        <w:pStyle w:val="175"/>
      </w:pPr>
      <w:r>
        <w:rPr>
          <w:rFonts w:hint="eastAsia"/>
        </w:rPr>
        <w:t>安全责任人组织所有现场作业人员进行安全培训。</w:t>
      </w:r>
    </w:p>
    <w:p w14:paraId="70E3D5FC">
      <w:pPr>
        <w:pStyle w:val="66"/>
        <w:spacing w:before="156" w:after="156"/>
      </w:pPr>
      <w:r>
        <w:rPr>
          <w:rFonts w:hint="eastAsia"/>
        </w:rPr>
        <w:t>资料搜集</w:t>
      </w:r>
    </w:p>
    <w:p w14:paraId="6F952366">
      <w:pPr>
        <w:pStyle w:val="57"/>
        <w:ind w:firstLine="420"/>
      </w:pPr>
      <w:r>
        <w:rPr>
          <w:rFonts w:hint="eastAsia"/>
        </w:rPr>
        <w:t>探测前需搜集资料，应包括但不限于以下内容：</w:t>
      </w:r>
    </w:p>
    <w:p w14:paraId="477BEDD3">
      <w:pPr>
        <w:pStyle w:val="175"/>
        <w:numPr>
          <w:ilvl w:val="0"/>
          <w:numId w:val="40"/>
        </w:numPr>
      </w:pPr>
      <w:r>
        <w:rPr>
          <w:rFonts w:hint="eastAsia"/>
        </w:rPr>
        <w:t>探测区域相关水文地质、工程地质等资料；</w:t>
      </w:r>
    </w:p>
    <w:p w14:paraId="7D9FF106">
      <w:pPr>
        <w:pStyle w:val="175"/>
      </w:pPr>
      <w:r>
        <w:rPr>
          <w:rFonts w:hint="eastAsia"/>
        </w:rPr>
        <w:t>探测区域地形图和地下管网资料；</w:t>
      </w:r>
    </w:p>
    <w:p w14:paraId="05F89977">
      <w:pPr>
        <w:pStyle w:val="175"/>
      </w:pPr>
      <w:r>
        <w:rPr>
          <w:rFonts w:hint="eastAsia"/>
        </w:rPr>
        <w:t>相关工程施工、竣工图纸资料；</w:t>
      </w:r>
    </w:p>
    <w:p w14:paraId="2D2424E7">
      <w:pPr>
        <w:pStyle w:val="175"/>
      </w:pPr>
      <w:r>
        <w:rPr>
          <w:rFonts w:hint="eastAsia"/>
        </w:rPr>
        <w:t>历年相关道路探测成果资料。</w:t>
      </w:r>
    </w:p>
    <w:p w14:paraId="5EA86E02">
      <w:pPr>
        <w:pStyle w:val="66"/>
        <w:spacing w:before="156" w:after="156"/>
      </w:pPr>
      <w:r>
        <w:rPr>
          <w:rFonts w:hint="eastAsia"/>
        </w:rPr>
        <w:t>现场勘探</w:t>
      </w:r>
    </w:p>
    <w:p w14:paraId="7E91367D">
      <w:pPr>
        <w:pStyle w:val="57"/>
        <w:ind w:firstLine="420"/>
      </w:pPr>
      <w:r>
        <w:rPr>
          <w:rFonts w:hint="eastAsia"/>
        </w:rPr>
        <w:t>探测前需进行现场勘探，应包括但不限于以下内容：</w:t>
      </w:r>
    </w:p>
    <w:p w14:paraId="23E44B9A">
      <w:pPr>
        <w:pStyle w:val="175"/>
        <w:numPr>
          <w:ilvl w:val="0"/>
          <w:numId w:val="41"/>
        </w:numPr>
      </w:pPr>
      <w:r>
        <w:rPr>
          <w:rFonts w:hint="eastAsia"/>
        </w:rPr>
        <w:t>掌握探测区域自然环境条件、地形地貌等；</w:t>
      </w:r>
    </w:p>
    <w:p w14:paraId="083525E5">
      <w:pPr>
        <w:pStyle w:val="175"/>
      </w:pPr>
      <w:r>
        <w:rPr>
          <w:rFonts w:hint="eastAsia"/>
        </w:rPr>
        <w:t>掌握道路交通环境、路面损坏情况等；</w:t>
      </w:r>
    </w:p>
    <w:p w14:paraId="79FB7896">
      <w:pPr>
        <w:pStyle w:val="175"/>
      </w:pPr>
      <w:r>
        <w:rPr>
          <w:rFonts w:hint="eastAsia"/>
        </w:rPr>
        <w:t>了解干扰源的类别及位置；</w:t>
      </w:r>
    </w:p>
    <w:p w14:paraId="45C319CF">
      <w:pPr>
        <w:pStyle w:val="175"/>
      </w:pPr>
      <w:r>
        <w:rPr>
          <w:rFonts w:hint="eastAsia"/>
        </w:rPr>
        <w:t>核实收集资料的完备性及可利用程度。</w:t>
      </w:r>
    </w:p>
    <w:p w14:paraId="307250F3">
      <w:pPr>
        <w:pStyle w:val="66"/>
        <w:spacing w:before="156" w:after="156"/>
      </w:pPr>
      <w:r>
        <w:rPr>
          <w:rFonts w:hint="eastAsia"/>
        </w:rPr>
        <w:t>探测技术方法的选择</w:t>
      </w:r>
    </w:p>
    <w:p w14:paraId="35A17DDE">
      <w:pPr>
        <w:pStyle w:val="57"/>
        <w:ind w:firstLine="420"/>
      </w:pPr>
      <w:r>
        <w:rPr>
          <w:rFonts w:hint="eastAsia"/>
        </w:rPr>
        <w:t>应根据场地工作环境、探测条件和物理特征进行有效实验，确定合理的探测方法和技术参数，有多种探测方法可选择时，宜选择探测适应性广、精度高、有效性好的探测方法或根据现场实际需要选择多种方法结合进行探测。</w:t>
      </w:r>
    </w:p>
    <w:p w14:paraId="3AD0AC87">
      <w:pPr>
        <w:pStyle w:val="66"/>
        <w:spacing w:before="156" w:after="156"/>
      </w:pPr>
      <w:r>
        <w:rPr>
          <w:rFonts w:hint="eastAsia"/>
        </w:rPr>
        <w:t>测线布置</w:t>
      </w:r>
    </w:p>
    <w:p w14:paraId="72779440">
      <w:pPr>
        <w:pStyle w:val="57"/>
        <w:ind w:firstLine="420"/>
      </w:pPr>
      <w:r>
        <w:rPr>
          <w:rFonts w:hint="eastAsia"/>
        </w:rPr>
        <w:t>测线布置应符合下列规定：</w:t>
      </w:r>
    </w:p>
    <w:p w14:paraId="707F59F3">
      <w:pPr>
        <w:pStyle w:val="175"/>
        <w:numPr>
          <w:ilvl w:val="0"/>
          <w:numId w:val="42"/>
        </w:numPr>
      </w:pPr>
      <w:r>
        <w:rPr>
          <w:rFonts w:hint="eastAsia"/>
        </w:rPr>
        <w:t>测线设置应保证道路全断面覆盖，三维探地雷达测线探测范围要有重叠覆盖，保证探测工作的完整和便于追踪；</w:t>
      </w:r>
    </w:p>
    <w:p w14:paraId="60AAC579">
      <w:pPr>
        <w:pStyle w:val="175"/>
      </w:pPr>
      <w:r>
        <w:rPr>
          <w:rFonts w:hint="eastAsia"/>
        </w:rPr>
        <w:t>测线宜避开地形及其他干扰的影响，垂直于或大角度相交于探测目标，测线长度保证探测工作的完整；</w:t>
      </w:r>
    </w:p>
    <w:p w14:paraId="32FC617B">
      <w:pPr>
        <w:pStyle w:val="175"/>
      </w:pPr>
      <w:r>
        <w:rPr>
          <w:rFonts w:hint="eastAsia"/>
        </w:rPr>
        <w:t>对重点区域，测线宜适当加密或网状布设；</w:t>
      </w:r>
    </w:p>
    <w:p w14:paraId="2CBFCFB3">
      <w:pPr>
        <w:pStyle w:val="175"/>
      </w:pPr>
      <w:r>
        <w:rPr>
          <w:rFonts w:hint="eastAsia"/>
        </w:rPr>
        <w:t>测线应通过已知点布设。</w:t>
      </w:r>
    </w:p>
    <w:p w14:paraId="5C3B1EF2">
      <w:pPr>
        <w:pStyle w:val="66"/>
        <w:spacing w:before="156" w:after="156"/>
      </w:pPr>
      <w:r>
        <w:rPr>
          <w:rFonts w:hint="eastAsia"/>
        </w:rPr>
        <w:t>编制方案</w:t>
      </w:r>
    </w:p>
    <w:p w14:paraId="57DF365C">
      <w:pPr>
        <w:pStyle w:val="57"/>
        <w:ind w:firstLine="420"/>
      </w:pPr>
      <w:r>
        <w:rPr>
          <w:rFonts w:hint="eastAsia"/>
        </w:rPr>
        <w:t>应根据招标文件、合同书、探测目的、场地环境及现场数据采集等编制项目实施方案，方案应包括以下内容：</w:t>
      </w:r>
    </w:p>
    <w:p w14:paraId="631F0B2B">
      <w:pPr>
        <w:pStyle w:val="175"/>
        <w:numPr>
          <w:ilvl w:val="0"/>
          <w:numId w:val="43"/>
        </w:numPr>
      </w:pPr>
      <w:r>
        <w:rPr>
          <w:rFonts w:hint="eastAsia"/>
        </w:rPr>
        <w:t>工作内容、探测范围及工期要求；</w:t>
      </w:r>
    </w:p>
    <w:p w14:paraId="38FC67FC">
      <w:pPr>
        <w:pStyle w:val="175"/>
      </w:pPr>
      <w:r>
        <w:rPr>
          <w:rFonts w:hint="eastAsia"/>
        </w:rPr>
        <w:t>探测区域工程环境条件、管线等情况和分析；</w:t>
      </w:r>
    </w:p>
    <w:p w14:paraId="462DEF96">
      <w:pPr>
        <w:pStyle w:val="175"/>
      </w:pPr>
      <w:r>
        <w:rPr>
          <w:rFonts w:hint="eastAsia"/>
        </w:rPr>
        <w:t>项目存在的重点难点及对策；</w:t>
      </w:r>
    </w:p>
    <w:p w14:paraId="37E2AA74">
      <w:pPr>
        <w:pStyle w:val="175"/>
      </w:pPr>
      <w:r>
        <w:rPr>
          <w:rFonts w:hint="eastAsia"/>
        </w:rPr>
        <w:t>探测依据、探测方法；</w:t>
      </w:r>
    </w:p>
    <w:p w14:paraId="23676379">
      <w:pPr>
        <w:pStyle w:val="175"/>
      </w:pPr>
      <w:r>
        <w:rPr>
          <w:rFonts w:hint="eastAsia"/>
        </w:rPr>
        <w:t>现场工作的安排及工作量估算，施工组织及工作进度计划；</w:t>
      </w:r>
    </w:p>
    <w:p w14:paraId="68B18DA3">
      <w:pPr>
        <w:pStyle w:val="175"/>
      </w:pPr>
      <w:r>
        <w:rPr>
          <w:rFonts w:hint="eastAsia"/>
        </w:rPr>
        <w:t>仪器、设备、人员、材料、车辆、安全防护等配备情况；</w:t>
      </w:r>
    </w:p>
    <w:p w14:paraId="116CF4B1">
      <w:pPr>
        <w:pStyle w:val="175"/>
      </w:pPr>
      <w:r>
        <w:rPr>
          <w:rFonts w:hint="eastAsia"/>
        </w:rPr>
        <w:t>质量保证措施；</w:t>
      </w:r>
    </w:p>
    <w:p w14:paraId="07FC4FCC">
      <w:pPr>
        <w:pStyle w:val="175"/>
      </w:pPr>
      <w:r>
        <w:rPr>
          <w:rFonts w:hint="eastAsia"/>
        </w:rPr>
        <w:t>拟提交的成果资料内容；</w:t>
      </w:r>
    </w:p>
    <w:p w14:paraId="31A2103C">
      <w:pPr>
        <w:pStyle w:val="175"/>
      </w:pPr>
      <w:r>
        <w:rPr>
          <w:rFonts w:hint="eastAsia"/>
        </w:rPr>
        <w:t>在成果通过验收后，定期对发现病害的区域进行复测，当病害区域发生变化时，应及时向管理单位和委托方汇报，复测完成后提供复测报告。</w:t>
      </w:r>
    </w:p>
    <w:p w14:paraId="758E0A91">
      <w:pPr>
        <w:pStyle w:val="66"/>
        <w:spacing w:before="156" w:after="156"/>
      </w:pPr>
      <w:r>
        <w:rPr>
          <w:rFonts w:hint="eastAsia"/>
        </w:rPr>
        <w:t>仪器设备准备</w:t>
      </w:r>
    </w:p>
    <w:p w14:paraId="0F5B36F0">
      <w:pPr>
        <w:pStyle w:val="57"/>
        <w:ind w:firstLine="420"/>
      </w:pPr>
      <w:r>
        <w:rPr>
          <w:rFonts w:hint="eastAsia"/>
        </w:rPr>
        <w:t>实施单位应根据项目探测技术要求及投标文件、合同等相关承诺，配置相应的仪器设备、材料以及车辆和安全防护设备等，开展有效性试验。</w:t>
      </w:r>
    </w:p>
    <w:p w14:paraId="1F4E02B4">
      <w:pPr>
        <w:pStyle w:val="106"/>
        <w:spacing w:before="156" w:after="156"/>
      </w:pPr>
      <w:r>
        <w:rPr>
          <w:rFonts w:hint="eastAsia"/>
        </w:rPr>
        <w:t>现场探测</w:t>
      </w:r>
    </w:p>
    <w:p w14:paraId="3703E0AD">
      <w:pPr>
        <w:pStyle w:val="166"/>
        <w:ind w:left="0"/>
      </w:pPr>
      <w:r>
        <w:rPr>
          <w:rFonts w:hint="eastAsia"/>
        </w:rPr>
        <w:t>对现有资料进行整理分析，通过数据分析和图谱判译，初步判断似病害区域。</w:t>
      </w:r>
    </w:p>
    <w:p w14:paraId="535E0105">
      <w:pPr>
        <w:pStyle w:val="166"/>
        <w:ind w:left="0"/>
      </w:pPr>
      <w:r>
        <w:rPr>
          <w:rFonts w:hint="eastAsia"/>
        </w:rPr>
        <w:t>应结合现场实际情况，通过加密测线、网格排查、周边管线排查等方式，选择合适的探测方法进一步进行疑似病害详查工作，根据探测结果并结合已有资料分析处理，最终确定病害信息。</w:t>
      </w:r>
    </w:p>
    <w:p w14:paraId="4EAE68AB">
      <w:pPr>
        <w:pStyle w:val="166"/>
        <w:ind w:left="0"/>
      </w:pPr>
      <w:r>
        <w:rPr>
          <w:rFonts w:hint="eastAsia"/>
        </w:rPr>
        <w:t>探测技术方法确定后，按第5章的规定进行探测。</w:t>
      </w:r>
    </w:p>
    <w:p w14:paraId="47F02733">
      <w:pPr>
        <w:pStyle w:val="166"/>
        <w:ind w:left="0"/>
      </w:pPr>
      <w:r>
        <w:rPr>
          <w:rFonts w:hint="eastAsia"/>
        </w:rPr>
        <w:t>现场探测过程中应全程跟踪并实时记录检测的路线名称、路线编码、路线桩号、检测方向、路面类型、车道、起止时间、天气状况、停车原因、无效路段、异常数据等信息及变化情况。</w:t>
      </w:r>
    </w:p>
    <w:p w14:paraId="38A5F1DD">
      <w:pPr>
        <w:pStyle w:val="166"/>
        <w:ind w:left="0"/>
      </w:pPr>
      <w:r>
        <w:rPr>
          <w:rFonts w:hint="eastAsia"/>
        </w:rPr>
        <w:t>探测过程中，发现异常点后应分析原因和重复观测，并记入现场记录。</w:t>
      </w:r>
    </w:p>
    <w:p w14:paraId="19812A44">
      <w:pPr>
        <w:pStyle w:val="166"/>
        <w:ind w:left="0"/>
      </w:pPr>
      <w:r>
        <w:rPr>
          <w:rFonts w:hint="eastAsia"/>
        </w:rPr>
        <w:t>现场探测工作完成后，应及时备份原始数据，根据现场探测工作记录核实原始检测数据的有效性和完整性；对原始数据进行记录和处理，并编制探测报告。</w:t>
      </w:r>
    </w:p>
    <w:p w14:paraId="3C410137">
      <w:pPr>
        <w:pStyle w:val="163"/>
      </w:pPr>
      <w:r>
        <w:rPr>
          <w:rFonts w:hint="eastAsia"/>
        </w:rPr>
        <w:t>病害探测完成后应填报病害记录表，病害记录表样式可参考附录A。</w:t>
      </w:r>
    </w:p>
    <w:p w14:paraId="29F24384">
      <w:pPr>
        <w:pStyle w:val="106"/>
        <w:spacing w:before="156" w:after="156"/>
      </w:pPr>
      <w:r>
        <w:rPr>
          <w:rFonts w:hint="eastAsia"/>
        </w:rPr>
        <w:t>成果反馈</w:t>
      </w:r>
    </w:p>
    <w:p w14:paraId="4E14E576">
      <w:pPr>
        <w:pStyle w:val="166"/>
        <w:ind w:left="0"/>
      </w:pPr>
      <w:r>
        <w:rPr>
          <w:rFonts w:hint="eastAsia"/>
        </w:rPr>
        <w:t>病害探测成果包括原始数据、工作报告、成果报告、成果图件等。</w:t>
      </w:r>
    </w:p>
    <w:p w14:paraId="3DA6BF6E">
      <w:pPr>
        <w:pStyle w:val="166"/>
        <w:ind w:left="0"/>
      </w:pPr>
      <w:r>
        <w:rPr>
          <w:rFonts w:hint="eastAsia"/>
        </w:rPr>
        <w:t>工作报告为工作过程中应急性、针对性或阶段性工作完成后提交的报告，应包含工作量、工作完成情况、探测结果汇总等内容。</w:t>
      </w:r>
    </w:p>
    <w:p w14:paraId="13780B79">
      <w:pPr>
        <w:pStyle w:val="166"/>
        <w:ind w:left="0"/>
      </w:pPr>
      <w:r>
        <w:rPr>
          <w:rFonts w:hint="eastAsia"/>
        </w:rPr>
        <w:t>成果报告报告应内容全面、图表齐全、数据准确、探测过程清晰完整，立论有据、结论准确。报告内容包括：</w:t>
      </w:r>
    </w:p>
    <w:p w14:paraId="7F5CDB3F">
      <w:pPr>
        <w:pStyle w:val="175"/>
        <w:numPr>
          <w:ilvl w:val="0"/>
          <w:numId w:val="44"/>
        </w:numPr>
      </w:pPr>
      <w:r>
        <w:rPr>
          <w:rFonts w:hint="eastAsia"/>
        </w:rPr>
        <w:t>工程概况：应包括探测工程的位置、探测范围、探测目的和内容、项目实施情况、实施时间、完成的工作量等；</w:t>
      </w:r>
    </w:p>
    <w:p w14:paraId="28540C3B">
      <w:pPr>
        <w:pStyle w:val="175"/>
      </w:pPr>
      <w:r>
        <w:rPr>
          <w:rFonts w:hint="eastAsia"/>
        </w:rPr>
        <w:t>场区的工程环境和地球物理条件：概括场区的地球物理条件，分析工程环境对不同探测方法的影响及实施过程中应对的措施；</w:t>
      </w:r>
    </w:p>
    <w:p w14:paraId="2EE5A85A">
      <w:pPr>
        <w:pStyle w:val="175"/>
      </w:pPr>
      <w:r>
        <w:rPr>
          <w:rFonts w:hint="eastAsia"/>
        </w:rPr>
        <w:t>探测依据：探测工作所依据的规范、标准、任务书、合同或相关技术文件等；</w:t>
      </w:r>
    </w:p>
    <w:p w14:paraId="3B65EF27">
      <w:pPr>
        <w:pStyle w:val="175"/>
      </w:pPr>
      <w:r>
        <w:rPr>
          <w:rFonts w:hint="eastAsia"/>
        </w:rPr>
        <w:t>工作方法：包括工作流程、探测方法、工作方式及参数选择、测网布设、室内数据处理、解译原则等。</w:t>
      </w:r>
    </w:p>
    <w:p w14:paraId="7F2DC58F">
      <w:pPr>
        <w:pStyle w:val="175"/>
      </w:pPr>
      <w:r>
        <w:rPr>
          <w:rFonts w:hint="eastAsia"/>
        </w:rPr>
        <w:t>仪器设备：项目实施过程中投入的主要仪器设备、数量及性能指标；</w:t>
      </w:r>
    </w:p>
    <w:p w14:paraId="2339205B">
      <w:pPr>
        <w:pStyle w:val="175"/>
      </w:pPr>
      <w:r>
        <w:rPr>
          <w:rFonts w:hint="eastAsia"/>
        </w:rPr>
        <w:t>探测成果：应包括不同探测方法的探测结果分析，根据分析结果汇总的病害信息，根据已知资料、土体病害信息、周边环境等因素对病害进行的风险评价等；</w:t>
      </w:r>
    </w:p>
    <w:p w14:paraId="3DDD38FB">
      <w:pPr>
        <w:pStyle w:val="175"/>
      </w:pPr>
      <w:r>
        <w:rPr>
          <w:rFonts w:hint="eastAsia"/>
        </w:rPr>
        <w:t>成果表：包括工作量汇总表、病害信息汇总表、病害风险评价表；</w:t>
      </w:r>
    </w:p>
    <w:p w14:paraId="53E43BB3">
      <w:pPr>
        <w:pStyle w:val="175"/>
      </w:pPr>
      <w:r>
        <w:rPr>
          <w:rFonts w:hint="eastAsia"/>
        </w:rPr>
        <w:t>病害信息汇总：包括病害编号、位置、坐标、规模、埋深、病害类型、风险评价等级等对管线病害信息的统计，还应包括病害可能影响的管线及种类；</w:t>
      </w:r>
    </w:p>
    <w:p w14:paraId="013DCB61">
      <w:pPr>
        <w:pStyle w:val="175"/>
      </w:pPr>
      <w:r>
        <w:rPr>
          <w:rFonts w:hint="eastAsia"/>
        </w:rPr>
        <w:t>结论建议：论述探测工作的结论，指出存在的问题，提出对土体病害的初步处理建议。</w:t>
      </w:r>
    </w:p>
    <w:p w14:paraId="6B695EC9">
      <w:pPr>
        <w:pStyle w:val="166"/>
        <w:ind w:left="0"/>
      </w:pPr>
      <w:r>
        <w:rPr>
          <w:rFonts w:hint="eastAsia"/>
        </w:rPr>
        <w:t>成果报告编制完成后应及时上报管理单位。成果图件可附于成果报告中。成果图件应清晰直观，层次清楚，图式、图例、注记齐全。成果图宜包括：</w:t>
      </w:r>
    </w:p>
    <w:p w14:paraId="44663C75">
      <w:pPr>
        <w:pStyle w:val="175"/>
        <w:numPr>
          <w:ilvl w:val="0"/>
          <w:numId w:val="45"/>
        </w:numPr>
      </w:pPr>
      <w:r>
        <w:rPr>
          <w:rFonts w:hint="eastAsia"/>
        </w:rPr>
        <w:t>测线</w:t>
      </w:r>
      <w:r>
        <w:rPr>
          <w:rFonts w:hint="eastAsia"/>
          <w:lang w:eastAsia="zh-CN"/>
        </w:rPr>
        <w:t>（</w:t>
      </w:r>
      <w:r>
        <w:rPr>
          <w:rFonts w:hint="eastAsia"/>
        </w:rPr>
        <w:t>点</w:t>
      </w:r>
      <w:r>
        <w:rPr>
          <w:rFonts w:hint="eastAsia"/>
          <w:lang w:eastAsia="zh-CN"/>
        </w:rPr>
        <w:t>）</w:t>
      </w:r>
      <w:r>
        <w:rPr>
          <w:rFonts w:hint="eastAsia"/>
        </w:rPr>
        <w:t>布置图；</w:t>
      </w:r>
    </w:p>
    <w:p w14:paraId="0EF3613E">
      <w:pPr>
        <w:pStyle w:val="175"/>
      </w:pPr>
      <w:r>
        <w:rPr>
          <w:rFonts w:hint="eastAsia"/>
        </w:rPr>
        <w:t>探测成果图谱，应标明病害的位置、平面影响范围和深度影响范围；</w:t>
      </w:r>
    </w:p>
    <w:p w14:paraId="212A1CA9">
      <w:pPr>
        <w:pStyle w:val="175"/>
      </w:pPr>
      <w:r>
        <w:rPr>
          <w:rFonts w:hint="eastAsia"/>
        </w:rPr>
        <w:t>病害位置分布图；</w:t>
      </w:r>
    </w:p>
    <w:p w14:paraId="679A5629">
      <w:pPr>
        <w:pStyle w:val="175"/>
      </w:pPr>
      <w:r>
        <w:rPr>
          <w:rFonts w:hint="eastAsia"/>
        </w:rPr>
        <w:t>对管线病害探测，应提供病害周边的管线分布图，明确管线与病害的位置关系等。</w:t>
      </w:r>
    </w:p>
    <w:p w14:paraId="4CF6F6E6">
      <w:pPr>
        <w:pStyle w:val="166"/>
        <w:ind w:left="0"/>
      </w:pPr>
      <w:r>
        <w:rPr>
          <w:rFonts w:hint="eastAsia"/>
        </w:rPr>
        <w:t>应对病害探测成果进行信息化管理，形成数字档案，根据相关部门要求，接入相关信息管理系统。</w:t>
      </w:r>
    </w:p>
    <w:p w14:paraId="2FA7B472">
      <w:pPr>
        <w:pStyle w:val="106"/>
        <w:spacing w:before="156" w:after="156"/>
      </w:pPr>
      <w:r>
        <w:rPr>
          <w:rFonts w:hint="eastAsia"/>
        </w:rPr>
        <w:t>成果验收</w:t>
      </w:r>
    </w:p>
    <w:p w14:paraId="61F72BE1">
      <w:pPr>
        <w:pStyle w:val="66"/>
        <w:spacing w:before="156" w:after="156"/>
      </w:pPr>
      <w:r>
        <w:rPr>
          <w:rFonts w:hint="eastAsia"/>
        </w:rPr>
        <w:t>验收资料</w:t>
      </w:r>
    </w:p>
    <w:p w14:paraId="625B4974">
      <w:pPr>
        <w:pStyle w:val="57"/>
        <w:ind w:firstLine="420"/>
      </w:pPr>
      <w:r>
        <w:rPr>
          <w:rFonts w:hint="eastAsia"/>
        </w:rPr>
        <w:t>应提供以下资料：</w:t>
      </w:r>
    </w:p>
    <w:p w14:paraId="631DC480">
      <w:pPr>
        <w:pStyle w:val="175"/>
        <w:numPr>
          <w:ilvl w:val="0"/>
          <w:numId w:val="46"/>
        </w:numPr>
      </w:pPr>
      <w:r>
        <w:rPr>
          <w:rFonts w:hint="eastAsia"/>
        </w:rPr>
        <w:t>招标文件及项目合同；</w:t>
      </w:r>
    </w:p>
    <w:p w14:paraId="080848C8">
      <w:pPr>
        <w:pStyle w:val="175"/>
      </w:pPr>
      <w:r>
        <w:rPr>
          <w:rFonts w:hint="eastAsia"/>
        </w:rPr>
        <w:t>成果图件、成果报告及电子文件；</w:t>
      </w:r>
    </w:p>
    <w:p w14:paraId="40DCD1CF">
      <w:pPr>
        <w:pStyle w:val="175"/>
      </w:pPr>
      <w:r>
        <w:rPr>
          <w:rFonts w:hint="eastAsia"/>
        </w:rPr>
        <w:t>专家评审意见表；</w:t>
      </w:r>
    </w:p>
    <w:p w14:paraId="7269D208">
      <w:pPr>
        <w:pStyle w:val="175"/>
      </w:pPr>
      <w:r>
        <w:rPr>
          <w:rFonts w:hint="eastAsia"/>
        </w:rPr>
        <w:t>与本项目相关的其他文件资料</w:t>
      </w:r>
      <w:r>
        <w:rPr>
          <w:rFonts w:hint="eastAsia"/>
          <w:lang w:eastAsia="zh-CN"/>
        </w:rPr>
        <w:t>（</w:t>
      </w:r>
      <w:r>
        <w:rPr>
          <w:rFonts w:hint="eastAsia"/>
        </w:rPr>
        <w:t>如工作报告、原始数据等</w:t>
      </w:r>
      <w:r>
        <w:rPr>
          <w:rFonts w:hint="eastAsia"/>
          <w:lang w:eastAsia="zh-CN"/>
        </w:rPr>
        <w:t>）</w:t>
      </w:r>
      <w:r>
        <w:rPr>
          <w:rFonts w:hint="eastAsia"/>
        </w:rPr>
        <w:t>。</w:t>
      </w:r>
    </w:p>
    <w:p w14:paraId="60AB62F5">
      <w:pPr>
        <w:pStyle w:val="66"/>
        <w:spacing w:before="156" w:after="156"/>
      </w:pPr>
      <w:r>
        <w:rPr>
          <w:rFonts w:hint="eastAsia"/>
        </w:rPr>
        <w:t>验收依据</w:t>
      </w:r>
    </w:p>
    <w:p w14:paraId="28E1AFC3">
      <w:pPr>
        <w:pStyle w:val="57"/>
        <w:ind w:firstLine="420"/>
      </w:pPr>
      <w:r>
        <w:rPr>
          <w:rFonts w:hint="eastAsia"/>
        </w:rPr>
        <w:t>应提供以下资料：</w:t>
      </w:r>
    </w:p>
    <w:p w14:paraId="2A003A21">
      <w:pPr>
        <w:pStyle w:val="175"/>
        <w:numPr>
          <w:ilvl w:val="0"/>
          <w:numId w:val="47"/>
        </w:numPr>
      </w:pPr>
      <w:r>
        <w:rPr>
          <w:rFonts w:hint="eastAsia"/>
        </w:rPr>
        <w:t>招标文件、合同书及相关约定；</w:t>
      </w:r>
    </w:p>
    <w:p w14:paraId="2B0FF39B">
      <w:pPr>
        <w:pStyle w:val="175"/>
      </w:pPr>
      <w:r>
        <w:rPr>
          <w:rFonts w:hint="eastAsia"/>
        </w:rPr>
        <w:t>本规范及相关技术标准。</w:t>
      </w:r>
    </w:p>
    <w:p w14:paraId="7EDC0A29">
      <w:pPr>
        <w:pStyle w:val="66"/>
        <w:spacing w:before="156" w:after="156"/>
      </w:pPr>
      <w:r>
        <w:rPr>
          <w:rFonts w:hint="eastAsia"/>
        </w:rPr>
        <w:t>验收内容</w:t>
      </w:r>
    </w:p>
    <w:p w14:paraId="5A7EBB2F">
      <w:pPr>
        <w:pStyle w:val="57"/>
        <w:ind w:firstLine="420"/>
      </w:pPr>
      <w:r>
        <w:rPr>
          <w:rFonts w:hint="eastAsia"/>
        </w:rPr>
        <w:t>应包括以下内容：</w:t>
      </w:r>
    </w:p>
    <w:p w14:paraId="4ADFD051">
      <w:pPr>
        <w:pStyle w:val="175"/>
        <w:numPr>
          <w:ilvl w:val="0"/>
          <w:numId w:val="48"/>
        </w:numPr>
      </w:pPr>
      <w:r>
        <w:rPr>
          <w:rFonts w:hint="eastAsia"/>
        </w:rPr>
        <w:t>审查探测内容满足招标文件、合同要求的情况；</w:t>
      </w:r>
    </w:p>
    <w:p w14:paraId="07478FE4">
      <w:pPr>
        <w:pStyle w:val="175"/>
      </w:pPr>
      <w:r>
        <w:rPr>
          <w:rFonts w:hint="eastAsia"/>
        </w:rPr>
        <w:t>审查项目资料应收集完整；</w:t>
      </w:r>
    </w:p>
    <w:p w14:paraId="28200073">
      <w:pPr>
        <w:pStyle w:val="175"/>
      </w:pPr>
      <w:r>
        <w:rPr>
          <w:rFonts w:hint="eastAsia"/>
        </w:rPr>
        <w:t>审查测线布设覆盖探测区域的情况、仪器选型和测线布置的合理性和对疑似病害区域进行详查的情况；</w:t>
      </w:r>
    </w:p>
    <w:p w14:paraId="5C515370">
      <w:pPr>
        <w:pStyle w:val="175"/>
      </w:pPr>
      <w:r>
        <w:rPr>
          <w:rFonts w:hint="eastAsia"/>
        </w:rPr>
        <w:t>审查探测方法的选择应满足实际需求；</w:t>
      </w:r>
    </w:p>
    <w:p w14:paraId="2C31FEC2">
      <w:pPr>
        <w:pStyle w:val="175"/>
      </w:pPr>
      <w:r>
        <w:rPr>
          <w:rFonts w:hint="eastAsia"/>
        </w:rPr>
        <w:t>对疑似病害区域应采用不同频率天线进行对比分析，对疑似严重病害区域采用定性及定量相结合的综合方法进行分析；</w:t>
      </w:r>
    </w:p>
    <w:p w14:paraId="2DAA2570">
      <w:pPr>
        <w:pStyle w:val="175"/>
      </w:pPr>
      <w:r>
        <w:rPr>
          <w:rFonts w:hint="eastAsia"/>
        </w:rPr>
        <w:t>严重病害区域探测方法应合理有效、探测成果详实可靠上报和反应机制合理完善；</w:t>
      </w:r>
    </w:p>
    <w:p w14:paraId="736B1506">
      <w:pPr>
        <w:pStyle w:val="175"/>
      </w:pPr>
      <w:r>
        <w:rPr>
          <w:rFonts w:hint="eastAsia"/>
        </w:rPr>
        <w:t>审查应采用综合方法准确定位测线、管线和病害区域，审查所测绘的相关信息齐全；</w:t>
      </w:r>
    </w:p>
    <w:p w14:paraId="6E127120">
      <w:pPr>
        <w:pStyle w:val="175"/>
      </w:pPr>
      <w:r>
        <w:rPr>
          <w:rFonts w:hint="eastAsia"/>
        </w:rPr>
        <w:t>审查探测单位提出的风险等级评定方法考虑因素应全面，评价结果合理；</w:t>
      </w:r>
    </w:p>
    <w:p w14:paraId="32C6554D">
      <w:pPr>
        <w:pStyle w:val="175"/>
      </w:pPr>
      <w:r>
        <w:rPr>
          <w:rFonts w:hint="eastAsia"/>
        </w:rPr>
        <w:t>审查病害探测成果中应包含病害的属性、平面位置坐标、埋深、大小等情况，并结合地物地貌对病害区域位置进行描述；</w:t>
      </w:r>
    </w:p>
    <w:p w14:paraId="63795E62">
      <w:pPr>
        <w:pStyle w:val="175"/>
      </w:pPr>
      <w:r>
        <w:rPr>
          <w:rFonts w:hint="eastAsia"/>
        </w:rPr>
        <w:t>审查应包含探测区域物探测线、图谱、管线与病害区域位置图等，图件标注清晰，比例恰当，内容完整，在管线与病害区域位置图中标明管线关键点和病害坐标；</w:t>
      </w:r>
    </w:p>
    <w:p w14:paraId="3F888277">
      <w:pPr>
        <w:pStyle w:val="175"/>
      </w:pPr>
      <w:r>
        <w:rPr>
          <w:rFonts w:hint="eastAsia"/>
        </w:rPr>
        <w:t>审查结论中应明确表述异常区域结果和影响分析结果；</w:t>
      </w:r>
    </w:p>
    <w:p w14:paraId="0D5AF41E">
      <w:pPr>
        <w:pStyle w:val="175"/>
      </w:pPr>
      <w:r>
        <w:rPr>
          <w:rFonts w:hint="eastAsia"/>
        </w:rPr>
        <w:t>应对招标文件、合同书及相关约定中所规定的探测单位完成工作量、完成质量和完成效果进行评价。</w:t>
      </w:r>
    </w:p>
    <w:p w14:paraId="1CF6BC2D">
      <w:pPr>
        <w:pStyle w:val="106"/>
        <w:spacing w:before="156" w:after="156"/>
      </w:pPr>
      <w:bookmarkStart w:id="198" w:name="_Toc192603001"/>
      <w:r>
        <w:rPr>
          <w:rFonts w:hint="eastAsia"/>
        </w:rPr>
        <w:t>探测报告</w:t>
      </w:r>
      <w:bookmarkEnd w:id="198"/>
    </w:p>
    <w:p w14:paraId="5EB4BAB6">
      <w:pPr>
        <w:pStyle w:val="163"/>
      </w:pPr>
      <w:r>
        <w:rPr>
          <w:rFonts w:hint="eastAsia"/>
        </w:rPr>
        <w:t>探测报告应统一格式，结论明确。</w:t>
      </w:r>
    </w:p>
    <w:p w14:paraId="0E920F81">
      <w:pPr>
        <w:pStyle w:val="163"/>
      </w:pPr>
      <w:r>
        <w:rPr>
          <w:rFonts w:hint="eastAsia"/>
        </w:rPr>
        <w:t>探测报告内容包括：</w:t>
      </w:r>
    </w:p>
    <w:p w14:paraId="53F5850A">
      <w:pPr>
        <w:pStyle w:val="175"/>
        <w:numPr>
          <w:ilvl w:val="0"/>
          <w:numId w:val="49"/>
        </w:numPr>
      </w:pPr>
      <w:r>
        <w:rPr>
          <w:rFonts w:hint="eastAsia"/>
        </w:rPr>
        <w:t>项目概况；</w:t>
      </w:r>
    </w:p>
    <w:p w14:paraId="324D3752">
      <w:pPr>
        <w:pStyle w:val="175"/>
      </w:pPr>
      <w:r>
        <w:rPr>
          <w:rFonts w:hint="eastAsia"/>
        </w:rPr>
        <w:t>技术依据；</w:t>
      </w:r>
    </w:p>
    <w:p w14:paraId="4F26B654">
      <w:pPr>
        <w:pStyle w:val="175"/>
      </w:pPr>
      <w:r>
        <w:rPr>
          <w:rFonts w:hint="eastAsia"/>
        </w:rPr>
        <w:t>区域地质条件；</w:t>
      </w:r>
    </w:p>
    <w:p w14:paraId="7B627792">
      <w:pPr>
        <w:pStyle w:val="175"/>
      </w:pPr>
      <w:r>
        <w:rPr>
          <w:rFonts w:hint="eastAsia"/>
        </w:rPr>
        <w:t>工作方法；</w:t>
      </w:r>
    </w:p>
    <w:p w14:paraId="33A1E973">
      <w:pPr>
        <w:pStyle w:val="175"/>
      </w:pPr>
      <w:r>
        <w:rPr>
          <w:rFonts w:hint="eastAsia"/>
        </w:rPr>
        <w:t>探测设备；</w:t>
      </w:r>
    </w:p>
    <w:p w14:paraId="30DE40CC">
      <w:pPr>
        <w:pStyle w:val="175"/>
      </w:pPr>
      <w:r>
        <w:rPr>
          <w:rFonts w:hint="eastAsia"/>
        </w:rPr>
        <w:t>病害验证；</w:t>
      </w:r>
    </w:p>
    <w:p w14:paraId="20BA3EF9">
      <w:pPr>
        <w:pStyle w:val="175"/>
      </w:pPr>
      <w:r>
        <w:rPr>
          <w:rFonts w:hint="eastAsia"/>
        </w:rPr>
        <w:t>探测成果；</w:t>
      </w:r>
    </w:p>
    <w:p w14:paraId="4D257873">
      <w:pPr>
        <w:pStyle w:val="175"/>
      </w:pPr>
      <w:r>
        <w:rPr>
          <w:rFonts w:hint="eastAsia"/>
        </w:rPr>
        <w:t>结论和处置建议；</w:t>
      </w:r>
    </w:p>
    <w:p w14:paraId="3629BE7C">
      <w:pPr>
        <w:pStyle w:val="175"/>
      </w:pPr>
      <w:r>
        <w:rPr>
          <w:rFonts w:hint="eastAsia"/>
        </w:rPr>
        <w:t>相关附图和附表。</w:t>
      </w:r>
    </w:p>
    <w:p w14:paraId="7A789E91">
      <w:pPr>
        <w:pStyle w:val="57"/>
        <w:ind w:firstLine="420"/>
        <w:jc w:val="center"/>
        <w:sectPr>
          <w:headerReference r:id="rId19" w:type="default"/>
          <w:footerReference r:id="rId21" w:type="default"/>
          <w:headerReference r:id="rId20" w:type="even"/>
          <w:footerReference r:id="rId22" w:type="even"/>
          <w:pgSz w:w="11906" w:h="16838"/>
          <w:pgMar w:top="1871" w:right="1134" w:bottom="1134" w:left="1134" w:header="1418" w:footer="1134" w:gutter="284"/>
          <w:cols w:space="425" w:num="1"/>
          <w:formProt w:val="0"/>
          <w:docGrid w:type="lines" w:linePitch="312" w:charSpace="0"/>
        </w:sectPr>
      </w:pPr>
    </w:p>
    <w:bookmarkEnd w:id="43"/>
    <w:p w14:paraId="259513D9">
      <w:pPr>
        <w:pStyle w:val="199"/>
        <w:rPr>
          <w:rFonts w:hint="eastAsia"/>
          <w:vanish w:val="0"/>
        </w:rPr>
      </w:pPr>
      <w:bookmarkStart w:id="199" w:name="BookMark5"/>
    </w:p>
    <w:p w14:paraId="427E11DA">
      <w:pPr>
        <w:pStyle w:val="200"/>
        <w:rPr>
          <w:vanish w:val="0"/>
        </w:rPr>
      </w:pPr>
    </w:p>
    <w:p w14:paraId="3D7F6641">
      <w:pPr>
        <w:pStyle w:val="77"/>
        <w:spacing w:before="78" w:after="156"/>
      </w:pPr>
      <w:r>
        <w:br w:type="textWrapping"/>
      </w:r>
      <w:bookmarkStart w:id="200" w:name="_Toc192855436"/>
      <w:bookmarkStart w:id="201" w:name="_Toc192686343"/>
      <w:bookmarkStart w:id="202" w:name="_Toc192665574"/>
      <w:bookmarkStart w:id="203" w:name="_Toc192780766"/>
      <w:r>
        <w:rPr>
          <w:rFonts w:hint="eastAsia"/>
        </w:rPr>
        <w:t>（规范性附录）</w:t>
      </w:r>
      <w:r>
        <w:br w:type="textWrapping"/>
      </w:r>
      <w:r>
        <w:rPr>
          <w:rFonts w:hint="eastAsia"/>
        </w:rPr>
        <w:t>病害记录表样式</w:t>
      </w:r>
      <w:bookmarkEnd w:id="200"/>
      <w:bookmarkEnd w:id="201"/>
      <w:bookmarkEnd w:id="202"/>
      <w:bookmarkEnd w:id="203"/>
    </w:p>
    <w:p w14:paraId="3EEAE7A3">
      <w:pPr>
        <w:pStyle w:val="57"/>
        <w:ind w:firstLine="420"/>
      </w:pPr>
      <w:r>
        <w:rPr>
          <w:rFonts w:hint="eastAsia"/>
        </w:rPr>
        <w:t>市政道路病害记录表样式可参考表A.1。</w:t>
      </w:r>
    </w:p>
    <w:p w14:paraId="3684FBC3">
      <w:pPr>
        <w:pStyle w:val="78"/>
        <w:spacing w:before="156" w:after="156"/>
      </w:pPr>
      <w:r>
        <w:rPr>
          <w:rFonts w:hint="eastAsia"/>
        </w:rPr>
        <w:t>病害记录表样式</w:t>
      </w:r>
    </w:p>
    <w:tbl>
      <w:tblPr>
        <w:tblStyle w:val="2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693"/>
        <w:gridCol w:w="848"/>
        <w:gridCol w:w="1544"/>
        <w:gridCol w:w="140"/>
        <w:gridCol w:w="1403"/>
        <w:gridCol w:w="990"/>
        <w:gridCol w:w="306"/>
        <w:gridCol w:w="1862"/>
      </w:tblGrid>
      <w:tr w14:paraId="04F5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Borders>
              <w:top w:val="single" w:color="auto" w:sz="8" w:space="0"/>
              <w:left w:val="single" w:color="auto" w:sz="8" w:space="0"/>
            </w:tcBorders>
          </w:tcPr>
          <w:p w14:paraId="0C4B70D4">
            <w:pPr>
              <w:pStyle w:val="179"/>
            </w:pPr>
            <w:r>
              <w:rPr>
                <w:rFonts w:hint="eastAsia"/>
              </w:rPr>
              <w:t>编号</w:t>
            </w:r>
          </w:p>
        </w:tc>
        <w:tc>
          <w:tcPr>
            <w:tcW w:w="3085" w:type="dxa"/>
            <w:gridSpan w:val="3"/>
            <w:tcBorders>
              <w:top w:val="single" w:color="auto" w:sz="8" w:space="0"/>
            </w:tcBorders>
            <w:vAlign w:val="center"/>
          </w:tcPr>
          <w:p w14:paraId="45342186">
            <w:pPr>
              <w:pStyle w:val="179"/>
            </w:pPr>
          </w:p>
        </w:tc>
        <w:tc>
          <w:tcPr>
            <w:tcW w:w="1543" w:type="dxa"/>
            <w:gridSpan w:val="2"/>
            <w:tcBorders>
              <w:top w:val="single" w:color="auto" w:sz="8" w:space="0"/>
            </w:tcBorders>
          </w:tcPr>
          <w:p w14:paraId="7BF6E778">
            <w:pPr>
              <w:pStyle w:val="179"/>
            </w:pPr>
            <w:r>
              <w:rPr>
                <w:rFonts w:hint="eastAsia"/>
              </w:rPr>
              <w:t>道路名称</w:t>
            </w:r>
          </w:p>
        </w:tc>
        <w:tc>
          <w:tcPr>
            <w:tcW w:w="3158" w:type="dxa"/>
            <w:gridSpan w:val="3"/>
            <w:tcBorders>
              <w:top w:val="single" w:color="auto" w:sz="8" w:space="0"/>
              <w:right w:val="single" w:color="auto" w:sz="8" w:space="0"/>
            </w:tcBorders>
            <w:vAlign w:val="center"/>
          </w:tcPr>
          <w:p w14:paraId="4A1AE5F9">
            <w:pPr>
              <w:pStyle w:val="179"/>
            </w:pPr>
          </w:p>
        </w:tc>
      </w:tr>
      <w:tr w14:paraId="7211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Borders>
              <w:left w:val="single" w:color="auto" w:sz="8" w:space="0"/>
            </w:tcBorders>
            <w:vAlign w:val="center"/>
          </w:tcPr>
          <w:p w14:paraId="5285D23F">
            <w:pPr>
              <w:pStyle w:val="179"/>
            </w:pPr>
            <w:r>
              <w:rPr>
                <w:rFonts w:hint="eastAsia"/>
              </w:rPr>
              <w:t>病害类型</w:t>
            </w:r>
          </w:p>
        </w:tc>
        <w:tc>
          <w:tcPr>
            <w:tcW w:w="3085" w:type="dxa"/>
            <w:gridSpan w:val="3"/>
            <w:vAlign w:val="center"/>
          </w:tcPr>
          <w:p w14:paraId="72DFAB5A">
            <w:pPr>
              <w:pStyle w:val="179"/>
            </w:pPr>
          </w:p>
        </w:tc>
        <w:tc>
          <w:tcPr>
            <w:tcW w:w="1543" w:type="dxa"/>
            <w:gridSpan w:val="2"/>
          </w:tcPr>
          <w:p w14:paraId="09BD8E30">
            <w:pPr>
              <w:pStyle w:val="179"/>
            </w:pPr>
            <w:r>
              <w:rPr>
                <w:rFonts w:hint="eastAsia"/>
              </w:rPr>
              <w:t>位置描述</w:t>
            </w:r>
          </w:p>
        </w:tc>
        <w:tc>
          <w:tcPr>
            <w:tcW w:w="3158" w:type="dxa"/>
            <w:gridSpan w:val="3"/>
            <w:tcBorders>
              <w:right w:val="single" w:color="auto" w:sz="8" w:space="0"/>
            </w:tcBorders>
            <w:vAlign w:val="center"/>
          </w:tcPr>
          <w:p w14:paraId="48048FE5">
            <w:pPr>
              <w:pStyle w:val="179"/>
            </w:pPr>
          </w:p>
        </w:tc>
      </w:tr>
      <w:tr w14:paraId="4DB1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543" w:type="dxa"/>
            <w:tcBorders>
              <w:left w:val="single" w:color="auto" w:sz="8" w:space="0"/>
            </w:tcBorders>
            <w:vAlign w:val="center"/>
          </w:tcPr>
          <w:p w14:paraId="13B1A1FD">
            <w:pPr>
              <w:pStyle w:val="179"/>
            </w:pPr>
            <w:r>
              <w:rPr>
                <w:rFonts w:hint="eastAsia"/>
              </w:rPr>
              <w:t>长度/m</w:t>
            </w:r>
          </w:p>
        </w:tc>
        <w:tc>
          <w:tcPr>
            <w:tcW w:w="1541" w:type="dxa"/>
            <w:gridSpan w:val="2"/>
            <w:vAlign w:val="center"/>
          </w:tcPr>
          <w:p w14:paraId="4E182B05">
            <w:pPr>
              <w:pStyle w:val="179"/>
            </w:pPr>
          </w:p>
        </w:tc>
        <w:tc>
          <w:tcPr>
            <w:tcW w:w="1544" w:type="dxa"/>
            <w:vAlign w:val="center"/>
          </w:tcPr>
          <w:p w14:paraId="20A02B06">
            <w:pPr>
              <w:pStyle w:val="179"/>
            </w:pPr>
            <w:r>
              <w:rPr>
                <w:rFonts w:hint="eastAsia"/>
              </w:rPr>
              <w:t>宽度/m</w:t>
            </w:r>
          </w:p>
        </w:tc>
        <w:tc>
          <w:tcPr>
            <w:tcW w:w="1543" w:type="dxa"/>
            <w:gridSpan w:val="2"/>
          </w:tcPr>
          <w:p w14:paraId="3B9F3CED">
            <w:pPr>
              <w:pStyle w:val="179"/>
            </w:pPr>
          </w:p>
        </w:tc>
        <w:tc>
          <w:tcPr>
            <w:tcW w:w="990" w:type="dxa"/>
            <w:vMerge w:val="restart"/>
            <w:tcBorders>
              <w:right w:val="single" w:color="auto" w:sz="8" w:space="0"/>
            </w:tcBorders>
            <w:vAlign w:val="center"/>
          </w:tcPr>
          <w:p w14:paraId="1672345C">
            <w:pPr>
              <w:pStyle w:val="179"/>
            </w:pPr>
            <w:r>
              <w:rPr>
                <w:rFonts w:hint="eastAsia"/>
              </w:rPr>
              <w:t>中心坐标</w:t>
            </w:r>
          </w:p>
        </w:tc>
        <w:tc>
          <w:tcPr>
            <w:tcW w:w="306" w:type="dxa"/>
            <w:tcBorders>
              <w:right w:val="single" w:color="auto" w:sz="8" w:space="0"/>
            </w:tcBorders>
            <w:vAlign w:val="center"/>
          </w:tcPr>
          <w:p w14:paraId="3278DA8A">
            <w:pPr>
              <w:pStyle w:val="179"/>
            </w:pPr>
            <w:r>
              <w:rPr>
                <w:rFonts w:hint="eastAsia"/>
              </w:rPr>
              <w:t>N</w:t>
            </w:r>
          </w:p>
        </w:tc>
        <w:tc>
          <w:tcPr>
            <w:tcW w:w="1862" w:type="dxa"/>
            <w:tcBorders>
              <w:right w:val="single" w:color="auto" w:sz="8" w:space="0"/>
            </w:tcBorders>
            <w:vAlign w:val="center"/>
          </w:tcPr>
          <w:p w14:paraId="66F12F54">
            <w:pPr>
              <w:pStyle w:val="179"/>
            </w:pPr>
          </w:p>
        </w:tc>
      </w:tr>
      <w:tr w14:paraId="52FC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Borders>
              <w:left w:val="single" w:color="auto" w:sz="8" w:space="0"/>
            </w:tcBorders>
          </w:tcPr>
          <w:p w14:paraId="33027271">
            <w:pPr>
              <w:pStyle w:val="179"/>
            </w:pPr>
            <w:r>
              <w:rPr>
                <w:rFonts w:hint="eastAsia"/>
              </w:rPr>
              <w:t>埋深/m</w:t>
            </w:r>
          </w:p>
        </w:tc>
        <w:tc>
          <w:tcPr>
            <w:tcW w:w="1541" w:type="dxa"/>
            <w:gridSpan w:val="2"/>
          </w:tcPr>
          <w:p w14:paraId="7E735FE3">
            <w:pPr>
              <w:pStyle w:val="179"/>
            </w:pPr>
          </w:p>
        </w:tc>
        <w:tc>
          <w:tcPr>
            <w:tcW w:w="1544" w:type="dxa"/>
          </w:tcPr>
          <w:p w14:paraId="7FED1BE2">
            <w:pPr>
              <w:pStyle w:val="179"/>
            </w:pPr>
            <w:r>
              <w:rPr>
                <w:rFonts w:hint="eastAsia"/>
              </w:rPr>
              <w:t>高度/m</w:t>
            </w:r>
          </w:p>
        </w:tc>
        <w:tc>
          <w:tcPr>
            <w:tcW w:w="1543" w:type="dxa"/>
            <w:gridSpan w:val="2"/>
          </w:tcPr>
          <w:p w14:paraId="4653AE34">
            <w:pPr>
              <w:pStyle w:val="179"/>
            </w:pPr>
          </w:p>
        </w:tc>
        <w:tc>
          <w:tcPr>
            <w:tcW w:w="990" w:type="dxa"/>
            <w:vMerge w:val="continue"/>
            <w:tcBorders>
              <w:right w:val="single" w:color="auto" w:sz="8" w:space="0"/>
            </w:tcBorders>
          </w:tcPr>
          <w:p w14:paraId="0E1D7C16">
            <w:pPr>
              <w:pStyle w:val="179"/>
            </w:pPr>
          </w:p>
        </w:tc>
        <w:tc>
          <w:tcPr>
            <w:tcW w:w="306" w:type="dxa"/>
            <w:tcBorders>
              <w:right w:val="single" w:color="auto" w:sz="8" w:space="0"/>
            </w:tcBorders>
          </w:tcPr>
          <w:p w14:paraId="69457211">
            <w:pPr>
              <w:pStyle w:val="179"/>
            </w:pPr>
            <w:r>
              <w:rPr>
                <w:rFonts w:hint="eastAsia"/>
              </w:rPr>
              <w:t>E</w:t>
            </w:r>
          </w:p>
        </w:tc>
        <w:tc>
          <w:tcPr>
            <w:tcW w:w="1862" w:type="dxa"/>
            <w:tcBorders>
              <w:right w:val="single" w:color="auto" w:sz="8" w:space="0"/>
            </w:tcBorders>
          </w:tcPr>
          <w:p w14:paraId="134ED989">
            <w:pPr>
              <w:pStyle w:val="179"/>
            </w:pPr>
          </w:p>
        </w:tc>
      </w:tr>
      <w:tr w14:paraId="1619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9" w:type="dxa"/>
            <w:gridSpan w:val="9"/>
            <w:tcBorders>
              <w:top w:val="single" w:color="auto" w:sz="8" w:space="0"/>
            </w:tcBorders>
            <w:shd w:val="clear" w:color="auto" w:fill="auto"/>
            <w:vAlign w:val="center"/>
          </w:tcPr>
          <w:p w14:paraId="45B3999F">
            <w:pPr>
              <w:pStyle w:val="179"/>
            </w:pPr>
            <w:r>
              <w:rPr>
                <w:rFonts w:hint="eastAsia"/>
              </w:rPr>
              <w:t>二维/三维剖面图</w:t>
            </w:r>
          </w:p>
        </w:tc>
      </w:tr>
      <w:tr w14:paraId="116A1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29" w:type="dxa"/>
            <w:gridSpan w:val="9"/>
            <w:shd w:val="clear" w:color="auto" w:fill="auto"/>
            <w:vAlign w:val="center"/>
          </w:tcPr>
          <w:p w14:paraId="47AEA12D">
            <w:pPr>
              <w:pStyle w:val="179"/>
            </w:pPr>
          </w:p>
        </w:tc>
      </w:tr>
      <w:tr w14:paraId="50894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9" w:type="dxa"/>
            <w:gridSpan w:val="9"/>
            <w:shd w:val="clear" w:color="auto" w:fill="auto"/>
            <w:vAlign w:val="center"/>
          </w:tcPr>
          <w:p w14:paraId="6A5B6D9F">
            <w:pPr>
              <w:pStyle w:val="179"/>
            </w:pPr>
            <w:r>
              <w:rPr>
                <w:rFonts w:hint="eastAsia"/>
              </w:rPr>
              <w:t>病害规模图</w:t>
            </w:r>
          </w:p>
        </w:tc>
      </w:tr>
      <w:tr w14:paraId="2E8A3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29" w:type="dxa"/>
            <w:gridSpan w:val="9"/>
            <w:shd w:val="clear" w:color="auto" w:fill="auto"/>
            <w:vAlign w:val="center"/>
          </w:tcPr>
          <w:p w14:paraId="70D82181">
            <w:pPr>
              <w:pStyle w:val="179"/>
            </w:pPr>
          </w:p>
        </w:tc>
      </w:tr>
      <w:tr w14:paraId="7A6BE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9" w:type="dxa"/>
            <w:gridSpan w:val="9"/>
            <w:shd w:val="clear" w:color="auto" w:fill="auto"/>
            <w:vAlign w:val="center"/>
          </w:tcPr>
          <w:p w14:paraId="3E706F55">
            <w:pPr>
              <w:pStyle w:val="179"/>
            </w:pPr>
            <w:r>
              <w:rPr>
                <w:rFonts w:hint="eastAsia"/>
              </w:rPr>
              <w:t>地理位置图</w:t>
            </w:r>
          </w:p>
        </w:tc>
      </w:tr>
      <w:tr w14:paraId="48E4D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29" w:type="dxa"/>
            <w:gridSpan w:val="9"/>
            <w:shd w:val="clear" w:color="auto" w:fill="auto"/>
            <w:vAlign w:val="center"/>
          </w:tcPr>
          <w:p w14:paraId="2A6A3E4D">
            <w:pPr>
              <w:pStyle w:val="179"/>
            </w:pPr>
          </w:p>
        </w:tc>
      </w:tr>
      <w:tr w14:paraId="7631C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9" w:type="dxa"/>
            <w:gridSpan w:val="9"/>
            <w:shd w:val="clear" w:color="auto" w:fill="auto"/>
            <w:vAlign w:val="center"/>
          </w:tcPr>
          <w:p w14:paraId="117FFDA1">
            <w:pPr>
              <w:pStyle w:val="179"/>
            </w:pPr>
            <w:r>
              <w:rPr>
                <w:rFonts w:hint="eastAsia"/>
              </w:rPr>
              <w:t>周围环境图</w:t>
            </w:r>
          </w:p>
        </w:tc>
      </w:tr>
      <w:tr w14:paraId="10316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29" w:type="dxa"/>
            <w:gridSpan w:val="9"/>
            <w:shd w:val="clear" w:color="auto" w:fill="auto"/>
            <w:vAlign w:val="center"/>
          </w:tcPr>
          <w:p w14:paraId="49B71870">
            <w:pPr>
              <w:pStyle w:val="179"/>
              <w:jc w:val="right"/>
            </w:pPr>
          </w:p>
        </w:tc>
      </w:tr>
      <w:tr w14:paraId="3841C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19C81B65">
            <w:pPr>
              <w:pStyle w:val="179"/>
            </w:pPr>
            <w:r>
              <w:rPr>
                <w:rFonts w:hint="eastAsia"/>
              </w:rPr>
              <w:t>探测方法</w:t>
            </w:r>
          </w:p>
        </w:tc>
        <w:tc>
          <w:tcPr>
            <w:tcW w:w="7786" w:type="dxa"/>
            <w:gridSpan w:val="8"/>
            <w:shd w:val="clear" w:color="auto" w:fill="auto"/>
            <w:vAlign w:val="center"/>
          </w:tcPr>
          <w:p w14:paraId="2CCFBAE6">
            <w:pPr>
              <w:pStyle w:val="179"/>
            </w:pPr>
          </w:p>
        </w:tc>
      </w:tr>
      <w:tr w14:paraId="0E48A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0A2D3DD7">
            <w:pPr>
              <w:pStyle w:val="179"/>
            </w:pPr>
            <w:r>
              <w:rPr>
                <w:rFonts w:hint="eastAsia"/>
              </w:rPr>
              <w:t>探测设备</w:t>
            </w:r>
          </w:p>
        </w:tc>
        <w:tc>
          <w:tcPr>
            <w:tcW w:w="7786" w:type="dxa"/>
            <w:gridSpan w:val="8"/>
            <w:shd w:val="clear" w:color="auto" w:fill="auto"/>
            <w:vAlign w:val="center"/>
          </w:tcPr>
          <w:p w14:paraId="04AA248B">
            <w:pPr>
              <w:pStyle w:val="179"/>
            </w:pPr>
          </w:p>
        </w:tc>
      </w:tr>
      <w:tr w14:paraId="11203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5677A111">
            <w:pPr>
              <w:pStyle w:val="179"/>
            </w:pPr>
            <w:r>
              <w:rPr>
                <w:rFonts w:hint="eastAsia"/>
              </w:rPr>
              <w:t>路况</w:t>
            </w:r>
          </w:p>
        </w:tc>
        <w:tc>
          <w:tcPr>
            <w:tcW w:w="7786" w:type="dxa"/>
            <w:gridSpan w:val="8"/>
            <w:shd w:val="clear" w:color="auto" w:fill="auto"/>
            <w:vAlign w:val="center"/>
          </w:tcPr>
          <w:p w14:paraId="466AFAB1">
            <w:pPr>
              <w:pStyle w:val="179"/>
            </w:pPr>
          </w:p>
        </w:tc>
      </w:tr>
      <w:tr w14:paraId="3DB91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61DE920D">
            <w:pPr>
              <w:pStyle w:val="179"/>
            </w:pPr>
            <w:r>
              <w:rPr>
                <w:rFonts w:hint="eastAsia"/>
              </w:rPr>
              <w:t>风险发生可能性</w:t>
            </w:r>
          </w:p>
        </w:tc>
        <w:tc>
          <w:tcPr>
            <w:tcW w:w="7786" w:type="dxa"/>
            <w:gridSpan w:val="8"/>
            <w:shd w:val="clear" w:color="auto" w:fill="auto"/>
            <w:vAlign w:val="center"/>
          </w:tcPr>
          <w:p w14:paraId="3295F3DC">
            <w:pPr>
              <w:pStyle w:val="179"/>
            </w:pPr>
          </w:p>
        </w:tc>
      </w:tr>
      <w:tr w14:paraId="70932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4C70DB3D">
            <w:pPr>
              <w:pStyle w:val="179"/>
            </w:pPr>
            <w:r>
              <w:rPr>
                <w:rFonts w:hint="eastAsia"/>
              </w:rPr>
              <w:t>修复建议</w:t>
            </w:r>
          </w:p>
        </w:tc>
        <w:tc>
          <w:tcPr>
            <w:tcW w:w="7786" w:type="dxa"/>
            <w:gridSpan w:val="8"/>
            <w:shd w:val="clear" w:color="auto" w:fill="auto"/>
            <w:vAlign w:val="center"/>
          </w:tcPr>
          <w:p w14:paraId="209789EE">
            <w:pPr>
              <w:pStyle w:val="179"/>
            </w:pPr>
          </w:p>
        </w:tc>
      </w:tr>
      <w:tr w14:paraId="0669D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6A71A3B6">
            <w:pPr>
              <w:pStyle w:val="179"/>
            </w:pPr>
            <w:r>
              <w:rPr>
                <w:rFonts w:hint="eastAsia"/>
              </w:rPr>
              <w:t>复测验证结果</w:t>
            </w:r>
          </w:p>
        </w:tc>
        <w:tc>
          <w:tcPr>
            <w:tcW w:w="7786" w:type="dxa"/>
            <w:gridSpan w:val="8"/>
            <w:shd w:val="clear" w:color="auto" w:fill="auto"/>
            <w:vAlign w:val="center"/>
          </w:tcPr>
          <w:p w14:paraId="24A26E30">
            <w:pPr>
              <w:pStyle w:val="179"/>
            </w:pPr>
          </w:p>
        </w:tc>
      </w:tr>
      <w:tr w14:paraId="3CF7A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3" w:type="dxa"/>
            <w:shd w:val="clear" w:color="auto" w:fill="auto"/>
            <w:vAlign w:val="center"/>
          </w:tcPr>
          <w:p w14:paraId="265CFC75">
            <w:pPr>
              <w:pStyle w:val="179"/>
            </w:pPr>
            <w:r>
              <w:rPr>
                <w:rFonts w:hint="eastAsia"/>
              </w:rPr>
              <w:t>监理单位复核意见</w:t>
            </w:r>
          </w:p>
        </w:tc>
        <w:tc>
          <w:tcPr>
            <w:tcW w:w="7786" w:type="dxa"/>
            <w:gridSpan w:val="8"/>
            <w:shd w:val="clear" w:color="auto" w:fill="auto"/>
            <w:vAlign w:val="center"/>
          </w:tcPr>
          <w:p w14:paraId="584DD52A">
            <w:pPr>
              <w:pStyle w:val="179"/>
            </w:pPr>
          </w:p>
        </w:tc>
      </w:tr>
      <w:tr w14:paraId="09051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36" w:type="dxa"/>
            <w:gridSpan w:val="2"/>
            <w:shd w:val="clear" w:color="auto" w:fill="auto"/>
            <w:vAlign w:val="center"/>
          </w:tcPr>
          <w:p w14:paraId="21DD9CC8">
            <w:pPr>
              <w:pStyle w:val="179"/>
              <w:jc w:val="both"/>
            </w:pPr>
            <w:r>
              <w:rPr>
                <w:rFonts w:hint="eastAsia"/>
              </w:rPr>
              <w:t xml:space="preserve">操作人：   </w:t>
            </w:r>
          </w:p>
        </w:tc>
        <w:tc>
          <w:tcPr>
            <w:tcW w:w="2532" w:type="dxa"/>
            <w:gridSpan w:val="3"/>
            <w:shd w:val="clear" w:color="auto" w:fill="auto"/>
            <w:vAlign w:val="center"/>
          </w:tcPr>
          <w:p w14:paraId="3AADC622">
            <w:pPr>
              <w:pStyle w:val="179"/>
              <w:jc w:val="both"/>
            </w:pPr>
            <w:r>
              <w:rPr>
                <w:rFonts w:hint="eastAsia"/>
              </w:rPr>
              <w:t>记录人：</w:t>
            </w:r>
          </w:p>
        </w:tc>
        <w:tc>
          <w:tcPr>
            <w:tcW w:w="2393" w:type="dxa"/>
            <w:gridSpan w:val="2"/>
            <w:shd w:val="clear" w:color="auto" w:fill="auto"/>
            <w:vAlign w:val="center"/>
          </w:tcPr>
          <w:p w14:paraId="30465F31">
            <w:pPr>
              <w:pStyle w:val="179"/>
              <w:jc w:val="both"/>
            </w:pPr>
            <w:r>
              <w:rPr>
                <w:rFonts w:hint="eastAsia"/>
              </w:rPr>
              <w:t>校核人：</w:t>
            </w:r>
          </w:p>
        </w:tc>
        <w:tc>
          <w:tcPr>
            <w:tcW w:w="2168" w:type="dxa"/>
            <w:gridSpan w:val="2"/>
            <w:shd w:val="clear" w:color="auto" w:fill="auto"/>
            <w:vAlign w:val="center"/>
          </w:tcPr>
          <w:p w14:paraId="2A2282EA">
            <w:pPr>
              <w:pStyle w:val="179"/>
              <w:jc w:val="both"/>
            </w:pPr>
            <w:r>
              <w:rPr>
                <w:rFonts w:hint="eastAsia"/>
              </w:rPr>
              <w:t>日期：</w:t>
            </w:r>
          </w:p>
        </w:tc>
      </w:tr>
      <w:bookmarkEnd w:id="199"/>
    </w:tbl>
    <w:p w14:paraId="057AC90A">
      <w:pPr>
        <w:pStyle w:val="57"/>
        <w:ind w:firstLine="0" w:firstLineChars="0"/>
        <w:jc w:val="center"/>
      </w:pPr>
      <w:bookmarkStart w:id="205" w:name="_GoBack"/>
      <w:bookmarkEnd w:id="205"/>
      <w:bookmarkStart w:id="204" w:name="BookMark8"/>
      <w:r>
        <w:drawing>
          <wp:inline distT="0" distB="0" distL="0" distR="0">
            <wp:extent cx="1485900" cy="317500"/>
            <wp:effectExtent l="0" t="0" r="0" b="6350"/>
            <wp:docPr id="1151037744" name="图片 3"/>
            <wp:cNvGraphicFramePr/>
            <a:graphic xmlns:a="http://schemas.openxmlformats.org/drawingml/2006/main">
              <a:graphicData uri="http://schemas.openxmlformats.org/drawingml/2006/picture">
                <pic:pic xmlns:pic="http://schemas.openxmlformats.org/drawingml/2006/picture">
                  <pic:nvPicPr>
                    <pic:cNvPr id="1151037744" name="图片 3"/>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4"/>
    </w:p>
    <w:sectPr>
      <w:headerReference r:id="rId23" w:type="default"/>
      <w:footerReference r:id="rId25" w:type="default"/>
      <w:headerReference r:id="rId24" w:type="even"/>
      <w:footerReference r:id="rId26"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CC2B">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75A4">
    <w:pPr>
      <w:pStyle w:val="53"/>
    </w:pPr>
    <w:r>
      <w:fldChar w:fldCharType="begin"/>
    </w:r>
    <w:r>
      <w:instrText xml:space="preserve">PAGE   \* MERGEFORMAT</w:instrText>
    </w:r>
    <w:r>
      <w:fldChar w:fldCharType="separate"/>
    </w:r>
    <w:r>
      <w:rPr>
        <w:lang w:val="zh-CN"/>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0643">
    <w:pPr>
      <w:pStyle w:val="52"/>
    </w:pPr>
    <w:r>
      <w:fldChar w:fldCharType="begin"/>
    </w:r>
    <w:r>
      <w:instrText xml:space="preserve"> PAGE   \* MERGEFORMAT \* MERGEFORMAT </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57D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58A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7F7B">
    <w:pPr>
      <w:pStyle w:val="53"/>
    </w:pPr>
    <w:r>
      <w:fldChar w:fldCharType="begin"/>
    </w:r>
    <w:r>
      <w:instrText xml:space="preserve">PAGE   \* MERGEFORMAT</w:instrText>
    </w:r>
    <w:r>
      <w:fldChar w:fldCharType="separate"/>
    </w:r>
    <w:r>
      <w:rPr>
        <w:lang w:val="zh-CN"/>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9048">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2D9B">
    <w:pPr>
      <w:pStyle w:val="53"/>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FAC">
    <w:pPr>
      <w:pStyle w:val="52"/>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72A1">
    <w:pPr>
      <w:pStyle w:val="53"/>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6525">
    <w:pPr>
      <w:pStyle w:val="52"/>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F48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700A">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AE38">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9A0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4B8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5267">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BA77">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E626">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A69C">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7E47">
    <w:pPr>
      <w:pStyle w:val="62"/>
      <w:rPr>
        <w:rFonts w:hint="eastAsia"/>
      </w:rPr>
    </w:pPr>
    <w:r>
      <w:fldChar w:fldCharType="begin"/>
    </w:r>
    <w:r>
      <w:instrText xml:space="preserve"> STYLEREF  标准文件_文件编号  \* MERGEFORMAT </w:instrText>
    </w:r>
    <w:r>
      <w:fldChar w:fldCharType="separate"/>
    </w:r>
    <w:r>
      <w:t>T/CASMES 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EDFF">
    <w:pPr>
      <w:pStyle w:val="63"/>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T/CASMES 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5"/>
      <w:suff w:val="nothing"/>
      <w:lvlText w:val="%1.%2.%3　"/>
      <w:lvlJc w:val="left"/>
      <w:pPr>
        <w:ind w:left="2553" w:firstLine="0"/>
      </w:pPr>
      <w:rPr>
        <w:rFonts w:hint="eastAsia" w:ascii="黑体" w:hAnsi="Times New Roman" w:eastAsia="黑体"/>
        <w:b w:val="0"/>
        <w:i w:val="0"/>
        <w:sz w:val="21"/>
      </w:rPr>
    </w:lvl>
    <w:lvl w:ilvl="3" w:tentative="0">
      <w:start w:val="1"/>
      <w:numFmt w:val="decimal"/>
      <w:pStyle w:val="236"/>
      <w:suff w:val="nothing"/>
      <w:lvlText w:val="%1.%2.%3.%4　"/>
      <w:lvlJc w:val="left"/>
      <w:pPr>
        <w:ind w:left="426" w:firstLine="0"/>
      </w:pPr>
      <w:rPr>
        <w:rFonts w:hint="eastAsia" w:ascii="黑体" w:hAnsi="Times New Roman" w:eastAsia="黑体"/>
        <w:b w:val="0"/>
        <w:i w:val="0"/>
        <w:sz w:val="21"/>
      </w:rPr>
    </w:lvl>
    <w:lvl w:ilvl="4" w:tentative="0">
      <w:start w:val="1"/>
      <w:numFmt w:val="decimal"/>
      <w:pStyle w:val="237"/>
      <w:suff w:val="nothing"/>
      <w:lvlText w:val="%1.%2.%3.%4.%5　"/>
      <w:lvlJc w:val="left"/>
      <w:pPr>
        <w:ind w:left="142" w:firstLine="0"/>
      </w:pPr>
      <w:rPr>
        <w:rFonts w:hint="eastAsia" w:ascii="黑体" w:hAnsi="Times New Roman" w:eastAsia="黑体"/>
        <w:b w:val="0"/>
        <w:i w:val="0"/>
        <w:sz w:val="21"/>
      </w:rPr>
    </w:lvl>
    <w:lvl w:ilvl="5" w:tentative="0">
      <w:start w:val="1"/>
      <w:numFmt w:val="decimal"/>
      <w:pStyle w:val="238"/>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rFonts w:hint="eastAsia"/>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26"/>
    <w:rsid w:val="0000040A"/>
    <w:rsid w:val="00000A94"/>
    <w:rsid w:val="00001972"/>
    <w:rsid w:val="00001D9A"/>
    <w:rsid w:val="00002920"/>
    <w:rsid w:val="00006BBB"/>
    <w:rsid w:val="00006E6B"/>
    <w:rsid w:val="00007692"/>
    <w:rsid w:val="00007B3A"/>
    <w:rsid w:val="00007CC7"/>
    <w:rsid w:val="000107E0"/>
    <w:rsid w:val="00010BA0"/>
    <w:rsid w:val="00011686"/>
    <w:rsid w:val="00011FDE"/>
    <w:rsid w:val="00012A67"/>
    <w:rsid w:val="00012FFD"/>
    <w:rsid w:val="00014162"/>
    <w:rsid w:val="00014340"/>
    <w:rsid w:val="000162C5"/>
    <w:rsid w:val="0001689F"/>
    <w:rsid w:val="00016A9C"/>
    <w:rsid w:val="00020CC2"/>
    <w:rsid w:val="0002103D"/>
    <w:rsid w:val="0002160F"/>
    <w:rsid w:val="000216C9"/>
    <w:rsid w:val="00022184"/>
    <w:rsid w:val="00022762"/>
    <w:rsid w:val="00022DCB"/>
    <w:rsid w:val="000238E0"/>
    <w:rsid w:val="00024205"/>
    <w:rsid w:val="000249DB"/>
    <w:rsid w:val="0002595E"/>
    <w:rsid w:val="000262B0"/>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4A53"/>
    <w:rsid w:val="000474DE"/>
    <w:rsid w:val="00047D65"/>
    <w:rsid w:val="00047F28"/>
    <w:rsid w:val="000501DD"/>
    <w:rsid w:val="000503AA"/>
    <w:rsid w:val="000506A1"/>
    <w:rsid w:val="000515DD"/>
    <w:rsid w:val="000520BF"/>
    <w:rsid w:val="00052583"/>
    <w:rsid w:val="0005265A"/>
    <w:rsid w:val="000539DD"/>
    <w:rsid w:val="00053BD3"/>
    <w:rsid w:val="00055443"/>
    <w:rsid w:val="000556ED"/>
    <w:rsid w:val="00055AB4"/>
    <w:rsid w:val="00055FE2"/>
    <w:rsid w:val="0005616F"/>
    <w:rsid w:val="0005645E"/>
    <w:rsid w:val="00056D76"/>
    <w:rsid w:val="00060C2E"/>
    <w:rsid w:val="00061033"/>
    <w:rsid w:val="000619E9"/>
    <w:rsid w:val="00062284"/>
    <w:rsid w:val="000622D4"/>
    <w:rsid w:val="0006357D"/>
    <w:rsid w:val="00063AB0"/>
    <w:rsid w:val="0006430C"/>
    <w:rsid w:val="00064628"/>
    <w:rsid w:val="00065C57"/>
    <w:rsid w:val="00065EE0"/>
    <w:rsid w:val="00066B76"/>
    <w:rsid w:val="00067415"/>
    <w:rsid w:val="00067F1E"/>
    <w:rsid w:val="000703D7"/>
    <w:rsid w:val="000704F9"/>
    <w:rsid w:val="00070B7D"/>
    <w:rsid w:val="00071CC0"/>
    <w:rsid w:val="00073C8C"/>
    <w:rsid w:val="00074B26"/>
    <w:rsid w:val="0007619E"/>
    <w:rsid w:val="00076A24"/>
    <w:rsid w:val="00077B64"/>
    <w:rsid w:val="00080186"/>
    <w:rsid w:val="00080A1C"/>
    <w:rsid w:val="00080E02"/>
    <w:rsid w:val="000810DB"/>
    <w:rsid w:val="000821EF"/>
    <w:rsid w:val="00082297"/>
    <w:rsid w:val="00082317"/>
    <w:rsid w:val="00083234"/>
    <w:rsid w:val="00083D2C"/>
    <w:rsid w:val="000858F1"/>
    <w:rsid w:val="00085EA2"/>
    <w:rsid w:val="0008697D"/>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5E"/>
    <w:rsid w:val="000A0B60"/>
    <w:rsid w:val="000A0EB8"/>
    <w:rsid w:val="000A11DA"/>
    <w:rsid w:val="000A19FC"/>
    <w:rsid w:val="000A296B"/>
    <w:rsid w:val="000A35E5"/>
    <w:rsid w:val="000A431A"/>
    <w:rsid w:val="000A44D6"/>
    <w:rsid w:val="000A45E6"/>
    <w:rsid w:val="000A4B25"/>
    <w:rsid w:val="000A5BEE"/>
    <w:rsid w:val="000A6C24"/>
    <w:rsid w:val="000A6DE3"/>
    <w:rsid w:val="000A7311"/>
    <w:rsid w:val="000A7AF2"/>
    <w:rsid w:val="000B060F"/>
    <w:rsid w:val="000B1592"/>
    <w:rsid w:val="000B1D7B"/>
    <w:rsid w:val="000B1FF2"/>
    <w:rsid w:val="000B272F"/>
    <w:rsid w:val="000B3CDA"/>
    <w:rsid w:val="000B6A0B"/>
    <w:rsid w:val="000B6B00"/>
    <w:rsid w:val="000B6ED8"/>
    <w:rsid w:val="000C0BBC"/>
    <w:rsid w:val="000C0F6C"/>
    <w:rsid w:val="000C11DB"/>
    <w:rsid w:val="000C1492"/>
    <w:rsid w:val="000C14E3"/>
    <w:rsid w:val="000C214B"/>
    <w:rsid w:val="000C2342"/>
    <w:rsid w:val="000C2FBD"/>
    <w:rsid w:val="000C3410"/>
    <w:rsid w:val="000C4B41"/>
    <w:rsid w:val="000C4C17"/>
    <w:rsid w:val="000C57D6"/>
    <w:rsid w:val="000C6362"/>
    <w:rsid w:val="000C7666"/>
    <w:rsid w:val="000C7F22"/>
    <w:rsid w:val="000D0487"/>
    <w:rsid w:val="000D0A9C"/>
    <w:rsid w:val="000D1795"/>
    <w:rsid w:val="000D1D24"/>
    <w:rsid w:val="000D21F2"/>
    <w:rsid w:val="000D23F8"/>
    <w:rsid w:val="000D2BFA"/>
    <w:rsid w:val="000D329A"/>
    <w:rsid w:val="000D4B9C"/>
    <w:rsid w:val="000D4EB6"/>
    <w:rsid w:val="000D64D4"/>
    <w:rsid w:val="000D7034"/>
    <w:rsid w:val="000D753B"/>
    <w:rsid w:val="000D758D"/>
    <w:rsid w:val="000E214F"/>
    <w:rsid w:val="000E3D5A"/>
    <w:rsid w:val="000E40F6"/>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46BE"/>
    <w:rsid w:val="00114ABD"/>
    <w:rsid w:val="0011548A"/>
    <w:rsid w:val="00116230"/>
    <w:rsid w:val="0011711C"/>
    <w:rsid w:val="00121DA8"/>
    <w:rsid w:val="001227A3"/>
    <w:rsid w:val="00122D1A"/>
    <w:rsid w:val="001243FE"/>
    <w:rsid w:val="00124E4F"/>
    <w:rsid w:val="001260B7"/>
    <w:rsid w:val="001265CB"/>
    <w:rsid w:val="001319D1"/>
    <w:rsid w:val="001321C6"/>
    <w:rsid w:val="001325C4"/>
    <w:rsid w:val="00133010"/>
    <w:rsid w:val="001338EE"/>
    <w:rsid w:val="00133AAE"/>
    <w:rsid w:val="00133CE8"/>
    <w:rsid w:val="001342F6"/>
    <w:rsid w:val="00134765"/>
    <w:rsid w:val="00135323"/>
    <w:rsid w:val="001356C4"/>
    <w:rsid w:val="00135B72"/>
    <w:rsid w:val="00136CCD"/>
    <w:rsid w:val="00137796"/>
    <w:rsid w:val="0014095B"/>
    <w:rsid w:val="00140F5D"/>
    <w:rsid w:val="00141113"/>
    <w:rsid w:val="00141114"/>
    <w:rsid w:val="00141A73"/>
    <w:rsid w:val="00141B53"/>
    <w:rsid w:val="00141B54"/>
    <w:rsid w:val="00142969"/>
    <w:rsid w:val="00142FAC"/>
    <w:rsid w:val="001431A8"/>
    <w:rsid w:val="001438D1"/>
    <w:rsid w:val="00143DC6"/>
    <w:rsid w:val="001446C2"/>
    <w:rsid w:val="00144A99"/>
    <w:rsid w:val="0014569B"/>
    <w:rsid w:val="001457E7"/>
    <w:rsid w:val="00145A3A"/>
    <w:rsid w:val="00145D9D"/>
    <w:rsid w:val="00146388"/>
    <w:rsid w:val="00146526"/>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3417"/>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774EA"/>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2C2"/>
    <w:rsid w:val="001A1685"/>
    <w:rsid w:val="001A1A53"/>
    <w:rsid w:val="001A1C77"/>
    <w:rsid w:val="001A234A"/>
    <w:rsid w:val="001A3308"/>
    <w:rsid w:val="001A4CF3"/>
    <w:rsid w:val="001A7D80"/>
    <w:rsid w:val="001B06E8"/>
    <w:rsid w:val="001B0E70"/>
    <w:rsid w:val="001B4D06"/>
    <w:rsid w:val="001B64A3"/>
    <w:rsid w:val="001B7112"/>
    <w:rsid w:val="001B71D0"/>
    <w:rsid w:val="001B71EE"/>
    <w:rsid w:val="001B7428"/>
    <w:rsid w:val="001B7BD8"/>
    <w:rsid w:val="001C04A8"/>
    <w:rsid w:val="001C2C03"/>
    <w:rsid w:val="001C3C00"/>
    <w:rsid w:val="001C41D8"/>
    <w:rsid w:val="001C42F7"/>
    <w:rsid w:val="001C49E5"/>
    <w:rsid w:val="001C680C"/>
    <w:rsid w:val="001C6A4D"/>
    <w:rsid w:val="001C7E22"/>
    <w:rsid w:val="001C7FEA"/>
    <w:rsid w:val="001D00CA"/>
    <w:rsid w:val="001D0499"/>
    <w:rsid w:val="001D0787"/>
    <w:rsid w:val="001D0BBE"/>
    <w:rsid w:val="001D0ED4"/>
    <w:rsid w:val="001D212F"/>
    <w:rsid w:val="001D2833"/>
    <w:rsid w:val="001D29D7"/>
    <w:rsid w:val="001D2DE7"/>
    <w:rsid w:val="001D2F69"/>
    <w:rsid w:val="001D3036"/>
    <w:rsid w:val="001D411C"/>
    <w:rsid w:val="001E11DC"/>
    <w:rsid w:val="001E1B6A"/>
    <w:rsid w:val="001E2484"/>
    <w:rsid w:val="001E3811"/>
    <w:rsid w:val="001E3B89"/>
    <w:rsid w:val="001E3CC4"/>
    <w:rsid w:val="001E468D"/>
    <w:rsid w:val="001E4882"/>
    <w:rsid w:val="001E519F"/>
    <w:rsid w:val="001E73AB"/>
    <w:rsid w:val="001F092D"/>
    <w:rsid w:val="001F143A"/>
    <w:rsid w:val="001F1605"/>
    <w:rsid w:val="001F205B"/>
    <w:rsid w:val="001F2508"/>
    <w:rsid w:val="001F3D47"/>
    <w:rsid w:val="001F3D74"/>
    <w:rsid w:val="001F4816"/>
    <w:rsid w:val="001F4E56"/>
    <w:rsid w:val="001F548E"/>
    <w:rsid w:val="001F69B4"/>
    <w:rsid w:val="001F77C7"/>
    <w:rsid w:val="00200183"/>
    <w:rsid w:val="00200333"/>
    <w:rsid w:val="0020107D"/>
    <w:rsid w:val="002016D2"/>
    <w:rsid w:val="00201C42"/>
    <w:rsid w:val="00202AA4"/>
    <w:rsid w:val="002031F7"/>
    <w:rsid w:val="002039E9"/>
    <w:rsid w:val="002040E6"/>
    <w:rsid w:val="0020503D"/>
    <w:rsid w:val="0020527B"/>
    <w:rsid w:val="002057A7"/>
    <w:rsid w:val="00205E3E"/>
    <w:rsid w:val="00205F2C"/>
    <w:rsid w:val="00207A9F"/>
    <w:rsid w:val="00210869"/>
    <w:rsid w:val="00210B15"/>
    <w:rsid w:val="002110E0"/>
    <w:rsid w:val="00211FCC"/>
    <w:rsid w:val="002124D4"/>
    <w:rsid w:val="00212CCD"/>
    <w:rsid w:val="002142EA"/>
    <w:rsid w:val="002148F0"/>
    <w:rsid w:val="00215BA1"/>
    <w:rsid w:val="002166FD"/>
    <w:rsid w:val="00217268"/>
    <w:rsid w:val="002200C4"/>
    <w:rsid w:val="002204BB"/>
    <w:rsid w:val="00221B79"/>
    <w:rsid w:val="00221C6B"/>
    <w:rsid w:val="0022345A"/>
    <w:rsid w:val="00223D70"/>
    <w:rsid w:val="002241B4"/>
    <w:rsid w:val="002249A7"/>
    <w:rsid w:val="00224E12"/>
    <w:rsid w:val="00225124"/>
    <w:rsid w:val="002253A1"/>
    <w:rsid w:val="00225CF8"/>
    <w:rsid w:val="00225F57"/>
    <w:rsid w:val="0022794E"/>
    <w:rsid w:val="002309FE"/>
    <w:rsid w:val="002330B8"/>
    <w:rsid w:val="00233D64"/>
    <w:rsid w:val="0023482A"/>
    <w:rsid w:val="002359CB"/>
    <w:rsid w:val="00236A32"/>
    <w:rsid w:val="00236C9A"/>
    <w:rsid w:val="00240A56"/>
    <w:rsid w:val="00243540"/>
    <w:rsid w:val="002435B5"/>
    <w:rsid w:val="0024395E"/>
    <w:rsid w:val="00244456"/>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8D4"/>
    <w:rsid w:val="00263D25"/>
    <w:rsid w:val="002643C3"/>
    <w:rsid w:val="00264A0C"/>
    <w:rsid w:val="00266E11"/>
    <w:rsid w:val="00266EEB"/>
    <w:rsid w:val="002674CD"/>
    <w:rsid w:val="00267EF4"/>
    <w:rsid w:val="00270CB8"/>
    <w:rsid w:val="0027214B"/>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56BC"/>
    <w:rsid w:val="00286B16"/>
    <w:rsid w:val="00287769"/>
    <w:rsid w:val="00287BA2"/>
    <w:rsid w:val="00290181"/>
    <w:rsid w:val="002902EF"/>
    <w:rsid w:val="00292D60"/>
    <w:rsid w:val="00292DF0"/>
    <w:rsid w:val="00293B30"/>
    <w:rsid w:val="00294D34"/>
    <w:rsid w:val="00294E3B"/>
    <w:rsid w:val="00296193"/>
    <w:rsid w:val="00296C66"/>
    <w:rsid w:val="00296EBE"/>
    <w:rsid w:val="002974E3"/>
    <w:rsid w:val="00297589"/>
    <w:rsid w:val="002A084B"/>
    <w:rsid w:val="002A1260"/>
    <w:rsid w:val="002A1589"/>
    <w:rsid w:val="002A1608"/>
    <w:rsid w:val="002A22F4"/>
    <w:rsid w:val="002A2335"/>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CD7"/>
    <w:rsid w:val="002B1F89"/>
    <w:rsid w:val="002B2B10"/>
    <w:rsid w:val="002B4508"/>
    <w:rsid w:val="002B51BD"/>
    <w:rsid w:val="002B5779"/>
    <w:rsid w:val="002B5CA6"/>
    <w:rsid w:val="002B7332"/>
    <w:rsid w:val="002B7F51"/>
    <w:rsid w:val="002C00FF"/>
    <w:rsid w:val="002C09E7"/>
    <w:rsid w:val="002C1E06"/>
    <w:rsid w:val="002C2254"/>
    <w:rsid w:val="002C3F07"/>
    <w:rsid w:val="002C5278"/>
    <w:rsid w:val="002C5770"/>
    <w:rsid w:val="002C5E35"/>
    <w:rsid w:val="002C6D1E"/>
    <w:rsid w:val="002C7EBB"/>
    <w:rsid w:val="002D06C1"/>
    <w:rsid w:val="002D14F1"/>
    <w:rsid w:val="002D2136"/>
    <w:rsid w:val="002D3076"/>
    <w:rsid w:val="002D3315"/>
    <w:rsid w:val="002D42B5"/>
    <w:rsid w:val="002D4F1A"/>
    <w:rsid w:val="002D5DF1"/>
    <w:rsid w:val="002D5E52"/>
    <w:rsid w:val="002D666A"/>
    <w:rsid w:val="002D66F1"/>
    <w:rsid w:val="002D6EB9"/>
    <w:rsid w:val="002D6EC6"/>
    <w:rsid w:val="002D70CF"/>
    <w:rsid w:val="002D79AC"/>
    <w:rsid w:val="002E039D"/>
    <w:rsid w:val="002E2A8C"/>
    <w:rsid w:val="002E2B03"/>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5866"/>
    <w:rsid w:val="002F77BD"/>
    <w:rsid w:val="002F7AF6"/>
    <w:rsid w:val="00300533"/>
    <w:rsid w:val="00300E63"/>
    <w:rsid w:val="003017E6"/>
    <w:rsid w:val="00302F5F"/>
    <w:rsid w:val="00303296"/>
    <w:rsid w:val="00303C9D"/>
    <w:rsid w:val="0030412A"/>
    <w:rsid w:val="0030441D"/>
    <w:rsid w:val="00305A71"/>
    <w:rsid w:val="00306063"/>
    <w:rsid w:val="0030701B"/>
    <w:rsid w:val="00310F24"/>
    <w:rsid w:val="00312285"/>
    <w:rsid w:val="0031235B"/>
    <w:rsid w:val="00312509"/>
    <w:rsid w:val="00312704"/>
    <w:rsid w:val="00313192"/>
    <w:rsid w:val="003132F8"/>
    <w:rsid w:val="00313B85"/>
    <w:rsid w:val="003144BB"/>
    <w:rsid w:val="00314A89"/>
    <w:rsid w:val="003150FA"/>
    <w:rsid w:val="00315545"/>
    <w:rsid w:val="00317988"/>
    <w:rsid w:val="00320969"/>
    <w:rsid w:val="00322122"/>
    <w:rsid w:val="003221B4"/>
    <w:rsid w:val="0032227E"/>
    <w:rsid w:val="0032258D"/>
    <w:rsid w:val="00322E62"/>
    <w:rsid w:val="00324D13"/>
    <w:rsid w:val="00324EDD"/>
    <w:rsid w:val="00325673"/>
    <w:rsid w:val="00326723"/>
    <w:rsid w:val="00327190"/>
    <w:rsid w:val="00331E7A"/>
    <w:rsid w:val="003331E4"/>
    <w:rsid w:val="0033610E"/>
    <w:rsid w:val="00336C64"/>
    <w:rsid w:val="00337162"/>
    <w:rsid w:val="0034194F"/>
    <w:rsid w:val="00344605"/>
    <w:rsid w:val="003461AA"/>
    <w:rsid w:val="00347061"/>
    <w:rsid w:val="003474AA"/>
    <w:rsid w:val="00350D1D"/>
    <w:rsid w:val="00351248"/>
    <w:rsid w:val="003513CB"/>
    <w:rsid w:val="00351CF4"/>
    <w:rsid w:val="00352A50"/>
    <w:rsid w:val="00352C83"/>
    <w:rsid w:val="00352F28"/>
    <w:rsid w:val="00352FBA"/>
    <w:rsid w:val="00354048"/>
    <w:rsid w:val="0035792A"/>
    <w:rsid w:val="00360D25"/>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7DC"/>
    <w:rsid w:val="003659AE"/>
    <w:rsid w:val="00365AA9"/>
    <w:rsid w:val="00365D50"/>
    <w:rsid w:val="00365F86"/>
    <w:rsid w:val="00365F87"/>
    <w:rsid w:val="00366E89"/>
    <w:rsid w:val="00367215"/>
    <w:rsid w:val="003677F7"/>
    <w:rsid w:val="00367A8B"/>
    <w:rsid w:val="00367ADD"/>
    <w:rsid w:val="003705F4"/>
    <w:rsid w:val="00370D58"/>
    <w:rsid w:val="0037118F"/>
    <w:rsid w:val="003712C4"/>
    <w:rsid w:val="00371316"/>
    <w:rsid w:val="00371EB7"/>
    <w:rsid w:val="00371FAA"/>
    <w:rsid w:val="00372AA1"/>
    <w:rsid w:val="00372EF0"/>
    <w:rsid w:val="003732A5"/>
    <w:rsid w:val="00373DC3"/>
    <w:rsid w:val="00374AB4"/>
    <w:rsid w:val="00374FA0"/>
    <w:rsid w:val="00376713"/>
    <w:rsid w:val="00377B26"/>
    <w:rsid w:val="003805F4"/>
    <w:rsid w:val="003816C7"/>
    <w:rsid w:val="00381815"/>
    <w:rsid w:val="003819AF"/>
    <w:rsid w:val="003820E9"/>
    <w:rsid w:val="00382DE7"/>
    <w:rsid w:val="0038401B"/>
    <w:rsid w:val="00384FFC"/>
    <w:rsid w:val="003864B9"/>
    <w:rsid w:val="003872FC"/>
    <w:rsid w:val="00387ADC"/>
    <w:rsid w:val="00390020"/>
    <w:rsid w:val="00390100"/>
    <w:rsid w:val="003903D6"/>
    <w:rsid w:val="00390EE6"/>
    <w:rsid w:val="0039118F"/>
    <w:rsid w:val="00392AD7"/>
    <w:rsid w:val="003938D9"/>
    <w:rsid w:val="00394274"/>
    <w:rsid w:val="00394376"/>
    <w:rsid w:val="003943FF"/>
    <w:rsid w:val="00395EAA"/>
    <w:rsid w:val="00396478"/>
    <w:rsid w:val="003974EB"/>
    <w:rsid w:val="00397C94"/>
    <w:rsid w:val="00397CC5"/>
    <w:rsid w:val="00397DB1"/>
    <w:rsid w:val="003A00CB"/>
    <w:rsid w:val="003A1582"/>
    <w:rsid w:val="003A2A50"/>
    <w:rsid w:val="003A376C"/>
    <w:rsid w:val="003A4077"/>
    <w:rsid w:val="003A417D"/>
    <w:rsid w:val="003A515E"/>
    <w:rsid w:val="003A5892"/>
    <w:rsid w:val="003A5E1A"/>
    <w:rsid w:val="003A68F9"/>
    <w:rsid w:val="003A7695"/>
    <w:rsid w:val="003B09AD"/>
    <w:rsid w:val="003B1E2D"/>
    <w:rsid w:val="003B1F18"/>
    <w:rsid w:val="003B2A20"/>
    <w:rsid w:val="003B5BF0"/>
    <w:rsid w:val="003B5F46"/>
    <w:rsid w:val="003B60BF"/>
    <w:rsid w:val="003B6BE3"/>
    <w:rsid w:val="003B7487"/>
    <w:rsid w:val="003C010C"/>
    <w:rsid w:val="003C0A6C"/>
    <w:rsid w:val="003C14F8"/>
    <w:rsid w:val="003C2E63"/>
    <w:rsid w:val="003C3E45"/>
    <w:rsid w:val="003C4468"/>
    <w:rsid w:val="003C5416"/>
    <w:rsid w:val="003C5578"/>
    <w:rsid w:val="003C5A43"/>
    <w:rsid w:val="003C77C2"/>
    <w:rsid w:val="003D01B5"/>
    <w:rsid w:val="003D0519"/>
    <w:rsid w:val="003D0912"/>
    <w:rsid w:val="003D0FF6"/>
    <w:rsid w:val="003D262C"/>
    <w:rsid w:val="003D278D"/>
    <w:rsid w:val="003D38AF"/>
    <w:rsid w:val="003D3D5E"/>
    <w:rsid w:val="003D5FCF"/>
    <w:rsid w:val="003D6D61"/>
    <w:rsid w:val="003D7D30"/>
    <w:rsid w:val="003D7D92"/>
    <w:rsid w:val="003E091D"/>
    <w:rsid w:val="003E1667"/>
    <w:rsid w:val="003E1C53"/>
    <w:rsid w:val="003E2A69"/>
    <w:rsid w:val="003E2D49"/>
    <w:rsid w:val="003E2FD4"/>
    <w:rsid w:val="003E31AF"/>
    <w:rsid w:val="003E3E46"/>
    <w:rsid w:val="003E49F6"/>
    <w:rsid w:val="003E4DE0"/>
    <w:rsid w:val="003E519B"/>
    <w:rsid w:val="003E543C"/>
    <w:rsid w:val="003E5F88"/>
    <w:rsid w:val="003E660F"/>
    <w:rsid w:val="003E6FC7"/>
    <w:rsid w:val="003F018A"/>
    <w:rsid w:val="003F01D3"/>
    <w:rsid w:val="003F06A2"/>
    <w:rsid w:val="003F0841"/>
    <w:rsid w:val="003F10D8"/>
    <w:rsid w:val="003F166D"/>
    <w:rsid w:val="003F19AF"/>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86A"/>
    <w:rsid w:val="00403FDE"/>
    <w:rsid w:val="00404869"/>
    <w:rsid w:val="00405884"/>
    <w:rsid w:val="00406B8F"/>
    <w:rsid w:val="00407D39"/>
    <w:rsid w:val="00410B1D"/>
    <w:rsid w:val="00410B77"/>
    <w:rsid w:val="00410CFD"/>
    <w:rsid w:val="00411C80"/>
    <w:rsid w:val="00412227"/>
    <w:rsid w:val="00413AC8"/>
    <w:rsid w:val="00413B8F"/>
    <w:rsid w:val="0041477A"/>
    <w:rsid w:val="00414DA9"/>
    <w:rsid w:val="004167A3"/>
    <w:rsid w:val="00421588"/>
    <w:rsid w:val="00421621"/>
    <w:rsid w:val="00421E3A"/>
    <w:rsid w:val="004228E4"/>
    <w:rsid w:val="00422AB9"/>
    <w:rsid w:val="00422E30"/>
    <w:rsid w:val="00423008"/>
    <w:rsid w:val="00423E27"/>
    <w:rsid w:val="00430448"/>
    <w:rsid w:val="004305E5"/>
    <w:rsid w:val="00431AC9"/>
    <w:rsid w:val="004322AE"/>
    <w:rsid w:val="00432DAA"/>
    <w:rsid w:val="0043359C"/>
    <w:rsid w:val="00434305"/>
    <w:rsid w:val="00435DF7"/>
    <w:rsid w:val="00436A85"/>
    <w:rsid w:val="00436C2D"/>
    <w:rsid w:val="0044083F"/>
    <w:rsid w:val="00441AE7"/>
    <w:rsid w:val="00443958"/>
    <w:rsid w:val="00443DC7"/>
    <w:rsid w:val="00443EC6"/>
    <w:rsid w:val="00445574"/>
    <w:rsid w:val="004467FB"/>
    <w:rsid w:val="0045007F"/>
    <w:rsid w:val="0045240E"/>
    <w:rsid w:val="00452D6B"/>
    <w:rsid w:val="004534E4"/>
    <w:rsid w:val="00453762"/>
    <w:rsid w:val="00453904"/>
    <w:rsid w:val="00454484"/>
    <w:rsid w:val="0045517B"/>
    <w:rsid w:val="00455ED7"/>
    <w:rsid w:val="00456DE6"/>
    <w:rsid w:val="00457347"/>
    <w:rsid w:val="004574F2"/>
    <w:rsid w:val="004577C6"/>
    <w:rsid w:val="00457E0F"/>
    <w:rsid w:val="00462503"/>
    <w:rsid w:val="00462AAD"/>
    <w:rsid w:val="00462B02"/>
    <w:rsid w:val="00463B77"/>
    <w:rsid w:val="00463C7B"/>
    <w:rsid w:val="004644A6"/>
    <w:rsid w:val="00464A55"/>
    <w:rsid w:val="004659BD"/>
    <w:rsid w:val="00470775"/>
    <w:rsid w:val="00470C5C"/>
    <w:rsid w:val="00471C7D"/>
    <w:rsid w:val="00472E5D"/>
    <w:rsid w:val="0047323F"/>
    <w:rsid w:val="00473346"/>
    <w:rsid w:val="004746B1"/>
    <w:rsid w:val="00475523"/>
    <w:rsid w:val="0047583F"/>
    <w:rsid w:val="00475DE8"/>
    <w:rsid w:val="0047699B"/>
    <w:rsid w:val="00477F53"/>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96584"/>
    <w:rsid w:val="004A0E90"/>
    <w:rsid w:val="004A12DF"/>
    <w:rsid w:val="004A1765"/>
    <w:rsid w:val="004A1B31"/>
    <w:rsid w:val="004A1BA8"/>
    <w:rsid w:val="004A2D2E"/>
    <w:rsid w:val="004A31FB"/>
    <w:rsid w:val="004A32B5"/>
    <w:rsid w:val="004A42A4"/>
    <w:rsid w:val="004A4B57"/>
    <w:rsid w:val="004A56CC"/>
    <w:rsid w:val="004A61C6"/>
    <w:rsid w:val="004A635F"/>
    <w:rsid w:val="004A63FA"/>
    <w:rsid w:val="004A7DDB"/>
    <w:rsid w:val="004B0272"/>
    <w:rsid w:val="004B0A02"/>
    <w:rsid w:val="004B16A6"/>
    <w:rsid w:val="004B17D0"/>
    <w:rsid w:val="004B1B08"/>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2E"/>
    <w:rsid w:val="004C7E8B"/>
    <w:rsid w:val="004C7E9D"/>
    <w:rsid w:val="004C7F67"/>
    <w:rsid w:val="004D076D"/>
    <w:rsid w:val="004D08AF"/>
    <w:rsid w:val="004D0EF1"/>
    <w:rsid w:val="004D2253"/>
    <w:rsid w:val="004D2568"/>
    <w:rsid w:val="004D2A23"/>
    <w:rsid w:val="004D3B68"/>
    <w:rsid w:val="004D41C7"/>
    <w:rsid w:val="004D4406"/>
    <w:rsid w:val="004D7C42"/>
    <w:rsid w:val="004E0465"/>
    <w:rsid w:val="004E07EB"/>
    <w:rsid w:val="004E127B"/>
    <w:rsid w:val="004E1597"/>
    <w:rsid w:val="004E1C0A"/>
    <w:rsid w:val="004E1E82"/>
    <w:rsid w:val="004E2AD9"/>
    <w:rsid w:val="004E30C5"/>
    <w:rsid w:val="004E3506"/>
    <w:rsid w:val="004E3AF9"/>
    <w:rsid w:val="004E3BA0"/>
    <w:rsid w:val="004E4AA5"/>
    <w:rsid w:val="004E4AEE"/>
    <w:rsid w:val="004E53FB"/>
    <w:rsid w:val="004E54C2"/>
    <w:rsid w:val="004E59E3"/>
    <w:rsid w:val="004E5BA5"/>
    <w:rsid w:val="004E67C0"/>
    <w:rsid w:val="004E6870"/>
    <w:rsid w:val="004E69FB"/>
    <w:rsid w:val="004E6AC5"/>
    <w:rsid w:val="004F0323"/>
    <w:rsid w:val="004F044E"/>
    <w:rsid w:val="004F0E59"/>
    <w:rsid w:val="004F240F"/>
    <w:rsid w:val="004F391A"/>
    <w:rsid w:val="004F3CFB"/>
    <w:rsid w:val="004F6456"/>
    <w:rsid w:val="004F64F9"/>
    <w:rsid w:val="004F65F8"/>
    <w:rsid w:val="004F696E"/>
    <w:rsid w:val="004F6C71"/>
    <w:rsid w:val="004F705D"/>
    <w:rsid w:val="0050016C"/>
    <w:rsid w:val="00500798"/>
    <w:rsid w:val="00501139"/>
    <w:rsid w:val="00501E2E"/>
    <w:rsid w:val="0050347C"/>
    <w:rsid w:val="0050363E"/>
    <w:rsid w:val="005039BC"/>
    <w:rsid w:val="00503B21"/>
    <w:rsid w:val="00503E89"/>
    <w:rsid w:val="005040DB"/>
    <w:rsid w:val="005043BB"/>
    <w:rsid w:val="00504A3D"/>
    <w:rsid w:val="005052FC"/>
    <w:rsid w:val="00505767"/>
    <w:rsid w:val="005073F0"/>
    <w:rsid w:val="005103C9"/>
    <w:rsid w:val="00510A7B"/>
    <w:rsid w:val="00510BC6"/>
    <w:rsid w:val="00512F6E"/>
    <w:rsid w:val="00513038"/>
    <w:rsid w:val="00513162"/>
    <w:rsid w:val="00514174"/>
    <w:rsid w:val="0051538B"/>
    <w:rsid w:val="00516088"/>
    <w:rsid w:val="00516B0B"/>
    <w:rsid w:val="00517C33"/>
    <w:rsid w:val="0052125B"/>
    <w:rsid w:val="005220EC"/>
    <w:rsid w:val="0052394D"/>
    <w:rsid w:val="00523F95"/>
    <w:rsid w:val="00524690"/>
    <w:rsid w:val="00524D65"/>
    <w:rsid w:val="00525B16"/>
    <w:rsid w:val="00526439"/>
    <w:rsid w:val="005264FE"/>
    <w:rsid w:val="005268A7"/>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5CD"/>
    <w:rsid w:val="005458A1"/>
    <w:rsid w:val="005471C1"/>
    <w:rsid w:val="005479DA"/>
    <w:rsid w:val="00547BCC"/>
    <w:rsid w:val="00547CC6"/>
    <w:rsid w:val="0055013B"/>
    <w:rsid w:val="00550E9F"/>
    <w:rsid w:val="00551F6F"/>
    <w:rsid w:val="0055216E"/>
    <w:rsid w:val="00552816"/>
    <w:rsid w:val="00555044"/>
    <w:rsid w:val="0056044A"/>
    <w:rsid w:val="00561475"/>
    <w:rsid w:val="0056278E"/>
    <w:rsid w:val="0056487B"/>
    <w:rsid w:val="00564FB9"/>
    <w:rsid w:val="00565083"/>
    <w:rsid w:val="005654D5"/>
    <w:rsid w:val="00565F95"/>
    <w:rsid w:val="005662DA"/>
    <w:rsid w:val="00567012"/>
    <w:rsid w:val="005679F9"/>
    <w:rsid w:val="0057067E"/>
    <w:rsid w:val="00570ED6"/>
    <w:rsid w:val="00572514"/>
    <w:rsid w:val="00572527"/>
    <w:rsid w:val="00573A32"/>
    <w:rsid w:val="00573D9E"/>
    <w:rsid w:val="00573ED5"/>
    <w:rsid w:val="00576288"/>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591"/>
    <w:rsid w:val="005A4A1B"/>
    <w:rsid w:val="005A4B43"/>
    <w:rsid w:val="005A5956"/>
    <w:rsid w:val="005A5E0A"/>
    <w:rsid w:val="005A6BD7"/>
    <w:rsid w:val="005A73C8"/>
    <w:rsid w:val="005A7830"/>
    <w:rsid w:val="005A7FCE"/>
    <w:rsid w:val="005B086F"/>
    <w:rsid w:val="005B0F3F"/>
    <w:rsid w:val="005B11C7"/>
    <w:rsid w:val="005B41A5"/>
    <w:rsid w:val="005B4903"/>
    <w:rsid w:val="005B51CE"/>
    <w:rsid w:val="005B5885"/>
    <w:rsid w:val="005B5CD7"/>
    <w:rsid w:val="005B6B3A"/>
    <w:rsid w:val="005B6CF6"/>
    <w:rsid w:val="005B7422"/>
    <w:rsid w:val="005C22F6"/>
    <w:rsid w:val="005C29B8"/>
    <w:rsid w:val="005C4EB3"/>
    <w:rsid w:val="005C5F21"/>
    <w:rsid w:val="005C646D"/>
    <w:rsid w:val="005C648B"/>
    <w:rsid w:val="005C70A3"/>
    <w:rsid w:val="005C7156"/>
    <w:rsid w:val="005C7F6F"/>
    <w:rsid w:val="005D030B"/>
    <w:rsid w:val="005D0C75"/>
    <w:rsid w:val="005D133D"/>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D7FAA"/>
    <w:rsid w:val="005E0EFD"/>
    <w:rsid w:val="005E2335"/>
    <w:rsid w:val="005E279B"/>
    <w:rsid w:val="005E34CA"/>
    <w:rsid w:val="005E3C18"/>
    <w:rsid w:val="005E3CCC"/>
    <w:rsid w:val="005E6812"/>
    <w:rsid w:val="005E6D3C"/>
    <w:rsid w:val="005E7881"/>
    <w:rsid w:val="005E78E0"/>
    <w:rsid w:val="005F08E9"/>
    <w:rsid w:val="005F0D9C"/>
    <w:rsid w:val="005F284E"/>
    <w:rsid w:val="005F5CF6"/>
    <w:rsid w:val="005F6EDD"/>
    <w:rsid w:val="00600453"/>
    <w:rsid w:val="00600F31"/>
    <w:rsid w:val="006015CE"/>
    <w:rsid w:val="00602E94"/>
    <w:rsid w:val="00603FF5"/>
    <w:rsid w:val="00604784"/>
    <w:rsid w:val="00606419"/>
    <w:rsid w:val="00607BD9"/>
    <w:rsid w:val="00607C9D"/>
    <w:rsid w:val="00607D29"/>
    <w:rsid w:val="00612952"/>
    <w:rsid w:val="00614002"/>
    <w:rsid w:val="00614CC1"/>
    <w:rsid w:val="00615A9D"/>
    <w:rsid w:val="00616558"/>
    <w:rsid w:val="00617387"/>
    <w:rsid w:val="006201EE"/>
    <w:rsid w:val="006205D6"/>
    <w:rsid w:val="006209B3"/>
    <w:rsid w:val="006241F9"/>
    <w:rsid w:val="00625166"/>
    <w:rsid w:val="006252D8"/>
    <w:rsid w:val="006259BC"/>
    <w:rsid w:val="00626141"/>
    <w:rsid w:val="0062636B"/>
    <w:rsid w:val="00630CD8"/>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0678"/>
    <w:rsid w:val="00661C54"/>
    <w:rsid w:val="00662CB0"/>
    <w:rsid w:val="00663706"/>
    <w:rsid w:val="00663C92"/>
    <w:rsid w:val="006640E5"/>
    <w:rsid w:val="006646F1"/>
    <w:rsid w:val="00664929"/>
    <w:rsid w:val="00664F62"/>
    <w:rsid w:val="006655E1"/>
    <w:rsid w:val="00667994"/>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45E6"/>
    <w:rsid w:val="006850CD"/>
    <w:rsid w:val="006856D5"/>
    <w:rsid w:val="00685AAB"/>
    <w:rsid w:val="00687AAD"/>
    <w:rsid w:val="00687E14"/>
    <w:rsid w:val="0069071F"/>
    <w:rsid w:val="00690BFB"/>
    <w:rsid w:val="00692537"/>
    <w:rsid w:val="006930B3"/>
    <w:rsid w:val="0069438A"/>
    <w:rsid w:val="006A07AA"/>
    <w:rsid w:val="006A0CBF"/>
    <w:rsid w:val="006A25E5"/>
    <w:rsid w:val="006A2B46"/>
    <w:rsid w:val="006A336D"/>
    <w:rsid w:val="006A37B9"/>
    <w:rsid w:val="006A3A2C"/>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25BA"/>
    <w:rsid w:val="006C4CC8"/>
    <w:rsid w:val="006C57F5"/>
    <w:rsid w:val="006C5A62"/>
    <w:rsid w:val="006C5D68"/>
    <w:rsid w:val="006C6105"/>
    <w:rsid w:val="006C62BC"/>
    <w:rsid w:val="006C64DD"/>
    <w:rsid w:val="006C6976"/>
    <w:rsid w:val="006C6DD0"/>
    <w:rsid w:val="006D04EA"/>
    <w:rsid w:val="006D0B25"/>
    <w:rsid w:val="006D16C4"/>
    <w:rsid w:val="006D1CAB"/>
    <w:rsid w:val="006D1E4B"/>
    <w:rsid w:val="006D326F"/>
    <w:rsid w:val="006D3B26"/>
    <w:rsid w:val="006D3E96"/>
    <w:rsid w:val="006D4515"/>
    <w:rsid w:val="006D4BB1"/>
    <w:rsid w:val="006D4D58"/>
    <w:rsid w:val="006D6593"/>
    <w:rsid w:val="006D7C9E"/>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4728"/>
    <w:rsid w:val="006F6265"/>
    <w:rsid w:val="006F6284"/>
    <w:rsid w:val="006F69AC"/>
    <w:rsid w:val="007002C5"/>
    <w:rsid w:val="00701ED8"/>
    <w:rsid w:val="00702684"/>
    <w:rsid w:val="0070389A"/>
    <w:rsid w:val="0070425D"/>
    <w:rsid w:val="00704332"/>
    <w:rsid w:val="00704387"/>
    <w:rsid w:val="00706362"/>
    <w:rsid w:val="00706CA3"/>
    <w:rsid w:val="00707669"/>
    <w:rsid w:val="00710075"/>
    <w:rsid w:val="00711CBA"/>
    <w:rsid w:val="00711FB5"/>
    <w:rsid w:val="00712A01"/>
    <w:rsid w:val="0071363F"/>
    <w:rsid w:val="00714F58"/>
    <w:rsid w:val="00715B4B"/>
    <w:rsid w:val="00715EF1"/>
    <w:rsid w:val="00716092"/>
    <w:rsid w:val="0071639C"/>
    <w:rsid w:val="007215BD"/>
    <w:rsid w:val="00721B4E"/>
    <w:rsid w:val="00722EA9"/>
    <w:rsid w:val="00722FBF"/>
    <w:rsid w:val="00722FC2"/>
    <w:rsid w:val="00723511"/>
    <w:rsid w:val="00723C9C"/>
    <w:rsid w:val="00724E1B"/>
    <w:rsid w:val="0072577F"/>
    <w:rsid w:val="00725949"/>
    <w:rsid w:val="00725BA5"/>
    <w:rsid w:val="00726043"/>
    <w:rsid w:val="00726E8E"/>
    <w:rsid w:val="00727D27"/>
    <w:rsid w:val="00727FA2"/>
    <w:rsid w:val="007322D9"/>
    <w:rsid w:val="00732BC0"/>
    <w:rsid w:val="007330B0"/>
    <w:rsid w:val="007331C5"/>
    <w:rsid w:val="007360E8"/>
    <w:rsid w:val="007367BD"/>
    <w:rsid w:val="0073720F"/>
    <w:rsid w:val="007374E8"/>
    <w:rsid w:val="00737796"/>
    <w:rsid w:val="0074165C"/>
    <w:rsid w:val="00741E65"/>
    <w:rsid w:val="00741FF1"/>
    <w:rsid w:val="00742C35"/>
    <w:rsid w:val="007432CA"/>
    <w:rsid w:val="007439EB"/>
    <w:rsid w:val="00743CB4"/>
    <w:rsid w:val="00743F0A"/>
    <w:rsid w:val="0074403D"/>
    <w:rsid w:val="007444E8"/>
    <w:rsid w:val="0074548E"/>
    <w:rsid w:val="00745648"/>
    <w:rsid w:val="00745773"/>
    <w:rsid w:val="00746800"/>
    <w:rsid w:val="007500C5"/>
    <w:rsid w:val="007501A8"/>
    <w:rsid w:val="00750D61"/>
    <w:rsid w:val="00750EE1"/>
    <w:rsid w:val="00751D99"/>
    <w:rsid w:val="00752550"/>
    <w:rsid w:val="00752B4D"/>
    <w:rsid w:val="00752F38"/>
    <w:rsid w:val="00755395"/>
    <w:rsid w:val="00755402"/>
    <w:rsid w:val="00756B26"/>
    <w:rsid w:val="00756EDF"/>
    <w:rsid w:val="00757330"/>
    <w:rsid w:val="0075796E"/>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1A63"/>
    <w:rsid w:val="00773C1F"/>
    <w:rsid w:val="00774DA4"/>
    <w:rsid w:val="00774EF0"/>
    <w:rsid w:val="00775037"/>
    <w:rsid w:val="00776053"/>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3DEA"/>
    <w:rsid w:val="007A41C8"/>
    <w:rsid w:val="007A448B"/>
    <w:rsid w:val="007A4561"/>
    <w:rsid w:val="007A54CE"/>
    <w:rsid w:val="007A6FD9"/>
    <w:rsid w:val="007A7FFA"/>
    <w:rsid w:val="007B04EB"/>
    <w:rsid w:val="007B0D4F"/>
    <w:rsid w:val="007B57F3"/>
    <w:rsid w:val="007B5A3D"/>
    <w:rsid w:val="007B5B95"/>
    <w:rsid w:val="007B68EA"/>
    <w:rsid w:val="007B7453"/>
    <w:rsid w:val="007B7A06"/>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4178"/>
    <w:rsid w:val="007E6A72"/>
    <w:rsid w:val="007E74D0"/>
    <w:rsid w:val="007F0ED8"/>
    <w:rsid w:val="007F0F63"/>
    <w:rsid w:val="007F16D5"/>
    <w:rsid w:val="007F3C48"/>
    <w:rsid w:val="007F59C6"/>
    <w:rsid w:val="007F656E"/>
    <w:rsid w:val="007F6894"/>
    <w:rsid w:val="007F6F6B"/>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07EF7"/>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2F2"/>
    <w:rsid w:val="008228F0"/>
    <w:rsid w:val="00823303"/>
    <w:rsid w:val="008233B2"/>
    <w:rsid w:val="00823A9F"/>
    <w:rsid w:val="00823C85"/>
    <w:rsid w:val="00825138"/>
    <w:rsid w:val="008253CB"/>
    <w:rsid w:val="008258DC"/>
    <w:rsid w:val="00826900"/>
    <w:rsid w:val="008269DD"/>
    <w:rsid w:val="00826E27"/>
    <w:rsid w:val="00827D94"/>
    <w:rsid w:val="00827FAD"/>
    <w:rsid w:val="00830621"/>
    <w:rsid w:val="008332B6"/>
    <w:rsid w:val="0083348C"/>
    <w:rsid w:val="00834D63"/>
    <w:rsid w:val="00834EA0"/>
    <w:rsid w:val="008373D3"/>
    <w:rsid w:val="00840353"/>
    <w:rsid w:val="00840617"/>
    <w:rsid w:val="00840982"/>
    <w:rsid w:val="00840F84"/>
    <w:rsid w:val="00842A47"/>
    <w:rsid w:val="00842A7F"/>
    <w:rsid w:val="0084369B"/>
    <w:rsid w:val="00843C13"/>
    <w:rsid w:val="00843F36"/>
    <w:rsid w:val="00844B61"/>
    <w:rsid w:val="008454F8"/>
    <w:rsid w:val="00845781"/>
    <w:rsid w:val="00846E07"/>
    <w:rsid w:val="0085173A"/>
    <w:rsid w:val="0085418C"/>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907"/>
    <w:rsid w:val="00877BA5"/>
    <w:rsid w:val="00880805"/>
    <w:rsid w:val="008818C1"/>
    <w:rsid w:val="00881B47"/>
    <w:rsid w:val="0088227D"/>
    <w:rsid w:val="00883F93"/>
    <w:rsid w:val="00884DB3"/>
    <w:rsid w:val="00885A9D"/>
    <w:rsid w:val="008860F7"/>
    <w:rsid w:val="008864F6"/>
    <w:rsid w:val="00886D03"/>
    <w:rsid w:val="00886EF0"/>
    <w:rsid w:val="0088759F"/>
    <w:rsid w:val="00887AC4"/>
    <w:rsid w:val="00887BD5"/>
    <w:rsid w:val="0089049D"/>
    <w:rsid w:val="00891127"/>
    <w:rsid w:val="008911E7"/>
    <w:rsid w:val="00891CC5"/>
    <w:rsid w:val="00892171"/>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0FF7"/>
    <w:rsid w:val="008C1797"/>
    <w:rsid w:val="008C219C"/>
    <w:rsid w:val="008C2749"/>
    <w:rsid w:val="008C2939"/>
    <w:rsid w:val="008C475E"/>
    <w:rsid w:val="008C560E"/>
    <w:rsid w:val="008C619A"/>
    <w:rsid w:val="008C715B"/>
    <w:rsid w:val="008C7FF5"/>
    <w:rsid w:val="008D0CE8"/>
    <w:rsid w:val="008D1EF1"/>
    <w:rsid w:val="008D2D1D"/>
    <w:rsid w:val="008D37F4"/>
    <w:rsid w:val="008D453D"/>
    <w:rsid w:val="008D4580"/>
    <w:rsid w:val="008D496B"/>
    <w:rsid w:val="008D53AD"/>
    <w:rsid w:val="008D562B"/>
    <w:rsid w:val="008D5733"/>
    <w:rsid w:val="008D5D58"/>
    <w:rsid w:val="008D622B"/>
    <w:rsid w:val="008D666C"/>
    <w:rsid w:val="008D7B54"/>
    <w:rsid w:val="008E044E"/>
    <w:rsid w:val="008E0C9D"/>
    <w:rsid w:val="008E1081"/>
    <w:rsid w:val="008E1648"/>
    <w:rsid w:val="008E17EF"/>
    <w:rsid w:val="008E1B3E"/>
    <w:rsid w:val="008E2319"/>
    <w:rsid w:val="008E27FF"/>
    <w:rsid w:val="008E36CB"/>
    <w:rsid w:val="008E4A11"/>
    <w:rsid w:val="008E4B31"/>
    <w:rsid w:val="008E4BB6"/>
    <w:rsid w:val="008E5518"/>
    <w:rsid w:val="008E6A84"/>
    <w:rsid w:val="008E6B5B"/>
    <w:rsid w:val="008E753A"/>
    <w:rsid w:val="008E7BE9"/>
    <w:rsid w:val="008F00CF"/>
    <w:rsid w:val="008F0CDC"/>
    <w:rsid w:val="008F11DD"/>
    <w:rsid w:val="008F17A3"/>
    <w:rsid w:val="008F1ED3"/>
    <w:rsid w:val="008F4C29"/>
    <w:rsid w:val="008F4F0C"/>
    <w:rsid w:val="008F6A78"/>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352"/>
    <w:rsid w:val="00911BE5"/>
    <w:rsid w:val="009129EE"/>
    <w:rsid w:val="00913CA9"/>
    <w:rsid w:val="009145AE"/>
    <w:rsid w:val="009146CE"/>
    <w:rsid w:val="00914CA7"/>
    <w:rsid w:val="00915AB6"/>
    <w:rsid w:val="00915C3E"/>
    <w:rsid w:val="00915E4E"/>
    <w:rsid w:val="009161A8"/>
    <w:rsid w:val="00916554"/>
    <w:rsid w:val="00916EAD"/>
    <w:rsid w:val="00920113"/>
    <w:rsid w:val="00920F88"/>
    <w:rsid w:val="00923395"/>
    <w:rsid w:val="00923743"/>
    <w:rsid w:val="009245F5"/>
    <w:rsid w:val="009246D6"/>
    <w:rsid w:val="009249EC"/>
    <w:rsid w:val="00925986"/>
    <w:rsid w:val="009268A5"/>
    <w:rsid w:val="00926BBF"/>
    <w:rsid w:val="00926C1E"/>
    <w:rsid w:val="00926D51"/>
    <w:rsid w:val="009273B3"/>
    <w:rsid w:val="00930352"/>
    <w:rsid w:val="009305B5"/>
    <w:rsid w:val="00930AB3"/>
    <w:rsid w:val="00932138"/>
    <w:rsid w:val="0093247D"/>
    <w:rsid w:val="009373AF"/>
    <w:rsid w:val="00941327"/>
    <w:rsid w:val="0094145D"/>
    <w:rsid w:val="00942054"/>
    <w:rsid w:val="009429D5"/>
    <w:rsid w:val="00942BF1"/>
    <w:rsid w:val="00945180"/>
    <w:rsid w:val="00945428"/>
    <w:rsid w:val="0094607B"/>
    <w:rsid w:val="0094676F"/>
    <w:rsid w:val="00946C73"/>
    <w:rsid w:val="00950F6F"/>
    <w:rsid w:val="00951E98"/>
    <w:rsid w:val="00952A75"/>
    <w:rsid w:val="00953604"/>
    <w:rsid w:val="00953CD0"/>
    <w:rsid w:val="0095470E"/>
    <w:rsid w:val="0095496B"/>
    <w:rsid w:val="0095541C"/>
    <w:rsid w:val="0095598A"/>
    <w:rsid w:val="00955EC4"/>
    <w:rsid w:val="00956CCF"/>
    <w:rsid w:val="00957315"/>
    <w:rsid w:val="00957D5C"/>
    <w:rsid w:val="00960768"/>
    <w:rsid w:val="00960891"/>
    <w:rsid w:val="009610DC"/>
    <w:rsid w:val="009611C8"/>
    <w:rsid w:val="009613C7"/>
    <w:rsid w:val="00961490"/>
    <w:rsid w:val="0096381A"/>
    <w:rsid w:val="00963D65"/>
    <w:rsid w:val="00964176"/>
    <w:rsid w:val="00964A1E"/>
    <w:rsid w:val="009655DF"/>
    <w:rsid w:val="00965E04"/>
    <w:rsid w:val="009674AD"/>
    <w:rsid w:val="00970CDC"/>
    <w:rsid w:val="00972840"/>
    <w:rsid w:val="00973721"/>
    <w:rsid w:val="00973820"/>
    <w:rsid w:val="00977010"/>
    <w:rsid w:val="00977758"/>
    <w:rsid w:val="00977865"/>
    <w:rsid w:val="00977A39"/>
    <w:rsid w:val="00977D02"/>
    <w:rsid w:val="0098007B"/>
    <w:rsid w:val="0098050A"/>
    <w:rsid w:val="009809BB"/>
    <w:rsid w:val="00983013"/>
    <w:rsid w:val="0098364B"/>
    <w:rsid w:val="00983D8F"/>
    <w:rsid w:val="00985476"/>
    <w:rsid w:val="00986EF8"/>
    <w:rsid w:val="00987317"/>
    <w:rsid w:val="009904FB"/>
    <w:rsid w:val="00990851"/>
    <w:rsid w:val="009910D5"/>
    <w:rsid w:val="009911AF"/>
    <w:rsid w:val="0099133F"/>
    <w:rsid w:val="00991875"/>
    <w:rsid w:val="00991F92"/>
    <w:rsid w:val="009922C9"/>
    <w:rsid w:val="00992985"/>
    <w:rsid w:val="00992A9C"/>
    <w:rsid w:val="00992FCC"/>
    <w:rsid w:val="009933A5"/>
    <w:rsid w:val="00993889"/>
    <w:rsid w:val="0099551B"/>
    <w:rsid w:val="00996872"/>
    <w:rsid w:val="00997BF1"/>
    <w:rsid w:val="00997F65"/>
    <w:rsid w:val="00997FDF"/>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7E7"/>
    <w:rsid w:val="009B6029"/>
    <w:rsid w:val="009B6971"/>
    <w:rsid w:val="009C018D"/>
    <w:rsid w:val="009C1E30"/>
    <w:rsid w:val="009C27F1"/>
    <w:rsid w:val="009C3152"/>
    <w:rsid w:val="009C4349"/>
    <w:rsid w:val="009C4CFA"/>
    <w:rsid w:val="009C5070"/>
    <w:rsid w:val="009D112C"/>
    <w:rsid w:val="009D17E9"/>
    <w:rsid w:val="009D196C"/>
    <w:rsid w:val="009D21AB"/>
    <w:rsid w:val="009D2665"/>
    <w:rsid w:val="009D2FC9"/>
    <w:rsid w:val="009D3281"/>
    <w:rsid w:val="009D440C"/>
    <w:rsid w:val="009D47FA"/>
    <w:rsid w:val="009D4C5B"/>
    <w:rsid w:val="009D50AE"/>
    <w:rsid w:val="009D50D2"/>
    <w:rsid w:val="009D6BCA"/>
    <w:rsid w:val="009E0F62"/>
    <w:rsid w:val="009E1688"/>
    <w:rsid w:val="009E3A73"/>
    <w:rsid w:val="009E4272"/>
    <w:rsid w:val="009E4A58"/>
    <w:rsid w:val="009E5A2D"/>
    <w:rsid w:val="009E5AB2"/>
    <w:rsid w:val="009E6219"/>
    <w:rsid w:val="009E67B1"/>
    <w:rsid w:val="009E7A9E"/>
    <w:rsid w:val="009E7AA9"/>
    <w:rsid w:val="009E7CCD"/>
    <w:rsid w:val="009F008F"/>
    <w:rsid w:val="009F03B3"/>
    <w:rsid w:val="009F272A"/>
    <w:rsid w:val="009F2CCD"/>
    <w:rsid w:val="009F37DB"/>
    <w:rsid w:val="009F3883"/>
    <w:rsid w:val="009F621C"/>
    <w:rsid w:val="00A0096C"/>
    <w:rsid w:val="00A0148B"/>
    <w:rsid w:val="00A01757"/>
    <w:rsid w:val="00A028C0"/>
    <w:rsid w:val="00A02BAE"/>
    <w:rsid w:val="00A02F1E"/>
    <w:rsid w:val="00A03A15"/>
    <w:rsid w:val="00A0576C"/>
    <w:rsid w:val="00A0595A"/>
    <w:rsid w:val="00A06A6B"/>
    <w:rsid w:val="00A06DA8"/>
    <w:rsid w:val="00A06F91"/>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608"/>
    <w:rsid w:val="00A179C3"/>
    <w:rsid w:val="00A2104C"/>
    <w:rsid w:val="00A2271D"/>
    <w:rsid w:val="00A237D5"/>
    <w:rsid w:val="00A2440A"/>
    <w:rsid w:val="00A300EF"/>
    <w:rsid w:val="00A30EFC"/>
    <w:rsid w:val="00A31984"/>
    <w:rsid w:val="00A31F8B"/>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6557"/>
    <w:rsid w:val="00A56C17"/>
    <w:rsid w:val="00A57142"/>
    <w:rsid w:val="00A60664"/>
    <w:rsid w:val="00A6188D"/>
    <w:rsid w:val="00A6198A"/>
    <w:rsid w:val="00A623ED"/>
    <w:rsid w:val="00A6285E"/>
    <w:rsid w:val="00A6311D"/>
    <w:rsid w:val="00A633B6"/>
    <w:rsid w:val="00A64667"/>
    <w:rsid w:val="00A648CD"/>
    <w:rsid w:val="00A6537A"/>
    <w:rsid w:val="00A65CB0"/>
    <w:rsid w:val="00A67072"/>
    <w:rsid w:val="00A673CD"/>
    <w:rsid w:val="00A67838"/>
    <w:rsid w:val="00A67866"/>
    <w:rsid w:val="00A70B07"/>
    <w:rsid w:val="00A70E56"/>
    <w:rsid w:val="00A71536"/>
    <w:rsid w:val="00A72050"/>
    <w:rsid w:val="00A723F8"/>
    <w:rsid w:val="00A74062"/>
    <w:rsid w:val="00A74C65"/>
    <w:rsid w:val="00A76BCA"/>
    <w:rsid w:val="00A77CCB"/>
    <w:rsid w:val="00A8113A"/>
    <w:rsid w:val="00A829AB"/>
    <w:rsid w:val="00A83D8D"/>
    <w:rsid w:val="00A8446B"/>
    <w:rsid w:val="00A8473F"/>
    <w:rsid w:val="00A84C10"/>
    <w:rsid w:val="00A858A2"/>
    <w:rsid w:val="00A861D5"/>
    <w:rsid w:val="00A862D6"/>
    <w:rsid w:val="00A863D5"/>
    <w:rsid w:val="00A8715E"/>
    <w:rsid w:val="00A90222"/>
    <w:rsid w:val="00A90E63"/>
    <w:rsid w:val="00A90EED"/>
    <w:rsid w:val="00A9295B"/>
    <w:rsid w:val="00A93465"/>
    <w:rsid w:val="00A936AC"/>
    <w:rsid w:val="00A93B09"/>
    <w:rsid w:val="00A95277"/>
    <w:rsid w:val="00A952D7"/>
    <w:rsid w:val="00A954C9"/>
    <w:rsid w:val="00A95DE7"/>
    <w:rsid w:val="00A963F7"/>
    <w:rsid w:val="00A96AD8"/>
    <w:rsid w:val="00A97403"/>
    <w:rsid w:val="00A978DD"/>
    <w:rsid w:val="00A97B62"/>
    <w:rsid w:val="00AA052C"/>
    <w:rsid w:val="00AA0A8F"/>
    <w:rsid w:val="00AA178E"/>
    <w:rsid w:val="00AA1E45"/>
    <w:rsid w:val="00AA3644"/>
    <w:rsid w:val="00AA4286"/>
    <w:rsid w:val="00AA42DF"/>
    <w:rsid w:val="00AA456B"/>
    <w:rsid w:val="00AA57F5"/>
    <w:rsid w:val="00AA59F5"/>
    <w:rsid w:val="00AA672E"/>
    <w:rsid w:val="00AA68C7"/>
    <w:rsid w:val="00AA6EC9"/>
    <w:rsid w:val="00AA7508"/>
    <w:rsid w:val="00AA7A44"/>
    <w:rsid w:val="00AB025E"/>
    <w:rsid w:val="00AB5940"/>
    <w:rsid w:val="00AB6309"/>
    <w:rsid w:val="00AB6C5F"/>
    <w:rsid w:val="00AB7129"/>
    <w:rsid w:val="00AC0860"/>
    <w:rsid w:val="00AC0F05"/>
    <w:rsid w:val="00AC0FD4"/>
    <w:rsid w:val="00AC1FB5"/>
    <w:rsid w:val="00AC27A6"/>
    <w:rsid w:val="00AC30F7"/>
    <w:rsid w:val="00AC3A5A"/>
    <w:rsid w:val="00AC4B3C"/>
    <w:rsid w:val="00AC4D95"/>
    <w:rsid w:val="00AC4EF7"/>
    <w:rsid w:val="00AC5DF4"/>
    <w:rsid w:val="00AC726C"/>
    <w:rsid w:val="00AD0AEF"/>
    <w:rsid w:val="00AD0EAF"/>
    <w:rsid w:val="00AD11B7"/>
    <w:rsid w:val="00AD1A94"/>
    <w:rsid w:val="00AD1C05"/>
    <w:rsid w:val="00AD1EBD"/>
    <w:rsid w:val="00AD4126"/>
    <w:rsid w:val="00AD421C"/>
    <w:rsid w:val="00AD44FA"/>
    <w:rsid w:val="00AD4AF6"/>
    <w:rsid w:val="00AD53CF"/>
    <w:rsid w:val="00AD5BA0"/>
    <w:rsid w:val="00AD61BF"/>
    <w:rsid w:val="00AD6E81"/>
    <w:rsid w:val="00AE070A"/>
    <w:rsid w:val="00AE0ACF"/>
    <w:rsid w:val="00AE101C"/>
    <w:rsid w:val="00AE37E5"/>
    <w:rsid w:val="00AE4A86"/>
    <w:rsid w:val="00AE55D6"/>
    <w:rsid w:val="00AE56A6"/>
    <w:rsid w:val="00AE5EB4"/>
    <w:rsid w:val="00AE7EFD"/>
    <w:rsid w:val="00AF0C18"/>
    <w:rsid w:val="00AF0FE3"/>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07832"/>
    <w:rsid w:val="00B10534"/>
    <w:rsid w:val="00B10E11"/>
    <w:rsid w:val="00B113DB"/>
    <w:rsid w:val="00B118E5"/>
    <w:rsid w:val="00B11D8A"/>
    <w:rsid w:val="00B12800"/>
    <w:rsid w:val="00B12981"/>
    <w:rsid w:val="00B12B2E"/>
    <w:rsid w:val="00B130C7"/>
    <w:rsid w:val="00B147DD"/>
    <w:rsid w:val="00B15573"/>
    <w:rsid w:val="00B156FD"/>
    <w:rsid w:val="00B15B4D"/>
    <w:rsid w:val="00B161F8"/>
    <w:rsid w:val="00B21F61"/>
    <w:rsid w:val="00B22AA8"/>
    <w:rsid w:val="00B23AFE"/>
    <w:rsid w:val="00B242F9"/>
    <w:rsid w:val="00B261F1"/>
    <w:rsid w:val="00B265BC"/>
    <w:rsid w:val="00B26AE7"/>
    <w:rsid w:val="00B303B0"/>
    <w:rsid w:val="00B31FB1"/>
    <w:rsid w:val="00B33952"/>
    <w:rsid w:val="00B33C5E"/>
    <w:rsid w:val="00B342F4"/>
    <w:rsid w:val="00B34369"/>
    <w:rsid w:val="00B34753"/>
    <w:rsid w:val="00B34BC5"/>
    <w:rsid w:val="00B34DC2"/>
    <w:rsid w:val="00B357BB"/>
    <w:rsid w:val="00B36339"/>
    <w:rsid w:val="00B375B7"/>
    <w:rsid w:val="00B378E5"/>
    <w:rsid w:val="00B37DE4"/>
    <w:rsid w:val="00B40855"/>
    <w:rsid w:val="00B40A82"/>
    <w:rsid w:val="00B41ECE"/>
    <w:rsid w:val="00B42462"/>
    <w:rsid w:val="00B4346D"/>
    <w:rsid w:val="00B440F4"/>
    <w:rsid w:val="00B447A5"/>
    <w:rsid w:val="00B44C54"/>
    <w:rsid w:val="00B4525E"/>
    <w:rsid w:val="00B45C7A"/>
    <w:rsid w:val="00B46028"/>
    <w:rsid w:val="00B4654C"/>
    <w:rsid w:val="00B46F0C"/>
    <w:rsid w:val="00B47293"/>
    <w:rsid w:val="00B507AD"/>
    <w:rsid w:val="00B50E50"/>
    <w:rsid w:val="00B515D1"/>
    <w:rsid w:val="00B52003"/>
    <w:rsid w:val="00B52120"/>
    <w:rsid w:val="00B5271A"/>
    <w:rsid w:val="00B52AAA"/>
    <w:rsid w:val="00B52D9D"/>
    <w:rsid w:val="00B52EB7"/>
    <w:rsid w:val="00B53B51"/>
    <w:rsid w:val="00B54ABC"/>
    <w:rsid w:val="00B554BE"/>
    <w:rsid w:val="00B55D24"/>
    <w:rsid w:val="00B56B63"/>
    <w:rsid w:val="00B56FBE"/>
    <w:rsid w:val="00B579DD"/>
    <w:rsid w:val="00B60745"/>
    <w:rsid w:val="00B60ACF"/>
    <w:rsid w:val="00B618FB"/>
    <w:rsid w:val="00B62B58"/>
    <w:rsid w:val="00B63404"/>
    <w:rsid w:val="00B6381F"/>
    <w:rsid w:val="00B638EF"/>
    <w:rsid w:val="00B64428"/>
    <w:rsid w:val="00B64B5F"/>
    <w:rsid w:val="00B65149"/>
    <w:rsid w:val="00B65407"/>
    <w:rsid w:val="00B65A89"/>
    <w:rsid w:val="00B66567"/>
    <w:rsid w:val="00B66F52"/>
    <w:rsid w:val="00B66FE5"/>
    <w:rsid w:val="00B6762B"/>
    <w:rsid w:val="00B67B95"/>
    <w:rsid w:val="00B72880"/>
    <w:rsid w:val="00B73891"/>
    <w:rsid w:val="00B7450B"/>
    <w:rsid w:val="00B74A70"/>
    <w:rsid w:val="00B7546F"/>
    <w:rsid w:val="00B758BF"/>
    <w:rsid w:val="00B77EC8"/>
    <w:rsid w:val="00B80657"/>
    <w:rsid w:val="00B80D4B"/>
    <w:rsid w:val="00B81FD5"/>
    <w:rsid w:val="00B82550"/>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4D24"/>
    <w:rsid w:val="00B95DE5"/>
    <w:rsid w:val="00B968D3"/>
    <w:rsid w:val="00B96D40"/>
    <w:rsid w:val="00B9704E"/>
    <w:rsid w:val="00B971D1"/>
    <w:rsid w:val="00B97386"/>
    <w:rsid w:val="00BA263B"/>
    <w:rsid w:val="00BA2731"/>
    <w:rsid w:val="00BA3E1F"/>
    <w:rsid w:val="00BA41F1"/>
    <w:rsid w:val="00BA42B2"/>
    <w:rsid w:val="00BA5518"/>
    <w:rsid w:val="00BA58D4"/>
    <w:rsid w:val="00BA5A11"/>
    <w:rsid w:val="00BA5B9E"/>
    <w:rsid w:val="00BA6367"/>
    <w:rsid w:val="00BA65DE"/>
    <w:rsid w:val="00BA6A4F"/>
    <w:rsid w:val="00BA6A50"/>
    <w:rsid w:val="00BA7496"/>
    <w:rsid w:val="00BA7C9A"/>
    <w:rsid w:val="00BB0B96"/>
    <w:rsid w:val="00BB2E9D"/>
    <w:rsid w:val="00BB347E"/>
    <w:rsid w:val="00BB3A80"/>
    <w:rsid w:val="00BB3BB3"/>
    <w:rsid w:val="00BB469B"/>
    <w:rsid w:val="00BB482C"/>
    <w:rsid w:val="00BB5F8F"/>
    <w:rsid w:val="00BB633F"/>
    <w:rsid w:val="00BB6500"/>
    <w:rsid w:val="00BB657A"/>
    <w:rsid w:val="00BB6778"/>
    <w:rsid w:val="00BC1A4E"/>
    <w:rsid w:val="00BC1CFD"/>
    <w:rsid w:val="00BC2FDE"/>
    <w:rsid w:val="00BC3C05"/>
    <w:rsid w:val="00BC559C"/>
    <w:rsid w:val="00BC5DC7"/>
    <w:rsid w:val="00BC6B8B"/>
    <w:rsid w:val="00BC73D8"/>
    <w:rsid w:val="00BD0867"/>
    <w:rsid w:val="00BD415F"/>
    <w:rsid w:val="00BD516E"/>
    <w:rsid w:val="00BD52D7"/>
    <w:rsid w:val="00BD5AD2"/>
    <w:rsid w:val="00BD5EA5"/>
    <w:rsid w:val="00BD78CA"/>
    <w:rsid w:val="00BD7AA0"/>
    <w:rsid w:val="00BE22F3"/>
    <w:rsid w:val="00BE4040"/>
    <w:rsid w:val="00BE4764"/>
    <w:rsid w:val="00BE5254"/>
    <w:rsid w:val="00BE58C0"/>
    <w:rsid w:val="00BE5B52"/>
    <w:rsid w:val="00BE7025"/>
    <w:rsid w:val="00BE7B8D"/>
    <w:rsid w:val="00BF0993"/>
    <w:rsid w:val="00BF10A9"/>
    <w:rsid w:val="00BF1703"/>
    <w:rsid w:val="00BF19AD"/>
    <w:rsid w:val="00BF231C"/>
    <w:rsid w:val="00BF27EA"/>
    <w:rsid w:val="00BF3D4C"/>
    <w:rsid w:val="00BF3DFA"/>
    <w:rsid w:val="00BF51E5"/>
    <w:rsid w:val="00BF555F"/>
    <w:rsid w:val="00BF74A6"/>
    <w:rsid w:val="00BF7E36"/>
    <w:rsid w:val="00C00C2E"/>
    <w:rsid w:val="00C013AD"/>
    <w:rsid w:val="00C01E64"/>
    <w:rsid w:val="00C0222E"/>
    <w:rsid w:val="00C04904"/>
    <w:rsid w:val="00C056B3"/>
    <w:rsid w:val="00C060FF"/>
    <w:rsid w:val="00C07685"/>
    <w:rsid w:val="00C103E5"/>
    <w:rsid w:val="00C13319"/>
    <w:rsid w:val="00C13EE9"/>
    <w:rsid w:val="00C14563"/>
    <w:rsid w:val="00C147D6"/>
    <w:rsid w:val="00C15C0D"/>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06D"/>
    <w:rsid w:val="00C35A3E"/>
    <w:rsid w:val="00C372FB"/>
    <w:rsid w:val="00C3757D"/>
    <w:rsid w:val="00C40694"/>
    <w:rsid w:val="00C42130"/>
    <w:rsid w:val="00C423A4"/>
    <w:rsid w:val="00C43288"/>
    <w:rsid w:val="00C445AC"/>
    <w:rsid w:val="00C44BF5"/>
    <w:rsid w:val="00C45224"/>
    <w:rsid w:val="00C50950"/>
    <w:rsid w:val="00C51A08"/>
    <w:rsid w:val="00C51BD0"/>
    <w:rsid w:val="00C51E1E"/>
    <w:rsid w:val="00C521D6"/>
    <w:rsid w:val="00C537DD"/>
    <w:rsid w:val="00C5449E"/>
    <w:rsid w:val="00C55232"/>
    <w:rsid w:val="00C553A4"/>
    <w:rsid w:val="00C55A06"/>
    <w:rsid w:val="00C55A46"/>
    <w:rsid w:val="00C55D03"/>
    <w:rsid w:val="00C561B2"/>
    <w:rsid w:val="00C56FDC"/>
    <w:rsid w:val="00C579B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28DC"/>
    <w:rsid w:val="00C83624"/>
    <w:rsid w:val="00C84E33"/>
    <w:rsid w:val="00C86D6F"/>
    <w:rsid w:val="00C86D71"/>
    <w:rsid w:val="00C8795B"/>
    <w:rsid w:val="00C87C7B"/>
    <w:rsid w:val="00C900D3"/>
    <w:rsid w:val="00C905FC"/>
    <w:rsid w:val="00C9174C"/>
    <w:rsid w:val="00C92D03"/>
    <w:rsid w:val="00C9319C"/>
    <w:rsid w:val="00C93B26"/>
    <w:rsid w:val="00C9435D"/>
    <w:rsid w:val="00C94DF2"/>
    <w:rsid w:val="00C95179"/>
    <w:rsid w:val="00C96741"/>
    <w:rsid w:val="00C96AC7"/>
    <w:rsid w:val="00C9729F"/>
    <w:rsid w:val="00C97CAE"/>
    <w:rsid w:val="00CA00D1"/>
    <w:rsid w:val="00CA03E4"/>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24C"/>
    <w:rsid w:val="00CB7BE4"/>
    <w:rsid w:val="00CC038D"/>
    <w:rsid w:val="00CC08DB"/>
    <w:rsid w:val="00CC39FF"/>
    <w:rsid w:val="00CC3C2F"/>
    <w:rsid w:val="00CC428C"/>
    <w:rsid w:val="00CC4AC8"/>
    <w:rsid w:val="00CC5233"/>
    <w:rsid w:val="00CC5DE6"/>
    <w:rsid w:val="00CC6E4E"/>
    <w:rsid w:val="00CC6FE8"/>
    <w:rsid w:val="00CC7179"/>
    <w:rsid w:val="00CC7202"/>
    <w:rsid w:val="00CC7A37"/>
    <w:rsid w:val="00CC7C35"/>
    <w:rsid w:val="00CD0FCA"/>
    <w:rsid w:val="00CD2808"/>
    <w:rsid w:val="00CD28BF"/>
    <w:rsid w:val="00CD3A73"/>
    <w:rsid w:val="00CD3AA0"/>
    <w:rsid w:val="00CD3CB2"/>
    <w:rsid w:val="00CD4092"/>
    <w:rsid w:val="00CD45B2"/>
    <w:rsid w:val="00CD4A20"/>
    <w:rsid w:val="00CD50A1"/>
    <w:rsid w:val="00CD519E"/>
    <w:rsid w:val="00CD5418"/>
    <w:rsid w:val="00CD5806"/>
    <w:rsid w:val="00CD6248"/>
    <w:rsid w:val="00CE0C4F"/>
    <w:rsid w:val="00CE30EA"/>
    <w:rsid w:val="00CE5F3D"/>
    <w:rsid w:val="00CE6C2C"/>
    <w:rsid w:val="00CF0354"/>
    <w:rsid w:val="00CF048A"/>
    <w:rsid w:val="00CF155A"/>
    <w:rsid w:val="00CF2947"/>
    <w:rsid w:val="00CF3684"/>
    <w:rsid w:val="00CF3B11"/>
    <w:rsid w:val="00CF3FEC"/>
    <w:rsid w:val="00CF49F0"/>
    <w:rsid w:val="00CF5396"/>
    <w:rsid w:val="00CF60F8"/>
    <w:rsid w:val="00CF686F"/>
    <w:rsid w:val="00CF6E60"/>
    <w:rsid w:val="00CF77DB"/>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D4C"/>
    <w:rsid w:val="00D27EC4"/>
    <w:rsid w:val="00D30CD0"/>
    <w:rsid w:val="00D32719"/>
    <w:rsid w:val="00D32F8D"/>
    <w:rsid w:val="00D33333"/>
    <w:rsid w:val="00D33C68"/>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D84"/>
    <w:rsid w:val="00D53F35"/>
    <w:rsid w:val="00D54D4D"/>
    <w:rsid w:val="00D560CB"/>
    <w:rsid w:val="00D56896"/>
    <w:rsid w:val="00D5743E"/>
    <w:rsid w:val="00D603E5"/>
    <w:rsid w:val="00D6078A"/>
    <w:rsid w:val="00D60A18"/>
    <w:rsid w:val="00D614D9"/>
    <w:rsid w:val="00D61B24"/>
    <w:rsid w:val="00D63D2A"/>
    <w:rsid w:val="00D66519"/>
    <w:rsid w:val="00D6655C"/>
    <w:rsid w:val="00D66846"/>
    <w:rsid w:val="00D675FB"/>
    <w:rsid w:val="00D707EA"/>
    <w:rsid w:val="00D71F25"/>
    <w:rsid w:val="00D72A9C"/>
    <w:rsid w:val="00D75F75"/>
    <w:rsid w:val="00D766E2"/>
    <w:rsid w:val="00D77031"/>
    <w:rsid w:val="00D774AF"/>
    <w:rsid w:val="00D830BE"/>
    <w:rsid w:val="00D83706"/>
    <w:rsid w:val="00D83915"/>
    <w:rsid w:val="00D83B78"/>
    <w:rsid w:val="00D84578"/>
    <w:rsid w:val="00D847F1"/>
    <w:rsid w:val="00D84941"/>
    <w:rsid w:val="00D84A44"/>
    <w:rsid w:val="00D84FA1"/>
    <w:rsid w:val="00D851F0"/>
    <w:rsid w:val="00D86DB7"/>
    <w:rsid w:val="00D87A91"/>
    <w:rsid w:val="00D926D0"/>
    <w:rsid w:val="00D92EE5"/>
    <w:rsid w:val="00D93030"/>
    <w:rsid w:val="00D93FF0"/>
    <w:rsid w:val="00D950E1"/>
    <w:rsid w:val="00D95174"/>
    <w:rsid w:val="00D952A6"/>
    <w:rsid w:val="00D95678"/>
    <w:rsid w:val="00D95F4C"/>
    <w:rsid w:val="00D96166"/>
    <w:rsid w:val="00D97212"/>
    <w:rsid w:val="00D97319"/>
    <w:rsid w:val="00D97AA0"/>
    <w:rsid w:val="00D97F1C"/>
    <w:rsid w:val="00D97F5F"/>
    <w:rsid w:val="00D97F99"/>
    <w:rsid w:val="00DA02E0"/>
    <w:rsid w:val="00DA0B19"/>
    <w:rsid w:val="00DA0C3C"/>
    <w:rsid w:val="00DA1E08"/>
    <w:rsid w:val="00DA24F8"/>
    <w:rsid w:val="00DA250B"/>
    <w:rsid w:val="00DA28E8"/>
    <w:rsid w:val="00DA38D3"/>
    <w:rsid w:val="00DA3932"/>
    <w:rsid w:val="00DA3AFC"/>
    <w:rsid w:val="00DA4CD2"/>
    <w:rsid w:val="00DA595D"/>
    <w:rsid w:val="00DA64F8"/>
    <w:rsid w:val="00DA6C15"/>
    <w:rsid w:val="00DB0258"/>
    <w:rsid w:val="00DB38EE"/>
    <w:rsid w:val="00DB3C54"/>
    <w:rsid w:val="00DB498B"/>
    <w:rsid w:val="00DB66CA"/>
    <w:rsid w:val="00DB6BCA"/>
    <w:rsid w:val="00DB73F7"/>
    <w:rsid w:val="00DB7BB8"/>
    <w:rsid w:val="00DB7F7F"/>
    <w:rsid w:val="00DC0321"/>
    <w:rsid w:val="00DC12BC"/>
    <w:rsid w:val="00DC3067"/>
    <w:rsid w:val="00DC370B"/>
    <w:rsid w:val="00DC4410"/>
    <w:rsid w:val="00DC57E2"/>
    <w:rsid w:val="00DC5B90"/>
    <w:rsid w:val="00DC7DAD"/>
    <w:rsid w:val="00DD00FF"/>
    <w:rsid w:val="00DD0266"/>
    <w:rsid w:val="00DD0619"/>
    <w:rsid w:val="00DD07FB"/>
    <w:rsid w:val="00DD25C6"/>
    <w:rsid w:val="00DD2894"/>
    <w:rsid w:val="00DD3A40"/>
    <w:rsid w:val="00DD4945"/>
    <w:rsid w:val="00DD4FE5"/>
    <w:rsid w:val="00DD54B0"/>
    <w:rsid w:val="00DD57A7"/>
    <w:rsid w:val="00DD57EE"/>
    <w:rsid w:val="00DD5940"/>
    <w:rsid w:val="00DD5F19"/>
    <w:rsid w:val="00DD6BCC"/>
    <w:rsid w:val="00DD75F2"/>
    <w:rsid w:val="00DD7B4A"/>
    <w:rsid w:val="00DE0A4B"/>
    <w:rsid w:val="00DE2410"/>
    <w:rsid w:val="00DE2647"/>
    <w:rsid w:val="00DE2939"/>
    <w:rsid w:val="00DE3E00"/>
    <w:rsid w:val="00DE56C8"/>
    <w:rsid w:val="00DE6E81"/>
    <w:rsid w:val="00DE703F"/>
    <w:rsid w:val="00DE7595"/>
    <w:rsid w:val="00DE79C4"/>
    <w:rsid w:val="00DF11E0"/>
    <w:rsid w:val="00DF141A"/>
    <w:rsid w:val="00DF1961"/>
    <w:rsid w:val="00DF2E06"/>
    <w:rsid w:val="00DF347B"/>
    <w:rsid w:val="00DF3BC9"/>
    <w:rsid w:val="00DF44DE"/>
    <w:rsid w:val="00DF5BCD"/>
    <w:rsid w:val="00E01138"/>
    <w:rsid w:val="00E01EE8"/>
    <w:rsid w:val="00E02145"/>
    <w:rsid w:val="00E02DFB"/>
    <w:rsid w:val="00E02E31"/>
    <w:rsid w:val="00E02FD0"/>
    <w:rsid w:val="00E030F9"/>
    <w:rsid w:val="00E0311A"/>
    <w:rsid w:val="00E03138"/>
    <w:rsid w:val="00E041F9"/>
    <w:rsid w:val="00E04943"/>
    <w:rsid w:val="00E06241"/>
    <w:rsid w:val="00E06404"/>
    <w:rsid w:val="00E06FD6"/>
    <w:rsid w:val="00E11A85"/>
    <w:rsid w:val="00E12495"/>
    <w:rsid w:val="00E131F4"/>
    <w:rsid w:val="00E15CCD"/>
    <w:rsid w:val="00E174A5"/>
    <w:rsid w:val="00E202EF"/>
    <w:rsid w:val="00E210B5"/>
    <w:rsid w:val="00E23D99"/>
    <w:rsid w:val="00E24068"/>
    <w:rsid w:val="00E2439F"/>
    <w:rsid w:val="00E2552F"/>
    <w:rsid w:val="00E279DB"/>
    <w:rsid w:val="00E27E20"/>
    <w:rsid w:val="00E3137A"/>
    <w:rsid w:val="00E32CCF"/>
    <w:rsid w:val="00E32FFE"/>
    <w:rsid w:val="00E33459"/>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BBE"/>
    <w:rsid w:val="00E70388"/>
    <w:rsid w:val="00E70685"/>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87311"/>
    <w:rsid w:val="00E87AEB"/>
    <w:rsid w:val="00E90391"/>
    <w:rsid w:val="00E906C2"/>
    <w:rsid w:val="00E915D9"/>
    <w:rsid w:val="00E92493"/>
    <w:rsid w:val="00E9311F"/>
    <w:rsid w:val="00E934D1"/>
    <w:rsid w:val="00E94088"/>
    <w:rsid w:val="00E94AF0"/>
    <w:rsid w:val="00E959BC"/>
    <w:rsid w:val="00E95D13"/>
    <w:rsid w:val="00E95DD3"/>
    <w:rsid w:val="00E95DF8"/>
    <w:rsid w:val="00E969D5"/>
    <w:rsid w:val="00EA10B6"/>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1EB9"/>
    <w:rsid w:val="00EC21FB"/>
    <w:rsid w:val="00EC252B"/>
    <w:rsid w:val="00EC27F2"/>
    <w:rsid w:val="00EC3E4B"/>
    <w:rsid w:val="00EC44F9"/>
    <w:rsid w:val="00EC5359"/>
    <w:rsid w:val="00EC562A"/>
    <w:rsid w:val="00EC58D3"/>
    <w:rsid w:val="00EC5FB9"/>
    <w:rsid w:val="00EC651C"/>
    <w:rsid w:val="00EC65E2"/>
    <w:rsid w:val="00EC6C56"/>
    <w:rsid w:val="00EC7D0F"/>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6DB2"/>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A25"/>
    <w:rsid w:val="00F17B93"/>
    <w:rsid w:val="00F17EE3"/>
    <w:rsid w:val="00F228C9"/>
    <w:rsid w:val="00F22D0A"/>
    <w:rsid w:val="00F23DDD"/>
    <w:rsid w:val="00F242EC"/>
    <w:rsid w:val="00F25324"/>
    <w:rsid w:val="00F25BB6"/>
    <w:rsid w:val="00F26B7E"/>
    <w:rsid w:val="00F27577"/>
    <w:rsid w:val="00F27A3B"/>
    <w:rsid w:val="00F27AEE"/>
    <w:rsid w:val="00F31946"/>
    <w:rsid w:val="00F31EDB"/>
    <w:rsid w:val="00F31FC4"/>
    <w:rsid w:val="00F321A5"/>
    <w:rsid w:val="00F32DE6"/>
    <w:rsid w:val="00F33817"/>
    <w:rsid w:val="00F33D1E"/>
    <w:rsid w:val="00F35078"/>
    <w:rsid w:val="00F403AC"/>
    <w:rsid w:val="00F40A94"/>
    <w:rsid w:val="00F4150A"/>
    <w:rsid w:val="00F41984"/>
    <w:rsid w:val="00F420D5"/>
    <w:rsid w:val="00F423E8"/>
    <w:rsid w:val="00F4270C"/>
    <w:rsid w:val="00F44019"/>
    <w:rsid w:val="00F44714"/>
    <w:rsid w:val="00F451EA"/>
    <w:rsid w:val="00F45447"/>
    <w:rsid w:val="00F456C6"/>
    <w:rsid w:val="00F4577B"/>
    <w:rsid w:val="00F46496"/>
    <w:rsid w:val="00F474D0"/>
    <w:rsid w:val="00F50179"/>
    <w:rsid w:val="00F51136"/>
    <w:rsid w:val="00F515EE"/>
    <w:rsid w:val="00F521D9"/>
    <w:rsid w:val="00F52A40"/>
    <w:rsid w:val="00F53D76"/>
    <w:rsid w:val="00F5516F"/>
    <w:rsid w:val="00F5542C"/>
    <w:rsid w:val="00F56511"/>
    <w:rsid w:val="00F56EAE"/>
    <w:rsid w:val="00F56F5A"/>
    <w:rsid w:val="00F60F9D"/>
    <w:rsid w:val="00F60FD4"/>
    <w:rsid w:val="00F6194E"/>
    <w:rsid w:val="00F61DBA"/>
    <w:rsid w:val="00F623AC"/>
    <w:rsid w:val="00F62429"/>
    <w:rsid w:val="00F627C3"/>
    <w:rsid w:val="00F63C00"/>
    <w:rsid w:val="00F6412A"/>
    <w:rsid w:val="00F64C56"/>
    <w:rsid w:val="00F657DA"/>
    <w:rsid w:val="00F65893"/>
    <w:rsid w:val="00F66A4A"/>
    <w:rsid w:val="00F71B5E"/>
    <w:rsid w:val="00F71E22"/>
    <w:rsid w:val="00F72142"/>
    <w:rsid w:val="00F72AE7"/>
    <w:rsid w:val="00F73436"/>
    <w:rsid w:val="00F735EA"/>
    <w:rsid w:val="00F816CB"/>
    <w:rsid w:val="00F81D44"/>
    <w:rsid w:val="00F833BA"/>
    <w:rsid w:val="00F83E84"/>
    <w:rsid w:val="00F84B42"/>
    <w:rsid w:val="00F84FD0"/>
    <w:rsid w:val="00F8597D"/>
    <w:rsid w:val="00F859A8"/>
    <w:rsid w:val="00F86D87"/>
    <w:rsid w:val="00F86D90"/>
    <w:rsid w:val="00F901F7"/>
    <w:rsid w:val="00F9108B"/>
    <w:rsid w:val="00F91349"/>
    <w:rsid w:val="00F92E91"/>
    <w:rsid w:val="00F93A8A"/>
    <w:rsid w:val="00F95113"/>
    <w:rsid w:val="00F95248"/>
    <w:rsid w:val="00F956A9"/>
    <w:rsid w:val="00F963ED"/>
    <w:rsid w:val="00F966CF"/>
    <w:rsid w:val="00F96CAE"/>
    <w:rsid w:val="00F9737D"/>
    <w:rsid w:val="00F97C99"/>
    <w:rsid w:val="00F97E88"/>
    <w:rsid w:val="00FA125F"/>
    <w:rsid w:val="00FA1622"/>
    <w:rsid w:val="00FA224A"/>
    <w:rsid w:val="00FA23DE"/>
    <w:rsid w:val="00FA2612"/>
    <w:rsid w:val="00FA4F3A"/>
    <w:rsid w:val="00FA5533"/>
    <w:rsid w:val="00FA662D"/>
    <w:rsid w:val="00FA73B1"/>
    <w:rsid w:val="00FB01FA"/>
    <w:rsid w:val="00FB0CB9"/>
    <w:rsid w:val="00FB231D"/>
    <w:rsid w:val="00FB2438"/>
    <w:rsid w:val="00FB2EC4"/>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4198"/>
    <w:rsid w:val="00FC55B4"/>
    <w:rsid w:val="00FC642D"/>
    <w:rsid w:val="00FD00E6"/>
    <w:rsid w:val="00FD09A1"/>
    <w:rsid w:val="00FD1080"/>
    <w:rsid w:val="00FD2A7C"/>
    <w:rsid w:val="00FD3B3A"/>
    <w:rsid w:val="00FD3F7B"/>
    <w:rsid w:val="00FD3FF7"/>
    <w:rsid w:val="00FD47F5"/>
    <w:rsid w:val="00FD4933"/>
    <w:rsid w:val="00FD59EB"/>
    <w:rsid w:val="00FD6222"/>
    <w:rsid w:val="00FD6C8C"/>
    <w:rsid w:val="00FD7299"/>
    <w:rsid w:val="00FE04EA"/>
    <w:rsid w:val="00FE133B"/>
    <w:rsid w:val="00FE13A6"/>
    <w:rsid w:val="00FE1FBE"/>
    <w:rsid w:val="00FE1FFA"/>
    <w:rsid w:val="00FE228D"/>
    <w:rsid w:val="00FE2437"/>
    <w:rsid w:val="00FE3901"/>
    <w:rsid w:val="00FE39D3"/>
    <w:rsid w:val="00FE3BB0"/>
    <w:rsid w:val="00FE43D7"/>
    <w:rsid w:val="00FE4A89"/>
    <w:rsid w:val="00FE4BCE"/>
    <w:rsid w:val="00FE54AE"/>
    <w:rsid w:val="00FE576A"/>
    <w:rsid w:val="00FE57CF"/>
    <w:rsid w:val="00FE6250"/>
    <w:rsid w:val="00FE6441"/>
    <w:rsid w:val="00FE7E79"/>
    <w:rsid w:val="00FF0098"/>
    <w:rsid w:val="00FF0D4D"/>
    <w:rsid w:val="00FF1356"/>
    <w:rsid w:val="00FF13FC"/>
    <w:rsid w:val="00FF2FE4"/>
    <w:rsid w:val="00FF3850"/>
    <w:rsid w:val="00FF38A2"/>
    <w:rsid w:val="00FF3E7D"/>
    <w:rsid w:val="00FF451E"/>
    <w:rsid w:val="00FF46B9"/>
    <w:rsid w:val="00FF48C3"/>
    <w:rsid w:val="00FF5B99"/>
    <w:rsid w:val="00FF730C"/>
    <w:rsid w:val="00FF7395"/>
    <w:rsid w:val="00FF73F4"/>
    <w:rsid w:val="00FF776B"/>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uiPriority w:val="0"/>
    <w:rPr>
      <w:rFonts w:ascii="Times New Roman" w:hAnsi="Times New Roman" w:eastAsia="宋体" w:cs="Times New Roman"/>
      <w:b/>
      <w:bCs/>
      <w:kern w:val="44"/>
      <w:sz w:val="44"/>
      <w:szCs w:val="44"/>
    </w:rPr>
  </w:style>
  <w:style w:type="character" w:customStyle="1" w:styleId="36">
    <w:name w:val="标题 2 字符"/>
    <w:link w:val="3"/>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uiPriority w:val="0"/>
    <w:rPr>
      <w:rFonts w:ascii="Arial" w:hAnsi="Arial" w:eastAsia="黑体" w:cs="Times New Roman"/>
      <w:sz w:val="24"/>
      <w:szCs w:val="24"/>
    </w:rPr>
  </w:style>
  <w:style w:type="character" w:customStyle="1" w:styleId="43">
    <w:name w:val="标题 9 字符"/>
    <w:link w:val="10"/>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ind w:left="425"/>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4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link w:val="24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ind w:left="0"/>
      <w:outlineLvl w:val="5"/>
    </w:pPr>
  </w:style>
  <w:style w:type="paragraph" w:customStyle="1" w:styleId="238">
    <w:name w:val="五级条标题"/>
    <w:basedOn w:val="237"/>
    <w:next w:val="231"/>
    <w:qFormat/>
    <w:uiPriority w:val="0"/>
    <w:pPr>
      <w:numPr>
        <w:ilvl w:val="5"/>
      </w:numPr>
      <w:ind w:left="0"/>
      <w:outlineLvl w:val="6"/>
    </w:pPr>
  </w:style>
  <w:style w:type="paragraph" w:customStyle="1" w:styleId="23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一级条标题 Char"/>
    <w:link w:val="233"/>
    <w:uiPriority w:val="0"/>
    <w:rPr>
      <w:rFonts w:ascii="黑体" w:hAnsi="Times New Roman" w:eastAsia="黑体"/>
      <w:sz w:val="21"/>
      <w:szCs w:val="21"/>
    </w:rPr>
  </w:style>
  <w:style w:type="character" w:customStyle="1" w:styleId="241">
    <w:name w:val="二级条标题 Char"/>
    <w:basedOn w:val="240"/>
    <w:link w:val="235"/>
    <w:uiPriority w:val="0"/>
    <w:rPr>
      <w:rFonts w:ascii="黑体" w:hAnsi="Times New Roman" w:eastAsia="黑体"/>
      <w:sz w:val="21"/>
      <w:szCs w:val="21"/>
    </w:rPr>
  </w:style>
  <w:style w:type="character" w:customStyle="1" w:styleId="242">
    <w:name w:val="二级无 Char"/>
    <w:link w:val="243"/>
    <w:uiPriority w:val="0"/>
    <w:rPr>
      <w:rFonts w:ascii="宋体"/>
      <w:sz w:val="21"/>
      <w:szCs w:val="21"/>
    </w:rPr>
  </w:style>
  <w:style w:type="paragraph" w:customStyle="1" w:styleId="243">
    <w:name w:val="二级无"/>
    <w:basedOn w:val="1"/>
    <w:link w:val="242"/>
    <w:uiPriority w:val="0"/>
    <w:pPr>
      <w:widowControl/>
      <w:adjustRightInd/>
      <w:spacing w:line="240" w:lineRule="auto"/>
      <w:jc w:val="left"/>
      <w:outlineLvl w:val="3"/>
    </w:pPr>
    <w:rPr>
      <w:rFonts w:ascii="宋体"/>
      <w:kern w:val="0"/>
    </w:rPr>
  </w:style>
  <w:style w:type="character" w:customStyle="1" w:styleId="244">
    <w:name w:val="Unresolved Mention"/>
    <w:basedOn w:val="2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D0A9E6ED8E41A5BC258D89F7A9C41B"/>
        <w:style w:val=""/>
        <w:category>
          <w:name w:val="常规"/>
          <w:gallery w:val="placeholder"/>
        </w:category>
        <w:types>
          <w:type w:val="bbPlcHdr"/>
        </w:types>
        <w:behaviors>
          <w:behavior w:val="content"/>
        </w:behaviors>
        <w:description w:val=""/>
        <w:guid w:val="{2A2557B8-ADE2-496C-85A8-C079A31AE89E}"/>
      </w:docPartPr>
      <w:docPartBody>
        <w:p w14:paraId="0926B1AF">
          <w:pPr>
            <w:pStyle w:val="5"/>
            <w:rPr>
              <w:rFonts w:hint="eastAsia"/>
            </w:rPr>
          </w:pPr>
          <w:r>
            <w:rPr>
              <w:rStyle w:val="4"/>
              <w:rFonts w:hint="eastAsia"/>
            </w:rPr>
            <w:t>单击或点击此处输入文字。</w:t>
          </w:r>
        </w:p>
      </w:docPartBody>
    </w:docPart>
    <w:docPart>
      <w:docPartPr>
        <w:name w:val="884199A17297406FA321D1C53A4BC5F6"/>
        <w:style w:val=""/>
        <w:category>
          <w:name w:val="常规"/>
          <w:gallery w:val="placeholder"/>
        </w:category>
        <w:types>
          <w:type w:val="bbPlcHdr"/>
        </w:types>
        <w:behaviors>
          <w:behavior w:val="content"/>
        </w:behaviors>
        <w:description w:val=""/>
        <w:guid w:val="{94E0FF5B-402D-4ABF-8A28-3ADF7FD5ABCA}"/>
      </w:docPartPr>
      <w:docPartBody>
        <w:p w14:paraId="390E925B">
          <w:pPr>
            <w:pStyle w:val="6"/>
            <w:rPr>
              <w:rFonts w:hint="eastAsia"/>
            </w:rPr>
          </w:pPr>
          <w:r>
            <w:rPr>
              <w:rStyle w:val="4"/>
              <w:rFonts w:hint="eastAsia"/>
            </w:rPr>
            <w:t>选择一项。</w:t>
          </w:r>
        </w:p>
      </w:docPartBody>
    </w:docPart>
    <w:docPart>
      <w:docPartPr>
        <w:name w:val="2370AB3DE1204602B877E9BFD40E9C45"/>
        <w:style w:val=""/>
        <w:category>
          <w:name w:val="常规"/>
          <w:gallery w:val="placeholder"/>
        </w:category>
        <w:types>
          <w:type w:val="bbPlcHdr"/>
        </w:types>
        <w:behaviors>
          <w:behavior w:val="content"/>
        </w:behaviors>
        <w:description w:val=""/>
        <w:guid w:val="{DC187ECD-7ABA-4193-A168-10CFA175C32C}"/>
      </w:docPartPr>
      <w:docPartBody>
        <w:p w14:paraId="0A8B524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AC"/>
    <w:rsid w:val="0001699B"/>
    <w:rsid w:val="00027AEA"/>
    <w:rsid w:val="00030617"/>
    <w:rsid w:val="00056889"/>
    <w:rsid w:val="0006145A"/>
    <w:rsid w:val="00072661"/>
    <w:rsid w:val="00074B26"/>
    <w:rsid w:val="000D331D"/>
    <w:rsid w:val="000F5FC3"/>
    <w:rsid w:val="001157B6"/>
    <w:rsid w:val="00153266"/>
    <w:rsid w:val="001A702B"/>
    <w:rsid w:val="001D32F4"/>
    <w:rsid w:val="001D52BD"/>
    <w:rsid w:val="001E3811"/>
    <w:rsid w:val="001E62F8"/>
    <w:rsid w:val="0020090F"/>
    <w:rsid w:val="002249A7"/>
    <w:rsid w:val="002347FC"/>
    <w:rsid w:val="00246495"/>
    <w:rsid w:val="0024789A"/>
    <w:rsid w:val="002600ED"/>
    <w:rsid w:val="00297853"/>
    <w:rsid w:val="002D508C"/>
    <w:rsid w:val="002F749F"/>
    <w:rsid w:val="0031610D"/>
    <w:rsid w:val="00323F6C"/>
    <w:rsid w:val="003429B6"/>
    <w:rsid w:val="0037088D"/>
    <w:rsid w:val="00371C08"/>
    <w:rsid w:val="0038089F"/>
    <w:rsid w:val="00382FF5"/>
    <w:rsid w:val="0038401B"/>
    <w:rsid w:val="003B0021"/>
    <w:rsid w:val="003C6E60"/>
    <w:rsid w:val="003C7CCD"/>
    <w:rsid w:val="003D4CB6"/>
    <w:rsid w:val="003D7D92"/>
    <w:rsid w:val="003E0251"/>
    <w:rsid w:val="003E0BE7"/>
    <w:rsid w:val="003F7F4F"/>
    <w:rsid w:val="00412F5B"/>
    <w:rsid w:val="0041382D"/>
    <w:rsid w:val="00435D85"/>
    <w:rsid w:val="004378FE"/>
    <w:rsid w:val="00495FC9"/>
    <w:rsid w:val="004A7DDB"/>
    <w:rsid w:val="004B297C"/>
    <w:rsid w:val="004B79C0"/>
    <w:rsid w:val="004D7267"/>
    <w:rsid w:val="004E49C4"/>
    <w:rsid w:val="004E67A3"/>
    <w:rsid w:val="00535FCC"/>
    <w:rsid w:val="00573622"/>
    <w:rsid w:val="005743C3"/>
    <w:rsid w:val="00575CF8"/>
    <w:rsid w:val="00596C6F"/>
    <w:rsid w:val="005A1492"/>
    <w:rsid w:val="005A4631"/>
    <w:rsid w:val="005C17A2"/>
    <w:rsid w:val="0061005F"/>
    <w:rsid w:val="006437AC"/>
    <w:rsid w:val="006637D3"/>
    <w:rsid w:val="00696562"/>
    <w:rsid w:val="006A354E"/>
    <w:rsid w:val="006B0113"/>
    <w:rsid w:val="0071423F"/>
    <w:rsid w:val="0074119E"/>
    <w:rsid w:val="007635F3"/>
    <w:rsid w:val="007651D9"/>
    <w:rsid w:val="007A4FB5"/>
    <w:rsid w:val="007B7BB6"/>
    <w:rsid w:val="007C21F4"/>
    <w:rsid w:val="007F2B27"/>
    <w:rsid w:val="00804026"/>
    <w:rsid w:val="00804442"/>
    <w:rsid w:val="0081249B"/>
    <w:rsid w:val="00814D22"/>
    <w:rsid w:val="00882452"/>
    <w:rsid w:val="008949C5"/>
    <w:rsid w:val="008A60F9"/>
    <w:rsid w:val="008C2749"/>
    <w:rsid w:val="008C5F98"/>
    <w:rsid w:val="008D0910"/>
    <w:rsid w:val="008D1554"/>
    <w:rsid w:val="008E7A01"/>
    <w:rsid w:val="008E7BE9"/>
    <w:rsid w:val="008F76AB"/>
    <w:rsid w:val="009022C9"/>
    <w:rsid w:val="0090598B"/>
    <w:rsid w:val="00925986"/>
    <w:rsid w:val="00926460"/>
    <w:rsid w:val="00935CEC"/>
    <w:rsid w:val="00961529"/>
    <w:rsid w:val="00962162"/>
    <w:rsid w:val="009B6402"/>
    <w:rsid w:val="009C3050"/>
    <w:rsid w:val="009E7AA9"/>
    <w:rsid w:val="009F6066"/>
    <w:rsid w:val="00A3313D"/>
    <w:rsid w:val="00A7473B"/>
    <w:rsid w:val="00A80897"/>
    <w:rsid w:val="00A941E2"/>
    <w:rsid w:val="00A97403"/>
    <w:rsid w:val="00AA53A5"/>
    <w:rsid w:val="00AC621D"/>
    <w:rsid w:val="00AD7202"/>
    <w:rsid w:val="00AE0ACF"/>
    <w:rsid w:val="00B02A73"/>
    <w:rsid w:val="00B03A0C"/>
    <w:rsid w:val="00B623FB"/>
    <w:rsid w:val="00B7240F"/>
    <w:rsid w:val="00B73891"/>
    <w:rsid w:val="00B8672A"/>
    <w:rsid w:val="00B95DE5"/>
    <w:rsid w:val="00BD3A0C"/>
    <w:rsid w:val="00BE77D5"/>
    <w:rsid w:val="00BF4953"/>
    <w:rsid w:val="00C12B07"/>
    <w:rsid w:val="00C13D7D"/>
    <w:rsid w:val="00C828DC"/>
    <w:rsid w:val="00CB2152"/>
    <w:rsid w:val="00CC7179"/>
    <w:rsid w:val="00CD5E64"/>
    <w:rsid w:val="00CE1427"/>
    <w:rsid w:val="00CF3684"/>
    <w:rsid w:val="00D01B51"/>
    <w:rsid w:val="00D01D46"/>
    <w:rsid w:val="00D2514D"/>
    <w:rsid w:val="00D32A15"/>
    <w:rsid w:val="00D360AB"/>
    <w:rsid w:val="00D36491"/>
    <w:rsid w:val="00D63EA4"/>
    <w:rsid w:val="00D63F81"/>
    <w:rsid w:val="00DB5662"/>
    <w:rsid w:val="00DB736A"/>
    <w:rsid w:val="00DC7032"/>
    <w:rsid w:val="00DD0A33"/>
    <w:rsid w:val="00DD12D6"/>
    <w:rsid w:val="00DD3954"/>
    <w:rsid w:val="00DD3AD1"/>
    <w:rsid w:val="00DD61D1"/>
    <w:rsid w:val="00E05D3A"/>
    <w:rsid w:val="00E42D4C"/>
    <w:rsid w:val="00E73C53"/>
    <w:rsid w:val="00E940B1"/>
    <w:rsid w:val="00E97425"/>
    <w:rsid w:val="00EA715E"/>
    <w:rsid w:val="00EC46C4"/>
    <w:rsid w:val="00EC7482"/>
    <w:rsid w:val="00ED2DC9"/>
    <w:rsid w:val="00EE2892"/>
    <w:rsid w:val="00F226C3"/>
    <w:rsid w:val="00F26780"/>
    <w:rsid w:val="00F524A8"/>
    <w:rsid w:val="00F67C49"/>
    <w:rsid w:val="00F77BD4"/>
    <w:rsid w:val="00F8597D"/>
    <w:rsid w:val="00F978E3"/>
    <w:rsid w:val="00FD3FF7"/>
    <w:rsid w:val="00FD7794"/>
    <w:rsid w:val="00FE1EDE"/>
    <w:rsid w:val="00FE1FFA"/>
    <w:rsid w:val="00FE681D"/>
    <w:rsid w:val="00FE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D0A9E6ED8E41A5BC258D89F7A9C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199A17297406FA321D1C53A4BC5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70AB3DE1204602B877E9BFD40E9C4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205</Words>
  <Characters>288</Characters>
  <Lines>670</Lines>
  <Paragraphs>603</Paragraphs>
  <TotalTime>8</TotalTime>
  <ScaleCrop>false</ScaleCrop>
  <LinksUpToDate>false</LinksUpToDate>
  <CharactersWithSpaces>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2025-03-14T06:36:00Z</dcterms:created>
  <dc:creator>17323</dc:creator>
  <cp:lastModifiedBy>阿北</cp:lastModifiedBy>
  <cp:lastPrinted>2022-08-18T04:31:00Z</cp:lastPrinted>
  <dcterms:modified xsi:type="dcterms:W3CDTF">2025-03-14T07:04:33Z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eyJoZGlkIjoiODk4MzM4ZWM2YWJkMjFhM2M1YmVmNzk0ZDM4M2ExMWQiLCJ1c2VySWQiOiI0NDY1NjM4NjAifQ==</vt:lpwstr>
  </property>
  <property fmtid="{D5CDD505-2E9C-101B-9397-08002B2CF9AE}" pid="16" name="KSOProductBuildVer">
    <vt:lpwstr>2052-12.1.0.20305</vt:lpwstr>
  </property>
  <property fmtid="{D5CDD505-2E9C-101B-9397-08002B2CF9AE}" pid="17" name="ICV">
    <vt:lpwstr>6C6888F6C1C047B7AEBD30252CD4D221_12</vt:lpwstr>
  </property>
</Properties>
</file>