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590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87025A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161F21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67.260</w:t>
            </w:r>
            <w:r>
              <w:rPr>
                <w:rFonts w:ascii="黑体" w:hAnsi="黑体" w:eastAsia="黑体"/>
                <w:sz w:val="21"/>
                <w:szCs w:val="21"/>
              </w:rPr>
              <w:t>     </w:t>
            </w:r>
            <w:r>
              <w:rPr>
                <w:rFonts w:ascii="黑体" w:hAnsi="黑体" w:eastAsia="黑体"/>
                <w:sz w:val="21"/>
                <w:szCs w:val="21"/>
              </w:rPr>
              <w:fldChar w:fldCharType="end"/>
            </w:r>
            <w:bookmarkEnd w:id="0"/>
          </w:p>
        </w:tc>
      </w:tr>
      <w:tr w14:paraId="03CC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D8F1A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63E079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6BAC5AB">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74B5F6D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X</w:t>
            </w:r>
            <w:r>
              <w:rPr>
                <w:rFonts w:hint="eastAsia" w:ascii="黑体" w:hAnsi="黑体" w:eastAsia="黑体"/>
                <w:sz w:val="21"/>
                <w:szCs w:val="21"/>
                <w:lang w:val="en-US" w:eastAsia="zh-CN"/>
              </w:rPr>
              <w:t xml:space="preserve"> 01</w:t>
            </w:r>
            <w:r>
              <w:rPr>
                <w:rFonts w:ascii="黑体" w:hAnsi="黑体" w:eastAsia="黑体"/>
                <w:sz w:val="21"/>
                <w:szCs w:val="21"/>
              </w:rPr>
              <w:fldChar w:fldCharType="end"/>
            </w:r>
            <w:bookmarkEnd w:id="2"/>
          </w:p>
        </w:tc>
      </w:tr>
    </w:tbl>
    <w:p w14:paraId="4A4B894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EDE5FEE">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X</w:t>
      </w:r>
      <w:r>
        <w:rPr>
          <w:rFonts w:hint="eastAsia"/>
          <w:lang w:val="en-US" w:eastAsia="zh-CN"/>
        </w:rPr>
        <w:t>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w:t>
      </w:r>
      <w:r>
        <w:rPr>
          <w:rFonts w:hint="eastAsia"/>
          <w:lang w:val="en-US" w:eastAsia="zh-CN"/>
        </w:rPr>
        <w:t>5</w:t>
      </w:r>
      <w:r>
        <w:fldChar w:fldCharType="end"/>
      </w:r>
      <w:bookmarkEnd w:id="7"/>
    </w:p>
    <w:p w14:paraId="4412FFF5">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7F2335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1A7980D">
      <w:pPr>
        <w:pStyle w:val="50"/>
        <w:framePr w:w="9639" w:h="6976" w:hRule="exact" w:hSpace="0" w:vSpace="0" w:wrap="around" w:hAnchor="page" w:y="6408"/>
        <w:jc w:val="center"/>
        <w:rPr>
          <w:rFonts w:ascii="黑体" w:hAnsi="黑体" w:eastAsia="黑体"/>
          <w:b w:val="0"/>
          <w:bCs w:val="0"/>
          <w:w w:val="100"/>
        </w:rPr>
      </w:pPr>
    </w:p>
    <w:p w14:paraId="6580D43B">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甘蔗多酚生产环境技术要求</w:t>
      </w:r>
      <w:r>
        <w:fldChar w:fldCharType="end"/>
      </w:r>
      <w:bookmarkEnd w:id="9"/>
    </w:p>
    <w:p w14:paraId="1A5ACD67">
      <w:pPr>
        <w:framePr w:w="9639" w:h="6974" w:hRule="exact" w:wrap="around" w:vAnchor="page" w:hAnchor="page" w:x="1419" w:y="6408" w:anchorLock="1"/>
        <w:ind w:left="-1418"/>
      </w:pPr>
    </w:p>
    <w:p w14:paraId="2886A676">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requirements for the production environment of sugarcane polyphenols</w:t>
      </w:r>
      <w:r>
        <w:rPr>
          <w:rFonts w:ascii="黑体" w:hAnsi="黑体" w:eastAsia="黑体"/>
          <w:szCs w:val="28"/>
        </w:rPr>
        <w:t xml:space="preserve"> </w:t>
      </w:r>
      <w:r>
        <w:rPr>
          <w:rFonts w:ascii="黑体" w:hAnsi="黑体" w:eastAsia="黑体"/>
          <w:szCs w:val="28"/>
        </w:rPr>
        <w:fldChar w:fldCharType="end"/>
      </w:r>
      <w:bookmarkEnd w:id="10"/>
    </w:p>
    <w:p w14:paraId="50ACBFA1">
      <w:pPr>
        <w:framePr w:w="9639" w:h="6974" w:hRule="exact" w:wrap="around" w:vAnchor="page" w:hAnchor="page" w:x="1419" w:y="6408" w:anchorLock="1"/>
        <w:spacing w:line="760" w:lineRule="exact"/>
        <w:ind w:left="-1418"/>
      </w:pPr>
    </w:p>
    <w:p w14:paraId="0E405743">
      <w:pPr>
        <w:pStyle w:val="125"/>
        <w:framePr w:w="9639" w:h="6974" w:hRule="exact" w:wrap="around" w:vAnchor="page" w:hAnchor="page" w:x="1419" w:y="6408" w:anchorLock="1"/>
        <w:textAlignment w:val="bottom"/>
        <w:rPr>
          <w:rFonts w:eastAsia="黑体"/>
          <w:szCs w:val="28"/>
        </w:rPr>
      </w:pPr>
    </w:p>
    <w:p w14:paraId="55605BA9">
      <w:pPr>
        <w:pStyle w:val="125"/>
        <w:framePr w:w="9639" w:h="6974" w:hRule="exact" w:wrap="around" w:vAnchor="page" w:hAnchor="page" w:x="1419" w:y="6408" w:anchorLock="1"/>
        <w:spacing w:before="440" w:after="160"/>
        <w:textAlignment w:val="bottom"/>
        <w:rPr>
          <w:sz w:val="24"/>
          <w:szCs w:val="28"/>
        </w:rPr>
      </w:pPr>
    </w:p>
    <w:p w14:paraId="6CA956AE">
      <w:pPr>
        <w:pStyle w:val="125"/>
        <w:framePr w:w="9639" w:h="6974" w:hRule="exact" w:wrap="around" w:vAnchor="page" w:hAnchor="page" w:x="1419" w:y="6408" w:anchorLock="1"/>
        <w:spacing w:before="180" w:line="240" w:lineRule="atLeast"/>
        <w:textAlignment w:val="bottom"/>
        <w:rPr>
          <w:sz w:val="21"/>
          <w:szCs w:val="28"/>
        </w:rPr>
      </w:pPr>
    </w:p>
    <w:p w14:paraId="376F4DD1">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44092776">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3"/>
      <w:r>
        <w:rPr>
          <w:rFonts w:hint="eastAsia"/>
        </w:rPr>
        <w:t>发布</w:t>
      </w:r>
    </w:p>
    <w:p w14:paraId="2E3BC038">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6"/>
      <w:r>
        <w:rPr>
          <w:rFonts w:hint="eastAsia"/>
        </w:rPr>
        <w:t>实施</w:t>
      </w:r>
    </w:p>
    <w:p w14:paraId="454A02D4">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3D8157A">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B47800">
      <w:pPr>
        <w:pStyle w:val="89"/>
        <w:spacing w:before="900" w:after="360"/>
      </w:pPr>
      <w:bookmarkStart w:id="18" w:name="BookMark2"/>
      <w:r>
        <w:rPr>
          <w:spacing w:val="320"/>
        </w:rPr>
        <w:t>前</w:t>
      </w:r>
      <w:r>
        <w:t>言</w:t>
      </w:r>
    </w:p>
    <w:p w14:paraId="006C5718">
      <w:pPr>
        <w:pStyle w:val="56"/>
        <w:ind w:firstLine="420"/>
      </w:pPr>
      <w:r>
        <w:rPr>
          <w:rFonts w:hint="eastAsia"/>
        </w:rPr>
        <w:t>本文件按照GB/T 1.1—2020《标准化工作导则  第1部分：标准化文件的结构和起草规则》的规定起草。</w:t>
      </w:r>
    </w:p>
    <w:p w14:paraId="5755E4F2">
      <w:pPr>
        <w:pStyle w:val="56"/>
        <w:ind w:firstLine="420"/>
      </w:pPr>
      <w:r>
        <w:rPr>
          <w:rFonts w:hint="eastAsia"/>
        </w:rPr>
        <w:t>请注意本文件的某些内容可能涉及专利。本文件的发布机构不承担识别专利的责任。</w:t>
      </w:r>
    </w:p>
    <w:p w14:paraId="153CFEB8">
      <w:pPr>
        <w:pStyle w:val="56"/>
        <w:ind w:firstLine="420"/>
      </w:pPr>
      <w:r>
        <w:rPr>
          <w:rFonts w:hint="eastAsia"/>
        </w:rPr>
        <w:t>本文件由</w:t>
      </w:r>
      <w:r>
        <w:rPr>
          <w:rFonts w:hint="eastAsia"/>
          <w:lang w:eastAsia="zh-CN"/>
        </w:rPr>
        <w:t>广西壮族自治区产品质量检验研究院</w:t>
      </w:r>
      <w:r>
        <w:rPr>
          <w:rFonts w:hint="eastAsia"/>
        </w:rPr>
        <w:t>提出并宣贯。</w:t>
      </w:r>
    </w:p>
    <w:p w14:paraId="60049FE0">
      <w:pPr>
        <w:pStyle w:val="56"/>
        <w:ind w:firstLine="420"/>
      </w:pPr>
      <w:r>
        <w:rPr>
          <w:rFonts w:hint="eastAsia"/>
        </w:rPr>
        <w:t>本文件由广西物品编码与标准化促进会归口。</w:t>
      </w:r>
    </w:p>
    <w:p w14:paraId="2C7635B5">
      <w:pPr>
        <w:pStyle w:val="56"/>
        <w:ind w:firstLine="420"/>
      </w:pPr>
      <w:r>
        <w:rPr>
          <w:rFonts w:hint="eastAsia"/>
        </w:rPr>
        <w:t>本文件起草单位：广西壮族自治区产品质量检验研究院、</w:t>
      </w:r>
      <w:r>
        <w:rPr>
          <w:rFonts w:hint="eastAsia"/>
          <w:lang w:val="en-US" w:eastAsia="zh-CN"/>
        </w:rPr>
        <w:t>南宁市食品药品检验所、</w:t>
      </w:r>
      <w:r>
        <w:rPr>
          <w:rFonts w:hint="eastAsia"/>
        </w:rPr>
        <w:t>贵港市甘化糖业有限公司、华南理工大学、</w:t>
      </w:r>
      <w:r>
        <w:rPr>
          <w:rFonts w:hint="eastAsia"/>
          <w:lang w:val="en-US" w:eastAsia="zh-CN"/>
        </w:rPr>
        <w:t>生态部华南环境科学研究所、</w:t>
      </w:r>
      <w:r>
        <w:rPr>
          <w:rFonts w:hint="eastAsia"/>
        </w:rPr>
        <w:t>广西南宁信雄科技服务有限公司。</w:t>
      </w:r>
    </w:p>
    <w:p w14:paraId="1A9C4B81">
      <w:pPr>
        <w:pStyle w:val="56"/>
        <w:ind w:firstLine="420"/>
      </w:pPr>
      <w:r>
        <w:rPr>
          <w:rFonts w:hint="eastAsia"/>
        </w:rPr>
        <w:t>本文件主要起草人：。</w:t>
      </w:r>
    </w:p>
    <w:p w14:paraId="790944A3">
      <w:pPr>
        <w:pStyle w:val="56"/>
        <w:ind w:firstLine="420"/>
      </w:pPr>
    </w:p>
    <w:p w14:paraId="73344378">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18"/>
    <w:p w14:paraId="22CAE745">
      <w:pPr>
        <w:spacing w:line="20" w:lineRule="exact"/>
        <w:jc w:val="center"/>
        <w:rPr>
          <w:rFonts w:ascii="黑体" w:hAnsi="黑体" w:eastAsia="黑体"/>
          <w:sz w:val="32"/>
          <w:szCs w:val="32"/>
          <w:highlight w:val="none"/>
        </w:rPr>
      </w:pPr>
      <w:bookmarkStart w:id="19" w:name="BookMark4"/>
    </w:p>
    <w:p w14:paraId="5D1710D1">
      <w:pPr>
        <w:spacing w:line="20" w:lineRule="exact"/>
        <w:jc w:val="center"/>
        <w:rPr>
          <w:rFonts w:ascii="黑体" w:hAnsi="黑体" w:eastAsia="黑体"/>
          <w:sz w:val="32"/>
          <w:szCs w:val="32"/>
          <w:highlight w:val="none"/>
        </w:rPr>
      </w:pPr>
    </w:p>
    <w:sdt>
      <w:sdtPr>
        <w:rPr>
          <w:highlight w:val="none"/>
        </w:rPr>
        <w:tag w:val="NEW_STAND_NAME"/>
        <w:id w:val="595910757"/>
        <w:lock w:val="sdtLocked"/>
        <w:placeholder>
          <w:docPart w:val="7A126502E19C4DCFBC339FDA1B21001D"/>
        </w:placeholder>
      </w:sdtPr>
      <w:sdtEndPr>
        <w:rPr>
          <w:highlight w:val="none"/>
        </w:rPr>
      </w:sdtEndPr>
      <w:sdtContent>
        <w:p w14:paraId="58ECF818">
          <w:pPr>
            <w:pStyle w:val="177"/>
            <w:spacing w:before="2" w:beforeLines="1" w:after="528" w:afterLines="220"/>
            <w:rPr>
              <w:highlight w:val="none"/>
            </w:rPr>
          </w:pPr>
          <w:bookmarkStart w:id="20" w:name="NEW_STAND_NAME"/>
          <w:r>
            <w:rPr>
              <w:rFonts w:hint="eastAsia"/>
              <w:highlight w:val="none"/>
            </w:rPr>
            <w:t>甘蔗多酚生产环境技术要求</w:t>
          </w:r>
        </w:p>
      </w:sdtContent>
    </w:sdt>
    <w:bookmarkEnd w:id="20"/>
    <w:p w14:paraId="15F68637">
      <w:pPr>
        <w:pStyle w:val="104"/>
        <w:spacing w:before="240" w:after="240"/>
        <w:rPr>
          <w:highlight w:val="none"/>
        </w:rPr>
      </w:pPr>
      <w:bookmarkStart w:id="21" w:name="_Toc17233333"/>
      <w:bookmarkStart w:id="22" w:name="_Toc24884211"/>
      <w:bookmarkStart w:id="23" w:name="_Toc26718930"/>
      <w:bookmarkStart w:id="24" w:name="_Toc26648465"/>
      <w:bookmarkStart w:id="25" w:name="_Toc24884218"/>
      <w:bookmarkStart w:id="26" w:name="_Toc26986530"/>
      <w:bookmarkStart w:id="27" w:name="_Toc97192964"/>
      <w:bookmarkStart w:id="28" w:name="_Toc26986771"/>
      <w:bookmarkStart w:id="29" w:name="_Toc17233325"/>
      <w:r>
        <w:rPr>
          <w:rFonts w:hint="eastAsia"/>
          <w:highlight w:val="none"/>
        </w:rPr>
        <w:t>范围</w:t>
      </w:r>
      <w:bookmarkEnd w:id="21"/>
      <w:bookmarkEnd w:id="22"/>
      <w:bookmarkEnd w:id="23"/>
      <w:bookmarkEnd w:id="24"/>
      <w:bookmarkEnd w:id="25"/>
      <w:bookmarkEnd w:id="26"/>
      <w:bookmarkEnd w:id="27"/>
      <w:bookmarkEnd w:id="28"/>
      <w:bookmarkEnd w:id="29"/>
    </w:p>
    <w:p w14:paraId="4D68C2F9">
      <w:pPr>
        <w:pStyle w:val="56"/>
        <w:ind w:firstLine="420"/>
        <w:rPr>
          <w:rFonts w:hint="eastAsia"/>
          <w:highlight w:val="none"/>
          <w:lang w:eastAsia="zh-CN"/>
        </w:rPr>
      </w:pPr>
      <w:bookmarkStart w:id="30" w:name="_Toc17233334"/>
      <w:bookmarkStart w:id="31" w:name="_Toc24884212"/>
      <w:bookmarkStart w:id="32" w:name="_Toc24884219"/>
      <w:bookmarkStart w:id="33" w:name="_Toc17233326"/>
      <w:bookmarkStart w:id="34" w:name="_Toc26648466"/>
      <w:r>
        <w:rPr>
          <w:rFonts w:hint="eastAsia"/>
          <w:highlight w:val="none"/>
        </w:rPr>
        <w:t>本</w:t>
      </w:r>
      <w:r>
        <w:rPr>
          <w:rFonts w:hint="eastAsia"/>
          <w:highlight w:val="none"/>
          <w:lang w:val="en-US" w:eastAsia="zh-CN"/>
        </w:rPr>
        <w:t>文件</w:t>
      </w:r>
      <w:r>
        <w:rPr>
          <w:rFonts w:hint="eastAsia"/>
          <w:highlight w:val="none"/>
        </w:rPr>
        <w:t>规定了甘蔗多酚生产环境的生产场所、</w:t>
      </w:r>
      <w:r>
        <w:rPr>
          <w:rFonts w:hint="eastAsia"/>
          <w:highlight w:val="none"/>
          <w:lang w:val="en-US" w:eastAsia="zh-CN"/>
        </w:rPr>
        <w:t>生产</w:t>
      </w:r>
      <w:r>
        <w:rPr>
          <w:rFonts w:hint="eastAsia"/>
          <w:highlight w:val="none"/>
        </w:rPr>
        <w:t>设备、卫生管理、环境监测</w:t>
      </w:r>
      <w:r>
        <w:rPr>
          <w:rFonts w:hint="eastAsia"/>
          <w:highlight w:val="none"/>
          <w:lang w:eastAsia="zh-CN"/>
        </w:rPr>
        <w:t>、</w:t>
      </w:r>
      <w:r>
        <w:rPr>
          <w:rFonts w:hint="eastAsia"/>
          <w:highlight w:val="none"/>
          <w:lang w:val="en-US" w:eastAsia="zh-CN"/>
        </w:rPr>
        <w:t>其他</w:t>
      </w:r>
      <w:r>
        <w:rPr>
          <w:rFonts w:hint="eastAsia"/>
          <w:highlight w:val="none"/>
        </w:rPr>
        <w:t>等</w:t>
      </w:r>
      <w:r>
        <w:rPr>
          <w:rFonts w:hint="eastAsia"/>
          <w:highlight w:val="none"/>
          <w:lang w:val="en-US" w:eastAsia="zh-CN"/>
        </w:rPr>
        <w:t>内容</w:t>
      </w:r>
      <w:r>
        <w:rPr>
          <w:rFonts w:hint="eastAsia"/>
          <w:highlight w:val="none"/>
          <w:lang w:eastAsia="zh-CN"/>
        </w:rPr>
        <w:t>。</w:t>
      </w:r>
    </w:p>
    <w:p w14:paraId="129F055A">
      <w:pPr>
        <w:pStyle w:val="56"/>
        <w:ind w:firstLine="420"/>
        <w:rPr>
          <w:rFonts w:hint="eastAsia"/>
          <w:highlight w:val="none"/>
        </w:rPr>
      </w:pPr>
      <w:r>
        <w:rPr>
          <w:rFonts w:hint="eastAsia"/>
          <w:highlight w:val="none"/>
          <w:lang w:val="en-US" w:eastAsia="zh-CN"/>
        </w:rPr>
        <w:t>本文件</w:t>
      </w:r>
      <w:r>
        <w:rPr>
          <w:rFonts w:hint="eastAsia"/>
          <w:highlight w:val="none"/>
        </w:rPr>
        <w:t>适用于甘蔗多酚的生产企业。</w:t>
      </w:r>
    </w:p>
    <w:p w14:paraId="08D07CA3">
      <w:pPr>
        <w:pStyle w:val="104"/>
        <w:spacing w:before="240" w:after="240"/>
        <w:rPr>
          <w:highlight w:val="none"/>
        </w:rPr>
      </w:pPr>
      <w:bookmarkStart w:id="35" w:name="_Toc97192965"/>
      <w:bookmarkStart w:id="36" w:name="_Toc26986772"/>
      <w:bookmarkStart w:id="37" w:name="_Toc26718931"/>
      <w:bookmarkStart w:id="38" w:name="_Toc26986531"/>
      <w:r>
        <w:rPr>
          <w:rFonts w:hint="eastAsia"/>
          <w:highlight w:val="none"/>
        </w:rPr>
        <w:t>规范性引用文件</w:t>
      </w:r>
      <w:bookmarkEnd w:id="30"/>
      <w:bookmarkEnd w:id="31"/>
      <w:bookmarkEnd w:id="32"/>
      <w:bookmarkEnd w:id="33"/>
      <w:bookmarkEnd w:id="34"/>
      <w:bookmarkEnd w:id="35"/>
      <w:bookmarkEnd w:id="36"/>
      <w:bookmarkEnd w:id="37"/>
      <w:bookmarkEnd w:id="38"/>
    </w:p>
    <w:sdt>
      <w:sdtPr>
        <w:rPr>
          <w:rFonts w:hint="eastAsia"/>
          <w:highlight w:val="none"/>
        </w:rPr>
        <w:id w:val="715848253"/>
        <w:placeholder>
          <w:docPart w:val="F4AAB83FAB754D739CB7EFAAECAC2E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414A2B0B">
          <w:pPr>
            <w:pStyle w:val="56"/>
            <w:spacing w:line="360" w:lineRule="exact"/>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B6D6DF7">
      <w:pPr>
        <w:pStyle w:val="56"/>
        <w:ind w:firstLine="420"/>
        <w:rPr>
          <w:rFonts w:hint="eastAsia"/>
          <w:highlight w:val="none"/>
        </w:rPr>
      </w:pPr>
      <w:r>
        <w:rPr>
          <w:rFonts w:hint="eastAsia"/>
          <w:highlight w:val="none"/>
        </w:rPr>
        <w:t>GB 14881  食品安全国家标准  食品生产通用卫生规范</w:t>
      </w:r>
    </w:p>
    <w:p w14:paraId="78E6E582">
      <w:pPr>
        <w:pStyle w:val="56"/>
        <w:ind w:firstLine="420"/>
        <w:rPr>
          <w:rFonts w:hint="eastAsia"/>
          <w:highlight w:val="none"/>
        </w:rPr>
      </w:pPr>
      <w:r>
        <w:rPr>
          <w:rFonts w:hint="eastAsia"/>
          <w:highlight w:val="none"/>
        </w:rPr>
        <w:t>GB 3095</w:t>
      </w:r>
      <w:r>
        <w:rPr>
          <w:rFonts w:hint="eastAsia"/>
          <w:highlight w:val="none"/>
          <w:lang w:val="en-US" w:eastAsia="zh-CN"/>
        </w:rPr>
        <w:t xml:space="preserve">   </w:t>
      </w:r>
      <w:r>
        <w:rPr>
          <w:rFonts w:hint="eastAsia"/>
          <w:highlight w:val="none"/>
        </w:rPr>
        <w:t>环境空气质量标准</w:t>
      </w:r>
    </w:p>
    <w:p w14:paraId="3AAB8016">
      <w:pPr>
        <w:pStyle w:val="104"/>
        <w:spacing w:before="240" w:after="240"/>
        <w:rPr>
          <w:highlight w:val="none"/>
        </w:rPr>
      </w:pPr>
      <w:bookmarkStart w:id="39" w:name="_Toc97192966"/>
      <w:r>
        <w:rPr>
          <w:rFonts w:hint="eastAsia"/>
          <w:szCs w:val="21"/>
          <w:highlight w:val="none"/>
        </w:rPr>
        <w:t>术语和定义</w:t>
      </w:r>
      <w:bookmarkEnd w:id="39"/>
    </w:p>
    <w:sdt>
      <w:sdtPr>
        <w:rPr>
          <w:highlight w:val="none"/>
        </w:rPr>
        <w:id w:val="-1909835108"/>
        <w:placeholder>
          <w:docPart w:val="8C55A95E9EB14BFB80E68DB274A070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14:paraId="3DEA89F1">
          <w:pPr>
            <w:pStyle w:val="56"/>
            <w:ind w:firstLine="420"/>
            <w:rPr>
              <w:rFonts w:hint="eastAsia"/>
              <w:highlight w:val="none"/>
            </w:rPr>
          </w:pPr>
          <w:bookmarkStart w:id="40" w:name="_Toc26986532"/>
          <w:bookmarkEnd w:id="40"/>
          <w:r>
            <w:rPr>
              <w:rFonts w:ascii="宋体" w:hAnsi="Times New Roman" w:eastAsia="宋体" w:cs="Times New Roman"/>
              <w:sz w:val="21"/>
              <w:highlight w:val="none"/>
              <w:lang w:val="en-US" w:eastAsia="zh-CN" w:bidi="ar-SA"/>
            </w:rPr>
            <w:t>本文件没有需要界定的术语和定义。</w:t>
          </w:r>
        </w:p>
      </w:sdtContent>
    </w:sdt>
    <w:p w14:paraId="243D241D">
      <w:pPr>
        <w:pStyle w:val="104"/>
        <w:spacing w:before="240" w:after="240"/>
        <w:rPr>
          <w:rFonts w:hint="eastAsia" w:ascii="宋体" w:eastAsia="宋体"/>
          <w:highlight w:val="none"/>
        </w:rPr>
      </w:pPr>
      <w:r>
        <w:rPr>
          <w:rFonts w:hint="eastAsia"/>
          <w:szCs w:val="21"/>
          <w:highlight w:val="none"/>
        </w:rPr>
        <w:t>生产场所</w:t>
      </w:r>
    </w:p>
    <w:p w14:paraId="39629EE9">
      <w:pPr>
        <w:pStyle w:val="162"/>
        <w:rPr>
          <w:rFonts w:hint="eastAsia"/>
          <w:highlight w:val="none"/>
        </w:rPr>
      </w:pPr>
      <w:r>
        <w:rPr>
          <w:rFonts w:hint="eastAsia"/>
          <w:highlight w:val="none"/>
          <w:lang w:val="en-US" w:eastAsia="zh-CN"/>
        </w:rPr>
        <w:t>应符合</w:t>
      </w:r>
      <w:r>
        <w:rPr>
          <w:rFonts w:hint="eastAsia"/>
          <w:highlight w:val="none"/>
        </w:rPr>
        <w:t>GB 14881</w:t>
      </w:r>
      <w:r>
        <w:rPr>
          <w:rFonts w:hint="eastAsia"/>
          <w:highlight w:val="none"/>
          <w:lang w:val="en-US" w:eastAsia="zh-CN"/>
        </w:rPr>
        <w:t>的要求。</w:t>
      </w:r>
    </w:p>
    <w:p w14:paraId="788FF3DE">
      <w:pPr>
        <w:pStyle w:val="162"/>
        <w:rPr>
          <w:rFonts w:hint="eastAsia"/>
          <w:highlight w:val="none"/>
        </w:rPr>
      </w:pPr>
      <w:r>
        <w:rPr>
          <w:rFonts w:hint="eastAsia"/>
          <w:highlight w:val="none"/>
        </w:rPr>
        <w:t>应选址在远离污染源、交通便利、地势平坦、</w:t>
      </w:r>
      <w:r>
        <w:rPr>
          <w:rFonts w:hint="eastAsia"/>
          <w:highlight w:val="none"/>
          <w:lang w:val="en-US" w:eastAsia="zh-CN"/>
        </w:rPr>
        <w:t>通风良好、</w:t>
      </w:r>
      <w:r>
        <w:rPr>
          <w:rFonts w:hint="eastAsia"/>
          <w:highlight w:val="none"/>
        </w:rPr>
        <w:t>排水良好的区域。</w:t>
      </w:r>
    </w:p>
    <w:p w14:paraId="3FD56845">
      <w:pPr>
        <w:pStyle w:val="162"/>
        <w:rPr>
          <w:rFonts w:hint="eastAsia"/>
          <w:highlight w:val="none"/>
        </w:rPr>
      </w:pPr>
      <w:r>
        <w:rPr>
          <w:rFonts w:hint="eastAsia"/>
          <w:highlight w:val="none"/>
        </w:rPr>
        <w:t>布局应合理，生产区、办公区、生活区等应分开设置，避免交叉污染。</w:t>
      </w:r>
    </w:p>
    <w:p w14:paraId="35398DD5">
      <w:pPr>
        <w:pStyle w:val="162"/>
        <w:rPr>
          <w:rFonts w:hint="eastAsia"/>
          <w:highlight w:val="none"/>
        </w:rPr>
      </w:pPr>
      <w:r>
        <w:rPr>
          <w:rFonts w:hint="eastAsia"/>
          <w:highlight w:val="none"/>
        </w:rPr>
        <w:t>应设有与生产规模相适应的原料库、成品库、检验室等配套设施。</w:t>
      </w:r>
    </w:p>
    <w:p w14:paraId="6E7C4F3D">
      <w:pPr>
        <w:pStyle w:val="104"/>
        <w:spacing w:before="240" w:after="240"/>
        <w:rPr>
          <w:rFonts w:hint="eastAsia"/>
          <w:highlight w:val="none"/>
        </w:rPr>
      </w:pPr>
      <w:r>
        <w:rPr>
          <w:rFonts w:hint="eastAsia"/>
          <w:szCs w:val="21"/>
          <w:highlight w:val="none"/>
          <w:lang w:val="en-US" w:eastAsia="zh-CN"/>
        </w:rPr>
        <w:t>生产</w:t>
      </w:r>
      <w:r>
        <w:rPr>
          <w:rFonts w:hint="eastAsia"/>
          <w:szCs w:val="21"/>
          <w:highlight w:val="none"/>
        </w:rPr>
        <w:t>设备</w:t>
      </w:r>
    </w:p>
    <w:p w14:paraId="4999C376">
      <w:pPr>
        <w:pStyle w:val="162"/>
        <w:rPr>
          <w:rFonts w:hint="eastAsia"/>
          <w:highlight w:val="none"/>
          <w:lang w:val="en-US" w:eastAsia="zh-CN"/>
        </w:rPr>
      </w:pPr>
      <w:r>
        <w:rPr>
          <w:rFonts w:hint="eastAsia"/>
          <w:highlight w:val="none"/>
          <w:lang w:val="en-US" w:eastAsia="zh-CN"/>
        </w:rPr>
        <w:t>应选用符合相关国家标准和行业标准的设备，具有良好的性能和稳定性。</w:t>
      </w:r>
    </w:p>
    <w:p w14:paraId="3500C9C0">
      <w:pPr>
        <w:pStyle w:val="162"/>
        <w:rPr>
          <w:rFonts w:hint="eastAsia"/>
          <w:highlight w:val="none"/>
          <w:lang w:val="en-US" w:eastAsia="zh-CN"/>
        </w:rPr>
      </w:pPr>
      <w:r>
        <w:rPr>
          <w:rFonts w:hint="eastAsia"/>
          <w:highlight w:val="none"/>
          <w:lang w:val="en-US" w:eastAsia="zh-CN"/>
        </w:rPr>
        <w:t>应具有状态标识，</w:t>
      </w:r>
      <w:r>
        <w:rPr>
          <w:rFonts w:hint="eastAsia"/>
          <w:highlight w:val="none"/>
          <w:lang w:val="en-US" w:eastAsia="zh-CN"/>
        </w:rPr>
        <w:t>定期校准、维护保养，保持清洁和卫生，确保生产过程的顺利进行。</w:t>
      </w:r>
    </w:p>
    <w:p w14:paraId="553DEA1E">
      <w:pPr>
        <w:pStyle w:val="162"/>
        <w:rPr>
          <w:rFonts w:hint="eastAsia"/>
          <w:highlight w:val="none"/>
          <w:lang w:val="en-US" w:eastAsia="zh-CN"/>
        </w:rPr>
      </w:pPr>
      <w:r>
        <w:rPr>
          <w:rFonts w:hint="eastAsia"/>
          <w:highlight w:val="none"/>
          <w:lang w:val="en-US" w:eastAsia="zh-CN"/>
        </w:rPr>
        <w:t>生产场所应配备必要的检测仪器和监控设备，用于监测生产环境和产品质量。</w:t>
      </w:r>
    </w:p>
    <w:p w14:paraId="3F096342">
      <w:pPr>
        <w:pStyle w:val="104"/>
        <w:spacing w:before="240" w:after="240"/>
        <w:rPr>
          <w:rFonts w:hint="eastAsia"/>
          <w:highlight w:val="none"/>
        </w:rPr>
      </w:pPr>
      <w:r>
        <w:rPr>
          <w:rFonts w:hint="eastAsia"/>
          <w:szCs w:val="21"/>
          <w:highlight w:val="none"/>
        </w:rPr>
        <w:t>卫生管理</w:t>
      </w:r>
    </w:p>
    <w:p w14:paraId="76F213D2">
      <w:pPr>
        <w:pStyle w:val="162"/>
        <w:rPr>
          <w:rFonts w:hint="eastAsia"/>
          <w:highlight w:val="none"/>
          <w:lang w:val="en-US" w:eastAsia="zh-CN"/>
        </w:rPr>
      </w:pPr>
      <w:r>
        <w:rPr>
          <w:rFonts w:hint="eastAsia"/>
          <w:highlight w:val="none"/>
          <w:lang w:val="en-US" w:eastAsia="zh-CN"/>
        </w:rPr>
        <w:t>应符合</w:t>
      </w:r>
      <w:r>
        <w:rPr>
          <w:rFonts w:hint="eastAsia"/>
          <w:highlight w:val="none"/>
        </w:rPr>
        <w:t>GB 14881</w:t>
      </w:r>
      <w:r>
        <w:rPr>
          <w:rFonts w:hint="eastAsia"/>
          <w:highlight w:val="none"/>
          <w:lang w:val="en-US" w:eastAsia="zh-CN"/>
        </w:rPr>
        <w:t>的要求。</w:t>
      </w:r>
    </w:p>
    <w:p w14:paraId="5EF5FEE3">
      <w:pPr>
        <w:pStyle w:val="162"/>
        <w:rPr>
          <w:rFonts w:hint="eastAsia"/>
          <w:highlight w:val="none"/>
          <w:lang w:val="en-US" w:eastAsia="zh-CN"/>
        </w:rPr>
      </w:pPr>
      <w:r>
        <w:rPr>
          <w:rFonts w:hint="eastAsia"/>
          <w:highlight w:val="none"/>
          <w:lang w:val="en-US" w:eastAsia="zh-CN"/>
        </w:rPr>
        <w:t>生产人员应经过专业培训，掌握卫生知识和操作技能，保持良好的个人卫生习惯，防止污染食品</w:t>
      </w:r>
      <w:r>
        <w:rPr>
          <w:rFonts w:hint="eastAsia"/>
          <w:highlight w:val="none"/>
          <w:lang w:val="en-US" w:eastAsia="zh-CN"/>
        </w:rPr>
        <w:t>。</w:t>
      </w:r>
    </w:p>
    <w:p w14:paraId="6F9F76FE">
      <w:pPr>
        <w:pStyle w:val="162"/>
        <w:rPr>
          <w:rFonts w:hint="eastAsia"/>
          <w:highlight w:val="none"/>
          <w:lang w:val="en-US" w:eastAsia="zh-CN"/>
        </w:rPr>
      </w:pPr>
      <w:r>
        <w:rPr>
          <w:rFonts w:hint="eastAsia"/>
          <w:highlight w:val="none"/>
          <w:lang w:val="en-US" w:eastAsia="zh-CN"/>
        </w:rPr>
        <w:t>生产场所应保持清洁和整齐，定期清扫和消毒，防止鼠、虫等有害生物</w:t>
      </w:r>
      <w:r>
        <w:rPr>
          <w:rFonts w:hint="eastAsia"/>
          <w:highlight w:val="none"/>
          <w:lang w:val="en-US" w:eastAsia="zh-CN"/>
        </w:rPr>
        <w:t>滋生。</w:t>
      </w:r>
    </w:p>
    <w:p w14:paraId="14FD5B5A">
      <w:pPr>
        <w:pStyle w:val="162"/>
        <w:rPr>
          <w:rFonts w:hint="eastAsia"/>
          <w:highlight w:val="none"/>
          <w:lang w:val="en-US" w:eastAsia="zh-CN"/>
        </w:rPr>
      </w:pPr>
      <w:r>
        <w:rPr>
          <w:rFonts w:hint="eastAsia"/>
          <w:highlight w:val="none"/>
          <w:lang w:val="en-US" w:eastAsia="zh-CN"/>
        </w:rPr>
        <w:t>生产过程中应严格控制原材料和辅料的卫生质量，防止污染和交叉污染。</w:t>
      </w:r>
    </w:p>
    <w:p w14:paraId="7ADBD610">
      <w:pPr>
        <w:pStyle w:val="104"/>
        <w:spacing w:before="240" w:after="240"/>
        <w:rPr>
          <w:rFonts w:hint="eastAsia"/>
          <w:highlight w:val="none"/>
          <w:lang w:val="en-US" w:eastAsia="zh-CN"/>
        </w:rPr>
      </w:pPr>
      <w:r>
        <w:rPr>
          <w:rFonts w:hint="eastAsia"/>
          <w:szCs w:val="21"/>
          <w:highlight w:val="none"/>
        </w:rPr>
        <w:t>环境监测</w:t>
      </w:r>
      <w:bookmarkStart w:id="42" w:name="_GoBack"/>
      <w:bookmarkEnd w:id="42"/>
    </w:p>
    <w:p w14:paraId="00A01195">
      <w:pPr>
        <w:pStyle w:val="162"/>
        <w:rPr>
          <w:rFonts w:hint="eastAsia"/>
          <w:highlight w:val="none"/>
          <w:lang w:val="en-US" w:eastAsia="zh-CN"/>
        </w:rPr>
      </w:pPr>
      <w:r>
        <w:rPr>
          <w:rFonts w:hint="eastAsia"/>
          <w:highlight w:val="none"/>
          <w:lang w:val="en-US" w:eastAsia="zh-CN"/>
        </w:rPr>
        <w:t>生产环境应定期进行空气质量、水质等环境监测，确保生产环境符合相关国家标准和行业标准。</w:t>
      </w:r>
    </w:p>
    <w:p w14:paraId="434D5843">
      <w:pPr>
        <w:pStyle w:val="162"/>
        <w:rPr>
          <w:rFonts w:hint="eastAsia"/>
          <w:highlight w:val="none"/>
        </w:rPr>
      </w:pPr>
      <w:r>
        <w:rPr>
          <w:rFonts w:hint="eastAsia"/>
          <w:highlight w:val="none"/>
          <w:lang w:val="en-US" w:eastAsia="zh-CN"/>
        </w:rPr>
        <w:t>监测结果应及时记录和分析，发现异常应及时采取措施进行处理。</w:t>
      </w:r>
    </w:p>
    <w:p w14:paraId="717240AF">
      <w:pPr>
        <w:pStyle w:val="104"/>
        <w:spacing w:before="240" w:after="240"/>
        <w:rPr>
          <w:rFonts w:hint="eastAsia"/>
          <w:highlight w:val="none"/>
        </w:rPr>
      </w:pPr>
      <w:r>
        <w:rPr>
          <w:rFonts w:hint="eastAsia"/>
          <w:szCs w:val="21"/>
          <w:highlight w:val="none"/>
        </w:rPr>
        <w:t>其他</w:t>
      </w:r>
    </w:p>
    <w:p w14:paraId="282BFDDC">
      <w:pPr>
        <w:pStyle w:val="162"/>
        <w:rPr>
          <w:rFonts w:hint="eastAsia"/>
          <w:highlight w:val="none"/>
          <w:lang w:val="en-US" w:eastAsia="zh-CN"/>
        </w:rPr>
      </w:pPr>
      <w:r>
        <w:rPr>
          <w:rFonts w:hint="eastAsia"/>
          <w:highlight w:val="none"/>
          <w:lang w:val="en-US" w:eastAsia="zh-CN"/>
        </w:rPr>
        <w:t>生产企业应建立完善的生产管理制度和质量管理体系，确保生产过程的规范化和标准化。</w:t>
      </w:r>
    </w:p>
    <w:p w14:paraId="380955B2">
      <w:pPr>
        <w:pStyle w:val="162"/>
        <w:rPr>
          <w:rFonts w:hint="eastAsia"/>
          <w:highlight w:val="none"/>
          <w:lang w:val="en-US" w:eastAsia="zh-CN"/>
        </w:rPr>
      </w:pPr>
      <w:r>
        <w:rPr>
          <w:rFonts w:hint="eastAsia"/>
          <w:highlight w:val="none"/>
          <w:lang w:val="en-US" w:eastAsia="zh-CN"/>
        </w:rPr>
        <w:t>生产企业应定期对员工进行培训和考核，提高员工的操作技能和质量意识。</w:t>
      </w:r>
    </w:p>
    <w:p w14:paraId="317AAA2F">
      <w:pPr>
        <w:pStyle w:val="162"/>
        <w:rPr>
          <w:rFonts w:hint="eastAsia"/>
          <w:highlight w:val="none"/>
          <w:lang w:val="en-US" w:eastAsia="zh-CN"/>
        </w:rPr>
      </w:pPr>
      <w:r>
        <w:rPr>
          <w:rFonts w:hint="eastAsia"/>
          <w:highlight w:val="none"/>
          <w:lang w:val="en-US" w:eastAsia="zh-CN"/>
        </w:rPr>
        <w:t>生产企业应积极配合相关部门的监督检查，及时整改存在的问题。</w:t>
      </w:r>
    </w:p>
    <w:bookmarkEnd w:id="19"/>
    <w:p w14:paraId="1B9D9F77">
      <w:pPr>
        <w:pStyle w:val="56"/>
        <w:ind w:firstLine="0" w:firstLineChars="0"/>
        <w:jc w:val="center"/>
      </w:pPr>
      <w:bookmarkStart w:id="41" w:name="BookMark8"/>
      <w:r>
        <w:drawing>
          <wp:inline distT="0" distB="0" distL="0" distR="0">
            <wp:extent cx="1485900" cy="317500"/>
            <wp:effectExtent l="0" t="0" r="0" b="635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22"/>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okChamp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190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1324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D57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E62C">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D8FC">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298933"/>
    </w:sdtPr>
    <w:sdtContent>
      <w:p w14:paraId="30CAC152">
        <w:pPr>
          <w:pStyle w:val="52"/>
        </w:pPr>
        <w:r>
          <w:fldChar w:fldCharType="begin"/>
        </w:r>
        <w:r>
          <w:instrText xml:space="preserve">PAGE   \* MERGEFORMAT</w:instrText>
        </w:r>
        <w:r>
          <w:fldChar w:fldCharType="separate"/>
        </w:r>
        <w:r>
          <w:rPr>
            <w:lang w:val="zh-CN"/>
          </w:rPr>
          <w:t>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7A280">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E35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5E2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61B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1492D">
    <w:pPr>
      <w:pStyle w:val="61"/>
    </w:pPr>
    <w:r>
      <w:fldChar w:fldCharType="begin"/>
    </w:r>
    <w:r>
      <w:instrText xml:space="preserve"> STYLEREF  标准文件_文件编号  \* MERGEFORMAT </w:instrText>
    </w:r>
    <w:r>
      <w:fldChar w:fldCharType="separate"/>
    </w:r>
    <w:r>
      <w:t>T/GBC 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869C">
    <w:pPr>
      <w:pStyle w:val="62"/>
    </w:pPr>
    <w:r>
      <w:fldChar w:fldCharType="begin"/>
    </w:r>
    <w:r>
      <w:instrText xml:space="preserve"> STYLEREF  标准文件_文件编号 \* MERGEFORMAT </w:instrText>
    </w:r>
    <w:r>
      <w:fldChar w:fldCharType="separate"/>
    </w:r>
    <w:r>
      <w:t>T/GBC 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CA3D">
    <w:pPr>
      <w:pStyle w:val="61"/>
    </w:pPr>
    <w:r>
      <w:fldChar w:fldCharType="begin"/>
    </w:r>
    <w:r>
      <w:instrText xml:space="preserve"> STYLEREF  标准文件_文件编号  \* MERGEFORMAT </w:instrText>
    </w:r>
    <w:r>
      <w:fldChar w:fldCharType="separate"/>
    </w:r>
    <w:r>
      <w:t>T/GBC 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4308">
    <w:pPr>
      <w:pStyle w:val="62"/>
    </w:pPr>
    <w:r>
      <w:fldChar w:fldCharType="begin"/>
    </w:r>
    <w:r>
      <w:instrText xml:space="preserve"> STYLEREF  标准文件_文件编号 \* MERGEFORMAT </w:instrText>
    </w:r>
    <w:r>
      <w:fldChar w:fldCharType="separate"/>
    </w:r>
    <w:r>
      <w:t>T/GBC 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Exxi0jElBDoz0kqHWCm/sRCjoDQz/B3PcS9unWSppscjfI0lQLb+mUJga9KHgNUjNUraYP2Qpb6i+qsbY5Ve/g==" w:salt="xKzU8hPuQX151GrL70Q3lw=="/>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YjU0MGVlMTdhMGJjOWQyY2U1OTc1OTAxMzkzMjIifQ=="/>
  </w:docVars>
  <w:rsids>
    <w:rsidRoot w:val="00476B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6CB"/>
    <w:rsid w:val="0005265A"/>
    <w:rsid w:val="000539DD"/>
    <w:rsid w:val="00053BD3"/>
    <w:rsid w:val="000556ED"/>
    <w:rsid w:val="00055FE2"/>
    <w:rsid w:val="0005616F"/>
    <w:rsid w:val="00060C2E"/>
    <w:rsid w:val="00061033"/>
    <w:rsid w:val="000619E9"/>
    <w:rsid w:val="000622D4"/>
    <w:rsid w:val="0006357D"/>
    <w:rsid w:val="00065A15"/>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05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D3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FF4"/>
    <w:rsid w:val="000F4050"/>
    <w:rsid w:val="000F4AEA"/>
    <w:rsid w:val="000F67E9"/>
    <w:rsid w:val="00104926"/>
    <w:rsid w:val="00113B1E"/>
    <w:rsid w:val="0011711C"/>
    <w:rsid w:val="0012005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4A"/>
    <w:rsid w:val="00176DFD"/>
    <w:rsid w:val="0018180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0A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4B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209"/>
    <w:rsid w:val="00300E63"/>
    <w:rsid w:val="00300EC1"/>
    <w:rsid w:val="00302F5F"/>
    <w:rsid w:val="0030441D"/>
    <w:rsid w:val="00306063"/>
    <w:rsid w:val="00313B85"/>
    <w:rsid w:val="00317988"/>
    <w:rsid w:val="003221B4"/>
    <w:rsid w:val="0032258D"/>
    <w:rsid w:val="00322913"/>
    <w:rsid w:val="00322E62"/>
    <w:rsid w:val="00324D13"/>
    <w:rsid w:val="00324EDD"/>
    <w:rsid w:val="003254DD"/>
    <w:rsid w:val="003331E4"/>
    <w:rsid w:val="00336C64"/>
    <w:rsid w:val="00337162"/>
    <w:rsid w:val="0034194F"/>
    <w:rsid w:val="00344605"/>
    <w:rsid w:val="003474AA"/>
    <w:rsid w:val="00350D1D"/>
    <w:rsid w:val="00350E0B"/>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AA4"/>
    <w:rsid w:val="00400E72"/>
    <w:rsid w:val="00401400"/>
    <w:rsid w:val="00404869"/>
    <w:rsid w:val="00405884"/>
    <w:rsid w:val="00407D39"/>
    <w:rsid w:val="0041477A"/>
    <w:rsid w:val="004167A3"/>
    <w:rsid w:val="0042553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16F"/>
    <w:rsid w:val="004659BD"/>
    <w:rsid w:val="00470775"/>
    <w:rsid w:val="004746B1"/>
    <w:rsid w:val="0047583F"/>
    <w:rsid w:val="00475DE8"/>
    <w:rsid w:val="00476B61"/>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6F1"/>
    <w:rsid w:val="004D4406"/>
    <w:rsid w:val="004D7C42"/>
    <w:rsid w:val="004E0465"/>
    <w:rsid w:val="004E10E3"/>
    <w:rsid w:val="004E127B"/>
    <w:rsid w:val="004E1C0A"/>
    <w:rsid w:val="004E30C5"/>
    <w:rsid w:val="004E4AA5"/>
    <w:rsid w:val="004E4AEE"/>
    <w:rsid w:val="004E59E3"/>
    <w:rsid w:val="004E67C0"/>
    <w:rsid w:val="004F391A"/>
    <w:rsid w:val="004F3CFB"/>
    <w:rsid w:val="004F6456"/>
    <w:rsid w:val="004F696E"/>
    <w:rsid w:val="004F6C71"/>
    <w:rsid w:val="00501139"/>
    <w:rsid w:val="00502BD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62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4A"/>
    <w:rsid w:val="00561095"/>
    <w:rsid w:val="00561475"/>
    <w:rsid w:val="00562308"/>
    <w:rsid w:val="0056487B"/>
    <w:rsid w:val="00564FB9"/>
    <w:rsid w:val="00573D9E"/>
    <w:rsid w:val="005801E3"/>
    <w:rsid w:val="00580CDF"/>
    <w:rsid w:val="00581802"/>
    <w:rsid w:val="005836A8"/>
    <w:rsid w:val="0058409C"/>
    <w:rsid w:val="00584262"/>
    <w:rsid w:val="0058525D"/>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174"/>
    <w:rsid w:val="005E7881"/>
    <w:rsid w:val="005E78E0"/>
    <w:rsid w:val="005F0D9C"/>
    <w:rsid w:val="005F284E"/>
    <w:rsid w:val="006015CE"/>
    <w:rsid w:val="00604784"/>
    <w:rsid w:val="00606419"/>
    <w:rsid w:val="00607D29"/>
    <w:rsid w:val="00612952"/>
    <w:rsid w:val="00614CC1"/>
    <w:rsid w:val="00615A9D"/>
    <w:rsid w:val="00617387"/>
    <w:rsid w:val="006205D6"/>
    <w:rsid w:val="00624463"/>
    <w:rsid w:val="006252D8"/>
    <w:rsid w:val="006259BC"/>
    <w:rsid w:val="0062636B"/>
    <w:rsid w:val="00632182"/>
    <w:rsid w:val="00632AE0"/>
    <w:rsid w:val="00633C17"/>
    <w:rsid w:val="00634D9E"/>
    <w:rsid w:val="00636E3E"/>
    <w:rsid w:val="006379F7"/>
    <w:rsid w:val="00637E4D"/>
    <w:rsid w:val="00640620"/>
    <w:rsid w:val="00640F82"/>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1A3C"/>
    <w:rsid w:val="006A25E5"/>
    <w:rsid w:val="006A2B46"/>
    <w:rsid w:val="006A336D"/>
    <w:rsid w:val="006A37B9"/>
    <w:rsid w:val="006B2672"/>
    <w:rsid w:val="006B54BF"/>
    <w:rsid w:val="006B5F44"/>
    <w:rsid w:val="006B5F90"/>
    <w:rsid w:val="006B62E4"/>
    <w:rsid w:val="006B6F62"/>
    <w:rsid w:val="006C1BBA"/>
    <w:rsid w:val="006C2079"/>
    <w:rsid w:val="006C5A62"/>
    <w:rsid w:val="006C5D68"/>
    <w:rsid w:val="006C6976"/>
    <w:rsid w:val="006C6DD0"/>
    <w:rsid w:val="006D04EA"/>
    <w:rsid w:val="006D16C4"/>
    <w:rsid w:val="006D3E96"/>
    <w:rsid w:val="006D4515"/>
    <w:rsid w:val="006D4BB1"/>
    <w:rsid w:val="006D6593"/>
    <w:rsid w:val="006E11EA"/>
    <w:rsid w:val="006E21E3"/>
    <w:rsid w:val="006F03A8"/>
    <w:rsid w:val="006F2ACA"/>
    <w:rsid w:val="006F2ADC"/>
    <w:rsid w:val="006F2BFE"/>
    <w:rsid w:val="006F31E9"/>
    <w:rsid w:val="006F59F9"/>
    <w:rsid w:val="006F6284"/>
    <w:rsid w:val="007002C5"/>
    <w:rsid w:val="00704387"/>
    <w:rsid w:val="00707669"/>
    <w:rsid w:val="00711CBA"/>
    <w:rsid w:val="00711FB5"/>
    <w:rsid w:val="00712A01"/>
    <w:rsid w:val="00714F58"/>
    <w:rsid w:val="0071789E"/>
    <w:rsid w:val="00722FBF"/>
    <w:rsid w:val="00722FC2"/>
    <w:rsid w:val="00722FEE"/>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8AA"/>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4CA"/>
    <w:rsid w:val="007D2508"/>
    <w:rsid w:val="007D346A"/>
    <w:rsid w:val="007D6518"/>
    <w:rsid w:val="007D76BD"/>
    <w:rsid w:val="007E0BF1"/>
    <w:rsid w:val="007F0ED8"/>
    <w:rsid w:val="007F0F63"/>
    <w:rsid w:val="007F70E6"/>
    <w:rsid w:val="007F75CE"/>
    <w:rsid w:val="008013A4"/>
    <w:rsid w:val="008027CE"/>
    <w:rsid w:val="00802F42"/>
    <w:rsid w:val="00804383"/>
    <w:rsid w:val="008046AC"/>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6B"/>
    <w:rsid w:val="008269DD"/>
    <w:rsid w:val="00830621"/>
    <w:rsid w:val="00832160"/>
    <w:rsid w:val="0083348C"/>
    <w:rsid w:val="008373D3"/>
    <w:rsid w:val="00840617"/>
    <w:rsid w:val="00840F84"/>
    <w:rsid w:val="00842A47"/>
    <w:rsid w:val="00843C13"/>
    <w:rsid w:val="00843DEF"/>
    <w:rsid w:val="008454F8"/>
    <w:rsid w:val="0085173A"/>
    <w:rsid w:val="008603CE"/>
    <w:rsid w:val="008620FC"/>
    <w:rsid w:val="008627A4"/>
    <w:rsid w:val="008627A5"/>
    <w:rsid w:val="00863E05"/>
    <w:rsid w:val="00865ACA"/>
    <w:rsid w:val="00865D28"/>
    <w:rsid w:val="00865F85"/>
    <w:rsid w:val="00867C10"/>
    <w:rsid w:val="00870439"/>
    <w:rsid w:val="00870DA1"/>
    <w:rsid w:val="00875B28"/>
    <w:rsid w:val="00876A3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B41"/>
    <w:rsid w:val="008C619A"/>
    <w:rsid w:val="008D0CE8"/>
    <w:rsid w:val="008D109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EE6"/>
    <w:rsid w:val="00911BE5"/>
    <w:rsid w:val="00913CA9"/>
    <w:rsid w:val="009145AE"/>
    <w:rsid w:val="009146CE"/>
    <w:rsid w:val="00914CA7"/>
    <w:rsid w:val="00915C3E"/>
    <w:rsid w:val="009161A8"/>
    <w:rsid w:val="009245AE"/>
    <w:rsid w:val="009245F5"/>
    <w:rsid w:val="009249EC"/>
    <w:rsid w:val="00925ED9"/>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E4E"/>
    <w:rsid w:val="00970CDC"/>
    <w:rsid w:val="00975727"/>
    <w:rsid w:val="00977010"/>
    <w:rsid w:val="00977D02"/>
    <w:rsid w:val="00977FF9"/>
    <w:rsid w:val="009809BB"/>
    <w:rsid w:val="00980D17"/>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2E1"/>
    <w:rsid w:val="00A0096C"/>
    <w:rsid w:val="00A01757"/>
    <w:rsid w:val="00A028C0"/>
    <w:rsid w:val="00A02BAE"/>
    <w:rsid w:val="00A03429"/>
    <w:rsid w:val="00A06A6B"/>
    <w:rsid w:val="00A07E47"/>
    <w:rsid w:val="00A129D0"/>
    <w:rsid w:val="00A12C33"/>
    <w:rsid w:val="00A138BA"/>
    <w:rsid w:val="00A14C8E"/>
    <w:rsid w:val="00A153D9"/>
    <w:rsid w:val="00A15F09"/>
    <w:rsid w:val="00A169B6"/>
    <w:rsid w:val="00A2271D"/>
    <w:rsid w:val="00A237D5"/>
    <w:rsid w:val="00A26D0E"/>
    <w:rsid w:val="00A30EFC"/>
    <w:rsid w:val="00A31984"/>
    <w:rsid w:val="00A32D73"/>
    <w:rsid w:val="00A3367B"/>
    <w:rsid w:val="00A33C67"/>
    <w:rsid w:val="00A3597D"/>
    <w:rsid w:val="00A36DD1"/>
    <w:rsid w:val="00A4006C"/>
    <w:rsid w:val="00A40091"/>
    <w:rsid w:val="00A4030F"/>
    <w:rsid w:val="00A41C79"/>
    <w:rsid w:val="00A41CB5"/>
    <w:rsid w:val="00A4216A"/>
    <w:rsid w:val="00A42CDF"/>
    <w:rsid w:val="00A4452E"/>
    <w:rsid w:val="00A4472C"/>
    <w:rsid w:val="00A44E69"/>
    <w:rsid w:val="00A4661E"/>
    <w:rsid w:val="00A55BD6"/>
    <w:rsid w:val="00A55D50"/>
    <w:rsid w:val="00A57142"/>
    <w:rsid w:val="00A648CD"/>
    <w:rsid w:val="00A6537A"/>
    <w:rsid w:val="00A67866"/>
    <w:rsid w:val="00A70B07"/>
    <w:rsid w:val="00A723F8"/>
    <w:rsid w:val="00A763A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7E0"/>
    <w:rsid w:val="00AB17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33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B8B"/>
    <w:rsid w:val="00B86677"/>
    <w:rsid w:val="00B87131"/>
    <w:rsid w:val="00B939B1"/>
    <w:rsid w:val="00B96D40"/>
    <w:rsid w:val="00B97386"/>
    <w:rsid w:val="00BA263B"/>
    <w:rsid w:val="00BA42B2"/>
    <w:rsid w:val="00BA58D4"/>
    <w:rsid w:val="00BA5B9E"/>
    <w:rsid w:val="00BA7C9A"/>
    <w:rsid w:val="00BB5F8F"/>
    <w:rsid w:val="00BB657A"/>
    <w:rsid w:val="00BC1A4E"/>
    <w:rsid w:val="00BC4197"/>
    <w:rsid w:val="00BC584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33C"/>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D5E"/>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FA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B05"/>
    <w:rsid w:val="00DA6C15"/>
    <w:rsid w:val="00DB0258"/>
    <w:rsid w:val="00DB38EE"/>
    <w:rsid w:val="00DB498B"/>
    <w:rsid w:val="00DB66CA"/>
    <w:rsid w:val="00DB6BCA"/>
    <w:rsid w:val="00DB6F54"/>
    <w:rsid w:val="00DB73F7"/>
    <w:rsid w:val="00DC0321"/>
    <w:rsid w:val="00DC1081"/>
    <w:rsid w:val="00DC3067"/>
    <w:rsid w:val="00DC370B"/>
    <w:rsid w:val="00DC5B90"/>
    <w:rsid w:val="00DD00FF"/>
    <w:rsid w:val="00DD0619"/>
    <w:rsid w:val="00DD07FB"/>
    <w:rsid w:val="00DD25C6"/>
    <w:rsid w:val="00DD4FE5"/>
    <w:rsid w:val="00DD54B0"/>
    <w:rsid w:val="00DD57EE"/>
    <w:rsid w:val="00DD6BCC"/>
    <w:rsid w:val="00DD775D"/>
    <w:rsid w:val="00DE0A4B"/>
    <w:rsid w:val="00DE2410"/>
    <w:rsid w:val="00DE2939"/>
    <w:rsid w:val="00DE5BAC"/>
    <w:rsid w:val="00DE6E81"/>
    <w:rsid w:val="00DE703F"/>
    <w:rsid w:val="00DE7595"/>
    <w:rsid w:val="00DF1961"/>
    <w:rsid w:val="00DF3696"/>
    <w:rsid w:val="00DF44DE"/>
    <w:rsid w:val="00E01138"/>
    <w:rsid w:val="00E02DFB"/>
    <w:rsid w:val="00E030F9"/>
    <w:rsid w:val="00E0311A"/>
    <w:rsid w:val="00E03138"/>
    <w:rsid w:val="00E053F6"/>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AAC"/>
    <w:rsid w:val="00E72AAB"/>
    <w:rsid w:val="00E74313"/>
    <w:rsid w:val="00E745E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C10"/>
    <w:rsid w:val="00E95D13"/>
    <w:rsid w:val="00E95DD3"/>
    <w:rsid w:val="00E969D5"/>
    <w:rsid w:val="00EA15F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E1F"/>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CAE"/>
    <w:rsid w:val="00F71E22"/>
    <w:rsid w:val="00F72142"/>
    <w:rsid w:val="00F72AE7"/>
    <w:rsid w:val="00F76709"/>
    <w:rsid w:val="00F833BA"/>
    <w:rsid w:val="00F84A54"/>
    <w:rsid w:val="00F84FD0"/>
    <w:rsid w:val="00F859A8"/>
    <w:rsid w:val="00F86D87"/>
    <w:rsid w:val="00F9108B"/>
    <w:rsid w:val="00F91349"/>
    <w:rsid w:val="00F930FE"/>
    <w:rsid w:val="00F93A8A"/>
    <w:rsid w:val="00F95248"/>
    <w:rsid w:val="00F956A9"/>
    <w:rsid w:val="00F963ED"/>
    <w:rsid w:val="00F966CF"/>
    <w:rsid w:val="00F96CAE"/>
    <w:rsid w:val="00F97C99"/>
    <w:rsid w:val="00FA662D"/>
    <w:rsid w:val="00FA73B1"/>
    <w:rsid w:val="00FB0CB9"/>
    <w:rsid w:val="00FB231D"/>
    <w:rsid w:val="00FB45F1"/>
    <w:rsid w:val="00FB488E"/>
    <w:rsid w:val="00FB4A72"/>
    <w:rsid w:val="00FB54E8"/>
    <w:rsid w:val="00FB7054"/>
    <w:rsid w:val="00FC17B7"/>
    <w:rsid w:val="00FC2CB7"/>
    <w:rsid w:val="00FC4090"/>
    <w:rsid w:val="00FC55B4"/>
    <w:rsid w:val="00FD00E6"/>
    <w:rsid w:val="00FD09A1"/>
    <w:rsid w:val="00FD2A7C"/>
    <w:rsid w:val="00FD40B4"/>
    <w:rsid w:val="00FD59EB"/>
    <w:rsid w:val="00FD7299"/>
    <w:rsid w:val="00FE1FBE"/>
    <w:rsid w:val="00FE3901"/>
    <w:rsid w:val="00FE39D3"/>
    <w:rsid w:val="00FE4BCE"/>
    <w:rsid w:val="00FE54AE"/>
    <w:rsid w:val="00FE576A"/>
    <w:rsid w:val="00FE5CB1"/>
    <w:rsid w:val="00FE7E79"/>
    <w:rsid w:val="00FF3E7D"/>
    <w:rsid w:val="00FF5B99"/>
    <w:rsid w:val="00FF730C"/>
    <w:rsid w:val="00FF73F4"/>
    <w:rsid w:val="00FF7CE4"/>
    <w:rsid w:val="00FF7E39"/>
    <w:rsid w:val="03C7674A"/>
    <w:rsid w:val="07AD39EF"/>
    <w:rsid w:val="08A94A11"/>
    <w:rsid w:val="0F68627E"/>
    <w:rsid w:val="14721B05"/>
    <w:rsid w:val="159E4EA3"/>
    <w:rsid w:val="17491EB8"/>
    <w:rsid w:val="19170A6D"/>
    <w:rsid w:val="1D5168A1"/>
    <w:rsid w:val="27816D7F"/>
    <w:rsid w:val="2D3528F3"/>
    <w:rsid w:val="311D3698"/>
    <w:rsid w:val="32495919"/>
    <w:rsid w:val="3B854432"/>
    <w:rsid w:val="40936239"/>
    <w:rsid w:val="41BA3696"/>
    <w:rsid w:val="41E41EB2"/>
    <w:rsid w:val="440A3726"/>
    <w:rsid w:val="46455938"/>
    <w:rsid w:val="47772EB1"/>
    <w:rsid w:val="486806A0"/>
    <w:rsid w:val="49833FDD"/>
    <w:rsid w:val="4B241572"/>
    <w:rsid w:val="4B8B7843"/>
    <w:rsid w:val="4C780B29"/>
    <w:rsid w:val="4D716861"/>
    <w:rsid w:val="502F7180"/>
    <w:rsid w:val="51C0169F"/>
    <w:rsid w:val="5D1478D4"/>
    <w:rsid w:val="5E993BCD"/>
    <w:rsid w:val="5FE377F5"/>
    <w:rsid w:val="675E2158"/>
    <w:rsid w:val="67D223BA"/>
    <w:rsid w:val="69867F37"/>
    <w:rsid w:val="6C4A638E"/>
    <w:rsid w:val="6F0B3A80"/>
    <w:rsid w:val="72871F00"/>
    <w:rsid w:val="782D2B85"/>
    <w:rsid w:val="7CD175A3"/>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A126502E19C4DCFBC339FDA1B21001D"/>
        <w:style w:val=""/>
        <w:category>
          <w:name w:val="常规"/>
          <w:gallery w:val="placeholder"/>
        </w:category>
        <w:types>
          <w:type w:val="bbPlcHdr"/>
        </w:types>
        <w:behaviors>
          <w:behavior w:val="content"/>
        </w:behaviors>
        <w:description w:val=""/>
        <w:guid w:val="{796619AB-E26A-461C-8E47-D91F11D63DD6}"/>
      </w:docPartPr>
      <w:docPartBody>
        <w:p w14:paraId="250F9D1D">
          <w:pPr>
            <w:pStyle w:val="5"/>
          </w:pPr>
          <w:r>
            <w:rPr>
              <w:rStyle w:val="4"/>
              <w:rFonts w:hint="eastAsia"/>
            </w:rPr>
            <w:t>单击或点击此处输入文字。</w:t>
          </w:r>
        </w:p>
      </w:docPartBody>
    </w:docPart>
    <w:docPart>
      <w:docPartPr>
        <w:name w:val="F4AAB83FAB754D739CB7EFAAECAC2E94"/>
        <w:style w:val=""/>
        <w:category>
          <w:name w:val="常规"/>
          <w:gallery w:val="placeholder"/>
        </w:category>
        <w:types>
          <w:type w:val="bbPlcHdr"/>
        </w:types>
        <w:behaviors>
          <w:behavior w:val="content"/>
        </w:behaviors>
        <w:description w:val=""/>
        <w:guid w:val="{C9C8A448-306D-4149-A36D-A7D8FE3856D8}"/>
      </w:docPartPr>
      <w:docPartBody>
        <w:p w14:paraId="50604ADF">
          <w:pPr>
            <w:pStyle w:val="6"/>
          </w:pPr>
          <w:r>
            <w:rPr>
              <w:rStyle w:val="4"/>
              <w:rFonts w:hint="eastAsia"/>
            </w:rPr>
            <w:t>选择一项。</w:t>
          </w:r>
        </w:p>
      </w:docPartBody>
    </w:docPart>
    <w:docPart>
      <w:docPartPr>
        <w:name w:val="8C55A95E9EB14BFB80E68DB274A0702A"/>
        <w:style w:val=""/>
        <w:category>
          <w:name w:val="常规"/>
          <w:gallery w:val="placeholder"/>
        </w:category>
        <w:types>
          <w:type w:val="bbPlcHdr"/>
        </w:types>
        <w:behaviors>
          <w:behavior w:val="content"/>
        </w:behaviors>
        <w:description w:val=""/>
        <w:guid w:val="{0B59DAD4-274F-4529-886C-F0143138B1A1}"/>
      </w:docPartPr>
      <w:docPartBody>
        <w:p w14:paraId="4B23553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DokChampa">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C6"/>
    <w:rsid w:val="000611EB"/>
    <w:rsid w:val="00134B67"/>
    <w:rsid w:val="00294AAF"/>
    <w:rsid w:val="00313A6C"/>
    <w:rsid w:val="00590221"/>
    <w:rsid w:val="00601A1D"/>
    <w:rsid w:val="006454C6"/>
    <w:rsid w:val="007E63CF"/>
    <w:rsid w:val="0080425F"/>
    <w:rsid w:val="00A56F23"/>
    <w:rsid w:val="00B77DD8"/>
    <w:rsid w:val="00BC38E6"/>
    <w:rsid w:val="00D92696"/>
    <w:rsid w:val="00DC4269"/>
    <w:rsid w:val="00EB1A8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A126502E19C4DCFBC339FDA1B2100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4AAB83FAB754D739CB7EFAAECAC2E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C55A95E9EB14BFB80E68DB274A0702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1003</Words>
  <Characters>1127</Characters>
  <Lines>15</Lines>
  <Paragraphs>4</Paragraphs>
  <TotalTime>0</TotalTime>
  <ScaleCrop>false</ScaleCrop>
  <LinksUpToDate>false</LinksUpToDate>
  <CharactersWithSpaces>1161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2024-08-19T01:11:00Z</dcterms:created>
  <dc:creator>lenovo</dc:creator>
  <dc:description>&lt;config cover="true" show_menu="true" version="1.0.0" doctype="SDKXY"&gt;_x000d_
&lt;/config&gt;</dc:description>
  <cp:lastModifiedBy>hh</cp:lastModifiedBy>
  <cp:lastPrinted>2021-02-02T08:22:00Z</cp:lastPrinted>
  <dcterms:modified xsi:type="dcterms:W3CDTF">2025-04-03T06:50:49Z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1A59B567D25F4D669CC10A0FE337E9CA_12</vt:lpwstr>
  </property>
  <property fmtid="{D5CDD505-2E9C-101B-9397-08002B2CF9AE}" pid="16" name="DoublePage">
    <vt:lpwstr>true</vt:lpwstr>
  </property>
  <property fmtid="{D5CDD505-2E9C-101B-9397-08002B2CF9AE}" pid="17" name="KSOTemplateDocerSaveRecord">
    <vt:lpwstr>eyJoZGlkIjoiNjc1NmUzZDQ5MTE1MjVmNjUyZTFiOTc4ZTZmYWQ1ZTIiLCJ1c2VySWQiOiI0NTU5NDcwMDkifQ==</vt:lpwstr>
  </property>
</Properties>
</file>